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asciiTheme="majorEastAsia" w:hAnsiTheme="majorEastAsia" w:eastAsiaTheme="majorEastAsia" w:cstheme="minorEastAsia"/>
        </w:rPr>
      </w:pPr>
    </w:p>
    <w:p>
      <w:pPr>
        <w:pStyle w:val="56"/>
        <w:tabs>
          <w:tab w:val="left" w:pos="420"/>
        </w:tabs>
        <w:spacing w:before="120"/>
        <w:ind w:firstLine="210"/>
      </w:pPr>
    </w:p>
    <w:p>
      <w:pPr>
        <w:tabs>
          <w:tab w:val="left" w:pos="1050"/>
          <w:tab w:val="right" w:leader="dot" w:pos="9402"/>
        </w:tabs>
        <w:jc w:val="center"/>
        <w:rPr>
          <w:rFonts w:asciiTheme="majorEastAsia" w:hAnsiTheme="majorEastAsia" w:eastAsiaTheme="majorEastAsia" w:cstheme="majorEastAsia"/>
          <w:b/>
          <w:bCs/>
          <w:sz w:val="56"/>
          <w:szCs w:val="56"/>
        </w:rPr>
      </w:pPr>
      <w:r>
        <w:rPr>
          <w:rFonts w:hint="eastAsia" w:asciiTheme="majorEastAsia" w:hAnsiTheme="majorEastAsia" w:eastAsiaTheme="majorEastAsia" w:cstheme="majorEastAsia"/>
          <w:b/>
          <w:bCs/>
          <w:sz w:val="56"/>
          <w:szCs w:val="56"/>
        </w:rPr>
        <w:t>南通市妇幼保健院</w:t>
      </w:r>
    </w:p>
    <w:p>
      <w:pPr>
        <w:tabs>
          <w:tab w:val="left" w:pos="1050"/>
          <w:tab w:val="right" w:leader="dot" w:pos="9402"/>
        </w:tabs>
        <w:spacing w:after="190" w:afterLines="50"/>
        <w:jc w:val="center"/>
        <w:rPr>
          <w:rFonts w:asciiTheme="majorEastAsia" w:hAnsiTheme="majorEastAsia" w:eastAsiaTheme="majorEastAsia" w:cstheme="majorEastAsia"/>
          <w:b/>
          <w:bCs/>
          <w:sz w:val="56"/>
          <w:szCs w:val="56"/>
        </w:rPr>
      </w:pPr>
      <w:r>
        <w:rPr>
          <w:rFonts w:hint="eastAsia" w:asciiTheme="majorEastAsia" w:hAnsiTheme="majorEastAsia" w:eastAsiaTheme="majorEastAsia" w:cstheme="majorEastAsia"/>
          <w:b/>
          <w:bCs/>
          <w:sz w:val="56"/>
          <w:szCs w:val="56"/>
        </w:rPr>
        <w:t>2021-2024年绿植租摆与绿化养护项目</w:t>
      </w:r>
    </w:p>
    <w:p>
      <w:pPr>
        <w:tabs>
          <w:tab w:val="left" w:pos="1050"/>
          <w:tab w:val="right" w:leader="dot" w:pos="9402"/>
        </w:tabs>
        <w:spacing w:line="1600" w:lineRule="exact"/>
        <w:jc w:val="center"/>
        <w:rPr>
          <w:rFonts w:ascii="方正小标宋简体" w:hAnsi="Calibri" w:eastAsia="方正小标宋简体"/>
          <w:sz w:val="56"/>
          <w:szCs w:val="56"/>
        </w:rPr>
      </w:pPr>
      <w:r>
        <w:rPr>
          <w:rFonts w:hint="eastAsia" w:ascii="方正小标宋简体" w:hAnsi="宋体" w:eastAsia="方正小标宋简体" w:cs="方正小标宋简体"/>
          <w:sz w:val="56"/>
          <w:szCs w:val="56"/>
        </w:rPr>
        <w:t>竞争性磋商文件</w:t>
      </w:r>
    </w:p>
    <w:p>
      <w:pPr>
        <w:tabs>
          <w:tab w:val="left" w:pos="1050"/>
          <w:tab w:val="right" w:leader="dot" w:pos="9402"/>
        </w:tabs>
        <w:spacing w:line="520" w:lineRule="exact"/>
        <w:jc w:val="center"/>
        <w:rPr>
          <w:rFonts w:ascii="仿宋_GB2312" w:eastAsia="仿宋_GB2312"/>
          <w:sz w:val="36"/>
          <w:szCs w:val="36"/>
        </w:rPr>
      </w:pPr>
      <w:r>
        <w:rPr>
          <w:rFonts w:hint="eastAsia" w:ascii="宋体" w:hAnsi="宋体" w:eastAsia="宋体" w:cs="宋体"/>
          <w:sz w:val="36"/>
          <w:szCs w:val="36"/>
        </w:rPr>
        <w:t>（资格后审）</w:t>
      </w:r>
    </w:p>
    <w:p>
      <w:pPr>
        <w:jc w:val="center"/>
        <w:rPr>
          <w:rFonts w:ascii="仿宋_GB2312" w:hAnsi="Calibri" w:eastAsia="仿宋_GB2312"/>
          <w:b/>
          <w:bCs/>
          <w:sz w:val="44"/>
          <w:szCs w:val="44"/>
        </w:rPr>
      </w:pPr>
    </w:p>
    <w:p>
      <w:pPr>
        <w:snapToGrid w:val="0"/>
        <w:spacing w:line="360" w:lineRule="auto"/>
        <w:rPr>
          <w:rFonts w:ascii="Arial" w:hAnsi="Arial" w:eastAsia="黑体"/>
          <w:b/>
          <w:bCs/>
          <w:sz w:val="36"/>
          <w:szCs w:val="36"/>
        </w:rPr>
      </w:pPr>
    </w:p>
    <w:p>
      <w:pPr>
        <w:snapToGrid w:val="0"/>
        <w:spacing w:line="360" w:lineRule="auto"/>
        <w:jc w:val="center"/>
        <w:rPr>
          <w:rFonts w:ascii="宋体" w:hAnsi="宋体" w:eastAsia="宋体"/>
          <w:kern w:val="0"/>
          <w:sz w:val="32"/>
          <w:szCs w:val="32"/>
        </w:rPr>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snapToGrid w:val="0"/>
        <w:spacing w:line="360" w:lineRule="auto"/>
        <w:jc w:val="center"/>
        <w:rPr>
          <w:rFonts w:ascii="宋体" w:hAnsi="宋体" w:eastAsia="宋体"/>
          <w:kern w:val="0"/>
          <w:sz w:val="32"/>
          <w:szCs w:val="32"/>
        </w:rPr>
      </w:pPr>
    </w:p>
    <w:p>
      <w:pPr>
        <w:snapToGrid w:val="0"/>
        <w:spacing w:line="360" w:lineRule="auto"/>
        <w:jc w:val="center"/>
        <w:rPr>
          <w:rFonts w:ascii="宋体" w:hAnsi="宋体" w:eastAsia="宋体" w:cs="宋体"/>
          <w:kern w:val="0"/>
          <w:sz w:val="32"/>
          <w:szCs w:val="32"/>
        </w:rPr>
      </w:pPr>
      <w:r>
        <w:rPr>
          <w:rFonts w:hint="eastAsia" w:ascii="宋体" w:hAnsi="宋体" w:eastAsia="宋体" w:cs="宋体"/>
          <w:kern w:val="0"/>
          <w:sz w:val="32"/>
          <w:szCs w:val="32"/>
        </w:rPr>
        <w:t>采购人：南通市妇幼保健院</w:t>
      </w:r>
    </w:p>
    <w:p>
      <w:pPr>
        <w:snapToGrid w:val="0"/>
        <w:spacing w:line="360" w:lineRule="auto"/>
        <w:jc w:val="center"/>
        <w:rPr>
          <w:rFonts w:ascii="宋体" w:hAnsi="宋体" w:eastAsia="宋体" w:cs="宋体"/>
          <w:kern w:val="0"/>
          <w:sz w:val="32"/>
          <w:szCs w:val="32"/>
        </w:rPr>
      </w:pPr>
      <w:r>
        <w:rPr>
          <w:rFonts w:hint="eastAsia" w:ascii="宋体" w:hAnsi="宋体" w:eastAsia="宋体" w:cs="宋体"/>
          <w:kern w:val="0"/>
          <w:sz w:val="32"/>
          <w:szCs w:val="32"/>
        </w:rPr>
        <w:t>采购代理机构：江苏方桂圆工程项目管理有限公司</w:t>
      </w:r>
    </w:p>
    <w:p>
      <w:pPr>
        <w:snapToGrid w:val="0"/>
        <w:spacing w:line="360" w:lineRule="auto"/>
        <w:jc w:val="center"/>
        <w:rPr>
          <w:rFonts w:ascii="宋体" w:hAnsi="宋体" w:eastAsia="宋体"/>
          <w:b/>
          <w:bCs/>
          <w:w w:val="80"/>
          <w:sz w:val="44"/>
          <w:szCs w:val="44"/>
        </w:rPr>
      </w:pPr>
      <w:r>
        <w:rPr>
          <w:rFonts w:hint="eastAsia" w:ascii="宋体" w:hAnsi="宋体" w:eastAsia="宋体" w:cs="宋体"/>
          <w:kern w:val="0"/>
          <w:sz w:val="32"/>
          <w:szCs w:val="32"/>
        </w:rPr>
        <w:t>二〇二一年五月</w:t>
      </w:r>
      <w:r>
        <w:pict>
          <v:shape id="_x0000_s2051" o:spid="_x0000_s2051" o:spt="202" type="#_x0000_t202" style="position:absolute;left:0pt;margin-left:194.6pt;margin-top:40.55pt;height:38pt;width:63.75pt;z-index:251661312;mso-width-relative:page;mso-height-relative:page;" stroked="f" coordsize="21600,21600" o:gfxdata="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uBe5dgAAAAKAQAADwAAAAAAAAABACAAAAAiAAAAZHJzL2Rvd25yZXYu&#10;eG1sUEsBAhQAFAAAAAgAh07iQDSudsXCAQAAdgMAAA4AAAAAAAAAAQAgAAAAJwEAAGRycy9lMm9E&#10;b2MueG1sUEsFBgAAAAAGAAYAWQEAAFsFAAAAAA==&#10;">
            <v:path/>
            <v:fill focussize="0,0"/>
            <v:stroke on="f" joinstyle="miter"/>
            <v:imagedata o:title=""/>
            <o:lock v:ext="edit"/>
            <v:textbox>
              <w:txbxContent>
                <w:p/>
              </w:txbxContent>
            </v:textbox>
          </v:shape>
        </w:pict>
      </w:r>
      <w:r>
        <w:pict>
          <v:shape id="_x0000_s2050" o:spid="_x0000_s2050" o:spt="202" type="#_x0000_t202" style="position:absolute;left:0pt;margin-left:203.6pt;margin-top:734pt;height:38pt;width:63.75pt;z-index:251662336;mso-width-relative:page;mso-height-relative:page;" stroked="f" coordsize="21600,21600" o:gfxdata="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Dd6BtkAAAANAQAADwAAAAAAAAABACAAAAAiAAAAZHJzL2Rvd25yZXYu&#10;eG1sUEsBAhQAFAAAAAgAh07iQGDXBtzBAQAAdgMAAA4AAAAAAAAAAQAgAAAAKAEAAGRycy9lMm9E&#10;b2MueG1sUEsFBgAAAAAGAAYAWQEAAFsFAAAAAA==&#10;">
            <v:path/>
            <v:fill focussize="0,0"/>
            <v:stroke on="f" joinstyle="miter"/>
            <v:imagedata o:title=""/>
            <o:lock v:ext="edit"/>
            <v:textbox>
              <w:txbxContent>
                <w:p/>
              </w:txbxContent>
            </v:textbox>
          </v:shape>
        </w:pict>
      </w:r>
    </w:p>
    <w:p>
      <w:pPr>
        <w:tabs>
          <w:tab w:val="left" w:pos="1050"/>
          <w:tab w:val="right" w:leader="dot" w:pos="9402"/>
        </w:tabs>
        <w:spacing w:line="520" w:lineRule="exact"/>
        <w:jc w:val="center"/>
        <w:outlineLvl w:val="0"/>
        <w:rPr>
          <w:rFonts w:ascii="宋体" w:hAnsi="宋体" w:eastAsia="宋体" w:cs="宋体"/>
          <w:b/>
          <w:bCs/>
          <w:w w:val="80"/>
          <w:sz w:val="44"/>
          <w:szCs w:val="44"/>
        </w:rPr>
      </w:pPr>
    </w:p>
    <w:p>
      <w:pPr>
        <w:tabs>
          <w:tab w:val="left" w:pos="1050"/>
          <w:tab w:val="right" w:leader="dot" w:pos="9402"/>
        </w:tabs>
        <w:spacing w:line="520" w:lineRule="exact"/>
        <w:jc w:val="center"/>
        <w:outlineLvl w:val="0"/>
        <w:rPr>
          <w:rFonts w:ascii="宋体" w:hAnsi="宋体" w:eastAsia="宋体" w:cs="宋体"/>
          <w:b/>
          <w:bCs/>
          <w:w w:val="80"/>
          <w:sz w:val="44"/>
          <w:szCs w:val="44"/>
        </w:rPr>
      </w:pPr>
    </w:p>
    <w:p>
      <w:pPr>
        <w:tabs>
          <w:tab w:val="left" w:pos="1050"/>
          <w:tab w:val="right" w:leader="dot" w:pos="9402"/>
        </w:tabs>
        <w:spacing w:line="520" w:lineRule="exact"/>
        <w:jc w:val="center"/>
        <w:rPr>
          <w:rFonts w:asciiTheme="majorEastAsia" w:hAnsiTheme="majorEastAsia" w:eastAsiaTheme="majorEastAsia" w:cstheme="minorEastAsia"/>
          <w:b/>
          <w:w w:val="80"/>
          <w:sz w:val="36"/>
          <w:szCs w:val="36"/>
        </w:rPr>
      </w:pPr>
    </w:p>
    <w:p>
      <w:r>
        <w:br w:type="page"/>
      </w:r>
    </w:p>
    <w:p/>
    <w:p>
      <w:pPr>
        <w:tabs>
          <w:tab w:val="left" w:pos="1050"/>
          <w:tab w:val="right" w:leader="dot" w:pos="9402"/>
        </w:tabs>
        <w:spacing w:line="520" w:lineRule="exact"/>
        <w:jc w:val="center"/>
        <w:outlineLvl w:val="0"/>
        <w:rPr>
          <w:rFonts w:asciiTheme="majorEastAsia" w:hAnsiTheme="majorEastAsia" w:eastAsiaTheme="majorEastAsia" w:cstheme="minorEastAsia"/>
          <w:b/>
          <w:w w:val="80"/>
          <w:sz w:val="52"/>
          <w:szCs w:val="52"/>
        </w:rPr>
      </w:pPr>
      <w:r>
        <w:rPr>
          <w:rFonts w:hint="eastAsia" w:asciiTheme="majorEastAsia" w:hAnsiTheme="majorEastAsia" w:eastAsiaTheme="majorEastAsia" w:cstheme="minorEastAsia"/>
          <w:b/>
          <w:w w:val="80"/>
          <w:sz w:val="52"/>
          <w:szCs w:val="52"/>
        </w:rPr>
        <w:t>目  录</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b/>
          <w:bCs/>
          <w:sz w:val="36"/>
          <w:szCs w:val="36"/>
        </w:rPr>
        <w:fldChar w:fldCharType="begin"/>
      </w:r>
      <w:r>
        <w:rPr>
          <w:rFonts w:hint="eastAsia" w:asciiTheme="majorEastAsia" w:hAnsiTheme="majorEastAsia" w:eastAsiaTheme="majorEastAsia" w:cstheme="minorEastAsia"/>
          <w:b/>
          <w:bCs/>
          <w:sz w:val="36"/>
          <w:szCs w:val="36"/>
        </w:rPr>
        <w:instrText xml:space="preserve"> TOC \o "1-1"</w:instrText>
      </w:r>
      <w:r>
        <w:rPr>
          <w:rFonts w:hint="eastAsia" w:asciiTheme="majorEastAsia" w:hAnsiTheme="majorEastAsia" w:eastAsiaTheme="majorEastAsia" w:cstheme="minorEastAsia"/>
          <w:b/>
          <w:bCs/>
          <w:sz w:val="36"/>
          <w:szCs w:val="36"/>
        </w:rPr>
        <w:fldChar w:fldCharType="separate"/>
      </w:r>
      <w:r>
        <w:rPr>
          <w:rFonts w:hint="eastAsia" w:asciiTheme="majorEastAsia" w:hAnsiTheme="majorEastAsia" w:eastAsiaTheme="majorEastAsia" w:cstheme="minorEastAsia"/>
          <w:sz w:val="32"/>
          <w:szCs w:val="32"/>
        </w:rPr>
        <w:t>第一章 竞争性磋商公告</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第二章 供应商须知</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第三章 项目需求</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第四章 评审方法和程序</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第五章 合同授予与履约</w:t>
      </w:r>
    </w:p>
    <w:p>
      <w:pPr>
        <w:pStyle w:val="37"/>
        <w:tabs>
          <w:tab w:val="right" w:leader="dot" w:pos="9072"/>
        </w:tabs>
        <w:spacing w:line="1200" w:lineRule="exact"/>
        <w:ind w:right="-2"/>
        <w:rPr>
          <w:rFonts w:hint="eastAsia" w:asciiTheme="majorEastAsia" w:hAnsiTheme="majorEastAsia" w:eastAsiaTheme="majorEastAsia" w:cstheme="minorEastAsia"/>
          <w:sz w:val="32"/>
          <w:szCs w:val="32"/>
          <w:lang w:eastAsia="zh-CN"/>
        </w:rPr>
      </w:pPr>
      <w:r>
        <w:rPr>
          <w:rFonts w:hint="eastAsia" w:asciiTheme="majorEastAsia" w:hAnsiTheme="majorEastAsia" w:eastAsiaTheme="majorEastAsia" w:cstheme="minorEastAsia"/>
          <w:sz w:val="32"/>
          <w:szCs w:val="32"/>
        </w:rPr>
        <w:t>第六章 合同</w:t>
      </w:r>
      <w:r>
        <w:rPr>
          <w:rFonts w:hint="eastAsia" w:asciiTheme="majorEastAsia" w:hAnsiTheme="majorEastAsia" w:eastAsiaTheme="majorEastAsia" w:cstheme="minorEastAsia"/>
          <w:sz w:val="32"/>
          <w:szCs w:val="32"/>
          <w:lang w:eastAsia="zh-CN"/>
        </w:rPr>
        <w:t>条款</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第七章 质疑与投诉</w:t>
      </w:r>
    </w:p>
    <w:p>
      <w:pPr>
        <w:pStyle w:val="37"/>
        <w:tabs>
          <w:tab w:val="right" w:leader="dot" w:pos="9072"/>
        </w:tabs>
        <w:spacing w:line="1200" w:lineRule="exact"/>
        <w:ind w:right="-2"/>
        <w:rPr>
          <w:rFonts w:asciiTheme="majorEastAsia" w:hAnsiTheme="majorEastAsia" w:eastAsiaTheme="majorEastAsia" w:cstheme="minorEastAsia"/>
          <w:sz w:val="36"/>
          <w:szCs w:val="36"/>
        </w:rPr>
      </w:pPr>
      <w:r>
        <w:rPr>
          <w:rFonts w:hint="eastAsia" w:asciiTheme="majorEastAsia" w:hAnsiTheme="majorEastAsia" w:eastAsiaTheme="majorEastAsia" w:cstheme="minorEastAsia"/>
          <w:sz w:val="32"/>
          <w:szCs w:val="32"/>
        </w:rPr>
        <w:t>第八章 磋商响应相关格式及文件</w:t>
      </w: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b/>
          <w:bCs/>
          <w:sz w:val="30"/>
          <w:szCs w:val="30"/>
        </w:rPr>
      </w:pPr>
      <w:r>
        <w:rPr>
          <w:rFonts w:hint="eastAsia" w:asciiTheme="majorEastAsia" w:hAnsiTheme="majorEastAsia" w:eastAsiaTheme="majorEastAsia" w:cstheme="minorEastAsia"/>
          <w:b/>
          <w:bCs/>
          <w:sz w:val="36"/>
          <w:szCs w:val="36"/>
        </w:rPr>
        <w:fldChar w:fldCharType="end"/>
      </w: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rPr>
          <w:rFonts w:asciiTheme="majorEastAsia" w:hAnsiTheme="majorEastAsia" w:eastAsiaTheme="majorEastAsia" w:cstheme="minorEastAsia"/>
          <w:szCs w:val="24"/>
        </w:rPr>
      </w:pPr>
      <w:r>
        <w:rPr>
          <w:rFonts w:hint="eastAsia" w:asciiTheme="majorEastAsia" w:hAnsiTheme="majorEastAsia" w:eastAsiaTheme="majorEastAsia" w:cstheme="minorEastAsia"/>
          <w:szCs w:val="24"/>
        </w:rPr>
        <w:br w:type="page"/>
      </w:r>
    </w:p>
    <w:p>
      <w:pPr>
        <w:pStyle w:val="10"/>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pPr>
      <w:r>
        <w:rPr>
          <w:rFonts w:hint="eastAsia" w:asciiTheme="majorEastAsia" w:hAnsiTheme="majorEastAsia" w:eastAsiaTheme="majorEastAsia" w:cstheme="minorEastAsia"/>
          <w:szCs w:val="24"/>
        </w:rPr>
        <w:t>尊敬的投标供应商（以下称供应商）：</w:t>
      </w:r>
      <w:r>
        <w:rPr>
          <w:rFonts w:hint="eastAsia" w:asciiTheme="majorEastAsia" w:hAnsiTheme="majorEastAsia" w:eastAsiaTheme="majorEastAsia" w:cstheme="minorEastAsia"/>
          <w:szCs w:val="24"/>
        </w:rPr>
        <w:tab/>
      </w:r>
    </w:p>
    <w:p>
      <w:pPr>
        <w:snapToGrid w:val="0"/>
        <w:spacing w:line="440" w:lineRule="exact"/>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欢迎参加本采购项目的竞争性磋商。为了保证本次招标顺利进行，请在制作磋商响应文件（以下称投标文件）之前，仔细阅读本竞争性磋商文件的各项条款，并按要求制作和递交投标文件。谢谢合作！</w:t>
      </w:r>
      <w:bookmarkStart w:id="0" w:name="_Toc363573853"/>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第一章</w:t>
      </w:r>
      <w:bookmarkEnd w:id="0"/>
      <w:r>
        <w:rPr>
          <w:rFonts w:hint="eastAsia" w:asciiTheme="majorEastAsia" w:hAnsiTheme="majorEastAsia" w:eastAsiaTheme="majorEastAsia" w:cstheme="minorEastAsia"/>
          <w:b/>
          <w:w w:val="80"/>
          <w:sz w:val="36"/>
          <w:szCs w:val="36"/>
        </w:rPr>
        <w:t xml:space="preserve"> 竞争性磋商公告</w:t>
      </w:r>
    </w:p>
    <w:p>
      <w:pPr>
        <w:widowControl/>
        <w:snapToGrid w:val="0"/>
        <w:spacing w:line="440" w:lineRule="exact"/>
        <w:ind w:firstLine="470" w:firstLineChars="196"/>
        <w:jc w:val="left"/>
        <w:rPr>
          <w:rFonts w:cs="宋体" w:asciiTheme="majorEastAsia" w:hAnsiTheme="majorEastAsia" w:eastAsiaTheme="majorEastAsia"/>
          <w:sz w:val="24"/>
          <w:szCs w:val="24"/>
        </w:rPr>
      </w:pPr>
      <w:bookmarkStart w:id="1" w:name="_Toc363573854"/>
      <w:r>
        <w:rPr>
          <w:rFonts w:hint="eastAsia" w:cs="宋体" w:asciiTheme="majorEastAsia" w:hAnsiTheme="majorEastAsia" w:eastAsiaTheme="majorEastAsia"/>
          <w:sz w:val="24"/>
          <w:szCs w:val="24"/>
        </w:rPr>
        <w:t>江苏方桂圆工程项目管理有限公司（以下称代理机构）受南通市妇幼保健院（以下称采购单位）的委托，就南通市妇幼保健院2021-2024年绿植租摆与绿化养护项目组织竞争性磋商采购，诚邀符合条件的潜在供应商参加该项目的竞争性磋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一、项目基本情况</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项目名称：南通市妇幼保健院2021-2024年绿植租摆与绿化养护项目</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采购方式：竞争性磋商</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项目预算：</w:t>
      </w:r>
      <w:bookmarkStart w:id="2" w:name="_Hlk71055035"/>
      <w:r>
        <w:rPr>
          <w:rFonts w:hint="eastAsia" w:cs="宋体" w:asciiTheme="majorEastAsia" w:hAnsiTheme="majorEastAsia" w:eastAsiaTheme="majorEastAsia"/>
          <w:sz w:val="24"/>
          <w:szCs w:val="24"/>
        </w:rPr>
        <w:t>8.5万元/年</w:t>
      </w:r>
      <w:bookmarkEnd w:id="2"/>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项目需求：详见磋商文件第三章</w:t>
      </w:r>
    </w:p>
    <w:p>
      <w:pPr>
        <w:widowControl/>
        <w:snapToGrid w:val="0"/>
        <w:spacing w:line="440" w:lineRule="exact"/>
        <w:ind w:firstLine="470" w:firstLineChars="196"/>
        <w:jc w:val="left"/>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服务期限：</w:t>
      </w:r>
      <w:r>
        <w:rPr>
          <w:rFonts w:hint="eastAsia" w:cs="宋体" w:asciiTheme="majorEastAsia" w:hAnsiTheme="majorEastAsia" w:eastAsiaTheme="majorEastAsia"/>
          <w:sz w:val="24"/>
          <w:szCs w:val="24"/>
        </w:rPr>
        <w:t>3年</w:t>
      </w:r>
      <w:r>
        <w:rPr>
          <w:rFonts w:hint="eastAsia" w:cs="宋体" w:asciiTheme="majorEastAsia" w:hAnsiTheme="majorEastAsia" w:eastAsiaTheme="majorEastAsia"/>
          <w:sz w:val="24"/>
          <w:szCs w:val="24"/>
          <w:lang w:eastAsia="zh-CN"/>
        </w:rPr>
        <w:t>，合同1年1签。</w:t>
      </w:r>
    </w:p>
    <w:p>
      <w:pPr>
        <w:widowControl/>
        <w:snapToGrid w:val="0"/>
        <w:spacing w:line="440" w:lineRule="exact"/>
        <w:ind w:firstLine="482" w:firstLineChars="200"/>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二、潜在供应商资格</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1、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val="zh-CN"/>
        </w:rPr>
        <w:t>法定代表人</w:t>
      </w:r>
      <w:r>
        <w:rPr>
          <w:rFonts w:hint="eastAsia" w:cs="宋体" w:asciiTheme="majorEastAsia" w:hAnsiTheme="majorEastAsia" w:eastAsiaTheme="majorEastAsia"/>
          <w:sz w:val="24"/>
          <w:szCs w:val="24"/>
        </w:rPr>
        <w:t>（或分公司负责人）</w:t>
      </w:r>
      <w:r>
        <w:rPr>
          <w:rFonts w:hint="eastAsia" w:cs="宋体" w:asciiTheme="majorEastAsia" w:hAnsiTheme="majorEastAsia" w:eastAsiaTheme="majorEastAsia"/>
          <w:sz w:val="24"/>
          <w:szCs w:val="24"/>
          <w:lang w:val="zh-CN"/>
        </w:rPr>
        <w:t>为同一个人的两个及两个以上法人，母公司、全资子公司及其控股公司，都不得在同一采购项目相同标段中同时参加投标，一经发现，将视同围标处理。</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3、在中华人民共和国境内注册的企业单位或其他组织等，具备完成本项目服务能力，提供合法有效的营业执照。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法定代表人参加投标的，必须提供法定代表人身份证明及法定代表人本人身份证复印件；非法定代表人参加投标的，必须提供法定代表人签名或盖章的授权委托书及法定代表人和被授权人两个人的身份证复印件。</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5、供应商须提供参与本次项目政府采购活动前三年内在经营活动中没有重大违法记录的书面《无重大违法记录声明函》。</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6、关于资格文件的声明函。</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7、</w:t>
      </w:r>
      <w:r>
        <w:rPr>
          <w:rFonts w:cs="宋体" w:asciiTheme="majorEastAsia" w:hAnsiTheme="majorEastAsia" w:eastAsiaTheme="majorEastAsia"/>
          <w:sz w:val="24"/>
          <w:szCs w:val="24"/>
        </w:rPr>
        <w:t>本项目不接受联合体投标</w:t>
      </w:r>
      <w:r>
        <w:rPr>
          <w:rFonts w:hint="eastAsia" w:cs="宋体" w:asciiTheme="majorEastAsia" w:hAnsiTheme="majorEastAsia" w:eastAsiaTheme="majorEastAsia"/>
          <w:sz w:val="24"/>
          <w:szCs w:val="24"/>
        </w:rPr>
        <w:t>，中标后不得分包、转包。</w:t>
      </w:r>
    </w:p>
    <w:p>
      <w:pPr>
        <w:widowControl/>
        <w:snapToGrid w:val="0"/>
        <w:spacing w:line="440" w:lineRule="exact"/>
        <w:ind w:firstLine="472" w:firstLineChars="196"/>
        <w:jc w:val="left"/>
        <w:rPr>
          <w:rFonts w:cs="宋体" w:asciiTheme="majorEastAsia" w:hAnsiTheme="majorEastAsia" w:eastAsiaTheme="majorEastAsia"/>
          <w:b/>
          <w:sz w:val="24"/>
          <w:szCs w:val="24"/>
          <w:u w:val="single"/>
        </w:rPr>
      </w:pPr>
      <w:r>
        <w:rPr>
          <w:rFonts w:hint="eastAsia" w:cs="宋体" w:asciiTheme="majorEastAsia" w:hAnsiTheme="majorEastAsia" w:eastAsiaTheme="majorEastAsia"/>
          <w:b/>
          <w:sz w:val="24"/>
          <w:szCs w:val="24"/>
          <w:u w:val="single"/>
        </w:rPr>
        <w:t xml:space="preserve">具体资格要求详见第八章“资格审查文件”。 </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请供应商认真对照资格要求，如不符合要求，无意或故意参与投标的，所产生的一切后果由供应商承担。对提供虚假材料的响应供应商作无效标处理，磋商保证金不予退还，并报财政部门后将其列入政府采购黑名单。</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三、获取磋商采购文件</w:t>
      </w:r>
    </w:p>
    <w:p>
      <w:pPr>
        <w:widowControl/>
        <w:snapToGrid w:val="0"/>
        <w:spacing w:line="440" w:lineRule="exact"/>
        <w:ind w:firstLine="470" w:firstLineChars="196"/>
        <w:jc w:val="left"/>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有意愿参与本项目磋商的供应商，请于本公告发布之日起至开标前，至南通市公共资源交易网（http://zfcg.nantong.gov.cn/）或南通市卫生健康委员会官网（</w:t>
      </w:r>
      <w:r>
        <w:fldChar w:fldCharType="begin"/>
      </w:r>
      <w:r>
        <w:instrText xml:space="preserve"> HYPERLINK "http://wjw.nantong.gov.cn/" </w:instrText>
      </w:r>
      <w:r>
        <w:fldChar w:fldCharType="separate"/>
      </w:r>
      <w:r>
        <w:rPr>
          <w:rFonts w:hint="eastAsia" w:cs="宋体" w:asciiTheme="majorEastAsia" w:hAnsiTheme="majorEastAsia" w:eastAsiaTheme="majorEastAsia"/>
          <w:bCs/>
          <w:sz w:val="24"/>
          <w:szCs w:val="24"/>
        </w:rPr>
        <w:t>http://wjw.nantong.gov.cn/</w:t>
      </w:r>
      <w:r>
        <w:rPr>
          <w:rFonts w:hint="eastAsia" w:cs="宋体" w:asciiTheme="majorEastAsia" w:hAnsiTheme="majorEastAsia" w:eastAsiaTheme="majorEastAsia"/>
          <w:bCs/>
          <w:sz w:val="24"/>
          <w:szCs w:val="24"/>
        </w:rPr>
        <w:fldChar w:fldCharType="end"/>
      </w:r>
      <w:r>
        <w:rPr>
          <w:rFonts w:hint="eastAsia" w:cs="宋体" w:asciiTheme="majorEastAsia" w:hAnsiTheme="majorEastAsia" w:eastAsiaTheme="majorEastAsia"/>
          <w:bCs/>
          <w:sz w:val="24"/>
          <w:szCs w:val="24"/>
        </w:rPr>
        <w:t>）或南通市妇幼保健院官网（http://www.ntfybj.com/）自行下载本项目的竞争性磋商文件。凡涉及磋商文件的补充说明、澄清或修改，均以上述网站发布的信息为准。</w:t>
      </w:r>
    </w:p>
    <w:p>
      <w:pPr>
        <w:widowControl/>
        <w:snapToGrid w:val="0"/>
        <w:spacing w:line="440" w:lineRule="exact"/>
        <w:ind w:firstLine="472" w:firstLineChars="196"/>
        <w:jc w:val="left"/>
        <w:rPr>
          <w:rFonts w:hint="eastAsia" w:cs="宋体" w:asciiTheme="majorEastAsia" w:hAnsiTheme="majorEastAsia" w:eastAsiaTheme="majorEastAsia"/>
          <w:b/>
          <w:sz w:val="24"/>
          <w:szCs w:val="24"/>
          <w:lang w:eastAsia="zh-CN"/>
        </w:rPr>
      </w:pPr>
      <w:r>
        <w:rPr>
          <w:rFonts w:hint="eastAsia" w:cs="宋体" w:asciiTheme="majorEastAsia" w:hAnsiTheme="majorEastAsia" w:eastAsiaTheme="majorEastAsia"/>
          <w:b/>
          <w:sz w:val="24"/>
          <w:szCs w:val="24"/>
        </w:rPr>
        <w:t>四、响应文件</w:t>
      </w:r>
      <w:r>
        <w:rPr>
          <w:rFonts w:hint="eastAsia" w:cs="宋体" w:asciiTheme="majorEastAsia" w:hAnsiTheme="majorEastAsia" w:eastAsiaTheme="majorEastAsia"/>
          <w:b/>
          <w:sz w:val="24"/>
          <w:szCs w:val="24"/>
          <w:lang w:eastAsia="zh-CN"/>
        </w:rPr>
        <w:t>提交</w:t>
      </w:r>
    </w:p>
    <w:p>
      <w:pPr>
        <w:widowControl/>
        <w:snapToGrid w:val="0"/>
        <w:spacing w:line="440" w:lineRule="exact"/>
        <w:ind w:firstLine="470" w:firstLineChars="196"/>
        <w:jc w:val="left"/>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rPr>
        <w:t>截</w:t>
      </w:r>
      <w:r>
        <w:rPr>
          <w:rFonts w:hint="eastAsia" w:cs="宋体" w:asciiTheme="majorEastAsia" w:hAnsiTheme="majorEastAsia" w:eastAsiaTheme="majorEastAsia"/>
          <w:sz w:val="24"/>
          <w:szCs w:val="24"/>
          <w:highlight w:val="none"/>
        </w:rPr>
        <w:t>止时间：2021年5月</w:t>
      </w:r>
      <w:r>
        <w:rPr>
          <w:rFonts w:hint="eastAsia" w:cs="宋体" w:asciiTheme="majorEastAsia" w:hAnsiTheme="majorEastAsia" w:eastAsiaTheme="majorEastAsia"/>
          <w:sz w:val="24"/>
          <w:szCs w:val="24"/>
          <w:highlight w:val="none"/>
          <w:lang w:val="en-US" w:eastAsia="zh-CN"/>
        </w:rPr>
        <w:t>26</w:t>
      </w:r>
      <w:r>
        <w:rPr>
          <w:rFonts w:hint="eastAsia" w:cs="宋体" w:asciiTheme="majorEastAsia" w:hAnsiTheme="majorEastAsia" w:eastAsiaTheme="majorEastAsia"/>
          <w:sz w:val="24"/>
          <w:szCs w:val="24"/>
          <w:highlight w:val="none"/>
        </w:rPr>
        <w:t>日</w:t>
      </w:r>
      <w:r>
        <w:rPr>
          <w:rFonts w:hint="eastAsia" w:cs="宋体" w:asciiTheme="majorEastAsia" w:hAnsiTheme="majorEastAsia" w:eastAsiaTheme="majorEastAsia"/>
          <w:sz w:val="24"/>
          <w:szCs w:val="24"/>
          <w:highlight w:val="none"/>
          <w:lang w:val="en-US" w:eastAsia="zh-CN"/>
        </w:rPr>
        <w:t>14</w:t>
      </w:r>
      <w:r>
        <w:rPr>
          <w:rFonts w:hint="eastAsia" w:cs="宋体" w:asciiTheme="majorEastAsia" w:hAnsiTheme="majorEastAsia" w:eastAsiaTheme="majorEastAsia"/>
          <w:sz w:val="24"/>
          <w:szCs w:val="24"/>
          <w:highlight w:val="none"/>
        </w:rPr>
        <w:t>时</w:t>
      </w:r>
      <w:r>
        <w:rPr>
          <w:rFonts w:hint="eastAsia" w:cs="宋体" w:asciiTheme="majorEastAsia" w:hAnsiTheme="majorEastAsia" w:eastAsiaTheme="majorEastAsia"/>
          <w:sz w:val="24"/>
          <w:szCs w:val="24"/>
          <w:highlight w:val="none"/>
          <w:lang w:val="en-US" w:eastAsia="zh-CN"/>
        </w:rPr>
        <w:t>00</w:t>
      </w:r>
      <w:r>
        <w:rPr>
          <w:rFonts w:hint="eastAsia" w:cs="宋体" w:asciiTheme="majorEastAsia" w:hAnsiTheme="majorEastAsia" w:eastAsiaTheme="majorEastAsia"/>
          <w:sz w:val="24"/>
          <w:szCs w:val="24"/>
          <w:highlight w:val="none"/>
        </w:rPr>
        <w:t>分</w:t>
      </w:r>
      <w:r>
        <w:rPr>
          <w:rFonts w:hint="eastAsia" w:cs="宋体" w:asciiTheme="majorEastAsia" w:hAnsiTheme="majorEastAsia" w:eastAsiaTheme="majorEastAsia"/>
          <w:sz w:val="24"/>
          <w:szCs w:val="24"/>
          <w:highlight w:val="none"/>
          <w:lang w:eastAsia="zh-CN"/>
        </w:rPr>
        <w:t>（北京时间）</w:t>
      </w:r>
      <w:r>
        <w:rPr>
          <w:rFonts w:hint="eastAsia" w:cs="宋体" w:asciiTheme="majorEastAsia" w:hAnsiTheme="majorEastAsia" w:eastAsiaTheme="majorEastAsia"/>
          <w:sz w:val="24"/>
          <w:szCs w:val="24"/>
          <w:highlight w:val="none"/>
        </w:rPr>
        <w:t>。</w:t>
      </w:r>
    </w:p>
    <w:p>
      <w:pPr>
        <w:widowControl/>
        <w:snapToGrid w:val="0"/>
        <w:spacing w:line="440" w:lineRule="exact"/>
        <w:ind w:firstLine="470"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sz w:val="24"/>
          <w:szCs w:val="24"/>
          <w:highlight w:val="none"/>
        </w:rPr>
        <w:t>地点：南通市世纪大道18号恒隆国际A座701，如</w:t>
      </w:r>
      <w:r>
        <w:rPr>
          <w:rFonts w:hint="eastAsia" w:cs="宋体" w:asciiTheme="majorEastAsia" w:hAnsiTheme="majorEastAsia" w:eastAsiaTheme="majorEastAsia"/>
          <w:sz w:val="24"/>
          <w:szCs w:val="24"/>
        </w:rPr>
        <w:t>有变动另行通知。</w:t>
      </w:r>
    </w:p>
    <w:p>
      <w:pPr>
        <w:widowControl/>
        <w:snapToGrid w:val="0"/>
        <w:spacing w:line="440" w:lineRule="exact"/>
        <w:ind w:firstLine="470" w:firstLineChars="196"/>
        <w:jc w:val="left"/>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逾期送达或者未送达指定地点的响应文件，采购人不予受理。</w:t>
      </w:r>
    </w:p>
    <w:p>
      <w:pPr>
        <w:widowControl/>
        <w:snapToGrid w:val="0"/>
        <w:spacing w:line="440" w:lineRule="exact"/>
        <w:ind w:firstLine="472" w:firstLineChars="196"/>
        <w:jc w:val="left"/>
        <w:rPr>
          <w:rFonts w:hint="eastAsia" w:cs="宋体" w:asciiTheme="majorEastAsia" w:hAnsiTheme="majorEastAsia" w:eastAsiaTheme="majorEastAsia"/>
          <w:b/>
          <w:sz w:val="24"/>
          <w:szCs w:val="24"/>
          <w:lang w:eastAsia="zh-CN"/>
        </w:rPr>
      </w:pPr>
      <w:r>
        <w:rPr>
          <w:rFonts w:hint="eastAsia" w:cs="宋体" w:asciiTheme="majorEastAsia" w:hAnsiTheme="majorEastAsia" w:eastAsiaTheme="majorEastAsia"/>
          <w:b/>
          <w:sz w:val="24"/>
          <w:szCs w:val="24"/>
          <w:lang w:eastAsia="zh-CN"/>
        </w:rPr>
        <w:t>五、开启</w:t>
      </w:r>
    </w:p>
    <w:p>
      <w:pPr>
        <w:widowControl/>
        <w:snapToGrid w:val="0"/>
        <w:spacing w:line="440" w:lineRule="exact"/>
        <w:ind w:firstLine="470" w:firstLineChars="196"/>
        <w:jc w:val="left"/>
        <w:rPr>
          <w:rFonts w:hint="eastAsia" w:cs="宋体" w:asciiTheme="majorEastAsia" w:hAnsiTheme="majorEastAsia" w:eastAsiaTheme="majorEastAsia"/>
          <w:b w:val="0"/>
          <w:bCs/>
          <w:sz w:val="24"/>
          <w:szCs w:val="24"/>
          <w:lang w:eastAsia="zh-CN"/>
        </w:rPr>
      </w:pPr>
      <w:r>
        <w:rPr>
          <w:rFonts w:hint="eastAsia" w:cs="宋体" w:asciiTheme="majorEastAsia" w:hAnsiTheme="majorEastAsia" w:eastAsiaTheme="majorEastAsia"/>
          <w:b w:val="0"/>
          <w:bCs/>
          <w:sz w:val="24"/>
          <w:szCs w:val="24"/>
          <w:lang w:eastAsia="zh-CN"/>
        </w:rPr>
        <w:t>时间：</w:t>
      </w:r>
      <w:r>
        <w:rPr>
          <w:rFonts w:hint="eastAsia" w:cs="宋体" w:asciiTheme="majorEastAsia" w:hAnsiTheme="majorEastAsia" w:eastAsiaTheme="majorEastAsia"/>
          <w:b w:val="0"/>
          <w:bCs/>
          <w:sz w:val="24"/>
          <w:szCs w:val="24"/>
          <w:highlight w:val="none"/>
        </w:rPr>
        <w:t>2021年5月</w:t>
      </w:r>
      <w:r>
        <w:rPr>
          <w:rFonts w:hint="eastAsia" w:cs="宋体" w:asciiTheme="majorEastAsia" w:hAnsiTheme="majorEastAsia" w:eastAsiaTheme="majorEastAsia"/>
          <w:b w:val="0"/>
          <w:bCs/>
          <w:sz w:val="24"/>
          <w:szCs w:val="24"/>
          <w:highlight w:val="none"/>
          <w:lang w:val="en-US" w:eastAsia="zh-CN"/>
        </w:rPr>
        <w:t>26</w:t>
      </w:r>
      <w:r>
        <w:rPr>
          <w:rFonts w:hint="eastAsia" w:cs="宋体" w:asciiTheme="majorEastAsia" w:hAnsiTheme="majorEastAsia" w:eastAsiaTheme="majorEastAsia"/>
          <w:b w:val="0"/>
          <w:bCs/>
          <w:sz w:val="24"/>
          <w:szCs w:val="24"/>
          <w:highlight w:val="none"/>
        </w:rPr>
        <w:t>日</w:t>
      </w:r>
      <w:r>
        <w:rPr>
          <w:rFonts w:hint="eastAsia" w:cs="宋体" w:asciiTheme="majorEastAsia" w:hAnsiTheme="majorEastAsia" w:eastAsiaTheme="majorEastAsia"/>
          <w:b w:val="0"/>
          <w:bCs/>
          <w:sz w:val="24"/>
          <w:szCs w:val="24"/>
          <w:highlight w:val="none"/>
          <w:lang w:val="en-US" w:eastAsia="zh-CN"/>
        </w:rPr>
        <w:t>14</w:t>
      </w:r>
      <w:r>
        <w:rPr>
          <w:rFonts w:hint="eastAsia" w:cs="宋体" w:asciiTheme="majorEastAsia" w:hAnsiTheme="majorEastAsia" w:eastAsiaTheme="majorEastAsia"/>
          <w:b w:val="0"/>
          <w:bCs/>
          <w:sz w:val="24"/>
          <w:szCs w:val="24"/>
          <w:highlight w:val="none"/>
        </w:rPr>
        <w:t>时</w:t>
      </w:r>
      <w:r>
        <w:rPr>
          <w:rFonts w:hint="eastAsia" w:cs="宋体" w:asciiTheme="majorEastAsia" w:hAnsiTheme="majorEastAsia" w:eastAsiaTheme="majorEastAsia"/>
          <w:b w:val="0"/>
          <w:bCs/>
          <w:sz w:val="24"/>
          <w:szCs w:val="24"/>
          <w:highlight w:val="none"/>
          <w:lang w:val="en-US" w:eastAsia="zh-CN"/>
        </w:rPr>
        <w:t>00</w:t>
      </w:r>
      <w:r>
        <w:rPr>
          <w:rFonts w:hint="eastAsia" w:cs="宋体" w:asciiTheme="majorEastAsia" w:hAnsiTheme="majorEastAsia" w:eastAsiaTheme="majorEastAsia"/>
          <w:b w:val="0"/>
          <w:bCs/>
          <w:sz w:val="24"/>
          <w:szCs w:val="24"/>
          <w:highlight w:val="none"/>
        </w:rPr>
        <w:t>分</w:t>
      </w:r>
      <w:r>
        <w:rPr>
          <w:rFonts w:hint="eastAsia" w:cs="宋体" w:asciiTheme="majorEastAsia" w:hAnsiTheme="majorEastAsia" w:eastAsiaTheme="majorEastAsia"/>
          <w:b w:val="0"/>
          <w:bCs/>
          <w:sz w:val="24"/>
          <w:szCs w:val="24"/>
          <w:highlight w:val="none"/>
          <w:lang w:eastAsia="zh-CN"/>
        </w:rPr>
        <w:t>（北京时间）。</w:t>
      </w:r>
    </w:p>
    <w:p>
      <w:pPr>
        <w:widowControl/>
        <w:snapToGrid w:val="0"/>
        <w:spacing w:line="440" w:lineRule="exact"/>
        <w:ind w:firstLine="470" w:firstLineChars="196"/>
        <w:jc w:val="left"/>
        <w:rPr>
          <w:rFonts w:hint="eastAsia" w:cs="宋体" w:asciiTheme="majorEastAsia" w:hAnsiTheme="majorEastAsia" w:eastAsiaTheme="majorEastAsia"/>
          <w:b/>
          <w:sz w:val="24"/>
          <w:szCs w:val="24"/>
          <w:lang w:eastAsia="zh-CN"/>
        </w:rPr>
      </w:pPr>
      <w:r>
        <w:rPr>
          <w:rFonts w:hint="eastAsia" w:cs="宋体" w:asciiTheme="majorEastAsia" w:hAnsiTheme="majorEastAsia" w:eastAsiaTheme="majorEastAsia"/>
          <w:b w:val="0"/>
          <w:bCs/>
          <w:sz w:val="24"/>
          <w:szCs w:val="24"/>
          <w:lang w:eastAsia="zh-CN"/>
        </w:rPr>
        <w:t>地点：</w:t>
      </w:r>
      <w:r>
        <w:rPr>
          <w:rFonts w:hint="eastAsia" w:cs="宋体" w:asciiTheme="majorEastAsia" w:hAnsiTheme="majorEastAsia" w:eastAsiaTheme="majorEastAsia"/>
          <w:sz w:val="24"/>
          <w:szCs w:val="24"/>
          <w:highlight w:val="none"/>
        </w:rPr>
        <w:t>南通市世纪大道18号恒隆国际A座701，如</w:t>
      </w:r>
      <w:r>
        <w:rPr>
          <w:rFonts w:hint="eastAsia" w:cs="宋体" w:asciiTheme="majorEastAsia" w:hAnsiTheme="majorEastAsia" w:eastAsiaTheme="majorEastAsia"/>
          <w:sz w:val="24"/>
          <w:szCs w:val="24"/>
        </w:rPr>
        <w:t>有变动另行通知。</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lang w:eastAsia="zh-CN"/>
        </w:rPr>
        <w:t>六</w:t>
      </w:r>
      <w:r>
        <w:rPr>
          <w:rFonts w:hint="eastAsia" w:cs="宋体" w:asciiTheme="majorEastAsia" w:hAnsiTheme="majorEastAsia" w:eastAsiaTheme="majorEastAsia"/>
          <w:b/>
          <w:sz w:val="24"/>
          <w:szCs w:val="24"/>
        </w:rPr>
        <w:t>、磋商保证金</w:t>
      </w:r>
    </w:p>
    <w:p>
      <w:pPr>
        <w:spacing w:line="440" w:lineRule="exact"/>
        <w:ind w:firstLine="484" w:firstLineChars="202"/>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本次项目磋商保证金为人民币：</w:t>
      </w:r>
      <w:r>
        <w:rPr>
          <w:rFonts w:hint="eastAsia" w:cs="宋体" w:asciiTheme="majorEastAsia" w:hAnsiTheme="majorEastAsia" w:eastAsiaTheme="majorEastAsia"/>
          <w:bCs/>
          <w:sz w:val="24"/>
          <w:szCs w:val="24"/>
          <w:u w:val="single"/>
        </w:rPr>
        <w:t>1700</w:t>
      </w:r>
      <w:r>
        <w:rPr>
          <w:rFonts w:hint="eastAsia" w:cs="宋体" w:asciiTheme="majorEastAsia" w:hAnsiTheme="majorEastAsia" w:eastAsiaTheme="majorEastAsia"/>
          <w:bCs/>
          <w:sz w:val="24"/>
          <w:szCs w:val="24"/>
        </w:rPr>
        <w:t>元。</w:t>
      </w:r>
    </w:p>
    <w:p>
      <w:pPr>
        <w:widowControl/>
        <w:spacing w:line="440" w:lineRule="exact"/>
        <w:ind w:firstLine="480" w:firstLineChars="200"/>
        <w:jc w:val="left"/>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磋商保证金仅限</w:t>
      </w:r>
      <w:r>
        <w:rPr>
          <w:rFonts w:hint="eastAsia" w:cs="宋体" w:asciiTheme="majorEastAsia" w:hAnsiTheme="majorEastAsia" w:eastAsiaTheme="majorEastAsia"/>
          <w:b/>
          <w:bCs/>
          <w:sz w:val="24"/>
          <w:szCs w:val="24"/>
          <w:u w:val="single"/>
        </w:rPr>
        <w:t xml:space="preserve"> 现金 </w:t>
      </w:r>
      <w:r>
        <w:rPr>
          <w:rFonts w:hint="eastAsia" w:cs="宋体" w:asciiTheme="majorEastAsia" w:hAnsiTheme="majorEastAsia" w:eastAsiaTheme="majorEastAsia"/>
          <w:bCs/>
          <w:sz w:val="24"/>
          <w:szCs w:val="24"/>
        </w:rPr>
        <w:t>的方式递交，不接受其他方式的递交，同时磋商保证金由供应商带至开标现场，在递交响应文件同时递交给代理机构。</w:t>
      </w:r>
    </w:p>
    <w:p>
      <w:pPr>
        <w:spacing w:line="440" w:lineRule="exact"/>
        <w:ind w:firstLine="484" w:firstLineChars="202"/>
        <w:rPr>
          <w:rFonts w:cs="宋体" w:asciiTheme="majorEastAsia" w:hAnsiTheme="majorEastAsia" w:eastAsiaTheme="majorEastAsia"/>
          <w:bCs/>
          <w:sz w:val="24"/>
          <w:szCs w:val="24"/>
        </w:rPr>
      </w:pPr>
      <w:r>
        <w:rPr>
          <w:rFonts w:hint="eastAsia" w:cs="宋体" w:asciiTheme="majorEastAsia" w:hAnsiTheme="majorEastAsia" w:eastAsiaTheme="majorEastAsia"/>
          <w:sz w:val="24"/>
          <w:szCs w:val="24"/>
        </w:rPr>
        <w:t>未按要求提交磋商保证金的供应商，采购单位有权拒绝其响应文件</w:t>
      </w:r>
      <w:r>
        <w:rPr>
          <w:rFonts w:hint="eastAsia" w:cs="宋体" w:asciiTheme="majorEastAsia" w:hAnsiTheme="majorEastAsia" w:eastAsiaTheme="majorEastAsia"/>
          <w:bCs/>
          <w:sz w:val="24"/>
          <w:szCs w:val="24"/>
        </w:rPr>
        <w:t>。</w:t>
      </w:r>
    </w:p>
    <w:p>
      <w:pPr>
        <w:spacing w:line="440" w:lineRule="exact"/>
        <w:ind w:firstLine="487" w:firstLineChars="202"/>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lang w:eastAsia="zh-CN"/>
        </w:rPr>
        <w:t>七</w:t>
      </w:r>
      <w:r>
        <w:rPr>
          <w:rFonts w:hint="eastAsia" w:cs="宋体" w:asciiTheme="majorEastAsia" w:hAnsiTheme="majorEastAsia" w:eastAsiaTheme="majorEastAsia"/>
          <w:b/>
          <w:sz w:val="24"/>
          <w:szCs w:val="24"/>
        </w:rPr>
        <w:t>、联系方式</w:t>
      </w:r>
      <w:bookmarkStart w:id="13" w:name="_GoBack"/>
      <w:bookmarkEnd w:id="13"/>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1、采购人信息</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  称：南通市妇幼保健院</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联系人：张主任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联系电话：</w:t>
      </w:r>
      <w:r>
        <w:rPr>
          <w:rFonts w:hint="eastAsia" w:cs="宋体" w:asciiTheme="majorEastAsia" w:hAnsiTheme="majorEastAsia" w:eastAsiaTheme="majorEastAsia"/>
          <w:sz w:val="24"/>
          <w:szCs w:val="24"/>
          <w:lang w:val="zh-CN"/>
        </w:rPr>
        <w:t>13</w:t>
      </w:r>
      <w:r>
        <w:rPr>
          <w:rFonts w:hint="eastAsia" w:cs="宋体" w:asciiTheme="majorEastAsia" w:hAnsiTheme="majorEastAsia" w:eastAsiaTheme="majorEastAsia"/>
          <w:sz w:val="24"/>
          <w:szCs w:val="24"/>
        </w:rPr>
        <w:t>962958761</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2、采购代理机构信息</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  称：江苏方桂圆工程项目管理有限公司</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地  址：南通市世纪大道18号恒隆国际大厦A座701室</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联系人：孙金花、毛琴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联系电话：0513-55886299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邮  箱： </w:t>
      </w:r>
      <w:r>
        <w:fldChar w:fldCharType="begin"/>
      </w:r>
      <w:r>
        <w:instrText xml:space="preserve"> HYPERLINK "mailto:543907018@qq.com" </w:instrText>
      </w:r>
      <w:r>
        <w:fldChar w:fldCharType="separate"/>
      </w:r>
      <w:r>
        <w:rPr>
          <w:rFonts w:hint="eastAsia" w:cs="宋体" w:asciiTheme="majorEastAsia" w:hAnsiTheme="majorEastAsia" w:eastAsiaTheme="majorEastAsia"/>
          <w:sz w:val="24"/>
          <w:szCs w:val="24"/>
        </w:rPr>
        <w:t>fgyjszx2@163.com</w:t>
      </w:r>
      <w:r>
        <w:rPr>
          <w:rFonts w:hint="eastAsia" w:cs="宋体" w:asciiTheme="majorEastAsia" w:hAnsiTheme="majorEastAsia" w:eastAsiaTheme="majorEastAsia"/>
          <w:sz w:val="24"/>
          <w:szCs w:val="24"/>
        </w:rPr>
        <w:fldChar w:fldCharType="end"/>
      </w:r>
      <w:r>
        <w:rPr>
          <w:rFonts w:hint="eastAsia" w:cs="宋体" w:asciiTheme="majorEastAsia" w:hAnsiTheme="majorEastAsia" w:eastAsiaTheme="majorEastAsia"/>
          <w:sz w:val="24"/>
          <w:szCs w:val="24"/>
        </w:rPr>
        <w:t>。</w:t>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2"/>
          <w:szCs w:val="32"/>
        </w:rPr>
        <w:br w:type="page"/>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第二章 供应商须知</w:t>
      </w:r>
      <w:bookmarkEnd w:id="1"/>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一、说明</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1、本磋商文件仅适用于本采购代理机构组织的招标采购活动。</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2、磋商活动及因本次磋商产生的合同受中国法律制约和保护。</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3、磋商文件的解释权属于采购代理机构。</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供应商在知道或应当知道本项目磋商公告及磋商文件中的所有内容：如内容或页码短缺、资格要求和技术参数出现倾向性或排他性等表述的，应在本项目磋商公告及磋商文件发布后提出询问或是在发布之日后的</w:t>
      </w:r>
      <w:r>
        <w:rPr>
          <w:rFonts w:hint="eastAsia" w:asciiTheme="majorEastAsia" w:hAnsiTheme="majorEastAsia" w:eastAsiaTheme="majorEastAsia" w:cstheme="minorEastAsia"/>
          <w:b/>
          <w:bCs/>
          <w:sz w:val="24"/>
          <w:szCs w:val="24"/>
        </w:rPr>
        <w:t>3个工作日内以书面实名制形式提出质疑</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bCs/>
          <w:sz w:val="24"/>
          <w:szCs w:val="24"/>
        </w:rPr>
        <w:t>未提出询问或是未在规定期间内提出的视作供应商接受本项目磋商公告及磋商文件中的全部内容</w:t>
      </w:r>
      <w:r>
        <w:rPr>
          <w:rFonts w:hint="eastAsia" w:asciiTheme="majorEastAsia" w:hAnsiTheme="majorEastAsia" w:eastAsiaTheme="majorEastAsia" w:cstheme="minorEastAsia"/>
          <w:sz w:val="24"/>
          <w:szCs w:val="24"/>
        </w:rPr>
        <w:t>；供应商不得在招标活动期间及招标结束后针对本项目磋商公告及磋商文件中的所有内容提出质疑事项。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5、供应商应认真审阅本磋商文件中的所有事项、格式、条款和规范要求等，如果供应商没有按照磋商文件要求提交磋商响应文件，或者磋商响应文件没有对磋商文件做出实质性响应，有可能被拒绝参与磋商。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文件项目需求提供的可能涉及到的工艺、材料、设备、商标、技术规范、参数规格、品牌等，仅作为说明并没有限制性，供应商在磋商响应中可以选用替代标准，但这些替代标准要优于项目需求技术规格中要求的标准，以满足采购人的需要。</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二、磋商文件的补充说明、澄清、修改、答疑</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1、采购代理机构有权对发出的磋商文件进行必要的补充说明、澄清或修改。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2、凡涉及磋商文件的补充说明、澄清或修改，均以采购代理机构发布的信息为准。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3、采购代理机构对磋商文件的补充说明、澄清或修改，将构成本项目磋商文件的一部分，对供应商具有约束力。</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4、补充说明、澄清或修改的内容可能影响到磋商响应文件编制，采购代理机构将在首次提交磋商响应文件截止日5天前，发布补充说明、澄清或修改公告。不足5日的，应当顺延首次提交磋商响应文件截止之日。</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5、除非采购代理机构以书面、公告的形式对磋商文件作出澄清、修改、补充并通知到供应商，供应商对涉及磋商文件的任何推论、理解和结论所造成的结果，均由供应商自负。</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6、采购人视情组织答疑会。如有产生答疑且对磋商文件内容有修改，采购代理机构将按照本须知有关规定，以补充通知（公告）的方式发出并通知到供应商。</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三、磋商响应文件的组成及装订</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1、磋商响应文件由：①资格审查文件、②技术磋商响应文件、③商务磋商响应文件共3部分组成（以下由文件序号代称）。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按磋商响应文件组成顺序编写响应文件，并牢固胶装成册。磋商响应文件均需采用A4纸（图纸等除外），不允许使用活页夹、拉杆夹、文件夹、塑料方便式书脊（插入式或穿孔式）装订。磋商响应文件不得行间插字、涂改、增删。修改错漏处，须经供应商法人代表或其委托的代理人（以下称被委托授权人）签字（或盖章）并加盖公章。</w:t>
      </w:r>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四、磋商响应文件的份数、签署和退还</w:t>
      </w:r>
    </w:p>
    <w:p>
      <w:pPr>
        <w:snapToGrid w:val="0"/>
        <w:spacing w:line="360" w:lineRule="auto"/>
        <w:ind w:firstLine="480" w:firstLineChars="200"/>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sz w:val="24"/>
          <w:szCs w:val="24"/>
        </w:rPr>
        <w:t>1、磋商响应文件均为一份“正本”和两份“副本”</w:t>
      </w:r>
      <w:r>
        <w:rPr>
          <w:rFonts w:hint="eastAsia" w:asciiTheme="majorEastAsia" w:hAnsiTheme="majorEastAsia" w:eastAsiaTheme="majorEastAsia" w:cstheme="minorEastAsia"/>
          <w:b/>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2、在每一份磋商响应文件上要明确标注项目名称、磋商响应文件各自对应的名称、供应商全称、“正本”、“副本”字样，“正本”和“副本”若有差异，概以“正本”为准。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3、磋商响应文件中的所有“正本”，须为打印的，其正文内容由法定代表人或被委托授权人签字（或盖章）并加盖公章，“副本”可为“正本”的复印件。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4、磋商程序顺利进行后，所有磋商响应文件都将作为档案保存，不论成交与否，采购代理机构均不退回（未拆封的除外）。</w:t>
      </w:r>
    </w:p>
    <w:p>
      <w:pPr>
        <w:snapToGrid w:val="0"/>
        <w:spacing w:line="360" w:lineRule="auto"/>
        <w:ind w:firstLine="472" w:firstLineChars="196"/>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五、磋商响应文件的密封及标记</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1、供应商须将本项目磋商响应文件：①、②、③</w:t>
      </w:r>
      <w:r>
        <w:rPr>
          <w:rFonts w:hint="eastAsia" w:asciiTheme="majorEastAsia" w:hAnsiTheme="majorEastAsia" w:eastAsiaTheme="majorEastAsia" w:cstheme="minorEastAsia"/>
          <w:b/>
          <w:sz w:val="24"/>
          <w:szCs w:val="24"/>
        </w:rPr>
        <w:t>分别单独密封</w:t>
      </w:r>
      <w:r>
        <w:rPr>
          <w:rFonts w:hint="eastAsia" w:asciiTheme="majorEastAsia" w:hAnsiTheme="majorEastAsia" w:eastAsiaTheme="majorEastAsia" w:cstheme="minorEastAsia"/>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2、密封后，应在每一密封件上明确标注磋商项目名称、磋商响应文件各自对应的名称、供应商全称及日期，同时加盖供应商公章。</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特别提醒：</w:t>
      </w:r>
      <w:r>
        <w:rPr>
          <w:rFonts w:hint="eastAsia" w:asciiTheme="majorEastAsia" w:hAnsiTheme="majorEastAsia" w:eastAsiaTheme="majorEastAsia" w:cstheme="minorEastAsia"/>
          <w:bCs/>
          <w:sz w:val="24"/>
          <w:szCs w:val="24"/>
        </w:rPr>
        <w:t>资格审查文件及技术磋商响应文件</w:t>
      </w:r>
      <w:r>
        <w:rPr>
          <w:rFonts w:hint="eastAsia" w:asciiTheme="majorEastAsia" w:hAnsiTheme="majorEastAsia" w:eastAsiaTheme="majorEastAsia" w:cstheme="minorEastAsia"/>
          <w:sz w:val="24"/>
          <w:szCs w:val="24"/>
        </w:rPr>
        <w:t>中，均不得含有任何商务磋商响应文件中的报价表（报价单）的内容，否则作无效磋商处理。</w:t>
      </w:r>
    </w:p>
    <w:p>
      <w:pPr>
        <w:snapToGrid w:val="0"/>
        <w:spacing w:line="480" w:lineRule="exact"/>
        <w:ind w:firstLine="496" w:firstLineChars="206"/>
        <w:outlineLvl w:val="1"/>
        <w:rPr>
          <w:rFonts w:ascii="宋体" w:hAnsi="宋体" w:eastAsia="宋体" w:cs="宋体"/>
          <w:b/>
          <w:bCs/>
          <w:sz w:val="24"/>
          <w:szCs w:val="24"/>
        </w:rPr>
      </w:pPr>
      <w:bookmarkStart w:id="3" w:name="_Toc363573855"/>
      <w:r>
        <w:rPr>
          <w:rFonts w:hint="eastAsia" w:ascii="宋体" w:hAnsi="宋体" w:eastAsia="宋体" w:cs="宋体"/>
          <w:b/>
          <w:bCs/>
          <w:sz w:val="24"/>
          <w:szCs w:val="24"/>
        </w:rPr>
        <w:t>六、磋商报价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1、本项目不接受任何有选择的报价。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2、磋商报价均以人民币为报价的币种。</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3、磋商报价表必须加盖单位公章且必须经法定代表人或被授权人签字或盖章。报价表中的大写金额与小写金额、总价金额与按单价汇总金额，若有差异，将执行《政府采购货物和服务招标投标管理办法》第41条的规定。</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4、供应商应按本竞争性磋商文件内项目需求的全部采购内容计算总价。</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磋商报价的总价中应包含：供应商为完成本项目规定的各项工作所承担的全部费用、利润和税金及政策性文件规定合同包含内的所有风险责任等各项费用，不论其在招标文件中是否提及。即招标物交付使用前的所有费用以及免保期内的服务费用等包含响应竞争性磋商文件采购要求的所有费用。</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6、本项目磋商报价包含实地调研、专家访谈、资料编制等的所有费用（含交通费等）。</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7、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8、竞争性磋商的最终报价为成交价。同时，供应商的最终成交价在合同实施期间不因市场变化因素而变动。</w:t>
      </w:r>
    </w:p>
    <w:p>
      <w:pPr>
        <w:snapToGrid w:val="0"/>
        <w:spacing w:line="480" w:lineRule="exact"/>
        <w:ind w:firstLine="482" w:firstLineChars="200"/>
        <w:outlineLvl w:val="1"/>
        <w:rPr>
          <w:rFonts w:ascii="宋体" w:hAnsi="宋体" w:eastAsia="宋体" w:cs="宋体"/>
          <w:sz w:val="24"/>
          <w:szCs w:val="24"/>
        </w:rPr>
      </w:pPr>
      <w:r>
        <w:rPr>
          <w:rFonts w:hint="eastAsia" w:ascii="宋体" w:hAnsi="宋体" w:eastAsia="宋体" w:cs="宋体"/>
          <w:b/>
          <w:bCs/>
          <w:color w:val="000000"/>
          <w:sz w:val="24"/>
          <w:szCs w:val="24"/>
        </w:rPr>
        <w:t>七、</w:t>
      </w:r>
      <w:r>
        <w:rPr>
          <w:rFonts w:hint="eastAsia" w:ascii="宋体" w:hAnsi="宋体" w:eastAsia="宋体" w:cs="宋体"/>
          <w:b/>
          <w:kern w:val="0"/>
          <w:sz w:val="24"/>
          <w:szCs w:val="24"/>
        </w:rPr>
        <w:t>磋商</w:t>
      </w:r>
      <w:r>
        <w:rPr>
          <w:rFonts w:hint="eastAsia" w:ascii="宋体" w:hAnsi="宋体" w:eastAsia="宋体" w:cs="宋体"/>
          <w:b/>
          <w:bCs/>
          <w:sz w:val="24"/>
          <w:szCs w:val="24"/>
        </w:rPr>
        <w:t>费用</w:t>
      </w:r>
    </w:p>
    <w:p>
      <w:pPr>
        <w:snapToGrid w:val="0"/>
        <w:spacing w:line="480" w:lineRule="exact"/>
        <w:ind w:firstLine="460" w:firstLineChars="192"/>
        <w:rPr>
          <w:rFonts w:ascii="宋体" w:hAnsi="宋体" w:eastAsia="宋体" w:cs="宋体"/>
          <w:color w:val="000000"/>
          <w:sz w:val="24"/>
          <w:szCs w:val="24"/>
        </w:rPr>
      </w:pPr>
      <w:r>
        <w:rPr>
          <w:rFonts w:hint="eastAsia" w:ascii="宋体" w:hAnsi="宋体" w:eastAsia="宋体" w:cs="宋体"/>
          <w:sz w:val="24"/>
          <w:szCs w:val="24"/>
        </w:rPr>
        <w:t>1、供应商应承担其编制响应文件以及递交响应文件所涉及的一切费用。无论磋商结果如何，采购人对上述费用不负任何责任</w:t>
      </w:r>
      <w:r>
        <w:rPr>
          <w:rFonts w:hint="eastAsia" w:ascii="宋体" w:hAnsi="宋体" w:eastAsia="宋体" w:cs="宋体"/>
          <w:color w:val="000000"/>
          <w:sz w:val="24"/>
          <w:szCs w:val="24"/>
        </w:rPr>
        <w:t>。</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2、磋商文件及相关资料费300元/份，由供应商在递交响应文件时缴纳，售后不退。</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3、本次磋商采购代理服务费人民币1200元整，供应商须综合考虑在响应报价内，由成交供应商在领取成交通知书时向采购代理机构一次性付清。</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供应商须将磋商专家评审费综合考虑在响应报价内，费用标准按省财政厅《关于规范列支政府采购专家评审费的通知》(通财购〔2018〕18号)执行。评审费由成交供应商在取得中标通知书时，向招标代理机构一次性按实付清。</w:t>
      </w:r>
    </w:p>
    <w:p>
      <w:pPr>
        <w:snapToGrid w:val="0"/>
        <w:spacing w:line="480" w:lineRule="exact"/>
        <w:ind w:firstLine="463" w:firstLineChars="192"/>
        <w:rPr>
          <w:rFonts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八、未尽事宜</w:t>
      </w:r>
    </w:p>
    <w:p>
      <w:pPr>
        <w:snapToGrid w:val="0"/>
        <w:spacing w:line="480" w:lineRule="exact"/>
        <w:ind w:firstLine="494" w:firstLineChars="206"/>
        <w:rPr>
          <w:rFonts w:ascii="宋体" w:hAnsi="宋体" w:eastAsia="宋体" w:cs="宋体"/>
          <w:color w:val="000000"/>
          <w:sz w:val="24"/>
          <w:szCs w:val="24"/>
        </w:rPr>
      </w:pPr>
      <w:r>
        <w:rPr>
          <w:rFonts w:hint="eastAsia" w:ascii="宋体" w:hAnsi="宋体" w:eastAsia="宋体" w:cs="宋体"/>
          <w:color w:val="000000"/>
          <w:sz w:val="24"/>
          <w:szCs w:val="24"/>
        </w:rPr>
        <w:t>按《中华人民共和国政府采购法</w:t>
      </w:r>
      <w:r>
        <w:rPr>
          <w:rFonts w:hint="eastAsia" w:ascii="宋体" w:hAnsi="宋体" w:eastAsia="宋体" w:cs="宋体"/>
          <w:color w:val="000000"/>
          <w:sz w:val="28"/>
          <w:szCs w:val="28"/>
        </w:rPr>
        <w:t>》、</w:t>
      </w:r>
      <w:r>
        <w:rPr>
          <w:rFonts w:hint="eastAsia" w:ascii="宋体" w:hAnsi="宋体" w:eastAsia="宋体" w:cs="宋体"/>
          <w:color w:val="000000"/>
          <w:sz w:val="24"/>
          <w:szCs w:val="24"/>
        </w:rPr>
        <w:t>《政府采购竞争性磋商采购方式管理暂行办法》及其他有关法律法规的规定执行。若本文件与法律法规规定有冲突之处，则按照法律法规规定执行。</w:t>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sz w:val="24"/>
          <w:szCs w:val="24"/>
        </w:rPr>
        <w:br w:type="page"/>
      </w:r>
      <w:r>
        <w:rPr>
          <w:rFonts w:hint="eastAsia" w:asciiTheme="majorEastAsia" w:hAnsiTheme="majorEastAsia" w:eastAsiaTheme="majorEastAsia" w:cstheme="minorEastAsia"/>
          <w:b/>
          <w:w w:val="80"/>
          <w:sz w:val="36"/>
          <w:szCs w:val="36"/>
        </w:rPr>
        <w:t>第三章 项目需求</w:t>
      </w:r>
      <w:bookmarkEnd w:id="3"/>
    </w:p>
    <w:p>
      <w:pPr>
        <w:spacing w:line="480" w:lineRule="exact"/>
        <w:ind w:firstLine="482" w:firstLineChars="200"/>
        <w:rPr>
          <w:rFonts w:ascii="宋体" w:hAnsi="宋体" w:eastAsia="宋体"/>
          <w:sz w:val="24"/>
          <w:szCs w:val="24"/>
        </w:rPr>
      </w:pPr>
      <w:bookmarkStart w:id="4" w:name="_Toc13543213"/>
      <w:r>
        <w:rPr>
          <w:rFonts w:hint="eastAsia" w:ascii="宋体" w:hAnsi="宋体" w:eastAsia="宋体"/>
          <w:b/>
          <w:sz w:val="24"/>
          <w:szCs w:val="24"/>
        </w:rPr>
        <w:t>请供应商在制作响应文件时仔细研究项目需求说明</w:t>
      </w:r>
      <w:r>
        <w:rPr>
          <w:rFonts w:hint="eastAsia" w:ascii="宋体" w:hAnsi="宋体" w:eastAsia="宋体"/>
          <w:sz w:val="24"/>
          <w:szCs w:val="24"/>
        </w:rPr>
        <w:t>。供应商不能简单照搬照抄采购人项目需求说明中的</w:t>
      </w:r>
      <w:r>
        <w:rPr>
          <w:rFonts w:hint="eastAsia" w:ascii="宋体" w:hAnsi="宋体" w:eastAsia="宋体"/>
          <w:sz w:val="24"/>
          <w:szCs w:val="24"/>
          <w:lang w:eastAsia="zh-CN"/>
        </w:rPr>
        <w:t>各项</w:t>
      </w:r>
      <w:r>
        <w:rPr>
          <w:rFonts w:hint="eastAsia" w:ascii="宋体" w:hAnsi="宋体" w:eastAsia="宋体"/>
          <w:sz w:val="24"/>
          <w:szCs w:val="24"/>
        </w:rPr>
        <w:t>要求，必须作实事求是的响应。如照搬照抄项目需求中的要求的，成交供应商在同采购人签订合同和履约环节中不得提出异议，一切后果和损失由成交供应商承担。如供应商提供的货物和服务同采购人提出的项目需求不同的，必须在《技术</w:t>
      </w:r>
      <w:r>
        <w:rPr>
          <w:rFonts w:hint="eastAsia" w:ascii="宋体" w:hAnsi="宋体" w:eastAsia="宋体"/>
          <w:sz w:val="24"/>
          <w:szCs w:val="24"/>
          <w:lang w:eastAsia="zh-CN"/>
        </w:rPr>
        <w:t>响应</w:t>
      </w:r>
      <w:r>
        <w:rPr>
          <w:rFonts w:hint="eastAsia" w:ascii="宋体" w:hAnsi="宋体" w:eastAsia="宋体"/>
          <w:sz w:val="24"/>
          <w:szCs w:val="24"/>
        </w:rPr>
        <w:t>正负偏离表》上明示，如不明示的视同完全响应。</w:t>
      </w:r>
    </w:p>
    <w:p>
      <w:pPr>
        <w:spacing w:line="480" w:lineRule="exact"/>
        <w:ind w:firstLine="480" w:firstLineChars="200"/>
        <w:rPr>
          <w:rFonts w:ascii="宋体" w:hAnsi="宋体" w:eastAsia="宋体"/>
          <w:sz w:val="24"/>
          <w:szCs w:val="24"/>
        </w:rPr>
      </w:pPr>
      <w:r>
        <w:rPr>
          <w:rFonts w:hint="eastAsia" w:ascii="宋体" w:hAnsi="宋体" w:eastAsia="宋体"/>
          <w:sz w:val="24"/>
          <w:szCs w:val="24"/>
        </w:rPr>
        <w:t>一、项目概况</w:t>
      </w:r>
    </w:p>
    <w:p>
      <w:pPr>
        <w:widowControl/>
        <w:spacing w:line="480" w:lineRule="exact"/>
        <w:ind w:firstLine="480" w:firstLineChars="200"/>
        <w:contextualSpacing/>
        <w:rPr>
          <w:rFonts w:ascii="宋体" w:hAnsi="宋体" w:eastAsia="宋体"/>
          <w:sz w:val="24"/>
          <w:szCs w:val="24"/>
        </w:rPr>
      </w:pPr>
      <w:r>
        <w:rPr>
          <w:rFonts w:hint="eastAsia" w:ascii="宋体" w:hAnsi="宋体" w:eastAsia="宋体"/>
          <w:sz w:val="24"/>
          <w:szCs w:val="24"/>
        </w:rPr>
        <w:t>本项目分为绿植租摆、养护和自有绿化养护</w:t>
      </w:r>
      <w:r>
        <w:rPr>
          <w:rFonts w:hint="eastAsia" w:ascii="宋体" w:hAnsi="宋体" w:eastAsia="宋体"/>
          <w:sz w:val="24"/>
          <w:szCs w:val="24"/>
          <w:lang w:eastAsia="zh-CN"/>
        </w:rPr>
        <w:t>两部分</w:t>
      </w:r>
      <w:r>
        <w:rPr>
          <w:rFonts w:hint="eastAsia" w:ascii="宋体" w:hAnsi="宋体" w:eastAsia="宋体"/>
          <w:sz w:val="24"/>
          <w:szCs w:val="24"/>
        </w:rPr>
        <w:t>内容，租摆绿植</w:t>
      </w:r>
      <w:r>
        <w:rPr>
          <w:rFonts w:hint="eastAsia" w:ascii="宋体" w:hAnsi="宋体" w:eastAsia="宋体"/>
          <w:color w:val="auto"/>
          <w:sz w:val="24"/>
          <w:szCs w:val="24"/>
        </w:rPr>
        <w:t>共</w:t>
      </w:r>
      <w:r>
        <w:rPr>
          <w:rFonts w:hint="eastAsia" w:ascii="宋体" w:hAnsi="宋体" w:eastAsia="宋体"/>
          <w:color w:val="auto"/>
          <w:sz w:val="24"/>
          <w:szCs w:val="24"/>
          <w:lang w:val="en-US" w:eastAsia="zh-CN"/>
        </w:rPr>
        <w:t>576</w:t>
      </w:r>
      <w:r>
        <w:rPr>
          <w:rFonts w:hint="eastAsia" w:ascii="宋体" w:hAnsi="宋体" w:eastAsia="宋体"/>
          <w:color w:val="auto"/>
          <w:sz w:val="24"/>
          <w:szCs w:val="24"/>
          <w:lang w:eastAsia="zh-CN"/>
        </w:rPr>
        <w:t>株</w:t>
      </w:r>
      <w:r>
        <w:rPr>
          <w:rFonts w:hint="eastAsia" w:ascii="宋体" w:hAnsi="宋体" w:eastAsia="宋体"/>
          <w:sz w:val="24"/>
          <w:szCs w:val="24"/>
        </w:rPr>
        <w:t>，自有绿化约14000m</w:t>
      </w:r>
      <w:r>
        <w:rPr>
          <w:rFonts w:hint="eastAsia" w:ascii="宋体" w:hAnsi="宋体" w:eastAsia="宋体"/>
          <w:sz w:val="24"/>
          <w:szCs w:val="24"/>
          <w:vertAlign w:val="superscript"/>
        </w:rPr>
        <w:t>2</w:t>
      </w:r>
      <w:r>
        <w:rPr>
          <w:rFonts w:hint="eastAsia" w:ascii="宋体" w:hAnsi="宋体" w:eastAsia="宋体"/>
          <w:sz w:val="24"/>
          <w:szCs w:val="24"/>
        </w:rPr>
        <w:t>。（详见图纸）</w:t>
      </w:r>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213"/>
        <w:gridCol w:w="205"/>
        <w:gridCol w:w="227"/>
        <w:gridCol w:w="1651"/>
        <w:gridCol w:w="1655"/>
        <w:gridCol w:w="1393"/>
        <w:gridCol w:w="1496"/>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30"/>
                <w:szCs w:val="30"/>
                <w:lang w:eastAsia="zh-CN"/>
              </w:rPr>
            </w:pPr>
            <w:r>
              <w:rPr>
                <w:rFonts w:hint="eastAsia" w:ascii="宋体" w:hAnsi="宋体" w:eastAsia="宋体" w:cs="宋体"/>
                <w:b/>
                <w:color w:val="auto"/>
                <w:sz w:val="30"/>
                <w:szCs w:val="30"/>
                <w:lang w:eastAsia="zh-CN"/>
              </w:rPr>
              <w:t>绿植摆放明细表</w:t>
            </w:r>
          </w:p>
          <w:p>
            <w:pPr>
              <w:rPr>
                <w:rFonts w:hint="eastAsia" w:ascii="宋体" w:hAnsi="宋体" w:eastAsia="宋体" w:cs="宋体"/>
                <w:b/>
                <w:color w:val="auto"/>
                <w:sz w:val="24"/>
                <w:lang w:eastAsia="zh-CN"/>
              </w:rPr>
            </w:pPr>
            <w:r>
              <w:rPr>
                <w:rFonts w:hint="eastAsia" w:ascii="宋体" w:hAnsi="宋体" w:eastAsia="宋体" w:cs="宋体"/>
                <w:b/>
                <w:bCs/>
                <w:color w:val="auto"/>
                <w:sz w:val="24"/>
                <w:szCs w:val="24"/>
                <w:lang w:eastAsia="zh-CN"/>
              </w:rPr>
              <w:t>全院绿植租摆合计：</w:t>
            </w:r>
            <w:r>
              <w:rPr>
                <w:rFonts w:hint="eastAsia" w:ascii="宋体" w:hAnsi="宋体" w:eastAsia="宋体" w:cs="宋体"/>
                <w:b/>
                <w:bCs/>
                <w:color w:val="auto"/>
                <w:sz w:val="24"/>
                <w:szCs w:val="24"/>
                <w:lang w:val="en-US" w:eastAsia="zh-CN"/>
              </w:rPr>
              <w:t>576株（其中：大型：183株、中型：268株、小型125株）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tcBorders>
              <w:left w:val="doub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大门两侧</w:t>
            </w: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铁树</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6</w:t>
            </w:r>
          </w:p>
        </w:tc>
        <w:tc>
          <w:tcPr>
            <w:tcW w:w="759" w:type="pct"/>
            <w:vMerge w:val="restart"/>
            <w:tcBorders>
              <w:right w:val="single" w:color="auto" w:sz="4" w:space="0"/>
            </w:tcBorders>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门诊部</w:t>
            </w:r>
          </w:p>
          <w:p>
            <w:pPr>
              <w:jc w:val="center"/>
              <w:rPr>
                <w:rFonts w:hint="eastAsia" w:ascii="宋体" w:hAnsi="宋体" w:eastAsia="宋体" w:cs="宋体"/>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大型：60</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中型：43</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小型：20</w:t>
            </w:r>
          </w:p>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restart"/>
            <w:tcBorders>
              <w:left w:val="doub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一楼门诊大厅</w:t>
            </w:r>
          </w:p>
        </w:tc>
        <w:tc>
          <w:tcPr>
            <w:tcW w:w="1164" w:type="pct"/>
            <w:gridSpan w:val="4"/>
            <w:noWrap w:val="0"/>
            <w:vAlign w:val="center"/>
          </w:tcPr>
          <w:p>
            <w:pPr>
              <w:jc w:val="center"/>
              <w:rPr>
                <w:rFonts w:hint="eastAsia" w:ascii="宋体" w:hAnsi="宋体" w:eastAsia="宋体" w:cs="宋体"/>
                <w:color w:val="auto"/>
                <w:sz w:val="32"/>
                <w:szCs w:val="32"/>
              </w:rPr>
            </w:pPr>
            <w:r>
              <w:rPr>
                <w:rFonts w:hint="eastAsia" w:ascii="宋体" w:hAnsi="宋体" w:eastAsia="宋体" w:cs="宋体"/>
                <w:color w:val="auto"/>
                <w:sz w:val="24"/>
              </w:rPr>
              <w:t>绿宝</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幸福树</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3</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红掌</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时令</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6</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非洲茉莉</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12</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restart"/>
            <w:tcBorders>
              <w:left w:val="doub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过道</w:t>
            </w: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也门铁</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棕竹</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螺纹铁</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4</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tcBorders>
              <w:left w:val="doub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电梯口</w:t>
            </w: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restart"/>
            <w:tcBorders>
              <w:left w:val="doub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二楼过道</w:t>
            </w: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大叶伞</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绿萝柱</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非洲茉莉</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4</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tcBorders>
              <w:left w:val="doub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电梯口</w:t>
            </w: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restart"/>
            <w:tcBorders>
              <w:left w:val="doub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三楼过道</w:t>
            </w: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绿宝</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棕竹</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螺纹铁</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4</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百合竹</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4</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摇钱树</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绿萝柱</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发财树</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tcBorders>
              <w:left w:val="double" w:color="auto" w:sz="4" w:space="0"/>
            </w:tcBorders>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乳腺科</w:t>
            </w:r>
          </w:p>
        </w:tc>
        <w:tc>
          <w:tcPr>
            <w:tcW w:w="1164" w:type="pct"/>
            <w:gridSpan w:val="4"/>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rPr>
              <w:t>螺纹铁</w:t>
            </w:r>
          </w:p>
        </w:tc>
        <w:tc>
          <w:tcPr>
            <w:tcW w:w="840" w:type="pct"/>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eastAsia="zh-CN"/>
              </w:rPr>
              <w:t>中</w:t>
            </w:r>
            <w:r>
              <w:rPr>
                <w:rFonts w:hint="eastAsia" w:ascii="宋体" w:hAnsi="宋体" w:eastAsia="宋体" w:cs="宋体"/>
                <w:color w:val="auto"/>
                <w:sz w:val="24"/>
              </w:rPr>
              <w:t>型</w:t>
            </w:r>
          </w:p>
        </w:tc>
        <w:tc>
          <w:tcPr>
            <w:tcW w:w="707" w:type="pct"/>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lang w:val="en-US" w:eastAsia="zh-CN"/>
              </w:rPr>
              <w:t>6</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tcBorders>
              <w:left w:val="doub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电梯口</w:t>
            </w: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restart"/>
            <w:tcBorders>
              <w:left w:val="doub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四楼过道</w:t>
            </w: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大叶伞</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4</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摇钱树</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6</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vMerge w:val="continue"/>
            <w:tcBorders>
              <w:left w:val="double" w:color="auto" w:sz="4" w:space="0"/>
            </w:tcBorders>
            <w:noWrap w:val="0"/>
            <w:vAlign w:val="center"/>
          </w:tcPr>
          <w:p>
            <w:pPr>
              <w:jc w:val="center"/>
              <w:rPr>
                <w:rFonts w:hint="eastAsia" w:ascii="宋体" w:hAnsi="宋体" w:eastAsia="宋体" w:cs="宋体"/>
                <w:color w:val="auto"/>
                <w:sz w:val="24"/>
              </w:rPr>
            </w:pP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摇钱树</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tcBorders>
              <w:left w:val="doub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电梯口</w:t>
            </w:r>
          </w:p>
        </w:tc>
        <w:tc>
          <w:tcPr>
            <w:tcW w:w="1164"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也门铁</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center"/>
          </w:tcPr>
          <w:p>
            <w:pPr>
              <w:jc w:val="center"/>
              <w:rPr>
                <w:rFonts w:hint="eastAsia" w:ascii="宋体" w:hAnsi="宋体" w:eastAsia="宋体" w:cs="宋体"/>
                <w:color w:val="auto"/>
                <w:sz w:val="24"/>
              </w:rPr>
            </w:pPr>
          </w:p>
        </w:tc>
        <w:tc>
          <w:tcPr>
            <w:tcW w:w="827" w:type="pct"/>
            <w:vMerge w:val="continue"/>
            <w:tcBorders>
              <w:right w:val="doub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700" w:type="pct"/>
            <w:tcBorders>
              <w:left w:val="double" w:color="auto" w:sz="4" w:space="0"/>
              <w:bottom w:val="single" w:color="auto" w:sz="12"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小计</w:t>
            </w:r>
          </w:p>
        </w:tc>
        <w:tc>
          <w:tcPr>
            <w:tcW w:w="1164" w:type="pct"/>
            <w:gridSpan w:val="4"/>
            <w:tcBorders>
              <w:bottom w:val="single" w:color="auto" w:sz="12" w:space="0"/>
            </w:tcBorders>
            <w:noWrap w:val="0"/>
            <w:vAlign w:val="center"/>
          </w:tcPr>
          <w:p>
            <w:pPr>
              <w:jc w:val="center"/>
              <w:rPr>
                <w:rFonts w:hint="eastAsia" w:ascii="宋体" w:hAnsi="宋体" w:eastAsia="宋体" w:cs="宋体"/>
                <w:b/>
                <w:bCs/>
                <w:color w:val="auto"/>
                <w:sz w:val="24"/>
              </w:rPr>
            </w:pPr>
          </w:p>
        </w:tc>
        <w:tc>
          <w:tcPr>
            <w:tcW w:w="840" w:type="pct"/>
            <w:tcBorders>
              <w:bottom w:val="single" w:color="auto" w:sz="12" w:space="0"/>
            </w:tcBorders>
            <w:noWrap w:val="0"/>
            <w:vAlign w:val="center"/>
          </w:tcPr>
          <w:p>
            <w:pPr>
              <w:jc w:val="center"/>
              <w:rPr>
                <w:rFonts w:hint="eastAsia" w:ascii="宋体" w:hAnsi="宋体" w:eastAsia="宋体" w:cs="宋体"/>
                <w:b/>
                <w:bCs/>
                <w:color w:val="auto"/>
                <w:sz w:val="24"/>
              </w:rPr>
            </w:pPr>
          </w:p>
        </w:tc>
        <w:tc>
          <w:tcPr>
            <w:tcW w:w="707" w:type="pct"/>
            <w:tcBorders>
              <w:bottom w:val="single" w:color="auto" w:sz="12"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123</w:t>
            </w:r>
          </w:p>
        </w:tc>
        <w:tc>
          <w:tcPr>
            <w:tcW w:w="759" w:type="pct"/>
            <w:vMerge w:val="continue"/>
            <w:tcBorders>
              <w:bottom w:val="single" w:color="auto" w:sz="12" w:space="0"/>
              <w:right w:val="single" w:color="auto" w:sz="4" w:space="0"/>
            </w:tcBorders>
            <w:noWrap w:val="0"/>
            <w:vAlign w:val="center"/>
          </w:tcPr>
          <w:p>
            <w:pPr>
              <w:jc w:val="center"/>
              <w:rPr>
                <w:rFonts w:hint="eastAsia" w:ascii="宋体" w:hAnsi="宋体" w:eastAsia="宋体" w:cs="宋体"/>
                <w:b/>
                <w:bCs/>
                <w:color w:val="auto"/>
                <w:sz w:val="24"/>
              </w:rPr>
            </w:pPr>
          </w:p>
        </w:tc>
        <w:tc>
          <w:tcPr>
            <w:tcW w:w="827" w:type="pct"/>
            <w:vMerge w:val="continue"/>
            <w:tcBorders>
              <w:bottom w:val="single" w:color="auto" w:sz="12" w:space="0"/>
              <w:right w:val="double" w:color="auto" w:sz="4" w:space="0"/>
            </w:tcBorders>
            <w:noWrap w:val="0"/>
            <w:vAlign w:val="center"/>
          </w:tcPr>
          <w:p>
            <w:pPr>
              <w:jc w:val="center"/>
              <w:rPr>
                <w:rFonts w:hint="eastAsia" w:ascii="宋体" w:hAnsi="宋体" w:eastAsia="宋体" w:cs="宋体"/>
                <w:b/>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大厅</w:t>
            </w: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lang w:eastAsia="zh-CN"/>
              </w:rPr>
              <w:t>铁树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lang w:eastAsia="zh-CN"/>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lang w:val="en-US" w:eastAsia="zh-CN"/>
              </w:rPr>
              <w:t>2</w:t>
            </w:r>
          </w:p>
        </w:tc>
        <w:tc>
          <w:tcPr>
            <w:tcW w:w="759" w:type="pct"/>
            <w:vMerge w:val="restar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门诊部</w:t>
            </w:r>
          </w:p>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（急诊室）</w:t>
            </w: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大型：10</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中型：18</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小型：25</w:t>
            </w:r>
          </w:p>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vMerge w:val="continue"/>
            <w:noWrap w:val="0"/>
            <w:vAlign w:val="center"/>
          </w:tcPr>
          <w:p>
            <w:pPr>
              <w:jc w:val="center"/>
              <w:rPr>
                <w:rFonts w:hint="eastAsia" w:ascii="宋体" w:hAnsi="宋体" w:eastAsia="宋体" w:cs="宋体"/>
                <w:b/>
                <w:bCs/>
                <w:color w:val="auto"/>
                <w:sz w:val="24"/>
              </w:rPr>
            </w:pP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非洲茉莉</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vMerge w:val="continue"/>
            <w:noWrap w:val="0"/>
            <w:vAlign w:val="center"/>
          </w:tcPr>
          <w:p>
            <w:pPr>
              <w:jc w:val="center"/>
              <w:rPr>
                <w:rFonts w:hint="eastAsia" w:ascii="宋体" w:hAnsi="宋体" w:eastAsia="宋体" w:cs="宋体"/>
                <w:b/>
                <w:bCs/>
                <w:color w:val="auto"/>
                <w:sz w:val="24"/>
              </w:rPr>
            </w:pP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6</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vMerge w:val="continue"/>
            <w:noWrap w:val="0"/>
            <w:vAlign w:val="center"/>
          </w:tcPr>
          <w:p>
            <w:pPr>
              <w:jc w:val="center"/>
              <w:rPr>
                <w:rFonts w:hint="eastAsia" w:ascii="宋体" w:hAnsi="宋体" w:eastAsia="宋体" w:cs="宋体"/>
                <w:b/>
                <w:bCs/>
                <w:color w:val="auto"/>
                <w:sz w:val="24"/>
              </w:rPr>
            </w:pP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红掌</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时令</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6</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vMerge w:val="continue"/>
            <w:noWrap w:val="0"/>
            <w:vAlign w:val="center"/>
          </w:tcPr>
          <w:p>
            <w:pPr>
              <w:jc w:val="center"/>
              <w:rPr>
                <w:rFonts w:hint="eastAsia" w:ascii="宋体" w:hAnsi="宋体" w:eastAsia="宋体" w:cs="宋体"/>
                <w:b/>
                <w:bCs/>
                <w:color w:val="auto"/>
                <w:sz w:val="24"/>
              </w:rPr>
            </w:pP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绿宝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注射科</w:t>
            </w: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vMerge w:val="continue"/>
            <w:noWrap w:val="0"/>
            <w:vAlign w:val="center"/>
          </w:tcPr>
          <w:p>
            <w:pPr>
              <w:jc w:val="center"/>
              <w:rPr>
                <w:rFonts w:hint="eastAsia" w:ascii="宋体" w:hAnsi="宋体" w:eastAsia="宋体" w:cs="宋体"/>
                <w:b/>
                <w:bCs/>
                <w:color w:val="auto"/>
                <w:sz w:val="24"/>
              </w:rPr>
            </w:pP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儿科门诊</w:t>
            </w: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3</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noWrap w:val="0"/>
            <w:vAlign w:val="center"/>
          </w:tcPr>
          <w:p>
            <w:pPr>
              <w:jc w:val="center"/>
              <w:rPr>
                <w:rFonts w:hint="eastAsia" w:ascii="宋体" w:hAnsi="宋体" w:eastAsia="宋体" w:cs="宋体"/>
                <w:b/>
                <w:bCs/>
                <w:color w:val="auto"/>
                <w:sz w:val="24"/>
              </w:rPr>
            </w:pP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noWrap w:val="0"/>
            <w:vAlign w:val="center"/>
          </w:tcPr>
          <w:p>
            <w:pPr>
              <w:jc w:val="center"/>
              <w:rPr>
                <w:rFonts w:hint="eastAsia" w:ascii="宋体" w:hAnsi="宋体" w:eastAsia="宋体" w:cs="宋体"/>
                <w:b/>
                <w:bCs/>
                <w:color w:val="auto"/>
                <w:sz w:val="24"/>
              </w:rPr>
            </w:pP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9</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noWrap w:val="0"/>
            <w:vAlign w:val="center"/>
          </w:tcPr>
          <w:p>
            <w:pPr>
              <w:jc w:val="center"/>
              <w:rPr>
                <w:rFonts w:hint="eastAsia" w:ascii="宋体" w:hAnsi="宋体" w:eastAsia="宋体" w:cs="宋体"/>
                <w:b/>
                <w:bCs/>
                <w:color w:val="auto"/>
                <w:sz w:val="24"/>
              </w:rPr>
            </w:pP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富贵子</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3</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检验科</w:t>
            </w: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12</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noWrap w:val="0"/>
            <w:vAlign w:val="center"/>
          </w:tcPr>
          <w:p>
            <w:pPr>
              <w:jc w:val="center"/>
              <w:rPr>
                <w:rFonts w:hint="eastAsia" w:ascii="宋体" w:hAnsi="宋体" w:eastAsia="宋体" w:cs="宋体"/>
                <w:b/>
                <w:bCs/>
                <w:color w:val="auto"/>
                <w:sz w:val="24"/>
              </w:rPr>
            </w:pPr>
          </w:p>
        </w:tc>
        <w:tc>
          <w:tcPr>
            <w:tcW w:w="1164"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4</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70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小计</w:t>
            </w:r>
          </w:p>
        </w:tc>
        <w:tc>
          <w:tcPr>
            <w:tcW w:w="1164" w:type="pct"/>
            <w:gridSpan w:val="4"/>
            <w:noWrap w:val="0"/>
            <w:vAlign w:val="center"/>
          </w:tcPr>
          <w:p>
            <w:pPr>
              <w:jc w:val="center"/>
              <w:rPr>
                <w:rFonts w:hint="eastAsia" w:ascii="宋体" w:hAnsi="宋体" w:eastAsia="宋体" w:cs="宋体"/>
                <w:b/>
                <w:bCs/>
                <w:color w:val="auto"/>
                <w:sz w:val="24"/>
              </w:rPr>
            </w:pPr>
          </w:p>
        </w:tc>
        <w:tc>
          <w:tcPr>
            <w:tcW w:w="840" w:type="pct"/>
            <w:noWrap w:val="0"/>
            <w:vAlign w:val="center"/>
          </w:tcPr>
          <w:p>
            <w:pPr>
              <w:jc w:val="center"/>
              <w:rPr>
                <w:rFonts w:hint="eastAsia" w:ascii="宋体" w:hAnsi="宋体" w:eastAsia="宋体" w:cs="宋体"/>
                <w:b/>
                <w:bCs/>
                <w:color w:val="auto"/>
                <w:sz w:val="24"/>
              </w:rPr>
            </w:pPr>
          </w:p>
        </w:tc>
        <w:tc>
          <w:tcPr>
            <w:tcW w:w="707"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rPr>
              <w:t>5</w:t>
            </w:r>
            <w:r>
              <w:rPr>
                <w:rFonts w:hint="eastAsia" w:ascii="宋体" w:hAnsi="宋体" w:eastAsia="宋体" w:cs="宋体"/>
                <w:b/>
                <w:bCs/>
                <w:color w:val="auto"/>
                <w:sz w:val="24"/>
                <w:lang w:val="en-US" w:eastAsia="zh-CN"/>
              </w:rPr>
              <w:t>3</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大门两侧</w:t>
            </w: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铁树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vMerge w:val="restar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门诊部</w:t>
            </w:r>
          </w:p>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（住院部）</w:t>
            </w: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大型：16</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中型：9</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小型：12</w:t>
            </w:r>
          </w:p>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vMerge w:val="continue"/>
            <w:noWrap w:val="0"/>
            <w:vAlign w:val="center"/>
          </w:tcPr>
          <w:p>
            <w:pPr>
              <w:jc w:val="center"/>
              <w:rPr>
                <w:rFonts w:hint="eastAsia" w:ascii="宋体" w:hAnsi="宋体" w:eastAsia="宋体" w:cs="宋体"/>
                <w:b/>
                <w:bCs/>
                <w:color w:val="auto"/>
                <w:sz w:val="24"/>
              </w:rPr>
            </w:pP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摇钱树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一楼大厅</w:t>
            </w: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vMerge w:val="continue"/>
            <w:noWrap w:val="0"/>
            <w:vAlign w:val="center"/>
          </w:tcPr>
          <w:p>
            <w:pPr>
              <w:jc w:val="center"/>
              <w:rPr>
                <w:rFonts w:hint="eastAsia" w:ascii="宋体" w:hAnsi="宋体" w:eastAsia="宋体" w:cs="宋体"/>
                <w:b/>
                <w:bCs/>
                <w:color w:val="auto"/>
                <w:sz w:val="24"/>
              </w:rPr>
            </w:pP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3</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vMerge w:val="continue"/>
            <w:noWrap w:val="0"/>
            <w:vAlign w:val="center"/>
          </w:tcPr>
          <w:p>
            <w:pPr>
              <w:jc w:val="center"/>
              <w:rPr>
                <w:rFonts w:hint="eastAsia" w:ascii="宋体" w:hAnsi="宋体" w:eastAsia="宋体" w:cs="宋体"/>
                <w:b/>
                <w:bCs/>
                <w:color w:val="auto"/>
                <w:sz w:val="24"/>
              </w:rPr>
            </w:pP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6</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trPr>
        <w:tc>
          <w:tcPr>
            <w:tcW w:w="808" w:type="pct"/>
            <w:gridSpan w:val="2"/>
            <w:vMerge w:val="continue"/>
            <w:noWrap w:val="0"/>
            <w:vAlign w:val="center"/>
          </w:tcPr>
          <w:p>
            <w:pPr>
              <w:jc w:val="center"/>
              <w:rPr>
                <w:rFonts w:hint="eastAsia" w:ascii="宋体" w:hAnsi="宋体" w:eastAsia="宋体" w:cs="宋体"/>
                <w:b/>
                <w:bCs/>
                <w:color w:val="auto"/>
                <w:sz w:val="24"/>
              </w:rPr>
            </w:pP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红掌</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时令</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6</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会诊中心</w:t>
            </w: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vMerge w:val="continue"/>
            <w:noWrap w:val="0"/>
            <w:vAlign w:val="center"/>
          </w:tcPr>
          <w:p>
            <w:pPr>
              <w:jc w:val="center"/>
              <w:rPr>
                <w:rFonts w:hint="eastAsia" w:ascii="宋体" w:hAnsi="宋体" w:eastAsia="宋体" w:cs="宋体"/>
                <w:b/>
                <w:bCs/>
                <w:color w:val="auto"/>
                <w:sz w:val="24"/>
              </w:rPr>
            </w:pP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3</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电梯间</w:t>
            </w: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二楼过道</w:t>
            </w: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螺纹铁</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6</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vMerge w:val="continue"/>
            <w:noWrap w:val="0"/>
            <w:vAlign w:val="center"/>
          </w:tcPr>
          <w:p>
            <w:pPr>
              <w:jc w:val="center"/>
              <w:rPr>
                <w:rFonts w:hint="eastAsia" w:ascii="宋体" w:hAnsi="宋体" w:eastAsia="宋体" w:cs="宋体"/>
                <w:b/>
                <w:bCs/>
                <w:color w:val="auto"/>
                <w:sz w:val="24"/>
              </w:rPr>
            </w:pP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绿萝柱</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lang w:eastAsia="zh-CN"/>
              </w:rPr>
              <w:t>二楼</w:t>
            </w:r>
            <w:r>
              <w:rPr>
                <w:rFonts w:hint="eastAsia" w:ascii="宋体" w:hAnsi="宋体" w:eastAsia="宋体" w:cs="宋体"/>
                <w:color w:val="auto"/>
                <w:sz w:val="24"/>
              </w:rPr>
              <w:t>电梯间</w:t>
            </w:r>
          </w:p>
        </w:tc>
        <w:tc>
          <w:tcPr>
            <w:tcW w:w="1056"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三楼</w:t>
            </w:r>
            <w:r>
              <w:rPr>
                <w:rFonts w:hint="eastAsia" w:ascii="宋体" w:hAnsi="宋体" w:eastAsia="宋体" w:cs="宋体"/>
                <w:color w:val="auto"/>
                <w:sz w:val="24"/>
              </w:rPr>
              <w:t>电梯间</w:t>
            </w:r>
          </w:p>
        </w:tc>
        <w:tc>
          <w:tcPr>
            <w:tcW w:w="1056" w:type="pct"/>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四楼</w:t>
            </w:r>
            <w:r>
              <w:rPr>
                <w:rFonts w:hint="eastAsia" w:ascii="宋体" w:hAnsi="宋体" w:eastAsia="宋体" w:cs="宋体"/>
                <w:color w:val="auto"/>
                <w:sz w:val="24"/>
              </w:rPr>
              <w:t>电梯间</w:t>
            </w:r>
          </w:p>
        </w:tc>
        <w:tc>
          <w:tcPr>
            <w:tcW w:w="1056" w:type="pct"/>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808" w:type="pct"/>
            <w:gridSpan w:val="2"/>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小</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lang w:eastAsia="zh-CN"/>
              </w:rPr>
              <w:t>计</w:t>
            </w:r>
          </w:p>
        </w:tc>
        <w:tc>
          <w:tcPr>
            <w:tcW w:w="1056" w:type="pct"/>
            <w:gridSpan w:val="3"/>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37</w:t>
            </w:r>
          </w:p>
        </w:tc>
        <w:tc>
          <w:tcPr>
            <w:tcW w:w="759" w:type="pct"/>
            <w:noWrap w:val="0"/>
            <w:vAlign w:val="center"/>
          </w:tcPr>
          <w:p>
            <w:pPr>
              <w:jc w:val="center"/>
              <w:rPr>
                <w:rFonts w:hint="eastAsia" w:ascii="宋体" w:hAnsi="宋体" w:eastAsia="宋体" w:cs="宋体"/>
                <w:b/>
                <w:bCs/>
                <w:color w:val="auto"/>
                <w:sz w:val="24"/>
                <w:lang w:eastAsia="zh-CN"/>
              </w:rPr>
            </w:pPr>
          </w:p>
        </w:tc>
        <w:tc>
          <w:tcPr>
            <w:tcW w:w="827" w:type="pct"/>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lang w:eastAsia="zh-CN"/>
              </w:rPr>
              <w:t>五楼</w:t>
            </w: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大型：1</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中型：3</w:t>
            </w:r>
          </w:p>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rPr>
              <w:t>五楼</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3</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lang w:eastAsia="zh-CN"/>
              </w:rPr>
              <w:t>六楼</w:t>
            </w: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七楼过道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罗纹铁</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10</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大型：4</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中型：12</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医生办公室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袖珍椰子</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759" w:type="pct"/>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w:t>
            </w:r>
          </w:p>
        </w:tc>
        <w:tc>
          <w:tcPr>
            <w:tcW w:w="759" w:type="pct"/>
            <w:noWrap w:val="0"/>
            <w:vAlign w:val="center"/>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八楼过道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袖珍椰子</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10</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大型：4</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中型：12</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医生办公室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九楼过道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螺纹铁</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10</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大型：4</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中型：12</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九楼过道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袖珍椰子</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十楼过道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大型：7</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中型：3</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百合竹</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医生办公室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幸福树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10</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十一楼过道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螺纹铁</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10</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大型：5</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中型：12</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医生办公室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袖珍椰子</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主任室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幸福树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十二楼过道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袖珍椰子</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10</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大型：5</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中型：12</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袖珍椰子</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主任室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幸福树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十三楼过道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10</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大型：4</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中型：12</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袖珍椰子</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十四楼过道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10</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大型：4</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中型：12</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银边铁</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十五楼过道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6</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大型：10</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中型：6</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4</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银边铁</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十六楼过道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一叶兰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10</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大型：6</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中型：12</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幸福树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袖珍椰子</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十六楼护士站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主任室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幸福树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19</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十七楼过道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10</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大型：5</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中型：12</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医生办公室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主任室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幸福树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十八楼过道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大型：5</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中型：3</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袖珍椰子</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主任室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幸福树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8</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十九楼过道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10</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大型：5</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主任室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幸福树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17</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027" w:type="pct"/>
            <w:gridSpan w:val="4"/>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838"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027" w:type="pct"/>
            <w:gridSpan w:val="4"/>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二十楼过道</w:t>
            </w:r>
          </w:p>
        </w:tc>
        <w:tc>
          <w:tcPr>
            <w:tcW w:w="838"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螺纹铁</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10</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大型：5</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中型：12</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027" w:type="pct"/>
            <w:gridSpan w:val="4"/>
            <w:vMerge w:val="continue"/>
            <w:noWrap w:val="0"/>
            <w:vAlign w:val="center"/>
          </w:tcPr>
          <w:p>
            <w:pPr>
              <w:jc w:val="center"/>
              <w:rPr>
                <w:rFonts w:hint="eastAsia" w:ascii="宋体" w:hAnsi="宋体" w:eastAsia="宋体" w:cs="宋体"/>
                <w:b/>
                <w:bCs/>
                <w:color w:val="auto"/>
                <w:sz w:val="24"/>
              </w:rPr>
            </w:pPr>
          </w:p>
        </w:tc>
        <w:tc>
          <w:tcPr>
            <w:tcW w:w="838"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027" w:type="pct"/>
            <w:gridSpan w:val="4"/>
            <w:vMerge w:val="continue"/>
            <w:noWrap w:val="0"/>
            <w:vAlign w:val="center"/>
          </w:tcPr>
          <w:p>
            <w:pPr>
              <w:jc w:val="center"/>
              <w:rPr>
                <w:rFonts w:hint="eastAsia" w:ascii="宋体" w:hAnsi="宋体" w:eastAsia="宋体" w:cs="宋体"/>
                <w:b/>
                <w:bCs/>
                <w:color w:val="auto"/>
                <w:sz w:val="24"/>
              </w:rPr>
            </w:pPr>
          </w:p>
        </w:tc>
        <w:tc>
          <w:tcPr>
            <w:tcW w:w="838"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027"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医生室</w:t>
            </w:r>
          </w:p>
        </w:tc>
        <w:tc>
          <w:tcPr>
            <w:tcW w:w="838" w:type="pct"/>
            <w:noWrap w:val="0"/>
            <w:vAlign w:val="center"/>
          </w:tcPr>
          <w:p>
            <w:pPr>
              <w:tabs>
                <w:tab w:val="left" w:pos="481"/>
              </w:tabs>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027"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二十楼医生室</w:t>
            </w:r>
          </w:p>
        </w:tc>
        <w:tc>
          <w:tcPr>
            <w:tcW w:w="838"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袖珍椰子</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027" w:type="pct"/>
            <w:gridSpan w:val="4"/>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838"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027" w:type="pct"/>
            <w:gridSpan w:val="4"/>
            <w:vMerge w:val="continue"/>
            <w:noWrap w:val="0"/>
            <w:vAlign w:val="center"/>
          </w:tcPr>
          <w:p>
            <w:pPr>
              <w:jc w:val="center"/>
              <w:rPr>
                <w:rFonts w:hint="eastAsia" w:ascii="宋体" w:hAnsi="宋体" w:eastAsia="宋体" w:cs="宋体"/>
                <w:b/>
                <w:bCs/>
                <w:color w:val="auto"/>
                <w:sz w:val="24"/>
              </w:rPr>
            </w:pPr>
          </w:p>
        </w:tc>
        <w:tc>
          <w:tcPr>
            <w:tcW w:w="838"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027" w:type="pct"/>
            <w:gridSpan w:val="4"/>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主任室</w:t>
            </w:r>
          </w:p>
        </w:tc>
        <w:tc>
          <w:tcPr>
            <w:tcW w:w="838"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幸福树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027" w:type="pct"/>
            <w:gridSpan w:val="4"/>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电梯间</w:t>
            </w:r>
          </w:p>
        </w:tc>
        <w:tc>
          <w:tcPr>
            <w:tcW w:w="838"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027" w:type="pct"/>
            <w:gridSpan w:val="4"/>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小计</w:t>
            </w:r>
          </w:p>
        </w:tc>
        <w:tc>
          <w:tcPr>
            <w:tcW w:w="838" w:type="pct"/>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二十一楼过道</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10</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大型：5</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中型：12</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龙须木</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医生室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袖珍椰子</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护士站</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心叶藤</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主任室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幸福树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电梯间</w:t>
            </w:r>
          </w:p>
        </w:tc>
        <w:tc>
          <w:tcPr>
            <w:tcW w:w="952" w:type="pct"/>
            <w:gridSpan w:val="2"/>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lang w:val="en-US" w:eastAsia="zh-CN"/>
              </w:rPr>
              <w:t>1</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小计</w:t>
            </w:r>
          </w:p>
        </w:tc>
        <w:tc>
          <w:tcPr>
            <w:tcW w:w="952" w:type="pct"/>
            <w:gridSpan w:val="2"/>
            <w:noWrap w:val="0"/>
            <w:vAlign w:val="center"/>
          </w:tcPr>
          <w:p>
            <w:pPr>
              <w:jc w:val="center"/>
              <w:rPr>
                <w:rFonts w:hint="eastAsia" w:ascii="宋体" w:hAnsi="宋体" w:eastAsia="宋体" w:cs="宋体"/>
                <w:color w:val="auto"/>
                <w:sz w:val="24"/>
              </w:rPr>
            </w:pPr>
          </w:p>
        </w:tc>
        <w:tc>
          <w:tcPr>
            <w:tcW w:w="840" w:type="pct"/>
            <w:noWrap w:val="0"/>
            <w:vAlign w:val="center"/>
          </w:tcPr>
          <w:p>
            <w:pPr>
              <w:jc w:val="center"/>
              <w:rPr>
                <w:rFonts w:hint="eastAsia" w:ascii="宋体" w:hAnsi="宋体" w:eastAsia="宋体" w:cs="宋体"/>
                <w:color w:val="auto"/>
                <w:sz w:val="24"/>
              </w:rPr>
            </w:pPr>
          </w:p>
        </w:tc>
        <w:tc>
          <w:tcPr>
            <w:tcW w:w="707" w:type="pct"/>
            <w:noWrap w:val="0"/>
            <w:vAlign w:val="center"/>
          </w:tcPr>
          <w:p>
            <w:pPr>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18</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六楼</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螺纹铁</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4</w:t>
            </w:r>
          </w:p>
        </w:tc>
        <w:tc>
          <w:tcPr>
            <w:tcW w:w="759" w:type="pct"/>
            <w:vMerge w:val="restar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办公室</w:t>
            </w: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大型：7</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中型：18</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五楼会议室1</w:t>
            </w:r>
          </w:p>
        </w:tc>
        <w:tc>
          <w:tcPr>
            <w:tcW w:w="952" w:type="pct"/>
            <w:gridSpan w:val="2"/>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val="0"/>
                <w:bCs w:val="0"/>
                <w:color w:val="auto"/>
                <w:sz w:val="24"/>
                <w:lang w:eastAsia="zh-CN"/>
              </w:rPr>
              <w:t>一帆风顺</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color w:val="auto"/>
                <w:sz w:val="24"/>
                <w:lang w:val="en-US" w:eastAsia="zh-CN"/>
              </w:rPr>
              <w:t>8</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8</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接待室</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发财树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君子兰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红掌</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时令</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办公室1</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办公室2</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发财树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2</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办公室3</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发财树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兰花</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办公室4</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发财树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兰花</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办公室5</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发财树</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红掌</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时令</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兰花</w:t>
            </w:r>
          </w:p>
        </w:tc>
        <w:tc>
          <w:tcPr>
            <w:tcW w:w="840" w:type="pct"/>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中型</w:t>
            </w:r>
          </w:p>
        </w:tc>
        <w:tc>
          <w:tcPr>
            <w:tcW w:w="707" w:type="pct"/>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color w:val="auto"/>
                <w:sz w:val="21"/>
                <w:szCs w:val="21"/>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办公室6</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红掌</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时令</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一帆风顺</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办公室7</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restart"/>
            <w:noWrap w:val="0"/>
            <w:vAlign w:val="top"/>
          </w:tcPr>
          <w:p>
            <w:pPr>
              <w:jc w:val="center"/>
              <w:rPr>
                <w:rFonts w:hint="eastAsia" w:ascii="宋体" w:hAnsi="宋体" w:eastAsia="宋体" w:cs="宋体"/>
                <w:b/>
                <w:bCs/>
                <w:color w:val="auto"/>
                <w:sz w:val="24"/>
                <w:lang w:eastAsia="zh-CN"/>
              </w:rPr>
            </w:pPr>
          </w:p>
        </w:tc>
        <w:tc>
          <w:tcPr>
            <w:tcW w:w="827" w:type="pct"/>
            <w:vMerge w:val="restar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红掌</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时令</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w:t>
            </w:r>
          </w:p>
        </w:tc>
        <w:tc>
          <w:tcPr>
            <w:tcW w:w="759" w:type="pct"/>
            <w:vMerge w:val="continue"/>
            <w:noWrap w:val="0"/>
            <w:vAlign w:val="top"/>
          </w:tcPr>
          <w:p>
            <w:pPr>
              <w:jc w:val="center"/>
              <w:rPr>
                <w:rFonts w:hint="eastAsia" w:ascii="宋体" w:hAnsi="宋体" w:eastAsia="宋体" w:cs="宋体"/>
                <w:b/>
                <w:bCs/>
                <w:color w:val="auto"/>
                <w:sz w:val="24"/>
                <w:lang w:eastAsia="zh-CN"/>
              </w:rPr>
            </w:pPr>
          </w:p>
        </w:tc>
        <w:tc>
          <w:tcPr>
            <w:tcW w:w="827" w:type="pct"/>
            <w:vMerge w:val="continue"/>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小计</w:t>
            </w:r>
          </w:p>
        </w:tc>
        <w:tc>
          <w:tcPr>
            <w:tcW w:w="952" w:type="pct"/>
            <w:gridSpan w:val="2"/>
            <w:noWrap w:val="0"/>
            <w:vAlign w:val="center"/>
          </w:tcPr>
          <w:p>
            <w:pPr>
              <w:jc w:val="center"/>
              <w:rPr>
                <w:rFonts w:hint="eastAsia" w:ascii="宋体" w:hAnsi="宋体" w:eastAsia="宋体" w:cs="宋体"/>
                <w:b/>
                <w:bCs/>
                <w:color w:val="auto"/>
                <w:sz w:val="24"/>
              </w:rPr>
            </w:pPr>
          </w:p>
        </w:tc>
        <w:tc>
          <w:tcPr>
            <w:tcW w:w="840" w:type="pct"/>
            <w:noWrap w:val="0"/>
            <w:vAlign w:val="center"/>
          </w:tcPr>
          <w:p>
            <w:pPr>
              <w:jc w:val="center"/>
              <w:rPr>
                <w:rFonts w:hint="eastAsia" w:ascii="宋体" w:hAnsi="宋体" w:eastAsia="宋体" w:cs="宋体"/>
                <w:b/>
                <w:bCs/>
                <w:color w:val="auto"/>
                <w:sz w:val="24"/>
              </w:rPr>
            </w:pPr>
          </w:p>
        </w:tc>
        <w:tc>
          <w:tcPr>
            <w:tcW w:w="707"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rPr>
              <w:t>4</w:t>
            </w:r>
            <w:r>
              <w:rPr>
                <w:rFonts w:hint="eastAsia" w:ascii="宋体" w:hAnsi="宋体" w:eastAsia="宋体" w:cs="宋体"/>
                <w:b/>
                <w:bCs/>
                <w:color w:val="auto"/>
                <w:sz w:val="24"/>
                <w:lang w:val="en-US" w:eastAsia="zh-CN"/>
              </w:rPr>
              <w:t>3</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四楼</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夏威夷</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大型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4</w:t>
            </w:r>
          </w:p>
        </w:tc>
        <w:tc>
          <w:tcPr>
            <w:tcW w:w="759" w:type="pct"/>
            <w:vMerge w:val="restar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后勤楼</w:t>
            </w: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大型：4</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中型：6</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tcBorders>
              <w:left w:val="double" w:color="auto" w:sz="4" w:space="0"/>
            </w:tcBorders>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万年青</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中型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6</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tcBorders>
              <w:left w:val="double" w:color="auto" w:sz="4" w:space="0"/>
            </w:tcBorders>
            <w:noWrap w:val="0"/>
            <w:vAlign w:val="center"/>
          </w:tcPr>
          <w:p>
            <w:pPr>
              <w:jc w:val="center"/>
              <w:rPr>
                <w:rFonts w:hint="eastAsia" w:ascii="宋体" w:hAnsi="宋体" w:eastAsia="宋体" w:cs="宋体"/>
                <w:b/>
                <w:bCs/>
                <w:color w:val="auto"/>
                <w:sz w:val="24"/>
              </w:rPr>
            </w:pP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小型</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color w:val="auto"/>
                <w:sz w:val="24"/>
              </w:rPr>
              <w:t>12</w:t>
            </w:r>
          </w:p>
        </w:tc>
        <w:tc>
          <w:tcPr>
            <w:tcW w:w="759" w:type="pct"/>
            <w:vMerge w:val="continue"/>
            <w:tcBorders>
              <w:right w:val="single" w:color="auto" w:sz="4" w:space="0"/>
            </w:tcBorders>
            <w:noWrap w:val="0"/>
            <w:vAlign w:val="top"/>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小计</w:t>
            </w:r>
          </w:p>
        </w:tc>
        <w:tc>
          <w:tcPr>
            <w:tcW w:w="952" w:type="pct"/>
            <w:gridSpan w:val="2"/>
            <w:noWrap w:val="0"/>
            <w:vAlign w:val="center"/>
          </w:tcPr>
          <w:p>
            <w:pPr>
              <w:jc w:val="center"/>
              <w:rPr>
                <w:rFonts w:hint="eastAsia" w:ascii="宋体" w:hAnsi="宋体" w:eastAsia="宋体" w:cs="宋体"/>
                <w:b/>
                <w:bCs/>
                <w:color w:val="auto"/>
                <w:sz w:val="24"/>
              </w:rPr>
            </w:pPr>
          </w:p>
        </w:tc>
        <w:tc>
          <w:tcPr>
            <w:tcW w:w="840" w:type="pct"/>
            <w:noWrap w:val="0"/>
            <w:vAlign w:val="center"/>
          </w:tcPr>
          <w:p>
            <w:pPr>
              <w:jc w:val="center"/>
              <w:rPr>
                <w:rFonts w:hint="eastAsia" w:ascii="宋体" w:hAnsi="宋体" w:eastAsia="宋体" w:cs="宋体"/>
                <w:b/>
                <w:bCs/>
                <w:color w:val="auto"/>
                <w:sz w:val="24"/>
              </w:rPr>
            </w:pP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22</w:t>
            </w:r>
          </w:p>
        </w:tc>
        <w:tc>
          <w:tcPr>
            <w:tcW w:w="759" w:type="pct"/>
            <w:noWrap w:val="0"/>
            <w:vAlign w:val="top"/>
          </w:tcPr>
          <w:p>
            <w:pPr>
              <w:jc w:val="center"/>
              <w:rPr>
                <w:rFonts w:hint="eastAsia" w:ascii="宋体" w:hAnsi="宋体" w:eastAsia="宋体" w:cs="宋体"/>
                <w:b/>
                <w:bCs/>
                <w:color w:val="auto"/>
                <w:sz w:val="24"/>
                <w:lang w:eastAsia="zh-CN"/>
              </w:rPr>
            </w:pPr>
          </w:p>
        </w:tc>
        <w:tc>
          <w:tcPr>
            <w:tcW w:w="827" w:type="pct"/>
            <w:noWrap w:val="0"/>
            <w:vAlign w:val="top"/>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一楼</w:t>
            </w:r>
          </w:p>
        </w:tc>
        <w:tc>
          <w:tcPr>
            <w:tcW w:w="952" w:type="pct"/>
            <w:gridSpan w:val="2"/>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绿萝</w:t>
            </w:r>
          </w:p>
        </w:tc>
        <w:tc>
          <w:tcPr>
            <w:tcW w:w="840"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小型</w:t>
            </w: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10</w:t>
            </w:r>
          </w:p>
        </w:tc>
        <w:tc>
          <w:tcPr>
            <w:tcW w:w="759" w:type="pct"/>
            <w:vMerge w:val="restar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收费处</w:t>
            </w: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大型：1</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一楼</w:t>
            </w:r>
          </w:p>
        </w:tc>
        <w:tc>
          <w:tcPr>
            <w:tcW w:w="952" w:type="pct"/>
            <w:gridSpan w:val="2"/>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幸福树</w:t>
            </w:r>
          </w:p>
        </w:tc>
        <w:tc>
          <w:tcPr>
            <w:tcW w:w="840"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大型</w:t>
            </w: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小计</w:t>
            </w:r>
          </w:p>
        </w:tc>
        <w:tc>
          <w:tcPr>
            <w:tcW w:w="952" w:type="pct"/>
            <w:gridSpan w:val="2"/>
            <w:noWrap w:val="0"/>
            <w:vAlign w:val="center"/>
          </w:tcPr>
          <w:p>
            <w:pPr>
              <w:jc w:val="center"/>
              <w:rPr>
                <w:rFonts w:hint="eastAsia" w:ascii="宋体" w:hAnsi="宋体" w:eastAsia="宋体" w:cs="宋体"/>
                <w:b/>
                <w:bCs/>
                <w:color w:val="auto"/>
                <w:sz w:val="24"/>
              </w:rPr>
            </w:pPr>
          </w:p>
        </w:tc>
        <w:tc>
          <w:tcPr>
            <w:tcW w:w="840" w:type="pct"/>
            <w:noWrap w:val="0"/>
            <w:vAlign w:val="center"/>
          </w:tcPr>
          <w:p>
            <w:pPr>
              <w:jc w:val="center"/>
              <w:rPr>
                <w:rFonts w:hint="eastAsia" w:ascii="宋体" w:hAnsi="宋体" w:eastAsia="宋体" w:cs="宋体"/>
                <w:b/>
                <w:bCs/>
                <w:color w:val="auto"/>
                <w:sz w:val="24"/>
              </w:rPr>
            </w:pP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11</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四楼</w:t>
            </w:r>
          </w:p>
        </w:tc>
        <w:tc>
          <w:tcPr>
            <w:tcW w:w="952" w:type="pct"/>
            <w:gridSpan w:val="2"/>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万年青</w:t>
            </w:r>
          </w:p>
        </w:tc>
        <w:tc>
          <w:tcPr>
            <w:tcW w:w="840"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小型</w:t>
            </w: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8</w:t>
            </w:r>
          </w:p>
        </w:tc>
        <w:tc>
          <w:tcPr>
            <w:tcW w:w="759" w:type="pct"/>
            <w:vMerge w:val="restar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体检中心（新地址）</w:t>
            </w: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大型：3</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中型：5</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tcBorders>
              <w:left w:val="double" w:color="auto" w:sz="4" w:space="0"/>
            </w:tcBorders>
            <w:noWrap w:val="0"/>
            <w:vAlign w:val="center"/>
          </w:tcPr>
          <w:p>
            <w:pPr>
              <w:jc w:val="center"/>
              <w:rPr>
                <w:rFonts w:hint="eastAsia" w:ascii="宋体" w:hAnsi="宋体" w:eastAsia="宋体" w:cs="宋体"/>
                <w:b/>
                <w:bCs/>
                <w:color w:val="auto"/>
                <w:sz w:val="24"/>
                <w:lang w:eastAsia="zh-CN"/>
              </w:rPr>
            </w:pPr>
          </w:p>
        </w:tc>
        <w:tc>
          <w:tcPr>
            <w:tcW w:w="952" w:type="pct"/>
            <w:gridSpan w:val="2"/>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夏威夷</w:t>
            </w:r>
          </w:p>
        </w:tc>
        <w:tc>
          <w:tcPr>
            <w:tcW w:w="840"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大型</w:t>
            </w: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tcBorders>
              <w:left w:val="double" w:color="auto" w:sz="4" w:space="0"/>
            </w:tcBorders>
            <w:noWrap w:val="0"/>
            <w:vAlign w:val="center"/>
          </w:tcPr>
          <w:p>
            <w:pPr>
              <w:jc w:val="center"/>
              <w:rPr>
                <w:rFonts w:hint="eastAsia" w:ascii="宋体" w:hAnsi="宋体" w:eastAsia="宋体" w:cs="宋体"/>
                <w:color w:val="auto"/>
                <w:sz w:val="24"/>
                <w:lang w:eastAsia="zh-CN"/>
              </w:rPr>
            </w:pPr>
          </w:p>
        </w:tc>
        <w:tc>
          <w:tcPr>
            <w:tcW w:w="952" w:type="pct"/>
            <w:gridSpan w:val="2"/>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吉利红星</w:t>
            </w:r>
          </w:p>
        </w:tc>
        <w:tc>
          <w:tcPr>
            <w:tcW w:w="840"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小型</w:t>
            </w: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tcBorders>
              <w:left w:val="double" w:color="auto" w:sz="4" w:space="0"/>
            </w:tcBorders>
            <w:noWrap w:val="0"/>
            <w:vAlign w:val="center"/>
          </w:tcPr>
          <w:p>
            <w:pPr>
              <w:jc w:val="center"/>
              <w:rPr>
                <w:rFonts w:hint="eastAsia" w:ascii="宋体" w:hAnsi="宋体" w:eastAsia="宋体" w:cs="宋体"/>
                <w:color w:val="auto"/>
                <w:sz w:val="24"/>
                <w:lang w:eastAsia="zh-CN"/>
              </w:rPr>
            </w:pPr>
          </w:p>
        </w:tc>
        <w:tc>
          <w:tcPr>
            <w:tcW w:w="952" w:type="pct"/>
            <w:gridSpan w:val="2"/>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小绿萝</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lang w:eastAsia="zh-CN"/>
              </w:rPr>
              <w:t>小型</w:t>
            </w: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tcBorders>
              <w:left w:val="double" w:color="auto" w:sz="4" w:space="0"/>
            </w:tcBorders>
            <w:noWrap w:val="0"/>
            <w:vAlign w:val="center"/>
          </w:tcPr>
          <w:p>
            <w:pPr>
              <w:jc w:val="center"/>
              <w:rPr>
                <w:rFonts w:hint="eastAsia" w:ascii="宋体" w:hAnsi="宋体" w:eastAsia="宋体" w:cs="宋体"/>
                <w:color w:val="auto"/>
                <w:sz w:val="24"/>
                <w:lang w:eastAsia="zh-CN"/>
              </w:rPr>
            </w:pPr>
          </w:p>
        </w:tc>
        <w:tc>
          <w:tcPr>
            <w:tcW w:w="952" w:type="pct"/>
            <w:gridSpan w:val="2"/>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绿萝</w:t>
            </w:r>
          </w:p>
        </w:tc>
        <w:tc>
          <w:tcPr>
            <w:tcW w:w="840"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大型</w:t>
            </w: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tcBorders>
              <w:left w:val="double" w:color="auto" w:sz="4" w:space="0"/>
            </w:tcBorders>
            <w:noWrap w:val="0"/>
            <w:vAlign w:val="center"/>
          </w:tcPr>
          <w:p>
            <w:pPr>
              <w:jc w:val="center"/>
              <w:rPr>
                <w:rFonts w:hint="eastAsia" w:ascii="宋体" w:hAnsi="宋体" w:eastAsia="宋体" w:cs="宋体"/>
                <w:color w:val="auto"/>
                <w:sz w:val="24"/>
                <w:lang w:eastAsia="zh-CN"/>
              </w:rPr>
            </w:pPr>
          </w:p>
        </w:tc>
        <w:tc>
          <w:tcPr>
            <w:tcW w:w="952" w:type="pct"/>
            <w:gridSpan w:val="2"/>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螺纹铁</w:t>
            </w:r>
          </w:p>
        </w:tc>
        <w:tc>
          <w:tcPr>
            <w:tcW w:w="840"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中型</w:t>
            </w: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五楼</w:t>
            </w:r>
          </w:p>
        </w:tc>
        <w:tc>
          <w:tcPr>
            <w:tcW w:w="952" w:type="pct"/>
            <w:gridSpan w:val="2"/>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小绿萝</w:t>
            </w:r>
          </w:p>
        </w:tc>
        <w:tc>
          <w:tcPr>
            <w:tcW w:w="840"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小型</w:t>
            </w: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tcBorders>
              <w:left w:val="double" w:color="auto" w:sz="4" w:space="0"/>
            </w:tcBorders>
            <w:noWrap w:val="0"/>
            <w:vAlign w:val="center"/>
          </w:tcPr>
          <w:p>
            <w:pPr>
              <w:jc w:val="center"/>
              <w:rPr>
                <w:rFonts w:hint="eastAsia" w:ascii="宋体" w:hAnsi="宋体" w:eastAsia="宋体" w:cs="宋体"/>
                <w:color w:val="auto"/>
                <w:sz w:val="24"/>
                <w:lang w:eastAsia="zh-CN"/>
              </w:rPr>
            </w:pPr>
          </w:p>
        </w:tc>
        <w:tc>
          <w:tcPr>
            <w:tcW w:w="952" w:type="pct"/>
            <w:gridSpan w:val="2"/>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平安树</w:t>
            </w:r>
          </w:p>
        </w:tc>
        <w:tc>
          <w:tcPr>
            <w:tcW w:w="840"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中型</w:t>
            </w: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tcBorders>
              <w:left w:val="double" w:color="auto" w:sz="4" w:space="0"/>
            </w:tcBorders>
            <w:noWrap w:val="0"/>
            <w:vAlign w:val="center"/>
          </w:tcPr>
          <w:p>
            <w:pPr>
              <w:jc w:val="center"/>
              <w:rPr>
                <w:rFonts w:hint="eastAsia" w:ascii="宋体" w:hAnsi="宋体" w:eastAsia="宋体" w:cs="宋体"/>
                <w:color w:val="auto"/>
                <w:sz w:val="24"/>
                <w:lang w:eastAsia="zh-CN"/>
              </w:rPr>
            </w:pPr>
          </w:p>
        </w:tc>
        <w:tc>
          <w:tcPr>
            <w:tcW w:w="952" w:type="pct"/>
            <w:gridSpan w:val="2"/>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螺纹铁</w:t>
            </w:r>
          </w:p>
        </w:tc>
        <w:tc>
          <w:tcPr>
            <w:tcW w:w="840" w:type="pct"/>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中型</w:t>
            </w: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小计</w:t>
            </w:r>
          </w:p>
        </w:tc>
        <w:tc>
          <w:tcPr>
            <w:tcW w:w="952" w:type="pct"/>
            <w:gridSpan w:val="2"/>
            <w:noWrap w:val="0"/>
            <w:vAlign w:val="center"/>
          </w:tcPr>
          <w:p>
            <w:pPr>
              <w:jc w:val="center"/>
              <w:rPr>
                <w:rFonts w:hint="eastAsia" w:ascii="宋体" w:hAnsi="宋体" w:eastAsia="宋体" w:cs="宋体"/>
                <w:b/>
                <w:bCs/>
                <w:color w:val="auto"/>
                <w:sz w:val="24"/>
              </w:rPr>
            </w:pPr>
          </w:p>
        </w:tc>
        <w:tc>
          <w:tcPr>
            <w:tcW w:w="840" w:type="pct"/>
            <w:noWrap w:val="0"/>
            <w:vAlign w:val="center"/>
          </w:tcPr>
          <w:p>
            <w:pPr>
              <w:jc w:val="center"/>
              <w:rPr>
                <w:rFonts w:hint="eastAsia" w:ascii="宋体" w:hAnsi="宋体" w:eastAsia="宋体" w:cs="宋体"/>
                <w:b/>
                <w:bCs/>
                <w:color w:val="auto"/>
                <w:sz w:val="24"/>
              </w:rPr>
            </w:pPr>
          </w:p>
        </w:tc>
        <w:tc>
          <w:tcPr>
            <w:tcW w:w="707" w:type="pct"/>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22</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5000" w:type="pct"/>
            <w:gridSpan w:val="9"/>
            <w:tcBorders>
              <w:top w:val="double" w:color="auto" w:sz="4" w:space="0"/>
              <w:left w:val="double" w:color="auto" w:sz="4" w:space="0"/>
              <w:right w:val="double" w:color="auto" w:sz="4" w:space="0"/>
            </w:tcBorders>
            <w:noWrap w:val="0"/>
            <w:vAlign w:val="center"/>
          </w:tcPr>
          <w:p>
            <w:pPr>
              <w:jc w:val="center"/>
              <w:rPr>
                <w:rFonts w:hint="eastAsia" w:ascii="宋体" w:hAnsi="宋体" w:eastAsia="宋体" w:cs="宋体"/>
                <w:b/>
                <w:color w:val="auto"/>
                <w:sz w:val="24"/>
                <w:lang w:eastAsia="zh-CN"/>
              </w:rPr>
            </w:pPr>
            <w:r>
              <w:rPr>
                <w:rFonts w:hint="eastAsia" w:ascii="宋体" w:hAnsi="宋体" w:eastAsia="宋体" w:cs="宋体"/>
                <w:b/>
                <w:color w:val="auto"/>
                <w:sz w:val="30"/>
                <w:szCs w:val="30"/>
                <w:lang w:eastAsia="zh-CN"/>
              </w:rPr>
              <w:t>绿植明细表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位置</w:t>
            </w:r>
          </w:p>
        </w:tc>
        <w:tc>
          <w:tcPr>
            <w:tcW w:w="952" w:type="pct"/>
            <w:gridSpan w:val="2"/>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绿植名称</w:t>
            </w:r>
          </w:p>
        </w:tc>
        <w:tc>
          <w:tcPr>
            <w:tcW w:w="840"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规格</w:t>
            </w:r>
          </w:p>
        </w:tc>
        <w:tc>
          <w:tcPr>
            <w:tcW w:w="707" w:type="pct"/>
            <w:noWrap w:val="0"/>
            <w:vAlign w:val="center"/>
          </w:tcPr>
          <w:p>
            <w:pPr>
              <w:jc w:val="center"/>
              <w:rPr>
                <w:rFonts w:hint="eastAsia" w:ascii="宋体" w:hAnsi="宋体" w:eastAsia="宋体" w:cs="宋体"/>
                <w:b/>
                <w:bCs/>
                <w:color w:val="auto"/>
                <w:sz w:val="24"/>
              </w:rPr>
            </w:pPr>
            <w:r>
              <w:rPr>
                <w:rFonts w:hint="eastAsia" w:ascii="宋体" w:hAnsi="宋体" w:eastAsia="宋体" w:cs="宋体"/>
                <w:b/>
                <w:bCs/>
                <w:color w:val="auto"/>
                <w:sz w:val="24"/>
              </w:rPr>
              <w:t>数量</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科室</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lang w:eastAsia="zh-CN"/>
              </w:rPr>
              <w:t>病区</w:t>
            </w: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restart"/>
            <w:tcBorders>
              <w:left w:val="doub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一楼</w:t>
            </w:r>
          </w:p>
        </w:tc>
        <w:tc>
          <w:tcPr>
            <w:tcW w:w="952" w:type="pct"/>
            <w:gridSpan w:val="2"/>
            <w:shd w:val="clear" w:color="auto" w:fill="auto"/>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万年青</w:t>
            </w:r>
          </w:p>
        </w:tc>
        <w:tc>
          <w:tcPr>
            <w:tcW w:w="840" w:type="pct"/>
            <w:shd w:val="clear" w:color="auto" w:fill="auto"/>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中型</w:t>
            </w:r>
          </w:p>
        </w:tc>
        <w:tc>
          <w:tcPr>
            <w:tcW w:w="707" w:type="pct"/>
            <w:shd w:val="clear" w:color="auto" w:fill="auto"/>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6</w:t>
            </w:r>
          </w:p>
        </w:tc>
        <w:tc>
          <w:tcPr>
            <w:tcW w:w="759" w:type="pct"/>
            <w:vMerge w:val="restart"/>
            <w:tcBorders>
              <w:right w:val="single" w:color="auto" w:sz="4" w:space="0"/>
            </w:tcBorders>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红十字救护培训中心（后勤楼一楼）</w:t>
            </w:r>
          </w:p>
        </w:tc>
        <w:tc>
          <w:tcPr>
            <w:tcW w:w="827" w:type="pct"/>
            <w:vMerge w:val="restar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大型：2</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中型：10</w:t>
            </w:r>
          </w:p>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小型：4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tcBorders>
              <w:left w:val="double" w:color="auto" w:sz="4" w:space="0"/>
            </w:tcBorders>
            <w:noWrap w:val="0"/>
            <w:vAlign w:val="center"/>
          </w:tcPr>
          <w:p>
            <w:pPr>
              <w:jc w:val="center"/>
              <w:rPr>
                <w:rFonts w:hint="eastAsia" w:ascii="宋体" w:hAnsi="宋体" w:eastAsia="宋体" w:cs="宋体"/>
                <w:b/>
                <w:bCs/>
                <w:color w:val="auto"/>
                <w:sz w:val="24"/>
                <w:lang w:eastAsia="zh-CN"/>
              </w:rPr>
            </w:pPr>
          </w:p>
        </w:tc>
        <w:tc>
          <w:tcPr>
            <w:tcW w:w="952" w:type="pct"/>
            <w:gridSpan w:val="2"/>
            <w:shd w:val="clear" w:color="auto" w:fill="auto"/>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龙须</w:t>
            </w:r>
          </w:p>
        </w:tc>
        <w:tc>
          <w:tcPr>
            <w:tcW w:w="840" w:type="pct"/>
            <w:shd w:val="clear" w:color="auto" w:fill="auto"/>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中型</w:t>
            </w:r>
          </w:p>
        </w:tc>
        <w:tc>
          <w:tcPr>
            <w:tcW w:w="707" w:type="pct"/>
            <w:shd w:val="clear" w:color="auto" w:fill="auto"/>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4</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tcBorders>
              <w:left w:val="double" w:color="auto" w:sz="4" w:space="0"/>
            </w:tcBorders>
            <w:noWrap w:val="0"/>
            <w:vAlign w:val="center"/>
          </w:tcPr>
          <w:p>
            <w:pPr>
              <w:jc w:val="center"/>
              <w:rPr>
                <w:rFonts w:hint="eastAsia" w:ascii="宋体" w:hAnsi="宋体" w:eastAsia="宋体" w:cs="宋体"/>
                <w:color w:val="auto"/>
                <w:sz w:val="24"/>
                <w:lang w:eastAsia="zh-CN"/>
              </w:rPr>
            </w:pPr>
          </w:p>
        </w:tc>
        <w:tc>
          <w:tcPr>
            <w:tcW w:w="952" w:type="pct"/>
            <w:gridSpan w:val="2"/>
            <w:shd w:val="clear" w:color="auto" w:fill="auto"/>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一帆风顺</w:t>
            </w:r>
          </w:p>
        </w:tc>
        <w:tc>
          <w:tcPr>
            <w:tcW w:w="840" w:type="pct"/>
            <w:shd w:val="clear" w:color="auto" w:fill="auto"/>
            <w:noWrap w:val="0"/>
            <w:vAlign w:val="center"/>
          </w:tcPr>
          <w:p>
            <w:pPr>
              <w:jc w:val="center"/>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小型</w:t>
            </w:r>
          </w:p>
        </w:tc>
        <w:tc>
          <w:tcPr>
            <w:tcW w:w="707" w:type="pct"/>
            <w:shd w:val="clear" w:color="auto" w:fill="auto"/>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4</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vMerge w:val="continue"/>
            <w:tcBorders>
              <w:left w:val="double" w:color="auto" w:sz="4" w:space="0"/>
            </w:tcBorders>
            <w:noWrap w:val="0"/>
            <w:vAlign w:val="center"/>
          </w:tcPr>
          <w:p>
            <w:pPr>
              <w:jc w:val="center"/>
              <w:rPr>
                <w:rFonts w:hint="eastAsia" w:ascii="宋体" w:hAnsi="宋体" w:eastAsia="宋体" w:cs="宋体"/>
                <w:color w:val="auto"/>
                <w:sz w:val="24"/>
                <w:lang w:eastAsia="zh-CN"/>
              </w:rPr>
            </w:pPr>
          </w:p>
        </w:tc>
        <w:tc>
          <w:tcPr>
            <w:tcW w:w="952" w:type="pct"/>
            <w:gridSpan w:val="2"/>
            <w:shd w:val="clear" w:color="auto" w:fill="auto"/>
            <w:noWrap w:val="0"/>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eastAsia="zh-CN"/>
              </w:rPr>
              <w:t>绿萝</w:t>
            </w:r>
          </w:p>
        </w:tc>
        <w:tc>
          <w:tcPr>
            <w:tcW w:w="840" w:type="pct"/>
            <w:shd w:val="clear" w:color="auto" w:fill="auto"/>
            <w:noWrap w:val="0"/>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eastAsia="zh-CN"/>
              </w:rPr>
              <w:t>大型</w:t>
            </w:r>
          </w:p>
        </w:tc>
        <w:tc>
          <w:tcPr>
            <w:tcW w:w="707" w:type="pct"/>
            <w:shd w:val="clear" w:color="auto" w:fill="auto"/>
            <w:noWrap w:val="0"/>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val="en-US" w:eastAsia="zh-CN"/>
              </w:rPr>
              <w:t>2</w:t>
            </w:r>
          </w:p>
        </w:tc>
        <w:tc>
          <w:tcPr>
            <w:tcW w:w="759" w:type="pct"/>
            <w:vMerge w:val="continue"/>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vMerge w:val="continue"/>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912" w:type="pct"/>
            <w:gridSpan w:val="3"/>
            <w:tcBorders>
              <w:left w:val="double" w:color="auto" w:sz="4" w:space="0"/>
            </w:tcBorders>
            <w:noWrap w:val="0"/>
            <w:vAlign w:val="center"/>
          </w:tcPr>
          <w:p>
            <w:pPr>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小计</w:t>
            </w:r>
          </w:p>
        </w:tc>
        <w:tc>
          <w:tcPr>
            <w:tcW w:w="952" w:type="pct"/>
            <w:gridSpan w:val="2"/>
            <w:shd w:val="clear" w:color="auto" w:fill="auto"/>
            <w:noWrap w:val="0"/>
            <w:vAlign w:val="center"/>
          </w:tcPr>
          <w:p>
            <w:pPr>
              <w:jc w:val="center"/>
              <w:rPr>
                <w:rFonts w:hint="eastAsia" w:ascii="宋体" w:hAnsi="宋体" w:eastAsia="宋体" w:cs="宋体"/>
                <w:b/>
                <w:bCs/>
                <w:color w:val="auto"/>
                <w:sz w:val="24"/>
                <w:lang w:eastAsia="zh-CN"/>
              </w:rPr>
            </w:pPr>
          </w:p>
        </w:tc>
        <w:tc>
          <w:tcPr>
            <w:tcW w:w="840" w:type="pct"/>
            <w:shd w:val="clear" w:color="auto" w:fill="auto"/>
            <w:noWrap w:val="0"/>
            <w:vAlign w:val="center"/>
          </w:tcPr>
          <w:p>
            <w:pPr>
              <w:jc w:val="center"/>
              <w:rPr>
                <w:rFonts w:hint="eastAsia" w:ascii="宋体" w:hAnsi="宋体" w:eastAsia="宋体" w:cs="宋体"/>
                <w:b/>
                <w:bCs/>
                <w:color w:val="auto"/>
                <w:sz w:val="24"/>
                <w:lang w:eastAsia="zh-CN"/>
              </w:rPr>
            </w:pPr>
          </w:p>
        </w:tc>
        <w:tc>
          <w:tcPr>
            <w:tcW w:w="707" w:type="pct"/>
            <w:shd w:val="clear" w:color="auto" w:fill="auto"/>
            <w:noWrap w:val="0"/>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16</w:t>
            </w:r>
          </w:p>
        </w:tc>
        <w:tc>
          <w:tcPr>
            <w:tcW w:w="759" w:type="pct"/>
            <w:tcBorders>
              <w:right w:val="single" w:color="auto" w:sz="4" w:space="0"/>
            </w:tcBorders>
            <w:noWrap w:val="0"/>
            <w:vAlign w:val="center"/>
          </w:tcPr>
          <w:p>
            <w:pPr>
              <w:jc w:val="center"/>
              <w:rPr>
                <w:rFonts w:hint="eastAsia" w:ascii="宋体" w:hAnsi="宋体" w:eastAsia="宋体" w:cs="宋体"/>
                <w:b/>
                <w:bCs/>
                <w:color w:val="auto"/>
                <w:sz w:val="24"/>
                <w:lang w:eastAsia="zh-CN"/>
              </w:rPr>
            </w:pPr>
          </w:p>
        </w:tc>
        <w:tc>
          <w:tcPr>
            <w:tcW w:w="827" w:type="pct"/>
            <w:tcBorders>
              <w:right w:val="double" w:color="auto" w:sz="4" w:space="0"/>
            </w:tcBorders>
            <w:noWrap w:val="0"/>
            <w:vAlign w:val="center"/>
          </w:tcPr>
          <w:p>
            <w:pPr>
              <w:jc w:val="center"/>
              <w:rPr>
                <w:rFonts w:hint="eastAsia" w:ascii="宋体" w:hAnsi="宋体" w:eastAsia="宋体" w:cs="宋体"/>
                <w:b/>
                <w:bCs/>
                <w:color w:val="auto"/>
                <w:sz w:val="24"/>
                <w:lang w:val="en-US" w:eastAsia="zh-CN"/>
              </w:rPr>
            </w:pPr>
          </w:p>
        </w:tc>
      </w:tr>
    </w:tbl>
    <w:p>
      <w:pPr>
        <w:pStyle w:val="24"/>
        <w:rPr>
          <w:rFonts w:ascii="宋体" w:hAnsi="宋体" w:eastAsia="宋体"/>
          <w:b/>
          <w:sz w:val="32"/>
          <w:szCs w:val="32"/>
        </w:rPr>
      </w:pPr>
      <w:r>
        <w:rPr>
          <w:rFonts w:hint="eastAsia" w:ascii="宋体" w:hAnsi="宋体" w:eastAsia="宋体"/>
          <w:b/>
          <w:kern w:val="2"/>
          <w:sz w:val="24"/>
          <w:szCs w:val="24"/>
        </w:rPr>
        <w:t>注：以上规格大型指绿植高度大于2米；中型指绿植高度1.2~2米；小型指绿植高度小于1.2米。</w:t>
      </w:r>
    </w:p>
    <w:p>
      <w:pPr>
        <w:spacing w:line="360" w:lineRule="auto"/>
        <w:jc w:val="center"/>
        <w:rPr>
          <w:rFonts w:ascii="宋体" w:hAnsi="宋体" w:eastAsia="宋体"/>
          <w:b/>
          <w:sz w:val="32"/>
          <w:szCs w:val="32"/>
        </w:rPr>
      </w:pPr>
    </w:p>
    <w:p>
      <w:pPr>
        <w:spacing w:line="360" w:lineRule="auto"/>
        <w:jc w:val="center"/>
        <w:rPr>
          <w:rFonts w:ascii="宋体" w:hAnsi="宋体" w:eastAsia="宋体"/>
          <w:b/>
          <w:sz w:val="32"/>
          <w:szCs w:val="32"/>
        </w:rPr>
      </w:pPr>
      <w:r>
        <w:rPr>
          <w:rFonts w:hint="eastAsia" w:ascii="宋体" w:hAnsi="宋体" w:eastAsia="宋体"/>
          <w:b/>
          <w:sz w:val="32"/>
          <w:szCs w:val="32"/>
        </w:rPr>
        <w:t>采购人自有绿化（红线范围以外部分）</w:t>
      </w:r>
    </w:p>
    <w:p>
      <w:pPr>
        <w:spacing w:line="360" w:lineRule="auto"/>
        <w:rPr>
          <w:rFonts w:ascii="宋体" w:hAnsi="宋体" w:eastAsia="宋体"/>
          <w:b/>
          <w:sz w:val="24"/>
          <w:szCs w:val="24"/>
        </w:rPr>
      </w:pPr>
      <w:r>
        <w:rPr>
          <w:rFonts w:hint="eastAsia" w:ascii="宋体" w:hAnsi="宋体" w:eastAsia="宋体"/>
          <w:b/>
          <w:sz w:val="24"/>
          <w:szCs w:val="24"/>
        </w:rPr>
        <w:drawing>
          <wp:inline distT="0" distB="0" distL="114300" distR="114300">
            <wp:extent cx="5334000" cy="3767455"/>
            <wp:effectExtent l="0" t="0" r="0" b="4445"/>
            <wp:docPr id="2" name="图片 2" descr="微信图片_20200506140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506140350"/>
                    <pic:cNvPicPr>
                      <a:picLocks noChangeAspect="1"/>
                    </pic:cNvPicPr>
                  </pic:nvPicPr>
                  <pic:blipFill>
                    <a:blip r:embed="rId9"/>
                    <a:stretch>
                      <a:fillRect/>
                    </a:stretch>
                  </pic:blipFill>
                  <pic:spPr>
                    <a:xfrm>
                      <a:off x="0" y="0"/>
                      <a:ext cx="5334000" cy="3767455"/>
                    </a:xfrm>
                    <a:prstGeom prst="rect">
                      <a:avLst/>
                    </a:prstGeom>
                    <a:noFill/>
                    <a:ln>
                      <a:noFill/>
                    </a:ln>
                  </pic:spPr>
                </pic:pic>
              </a:graphicData>
            </a:graphic>
          </wp:inline>
        </w:drawing>
      </w:r>
    </w:p>
    <w:p>
      <w:pPr>
        <w:widowControl/>
        <w:spacing w:line="480" w:lineRule="exact"/>
        <w:ind w:firstLine="482" w:firstLineChars="200"/>
        <w:contextualSpacing/>
        <w:rPr>
          <w:rFonts w:ascii="宋体" w:hAnsi="宋体" w:eastAsia="宋体"/>
          <w:b/>
          <w:sz w:val="24"/>
          <w:szCs w:val="24"/>
        </w:rPr>
      </w:pPr>
      <w:r>
        <w:rPr>
          <w:rFonts w:hint="eastAsia" w:ascii="宋体" w:hAnsi="宋体" w:eastAsia="宋体"/>
          <w:b/>
          <w:sz w:val="24"/>
          <w:szCs w:val="24"/>
        </w:rPr>
        <w:t>注：采购人自有绿化部分见上图（不含红线范围内的内容），约14000m</w:t>
      </w:r>
      <w:r>
        <w:rPr>
          <w:rFonts w:hint="eastAsia" w:ascii="宋体" w:hAnsi="宋体" w:eastAsia="宋体"/>
          <w:b/>
          <w:sz w:val="24"/>
          <w:szCs w:val="24"/>
          <w:vertAlign w:val="superscript"/>
        </w:rPr>
        <w:t>2</w:t>
      </w:r>
      <w:r>
        <w:rPr>
          <w:rFonts w:hint="eastAsia" w:ascii="宋体" w:hAnsi="宋体" w:eastAsia="宋体"/>
          <w:b/>
          <w:sz w:val="24"/>
          <w:szCs w:val="24"/>
        </w:rPr>
        <w:t>，请各供应商自行踏勘现场，如实际工程量与采购人给定的工程数量有差距，请各供应商综合考虑在报价内，按14000 m</w:t>
      </w:r>
      <w:r>
        <w:rPr>
          <w:rFonts w:hint="eastAsia" w:ascii="宋体" w:hAnsi="宋体" w:eastAsia="宋体"/>
          <w:b/>
          <w:sz w:val="24"/>
          <w:szCs w:val="24"/>
          <w:vertAlign w:val="superscript"/>
        </w:rPr>
        <w:t>2</w:t>
      </w:r>
      <w:r>
        <w:rPr>
          <w:rFonts w:hint="eastAsia" w:ascii="宋体" w:hAnsi="宋体" w:eastAsia="宋体"/>
          <w:b/>
          <w:sz w:val="24"/>
          <w:szCs w:val="24"/>
        </w:rPr>
        <w:t>的工程量计入综合单价。成交供应商不得以实际工程量与采购不符或不了解现场状况为由，要求额外增加费用。</w:t>
      </w:r>
    </w:p>
    <w:p>
      <w:pPr>
        <w:spacing w:line="480" w:lineRule="exact"/>
        <w:ind w:firstLine="482" w:firstLineChars="200"/>
        <w:rPr>
          <w:rFonts w:ascii="宋体" w:hAnsi="宋体" w:eastAsia="宋体"/>
          <w:b/>
          <w:sz w:val="24"/>
          <w:szCs w:val="24"/>
        </w:rPr>
      </w:pPr>
      <w:r>
        <w:rPr>
          <w:rFonts w:hint="eastAsia" w:ascii="宋体" w:hAnsi="宋体" w:eastAsia="宋体"/>
          <w:b/>
          <w:sz w:val="24"/>
          <w:szCs w:val="24"/>
        </w:rPr>
        <w:t>二、租赁及养护要求</w:t>
      </w:r>
    </w:p>
    <w:p>
      <w:pPr>
        <w:snapToGrid w:val="0"/>
        <w:spacing w:line="480" w:lineRule="exact"/>
        <w:ind w:firstLine="480" w:firstLineChars="200"/>
        <w:jc w:val="left"/>
        <w:rPr>
          <w:rFonts w:eastAsia="宋体"/>
          <w:sz w:val="24"/>
          <w:szCs w:val="24"/>
        </w:rPr>
      </w:pPr>
      <w:r>
        <w:rPr>
          <w:rFonts w:hint="eastAsia" w:eastAsia="宋体"/>
          <w:sz w:val="24"/>
          <w:szCs w:val="24"/>
        </w:rPr>
        <w:t>1、供应商应根据要求，向采购人提供优质的绿植花卉，合理安排摆放，满足采购人的采购需求。</w:t>
      </w:r>
    </w:p>
    <w:p>
      <w:pPr>
        <w:snapToGrid w:val="0"/>
        <w:spacing w:line="480" w:lineRule="exact"/>
        <w:ind w:firstLine="480" w:firstLineChars="200"/>
        <w:jc w:val="left"/>
        <w:rPr>
          <w:rFonts w:eastAsia="宋体"/>
          <w:sz w:val="24"/>
          <w:szCs w:val="24"/>
        </w:rPr>
      </w:pPr>
      <w:r>
        <w:rPr>
          <w:rFonts w:hint="eastAsia" w:eastAsia="宋体"/>
          <w:sz w:val="24"/>
          <w:szCs w:val="24"/>
        </w:rPr>
        <w:t>2、供应商须负责日常浇水、病虫害防治等养护工作，保持所有绿植的新鲜与美观，花盆、垫盆、套盆保持整洁，无灰尘、无积水、不外溢，确保无病虫害、枯枝烂叶等现象。</w:t>
      </w:r>
    </w:p>
    <w:p>
      <w:pPr>
        <w:snapToGrid w:val="0"/>
        <w:spacing w:line="480" w:lineRule="exact"/>
        <w:ind w:firstLine="480" w:firstLineChars="200"/>
        <w:jc w:val="left"/>
        <w:rPr>
          <w:rFonts w:eastAsia="宋体"/>
          <w:sz w:val="24"/>
          <w:szCs w:val="24"/>
        </w:rPr>
      </w:pPr>
      <w:r>
        <w:rPr>
          <w:rFonts w:hint="eastAsia" w:eastAsia="宋体"/>
          <w:sz w:val="24"/>
          <w:szCs w:val="24"/>
        </w:rPr>
        <w:t>3、为了做好绿植租摆与绿化养护服务，供应商每隔</w:t>
      </w:r>
      <w:r>
        <w:rPr>
          <w:rFonts w:eastAsia="宋体"/>
          <w:sz w:val="24"/>
          <w:szCs w:val="24"/>
        </w:rPr>
        <w:t>7</w:t>
      </w:r>
      <w:r>
        <w:rPr>
          <w:rFonts w:hint="eastAsia" w:eastAsia="宋体"/>
          <w:sz w:val="24"/>
          <w:szCs w:val="24"/>
        </w:rPr>
        <w:t>日对绿植进行养护，每月进行2次绿化养护。养护时间为采购人正常上班时间，特殊情况需要养护的，应事先预约；</w:t>
      </w:r>
    </w:p>
    <w:p>
      <w:pPr>
        <w:snapToGrid w:val="0"/>
        <w:spacing w:line="480" w:lineRule="exact"/>
        <w:ind w:firstLine="480" w:firstLineChars="200"/>
        <w:jc w:val="left"/>
        <w:rPr>
          <w:rFonts w:eastAsia="宋体"/>
          <w:sz w:val="24"/>
          <w:szCs w:val="24"/>
        </w:rPr>
      </w:pPr>
      <w:r>
        <w:rPr>
          <w:rFonts w:hint="eastAsia" w:eastAsia="宋体"/>
          <w:sz w:val="24"/>
          <w:szCs w:val="24"/>
        </w:rPr>
        <w:t>4、供应商在维护绿植时所产生的垃圾需按采购人规定处理，不随意处置；</w:t>
      </w:r>
    </w:p>
    <w:p>
      <w:pPr>
        <w:snapToGrid w:val="0"/>
        <w:spacing w:line="480" w:lineRule="exact"/>
        <w:ind w:firstLine="480" w:firstLineChars="200"/>
        <w:jc w:val="left"/>
        <w:rPr>
          <w:rFonts w:eastAsia="宋体"/>
          <w:sz w:val="24"/>
          <w:szCs w:val="24"/>
        </w:rPr>
      </w:pPr>
      <w:r>
        <w:rPr>
          <w:rFonts w:hint="eastAsia" w:eastAsia="宋体"/>
          <w:sz w:val="24"/>
          <w:szCs w:val="24"/>
        </w:rPr>
        <w:t>5、供应商应节约水电能源，不随意浪费，供应商应爱护绿植，不得随意移栽；</w:t>
      </w:r>
    </w:p>
    <w:p>
      <w:pPr>
        <w:snapToGrid w:val="0"/>
        <w:spacing w:line="480" w:lineRule="exact"/>
        <w:ind w:firstLine="480" w:firstLineChars="200"/>
        <w:jc w:val="left"/>
        <w:rPr>
          <w:rFonts w:eastAsia="宋体"/>
          <w:sz w:val="24"/>
          <w:szCs w:val="24"/>
        </w:rPr>
      </w:pPr>
      <w:r>
        <w:rPr>
          <w:rFonts w:hint="eastAsia" w:eastAsia="宋体"/>
          <w:sz w:val="24"/>
          <w:szCs w:val="24"/>
        </w:rPr>
        <w:t>6、供应商在春耕施肥和杀虫季节，按规定定期喷洒农药，并做好农药残渣对地面渗漏伤害的防护工作；</w:t>
      </w:r>
    </w:p>
    <w:p>
      <w:pPr>
        <w:snapToGrid w:val="0"/>
        <w:spacing w:line="480" w:lineRule="exact"/>
        <w:ind w:firstLine="482" w:firstLineChars="200"/>
        <w:jc w:val="left"/>
        <w:rPr>
          <w:rFonts w:eastAsia="宋体"/>
          <w:b/>
          <w:sz w:val="24"/>
          <w:szCs w:val="24"/>
        </w:rPr>
      </w:pPr>
      <w:r>
        <w:rPr>
          <w:rFonts w:hint="eastAsia" w:eastAsia="宋体"/>
          <w:b/>
          <w:sz w:val="24"/>
          <w:szCs w:val="24"/>
        </w:rPr>
        <w:t>7、如因成交供应商养护不周，导致绿植、绿化产生枯萎、病死、叶子严重脱落现象，无论为采购人自有还是租赁的绿植，供应商均须免费更换，且更换的绿植须得到采购人的认可。</w:t>
      </w:r>
    </w:p>
    <w:p>
      <w:pPr>
        <w:snapToGrid w:val="0"/>
        <w:spacing w:line="480" w:lineRule="exact"/>
        <w:ind w:firstLine="480" w:firstLineChars="200"/>
        <w:jc w:val="left"/>
        <w:rPr>
          <w:rFonts w:eastAsia="宋体"/>
          <w:sz w:val="24"/>
          <w:szCs w:val="24"/>
        </w:rPr>
      </w:pPr>
      <w:r>
        <w:rPr>
          <w:rFonts w:hint="eastAsia" w:eastAsia="宋体"/>
          <w:sz w:val="24"/>
          <w:szCs w:val="24"/>
        </w:rPr>
        <w:t>8、供应商</w:t>
      </w:r>
      <w:r>
        <w:rPr>
          <w:rFonts w:eastAsia="宋体"/>
          <w:sz w:val="24"/>
          <w:szCs w:val="24"/>
        </w:rPr>
        <w:t>应根据</w:t>
      </w:r>
      <w:r>
        <w:rPr>
          <w:rFonts w:hint="eastAsia" w:eastAsia="宋体"/>
          <w:sz w:val="24"/>
          <w:szCs w:val="24"/>
        </w:rPr>
        <w:t>采购人</w:t>
      </w:r>
      <w:r>
        <w:rPr>
          <w:rFonts w:eastAsia="宋体"/>
          <w:sz w:val="24"/>
          <w:szCs w:val="24"/>
        </w:rPr>
        <w:t>要求更换应季盆景</w:t>
      </w:r>
      <w:r>
        <w:rPr>
          <w:rFonts w:hint="eastAsia" w:eastAsia="宋体"/>
          <w:sz w:val="24"/>
          <w:szCs w:val="24"/>
        </w:rPr>
        <w:t>，及时更换失去观赏价值的绿植</w:t>
      </w:r>
      <w:r>
        <w:rPr>
          <w:rFonts w:eastAsia="宋体"/>
          <w:sz w:val="24"/>
          <w:szCs w:val="24"/>
        </w:rPr>
        <w:t>。</w:t>
      </w:r>
    </w:p>
    <w:p>
      <w:pPr>
        <w:spacing w:line="480" w:lineRule="exact"/>
        <w:ind w:firstLine="482" w:firstLineChars="200"/>
        <w:rPr>
          <w:rFonts w:ascii="宋体" w:hAnsi="宋体" w:eastAsia="宋体"/>
          <w:b/>
          <w:sz w:val="24"/>
          <w:szCs w:val="24"/>
        </w:rPr>
      </w:pPr>
      <w:r>
        <w:rPr>
          <w:rFonts w:hint="eastAsia" w:ascii="宋体" w:hAnsi="宋体" w:eastAsia="宋体"/>
          <w:b/>
          <w:sz w:val="24"/>
          <w:szCs w:val="24"/>
        </w:rPr>
        <w:t>三、服务期限等</w:t>
      </w:r>
    </w:p>
    <w:p>
      <w:pPr>
        <w:snapToGrid w:val="0"/>
        <w:spacing w:line="480" w:lineRule="exact"/>
        <w:ind w:firstLine="480" w:firstLineChars="200"/>
        <w:jc w:val="left"/>
        <w:rPr>
          <w:rFonts w:eastAsia="宋体"/>
          <w:sz w:val="24"/>
          <w:szCs w:val="24"/>
        </w:rPr>
      </w:pPr>
      <w:r>
        <w:rPr>
          <w:rFonts w:eastAsia="宋体"/>
          <w:sz w:val="24"/>
          <w:szCs w:val="24"/>
        </w:rPr>
        <w:t>1、签定合同日期：</w:t>
      </w:r>
      <w:r>
        <w:rPr>
          <w:rFonts w:hint="eastAsia" w:eastAsia="宋体"/>
          <w:sz w:val="24"/>
          <w:szCs w:val="24"/>
        </w:rPr>
        <w:t>本项目</w:t>
      </w:r>
      <w:r>
        <w:rPr>
          <w:rFonts w:eastAsia="宋体"/>
          <w:sz w:val="24"/>
          <w:szCs w:val="24"/>
        </w:rPr>
        <w:t>中标（成交）通知书发出</w:t>
      </w:r>
      <w:r>
        <w:rPr>
          <w:rFonts w:hint="eastAsia" w:eastAsia="宋体"/>
          <w:sz w:val="24"/>
          <w:szCs w:val="24"/>
        </w:rPr>
        <w:t>之日</w:t>
      </w:r>
      <w:r>
        <w:rPr>
          <w:rFonts w:hint="eastAsia" w:eastAsia="宋体"/>
          <w:sz w:val="24"/>
          <w:szCs w:val="24"/>
          <w:highlight w:val="none"/>
        </w:rPr>
        <w:t>起30</w:t>
      </w:r>
      <w:r>
        <w:rPr>
          <w:rFonts w:eastAsia="宋体"/>
          <w:sz w:val="24"/>
          <w:szCs w:val="24"/>
          <w:highlight w:val="none"/>
        </w:rPr>
        <w:t>日内与采购</w:t>
      </w:r>
      <w:r>
        <w:rPr>
          <w:rFonts w:eastAsia="宋体"/>
          <w:sz w:val="24"/>
          <w:szCs w:val="24"/>
        </w:rPr>
        <w:t>人</w:t>
      </w:r>
      <w:r>
        <w:rPr>
          <w:rFonts w:hint="eastAsia" w:eastAsia="宋体"/>
          <w:sz w:val="24"/>
          <w:szCs w:val="24"/>
        </w:rPr>
        <w:t>签订</w:t>
      </w:r>
      <w:r>
        <w:rPr>
          <w:rFonts w:eastAsia="宋体"/>
          <w:sz w:val="24"/>
          <w:szCs w:val="24"/>
        </w:rPr>
        <w:t>本项目的服务合同</w:t>
      </w:r>
      <w:r>
        <w:rPr>
          <w:rFonts w:hint="eastAsia" w:eastAsia="宋体"/>
          <w:sz w:val="24"/>
          <w:szCs w:val="24"/>
        </w:rPr>
        <w:t>，服务起始日期以采购人通知中标人进场服务的时间为准</w:t>
      </w:r>
      <w:r>
        <w:rPr>
          <w:rFonts w:eastAsia="宋体"/>
          <w:sz w:val="24"/>
          <w:szCs w:val="24"/>
        </w:rPr>
        <w:t>。</w:t>
      </w:r>
    </w:p>
    <w:p>
      <w:pPr>
        <w:snapToGrid w:val="0"/>
        <w:spacing w:line="480" w:lineRule="exact"/>
        <w:ind w:firstLine="480" w:firstLineChars="200"/>
        <w:jc w:val="left"/>
        <w:rPr>
          <w:rFonts w:hint="eastAsia" w:eastAsia="宋体"/>
          <w:sz w:val="24"/>
          <w:szCs w:val="24"/>
          <w:lang w:eastAsia="zh-CN"/>
        </w:rPr>
      </w:pPr>
      <w:r>
        <w:rPr>
          <w:rFonts w:hint="eastAsia" w:eastAsia="宋体"/>
          <w:color w:val="FF0000"/>
          <w:sz w:val="24"/>
          <w:szCs w:val="24"/>
        </w:rPr>
        <w:t>2、本项目服务期为3年</w:t>
      </w:r>
      <w:r>
        <w:rPr>
          <w:rFonts w:hint="eastAsia" w:eastAsia="宋体"/>
          <w:color w:val="FF0000"/>
          <w:sz w:val="24"/>
          <w:szCs w:val="24"/>
          <w:lang w:eastAsia="zh-CN"/>
        </w:rPr>
        <w:t>，合同1年1签。如中标人合同期内履约情况良好（即年度综合考核得分≥90分，考核细则见合同条款），则在第一年合同期满后，且供应商承诺不增加服务费用的前提下，采购人、供应商双方可续签下一年度合同，但最多续签2次。</w:t>
      </w:r>
    </w:p>
    <w:p>
      <w:pPr>
        <w:snapToGrid w:val="0"/>
        <w:spacing w:line="480" w:lineRule="exact"/>
        <w:ind w:firstLine="480" w:firstLineChars="200"/>
        <w:jc w:val="left"/>
        <w:rPr>
          <w:rFonts w:eastAsia="宋体"/>
          <w:sz w:val="24"/>
          <w:szCs w:val="24"/>
        </w:rPr>
      </w:pPr>
      <w:r>
        <w:rPr>
          <w:rFonts w:eastAsia="宋体"/>
          <w:sz w:val="24"/>
          <w:szCs w:val="24"/>
        </w:rPr>
        <w:t>3、服务地点：</w:t>
      </w:r>
      <w:r>
        <w:rPr>
          <w:rFonts w:hint="eastAsia" w:eastAsia="宋体"/>
          <w:sz w:val="24"/>
          <w:szCs w:val="24"/>
        </w:rPr>
        <w:t>南通市妇幼保健院。</w:t>
      </w:r>
    </w:p>
    <w:p>
      <w:pPr>
        <w:spacing w:line="480" w:lineRule="exact"/>
        <w:ind w:firstLine="482" w:firstLineChars="200"/>
        <w:rPr>
          <w:rFonts w:ascii="宋体" w:hAnsi="宋体" w:eastAsia="宋体"/>
          <w:b/>
          <w:sz w:val="24"/>
          <w:szCs w:val="24"/>
        </w:rPr>
      </w:pPr>
      <w:r>
        <w:rPr>
          <w:rFonts w:hint="eastAsia" w:ascii="宋体" w:hAnsi="宋体" w:eastAsia="宋体"/>
          <w:b/>
          <w:sz w:val="24"/>
          <w:szCs w:val="24"/>
        </w:rPr>
        <w:t>四、综合说明及其它要求</w:t>
      </w:r>
    </w:p>
    <w:p>
      <w:pPr>
        <w:snapToGrid w:val="0"/>
        <w:spacing w:line="480" w:lineRule="exact"/>
        <w:ind w:firstLine="480" w:firstLineChars="200"/>
        <w:jc w:val="left"/>
        <w:rPr>
          <w:rFonts w:eastAsia="宋体"/>
          <w:sz w:val="24"/>
          <w:szCs w:val="24"/>
        </w:rPr>
      </w:pPr>
      <w:r>
        <w:rPr>
          <w:rFonts w:eastAsia="宋体"/>
          <w:sz w:val="24"/>
          <w:szCs w:val="24"/>
        </w:rPr>
        <w:t>1</w:t>
      </w:r>
      <w:r>
        <w:rPr>
          <w:rFonts w:hint="eastAsia" w:eastAsia="宋体"/>
          <w:sz w:val="24"/>
          <w:szCs w:val="24"/>
        </w:rPr>
        <w:t>、合同履约期间，如出现重大综合管理缺陷，采购人有权自缺陷出现之日起直至缺陷更正，进行处惩，如供应商对综合管理缺陷不予更正，采购人有权另请其他单位更正，所发生的费用和造成的损失由供应商支付。</w:t>
      </w:r>
    </w:p>
    <w:p>
      <w:pPr>
        <w:snapToGrid w:val="0"/>
        <w:spacing w:line="480" w:lineRule="exact"/>
        <w:ind w:firstLine="480" w:firstLineChars="200"/>
        <w:jc w:val="left"/>
        <w:rPr>
          <w:rFonts w:eastAsia="宋体"/>
          <w:sz w:val="24"/>
          <w:szCs w:val="24"/>
        </w:rPr>
      </w:pPr>
      <w:r>
        <w:rPr>
          <w:rFonts w:hint="eastAsia" w:eastAsia="宋体"/>
          <w:sz w:val="24"/>
          <w:szCs w:val="24"/>
        </w:rPr>
        <w:t>2、供应商在履约期间，违反下列规定采购人有权解除合同：</w:t>
      </w:r>
    </w:p>
    <w:p>
      <w:pPr>
        <w:snapToGrid w:val="0"/>
        <w:spacing w:line="480" w:lineRule="exact"/>
        <w:ind w:firstLine="480" w:firstLineChars="200"/>
        <w:jc w:val="left"/>
        <w:rPr>
          <w:rFonts w:eastAsia="宋体"/>
          <w:sz w:val="24"/>
          <w:szCs w:val="24"/>
        </w:rPr>
      </w:pPr>
      <w:r>
        <w:rPr>
          <w:rFonts w:hint="eastAsia" w:eastAsia="宋体"/>
          <w:sz w:val="24"/>
          <w:szCs w:val="24"/>
        </w:rPr>
        <w:t>（1）将本项目全部或部分服务转包他人；</w:t>
      </w:r>
    </w:p>
    <w:p>
      <w:pPr>
        <w:snapToGrid w:val="0"/>
        <w:spacing w:line="480" w:lineRule="exact"/>
        <w:ind w:firstLine="480" w:firstLineChars="200"/>
        <w:jc w:val="left"/>
        <w:rPr>
          <w:rFonts w:eastAsia="宋体"/>
          <w:sz w:val="24"/>
          <w:szCs w:val="24"/>
        </w:rPr>
      </w:pPr>
      <w:r>
        <w:rPr>
          <w:rFonts w:hint="eastAsia" w:eastAsia="宋体"/>
          <w:sz w:val="24"/>
          <w:szCs w:val="24"/>
        </w:rPr>
        <w:t>（2）相关考核办法的有关规定。</w:t>
      </w:r>
    </w:p>
    <w:p>
      <w:pPr>
        <w:snapToGrid w:val="0"/>
        <w:spacing w:line="480" w:lineRule="exact"/>
        <w:ind w:firstLine="480" w:firstLineChars="200"/>
        <w:jc w:val="left"/>
        <w:rPr>
          <w:rFonts w:eastAsia="宋体"/>
          <w:sz w:val="24"/>
          <w:szCs w:val="24"/>
        </w:rPr>
      </w:pPr>
      <w:r>
        <w:rPr>
          <w:rFonts w:hint="eastAsia" w:eastAsia="宋体"/>
          <w:sz w:val="24"/>
          <w:szCs w:val="24"/>
        </w:rPr>
        <w:t>3、合同履行期间由于供应商的责任，违反管理考核规章等情形或造成社会不良影响的，采购人有权根据情节轻重采取以下一项或多项措施：</w:t>
      </w:r>
    </w:p>
    <w:p>
      <w:pPr>
        <w:snapToGrid w:val="0"/>
        <w:spacing w:line="480" w:lineRule="exact"/>
        <w:ind w:firstLine="480" w:firstLineChars="200"/>
        <w:jc w:val="left"/>
        <w:rPr>
          <w:rFonts w:eastAsia="宋体"/>
          <w:sz w:val="24"/>
          <w:szCs w:val="24"/>
        </w:rPr>
      </w:pPr>
      <w:r>
        <w:rPr>
          <w:rFonts w:hint="eastAsia" w:eastAsia="宋体"/>
          <w:sz w:val="24"/>
          <w:szCs w:val="24"/>
        </w:rPr>
        <w:t>（1）解除与供应商的合同；</w:t>
      </w:r>
    </w:p>
    <w:p>
      <w:pPr>
        <w:snapToGrid w:val="0"/>
        <w:spacing w:line="480" w:lineRule="exact"/>
        <w:ind w:firstLine="480" w:firstLineChars="200"/>
        <w:jc w:val="left"/>
        <w:rPr>
          <w:rFonts w:eastAsia="宋体"/>
          <w:sz w:val="24"/>
          <w:szCs w:val="24"/>
        </w:rPr>
      </w:pPr>
      <w:r>
        <w:rPr>
          <w:rFonts w:hint="eastAsia" w:eastAsia="宋体"/>
          <w:sz w:val="24"/>
          <w:szCs w:val="24"/>
        </w:rPr>
        <w:t>（2）限制其在以后项目中的投标；</w:t>
      </w:r>
    </w:p>
    <w:p>
      <w:pPr>
        <w:widowControl/>
        <w:spacing w:line="480" w:lineRule="exact"/>
        <w:ind w:firstLine="480" w:firstLineChars="200"/>
        <w:contextualSpacing/>
        <w:rPr>
          <w:rFonts w:asciiTheme="majorEastAsia" w:hAnsiTheme="majorEastAsia" w:eastAsiaTheme="majorEastAsia"/>
          <w:sz w:val="24"/>
          <w:szCs w:val="24"/>
        </w:rPr>
      </w:pPr>
      <w:r>
        <w:rPr>
          <w:rFonts w:hint="eastAsia" w:eastAsia="宋体"/>
          <w:sz w:val="24"/>
          <w:szCs w:val="24"/>
        </w:rPr>
        <w:t>（3）涉及违约金、赔偿金或其他应付费用的，采购人有权从应支付供应商的服务年度结算款可扣款项中扣除（若上述款项不足或没有可扣除款项，供应商应另行向采购人支付）。</w:t>
      </w:r>
      <w:r>
        <w:rPr>
          <w:rFonts w:hint="eastAsia" w:asciiTheme="majorEastAsia" w:hAnsiTheme="majorEastAsia" w:eastAsiaTheme="majorEastAsia"/>
          <w:b/>
          <w:bCs/>
          <w:sz w:val="36"/>
          <w:szCs w:val="36"/>
          <w:lang w:val="zh-CN"/>
        </w:rPr>
        <w:br w:type="page"/>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第四章</w:t>
      </w:r>
      <w:bookmarkStart w:id="5" w:name="_Toc182848996"/>
      <w:r>
        <w:rPr>
          <w:rFonts w:hint="eastAsia" w:asciiTheme="majorEastAsia" w:hAnsiTheme="majorEastAsia" w:eastAsiaTheme="majorEastAsia" w:cstheme="minorEastAsia"/>
          <w:b/>
          <w:w w:val="80"/>
          <w:sz w:val="36"/>
          <w:szCs w:val="36"/>
        </w:rPr>
        <w:t xml:space="preserve"> 评审方法和程序</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一、采购代理机构组织磋商</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1、本次竞争性磋商依据《中华人民共和国政府采购法》、《政府采购竞争性磋商采购方式管理暂行办法》及有关法规成立磋商小组。</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2、项目响应供应商的法定代表人或受权人须持身份证准时参加磋商评审会。</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二、磋商小组的职责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磋商小组负责具体的磋商评审事务，并履行以下职责：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1、审查磋商响应文件是否符合磋商文件的要求，并做出评价；</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2、可以要求供应商对磋商响应文件内的有关事项做出解释或澄清；</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3、推荐中标候选人或按次序排列的中标候选人名单；</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4、磋商小组成员应当履行下列义务：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（1）遵纪守法，客观、公正、廉洁地履行职责；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（2）磋商小组成员应当按照客观、公正、审慎的原则，根据磋商文件规定的评审程序、评审方法和评审标准进行独立评审；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（3）磋商小组成员应当遵守评审工作纪律，不得泄漏磋商评审情况和磋商评审中获悉的商业秘密，对个人的评审意见承担法律责任；</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（4）磋商评审程序中的有关记录由磋商小组成员签名，存档备查；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（5）磋商小组成员在评审过程中发现供应商有行贿、提供虚假材料或者串通等违法行为的，应当及时向财政部门报告；</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（6）磋商小组成员在磋商评审过程中受到非法干涉的，应当及时向财政、监察等部门举报；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（7）磋商小组成员有义务及责任配合采购人答复供应商提出的质疑，配合财政部门的投诉处理和监督检查工作。</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竞争性磋商竞标开始后，直到公示项目成交结果，发出成交通知书并授予成交供应商合同为止，凡属于评审、澄清、评价和比较磋商响应的所有资料及有关授予合同等的相关信息，都严禁向响应供应商或与磋商评审无关的其他人（单位）泄漏；</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6、在磋商响应文件的评审、澄清、评价和比较以及授予合同的过程中，供应商对采购人和磋商小组成员有施加影响的任何行为，都将取消其中标资格。</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三、磋商原则及方法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只有资格条件评审合格的供应商，才可参加技术标评分。磋商小组将按照竞争性磋商文件的规定，独立对每个进入打分程序的有效投标供应商的响应文件的技术部分以打分的形式进行评审和评价。技术分取算术平均值（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在对响应文件的有效性、完整性和响应程度进行审查时，可以以书面形式要求供应商对响应文件中含义不明确、同类问题表述不一致或者有明显文字和计算错误的内容等作出必要的澄清、说明或者更正。</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5、磋商小组所有成员应当集中与单一供应商分别进行磋商，并给予所有参加磋商的供应商平等的磋商机会。</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7、对磋商文件作出的实质性变动是磋商文件的有效组成部分，磋商小组应当及时以书面形式同时通知所有参加磋商的供应商。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经磋商确定最终采购需求和提交最后报价的供应商：磋商文件能够详细列明采购标的的技术、服务要求的，磋商结束后，磋商小组应当要求所有实质性响应的供应商在规定时间内提交最后报价，提交最后报价的供应商不得少于3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10、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11、除非在磋商中磋商小组对采购单位需求内容作了调整增加，或对采购内容作了实质性变更，否则采购单位不接受供应商高于自己前一轮的磋商报价。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12、对于在磋商顺利开始后至最终报价前，根据磋商情况退出磋商的供应商，须以书面形式说明退出磋商的原因，经磋商小组同意可以退出磋商。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13、在磋商中，磋商的任何一方不得透露与磋商有关的其他响应磋商的供应商的技术资料、价格及其他信息。</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14、凡两家或以上公司同一法人代表或其中一家公司为另一家公司单一最大股东的，不能同时参与同一采购项目相同标段的磋商采购活动，一经发现，将视同串标处理。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15、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16、报价磋商响应评审内容包括分析总报价（首次）及各个分项报价（如有）是否合理，报价范围是否完整，有无重大错漏项及是否完全符合付款方式要求。如果供应商的响应报价中有漏项，且漏项构成未实质性响应磋商文件要求的，按无效磋商处理。</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四、磋商评定结果的方法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1、经磋商确定最终采购需求和提交最后报价的供应商后，由磋商小组采用综合评分法对提交最后报价的供应商的响应文件和最后报价进行综合评分。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2、评审时，磋商小组各成员应当独立对每个有效响应的文件进行评价、打分，然后汇总每个供应商每项评分因素的得分（计算结果均四舍五入保留两位小数）。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highlight w:val="none"/>
        </w:rPr>
      </w:pPr>
      <w:r>
        <w:rPr>
          <w:rFonts w:hint="eastAsia" w:asciiTheme="majorEastAsia" w:hAnsiTheme="majorEastAsia" w:eastAsiaTheme="majorEastAsia" w:cstheme="minorEastAsia"/>
          <w:sz w:val="24"/>
          <w:szCs w:val="24"/>
          <w:highlight w:val="none"/>
        </w:rPr>
        <w:t xml:space="preserve">3、本次项目磋商的技术和报价评审总分值为100分。两部分评审因素比重如下： </w:t>
      </w:r>
    </w:p>
    <w:p>
      <w:pPr>
        <w:snapToGrid w:val="0"/>
        <w:spacing w:line="360" w:lineRule="auto"/>
        <w:ind w:firstLine="484" w:firstLineChars="202"/>
        <w:rPr>
          <w:rFonts w:asciiTheme="majorEastAsia" w:hAnsiTheme="majorEastAsia" w:eastAsiaTheme="majorEastAsia" w:cstheme="minorEastAsia"/>
          <w:sz w:val="24"/>
          <w:szCs w:val="24"/>
          <w:highlight w:val="none"/>
          <w:u w:val="single"/>
        </w:rPr>
      </w:pPr>
      <w:r>
        <w:rPr>
          <w:rFonts w:hint="eastAsia" w:asciiTheme="majorEastAsia" w:hAnsiTheme="majorEastAsia" w:eastAsiaTheme="majorEastAsia" w:cstheme="minorEastAsia"/>
          <w:sz w:val="24"/>
          <w:szCs w:val="24"/>
          <w:highlight w:val="none"/>
          <w:u w:val="single"/>
        </w:rPr>
        <w:t>技术分值占总分值的比重</w:t>
      </w:r>
      <w:r>
        <w:rPr>
          <w:rFonts w:hint="eastAsia" w:asciiTheme="majorEastAsia" w:hAnsiTheme="majorEastAsia" w:eastAsiaTheme="majorEastAsia" w:cstheme="minorEastAsia"/>
          <w:color w:val="auto"/>
          <w:sz w:val="24"/>
          <w:szCs w:val="24"/>
          <w:highlight w:val="none"/>
          <w:u w:val="single"/>
        </w:rPr>
        <w:t xml:space="preserve">为 </w:t>
      </w:r>
      <w:r>
        <w:rPr>
          <w:rFonts w:hint="eastAsia" w:asciiTheme="majorEastAsia" w:hAnsiTheme="majorEastAsia" w:eastAsiaTheme="majorEastAsia" w:cstheme="minorEastAsia"/>
          <w:color w:val="auto"/>
          <w:sz w:val="24"/>
          <w:szCs w:val="24"/>
          <w:highlight w:val="none"/>
          <w:u w:val="single"/>
          <w:lang w:val="en-US" w:eastAsia="zh-CN"/>
        </w:rPr>
        <w:t>7</w:t>
      </w:r>
      <w:r>
        <w:rPr>
          <w:rFonts w:hint="eastAsia" w:asciiTheme="majorEastAsia" w:hAnsiTheme="majorEastAsia" w:eastAsiaTheme="majorEastAsia" w:cstheme="minorEastAsia"/>
          <w:color w:val="auto"/>
          <w:sz w:val="24"/>
          <w:szCs w:val="24"/>
          <w:highlight w:val="none"/>
          <w:u w:val="single"/>
        </w:rPr>
        <w:t>0%（</w:t>
      </w:r>
      <w:r>
        <w:rPr>
          <w:rFonts w:hint="eastAsia" w:asciiTheme="majorEastAsia" w:hAnsiTheme="majorEastAsia" w:eastAsiaTheme="majorEastAsia" w:cstheme="minorEastAsia"/>
          <w:sz w:val="24"/>
          <w:szCs w:val="24"/>
          <w:highlight w:val="none"/>
          <w:u w:val="single"/>
        </w:rPr>
        <w:t>权重）（四舍五入保留两位小数）</w:t>
      </w:r>
      <w:r>
        <w:rPr>
          <w:rFonts w:hint="eastAsia" w:asciiTheme="majorEastAsia" w:hAnsiTheme="majorEastAsia" w:eastAsiaTheme="majorEastAsia" w:cstheme="minorEastAsia"/>
          <w:sz w:val="24"/>
          <w:szCs w:val="24"/>
          <w:highlight w:val="none"/>
        </w:rPr>
        <w:t>；</w:t>
      </w:r>
    </w:p>
    <w:p>
      <w:pPr>
        <w:snapToGrid w:val="0"/>
        <w:spacing w:line="360" w:lineRule="auto"/>
        <w:ind w:firstLine="484" w:firstLineChars="202"/>
        <w:rPr>
          <w:rFonts w:asciiTheme="majorEastAsia" w:hAnsiTheme="majorEastAsia" w:eastAsiaTheme="majorEastAsia" w:cstheme="minorEastAsia"/>
          <w:sz w:val="24"/>
          <w:szCs w:val="24"/>
          <w:highlight w:val="none"/>
        </w:rPr>
      </w:pPr>
      <w:r>
        <w:rPr>
          <w:rFonts w:hint="eastAsia" w:asciiTheme="majorEastAsia" w:hAnsiTheme="majorEastAsia" w:eastAsiaTheme="majorEastAsia" w:cstheme="minorEastAsia"/>
          <w:sz w:val="24"/>
          <w:szCs w:val="24"/>
          <w:highlight w:val="none"/>
          <w:u w:val="single"/>
        </w:rPr>
        <w:t>报价分值占总分值的比</w:t>
      </w:r>
      <w:r>
        <w:rPr>
          <w:rFonts w:hint="eastAsia" w:asciiTheme="majorEastAsia" w:hAnsiTheme="majorEastAsia" w:eastAsiaTheme="majorEastAsia" w:cstheme="minorEastAsia"/>
          <w:color w:val="auto"/>
          <w:sz w:val="24"/>
          <w:szCs w:val="24"/>
          <w:highlight w:val="none"/>
          <w:u w:val="single"/>
        </w:rPr>
        <w:t xml:space="preserve">重为 </w:t>
      </w:r>
      <w:r>
        <w:rPr>
          <w:rFonts w:hint="eastAsia" w:asciiTheme="majorEastAsia" w:hAnsiTheme="majorEastAsia" w:eastAsiaTheme="majorEastAsia" w:cstheme="minorEastAsia"/>
          <w:color w:val="auto"/>
          <w:sz w:val="24"/>
          <w:szCs w:val="24"/>
          <w:highlight w:val="none"/>
          <w:u w:val="single"/>
          <w:lang w:val="en-US" w:eastAsia="zh-CN"/>
        </w:rPr>
        <w:t>3</w:t>
      </w:r>
      <w:r>
        <w:rPr>
          <w:rFonts w:hint="eastAsia" w:asciiTheme="majorEastAsia" w:hAnsiTheme="majorEastAsia" w:eastAsiaTheme="majorEastAsia" w:cstheme="minorEastAsia"/>
          <w:color w:val="auto"/>
          <w:sz w:val="24"/>
          <w:szCs w:val="24"/>
          <w:highlight w:val="none"/>
          <w:u w:val="single"/>
        </w:rPr>
        <w:t>0%（</w:t>
      </w:r>
      <w:r>
        <w:rPr>
          <w:rFonts w:hint="eastAsia" w:asciiTheme="majorEastAsia" w:hAnsiTheme="majorEastAsia" w:eastAsiaTheme="majorEastAsia" w:cstheme="minorEastAsia"/>
          <w:sz w:val="24"/>
          <w:szCs w:val="24"/>
          <w:highlight w:val="none"/>
          <w:u w:val="single"/>
        </w:rPr>
        <w:t>权重）（四舍五入保留两位小数）</w:t>
      </w:r>
      <w:r>
        <w:rPr>
          <w:rFonts w:hint="eastAsia" w:asciiTheme="majorEastAsia" w:hAnsiTheme="majorEastAsia" w:eastAsiaTheme="majorEastAsia" w:cstheme="minorEastAsia"/>
          <w:sz w:val="24"/>
          <w:szCs w:val="24"/>
          <w:highlight w:val="none"/>
        </w:rPr>
        <w:t>。</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highlight w:val="none"/>
        </w:rPr>
        <w:t>4、技术分按算术平均值计算，分值</w:t>
      </w:r>
      <w:r>
        <w:rPr>
          <w:rFonts w:hint="eastAsia" w:asciiTheme="majorEastAsia" w:hAnsiTheme="majorEastAsia" w:eastAsiaTheme="majorEastAsia" w:cstheme="minorEastAsia"/>
          <w:sz w:val="24"/>
          <w:szCs w:val="24"/>
        </w:rPr>
        <w:t>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5、报价分统一采用低价优先法计算直接取得，与技术分相加为供应商的综合得分（四舍五入保留两位小数）。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6、综合得分最高的供应商推荐为项目预成交人并出具评审磋商报告。</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7、确定成交候选人的特殊情况处理： </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（1）若总分相同，则按最终报价响应得分高者优先成交。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（2）若总分且最终报价响应得分相同，则采取现场抽签的方式确定（投标供应商的抽签顺序分别为各投标供应商递交响应文件签到顺序号）。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8、磋商评审时，评委对评审的细则若有争议，由磋商小组集体讨论确定，并对未尽情况有最终解释权。</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9、对落标的供应商不做落标原因的解释。</w:t>
      </w:r>
    </w:p>
    <w:p>
      <w:pPr>
        <w:snapToGrid w:val="0"/>
        <w:spacing w:line="360" w:lineRule="auto"/>
        <w:ind w:firstLine="487" w:firstLineChars="202"/>
        <w:outlineLvl w:val="1"/>
        <w:rPr>
          <w:rFonts w:hint="eastAsia" w:asciiTheme="majorEastAsia" w:hAnsiTheme="majorEastAsia" w:eastAsiaTheme="majorEastAsia" w:cstheme="minorEastAsia"/>
          <w:b/>
          <w:sz w:val="24"/>
          <w:szCs w:val="24"/>
        </w:rPr>
      </w:pP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五、综合评分规则</w:t>
      </w:r>
    </w:p>
    <w:bookmarkEnd w:id="5"/>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（一）技术标满分</w:t>
      </w:r>
      <w:r>
        <w:rPr>
          <w:rFonts w:hint="eastAsia" w:asciiTheme="majorEastAsia" w:hAnsiTheme="majorEastAsia" w:eastAsiaTheme="majorEastAsia" w:cstheme="minorEastAsia"/>
          <w:sz w:val="24"/>
          <w:szCs w:val="24"/>
          <w:lang w:val="en-US" w:eastAsia="zh-CN"/>
        </w:rPr>
        <w:t>7</w:t>
      </w:r>
      <w:r>
        <w:rPr>
          <w:rFonts w:hint="eastAsia" w:asciiTheme="majorEastAsia" w:hAnsiTheme="majorEastAsia" w:eastAsiaTheme="majorEastAsia" w:cstheme="minorEastAsia"/>
          <w:sz w:val="24"/>
          <w:szCs w:val="24"/>
        </w:rPr>
        <w:t>0分，评标委员会根据以下几个方面进行综合评估打分(取算术平均值，得分采用四舍五入法保留小数点后两位小数。)</w:t>
      </w:r>
    </w:p>
    <w:tbl>
      <w:tblPr>
        <w:tblStyle w:val="58"/>
        <w:tblW w:w="4999" w:type="pct"/>
        <w:tblInd w:w="0" w:type="dxa"/>
        <w:tblLayout w:type="autofit"/>
        <w:tblCellMar>
          <w:top w:w="0" w:type="dxa"/>
          <w:left w:w="108" w:type="dxa"/>
          <w:bottom w:w="0" w:type="dxa"/>
          <w:right w:w="108" w:type="dxa"/>
        </w:tblCellMar>
      </w:tblPr>
      <w:tblGrid>
        <w:gridCol w:w="1241"/>
        <w:gridCol w:w="1419"/>
        <w:gridCol w:w="7191"/>
      </w:tblGrid>
      <w:tr>
        <w:tblPrEx>
          <w:tblCellMar>
            <w:top w:w="0" w:type="dxa"/>
            <w:left w:w="108" w:type="dxa"/>
            <w:bottom w:w="0" w:type="dxa"/>
            <w:right w:w="108" w:type="dxa"/>
          </w:tblCellMar>
        </w:tblPrEx>
        <w:trPr>
          <w:trHeight w:val="499" w:hRule="atLeast"/>
        </w:trPr>
        <w:tc>
          <w:tcPr>
            <w:tcW w:w="1350" w:type="pct"/>
            <w:gridSpan w:val="2"/>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eastAsia="宋体" w:cs="宋体"/>
                <w:b/>
                <w:sz w:val="24"/>
                <w:szCs w:val="24"/>
              </w:rPr>
            </w:pPr>
            <w:r>
              <w:rPr>
                <w:rFonts w:hint="eastAsia" w:ascii="宋体" w:hAnsi="宋体" w:eastAsia="宋体" w:cs="宋体"/>
                <w:b/>
                <w:sz w:val="24"/>
                <w:szCs w:val="24"/>
              </w:rPr>
              <w:t>内     容</w:t>
            </w:r>
          </w:p>
        </w:tc>
        <w:tc>
          <w:tcPr>
            <w:tcW w:w="365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eastAsia="宋体" w:cs="宋体"/>
                <w:b/>
                <w:sz w:val="24"/>
                <w:szCs w:val="24"/>
              </w:rPr>
            </w:pPr>
            <w:r>
              <w:rPr>
                <w:rFonts w:hint="eastAsia" w:ascii="宋体" w:hAnsi="宋体" w:eastAsia="宋体" w:cs="宋体"/>
                <w:b/>
                <w:sz w:val="24"/>
                <w:szCs w:val="24"/>
              </w:rPr>
              <w:t>评分标准</w:t>
            </w:r>
          </w:p>
        </w:tc>
      </w:tr>
      <w:tr>
        <w:tblPrEx>
          <w:tblCellMar>
            <w:top w:w="0" w:type="dxa"/>
            <w:left w:w="108" w:type="dxa"/>
            <w:bottom w:w="0" w:type="dxa"/>
            <w:right w:w="108" w:type="dxa"/>
          </w:tblCellMar>
        </w:tblPrEx>
        <w:trPr>
          <w:trHeight w:val="4875" w:hRule="atLeast"/>
        </w:trPr>
        <w:tc>
          <w:tcPr>
            <w:tcW w:w="630" w:type="pct"/>
            <w:vMerge w:val="restart"/>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eastAsia="宋体" w:cs="宋体"/>
                <w:b/>
                <w:sz w:val="24"/>
                <w:szCs w:val="24"/>
              </w:rPr>
            </w:pPr>
            <w:r>
              <w:rPr>
                <w:rFonts w:hint="eastAsia" w:ascii="宋体" w:hAnsi="宋体" w:eastAsia="宋体" w:cs="宋体"/>
                <w:b/>
                <w:sz w:val="24"/>
                <w:szCs w:val="24"/>
              </w:rPr>
              <w:t>技术标（</w:t>
            </w:r>
            <w:r>
              <w:rPr>
                <w:rFonts w:hint="eastAsia" w:ascii="宋体" w:hAnsi="宋体" w:eastAsia="宋体" w:cs="宋体"/>
                <w:b/>
                <w:sz w:val="24"/>
                <w:szCs w:val="24"/>
                <w:lang w:val="en-US" w:eastAsia="zh-CN"/>
              </w:rPr>
              <w:t>7</w:t>
            </w:r>
            <w:r>
              <w:rPr>
                <w:rFonts w:hint="eastAsia" w:ascii="宋体" w:hAnsi="宋体" w:eastAsia="宋体" w:cs="宋体"/>
                <w:b/>
                <w:sz w:val="24"/>
                <w:szCs w:val="24"/>
              </w:rPr>
              <w:t>0分）</w:t>
            </w:r>
          </w:p>
        </w:tc>
        <w:tc>
          <w:tcPr>
            <w:tcW w:w="720" w:type="pct"/>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eastAsia="宋体" w:cs="宋体"/>
                <w:sz w:val="24"/>
                <w:szCs w:val="24"/>
              </w:rPr>
            </w:pPr>
            <w:r>
              <w:rPr>
                <w:rFonts w:hint="eastAsia" w:ascii="宋体" w:hAnsi="宋体" w:eastAsia="宋体" w:cs="宋体"/>
                <w:sz w:val="24"/>
                <w:szCs w:val="24"/>
              </w:rPr>
              <w:t>企业实力</w:t>
            </w:r>
          </w:p>
          <w:p>
            <w:pPr>
              <w:spacing w:line="370" w:lineRule="exact"/>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15</w:t>
            </w:r>
            <w:r>
              <w:rPr>
                <w:rFonts w:hint="eastAsia" w:ascii="宋体" w:hAnsi="宋体" w:eastAsia="宋体" w:cs="宋体"/>
                <w:sz w:val="24"/>
                <w:szCs w:val="24"/>
              </w:rPr>
              <w:t>分）</w:t>
            </w:r>
          </w:p>
        </w:tc>
        <w:tc>
          <w:tcPr>
            <w:tcW w:w="3650" w:type="pc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投标供应商自有苗木基地及温室大棚：</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苗木基地面积大于等于5000平方米（7.5亩）的得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分，面积在1000-5000（含1000）平方米之间的得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分，面积小于1000平方米的不得分；温室大棚面积大于等于500平方米的得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分，面积在200-500（含200）平方米之间的得1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分，面积小于200平方米的不得分。（提供照片及土地租赁合同等相关证明材料</w:t>
            </w:r>
            <w:r>
              <w:rPr>
                <w:rFonts w:hint="eastAsia" w:ascii="宋体" w:hAnsi="宋体" w:eastAsia="宋体" w:cs="宋体"/>
                <w:color w:val="000000"/>
                <w:sz w:val="24"/>
                <w:szCs w:val="24"/>
                <w:lang w:eastAsia="zh-CN"/>
              </w:rPr>
              <w:t>复印件</w:t>
            </w:r>
            <w:r>
              <w:rPr>
                <w:rFonts w:hint="eastAsia" w:ascii="宋体" w:hAnsi="宋体" w:eastAsia="宋体" w:cs="宋体"/>
                <w:color w:val="000000"/>
                <w:sz w:val="24"/>
                <w:szCs w:val="24"/>
              </w:rPr>
              <w:t>）</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管理体系认证（</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具有ISO9001:2015质量管理体系认证证书的得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具有ISO14001:2015环境管理体系认证证书的得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具有ISO45001:2018职业健康安全管理体系认证证书的得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分。（提供证书复印件）</w:t>
            </w:r>
          </w:p>
          <w:p>
            <w:pPr>
              <w:numPr>
                <w:ilvl w:val="0"/>
                <w:numId w:val="0"/>
              </w:numPr>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拟派项目负责人：</w:t>
            </w:r>
          </w:p>
          <w:p>
            <w:pPr>
              <w:numPr>
                <w:ilvl w:val="0"/>
                <w:numId w:val="0"/>
              </w:numPr>
              <w:jc w:val="left"/>
            </w:pPr>
            <w:r>
              <w:rPr>
                <w:rFonts w:hint="eastAsia" w:ascii="宋体" w:hAnsi="宋体" w:eastAsia="宋体" w:cs="宋体"/>
                <w:color w:val="000000"/>
                <w:sz w:val="24"/>
                <w:szCs w:val="24"/>
              </w:rPr>
              <w:t>具有园林绿化相关专业中级职称且从事绿化行业满2年的，得2分；具有园林绿化相关专业高级工程师或高级技师的且从事绿化行业满3年的，得5分（提供</w:t>
            </w:r>
            <w:r>
              <w:rPr>
                <w:rFonts w:hint="eastAsia" w:ascii="宋体" w:hAnsi="宋体" w:eastAsia="宋体" w:cs="宋体"/>
                <w:color w:val="000000"/>
                <w:sz w:val="24"/>
                <w:szCs w:val="24"/>
                <w:lang w:eastAsia="zh-CN"/>
              </w:rPr>
              <w:t>职称证书、劳动</w:t>
            </w:r>
            <w:r>
              <w:rPr>
                <w:rFonts w:hint="eastAsia" w:ascii="宋体" w:hAnsi="宋体" w:eastAsia="宋体" w:cs="宋体"/>
                <w:color w:val="000000"/>
                <w:sz w:val="24"/>
                <w:szCs w:val="24"/>
              </w:rPr>
              <w:t>合同等相关证明材料</w:t>
            </w:r>
            <w:r>
              <w:rPr>
                <w:rFonts w:hint="eastAsia" w:ascii="宋体" w:hAnsi="宋体" w:eastAsia="宋体" w:cs="宋体"/>
                <w:color w:val="000000"/>
                <w:sz w:val="24"/>
                <w:szCs w:val="24"/>
                <w:lang w:eastAsia="zh-CN"/>
              </w:rPr>
              <w:t>复印件</w:t>
            </w:r>
            <w:r>
              <w:rPr>
                <w:rFonts w:hint="eastAsia" w:ascii="宋体" w:hAnsi="宋体" w:eastAsia="宋体" w:cs="宋体"/>
                <w:color w:val="000000"/>
                <w:sz w:val="24"/>
                <w:szCs w:val="24"/>
              </w:rPr>
              <w:t>）。</w:t>
            </w:r>
          </w:p>
        </w:tc>
      </w:tr>
      <w:tr>
        <w:tblPrEx>
          <w:tblCellMar>
            <w:top w:w="0" w:type="dxa"/>
            <w:left w:w="108" w:type="dxa"/>
            <w:bottom w:w="0" w:type="dxa"/>
            <w:right w:w="108" w:type="dxa"/>
          </w:tblCellMar>
        </w:tblPrEx>
        <w:trPr>
          <w:trHeight w:val="2107" w:hRule="atLeast"/>
        </w:trPr>
        <w:tc>
          <w:tcPr>
            <w:tcW w:w="630" w:type="pct"/>
            <w:vMerge w:val="continue"/>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eastAsia="宋体" w:cs="宋体"/>
                <w:b/>
                <w:sz w:val="24"/>
                <w:szCs w:val="24"/>
              </w:rPr>
            </w:pPr>
          </w:p>
        </w:tc>
        <w:tc>
          <w:tcPr>
            <w:tcW w:w="720" w:type="pct"/>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eastAsia="宋体" w:cs="宋体"/>
                <w:sz w:val="24"/>
                <w:szCs w:val="24"/>
              </w:rPr>
            </w:pPr>
            <w:r>
              <w:rPr>
                <w:rFonts w:hint="eastAsia" w:ascii="宋体" w:hAnsi="宋体" w:eastAsia="宋体" w:cs="宋体"/>
                <w:sz w:val="24"/>
                <w:szCs w:val="24"/>
              </w:rPr>
              <w:t>企业业绩</w:t>
            </w:r>
          </w:p>
          <w:p>
            <w:pPr>
              <w:spacing w:line="370" w:lineRule="exact"/>
              <w:jc w:val="center"/>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20</w:t>
            </w:r>
            <w:r>
              <w:rPr>
                <w:rFonts w:hint="eastAsia" w:ascii="宋体" w:hAnsi="宋体" w:eastAsia="宋体" w:cs="宋体"/>
                <w:sz w:val="24"/>
                <w:szCs w:val="24"/>
              </w:rPr>
              <w:t>分）</w:t>
            </w:r>
          </w:p>
        </w:tc>
        <w:tc>
          <w:tcPr>
            <w:tcW w:w="3650" w:type="pc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color w:val="000000"/>
                <w:sz w:val="24"/>
                <w:szCs w:val="24"/>
              </w:rPr>
            </w:pPr>
            <w:r>
              <w:rPr>
                <w:rFonts w:hint="eastAsia" w:ascii="宋体" w:hAnsi="宋体" w:eastAsia="宋体" w:cs="宋体"/>
                <w:color w:val="000000"/>
                <w:sz w:val="24"/>
                <w:szCs w:val="24"/>
              </w:rPr>
              <w:t>提供2017年1月1日至今与政府机关或企事业单位的绿植租摆或绿化养护类似业绩：</w:t>
            </w:r>
          </w:p>
          <w:p>
            <w:pPr>
              <w:jc w:val="left"/>
              <w:rPr>
                <w:rFonts w:ascii="宋体" w:hAnsi="宋体" w:eastAsia="宋体" w:cs="宋体"/>
                <w:color w:val="000000"/>
                <w:sz w:val="24"/>
                <w:szCs w:val="24"/>
              </w:rPr>
            </w:pPr>
            <w:r>
              <w:rPr>
                <w:rFonts w:hint="eastAsia" w:ascii="宋体" w:hAnsi="宋体" w:eastAsia="宋体" w:cs="宋体"/>
                <w:color w:val="000000"/>
                <w:sz w:val="24"/>
                <w:szCs w:val="24"/>
              </w:rPr>
              <w:t>绿植租摆或绿化养护合同，每年单价在8万元及以上的，有1个得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分；绿植租摆合同，每年单价在2万元及以上的，有1个得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分。同一项目合同（包含同一实施地点不同年度）不重复记分，本项最高</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分。（提供合同及相对应的发票复印件）</w:t>
            </w:r>
          </w:p>
        </w:tc>
      </w:tr>
      <w:tr>
        <w:tblPrEx>
          <w:tblCellMar>
            <w:top w:w="0" w:type="dxa"/>
            <w:left w:w="108" w:type="dxa"/>
            <w:bottom w:w="0" w:type="dxa"/>
            <w:right w:w="108" w:type="dxa"/>
          </w:tblCellMar>
        </w:tblPrEx>
        <w:trPr>
          <w:trHeight w:val="5441" w:hRule="atLeast"/>
        </w:trPr>
        <w:tc>
          <w:tcPr>
            <w:tcW w:w="630" w:type="pct"/>
            <w:vMerge w:val="continue"/>
            <w:tcBorders>
              <w:top w:val="single" w:color="auto" w:sz="4" w:space="0"/>
              <w:left w:val="single" w:color="auto" w:sz="4" w:space="0"/>
              <w:bottom w:val="single" w:color="auto" w:sz="4" w:space="0"/>
              <w:right w:val="single" w:color="auto" w:sz="4" w:space="0"/>
            </w:tcBorders>
            <w:vAlign w:val="center"/>
          </w:tcPr>
          <w:p>
            <w:pPr>
              <w:spacing w:line="370" w:lineRule="exact"/>
              <w:jc w:val="center"/>
              <w:rPr>
                <w:rFonts w:ascii="宋体" w:hAnsi="宋体" w:eastAsia="宋体" w:cs="宋体"/>
                <w:b/>
                <w:sz w:val="24"/>
                <w:szCs w:val="24"/>
              </w:rPr>
            </w:pPr>
          </w:p>
        </w:tc>
        <w:tc>
          <w:tcPr>
            <w:tcW w:w="72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养护方案</w:t>
            </w:r>
          </w:p>
          <w:p>
            <w:pPr>
              <w:jc w:val="center"/>
              <w:rPr>
                <w:rFonts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35</w:t>
            </w:r>
            <w:r>
              <w:rPr>
                <w:rFonts w:hint="eastAsia" w:ascii="宋体" w:hAnsi="宋体" w:eastAsia="宋体" w:cs="宋体"/>
                <w:color w:val="000000"/>
                <w:sz w:val="24"/>
                <w:szCs w:val="24"/>
              </w:rPr>
              <w:t>分）</w:t>
            </w:r>
          </w:p>
        </w:tc>
        <w:tc>
          <w:tcPr>
            <w:tcW w:w="3650" w:type="pct"/>
            <w:tcBorders>
              <w:top w:val="single" w:color="auto" w:sz="4" w:space="0"/>
              <w:left w:val="single" w:color="auto" w:sz="4" w:space="0"/>
              <w:bottom w:val="single" w:color="auto" w:sz="4" w:space="0"/>
              <w:right w:val="single" w:color="auto" w:sz="4" w:space="0"/>
            </w:tcBorders>
            <w:vAlign w:val="center"/>
          </w:tcPr>
          <w:p>
            <w:pPr>
              <w:adjustRightInd w:val="0"/>
              <w:snapToGrid w:val="0"/>
              <w:outlineLvl w:val="3"/>
              <w:rPr>
                <w:rFonts w:ascii="宋体" w:hAnsi="宋体" w:eastAsia="宋体" w:cs="宋体"/>
                <w:color w:val="000000"/>
                <w:sz w:val="24"/>
                <w:szCs w:val="24"/>
              </w:rPr>
            </w:pPr>
            <w:r>
              <w:rPr>
                <w:rFonts w:hint="eastAsia" w:ascii="宋体" w:hAnsi="宋体" w:eastAsia="宋体" w:cs="宋体"/>
                <w:color w:val="000000"/>
                <w:sz w:val="24"/>
                <w:szCs w:val="24"/>
              </w:rPr>
              <w:t>根据人员组织、养护计划、服务承诺、综合保障措施等</w:t>
            </w:r>
            <w:r>
              <w:rPr>
                <w:rFonts w:hint="eastAsia" w:ascii="宋体" w:hAnsi="宋体" w:eastAsia="宋体" w:cs="宋体"/>
                <w:color w:val="000000"/>
                <w:sz w:val="24"/>
                <w:szCs w:val="24"/>
                <w:lang w:eastAsia="zh-CN"/>
              </w:rPr>
              <w:t>综合</w:t>
            </w:r>
            <w:r>
              <w:rPr>
                <w:rFonts w:hint="eastAsia" w:ascii="宋体" w:hAnsi="宋体" w:eastAsia="宋体" w:cs="宋体"/>
                <w:color w:val="000000"/>
                <w:sz w:val="24"/>
                <w:szCs w:val="24"/>
              </w:rPr>
              <w:t>打分：</w:t>
            </w:r>
          </w:p>
          <w:p>
            <w:pPr>
              <w:adjustRightInd w:val="0"/>
              <w:snapToGrid w:val="0"/>
              <w:outlineLvl w:val="3"/>
              <w:rPr>
                <w:rFonts w:ascii="宋体" w:hAnsi="宋体" w:eastAsia="宋体" w:cs="宋体"/>
                <w:bCs/>
                <w:color w:val="000000"/>
                <w:sz w:val="24"/>
                <w:szCs w:val="24"/>
              </w:rPr>
            </w:pPr>
            <w:r>
              <w:rPr>
                <w:rFonts w:hint="eastAsia" w:ascii="宋体" w:hAnsi="宋体" w:eastAsia="宋体" w:cs="宋体"/>
                <w:bCs/>
                <w:color w:val="000000"/>
                <w:sz w:val="24"/>
                <w:szCs w:val="24"/>
              </w:rPr>
              <w:t>1.对项目认识深刻、全面、切合实际，目标明确，响应招标文件实质性要求：一般≤</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分、良≤</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分、优≤</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分，不提供不得分。</w:t>
            </w:r>
          </w:p>
          <w:p>
            <w:pPr>
              <w:adjustRightInd w:val="0"/>
              <w:snapToGrid w:val="0"/>
              <w:outlineLvl w:val="3"/>
              <w:rPr>
                <w:rFonts w:ascii="宋体" w:hAnsi="宋体" w:eastAsia="宋体" w:cs="宋体"/>
                <w:bCs/>
                <w:color w:val="000000"/>
                <w:sz w:val="24"/>
                <w:szCs w:val="24"/>
              </w:rPr>
            </w:pPr>
            <w:r>
              <w:rPr>
                <w:rFonts w:hint="eastAsia" w:ascii="宋体" w:hAnsi="宋体" w:eastAsia="宋体" w:cs="宋体"/>
                <w:bCs/>
                <w:color w:val="000000"/>
                <w:sz w:val="24"/>
                <w:szCs w:val="24"/>
              </w:rPr>
              <w:t>2.组织健全、管理科学、体系完整、可操作性强：一般≤</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分、良≤</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分、优≤</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分，不提供不得分。</w:t>
            </w:r>
          </w:p>
          <w:p>
            <w:pPr>
              <w:adjustRightInd w:val="0"/>
              <w:snapToGrid w:val="0"/>
              <w:outlineLvl w:val="3"/>
              <w:rPr>
                <w:rFonts w:ascii="宋体" w:hAnsi="宋体" w:eastAsia="宋体" w:cs="宋体"/>
                <w:bCs/>
                <w:color w:val="000000"/>
                <w:sz w:val="24"/>
                <w:szCs w:val="24"/>
              </w:rPr>
            </w:pPr>
            <w:r>
              <w:rPr>
                <w:rFonts w:hint="eastAsia" w:ascii="宋体" w:hAnsi="宋体" w:eastAsia="宋体" w:cs="宋体"/>
                <w:bCs/>
                <w:color w:val="000000"/>
                <w:sz w:val="24"/>
                <w:szCs w:val="24"/>
              </w:rPr>
              <w:t>3.质量、安全、文明管护的方案全面合理：一般≤</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分、良≤</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分、优≤</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分，不提供不得分。</w:t>
            </w:r>
          </w:p>
          <w:p>
            <w:pPr>
              <w:adjustRightInd w:val="0"/>
              <w:snapToGrid w:val="0"/>
              <w:outlineLvl w:val="3"/>
              <w:rPr>
                <w:rFonts w:ascii="宋体" w:hAnsi="宋体" w:eastAsia="宋体" w:cs="宋体"/>
                <w:bCs/>
                <w:color w:val="000000"/>
                <w:sz w:val="24"/>
                <w:szCs w:val="24"/>
              </w:rPr>
            </w:pPr>
            <w:r>
              <w:rPr>
                <w:rFonts w:hint="eastAsia" w:ascii="宋体" w:hAnsi="宋体" w:eastAsia="宋体" w:cs="宋体"/>
                <w:bCs/>
                <w:color w:val="000000"/>
                <w:sz w:val="24"/>
                <w:szCs w:val="24"/>
              </w:rPr>
              <w:t>4.关键性环节及重点、难点分析和解决方法，分析全面、措施合理，对本项目具有针对性：一般≤</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分、良≤</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分、优≤</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分，不提供不得分。</w:t>
            </w:r>
          </w:p>
          <w:p>
            <w:pPr>
              <w:adjustRightInd w:val="0"/>
              <w:snapToGrid w:val="0"/>
              <w:outlineLvl w:val="3"/>
              <w:rPr>
                <w:rFonts w:ascii="宋体" w:hAnsi="宋体" w:eastAsia="宋体" w:cs="宋体"/>
                <w:bCs/>
                <w:color w:val="000000"/>
                <w:sz w:val="24"/>
                <w:szCs w:val="24"/>
              </w:rPr>
            </w:pPr>
            <w:r>
              <w:rPr>
                <w:rFonts w:hint="eastAsia" w:ascii="宋体" w:hAnsi="宋体" w:eastAsia="宋体" w:cs="宋体"/>
                <w:bCs/>
                <w:color w:val="000000"/>
                <w:sz w:val="24"/>
                <w:szCs w:val="24"/>
              </w:rPr>
              <w:t>5.所采用的新材料、新技术、新工艺必须具备环境友好、资源节约等特点，同时能有效提高养护管理的质量和水平。每有一项得</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分，最多不超过</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分。</w:t>
            </w:r>
          </w:p>
          <w:p>
            <w:pPr>
              <w:adjustRightInd w:val="0"/>
              <w:snapToGrid w:val="0"/>
              <w:outlineLvl w:val="3"/>
              <w:rPr>
                <w:rFonts w:ascii="宋体" w:hAnsi="宋体" w:eastAsia="宋体" w:cs="宋体"/>
                <w:bCs/>
                <w:color w:val="000000"/>
                <w:sz w:val="24"/>
                <w:szCs w:val="24"/>
              </w:rPr>
            </w:pPr>
            <w:r>
              <w:rPr>
                <w:rFonts w:hint="eastAsia" w:ascii="宋体" w:hAnsi="宋体" w:eastAsia="宋体" w:cs="宋体"/>
                <w:bCs/>
                <w:color w:val="000000"/>
                <w:sz w:val="24"/>
                <w:szCs w:val="24"/>
              </w:rPr>
              <w:t>6.所提建议有利养护管理工作的开展，切实可行、科学合理的，每有一项得</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分，最多不超过</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分。</w:t>
            </w:r>
          </w:p>
          <w:p>
            <w:pPr>
              <w:rPr>
                <w:rFonts w:ascii="宋体" w:hAnsi="宋体" w:eastAsia="宋体" w:cs="宋体"/>
                <w:color w:val="000000"/>
                <w:kern w:val="0"/>
                <w:sz w:val="24"/>
                <w:szCs w:val="24"/>
              </w:rPr>
            </w:pPr>
            <w:r>
              <w:rPr>
                <w:rFonts w:hint="eastAsia" w:ascii="宋体" w:hAnsi="宋体" w:eastAsia="宋体" w:cs="宋体"/>
                <w:color w:val="000000"/>
                <w:sz w:val="24"/>
                <w:szCs w:val="24"/>
              </w:rPr>
              <w:t>7</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绿化养护服务承诺与响应措施。评委从服务承诺与响应措施，进行横向对比综合打分</w:t>
            </w:r>
            <w:r>
              <w:rPr>
                <w:rFonts w:hint="eastAsia" w:ascii="宋体" w:hAnsi="宋体" w:eastAsia="宋体" w:cs="宋体"/>
                <w:color w:val="000000"/>
                <w:sz w:val="24"/>
                <w:szCs w:val="24"/>
                <w:lang w:eastAsia="zh-CN"/>
              </w:rPr>
              <w:t>：</w:t>
            </w:r>
            <w:r>
              <w:rPr>
                <w:rFonts w:hint="eastAsia" w:ascii="宋体" w:hAnsi="宋体" w:eastAsia="宋体" w:cs="宋体"/>
                <w:bCs/>
                <w:color w:val="000000"/>
                <w:sz w:val="24"/>
                <w:szCs w:val="24"/>
              </w:rPr>
              <w:t>一般≤</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分、良≤</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rPr>
              <w:t>分、优≤</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rPr>
              <w:t>分</w:t>
            </w:r>
            <w:r>
              <w:rPr>
                <w:rFonts w:hint="eastAsia" w:ascii="宋体" w:hAnsi="宋体" w:eastAsia="宋体" w:cs="宋体"/>
                <w:color w:val="000000"/>
                <w:kern w:val="0"/>
                <w:sz w:val="24"/>
                <w:szCs w:val="24"/>
              </w:rPr>
              <w:t>。</w:t>
            </w:r>
          </w:p>
        </w:tc>
      </w:tr>
    </w:tbl>
    <w:p>
      <w:pPr>
        <w:snapToGrid w:val="0"/>
        <w:spacing w:line="300" w:lineRule="auto"/>
        <w:ind w:firstLine="555"/>
        <w:rPr>
          <w:rFonts w:asciiTheme="majorEastAsia" w:hAnsiTheme="majorEastAsia" w:eastAsiaTheme="majorEastAsia" w:cstheme="minorEastAsia"/>
          <w:b/>
          <w:sz w:val="24"/>
        </w:rPr>
      </w:pPr>
      <w:r>
        <w:rPr>
          <w:rFonts w:hint="eastAsia" w:asciiTheme="majorEastAsia" w:hAnsiTheme="majorEastAsia" w:eastAsiaTheme="majorEastAsia" w:cstheme="minorEastAsia"/>
          <w:b/>
          <w:kern w:val="0"/>
          <w:sz w:val="24"/>
        </w:rPr>
        <w:t>注：</w:t>
      </w:r>
      <w:r>
        <w:rPr>
          <w:rFonts w:hint="eastAsia" w:asciiTheme="majorEastAsia" w:hAnsiTheme="majorEastAsia" w:eastAsiaTheme="majorEastAsia" w:cstheme="minorEastAsia"/>
          <w:b/>
          <w:sz w:val="24"/>
        </w:rPr>
        <w:t>评标办法中涉及人员证书、业绩合同等证明材料，如为复印件均须加盖供应商公章，否则该项不得分。</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（二）商务标评分：（</w:t>
      </w:r>
      <w:r>
        <w:rPr>
          <w:rFonts w:hint="eastAsia" w:asciiTheme="majorEastAsia" w:hAnsiTheme="majorEastAsia" w:eastAsiaTheme="majorEastAsia" w:cstheme="minorEastAsia"/>
          <w:sz w:val="24"/>
          <w:szCs w:val="24"/>
          <w:lang w:val="en-US" w:eastAsia="zh-CN"/>
        </w:rPr>
        <w:t>3</w:t>
      </w:r>
      <w:r>
        <w:rPr>
          <w:rFonts w:hint="eastAsia" w:asciiTheme="majorEastAsia" w:hAnsiTheme="majorEastAsia" w:eastAsiaTheme="majorEastAsia" w:cstheme="minorEastAsia"/>
          <w:sz w:val="24"/>
          <w:szCs w:val="24"/>
        </w:rPr>
        <w:t>0分）</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1、本次投标报价采用固定总价报价，本项目最高限价为8.5万元/年。</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2、有效报价：指投标报价低于或等于最高限价的报价，高于最高限价的作废标处理。</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3、报价得分：价格分统一采用低价优先法计算，即满足磋商文件要求且最终报价最低的供应商的价格为磋商基准价，其价格分为满分。其他供应商的价格分统一按照下列公式计算：</w:t>
      </w:r>
    </w:p>
    <w:p>
      <w:pPr>
        <w:snapToGrid w:val="0"/>
        <w:spacing w:line="360" w:lineRule="auto"/>
        <w:ind w:firstLine="720" w:firstLineChars="300"/>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磋商报价得分=（磋商基准价/最终磋商报价）×</w:t>
      </w:r>
      <w:r>
        <w:rPr>
          <w:rFonts w:hint="eastAsia" w:asciiTheme="majorEastAsia" w:hAnsiTheme="majorEastAsia" w:eastAsiaTheme="majorEastAsia" w:cstheme="minorEastAsia"/>
          <w:bCs/>
          <w:sz w:val="24"/>
          <w:szCs w:val="24"/>
          <w:lang w:val="en-US" w:eastAsia="zh-CN"/>
        </w:rPr>
        <w:t>3</w:t>
      </w:r>
      <w:r>
        <w:rPr>
          <w:rFonts w:hint="eastAsia" w:asciiTheme="majorEastAsia" w:hAnsiTheme="majorEastAsia" w:eastAsiaTheme="majorEastAsia" w:cstheme="minorEastAsia"/>
          <w:bCs/>
          <w:sz w:val="24"/>
          <w:szCs w:val="24"/>
        </w:rPr>
        <w:t>0%×100</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（三）政府采购政策功能落实</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1、小微型企业价格扣除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（1）本项目对小型和微型企业产品给予10%的扣除价格，用扣除后的价格参与评审。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（2）供应商需按照采购文件的要求提供相应的《小型、微型企业声明函》。</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（3）企业标准请参照《关于印发中小企业划型标准规定的通知》（工信部联企业[2011]300号）文件规定自行填写。</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（1）本项目对残疾人福利性单位视同小型、微型企业，给予10%的价格扣除，用扣除后的价格参与评审。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（2）残疾人福利单位需按照采购文件的要求提供《残疾人福利性单位声明函》。</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（3）残疾人福利单位标准请参照《关于促进残疾人就业政府采购政策的通知》（财库〔2017〕141号）。</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3、监狱和戒毒企业价格扣除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（1）本项目对监狱和戒毒企业（简称监狱企业）视同小型、微型企业，给予10%的价格扣除，用扣除后的价格参与评审。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（3）监狱企业标准请参照《关于政府采购支持监狱企业发展有关问题的通知》（财库[2014]68号）。</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4、残疾人福利单位、监狱企业属于小型、微型企业的，不重复享受政策。</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6、联合体各方均为小型、微型企业（残疾人福利单位、监狱企业）的，联合体享受10%价格扣除，用扣除后的价格参与评审。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7、根据《江苏省政府采购信用管理暂行办法》的规定，对有失信行为的供应商将根据信用评价结果按规定予以扣分或价格加成。</w:t>
      </w:r>
    </w:p>
    <w:p>
      <w:pPr>
        <w:snapToGrid w:val="0"/>
        <w:spacing w:line="300" w:lineRule="auto"/>
        <w:ind w:firstLine="482" w:firstLineChars="200"/>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特别提醒】供应商应依照规定提交各类声明函、承诺函，不再同时提供原件备查或提供有关部门出具的相关证明文件。但中标或成交供应商，应做好提交声明函、承诺函相应原件的核查准备；核查后发现虚假或违背承诺的，依照相关法律法规规定处理。</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六、出现下列情形之一的，作无效磋商处理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1、未按时交纳磋商保证金或金额不足的；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2、磋商响应文件未按规定要求装订、密封、签署、盖章及资料不齐全的；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3、磋商响应文件的资料有虚报或者谎报的；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4、磋商响应文件技术部分出现磋商报价的内容；</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5、不具备磋商文件规定的资格要求的；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6、磋商响应文件有重大漏项或重大不合理的；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7、项目技术、方案不满足项目需求中的要求，有重大偏离或保留的；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8、磋商响应报价超出项目服务限价的；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9、被认定为低于成本报价而磋商竞标的；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10、供应商的磋商报价高于自己前一轮的。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11、不符合法律、法规和磋商文件中规定的实质性响应要求的；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12、磋商小组认定为其他情况可确定为无效投标的。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七、出现下列情形之一的，作废标处理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1、供应商的报价均超出了采购预算，采购人不能支付的；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2、因情况变化，不再符合规定的竞争性磋商采购方式所适用情形的；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3、在采购过程中符合要求的供应商不足3家的。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4、出现影响采购公正的违法、违规行为的；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5、因重大变故，采购任务取消的。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八、成交通知</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1、竞争性磋商结束后，招标采购人将成交结果在指定媒体上公示1个工作日。</w:t>
      </w:r>
    </w:p>
    <w:p>
      <w:pPr>
        <w:snapToGrid w:val="0"/>
        <w:spacing w:line="360" w:lineRule="auto"/>
        <w:ind w:firstLine="484" w:firstLineChars="202"/>
        <w:rPr>
          <w:rFonts w:asciiTheme="majorEastAsia" w:hAnsiTheme="majorEastAsia" w:eastAsiaTheme="majorEastAsia"/>
        </w:rPr>
      </w:pPr>
      <w:r>
        <w:rPr>
          <w:rFonts w:hint="eastAsia" w:asciiTheme="majorEastAsia" w:hAnsiTheme="majorEastAsia" w:eastAsiaTheme="majorEastAsia" w:cstheme="minorEastAsia"/>
          <w:sz w:val="24"/>
          <w:szCs w:val="24"/>
        </w:rPr>
        <w:t>2、《成交通知书》一经发出，即具有法律效力。采购人、成交供应商依法承担法律责任。</w:t>
      </w:r>
      <w:bookmarkEnd w:id="4"/>
      <w:bookmarkStart w:id="6" w:name="_Toc363573857"/>
    </w:p>
    <w:p>
      <w:pPr>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2"/>
          <w:szCs w:val="32"/>
        </w:rPr>
        <w:br w:type="page"/>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第五章 合同授予</w:t>
      </w:r>
      <w:bookmarkEnd w:id="6"/>
      <w:r>
        <w:rPr>
          <w:rFonts w:hint="eastAsia" w:asciiTheme="majorEastAsia" w:hAnsiTheme="majorEastAsia" w:eastAsiaTheme="majorEastAsia" w:cstheme="minorEastAsia"/>
          <w:b/>
          <w:w w:val="80"/>
          <w:sz w:val="36"/>
          <w:szCs w:val="36"/>
        </w:rPr>
        <w:t>与履约</w:t>
      </w:r>
    </w:p>
    <w:p>
      <w:pPr>
        <w:spacing w:line="360" w:lineRule="auto"/>
        <w:ind w:firstLine="480" w:firstLineChars="200"/>
        <w:rPr>
          <w:rFonts w:hAnsi="宋体" w:eastAsia="宋体"/>
          <w:sz w:val="24"/>
          <w:szCs w:val="24"/>
        </w:rPr>
      </w:pPr>
      <w:bookmarkStart w:id="7" w:name="_Toc94585343"/>
      <w:bookmarkStart w:id="8" w:name="_Toc363573858"/>
      <w:r>
        <w:rPr>
          <w:rFonts w:hint="eastAsia" w:hAnsi="宋体" w:eastAsia="宋体"/>
          <w:sz w:val="24"/>
          <w:szCs w:val="24"/>
        </w:rPr>
        <w:t>一、成交供应商在接到《成交通知书</w:t>
      </w:r>
      <w:r>
        <w:rPr>
          <w:rFonts w:hint="eastAsia" w:hAnsi="宋体" w:eastAsia="宋体"/>
          <w:sz w:val="24"/>
          <w:szCs w:val="24"/>
          <w:highlight w:val="none"/>
        </w:rPr>
        <w:t>》后3</w:t>
      </w:r>
      <w:r>
        <w:rPr>
          <w:rFonts w:hAnsi="宋体" w:eastAsia="宋体"/>
          <w:sz w:val="24"/>
          <w:szCs w:val="24"/>
          <w:highlight w:val="none"/>
        </w:rPr>
        <w:t>0</w:t>
      </w:r>
      <w:r>
        <w:rPr>
          <w:rFonts w:hint="eastAsia" w:hAnsi="宋体" w:eastAsia="宋体"/>
          <w:sz w:val="24"/>
          <w:szCs w:val="24"/>
          <w:highlight w:val="none"/>
        </w:rPr>
        <w:t>日内与采购人签订合同，</w:t>
      </w:r>
      <w:r>
        <w:rPr>
          <w:rFonts w:hint="eastAsia" w:hAnsi="宋体" w:eastAsia="宋体"/>
          <w:sz w:val="24"/>
          <w:szCs w:val="24"/>
        </w:rPr>
        <w:t>在签订合同之前应将履约保证金转账至采购人指定账户，</w:t>
      </w:r>
      <w:r>
        <w:rPr>
          <w:rFonts w:hint="eastAsia" w:hAnsi="宋体" w:eastAsia="宋体"/>
          <w:sz w:val="24"/>
          <w:szCs w:val="24"/>
          <w:highlight w:val="none"/>
        </w:rPr>
        <w:t>本项目履约保证金金额为中标价的5</w:t>
      </w:r>
      <w:r>
        <w:rPr>
          <w:rFonts w:hAnsi="宋体" w:eastAsia="宋体"/>
          <w:sz w:val="24"/>
          <w:szCs w:val="24"/>
          <w:highlight w:val="none"/>
        </w:rPr>
        <w:t>%</w:t>
      </w:r>
      <w:r>
        <w:rPr>
          <w:rFonts w:hint="eastAsia" w:hAnsi="宋体" w:eastAsia="宋体"/>
          <w:sz w:val="24"/>
          <w:szCs w:val="24"/>
          <w:highlight w:val="none"/>
        </w:rPr>
        <w:t>。合</w:t>
      </w:r>
      <w:r>
        <w:rPr>
          <w:rFonts w:hint="eastAsia" w:hAnsi="宋体" w:eastAsia="宋体"/>
          <w:sz w:val="24"/>
          <w:szCs w:val="24"/>
        </w:rPr>
        <w:t>同签订后成交供应商方可履约，否则引起的一切后果由成交人自行承担。合同一式四份（采购人、供应商各二份）。所签合同不得对采购文件作实质性修改。采购人不得向成交供应商提出不合理的要求作为签订合同的条件，不得与成交供应商私下订立背离采购文件实质性内容的协议。</w:t>
      </w:r>
    </w:p>
    <w:p>
      <w:pPr>
        <w:spacing w:line="360" w:lineRule="auto"/>
        <w:ind w:firstLine="480" w:firstLineChars="200"/>
        <w:rPr>
          <w:rFonts w:hAnsi="宋体" w:eastAsia="宋体"/>
          <w:sz w:val="24"/>
          <w:szCs w:val="24"/>
        </w:rPr>
      </w:pPr>
      <w:r>
        <w:rPr>
          <w:rFonts w:hint="eastAsia" w:hAnsi="宋体" w:eastAsia="宋体"/>
          <w:sz w:val="24"/>
          <w:szCs w:val="24"/>
        </w:rPr>
        <w:t>二、</w:t>
      </w:r>
      <w:bookmarkStart w:id="9" w:name="OLE_LINK2"/>
      <w:bookmarkStart w:id="10" w:name="OLE_LINK1"/>
      <w:r>
        <w:rPr>
          <w:rFonts w:hint="eastAsia" w:hAnsi="宋体" w:eastAsia="宋体"/>
          <w:sz w:val="24"/>
          <w:szCs w:val="24"/>
        </w:rPr>
        <w:t>采购人与供应商串通或要求供应商通过减少货物数量或降低服务标准的，在履行合同中采取更改配置、调换物品等手段的，要求供应商出具虚假发票或任意更改销售发票的，谋取不正当利益的，承担相应的法律责任。</w:t>
      </w:r>
    </w:p>
    <w:p>
      <w:pPr>
        <w:spacing w:line="360" w:lineRule="auto"/>
        <w:ind w:firstLine="480" w:firstLineChars="200"/>
        <w:rPr>
          <w:rFonts w:hAnsi="宋体" w:eastAsia="宋体"/>
          <w:sz w:val="24"/>
          <w:szCs w:val="24"/>
        </w:rPr>
      </w:pPr>
      <w:r>
        <w:rPr>
          <w:rFonts w:hint="eastAsia" w:hAnsi="宋体" w:eastAsia="宋体"/>
          <w:sz w:val="24"/>
          <w:szCs w:val="24"/>
        </w:rPr>
        <w:t>三、成交供应商出现违约情形，应当及时纠正或补偿；造成损失的，按合同约定追究违约责任；发现有假冒、伪劣、走私产品、商业贿赂等违法情形的，应由采购人移交工商、质监、公安等行政执法部门依法查处。</w:t>
      </w:r>
    </w:p>
    <w:p>
      <w:pPr>
        <w:spacing w:line="360" w:lineRule="auto"/>
        <w:ind w:firstLine="480" w:firstLineChars="200"/>
        <w:rPr>
          <w:rFonts w:hAnsi="宋体" w:eastAsia="宋体"/>
          <w:sz w:val="24"/>
          <w:szCs w:val="24"/>
        </w:rPr>
      </w:pPr>
      <w:r>
        <w:rPr>
          <w:rFonts w:hint="eastAsia" w:hAnsi="宋体" w:eastAsia="宋体"/>
          <w:sz w:val="24"/>
          <w:szCs w:val="24"/>
        </w:rPr>
        <w:t>四、不响应付款方式的，视同无效投标处理。款项由采购人按相关财务支付规定办理支付手续，不得故意拖延支付时间</w:t>
      </w:r>
      <w:bookmarkEnd w:id="9"/>
      <w:bookmarkEnd w:id="10"/>
      <w:r>
        <w:rPr>
          <w:rFonts w:hint="eastAsia" w:hAnsi="宋体" w:eastAsia="宋体"/>
          <w:sz w:val="24"/>
          <w:szCs w:val="24"/>
        </w:rPr>
        <w:t>。</w:t>
      </w:r>
    </w:p>
    <w:p>
      <w:pPr>
        <w:spacing w:line="360" w:lineRule="auto"/>
        <w:ind w:firstLine="480" w:firstLineChars="200"/>
        <w:rPr>
          <w:rFonts w:hAnsi="宋体" w:eastAsia="宋体"/>
          <w:sz w:val="24"/>
          <w:szCs w:val="24"/>
        </w:rPr>
      </w:pPr>
      <w:r>
        <w:rPr>
          <w:rFonts w:hint="eastAsia" w:hAnsi="宋体" w:eastAsia="宋体"/>
          <w:sz w:val="24"/>
          <w:szCs w:val="24"/>
        </w:rPr>
        <w:t>五、</w:t>
      </w:r>
      <w:r>
        <w:rPr>
          <w:rFonts w:hAnsi="宋体" w:eastAsia="宋体"/>
          <w:sz w:val="24"/>
          <w:szCs w:val="24"/>
        </w:rPr>
        <w:t>每次采购</w:t>
      </w:r>
      <w:r>
        <w:rPr>
          <w:rFonts w:hint="eastAsia" w:hAnsi="宋体" w:eastAsia="宋体"/>
          <w:sz w:val="24"/>
          <w:szCs w:val="24"/>
        </w:rPr>
        <w:t>人</w:t>
      </w:r>
      <w:r>
        <w:rPr>
          <w:rFonts w:hAnsi="宋体" w:eastAsia="宋体"/>
          <w:sz w:val="24"/>
          <w:szCs w:val="24"/>
        </w:rPr>
        <w:t>付款前，</w:t>
      </w:r>
      <w:r>
        <w:rPr>
          <w:rFonts w:hint="eastAsia" w:hAnsi="宋体" w:eastAsia="宋体"/>
          <w:kern w:val="0"/>
          <w:sz w:val="24"/>
          <w:szCs w:val="24"/>
          <w:lang w:val="zh-CN"/>
        </w:rPr>
        <w:t>成交供应商</w:t>
      </w:r>
      <w:r>
        <w:rPr>
          <w:rFonts w:hAnsi="宋体" w:eastAsia="宋体"/>
          <w:sz w:val="24"/>
          <w:szCs w:val="24"/>
        </w:rPr>
        <w:t>根据结算金额按国家有关财税规定开出合法发票交采购</w:t>
      </w:r>
      <w:r>
        <w:rPr>
          <w:rFonts w:hint="eastAsia" w:hAnsi="宋体" w:eastAsia="宋体"/>
          <w:sz w:val="24"/>
          <w:szCs w:val="24"/>
        </w:rPr>
        <w:t>人</w:t>
      </w:r>
      <w:r>
        <w:rPr>
          <w:rFonts w:hAnsi="宋体" w:eastAsia="宋体"/>
          <w:sz w:val="24"/>
          <w:szCs w:val="24"/>
        </w:rPr>
        <w:t>办理付款手续。</w:t>
      </w:r>
    </w:p>
    <w:p>
      <w:pPr>
        <w:widowControl/>
        <w:jc w:val="left"/>
        <w:rPr>
          <w:rFonts w:ascii="宋体" w:hAnsi="宋体" w:eastAsia="宋体" w:cs="宋体"/>
          <w:b/>
          <w:sz w:val="24"/>
          <w:szCs w:val="22"/>
        </w:rPr>
      </w:pPr>
    </w:p>
    <w:p>
      <w:pPr>
        <w:widowControl/>
        <w:jc w:val="left"/>
        <w:rPr>
          <w:rFonts w:asciiTheme="majorEastAsia" w:hAnsiTheme="majorEastAsia" w:eastAsiaTheme="majorEastAsia" w:cstheme="minorEastAsia"/>
          <w:b/>
          <w:w w:val="80"/>
          <w:sz w:val="36"/>
          <w:szCs w:val="36"/>
        </w:rPr>
      </w:pPr>
      <w:r>
        <w:rPr>
          <w:rFonts w:asciiTheme="majorEastAsia" w:hAnsiTheme="majorEastAsia" w:eastAsiaTheme="majorEastAsia" w:cstheme="minorEastAsia"/>
          <w:b/>
          <w:w w:val="80"/>
          <w:sz w:val="36"/>
          <w:szCs w:val="36"/>
        </w:rPr>
        <w:br w:type="page"/>
      </w:r>
    </w:p>
    <w:p>
      <w:pPr>
        <w:tabs>
          <w:tab w:val="left" w:pos="1050"/>
          <w:tab w:val="right" w:leader="dot" w:pos="9402"/>
        </w:tabs>
        <w:snapToGrid w:val="0"/>
        <w:spacing w:before="380" w:beforeLines="100" w:line="360" w:lineRule="auto"/>
        <w:jc w:val="center"/>
        <w:outlineLvl w:val="0"/>
        <w:rPr>
          <w:rFonts w:hint="eastAsia" w:asciiTheme="majorEastAsia" w:hAnsiTheme="majorEastAsia" w:eastAsiaTheme="majorEastAsia" w:cstheme="minorEastAsia"/>
          <w:b/>
          <w:w w:val="80"/>
          <w:sz w:val="36"/>
          <w:szCs w:val="36"/>
          <w:lang w:eastAsia="zh-CN"/>
        </w:rPr>
      </w:pPr>
      <w:r>
        <w:rPr>
          <w:rFonts w:hint="eastAsia" w:asciiTheme="majorEastAsia" w:hAnsiTheme="majorEastAsia" w:eastAsiaTheme="majorEastAsia" w:cstheme="minorEastAsia"/>
          <w:b/>
          <w:w w:val="80"/>
          <w:sz w:val="36"/>
          <w:szCs w:val="36"/>
        </w:rPr>
        <w:t>第六章</w:t>
      </w:r>
      <w:bookmarkEnd w:id="7"/>
      <w:r>
        <w:rPr>
          <w:rFonts w:hint="eastAsia" w:asciiTheme="majorEastAsia" w:hAnsiTheme="majorEastAsia" w:eastAsiaTheme="majorEastAsia" w:cstheme="minorEastAsia"/>
          <w:b/>
          <w:w w:val="80"/>
          <w:sz w:val="36"/>
          <w:szCs w:val="36"/>
        </w:rPr>
        <w:t xml:space="preserve"> </w:t>
      </w:r>
      <w:bookmarkEnd w:id="8"/>
      <w:r>
        <w:rPr>
          <w:rFonts w:hint="eastAsia" w:asciiTheme="majorEastAsia" w:hAnsiTheme="majorEastAsia" w:eastAsiaTheme="majorEastAsia" w:cstheme="minorEastAsia"/>
          <w:b/>
          <w:w w:val="80"/>
          <w:sz w:val="36"/>
          <w:szCs w:val="36"/>
        </w:rPr>
        <w:t>合同</w:t>
      </w:r>
      <w:r>
        <w:rPr>
          <w:rFonts w:hint="eastAsia" w:asciiTheme="majorEastAsia" w:hAnsiTheme="majorEastAsia" w:eastAsiaTheme="majorEastAsia" w:cstheme="minorEastAsia"/>
          <w:b/>
          <w:w w:val="80"/>
          <w:sz w:val="36"/>
          <w:szCs w:val="36"/>
          <w:lang w:eastAsia="zh-CN"/>
        </w:rPr>
        <w:t>条款</w:t>
      </w:r>
    </w:p>
    <w:p>
      <w:pPr>
        <w:pStyle w:val="24"/>
      </w:pPr>
    </w:p>
    <w:p/>
    <w:p>
      <w:pPr>
        <w:spacing w:line="480" w:lineRule="auto"/>
        <w:jc w:val="center"/>
        <w:rPr>
          <w:rFonts w:ascii="宋体" w:hAnsi="宋体"/>
          <w:b/>
          <w:w w:val="90"/>
          <w:kern w:val="0"/>
          <w:sz w:val="52"/>
          <w:szCs w:val="52"/>
        </w:rPr>
      </w:pPr>
      <w:bookmarkStart w:id="11" w:name="_Toc363573859"/>
      <w:r>
        <w:rPr>
          <w:rFonts w:hint="eastAsia" w:ascii="宋体" w:hAnsi="宋体"/>
          <w:b/>
          <w:w w:val="90"/>
          <w:kern w:val="0"/>
          <w:sz w:val="52"/>
          <w:szCs w:val="52"/>
        </w:rPr>
        <w:t>南通市妇幼保健院</w:t>
      </w:r>
    </w:p>
    <w:p>
      <w:pPr>
        <w:spacing w:line="480" w:lineRule="auto"/>
        <w:jc w:val="center"/>
        <w:rPr>
          <w:rFonts w:ascii="宋体" w:hAnsi="宋体"/>
          <w:b/>
          <w:bCs/>
          <w:sz w:val="52"/>
          <w:szCs w:val="52"/>
        </w:rPr>
      </w:pPr>
      <w:r>
        <w:rPr>
          <w:rFonts w:hint="eastAsia" w:ascii="宋体" w:hAnsi="宋体"/>
          <w:b/>
          <w:w w:val="90"/>
          <w:kern w:val="0"/>
          <w:sz w:val="52"/>
          <w:szCs w:val="52"/>
        </w:rPr>
        <w:t>2021-2024年绿植租摆与绿化养护合同</w:t>
      </w:r>
    </w:p>
    <w:p>
      <w:pPr>
        <w:jc w:val="center"/>
        <w:rPr>
          <w:rFonts w:ascii="仿宋_GB2312" w:hAnsi="仿宋" w:eastAsia="仿宋_GB2312"/>
          <w:b/>
          <w:bCs/>
          <w:sz w:val="28"/>
          <w:szCs w:val="28"/>
        </w:rPr>
      </w:pPr>
    </w:p>
    <w:p>
      <w:pPr>
        <w:jc w:val="center"/>
        <w:rPr>
          <w:rFonts w:ascii="仿宋_GB2312" w:hAnsi="仿宋" w:eastAsia="仿宋_GB2312"/>
          <w:b/>
          <w:bCs/>
          <w:sz w:val="28"/>
          <w:szCs w:val="28"/>
        </w:rPr>
      </w:pPr>
    </w:p>
    <w:p>
      <w:pPr>
        <w:jc w:val="center"/>
        <w:rPr>
          <w:rFonts w:ascii="仿宋_GB2312" w:hAnsi="仿宋" w:eastAsia="仿宋_GB2312"/>
          <w:b/>
          <w:bCs/>
          <w:sz w:val="28"/>
          <w:szCs w:val="28"/>
        </w:rPr>
      </w:pPr>
    </w:p>
    <w:p>
      <w:pPr>
        <w:jc w:val="center"/>
        <w:rPr>
          <w:rFonts w:ascii="仿宋_GB2312" w:hAnsi="仿宋" w:eastAsia="仿宋_GB2312"/>
          <w:b/>
          <w:bCs/>
          <w:sz w:val="28"/>
          <w:szCs w:val="28"/>
        </w:rPr>
      </w:pPr>
    </w:p>
    <w:p>
      <w:pPr>
        <w:jc w:val="center"/>
        <w:rPr>
          <w:rFonts w:ascii="仿宋_GB2312" w:hAnsi="仿宋" w:eastAsia="仿宋_GB2312"/>
          <w:b/>
          <w:bCs/>
          <w:sz w:val="28"/>
          <w:szCs w:val="28"/>
        </w:rPr>
      </w:pPr>
    </w:p>
    <w:p>
      <w:pPr>
        <w:jc w:val="center"/>
        <w:rPr>
          <w:rFonts w:ascii="仿宋_GB2312" w:hAnsi="仿宋" w:eastAsia="仿宋_GB2312"/>
          <w:b/>
          <w:bCs/>
          <w:sz w:val="28"/>
          <w:szCs w:val="28"/>
        </w:rPr>
      </w:pPr>
    </w:p>
    <w:p>
      <w:pPr>
        <w:jc w:val="center"/>
        <w:rPr>
          <w:rFonts w:ascii="仿宋_GB2312" w:hAnsi="仿宋" w:eastAsia="仿宋_GB2312"/>
          <w:b/>
          <w:bCs/>
          <w:sz w:val="28"/>
          <w:szCs w:val="28"/>
        </w:rPr>
      </w:pPr>
    </w:p>
    <w:p>
      <w:pPr>
        <w:jc w:val="center"/>
        <w:rPr>
          <w:rFonts w:ascii="仿宋_GB2312" w:hAnsi="仿宋" w:eastAsia="仿宋_GB2312"/>
          <w:b/>
          <w:bCs/>
          <w:sz w:val="28"/>
          <w:szCs w:val="28"/>
        </w:rPr>
      </w:pPr>
    </w:p>
    <w:p>
      <w:pPr>
        <w:jc w:val="center"/>
        <w:rPr>
          <w:rFonts w:ascii="仿宋_GB2312" w:hAnsi="仿宋" w:eastAsia="仿宋_GB2312"/>
          <w:b/>
          <w:bCs/>
          <w:sz w:val="28"/>
          <w:szCs w:val="28"/>
        </w:rPr>
      </w:pPr>
    </w:p>
    <w:p>
      <w:pPr>
        <w:pStyle w:val="24"/>
        <w:jc w:val="center"/>
      </w:pPr>
    </w:p>
    <w:p>
      <w:pPr>
        <w:jc w:val="center"/>
      </w:pPr>
    </w:p>
    <w:p>
      <w:pPr>
        <w:jc w:val="center"/>
        <w:rPr>
          <w:rFonts w:ascii="仿宋_GB2312" w:hAnsi="仿宋" w:eastAsia="仿宋_GB2312"/>
          <w:b/>
          <w:bCs/>
          <w:sz w:val="28"/>
          <w:szCs w:val="28"/>
        </w:rPr>
      </w:pPr>
    </w:p>
    <w:p>
      <w:pPr>
        <w:jc w:val="center"/>
        <w:rPr>
          <w:rFonts w:ascii="仿宋_GB2312" w:hAnsi="仿宋" w:eastAsia="仿宋_GB2312"/>
          <w:b/>
          <w:bCs/>
          <w:sz w:val="28"/>
          <w:szCs w:val="28"/>
        </w:rPr>
      </w:pPr>
    </w:p>
    <w:p>
      <w:pPr>
        <w:pStyle w:val="24"/>
        <w:jc w:val="center"/>
      </w:pPr>
    </w:p>
    <w:p>
      <w:pPr>
        <w:jc w:val="center"/>
      </w:pPr>
    </w:p>
    <w:p>
      <w:pPr>
        <w:pStyle w:val="24"/>
        <w:jc w:val="center"/>
      </w:pPr>
    </w:p>
    <w:p>
      <w:pPr>
        <w:spacing w:line="360" w:lineRule="auto"/>
        <w:ind w:firstLine="560"/>
        <w:rPr>
          <w:rFonts w:ascii="仿宋_GB2312" w:hAnsi="仿宋" w:eastAsia="仿宋_GB2312"/>
          <w:sz w:val="28"/>
          <w:szCs w:val="28"/>
        </w:rPr>
      </w:pPr>
    </w:p>
    <w:p>
      <w:pPr>
        <w:spacing w:line="360" w:lineRule="auto"/>
        <w:ind w:firstLine="1680" w:firstLineChars="600"/>
        <w:rPr>
          <w:rFonts w:ascii="仿宋_GB2312" w:hAnsi="仿宋" w:eastAsia="仿宋_GB2312"/>
          <w:bCs/>
          <w:sz w:val="28"/>
          <w:szCs w:val="28"/>
          <w:u w:val="single"/>
        </w:rPr>
      </w:pPr>
      <w:r>
        <w:rPr>
          <w:rFonts w:hint="eastAsia" w:ascii="仿宋_GB2312" w:hAnsi="仿宋" w:eastAsia="仿宋_GB2312"/>
          <w:sz w:val="28"/>
          <w:szCs w:val="28"/>
        </w:rPr>
        <w:t>采购人（甲</w:t>
      </w:r>
      <w:r>
        <w:rPr>
          <w:rFonts w:ascii="仿宋_GB2312" w:hAnsi="仿宋" w:eastAsia="仿宋_GB2312"/>
          <w:sz w:val="28"/>
          <w:szCs w:val="28"/>
        </w:rPr>
        <w:t xml:space="preserve"> </w:t>
      </w:r>
      <w:r>
        <w:rPr>
          <w:rFonts w:hint="eastAsia" w:ascii="仿宋_GB2312" w:hAnsi="仿宋" w:eastAsia="仿宋_GB2312"/>
          <w:sz w:val="28"/>
          <w:szCs w:val="28"/>
        </w:rPr>
        <w:t>方）：</w:t>
      </w:r>
      <w:r>
        <w:rPr>
          <w:rFonts w:hint="eastAsia" w:ascii="仿宋_GB2312" w:hAnsi="仿宋" w:eastAsia="仿宋_GB2312"/>
          <w:sz w:val="28"/>
          <w:szCs w:val="28"/>
          <w:u w:val="single"/>
        </w:rPr>
        <w:t>南通市妇幼保健院</w:t>
      </w:r>
    </w:p>
    <w:p>
      <w:pPr>
        <w:spacing w:line="360" w:lineRule="auto"/>
        <w:ind w:firstLine="1680" w:firstLineChars="600"/>
        <w:rPr>
          <w:rFonts w:ascii="仿宋_GB2312" w:hAnsi="仿宋" w:eastAsia="仿宋_GB2312"/>
          <w:sz w:val="28"/>
          <w:szCs w:val="28"/>
          <w:u w:val="single"/>
        </w:rPr>
      </w:pPr>
      <w:r>
        <w:rPr>
          <w:rFonts w:hint="eastAsia" w:ascii="仿宋_GB2312" w:hAnsi="仿宋" w:eastAsia="仿宋_GB2312"/>
          <w:sz w:val="28"/>
          <w:szCs w:val="28"/>
        </w:rPr>
        <w:t>供应商（乙</w:t>
      </w:r>
      <w:r>
        <w:rPr>
          <w:rFonts w:ascii="仿宋_GB2312" w:hAnsi="仿宋" w:eastAsia="仿宋_GB2312"/>
          <w:sz w:val="28"/>
          <w:szCs w:val="28"/>
        </w:rPr>
        <w:t xml:space="preserve"> </w:t>
      </w:r>
      <w:r>
        <w:rPr>
          <w:rFonts w:hint="eastAsia" w:ascii="仿宋_GB2312" w:hAnsi="仿宋" w:eastAsia="仿宋_GB2312"/>
          <w:sz w:val="28"/>
          <w:szCs w:val="28"/>
        </w:rPr>
        <w:t>方）：</w:t>
      </w:r>
      <w:r>
        <w:rPr>
          <w:rFonts w:hint="eastAsia" w:ascii="仿宋_GB2312" w:hAnsi="仿宋" w:eastAsia="仿宋_GB2312"/>
          <w:sz w:val="28"/>
          <w:szCs w:val="28"/>
          <w:u w:val="single"/>
        </w:rPr>
        <w:t xml:space="preserve">                 </w:t>
      </w:r>
    </w:p>
    <w:p>
      <w:pPr>
        <w:widowControl/>
        <w:jc w:val="left"/>
        <w:rPr>
          <w:rFonts w:asciiTheme="majorEastAsia" w:hAnsiTheme="majorEastAsia" w:eastAsiaTheme="majorEastAsia" w:cstheme="minorEastAsia"/>
          <w:kern w:val="0"/>
          <w:sz w:val="24"/>
          <w:szCs w:val="24"/>
        </w:rPr>
      </w:pPr>
    </w:p>
    <w:p>
      <w:pPr>
        <w:widowControl/>
        <w:jc w:val="left"/>
        <w:rPr>
          <w:rFonts w:ascii="宋体" w:hAnsi="宋体" w:eastAsia="宋体"/>
          <w:bCs/>
          <w:sz w:val="24"/>
        </w:rPr>
      </w:pPr>
      <w:r>
        <w:rPr>
          <w:rFonts w:asciiTheme="majorEastAsia" w:hAnsiTheme="majorEastAsia" w:eastAsiaTheme="majorEastAsia" w:cstheme="minorEastAsia"/>
          <w:b/>
          <w:w w:val="80"/>
          <w:sz w:val="36"/>
          <w:szCs w:val="36"/>
        </w:rPr>
        <w:br w:type="page"/>
      </w:r>
      <w:r>
        <w:rPr>
          <w:rFonts w:hint="eastAsia" w:ascii="宋体" w:hAnsi="宋体" w:eastAsia="宋体"/>
          <w:b/>
          <w:sz w:val="24"/>
        </w:rPr>
        <w:t>采购人：</w:t>
      </w:r>
      <w:r>
        <w:rPr>
          <w:rFonts w:hint="eastAsia" w:ascii="宋体" w:hAnsi="宋体" w:eastAsia="宋体"/>
          <w:bCs/>
          <w:sz w:val="24"/>
          <w:u w:val="single"/>
        </w:rPr>
        <w:t>南通市妇幼保健院</w:t>
      </w:r>
      <w:r>
        <w:rPr>
          <w:rFonts w:hint="eastAsia" w:ascii="宋体" w:hAnsi="宋体" w:eastAsia="宋体"/>
          <w:bCs/>
          <w:sz w:val="24"/>
        </w:rPr>
        <w:t>（以下简称“甲方”）</w:t>
      </w:r>
    </w:p>
    <w:p>
      <w:pPr>
        <w:spacing w:line="360" w:lineRule="auto"/>
        <w:jc w:val="left"/>
        <w:rPr>
          <w:rFonts w:ascii="宋体" w:hAnsi="宋体" w:eastAsia="宋体"/>
          <w:b/>
          <w:sz w:val="24"/>
        </w:rPr>
      </w:pPr>
      <w:r>
        <w:rPr>
          <w:rFonts w:hint="eastAsia" w:ascii="宋体" w:hAnsi="宋体" w:eastAsia="宋体"/>
          <w:b/>
          <w:sz w:val="24"/>
        </w:rPr>
        <w:t>供应商：</w:t>
      </w:r>
      <w:r>
        <w:rPr>
          <w:rFonts w:hint="eastAsia" w:ascii="宋体" w:hAnsi="宋体" w:eastAsia="宋体"/>
          <w:b/>
          <w:sz w:val="24"/>
          <w:u w:val="single"/>
        </w:rPr>
        <w:t xml:space="preserve">                        </w:t>
      </w:r>
      <w:r>
        <w:rPr>
          <w:rFonts w:hint="eastAsia" w:ascii="宋体" w:hAnsi="宋体" w:eastAsia="宋体"/>
          <w:bCs/>
          <w:sz w:val="24"/>
        </w:rPr>
        <w:t>（以下简称“乙方”）</w:t>
      </w:r>
    </w:p>
    <w:p>
      <w:pPr>
        <w:spacing w:line="360" w:lineRule="auto"/>
        <w:ind w:firstLine="540"/>
        <w:rPr>
          <w:rFonts w:ascii="宋体" w:hAnsi="宋体" w:eastAsia="宋体"/>
          <w:b/>
          <w:sz w:val="24"/>
          <w:szCs w:val="21"/>
        </w:rPr>
      </w:pPr>
      <w:r>
        <w:rPr>
          <w:rFonts w:hint="eastAsia" w:ascii="宋体" w:hAnsi="宋体" w:eastAsia="宋体"/>
          <w:sz w:val="24"/>
        </w:rPr>
        <w:t>依《中华人民共和国民法典》、《中华人民共和国招标投标法》及相关法律法规为准则，依本项目磋商文件、乙方投标响应文件和商务报价为基础，遵循平等、自愿、公平、诚信的原则，双方就本项目有关事项协商一致，现订立本合同，共同遵照执行。</w:t>
      </w:r>
    </w:p>
    <w:p>
      <w:pPr>
        <w:spacing w:after="120" w:line="360" w:lineRule="auto"/>
        <w:ind w:left="520" w:leftChars="200" w:firstLine="600" w:firstLineChars="250"/>
        <w:rPr>
          <w:rFonts w:ascii="宋体" w:hAnsi="宋体" w:eastAsia="宋体"/>
          <w:sz w:val="24"/>
        </w:rPr>
      </w:pPr>
    </w:p>
    <w:p>
      <w:pPr>
        <w:spacing w:line="360" w:lineRule="auto"/>
        <w:ind w:firstLine="466" w:firstLineChars="200"/>
        <w:jc w:val="center"/>
        <w:rPr>
          <w:rFonts w:ascii="宋体" w:hAnsi="宋体" w:eastAsia="宋体"/>
          <w:b/>
          <w:spacing w:val="-4"/>
          <w:sz w:val="24"/>
        </w:rPr>
      </w:pPr>
      <w:r>
        <w:rPr>
          <w:rFonts w:hint="eastAsia" w:ascii="宋体" w:hAnsi="宋体" w:eastAsia="宋体"/>
          <w:b/>
          <w:spacing w:val="-4"/>
          <w:sz w:val="24"/>
        </w:rPr>
        <w:t>第一章</w:t>
      </w:r>
      <w:r>
        <w:rPr>
          <w:rFonts w:ascii="宋体" w:hAnsi="宋体" w:eastAsia="宋体"/>
          <w:b/>
          <w:spacing w:val="-4"/>
          <w:sz w:val="24"/>
        </w:rPr>
        <w:t xml:space="preserve">  </w:t>
      </w:r>
      <w:r>
        <w:rPr>
          <w:rFonts w:hint="eastAsia" w:ascii="宋体" w:hAnsi="宋体" w:eastAsia="宋体"/>
          <w:b/>
          <w:spacing w:val="-4"/>
          <w:sz w:val="24"/>
        </w:rPr>
        <w:t>合同标的</w:t>
      </w:r>
    </w:p>
    <w:p>
      <w:pPr>
        <w:spacing w:line="360" w:lineRule="auto"/>
        <w:ind w:firstLine="466" w:firstLineChars="200"/>
        <w:jc w:val="left"/>
        <w:rPr>
          <w:rFonts w:ascii="宋体" w:hAnsi="宋体" w:eastAsia="宋体"/>
          <w:spacing w:val="-4"/>
          <w:sz w:val="24"/>
        </w:rPr>
      </w:pPr>
      <w:r>
        <w:rPr>
          <w:rFonts w:hint="eastAsia" w:ascii="宋体" w:hAnsi="宋体" w:eastAsia="宋体"/>
          <w:b/>
          <w:spacing w:val="-4"/>
          <w:sz w:val="24"/>
        </w:rPr>
        <w:t>第一条</w:t>
      </w:r>
      <w:r>
        <w:rPr>
          <w:rFonts w:ascii="宋体" w:hAnsi="宋体" w:eastAsia="宋体"/>
          <w:spacing w:val="-4"/>
          <w:sz w:val="24"/>
        </w:rPr>
        <w:t xml:space="preserve">  </w:t>
      </w:r>
      <w:r>
        <w:rPr>
          <w:rFonts w:hint="eastAsia" w:ascii="宋体" w:hAnsi="宋体" w:eastAsia="宋体"/>
          <w:spacing w:val="-4"/>
          <w:sz w:val="24"/>
        </w:rPr>
        <w:t>本合同标的为：</w:t>
      </w:r>
    </w:p>
    <w:p>
      <w:pPr>
        <w:spacing w:line="360" w:lineRule="auto"/>
        <w:ind w:firstLine="464" w:firstLineChars="200"/>
        <w:jc w:val="left"/>
        <w:rPr>
          <w:rFonts w:ascii="宋体" w:hAnsi="宋体" w:eastAsia="宋体"/>
          <w:spacing w:val="-4"/>
          <w:sz w:val="24"/>
          <w:u w:val="single"/>
        </w:rPr>
      </w:pPr>
      <w:r>
        <w:rPr>
          <w:rFonts w:hint="eastAsia" w:ascii="宋体" w:hAnsi="宋体" w:eastAsia="宋体"/>
          <w:spacing w:val="-4"/>
          <w:sz w:val="24"/>
          <w:u w:val="single"/>
        </w:rPr>
        <w:t>绿植、盆景、绿化的租赁摆放及修剪、施肥、除草、抹芽、防虫治理、维护养护、清卫、保洁等，Ⅰ级养</w:t>
      </w:r>
      <w:r>
        <w:rPr>
          <w:rFonts w:hint="eastAsia" w:ascii="宋体" w:hAnsi="宋体" w:eastAsia="宋体"/>
          <w:spacing w:val="-4"/>
          <w:sz w:val="24"/>
          <w:highlight w:val="none"/>
          <w:u w:val="single"/>
        </w:rPr>
        <w:t>护</w:t>
      </w:r>
      <w:r>
        <w:rPr>
          <w:rFonts w:hint="eastAsia" w:ascii="宋体" w:hAnsi="宋体" w:eastAsia="宋体"/>
          <w:spacing w:val="-4"/>
          <w:sz w:val="24"/>
          <w:highlight w:val="none"/>
          <w:u w:val="single"/>
          <w:lang w:val="en-US" w:eastAsia="zh-CN"/>
        </w:rPr>
        <w:t>1</w:t>
      </w:r>
      <w:r>
        <w:rPr>
          <w:rFonts w:hint="eastAsia" w:ascii="宋体" w:hAnsi="宋体" w:eastAsia="宋体"/>
          <w:spacing w:val="-4"/>
          <w:sz w:val="24"/>
          <w:highlight w:val="none"/>
          <w:u w:val="single"/>
        </w:rPr>
        <w:t>年。</w:t>
      </w:r>
    </w:p>
    <w:p>
      <w:pPr>
        <w:spacing w:line="360" w:lineRule="auto"/>
        <w:ind w:firstLine="466" w:firstLineChars="200"/>
        <w:jc w:val="left"/>
        <w:rPr>
          <w:rFonts w:ascii="宋体" w:hAnsi="宋体" w:eastAsia="宋体"/>
          <w:spacing w:val="-4"/>
          <w:sz w:val="24"/>
        </w:rPr>
      </w:pPr>
      <w:r>
        <w:rPr>
          <w:rFonts w:hint="eastAsia" w:ascii="宋体" w:hAnsi="宋体" w:eastAsia="宋体"/>
          <w:b/>
          <w:spacing w:val="-4"/>
          <w:sz w:val="24"/>
        </w:rPr>
        <w:t>第二条</w:t>
      </w:r>
      <w:r>
        <w:rPr>
          <w:rFonts w:ascii="宋体" w:hAnsi="宋体" w:eastAsia="宋体"/>
          <w:spacing w:val="-4"/>
          <w:sz w:val="24"/>
        </w:rPr>
        <w:t xml:space="preserve">  </w:t>
      </w:r>
      <w:r>
        <w:rPr>
          <w:rFonts w:hint="eastAsia" w:ascii="宋体" w:hAnsi="宋体" w:eastAsia="宋体"/>
          <w:spacing w:val="-4"/>
          <w:sz w:val="24"/>
        </w:rPr>
        <w:t>本合同中涉及甲方需乙方提供租赁的绿植约</w:t>
      </w:r>
      <w:r>
        <w:rPr>
          <w:rFonts w:hint="eastAsia" w:ascii="宋体" w:hAnsi="宋体" w:eastAsia="宋体"/>
          <w:color w:val="auto"/>
          <w:spacing w:val="-4"/>
          <w:sz w:val="24"/>
          <w:lang w:val="en-US" w:eastAsia="zh-CN"/>
        </w:rPr>
        <w:t>576</w:t>
      </w:r>
      <w:r>
        <w:rPr>
          <w:rFonts w:hint="eastAsia" w:ascii="宋体" w:hAnsi="宋体" w:eastAsia="宋体"/>
          <w:color w:val="auto"/>
          <w:spacing w:val="-4"/>
          <w:sz w:val="24"/>
          <w:lang w:eastAsia="zh-CN"/>
        </w:rPr>
        <w:t>株</w:t>
      </w:r>
      <w:r>
        <w:rPr>
          <w:rFonts w:hint="eastAsia" w:ascii="宋体" w:hAnsi="宋体" w:eastAsia="宋体"/>
          <w:color w:val="auto"/>
          <w:spacing w:val="-4"/>
          <w:sz w:val="24"/>
        </w:rPr>
        <w:t>（详</w:t>
      </w:r>
      <w:r>
        <w:rPr>
          <w:rFonts w:hint="eastAsia" w:ascii="宋体" w:hAnsi="宋体" w:eastAsia="宋体"/>
          <w:spacing w:val="-4"/>
          <w:sz w:val="24"/>
        </w:rPr>
        <w:t>见采购清单），另有须养护的甲方自有绿化约14000m</w:t>
      </w:r>
      <w:r>
        <w:rPr>
          <w:rFonts w:hint="eastAsia" w:ascii="宋体" w:hAnsi="宋体" w:eastAsia="宋体"/>
          <w:spacing w:val="-4"/>
          <w:sz w:val="24"/>
          <w:vertAlign w:val="superscript"/>
        </w:rPr>
        <w:t>2</w:t>
      </w:r>
      <w:r>
        <w:rPr>
          <w:rFonts w:hint="eastAsia" w:ascii="宋体" w:hAnsi="宋体" w:eastAsia="宋体"/>
          <w:spacing w:val="-4"/>
          <w:sz w:val="24"/>
        </w:rPr>
        <w:t>（</w:t>
      </w:r>
      <w:r>
        <w:rPr>
          <w:rFonts w:hint="eastAsia" w:ascii="宋体" w:hAnsi="宋体" w:eastAsia="宋体"/>
          <w:sz w:val="24"/>
        </w:rPr>
        <w:t>详见图纸红线以外部分</w:t>
      </w:r>
      <w:r>
        <w:rPr>
          <w:rFonts w:hint="eastAsia" w:ascii="宋体" w:hAnsi="宋体" w:eastAsia="宋体"/>
          <w:spacing w:val="-4"/>
          <w:sz w:val="24"/>
        </w:rPr>
        <w:t>），其中甲方自有绿化养护部分工程量结算不予调整。</w:t>
      </w:r>
    </w:p>
    <w:p>
      <w:pPr>
        <w:spacing w:line="360" w:lineRule="auto"/>
        <w:ind w:firstLine="464" w:firstLineChars="200"/>
        <w:jc w:val="left"/>
        <w:rPr>
          <w:rFonts w:ascii="宋体" w:hAnsi="宋体" w:eastAsia="宋体"/>
          <w:spacing w:val="-4"/>
          <w:sz w:val="24"/>
        </w:rPr>
      </w:pPr>
      <w:r>
        <w:rPr>
          <w:rFonts w:hint="eastAsia" w:ascii="宋体" w:hAnsi="宋体" w:eastAsia="宋体"/>
          <w:spacing w:val="-4"/>
          <w:sz w:val="24"/>
        </w:rPr>
        <w:t>乙方应按照《南通市园林养护管理技术规程》要求，合理组织，精心养护，保持、完成养护管理任务。主要内容及要求如下：</w:t>
      </w:r>
    </w:p>
    <w:p>
      <w:pPr>
        <w:snapToGrid w:val="0"/>
        <w:spacing w:line="360" w:lineRule="auto"/>
        <w:ind w:firstLine="464" w:firstLineChars="200"/>
        <w:rPr>
          <w:rFonts w:ascii="宋体" w:hAnsi="宋体" w:eastAsia="宋体"/>
          <w:spacing w:val="-4"/>
          <w:sz w:val="24"/>
        </w:rPr>
      </w:pPr>
      <w:r>
        <w:rPr>
          <w:rFonts w:hint="eastAsia" w:ascii="宋体" w:hAnsi="宋体" w:eastAsia="宋体"/>
          <w:spacing w:val="-4"/>
          <w:sz w:val="24"/>
        </w:rPr>
        <w:t>1、修剪：根据各类植物的生长特点、立地环境、景观要求，按操作规程适时进行。</w:t>
      </w:r>
    </w:p>
    <w:p>
      <w:pPr>
        <w:snapToGrid w:val="0"/>
        <w:spacing w:line="360" w:lineRule="auto"/>
        <w:ind w:firstLine="464" w:firstLineChars="200"/>
        <w:rPr>
          <w:rFonts w:ascii="宋体" w:hAnsi="宋体" w:eastAsia="宋体"/>
          <w:spacing w:val="-4"/>
          <w:sz w:val="24"/>
        </w:rPr>
      </w:pPr>
      <w:r>
        <w:rPr>
          <w:rFonts w:hint="eastAsia" w:ascii="宋体" w:hAnsi="宋体" w:eastAsia="宋体"/>
          <w:spacing w:val="-4"/>
          <w:sz w:val="24"/>
        </w:rPr>
        <w:t>2、施肥：根据各类植物的生长特点及对肥料的需要，要求一年施肥不得少于2次，保持各类植物的生长旺盛，并达至一定景观效果。</w:t>
      </w:r>
    </w:p>
    <w:p>
      <w:pPr>
        <w:snapToGrid w:val="0"/>
        <w:spacing w:line="360" w:lineRule="auto"/>
        <w:ind w:firstLine="464" w:firstLineChars="200"/>
        <w:rPr>
          <w:rFonts w:ascii="宋体" w:hAnsi="宋体" w:eastAsia="宋体"/>
          <w:spacing w:val="-4"/>
          <w:sz w:val="24"/>
        </w:rPr>
      </w:pPr>
      <w:r>
        <w:rPr>
          <w:rFonts w:hint="eastAsia" w:ascii="宋体" w:hAnsi="宋体" w:eastAsia="宋体"/>
          <w:spacing w:val="-4"/>
          <w:sz w:val="24"/>
        </w:rPr>
        <w:t>3、除草：各类绿地、绿带要结合松土及时清理各类杂草。</w:t>
      </w:r>
    </w:p>
    <w:p>
      <w:pPr>
        <w:snapToGrid w:val="0"/>
        <w:spacing w:line="360" w:lineRule="auto"/>
        <w:ind w:firstLine="464" w:firstLineChars="200"/>
        <w:rPr>
          <w:rFonts w:ascii="宋体" w:hAnsi="宋体" w:eastAsia="宋体"/>
          <w:spacing w:val="-4"/>
          <w:sz w:val="24"/>
        </w:rPr>
      </w:pPr>
      <w:r>
        <w:rPr>
          <w:rFonts w:hint="eastAsia" w:ascii="宋体" w:hAnsi="宋体" w:eastAsia="宋体"/>
          <w:spacing w:val="-4"/>
          <w:sz w:val="24"/>
        </w:rPr>
        <w:t>4、抹芽：主要由乔木、大型灌木，对不定芽要及时清除，以保持树木骨架清晰，促进生长形态美观，养分集中（特别是修剪后，更应注意）。</w:t>
      </w:r>
    </w:p>
    <w:p>
      <w:pPr>
        <w:snapToGrid w:val="0"/>
        <w:spacing w:line="360" w:lineRule="auto"/>
        <w:ind w:firstLine="464" w:firstLineChars="200"/>
        <w:rPr>
          <w:rFonts w:ascii="宋体" w:hAnsi="宋体" w:eastAsia="宋体"/>
          <w:spacing w:val="-4"/>
          <w:sz w:val="24"/>
        </w:rPr>
      </w:pPr>
      <w:r>
        <w:rPr>
          <w:rFonts w:hint="eastAsia" w:ascii="宋体" w:hAnsi="宋体" w:eastAsia="宋体"/>
          <w:spacing w:val="-4"/>
          <w:sz w:val="24"/>
        </w:rPr>
        <w:t>5、病虫害防治：病虫害防治是园林植物养护中较为重要的环节，要根据各类植物的寄生对象及时做好预防措施。抗旱、抗台、排涝；旱季及新种植物要及时进行浇水，防止植物因干旱而脱水致死；台风期间要做好加固、排涝、抢险工作，防止植物受损。</w:t>
      </w:r>
    </w:p>
    <w:p>
      <w:pPr>
        <w:snapToGrid w:val="0"/>
        <w:spacing w:line="360" w:lineRule="auto"/>
        <w:ind w:firstLine="464" w:firstLineChars="200"/>
        <w:rPr>
          <w:rFonts w:ascii="宋体" w:hAnsi="宋体" w:eastAsia="宋体"/>
          <w:spacing w:val="-4"/>
          <w:sz w:val="24"/>
        </w:rPr>
      </w:pPr>
      <w:r>
        <w:rPr>
          <w:rFonts w:hint="eastAsia" w:ascii="宋体" w:hAnsi="宋体" w:eastAsia="宋体"/>
          <w:spacing w:val="-4"/>
          <w:sz w:val="24"/>
        </w:rPr>
        <w:t>6、清卫、保洁：及时清理树枝杂物，绿地必须达到无明显垃圾，做到整洁美观。乙方在维护绿植时所产生的垃圾需按规定处理，不随意处置。</w:t>
      </w:r>
    </w:p>
    <w:p>
      <w:pPr>
        <w:snapToGrid w:val="0"/>
        <w:spacing w:line="360" w:lineRule="auto"/>
        <w:ind w:firstLine="464" w:firstLineChars="200"/>
        <w:rPr>
          <w:rFonts w:ascii="宋体" w:hAnsi="宋体" w:eastAsia="宋体"/>
          <w:spacing w:val="-4"/>
          <w:sz w:val="24"/>
        </w:rPr>
      </w:pPr>
      <w:r>
        <w:rPr>
          <w:rFonts w:hint="eastAsia" w:ascii="宋体" w:hAnsi="宋体" w:eastAsia="宋体"/>
          <w:spacing w:val="-4"/>
          <w:sz w:val="24"/>
        </w:rPr>
        <w:t>7、乙方应节约水电能源，不随意浪费，乙方应爱护绿植，不得随意移栽。</w:t>
      </w:r>
    </w:p>
    <w:p>
      <w:pPr>
        <w:snapToGrid w:val="0"/>
        <w:spacing w:line="360" w:lineRule="auto"/>
        <w:ind w:firstLine="464" w:firstLineChars="200"/>
        <w:rPr>
          <w:rFonts w:ascii="宋体" w:hAnsi="宋体" w:eastAsia="宋体"/>
          <w:spacing w:val="-4"/>
          <w:sz w:val="24"/>
        </w:rPr>
      </w:pPr>
      <w:r>
        <w:rPr>
          <w:rFonts w:hint="eastAsia" w:ascii="宋体" w:hAnsi="宋体" w:eastAsia="宋体"/>
          <w:spacing w:val="-4"/>
          <w:sz w:val="24"/>
        </w:rPr>
        <w:t>8、</w:t>
      </w:r>
      <w:r>
        <w:rPr>
          <w:rFonts w:hint="eastAsia" w:eastAsia="宋体"/>
          <w:sz w:val="24"/>
        </w:rPr>
        <w:t>乙方在春耕施肥和杀虫季节，按规定定期喷洒农药，并做好农药残渣对地面渗漏伤害的防护工作</w:t>
      </w:r>
      <w:r>
        <w:rPr>
          <w:rFonts w:hint="eastAsia" w:ascii="宋体" w:hAnsi="宋体" w:eastAsia="宋体"/>
          <w:spacing w:val="-4"/>
          <w:sz w:val="24"/>
        </w:rPr>
        <w:t>。</w:t>
      </w:r>
    </w:p>
    <w:p>
      <w:pPr>
        <w:snapToGrid w:val="0"/>
        <w:spacing w:line="360" w:lineRule="auto"/>
        <w:ind w:firstLine="464" w:firstLineChars="200"/>
        <w:rPr>
          <w:rFonts w:hint="eastAsia" w:ascii="宋体" w:hAnsi="宋体" w:eastAsia="宋体"/>
          <w:spacing w:val="-4"/>
          <w:sz w:val="24"/>
        </w:rPr>
      </w:pPr>
      <w:r>
        <w:rPr>
          <w:rFonts w:hint="eastAsia" w:ascii="宋体" w:hAnsi="宋体" w:eastAsia="宋体"/>
          <w:spacing w:val="-4"/>
          <w:sz w:val="24"/>
        </w:rPr>
        <w:t>9、如甲方有重大活动（每年不超过三次），需要临时增加盆景数量，乙方在一个工作日内无偿提供。</w:t>
      </w:r>
    </w:p>
    <w:p>
      <w:pPr>
        <w:snapToGrid w:val="0"/>
        <w:spacing w:line="360" w:lineRule="auto"/>
        <w:ind w:firstLine="464" w:firstLineChars="200"/>
        <w:rPr>
          <w:rFonts w:hint="eastAsia" w:ascii="宋体" w:hAnsi="宋体" w:eastAsia="宋体"/>
          <w:spacing w:val="-4"/>
          <w:sz w:val="24"/>
        </w:rPr>
      </w:pPr>
      <w:r>
        <w:rPr>
          <w:rFonts w:hint="eastAsia" w:ascii="宋体" w:hAnsi="宋体" w:eastAsia="宋体"/>
          <w:spacing w:val="-4"/>
          <w:sz w:val="24"/>
        </w:rPr>
        <w:t>10、乙方应根据甲方要求更换应季盆景，及时更换失去观赏价值的绿植。</w:t>
      </w:r>
    </w:p>
    <w:p>
      <w:pPr>
        <w:snapToGrid w:val="0"/>
        <w:spacing w:line="360" w:lineRule="auto"/>
        <w:ind w:firstLine="464" w:firstLineChars="200"/>
        <w:rPr>
          <w:rFonts w:hint="default" w:ascii="宋体" w:hAnsi="宋体" w:eastAsia="宋体"/>
          <w:color w:val="FF0000"/>
          <w:spacing w:val="-4"/>
          <w:sz w:val="24"/>
          <w:lang w:val="en-US" w:eastAsia="zh-CN"/>
        </w:rPr>
      </w:pPr>
      <w:r>
        <w:rPr>
          <w:rFonts w:hint="eastAsia" w:ascii="宋体" w:hAnsi="宋体" w:eastAsia="宋体"/>
          <w:color w:val="FF0000"/>
          <w:spacing w:val="-4"/>
          <w:sz w:val="24"/>
          <w:lang w:val="en-US" w:eastAsia="zh-CN"/>
        </w:rPr>
        <w:t>11、如甲方需增加或减少租摆数量，其价格需与乙方报价明细表一致。</w:t>
      </w:r>
    </w:p>
    <w:p>
      <w:pPr>
        <w:spacing w:line="360" w:lineRule="auto"/>
        <w:ind w:firstLine="466" w:firstLineChars="200"/>
        <w:jc w:val="left"/>
        <w:rPr>
          <w:rFonts w:ascii="宋体" w:hAnsi="宋体" w:eastAsia="宋体"/>
          <w:spacing w:val="-4"/>
          <w:sz w:val="24"/>
        </w:rPr>
      </w:pPr>
      <w:r>
        <w:rPr>
          <w:rFonts w:hint="eastAsia" w:ascii="宋体" w:hAnsi="宋体" w:eastAsia="宋体"/>
          <w:b/>
          <w:spacing w:val="-4"/>
          <w:sz w:val="24"/>
        </w:rPr>
        <w:t>第三条</w:t>
      </w:r>
      <w:r>
        <w:rPr>
          <w:rFonts w:ascii="宋体" w:hAnsi="宋体" w:eastAsia="宋体"/>
          <w:spacing w:val="-4"/>
          <w:sz w:val="24"/>
        </w:rPr>
        <w:t xml:space="preserve">  </w:t>
      </w:r>
      <w:r>
        <w:rPr>
          <w:rFonts w:hint="eastAsia" w:ascii="宋体" w:hAnsi="宋体" w:eastAsia="宋体"/>
          <w:spacing w:val="-4"/>
          <w:sz w:val="24"/>
        </w:rPr>
        <w:t>本合同中甲方如需乙方额外摆租绿植的，数量由甲方根据实际需要来定。</w:t>
      </w:r>
    </w:p>
    <w:p>
      <w:pPr>
        <w:spacing w:line="360" w:lineRule="auto"/>
        <w:ind w:firstLine="390"/>
        <w:rPr>
          <w:rFonts w:ascii="宋体" w:hAnsi="宋体" w:eastAsia="宋体"/>
          <w:spacing w:val="-4"/>
          <w:sz w:val="24"/>
        </w:rPr>
      </w:pPr>
    </w:p>
    <w:p>
      <w:pPr>
        <w:spacing w:line="360" w:lineRule="auto"/>
        <w:ind w:firstLine="390"/>
        <w:jc w:val="center"/>
        <w:rPr>
          <w:rFonts w:ascii="宋体" w:hAnsi="宋体" w:eastAsia="宋体"/>
          <w:b/>
          <w:sz w:val="24"/>
        </w:rPr>
      </w:pPr>
      <w:r>
        <w:rPr>
          <w:rFonts w:ascii="宋体" w:hAnsi="宋体" w:eastAsia="宋体"/>
          <w:b/>
          <w:sz w:val="24"/>
        </w:rPr>
        <w:t xml:space="preserve"> </w:t>
      </w:r>
      <w:r>
        <w:rPr>
          <w:rFonts w:hint="eastAsia" w:ascii="宋体" w:hAnsi="宋体" w:eastAsia="宋体"/>
          <w:b/>
          <w:sz w:val="24"/>
        </w:rPr>
        <w:t>第二章</w:t>
      </w:r>
      <w:r>
        <w:rPr>
          <w:rFonts w:ascii="宋体" w:hAnsi="宋体" w:eastAsia="宋体"/>
          <w:b/>
          <w:sz w:val="24"/>
        </w:rPr>
        <w:t xml:space="preserve">  </w:t>
      </w:r>
      <w:r>
        <w:rPr>
          <w:rFonts w:hint="eastAsia" w:ascii="宋体" w:hAnsi="宋体" w:eastAsia="宋体"/>
          <w:b/>
          <w:sz w:val="24"/>
        </w:rPr>
        <w:t>双方的权利义务</w:t>
      </w:r>
    </w:p>
    <w:p>
      <w:pPr>
        <w:spacing w:line="360" w:lineRule="auto"/>
        <w:ind w:firstLine="472" w:firstLineChars="196"/>
        <w:jc w:val="center"/>
        <w:rPr>
          <w:rFonts w:ascii="宋体" w:hAnsi="宋体" w:eastAsia="宋体"/>
          <w:b/>
          <w:sz w:val="24"/>
        </w:rPr>
      </w:pPr>
      <w:r>
        <w:rPr>
          <w:rFonts w:hint="eastAsia" w:ascii="宋体" w:hAnsi="宋体" w:eastAsia="宋体"/>
          <w:b/>
          <w:sz w:val="24"/>
        </w:rPr>
        <w:t>第一节</w:t>
      </w:r>
      <w:r>
        <w:rPr>
          <w:rFonts w:ascii="宋体" w:hAnsi="宋体" w:eastAsia="宋体"/>
          <w:b/>
          <w:sz w:val="24"/>
        </w:rPr>
        <w:t xml:space="preserve">  </w:t>
      </w:r>
      <w:r>
        <w:rPr>
          <w:rFonts w:hint="eastAsia" w:ascii="宋体" w:hAnsi="宋体" w:eastAsia="宋体"/>
          <w:b/>
          <w:sz w:val="24"/>
        </w:rPr>
        <w:t>乙方的权利义务</w:t>
      </w:r>
    </w:p>
    <w:p>
      <w:pPr>
        <w:spacing w:line="360" w:lineRule="auto"/>
        <w:ind w:firstLine="482" w:firstLineChars="200"/>
        <w:jc w:val="left"/>
        <w:rPr>
          <w:rFonts w:ascii="宋体" w:hAnsi="宋体" w:eastAsia="宋体"/>
          <w:sz w:val="24"/>
          <w:u w:val="single"/>
        </w:rPr>
      </w:pPr>
      <w:r>
        <w:rPr>
          <w:rFonts w:hint="eastAsia" w:ascii="宋体" w:hAnsi="宋体" w:eastAsia="宋体"/>
          <w:b/>
          <w:sz w:val="24"/>
        </w:rPr>
        <w:t>第四条</w:t>
      </w:r>
      <w:r>
        <w:rPr>
          <w:rFonts w:ascii="宋体" w:hAnsi="宋体" w:eastAsia="宋体"/>
          <w:sz w:val="24"/>
        </w:rPr>
        <w:t xml:space="preserve">  </w:t>
      </w:r>
      <w:r>
        <w:rPr>
          <w:rFonts w:hint="eastAsia" w:ascii="宋体" w:hAnsi="宋体" w:eastAsia="宋体"/>
          <w:sz w:val="24"/>
        </w:rPr>
        <w:t>为了做好对甲方的绿植租赁与绿化养护服务，乙方</w:t>
      </w:r>
      <w:r>
        <w:rPr>
          <w:rFonts w:hint="eastAsia" w:eastAsia="宋体"/>
          <w:sz w:val="24"/>
        </w:rPr>
        <w:t>每隔</w:t>
      </w:r>
      <w:r>
        <w:rPr>
          <w:rFonts w:eastAsia="宋体"/>
          <w:sz w:val="24"/>
        </w:rPr>
        <w:t>7</w:t>
      </w:r>
      <w:r>
        <w:rPr>
          <w:rFonts w:hint="eastAsia" w:eastAsia="宋体"/>
          <w:sz w:val="24"/>
        </w:rPr>
        <w:t>日对绿植进行养护，每月进行2次绿化养护</w:t>
      </w:r>
      <w:r>
        <w:rPr>
          <w:rFonts w:hint="eastAsia" w:ascii="宋体" w:hAnsi="宋体" w:eastAsia="宋体"/>
          <w:sz w:val="24"/>
        </w:rPr>
        <w:t>。</w:t>
      </w:r>
    </w:p>
    <w:p>
      <w:pPr>
        <w:spacing w:line="360" w:lineRule="auto"/>
        <w:ind w:firstLine="482" w:firstLineChars="200"/>
        <w:jc w:val="left"/>
        <w:rPr>
          <w:rFonts w:ascii="宋体" w:hAnsi="宋体" w:eastAsia="宋体"/>
          <w:sz w:val="24"/>
        </w:rPr>
      </w:pPr>
      <w:r>
        <w:rPr>
          <w:rFonts w:hint="eastAsia" w:ascii="宋体" w:hAnsi="宋体" w:eastAsia="宋体"/>
          <w:b/>
          <w:sz w:val="24"/>
        </w:rPr>
        <w:t>第五条</w:t>
      </w:r>
      <w:r>
        <w:rPr>
          <w:rFonts w:ascii="宋体" w:hAnsi="宋体" w:eastAsia="宋体"/>
          <w:sz w:val="24"/>
        </w:rPr>
        <w:t xml:space="preserve">  </w:t>
      </w:r>
      <w:r>
        <w:rPr>
          <w:rFonts w:hint="eastAsia" w:ascii="宋体" w:hAnsi="宋体" w:eastAsia="宋体"/>
          <w:sz w:val="24"/>
        </w:rPr>
        <w:t>乙方按照甲方要求提供租赁及养护服务，数量和位置以甲方提出的要求为准。如因乙方养护不周，导致绿植、绿化产生枯萎、病死、叶子严重脱落现象，乙方在</w:t>
      </w:r>
      <w:r>
        <w:rPr>
          <w:rFonts w:ascii="宋体" w:hAnsi="宋体" w:eastAsia="宋体"/>
          <w:sz w:val="24"/>
        </w:rPr>
        <w:t>2</w:t>
      </w:r>
      <w:r>
        <w:rPr>
          <w:rFonts w:hint="eastAsia" w:ascii="宋体" w:hAnsi="宋体" w:eastAsia="宋体"/>
          <w:sz w:val="24"/>
        </w:rPr>
        <w:t>天内须免费更换，且更换的绿植须得到采购人的认可。</w:t>
      </w:r>
    </w:p>
    <w:p>
      <w:pPr>
        <w:spacing w:line="360" w:lineRule="auto"/>
        <w:ind w:firstLine="482" w:firstLineChars="200"/>
        <w:jc w:val="left"/>
        <w:rPr>
          <w:rFonts w:ascii="宋体" w:hAnsi="宋体" w:eastAsia="宋体"/>
          <w:sz w:val="24"/>
        </w:rPr>
      </w:pPr>
      <w:r>
        <w:rPr>
          <w:rFonts w:hint="eastAsia" w:ascii="宋体" w:hAnsi="宋体" w:eastAsia="宋体"/>
          <w:b/>
          <w:sz w:val="24"/>
        </w:rPr>
        <w:t>第六条</w:t>
      </w:r>
      <w:r>
        <w:rPr>
          <w:rFonts w:ascii="宋体" w:hAnsi="宋体" w:eastAsia="宋体"/>
          <w:b/>
          <w:sz w:val="24"/>
        </w:rPr>
        <w:t xml:space="preserve">  </w:t>
      </w:r>
      <w:r>
        <w:rPr>
          <w:rFonts w:hint="eastAsia" w:ascii="宋体" w:hAnsi="宋体" w:eastAsia="宋体"/>
          <w:sz w:val="24"/>
        </w:rPr>
        <w:t>甲方自有花木有病虫害的，乙方应及时救治，并做好如下安全防范工作：</w:t>
      </w:r>
    </w:p>
    <w:p>
      <w:pPr>
        <w:adjustRightInd w:val="0"/>
        <w:snapToGrid w:val="0"/>
        <w:spacing w:line="360" w:lineRule="auto"/>
        <w:ind w:firstLine="480" w:firstLineChars="200"/>
        <w:jc w:val="left"/>
        <w:rPr>
          <w:rFonts w:ascii="宋体" w:hAnsi="宋体" w:eastAsia="宋体"/>
          <w:kern w:val="0"/>
          <w:sz w:val="24"/>
        </w:rPr>
      </w:pPr>
      <w:r>
        <w:rPr>
          <w:rFonts w:hint="eastAsia" w:ascii="宋体" w:hAnsi="宋体" w:eastAsia="宋体"/>
          <w:kern w:val="0"/>
          <w:sz w:val="24"/>
        </w:rPr>
        <w:t>（</w:t>
      </w:r>
      <w:r>
        <w:rPr>
          <w:rFonts w:ascii="宋体" w:hAnsi="宋体" w:eastAsia="宋体"/>
          <w:kern w:val="0"/>
          <w:sz w:val="24"/>
        </w:rPr>
        <w:t>1</w:t>
      </w:r>
      <w:r>
        <w:rPr>
          <w:rFonts w:hint="eastAsia" w:ascii="宋体" w:hAnsi="宋体" w:eastAsia="宋体"/>
          <w:kern w:val="0"/>
          <w:sz w:val="24"/>
        </w:rPr>
        <w:t>）乙方在从事喷洒农药、控制有害生物、修剪树木、修理设施或水体保护等工作时应自行采取相应的安全防护措施。除双方另有约定外，安全防护费用由乙方自行承担。</w:t>
      </w:r>
    </w:p>
    <w:p>
      <w:pPr>
        <w:adjustRightInd w:val="0"/>
        <w:snapToGrid w:val="0"/>
        <w:spacing w:line="360" w:lineRule="auto"/>
        <w:ind w:firstLine="480" w:firstLineChars="200"/>
        <w:jc w:val="left"/>
        <w:rPr>
          <w:rFonts w:ascii="宋体" w:hAnsi="宋体" w:eastAsia="宋体"/>
          <w:kern w:val="0"/>
          <w:sz w:val="24"/>
        </w:rPr>
      </w:pPr>
      <w:r>
        <w:rPr>
          <w:rFonts w:hint="eastAsia" w:ascii="宋体" w:hAnsi="宋体" w:eastAsia="宋体"/>
          <w:kern w:val="0"/>
          <w:sz w:val="24"/>
        </w:rPr>
        <w:t>（</w:t>
      </w:r>
      <w:r>
        <w:rPr>
          <w:rFonts w:ascii="宋体" w:hAnsi="宋体" w:eastAsia="宋体"/>
          <w:kern w:val="0"/>
          <w:sz w:val="24"/>
        </w:rPr>
        <w:t>2</w:t>
      </w:r>
      <w:r>
        <w:rPr>
          <w:rFonts w:hint="eastAsia" w:ascii="宋体" w:hAnsi="宋体" w:eastAsia="宋体"/>
          <w:kern w:val="0"/>
          <w:sz w:val="24"/>
        </w:rPr>
        <w:t>）乙方应保证养护范围内的各项设施能够安全使用，对于存在安全隐患的设施、物品，应及时提请甲方予以修理或更换。对养护范围内的树林、水体或其他可能造成人员伤亡的场所，乙方应提请甲方设置禁止吸烟、禁止火种、禁止游泳等安全警告铭牌。</w:t>
      </w:r>
    </w:p>
    <w:p>
      <w:pPr>
        <w:adjustRightInd w:val="0"/>
        <w:snapToGrid w:val="0"/>
        <w:spacing w:line="360" w:lineRule="auto"/>
        <w:ind w:firstLine="480" w:firstLineChars="200"/>
        <w:jc w:val="left"/>
        <w:rPr>
          <w:rFonts w:ascii="宋体" w:hAnsi="宋体" w:eastAsia="宋体"/>
          <w:kern w:val="0"/>
          <w:sz w:val="24"/>
        </w:rPr>
      </w:pPr>
      <w:r>
        <w:rPr>
          <w:rFonts w:hint="eastAsia" w:ascii="宋体" w:hAnsi="宋体" w:eastAsia="宋体"/>
          <w:kern w:val="0"/>
          <w:sz w:val="24"/>
        </w:rPr>
        <w:t>（</w:t>
      </w:r>
      <w:r>
        <w:rPr>
          <w:rFonts w:ascii="宋体" w:hAnsi="宋体" w:eastAsia="宋体"/>
          <w:kern w:val="0"/>
          <w:sz w:val="24"/>
        </w:rPr>
        <w:t>3</w:t>
      </w:r>
      <w:r>
        <w:rPr>
          <w:rFonts w:hint="eastAsia" w:ascii="宋体" w:hAnsi="宋体" w:eastAsia="宋体"/>
          <w:kern w:val="0"/>
          <w:sz w:val="24"/>
        </w:rPr>
        <w:t>）乙方对土壤进行消毒或防治病虫害时，应使用符合环保要求的药剂，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任何责任和损失由乙方承担。</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（4）乙方必须重视职工安全作业，如发生安全责任事故，由乙方承担全部责任。造成甲方人员和财产损失的，乙方承担全部责任。</w:t>
      </w:r>
    </w:p>
    <w:p>
      <w:pPr>
        <w:spacing w:line="360" w:lineRule="auto"/>
        <w:ind w:firstLine="482" w:firstLineChars="200"/>
        <w:jc w:val="left"/>
        <w:rPr>
          <w:rFonts w:ascii="宋体" w:hAnsi="宋体" w:eastAsia="宋体"/>
          <w:sz w:val="24"/>
        </w:rPr>
      </w:pPr>
      <w:r>
        <w:rPr>
          <w:rFonts w:hint="eastAsia" w:ascii="宋体" w:hAnsi="宋体" w:eastAsia="宋体"/>
          <w:b/>
          <w:sz w:val="24"/>
        </w:rPr>
        <w:t>第七条</w:t>
      </w:r>
      <w:r>
        <w:rPr>
          <w:rFonts w:ascii="宋体" w:hAnsi="宋体" w:eastAsia="宋体"/>
          <w:b/>
          <w:sz w:val="24"/>
        </w:rPr>
        <w:t xml:space="preserve"> </w:t>
      </w:r>
      <w:r>
        <w:rPr>
          <w:rFonts w:ascii="宋体" w:hAnsi="宋体" w:eastAsia="宋体"/>
          <w:sz w:val="24"/>
        </w:rPr>
        <w:t xml:space="preserve">  </w:t>
      </w:r>
      <w:r>
        <w:rPr>
          <w:rFonts w:hint="eastAsia" w:ascii="宋体" w:hAnsi="宋体" w:eastAsia="宋体"/>
          <w:sz w:val="24"/>
        </w:rPr>
        <w:t>乙方应遵守甲方的有关规定，保持甲方摆放场所的环境卫生，不得进入甲方与租赁或养护业务无关的区域，从事与租赁养护业务无关的活动。</w:t>
      </w:r>
    </w:p>
    <w:p>
      <w:pPr>
        <w:spacing w:line="360" w:lineRule="auto"/>
        <w:ind w:firstLine="390"/>
        <w:jc w:val="center"/>
        <w:rPr>
          <w:rFonts w:ascii="宋体" w:hAnsi="宋体" w:eastAsia="宋体"/>
          <w:b/>
          <w:sz w:val="24"/>
        </w:rPr>
      </w:pPr>
      <w:r>
        <w:rPr>
          <w:rFonts w:hint="eastAsia" w:ascii="宋体" w:hAnsi="宋体" w:eastAsia="宋体"/>
          <w:b/>
          <w:sz w:val="24"/>
        </w:rPr>
        <w:t>第二节</w:t>
      </w:r>
      <w:r>
        <w:rPr>
          <w:rFonts w:ascii="宋体" w:hAnsi="宋体" w:eastAsia="宋体"/>
          <w:b/>
          <w:sz w:val="24"/>
        </w:rPr>
        <w:t xml:space="preserve">  </w:t>
      </w:r>
      <w:r>
        <w:rPr>
          <w:rFonts w:hint="eastAsia" w:ascii="宋体" w:hAnsi="宋体" w:eastAsia="宋体"/>
          <w:b/>
          <w:sz w:val="24"/>
        </w:rPr>
        <w:t>甲方的权利义务</w:t>
      </w:r>
    </w:p>
    <w:p>
      <w:pPr>
        <w:spacing w:line="360" w:lineRule="auto"/>
        <w:ind w:firstLine="482" w:firstLineChars="200"/>
        <w:jc w:val="left"/>
        <w:rPr>
          <w:rFonts w:ascii="宋体" w:hAnsi="宋体" w:eastAsia="宋体"/>
          <w:sz w:val="24"/>
        </w:rPr>
      </w:pPr>
      <w:r>
        <w:rPr>
          <w:rFonts w:hint="eastAsia" w:ascii="宋体" w:hAnsi="宋体" w:eastAsia="宋体"/>
          <w:b/>
          <w:sz w:val="24"/>
        </w:rPr>
        <w:t>第八条</w:t>
      </w:r>
      <w:r>
        <w:rPr>
          <w:rFonts w:ascii="宋体" w:hAnsi="宋体" w:eastAsia="宋体"/>
          <w:sz w:val="24"/>
        </w:rPr>
        <w:t xml:space="preserve">  </w:t>
      </w:r>
      <w:r>
        <w:rPr>
          <w:rFonts w:hint="eastAsia" w:ascii="宋体" w:hAnsi="宋体" w:eastAsia="宋体"/>
          <w:sz w:val="24"/>
        </w:rPr>
        <w:t>甲方应提供绿植养护护理所必须的水源等条件，按照本合同的约定向乙方及时、足额的支付合同费用。</w:t>
      </w:r>
    </w:p>
    <w:p>
      <w:pPr>
        <w:snapToGrid w:val="0"/>
        <w:spacing w:line="360" w:lineRule="auto"/>
        <w:ind w:firstLine="482" w:firstLineChars="200"/>
        <w:rPr>
          <w:rFonts w:ascii="宋体" w:hAnsi="宋体" w:eastAsia="宋体"/>
          <w:b/>
          <w:sz w:val="24"/>
        </w:rPr>
      </w:pPr>
      <w:r>
        <w:rPr>
          <w:rFonts w:hint="eastAsia" w:ascii="宋体" w:hAnsi="宋体" w:eastAsia="宋体"/>
          <w:b/>
          <w:sz w:val="24"/>
        </w:rPr>
        <w:t>第九条</w:t>
      </w:r>
      <w:r>
        <w:rPr>
          <w:rFonts w:ascii="宋体" w:hAnsi="宋体" w:eastAsia="宋体"/>
          <w:b/>
          <w:sz w:val="24"/>
        </w:rPr>
        <w:t xml:space="preserve">  </w:t>
      </w:r>
      <w:r>
        <w:rPr>
          <w:rFonts w:hint="eastAsia" w:ascii="宋体" w:hAnsi="宋体" w:eastAsia="宋体"/>
          <w:sz w:val="24"/>
        </w:rPr>
        <w:t>甲方将对乙方的供租和养护修剪服务考核如下：</w:t>
      </w:r>
    </w:p>
    <w:p>
      <w:pPr>
        <w:snapToGrid w:val="0"/>
        <w:spacing w:line="360" w:lineRule="auto"/>
        <w:ind w:firstLine="480" w:firstLineChars="200"/>
        <w:rPr>
          <w:rFonts w:ascii="宋体" w:hAnsi="宋体" w:eastAsia="宋体"/>
          <w:sz w:val="24"/>
        </w:rPr>
      </w:pPr>
      <w:r>
        <w:rPr>
          <w:rFonts w:hint="eastAsia" w:ascii="宋体" w:hAnsi="宋体" w:eastAsia="宋体"/>
          <w:sz w:val="24"/>
        </w:rPr>
        <w:t>（1）合同期内，甲方将对乙方服务进行每季度一次的考核，经考核不合格的，甲方有权单方面解除合同。</w:t>
      </w:r>
    </w:p>
    <w:p>
      <w:pPr>
        <w:snapToGrid w:val="0"/>
        <w:spacing w:line="360" w:lineRule="auto"/>
        <w:ind w:firstLine="480" w:firstLineChars="200"/>
        <w:rPr>
          <w:rFonts w:ascii="宋体" w:hAnsi="宋体" w:eastAsia="宋体"/>
          <w:sz w:val="24"/>
          <w:szCs w:val="21"/>
        </w:rPr>
      </w:pPr>
      <w:r>
        <w:rPr>
          <w:rFonts w:hint="eastAsia" w:ascii="宋体" w:hAnsi="宋体" w:eastAsia="宋体"/>
          <w:sz w:val="24"/>
        </w:rPr>
        <w:t>（2）乙方在按要求保质保量的完成该项目合同全部内容，并通过甲方考核后，甲方凭乙方提交的申请，一次性无息退还该合同项目的履约保证金。由于乙方原因，在签订合同后出现不按合同履行的情况，甲方有权将履约保证金作为违约金，全额不予退还，同时甲方亦有权单方解除合同，乙方还须承担相应的法律赔偿责任。</w:t>
      </w:r>
    </w:p>
    <w:p>
      <w:pPr>
        <w:spacing w:line="360" w:lineRule="auto"/>
        <w:ind w:firstLine="390"/>
        <w:jc w:val="center"/>
        <w:rPr>
          <w:rFonts w:ascii="宋体" w:hAnsi="宋体" w:eastAsia="宋体"/>
          <w:b/>
          <w:sz w:val="24"/>
        </w:rPr>
      </w:pPr>
      <w:r>
        <w:rPr>
          <w:rFonts w:hint="eastAsia" w:ascii="宋体" w:hAnsi="宋体" w:eastAsia="宋体"/>
          <w:b/>
          <w:sz w:val="24"/>
        </w:rPr>
        <w:t>第三章</w:t>
      </w:r>
      <w:r>
        <w:rPr>
          <w:rFonts w:ascii="宋体" w:hAnsi="宋体" w:eastAsia="宋体"/>
          <w:b/>
          <w:sz w:val="24"/>
        </w:rPr>
        <w:t xml:space="preserve">  </w:t>
      </w:r>
      <w:r>
        <w:rPr>
          <w:rFonts w:hint="eastAsia" w:ascii="宋体" w:hAnsi="宋体" w:eastAsia="宋体"/>
          <w:b/>
          <w:sz w:val="24"/>
        </w:rPr>
        <w:t>服务期限</w:t>
      </w:r>
    </w:p>
    <w:p>
      <w:pPr>
        <w:spacing w:line="360" w:lineRule="auto"/>
        <w:ind w:firstLine="482" w:firstLineChars="200"/>
        <w:jc w:val="left"/>
        <w:rPr>
          <w:rFonts w:ascii="宋体" w:hAnsi="宋体" w:eastAsia="宋体"/>
          <w:color w:val="auto"/>
          <w:sz w:val="24"/>
        </w:rPr>
      </w:pPr>
      <w:r>
        <w:rPr>
          <w:rFonts w:hint="eastAsia" w:ascii="宋体" w:hAnsi="宋体" w:eastAsia="宋体"/>
          <w:b/>
          <w:color w:val="auto"/>
          <w:sz w:val="24"/>
        </w:rPr>
        <w:t>第十条</w:t>
      </w:r>
      <w:r>
        <w:rPr>
          <w:rFonts w:ascii="宋体" w:hAnsi="宋体" w:eastAsia="宋体"/>
          <w:color w:val="auto"/>
          <w:sz w:val="24"/>
        </w:rPr>
        <w:t xml:space="preserve">  </w:t>
      </w:r>
      <w:r>
        <w:rPr>
          <w:rFonts w:hint="eastAsia" w:ascii="宋体" w:hAnsi="宋体" w:eastAsia="宋体"/>
          <w:color w:val="auto"/>
          <w:sz w:val="24"/>
        </w:rPr>
        <w:t>本项目服务期为3年，合同1年1签。如中标人合同期内履约情况良好（即年度综合考核得分≥90分</w:t>
      </w:r>
      <w:r>
        <w:rPr>
          <w:rFonts w:hint="eastAsia" w:ascii="宋体" w:hAnsi="宋体" w:eastAsia="宋体"/>
          <w:color w:val="auto"/>
          <w:sz w:val="24"/>
          <w:lang w:eastAsia="zh-CN"/>
        </w:rPr>
        <w:t>，考核细则见合同附件</w:t>
      </w:r>
      <w:r>
        <w:rPr>
          <w:rFonts w:hint="eastAsia" w:ascii="宋体" w:hAnsi="宋体" w:eastAsia="宋体"/>
          <w:color w:val="auto"/>
          <w:sz w:val="24"/>
        </w:rPr>
        <w:t>），则在第一年合同期满后，且供应商承诺不增加服务费用的前提下，采购人、供应商双方可续签下一年度合同，但最多续签2次。</w:t>
      </w:r>
    </w:p>
    <w:p>
      <w:pPr>
        <w:spacing w:line="360" w:lineRule="auto"/>
        <w:ind w:firstLine="390"/>
        <w:jc w:val="center"/>
        <w:rPr>
          <w:rFonts w:ascii="宋体" w:hAnsi="宋体" w:eastAsia="宋体"/>
          <w:b/>
          <w:sz w:val="24"/>
        </w:rPr>
      </w:pPr>
      <w:r>
        <w:rPr>
          <w:rFonts w:hint="eastAsia" w:ascii="宋体" w:hAnsi="宋体" w:eastAsia="宋体"/>
          <w:b/>
          <w:sz w:val="24"/>
        </w:rPr>
        <w:t>第四章</w:t>
      </w:r>
      <w:r>
        <w:rPr>
          <w:rFonts w:ascii="宋体" w:hAnsi="宋体" w:eastAsia="宋体"/>
          <w:b/>
          <w:sz w:val="24"/>
        </w:rPr>
        <w:t xml:space="preserve">  </w:t>
      </w:r>
      <w:r>
        <w:rPr>
          <w:rFonts w:hint="eastAsia" w:ascii="宋体" w:hAnsi="宋体" w:eastAsia="宋体"/>
          <w:b/>
          <w:sz w:val="24"/>
        </w:rPr>
        <w:t>费用及支付方式</w:t>
      </w:r>
    </w:p>
    <w:p>
      <w:pPr>
        <w:spacing w:line="360" w:lineRule="auto"/>
        <w:ind w:firstLine="482" w:firstLineChars="200"/>
        <w:jc w:val="left"/>
        <w:rPr>
          <w:rFonts w:ascii="宋体" w:hAnsi="宋体" w:eastAsia="宋体"/>
          <w:color w:val="auto"/>
          <w:sz w:val="24"/>
        </w:rPr>
      </w:pPr>
      <w:r>
        <w:rPr>
          <w:rFonts w:hint="eastAsia" w:ascii="宋体" w:hAnsi="宋体" w:eastAsia="宋体"/>
          <w:b/>
          <w:color w:val="auto"/>
          <w:sz w:val="24"/>
        </w:rPr>
        <w:t>第十一条</w:t>
      </w:r>
      <w:r>
        <w:rPr>
          <w:rFonts w:ascii="宋体" w:hAnsi="宋体" w:eastAsia="宋体"/>
          <w:color w:val="auto"/>
          <w:sz w:val="24"/>
        </w:rPr>
        <w:t xml:space="preserve"> </w:t>
      </w:r>
      <w:r>
        <w:rPr>
          <w:rFonts w:ascii="宋体" w:hAnsi="宋体" w:eastAsia="宋体"/>
          <w:color w:val="auto"/>
          <w:sz w:val="24"/>
          <w:highlight w:val="none"/>
        </w:rPr>
        <w:t xml:space="preserve"> </w:t>
      </w:r>
      <w:r>
        <w:rPr>
          <w:rFonts w:hint="eastAsia" w:ascii="宋体" w:hAnsi="宋体" w:eastAsia="宋体"/>
          <w:color w:val="auto"/>
          <w:sz w:val="24"/>
          <w:highlight w:val="none"/>
        </w:rPr>
        <w:t>甲方向乙方支付绿植租赁及养护费用金额为中标价</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rPr>
        <w:t>元</w:t>
      </w:r>
      <w:r>
        <w:rPr>
          <w:rFonts w:ascii="宋体" w:hAnsi="宋体" w:eastAsia="宋体"/>
          <w:color w:val="auto"/>
          <w:sz w:val="24"/>
          <w:highlight w:val="none"/>
        </w:rPr>
        <w:t>/</w:t>
      </w:r>
      <w:r>
        <w:rPr>
          <w:rFonts w:hint="eastAsia" w:ascii="宋体" w:hAnsi="宋体" w:eastAsia="宋体"/>
          <w:color w:val="auto"/>
          <w:sz w:val="24"/>
          <w:highlight w:val="none"/>
        </w:rPr>
        <w:t>年。本费</w:t>
      </w:r>
      <w:r>
        <w:rPr>
          <w:rFonts w:hint="eastAsia" w:ascii="宋体" w:hAnsi="宋体" w:eastAsia="宋体"/>
          <w:color w:val="auto"/>
          <w:sz w:val="24"/>
        </w:rPr>
        <w:t>用系乙方履行本合同项下义务的全部对价。</w:t>
      </w:r>
      <w:r>
        <w:rPr>
          <w:rFonts w:hint="eastAsia" w:ascii="宋体" w:hAnsi="宋体" w:eastAsia="宋体" w:cs="宋体"/>
          <w:color w:val="auto"/>
          <w:sz w:val="24"/>
          <w:szCs w:val="24"/>
          <w:highlight w:val="none"/>
        </w:rPr>
        <w:t>合同期内，</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因需要调整项目工作量，</w:t>
      </w:r>
      <w:r>
        <w:rPr>
          <w:rFonts w:hint="eastAsia" w:ascii="宋体" w:hAnsi="宋体" w:eastAsia="宋体" w:cs="宋体"/>
          <w:color w:val="auto"/>
          <w:sz w:val="24"/>
          <w:szCs w:val="24"/>
          <w:highlight w:val="none"/>
          <w:lang w:eastAsia="zh-CN"/>
        </w:rPr>
        <w:t>则</w:t>
      </w:r>
      <w:r>
        <w:rPr>
          <w:rFonts w:hint="eastAsia" w:ascii="宋体" w:hAnsi="宋体" w:eastAsia="宋体" w:cs="宋体"/>
          <w:color w:val="auto"/>
          <w:sz w:val="24"/>
          <w:szCs w:val="24"/>
          <w:highlight w:val="none"/>
        </w:rPr>
        <w:t>按</w:t>
      </w:r>
      <w:r>
        <w:rPr>
          <w:rFonts w:hint="eastAsia" w:ascii="宋体" w:hAnsi="宋体" w:eastAsia="宋体" w:cs="宋体"/>
          <w:color w:val="auto"/>
          <w:sz w:val="24"/>
          <w:szCs w:val="24"/>
          <w:highlight w:val="none"/>
          <w:lang w:eastAsia="zh-CN"/>
        </w:rPr>
        <w:t>乙方</w:t>
      </w:r>
      <w:r>
        <w:rPr>
          <w:rFonts w:hint="eastAsia" w:ascii="宋体" w:hAnsi="宋体" w:eastAsia="宋体" w:cs="宋体"/>
          <w:color w:val="auto"/>
          <w:sz w:val="24"/>
          <w:szCs w:val="24"/>
          <w:highlight w:val="none"/>
        </w:rPr>
        <w:t>中标单价</w:t>
      </w:r>
      <w:r>
        <w:rPr>
          <w:rFonts w:hint="eastAsia" w:ascii="宋体" w:hAnsi="宋体" w:eastAsia="宋体" w:cs="宋体"/>
          <w:color w:val="auto"/>
          <w:sz w:val="24"/>
          <w:szCs w:val="24"/>
          <w:highlight w:val="none"/>
          <w:lang w:eastAsia="zh-CN"/>
        </w:rPr>
        <w:t>（投标报价明细表）按实</w:t>
      </w:r>
      <w:r>
        <w:rPr>
          <w:rFonts w:hint="eastAsia" w:ascii="宋体" w:hAnsi="宋体" w:eastAsia="宋体" w:cs="宋体"/>
          <w:color w:val="auto"/>
          <w:sz w:val="24"/>
          <w:szCs w:val="24"/>
          <w:highlight w:val="none"/>
        </w:rPr>
        <w:t>结算。</w:t>
      </w:r>
    </w:p>
    <w:p>
      <w:pPr>
        <w:spacing w:line="360" w:lineRule="auto"/>
        <w:ind w:firstLine="482" w:firstLineChars="200"/>
        <w:jc w:val="left"/>
        <w:rPr>
          <w:rFonts w:ascii="宋体" w:hAnsi="宋体" w:eastAsia="宋体"/>
          <w:color w:val="auto"/>
          <w:sz w:val="24"/>
        </w:rPr>
      </w:pPr>
      <w:r>
        <w:rPr>
          <w:rFonts w:hint="eastAsia" w:ascii="宋体" w:hAnsi="宋体" w:eastAsia="宋体"/>
          <w:b/>
          <w:color w:val="auto"/>
          <w:sz w:val="24"/>
        </w:rPr>
        <w:t>第十二条</w:t>
      </w:r>
      <w:r>
        <w:rPr>
          <w:rFonts w:ascii="宋体" w:hAnsi="宋体" w:eastAsia="宋体"/>
          <w:color w:val="auto"/>
          <w:sz w:val="24"/>
        </w:rPr>
        <w:t xml:space="preserve">  </w:t>
      </w:r>
      <w:r>
        <w:rPr>
          <w:rFonts w:hint="eastAsia" w:ascii="宋体" w:hAnsi="宋体" w:eastAsia="宋体"/>
          <w:color w:val="auto"/>
          <w:sz w:val="24"/>
        </w:rPr>
        <w:t>甲方按以下方式支付绿植养护费用：</w:t>
      </w:r>
    </w:p>
    <w:p>
      <w:pPr>
        <w:spacing w:line="360" w:lineRule="auto"/>
        <w:ind w:firstLine="480" w:firstLineChars="200"/>
        <w:jc w:val="left"/>
        <w:rPr>
          <w:rFonts w:ascii="宋体" w:hAnsi="宋体" w:eastAsia="宋体"/>
          <w:color w:val="auto"/>
          <w:sz w:val="24"/>
          <w:highlight w:val="none"/>
          <w:u w:val="single"/>
        </w:rPr>
      </w:pPr>
      <w:r>
        <w:rPr>
          <w:rFonts w:hint="eastAsia" w:hAnsi="宋体" w:eastAsia="宋体"/>
          <w:color w:val="auto"/>
          <w:sz w:val="24"/>
          <w:highlight w:val="none"/>
          <w:u w:val="single"/>
        </w:rPr>
        <w:t>付款方式：</w:t>
      </w:r>
      <w:r>
        <w:rPr>
          <w:rFonts w:hint="eastAsia" w:hAnsi="宋体" w:eastAsia="宋体"/>
          <w:color w:val="auto"/>
          <w:sz w:val="24"/>
          <w:highlight w:val="none"/>
          <w:u w:val="single"/>
          <w:lang w:val="zh-CN"/>
        </w:rPr>
        <w:t>合同价款每半年支付一次；成交供应商按要求服务期满六个月，支付合同价的50%，余款待合同期满一次性付清余款（以上付款不计利息）。</w:t>
      </w:r>
    </w:p>
    <w:p>
      <w:pPr>
        <w:snapToGrid w:val="0"/>
        <w:spacing w:line="360" w:lineRule="auto"/>
        <w:ind w:firstLine="480" w:firstLineChars="200"/>
        <w:rPr>
          <w:rFonts w:ascii="宋体" w:hAnsi="宋体" w:eastAsia="宋体"/>
          <w:sz w:val="24"/>
        </w:rPr>
      </w:pPr>
      <w:r>
        <w:rPr>
          <w:rFonts w:hint="eastAsia" w:ascii="宋体" w:hAnsi="宋体" w:eastAsia="宋体"/>
          <w:color w:val="auto"/>
          <w:sz w:val="24"/>
        </w:rPr>
        <w:t>每次支付前，由乙方向甲方提供合法、有效的增值税专用发票，甲方将相应款</w:t>
      </w:r>
      <w:r>
        <w:rPr>
          <w:rFonts w:hint="eastAsia" w:ascii="宋体" w:hAnsi="宋体" w:eastAsia="宋体"/>
          <w:sz w:val="24"/>
        </w:rPr>
        <w:t>项汇至本合同中约定的账户。</w:t>
      </w:r>
    </w:p>
    <w:p>
      <w:pPr>
        <w:snapToGrid w:val="0"/>
        <w:spacing w:line="360" w:lineRule="auto"/>
        <w:ind w:firstLine="480" w:firstLineChars="200"/>
        <w:rPr>
          <w:rFonts w:ascii="宋体" w:hAnsi="宋体" w:eastAsia="宋体"/>
          <w:sz w:val="24"/>
        </w:rPr>
      </w:pPr>
      <w:r>
        <w:rPr>
          <w:rFonts w:hint="eastAsia" w:ascii="宋体" w:hAnsi="宋体" w:eastAsia="宋体"/>
          <w:sz w:val="24"/>
        </w:rPr>
        <w:t>对本合同养护实施管理所需的一切劳动力、材料、设备由乙方自行组织解决，由此产生的一切费用，由乙方承担。</w:t>
      </w:r>
    </w:p>
    <w:p>
      <w:pPr>
        <w:spacing w:line="360" w:lineRule="auto"/>
        <w:ind w:firstLine="390"/>
        <w:jc w:val="center"/>
        <w:rPr>
          <w:rFonts w:ascii="宋体" w:hAnsi="宋体" w:eastAsia="宋体"/>
          <w:b/>
          <w:sz w:val="24"/>
        </w:rPr>
      </w:pPr>
      <w:r>
        <w:rPr>
          <w:rFonts w:hint="eastAsia" w:ascii="宋体" w:hAnsi="宋体" w:eastAsia="宋体"/>
          <w:b/>
          <w:sz w:val="24"/>
        </w:rPr>
        <w:t>第五章</w:t>
      </w:r>
      <w:r>
        <w:rPr>
          <w:rFonts w:ascii="宋体" w:hAnsi="宋体" w:eastAsia="宋体"/>
          <w:b/>
          <w:sz w:val="24"/>
        </w:rPr>
        <w:t xml:space="preserve">  </w:t>
      </w:r>
      <w:r>
        <w:rPr>
          <w:rFonts w:hint="eastAsia" w:ascii="宋体" w:hAnsi="宋体" w:eastAsia="宋体"/>
          <w:b/>
          <w:sz w:val="24"/>
        </w:rPr>
        <w:t>违约责任</w:t>
      </w:r>
    </w:p>
    <w:p>
      <w:pPr>
        <w:adjustRightInd w:val="0"/>
        <w:snapToGrid w:val="0"/>
        <w:spacing w:line="360" w:lineRule="auto"/>
        <w:ind w:firstLine="482" w:firstLineChars="200"/>
        <w:jc w:val="left"/>
        <w:rPr>
          <w:rFonts w:ascii="宋体" w:hAnsi="宋体" w:eastAsia="宋体"/>
          <w:sz w:val="24"/>
        </w:rPr>
      </w:pPr>
      <w:r>
        <w:rPr>
          <w:rFonts w:hint="eastAsia" w:ascii="宋体" w:hAnsi="宋体" w:eastAsia="宋体"/>
          <w:b/>
          <w:sz w:val="24"/>
        </w:rPr>
        <w:t>第十三条</w:t>
      </w:r>
      <w:r>
        <w:rPr>
          <w:rFonts w:ascii="宋体" w:hAnsi="宋体" w:eastAsia="宋体"/>
          <w:b/>
          <w:sz w:val="24"/>
        </w:rPr>
        <w:t xml:space="preserve">  </w:t>
      </w:r>
      <w:r>
        <w:rPr>
          <w:rFonts w:hint="eastAsia" w:ascii="宋体" w:hAnsi="宋体" w:eastAsia="宋体"/>
          <w:sz w:val="24"/>
        </w:rPr>
        <w:t>在未取得对方书面同意的情况下，任一方均不能将本合同有关权利义务转让给第三方，否则视为根本违约，另一方可以立即解除合同，并要求违约方承担因此造成的损失。</w:t>
      </w:r>
    </w:p>
    <w:p>
      <w:pPr>
        <w:adjustRightInd w:val="0"/>
        <w:snapToGrid w:val="0"/>
        <w:spacing w:line="360" w:lineRule="auto"/>
        <w:ind w:firstLine="482" w:firstLineChars="200"/>
        <w:jc w:val="left"/>
        <w:rPr>
          <w:rFonts w:ascii="宋体" w:hAnsi="宋体" w:eastAsia="宋体"/>
          <w:kern w:val="0"/>
          <w:sz w:val="24"/>
        </w:rPr>
      </w:pPr>
      <w:r>
        <w:rPr>
          <w:rFonts w:hint="eastAsia" w:ascii="宋体" w:hAnsi="宋体" w:eastAsia="宋体"/>
          <w:b/>
          <w:sz w:val="24"/>
        </w:rPr>
        <w:t>第十四条</w:t>
      </w:r>
      <w:r>
        <w:rPr>
          <w:rFonts w:ascii="宋体" w:hAnsi="宋体" w:eastAsia="宋体"/>
          <w:b/>
          <w:sz w:val="24"/>
        </w:rPr>
        <w:t xml:space="preserve">  </w:t>
      </w:r>
      <w:r>
        <w:rPr>
          <w:rFonts w:hint="eastAsia" w:ascii="宋体" w:hAnsi="宋体" w:eastAsia="宋体"/>
          <w:kern w:val="0"/>
          <w:sz w:val="24"/>
        </w:rPr>
        <w:t>因乙方原因，养护质量未达到合同约定的养护标准，乙方应采取补救措施，造成损失的，应承担赔偿责任。未经甲方同意，乙方擅自更改、调整养护方案，给甲方造成损失的，应承担赔偿责任，同时，甲方有权单方解除本合同。</w:t>
      </w:r>
    </w:p>
    <w:p>
      <w:pPr>
        <w:spacing w:line="360" w:lineRule="auto"/>
        <w:ind w:firstLine="482" w:firstLineChars="200"/>
        <w:jc w:val="left"/>
        <w:rPr>
          <w:rFonts w:ascii="宋体" w:hAnsi="宋体" w:eastAsia="宋体"/>
          <w:sz w:val="24"/>
        </w:rPr>
      </w:pPr>
      <w:r>
        <w:rPr>
          <w:rFonts w:hint="eastAsia" w:ascii="宋体" w:hAnsi="宋体" w:eastAsia="宋体"/>
          <w:b/>
          <w:sz w:val="24"/>
        </w:rPr>
        <w:t>第十五条</w:t>
      </w:r>
      <w:r>
        <w:rPr>
          <w:rFonts w:ascii="宋体" w:hAnsi="宋体" w:eastAsia="宋体"/>
          <w:b/>
          <w:sz w:val="24"/>
        </w:rPr>
        <w:t xml:space="preserve">  </w:t>
      </w:r>
      <w:r>
        <w:rPr>
          <w:rFonts w:hint="eastAsia" w:ascii="宋体" w:hAnsi="宋体" w:eastAsia="宋体"/>
          <w:sz w:val="24"/>
        </w:rPr>
        <w:t>乙方未及时更换不能成活的绿植超过</w:t>
      </w:r>
      <w:r>
        <w:rPr>
          <w:rFonts w:ascii="宋体" w:hAnsi="宋体" w:eastAsia="宋体"/>
          <w:sz w:val="24"/>
          <w:u w:val="single"/>
        </w:rPr>
        <w:t>3</w:t>
      </w:r>
      <w:r>
        <w:rPr>
          <w:rFonts w:hint="eastAsia" w:ascii="宋体" w:hAnsi="宋体" w:eastAsia="宋体"/>
          <w:sz w:val="24"/>
        </w:rPr>
        <w:t>次，向甲方支付违约金</w:t>
      </w:r>
      <w:r>
        <w:rPr>
          <w:rFonts w:hint="eastAsia" w:ascii="宋体" w:hAnsi="宋体" w:eastAsia="宋体"/>
          <w:sz w:val="24"/>
          <w:u w:val="single"/>
        </w:rPr>
        <w:t>2</w:t>
      </w:r>
      <w:r>
        <w:rPr>
          <w:rFonts w:ascii="宋体" w:hAnsi="宋体" w:eastAsia="宋体"/>
          <w:sz w:val="24"/>
          <w:u w:val="single"/>
        </w:rPr>
        <w:t>000</w:t>
      </w:r>
      <w:r>
        <w:rPr>
          <w:rFonts w:hint="eastAsia" w:ascii="宋体" w:hAnsi="宋体" w:eastAsia="宋体"/>
          <w:sz w:val="24"/>
        </w:rPr>
        <w:t>元，累计超过</w:t>
      </w:r>
      <w:r>
        <w:rPr>
          <w:rFonts w:ascii="宋体" w:hAnsi="宋体" w:eastAsia="宋体"/>
          <w:sz w:val="24"/>
          <w:u w:val="single"/>
        </w:rPr>
        <w:t>5</w:t>
      </w:r>
      <w:r>
        <w:rPr>
          <w:rFonts w:hint="eastAsia" w:ascii="宋体" w:hAnsi="宋体" w:eastAsia="宋体"/>
          <w:sz w:val="24"/>
        </w:rPr>
        <w:t>次的，甲方有权单方解除本合同，由此给甲方造成的损失由乙方承担赔偿责任。</w:t>
      </w:r>
    </w:p>
    <w:p>
      <w:pPr>
        <w:spacing w:line="360" w:lineRule="auto"/>
        <w:ind w:firstLine="482" w:firstLineChars="200"/>
        <w:jc w:val="left"/>
        <w:rPr>
          <w:rFonts w:ascii="宋体" w:hAnsi="宋体" w:eastAsia="宋体"/>
          <w:sz w:val="24"/>
        </w:rPr>
      </w:pPr>
      <w:r>
        <w:rPr>
          <w:rFonts w:hint="eastAsia" w:ascii="宋体" w:hAnsi="宋体" w:eastAsia="宋体"/>
          <w:b/>
          <w:sz w:val="24"/>
        </w:rPr>
        <w:t>第十六条</w:t>
      </w:r>
      <w:r>
        <w:rPr>
          <w:rFonts w:ascii="宋体" w:hAnsi="宋体" w:eastAsia="宋体"/>
          <w:sz w:val="24"/>
        </w:rPr>
        <w:t xml:space="preserve">  </w:t>
      </w:r>
      <w:r>
        <w:rPr>
          <w:rFonts w:hint="eastAsia" w:ascii="宋体" w:hAnsi="宋体" w:eastAsia="宋体"/>
          <w:sz w:val="24"/>
        </w:rPr>
        <w:t>甲方经乙方催告逾期未支付费用达到</w:t>
      </w:r>
      <w:r>
        <w:rPr>
          <w:rFonts w:ascii="宋体" w:hAnsi="宋体" w:eastAsia="宋体"/>
          <w:sz w:val="24"/>
          <w:u w:val="single"/>
        </w:rPr>
        <w:t>3</w:t>
      </w:r>
      <w:r>
        <w:rPr>
          <w:rFonts w:hint="eastAsia" w:ascii="宋体" w:hAnsi="宋体" w:eastAsia="宋体"/>
          <w:sz w:val="24"/>
        </w:rPr>
        <w:t>个月且未支付合同约定总服务费用的</w:t>
      </w:r>
      <w:r>
        <w:rPr>
          <w:rFonts w:ascii="宋体" w:hAnsi="宋体" w:eastAsia="宋体"/>
          <w:sz w:val="24"/>
          <w:u w:val="single"/>
        </w:rPr>
        <w:t>50%</w:t>
      </w:r>
      <w:r>
        <w:rPr>
          <w:rFonts w:hint="eastAsia" w:ascii="宋体" w:hAnsi="宋体" w:eastAsia="宋体"/>
          <w:sz w:val="24"/>
        </w:rPr>
        <w:t>以上，乙方可以终止或解除本合同。</w:t>
      </w:r>
    </w:p>
    <w:p>
      <w:pPr>
        <w:spacing w:line="360" w:lineRule="auto"/>
        <w:ind w:firstLine="482" w:firstLineChars="200"/>
        <w:jc w:val="left"/>
        <w:rPr>
          <w:rFonts w:ascii="宋体" w:hAnsi="宋体" w:eastAsia="宋体"/>
          <w:sz w:val="24"/>
        </w:rPr>
      </w:pPr>
      <w:r>
        <w:rPr>
          <w:rFonts w:hint="eastAsia" w:ascii="宋体" w:hAnsi="宋体" w:eastAsia="宋体"/>
          <w:b/>
          <w:sz w:val="24"/>
        </w:rPr>
        <w:t>第十七条</w:t>
      </w:r>
      <w:r>
        <w:rPr>
          <w:rFonts w:ascii="宋体" w:hAnsi="宋体" w:eastAsia="宋体"/>
          <w:sz w:val="24"/>
        </w:rPr>
        <w:t xml:space="preserve">  </w:t>
      </w:r>
      <w:r>
        <w:rPr>
          <w:rFonts w:hint="eastAsia" w:ascii="宋体" w:hAnsi="宋体" w:eastAsia="宋体"/>
          <w:sz w:val="24"/>
        </w:rPr>
        <w:t>本合同中约定乙方应承担的赔偿金、违约金等，甲方有权在尚未支付的服务费用中扣除。</w:t>
      </w:r>
    </w:p>
    <w:p>
      <w:pPr>
        <w:spacing w:line="360" w:lineRule="auto"/>
        <w:ind w:firstLine="482" w:firstLineChars="200"/>
        <w:jc w:val="left"/>
        <w:rPr>
          <w:rFonts w:ascii="宋体" w:hAnsi="宋体" w:eastAsia="宋体"/>
          <w:sz w:val="24"/>
        </w:rPr>
      </w:pPr>
      <w:r>
        <w:rPr>
          <w:rFonts w:hint="eastAsia" w:ascii="宋体" w:hAnsi="宋体" w:eastAsia="宋体"/>
          <w:b/>
          <w:sz w:val="24"/>
        </w:rPr>
        <w:t>第十八条</w:t>
      </w:r>
      <w:r>
        <w:rPr>
          <w:rFonts w:ascii="宋体" w:hAnsi="宋体" w:eastAsia="宋体"/>
          <w:sz w:val="24"/>
        </w:rPr>
        <w:t xml:space="preserve">  </w:t>
      </w:r>
      <w:r>
        <w:rPr>
          <w:rFonts w:hint="eastAsia" w:ascii="宋体" w:hAnsi="宋体" w:eastAsia="宋体"/>
          <w:sz w:val="24"/>
        </w:rPr>
        <w:t>乙方未按招标文件要求提供合同标的物或服务、履行本工程的质保与养护服务，乙方若不能兑现承诺和正常履行养护期内的责职，甲方从乙方本工程履约保证金中按总额的10%进行扣除，同时甲方可指定第三方服务，由此产生的一切费用均由乙方另行支付。</w:t>
      </w:r>
    </w:p>
    <w:p>
      <w:pPr>
        <w:spacing w:line="360" w:lineRule="auto"/>
        <w:ind w:firstLine="390"/>
        <w:jc w:val="center"/>
        <w:rPr>
          <w:rFonts w:ascii="宋体" w:hAnsi="宋体" w:eastAsia="宋体"/>
          <w:b/>
          <w:sz w:val="24"/>
        </w:rPr>
      </w:pPr>
      <w:r>
        <w:rPr>
          <w:rFonts w:hint="eastAsia" w:ascii="宋体" w:hAnsi="宋体" w:eastAsia="宋体"/>
          <w:b/>
          <w:sz w:val="24"/>
        </w:rPr>
        <w:t>第六章</w:t>
      </w:r>
      <w:r>
        <w:rPr>
          <w:rFonts w:ascii="宋体" w:hAnsi="宋体" w:eastAsia="宋体"/>
          <w:b/>
          <w:sz w:val="24"/>
        </w:rPr>
        <w:t xml:space="preserve">  </w:t>
      </w:r>
      <w:r>
        <w:rPr>
          <w:rFonts w:hint="eastAsia" w:ascii="宋体" w:hAnsi="宋体" w:eastAsia="宋体"/>
          <w:b/>
          <w:sz w:val="24"/>
        </w:rPr>
        <w:t>争议解决方式</w:t>
      </w:r>
    </w:p>
    <w:p>
      <w:pPr>
        <w:spacing w:line="360" w:lineRule="auto"/>
        <w:ind w:firstLine="482" w:firstLineChars="200"/>
        <w:jc w:val="left"/>
        <w:rPr>
          <w:rFonts w:ascii="宋体" w:hAnsi="宋体" w:eastAsia="宋体"/>
          <w:sz w:val="24"/>
        </w:rPr>
      </w:pPr>
      <w:r>
        <w:rPr>
          <w:rFonts w:hint="eastAsia" w:ascii="宋体" w:hAnsi="宋体" w:eastAsia="宋体"/>
          <w:b/>
          <w:sz w:val="24"/>
        </w:rPr>
        <w:t xml:space="preserve">第十九条  </w:t>
      </w:r>
      <w:r>
        <w:rPr>
          <w:rFonts w:hint="eastAsia" w:ascii="宋体" w:hAnsi="宋体" w:eastAsia="宋体"/>
          <w:sz w:val="24"/>
        </w:rPr>
        <w:t>甲乙双方因履行本合同发生纠纷时，可以协商解决。</w:t>
      </w:r>
      <w:r>
        <w:rPr>
          <w:rFonts w:ascii="宋体" w:hAnsi="宋体" w:eastAsia="宋体"/>
          <w:sz w:val="24"/>
        </w:rPr>
        <w:t xml:space="preserve"> </w:t>
      </w:r>
      <w:r>
        <w:rPr>
          <w:rFonts w:hint="eastAsia" w:ascii="宋体" w:hAnsi="宋体" w:eastAsia="宋体"/>
          <w:sz w:val="24"/>
        </w:rPr>
        <w:t>协商不成，任一方均应提请南通仲裁委员会按照其仲裁规则进行仲裁。仲裁裁决是终局的,对双方均有约束力。</w:t>
      </w:r>
    </w:p>
    <w:p>
      <w:pPr>
        <w:spacing w:line="360" w:lineRule="auto"/>
        <w:ind w:firstLine="390"/>
        <w:jc w:val="center"/>
        <w:rPr>
          <w:rFonts w:ascii="宋体" w:hAnsi="宋体" w:eastAsia="宋体"/>
          <w:b/>
          <w:sz w:val="24"/>
        </w:rPr>
      </w:pPr>
      <w:r>
        <w:rPr>
          <w:rFonts w:hint="eastAsia" w:ascii="宋体" w:hAnsi="宋体" w:eastAsia="宋体"/>
          <w:b/>
          <w:sz w:val="24"/>
        </w:rPr>
        <w:t>第七章</w:t>
      </w:r>
      <w:r>
        <w:rPr>
          <w:rFonts w:ascii="宋体" w:hAnsi="宋体" w:eastAsia="宋体"/>
          <w:b/>
          <w:sz w:val="24"/>
        </w:rPr>
        <w:t xml:space="preserve">  </w:t>
      </w:r>
      <w:r>
        <w:rPr>
          <w:rFonts w:hint="eastAsia" w:ascii="宋体" w:hAnsi="宋体" w:eastAsia="宋体"/>
          <w:b/>
          <w:sz w:val="24"/>
        </w:rPr>
        <w:t>其它约定</w:t>
      </w:r>
    </w:p>
    <w:p>
      <w:pPr>
        <w:snapToGrid w:val="0"/>
        <w:spacing w:line="360" w:lineRule="auto"/>
        <w:ind w:firstLine="482" w:firstLineChars="200"/>
        <w:rPr>
          <w:rFonts w:ascii="宋体" w:hAnsi="宋体" w:eastAsia="宋体" w:cs="宋体"/>
          <w:kern w:val="0"/>
          <w:sz w:val="24"/>
        </w:rPr>
      </w:pPr>
      <w:r>
        <w:rPr>
          <w:rFonts w:hint="eastAsia" w:ascii="宋体" w:hAnsi="宋体" w:eastAsia="宋体"/>
          <w:b/>
          <w:sz w:val="24"/>
        </w:rPr>
        <w:t>第二十条</w:t>
      </w:r>
      <w:r>
        <w:rPr>
          <w:rFonts w:ascii="宋体" w:hAnsi="宋体" w:eastAsia="宋体"/>
          <w:b/>
          <w:sz w:val="24"/>
        </w:rPr>
        <w:t xml:space="preserve">  </w:t>
      </w:r>
      <w:r>
        <w:rPr>
          <w:rFonts w:hint="eastAsia" w:ascii="宋体" w:hAnsi="宋体" w:eastAsia="宋体" w:cs="宋体"/>
          <w:kern w:val="0"/>
          <w:sz w:val="24"/>
        </w:rPr>
        <w:t>如果本合同任何一方因受不可抗力事件影响而未能履行其在本合同下的全部或部分义务，该义务的履行在不可抗力事件妨碍其履行期间应予中止。</w:t>
      </w:r>
    </w:p>
    <w:p>
      <w:pPr>
        <w:spacing w:line="360" w:lineRule="auto"/>
        <w:ind w:firstLine="482" w:firstLineChars="200"/>
        <w:jc w:val="left"/>
        <w:rPr>
          <w:rFonts w:ascii="宋体" w:hAnsi="宋体" w:eastAsia="宋体" w:cs="宋体"/>
          <w:kern w:val="0"/>
          <w:sz w:val="24"/>
        </w:rPr>
      </w:pPr>
      <w:r>
        <w:rPr>
          <w:rFonts w:hint="eastAsia" w:ascii="宋体" w:hAnsi="宋体" w:eastAsia="宋体"/>
          <w:b/>
          <w:sz w:val="24"/>
        </w:rPr>
        <w:t>第二十一条</w:t>
      </w:r>
      <w:r>
        <w:rPr>
          <w:rFonts w:ascii="宋体" w:hAnsi="宋体" w:eastAsia="宋体"/>
          <w:b/>
          <w:sz w:val="24"/>
        </w:rPr>
        <w:t xml:space="preserve">  </w:t>
      </w:r>
      <w:r>
        <w:rPr>
          <w:rFonts w:hint="eastAsia" w:ascii="宋体" w:hAnsi="宋体" w:eastAsia="宋体" w:cs="宋体"/>
          <w:kern w:val="0"/>
          <w:sz w:val="24"/>
        </w:rPr>
        <w:t>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r>
        <w:rPr>
          <w:rFonts w:ascii="宋体" w:hAnsi="宋体" w:eastAsia="宋体" w:cs="宋体"/>
          <w:kern w:val="0"/>
          <w:sz w:val="24"/>
        </w:rPr>
        <w:t xml:space="preserve"> </w:t>
      </w:r>
    </w:p>
    <w:p>
      <w:pPr>
        <w:spacing w:line="360" w:lineRule="auto"/>
        <w:ind w:firstLine="482" w:firstLineChars="200"/>
        <w:jc w:val="left"/>
        <w:rPr>
          <w:rFonts w:ascii="宋体" w:hAnsi="宋体" w:eastAsia="宋体" w:cs="宋体"/>
          <w:kern w:val="0"/>
          <w:sz w:val="24"/>
        </w:rPr>
      </w:pPr>
      <w:r>
        <w:rPr>
          <w:rFonts w:hint="eastAsia" w:ascii="宋体" w:hAnsi="宋体" w:eastAsia="宋体"/>
          <w:b/>
          <w:sz w:val="24"/>
        </w:rPr>
        <w:t xml:space="preserve">第二十二条  </w:t>
      </w:r>
      <w:r>
        <w:rPr>
          <w:rFonts w:hint="eastAsia" w:ascii="宋体" w:hAnsi="宋体" w:eastAsia="宋体" w:cs="宋体"/>
          <w:kern w:val="0"/>
          <w:sz w:val="24"/>
        </w:rPr>
        <w:t>本合同所称</w:t>
      </w:r>
      <w:r>
        <w:rPr>
          <w:rFonts w:ascii="宋体" w:hAnsi="宋体" w:eastAsia="宋体" w:cs="宋体"/>
          <w:kern w:val="0"/>
          <w:sz w:val="24"/>
        </w:rPr>
        <w:t>"</w:t>
      </w:r>
      <w:r>
        <w:rPr>
          <w:rFonts w:hint="eastAsia" w:ascii="宋体" w:hAnsi="宋体" w:eastAsia="宋体" w:cs="宋体"/>
          <w:kern w:val="0"/>
          <w:sz w:val="24"/>
        </w:rPr>
        <w:t>不可抗力</w:t>
      </w:r>
      <w:r>
        <w:rPr>
          <w:rFonts w:ascii="宋体" w:hAnsi="宋体" w:eastAsia="宋体" w:cs="宋体"/>
          <w:kern w:val="0"/>
          <w:sz w:val="24"/>
        </w:rPr>
        <w:t>"</w:t>
      </w:r>
      <w:r>
        <w:rPr>
          <w:rFonts w:hint="eastAsia" w:ascii="宋体" w:hAnsi="宋体" w:eastAsia="宋体" w:cs="宋体"/>
          <w:kern w:val="0"/>
          <w:sz w:val="24"/>
        </w:rPr>
        <w:t>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snapToGrid w:val="0"/>
        <w:spacing w:line="360" w:lineRule="auto"/>
        <w:ind w:firstLine="482" w:firstLineChars="200"/>
        <w:rPr>
          <w:rFonts w:ascii="宋体" w:hAnsi="宋体" w:eastAsia="宋体" w:cs="宋体"/>
          <w:kern w:val="0"/>
          <w:sz w:val="24"/>
        </w:rPr>
      </w:pPr>
      <w:r>
        <w:rPr>
          <w:rFonts w:hint="eastAsia" w:ascii="宋体" w:hAnsi="宋体" w:eastAsia="宋体"/>
          <w:b/>
          <w:sz w:val="24"/>
        </w:rPr>
        <w:t xml:space="preserve">第二十三条  </w:t>
      </w:r>
      <w:r>
        <w:rPr>
          <w:rFonts w:hint="eastAsia" w:ascii="宋体" w:hAnsi="宋体" w:eastAsia="宋体" w:cs="宋体"/>
          <w:kern w:val="0"/>
          <w:sz w:val="24"/>
        </w:rPr>
        <w:t>在合同有效期内，甲、乙双方应严格遵守合同内容，不得擅自更改或终止合同，若有特殊事由需更改或终止合同时，应提前三个月通知对方。</w:t>
      </w:r>
    </w:p>
    <w:p>
      <w:pPr>
        <w:spacing w:line="360" w:lineRule="auto"/>
        <w:ind w:firstLine="482" w:firstLineChars="200"/>
        <w:jc w:val="left"/>
        <w:rPr>
          <w:rFonts w:ascii="宋体" w:hAnsi="宋体" w:eastAsia="宋体"/>
          <w:b/>
          <w:sz w:val="24"/>
        </w:rPr>
      </w:pPr>
      <w:r>
        <w:rPr>
          <w:rFonts w:hint="eastAsia" w:ascii="宋体" w:hAnsi="宋体" w:eastAsia="宋体"/>
          <w:b/>
          <w:sz w:val="24"/>
        </w:rPr>
        <w:t xml:space="preserve">第二十四条  </w:t>
      </w:r>
      <w:r>
        <w:rPr>
          <w:rFonts w:hint="eastAsia" w:ascii="宋体" w:hAnsi="宋体" w:eastAsia="宋体" w:cs="宋体"/>
          <w:kern w:val="0"/>
          <w:sz w:val="24"/>
        </w:rPr>
        <w:t>本合同未尽事宜，依照有关法律、法规执行，法律、法规未作规定的，甲乙双方可以达成书面补充合同。本合同的附件和补充合同均为本合同不可分割的组成部分，与本合同具有同等的法律效力。</w:t>
      </w:r>
    </w:p>
    <w:p>
      <w:pPr>
        <w:spacing w:line="360" w:lineRule="auto"/>
        <w:ind w:firstLine="482" w:firstLineChars="200"/>
        <w:jc w:val="left"/>
        <w:rPr>
          <w:rFonts w:ascii="宋体" w:hAnsi="宋体" w:eastAsia="宋体"/>
          <w:sz w:val="24"/>
        </w:rPr>
      </w:pPr>
      <w:r>
        <w:rPr>
          <w:rFonts w:hint="eastAsia" w:ascii="宋体" w:hAnsi="宋体" w:eastAsia="宋体"/>
          <w:b/>
          <w:sz w:val="24"/>
        </w:rPr>
        <w:t xml:space="preserve">第二十五条  </w:t>
      </w:r>
      <w:r>
        <w:rPr>
          <w:rFonts w:hint="eastAsia" w:ascii="宋体" w:hAnsi="宋体" w:eastAsia="宋体"/>
          <w:sz w:val="24"/>
        </w:rPr>
        <w:t>本合同自双方签字盖章之日起生效；合同文书壹式</w:t>
      </w:r>
      <w:r>
        <w:rPr>
          <w:rFonts w:hint="eastAsia" w:ascii="宋体" w:hAnsi="宋体" w:eastAsia="宋体"/>
          <w:sz w:val="24"/>
          <w:u w:val="single"/>
        </w:rPr>
        <w:t>四</w:t>
      </w:r>
      <w:r>
        <w:rPr>
          <w:rFonts w:hint="eastAsia" w:ascii="宋体" w:hAnsi="宋体" w:eastAsia="宋体"/>
          <w:sz w:val="24"/>
        </w:rPr>
        <w:t>份，甲、乙双方各持</w:t>
      </w:r>
      <w:r>
        <w:rPr>
          <w:rFonts w:hint="eastAsia" w:ascii="宋体" w:hAnsi="宋体" w:eastAsia="宋体"/>
          <w:sz w:val="24"/>
          <w:u w:val="single"/>
        </w:rPr>
        <w:t>两</w:t>
      </w:r>
      <w:r>
        <w:rPr>
          <w:rFonts w:hint="eastAsia" w:ascii="宋体" w:hAnsi="宋体" w:eastAsia="宋体"/>
          <w:sz w:val="24"/>
        </w:rPr>
        <w:t>份，具有同等法律效力。</w:t>
      </w:r>
    </w:p>
    <w:p>
      <w:pPr>
        <w:rPr>
          <w:rFonts w:hint="eastAsia" w:eastAsia="楷体_GB2312"/>
          <w:lang w:eastAsia="zh-CN"/>
        </w:rPr>
      </w:pPr>
    </w:p>
    <w:p>
      <w:pPr>
        <w:pStyle w:val="24"/>
      </w:pPr>
    </w:p>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甲方（盖章）：                      </w:t>
      </w:r>
      <w:r>
        <w:rPr>
          <w:rFonts w:ascii="宋体" w:hAnsi="宋体" w:eastAsia="宋体" w:cs="宋体"/>
          <w:sz w:val="24"/>
          <w:szCs w:val="24"/>
        </w:rPr>
        <w:t xml:space="preserve"> </w:t>
      </w:r>
      <w:r>
        <w:rPr>
          <w:rFonts w:hint="eastAsia" w:ascii="宋体" w:hAnsi="宋体" w:eastAsia="宋体" w:cs="宋体"/>
          <w:sz w:val="24"/>
          <w:szCs w:val="24"/>
        </w:rPr>
        <w:t xml:space="preserve">乙方（盖章）：  </w:t>
      </w:r>
    </w:p>
    <w:p>
      <w:pPr>
        <w:tabs>
          <w:tab w:val="center" w:pos="4125"/>
        </w:tabs>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rPr>
        <w:tab/>
      </w:r>
      <w:r>
        <w:rPr>
          <w:rFonts w:hint="eastAsia" w:ascii="宋体" w:hAnsi="宋体" w:eastAsia="宋体" w:cs="宋体"/>
          <w:sz w:val="24"/>
          <w:szCs w:val="24"/>
        </w:rPr>
        <w:t xml:space="preserve">                         法定代表人：</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委托代理人：                         委托代理人：          </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联系电话：                           联系电话：</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开户银行：                           开户银行：</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帐号：                               帐号： </w:t>
      </w:r>
    </w:p>
    <w:p>
      <w:pPr>
        <w:spacing w:line="500" w:lineRule="exact"/>
        <w:ind w:firstLine="480" w:firstLineChars="200"/>
        <w:jc w:val="right"/>
        <w:rPr>
          <w:rFonts w:ascii="宋体" w:hAnsi="宋体" w:eastAsia="宋体" w:cs="宋体"/>
          <w:sz w:val="24"/>
          <w:szCs w:val="24"/>
        </w:rPr>
      </w:pPr>
    </w:p>
    <w:p>
      <w:pPr>
        <w:spacing w:line="500" w:lineRule="exact"/>
        <w:ind w:firstLine="480" w:firstLineChars="200"/>
        <w:jc w:val="right"/>
        <w:rPr>
          <w:rFonts w:hint="eastAsia" w:ascii="宋体" w:hAnsi="宋体" w:eastAsia="宋体" w:cs="宋体"/>
          <w:sz w:val="24"/>
          <w:szCs w:val="24"/>
        </w:rPr>
      </w:pPr>
      <w:r>
        <w:rPr>
          <w:rFonts w:hint="eastAsia" w:ascii="宋体" w:hAnsi="宋体" w:eastAsia="宋体" w:cs="宋体"/>
          <w:sz w:val="24"/>
          <w:szCs w:val="24"/>
        </w:rPr>
        <w:t xml:space="preserve">签订日期：     年   月   日 </w:t>
      </w:r>
    </w:p>
    <w:p>
      <w:r>
        <w:br w:type="page"/>
      </w:r>
    </w:p>
    <w:p>
      <w:pPr>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附件：</w:t>
      </w:r>
    </w:p>
    <w:p>
      <w:pPr>
        <w:pStyle w:val="57"/>
        <w:ind w:left="0" w:leftChars="0" w:firstLine="0" w:firstLineChars="0"/>
        <w:jc w:val="center"/>
        <w:rPr>
          <w:rFonts w:hint="eastAsia" w:ascii="宋体" w:hAnsi="宋体" w:eastAsia="宋体" w:cs="宋体"/>
          <w:b/>
          <w:bCs/>
          <w:sz w:val="21"/>
          <w:szCs w:val="21"/>
          <w:lang w:eastAsia="zh-CN"/>
        </w:rPr>
      </w:pPr>
      <w:r>
        <w:rPr>
          <w:rFonts w:hint="eastAsia" w:ascii="宋体" w:hAnsi="宋体" w:eastAsia="宋体" w:cs="宋体"/>
          <w:b/>
          <w:bCs/>
          <w:sz w:val="28"/>
          <w:szCs w:val="28"/>
          <w:lang w:eastAsia="zh-CN"/>
        </w:rPr>
        <w:t>南通市妇幼保健院绿植租摆与绿化养护</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lang w:val="en-US" w:eastAsia="zh-CN"/>
        </w:rPr>
        <w:t>季度</w:t>
      </w:r>
      <w:r>
        <w:rPr>
          <w:rFonts w:hint="eastAsia" w:ascii="宋体" w:hAnsi="宋体" w:eastAsia="宋体" w:cs="宋体"/>
          <w:b/>
          <w:bCs/>
          <w:sz w:val="28"/>
          <w:szCs w:val="28"/>
          <w:lang w:eastAsia="zh-CN"/>
        </w:rPr>
        <w:t>考核表</w:t>
      </w:r>
    </w:p>
    <w:tbl>
      <w:tblPr>
        <w:tblStyle w:val="58"/>
        <w:tblpPr w:leftFromText="180" w:rightFromText="180" w:vertAnchor="page" w:horzAnchor="page" w:tblpX="1504" w:tblpY="2334"/>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91"/>
        <w:gridCol w:w="1526"/>
        <w:gridCol w:w="3066"/>
        <w:gridCol w:w="2434"/>
        <w:gridCol w:w="13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blCellMar>
            <w:top w:w="15" w:type="dxa"/>
            <w:left w:w="15" w:type="dxa"/>
            <w:bottom w:w="15" w:type="dxa"/>
            <w:right w:w="15" w:type="dxa"/>
          </w:tblCellMar>
        </w:tblPrEx>
        <w:trPr>
          <w:trHeight w:val="416" w:hRule="atLeast"/>
        </w:trPr>
        <w:tc>
          <w:tcPr>
            <w:tcW w:w="1191" w:type="dxa"/>
            <w:tcBorders>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类别</w:t>
            </w:r>
          </w:p>
        </w:tc>
        <w:tc>
          <w:tcPr>
            <w:tcW w:w="1526"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rPr>
              <w:t>养护项目</w:t>
            </w:r>
          </w:p>
        </w:tc>
        <w:tc>
          <w:tcPr>
            <w:tcW w:w="3066"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eastAsia="zh-CN"/>
              </w:rPr>
              <w:t>工作</w:t>
            </w:r>
            <w:r>
              <w:rPr>
                <w:rFonts w:hint="eastAsia" w:ascii="宋体" w:hAnsi="宋体" w:eastAsia="宋体" w:cs="宋体"/>
                <w:color w:val="333333"/>
                <w:kern w:val="0"/>
                <w:sz w:val="21"/>
                <w:szCs w:val="21"/>
              </w:rPr>
              <w:t>频次</w:t>
            </w:r>
          </w:p>
        </w:tc>
        <w:tc>
          <w:tcPr>
            <w:tcW w:w="2434" w:type="dxa"/>
            <w:tcBorders>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eastAsia="zh-CN"/>
              </w:rPr>
              <w:t>考核标准</w:t>
            </w:r>
          </w:p>
        </w:tc>
        <w:tc>
          <w:tcPr>
            <w:tcW w:w="1300" w:type="dxa"/>
            <w:tcBorders>
              <w:left w:val="nil"/>
              <w:bottom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eastAsia="zh-CN"/>
              </w:rPr>
              <w:t>考核情况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1191" w:type="dxa"/>
            <w:vMerge w:val="restart"/>
            <w:tcBorders>
              <w:top w:val="nil"/>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绿化养护（</w:t>
            </w:r>
            <w:r>
              <w:rPr>
                <w:rFonts w:hint="eastAsia" w:ascii="宋体" w:hAnsi="宋体" w:eastAsia="宋体" w:cs="宋体"/>
                <w:color w:val="333333"/>
                <w:kern w:val="0"/>
                <w:sz w:val="21"/>
                <w:szCs w:val="21"/>
                <w:lang w:val="en-US" w:eastAsia="zh-CN"/>
              </w:rPr>
              <w:t>25分</w:t>
            </w:r>
            <w:r>
              <w:rPr>
                <w:rFonts w:hint="eastAsia" w:ascii="宋体" w:hAnsi="宋体" w:eastAsia="宋体" w:cs="宋体"/>
                <w:color w:val="333333"/>
                <w:kern w:val="0"/>
                <w:sz w:val="21"/>
                <w:szCs w:val="21"/>
                <w:lang w:eastAsia="zh-CN"/>
              </w:rPr>
              <w:t>）</w:t>
            </w:r>
          </w:p>
        </w:tc>
        <w:tc>
          <w:tcPr>
            <w:tcW w:w="15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eastAsia="zh-CN"/>
              </w:rPr>
              <w:t>绿篱</w:t>
            </w:r>
            <w:r>
              <w:rPr>
                <w:rFonts w:hint="eastAsia" w:ascii="宋体" w:hAnsi="宋体" w:eastAsia="宋体" w:cs="宋体"/>
                <w:color w:val="333333"/>
                <w:kern w:val="0"/>
                <w:sz w:val="21"/>
                <w:szCs w:val="21"/>
              </w:rPr>
              <w:t>修剪</w:t>
            </w:r>
          </w:p>
        </w:tc>
        <w:tc>
          <w:tcPr>
            <w:tcW w:w="306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每季度</w:t>
            </w:r>
            <w:r>
              <w:rPr>
                <w:rFonts w:hint="eastAsia" w:ascii="宋体" w:hAnsi="宋体" w:eastAsia="宋体" w:cs="宋体"/>
                <w:color w:val="333333"/>
                <w:kern w:val="0"/>
                <w:sz w:val="21"/>
                <w:szCs w:val="21"/>
                <w:lang w:val="en-US" w:eastAsia="zh-CN"/>
              </w:rPr>
              <w:t>2-3</w:t>
            </w:r>
            <w:r>
              <w:rPr>
                <w:rFonts w:hint="eastAsia" w:ascii="宋体" w:hAnsi="宋体" w:eastAsia="宋体" w:cs="宋体"/>
                <w:color w:val="333333"/>
                <w:kern w:val="0"/>
                <w:sz w:val="21"/>
                <w:szCs w:val="21"/>
              </w:rPr>
              <w:t>次</w:t>
            </w:r>
          </w:p>
        </w:tc>
        <w:tc>
          <w:tcPr>
            <w:tcW w:w="243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少1次扣1分/次</w:t>
            </w:r>
          </w:p>
        </w:tc>
        <w:tc>
          <w:tcPr>
            <w:tcW w:w="1300" w:type="dxa"/>
            <w:tcBorders>
              <w:top w:val="nil"/>
              <w:left w:val="nil"/>
              <w:bottom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1191" w:type="dxa"/>
            <w:vMerge w:val="continue"/>
            <w:tcBorders>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rPr>
              <w:t>灌木</w:t>
            </w:r>
            <w:r>
              <w:rPr>
                <w:rFonts w:hint="eastAsia" w:ascii="宋体" w:hAnsi="宋体" w:eastAsia="宋体" w:cs="宋体"/>
                <w:color w:val="333333"/>
                <w:kern w:val="0"/>
                <w:sz w:val="21"/>
                <w:szCs w:val="21"/>
                <w:lang w:eastAsia="zh-CN"/>
              </w:rPr>
              <w:t>浇水</w:t>
            </w:r>
          </w:p>
        </w:tc>
        <w:tc>
          <w:tcPr>
            <w:tcW w:w="3066" w:type="dxa"/>
            <w:vMerge w:val="restar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eastAsia="zh-CN"/>
              </w:rPr>
              <w:t>夏季每月</w:t>
            </w:r>
            <w:r>
              <w:rPr>
                <w:rFonts w:hint="eastAsia" w:ascii="宋体" w:hAnsi="宋体" w:eastAsia="宋体" w:cs="宋体"/>
                <w:color w:val="333333"/>
                <w:kern w:val="0"/>
                <w:sz w:val="21"/>
                <w:szCs w:val="21"/>
                <w:lang w:val="en-US" w:eastAsia="zh-CN"/>
              </w:rPr>
              <w:t>2次、秋冬季每月2次</w:t>
            </w:r>
            <w:r>
              <w:rPr>
                <w:rFonts w:hint="eastAsia" w:ascii="宋体" w:hAnsi="宋体" w:eastAsia="宋体" w:cs="宋体"/>
                <w:color w:val="333333"/>
                <w:kern w:val="0"/>
                <w:sz w:val="21"/>
                <w:szCs w:val="21"/>
              </w:rPr>
              <w:t> </w:t>
            </w:r>
          </w:p>
        </w:tc>
        <w:tc>
          <w:tcPr>
            <w:tcW w:w="243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少1次扣1分/次</w:t>
            </w:r>
          </w:p>
        </w:tc>
        <w:tc>
          <w:tcPr>
            <w:tcW w:w="1300" w:type="dxa"/>
            <w:tcBorders>
              <w:top w:val="nil"/>
              <w:left w:val="nil"/>
              <w:bottom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16" w:hRule="atLeast"/>
        </w:trPr>
        <w:tc>
          <w:tcPr>
            <w:tcW w:w="1191" w:type="dxa"/>
            <w:vMerge w:val="continue"/>
            <w:tcBorders>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rPr>
              <w:t>乔木浇水</w:t>
            </w:r>
          </w:p>
        </w:tc>
        <w:tc>
          <w:tcPr>
            <w:tcW w:w="3066" w:type="dxa"/>
            <w:vMerge w:val="continue"/>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rPr>
            </w:pPr>
          </w:p>
        </w:tc>
        <w:tc>
          <w:tcPr>
            <w:tcW w:w="243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少1次扣1分/次</w:t>
            </w:r>
          </w:p>
        </w:tc>
        <w:tc>
          <w:tcPr>
            <w:tcW w:w="1300" w:type="dxa"/>
            <w:tcBorders>
              <w:top w:val="nil"/>
              <w:left w:val="nil"/>
              <w:bottom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1191" w:type="dxa"/>
            <w:vMerge w:val="continue"/>
            <w:tcBorders>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乔木修剪</w:t>
            </w:r>
          </w:p>
        </w:tc>
        <w:tc>
          <w:tcPr>
            <w:tcW w:w="306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eastAsia="zh-CN"/>
              </w:rPr>
              <w:t>每年</w:t>
            </w:r>
            <w:r>
              <w:rPr>
                <w:rFonts w:hint="eastAsia" w:ascii="宋体" w:hAnsi="宋体" w:eastAsia="宋体" w:cs="宋体"/>
                <w:color w:val="333333"/>
                <w:kern w:val="0"/>
                <w:sz w:val="21"/>
                <w:szCs w:val="21"/>
              </w:rPr>
              <w:t>修剪1</w:t>
            </w:r>
            <w:r>
              <w:rPr>
                <w:rFonts w:hint="eastAsia" w:ascii="宋体" w:hAnsi="宋体" w:eastAsia="宋体" w:cs="宋体"/>
                <w:color w:val="333333"/>
                <w:kern w:val="0"/>
                <w:sz w:val="21"/>
                <w:szCs w:val="21"/>
                <w:lang w:val="en-US" w:eastAsia="zh-CN"/>
              </w:rPr>
              <w:t>-2</w:t>
            </w:r>
            <w:r>
              <w:rPr>
                <w:rFonts w:hint="eastAsia" w:ascii="宋体" w:hAnsi="宋体" w:eastAsia="宋体" w:cs="宋体"/>
                <w:color w:val="333333"/>
                <w:kern w:val="0"/>
                <w:sz w:val="21"/>
                <w:szCs w:val="21"/>
              </w:rPr>
              <w:t>次</w:t>
            </w:r>
          </w:p>
        </w:tc>
        <w:tc>
          <w:tcPr>
            <w:tcW w:w="243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少1次扣2分/次</w:t>
            </w:r>
          </w:p>
        </w:tc>
        <w:tc>
          <w:tcPr>
            <w:tcW w:w="1300" w:type="dxa"/>
            <w:tcBorders>
              <w:top w:val="nil"/>
              <w:left w:val="nil"/>
              <w:bottom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9" w:hRule="atLeast"/>
        </w:trPr>
        <w:tc>
          <w:tcPr>
            <w:tcW w:w="1191" w:type="dxa"/>
            <w:vMerge w:val="continue"/>
            <w:tcBorders>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草坪修剪</w:t>
            </w:r>
          </w:p>
        </w:tc>
        <w:tc>
          <w:tcPr>
            <w:tcW w:w="306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每月1次</w:t>
            </w:r>
          </w:p>
        </w:tc>
        <w:tc>
          <w:tcPr>
            <w:tcW w:w="243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少1次扣2分/次</w:t>
            </w:r>
          </w:p>
        </w:tc>
        <w:tc>
          <w:tcPr>
            <w:tcW w:w="1300" w:type="dxa"/>
            <w:tcBorders>
              <w:top w:val="nil"/>
              <w:left w:val="nil"/>
              <w:bottom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81" w:hRule="atLeast"/>
        </w:trPr>
        <w:tc>
          <w:tcPr>
            <w:tcW w:w="1191" w:type="dxa"/>
            <w:vMerge w:val="continue"/>
            <w:tcBorders>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杂草清除</w:t>
            </w:r>
          </w:p>
        </w:tc>
        <w:tc>
          <w:tcPr>
            <w:tcW w:w="306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每</w:t>
            </w:r>
            <w:r>
              <w:rPr>
                <w:rFonts w:hint="eastAsia" w:ascii="宋体" w:hAnsi="宋体" w:eastAsia="宋体" w:cs="宋体"/>
                <w:color w:val="333333"/>
                <w:kern w:val="0"/>
                <w:sz w:val="21"/>
                <w:szCs w:val="21"/>
                <w:lang w:eastAsia="zh-CN"/>
              </w:rPr>
              <w:t>月</w:t>
            </w:r>
            <w:r>
              <w:rPr>
                <w:rFonts w:hint="eastAsia" w:ascii="宋体" w:hAnsi="宋体" w:eastAsia="宋体" w:cs="宋体"/>
                <w:color w:val="333333"/>
                <w:kern w:val="0"/>
                <w:sz w:val="21"/>
                <w:szCs w:val="21"/>
                <w:lang w:val="en-US" w:eastAsia="zh-CN"/>
              </w:rPr>
              <w:t>1次</w:t>
            </w:r>
          </w:p>
        </w:tc>
        <w:tc>
          <w:tcPr>
            <w:tcW w:w="243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少1次扣2分/次</w:t>
            </w:r>
          </w:p>
        </w:tc>
        <w:tc>
          <w:tcPr>
            <w:tcW w:w="1300" w:type="dxa"/>
            <w:tcBorders>
              <w:top w:val="nil"/>
              <w:left w:val="nil"/>
              <w:bottom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09" w:hRule="atLeast"/>
        </w:trPr>
        <w:tc>
          <w:tcPr>
            <w:tcW w:w="1191" w:type="dxa"/>
            <w:vMerge w:val="continue"/>
            <w:tcBorders>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施肥</w:t>
            </w:r>
          </w:p>
        </w:tc>
        <w:tc>
          <w:tcPr>
            <w:tcW w:w="306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每季度1次</w:t>
            </w:r>
          </w:p>
        </w:tc>
        <w:tc>
          <w:tcPr>
            <w:tcW w:w="243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少1次扣1分/次</w:t>
            </w:r>
          </w:p>
        </w:tc>
        <w:tc>
          <w:tcPr>
            <w:tcW w:w="1300" w:type="dxa"/>
            <w:tcBorders>
              <w:top w:val="single" w:color="auto" w:sz="8" w:space="0"/>
              <w:left w:val="nil"/>
              <w:bottom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191" w:type="dxa"/>
            <w:vMerge w:val="continue"/>
            <w:tcBorders>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病虫害防治</w:t>
            </w:r>
          </w:p>
        </w:tc>
        <w:tc>
          <w:tcPr>
            <w:tcW w:w="306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每月1次</w:t>
            </w:r>
          </w:p>
        </w:tc>
        <w:tc>
          <w:tcPr>
            <w:tcW w:w="243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少1次扣2分/次</w:t>
            </w:r>
          </w:p>
        </w:tc>
        <w:tc>
          <w:tcPr>
            <w:tcW w:w="1300" w:type="dxa"/>
            <w:tcBorders>
              <w:top w:val="nil"/>
              <w:left w:val="nil"/>
              <w:bottom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vMerge w:val="continue"/>
            <w:tcBorders>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垃圾清理</w:t>
            </w:r>
          </w:p>
        </w:tc>
        <w:tc>
          <w:tcPr>
            <w:tcW w:w="3066" w:type="dxa"/>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及时清理运走</w:t>
            </w:r>
          </w:p>
        </w:tc>
        <w:tc>
          <w:tcPr>
            <w:tcW w:w="2434" w:type="dxa"/>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有1次扣2分/次</w:t>
            </w:r>
          </w:p>
        </w:tc>
        <w:tc>
          <w:tcPr>
            <w:tcW w:w="1300" w:type="dxa"/>
            <w:tcBorders>
              <w:top w:val="single" w:color="auto" w:sz="4" w:space="0"/>
              <w:left w:val="nil"/>
              <w:bottom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vMerge w:val="restart"/>
            <w:tcBorders>
              <w:top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绿植租摆</w:t>
            </w:r>
          </w:p>
          <w:p>
            <w:pPr>
              <w:pStyle w:val="57"/>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color w:val="333333"/>
                <w:kern w:val="0"/>
                <w:sz w:val="21"/>
                <w:szCs w:val="21"/>
                <w:lang w:eastAsia="zh-CN"/>
              </w:rPr>
              <w:t>（</w:t>
            </w:r>
            <w:r>
              <w:rPr>
                <w:rFonts w:hint="eastAsia" w:ascii="宋体" w:hAnsi="宋体" w:eastAsia="宋体" w:cs="宋体"/>
                <w:color w:val="333333"/>
                <w:kern w:val="0"/>
                <w:sz w:val="21"/>
                <w:szCs w:val="21"/>
                <w:lang w:val="en-US" w:eastAsia="zh-CN"/>
              </w:rPr>
              <w:t>75分</w:t>
            </w:r>
            <w:r>
              <w:rPr>
                <w:rFonts w:hint="eastAsia" w:ascii="宋体" w:hAnsi="宋体" w:eastAsia="宋体" w:cs="宋体"/>
                <w:color w:val="333333"/>
                <w:kern w:val="0"/>
                <w:sz w:val="21"/>
                <w:szCs w:val="21"/>
                <w:lang w:eastAsia="zh-CN"/>
              </w:rPr>
              <w:t>）</w:t>
            </w:r>
          </w:p>
        </w:tc>
        <w:tc>
          <w:tcPr>
            <w:tcW w:w="152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摆放数量</w:t>
            </w:r>
          </w:p>
        </w:tc>
        <w:tc>
          <w:tcPr>
            <w:tcW w:w="306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满足招标文件需求</w:t>
            </w:r>
          </w:p>
        </w:tc>
        <w:tc>
          <w:tcPr>
            <w:tcW w:w="2434" w:type="dxa"/>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eastAsia="zh-CN"/>
              </w:rPr>
              <w:t>少</w:t>
            </w:r>
            <w:r>
              <w:rPr>
                <w:rFonts w:hint="eastAsia" w:ascii="宋体" w:hAnsi="宋体" w:eastAsia="宋体" w:cs="宋体"/>
                <w:color w:val="333333"/>
                <w:kern w:val="0"/>
                <w:sz w:val="21"/>
                <w:szCs w:val="21"/>
                <w:lang w:val="en-US" w:eastAsia="zh-CN"/>
              </w:rPr>
              <w:t>1盆</w:t>
            </w:r>
            <w:r>
              <w:rPr>
                <w:rFonts w:hint="eastAsia" w:ascii="宋体" w:hAnsi="宋体" w:eastAsia="宋体" w:cs="宋体"/>
                <w:color w:val="333333"/>
                <w:kern w:val="0"/>
                <w:sz w:val="21"/>
                <w:szCs w:val="21"/>
                <w:lang w:eastAsia="zh-CN"/>
              </w:rPr>
              <w:t>扣</w:t>
            </w:r>
            <w:r>
              <w:rPr>
                <w:rFonts w:hint="eastAsia" w:ascii="宋体" w:hAnsi="宋体" w:eastAsia="宋体" w:cs="宋体"/>
                <w:color w:val="333333"/>
                <w:kern w:val="0"/>
                <w:sz w:val="21"/>
                <w:szCs w:val="21"/>
                <w:lang w:val="en-US" w:eastAsia="zh-CN"/>
              </w:rPr>
              <w:t>1分</w:t>
            </w:r>
          </w:p>
        </w:tc>
        <w:tc>
          <w:tcPr>
            <w:tcW w:w="1300" w:type="dxa"/>
            <w:tcBorders>
              <w:top w:val="single" w:color="auto" w:sz="4" w:space="0"/>
              <w:left w:val="nil"/>
              <w:bottom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vMerge w:val="continue"/>
            <w:tcBorders>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摆放规格</w:t>
            </w:r>
          </w:p>
        </w:tc>
        <w:tc>
          <w:tcPr>
            <w:tcW w:w="306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满足招标文件需求</w:t>
            </w:r>
          </w:p>
        </w:tc>
        <w:tc>
          <w:tcPr>
            <w:tcW w:w="2434" w:type="dxa"/>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eastAsia="zh-CN"/>
              </w:rPr>
              <w:t>不符合</w:t>
            </w:r>
            <w:r>
              <w:rPr>
                <w:rFonts w:hint="eastAsia" w:ascii="宋体" w:hAnsi="宋体" w:eastAsia="宋体" w:cs="宋体"/>
                <w:color w:val="333333"/>
                <w:kern w:val="0"/>
                <w:sz w:val="21"/>
                <w:szCs w:val="21"/>
                <w:lang w:val="en-US" w:eastAsia="zh-CN"/>
              </w:rPr>
              <w:t>1盆</w:t>
            </w:r>
            <w:r>
              <w:rPr>
                <w:rFonts w:hint="eastAsia" w:ascii="宋体" w:hAnsi="宋体" w:eastAsia="宋体" w:cs="宋体"/>
                <w:color w:val="333333"/>
                <w:kern w:val="0"/>
                <w:sz w:val="21"/>
                <w:szCs w:val="21"/>
                <w:lang w:eastAsia="zh-CN"/>
              </w:rPr>
              <w:t>扣</w:t>
            </w:r>
            <w:r>
              <w:rPr>
                <w:rFonts w:hint="eastAsia" w:ascii="宋体" w:hAnsi="宋体" w:eastAsia="宋体" w:cs="宋体"/>
                <w:color w:val="333333"/>
                <w:kern w:val="0"/>
                <w:sz w:val="21"/>
                <w:szCs w:val="21"/>
                <w:lang w:val="en-US" w:eastAsia="zh-CN"/>
              </w:rPr>
              <w:t>0.5分</w:t>
            </w:r>
          </w:p>
        </w:tc>
        <w:tc>
          <w:tcPr>
            <w:tcW w:w="1300" w:type="dxa"/>
            <w:tcBorders>
              <w:top w:val="single" w:color="auto" w:sz="4" w:space="0"/>
              <w:left w:val="nil"/>
              <w:bottom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vMerge w:val="continue"/>
            <w:tcBorders>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绿植外观</w:t>
            </w:r>
          </w:p>
        </w:tc>
        <w:tc>
          <w:tcPr>
            <w:tcW w:w="306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健壮、无</w:t>
            </w:r>
            <w:r>
              <w:rPr>
                <w:rFonts w:hint="eastAsia" w:ascii="宋体" w:hAnsi="宋体" w:eastAsia="宋体" w:cs="宋体"/>
                <w:sz w:val="21"/>
                <w:szCs w:val="21"/>
              </w:rPr>
              <w:t>枯枝烂叶</w:t>
            </w:r>
          </w:p>
        </w:tc>
        <w:tc>
          <w:tcPr>
            <w:tcW w:w="2434" w:type="dxa"/>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发现</w:t>
            </w:r>
            <w:r>
              <w:rPr>
                <w:rFonts w:hint="eastAsia" w:ascii="宋体" w:hAnsi="宋体" w:eastAsia="宋体" w:cs="宋体"/>
                <w:color w:val="333333"/>
                <w:kern w:val="0"/>
                <w:sz w:val="21"/>
                <w:szCs w:val="21"/>
                <w:lang w:val="en-US" w:eastAsia="zh-CN"/>
              </w:rPr>
              <w:t>1处</w:t>
            </w:r>
            <w:r>
              <w:rPr>
                <w:rFonts w:hint="eastAsia" w:ascii="宋体" w:hAnsi="宋体" w:eastAsia="宋体" w:cs="宋体"/>
                <w:color w:val="333333"/>
                <w:kern w:val="0"/>
                <w:sz w:val="21"/>
                <w:szCs w:val="21"/>
                <w:lang w:eastAsia="zh-CN"/>
              </w:rPr>
              <w:t>扣</w:t>
            </w:r>
            <w:r>
              <w:rPr>
                <w:rFonts w:hint="eastAsia" w:ascii="宋体" w:hAnsi="宋体" w:eastAsia="宋体" w:cs="宋体"/>
                <w:color w:val="333333"/>
                <w:kern w:val="0"/>
                <w:sz w:val="21"/>
                <w:szCs w:val="21"/>
                <w:lang w:val="en-US" w:eastAsia="zh-CN"/>
              </w:rPr>
              <w:t>0.5分</w:t>
            </w:r>
          </w:p>
        </w:tc>
        <w:tc>
          <w:tcPr>
            <w:tcW w:w="1300" w:type="dxa"/>
            <w:tcBorders>
              <w:top w:val="single" w:color="auto" w:sz="4" w:space="0"/>
              <w:left w:val="nil"/>
              <w:bottom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vMerge w:val="continue"/>
            <w:tcBorders>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定期浇水</w:t>
            </w:r>
          </w:p>
        </w:tc>
        <w:tc>
          <w:tcPr>
            <w:tcW w:w="306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及时、不外溢</w:t>
            </w:r>
          </w:p>
        </w:tc>
        <w:tc>
          <w:tcPr>
            <w:tcW w:w="2434" w:type="dxa"/>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发现</w:t>
            </w:r>
            <w:r>
              <w:rPr>
                <w:rFonts w:hint="eastAsia" w:ascii="宋体" w:hAnsi="宋体" w:eastAsia="宋体" w:cs="宋体"/>
                <w:color w:val="333333"/>
                <w:kern w:val="0"/>
                <w:sz w:val="21"/>
                <w:szCs w:val="21"/>
                <w:lang w:val="en-US" w:eastAsia="zh-CN"/>
              </w:rPr>
              <w:t>1处</w:t>
            </w:r>
            <w:r>
              <w:rPr>
                <w:rFonts w:hint="eastAsia" w:ascii="宋体" w:hAnsi="宋体" w:eastAsia="宋体" w:cs="宋体"/>
                <w:color w:val="333333"/>
                <w:kern w:val="0"/>
                <w:sz w:val="21"/>
                <w:szCs w:val="21"/>
                <w:lang w:eastAsia="zh-CN"/>
              </w:rPr>
              <w:t>扣</w:t>
            </w:r>
            <w:r>
              <w:rPr>
                <w:rFonts w:hint="eastAsia" w:ascii="宋体" w:hAnsi="宋体" w:eastAsia="宋体" w:cs="宋体"/>
                <w:color w:val="333333"/>
                <w:kern w:val="0"/>
                <w:sz w:val="21"/>
                <w:szCs w:val="21"/>
                <w:lang w:val="en-US" w:eastAsia="zh-CN"/>
              </w:rPr>
              <w:t>0.5分</w:t>
            </w:r>
          </w:p>
        </w:tc>
        <w:tc>
          <w:tcPr>
            <w:tcW w:w="1300" w:type="dxa"/>
            <w:tcBorders>
              <w:top w:val="single" w:color="auto" w:sz="4" w:space="0"/>
              <w:left w:val="nil"/>
              <w:bottom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vMerge w:val="continue"/>
            <w:tcBorders>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病虫害防治</w:t>
            </w:r>
          </w:p>
        </w:tc>
        <w:tc>
          <w:tcPr>
            <w:tcW w:w="306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无病虫害</w:t>
            </w:r>
          </w:p>
        </w:tc>
        <w:tc>
          <w:tcPr>
            <w:tcW w:w="2434" w:type="dxa"/>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eastAsia="zh-CN"/>
              </w:rPr>
              <w:t>发现</w:t>
            </w:r>
            <w:r>
              <w:rPr>
                <w:rFonts w:hint="eastAsia" w:ascii="宋体" w:hAnsi="宋体" w:eastAsia="宋体" w:cs="宋体"/>
                <w:color w:val="333333"/>
                <w:kern w:val="0"/>
                <w:sz w:val="21"/>
                <w:szCs w:val="21"/>
                <w:lang w:val="en-US" w:eastAsia="zh-CN"/>
              </w:rPr>
              <w:t>1处</w:t>
            </w:r>
            <w:r>
              <w:rPr>
                <w:rFonts w:hint="eastAsia" w:ascii="宋体" w:hAnsi="宋体" w:eastAsia="宋体" w:cs="宋体"/>
                <w:color w:val="333333"/>
                <w:kern w:val="0"/>
                <w:sz w:val="21"/>
                <w:szCs w:val="21"/>
                <w:lang w:eastAsia="zh-CN"/>
              </w:rPr>
              <w:t>扣</w:t>
            </w:r>
            <w:r>
              <w:rPr>
                <w:rFonts w:hint="eastAsia" w:ascii="宋体" w:hAnsi="宋体" w:eastAsia="宋体" w:cs="宋体"/>
                <w:color w:val="333333"/>
                <w:kern w:val="0"/>
                <w:sz w:val="21"/>
                <w:szCs w:val="21"/>
                <w:lang w:val="en-US" w:eastAsia="zh-CN"/>
              </w:rPr>
              <w:t>0.5分</w:t>
            </w:r>
          </w:p>
        </w:tc>
        <w:tc>
          <w:tcPr>
            <w:tcW w:w="1300" w:type="dxa"/>
            <w:tcBorders>
              <w:top w:val="single" w:color="auto" w:sz="4" w:space="0"/>
              <w:left w:val="nil"/>
              <w:bottom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vMerge w:val="continue"/>
            <w:tcBorders>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施肥</w:t>
            </w:r>
          </w:p>
        </w:tc>
        <w:tc>
          <w:tcPr>
            <w:tcW w:w="306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rPr>
              <w:t>每季度1次</w:t>
            </w:r>
          </w:p>
        </w:tc>
        <w:tc>
          <w:tcPr>
            <w:tcW w:w="2434" w:type="dxa"/>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未做到扣1分/次</w:t>
            </w:r>
          </w:p>
        </w:tc>
        <w:tc>
          <w:tcPr>
            <w:tcW w:w="1300" w:type="dxa"/>
            <w:tcBorders>
              <w:top w:val="single" w:color="auto" w:sz="4" w:space="0"/>
              <w:left w:val="nil"/>
              <w:bottom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vMerge w:val="continue"/>
            <w:tcBorders>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卫生保洁</w:t>
            </w:r>
          </w:p>
        </w:tc>
        <w:tc>
          <w:tcPr>
            <w:tcW w:w="306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lang w:eastAsia="zh-CN"/>
              </w:rPr>
            </w:pPr>
            <w:r>
              <w:rPr>
                <w:rFonts w:hint="eastAsia" w:ascii="宋体" w:hAnsi="宋体" w:eastAsia="宋体" w:cs="宋体"/>
                <w:sz w:val="21"/>
                <w:szCs w:val="21"/>
              </w:rPr>
              <w:t>花盆、垫盆、套盆保持整洁</w:t>
            </w:r>
          </w:p>
        </w:tc>
        <w:tc>
          <w:tcPr>
            <w:tcW w:w="2434" w:type="dxa"/>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eastAsia="zh-CN"/>
              </w:rPr>
              <w:t>未做到扣</w:t>
            </w:r>
            <w:r>
              <w:rPr>
                <w:rFonts w:hint="eastAsia" w:ascii="宋体" w:hAnsi="宋体" w:eastAsia="宋体" w:cs="宋体"/>
                <w:color w:val="333333"/>
                <w:kern w:val="0"/>
                <w:sz w:val="21"/>
                <w:szCs w:val="21"/>
                <w:lang w:val="en-US" w:eastAsia="zh-CN"/>
              </w:rPr>
              <w:t>0.5分/处</w:t>
            </w:r>
          </w:p>
        </w:tc>
        <w:tc>
          <w:tcPr>
            <w:tcW w:w="1300" w:type="dxa"/>
            <w:tcBorders>
              <w:top w:val="single" w:color="auto" w:sz="4" w:space="0"/>
              <w:left w:val="nil"/>
              <w:bottom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vMerge w:val="continue"/>
            <w:tcBorders>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绿植养护</w:t>
            </w:r>
          </w:p>
        </w:tc>
        <w:tc>
          <w:tcPr>
            <w:tcW w:w="306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每周</w:t>
            </w:r>
            <w:r>
              <w:rPr>
                <w:rFonts w:hint="eastAsia" w:ascii="宋体" w:hAnsi="宋体" w:eastAsia="宋体" w:cs="宋体"/>
                <w:color w:val="333333"/>
                <w:kern w:val="0"/>
                <w:sz w:val="21"/>
                <w:szCs w:val="21"/>
                <w:lang w:val="en-US" w:eastAsia="zh-CN"/>
              </w:rPr>
              <w:t>1次</w:t>
            </w:r>
          </w:p>
        </w:tc>
        <w:tc>
          <w:tcPr>
            <w:tcW w:w="2434" w:type="dxa"/>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少1次扣1分</w:t>
            </w:r>
          </w:p>
        </w:tc>
        <w:tc>
          <w:tcPr>
            <w:tcW w:w="1300" w:type="dxa"/>
            <w:tcBorders>
              <w:top w:val="single" w:color="auto" w:sz="4" w:space="0"/>
              <w:left w:val="nil"/>
              <w:bottom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vMerge w:val="continue"/>
            <w:tcBorders>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152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其它</w:t>
            </w:r>
          </w:p>
        </w:tc>
        <w:tc>
          <w:tcPr>
            <w:tcW w:w="306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eastAsia="zh-CN"/>
              </w:rPr>
              <w:t>及时更换不能成活的绿植</w:t>
            </w:r>
          </w:p>
        </w:tc>
        <w:tc>
          <w:tcPr>
            <w:tcW w:w="2434" w:type="dxa"/>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left"/>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未做到及时更换，超过3次扣违约金2000元，累计5次，解除合同</w:t>
            </w:r>
          </w:p>
        </w:tc>
        <w:tc>
          <w:tcPr>
            <w:tcW w:w="1300" w:type="dxa"/>
            <w:tcBorders>
              <w:top w:val="single" w:color="auto" w:sz="4" w:space="0"/>
              <w:left w:val="nil"/>
              <w:bottom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8217" w:type="dxa"/>
            <w:gridSpan w:val="4"/>
            <w:tcBorders>
              <w:bottom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val="en-US" w:eastAsia="zh-CN"/>
              </w:rPr>
              <w:t>合          计</w:t>
            </w:r>
          </w:p>
        </w:tc>
        <w:tc>
          <w:tcPr>
            <w:tcW w:w="1300" w:type="dxa"/>
            <w:tcBorders>
              <w:top w:val="single" w:color="auto" w:sz="4" w:space="0"/>
              <w:left w:val="nil"/>
              <w:bottom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tcBorders>
              <w:top w:val="single" w:color="auto" w:sz="4" w:space="0"/>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8326" w:type="dxa"/>
            <w:gridSpan w:val="4"/>
            <w:vMerge w:val="restart"/>
            <w:tcBorders>
              <w:top w:val="single" w:color="auto" w:sz="4" w:space="0"/>
              <w:left w:val="single" w:color="auto" w:sz="4" w:space="0"/>
            </w:tcBorders>
            <w:shd w:val="clear" w:color="auto" w:fill="FFFFFF"/>
            <w:noWrap w:val="0"/>
            <w:tcMar>
              <w:top w:w="0" w:type="dxa"/>
              <w:left w:w="108" w:type="dxa"/>
              <w:bottom w:w="0" w:type="dxa"/>
              <w:right w:w="108" w:type="dxa"/>
            </w:tcMar>
            <w:vAlign w:val="center"/>
          </w:tcPr>
          <w:p>
            <w:pPr>
              <w:widowControl/>
              <w:numPr>
                <w:ilvl w:val="0"/>
                <w:numId w:val="2"/>
              </w:numPr>
              <w:spacing w:line="36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每次考核总分为100分，每季度考核1次。</w:t>
            </w:r>
          </w:p>
          <w:p>
            <w:pPr>
              <w:pStyle w:val="57"/>
              <w:numPr>
                <w:ilvl w:val="0"/>
                <w:numId w:val="2"/>
              </w:numPr>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每半年养护费按两个季度考核分平均计算，考核分低于85分的，每低1分扣应支付费用总额的1%；高于85分（含）的，全额支付半年养护费。</w:t>
            </w:r>
          </w:p>
          <w:p>
            <w:pPr>
              <w:pStyle w:val="57"/>
              <w:numPr>
                <w:ilvl w:val="0"/>
                <w:numId w:val="2"/>
              </w:numPr>
              <w:ind w:left="0" w:leftChars="0" w:firstLine="0" w:firstLineChars="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本次考核期为</w:t>
            </w:r>
            <w:r>
              <w:rPr>
                <w:rFonts w:hint="eastAsia" w:ascii="宋体" w:hAnsi="宋体" w:eastAsia="宋体" w:cs="宋体"/>
                <w:sz w:val="21"/>
                <w:szCs w:val="21"/>
                <w:u w:val="single"/>
                <w:lang w:val="en-US" w:eastAsia="zh-CN"/>
              </w:rPr>
              <w:t xml:space="preserve">        年    月    日至     年    月    日</w:t>
            </w:r>
            <w:r>
              <w:rPr>
                <w:rFonts w:hint="eastAsia" w:ascii="宋体" w:hAnsi="宋体" w:eastAsia="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tcBorders>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lang w:eastAsia="zh-CN"/>
              </w:rPr>
              <w:t>考核说明</w:t>
            </w:r>
          </w:p>
        </w:tc>
        <w:tc>
          <w:tcPr>
            <w:tcW w:w="8326" w:type="dxa"/>
            <w:gridSpan w:val="4"/>
            <w:vMerge w:val="continue"/>
            <w:tcBorders>
              <w:lef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452" w:hRule="atLeast"/>
        </w:trPr>
        <w:tc>
          <w:tcPr>
            <w:tcW w:w="1191" w:type="dxa"/>
            <w:tcBorders>
              <w:righ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c>
          <w:tcPr>
            <w:tcW w:w="8326" w:type="dxa"/>
            <w:gridSpan w:val="4"/>
            <w:vMerge w:val="continue"/>
            <w:tcBorders>
              <w:left w:val="single" w:color="auto" w:sz="4" w:space="0"/>
            </w:tcBorders>
            <w:shd w:val="clear" w:color="auto" w:fill="FFFFFF"/>
            <w:noWrap w:val="0"/>
            <w:tcMar>
              <w:top w:w="0" w:type="dxa"/>
              <w:left w:w="108" w:type="dxa"/>
              <w:bottom w:w="0" w:type="dxa"/>
              <w:right w:w="108" w:type="dxa"/>
            </w:tcMar>
            <w:vAlign w:val="center"/>
          </w:tcPr>
          <w:p>
            <w:pPr>
              <w:widowControl/>
              <w:spacing w:line="360" w:lineRule="exact"/>
              <w:jc w:val="center"/>
              <w:rPr>
                <w:rFonts w:hint="eastAsia" w:ascii="宋体" w:hAnsi="宋体" w:eastAsia="宋体" w:cs="宋体"/>
                <w:color w:val="333333"/>
                <w:kern w:val="0"/>
                <w:sz w:val="21"/>
                <w:szCs w:val="21"/>
              </w:rPr>
            </w:pPr>
          </w:p>
        </w:tc>
      </w:tr>
    </w:tbl>
    <w:p>
      <w:pPr>
        <w:widowControl/>
        <w:jc w:val="left"/>
        <w:rPr>
          <w:rFonts w:hint="eastAsia" w:ascii="宋体" w:hAnsi="宋体" w:eastAsia="宋体" w:cs="宋体"/>
          <w:b/>
          <w:w w:val="80"/>
          <w:sz w:val="21"/>
          <w:szCs w:val="21"/>
        </w:rPr>
      </w:pPr>
      <w:r>
        <w:rPr>
          <w:rFonts w:hint="eastAsia" w:ascii="宋体" w:hAnsi="宋体" w:eastAsia="宋体" w:cs="宋体"/>
          <w:b/>
          <w:w w:val="80"/>
          <w:sz w:val="21"/>
          <w:szCs w:val="21"/>
        </w:rPr>
        <w:br w:type="page"/>
      </w: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第七章 质疑与投诉</w:t>
      </w:r>
      <w:bookmarkEnd w:id="11"/>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一、质疑的提出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1、质疑必须是直接参加本次招投标活动的当事人。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取得磋商文件的供应商应根据磋商文件第二章“供应商须知”中“第一条第4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人、采购人。采购人、采购人不具有法定调查、认定的权限。</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4、对本次招投标有质疑的，须实名制以书面形式提出，不得进行匿名、虚假、恶意质疑。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对不能提供相关佐证材料的、涉及商业秘密的、非书面形式的、非送达的、匿名的《质疑函》作无效质疑处理，将不予受理。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相关佐证材料要具备客观性、关联性、合法性，无法查实的（如宣传册、媒体报道、猜测、推理等）不能作为佐证材料。</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采购人不负责搜集相关佐证材料等工作。</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二、《质疑函》的受理和回复</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1、《质疑函》须由质疑人的法定代表人或参加本次招标被委托授权人送达采购人和采购人。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对符合提出质疑要求的，采购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3、对不符合提出质疑要求的《质疑函》，出具《质疑退回通知书》并提出相关补充材料要求，质疑人未在规定时间内提供补充佐证材料的，视同放弃质疑。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4、采购人负责将质疑人提交的质疑相关材料提供给相关专家或评标小组审核，并将审核意见回复质疑人。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5、因质疑情况复杂，组织论证或审查时间较长的，采购人以书面形式通知质疑人，可适当延长质疑回复处理时间。</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三、质疑处理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1、质疑成立的处理。采购人终止招标行为，并建议有关部门给相关当事人予以处理。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2、质疑不成立的处理：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（1）质疑人书面《申请撤回质疑函》。</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（2）质疑人在规定的时间内不配合进行质疑调查处理的，按自动撤回《质疑函》处理。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（3）质疑人不按《质疑函》格式就提出质疑的，视情列入不良供应商名单。</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质疑人不能提供相关佐证材料的，采购人已指出，质疑人仍然坚持提出质疑的，质疑人虽提供了相关佐证材料，但不能证明其质疑成立的，采购人请质疑人补充相关佐证材料，仍不能证明其质疑成立的，列入不良供应商名单。</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对明显有违背事实的、经相关专家或评委认定无依据的、经其他供应商举证无依据的质疑，列入不良供应商名单；同时，对其中每一项不成立的质疑给予质疑人1年内禁入崇川区政府采购活动的处理，依次类推；视情在中国崇川网、南通政府采购网、省、国家级相关媒体予以披露。</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（6）质疑人承担使用虚假材料或恶意方式质疑的法律责任。</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四、无佐证材料的举报作违约处理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供应商不得进行不提供相关佐证材料（含无法查实的如宣传册、媒体报道、猜测、推理等）而向有关部门的举报，否则对其在1至3年内禁入崇川区政府采购活动。</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五、投诉的提出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质疑人对采购人的答复不满意或者采购人未在规定的时间内做出答复的，可以在答复期满后15天内内向采购人的上级主管部门投诉。</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六、投诉不成立的作违约处理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供应商进行质疑后，采购人回复质疑不成立，质疑人仍进行投诉的，并最终投诉不成立的，对其在1至3年内禁入崇川区政府采购活动。</w:t>
      </w:r>
    </w:p>
    <w:p>
      <w:pPr>
        <w:tabs>
          <w:tab w:val="left" w:pos="1050"/>
          <w:tab w:val="right" w:leader="dot" w:pos="9402"/>
        </w:tabs>
        <w:spacing w:before="380" w:beforeLines="100" w:line="400" w:lineRule="exact"/>
        <w:outlineLvl w:val="0"/>
        <w:rPr>
          <w:rFonts w:asciiTheme="majorEastAsia" w:hAnsiTheme="majorEastAsia" w:eastAsiaTheme="majorEastAsia" w:cstheme="minorEastAsia"/>
          <w:b/>
          <w:w w:val="80"/>
          <w:sz w:val="32"/>
          <w:szCs w:val="32"/>
        </w:rPr>
      </w:pPr>
      <w:bookmarkStart w:id="12" w:name="_Toc363573860"/>
    </w:p>
    <w:p>
      <w:pPr>
        <w:pStyle w:val="57"/>
        <w:ind w:left="520" w:firstLine="560"/>
        <w:rPr>
          <w:rFonts w:asciiTheme="majorEastAsia" w:hAnsiTheme="majorEastAsia" w:eastAsiaTheme="majorEastAsia"/>
        </w:rPr>
      </w:pPr>
    </w:p>
    <w:p>
      <w:pPr>
        <w:tabs>
          <w:tab w:val="left" w:pos="1050"/>
          <w:tab w:val="right" w:leader="dot" w:pos="9402"/>
        </w:tabs>
        <w:snapToGrid w:val="0"/>
        <w:spacing w:before="380" w:beforeLines="100" w:line="360" w:lineRule="auto"/>
        <w:jc w:val="center"/>
        <w:outlineLvl w:val="0"/>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6"/>
          <w:szCs w:val="36"/>
        </w:rPr>
        <w:t>第八章</w:t>
      </w:r>
      <w:bookmarkEnd w:id="12"/>
      <w:r>
        <w:rPr>
          <w:rFonts w:hint="eastAsia" w:asciiTheme="majorEastAsia" w:hAnsiTheme="majorEastAsia" w:eastAsiaTheme="majorEastAsia" w:cstheme="minorEastAsia"/>
          <w:b/>
          <w:w w:val="80"/>
          <w:sz w:val="36"/>
          <w:szCs w:val="36"/>
        </w:rPr>
        <w:t xml:space="preserve"> 磋商响应相关格式及文件</w:t>
      </w:r>
    </w:p>
    <w:p>
      <w:pPr>
        <w:adjustRightInd w:val="0"/>
        <w:snapToGrid w:val="0"/>
        <w:spacing w:line="480" w:lineRule="exact"/>
        <w:ind w:firstLine="484" w:firstLineChars="202"/>
        <w:jc w:val="left"/>
        <w:rPr>
          <w:rFonts w:ascii="宋体" w:hAnsi="宋体" w:eastAsia="宋体" w:cs="宋体"/>
          <w:b/>
          <w:bCs/>
          <w:sz w:val="24"/>
          <w:szCs w:val="24"/>
        </w:rPr>
      </w:pPr>
      <w:r>
        <w:rPr>
          <w:rFonts w:hint="eastAsia" w:ascii="宋体" w:hAnsi="宋体" w:eastAsia="宋体" w:cs="宋体"/>
          <w:sz w:val="24"/>
          <w:szCs w:val="24"/>
        </w:rPr>
        <w:t>响应文件由资格审查文件、技术响应文件、报价响应文件三部分组成。本次竞争性磋商采用资格后审方式，供应商须将资格审查文件作为响应文件组成部分，按磋商文件要求装订密封后一起递交。</w:t>
      </w:r>
      <w:r>
        <w:rPr>
          <w:rFonts w:hint="eastAsia" w:ascii="宋体" w:hAnsi="宋体" w:eastAsia="宋体" w:cs="宋体"/>
          <w:b/>
          <w:bCs/>
          <w:sz w:val="24"/>
          <w:szCs w:val="24"/>
        </w:rPr>
        <w:t xml:space="preserve"> </w:t>
      </w:r>
    </w:p>
    <w:p>
      <w:pPr>
        <w:adjustRightInd w:val="0"/>
        <w:snapToGrid w:val="0"/>
        <w:spacing w:line="360" w:lineRule="auto"/>
        <w:jc w:val="left"/>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一、磋商响应文件</w:t>
      </w:r>
    </w:p>
    <w:p>
      <w:pPr>
        <w:snapToGrid w:val="0"/>
        <w:spacing w:line="360" w:lineRule="auto"/>
        <w:ind w:firstLine="487" w:firstLineChars="202"/>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A、资格审查文件：</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sz w:val="24"/>
          <w:szCs w:val="24"/>
        </w:rPr>
        <w:t>一个密封包，内含：1份“正本”和2份“副本”）</w:t>
      </w:r>
    </w:p>
    <w:p>
      <w:pPr>
        <w:snapToGrid w:val="0"/>
        <w:spacing w:line="360" w:lineRule="auto"/>
        <w:ind w:firstLine="491" w:firstLineChars="20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人有权取消其成交资格，并由该供应商承担一切责任和损失。</w:t>
      </w:r>
    </w:p>
    <w:p>
      <w:pPr>
        <w:snapToGrid w:val="0"/>
        <w:spacing w:line="360" w:lineRule="auto"/>
        <w:ind w:firstLine="480" w:firstLineChars="200"/>
        <w:rPr>
          <w:rFonts w:hint="eastAsia"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1</w:t>
      </w:r>
      <w:r>
        <w:rPr>
          <w:rFonts w:hint="eastAsia" w:asciiTheme="majorEastAsia" w:hAnsiTheme="majorEastAsia" w:eastAsiaTheme="majorEastAsia" w:cstheme="minorEastAsia"/>
          <w:sz w:val="24"/>
          <w:szCs w:val="24"/>
        </w:rPr>
        <w:t xml:space="preserve">、在中华人民共和国境内注册的企业单位或其他组织等，具备完成本项目服务能力，提供合法有效的营业执照。 </w:t>
      </w:r>
    </w:p>
    <w:p>
      <w:pPr>
        <w:snapToGrid w:val="0"/>
        <w:spacing w:line="360" w:lineRule="auto"/>
        <w:ind w:firstLine="480" w:firstLineChars="200"/>
        <w:rPr>
          <w:rFonts w:hint="eastAsia"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2</w:t>
      </w:r>
      <w:r>
        <w:rPr>
          <w:rFonts w:hint="eastAsia" w:asciiTheme="majorEastAsia" w:hAnsiTheme="majorEastAsia" w:eastAsiaTheme="majorEastAsia" w:cstheme="minorEastAsia"/>
          <w:sz w:val="24"/>
          <w:szCs w:val="24"/>
        </w:rPr>
        <w:t>、法定代表人参加投标的，必须提供法定代表人身份证明及法定代表人本人身份证复印件；非法定代表人参加投标的，必须提供法定代表人签名或盖章的授权委托书及法定代表人和被授权人两个人的身份证复印件。（格式参见附件）</w:t>
      </w:r>
    </w:p>
    <w:p>
      <w:pPr>
        <w:snapToGrid w:val="0"/>
        <w:spacing w:line="360" w:lineRule="auto"/>
        <w:ind w:firstLine="480" w:firstLineChars="200"/>
        <w:rPr>
          <w:rFonts w:hint="eastAsia"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3</w:t>
      </w:r>
      <w:r>
        <w:rPr>
          <w:rFonts w:hint="eastAsia" w:asciiTheme="majorEastAsia" w:hAnsiTheme="majorEastAsia" w:eastAsiaTheme="majorEastAsia" w:cstheme="minorEastAsia"/>
          <w:sz w:val="24"/>
          <w:szCs w:val="24"/>
        </w:rPr>
        <w:t>、供应商须提供参与本次项目政府采购活动前三年内在经营活动中没有重大违法记录的书面《无重大违法记录声明函》。（格式参见附件）</w:t>
      </w:r>
    </w:p>
    <w:p>
      <w:pPr>
        <w:snapToGrid w:val="0"/>
        <w:spacing w:line="360" w:lineRule="auto"/>
        <w:ind w:firstLine="480" w:firstLineChars="200"/>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4</w:t>
      </w:r>
      <w:r>
        <w:rPr>
          <w:rFonts w:hint="eastAsia" w:asciiTheme="majorEastAsia" w:hAnsiTheme="majorEastAsia" w:eastAsiaTheme="majorEastAsia" w:cstheme="minorEastAsia"/>
          <w:sz w:val="24"/>
          <w:szCs w:val="24"/>
        </w:rPr>
        <w:t>、关于资格文件的声明函。（格式参见附件）</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5</w:t>
      </w:r>
      <w:r>
        <w:rPr>
          <w:rFonts w:hint="eastAsia" w:asciiTheme="majorEastAsia" w:hAnsiTheme="majorEastAsia" w:eastAsiaTheme="majorEastAsia" w:cstheme="minorEastAsia"/>
          <w:sz w:val="24"/>
          <w:szCs w:val="24"/>
        </w:rPr>
        <w:t>、供应商认为需要提交的其他资料。</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rPr>
        <w:t>注：以上如为复印件均须加盖供应商公章。</w:t>
      </w:r>
    </w:p>
    <w:p>
      <w:pPr>
        <w:pStyle w:val="57"/>
        <w:ind w:left="0" w:leftChars="0" w:firstLine="0" w:firstLineChars="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    </w:t>
      </w:r>
      <w:r>
        <w:rPr>
          <w:rFonts w:hint="eastAsia" w:asciiTheme="majorEastAsia" w:hAnsiTheme="majorEastAsia" w:eastAsiaTheme="majorEastAsia" w:cstheme="minorEastAsia"/>
          <w:b/>
          <w:sz w:val="24"/>
          <w:szCs w:val="24"/>
        </w:rPr>
        <w:t>B、技术标磋商响应文件：（一个密封包，内含：1份“正本”和2份“副本”。）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供应商应根据本磋商文件第三章“项目需求”提供的服务要求标准等，仔细阅读并在理解的基础上结合第四章“技术标评分标准”内的评审细则，编写编制技术磋商响应文件。技术磋商响应文件的内容，不得有缺项或漏项，否则将有可能被视为未实质性响应磋商文件要求而作无效投标磋商处理，或可能直接影响技术磋商评审的得分。</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1、供应商情况一览表（格式参见附件）</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2</w:t>
      </w:r>
      <w:r>
        <w:rPr>
          <w:rFonts w:hint="eastAsia" w:asciiTheme="majorEastAsia" w:hAnsiTheme="majorEastAsia" w:eastAsiaTheme="majorEastAsia" w:cstheme="minorEastAsia"/>
          <w:sz w:val="24"/>
          <w:szCs w:val="24"/>
        </w:rPr>
        <w:t>、技术响应正负偏离表（格式参见附件）</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填制正负偏离表，完全响应的，请以空白表列示。不完全响应的，必须在偏离表中列示；列示不全的，视同故意隐瞒。</w:t>
      </w:r>
    </w:p>
    <w:p>
      <w:pPr>
        <w:snapToGrid w:val="0"/>
        <w:spacing w:line="360" w:lineRule="auto"/>
        <w:ind w:firstLine="484" w:firstLineChars="202"/>
        <w:rPr>
          <w:rFonts w:hint="eastAsia"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3</w:t>
      </w:r>
      <w:r>
        <w:rPr>
          <w:rFonts w:hint="eastAsia" w:asciiTheme="majorEastAsia" w:hAnsiTheme="majorEastAsia" w:eastAsiaTheme="majorEastAsia" w:cstheme="minorEastAsia"/>
          <w:sz w:val="24"/>
          <w:szCs w:val="24"/>
        </w:rPr>
        <w:t>、技术标评标办法中要求提供的全部资料。</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4</w:t>
      </w:r>
      <w:r>
        <w:rPr>
          <w:rFonts w:hint="eastAsia" w:asciiTheme="majorEastAsia" w:hAnsiTheme="majorEastAsia" w:eastAsiaTheme="majorEastAsia" w:cstheme="minorEastAsia"/>
          <w:sz w:val="24"/>
          <w:szCs w:val="24"/>
        </w:rPr>
        <w:t>、供应商认为需要提交的其他资料。</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注：为方便评委评审，请供应商按评分标准中所涉及的事项顺序进行编制，可以补充相关材料。</w:t>
      </w:r>
    </w:p>
    <w:p>
      <w:pPr>
        <w:snapToGrid w:val="0"/>
        <w:spacing w:line="360" w:lineRule="auto"/>
        <w:ind w:firstLine="487" w:firstLineChars="202"/>
        <w:outlineLvl w:val="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C、商务磋商响应文件：（一个密封包，内含：1份“正本”和2份“副本”。）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商务磋商响应文件中的报价，包括本竞争性磋商文件规定涵盖的所有采购范围及相应说明的全部内容涉及到的费用。本次磋商采购项目的付款方式要求，必须全部响应不得有任何负偏离，且不接受任何意在更改的说明，否则作无效磋商处理。供应商成交后如据此提出疑义，不履行签订合同等下一步工作，采购人有权没收其全额磋商保证金并取消其成交资格。</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1、竞争性磋商响应函（格式参见附件）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2、磋商响应报价总表（格式参见附件）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3、磋商响应报价明细表（格式参见附件）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4、小型、微型企业声明函（格式参见附件）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5、残疾人福利性单位声明函（格式参见附件）</w:t>
      </w:r>
    </w:p>
    <w:p>
      <w:pPr>
        <w:spacing w:line="360" w:lineRule="exact"/>
        <w:jc w:val="center"/>
        <w:rPr>
          <w:rFonts w:asciiTheme="majorEastAsia" w:hAnsiTheme="majorEastAsia" w:eastAsiaTheme="majorEastAsia" w:cstheme="minorEastAsia"/>
          <w:w w:val="80"/>
          <w:kern w:val="44"/>
          <w:sz w:val="21"/>
          <w:szCs w:val="21"/>
        </w:rPr>
      </w:pPr>
    </w:p>
    <w:p>
      <w:pPr>
        <w:adjustRightInd w:val="0"/>
        <w:snapToGrid w:val="0"/>
        <w:spacing w:line="360" w:lineRule="exact"/>
        <w:outlineLvl w:val="1"/>
        <w:rPr>
          <w:rFonts w:asciiTheme="majorEastAsia" w:hAnsiTheme="majorEastAsia" w:eastAsiaTheme="majorEastAsia" w:cstheme="minorEastAsia"/>
          <w:b/>
          <w:sz w:val="21"/>
          <w:szCs w:val="21"/>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pStyle w:val="20"/>
      </w:pPr>
    </w:p>
    <w:p>
      <w:pPr>
        <w:adjustRightInd w:val="0"/>
        <w:snapToGrid w:val="0"/>
        <w:spacing w:line="360" w:lineRule="auto"/>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二、附件</w:t>
      </w:r>
    </w:p>
    <w:p>
      <w:pPr>
        <w:pStyle w:val="57"/>
        <w:ind w:left="520" w:firstLine="560"/>
        <w:rPr>
          <w:rFonts w:asciiTheme="majorEastAsia" w:hAnsiTheme="majorEastAsia" w:eastAsiaTheme="majorEastAsia"/>
        </w:rPr>
      </w:pPr>
    </w:p>
    <w:p>
      <w:pPr>
        <w:snapToGrid w:val="0"/>
        <w:spacing w:after="380" w:afterLines="100" w:line="520" w:lineRule="exact"/>
        <w:jc w:val="center"/>
        <w:rPr>
          <w:rFonts w:ascii="宋体" w:hAnsi="宋体" w:eastAsia="宋体"/>
          <w:b/>
          <w:sz w:val="28"/>
          <w:szCs w:val="28"/>
        </w:rPr>
      </w:pPr>
      <w:r>
        <w:rPr>
          <w:rFonts w:hint="eastAsia" w:ascii="宋体" w:hAnsi="宋体" w:eastAsia="宋体"/>
          <w:b/>
          <w:sz w:val="28"/>
          <w:szCs w:val="28"/>
        </w:rPr>
        <w:t>法定代表人身份证明</w:t>
      </w:r>
    </w:p>
    <w:p>
      <w:pPr>
        <w:snapToGrid w:val="0"/>
        <w:spacing w:line="520" w:lineRule="exact"/>
        <w:jc w:val="center"/>
        <w:rPr>
          <w:rFonts w:ascii="宋体" w:hAnsi="宋体" w:eastAsia="宋体" w:cs="宋体"/>
          <w:sz w:val="24"/>
          <w:szCs w:val="24"/>
        </w:rPr>
      </w:pPr>
      <w:r>
        <w:rPr>
          <w:rFonts w:hint="eastAsia" w:ascii="宋体" w:hAnsi="宋体" w:eastAsia="宋体" w:cs="宋体"/>
          <w:sz w:val="24"/>
          <w:szCs w:val="24"/>
        </w:rPr>
        <w:t>（如法定代表人参加磋商，须出示此证明）</w:t>
      </w:r>
    </w:p>
    <w:p>
      <w:pPr>
        <w:snapToGrid w:val="0"/>
        <w:spacing w:line="520" w:lineRule="exact"/>
        <w:jc w:val="center"/>
        <w:rPr>
          <w:rFonts w:ascii="宋体" w:hAnsi="宋体" w:eastAsia="宋体" w:cs="宋体"/>
          <w:sz w:val="24"/>
          <w:szCs w:val="24"/>
        </w:rPr>
      </w:pPr>
    </w:p>
    <w:p>
      <w:pPr>
        <w:snapToGrid w:val="0"/>
        <w:spacing w:line="520" w:lineRule="exact"/>
        <w:jc w:val="left"/>
        <w:rPr>
          <w:rFonts w:ascii="宋体" w:hAnsi="宋体" w:eastAsia="宋体" w:cs="宋体"/>
          <w:b/>
          <w:bCs/>
          <w:sz w:val="24"/>
          <w:szCs w:val="24"/>
          <w:u w:val="single"/>
        </w:rPr>
      </w:pPr>
      <w:r>
        <w:rPr>
          <w:rFonts w:hint="eastAsia" w:ascii="宋体" w:hAnsi="宋体" w:eastAsia="宋体" w:cs="宋体"/>
          <w:b/>
          <w:bCs/>
          <w:sz w:val="24"/>
          <w:szCs w:val="24"/>
          <w:u w:val="single"/>
        </w:rPr>
        <w:t>南通市妇幼保健院:</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我公司法定代表人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参加贵单位组织的</w:t>
      </w:r>
      <w:r>
        <w:rPr>
          <w:rFonts w:hint="eastAsia" w:ascii="宋体" w:hAnsi="宋体" w:eastAsia="宋体" w:cs="宋体"/>
          <w:sz w:val="24"/>
          <w:szCs w:val="24"/>
          <w:u w:val="single"/>
        </w:rPr>
        <w:t xml:space="preserve">     </w:t>
      </w:r>
      <w:r>
        <w:rPr>
          <w:rFonts w:hint="eastAsia" w:ascii="宋体" w:hAnsi="宋体" w:eastAsia="宋体" w:cs="宋体"/>
          <w:sz w:val="24"/>
          <w:szCs w:val="24"/>
        </w:rPr>
        <w:t>（竞争性磋商项目名称)项目的磋商活动，全权代表我公司处理竞争性磋商的有关事宜。</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附：法定代表人情况：</w:t>
      </w:r>
    </w:p>
    <w:p>
      <w:pPr>
        <w:snapToGrid w:val="0"/>
        <w:spacing w:line="520" w:lineRule="exact"/>
        <w:rPr>
          <w:rFonts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napToGrid w:val="0"/>
        <w:spacing w:line="52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napToGrid w:val="0"/>
        <w:spacing w:line="520" w:lineRule="exact"/>
        <w:rPr>
          <w:rFonts w:ascii="宋体" w:hAnsi="宋体" w:eastAsia="宋体" w:cs="宋体"/>
          <w:sz w:val="24"/>
          <w:szCs w:val="24"/>
        </w:rPr>
      </w:pPr>
    </w:p>
    <w:p>
      <w:pPr>
        <w:snapToGrid w:val="0"/>
        <w:spacing w:line="52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napToGrid w:val="0"/>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注:参加磋商时法定代表人须将身份证原件带至磋商现场备查。</w:t>
      </w:r>
    </w:p>
    <w:p>
      <w:pPr>
        <w:snapToGrid w:val="0"/>
        <w:spacing w:line="520" w:lineRule="exact"/>
        <w:jc w:val="center"/>
        <w:outlineLvl w:val="3"/>
        <w:rPr>
          <w:rFonts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b/>
          <w:sz w:val="28"/>
          <w:szCs w:val="28"/>
        </w:rPr>
        <w:t>授权委托书</w:t>
      </w:r>
    </w:p>
    <w:p>
      <w:pPr>
        <w:snapToGrid w:val="0"/>
        <w:spacing w:line="520" w:lineRule="exact"/>
        <w:jc w:val="center"/>
        <w:rPr>
          <w:rFonts w:ascii="宋体" w:hAnsi="宋体" w:eastAsia="宋体" w:cs="宋体"/>
          <w:bCs/>
          <w:sz w:val="24"/>
          <w:szCs w:val="24"/>
        </w:rPr>
      </w:pPr>
      <w:r>
        <w:rPr>
          <w:rFonts w:hint="eastAsia" w:ascii="宋体" w:hAnsi="宋体" w:eastAsia="宋体" w:cs="宋体"/>
          <w:bCs/>
          <w:sz w:val="24"/>
          <w:szCs w:val="24"/>
        </w:rPr>
        <w:t>（如被授权人参加磋商，须出示此证明）</w:t>
      </w:r>
    </w:p>
    <w:p>
      <w:pPr>
        <w:snapToGrid w:val="0"/>
        <w:spacing w:line="520" w:lineRule="exact"/>
        <w:jc w:val="center"/>
        <w:rPr>
          <w:rFonts w:ascii="宋体" w:hAnsi="宋体" w:eastAsia="宋体" w:cs="宋体"/>
          <w:bCs/>
          <w:sz w:val="24"/>
          <w:szCs w:val="24"/>
        </w:rPr>
      </w:pPr>
    </w:p>
    <w:p>
      <w:pPr>
        <w:snapToGrid w:val="0"/>
        <w:spacing w:line="520" w:lineRule="exact"/>
        <w:jc w:val="left"/>
        <w:rPr>
          <w:rFonts w:ascii="宋体" w:hAnsi="宋体" w:eastAsia="宋体" w:cs="宋体"/>
          <w:sz w:val="24"/>
          <w:szCs w:val="24"/>
          <w:u w:val="single"/>
        </w:rPr>
      </w:pPr>
      <w:r>
        <w:rPr>
          <w:rFonts w:hint="eastAsia" w:ascii="宋体" w:hAnsi="宋体" w:eastAsia="宋体" w:cs="宋体"/>
          <w:b/>
          <w:sz w:val="24"/>
          <w:szCs w:val="24"/>
          <w:u w:val="single"/>
        </w:rPr>
        <w:t>南通市妇幼保健院</w:t>
      </w:r>
      <w:r>
        <w:rPr>
          <w:rFonts w:hint="eastAsia" w:ascii="宋体" w:hAnsi="宋体" w:eastAsia="宋体" w:cs="宋体"/>
          <w:sz w:val="24"/>
          <w:szCs w:val="24"/>
          <w:u w:val="single"/>
        </w:rPr>
        <w:t>:</w:t>
      </w:r>
    </w:p>
    <w:p>
      <w:pPr>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被授权人的姓名）代表我公司参加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（竞争性磋商项目名称）项目的政府采购活动，全权处理一切与该项目招标有关的事务。其在办理上述事宜过程中所签署的所有文件我公司均予以承认。  </w:t>
      </w:r>
    </w:p>
    <w:p>
      <w:pPr>
        <w:adjustRightInd w:val="0"/>
        <w:snapToGrid w:val="0"/>
        <w:spacing w:line="500" w:lineRule="exact"/>
        <w:ind w:firstLine="480" w:firstLineChars="200"/>
        <w:jc w:val="left"/>
        <w:rPr>
          <w:rFonts w:ascii="宋体" w:hAnsi="宋体" w:eastAsia="宋体" w:cs="宋体"/>
          <w:kern w:val="0"/>
          <w:sz w:val="24"/>
          <w:szCs w:val="24"/>
        </w:rPr>
      </w:pPr>
    </w:p>
    <w:p>
      <w:pPr>
        <w:adjustRightInd w:val="0"/>
        <w:snapToGri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被授权人无转委托权，特此委托。</w:t>
      </w:r>
    </w:p>
    <w:p>
      <w:pPr>
        <w:adjustRightInd w:val="0"/>
        <w:snapToGrid w:val="0"/>
        <w:spacing w:line="500" w:lineRule="exact"/>
        <w:ind w:firstLine="480" w:firstLineChars="200"/>
        <w:jc w:val="left"/>
        <w:rPr>
          <w:rFonts w:ascii="宋体" w:hAnsi="宋体" w:eastAsia="宋体" w:cs="宋体"/>
          <w:kern w:val="0"/>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附：被授权人情况：</w:t>
      </w:r>
    </w:p>
    <w:p>
      <w:pPr>
        <w:spacing w:line="480" w:lineRule="exact"/>
        <w:rPr>
          <w:rFonts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pacing w:line="480" w:lineRule="exact"/>
        <w:rPr>
          <w:rFonts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480" w:lineRule="exact"/>
        <w:rPr>
          <w:rFonts w:ascii="宋体" w:hAnsi="宋体" w:eastAsia="宋体" w:cs="宋体"/>
          <w:sz w:val="24"/>
          <w:szCs w:val="24"/>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8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pacing w:line="48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被授权人身份证复印件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b/>
          <w:bCs/>
          <w:sz w:val="24"/>
          <w:szCs w:val="24"/>
        </w:rPr>
      </w:pPr>
      <w:r>
        <w:rPr>
          <w:rFonts w:hint="eastAsia" w:ascii="宋体" w:hAnsi="宋体" w:eastAsia="宋体" w:cs="宋体"/>
          <w:sz w:val="24"/>
          <w:szCs w:val="24"/>
        </w:rPr>
        <w:t>（粘贴此处）</w:t>
      </w:r>
    </w:p>
    <w:p>
      <w:pPr>
        <w:spacing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注:参加磋商时被授权人须将身份证原件带至磋商现场备查。</w:t>
      </w:r>
    </w:p>
    <w:p>
      <w:pPr>
        <w:pStyle w:val="20"/>
        <w:rPr>
          <w:rFonts w:ascii="宋体" w:hAnsi="宋体" w:eastAsia="宋体" w:cs="宋体"/>
          <w:szCs w:val="24"/>
        </w:rPr>
      </w:pPr>
    </w:p>
    <w:p>
      <w:pPr>
        <w:rPr>
          <w:rFonts w:ascii="宋体" w:hAnsi="宋体" w:eastAsia="宋体" w:cs="宋体"/>
          <w:sz w:val="24"/>
          <w:szCs w:val="24"/>
        </w:rPr>
      </w:pPr>
    </w:p>
    <w:p>
      <w:pPr>
        <w:rPr>
          <w:rFonts w:ascii="宋体" w:hAnsi="宋体" w:eastAsia="宋体" w:cs="宋体"/>
          <w:sz w:val="24"/>
          <w:szCs w:val="24"/>
        </w:rPr>
      </w:pPr>
    </w:p>
    <w:p>
      <w:pPr>
        <w:snapToGrid w:val="0"/>
        <w:spacing w:line="520" w:lineRule="exact"/>
        <w:jc w:val="left"/>
        <w:rPr>
          <w:rFonts w:ascii="宋体" w:hAnsi="宋体" w:eastAsia="宋体" w:cs="宋体"/>
          <w:sz w:val="24"/>
          <w:szCs w:val="24"/>
        </w:rPr>
      </w:pPr>
    </w:p>
    <w:p>
      <w:pPr>
        <w:snapToGrid w:val="0"/>
        <w:spacing w:after="380" w:afterLines="100" w:line="520" w:lineRule="exact"/>
        <w:jc w:val="center"/>
        <w:rPr>
          <w:rFonts w:ascii="宋体" w:hAnsi="宋体" w:eastAsia="宋体"/>
          <w:b/>
          <w:sz w:val="28"/>
          <w:szCs w:val="28"/>
        </w:rPr>
      </w:pPr>
      <w:r>
        <w:rPr>
          <w:rFonts w:hint="eastAsia" w:ascii="宋体" w:hAnsi="宋体" w:eastAsia="宋体"/>
          <w:b/>
          <w:sz w:val="28"/>
          <w:szCs w:val="28"/>
        </w:rPr>
        <w:t>无重大违法记录声明</w:t>
      </w:r>
    </w:p>
    <w:p>
      <w:pPr>
        <w:spacing w:line="360" w:lineRule="auto"/>
        <w:jc w:val="left"/>
        <w:rPr>
          <w:rFonts w:ascii="宋体" w:hAnsi="宋体" w:eastAsia="宋体" w:cs="宋体"/>
          <w:b/>
          <w:bCs/>
          <w:sz w:val="24"/>
          <w:szCs w:val="24"/>
        </w:rPr>
      </w:pPr>
      <w:r>
        <w:rPr>
          <w:rFonts w:hint="eastAsia" w:ascii="宋体" w:hAnsi="宋体" w:eastAsia="宋体" w:cs="宋体"/>
          <w:b/>
          <w:sz w:val="24"/>
          <w:szCs w:val="24"/>
          <w:u w:val="single"/>
        </w:rPr>
        <w:t>南通市妇幼保健院</w:t>
      </w:r>
      <w:r>
        <w:rPr>
          <w:rFonts w:hint="eastAsia" w:ascii="宋体" w:hAnsi="宋体" w:eastAsia="宋体" w:cs="宋体"/>
          <w:sz w:val="24"/>
          <w:szCs w:val="24"/>
          <w:u w:val="single"/>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（供应商名称）郑重声明：</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参加政府采购活动前3年内在经营活动中</w:t>
      </w:r>
      <w:r>
        <w:rPr>
          <w:rFonts w:hint="eastAsia" w:ascii="宋体" w:hAnsi="宋体" w:eastAsia="宋体" w:cs="宋体"/>
          <w:sz w:val="24"/>
          <w:szCs w:val="24"/>
          <w:u w:val="single"/>
        </w:rPr>
        <w:t xml:space="preserve">        </w:t>
      </w:r>
      <w:r>
        <w:rPr>
          <w:rFonts w:hint="eastAsia" w:ascii="宋体" w:hAnsi="宋体" w:eastAsia="宋体" w:cs="宋体"/>
          <w:sz w:val="24"/>
          <w:szCs w:val="24"/>
        </w:rPr>
        <w:t>（在下划线上如实填写：有或没有）重大违法记录。</w:t>
      </w:r>
    </w:p>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 xml:space="preserve"> （说明：政府采购法第二十二条第一款第五项所称重大违法记录，是指供应商因违法经营受到刑事处罚或者责令停产停业、吊销许可证或者执照、较大数额罚款等行政处罚。）</w:t>
      </w:r>
    </w:p>
    <w:p>
      <w:pPr>
        <w:spacing w:line="360" w:lineRule="auto"/>
        <w:ind w:firstLine="2289" w:firstLineChars="950"/>
        <w:jc w:val="right"/>
        <w:rPr>
          <w:rFonts w:ascii="宋体" w:hAnsi="宋体" w:eastAsia="宋体" w:cs="宋体"/>
          <w:b/>
          <w:sz w:val="24"/>
          <w:szCs w:val="24"/>
        </w:rPr>
      </w:pPr>
      <w:r>
        <w:rPr>
          <w:rFonts w:hint="eastAsia" w:ascii="宋体" w:hAnsi="宋体" w:eastAsia="宋体" w:cs="宋体"/>
          <w:b/>
          <w:sz w:val="24"/>
          <w:szCs w:val="24"/>
        </w:rPr>
        <w:t xml:space="preserve">                                             </w:t>
      </w:r>
    </w:p>
    <w:p>
      <w:pPr>
        <w:spacing w:line="360" w:lineRule="auto"/>
        <w:ind w:firstLine="2289" w:firstLineChars="950"/>
        <w:jc w:val="right"/>
        <w:rPr>
          <w:rFonts w:ascii="宋体" w:hAnsi="宋体" w:eastAsia="宋体" w:cs="宋体"/>
          <w:b/>
          <w:sz w:val="24"/>
          <w:szCs w:val="24"/>
        </w:rPr>
      </w:pPr>
      <w:r>
        <w:rPr>
          <w:rFonts w:hint="eastAsia" w:ascii="宋体" w:hAnsi="宋体" w:eastAsia="宋体" w:cs="宋体"/>
          <w:b/>
          <w:sz w:val="24"/>
          <w:szCs w:val="24"/>
        </w:rPr>
        <w:t xml:space="preserve"> 声明人：（公章）</w:t>
      </w:r>
    </w:p>
    <w:p>
      <w:pPr>
        <w:spacing w:line="360" w:lineRule="auto"/>
        <w:ind w:firstLine="2289" w:firstLineChars="950"/>
        <w:jc w:val="right"/>
        <w:rPr>
          <w:rFonts w:ascii="宋体" w:hAnsi="宋体" w:eastAsia="宋体" w:cs="宋体"/>
          <w:b/>
          <w:sz w:val="24"/>
          <w:szCs w:val="24"/>
        </w:rPr>
      </w:pPr>
      <w:r>
        <w:rPr>
          <w:rFonts w:hint="eastAsia" w:ascii="宋体" w:hAnsi="宋体" w:eastAsia="宋体" w:cs="宋体"/>
          <w:b/>
          <w:sz w:val="24"/>
          <w:szCs w:val="24"/>
        </w:rPr>
        <w:t xml:space="preserve">                                         年     月    日</w:t>
      </w:r>
    </w:p>
    <w:p>
      <w:pPr>
        <w:spacing w:line="360" w:lineRule="auto"/>
        <w:ind w:firstLine="2289" w:firstLineChars="950"/>
        <w:jc w:val="left"/>
        <w:rPr>
          <w:rFonts w:ascii="宋体" w:hAnsi="宋体" w:eastAsia="宋体" w:cs="宋体"/>
          <w:b/>
          <w:sz w:val="24"/>
          <w:szCs w:val="24"/>
        </w:rPr>
      </w:pPr>
    </w:p>
    <w:p>
      <w:pPr>
        <w:spacing w:line="360" w:lineRule="auto"/>
        <w:ind w:firstLine="2289" w:firstLineChars="950"/>
        <w:jc w:val="left"/>
        <w:rPr>
          <w:rFonts w:ascii="宋体" w:hAnsi="宋体" w:eastAsia="宋体" w:cs="宋体"/>
          <w:b/>
          <w:sz w:val="24"/>
          <w:szCs w:val="24"/>
        </w:rPr>
      </w:pPr>
    </w:p>
    <w:p>
      <w:pPr>
        <w:rPr>
          <w:rFonts w:hint="eastAsia" w:ascii="宋体" w:hAnsi="宋体" w:eastAsia="宋体"/>
          <w:b/>
          <w:sz w:val="28"/>
          <w:szCs w:val="28"/>
        </w:rPr>
      </w:pPr>
      <w:r>
        <w:rPr>
          <w:rFonts w:hint="eastAsia" w:ascii="宋体" w:hAnsi="宋体" w:eastAsia="宋体"/>
          <w:b/>
          <w:sz w:val="28"/>
          <w:szCs w:val="28"/>
        </w:rPr>
        <w:br w:type="page"/>
      </w:r>
    </w:p>
    <w:p>
      <w:pPr>
        <w:snapToGrid w:val="0"/>
        <w:spacing w:after="380" w:afterLines="100" w:line="520" w:lineRule="exact"/>
        <w:jc w:val="center"/>
        <w:rPr>
          <w:rFonts w:ascii="宋体" w:hAnsi="宋体" w:eastAsia="宋体"/>
          <w:b/>
          <w:sz w:val="28"/>
          <w:szCs w:val="28"/>
        </w:rPr>
      </w:pPr>
      <w:r>
        <w:rPr>
          <w:rFonts w:hint="eastAsia" w:ascii="宋体" w:hAnsi="宋体" w:eastAsia="宋体"/>
          <w:b/>
          <w:sz w:val="28"/>
          <w:szCs w:val="28"/>
        </w:rPr>
        <w:t>关于资格文件的声明函</w:t>
      </w:r>
    </w:p>
    <w:p>
      <w:pPr>
        <w:pStyle w:val="10"/>
        <w:overflowPunct w:val="0"/>
        <w:spacing w:line="360" w:lineRule="auto"/>
        <w:jc w:val="center"/>
        <w:rPr>
          <w:rFonts w:ascii="宋体" w:hAnsi="宋体" w:eastAsia="宋体" w:cs="宋体"/>
        </w:rPr>
      </w:pPr>
    </w:p>
    <w:p>
      <w:pPr>
        <w:pStyle w:val="10"/>
        <w:overflowPunct w:val="0"/>
        <w:spacing w:line="420" w:lineRule="exact"/>
        <w:ind w:firstLine="0"/>
        <w:rPr>
          <w:rFonts w:ascii="宋体" w:hAnsi="宋体" w:eastAsia="宋体" w:cs="宋体"/>
          <w:bCs/>
          <w:sz w:val="23"/>
          <w:szCs w:val="23"/>
        </w:rPr>
      </w:pPr>
      <w:r>
        <w:rPr>
          <w:rFonts w:hint="eastAsia" w:ascii="宋体" w:hAnsi="宋体" w:eastAsia="宋体" w:cs="宋体"/>
          <w:b/>
          <w:szCs w:val="24"/>
          <w:u w:val="single"/>
        </w:rPr>
        <w:t>南通市妇幼保健院</w:t>
      </w:r>
      <w:r>
        <w:rPr>
          <w:rFonts w:hint="eastAsia" w:ascii="宋体" w:hAnsi="宋体" w:eastAsia="宋体" w:cs="宋体"/>
          <w:bCs/>
          <w:sz w:val="23"/>
          <w:szCs w:val="23"/>
        </w:rPr>
        <w:t>：</w:t>
      </w:r>
    </w:p>
    <w:p>
      <w:pPr>
        <w:pStyle w:val="10"/>
        <w:overflowPunct w:val="0"/>
        <w:spacing w:line="420" w:lineRule="exact"/>
        <w:ind w:firstLine="660"/>
        <w:rPr>
          <w:rFonts w:ascii="宋体" w:hAnsi="宋体" w:eastAsia="宋体" w:cs="宋体"/>
          <w:bCs/>
          <w:sz w:val="23"/>
          <w:szCs w:val="23"/>
        </w:rPr>
      </w:pPr>
      <w:r>
        <w:rPr>
          <w:rFonts w:hint="eastAsia" w:ascii="宋体" w:hAnsi="宋体" w:eastAsia="宋体" w:cs="宋体"/>
          <w:bCs/>
          <w:sz w:val="23"/>
          <w:szCs w:val="23"/>
        </w:rPr>
        <w:t>本公司愿就由贵单位组织实施的</w:t>
      </w:r>
      <w:r>
        <w:rPr>
          <w:rFonts w:hint="eastAsia" w:ascii="宋体" w:hAnsi="宋体" w:eastAsia="宋体" w:cs="宋体"/>
          <w:bCs/>
          <w:sz w:val="23"/>
          <w:szCs w:val="23"/>
          <w:u w:val="single"/>
        </w:rPr>
        <w:t xml:space="preserve">            </w:t>
      </w:r>
      <w:r>
        <w:rPr>
          <w:rFonts w:hint="eastAsia" w:ascii="宋体" w:hAnsi="宋体" w:eastAsia="宋体" w:cs="宋体"/>
          <w:bCs/>
          <w:sz w:val="23"/>
          <w:szCs w:val="23"/>
        </w:rPr>
        <w:t>（项目名称)招标活动进行投标。本公司所提交的磋商响应文件中所有关于投标资格的文件、证明和陈述均是真实的、准确的。若与真实情况不符，本公司愿意承担由此而产生的一切后果。</w:t>
      </w:r>
    </w:p>
    <w:p>
      <w:pPr>
        <w:pStyle w:val="10"/>
        <w:overflowPunct w:val="0"/>
        <w:spacing w:line="420" w:lineRule="exact"/>
        <w:rPr>
          <w:rFonts w:ascii="宋体" w:hAnsi="宋体" w:eastAsia="宋体" w:cs="宋体"/>
          <w:bCs/>
          <w:sz w:val="23"/>
          <w:szCs w:val="23"/>
        </w:rPr>
      </w:pPr>
    </w:p>
    <w:p>
      <w:pPr>
        <w:pStyle w:val="10"/>
        <w:overflowPunct w:val="0"/>
        <w:spacing w:line="420" w:lineRule="exact"/>
        <w:rPr>
          <w:rFonts w:ascii="宋体" w:hAnsi="宋体" w:eastAsia="宋体" w:cs="宋体"/>
          <w:bCs/>
          <w:sz w:val="23"/>
          <w:szCs w:val="23"/>
        </w:rPr>
      </w:pPr>
    </w:p>
    <w:p>
      <w:pPr>
        <w:pStyle w:val="10"/>
        <w:overflowPunct w:val="0"/>
        <w:spacing w:line="420" w:lineRule="exact"/>
        <w:rPr>
          <w:rFonts w:ascii="宋体" w:hAnsi="宋体" w:eastAsia="宋体" w:cs="宋体"/>
          <w:bCs/>
          <w:sz w:val="23"/>
          <w:szCs w:val="23"/>
        </w:rPr>
      </w:pPr>
    </w:p>
    <w:p>
      <w:pPr>
        <w:pStyle w:val="10"/>
        <w:overflowPunct w:val="0"/>
        <w:spacing w:line="360" w:lineRule="auto"/>
        <w:rPr>
          <w:rFonts w:ascii="宋体" w:hAnsi="宋体" w:eastAsia="宋体" w:cs="宋体"/>
          <w:bCs/>
          <w:sz w:val="23"/>
          <w:szCs w:val="23"/>
        </w:rPr>
      </w:pPr>
      <w:r>
        <w:rPr>
          <w:rFonts w:hint="eastAsia" w:ascii="宋体" w:hAnsi="宋体" w:eastAsia="宋体" w:cs="宋体"/>
          <w:bCs/>
          <w:sz w:val="23"/>
          <w:szCs w:val="23"/>
        </w:rPr>
        <w:t xml:space="preserve"> </w:t>
      </w:r>
      <w:r>
        <w:rPr>
          <w:rFonts w:hint="eastAsia" w:ascii="宋体" w:hAnsi="宋体" w:eastAsia="宋体" w:cs="宋体"/>
          <w:bCs/>
          <w:sz w:val="23"/>
          <w:szCs w:val="23"/>
        </w:rPr>
        <w:tab/>
      </w:r>
      <w:r>
        <w:rPr>
          <w:rFonts w:hint="eastAsia" w:ascii="宋体" w:hAnsi="宋体" w:eastAsia="宋体" w:cs="宋体"/>
          <w:bCs/>
          <w:sz w:val="23"/>
          <w:szCs w:val="23"/>
        </w:rPr>
        <w:tab/>
      </w:r>
      <w:r>
        <w:rPr>
          <w:rFonts w:hint="eastAsia" w:ascii="宋体" w:hAnsi="宋体" w:eastAsia="宋体" w:cs="宋体"/>
          <w:bCs/>
          <w:sz w:val="23"/>
          <w:szCs w:val="23"/>
        </w:rPr>
        <w:tab/>
      </w:r>
      <w:r>
        <w:rPr>
          <w:rFonts w:hint="eastAsia" w:ascii="宋体" w:hAnsi="宋体" w:eastAsia="宋体" w:cs="宋体"/>
          <w:bCs/>
          <w:sz w:val="23"/>
          <w:szCs w:val="23"/>
        </w:rPr>
        <w:tab/>
      </w:r>
      <w:r>
        <w:rPr>
          <w:rFonts w:hint="eastAsia" w:ascii="宋体" w:hAnsi="宋体" w:eastAsia="宋体" w:cs="宋体"/>
          <w:bCs/>
          <w:sz w:val="23"/>
          <w:szCs w:val="23"/>
        </w:rPr>
        <w:t xml:space="preserve">           （供应商）法定代表人（签字或盖章）：</w:t>
      </w:r>
    </w:p>
    <w:p>
      <w:pPr>
        <w:pStyle w:val="10"/>
        <w:overflowPunct w:val="0"/>
        <w:spacing w:line="360" w:lineRule="auto"/>
        <w:ind w:left="1700" w:firstLine="425"/>
        <w:rPr>
          <w:rFonts w:ascii="宋体" w:hAnsi="宋体" w:eastAsia="宋体" w:cs="宋体"/>
          <w:bCs/>
          <w:sz w:val="23"/>
          <w:szCs w:val="23"/>
        </w:rPr>
      </w:pPr>
      <w:r>
        <w:rPr>
          <w:rFonts w:hint="eastAsia" w:ascii="宋体" w:hAnsi="宋体" w:eastAsia="宋体" w:cs="宋体"/>
          <w:bCs/>
          <w:sz w:val="23"/>
          <w:szCs w:val="23"/>
        </w:rPr>
        <w:t xml:space="preserve">            （供应商）公章：</w:t>
      </w:r>
    </w:p>
    <w:p>
      <w:pPr>
        <w:spacing w:line="360" w:lineRule="auto"/>
        <w:jc w:val="center"/>
        <w:rPr>
          <w:rStyle w:val="77"/>
          <w:rFonts w:eastAsia="宋体" w:cs="宋体"/>
          <w:b w:val="0"/>
          <w:sz w:val="23"/>
          <w:szCs w:val="23"/>
        </w:rPr>
      </w:pPr>
      <w:r>
        <w:rPr>
          <w:rFonts w:hint="eastAsia" w:ascii="宋体" w:hAnsi="宋体" w:eastAsia="宋体" w:cs="宋体"/>
          <w:bCs/>
          <w:sz w:val="23"/>
          <w:szCs w:val="23"/>
        </w:rPr>
        <w:t xml:space="preserve">          年</w:t>
      </w:r>
      <w:r>
        <w:rPr>
          <w:rFonts w:hint="eastAsia" w:ascii="宋体" w:hAnsi="宋体" w:eastAsia="宋体" w:cs="宋体"/>
          <w:bCs/>
          <w:sz w:val="23"/>
          <w:szCs w:val="23"/>
        </w:rPr>
        <w:tab/>
      </w:r>
      <w:r>
        <w:rPr>
          <w:rFonts w:hint="eastAsia" w:ascii="宋体" w:hAnsi="宋体" w:eastAsia="宋体" w:cs="宋体"/>
          <w:bCs/>
          <w:sz w:val="23"/>
          <w:szCs w:val="23"/>
        </w:rPr>
        <w:t xml:space="preserve"> 月    日</w:t>
      </w:r>
    </w:p>
    <w:p>
      <w:pPr>
        <w:snapToGrid w:val="0"/>
        <w:spacing w:after="380" w:afterLines="100" w:line="520" w:lineRule="exact"/>
        <w:jc w:val="center"/>
        <w:rPr>
          <w:rFonts w:hint="eastAsia" w:ascii="宋体" w:hAnsi="宋体" w:eastAsia="宋体"/>
          <w:b/>
          <w:sz w:val="28"/>
          <w:szCs w:val="28"/>
        </w:rPr>
      </w:pPr>
      <w:r>
        <w:rPr>
          <w:rFonts w:hint="eastAsia" w:ascii="宋体" w:hAnsi="宋体" w:cs="宋体"/>
          <w:sz w:val="30"/>
          <w:szCs w:val="30"/>
        </w:rPr>
        <w:br w:type="page"/>
      </w:r>
      <w:r>
        <w:rPr>
          <w:rFonts w:hint="eastAsia" w:ascii="宋体" w:hAnsi="宋体" w:eastAsia="宋体"/>
          <w:b/>
          <w:sz w:val="28"/>
          <w:szCs w:val="28"/>
        </w:rPr>
        <w:t>供应商情况一览表</w:t>
      </w:r>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457"/>
        <w:gridCol w:w="914"/>
        <w:gridCol w:w="394"/>
        <w:gridCol w:w="1129"/>
        <w:gridCol w:w="609"/>
        <w:gridCol w:w="1019"/>
        <w:gridCol w:w="1519"/>
        <w:gridCol w:w="1273"/>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8" w:type="pct"/>
            <w:gridSpan w:val="2"/>
            <w:tcBorders>
              <w:top w:val="double" w:color="auto" w:sz="4" w:space="0"/>
              <w:left w:val="double" w:color="auto" w:sz="4" w:space="0"/>
            </w:tcBorders>
            <w:vAlign w:val="center"/>
          </w:tcPr>
          <w:p>
            <w:pPr>
              <w:tabs>
                <w:tab w:val="left" w:pos="4320"/>
              </w:tabs>
              <w:jc w:val="center"/>
              <w:rPr>
                <w:rFonts w:hint="eastAsia" w:ascii="宋体" w:hAnsi="宋体" w:eastAsia="宋体"/>
                <w:sz w:val="24"/>
                <w:szCs w:val="24"/>
              </w:rPr>
            </w:pPr>
            <w:r>
              <w:rPr>
                <w:rFonts w:hint="eastAsia" w:ascii="宋体" w:hAnsi="宋体" w:eastAsia="宋体"/>
                <w:sz w:val="24"/>
                <w:szCs w:val="24"/>
              </w:rPr>
              <w:t>单位名称</w:t>
            </w:r>
          </w:p>
        </w:tc>
        <w:tc>
          <w:tcPr>
            <w:tcW w:w="4322" w:type="pct"/>
            <w:gridSpan w:val="8"/>
            <w:tcBorders>
              <w:top w:val="double" w:color="auto" w:sz="4" w:space="0"/>
              <w:right w:val="double" w:color="auto" w:sz="4" w:space="0"/>
            </w:tcBorders>
            <w:vAlign w:val="center"/>
          </w:tcPr>
          <w:p>
            <w:pPr>
              <w:tabs>
                <w:tab w:val="left" w:pos="4320"/>
              </w:tabs>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2" w:type="pct"/>
            <w:gridSpan w:val="3"/>
            <w:tcBorders>
              <w:left w:val="double" w:color="auto" w:sz="4" w:space="0"/>
              <w:right w:val="single" w:color="auto" w:sz="4" w:space="0"/>
            </w:tcBorders>
            <w:vAlign w:val="center"/>
          </w:tcPr>
          <w:p>
            <w:pPr>
              <w:tabs>
                <w:tab w:val="left" w:pos="4320"/>
              </w:tabs>
              <w:rPr>
                <w:rFonts w:hint="eastAsia" w:ascii="宋体" w:hAnsi="宋体" w:eastAsia="宋体"/>
                <w:sz w:val="24"/>
                <w:szCs w:val="24"/>
              </w:rPr>
            </w:pPr>
            <w:r>
              <w:rPr>
                <w:rFonts w:hint="eastAsia" w:ascii="宋体" w:hAnsi="宋体" w:eastAsia="宋体"/>
                <w:sz w:val="24"/>
                <w:szCs w:val="24"/>
              </w:rPr>
              <w:t>单位优势及特长</w:t>
            </w:r>
          </w:p>
        </w:tc>
        <w:tc>
          <w:tcPr>
            <w:tcW w:w="3858" w:type="pct"/>
            <w:gridSpan w:val="7"/>
            <w:tcBorders>
              <w:left w:val="single" w:color="auto" w:sz="4" w:space="0"/>
              <w:right w:val="double" w:color="auto" w:sz="4" w:space="0"/>
            </w:tcBorders>
            <w:vAlign w:val="center"/>
          </w:tcPr>
          <w:p>
            <w:pPr>
              <w:tabs>
                <w:tab w:val="left" w:pos="4320"/>
              </w:tabs>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restart"/>
            <w:tcBorders>
              <w:left w:val="double" w:color="auto" w:sz="4" w:space="0"/>
            </w:tcBorders>
            <w:vAlign w:val="center"/>
          </w:tcPr>
          <w:p>
            <w:pPr>
              <w:tabs>
                <w:tab w:val="left" w:pos="4320"/>
              </w:tabs>
              <w:ind w:left="266" w:hanging="266" w:hangingChars="111"/>
              <w:rPr>
                <w:rFonts w:hint="eastAsia" w:ascii="宋体" w:hAnsi="宋体" w:eastAsia="宋体"/>
                <w:sz w:val="24"/>
                <w:szCs w:val="24"/>
              </w:rPr>
            </w:pPr>
            <w:r>
              <w:rPr>
                <w:rFonts w:hint="eastAsia" w:ascii="宋体" w:hAnsi="宋体" w:eastAsia="宋体"/>
                <w:sz w:val="24"/>
                <w:szCs w:val="24"/>
              </w:rPr>
              <w:t>单位</w:t>
            </w:r>
          </w:p>
          <w:p>
            <w:pPr>
              <w:tabs>
                <w:tab w:val="left" w:pos="4320"/>
              </w:tabs>
              <w:ind w:left="266" w:hanging="266" w:hangingChars="111"/>
              <w:rPr>
                <w:rFonts w:hint="eastAsia" w:ascii="宋体" w:hAnsi="宋体" w:eastAsia="宋体"/>
                <w:sz w:val="24"/>
                <w:szCs w:val="24"/>
              </w:rPr>
            </w:pPr>
            <w:r>
              <w:rPr>
                <w:rFonts w:hint="eastAsia" w:ascii="宋体" w:hAnsi="宋体" w:eastAsia="宋体"/>
                <w:sz w:val="24"/>
                <w:szCs w:val="24"/>
              </w:rPr>
              <w:t>概况</w:t>
            </w:r>
          </w:p>
        </w:tc>
        <w:tc>
          <w:tcPr>
            <w:tcW w:w="696" w:type="pct"/>
            <w:gridSpan w:val="2"/>
            <w:vAlign w:val="center"/>
          </w:tcPr>
          <w:p>
            <w:pPr>
              <w:tabs>
                <w:tab w:val="left" w:pos="4320"/>
              </w:tabs>
              <w:jc w:val="center"/>
              <w:rPr>
                <w:rFonts w:hint="eastAsia" w:ascii="宋体" w:hAnsi="宋体" w:eastAsia="宋体"/>
                <w:sz w:val="24"/>
                <w:szCs w:val="24"/>
              </w:rPr>
            </w:pPr>
            <w:r>
              <w:rPr>
                <w:rFonts w:hint="eastAsia" w:ascii="宋体" w:hAnsi="宋体" w:eastAsia="宋体"/>
                <w:sz w:val="24"/>
                <w:szCs w:val="24"/>
              </w:rPr>
              <w:t>职工总数</w:t>
            </w:r>
          </w:p>
        </w:tc>
        <w:tc>
          <w:tcPr>
            <w:tcW w:w="773" w:type="pct"/>
            <w:gridSpan w:val="2"/>
            <w:vAlign w:val="center"/>
          </w:tcPr>
          <w:p>
            <w:pPr>
              <w:tabs>
                <w:tab w:val="left" w:pos="4320"/>
              </w:tabs>
              <w:jc w:val="right"/>
              <w:rPr>
                <w:rFonts w:hint="eastAsia" w:ascii="宋体" w:hAnsi="宋体" w:eastAsia="宋体"/>
                <w:sz w:val="24"/>
                <w:szCs w:val="24"/>
              </w:rPr>
            </w:pPr>
            <w:r>
              <w:rPr>
                <w:rFonts w:hint="eastAsia" w:ascii="宋体" w:hAnsi="宋体" w:eastAsia="宋体"/>
                <w:sz w:val="24"/>
                <w:szCs w:val="24"/>
              </w:rPr>
              <w:t>人</w:t>
            </w:r>
          </w:p>
        </w:tc>
        <w:tc>
          <w:tcPr>
            <w:tcW w:w="309" w:type="pct"/>
            <w:vMerge w:val="restart"/>
            <w:vAlign w:val="center"/>
          </w:tcPr>
          <w:p>
            <w:pPr>
              <w:tabs>
                <w:tab w:val="left" w:pos="4320"/>
              </w:tabs>
              <w:rPr>
                <w:rFonts w:hint="eastAsia" w:ascii="宋体" w:hAnsi="宋体" w:eastAsia="宋体"/>
                <w:sz w:val="24"/>
                <w:szCs w:val="24"/>
              </w:rPr>
            </w:pPr>
            <w:r>
              <w:rPr>
                <w:rFonts w:hint="eastAsia" w:ascii="宋体" w:hAnsi="宋体" w:eastAsia="宋体"/>
                <w:sz w:val="24"/>
                <w:szCs w:val="24"/>
              </w:rPr>
              <w:t>上一年主要经济指标</w:t>
            </w:r>
          </w:p>
        </w:tc>
        <w:tc>
          <w:tcPr>
            <w:tcW w:w="516" w:type="pct"/>
            <w:vAlign w:val="center"/>
          </w:tcPr>
          <w:p>
            <w:pPr>
              <w:tabs>
                <w:tab w:val="left" w:pos="4320"/>
              </w:tabs>
              <w:jc w:val="center"/>
              <w:rPr>
                <w:rFonts w:hint="eastAsia" w:ascii="宋体" w:hAnsi="宋体" w:eastAsia="宋体"/>
                <w:sz w:val="24"/>
                <w:szCs w:val="24"/>
              </w:rPr>
            </w:pPr>
            <w:r>
              <w:rPr>
                <w:rFonts w:hint="eastAsia" w:ascii="宋体" w:hAnsi="宋体" w:eastAsia="宋体"/>
                <w:sz w:val="24"/>
                <w:szCs w:val="24"/>
              </w:rPr>
              <w:t>营业额</w:t>
            </w:r>
          </w:p>
        </w:tc>
        <w:tc>
          <w:tcPr>
            <w:tcW w:w="771" w:type="pct"/>
            <w:vAlign w:val="center"/>
          </w:tcPr>
          <w:p>
            <w:pPr>
              <w:tabs>
                <w:tab w:val="left" w:pos="4320"/>
              </w:tabs>
              <w:rPr>
                <w:rFonts w:hint="eastAsia" w:ascii="宋体" w:hAnsi="宋体" w:eastAsia="宋体"/>
                <w:sz w:val="24"/>
                <w:szCs w:val="24"/>
              </w:rPr>
            </w:pPr>
          </w:p>
        </w:tc>
        <w:tc>
          <w:tcPr>
            <w:tcW w:w="646" w:type="pct"/>
            <w:vAlign w:val="center"/>
          </w:tcPr>
          <w:p>
            <w:pPr>
              <w:tabs>
                <w:tab w:val="left" w:pos="4320"/>
              </w:tabs>
              <w:jc w:val="center"/>
              <w:rPr>
                <w:rFonts w:hint="eastAsia" w:ascii="宋体" w:hAnsi="宋体" w:eastAsia="宋体"/>
                <w:sz w:val="24"/>
                <w:szCs w:val="24"/>
              </w:rPr>
            </w:pPr>
            <w:r>
              <w:rPr>
                <w:rFonts w:hint="eastAsia" w:ascii="宋体" w:hAnsi="宋体" w:eastAsia="宋体"/>
                <w:sz w:val="24"/>
                <w:szCs w:val="24"/>
              </w:rPr>
              <w:t>实现利润</w:t>
            </w:r>
          </w:p>
        </w:tc>
        <w:tc>
          <w:tcPr>
            <w:tcW w:w="842" w:type="pct"/>
            <w:tcBorders>
              <w:right w:val="double" w:color="auto" w:sz="4" w:space="0"/>
            </w:tcBorders>
            <w:vAlign w:val="center"/>
          </w:tcPr>
          <w:p>
            <w:pPr>
              <w:tabs>
                <w:tab w:val="left" w:pos="4320"/>
              </w:tabs>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ind w:left="266" w:hanging="266" w:hangingChars="111"/>
              <w:rPr>
                <w:rFonts w:hint="eastAsia" w:ascii="宋体" w:hAnsi="宋体" w:eastAsia="宋体"/>
                <w:sz w:val="24"/>
                <w:szCs w:val="24"/>
              </w:rPr>
            </w:pPr>
          </w:p>
        </w:tc>
        <w:tc>
          <w:tcPr>
            <w:tcW w:w="696" w:type="pct"/>
            <w:gridSpan w:val="2"/>
            <w:vAlign w:val="center"/>
          </w:tcPr>
          <w:p>
            <w:pPr>
              <w:tabs>
                <w:tab w:val="left" w:pos="4320"/>
              </w:tabs>
              <w:jc w:val="center"/>
              <w:rPr>
                <w:rFonts w:hint="eastAsia" w:ascii="宋体" w:hAnsi="宋体" w:eastAsia="宋体"/>
                <w:sz w:val="24"/>
                <w:szCs w:val="24"/>
              </w:rPr>
            </w:pPr>
            <w:r>
              <w:rPr>
                <w:rFonts w:hint="eastAsia" w:ascii="宋体" w:hAnsi="宋体" w:eastAsia="宋体"/>
                <w:sz w:val="24"/>
                <w:szCs w:val="24"/>
              </w:rPr>
              <w:t>流动资金</w:t>
            </w:r>
          </w:p>
        </w:tc>
        <w:tc>
          <w:tcPr>
            <w:tcW w:w="773" w:type="pct"/>
            <w:gridSpan w:val="2"/>
            <w:vAlign w:val="center"/>
          </w:tcPr>
          <w:p>
            <w:pPr>
              <w:tabs>
                <w:tab w:val="left" w:pos="4320"/>
              </w:tabs>
              <w:jc w:val="right"/>
              <w:rPr>
                <w:rFonts w:hint="eastAsia" w:ascii="宋体" w:hAnsi="宋体" w:eastAsia="宋体"/>
                <w:sz w:val="24"/>
                <w:szCs w:val="24"/>
              </w:rPr>
            </w:pPr>
            <w:r>
              <w:rPr>
                <w:rFonts w:hint="eastAsia" w:ascii="宋体" w:hAnsi="宋体" w:eastAsia="宋体"/>
                <w:sz w:val="24"/>
                <w:szCs w:val="24"/>
              </w:rPr>
              <w:t>万元</w:t>
            </w:r>
          </w:p>
        </w:tc>
        <w:tc>
          <w:tcPr>
            <w:tcW w:w="309" w:type="pct"/>
            <w:vMerge w:val="continue"/>
            <w:vAlign w:val="center"/>
          </w:tcPr>
          <w:p>
            <w:pPr>
              <w:tabs>
                <w:tab w:val="left" w:pos="4320"/>
              </w:tabs>
              <w:rPr>
                <w:rFonts w:hint="eastAsia" w:ascii="宋体" w:hAnsi="宋体" w:eastAsia="宋体"/>
                <w:sz w:val="24"/>
                <w:szCs w:val="24"/>
              </w:rPr>
            </w:pPr>
          </w:p>
        </w:tc>
        <w:tc>
          <w:tcPr>
            <w:tcW w:w="516" w:type="pct"/>
            <w:vMerge w:val="restart"/>
            <w:vAlign w:val="center"/>
          </w:tcPr>
          <w:p>
            <w:pPr>
              <w:tabs>
                <w:tab w:val="left" w:pos="4320"/>
              </w:tabs>
              <w:jc w:val="center"/>
              <w:rPr>
                <w:rFonts w:hint="eastAsia" w:ascii="宋体" w:hAnsi="宋体" w:eastAsia="宋体"/>
                <w:sz w:val="24"/>
                <w:szCs w:val="24"/>
              </w:rPr>
            </w:pPr>
            <w:r>
              <w:rPr>
                <w:rFonts w:hint="eastAsia" w:ascii="宋体" w:hAnsi="宋体" w:eastAsia="宋体"/>
                <w:sz w:val="24"/>
                <w:szCs w:val="24"/>
              </w:rPr>
              <w:t>主要</w:t>
            </w:r>
          </w:p>
          <w:p>
            <w:pPr>
              <w:tabs>
                <w:tab w:val="left" w:pos="4320"/>
              </w:tabs>
              <w:jc w:val="center"/>
              <w:rPr>
                <w:rFonts w:hint="eastAsia" w:ascii="宋体" w:hAnsi="宋体" w:eastAsia="宋体"/>
                <w:sz w:val="24"/>
                <w:szCs w:val="24"/>
              </w:rPr>
            </w:pPr>
            <w:r>
              <w:rPr>
                <w:rFonts w:hint="eastAsia" w:ascii="宋体" w:hAnsi="宋体" w:eastAsia="宋体"/>
                <w:sz w:val="24"/>
                <w:szCs w:val="24"/>
              </w:rPr>
              <w:t>业绩</w:t>
            </w:r>
          </w:p>
        </w:tc>
        <w:tc>
          <w:tcPr>
            <w:tcW w:w="2260" w:type="pct"/>
            <w:gridSpan w:val="3"/>
            <w:tcBorders>
              <w:right w:val="double" w:color="auto" w:sz="4" w:space="0"/>
            </w:tcBorders>
            <w:vAlign w:val="center"/>
          </w:tcPr>
          <w:p>
            <w:pPr>
              <w:tabs>
                <w:tab w:val="left" w:pos="4320"/>
              </w:tabs>
              <w:spacing w:before="120" w:after="120"/>
              <w:rPr>
                <w:rFonts w:hint="eastAsia"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446" w:type="pct"/>
            <w:vMerge w:val="continue"/>
            <w:tcBorders>
              <w:left w:val="double" w:color="auto" w:sz="4" w:space="0"/>
            </w:tcBorders>
            <w:vAlign w:val="center"/>
          </w:tcPr>
          <w:p>
            <w:pPr>
              <w:tabs>
                <w:tab w:val="left" w:pos="4320"/>
              </w:tabs>
              <w:ind w:left="266" w:hanging="266" w:hangingChars="111"/>
              <w:rPr>
                <w:rFonts w:hint="eastAsia" w:ascii="宋体" w:hAnsi="宋体" w:eastAsia="宋体"/>
                <w:sz w:val="24"/>
                <w:szCs w:val="24"/>
              </w:rPr>
            </w:pPr>
          </w:p>
        </w:tc>
        <w:tc>
          <w:tcPr>
            <w:tcW w:w="696" w:type="pct"/>
            <w:gridSpan w:val="2"/>
            <w:vAlign w:val="center"/>
          </w:tcPr>
          <w:p>
            <w:pPr>
              <w:tabs>
                <w:tab w:val="left" w:pos="4320"/>
              </w:tabs>
              <w:jc w:val="center"/>
              <w:rPr>
                <w:rFonts w:hint="eastAsia" w:ascii="宋体" w:hAnsi="宋体" w:eastAsia="宋体"/>
                <w:sz w:val="24"/>
                <w:szCs w:val="24"/>
              </w:rPr>
            </w:pPr>
            <w:r>
              <w:rPr>
                <w:rFonts w:hint="eastAsia" w:ascii="宋体" w:hAnsi="宋体" w:eastAsia="宋体"/>
                <w:sz w:val="24"/>
                <w:szCs w:val="24"/>
              </w:rPr>
              <w:t>固定资产</w:t>
            </w:r>
          </w:p>
          <w:p>
            <w:pPr>
              <w:tabs>
                <w:tab w:val="left" w:pos="4320"/>
              </w:tabs>
              <w:jc w:val="center"/>
              <w:rPr>
                <w:rFonts w:hint="eastAsia" w:ascii="宋体" w:hAnsi="宋体" w:eastAsia="宋体"/>
                <w:sz w:val="24"/>
                <w:szCs w:val="24"/>
              </w:rPr>
            </w:pPr>
            <w:r>
              <w:rPr>
                <w:rFonts w:hint="eastAsia" w:ascii="宋体" w:hAnsi="宋体" w:eastAsia="宋体"/>
                <w:sz w:val="24"/>
                <w:szCs w:val="24"/>
              </w:rPr>
              <w:t>（万元）</w:t>
            </w:r>
          </w:p>
        </w:tc>
        <w:tc>
          <w:tcPr>
            <w:tcW w:w="773" w:type="pct"/>
            <w:gridSpan w:val="2"/>
            <w:vAlign w:val="center"/>
          </w:tcPr>
          <w:p>
            <w:pPr>
              <w:tabs>
                <w:tab w:val="left" w:pos="-48"/>
                <w:tab w:val="left" w:pos="4320"/>
              </w:tabs>
              <w:ind w:right="-133" w:hanging="48"/>
              <w:rPr>
                <w:rFonts w:hint="eastAsia" w:ascii="宋体" w:hAnsi="宋体" w:eastAsia="宋体"/>
                <w:sz w:val="24"/>
                <w:szCs w:val="24"/>
              </w:rPr>
            </w:pPr>
            <w:r>
              <w:rPr>
                <w:rFonts w:hint="eastAsia" w:ascii="宋体" w:hAnsi="宋体" w:eastAsia="宋体"/>
                <w:sz w:val="24"/>
                <w:szCs w:val="24"/>
              </w:rPr>
              <w:t>原值：</w:t>
            </w:r>
          </w:p>
          <w:p>
            <w:pPr>
              <w:tabs>
                <w:tab w:val="left" w:pos="-48"/>
                <w:tab w:val="left" w:pos="4320"/>
              </w:tabs>
              <w:ind w:hanging="48"/>
              <w:jc w:val="right"/>
              <w:rPr>
                <w:rFonts w:hint="eastAsia" w:ascii="宋体" w:hAnsi="宋体" w:eastAsia="宋体"/>
                <w:sz w:val="24"/>
                <w:szCs w:val="24"/>
              </w:rPr>
            </w:pPr>
          </w:p>
          <w:p>
            <w:pPr>
              <w:tabs>
                <w:tab w:val="left" w:pos="-48"/>
                <w:tab w:val="left" w:pos="4320"/>
              </w:tabs>
              <w:ind w:right="-133" w:hanging="48"/>
              <w:rPr>
                <w:rFonts w:hint="eastAsia" w:ascii="宋体" w:hAnsi="宋体" w:eastAsia="宋体"/>
                <w:sz w:val="24"/>
                <w:szCs w:val="24"/>
              </w:rPr>
            </w:pPr>
            <w:r>
              <w:rPr>
                <w:rFonts w:hint="eastAsia" w:ascii="宋体" w:hAnsi="宋体" w:eastAsia="宋体"/>
                <w:sz w:val="24"/>
                <w:szCs w:val="24"/>
              </w:rPr>
              <w:t>净值：</w:t>
            </w:r>
          </w:p>
          <w:p>
            <w:pPr>
              <w:tabs>
                <w:tab w:val="left" w:pos="-48"/>
                <w:tab w:val="left" w:pos="4320"/>
              </w:tabs>
              <w:ind w:hanging="48"/>
              <w:jc w:val="right"/>
              <w:rPr>
                <w:rFonts w:hint="eastAsia" w:ascii="宋体" w:hAnsi="宋体" w:eastAsia="宋体"/>
                <w:sz w:val="24"/>
                <w:szCs w:val="24"/>
              </w:rPr>
            </w:pPr>
          </w:p>
        </w:tc>
        <w:tc>
          <w:tcPr>
            <w:tcW w:w="309" w:type="pct"/>
            <w:vMerge w:val="continue"/>
            <w:vAlign w:val="center"/>
          </w:tcPr>
          <w:p>
            <w:pPr>
              <w:tabs>
                <w:tab w:val="left" w:pos="4320"/>
              </w:tabs>
              <w:rPr>
                <w:rFonts w:hint="eastAsia" w:ascii="宋体" w:hAnsi="宋体" w:eastAsia="宋体"/>
                <w:sz w:val="24"/>
                <w:szCs w:val="24"/>
              </w:rPr>
            </w:pPr>
          </w:p>
        </w:tc>
        <w:tc>
          <w:tcPr>
            <w:tcW w:w="516" w:type="pct"/>
            <w:vMerge w:val="continue"/>
            <w:vAlign w:val="center"/>
          </w:tcPr>
          <w:p>
            <w:pPr>
              <w:tabs>
                <w:tab w:val="left" w:pos="4320"/>
              </w:tabs>
              <w:jc w:val="center"/>
              <w:rPr>
                <w:rFonts w:hint="eastAsia" w:ascii="宋体" w:hAnsi="宋体" w:eastAsia="宋体"/>
                <w:sz w:val="24"/>
                <w:szCs w:val="24"/>
              </w:rPr>
            </w:pPr>
          </w:p>
        </w:tc>
        <w:tc>
          <w:tcPr>
            <w:tcW w:w="2260" w:type="pct"/>
            <w:gridSpan w:val="3"/>
            <w:tcBorders>
              <w:right w:val="double" w:color="auto" w:sz="4" w:space="0"/>
            </w:tcBorders>
            <w:vAlign w:val="center"/>
          </w:tcPr>
          <w:p>
            <w:pPr>
              <w:tabs>
                <w:tab w:val="left" w:pos="4320"/>
              </w:tabs>
              <w:rPr>
                <w:rFonts w:hint="eastAsia"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ind w:left="266" w:hanging="266" w:hangingChars="111"/>
              <w:rPr>
                <w:rFonts w:hint="eastAsia" w:ascii="宋体" w:hAnsi="宋体" w:eastAsia="宋体"/>
                <w:sz w:val="24"/>
                <w:szCs w:val="24"/>
              </w:rPr>
            </w:pPr>
          </w:p>
        </w:tc>
        <w:tc>
          <w:tcPr>
            <w:tcW w:w="696" w:type="pct"/>
            <w:gridSpan w:val="2"/>
            <w:vAlign w:val="center"/>
          </w:tcPr>
          <w:p>
            <w:pPr>
              <w:tabs>
                <w:tab w:val="left" w:pos="4320"/>
              </w:tabs>
              <w:jc w:val="center"/>
              <w:rPr>
                <w:rFonts w:hint="eastAsia" w:ascii="宋体" w:hAnsi="宋体" w:eastAsia="宋体"/>
                <w:sz w:val="24"/>
                <w:szCs w:val="24"/>
              </w:rPr>
            </w:pPr>
            <w:r>
              <w:rPr>
                <w:rFonts w:hint="eastAsia" w:ascii="宋体" w:hAnsi="宋体" w:eastAsia="宋体"/>
                <w:sz w:val="24"/>
                <w:szCs w:val="24"/>
              </w:rPr>
              <w:t>占地面积</w:t>
            </w:r>
          </w:p>
        </w:tc>
        <w:tc>
          <w:tcPr>
            <w:tcW w:w="773" w:type="pct"/>
            <w:gridSpan w:val="2"/>
            <w:vAlign w:val="center"/>
          </w:tcPr>
          <w:p>
            <w:pPr>
              <w:tabs>
                <w:tab w:val="left" w:pos="4320"/>
              </w:tabs>
              <w:jc w:val="right"/>
              <w:rPr>
                <w:rFonts w:hint="eastAsia" w:ascii="宋体" w:hAnsi="宋体" w:eastAsia="宋体"/>
                <w:sz w:val="24"/>
                <w:szCs w:val="24"/>
              </w:rPr>
            </w:pPr>
            <w:r>
              <w:rPr>
                <w:rFonts w:hint="eastAsia" w:ascii="宋体" w:hAnsi="宋体" w:eastAsia="宋体"/>
                <w:sz w:val="24"/>
                <w:szCs w:val="24"/>
              </w:rPr>
              <w:t>M</w:t>
            </w:r>
            <w:r>
              <w:rPr>
                <w:rFonts w:hint="eastAsia" w:ascii="宋体" w:hAnsi="宋体" w:eastAsia="宋体"/>
                <w:sz w:val="24"/>
                <w:szCs w:val="24"/>
                <w:vertAlign w:val="superscript"/>
              </w:rPr>
              <w:t>2</w:t>
            </w:r>
          </w:p>
        </w:tc>
        <w:tc>
          <w:tcPr>
            <w:tcW w:w="309" w:type="pct"/>
            <w:vMerge w:val="continue"/>
            <w:vAlign w:val="center"/>
          </w:tcPr>
          <w:p>
            <w:pPr>
              <w:tabs>
                <w:tab w:val="left" w:pos="4320"/>
              </w:tabs>
              <w:rPr>
                <w:rFonts w:hint="eastAsia" w:ascii="宋体" w:hAnsi="宋体" w:eastAsia="宋体"/>
                <w:sz w:val="24"/>
                <w:szCs w:val="24"/>
              </w:rPr>
            </w:pPr>
          </w:p>
        </w:tc>
        <w:tc>
          <w:tcPr>
            <w:tcW w:w="516" w:type="pct"/>
            <w:vMerge w:val="continue"/>
            <w:vAlign w:val="center"/>
          </w:tcPr>
          <w:p>
            <w:pPr>
              <w:tabs>
                <w:tab w:val="left" w:pos="4320"/>
              </w:tabs>
              <w:jc w:val="center"/>
              <w:rPr>
                <w:rFonts w:hint="eastAsia" w:ascii="宋体" w:hAnsi="宋体" w:eastAsia="宋体"/>
                <w:sz w:val="24"/>
                <w:szCs w:val="24"/>
              </w:rPr>
            </w:pPr>
          </w:p>
        </w:tc>
        <w:tc>
          <w:tcPr>
            <w:tcW w:w="2260" w:type="pct"/>
            <w:gridSpan w:val="3"/>
            <w:tcBorders>
              <w:right w:val="double" w:color="auto" w:sz="4" w:space="0"/>
            </w:tcBorders>
            <w:vAlign w:val="center"/>
          </w:tcPr>
          <w:p>
            <w:pPr>
              <w:tabs>
                <w:tab w:val="left" w:pos="4320"/>
              </w:tabs>
              <w:spacing w:before="120" w:after="120"/>
              <w:rPr>
                <w:rFonts w:hint="eastAsia" w:ascii="宋体" w:hAnsi="宋体" w:eastAsia="宋体"/>
                <w:sz w:val="24"/>
                <w:szCs w:val="24"/>
              </w:rPr>
            </w:pPr>
            <w:r>
              <w:rPr>
                <w:rFonts w:hint="eastAsia" w:ascii="宋体" w:hAnsi="宋体" w:eastAsia="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restart"/>
            <w:tcBorders>
              <w:left w:val="double" w:color="auto" w:sz="4" w:space="0"/>
            </w:tcBorders>
            <w:vAlign w:val="center"/>
          </w:tcPr>
          <w:p>
            <w:pPr>
              <w:tabs>
                <w:tab w:val="left" w:pos="4320"/>
              </w:tabs>
              <w:ind w:left="266" w:hanging="266" w:hangingChars="111"/>
              <w:rPr>
                <w:rFonts w:hint="eastAsia" w:ascii="宋体" w:hAnsi="宋体" w:eastAsia="宋体"/>
                <w:sz w:val="24"/>
                <w:szCs w:val="24"/>
              </w:rPr>
            </w:pPr>
            <w:r>
              <w:rPr>
                <w:rFonts w:hint="eastAsia" w:ascii="宋体" w:hAnsi="宋体" w:eastAsia="宋体"/>
                <w:sz w:val="24"/>
                <w:szCs w:val="24"/>
              </w:rPr>
              <w:t>本次</w:t>
            </w:r>
          </w:p>
          <w:p>
            <w:pPr>
              <w:tabs>
                <w:tab w:val="left" w:pos="4320"/>
              </w:tabs>
              <w:ind w:left="266" w:hanging="266" w:hangingChars="111"/>
              <w:rPr>
                <w:rFonts w:hint="eastAsia" w:ascii="宋体" w:hAnsi="宋体" w:eastAsia="宋体"/>
                <w:sz w:val="24"/>
                <w:szCs w:val="24"/>
              </w:rPr>
            </w:pPr>
            <w:r>
              <w:rPr>
                <w:rFonts w:hint="eastAsia" w:ascii="宋体" w:hAnsi="宋体" w:eastAsia="宋体"/>
                <w:sz w:val="24"/>
                <w:szCs w:val="24"/>
              </w:rPr>
              <w:t>投标</w:t>
            </w:r>
          </w:p>
          <w:p>
            <w:pPr>
              <w:tabs>
                <w:tab w:val="left" w:pos="4320"/>
              </w:tabs>
              <w:ind w:left="266" w:hanging="266" w:hangingChars="111"/>
              <w:rPr>
                <w:rFonts w:hint="eastAsia" w:ascii="宋体" w:hAnsi="宋体" w:eastAsia="宋体"/>
                <w:sz w:val="24"/>
                <w:szCs w:val="24"/>
              </w:rPr>
            </w:pPr>
            <w:r>
              <w:rPr>
                <w:rFonts w:hint="eastAsia" w:ascii="宋体" w:hAnsi="宋体" w:eastAsia="宋体"/>
                <w:sz w:val="24"/>
                <w:szCs w:val="24"/>
              </w:rPr>
              <w:t>人员</w:t>
            </w:r>
          </w:p>
          <w:p>
            <w:pPr>
              <w:tabs>
                <w:tab w:val="left" w:pos="4320"/>
              </w:tabs>
              <w:ind w:left="266" w:hanging="266" w:hangingChars="111"/>
              <w:rPr>
                <w:rFonts w:hint="eastAsia" w:ascii="宋体" w:hAnsi="宋体" w:eastAsia="宋体"/>
                <w:sz w:val="24"/>
                <w:szCs w:val="24"/>
              </w:rPr>
            </w:pPr>
            <w:r>
              <w:rPr>
                <w:rFonts w:hint="eastAsia" w:ascii="宋体" w:hAnsi="宋体" w:eastAsia="宋体"/>
                <w:sz w:val="24"/>
                <w:szCs w:val="24"/>
              </w:rPr>
              <w:t>情况</w:t>
            </w:r>
          </w:p>
        </w:tc>
        <w:tc>
          <w:tcPr>
            <w:tcW w:w="896" w:type="pct"/>
            <w:gridSpan w:val="3"/>
            <w:vAlign w:val="center"/>
          </w:tcPr>
          <w:p>
            <w:pPr>
              <w:tabs>
                <w:tab w:val="left" w:pos="4320"/>
              </w:tabs>
              <w:spacing w:before="60" w:after="60"/>
              <w:jc w:val="center"/>
              <w:rPr>
                <w:rFonts w:hint="eastAsia" w:ascii="宋体" w:hAnsi="宋体" w:eastAsia="宋体"/>
                <w:sz w:val="24"/>
                <w:szCs w:val="24"/>
              </w:rPr>
            </w:pPr>
            <w:r>
              <w:rPr>
                <w:rFonts w:hint="eastAsia" w:ascii="宋体" w:hAnsi="宋体" w:eastAsia="宋体"/>
                <w:sz w:val="24"/>
                <w:szCs w:val="24"/>
              </w:rPr>
              <w:t>姓名</w:t>
            </w:r>
          </w:p>
        </w:tc>
        <w:tc>
          <w:tcPr>
            <w:tcW w:w="882" w:type="pct"/>
            <w:gridSpan w:val="2"/>
            <w:vAlign w:val="center"/>
          </w:tcPr>
          <w:p>
            <w:pPr>
              <w:tabs>
                <w:tab w:val="left" w:pos="4320"/>
              </w:tabs>
              <w:spacing w:before="60" w:after="60"/>
              <w:jc w:val="center"/>
              <w:rPr>
                <w:rFonts w:hint="eastAsia" w:ascii="宋体" w:hAnsi="宋体" w:eastAsia="宋体"/>
                <w:sz w:val="24"/>
                <w:szCs w:val="24"/>
              </w:rPr>
            </w:pPr>
            <w:r>
              <w:rPr>
                <w:rFonts w:hint="eastAsia" w:ascii="宋体" w:hAnsi="宋体" w:eastAsia="宋体"/>
                <w:sz w:val="24"/>
                <w:szCs w:val="24"/>
              </w:rPr>
              <w:t>具备证书</w:t>
            </w:r>
          </w:p>
        </w:tc>
        <w:tc>
          <w:tcPr>
            <w:tcW w:w="516" w:type="pct"/>
            <w:vAlign w:val="center"/>
          </w:tcPr>
          <w:p>
            <w:pPr>
              <w:tabs>
                <w:tab w:val="left" w:pos="4320"/>
              </w:tabs>
              <w:spacing w:before="60" w:after="60"/>
              <w:jc w:val="center"/>
              <w:rPr>
                <w:rFonts w:hint="eastAsia" w:ascii="宋体" w:hAnsi="宋体" w:eastAsia="宋体"/>
                <w:sz w:val="24"/>
                <w:szCs w:val="24"/>
              </w:rPr>
            </w:pPr>
            <w:r>
              <w:rPr>
                <w:rFonts w:hint="eastAsia" w:ascii="宋体" w:hAnsi="宋体" w:eastAsia="宋体"/>
                <w:sz w:val="24"/>
                <w:szCs w:val="24"/>
              </w:rPr>
              <w:t>年龄</w:t>
            </w:r>
          </w:p>
        </w:tc>
        <w:tc>
          <w:tcPr>
            <w:tcW w:w="2260" w:type="pct"/>
            <w:gridSpan w:val="3"/>
            <w:tcBorders>
              <w:right w:val="double" w:color="auto" w:sz="4" w:space="0"/>
            </w:tcBorders>
            <w:vAlign w:val="center"/>
          </w:tcPr>
          <w:p>
            <w:pPr>
              <w:tabs>
                <w:tab w:val="left" w:pos="4320"/>
              </w:tabs>
              <w:spacing w:before="60" w:after="60"/>
              <w:jc w:val="center"/>
              <w:rPr>
                <w:rFonts w:hint="eastAsia" w:ascii="宋体" w:hAnsi="宋体" w:eastAsia="宋体"/>
                <w:sz w:val="24"/>
                <w:szCs w:val="24"/>
              </w:rPr>
            </w:pPr>
            <w:r>
              <w:rPr>
                <w:rFonts w:hint="eastAsia" w:ascii="宋体" w:hAnsi="宋体" w:eastAsia="宋体"/>
                <w:sz w:val="24"/>
                <w:szCs w:val="24"/>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hint="eastAsia" w:ascii="宋体" w:hAnsi="宋体" w:eastAsia="宋体"/>
                <w:sz w:val="24"/>
                <w:szCs w:val="24"/>
              </w:rPr>
            </w:pPr>
          </w:p>
        </w:tc>
        <w:tc>
          <w:tcPr>
            <w:tcW w:w="896" w:type="pct"/>
            <w:gridSpan w:val="3"/>
            <w:vAlign w:val="center"/>
          </w:tcPr>
          <w:p>
            <w:pPr>
              <w:tabs>
                <w:tab w:val="left" w:pos="4320"/>
              </w:tabs>
              <w:rPr>
                <w:rFonts w:hint="eastAsia" w:ascii="宋体" w:hAnsi="宋体" w:eastAsia="宋体"/>
                <w:sz w:val="24"/>
                <w:szCs w:val="24"/>
              </w:rPr>
            </w:pPr>
          </w:p>
        </w:tc>
        <w:tc>
          <w:tcPr>
            <w:tcW w:w="882" w:type="pct"/>
            <w:gridSpan w:val="2"/>
            <w:vAlign w:val="center"/>
          </w:tcPr>
          <w:p>
            <w:pPr>
              <w:tabs>
                <w:tab w:val="left" w:pos="4320"/>
              </w:tabs>
              <w:rPr>
                <w:rFonts w:hint="eastAsia" w:ascii="宋体" w:hAnsi="宋体" w:eastAsia="宋体"/>
                <w:sz w:val="24"/>
                <w:szCs w:val="24"/>
              </w:rPr>
            </w:pPr>
          </w:p>
        </w:tc>
        <w:tc>
          <w:tcPr>
            <w:tcW w:w="516" w:type="pct"/>
            <w:vAlign w:val="center"/>
          </w:tcPr>
          <w:p>
            <w:pPr>
              <w:tabs>
                <w:tab w:val="left" w:pos="4320"/>
              </w:tabs>
              <w:rPr>
                <w:rFonts w:hint="eastAsia" w:ascii="宋体" w:hAnsi="宋体" w:eastAsia="宋体"/>
                <w:sz w:val="24"/>
                <w:szCs w:val="24"/>
              </w:rPr>
            </w:pPr>
          </w:p>
        </w:tc>
        <w:tc>
          <w:tcPr>
            <w:tcW w:w="2260" w:type="pct"/>
            <w:gridSpan w:val="3"/>
            <w:tcBorders>
              <w:right w:val="double" w:color="auto" w:sz="4" w:space="0"/>
            </w:tcBorders>
            <w:vAlign w:val="center"/>
          </w:tcPr>
          <w:p>
            <w:pPr>
              <w:tabs>
                <w:tab w:val="left" w:pos="4320"/>
              </w:tabs>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hint="eastAsia" w:ascii="宋体" w:hAnsi="宋体" w:eastAsia="宋体"/>
                <w:sz w:val="24"/>
                <w:szCs w:val="24"/>
              </w:rPr>
            </w:pPr>
          </w:p>
        </w:tc>
        <w:tc>
          <w:tcPr>
            <w:tcW w:w="896" w:type="pct"/>
            <w:gridSpan w:val="3"/>
            <w:vAlign w:val="center"/>
          </w:tcPr>
          <w:p>
            <w:pPr>
              <w:tabs>
                <w:tab w:val="left" w:pos="4320"/>
              </w:tabs>
              <w:rPr>
                <w:rFonts w:hint="eastAsia" w:ascii="宋体" w:hAnsi="宋体" w:eastAsia="宋体"/>
                <w:sz w:val="24"/>
                <w:szCs w:val="24"/>
              </w:rPr>
            </w:pPr>
          </w:p>
        </w:tc>
        <w:tc>
          <w:tcPr>
            <w:tcW w:w="882" w:type="pct"/>
            <w:gridSpan w:val="2"/>
            <w:vAlign w:val="center"/>
          </w:tcPr>
          <w:p>
            <w:pPr>
              <w:tabs>
                <w:tab w:val="left" w:pos="4320"/>
              </w:tabs>
              <w:rPr>
                <w:rFonts w:hint="eastAsia" w:ascii="宋体" w:hAnsi="宋体" w:eastAsia="宋体"/>
                <w:sz w:val="24"/>
                <w:szCs w:val="24"/>
              </w:rPr>
            </w:pPr>
          </w:p>
        </w:tc>
        <w:tc>
          <w:tcPr>
            <w:tcW w:w="516" w:type="pct"/>
            <w:vAlign w:val="center"/>
          </w:tcPr>
          <w:p>
            <w:pPr>
              <w:tabs>
                <w:tab w:val="left" w:pos="4320"/>
              </w:tabs>
              <w:rPr>
                <w:rFonts w:hint="eastAsia" w:ascii="宋体" w:hAnsi="宋体" w:eastAsia="宋体"/>
                <w:sz w:val="24"/>
                <w:szCs w:val="24"/>
              </w:rPr>
            </w:pPr>
          </w:p>
        </w:tc>
        <w:tc>
          <w:tcPr>
            <w:tcW w:w="2260" w:type="pct"/>
            <w:gridSpan w:val="3"/>
            <w:tcBorders>
              <w:right w:val="double" w:color="auto" w:sz="4" w:space="0"/>
            </w:tcBorders>
            <w:vAlign w:val="center"/>
          </w:tcPr>
          <w:p>
            <w:pPr>
              <w:tabs>
                <w:tab w:val="left" w:pos="4320"/>
              </w:tabs>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hint="eastAsia" w:ascii="宋体" w:hAnsi="宋体" w:eastAsia="宋体"/>
                <w:sz w:val="24"/>
                <w:szCs w:val="24"/>
              </w:rPr>
            </w:pPr>
          </w:p>
        </w:tc>
        <w:tc>
          <w:tcPr>
            <w:tcW w:w="896" w:type="pct"/>
            <w:gridSpan w:val="3"/>
            <w:vAlign w:val="center"/>
          </w:tcPr>
          <w:p>
            <w:pPr>
              <w:tabs>
                <w:tab w:val="left" w:pos="4320"/>
              </w:tabs>
              <w:rPr>
                <w:rFonts w:hint="eastAsia" w:ascii="宋体" w:hAnsi="宋体" w:eastAsia="宋体"/>
                <w:sz w:val="24"/>
                <w:szCs w:val="24"/>
              </w:rPr>
            </w:pPr>
          </w:p>
        </w:tc>
        <w:tc>
          <w:tcPr>
            <w:tcW w:w="882" w:type="pct"/>
            <w:gridSpan w:val="2"/>
            <w:vAlign w:val="center"/>
          </w:tcPr>
          <w:p>
            <w:pPr>
              <w:tabs>
                <w:tab w:val="left" w:pos="4320"/>
              </w:tabs>
              <w:rPr>
                <w:rFonts w:hint="eastAsia" w:ascii="宋体" w:hAnsi="宋体" w:eastAsia="宋体"/>
                <w:sz w:val="24"/>
                <w:szCs w:val="24"/>
              </w:rPr>
            </w:pPr>
          </w:p>
        </w:tc>
        <w:tc>
          <w:tcPr>
            <w:tcW w:w="516" w:type="pct"/>
            <w:vAlign w:val="center"/>
          </w:tcPr>
          <w:p>
            <w:pPr>
              <w:tabs>
                <w:tab w:val="left" w:pos="4320"/>
              </w:tabs>
              <w:rPr>
                <w:rFonts w:hint="eastAsia" w:ascii="宋体" w:hAnsi="宋体" w:eastAsia="宋体"/>
                <w:sz w:val="24"/>
                <w:szCs w:val="24"/>
              </w:rPr>
            </w:pPr>
          </w:p>
        </w:tc>
        <w:tc>
          <w:tcPr>
            <w:tcW w:w="2260" w:type="pct"/>
            <w:gridSpan w:val="3"/>
            <w:tcBorders>
              <w:right w:val="double" w:color="auto" w:sz="4" w:space="0"/>
            </w:tcBorders>
            <w:vAlign w:val="center"/>
          </w:tcPr>
          <w:p>
            <w:pPr>
              <w:tabs>
                <w:tab w:val="left" w:pos="4320"/>
              </w:tabs>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continue"/>
            <w:tcBorders>
              <w:left w:val="double" w:color="auto" w:sz="4" w:space="0"/>
            </w:tcBorders>
            <w:vAlign w:val="center"/>
          </w:tcPr>
          <w:p>
            <w:pPr>
              <w:tabs>
                <w:tab w:val="left" w:pos="4320"/>
              </w:tabs>
              <w:rPr>
                <w:rFonts w:hint="eastAsia" w:ascii="宋体" w:hAnsi="宋体" w:eastAsia="宋体"/>
                <w:sz w:val="24"/>
                <w:szCs w:val="24"/>
              </w:rPr>
            </w:pPr>
          </w:p>
        </w:tc>
        <w:tc>
          <w:tcPr>
            <w:tcW w:w="896" w:type="pct"/>
            <w:gridSpan w:val="3"/>
            <w:vAlign w:val="center"/>
          </w:tcPr>
          <w:p>
            <w:pPr>
              <w:tabs>
                <w:tab w:val="left" w:pos="4320"/>
              </w:tabs>
              <w:rPr>
                <w:rFonts w:hint="eastAsia" w:ascii="宋体" w:hAnsi="宋体" w:eastAsia="宋体"/>
                <w:sz w:val="24"/>
                <w:szCs w:val="24"/>
              </w:rPr>
            </w:pPr>
          </w:p>
        </w:tc>
        <w:tc>
          <w:tcPr>
            <w:tcW w:w="882" w:type="pct"/>
            <w:gridSpan w:val="2"/>
            <w:vAlign w:val="center"/>
          </w:tcPr>
          <w:p>
            <w:pPr>
              <w:tabs>
                <w:tab w:val="left" w:pos="4320"/>
              </w:tabs>
              <w:rPr>
                <w:rFonts w:hint="eastAsia" w:ascii="宋体" w:hAnsi="宋体" w:eastAsia="宋体"/>
                <w:sz w:val="24"/>
                <w:szCs w:val="24"/>
              </w:rPr>
            </w:pPr>
          </w:p>
        </w:tc>
        <w:tc>
          <w:tcPr>
            <w:tcW w:w="516" w:type="pct"/>
            <w:vAlign w:val="center"/>
          </w:tcPr>
          <w:p>
            <w:pPr>
              <w:tabs>
                <w:tab w:val="left" w:pos="4320"/>
              </w:tabs>
              <w:rPr>
                <w:rFonts w:hint="eastAsia" w:ascii="宋体" w:hAnsi="宋体" w:eastAsia="宋体"/>
                <w:sz w:val="24"/>
                <w:szCs w:val="24"/>
              </w:rPr>
            </w:pPr>
          </w:p>
        </w:tc>
        <w:tc>
          <w:tcPr>
            <w:tcW w:w="2260" w:type="pct"/>
            <w:gridSpan w:val="3"/>
            <w:tcBorders>
              <w:right w:val="double" w:color="auto" w:sz="4" w:space="0"/>
            </w:tcBorders>
            <w:vAlign w:val="center"/>
          </w:tcPr>
          <w:p>
            <w:pPr>
              <w:tabs>
                <w:tab w:val="left" w:pos="4320"/>
              </w:tabs>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46" w:type="pct"/>
            <w:vMerge w:val="restart"/>
            <w:tcBorders>
              <w:left w:val="double" w:color="auto" w:sz="4" w:space="0"/>
            </w:tcBorders>
            <w:vAlign w:val="center"/>
          </w:tcPr>
          <w:p>
            <w:pPr>
              <w:tabs>
                <w:tab w:val="left" w:pos="4320"/>
              </w:tabs>
              <w:rPr>
                <w:rFonts w:hint="eastAsia" w:ascii="宋体" w:hAnsi="宋体" w:eastAsia="宋体"/>
                <w:sz w:val="24"/>
                <w:szCs w:val="24"/>
              </w:rPr>
            </w:pPr>
            <w:r>
              <w:rPr>
                <w:rFonts w:hint="eastAsia" w:ascii="宋体" w:hAnsi="宋体" w:eastAsia="宋体"/>
                <w:sz w:val="24"/>
                <w:szCs w:val="24"/>
              </w:rPr>
              <w:t>其它</w:t>
            </w:r>
          </w:p>
        </w:tc>
        <w:tc>
          <w:tcPr>
            <w:tcW w:w="2295" w:type="pct"/>
            <w:gridSpan w:val="6"/>
            <w:vAlign w:val="center"/>
          </w:tcPr>
          <w:p>
            <w:pPr>
              <w:tabs>
                <w:tab w:val="left" w:pos="4320"/>
              </w:tabs>
              <w:spacing w:before="60" w:after="60"/>
              <w:rPr>
                <w:rFonts w:hint="eastAsia" w:ascii="宋体" w:hAnsi="宋体" w:eastAsia="宋体"/>
                <w:sz w:val="24"/>
                <w:szCs w:val="24"/>
              </w:rPr>
            </w:pPr>
            <w:r>
              <w:rPr>
                <w:rFonts w:hint="eastAsia" w:ascii="宋体" w:hAnsi="宋体" w:eastAsia="宋体"/>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投标资格将被取消）。</w:t>
            </w:r>
          </w:p>
        </w:tc>
        <w:tc>
          <w:tcPr>
            <w:tcW w:w="2260" w:type="pct"/>
            <w:gridSpan w:val="3"/>
            <w:tcBorders>
              <w:right w:val="double" w:color="auto" w:sz="4" w:space="0"/>
            </w:tcBorders>
            <w:vAlign w:val="center"/>
          </w:tcPr>
          <w:p>
            <w:pPr>
              <w:tabs>
                <w:tab w:val="left" w:pos="4320"/>
              </w:tabs>
              <w:spacing w:before="60" w:after="60"/>
              <w:rPr>
                <w:rFonts w:hint="eastAsia" w:ascii="宋体" w:hAnsi="宋体" w:eastAsia="宋体"/>
                <w:sz w:val="24"/>
                <w:szCs w:val="24"/>
              </w:rPr>
            </w:pPr>
            <w:r>
              <w:rPr>
                <w:rFonts w:hint="eastAsia" w:ascii="宋体" w:hAnsi="宋体" w:eastAsia="宋体"/>
                <w:sz w:val="24"/>
                <w:szCs w:val="24"/>
              </w:rPr>
              <w:t>如有名称变更（非因该单位出现了与资格预审（如果经此程序）时的营业性质的根本改变以至不再满足本次磋商的要求），说明原名称因何种原因变更为现名称，并提供由工商管理部门出具的变更证明文件。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446" w:type="pct"/>
            <w:vMerge w:val="continue"/>
            <w:tcBorders>
              <w:left w:val="double" w:color="auto" w:sz="4" w:space="0"/>
              <w:bottom w:val="double" w:color="auto" w:sz="4" w:space="0"/>
            </w:tcBorders>
            <w:vAlign w:val="center"/>
          </w:tcPr>
          <w:p>
            <w:pPr>
              <w:tabs>
                <w:tab w:val="left" w:pos="4320"/>
              </w:tabs>
              <w:rPr>
                <w:rFonts w:hint="eastAsia" w:ascii="宋体" w:hAnsi="宋体" w:eastAsia="宋体"/>
                <w:sz w:val="24"/>
                <w:szCs w:val="24"/>
              </w:rPr>
            </w:pPr>
          </w:p>
        </w:tc>
        <w:tc>
          <w:tcPr>
            <w:tcW w:w="2295" w:type="pct"/>
            <w:gridSpan w:val="6"/>
            <w:tcBorders>
              <w:bottom w:val="double" w:color="auto" w:sz="4" w:space="0"/>
            </w:tcBorders>
            <w:vAlign w:val="center"/>
          </w:tcPr>
          <w:p>
            <w:pPr>
              <w:tabs>
                <w:tab w:val="left" w:pos="4320"/>
              </w:tabs>
              <w:rPr>
                <w:rFonts w:hint="eastAsia" w:ascii="宋体" w:hAnsi="宋体" w:eastAsia="宋体"/>
                <w:sz w:val="24"/>
                <w:szCs w:val="24"/>
              </w:rPr>
            </w:pPr>
          </w:p>
        </w:tc>
        <w:tc>
          <w:tcPr>
            <w:tcW w:w="2260" w:type="pct"/>
            <w:gridSpan w:val="3"/>
            <w:tcBorders>
              <w:bottom w:val="double" w:color="auto" w:sz="4" w:space="0"/>
              <w:right w:val="double" w:color="auto" w:sz="4" w:space="0"/>
            </w:tcBorders>
            <w:vAlign w:val="center"/>
          </w:tcPr>
          <w:p>
            <w:pPr>
              <w:tabs>
                <w:tab w:val="left" w:pos="4320"/>
              </w:tabs>
              <w:rPr>
                <w:rFonts w:hint="eastAsia" w:ascii="宋体" w:hAnsi="宋体" w:eastAsia="宋体"/>
                <w:sz w:val="24"/>
                <w:szCs w:val="24"/>
              </w:rPr>
            </w:pPr>
          </w:p>
        </w:tc>
      </w:tr>
    </w:tbl>
    <w:p>
      <w:pPr>
        <w:widowControl/>
        <w:jc w:val="left"/>
        <w:rPr>
          <w:rFonts w:hint="eastAsia" w:ascii="宋体" w:hAnsi="宋体" w:eastAsia="宋体"/>
          <w:b/>
          <w:sz w:val="28"/>
          <w:szCs w:val="28"/>
        </w:rPr>
      </w:pPr>
    </w:p>
    <w:p>
      <w:pPr>
        <w:snapToGrid w:val="0"/>
        <w:spacing w:after="380" w:afterLines="100" w:line="520" w:lineRule="exact"/>
        <w:jc w:val="center"/>
        <w:rPr>
          <w:b/>
          <w:sz w:val="36"/>
          <w:szCs w:val="36"/>
        </w:rPr>
      </w:pPr>
      <w:r>
        <w:rPr>
          <w:rFonts w:ascii="宋体" w:hAnsi="宋体" w:eastAsia="宋体"/>
          <w:b/>
          <w:sz w:val="28"/>
          <w:szCs w:val="28"/>
        </w:rPr>
        <w:br w:type="page"/>
      </w:r>
      <w:r>
        <w:rPr>
          <w:rFonts w:hint="eastAsia" w:ascii="宋体" w:hAnsi="宋体" w:eastAsia="宋体"/>
          <w:b/>
          <w:sz w:val="28"/>
          <w:szCs w:val="28"/>
        </w:rPr>
        <w:t>技术响应正负偏离表</w:t>
      </w:r>
    </w:p>
    <w:p>
      <w:pPr>
        <w:ind w:firstLine="480" w:firstLineChars="200"/>
        <w:jc w:val="center"/>
        <w:rPr>
          <w:rFonts w:ascii="宋体" w:hAnsi="宋体" w:eastAsia="宋体"/>
          <w:sz w:val="24"/>
          <w:szCs w:val="24"/>
        </w:rPr>
      </w:pPr>
      <w:r>
        <w:rPr>
          <w:rFonts w:hint="eastAsia" w:ascii="宋体" w:hAnsi="宋体" w:eastAsia="宋体"/>
          <w:sz w:val="24"/>
          <w:szCs w:val="24"/>
        </w:rPr>
        <w:t>（由供应商据实提交，表格不够自行添加）</w:t>
      </w:r>
    </w:p>
    <w:p>
      <w:pPr>
        <w:spacing w:line="320" w:lineRule="exact"/>
        <w:rPr>
          <w:rFonts w:hint="eastAsia" w:ascii="宋体" w:hAnsi="宋体" w:eastAsia="宋体" w:cs="宋体"/>
          <w:sz w:val="24"/>
          <w:u w:val="single"/>
        </w:rPr>
      </w:pPr>
      <w:r>
        <w:rPr>
          <w:rFonts w:hint="eastAsia" w:ascii="宋体" w:hAnsi="宋体" w:eastAsia="宋体" w:cs="宋体"/>
          <w:sz w:val="24"/>
          <w:lang w:eastAsia="zh-CN"/>
        </w:rPr>
        <w:t>项目</w:t>
      </w:r>
      <w:r>
        <w:rPr>
          <w:rFonts w:hint="eastAsia" w:ascii="宋体" w:hAnsi="宋体" w:eastAsia="宋体" w:cs="宋体"/>
          <w:sz w:val="24"/>
        </w:rPr>
        <w:t>名称：</w:t>
      </w:r>
    </w:p>
    <w:tbl>
      <w:tblPr>
        <w:tblStyle w:val="58"/>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1"/>
        <w:gridCol w:w="1421"/>
        <w:gridCol w:w="3045"/>
        <w:gridCol w:w="3061"/>
        <w:gridCol w:w="15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序号</w:t>
            </w:r>
          </w:p>
        </w:tc>
        <w:tc>
          <w:tcPr>
            <w:tcW w:w="721"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项目</w:t>
            </w:r>
          </w:p>
        </w:tc>
        <w:tc>
          <w:tcPr>
            <w:tcW w:w="1545"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磋商文件要求</w:t>
            </w:r>
          </w:p>
        </w:tc>
        <w:tc>
          <w:tcPr>
            <w:tcW w:w="1553" w:type="pct"/>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响应文件响应情况</w:t>
            </w:r>
          </w:p>
        </w:tc>
        <w:tc>
          <w:tcPr>
            <w:tcW w:w="809" w:type="pct"/>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eastAsia="宋体"/>
                <w:sz w:val="24"/>
                <w:szCs w:val="24"/>
              </w:rPr>
            </w:pPr>
          </w:p>
          <w:p>
            <w:pPr>
              <w:spacing w:line="340" w:lineRule="exact"/>
              <w:jc w:val="center"/>
              <w:rPr>
                <w:rFonts w:ascii="宋体" w:hAnsi="宋体" w:eastAsia="宋体"/>
                <w:sz w:val="24"/>
                <w:szCs w:val="24"/>
              </w:rPr>
            </w:pPr>
            <w:r>
              <w:rPr>
                <w:rFonts w:hint="eastAsia" w:ascii="宋体" w:hAnsi="宋体" w:eastAsia="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1</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2</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3</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ind w:firstLine="480" w:firstLineChars="200"/>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371" w:type="pct"/>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4</w:t>
            </w:r>
          </w:p>
        </w:tc>
        <w:tc>
          <w:tcPr>
            <w:tcW w:w="721" w:type="pct"/>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53" w:type="pct"/>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371" w:type="pct"/>
            <w:tcBorders>
              <w:top w:val="single" w:color="auto" w:sz="6" w:space="0"/>
              <w:left w:val="single" w:color="auto" w:sz="12" w:space="0"/>
              <w:bottom w:val="single" w:color="auto" w:sz="12" w:space="0"/>
              <w:right w:val="single" w:color="auto" w:sz="6" w:space="0"/>
            </w:tcBorders>
            <w:vAlign w:val="center"/>
          </w:tcPr>
          <w:p>
            <w:pPr>
              <w:spacing w:line="340" w:lineRule="exact"/>
              <w:jc w:val="center"/>
              <w:rPr>
                <w:rFonts w:hint="eastAsia" w:ascii="宋体" w:hAnsi="宋体" w:eastAsia="宋体"/>
                <w:sz w:val="24"/>
                <w:szCs w:val="24"/>
              </w:rPr>
            </w:pPr>
            <w:r>
              <w:rPr>
                <w:rFonts w:ascii="宋体" w:hAnsi="宋体" w:eastAsia="宋体"/>
                <w:sz w:val="24"/>
                <w:szCs w:val="24"/>
              </w:rPr>
              <w:t>…</w:t>
            </w:r>
          </w:p>
        </w:tc>
        <w:tc>
          <w:tcPr>
            <w:tcW w:w="721" w:type="pct"/>
            <w:tcBorders>
              <w:top w:val="single" w:color="auto" w:sz="6" w:space="0"/>
              <w:left w:val="single" w:color="auto" w:sz="6" w:space="0"/>
              <w:bottom w:val="single" w:color="auto" w:sz="12" w:space="0"/>
              <w:right w:val="single" w:color="auto" w:sz="6" w:space="0"/>
            </w:tcBorders>
            <w:vAlign w:val="center"/>
          </w:tcPr>
          <w:p>
            <w:pPr>
              <w:spacing w:line="340" w:lineRule="exact"/>
              <w:jc w:val="center"/>
              <w:rPr>
                <w:rFonts w:ascii="宋体" w:hAnsi="宋体" w:eastAsia="宋体"/>
                <w:sz w:val="24"/>
                <w:szCs w:val="24"/>
              </w:rPr>
            </w:pPr>
          </w:p>
        </w:tc>
        <w:tc>
          <w:tcPr>
            <w:tcW w:w="1545" w:type="pct"/>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1553" w:type="pct"/>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809" w:type="pct"/>
            <w:tcBorders>
              <w:top w:val="single" w:color="auto" w:sz="6" w:space="0"/>
              <w:left w:val="single" w:color="auto" w:sz="6" w:space="0"/>
              <w:bottom w:val="single" w:color="auto" w:sz="12" w:space="0"/>
              <w:right w:val="single" w:color="auto" w:sz="12" w:space="0"/>
            </w:tcBorders>
          </w:tcPr>
          <w:p>
            <w:pPr>
              <w:spacing w:line="340" w:lineRule="exact"/>
              <w:rPr>
                <w:rFonts w:ascii="宋体" w:hAnsi="宋体" w:eastAsia="宋体"/>
                <w:sz w:val="24"/>
                <w:szCs w:val="24"/>
              </w:rPr>
            </w:pPr>
          </w:p>
        </w:tc>
      </w:tr>
    </w:tbl>
    <w:p>
      <w:pPr>
        <w:spacing w:line="260" w:lineRule="exact"/>
        <w:rPr>
          <w:sz w:val="24"/>
          <w:u w:val="single"/>
        </w:rPr>
      </w:pPr>
    </w:p>
    <w:p>
      <w:pPr>
        <w:pStyle w:val="28"/>
        <w:snapToGrid w:val="0"/>
        <w:spacing w:line="300" w:lineRule="auto"/>
        <w:contextualSpacing/>
        <w:rPr>
          <w:rFonts w:hint="eastAsia" w:hAnsi="宋体" w:eastAsia="宋体"/>
          <w:b/>
          <w:sz w:val="24"/>
          <w:szCs w:val="24"/>
        </w:rPr>
      </w:pPr>
      <w:r>
        <w:rPr>
          <w:rFonts w:hint="eastAsia" w:hAnsi="宋体" w:eastAsia="宋体"/>
          <w:b/>
          <w:sz w:val="24"/>
          <w:szCs w:val="24"/>
        </w:rPr>
        <w:t>注：</w:t>
      </w:r>
    </w:p>
    <w:p>
      <w:pPr>
        <w:pStyle w:val="28"/>
        <w:snapToGrid w:val="0"/>
        <w:spacing w:line="300" w:lineRule="auto"/>
        <w:ind w:firstLine="480" w:firstLineChars="200"/>
        <w:contextualSpacing/>
        <w:rPr>
          <w:rFonts w:hint="eastAsia" w:hAnsi="宋体" w:eastAsia="宋体"/>
          <w:sz w:val="24"/>
          <w:szCs w:val="24"/>
        </w:rPr>
      </w:pPr>
      <w:r>
        <w:rPr>
          <w:rFonts w:hint="eastAsia" w:hAnsi="宋体" w:eastAsia="宋体"/>
          <w:sz w:val="24"/>
          <w:szCs w:val="24"/>
        </w:rPr>
        <w:t>1</w:t>
      </w:r>
      <w:r>
        <w:rPr>
          <w:rFonts w:hint="eastAsia" w:hAnsi="宋体" w:eastAsia="宋体"/>
          <w:sz w:val="24"/>
          <w:szCs w:val="24"/>
          <w:lang w:eastAsia="zh-CN"/>
        </w:rPr>
        <w:t>、</w:t>
      </w:r>
      <w:r>
        <w:rPr>
          <w:rFonts w:hint="eastAsia" w:hAnsi="宋体" w:eastAsia="宋体"/>
          <w:sz w:val="24"/>
          <w:szCs w:val="24"/>
        </w:rPr>
        <w:t>供应商提交的响应文件中与磋商文件第三部分“项目需求说明”中的要求有不同时，应逐条填列在偏离表中，否则将认为供应商接受磋商文件的所有要求。完全响应部分不填。</w:t>
      </w:r>
    </w:p>
    <w:p>
      <w:pPr>
        <w:pStyle w:val="28"/>
        <w:snapToGrid w:val="0"/>
        <w:spacing w:line="300" w:lineRule="auto"/>
        <w:ind w:firstLine="480" w:firstLineChars="200"/>
        <w:contextualSpacing/>
        <w:rPr>
          <w:rFonts w:hint="eastAsia" w:hAnsi="宋体" w:eastAsia="宋体"/>
          <w:sz w:val="24"/>
          <w:szCs w:val="24"/>
        </w:rPr>
      </w:pPr>
      <w:r>
        <w:rPr>
          <w:rFonts w:hint="eastAsia" w:hAnsi="宋体" w:eastAsia="宋体"/>
          <w:sz w:val="24"/>
          <w:szCs w:val="24"/>
        </w:rPr>
        <w:t>2、“偏离说明”一栏选择“正偏离”、“负偏离”进行填写。正偏离的确认和负偏离的是否响应磋商文件，经三分之二评委认定。</w:t>
      </w:r>
    </w:p>
    <w:p>
      <w:pPr>
        <w:snapToGrid w:val="0"/>
        <w:spacing w:line="300" w:lineRule="auto"/>
        <w:ind w:firstLine="480" w:firstLineChars="200"/>
        <w:contextualSpacing/>
        <w:rPr>
          <w:rFonts w:hint="eastAsia" w:ascii="宋体" w:hAnsi="宋体" w:eastAsia="宋体"/>
          <w:sz w:val="24"/>
          <w:szCs w:val="24"/>
        </w:rPr>
      </w:pPr>
      <w:r>
        <w:rPr>
          <w:rFonts w:hint="eastAsia" w:ascii="宋体" w:hAnsi="宋体" w:eastAsia="宋体"/>
          <w:sz w:val="24"/>
          <w:szCs w:val="24"/>
        </w:rPr>
        <w:t>3、供应商如果虚假响应，将承担被没收全额磋商保证金的风险。</w:t>
      </w:r>
    </w:p>
    <w:p>
      <w:pPr>
        <w:snapToGrid w:val="0"/>
        <w:spacing w:line="300" w:lineRule="auto"/>
        <w:ind w:firstLine="480" w:firstLineChars="200"/>
        <w:contextualSpacing/>
        <w:rPr>
          <w:rFonts w:ascii="宋体" w:hAnsi="宋体" w:eastAsia="宋体"/>
          <w:sz w:val="24"/>
          <w:szCs w:val="24"/>
        </w:rPr>
      </w:pPr>
      <w:r>
        <w:rPr>
          <w:rFonts w:hint="eastAsia" w:ascii="宋体" w:hAnsi="宋体" w:eastAsia="宋体"/>
          <w:bCs/>
          <w:sz w:val="24"/>
          <w:szCs w:val="24"/>
        </w:rPr>
        <w:t>4、供应商若提供其他增值服务，可以在表中自行据实填写。</w:t>
      </w:r>
    </w:p>
    <w:p>
      <w:pPr>
        <w:widowControl/>
        <w:jc w:val="left"/>
        <w:rPr>
          <w:rFonts w:ascii="宋体" w:hAnsi="宋体" w:eastAsia="宋体"/>
          <w:b/>
          <w:sz w:val="28"/>
          <w:szCs w:val="28"/>
        </w:rPr>
      </w:pPr>
    </w:p>
    <w:p>
      <w:pPr>
        <w:widowControl/>
        <w:jc w:val="left"/>
        <w:rPr>
          <w:rFonts w:ascii="宋体" w:hAnsi="宋体" w:eastAsia="宋体"/>
          <w:b/>
          <w:sz w:val="28"/>
          <w:szCs w:val="28"/>
        </w:rPr>
      </w:pPr>
      <w:r>
        <w:rPr>
          <w:rFonts w:ascii="宋体" w:hAnsi="宋体" w:eastAsia="宋体"/>
          <w:b/>
          <w:sz w:val="28"/>
          <w:szCs w:val="28"/>
        </w:rPr>
        <w:br w:type="page"/>
      </w:r>
    </w:p>
    <w:p>
      <w:pPr>
        <w:snapToGrid w:val="0"/>
        <w:spacing w:line="520" w:lineRule="exact"/>
        <w:jc w:val="center"/>
        <w:outlineLvl w:val="3"/>
        <w:rPr>
          <w:rFonts w:ascii="宋体" w:hAnsi="宋体" w:eastAsia="宋体" w:cs="宋体"/>
          <w:b/>
          <w:bCs/>
          <w:sz w:val="24"/>
          <w:szCs w:val="24"/>
        </w:rPr>
      </w:pPr>
      <w:r>
        <w:rPr>
          <w:rFonts w:hint="eastAsia" w:ascii="宋体" w:hAnsi="宋体" w:eastAsia="宋体"/>
          <w:b/>
          <w:sz w:val="28"/>
          <w:szCs w:val="28"/>
        </w:rPr>
        <w:t>竞争性磋商响应函</w:t>
      </w:r>
      <w:r>
        <w:rPr>
          <w:rFonts w:hint="eastAsia" w:ascii="宋体" w:hAnsi="宋体" w:eastAsia="宋体" w:cs="宋体"/>
          <w:bCs/>
          <w:sz w:val="24"/>
          <w:szCs w:val="24"/>
        </w:rPr>
        <w:t>（</w:t>
      </w:r>
      <w:r>
        <w:rPr>
          <w:rFonts w:hint="eastAsia" w:ascii="宋体" w:hAnsi="宋体" w:eastAsia="宋体" w:cs="宋体"/>
          <w:bCs/>
          <w:sz w:val="24"/>
          <w:szCs w:val="24"/>
          <w:u w:val="single"/>
        </w:rPr>
        <w:t>格式不得变动</w:t>
      </w:r>
      <w:r>
        <w:rPr>
          <w:rFonts w:hint="eastAsia" w:ascii="宋体" w:hAnsi="宋体" w:eastAsia="宋体" w:cs="宋体"/>
          <w:bCs/>
          <w:sz w:val="24"/>
          <w:szCs w:val="24"/>
        </w:rPr>
        <w:t>）</w:t>
      </w:r>
    </w:p>
    <w:p>
      <w:pPr>
        <w:overflowPunct w:val="0"/>
        <w:adjustRightInd w:val="0"/>
        <w:spacing w:line="520" w:lineRule="exact"/>
        <w:jc w:val="left"/>
        <w:textAlignment w:val="baseline"/>
        <w:rPr>
          <w:rFonts w:ascii="宋体" w:hAnsi="宋体" w:eastAsia="宋体" w:cs="宋体"/>
          <w:sz w:val="24"/>
          <w:szCs w:val="24"/>
          <w:u w:val="single"/>
        </w:rPr>
      </w:pPr>
      <w:r>
        <w:rPr>
          <w:rFonts w:hint="eastAsia" w:ascii="宋体" w:hAnsi="宋体" w:eastAsia="宋体" w:cs="宋体"/>
          <w:b/>
          <w:sz w:val="24"/>
          <w:szCs w:val="24"/>
          <w:u w:val="single"/>
        </w:rPr>
        <w:t>南通市妇幼保健院</w:t>
      </w:r>
      <w:r>
        <w:rPr>
          <w:rFonts w:hint="eastAsia" w:ascii="宋体" w:hAnsi="宋体" w:eastAsia="宋体" w:cs="宋体"/>
          <w:sz w:val="24"/>
          <w:szCs w:val="24"/>
          <w:u w:val="single"/>
        </w:rPr>
        <w:t xml:space="preserve"> ：</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依据贵单位委托代理机构组织的</w:t>
      </w:r>
      <w:r>
        <w:rPr>
          <w:rFonts w:hint="eastAsia" w:ascii="宋体" w:hAnsi="宋体" w:eastAsia="宋体" w:cs="宋体"/>
          <w:sz w:val="24"/>
          <w:szCs w:val="24"/>
          <w:u w:val="single"/>
        </w:rPr>
        <w:t xml:space="preserve">               </w:t>
      </w:r>
      <w:r>
        <w:rPr>
          <w:rFonts w:hint="eastAsia" w:ascii="宋体" w:hAnsi="宋体" w:eastAsia="宋体" w:cs="宋体"/>
          <w:sz w:val="24"/>
          <w:szCs w:val="24"/>
        </w:rPr>
        <w:t>（磋商项目名称)项目竞争性磋商的邀请，我方授权</w:t>
      </w:r>
      <w:r>
        <w:rPr>
          <w:rFonts w:hint="eastAsia" w:ascii="宋体" w:hAnsi="宋体" w:eastAsia="宋体" w:cs="宋体"/>
          <w:sz w:val="24"/>
          <w:szCs w:val="24"/>
          <w:u w:val="single"/>
        </w:rPr>
        <w:t xml:space="preserve">    </w:t>
      </w: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（职务）为全权代表参加该项目的磋商工作，全权处理本次竞争性磋商的有关事宜。同时，我公司声明如下：</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1、同意并接受竞争性磋商文件的各项要求，遵守竞争性磋商文件中的各项规定，按竞争性磋商文件的要求提供报价。</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3、我公司已毫无保留地向贵方提供一切所需的证明材料。</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我公司承诺在本次磋商响应中提供的一切文件，无论是原件还是复印件均真实有效，绝无任何虚假、伪造和夸大的成份，且我公司提供的文件及为履行本磋商相对应的合同义务而完成的任何工作成果均不会涉嫌侵犯第三人的知识产权。否则，愿承担相应的后果和法律责任。</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我公司尊重磋商小组所作的评定结果，同时清楚理解到报价最低并非意味着必定获得成交资格。</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hAnsi="宋体" w:eastAsia="宋体" w:cs="宋体"/>
          <w:sz w:val="24"/>
          <w:szCs w:val="24"/>
        </w:rPr>
      </w:pP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竞争性磋商响应单位：</w:t>
      </w:r>
      <w:r>
        <w:rPr>
          <w:rFonts w:hint="eastAsia" w:ascii="宋体" w:hAnsi="宋体" w:eastAsia="宋体" w:cs="宋体"/>
          <w:sz w:val="24"/>
          <w:szCs w:val="24"/>
          <w:u w:val="single"/>
        </w:rPr>
        <w:t xml:space="preserve">                    </w:t>
      </w:r>
      <w:r>
        <w:rPr>
          <w:rFonts w:hint="eastAsia" w:ascii="宋体" w:hAnsi="宋体" w:eastAsia="宋体" w:cs="宋体"/>
          <w:sz w:val="24"/>
          <w:szCs w:val="24"/>
        </w:rPr>
        <w:t>（加盖公章）</w:t>
      </w:r>
    </w:p>
    <w:p>
      <w:pPr>
        <w:snapToGrid w:val="0"/>
        <w:spacing w:line="520" w:lineRule="exact"/>
        <w:ind w:firstLine="2400" w:firstLineChars="1000"/>
        <w:jc w:val="right"/>
        <w:rPr>
          <w:rFonts w:ascii="宋体" w:hAnsi="宋体" w:eastAsia="宋体" w:cs="宋体"/>
          <w:sz w:val="24"/>
          <w:szCs w:val="24"/>
        </w:rPr>
      </w:pPr>
      <w:r>
        <w:rPr>
          <w:rFonts w:hint="eastAsia" w:ascii="宋体" w:hAnsi="宋体" w:eastAsia="宋体" w:cs="宋体"/>
          <w:sz w:val="24"/>
          <w:szCs w:val="24"/>
        </w:rPr>
        <w:t>法定代表人或被授权人：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 xml:space="preserve"> 年      月     日</w:t>
      </w: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pStyle w:val="20"/>
        <w:rPr>
          <w:rFonts w:ascii="宋体" w:hAnsi="宋体" w:eastAsia="宋体" w:cs="宋体"/>
        </w:rPr>
      </w:pPr>
    </w:p>
    <w:p/>
    <w:p>
      <w:pPr>
        <w:snapToGrid w:val="0"/>
        <w:spacing w:after="380" w:afterLines="100" w:line="520" w:lineRule="exact"/>
        <w:jc w:val="center"/>
        <w:rPr>
          <w:rFonts w:ascii="宋体" w:hAnsi="宋体" w:eastAsia="宋体" w:cs="宋体"/>
          <w:b/>
          <w:sz w:val="28"/>
          <w:szCs w:val="28"/>
        </w:rPr>
      </w:pPr>
      <w:r>
        <w:rPr>
          <w:rFonts w:hint="eastAsia" w:ascii="宋体" w:hAnsi="宋体" w:eastAsia="宋体"/>
          <w:b/>
          <w:sz w:val="28"/>
          <w:szCs w:val="28"/>
        </w:rPr>
        <w:br w:type="page"/>
      </w:r>
      <w:r>
        <w:rPr>
          <w:rFonts w:hint="eastAsia" w:ascii="宋体" w:hAnsi="宋体" w:eastAsia="宋体" w:cs="宋体"/>
          <w:b/>
          <w:sz w:val="28"/>
          <w:szCs w:val="28"/>
        </w:rPr>
        <w:t>磋商响应报价总表</w:t>
      </w:r>
    </w:p>
    <w:p>
      <w:pPr>
        <w:kinsoku w:val="0"/>
        <w:topLinePunct/>
        <w:snapToGrid w:val="0"/>
        <w:spacing w:line="520" w:lineRule="exact"/>
        <w:rPr>
          <w:rFonts w:ascii="方正仿宋_GBK" w:eastAsia="宋体"/>
          <w:b/>
          <w:sz w:val="24"/>
          <w:szCs w:val="24"/>
        </w:rPr>
      </w:pPr>
      <w:r>
        <w:rPr>
          <w:rFonts w:hint="eastAsia" w:ascii="宋体" w:hAnsi="宋体" w:eastAsia="宋体" w:cs="宋体"/>
          <w:sz w:val="24"/>
          <w:szCs w:val="24"/>
        </w:rPr>
        <w:t>项目名称</w:t>
      </w:r>
      <w:r>
        <w:rPr>
          <w:rFonts w:ascii="方正仿宋_GBK" w:eastAsia="宋体"/>
          <w:b/>
          <w:sz w:val="24"/>
          <w:szCs w:val="24"/>
        </w:rPr>
        <w:t>：</w:t>
      </w:r>
    </w:p>
    <w:tbl>
      <w:tblPr>
        <w:tblStyle w:val="58"/>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80"/>
        <w:gridCol w:w="5088"/>
        <w:gridCol w:w="23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1208"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报价轮次</w:t>
            </w:r>
          </w:p>
        </w:tc>
        <w:tc>
          <w:tcPr>
            <w:tcW w:w="2582"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hint="eastAsia" w:ascii="方正仿宋_GBK" w:eastAsia="宋体"/>
                <w:b/>
                <w:sz w:val="24"/>
                <w:szCs w:val="24"/>
                <w:lang w:eastAsia="zh-CN"/>
              </w:rPr>
            </w:pPr>
            <w:r>
              <w:rPr>
                <w:rFonts w:hint="eastAsia" w:ascii="方正仿宋_GBK" w:eastAsia="宋体"/>
                <w:b/>
                <w:sz w:val="24"/>
                <w:szCs w:val="24"/>
              </w:rPr>
              <w:t>磋商总报价</w:t>
            </w:r>
            <w:r>
              <w:rPr>
                <w:rFonts w:hint="eastAsia" w:ascii="方正仿宋_GBK" w:eastAsia="宋体"/>
                <w:b/>
                <w:sz w:val="24"/>
                <w:szCs w:val="24"/>
                <w:lang w:eastAsia="zh-CN"/>
              </w:rPr>
              <w:t>（每年）</w:t>
            </w:r>
          </w:p>
        </w:tc>
        <w:tc>
          <w:tcPr>
            <w:tcW w:w="1209"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208"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Cs/>
                <w:sz w:val="24"/>
                <w:szCs w:val="24"/>
              </w:rPr>
            </w:pPr>
            <w:r>
              <w:rPr>
                <w:rFonts w:hint="eastAsia" w:ascii="方正仿宋_GBK" w:eastAsia="宋体"/>
                <w:bCs/>
                <w:sz w:val="24"/>
                <w:szCs w:val="24"/>
              </w:rPr>
              <w:t>首轮</w:t>
            </w:r>
            <w:r>
              <w:rPr>
                <w:rFonts w:ascii="方正仿宋_GBK" w:eastAsia="宋体"/>
                <w:bCs/>
                <w:sz w:val="24"/>
                <w:szCs w:val="24"/>
              </w:rPr>
              <w:t>报价</w:t>
            </w:r>
          </w:p>
        </w:tc>
        <w:tc>
          <w:tcPr>
            <w:tcW w:w="2582"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1209" w:type="pct"/>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bl>
    <w:p>
      <w:pPr>
        <w:kinsoku w:val="0"/>
        <w:topLinePunct/>
        <w:snapToGrid w:val="0"/>
        <w:spacing w:line="520" w:lineRule="exact"/>
        <w:rPr>
          <w:rFonts w:ascii="宋体" w:hAnsi="宋体" w:eastAsia="宋体" w:cs="宋体"/>
          <w:sz w:val="24"/>
          <w:szCs w:val="24"/>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投标供应商：（盖章）             </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日期：</w:t>
      </w:r>
    </w:p>
    <w:p>
      <w:pPr>
        <w:kinsoku w:val="0"/>
        <w:topLinePunct/>
        <w:snapToGrid w:val="0"/>
        <w:spacing w:line="520" w:lineRule="exact"/>
        <w:rPr>
          <w:rFonts w:ascii="方正仿宋_GBK" w:eastAsia="宋体"/>
          <w:b/>
          <w:sz w:val="24"/>
          <w:szCs w:val="24"/>
        </w:rPr>
      </w:pPr>
    </w:p>
    <w:p>
      <w:pPr>
        <w:pStyle w:val="57"/>
        <w:ind w:left="520" w:firstLine="482"/>
        <w:rPr>
          <w:rFonts w:ascii="方正仿宋_GBK"/>
          <w:b/>
          <w:sz w:val="24"/>
        </w:rPr>
      </w:pPr>
    </w:p>
    <w:p>
      <w:pPr>
        <w:kinsoku w:val="0"/>
        <w:topLinePunct/>
        <w:snapToGrid w:val="0"/>
        <w:spacing w:line="520" w:lineRule="exact"/>
        <w:rPr>
          <w:rFonts w:ascii="方正仿宋_GBK" w:eastAsia="宋体"/>
          <w:b/>
          <w:sz w:val="24"/>
          <w:szCs w:val="24"/>
        </w:rPr>
      </w:pPr>
      <w:r>
        <w:rPr>
          <w:rFonts w:hint="eastAsia" w:ascii="方正仿宋_GBK" w:eastAsia="宋体"/>
          <w:b/>
          <w:sz w:val="24"/>
          <w:szCs w:val="24"/>
        </w:rPr>
        <w:t>注：</w:t>
      </w:r>
    </w:p>
    <w:p>
      <w:pPr>
        <w:numPr>
          <w:ilvl w:val="0"/>
          <w:numId w:val="3"/>
        </w:numPr>
        <w:kinsoku w:val="0"/>
        <w:topLinePunct/>
        <w:snapToGrid w:val="0"/>
        <w:spacing w:line="360" w:lineRule="auto"/>
        <w:rPr>
          <w:rFonts w:ascii="方正仿宋_GBK" w:eastAsia="宋体"/>
          <w:sz w:val="24"/>
          <w:szCs w:val="24"/>
        </w:rPr>
      </w:pPr>
      <w:r>
        <w:rPr>
          <w:rFonts w:ascii="方正仿宋_GBK" w:eastAsia="宋体"/>
          <w:sz w:val="24"/>
          <w:szCs w:val="24"/>
        </w:rPr>
        <w:t>本表</w:t>
      </w:r>
      <w:r>
        <w:rPr>
          <w:rFonts w:hint="eastAsia" w:ascii="方正仿宋_GBK" w:eastAsia="宋体"/>
          <w:sz w:val="24"/>
          <w:szCs w:val="24"/>
        </w:rPr>
        <w:t>为格式表</w:t>
      </w:r>
      <w:r>
        <w:rPr>
          <w:rFonts w:ascii="方正仿宋_GBK" w:eastAsia="宋体"/>
          <w:sz w:val="24"/>
          <w:szCs w:val="24"/>
        </w:rPr>
        <w:t>，</w:t>
      </w:r>
      <w:r>
        <w:rPr>
          <w:rFonts w:hint="eastAsia" w:ascii="方正仿宋_GBK" w:eastAsia="宋体"/>
          <w:sz w:val="24"/>
          <w:szCs w:val="24"/>
        </w:rPr>
        <w:t>不得自行改动，必须提供</w:t>
      </w:r>
      <w:r>
        <w:rPr>
          <w:rFonts w:ascii="方正仿宋_GBK" w:eastAsia="宋体"/>
          <w:sz w:val="24"/>
          <w:szCs w:val="24"/>
        </w:rPr>
        <w:t>。</w:t>
      </w:r>
    </w:p>
    <w:p>
      <w:pPr>
        <w:numPr>
          <w:ilvl w:val="0"/>
          <w:numId w:val="3"/>
        </w:numPr>
        <w:kinsoku w:val="0"/>
        <w:topLinePunct/>
        <w:snapToGrid w:val="0"/>
        <w:spacing w:line="360" w:lineRule="auto"/>
        <w:rPr>
          <w:rFonts w:ascii="宋体" w:hAnsi="宋体" w:eastAsia="宋体" w:cs="宋体"/>
          <w:sz w:val="24"/>
          <w:szCs w:val="24"/>
        </w:rPr>
      </w:pPr>
      <w:r>
        <w:rPr>
          <w:rFonts w:hint="eastAsia" w:ascii="宋体" w:hAnsi="宋体" w:eastAsia="宋体" w:cs="宋体"/>
          <w:sz w:val="24"/>
          <w:szCs w:val="24"/>
        </w:rPr>
        <w:t>第二次报价、第三次报价（如有）将在开标现场填写，报价响应文件密封提交时只需填写“首轮报价”。</w:t>
      </w:r>
      <w:r>
        <w:rPr>
          <w:rFonts w:hint="eastAsia" w:ascii="宋体" w:hAnsi="宋体" w:eastAsia="宋体" w:cs="宋体"/>
          <w:b/>
          <w:bCs/>
          <w:sz w:val="24"/>
          <w:szCs w:val="24"/>
        </w:rPr>
        <w:t>且第二次、第三次报价时，磋商响应报价明细表按同比例下浮。</w:t>
      </w:r>
    </w:p>
    <w:p>
      <w:pPr>
        <w:rPr>
          <w:rFonts w:ascii="宋体" w:hAnsi="宋体" w:eastAsia="宋体" w:cs="宋体"/>
          <w:sz w:val="24"/>
          <w:szCs w:val="24"/>
        </w:rPr>
      </w:pPr>
      <w:r>
        <w:rPr>
          <w:rFonts w:hint="eastAsia" w:ascii="宋体" w:hAnsi="宋体" w:eastAsia="宋体" w:cs="宋体"/>
          <w:b/>
          <w:bCs/>
          <w:sz w:val="24"/>
          <w:szCs w:val="24"/>
        </w:rPr>
        <w:br w:type="page"/>
      </w:r>
    </w:p>
    <w:p>
      <w:pPr>
        <w:pStyle w:val="57"/>
        <w:ind w:left="0" w:leftChars="0" w:firstLine="0" w:firstLineChars="0"/>
        <w:jc w:val="center"/>
        <w:rPr>
          <w:rFonts w:hint="eastAsia" w:ascii="宋体" w:hAnsi="宋体" w:cs="宋体"/>
          <w:b/>
          <w:sz w:val="28"/>
          <w:szCs w:val="28"/>
          <w:lang w:eastAsia="zh-CN"/>
        </w:rPr>
      </w:pPr>
      <w:r>
        <w:rPr>
          <w:rFonts w:hint="eastAsia" w:ascii="宋体" w:hAnsi="宋体" w:eastAsia="宋体" w:cs="宋体"/>
          <w:b/>
          <w:sz w:val="28"/>
          <w:szCs w:val="28"/>
        </w:rPr>
        <w:t>磋商响应报价</w:t>
      </w:r>
      <w:r>
        <w:rPr>
          <w:rFonts w:hint="eastAsia" w:ascii="宋体" w:hAnsi="宋体" w:cs="宋体"/>
          <w:b/>
          <w:sz w:val="28"/>
          <w:szCs w:val="28"/>
          <w:lang w:eastAsia="zh-CN"/>
        </w:rPr>
        <w:t>明细表</w:t>
      </w:r>
    </w:p>
    <w:p>
      <w:pPr>
        <w:kinsoku w:val="0"/>
        <w:topLinePunct/>
        <w:snapToGrid w:val="0"/>
        <w:spacing w:line="520" w:lineRule="exact"/>
        <w:rPr>
          <w:rFonts w:hint="eastAsia" w:ascii="宋体" w:hAnsi="宋体" w:cs="宋体"/>
          <w:b/>
          <w:sz w:val="28"/>
          <w:szCs w:val="28"/>
          <w:lang w:eastAsia="zh-CN"/>
        </w:rPr>
      </w:pPr>
      <w:r>
        <w:rPr>
          <w:rFonts w:hint="eastAsia" w:ascii="宋体" w:hAnsi="宋体" w:eastAsia="宋体" w:cs="宋体"/>
          <w:sz w:val="24"/>
          <w:szCs w:val="24"/>
        </w:rPr>
        <w:t>项目名称</w:t>
      </w:r>
      <w:r>
        <w:rPr>
          <w:rFonts w:ascii="方正仿宋_GBK" w:eastAsia="宋体"/>
          <w:b/>
          <w:sz w:val="24"/>
          <w:szCs w:val="24"/>
        </w:rPr>
        <w:t>：</w:t>
      </w:r>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899"/>
        <w:gridCol w:w="1137"/>
        <w:gridCol w:w="962"/>
        <w:gridCol w:w="1829"/>
        <w:gridCol w:w="1957"/>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exact"/>
        </w:trPr>
        <w:tc>
          <w:tcPr>
            <w:tcW w:w="536" w:type="pct"/>
            <w:noWrap w:val="0"/>
            <w:vAlign w:val="center"/>
          </w:tcPr>
          <w:p>
            <w:pPr>
              <w:jc w:val="center"/>
              <w:rPr>
                <w:rFonts w:ascii="宋体" w:hAnsi="宋体" w:eastAsia="宋体" w:cs="宋体"/>
                <w:color w:val="000000"/>
                <w:kern w:val="0"/>
                <w:sz w:val="24"/>
                <w:szCs w:val="24"/>
              </w:rPr>
            </w:pPr>
            <w:r>
              <w:rPr>
                <w:rFonts w:hint="eastAsia" w:ascii="宋体" w:hAnsi="宋体" w:eastAsia="宋体" w:cs="宋体"/>
                <w:b/>
                <w:bCs/>
                <w:sz w:val="24"/>
                <w:szCs w:val="24"/>
              </w:rPr>
              <w:br w:type="page"/>
            </w:r>
            <w:r>
              <w:rPr>
                <w:rFonts w:hint="eastAsia" w:ascii="宋体" w:hAnsi="宋体" w:eastAsia="宋体" w:cs="宋体"/>
                <w:color w:val="000000"/>
                <w:kern w:val="0"/>
                <w:sz w:val="24"/>
                <w:szCs w:val="24"/>
              </w:rPr>
              <w:t>序号</w:t>
            </w:r>
          </w:p>
        </w:tc>
        <w:tc>
          <w:tcPr>
            <w:tcW w:w="1033" w:type="pct"/>
            <w:gridSpan w:val="2"/>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项目</w:t>
            </w:r>
            <w:r>
              <w:rPr>
                <w:rFonts w:hint="eastAsia" w:ascii="宋体" w:hAnsi="宋体" w:eastAsia="宋体" w:cs="宋体"/>
                <w:color w:val="000000"/>
                <w:kern w:val="0"/>
                <w:sz w:val="24"/>
                <w:szCs w:val="24"/>
              </w:rPr>
              <w:t>名称</w:t>
            </w:r>
          </w:p>
        </w:tc>
        <w:tc>
          <w:tcPr>
            <w:tcW w:w="488" w:type="pct"/>
            <w:noWrap w:val="0"/>
            <w:vAlign w:val="center"/>
          </w:tcPr>
          <w:p>
            <w:pPr>
              <w:widowControl/>
              <w:jc w:val="center"/>
              <w:rPr>
                <w:rFonts w:ascii="宋体" w:hAnsi="宋体" w:eastAsia="宋体" w:cs="宋体"/>
                <w:sz w:val="24"/>
                <w:szCs w:val="24"/>
              </w:rPr>
            </w:pPr>
            <w:r>
              <w:rPr>
                <w:rFonts w:hint="eastAsia" w:ascii="宋体" w:hAnsi="宋体" w:eastAsia="宋体" w:cs="宋体"/>
                <w:color w:val="000000"/>
                <w:kern w:val="0"/>
                <w:sz w:val="24"/>
                <w:szCs w:val="24"/>
              </w:rPr>
              <w:t>单位</w:t>
            </w:r>
          </w:p>
        </w:tc>
        <w:tc>
          <w:tcPr>
            <w:tcW w:w="928" w:type="pct"/>
            <w:noWrap w:val="0"/>
            <w:vAlign w:val="center"/>
          </w:tcPr>
          <w:p>
            <w:pPr>
              <w:widowControl/>
              <w:jc w:val="center"/>
              <w:rPr>
                <w:rFonts w:hint="eastAsia" w:ascii="宋体" w:hAnsi="宋体" w:eastAsia="宋体" w:cs="宋体"/>
                <w:sz w:val="24"/>
                <w:szCs w:val="24"/>
                <w:lang w:eastAsia="zh-CN"/>
              </w:rPr>
            </w:pPr>
            <w:r>
              <w:rPr>
                <w:rFonts w:hint="eastAsia" w:ascii="宋体" w:hAnsi="宋体" w:eastAsia="宋体" w:cs="宋体"/>
                <w:color w:val="000000"/>
                <w:kern w:val="0"/>
                <w:sz w:val="24"/>
                <w:szCs w:val="24"/>
                <w:lang w:eastAsia="zh-CN"/>
              </w:rPr>
              <w:t>数量</w:t>
            </w:r>
          </w:p>
        </w:tc>
        <w:tc>
          <w:tcPr>
            <w:tcW w:w="993" w:type="pct"/>
            <w:noWrap w:val="0"/>
            <w:vAlign w:val="center"/>
          </w:tcPr>
          <w:p>
            <w:pPr>
              <w:widowControl/>
              <w:jc w:val="center"/>
              <w:rPr>
                <w:rFonts w:hint="eastAsia" w:ascii="宋体" w:hAnsi="宋体" w:eastAsia="宋体" w:cs="宋体"/>
                <w:sz w:val="24"/>
                <w:szCs w:val="24"/>
                <w:lang w:eastAsia="zh-CN"/>
              </w:rPr>
            </w:pPr>
            <w:r>
              <w:rPr>
                <w:rFonts w:hint="eastAsia" w:ascii="宋体" w:hAnsi="宋体" w:eastAsia="宋体" w:cs="宋体"/>
                <w:color w:val="000000"/>
                <w:kern w:val="0"/>
                <w:sz w:val="24"/>
                <w:szCs w:val="24"/>
              </w:rPr>
              <w:t>综合单价</w:t>
            </w:r>
            <w:r>
              <w:rPr>
                <w:rFonts w:hint="eastAsia" w:ascii="宋体" w:hAnsi="宋体" w:eastAsia="宋体" w:cs="宋体"/>
                <w:color w:val="000000"/>
                <w:kern w:val="0"/>
                <w:sz w:val="24"/>
                <w:szCs w:val="24"/>
                <w:lang w:eastAsia="zh-CN"/>
              </w:rPr>
              <w:t>（元）</w:t>
            </w:r>
          </w:p>
        </w:tc>
        <w:tc>
          <w:tcPr>
            <w:tcW w:w="1020" w:type="pct"/>
            <w:noWrap w:val="0"/>
            <w:vAlign w:val="center"/>
          </w:tcPr>
          <w:p>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6" w:type="pct"/>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033" w:type="pct"/>
            <w:gridSpan w:val="2"/>
            <w:noWrap w:val="0"/>
            <w:vAlign w:val="center"/>
          </w:tcPr>
          <w:p>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绿化养护</w:t>
            </w:r>
          </w:p>
        </w:tc>
        <w:tc>
          <w:tcPr>
            <w:tcW w:w="488" w:type="pct"/>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平方米</w:t>
            </w:r>
          </w:p>
        </w:tc>
        <w:tc>
          <w:tcPr>
            <w:tcW w:w="928" w:type="pct"/>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14000</w:t>
            </w:r>
          </w:p>
        </w:tc>
        <w:tc>
          <w:tcPr>
            <w:tcW w:w="993" w:type="pct"/>
            <w:noWrap w:val="0"/>
            <w:vAlign w:val="center"/>
          </w:tcPr>
          <w:p>
            <w:pPr>
              <w:widowControl/>
              <w:jc w:val="center"/>
              <w:rPr>
                <w:rFonts w:ascii="宋体" w:hAnsi="宋体" w:eastAsia="宋体" w:cs="宋体"/>
                <w:color w:val="000000"/>
                <w:kern w:val="0"/>
                <w:sz w:val="24"/>
                <w:szCs w:val="24"/>
              </w:rPr>
            </w:pPr>
          </w:p>
        </w:tc>
        <w:tc>
          <w:tcPr>
            <w:tcW w:w="1020" w:type="pct"/>
            <w:noWrap w:val="0"/>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6" w:type="pct"/>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456" w:type="pct"/>
            <w:vMerge w:val="restart"/>
            <w:noWrap w:val="0"/>
            <w:vAlign w:val="center"/>
          </w:tcPr>
          <w:p>
            <w:pPr>
              <w:widowControl/>
              <w:tabs>
                <w:tab w:val="left" w:pos="437"/>
              </w:tabs>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绿</w:t>
            </w:r>
          </w:p>
          <w:p>
            <w:pPr>
              <w:widowControl/>
              <w:tabs>
                <w:tab w:val="left" w:pos="437"/>
              </w:tabs>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植</w:t>
            </w:r>
          </w:p>
          <w:p>
            <w:pPr>
              <w:widowControl/>
              <w:tabs>
                <w:tab w:val="left" w:pos="437"/>
              </w:tabs>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租</w:t>
            </w:r>
          </w:p>
          <w:p>
            <w:pPr>
              <w:widowControl/>
              <w:tabs>
                <w:tab w:val="left" w:pos="437"/>
              </w:tabs>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摆</w:t>
            </w:r>
          </w:p>
        </w:tc>
        <w:tc>
          <w:tcPr>
            <w:tcW w:w="576" w:type="pct"/>
            <w:noWrap w:val="0"/>
            <w:vAlign w:val="center"/>
          </w:tcPr>
          <w:p>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大型</w:t>
            </w:r>
          </w:p>
        </w:tc>
        <w:tc>
          <w:tcPr>
            <w:tcW w:w="488" w:type="pct"/>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盆</w:t>
            </w:r>
          </w:p>
        </w:tc>
        <w:tc>
          <w:tcPr>
            <w:tcW w:w="928" w:type="pct"/>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183</w:t>
            </w:r>
          </w:p>
        </w:tc>
        <w:tc>
          <w:tcPr>
            <w:tcW w:w="993" w:type="pct"/>
            <w:noWrap w:val="0"/>
            <w:vAlign w:val="center"/>
          </w:tcPr>
          <w:p>
            <w:pPr>
              <w:widowControl/>
              <w:jc w:val="center"/>
              <w:rPr>
                <w:rFonts w:ascii="宋体" w:hAnsi="宋体" w:eastAsia="宋体" w:cs="宋体"/>
                <w:color w:val="000000"/>
                <w:kern w:val="0"/>
                <w:sz w:val="24"/>
                <w:szCs w:val="24"/>
              </w:rPr>
            </w:pPr>
          </w:p>
        </w:tc>
        <w:tc>
          <w:tcPr>
            <w:tcW w:w="1020" w:type="pct"/>
            <w:noWrap w:val="0"/>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6" w:type="pct"/>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456" w:type="pct"/>
            <w:vMerge w:val="continue"/>
            <w:noWrap w:val="0"/>
            <w:vAlign w:val="center"/>
          </w:tcPr>
          <w:p>
            <w:pPr>
              <w:widowControl/>
              <w:jc w:val="center"/>
              <w:rPr>
                <w:rFonts w:ascii="宋体" w:hAnsi="宋体" w:eastAsia="宋体" w:cs="宋体"/>
                <w:sz w:val="24"/>
                <w:szCs w:val="24"/>
              </w:rPr>
            </w:pPr>
          </w:p>
        </w:tc>
        <w:tc>
          <w:tcPr>
            <w:tcW w:w="576" w:type="pct"/>
            <w:noWrap w:val="0"/>
            <w:vAlign w:val="center"/>
          </w:tcPr>
          <w:p>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中型</w:t>
            </w:r>
          </w:p>
        </w:tc>
        <w:tc>
          <w:tcPr>
            <w:tcW w:w="488" w:type="pct"/>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盆</w:t>
            </w:r>
          </w:p>
        </w:tc>
        <w:tc>
          <w:tcPr>
            <w:tcW w:w="928" w:type="pct"/>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268</w:t>
            </w:r>
          </w:p>
        </w:tc>
        <w:tc>
          <w:tcPr>
            <w:tcW w:w="993" w:type="pct"/>
            <w:noWrap w:val="0"/>
            <w:vAlign w:val="center"/>
          </w:tcPr>
          <w:p>
            <w:pPr>
              <w:widowControl/>
              <w:jc w:val="center"/>
              <w:rPr>
                <w:rFonts w:ascii="宋体" w:hAnsi="宋体" w:eastAsia="宋体" w:cs="宋体"/>
                <w:color w:val="000000"/>
                <w:kern w:val="0"/>
                <w:sz w:val="24"/>
                <w:szCs w:val="24"/>
              </w:rPr>
            </w:pPr>
          </w:p>
        </w:tc>
        <w:tc>
          <w:tcPr>
            <w:tcW w:w="1020" w:type="pct"/>
            <w:noWrap w:val="0"/>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536" w:type="pct"/>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456" w:type="pct"/>
            <w:vMerge w:val="continue"/>
            <w:noWrap w:val="0"/>
            <w:vAlign w:val="center"/>
          </w:tcPr>
          <w:p>
            <w:pPr>
              <w:widowControl/>
              <w:jc w:val="center"/>
              <w:rPr>
                <w:rFonts w:ascii="宋体" w:hAnsi="宋体" w:eastAsia="宋体" w:cs="宋体"/>
                <w:sz w:val="24"/>
                <w:szCs w:val="24"/>
              </w:rPr>
            </w:pPr>
          </w:p>
        </w:tc>
        <w:tc>
          <w:tcPr>
            <w:tcW w:w="576" w:type="pct"/>
            <w:noWrap w:val="0"/>
            <w:vAlign w:val="center"/>
          </w:tcPr>
          <w:p>
            <w:pPr>
              <w:widowControl/>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小型</w:t>
            </w:r>
          </w:p>
        </w:tc>
        <w:tc>
          <w:tcPr>
            <w:tcW w:w="488" w:type="pct"/>
            <w:noWrap w:val="0"/>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lang w:eastAsia="zh-CN"/>
              </w:rPr>
              <w:t>盆</w:t>
            </w:r>
          </w:p>
        </w:tc>
        <w:tc>
          <w:tcPr>
            <w:tcW w:w="928" w:type="pct"/>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125</w:t>
            </w:r>
          </w:p>
        </w:tc>
        <w:tc>
          <w:tcPr>
            <w:tcW w:w="993" w:type="pct"/>
            <w:noWrap w:val="0"/>
            <w:vAlign w:val="center"/>
          </w:tcPr>
          <w:p>
            <w:pPr>
              <w:widowControl/>
              <w:jc w:val="center"/>
              <w:rPr>
                <w:rFonts w:ascii="宋体" w:hAnsi="宋体" w:eastAsia="宋体" w:cs="宋体"/>
                <w:color w:val="000000"/>
                <w:kern w:val="0"/>
                <w:sz w:val="24"/>
                <w:szCs w:val="24"/>
              </w:rPr>
            </w:pPr>
          </w:p>
        </w:tc>
        <w:tc>
          <w:tcPr>
            <w:tcW w:w="1020" w:type="pct"/>
            <w:noWrap w:val="0"/>
            <w:vAlign w:val="center"/>
          </w:tcPr>
          <w:p>
            <w:pPr>
              <w:widowControl/>
              <w:jc w:val="center"/>
              <w:rPr>
                <w:rFonts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trPr>
        <w:tc>
          <w:tcPr>
            <w:tcW w:w="536" w:type="pct"/>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总计</w:t>
            </w:r>
          </w:p>
          <w:p>
            <w:pPr>
              <w:widowControl/>
              <w:jc w:val="center"/>
              <w:rPr>
                <w:rFonts w:hint="eastAsia" w:ascii="宋体" w:hAnsi="宋体" w:eastAsia="宋体" w:cs="宋体"/>
                <w:b/>
                <w:bCs/>
                <w:sz w:val="24"/>
                <w:szCs w:val="24"/>
                <w:lang w:eastAsia="zh-CN"/>
              </w:rPr>
            </w:pPr>
            <w:r>
              <w:rPr>
                <w:rFonts w:hint="eastAsia" w:ascii="宋体" w:hAnsi="宋体" w:eastAsia="宋体" w:cs="宋体"/>
                <w:color w:val="000000"/>
                <w:kern w:val="0"/>
                <w:sz w:val="24"/>
                <w:szCs w:val="24"/>
                <w:lang w:eastAsia="zh-CN"/>
              </w:rPr>
              <w:t>（每年）</w:t>
            </w:r>
          </w:p>
        </w:tc>
        <w:tc>
          <w:tcPr>
            <w:tcW w:w="4463" w:type="pct"/>
            <w:gridSpan w:val="6"/>
            <w:noWrap w:val="0"/>
            <w:vAlign w:val="center"/>
          </w:tcPr>
          <w:p>
            <w:pPr>
              <w:widowControl/>
              <w:jc w:val="left"/>
              <w:rPr>
                <w:rFonts w:hint="default" w:ascii="宋体" w:hAnsi="宋体" w:eastAsia="宋体" w:cs="宋体"/>
                <w:color w:val="000000"/>
                <w:kern w:val="0"/>
                <w:sz w:val="24"/>
                <w:szCs w:val="24"/>
                <w:lang w:val="en-US" w:eastAsia="zh-CN"/>
              </w:rPr>
            </w:pPr>
            <w:r>
              <w:rPr>
                <w:rFonts w:hint="eastAsia" w:ascii="方正仿宋_GBK" w:hAnsi="Times New Roman" w:eastAsia="宋体" w:cs="Times New Roman"/>
                <w:sz w:val="24"/>
                <w:szCs w:val="24"/>
              </w:rPr>
              <w:t>大写（人民币）：</w:t>
            </w:r>
            <w:r>
              <w:rPr>
                <w:rFonts w:hint="eastAsia" w:ascii="方正仿宋_GBK" w:eastAsia="宋体" w:cs="Times New Roman"/>
                <w:sz w:val="24"/>
                <w:szCs w:val="24"/>
                <w:lang w:val="en-US" w:eastAsia="zh-CN"/>
              </w:rPr>
              <w:t xml:space="preserve">                             </w:t>
            </w:r>
            <w:r>
              <w:rPr>
                <w:rFonts w:hint="eastAsia" w:ascii="方正仿宋_GBK" w:hAnsi="Times New Roman" w:eastAsia="宋体" w:cs="Times New Roman"/>
                <w:sz w:val="24"/>
                <w:szCs w:val="24"/>
              </w:rPr>
              <w:t>小写（￥）：</w:t>
            </w:r>
          </w:p>
        </w:tc>
      </w:tr>
    </w:tbl>
    <w:p>
      <w:pPr>
        <w:rPr>
          <w:rFonts w:ascii="宋体" w:hAnsi="宋体" w:eastAsia="宋体" w:cs="宋体"/>
          <w:sz w:val="24"/>
          <w:szCs w:val="24"/>
        </w:rPr>
      </w:pPr>
    </w:p>
    <w:p>
      <w:pPr>
        <w:rPr>
          <w:rFonts w:ascii="宋体" w:hAnsi="宋体" w:eastAsia="宋体" w:cs="宋体"/>
          <w:sz w:val="24"/>
          <w:szCs w:val="24"/>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投标供应商：（盖章）             </w:t>
      </w:r>
    </w:p>
    <w:p>
      <w:pPr>
        <w:kinsoku w:val="0"/>
        <w:topLinePunct/>
        <w:snapToGrid w:val="0"/>
        <w:spacing w:line="520" w:lineRule="exact"/>
        <w:rPr>
          <w:rFonts w:hint="eastAsia"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hint="eastAsia" w:ascii="宋体" w:hAnsi="宋体" w:eastAsia="宋体"/>
          <w:b/>
          <w:sz w:val="28"/>
          <w:szCs w:val="28"/>
        </w:rPr>
      </w:pPr>
      <w:r>
        <w:rPr>
          <w:rFonts w:hint="eastAsia" w:ascii="宋体" w:hAnsi="宋体" w:eastAsia="宋体" w:cs="宋体"/>
          <w:sz w:val="24"/>
          <w:szCs w:val="24"/>
        </w:rPr>
        <w:t>日期：</w:t>
      </w:r>
      <w:r>
        <w:rPr>
          <w:rFonts w:hint="eastAsia" w:ascii="宋体" w:hAnsi="宋体" w:eastAsia="宋体"/>
          <w:b/>
          <w:sz w:val="28"/>
          <w:szCs w:val="28"/>
        </w:rPr>
        <w:br w:type="page"/>
      </w:r>
    </w:p>
    <w:p>
      <w:pPr>
        <w:spacing w:after="380" w:afterLines="100"/>
        <w:jc w:val="center"/>
        <w:rPr>
          <w:rFonts w:ascii="宋体" w:hAnsi="宋体" w:eastAsia="宋体" w:cs="宋体"/>
          <w:sz w:val="24"/>
          <w:szCs w:val="24"/>
        </w:rPr>
      </w:pPr>
      <w:r>
        <w:rPr>
          <w:rFonts w:hint="eastAsia" w:ascii="宋体" w:hAnsi="宋体" w:eastAsia="宋体"/>
          <w:b/>
          <w:sz w:val="28"/>
          <w:szCs w:val="28"/>
        </w:rPr>
        <w:t>小型、微型企业声明函（工程、服务）</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 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 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500" w:lineRule="exact"/>
        <w:ind w:right="1200" w:firstLine="480" w:firstLineChars="200"/>
        <w:jc w:val="right"/>
        <w:rPr>
          <w:rFonts w:ascii="宋体" w:hAnsi="宋体" w:eastAsia="宋体" w:cs="宋体"/>
          <w:sz w:val="24"/>
          <w:szCs w:val="24"/>
        </w:rPr>
      </w:pPr>
      <w:r>
        <w:rPr>
          <w:rFonts w:hint="eastAsia" w:ascii="宋体" w:hAnsi="宋体" w:eastAsia="宋体" w:cs="宋体"/>
          <w:sz w:val="24"/>
          <w:szCs w:val="24"/>
        </w:rPr>
        <w:t xml:space="preserve">企业名称（盖章）：                         </w:t>
      </w:r>
    </w:p>
    <w:p>
      <w:pPr>
        <w:spacing w:line="500" w:lineRule="exact"/>
        <w:ind w:right="9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（注：从业人员、营业收入、资产总额填报上一年度数据，无上一年度数据的新成立企业可不填报。）</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（备注：供应商如不提供上述声明函，价格将不做相应扣除）</w:t>
      </w:r>
    </w:p>
    <w:p>
      <w:pPr>
        <w:ind w:firstLine="480" w:firstLineChars="200"/>
        <w:rPr>
          <w:rFonts w:ascii="宋体" w:hAnsi="宋体" w:eastAsia="宋体" w:cs="宋体"/>
          <w:sz w:val="24"/>
          <w:szCs w:val="24"/>
        </w:rPr>
      </w:pPr>
    </w:p>
    <w:p>
      <w:pPr>
        <w:pStyle w:val="57"/>
        <w:ind w:left="520" w:firstLine="482"/>
        <w:rPr>
          <w:rFonts w:ascii="宋体" w:hAnsi="宋体" w:cs="宋体"/>
          <w:b/>
          <w:color w:val="000000"/>
          <w:sz w:val="24"/>
          <w:szCs w:val="24"/>
        </w:rPr>
      </w:pPr>
    </w:p>
    <w:p>
      <w:pPr>
        <w:spacing w:line="440" w:lineRule="exact"/>
        <w:rPr>
          <w:rFonts w:ascii="宋体" w:hAnsi="宋体" w:eastAsia="宋体" w:cs="宋体"/>
          <w:b/>
          <w:color w:val="000000"/>
          <w:sz w:val="24"/>
          <w:szCs w:val="24"/>
        </w:rPr>
      </w:pPr>
    </w:p>
    <w:p>
      <w:pPr>
        <w:spacing w:line="440" w:lineRule="exact"/>
        <w:jc w:val="center"/>
        <w:rPr>
          <w:rFonts w:ascii="宋体" w:hAnsi="宋体" w:eastAsia="宋体" w:cs="宋体"/>
          <w:b/>
          <w:sz w:val="24"/>
          <w:szCs w:val="24"/>
        </w:rPr>
      </w:pPr>
    </w:p>
    <w:p>
      <w:pPr>
        <w:rPr>
          <w:rFonts w:ascii="宋体" w:hAnsi="宋体" w:eastAsia="宋体"/>
          <w:b/>
          <w:sz w:val="28"/>
          <w:szCs w:val="28"/>
        </w:rPr>
      </w:pPr>
      <w:r>
        <w:rPr>
          <w:rFonts w:hint="eastAsia" w:ascii="宋体" w:hAnsi="宋体" w:eastAsia="宋体"/>
          <w:b/>
          <w:sz w:val="28"/>
          <w:szCs w:val="28"/>
        </w:rPr>
        <w:br w:type="page"/>
      </w:r>
    </w:p>
    <w:p>
      <w:pPr>
        <w:snapToGrid w:val="0"/>
        <w:spacing w:after="380" w:afterLines="100" w:line="520" w:lineRule="exact"/>
        <w:jc w:val="center"/>
        <w:rPr>
          <w:rFonts w:ascii="宋体" w:hAnsi="宋体" w:eastAsia="宋体" w:cs="宋体"/>
          <w:spacing w:val="6"/>
          <w:sz w:val="24"/>
          <w:szCs w:val="24"/>
        </w:rPr>
      </w:pPr>
      <w:r>
        <w:rPr>
          <w:rFonts w:hint="eastAsia" w:ascii="宋体" w:hAnsi="宋体" w:eastAsia="宋体"/>
          <w:b/>
          <w:sz w:val="28"/>
          <w:szCs w:val="28"/>
        </w:rPr>
        <w:t>残疾人福利性单位声明函</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本单位在本次政府采购活动中提供的残疾人福利单位产品报价合计为人民币（大写）圆整（￥：     ）。</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（备注：1、供应商如不提供此声明函，价格将不做相应扣除。2、成交供应商为残疾人福利单位的，此声明函将随成交结果同时公告，接受社会监督）</w:t>
      </w:r>
    </w:p>
    <w:p>
      <w:pPr>
        <w:spacing w:line="440" w:lineRule="exact"/>
        <w:ind w:firstLine="504" w:firstLineChars="200"/>
        <w:rPr>
          <w:rFonts w:ascii="宋体" w:hAnsi="宋体" w:eastAsia="宋体" w:cs="宋体"/>
          <w:spacing w:val="6"/>
          <w:sz w:val="24"/>
          <w:szCs w:val="24"/>
        </w:rPr>
      </w:pP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供应商全称（盖章）：</w:t>
      </w: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pStyle w:val="24"/>
        <w:rPr>
          <w:rFonts w:ascii="宋体" w:hAnsi="宋体" w:eastAsia="宋体" w:cs="宋体"/>
          <w:sz w:val="24"/>
          <w:szCs w:val="24"/>
        </w:rPr>
      </w:pPr>
    </w:p>
    <w:p>
      <w:pPr>
        <w:rPr>
          <w:rFonts w:ascii="宋体" w:hAnsi="宋体" w:eastAsia="宋体" w:cs="宋体"/>
          <w:sz w:val="28"/>
          <w:szCs w:val="28"/>
        </w:rPr>
      </w:pPr>
    </w:p>
    <w:p>
      <w:pPr>
        <w:kinsoku w:val="0"/>
        <w:topLinePunct/>
        <w:snapToGrid w:val="0"/>
        <w:spacing w:line="360" w:lineRule="auto"/>
        <w:jc w:val="left"/>
        <w:rPr>
          <w:rFonts w:ascii="宋体" w:hAnsi="宋体" w:eastAsia="宋体" w:cs="宋体"/>
          <w:sz w:val="28"/>
          <w:szCs w:val="28"/>
        </w:rPr>
      </w:pPr>
    </w:p>
    <w:p>
      <w:pPr>
        <w:snapToGrid w:val="0"/>
        <w:spacing w:line="360" w:lineRule="auto"/>
        <w:outlineLvl w:val="3"/>
        <w:rPr>
          <w:rFonts w:asciiTheme="majorEastAsia" w:hAnsiTheme="majorEastAsia" w:eastAsiaTheme="majorEastAsia" w:cstheme="minorEastAsia"/>
          <w:b/>
          <w:bCs/>
          <w:sz w:val="24"/>
          <w:szCs w:val="24"/>
        </w:rPr>
      </w:pPr>
    </w:p>
    <w:sectPr>
      <w:headerReference r:id="rId5" w:type="first"/>
      <w:footerReference r:id="rId7" w:type="first"/>
      <w:headerReference r:id="rId3" w:type="default"/>
      <w:footerReference r:id="rId6" w:type="default"/>
      <w:headerReference r:id="rId4" w:type="even"/>
      <w:pgSz w:w="11906" w:h="16838"/>
      <w:pgMar w:top="1418" w:right="851" w:bottom="709" w:left="1418" w:header="851" w:footer="449" w:gutter="0"/>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创艺简仿宋">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enlo">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wahs4BAACo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e0CTecOWHpxS8/vl9+/r78+sZu&#10;kj69x4rK7j0VxuEtDFQ7x5GCifbQBpu+RIhRntQ9X9VVQ2QyXVqv1uuSUpJys0P4xcN1HzC+U2BZ&#10;Mmoe6PmyquL0AeNYOpekbg7utDH5CY37K0CYY0TlHZhuJybjxMmKw36Y6O2hORO7nvag5o7WnjPz&#10;3pHMaWVmI8zGfjaOPuhDR4Mu85To3xwjjZQnTR1GWGKYHHrAzHVatrQhj/1c9fCD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pcGobOAQAAqAMAAA4AAAAAAAAAAQAgAAAAHgEAAGRycy9l&#10;Mm9Eb2MueG1sUEsFBgAAAAAGAAYAWQEAAF4FAAAAAA==&#10;">
          <v:path/>
          <v:fill on="f" focussize="0,0"/>
          <v:stroke on="f" joinstyle="miter"/>
          <v:imagedata o:title=""/>
          <o:lock v:ext="edit"/>
          <v:textbox inset="0mm,0mm,0mm,0mm" style="mso-fit-shape-to-text:t;">
            <w:txbxContent>
              <w:p>
                <w:pPr>
                  <w:pStyle w:val="35"/>
                </w:pPr>
                <w:r>
                  <w:rPr>
                    <w:rFonts w:hint="eastAsia"/>
                  </w:rPr>
                  <w:t>第</w:t>
                </w:r>
                <w:r>
                  <w:fldChar w:fldCharType="begin"/>
                </w:r>
                <w:r>
                  <w:instrText xml:space="preserve"> PAGE  \* MERGEFORMAT </w:instrText>
                </w:r>
                <w:r>
                  <w:fldChar w:fldCharType="separate"/>
                </w:r>
                <w:r>
                  <w:t>4</w:t>
                </w:r>
                <w:r>
                  <w:fldChar w:fldCharType="end"/>
                </w:r>
                <w:r>
                  <w:rPr>
                    <w:rFonts w:hint="eastAsia"/>
                  </w:rPr>
                  <w:t>页共</w:t>
                </w:r>
                <w:r>
                  <w:fldChar w:fldCharType="begin"/>
                </w:r>
                <w:r>
                  <w:instrText xml:space="preserve"> NUMPAGES  \* MERGEFORMAT </w:instrText>
                </w:r>
                <w:r>
                  <w:fldChar w:fldCharType="separate"/>
                </w:r>
                <w:r>
                  <w:t>29</w:t>
                </w:r>
                <w:r>
                  <w:fldChar w:fldCharType="end"/>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180"/>
      <w:jc w:val="center"/>
    </w:pPr>
    <w:r>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9LmNM0BAACo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FmhaEXv3z/dvnx6/LzK3ud&#10;9Ok9VlT24KkwDnduoNo5jhRMtIc2mPQlQozypO75qi4Mkcl0ab1ar0tKScrNDuEXj9d9wPgWnGHJ&#10;qHmg58uqitN7jGPpXJK6WXevtM5PqO1fAcIcI5B3YLqdmIwTJysO+2Git3fNmdj1tAc1t7T2nOl3&#10;lmROKzMbYTb2s3H0QR06GnSZp0R/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9LmNM0BAACoAwAADgAAAAAAAAABACAAAAAeAQAAZHJzL2Uy&#10;b0RvYy54bWxQSwUGAAAAAAYABgBZAQAAXQUAAAAA&#10;">
          <v:path/>
          <v:fill on="f" focussize="0,0"/>
          <v:stroke on="f" joinstyle="miter"/>
          <v:imagedata o:title=""/>
          <o:lock v:ext="edit"/>
          <v:textbox inset="0mm,0mm,0mm,0mm" style="mso-fit-shape-to-text:t;">
            <w:txbxContent>
              <w:p>
                <w:pPr>
                  <w:pStyle w:val="35"/>
                </w:pPr>
                <w:r>
                  <w:rPr>
                    <w:rFonts w:hint="eastAsia"/>
                  </w:rPr>
                  <w:t>第</w:t>
                </w:r>
                <w:r>
                  <w:fldChar w:fldCharType="begin"/>
                </w:r>
                <w:r>
                  <w:instrText xml:space="preserve"> PAGE  \* MERGEFORMAT </w:instrText>
                </w:r>
                <w:r>
                  <w:fldChar w:fldCharType="separate"/>
                </w:r>
                <w:r>
                  <w:t>2</w:t>
                </w:r>
                <w:r>
                  <w:fldChar w:fldCharType="end"/>
                </w:r>
                <w:r>
                  <w:rPr>
                    <w:rFonts w:hint="eastAsia"/>
                  </w:rPr>
                  <w:t>页共</w:t>
                </w:r>
                <w:r>
                  <w:fldChar w:fldCharType="begin"/>
                </w:r>
                <w:r>
                  <w:instrText xml:space="preserve"> NUMPAGES  \* MERGEFORMAT </w:instrText>
                </w:r>
                <w:r>
                  <w:fldChar w:fldCharType="separate"/>
                </w:r>
                <w:r>
                  <w:t>32</w:t>
                </w:r>
                <w:r>
                  <w:fldChar w:fldCharType="end"/>
                </w:r>
                <w:r>
                  <w:rPr>
                    <w:rFonts w:hint="eastAsia"/>
                  </w:rPr>
                  <w:t>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lef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EC27F"/>
    <w:multiLevelType w:val="singleLevel"/>
    <w:tmpl w:val="DC8EC27F"/>
    <w:lvl w:ilvl="0" w:tentative="0">
      <w:start w:val="1"/>
      <w:numFmt w:val="decimal"/>
      <w:suff w:val="nothing"/>
      <w:lvlText w:val="%1、"/>
      <w:lvlJc w:val="left"/>
    </w:lvl>
  </w:abstractNum>
  <w:abstractNum w:abstractNumId="1">
    <w:nsid w:val="21125CBE"/>
    <w:multiLevelType w:val="singleLevel"/>
    <w:tmpl w:val="21125CBE"/>
    <w:lvl w:ilvl="0" w:tentative="0">
      <w:start w:val="1"/>
      <w:numFmt w:val="decimal"/>
      <w:suff w:val="nothing"/>
      <w:lvlText w:val="（%1）"/>
      <w:lvlJc w:val="left"/>
    </w:lvl>
  </w:abstractNum>
  <w:abstractNum w:abstractNumId="2">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9"/>
      <w:lvlText w:val="%1.%2.%3.%4.%5"/>
      <w:lvlJc w:val="left"/>
      <w:pPr>
        <w:tabs>
          <w:tab w:val="left" w:pos="1008"/>
        </w:tabs>
        <w:ind w:left="1008" w:hanging="1008"/>
      </w:pPr>
      <w:rPr>
        <w:rFonts w:cs="Times New Roman"/>
      </w:rPr>
    </w:lvl>
    <w:lvl w:ilvl="5" w:tentative="0">
      <w:start w:val="1"/>
      <w:numFmt w:val="decimal"/>
      <w:pStyle w:val="11"/>
      <w:lvlText w:val="%1.%2.%3.%4.%5.%6"/>
      <w:lvlJc w:val="left"/>
      <w:pPr>
        <w:tabs>
          <w:tab w:val="left" w:pos="1152"/>
        </w:tabs>
        <w:ind w:left="1152" w:hanging="1152"/>
      </w:pPr>
      <w:rPr>
        <w:rFonts w:cs="Times New Roman"/>
      </w:rPr>
    </w:lvl>
    <w:lvl w:ilvl="6" w:tentative="0">
      <w:start w:val="1"/>
      <w:numFmt w:val="decimal"/>
      <w:pStyle w:val="12"/>
      <w:lvlText w:val="%1.%2.%3.%4.%5.%6.%7"/>
      <w:lvlJc w:val="left"/>
      <w:pPr>
        <w:tabs>
          <w:tab w:val="left" w:pos="1296"/>
        </w:tabs>
        <w:ind w:left="1296" w:hanging="1296"/>
      </w:pPr>
      <w:rPr>
        <w:rFonts w:cs="Times New Roman"/>
      </w:rPr>
    </w:lvl>
    <w:lvl w:ilvl="7" w:tentative="0">
      <w:start w:val="1"/>
      <w:numFmt w:val="decimal"/>
      <w:pStyle w:val="13"/>
      <w:lvlText w:val="%1.%2.%3.%4.%5.%6.%7.%8"/>
      <w:lvlJc w:val="left"/>
      <w:pPr>
        <w:tabs>
          <w:tab w:val="left" w:pos="1440"/>
        </w:tabs>
        <w:ind w:left="1440" w:hanging="1440"/>
      </w:pPr>
      <w:rPr>
        <w:rFonts w:cs="Times New Roman"/>
      </w:rPr>
    </w:lvl>
    <w:lvl w:ilvl="8" w:tentative="0">
      <w:start w:val="1"/>
      <w:numFmt w:val="decimal"/>
      <w:pStyle w:val="14"/>
      <w:lvlText w:val="%1.%2.%3.%4.%5.%6.%7.%8.%9"/>
      <w:lvlJc w:val="left"/>
      <w:pPr>
        <w:tabs>
          <w:tab w:val="left" w:pos="1584"/>
        </w:tabs>
        <w:ind w:left="1584" w:hanging="1584"/>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19"/>
  <w:drawingGridVerticalSpacing w:val="193"/>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018D1"/>
    <w:rsid w:val="0000455F"/>
    <w:rsid w:val="000065D1"/>
    <w:rsid w:val="00006986"/>
    <w:rsid w:val="0001043F"/>
    <w:rsid w:val="0001131A"/>
    <w:rsid w:val="000120DE"/>
    <w:rsid w:val="00013405"/>
    <w:rsid w:val="00016408"/>
    <w:rsid w:val="00021D1A"/>
    <w:rsid w:val="000232CD"/>
    <w:rsid w:val="00026332"/>
    <w:rsid w:val="0002688A"/>
    <w:rsid w:val="00027277"/>
    <w:rsid w:val="00030AED"/>
    <w:rsid w:val="00031A6A"/>
    <w:rsid w:val="000375E7"/>
    <w:rsid w:val="0004090E"/>
    <w:rsid w:val="00043D3D"/>
    <w:rsid w:val="00044D32"/>
    <w:rsid w:val="00045CB3"/>
    <w:rsid w:val="0005183F"/>
    <w:rsid w:val="0005188F"/>
    <w:rsid w:val="000535F8"/>
    <w:rsid w:val="00054EA7"/>
    <w:rsid w:val="00055B1C"/>
    <w:rsid w:val="00060A13"/>
    <w:rsid w:val="000612D5"/>
    <w:rsid w:val="00062F5C"/>
    <w:rsid w:val="00063331"/>
    <w:rsid w:val="00066956"/>
    <w:rsid w:val="00070471"/>
    <w:rsid w:val="00072965"/>
    <w:rsid w:val="00072DD3"/>
    <w:rsid w:val="00072FA6"/>
    <w:rsid w:val="000734A8"/>
    <w:rsid w:val="00073733"/>
    <w:rsid w:val="00074574"/>
    <w:rsid w:val="000751EC"/>
    <w:rsid w:val="000803B7"/>
    <w:rsid w:val="00080695"/>
    <w:rsid w:val="00080F94"/>
    <w:rsid w:val="00081FEB"/>
    <w:rsid w:val="00082795"/>
    <w:rsid w:val="00082C11"/>
    <w:rsid w:val="00084C18"/>
    <w:rsid w:val="00085192"/>
    <w:rsid w:val="00087F0D"/>
    <w:rsid w:val="00093BED"/>
    <w:rsid w:val="00097AED"/>
    <w:rsid w:val="000A02C8"/>
    <w:rsid w:val="000A2566"/>
    <w:rsid w:val="000A2781"/>
    <w:rsid w:val="000A5DF9"/>
    <w:rsid w:val="000B2CAE"/>
    <w:rsid w:val="000B3F2B"/>
    <w:rsid w:val="000B4100"/>
    <w:rsid w:val="000B61D8"/>
    <w:rsid w:val="000C1716"/>
    <w:rsid w:val="000C2018"/>
    <w:rsid w:val="000C6205"/>
    <w:rsid w:val="000C7A29"/>
    <w:rsid w:val="000D07AE"/>
    <w:rsid w:val="000D2520"/>
    <w:rsid w:val="000D425D"/>
    <w:rsid w:val="000D5D52"/>
    <w:rsid w:val="000E0699"/>
    <w:rsid w:val="000E3676"/>
    <w:rsid w:val="000E4EE5"/>
    <w:rsid w:val="000F0A06"/>
    <w:rsid w:val="000F0D81"/>
    <w:rsid w:val="000F0F3A"/>
    <w:rsid w:val="000F1E7F"/>
    <w:rsid w:val="000F5798"/>
    <w:rsid w:val="00101851"/>
    <w:rsid w:val="00104C38"/>
    <w:rsid w:val="001058BE"/>
    <w:rsid w:val="001060A0"/>
    <w:rsid w:val="00115087"/>
    <w:rsid w:val="001208A1"/>
    <w:rsid w:val="00121064"/>
    <w:rsid w:val="0012234F"/>
    <w:rsid w:val="00126373"/>
    <w:rsid w:val="0013074D"/>
    <w:rsid w:val="0013129B"/>
    <w:rsid w:val="00133F64"/>
    <w:rsid w:val="00134926"/>
    <w:rsid w:val="00134A4A"/>
    <w:rsid w:val="001358C7"/>
    <w:rsid w:val="0013622E"/>
    <w:rsid w:val="00136918"/>
    <w:rsid w:val="00137CDF"/>
    <w:rsid w:val="001405AB"/>
    <w:rsid w:val="00140F98"/>
    <w:rsid w:val="001415FA"/>
    <w:rsid w:val="0014761F"/>
    <w:rsid w:val="001501CD"/>
    <w:rsid w:val="001523D0"/>
    <w:rsid w:val="00152FC8"/>
    <w:rsid w:val="0015415E"/>
    <w:rsid w:val="00156462"/>
    <w:rsid w:val="001602A0"/>
    <w:rsid w:val="0016141A"/>
    <w:rsid w:val="00162476"/>
    <w:rsid w:val="0016331B"/>
    <w:rsid w:val="00165311"/>
    <w:rsid w:val="001672ED"/>
    <w:rsid w:val="00170FB0"/>
    <w:rsid w:val="00172A27"/>
    <w:rsid w:val="001734DA"/>
    <w:rsid w:val="00174C07"/>
    <w:rsid w:val="00176285"/>
    <w:rsid w:val="00176730"/>
    <w:rsid w:val="0018042D"/>
    <w:rsid w:val="001808F7"/>
    <w:rsid w:val="00181EAF"/>
    <w:rsid w:val="00182E47"/>
    <w:rsid w:val="00183F16"/>
    <w:rsid w:val="00187FF6"/>
    <w:rsid w:val="00190723"/>
    <w:rsid w:val="00192340"/>
    <w:rsid w:val="00194A8E"/>
    <w:rsid w:val="001956FB"/>
    <w:rsid w:val="00196F09"/>
    <w:rsid w:val="001A20CA"/>
    <w:rsid w:val="001A2B16"/>
    <w:rsid w:val="001A6641"/>
    <w:rsid w:val="001B1B65"/>
    <w:rsid w:val="001B3C9B"/>
    <w:rsid w:val="001B7395"/>
    <w:rsid w:val="001C02B0"/>
    <w:rsid w:val="001C02E6"/>
    <w:rsid w:val="001C1688"/>
    <w:rsid w:val="001C3730"/>
    <w:rsid w:val="001C47C7"/>
    <w:rsid w:val="001C7824"/>
    <w:rsid w:val="001D0870"/>
    <w:rsid w:val="001D11BB"/>
    <w:rsid w:val="001D16BB"/>
    <w:rsid w:val="001D26D0"/>
    <w:rsid w:val="001D56D1"/>
    <w:rsid w:val="001D65C1"/>
    <w:rsid w:val="001D6D1C"/>
    <w:rsid w:val="001E1F91"/>
    <w:rsid w:val="001E67E6"/>
    <w:rsid w:val="001F11D9"/>
    <w:rsid w:val="001F6C79"/>
    <w:rsid w:val="001F6DC4"/>
    <w:rsid w:val="001F78E3"/>
    <w:rsid w:val="002006E8"/>
    <w:rsid w:val="00201815"/>
    <w:rsid w:val="00207585"/>
    <w:rsid w:val="00207802"/>
    <w:rsid w:val="00210217"/>
    <w:rsid w:val="00213D3C"/>
    <w:rsid w:val="0021431C"/>
    <w:rsid w:val="00216A7B"/>
    <w:rsid w:val="00217B18"/>
    <w:rsid w:val="00220F40"/>
    <w:rsid w:val="0022166B"/>
    <w:rsid w:val="00227361"/>
    <w:rsid w:val="0023033E"/>
    <w:rsid w:val="002344F3"/>
    <w:rsid w:val="0023518E"/>
    <w:rsid w:val="00235D20"/>
    <w:rsid w:val="00237D07"/>
    <w:rsid w:val="00240F1A"/>
    <w:rsid w:val="00244886"/>
    <w:rsid w:val="00244D4C"/>
    <w:rsid w:val="00244D6A"/>
    <w:rsid w:val="002454FD"/>
    <w:rsid w:val="0025015F"/>
    <w:rsid w:val="00250BB8"/>
    <w:rsid w:val="00251328"/>
    <w:rsid w:val="00251D53"/>
    <w:rsid w:val="00252C23"/>
    <w:rsid w:val="002562E0"/>
    <w:rsid w:val="00256869"/>
    <w:rsid w:val="00262955"/>
    <w:rsid w:val="00264217"/>
    <w:rsid w:val="002643E3"/>
    <w:rsid w:val="00265873"/>
    <w:rsid w:val="002666A9"/>
    <w:rsid w:val="00270E66"/>
    <w:rsid w:val="00271878"/>
    <w:rsid w:val="002721D8"/>
    <w:rsid w:val="002726A6"/>
    <w:rsid w:val="00276FBA"/>
    <w:rsid w:val="00277152"/>
    <w:rsid w:val="00281543"/>
    <w:rsid w:val="00282ADB"/>
    <w:rsid w:val="002849D6"/>
    <w:rsid w:val="00287F3E"/>
    <w:rsid w:val="002955D5"/>
    <w:rsid w:val="00295E54"/>
    <w:rsid w:val="0029745E"/>
    <w:rsid w:val="002A099C"/>
    <w:rsid w:val="002A2B1E"/>
    <w:rsid w:val="002A38C3"/>
    <w:rsid w:val="002A5A40"/>
    <w:rsid w:val="002A6C57"/>
    <w:rsid w:val="002A7330"/>
    <w:rsid w:val="002B0673"/>
    <w:rsid w:val="002B4617"/>
    <w:rsid w:val="002B692D"/>
    <w:rsid w:val="002B7A73"/>
    <w:rsid w:val="002B7D50"/>
    <w:rsid w:val="002C0064"/>
    <w:rsid w:val="002C0A7E"/>
    <w:rsid w:val="002C4126"/>
    <w:rsid w:val="002C51B6"/>
    <w:rsid w:val="002C5644"/>
    <w:rsid w:val="002C58B3"/>
    <w:rsid w:val="002C6275"/>
    <w:rsid w:val="002C76F4"/>
    <w:rsid w:val="002D5913"/>
    <w:rsid w:val="002D6092"/>
    <w:rsid w:val="002D7B3A"/>
    <w:rsid w:val="002D7CDC"/>
    <w:rsid w:val="002E206D"/>
    <w:rsid w:val="002E35A3"/>
    <w:rsid w:val="002E635C"/>
    <w:rsid w:val="002E64EF"/>
    <w:rsid w:val="002E6A45"/>
    <w:rsid w:val="002F0B0A"/>
    <w:rsid w:val="002F1B8A"/>
    <w:rsid w:val="002F3BB6"/>
    <w:rsid w:val="002F7139"/>
    <w:rsid w:val="002F7366"/>
    <w:rsid w:val="003022B1"/>
    <w:rsid w:val="0030278D"/>
    <w:rsid w:val="003062E6"/>
    <w:rsid w:val="003062FE"/>
    <w:rsid w:val="0030765A"/>
    <w:rsid w:val="00320827"/>
    <w:rsid w:val="00323E90"/>
    <w:rsid w:val="00326FF0"/>
    <w:rsid w:val="00327D3B"/>
    <w:rsid w:val="00331D4D"/>
    <w:rsid w:val="0033212D"/>
    <w:rsid w:val="00334616"/>
    <w:rsid w:val="00336479"/>
    <w:rsid w:val="00340116"/>
    <w:rsid w:val="00341C6F"/>
    <w:rsid w:val="0034211E"/>
    <w:rsid w:val="0034269E"/>
    <w:rsid w:val="003474ED"/>
    <w:rsid w:val="00351257"/>
    <w:rsid w:val="003513BB"/>
    <w:rsid w:val="003555D2"/>
    <w:rsid w:val="00356D0A"/>
    <w:rsid w:val="00357676"/>
    <w:rsid w:val="0036077C"/>
    <w:rsid w:val="003639FA"/>
    <w:rsid w:val="0036413C"/>
    <w:rsid w:val="003643F7"/>
    <w:rsid w:val="003646D9"/>
    <w:rsid w:val="00372930"/>
    <w:rsid w:val="00373DED"/>
    <w:rsid w:val="00374E1A"/>
    <w:rsid w:val="00375987"/>
    <w:rsid w:val="00375AC2"/>
    <w:rsid w:val="00377E22"/>
    <w:rsid w:val="00377E4F"/>
    <w:rsid w:val="00381008"/>
    <w:rsid w:val="0038256B"/>
    <w:rsid w:val="00382E59"/>
    <w:rsid w:val="00385649"/>
    <w:rsid w:val="00385694"/>
    <w:rsid w:val="00386992"/>
    <w:rsid w:val="00387249"/>
    <w:rsid w:val="003877D0"/>
    <w:rsid w:val="00392AF9"/>
    <w:rsid w:val="00393216"/>
    <w:rsid w:val="0039406B"/>
    <w:rsid w:val="003962B9"/>
    <w:rsid w:val="003A041B"/>
    <w:rsid w:val="003A3A48"/>
    <w:rsid w:val="003A3FB5"/>
    <w:rsid w:val="003A5458"/>
    <w:rsid w:val="003B224B"/>
    <w:rsid w:val="003B5297"/>
    <w:rsid w:val="003C0A12"/>
    <w:rsid w:val="003C2D19"/>
    <w:rsid w:val="003C4AF1"/>
    <w:rsid w:val="003C65F2"/>
    <w:rsid w:val="003C727A"/>
    <w:rsid w:val="003C7AD2"/>
    <w:rsid w:val="003C7DDD"/>
    <w:rsid w:val="003D02EA"/>
    <w:rsid w:val="003D0387"/>
    <w:rsid w:val="003D0CAF"/>
    <w:rsid w:val="003D196C"/>
    <w:rsid w:val="003D1E7C"/>
    <w:rsid w:val="003D46EF"/>
    <w:rsid w:val="003D5373"/>
    <w:rsid w:val="003D7071"/>
    <w:rsid w:val="003E24F5"/>
    <w:rsid w:val="003E3026"/>
    <w:rsid w:val="003E4163"/>
    <w:rsid w:val="003E7786"/>
    <w:rsid w:val="003F41CB"/>
    <w:rsid w:val="003F533B"/>
    <w:rsid w:val="003F69D9"/>
    <w:rsid w:val="00403E61"/>
    <w:rsid w:val="004042A4"/>
    <w:rsid w:val="00414029"/>
    <w:rsid w:val="00414D05"/>
    <w:rsid w:val="0041643E"/>
    <w:rsid w:val="00416FCB"/>
    <w:rsid w:val="00417AFE"/>
    <w:rsid w:val="00423BB9"/>
    <w:rsid w:val="00423C4E"/>
    <w:rsid w:val="004257F2"/>
    <w:rsid w:val="0042583F"/>
    <w:rsid w:val="00431BA7"/>
    <w:rsid w:val="0043363D"/>
    <w:rsid w:val="0043396C"/>
    <w:rsid w:val="00433F4C"/>
    <w:rsid w:val="00436EEE"/>
    <w:rsid w:val="004378D9"/>
    <w:rsid w:val="0044024E"/>
    <w:rsid w:val="004411C8"/>
    <w:rsid w:val="0044710D"/>
    <w:rsid w:val="00447819"/>
    <w:rsid w:val="00451E99"/>
    <w:rsid w:val="00453594"/>
    <w:rsid w:val="00455D6E"/>
    <w:rsid w:val="00462461"/>
    <w:rsid w:val="0046266E"/>
    <w:rsid w:val="00463B9D"/>
    <w:rsid w:val="004647FD"/>
    <w:rsid w:val="00465CCF"/>
    <w:rsid w:val="004663A1"/>
    <w:rsid w:val="0046792D"/>
    <w:rsid w:val="004708BD"/>
    <w:rsid w:val="00471869"/>
    <w:rsid w:val="00472909"/>
    <w:rsid w:val="0047326F"/>
    <w:rsid w:val="004735A9"/>
    <w:rsid w:val="00473A69"/>
    <w:rsid w:val="00473C73"/>
    <w:rsid w:val="004743AB"/>
    <w:rsid w:val="004746F8"/>
    <w:rsid w:val="00475FA7"/>
    <w:rsid w:val="00476283"/>
    <w:rsid w:val="00476713"/>
    <w:rsid w:val="00477280"/>
    <w:rsid w:val="00490DB8"/>
    <w:rsid w:val="00491E38"/>
    <w:rsid w:val="004927C1"/>
    <w:rsid w:val="00492D76"/>
    <w:rsid w:val="004946E1"/>
    <w:rsid w:val="00497301"/>
    <w:rsid w:val="004A58E9"/>
    <w:rsid w:val="004B3C41"/>
    <w:rsid w:val="004B416F"/>
    <w:rsid w:val="004B5228"/>
    <w:rsid w:val="004B7197"/>
    <w:rsid w:val="004C0758"/>
    <w:rsid w:val="004C4D31"/>
    <w:rsid w:val="004C6E5D"/>
    <w:rsid w:val="004D023E"/>
    <w:rsid w:val="004D027A"/>
    <w:rsid w:val="004D1D17"/>
    <w:rsid w:val="004D4197"/>
    <w:rsid w:val="004D4CC6"/>
    <w:rsid w:val="004D4F5F"/>
    <w:rsid w:val="004D6CF6"/>
    <w:rsid w:val="004D6E86"/>
    <w:rsid w:val="004E02C9"/>
    <w:rsid w:val="004E248D"/>
    <w:rsid w:val="004E2977"/>
    <w:rsid w:val="004E3012"/>
    <w:rsid w:val="004E47CA"/>
    <w:rsid w:val="004E51B4"/>
    <w:rsid w:val="004F0F21"/>
    <w:rsid w:val="004F1488"/>
    <w:rsid w:val="004F28EC"/>
    <w:rsid w:val="004F2A64"/>
    <w:rsid w:val="004F30EA"/>
    <w:rsid w:val="004F35D6"/>
    <w:rsid w:val="004F3CE0"/>
    <w:rsid w:val="004F4C2C"/>
    <w:rsid w:val="004F65E3"/>
    <w:rsid w:val="00500B0C"/>
    <w:rsid w:val="00500ED9"/>
    <w:rsid w:val="00502872"/>
    <w:rsid w:val="00503B0F"/>
    <w:rsid w:val="00505A94"/>
    <w:rsid w:val="00505FCD"/>
    <w:rsid w:val="00506118"/>
    <w:rsid w:val="00506280"/>
    <w:rsid w:val="00506896"/>
    <w:rsid w:val="00510A4A"/>
    <w:rsid w:val="00513159"/>
    <w:rsid w:val="0051338C"/>
    <w:rsid w:val="00516BFF"/>
    <w:rsid w:val="005238B4"/>
    <w:rsid w:val="0052405F"/>
    <w:rsid w:val="005246BE"/>
    <w:rsid w:val="00526D3C"/>
    <w:rsid w:val="005272D4"/>
    <w:rsid w:val="005277E0"/>
    <w:rsid w:val="00531CF6"/>
    <w:rsid w:val="005325F8"/>
    <w:rsid w:val="005365B4"/>
    <w:rsid w:val="00537220"/>
    <w:rsid w:val="00540E80"/>
    <w:rsid w:val="0054362F"/>
    <w:rsid w:val="005472A9"/>
    <w:rsid w:val="00550CFF"/>
    <w:rsid w:val="005516BC"/>
    <w:rsid w:val="00553021"/>
    <w:rsid w:val="005571E8"/>
    <w:rsid w:val="00557347"/>
    <w:rsid w:val="005611B7"/>
    <w:rsid w:val="005621B6"/>
    <w:rsid w:val="00562E92"/>
    <w:rsid w:val="00565F9B"/>
    <w:rsid w:val="00566324"/>
    <w:rsid w:val="00566C63"/>
    <w:rsid w:val="00572E67"/>
    <w:rsid w:val="00574A7A"/>
    <w:rsid w:val="00575C75"/>
    <w:rsid w:val="00577EAF"/>
    <w:rsid w:val="0058030C"/>
    <w:rsid w:val="005818BA"/>
    <w:rsid w:val="00586872"/>
    <w:rsid w:val="0059081A"/>
    <w:rsid w:val="00590F18"/>
    <w:rsid w:val="00592CFE"/>
    <w:rsid w:val="00593133"/>
    <w:rsid w:val="00593E48"/>
    <w:rsid w:val="00596B06"/>
    <w:rsid w:val="005A0BD0"/>
    <w:rsid w:val="005A2D6A"/>
    <w:rsid w:val="005A347D"/>
    <w:rsid w:val="005A4817"/>
    <w:rsid w:val="005A78D4"/>
    <w:rsid w:val="005B2140"/>
    <w:rsid w:val="005B46FB"/>
    <w:rsid w:val="005B5D60"/>
    <w:rsid w:val="005B67F8"/>
    <w:rsid w:val="005B7E69"/>
    <w:rsid w:val="005C00A5"/>
    <w:rsid w:val="005C1679"/>
    <w:rsid w:val="005C5831"/>
    <w:rsid w:val="005C627B"/>
    <w:rsid w:val="005C70FD"/>
    <w:rsid w:val="005C78F8"/>
    <w:rsid w:val="005D31AE"/>
    <w:rsid w:val="005D3C3B"/>
    <w:rsid w:val="005D4228"/>
    <w:rsid w:val="005D64B6"/>
    <w:rsid w:val="005D77DF"/>
    <w:rsid w:val="005E39BE"/>
    <w:rsid w:val="005E3A5A"/>
    <w:rsid w:val="005E3FB9"/>
    <w:rsid w:val="005E4BC7"/>
    <w:rsid w:val="005E70DE"/>
    <w:rsid w:val="005E7887"/>
    <w:rsid w:val="005F0F8E"/>
    <w:rsid w:val="005F10BC"/>
    <w:rsid w:val="005F2398"/>
    <w:rsid w:val="005F3656"/>
    <w:rsid w:val="005F3A91"/>
    <w:rsid w:val="00602CC0"/>
    <w:rsid w:val="0060724C"/>
    <w:rsid w:val="006112C2"/>
    <w:rsid w:val="006126C9"/>
    <w:rsid w:val="0061390E"/>
    <w:rsid w:val="006171B6"/>
    <w:rsid w:val="0061750C"/>
    <w:rsid w:val="0061798B"/>
    <w:rsid w:val="00617EC3"/>
    <w:rsid w:val="006240FF"/>
    <w:rsid w:val="00624ED6"/>
    <w:rsid w:val="00630DB5"/>
    <w:rsid w:val="0063178C"/>
    <w:rsid w:val="006337DE"/>
    <w:rsid w:val="00633C72"/>
    <w:rsid w:val="00634BBF"/>
    <w:rsid w:val="00634E16"/>
    <w:rsid w:val="00635144"/>
    <w:rsid w:val="00636441"/>
    <w:rsid w:val="00644677"/>
    <w:rsid w:val="006465E4"/>
    <w:rsid w:val="00646EE0"/>
    <w:rsid w:val="0064703B"/>
    <w:rsid w:val="006506CD"/>
    <w:rsid w:val="006517DB"/>
    <w:rsid w:val="0065302D"/>
    <w:rsid w:val="00654AFD"/>
    <w:rsid w:val="00654C7B"/>
    <w:rsid w:val="00654C95"/>
    <w:rsid w:val="00657BA5"/>
    <w:rsid w:val="00657D92"/>
    <w:rsid w:val="00660D06"/>
    <w:rsid w:val="00662AF5"/>
    <w:rsid w:val="00663AE4"/>
    <w:rsid w:val="006646CA"/>
    <w:rsid w:val="00665AB9"/>
    <w:rsid w:val="00670580"/>
    <w:rsid w:val="00671DE2"/>
    <w:rsid w:val="00672592"/>
    <w:rsid w:val="00673E15"/>
    <w:rsid w:val="00674103"/>
    <w:rsid w:val="00674A15"/>
    <w:rsid w:val="00675196"/>
    <w:rsid w:val="006802BD"/>
    <w:rsid w:val="00680C2A"/>
    <w:rsid w:val="006836A9"/>
    <w:rsid w:val="0068402E"/>
    <w:rsid w:val="00684876"/>
    <w:rsid w:val="006870C9"/>
    <w:rsid w:val="00687ACF"/>
    <w:rsid w:val="0069366E"/>
    <w:rsid w:val="00693E72"/>
    <w:rsid w:val="00694D07"/>
    <w:rsid w:val="00695244"/>
    <w:rsid w:val="0069776E"/>
    <w:rsid w:val="00697D91"/>
    <w:rsid w:val="006A12E6"/>
    <w:rsid w:val="006A19E4"/>
    <w:rsid w:val="006A5750"/>
    <w:rsid w:val="006A7B34"/>
    <w:rsid w:val="006B12EB"/>
    <w:rsid w:val="006B29A9"/>
    <w:rsid w:val="006B5C45"/>
    <w:rsid w:val="006B5FDC"/>
    <w:rsid w:val="006B680E"/>
    <w:rsid w:val="006B69E7"/>
    <w:rsid w:val="006B7DA9"/>
    <w:rsid w:val="006C221E"/>
    <w:rsid w:val="006C4F29"/>
    <w:rsid w:val="006C5456"/>
    <w:rsid w:val="006C7853"/>
    <w:rsid w:val="006D04AD"/>
    <w:rsid w:val="006D1759"/>
    <w:rsid w:val="006D4014"/>
    <w:rsid w:val="006D5EB0"/>
    <w:rsid w:val="006E2CBC"/>
    <w:rsid w:val="006E33D9"/>
    <w:rsid w:val="006E499B"/>
    <w:rsid w:val="006E5E03"/>
    <w:rsid w:val="006F0CBE"/>
    <w:rsid w:val="006F13C0"/>
    <w:rsid w:val="006F1C28"/>
    <w:rsid w:val="006F644E"/>
    <w:rsid w:val="006F6451"/>
    <w:rsid w:val="006F736B"/>
    <w:rsid w:val="007001BD"/>
    <w:rsid w:val="00700BDE"/>
    <w:rsid w:val="00700E0E"/>
    <w:rsid w:val="00701801"/>
    <w:rsid w:val="007020A1"/>
    <w:rsid w:val="00703A46"/>
    <w:rsid w:val="00707754"/>
    <w:rsid w:val="0071080E"/>
    <w:rsid w:val="00710FE4"/>
    <w:rsid w:val="00712DF0"/>
    <w:rsid w:val="007141B2"/>
    <w:rsid w:val="00717059"/>
    <w:rsid w:val="00720EFB"/>
    <w:rsid w:val="0072262C"/>
    <w:rsid w:val="00723C25"/>
    <w:rsid w:val="0072649D"/>
    <w:rsid w:val="0073050F"/>
    <w:rsid w:val="007310A1"/>
    <w:rsid w:val="00731DFF"/>
    <w:rsid w:val="00734564"/>
    <w:rsid w:val="00734AF9"/>
    <w:rsid w:val="00743083"/>
    <w:rsid w:val="007431FD"/>
    <w:rsid w:val="00744890"/>
    <w:rsid w:val="00745BD0"/>
    <w:rsid w:val="00746F0B"/>
    <w:rsid w:val="007471AC"/>
    <w:rsid w:val="007515A1"/>
    <w:rsid w:val="00752841"/>
    <w:rsid w:val="0075444E"/>
    <w:rsid w:val="00756424"/>
    <w:rsid w:val="0076098A"/>
    <w:rsid w:val="00761869"/>
    <w:rsid w:val="00762CD1"/>
    <w:rsid w:val="00766BAE"/>
    <w:rsid w:val="0076785C"/>
    <w:rsid w:val="00771448"/>
    <w:rsid w:val="007727D6"/>
    <w:rsid w:val="00772E37"/>
    <w:rsid w:val="00774EE1"/>
    <w:rsid w:val="00777562"/>
    <w:rsid w:val="00784988"/>
    <w:rsid w:val="0078644D"/>
    <w:rsid w:val="007866F8"/>
    <w:rsid w:val="00786C07"/>
    <w:rsid w:val="007879E5"/>
    <w:rsid w:val="00787B19"/>
    <w:rsid w:val="00790BD4"/>
    <w:rsid w:val="00790DA1"/>
    <w:rsid w:val="007A07C4"/>
    <w:rsid w:val="007A08E8"/>
    <w:rsid w:val="007A4130"/>
    <w:rsid w:val="007A5571"/>
    <w:rsid w:val="007A7262"/>
    <w:rsid w:val="007B051A"/>
    <w:rsid w:val="007B1053"/>
    <w:rsid w:val="007B1FF6"/>
    <w:rsid w:val="007B245C"/>
    <w:rsid w:val="007B2934"/>
    <w:rsid w:val="007B3C28"/>
    <w:rsid w:val="007B5E6E"/>
    <w:rsid w:val="007B68A5"/>
    <w:rsid w:val="007B79A6"/>
    <w:rsid w:val="007C0DD4"/>
    <w:rsid w:val="007C23A0"/>
    <w:rsid w:val="007C28EC"/>
    <w:rsid w:val="007C3169"/>
    <w:rsid w:val="007C3A71"/>
    <w:rsid w:val="007C474D"/>
    <w:rsid w:val="007C4B3F"/>
    <w:rsid w:val="007C530B"/>
    <w:rsid w:val="007C6C13"/>
    <w:rsid w:val="007C7E25"/>
    <w:rsid w:val="007C7E3B"/>
    <w:rsid w:val="007C7EE6"/>
    <w:rsid w:val="007D0C78"/>
    <w:rsid w:val="007D3269"/>
    <w:rsid w:val="007D360F"/>
    <w:rsid w:val="007D41FE"/>
    <w:rsid w:val="007D43BD"/>
    <w:rsid w:val="007D7028"/>
    <w:rsid w:val="007E123D"/>
    <w:rsid w:val="007E1CD4"/>
    <w:rsid w:val="007E6429"/>
    <w:rsid w:val="007E73AF"/>
    <w:rsid w:val="007E7A5B"/>
    <w:rsid w:val="007F4602"/>
    <w:rsid w:val="007F5139"/>
    <w:rsid w:val="007F5FB5"/>
    <w:rsid w:val="007F62DB"/>
    <w:rsid w:val="007F62DF"/>
    <w:rsid w:val="007F6A02"/>
    <w:rsid w:val="00804692"/>
    <w:rsid w:val="00804DC0"/>
    <w:rsid w:val="00806B94"/>
    <w:rsid w:val="00807A54"/>
    <w:rsid w:val="00811438"/>
    <w:rsid w:val="00812E7D"/>
    <w:rsid w:val="00813279"/>
    <w:rsid w:val="008134A6"/>
    <w:rsid w:val="00813AA3"/>
    <w:rsid w:val="008140B3"/>
    <w:rsid w:val="00814A60"/>
    <w:rsid w:val="00814F75"/>
    <w:rsid w:val="00814F97"/>
    <w:rsid w:val="00815DE4"/>
    <w:rsid w:val="00817647"/>
    <w:rsid w:val="00817685"/>
    <w:rsid w:val="008179E5"/>
    <w:rsid w:val="008221E4"/>
    <w:rsid w:val="008250EE"/>
    <w:rsid w:val="0082701F"/>
    <w:rsid w:val="008357BC"/>
    <w:rsid w:val="00836646"/>
    <w:rsid w:val="00836B36"/>
    <w:rsid w:val="00841D12"/>
    <w:rsid w:val="008504BC"/>
    <w:rsid w:val="00850E73"/>
    <w:rsid w:val="008520D8"/>
    <w:rsid w:val="00853F4E"/>
    <w:rsid w:val="00856BDE"/>
    <w:rsid w:val="00857E59"/>
    <w:rsid w:val="0086055C"/>
    <w:rsid w:val="00861386"/>
    <w:rsid w:val="00861E51"/>
    <w:rsid w:val="00862531"/>
    <w:rsid w:val="008642A8"/>
    <w:rsid w:val="00864F47"/>
    <w:rsid w:val="00865C4F"/>
    <w:rsid w:val="0086661C"/>
    <w:rsid w:val="00870435"/>
    <w:rsid w:val="00872E37"/>
    <w:rsid w:val="00872F6C"/>
    <w:rsid w:val="008731F0"/>
    <w:rsid w:val="00873296"/>
    <w:rsid w:val="00873E02"/>
    <w:rsid w:val="00873F0F"/>
    <w:rsid w:val="008754C1"/>
    <w:rsid w:val="00881A50"/>
    <w:rsid w:val="00885DA3"/>
    <w:rsid w:val="00893145"/>
    <w:rsid w:val="00893EE9"/>
    <w:rsid w:val="00894C90"/>
    <w:rsid w:val="008977DD"/>
    <w:rsid w:val="008A3B70"/>
    <w:rsid w:val="008B0D14"/>
    <w:rsid w:val="008B16E6"/>
    <w:rsid w:val="008B6075"/>
    <w:rsid w:val="008C0C45"/>
    <w:rsid w:val="008C3E39"/>
    <w:rsid w:val="008C430E"/>
    <w:rsid w:val="008C56A6"/>
    <w:rsid w:val="008C5A9A"/>
    <w:rsid w:val="008C6ADC"/>
    <w:rsid w:val="008C7C90"/>
    <w:rsid w:val="008D020D"/>
    <w:rsid w:val="008D027B"/>
    <w:rsid w:val="008D0962"/>
    <w:rsid w:val="008D25F1"/>
    <w:rsid w:val="008D37F3"/>
    <w:rsid w:val="008D6BA5"/>
    <w:rsid w:val="008D6D55"/>
    <w:rsid w:val="008E11B2"/>
    <w:rsid w:val="008E14FA"/>
    <w:rsid w:val="008E2194"/>
    <w:rsid w:val="008E3517"/>
    <w:rsid w:val="008E4704"/>
    <w:rsid w:val="008F0649"/>
    <w:rsid w:val="008F4AA9"/>
    <w:rsid w:val="008F7C5C"/>
    <w:rsid w:val="00905F7E"/>
    <w:rsid w:val="00906843"/>
    <w:rsid w:val="009117A8"/>
    <w:rsid w:val="00912B3E"/>
    <w:rsid w:val="0091458C"/>
    <w:rsid w:val="00914BF4"/>
    <w:rsid w:val="00915157"/>
    <w:rsid w:val="009153B3"/>
    <w:rsid w:val="00915524"/>
    <w:rsid w:val="00916FEC"/>
    <w:rsid w:val="009205E5"/>
    <w:rsid w:val="00920A19"/>
    <w:rsid w:val="00922140"/>
    <w:rsid w:val="009223AF"/>
    <w:rsid w:val="009223B8"/>
    <w:rsid w:val="00923BD2"/>
    <w:rsid w:val="009242F4"/>
    <w:rsid w:val="009268BF"/>
    <w:rsid w:val="0092713F"/>
    <w:rsid w:val="00931204"/>
    <w:rsid w:val="009312BA"/>
    <w:rsid w:val="00931E69"/>
    <w:rsid w:val="009333CB"/>
    <w:rsid w:val="0093686C"/>
    <w:rsid w:val="00936BFF"/>
    <w:rsid w:val="00940652"/>
    <w:rsid w:val="00940A6D"/>
    <w:rsid w:val="009469D9"/>
    <w:rsid w:val="00952492"/>
    <w:rsid w:val="009551FB"/>
    <w:rsid w:val="00961D41"/>
    <w:rsid w:val="00964A0C"/>
    <w:rsid w:val="00965936"/>
    <w:rsid w:val="00965DB4"/>
    <w:rsid w:val="00966DBD"/>
    <w:rsid w:val="00966F6E"/>
    <w:rsid w:val="009671A8"/>
    <w:rsid w:val="00972C2F"/>
    <w:rsid w:val="00980A2B"/>
    <w:rsid w:val="0098126A"/>
    <w:rsid w:val="00983812"/>
    <w:rsid w:val="0098452C"/>
    <w:rsid w:val="0098465E"/>
    <w:rsid w:val="00984919"/>
    <w:rsid w:val="009853B9"/>
    <w:rsid w:val="0098592A"/>
    <w:rsid w:val="00987835"/>
    <w:rsid w:val="00991B71"/>
    <w:rsid w:val="0099340D"/>
    <w:rsid w:val="009962A4"/>
    <w:rsid w:val="009A241A"/>
    <w:rsid w:val="009A40CD"/>
    <w:rsid w:val="009A4608"/>
    <w:rsid w:val="009B03D7"/>
    <w:rsid w:val="009B1AC1"/>
    <w:rsid w:val="009B2A3C"/>
    <w:rsid w:val="009B3670"/>
    <w:rsid w:val="009B3DE0"/>
    <w:rsid w:val="009B3EBC"/>
    <w:rsid w:val="009B4300"/>
    <w:rsid w:val="009B5AEE"/>
    <w:rsid w:val="009B6252"/>
    <w:rsid w:val="009B7BF6"/>
    <w:rsid w:val="009C1BC5"/>
    <w:rsid w:val="009C4CFC"/>
    <w:rsid w:val="009C51C3"/>
    <w:rsid w:val="009C6DB7"/>
    <w:rsid w:val="009D0C1C"/>
    <w:rsid w:val="009D22F5"/>
    <w:rsid w:val="009D4E78"/>
    <w:rsid w:val="009D55BD"/>
    <w:rsid w:val="009D6B19"/>
    <w:rsid w:val="009D7C14"/>
    <w:rsid w:val="009E186F"/>
    <w:rsid w:val="009E1AD4"/>
    <w:rsid w:val="009E3B3E"/>
    <w:rsid w:val="009E49D1"/>
    <w:rsid w:val="009E53F1"/>
    <w:rsid w:val="009F1817"/>
    <w:rsid w:val="009F2E7B"/>
    <w:rsid w:val="009F365C"/>
    <w:rsid w:val="009F4958"/>
    <w:rsid w:val="009F6BD4"/>
    <w:rsid w:val="009F7CBB"/>
    <w:rsid w:val="00A0155B"/>
    <w:rsid w:val="00A033E4"/>
    <w:rsid w:val="00A04147"/>
    <w:rsid w:val="00A05904"/>
    <w:rsid w:val="00A05DA0"/>
    <w:rsid w:val="00A110A1"/>
    <w:rsid w:val="00A112DC"/>
    <w:rsid w:val="00A1396B"/>
    <w:rsid w:val="00A15097"/>
    <w:rsid w:val="00A15624"/>
    <w:rsid w:val="00A15C6D"/>
    <w:rsid w:val="00A16696"/>
    <w:rsid w:val="00A166A3"/>
    <w:rsid w:val="00A21C83"/>
    <w:rsid w:val="00A23AAD"/>
    <w:rsid w:val="00A25F3B"/>
    <w:rsid w:val="00A27B52"/>
    <w:rsid w:val="00A30173"/>
    <w:rsid w:val="00A30BA7"/>
    <w:rsid w:val="00A31E63"/>
    <w:rsid w:val="00A34160"/>
    <w:rsid w:val="00A350F3"/>
    <w:rsid w:val="00A36055"/>
    <w:rsid w:val="00A374EB"/>
    <w:rsid w:val="00A37ABA"/>
    <w:rsid w:val="00A41C2E"/>
    <w:rsid w:val="00A41D03"/>
    <w:rsid w:val="00A420FC"/>
    <w:rsid w:val="00A476C6"/>
    <w:rsid w:val="00A47B9A"/>
    <w:rsid w:val="00A53B1D"/>
    <w:rsid w:val="00A54AA7"/>
    <w:rsid w:val="00A551DD"/>
    <w:rsid w:val="00A56A93"/>
    <w:rsid w:val="00A6031C"/>
    <w:rsid w:val="00A612C4"/>
    <w:rsid w:val="00A61BC0"/>
    <w:rsid w:val="00A65381"/>
    <w:rsid w:val="00A6740E"/>
    <w:rsid w:val="00A67B29"/>
    <w:rsid w:val="00A67F76"/>
    <w:rsid w:val="00A72EB0"/>
    <w:rsid w:val="00A72F8E"/>
    <w:rsid w:val="00A7428F"/>
    <w:rsid w:val="00A77498"/>
    <w:rsid w:val="00A8183D"/>
    <w:rsid w:val="00A81C7D"/>
    <w:rsid w:val="00A82880"/>
    <w:rsid w:val="00A85A3B"/>
    <w:rsid w:val="00A863BE"/>
    <w:rsid w:val="00A9166C"/>
    <w:rsid w:val="00A920DD"/>
    <w:rsid w:val="00A925FB"/>
    <w:rsid w:val="00A9274A"/>
    <w:rsid w:val="00A95884"/>
    <w:rsid w:val="00A95AEE"/>
    <w:rsid w:val="00A95D52"/>
    <w:rsid w:val="00A962E0"/>
    <w:rsid w:val="00A9646D"/>
    <w:rsid w:val="00A97327"/>
    <w:rsid w:val="00AA0577"/>
    <w:rsid w:val="00AA0D52"/>
    <w:rsid w:val="00AA2E52"/>
    <w:rsid w:val="00AA331F"/>
    <w:rsid w:val="00AA60BE"/>
    <w:rsid w:val="00AA7F9A"/>
    <w:rsid w:val="00AB035D"/>
    <w:rsid w:val="00AB4A49"/>
    <w:rsid w:val="00AB55F2"/>
    <w:rsid w:val="00AB693C"/>
    <w:rsid w:val="00AB6D61"/>
    <w:rsid w:val="00AB7543"/>
    <w:rsid w:val="00AC31C3"/>
    <w:rsid w:val="00AC5398"/>
    <w:rsid w:val="00AC72EA"/>
    <w:rsid w:val="00AC7ACC"/>
    <w:rsid w:val="00AD030F"/>
    <w:rsid w:val="00AD31F4"/>
    <w:rsid w:val="00AD4621"/>
    <w:rsid w:val="00AD5F99"/>
    <w:rsid w:val="00AE1671"/>
    <w:rsid w:val="00AE1B72"/>
    <w:rsid w:val="00AE1DC0"/>
    <w:rsid w:val="00AE2234"/>
    <w:rsid w:val="00AE3851"/>
    <w:rsid w:val="00AE7F48"/>
    <w:rsid w:val="00AF061B"/>
    <w:rsid w:val="00AF2133"/>
    <w:rsid w:val="00AF4E33"/>
    <w:rsid w:val="00AF4EC2"/>
    <w:rsid w:val="00AF65FC"/>
    <w:rsid w:val="00AF6EBC"/>
    <w:rsid w:val="00B01A63"/>
    <w:rsid w:val="00B020A0"/>
    <w:rsid w:val="00B02272"/>
    <w:rsid w:val="00B04A00"/>
    <w:rsid w:val="00B10397"/>
    <w:rsid w:val="00B12892"/>
    <w:rsid w:val="00B12914"/>
    <w:rsid w:val="00B140C7"/>
    <w:rsid w:val="00B15071"/>
    <w:rsid w:val="00B153A1"/>
    <w:rsid w:val="00B15B6F"/>
    <w:rsid w:val="00B16405"/>
    <w:rsid w:val="00B16B67"/>
    <w:rsid w:val="00B2055A"/>
    <w:rsid w:val="00B20CB8"/>
    <w:rsid w:val="00B22C52"/>
    <w:rsid w:val="00B26B86"/>
    <w:rsid w:val="00B2711F"/>
    <w:rsid w:val="00B274DD"/>
    <w:rsid w:val="00B326FE"/>
    <w:rsid w:val="00B33905"/>
    <w:rsid w:val="00B34D47"/>
    <w:rsid w:val="00B37216"/>
    <w:rsid w:val="00B4312C"/>
    <w:rsid w:val="00B43C00"/>
    <w:rsid w:val="00B44E2F"/>
    <w:rsid w:val="00B459BE"/>
    <w:rsid w:val="00B45DBC"/>
    <w:rsid w:val="00B47B12"/>
    <w:rsid w:val="00B51705"/>
    <w:rsid w:val="00B5617F"/>
    <w:rsid w:val="00B56734"/>
    <w:rsid w:val="00B5730E"/>
    <w:rsid w:val="00B6019E"/>
    <w:rsid w:val="00B60D04"/>
    <w:rsid w:val="00B62582"/>
    <w:rsid w:val="00B661A4"/>
    <w:rsid w:val="00B70546"/>
    <w:rsid w:val="00B70C6A"/>
    <w:rsid w:val="00B71E55"/>
    <w:rsid w:val="00B734C5"/>
    <w:rsid w:val="00B73C1B"/>
    <w:rsid w:val="00B75680"/>
    <w:rsid w:val="00B7657E"/>
    <w:rsid w:val="00B81D23"/>
    <w:rsid w:val="00B824F9"/>
    <w:rsid w:val="00B826D8"/>
    <w:rsid w:val="00B83C28"/>
    <w:rsid w:val="00B91D91"/>
    <w:rsid w:val="00B92EEE"/>
    <w:rsid w:val="00B9357D"/>
    <w:rsid w:val="00B94C27"/>
    <w:rsid w:val="00B959E7"/>
    <w:rsid w:val="00B96916"/>
    <w:rsid w:val="00B97CAA"/>
    <w:rsid w:val="00B97E46"/>
    <w:rsid w:val="00BA071E"/>
    <w:rsid w:val="00BA486F"/>
    <w:rsid w:val="00BA48F9"/>
    <w:rsid w:val="00BA51BD"/>
    <w:rsid w:val="00BA5538"/>
    <w:rsid w:val="00BA5547"/>
    <w:rsid w:val="00BA57DC"/>
    <w:rsid w:val="00BA5891"/>
    <w:rsid w:val="00BA7427"/>
    <w:rsid w:val="00BB0B1B"/>
    <w:rsid w:val="00BB23A2"/>
    <w:rsid w:val="00BC1349"/>
    <w:rsid w:val="00BC748E"/>
    <w:rsid w:val="00BD0CA8"/>
    <w:rsid w:val="00BD1013"/>
    <w:rsid w:val="00BD22D7"/>
    <w:rsid w:val="00BD2CFB"/>
    <w:rsid w:val="00BD3DB1"/>
    <w:rsid w:val="00BD49D2"/>
    <w:rsid w:val="00BD6368"/>
    <w:rsid w:val="00BD7E2C"/>
    <w:rsid w:val="00BE041F"/>
    <w:rsid w:val="00BE11BF"/>
    <w:rsid w:val="00BE22AC"/>
    <w:rsid w:val="00BE40A1"/>
    <w:rsid w:val="00BE7BB2"/>
    <w:rsid w:val="00BF36F4"/>
    <w:rsid w:val="00BF392F"/>
    <w:rsid w:val="00BF45AC"/>
    <w:rsid w:val="00BF4B65"/>
    <w:rsid w:val="00BF56E4"/>
    <w:rsid w:val="00BF6EFA"/>
    <w:rsid w:val="00BF71AB"/>
    <w:rsid w:val="00C0095D"/>
    <w:rsid w:val="00C02745"/>
    <w:rsid w:val="00C057B8"/>
    <w:rsid w:val="00C0648E"/>
    <w:rsid w:val="00C07BD7"/>
    <w:rsid w:val="00C07E46"/>
    <w:rsid w:val="00C12017"/>
    <w:rsid w:val="00C12347"/>
    <w:rsid w:val="00C12DA5"/>
    <w:rsid w:val="00C136F0"/>
    <w:rsid w:val="00C13B57"/>
    <w:rsid w:val="00C1425C"/>
    <w:rsid w:val="00C14C8A"/>
    <w:rsid w:val="00C16702"/>
    <w:rsid w:val="00C2032C"/>
    <w:rsid w:val="00C21C6C"/>
    <w:rsid w:val="00C222D4"/>
    <w:rsid w:val="00C227FE"/>
    <w:rsid w:val="00C23479"/>
    <w:rsid w:val="00C2637A"/>
    <w:rsid w:val="00C307DA"/>
    <w:rsid w:val="00C31457"/>
    <w:rsid w:val="00C31C09"/>
    <w:rsid w:val="00C31DD5"/>
    <w:rsid w:val="00C32F12"/>
    <w:rsid w:val="00C33AAA"/>
    <w:rsid w:val="00C34757"/>
    <w:rsid w:val="00C35197"/>
    <w:rsid w:val="00C36A56"/>
    <w:rsid w:val="00C36DFD"/>
    <w:rsid w:val="00C377B8"/>
    <w:rsid w:val="00C4094C"/>
    <w:rsid w:val="00C409E5"/>
    <w:rsid w:val="00C46CAF"/>
    <w:rsid w:val="00C47EFB"/>
    <w:rsid w:val="00C5139F"/>
    <w:rsid w:val="00C51453"/>
    <w:rsid w:val="00C52BDB"/>
    <w:rsid w:val="00C52C51"/>
    <w:rsid w:val="00C52D34"/>
    <w:rsid w:val="00C53181"/>
    <w:rsid w:val="00C5345E"/>
    <w:rsid w:val="00C54EEF"/>
    <w:rsid w:val="00C551BF"/>
    <w:rsid w:val="00C563D1"/>
    <w:rsid w:val="00C60673"/>
    <w:rsid w:val="00C6068F"/>
    <w:rsid w:val="00C613AF"/>
    <w:rsid w:val="00C613E4"/>
    <w:rsid w:val="00C6276C"/>
    <w:rsid w:val="00C63604"/>
    <w:rsid w:val="00C636AE"/>
    <w:rsid w:val="00C65481"/>
    <w:rsid w:val="00C656DC"/>
    <w:rsid w:val="00C66D94"/>
    <w:rsid w:val="00C679F4"/>
    <w:rsid w:val="00C70D61"/>
    <w:rsid w:val="00C716C6"/>
    <w:rsid w:val="00C72C01"/>
    <w:rsid w:val="00C7355B"/>
    <w:rsid w:val="00C73EB5"/>
    <w:rsid w:val="00C75BE6"/>
    <w:rsid w:val="00C7628C"/>
    <w:rsid w:val="00C77E15"/>
    <w:rsid w:val="00C8073F"/>
    <w:rsid w:val="00C80B00"/>
    <w:rsid w:val="00C80F54"/>
    <w:rsid w:val="00C82062"/>
    <w:rsid w:val="00C85B31"/>
    <w:rsid w:val="00C87B84"/>
    <w:rsid w:val="00C915C9"/>
    <w:rsid w:val="00C9245A"/>
    <w:rsid w:val="00C928C7"/>
    <w:rsid w:val="00C933B9"/>
    <w:rsid w:val="00C93B50"/>
    <w:rsid w:val="00C95BB2"/>
    <w:rsid w:val="00C96705"/>
    <w:rsid w:val="00C97BA9"/>
    <w:rsid w:val="00CA3FB5"/>
    <w:rsid w:val="00CA68DA"/>
    <w:rsid w:val="00CA6981"/>
    <w:rsid w:val="00CB1AAD"/>
    <w:rsid w:val="00CB1B97"/>
    <w:rsid w:val="00CB23DF"/>
    <w:rsid w:val="00CB329F"/>
    <w:rsid w:val="00CB3536"/>
    <w:rsid w:val="00CB3EBB"/>
    <w:rsid w:val="00CB45D2"/>
    <w:rsid w:val="00CB5085"/>
    <w:rsid w:val="00CB5229"/>
    <w:rsid w:val="00CB5A70"/>
    <w:rsid w:val="00CC014E"/>
    <w:rsid w:val="00CC0291"/>
    <w:rsid w:val="00CC2E71"/>
    <w:rsid w:val="00CC42A9"/>
    <w:rsid w:val="00CC5043"/>
    <w:rsid w:val="00CD256B"/>
    <w:rsid w:val="00CD2618"/>
    <w:rsid w:val="00CD3FD3"/>
    <w:rsid w:val="00CD4552"/>
    <w:rsid w:val="00CD47A8"/>
    <w:rsid w:val="00CD5250"/>
    <w:rsid w:val="00CD5E5A"/>
    <w:rsid w:val="00CD63B9"/>
    <w:rsid w:val="00CE2048"/>
    <w:rsid w:val="00CE348A"/>
    <w:rsid w:val="00CE5471"/>
    <w:rsid w:val="00CE54C8"/>
    <w:rsid w:val="00CE66AD"/>
    <w:rsid w:val="00CE742C"/>
    <w:rsid w:val="00CF0904"/>
    <w:rsid w:val="00CF0F3B"/>
    <w:rsid w:val="00CF30CC"/>
    <w:rsid w:val="00D046AE"/>
    <w:rsid w:val="00D06EDD"/>
    <w:rsid w:val="00D070A2"/>
    <w:rsid w:val="00D070FF"/>
    <w:rsid w:val="00D10011"/>
    <w:rsid w:val="00D100F2"/>
    <w:rsid w:val="00D142E6"/>
    <w:rsid w:val="00D14C9E"/>
    <w:rsid w:val="00D154D9"/>
    <w:rsid w:val="00D15EAD"/>
    <w:rsid w:val="00D161E2"/>
    <w:rsid w:val="00D165A9"/>
    <w:rsid w:val="00D17779"/>
    <w:rsid w:val="00D20676"/>
    <w:rsid w:val="00D20BDB"/>
    <w:rsid w:val="00D20C28"/>
    <w:rsid w:val="00D23668"/>
    <w:rsid w:val="00D25374"/>
    <w:rsid w:val="00D255CD"/>
    <w:rsid w:val="00D27CE8"/>
    <w:rsid w:val="00D27FC1"/>
    <w:rsid w:val="00D30D9B"/>
    <w:rsid w:val="00D319BA"/>
    <w:rsid w:val="00D37571"/>
    <w:rsid w:val="00D40A33"/>
    <w:rsid w:val="00D41F25"/>
    <w:rsid w:val="00D42FF8"/>
    <w:rsid w:val="00D4342B"/>
    <w:rsid w:val="00D4360E"/>
    <w:rsid w:val="00D43F34"/>
    <w:rsid w:val="00D44E74"/>
    <w:rsid w:val="00D45D13"/>
    <w:rsid w:val="00D4670C"/>
    <w:rsid w:val="00D52D21"/>
    <w:rsid w:val="00D5417B"/>
    <w:rsid w:val="00D5509C"/>
    <w:rsid w:val="00D56C73"/>
    <w:rsid w:val="00D57BD3"/>
    <w:rsid w:val="00D6005A"/>
    <w:rsid w:val="00D601AD"/>
    <w:rsid w:val="00D626F4"/>
    <w:rsid w:val="00D62768"/>
    <w:rsid w:val="00D62EB3"/>
    <w:rsid w:val="00D638EA"/>
    <w:rsid w:val="00D64B78"/>
    <w:rsid w:val="00D663C5"/>
    <w:rsid w:val="00D664D2"/>
    <w:rsid w:val="00D7081C"/>
    <w:rsid w:val="00D70DAA"/>
    <w:rsid w:val="00D70E6F"/>
    <w:rsid w:val="00D719FC"/>
    <w:rsid w:val="00D7268F"/>
    <w:rsid w:val="00D72AD8"/>
    <w:rsid w:val="00D72D3A"/>
    <w:rsid w:val="00D74F79"/>
    <w:rsid w:val="00D8002D"/>
    <w:rsid w:val="00D812E9"/>
    <w:rsid w:val="00D81626"/>
    <w:rsid w:val="00D834BF"/>
    <w:rsid w:val="00D83A7A"/>
    <w:rsid w:val="00D87F7C"/>
    <w:rsid w:val="00D901F5"/>
    <w:rsid w:val="00D922F3"/>
    <w:rsid w:val="00D94F8A"/>
    <w:rsid w:val="00D95797"/>
    <w:rsid w:val="00D97AA3"/>
    <w:rsid w:val="00D97DB1"/>
    <w:rsid w:val="00DA4809"/>
    <w:rsid w:val="00DA5140"/>
    <w:rsid w:val="00DA6FF2"/>
    <w:rsid w:val="00DB14A0"/>
    <w:rsid w:val="00DB282A"/>
    <w:rsid w:val="00DB578E"/>
    <w:rsid w:val="00DB5CAE"/>
    <w:rsid w:val="00DB6A53"/>
    <w:rsid w:val="00DC32C6"/>
    <w:rsid w:val="00DC6110"/>
    <w:rsid w:val="00DC6B4B"/>
    <w:rsid w:val="00DC6D1F"/>
    <w:rsid w:val="00DD241F"/>
    <w:rsid w:val="00DD29BE"/>
    <w:rsid w:val="00DD2B29"/>
    <w:rsid w:val="00DD2FC7"/>
    <w:rsid w:val="00DD642B"/>
    <w:rsid w:val="00DD68DF"/>
    <w:rsid w:val="00DD73F9"/>
    <w:rsid w:val="00DE30A2"/>
    <w:rsid w:val="00DE38D8"/>
    <w:rsid w:val="00DE5B57"/>
    <w:rsid w:val="00DE5EE7"/>
    <w:rsid w:val="00DE6980"/>
    <w:rsid w:val="00DE72A3"/>
    <w:rsid w:val="00DE7732"/>
    <w:rsid w:val="00DF0573"/>
    <w:rsid w:val="00DF1670"/>
    <w:rsid w:val="00DF17B9"/>
    <w:rsid w:val="00DF446B"/>
    <w:rsid w:val="00DF4AD0"/>
    <w:rsid w:val="00DF4D78"/>
    <w:rsid w:val="00DF6933"/>
    <w:rsid w:val="00E00CF7"/>
    <w:rsid w:val="00E01F9F"/>
    <w:rsid w:val="00E045CF"/>
    <w:rsid w:val="00E04AA9"/>
    <w:rsid w:val="00E062CA"/>
    <w:rsid w:val="00E07CF2"/>
    <w:rsid w:val="00E11AF7"/>
    <w:rsid w:val="00E1221D"/>
    <w:rsid w:val="00E1392A"/>
    <w:rsid w:val="00E13D6B"/>
    <w:rsid w:val="00E13D6E"/>
    <w:rsid w:val="00E14AB9"/>
    <w:rsid w:val="00E16D4A"/>
    <w:rsid w:val="00E1759C"/>
    <w:rsid w:val="00E20A74"/>
    <w:rsid w:val="00E20F36"/>
    <w:rsid w:val="00E21375"/>
    <w:rsid w:val="00E21395"/>
    <w:rsid w:val="00E24A30"/>
    <w:rsid w:val="00E24C4A"/>
    <w:rsid w:val="00E267E2"/>
    <w:rsid w:val="00E27D63"/>
    <w:rsid w:val="00E3428D"/>
    <w:rsid w:val="00E34A59"/>
    <w:rsid w:val="00E377FC"/>
    <w:rsid w:val="00E4215F"/>
    <w:rsid w:val="00E44100"/>
    <w:rsid w:val="00E44421"/>
    <w:rsid w:val="00E44550"/>
    <w:rsid w:val="00E45546"/>
    <w:rsid w:val="00E45E74"/>
    <w:rsid w:val="00E45EBD"/>
    <w:rsid w:val="00E52EEC"/>
    <w:rsid w:val="00E55135"/>
    <w:rsid w:val="00E61224"/>
    <w:rsid w:val="00E61A58"/>
    <w:rsid w:val="00E6307D"/>
    <w:rsid w:val="00E63CEF"/>
    <w:rsid w:val="00E64D59"/>
    <w:rsid w:val="00E650E1"/>
    <w:rsid w:val="00E66FC5"/>
    <w:rsid w:val="00E70312"/>
    <w:rsid w:val="00E70579"/>
    <w:rsid w:val="00E70F7E"/>
    <w:rsid w:val="00E711C5"/>
    <w:rsid w:val="00E7254D"/>
    <w:rsid w:val="00E736A7"/>
    <w:rsid w:val="00E74964"/>
    <w:rsid w:val="00E76153"/>
    <w:rsid w:val="00E76C3E"/>
    <w:rsid w:val="00E776BD"/>
    <w:rsid w:val="00E824AC"/>
    <w:rsid w:val="00E85A34"/>
    <w:rsid w:val="00E86836"/>
    <w:rsid w:val="00E86DEA"/>
    <w:rsid w:val="00E87522"/>
    <w:rsid w:val="00E878A3"/>
    <w:rsid w:val="00E90321"/>
    <w:rsid w:val="00E90A93"/>
    <w:rsid w:val="00E90FF9"/>
    <w:rsid w:val="00E93780"/>
    <w:rsid w:val="00E943B7"/>
    <w:rsid w:val="00E94B4D"/>
    <w:rsid w:val="00E9573F"/>
    <w:rsid w:val="00E9635B"/>
    <w:rsid w:val="00E976C9"/>
    <w:rsid w:val="00EA0CDE"/>
    <w:rsid w:val="00EA11AE"/>
    <w:rsid w:val="00EA2E7F"/>
    <w:rsid w:val="00EA3C07"/>
    <w:rsid w:val="00EA68D3"/>
    <w:rsid w:val="00EA7BC6"/>
    <w:rsid w:val="00EB0DFD"/>
    <w:rsid w:val="00EB0E51"/>
    <w:rsid w:val="00EB1171"/>
    <w:rsid w:val="00EB13E2"/>
    <w:rsid w:val="00EB487E"/>
    <w:rsid w:val="00EB645B"/>
    <w:rsid w:val="00EB7A46"/>
    <w:rsid w:val="00EB7BF3"/>
    <w:rsid w:val="00EC0175"/>
    <w:rsid w:val="00EC1807"/>
    <w:rsid w:val="00EC3445"/>
    <w:rsid w:val="00EC558D"/>
    <w:rsid w:val="00EC6836"/>
    <w:rsid w:val="00EC7448"/>
    <w:rsid w:val="00ED0216"/>
    <w:rsid w:val="00ED1268"/>
    <w:rsid w:val="00ED1F48"/>
    <w:rsid w:val="00ED3279"/>
    <w:rsid w:val="00ED3E27"/>
    <w:rsid w:val="00ED503E"/>
    <w:rsid w:val="00ED5625"/>
    <w:rsid w:val="00ED586C"/>
    <w:rsid w:val="00ED5BF4"/>
    <w:rsid w:val="00ED66E2"/>
    <w:rsid w:val="00EE1637"/>
    <w:rsid w:val="00EE2245"/>
    <w:rsid w:val="00EE258A"/>
    <w:rsid w:val="00EE3710"/>
    <w:rsid w:val="00EE3F41"/>
    <w:rsid w:val="00EE727A"/>
    <w:rsid w:val="00EF144E"/>
    <w:rsid w:val="00EF5BE6"/>
    <w:rsid w:val="00F0077A"/>
    <w:rsid w:val="00F00984"/>
    <w:rsid w:val="00F00BF7"/>
    <w:rsid w:val="00F01181"/>
    <w:rsid w:val="00F01C39"/>
    <w:rsid w:val="00F021EC"/>
    <w:rsid w:val="00F05024"/>
    <w:rsid w:val="00F075F7"/>
    <w:rsid w:val="00F07D51"/>
    <w:rsid w:val="00F11186"/>
    <w:rsid w:val="00F11B2E"/>
    <w:rsid w:val="00F11DA4"/>
    <w:rsid w:val="00F12670"/>
    <w:rsid w:val="00F13265"/>
    <w:rsid w:val="00F13CBD"/>
    <w:rsid w:val="00F13DA0"/>
    <w:rsid w:val="00F14B3B"/>
    <w:rsid w:val="00F1501A"/>
    <w:rsid w:val="00F27E50"/>
    <w:rsid w:val="00F3039A"/>
    <w:rsid w:val="00F3042C"/>
    <w:rsid w:val="00F31D30"/>
    <w:rsid w:val="00F35B96"/>
    <w:rsid w:val="00F37CDB"/>
    <w:rsid w:val="00F4015B"/>
    <w:rsid w:val="00F40583"/>
    <w:rsid w:val="00F42935"/>
    <w:rsid w:val="00F436F3"/>
    <w:rsid w:val="00F43A87"/>
    <w:rsid w:val="00F45BCD"/>
    <w:rsid w:val="00F47455"/>
    <w:rsid w:val="00F50507"/>
    <w:rsid w:val="00F5328D"/>
    <w:rsid w:val="00F5409B"/>
    <w:rsid w:val="00F549A9"/>
    <w:rsid w:val="00F55B9A"/>
    <w:rsid w:val="00F56308"/>
    <w:rsid w:val="00F60BDC"/>
    <w:rsid w:val="00F61CCC"/>
    <w:rsid w:val="00F6436E"/>
    <w:rsid w:val="00F660ED"/>
    <w:rsid w:val="00F66476"/>
    <w:rsid w:val="00F665B7"/>
    <w:rsid w:val="00F67660"/>
    <w:rsid w:val="00F71BB8"/>
    <w:rsid w:val="00F73AF2"/>
    <w:rsid w:val="00F73F9C"/>
    <w:rsid w:val="00F74D0F"/>
    <w:rsid w:val="00F76B6A"/>
    <w:rsid w:val="00F76F16"/>
    <w:rsid w:val="00F7706B"/>
    <w:rsid w:val="00F80026"/>
    <w:rsid w:val="00F80BD5"/>
    <w:rsid w:val="00F81555"/>
    <w:rsid w:val="00F84DCF"/>
    <w:rsid w:val="00F85651"/>
    <w:rsid w:val="00F87806"/>
    <w:rsid w:val="00F93B53"/>
    <w:rsid w:val="00F95129"/>
    <w:rsid w:val="00FA0D2B"/>
    <w:rsid w:val="00FA27BC"/>
    <w:rsid w:val="00FA5277"/>
    <w:rsid w:val="00FA788D"/>
    <w:rsid w:val="00FA7D41"/>
    <w:rsid w:val="00FA7EE7"/>
    <w:rsid w:val="00FB1784"/>
    <w:rsid w:val="00FB1974"/>
    <w:rsid w:val="00FB2B86"/>
    <w:rsid w:val="00FB43DE"/>
    <w:rsid w:val="00FB4AAB"/>
    <w:rsid w:val="00FB5489"/>
    <w:rsid w:val="00FB61FA"/>
    <w:rsid w:val="00FC0D9E"/>
    <w:rsid w:val="00FC1B5B"/>
    <w:rsid w:val="00FC321B"/>
    <w:rsid w:val="00FC32D0"/>
    <w:rsid w:val="00FD056B"/>
    <w:rsid w:val="00FD12F3"/>
    <w:rsid w:val="00FD200F"/>
    <w:rsid w:val="00FD4C59"/>
    <w:rsid w:val="00FE14CA"/>
    <w:rsid w:val="00FE40B2"/>
    <w:rsid w:val="00FE6BB9"/>
    <w:rsid w:val="00FE7192"/>
    <w:rsid w:val="00FF5172"/>
    <w:rsid w:val="00FF6104"/>
    <w:rsid w:val="00FF6422"/>
    <w:rsid w:val="014F2F1A"/>
    <w:rsid w:val="015359AB"/>
    <w:rsid w:val="01684CDC"/>
    <w:rsid w:val="016F7F01"/>
    <w:rsid w:val="017725E7"/>
    <w:rsid w:val="02691BF4"/>
    <w:rsid w:val="02722DB7"/>
    <w:rsid w:val="02813929"/>
    <w:rsid w:val="02814CE3"/>
    <w:rsid w:val="02B770D9"/>
    <w:rsid w:val="02E92253"/>
    <w:rsid w:val="0301674D"/>
    <w:rsid w:val="035407CA"/>
    <w:rsid w:val="035A20C8"/>
    <w:rsid w:val="03804CF4"/>
    <w:rsid w:val="0397409D"/>
    <w:rsid w:val="03D754F6"/>
    <w:rsid w:val="03FC4557"/>
    <w:rsid w:val="03FF4716"/>
    <w:rsid w:val="04381AAF"/>
    <w:rsid w:val="048B1C2C"/>
    <w:rsid w:val="04F557F5"/>
    <w:rsid w:val="055A71F6"/>
    <w:rsid w:val="05834324"/>
    <w:rsid w:val="05D257D1"/>
    <w:rsid w:val="05D46F4C"/>
    <w:rsid w:val="0602185E"/>
    <w:rsid w:val="064364B4"/>
    <w:rsid w:val="0664643D"/>
    <w:rsid w:val="06820EF1"/>
    <w:rsid w:val="068C0E4D"/>
    <w:rsid w:val="069254AF"/>
    <w:rsid w:val="069270EA"/>
    <w:rsid w:val="06D40937"/>
    <w:rsid w:val="06F643EA"/>
    <w:rsid w:val="06FD61D2"/>
    <w:rsid w:val="074A2ABE"/>
    <w:rsid w:val="07A6697C"/>
    <w:rsid w:val="07C76145"/>
    <w:rsid w:val="07E74731"/>
    <w:rsid w:val="07F72D4C"/>
    <w:rsid w:val="0808438A"/>
    <w:rsid w:val="084368FC"/>
    <w:rsid w:val="088428E1"/>
    <w:rsid w:val="088D4A91"/>
    <w:rsid w:val="08C43481"/>
    <w:rsid w:val="08CE0E70"/>
    <w:rsid w:val="08EB72CB"/>
    <w:rsid w:val="08FC1A5A"/>
    <w:rsid w:val="09037A4E"/>
    <w:rsid w:val="091D7F1A"/>
    <w:rsid w:val="09934A8C"/>
    <w:rsid w:val="0998630C"/>
    <w:rsid w:val="09B23105"/>
    <w:rsid w:val="09BE4AEA"/>
    <w:rsid w:val="09BE6896"/>
    <w:rsid w:val="09F30059"/>
    <w:rsid w:val="09FD047C"/>
    <w:rsid w:val="0A251E3B"/>
    <w:rsid w:val="0A293CC2"/>
    <w:rsid w:val="0A556E28"/>
    <w:rsid w:val="0A751D51"/>
    <w:rsid w:val="0A806FE6"/>
    <w:rsid w:val="0A855A98"/>
    <w:rsid w:val="0ADF28D1"/>
    <w:rsid w:val="0AEE00A0"/>
    <w:rsid w:val="0B150E0F"/>
    <w:rsid w:val="0B311460"/>
    <w:rsid w:val="0B507865"/>
    <w:rsid w:val="0B6544D2"/>
    <w:rsid w:val="0B6A6F81"/>
    <w:rsid w:val="0B7D4716"/>
    <w:rsid w:val="0B850711"/>
    <w:rsid w:val="0B8A37AE"/>
    <w:rsid w:val="0B9F28B8"/>
    <w:rsid w:val="0BA8720D"/>
    <w:rsid w:val="0BBA1E62"/>
    <w:rsid w:val="0C0C665E"/>
    <w:rsid w:val="0C506870"/>
    <w:rsid w:val="0C617140"/>
    <w:rsid w:val="0C6D3894"/>
    <w:rsid w:val="0C723619"/>
    <w:rsid w:val="0C960A6A"/>
    <w:rsid w:val="0CA06AD2"/>
    <w:rsid w:val="0CBF3301"/>
    <w:rsid w:val="0CC21DAB"/>
    <w:rsid w:val="0CC8351A"/>
    <w:rsid w:val="0CD0081C"/>
    <w:rsid w:val="0CF8203D"/>
    <w:rsid w:val="0CFD4ED4"/>
    <w:rsid w:val="0D392A89"/>
    <w:rsid w:val="0D631CE5"/>
    <w:rsid w:val="0DAE6B51"/>
    <w:rsid w:val="0DCD276C"/>
    <w:rsid w:val="0DED3A56"/>
    <w:rsid w:val="0E651A19"/>
    <w:rsid w:val="0E6A133C"/>
    <w:rsid w:val="0E734839"/>
    <w:rsid w:val="0E7870C4"/>
    <w:rsid w:val="0E9061BD"/>
    <w:rsid w:val="0EC12E6D"/>
    <w:rsid w:val="0ED165FA"/>
    <w:rsid w:val="0ED77BF5"/>
    <w:rsid w:val="0EDD2545"/>
    <w:rsid w:val="0F1D2352"/>
    <w:rsid w:val="0F442697"/>
    <w:rsid w:val="0F5862B1"/>
    <w:rsid w:val="0F680AEC"/>
    <w:rsid w:val="0F7B53FF"/>
    <w:rsid w:val="0F81333F"/>
    <w:rsid w:val="0F8A4AEB"/>
    <w:rsid w:val="0FA07739"/>
    <w:rsid w:val="0FC60FF1"/>
    <w:rsid w:val="0FF24DCB"/>
    <w:rsid w:val="102B7B10"/>
    <w:rsid w:val="108A631E"/>
    <w:rsid w:val="10B85DBF"/>
    <w:rsid w:val="10D26BB3"/>
    <w:rsid w:val="10D3396F"/>
    <w:rsid w:val="10DA6853"/>
    <w:rsid w:val="11084D00"/>
    <w:rsid w:val="11247DA4"/>
    <w:rsid w:val="11351B87"/>
    <w:rsid w:val="11367223"/>
    <w:rsid w:val="11463498"/>
    <w:rsid w:val="11531D43"/>
    <w:rsid w:val="11705255"/>
    <w:rsid w:val="11956DB9"/>
    <w:rsid w:val="11972241"/>
    <w:rsid w:val="11A02C0B"/>
    <w:rsid w:val="11C0331A"/>
    <w:rsid w:val="126342DC"/>
    <w:rsid w:val="126A3CE5"/>
    <w:rsid w:val="12804EC3"/>
    <w:rsid w:val="12B9724A"/>
    <w:rsid w:val="12ED108C"/>
    <w:rsid w:val="131F5F39"/>
    <w:rsid w:val="133A4BEB"/>
    <w:rsid w:val="134176DB"/>
    <w:rsid w:val="13627322"/>
    <w:rsid w:val="13753078"/>
    <w:rsid w:val="13876133"/>
    <w:rsid w:val="139D423C"/>
    <w:rsid w:val="139E459A"/>
    <w:rsid w:val="13DA36B2"/>
    <w:rsid w:val="14076394"/>
    <w:rsid w:val="143E021E"/>
    <w:rsid w:val="14674D59"/>
    <w:rsid w:val="148E216F"/>
    <w:rsid w:val="14A254B8"/>
    <w:rsid w:val="14BC5E70"/>
    <w:rsid w:val="14C672CD"/>
    <w:rsid w:val="14DE2975"/>
    <w:rsid w:val="15013288"/>
    <w:rsid w:val="150C509E"/>
    <w:rsid w:val="15164B5B"/>
    <w:rsid w:val="157F0C2D"/>
    <w:rsid w:val="1584515F"/>
    <w:rsid w:val="159630D3"/>
    <w:rsid w:val="15997100"/>
    <w:rsid w:val="15997116"/>
    <w:rsid w:val="15C209F0"/>
    <w:rsid w:val="15C42D05"/>
    <w:rsid w:val="15FA376A"/>
    <w:rsid w:val="16024EBD"/>
    <w:rsid w:val="16041EF6"/>
    <w:rsid w:val="16071DBE"/>
    <w:rsid w:val="162738EA"/>
    <w:rsid w:val="162C0A4E"/>
    <w:rsid w:val="16493FE4"/>
    <w:rsid w:val="168D5D74"/>
    <w:rsid w:val="168E0CC6"/>
    <w:rsid w:val="169B6E04"/>
    <w:rsid w:val="16C24E28"/>
    <w:rsid w:val="16E469AA"/>
    <w:rsid w:val="17207639"/>
    <w:rsid w:val="173C1970"/>
    <w:rsid w:val="175C5C65"/>
    <w:rsid w:val="17901906"/>
    <w:rsid w:val="1819223D"/>
    <w:rsid w:val="1826077F"/>
    <w:rsid w:val="18577D43"/>
    <w:rsid w:val="1885777E"/>
    <w:rsid w:val="18973FA0"/>
    <w:rsid w:val="18D02ADB"/>
    <w:rsid w:val="18D331A5"/>
    <w:rsid w:val="19431471"/>
    <w:rsid w:val="19474AD7"/>
    <w:rsid w:val="194F02E7"/>
    <w:rsid w:val="194F7866"/>
    <w:rsid w:val="19857774"/>
    <w:rsid w:val="19CB1EC2"/>
    <w:rsid w:val="19DB1E50"/>
    <w:rsid w:val="1A1D29AB"/>
    <w:rsid w:val="1A210B98"/>
    <w:rsid w:val="1A303D97"/>
    <w:rsid w:val="1A960820"/>
    <w:rsid w:val="1ABF7614"/>
    <w:rsid w:val="1AC35713"/>
    <w:rsid w:val="1AC63CB3"/>
    <w:rsid w:val="1ACB2EAF"/>
    <w:rsid w:val="1AEB0597"/>
    <w:rsid w:val="1B2E229B"/>
    <w:rsid w:val="1B3255AD"/>
    <w:rsid w:val="1B5631C8"/>
    <w:rsid w:val="1B756948"/>
    <w:rsid w:val="1B9F78D5"/>
    <w:rsid w:val="1BB30234"/>
    <w:rsid w:val="1BB832DA"/>
    <w:rsid w:val="1BF352DE"/>
    <w:rsid w:val="1C0B491D"/>
    <w:rsid w:val="1C116F86"/>
    <w:rsid w:val="1C44686C"/>
    <w:rsid w:val="1C4B3813"/>
    <w:rsid w:val="1C807FCE"/>
    <w:rsid w:val="1C825FF9"/>
    <w:rsid w:val="1CBB092F"/>
    <w:rsid w:val="1CC57CC9"/>
    <w:rsid w:val="1CC670EE"/>
    <w:rsid w:val="1CCC3229"/>
    <w:rsid w:val="1CEE1F73"/>
    <w:rsid w:val="1CFA75DD"/>
    <w:rsid w:val="1CFC16DE"/>
    <w:rsid w:val="1D1A2F73"/>
    <w:rsid w:val="1D265AD0"/>
    <w:rsid w:val="1D4860AC"/>
    <w:rsid w:val="1D4F6142"/>
    <w:rsid w:val="1D527E58"/>
    <w:rsid w:val="1D714C82"/>
    <w:rsid w:val="1D8532A9"/>
    <w:rsid w:val="1DC62616"/>
    <w:rsid w:val="1DD9496F"/>
    <w:rsid w:val="1E382A67"/>
    <w:rsid w:val="1E42613D"/>
    <w:rsid w:val="1E484788"/>
    <w:rsid w:val="1E634E61"/>
    <w:rsid w:val="1E6B2E70"/>
    <w:rsid w:val="1F3A72BD"/>
    <w:rsid w:val="1F4D4DB6"/>
    <w:rsid w:val="1F8A1413"/>
    <w:rsid w:val="1FA76E67"/>
    <w:rsid w:val="1FA90056"/>
    <w:rsid w:val="1FB65710"/>
    <w:rsid w:val="1FE1584E"/>
    <w:rsid w:val="1FE529F2"/>
    <w:rsid w:val="2006569D"/>
    <w:rsid w:val="20477A01"/>
    <w:rsid w:val="206072F7"/>
    <w:rsid w:val="208E6E0B"/>
    <w:rsid w:val="209A09D7"/>
    <w:rsid w:val="20A82056"/>
    <w:rsid w:val="20CB5BF0"/>
    <w:rsid w:val="20D94915"/>
    <w:rsid w:val="211760BC"/>
    <w:rsid w:val="212F0B83"/>
    <w:rsid w:val="215B5B29"/>
    <w:rsid w:val="21E563CE"/>
    <w:rsid w:val="22124A61"/>
    <w:rsid w:val="225C5D5B"/>
    <w:rsid w:val="22632497"/>
    <w:rsid w:val="22AA67A1"/>
    <w:rsid w:val="22B51778"/>
    <w:rsid w:val="22E74322"/>
    <w:rsid w:val="22FB2088"/>
    <w:rsid w:val="230A71CF"/>
    <w:rsid w:val="23112E7E"/>
    <w:rsid w:val="23576FB8"/>
    <w:rsid w:val="23AF1AC9"/>
    <w:rsid w:val="23AF4E6A"/>
    <w:rsid w:val="23B90846"/>
    <w:rsid w:val="23D17176"/>
    <w:rsid w:val="23E3329B"/>
    <w:rsid w:val="23EC3A28"/>
    <w:rsid w:val="23EE4289"/>
    <w:rsid w:val="24151B98"/>
    <w:rsid w:val="241A2C4F"/>
    <w:rsid w:val="242129F9"/>
    <w:rsid w:val="24465B52"/>
    <w:rsid w:val="24692A5B"/>
    <w:rsid w:val="24712A8F"/>
    <w:rsid w:val="24842A91"/>
    <w:rsid w:val="24EE4A55"/>
    <w:rsid w:val="24F84BD0"/>
    <w:rsid w:val="250D607D"/>
    <w:rsid w:val="25164C41"/>
    <w:rsid w:val="25201620"/>
    <w:rsid w:val="25537B5A"/>
    <w:rsid w:val="255A1335"/>
    <w:rsid w:val="25964780"/>
    <w:rsid w:val="259F4F69"/>
    <w:rsid w:val="25A4702B"/>
    <w:rsid w:val="25CB55DF"/>
    <w:rsid w:val="25FC0E2B"/>
    <w:rsid w:val="26044FC2"/>
    <w:rsid w:val="262B4C3B"/>
    <w:rsid w:val="262F2B86"/>
    <w:rsid w:val="26520013"/>
    <w:rsid w:val="26566C35"/>
    <w:rsid w:val="267635D5"/>
    <w:rsid w:val="26922828"/>
    <w:rsid w:val="26BA798F"/>
    <w:rsid w:val="26C76569"/>
    <w:rsid w:val="26EC188F"/>
    <w:rsid w:val="270F110A"/>
    <w:rsid w:val="27101906"/>
    <w:rsid w:val="273C75C1"/>
    <w:rsid w:val="27553532"/>
    <w:rsid w:val="27FF38FF"/>
    <w:rsid w:val="28173EBF"/>
    <w:rsid w:val="281C62D3"/>
    <w:rsid w:val="2828479D"/>
    <w:rsid w:val="28452A97"/>
    <w:rsid w:val="285F5C4A"/>
    <w:rsid w:val="28C45743"/>
    <w:rsid w:val="28C86A2E"/>
    <w:rsid w:val="28D93758"/>
    <w:rsid w:val="28E45B3C"/>
    <w:rsid w:val="28E818A5"/>
    <w:rsid w:val="294206A7"/>
    <w:rsid w:val="29617CE2"/>
    <w:rsid w:val="299B236E"/>
    <w:rsid w:val="29AC7287"/>
    <w:rsid w:val="29B24EF5"/>
    <w:rsid w:val="29E32AA7"/>
    <w:rsid w:val="29E35EE3"/>
    <w:rsid w:val="2A4A7932"/>
    <w:rsid w:val="2A5C63A7"/>
    <w:rsid w:val="2A6D6F90"/>
    <w:rsid w:val="2A864C63"/>
    <w:rsid w:val="2AA00028"/>
    <w:rsid w:val="2AB45DF7"/>
    <w:rsid w:val="2AB82483"/>
    <w:rsid w:val="2AD9619B"/>
    <w:rsid w:val="2AE13145"/>
    <w:rsid w:val="2AE40EA9"/>
    <w:rsid w:val="2AFC6512"/>
    <w:rsid w:val="2B186F23"/>
    <w:rsid w:val="2B6007B5"/>
    <w:rsid w:val="2B6911F0"/>
    <w:rsid w:val="2B995E7A"/>
    <w:rsid w:val="2BAB1B4B"/>
    <w:rsid w:val="2BB370F2"/>
    <w:rsid w:val="2BE14742"/>
    <w:rsid w:val="2BFD18E1"/>
    <w:rsid w:val="2C28319A"/>
    <w:rsid w:val="2C393A8C"/>
    <w:rsid w:val="2C3E0754"/>
    <w:rsid w:val="2C5954AF"/>
    <w:rsid w:val="2C683624"/>
    <w:rsid w:val="2C765850"/>
    <w:rsid w:val="2CA13196"/>
    <w:rsid w:val="2CA15C86"/>
    <w:rsid w:val="2CC258F1"/>
    <w:rsid w:val="2D0A2886"/>
    <w:rsid w:val="2D14722D"/>
    <w:rsid w:val="2D201C06"/>
    <w:rsid w:val="2D497CFA"/>
    <w:rsid w:val="2D531A92"/>
    <w:rsid w:val="2D5559EE"/>
    <w:rsid w:val="2D5B4AF5"/>
    <w:rsid w:val="2D6C1624"/>
    <w:rsid w:val="2D6E6496"/>
    <w:rsid w:val="2D9F2F8E"/>
    <w:rsid w:val="2DA94576"/>
    <w:rsid w:val="2DEF5B92"/>
    <w:rsid w:val="2DFC51E3"/>
    <w:rsid w:val="2E11510E"/>
    <w:rsid w:val="2E85644A"/>
    <w:rsid w:val="2F0D69E0"/>
    <w:rsid w:val="2F2D580F"/>
    <w:rsid w:val="2F5D284E"/>
    <w:rsid w:val="2F7C0FE4"/>
    <w:rsid w:val="2FBD50C9"/>
    <w:rsid w:val="2FD55076"/>
    <w:rsid w:val="2FD82029"/>
    <w:rsid w:val="2FE02E0F"/>
    <w:rsid w:val="2FE82F4B"/>
    <w:rsid w:val="2FF54433"/>
    <w:rsid w:val="301B1DEB"/>
    <w:rsid w:val="303A498C"/>
    <w:rsid w:val="304361D7"/>
    <w:rsid w:val="30971A44"/>
    <w:rsid w:val="30A71A03"/>
    <w:rsid w:val="30B76DD3"/>
    <w:rsid w:val="31200CA6"/>
    <w:rsid w:val="312B25D1"/>
    <w:rsid w:val="312D07C4"/>
    <w:rsid w:val="31607A38"/>
    <w:rsid w:val="316D61ED"/>
    <w:rsid w:val="31A31257"/>
    <w:rsid w:val="31C82735"/>
    <w:rsid w:val="31D26289"/>
    <w:rsid w:val="31F85B08"/>
    <w:rsid w:val="31FF6390"/>
    <w:rsid w:val="32B43F62"/>
    <w:rsid w:val="32BE4472"/>
    <w:rsid w:val="32D0708B"/>
    <w:rsid w:val="331368C5"/>
    <w:rsid w:val="33237731"/>
    <w:rsid w:val="33242675"/>
    <w:rsid w:val="332544EC"/>
    <w:rsid w:val="33427A8A"/>
    <w:rsid w:val="3345492A"/>
    <w:rsid w:val="335A0A43"/>
    <w:rsid w:val="337D1DE2"/>
    <w:rsid w:val="33A07769"/>
    <w:rsid w:val="33F16546"/>
    <w:rsid w:val="341546E7"/>
    <w:rsid w:val="34797042"/>
    <w:rsid w:val="348120F8"/>
    <w:rsid w:val="34815805"/>
    <w:rsid w:val="34891A30"/>
    <w:rsid w:val="34CC4C21"/>
    <w:rsid w:val="34E53739"/>
    <w:rsid w:val="353460D9"/>
    <w:rsid w:val="35446D13"/>
    <w:rsid w:val="35491572"/>
    <w:rsid w:val="35577A6D"/>
    <w:rsid w:val="357655DF"/>
    <w:rsid w:val="35B244B3"/>
    <w:rsid w:val="35BC2A54"/>
    <w:rsid w:val="35BE6A26"/>
    <w:rsid w:val="361F664A"/>
    <w:rsid w:val="36680F65"/>
    <w:rsid w:val="366F636A"/>
    <w:rsid w:val="367E431F"/>
    <w:rsid w:val="36922539"/>
    <w:rsid w:val="36A30626"/>
    <w:rsid w:val="36AE7720"/>
    <w:rsid w:val="36D23FC0"/>
    <w:rsid w:val="36E1278F"/>
    <w:rsid w:val="371E0E9F"/>
    <w:rsid w:val="375A1A64"/>
    <w:rsid w:val="37720598"/>
    <w:rsid w:val="37A76CB0"/>
    <w:rsid w:val="37E7463B"/>
    <w:rsid w:val="37E86146"/>
    <w:rsid w:val="3832060D"/>
    <w:rsid w:val="383E5D13"/>
    <w:rsid w:val="38527D74"/>
    <w:rsid w:val="38977FAC"/>
    <w:rsid w:val="38CE00A1"/>
    <w:rsid w:val="38D07720"/>
    <w:rsid w:val="38D35437"/>
    <w:rsid w:val="38E64434"/>
    <w:rsid w:val="38E94A2A"/>
    <w:rsid w:val="38F513D0"/>
    <w:rsid w:val="39072DA0"/>
    <w:rsid w:val="39314D94"/>
    <w:rsid w:val="39342951"/>
    <w:rsid w:val="3952420A"/>
    <w:rsid w:val="396335F9"/>
    <w:rsid w:val="39901D2E"/>
    <w:rsid w:val="39B642D6"/>
    <w:rsid w:val="39C84498"/>
    <w:rsid w:val="39DF463D"/>
    <w:rsid w:val="39E81A16"/>
    <w:rsid w:val="39F34274"/>
    <w:rsid w:val="3A0A740F"/>
    <w:rsid w:val="3A1174B5"/>
    <w:rsid w:val="3A3C3F4B"/>
    <w:rsid w:val="3A447CED"/>
    <w:rsid w:val="3A5D0A22"/>
    <w:rsid w:val="3A8F0EDB"/>
    <w:rsid w:val="3ACB39E3"/>
    <w:rsid w:val="3B7836E3"/>
    <w:rsid w:val="3B7A44BB"/>
    <w:rsid w:val="3B7D0951"/>
    <w:rsid w:val="3B834070"/>
    <w:rsid w:val="3B8E6287"/>
    <w:rsid w:val="3C401E1A"/>
    <w:rsid w:val="3C980B42"/>
    <w:rsid w:val="3C980E12"/>
    <w:rsid w:val="3CA778D9"/>
    <w:rsid w:val="3CAD4F6F"/>
    <w:rsid w:val="3CDF06E2"/>
    <w:rsid w:val="3CDF74BE"/>
    <w:rsid w:val="3CF2467D"/>
    <w:rsid w:val="3D3B61A9"/>
    <w:rsid w:val="3D4439D8"/>
    <w:rsid w:val="3D520A1E"/>
    <w:rsid w:val="3D803C6B"/>
    <w:rsid w:val="3D8E29CA"/>
    <w:rsid w:val="3D9B4629"/>
    <w:rsid w:val="3DC414CC"/>
    <w:rsid w:val="3DC829BD"/>
    <w:rsid w:val="3DE43B38"/>
    <w:rsid w:val="3E197238"/>
    <w:rsid w:val="3E24017F"/>
    <w:rsid w:val="3E3B2304"/>
    <w:rsid w:val="3E7876A1"/>
    <w:rsid w:val="3E8149E8"/>
    <w:rsid w:val="3EA52028"/>
    <w:rsid w:val="3EA60FBC"/>
    <w:rsid w:val="3EBA58E0"/>
    <w:rsid w:val="3EC36BFF"/>
    <w:rsid w:val="3EC6214E"/>
    <w:rsid w:val="3F466DAD"/>
    <w:rsid w:val="3F674697"/>
    <w:rsid w:val="3F794848"/>
    <w:rsid w:val="3FA34BA7"/>
    <w:rsid w:val="40196D3B"/>
    <w:rsid w:val="402C4D17"/>
    <w:rsid w:val="40544683"/>
    <w:rsid w:val="405764E0"/>
    <w:rsid w:val="40745E25"/>
    <w:rsid w:val="40B1416E"/>
    <w:rsid w:val="40B8754E"/>
    <w:rsid w:val="40E6701E"/>
    <w:rsid w:val="40F06EB9"/>
    <w:rsid w:val="410B6192"/>
    <w:rsid w:val="410F0271"/>
    <w:rsid w:val="413269B3"/>
    <w:rsid w:val="4146051F"/>
    <w:rsid w:val="414A2837"/>
    <w:rsid w:val="41BD0421"/>
    <w:rsid w:val="41D00B16"/>
    <w:rsid w:val="41D61D60"/>
    <w:rsid w:val="41EE01F7"/>
    <w:rsid w:val="41F86803"/>
    <w:rsid w:val="42164393"/>
    <w:rsid w:val="42202300"/>
    <w:rsid w:val="42502DBA"/>
    <w:rsid w:val="425F3B61"/>
    <w:rsid w:val="427C3D01"/>
    <w:rsid w:val="428329AE"/>
    <w:rsid w:val="42950D32"/>
    <w:rsid w:val="42D16E15"/>
    <w:rsid w:val="42E73C50"/>
    <w:rsid w:val="42FE308B"/>
    <w:rsid w:val="4327159F"/>
    <w:rsid w:val="432D34DB"/>
    <w:rsid w:val="434A55A8"/>
    <w:rsid w:val="436215CF"/>
    <w:rsid w:val="43826E71"/>
    <w:rsid w:val="438C223A"/>
    <w:rsid w:val="439D2630"/>
    <w:rsid w:val="43EA0710"/>
    <w:rsid w:val="44507E68"/>
    <w:rsid w:val="44800C43"/>
    <w:rsid w:val="44DB4FCD"/>
    <w:rsid w:val="451B11A5"/>
    <w:rsid w:val="453A68D8"/>
    <w:rsid w:val="45803D6A"/>
    <w:rsid w:val="45880DC1"/>
    <w:rsid w:val="45B34DBA"/>
    <w:rsid w:val="45BA5886"/>
    <w:rsid w:val="45DF4336"/>
    <w:rsid w:val="460F1470"/>
    <w:rsid w:val="46276F82"/>
    <w:rsid w:val="4630621B"/>
    <w:rsid w:val="46483BF1"/>
    <w:rsid w:val="46C44CB1"/>
    <w:rsid w:val="46D31D07"/>
    <w:rsid w:val="46D65712"/>
    <w:rsid w:val="472C71B9"/>
    <w:rsid w:val="473D19FE"/>
    <w:rsid w:val="47E27C6C"/>
    <w:rsid w:val="48184CDA"/>
    <w:rsid w:val="48440270"/>
    <w:rsid w:val="488055D6"/>
    <w:rsid w:val="489216CA"/>
    <w:rsid w:val="48B07259"/>
    <w:rsid w:val="48F641E3"/>
    <w:rsid w:val="49041B1F"/>
    <w:rsid w:val="49143F28"/>
    <w:rsid w:val="491C4DB9"/>
    <w:rsid w:val="493E7D1C"/>
    <w:rsid w:val="498052E2"/>
    <w:rsid w:val="49837572"/>
    <w:rsid w:val="498B75D3"/>
    <w:rsid w:val="49967D39"/>
    <w:rsid w:val="4A327118"/>
    <w:rsid w:val="4A473C46"/>
    <w:rsid w:val="4A507F1D"/>
    <w:rsid w:val="4A514B3A"/>
    <w:rsid w:val="4A595E16"/>
    <w:rsid w:val="4A6B4CE4"/>
    <w:rsid w:val="4A957C5E"/>
    <w:rsid w:val="4A991554"/>
    <w:rsid w:val="4A995574"/>
    <w:rsid w:val="4AFB6587"/>
    <w:rsid w:val="4B13134E"/>
    <w:rsid w:val="4B232B6E"/>
    <w:rsid w:val="4B387251"/>
    <w:rsid w:val="4B8003F3"/>
    <w:rsid w:val="4B895F92"/>
    <w:rsid w:val="4BA86E5C"/>
    <w:rsid w:val="4BFA2797"/>
    <w:rsid w:val="4BFF0E28"/>
    <w:rsid w:val="4C1F4452"/>
    <w:rsid w:val="4C4A4B42"/>
    <w:rsid w:val="4C7E5299"/>
    <w:rsid w:val="4C8D50BF"/>
    <w:rsid w:val="4C963B70"/>
    <w:rsid w:val="4CA54603"/>
    <w:rsid w:val="4CD14D2B"/>
    <w:rsid w:val="4CD83308"/>
    <w:rsid w:val="4CED2962"/>
    <w:rsid w:val="4D230C0D"/>
    <w:rsid w:val="4D4E7CD3"/>
    <w:rsid w:val="4DB43701"/>
    <w:rsid w:val="4DDD23AC"/>
    <w:rsid w:val="4DEF4CFA"/>
    <w:rsid w:val="4DF31C11"/>
    <w:rsid w:val="4DFD2351"/>
    <w:rsid w:val="4E0A160C"/>
    <w:rsid w:val="4E2B1A47"/>
    <w:rsid w:val="4E432C41"/>
    <w:rsid w:val="4ED1623E"/>
    <w:rsid w:val="4EFB7EDE"/>
    <w:rsid w:val="4F1F1701"/>
    <w:rsid w:val="4F4D11C7"/>
    <w:rsid w:val="4F575A13"/>
    <w:rsid w:val="4F733441"/>
    <w:rsid w:val="4F750D06"/>
    <w:rsid w:val="4F9E44CA"/>
    <w:rsid w:val="4FA770AE"/>
    <w:rsid w:val="4FB94E78"/>
    <w:rsid w:val="4FCF1816"/>
    <w:rsid w:val="4FF0542B"/>
    <w:rsid w:val="50092F8F"/>
    <w:rsid w:val="501854D6"/>
    <w:rsid w:val="50360195"/>
    <w:rsid w:val="50553563"/>
    <w:rsid w:val="50592A1A"/>
    <w:rsid w:val="506F5409"/>
    <w:rsid w:val="507E1EEF"/>
    <w:rsid w:val="50DF24D8"/>
    <w:rsid w:val="50E716C8"/>
    <w:rsid w:val="50FA7977"/>
    <w:rsid w:val="50FB03C4"/>
    <w:rsid w:val="51686850"/>
    <w:rsid w:val="517A7E74"/>
    <w:rsid w:val="51B17968"/>
    <w:rsid w:val="51ED5DCB"/>
    <w:rsid w:val="51EE6382"/>
    <w:rsid w:val="522B3695"/>
    <w:rsid w:val="522F353D"/>
    <w:rsid w:val="5248671B"/>
    <w:rsid w:val="524F3B94"/>
    <w:rsid w:val="52751C0F"/>
    <w:rsid w:val="52D4340A"/>
    <w:rsid w:val="52E10787"/>
    <w:rsid w:val="5367331F"/>
    <w:rsid w:val="53A652BB"/>
    <w:rsid w:val="53C9620D"/>
    <w:rsid w:val="53F971F0"/>
    <w:rsid w:val="54001E25"/>
    <w:rsid w:val="540E49BE"/>
    <w:rsid w:val="54203525"/>
    <w:rsid w:val="545661A8"/>
    <w:rsid w:val="54847625"/>
    <w:rsid w:val="54B247BB"/>
    <w:rsid w:val="54EE5947"/>
    <w:rsid w:val="5513022F"/>
    <w:rsid w:val="55501CD9"/>
    <w:rsid w:val="55663A71"/>
    <w:rsid w:val="559F3434"/>
    <w:rsid w:val="55C62DF5"/>
    <w:rsid w:val="55DF7D1C"/>
    <w:rsid w:val="55F62827"/>
    <w:rsid w:val="55FE64C0"/>
    <w:rsid w:val="5630671D"/>
    <w:rsid w:val="5632011C"/>
    <w:rsid w:val="563A356B"/>
    <w:rsid w:val="56621453"/>
    <w:rsid w:val="56783306"/>
    <w:rsid w:val="568A6752"/>
    <w:rsid w:val="56B055BC"/>
    <w:rsid w:val="56C1107F"/>
    <w:rsid w:val="56DE235C"/>
    <w:rsid w:val="56FD54DC"/>
    <w:rsid w:val="570A0C39"/>
    <w:rsid w:val="570A5A0C"/>
    <w:rsid w:val="574A459A"/>
    <w:rsid w:val="57507EF7"/>
    <w:rsid w:val="57530EB6"/>
    <w:rsid w:val="57652950"/>
    <w:rsid w:val="576615A2"/>
    <w:rsid w:val="57A37B3F"/>
    <w:rsid w:val="57DE176D"/>
    <w:rsid w:val="58346AE0"/>
    <w:rsid w:val="58461A4D"/>
    <w:rsid w:val="5852271D"/>
    <w:rsid w:val="58706933"/>
    <w:rsid w:val="589A4E1B"/>
    <w:rsid w:val="5904690A"/>
    <w:rsid w:val="591A2A68"/>
    <w:rsid w:val="592336D0"/>
    <w:rsid w:val="59273E6A"/>
    <w:rsid w:val="59445D3E"/>
    <w:rsid w:val="595479FF"/>
    <w:rsid w:val="598E14FD"/>
    <w:rsid w:val="59F61F47"/>
    <w:rsid w:val="5A0A19A8"/>
    <w:rsid w:val="5A15589C"/>
    <w:rsid w:val="5A347622"/>
    <w:rsid w:val="5A3C7DAC"/>
    <w:rsid w:val="5A3F268A"/>
    <w:rsid w:val="5A965ED7"/>
    <w:rsid w:val="5A9F65A3"/>
    <w:rsid w:val="5AAC5E8A"/>
    <w:rsid w:val="5AD219D2"/>
    <w:rsid w:val="5B4051A5"/>
    <w:rsid w:val="5B7C29AB"/>
    <w:rsid w:val="5B986277"/>
    <w:rsid w:val="5C0105A7"/>
    <w:rsid w:val="5C1B5746"/>
    <w:rsid w:val="5C320050"/>
    <w:rsid w:val="5C494700"/>
    <w:rsid w:val="5C4B40E5"/>
    <w:rsid w:val="5C790E14"/>
    <w:rsid w:val="5C8A3BC2"/>
    <w:rsid w:val="5CC43B58"/>
    <w:rsid w:val="5CDC0284"/>
    <w:rsid w:val="5D2B07EE"/>
    <w:rsid w:val="5D48016A"/>
    <w:rsid w:val="5D6913B3"/>
    <w:rsid w:val="5D773D59"/>
    <w:rsid w:val="5D8B4093"/>
    <w:rsid w:val="5DBD6713"/>
    <w:rsid w:val="5DC47C5B"/>
    <w:rsid w:val="5DFA514F"/>
    <w:rsid w:val="5E19076E"/>
    <w:rsid w:val="5E332186"/>
    <w:rsid w:val="5E9C591A"/>
    <w:rsid w:val="5EE05C0D"/>
    <w:rsid w:val="5EE81299"/>
    <w:rsid w:val="5F2477FA"/>
    <w:rsid w:val="5F31588B"/>
    <w:rsid w:val="5F923565"/>
    <w:rsid w:val="5FA7529F"/>
    <w:rsid w:val="5FD301A1"/>
    <w:rsid w:val="5FE53E07"/>
    <w:rsid w:val="5FF150DF"/>
    <w:rsid w:val="600229F0"/>
    <w:rsid w:val="602925E7"/>
    <w:rsid w:val="604B6261"/>
    <w:rsid w:val="605B2C04"/>
    <w:rsid w:val="606B0C4A"/>
    <w:rsid w:val="607A7D44"/>
    <w:rsid w:val="60A90BD5"/>
    <w:rsid w:val="60CE303D"/>
    <w:rsid w:val="60FB0385"/>
    <w:rsid w:val="614319A1"/>
    <w:rsid w:val="614C35F5"/>
    <w:rsid w:val="61524E4C"/>
    <w:rsid w:val="617E3A05"/>
    <w:rsid w:val="61CB7187"/>
    <w:rsid w:val="6200150B"/>
    <w:rsid w:val="6211584D"/>
    <w:rsid w:val="622867A1"/>
    <w:rsid w:val="6246053D"/>
    <w:rsid w:val="62730DEC"/>
    <w:rsid w:val="62897AC4"/>
    <w:rsid w:val="62CF2A83"/>
    <w:rsid w:val="62D03CD9"/>
    <w:rsid w:val="62D1432C"/>
    <w:rsid w:val="62D67997"/>
    <w:rsid w:val="62F5194E"/>
    <w:rsid w:val="62FA54F0"/>
    <w:rsid w:val="630E0859"/>
    <w:rsid w:val="630F027C"/>
    <w:rsid w:val="63427313"/>
    <w:rsid w:val="637113C7"/>
    <w:rsid w:val="6399402F"/>
    <w:rsid w:val="63B357B1"/>
    <w:rsid w:val="63C95418"/>
    <w:rsid w:val="64017CDA"/>
    <w:rsid w:val="64144F00"/>
    <w:rsid w:val="64507592"/>
    <w:rsid w:val="64803237"/>
    <w:rsid w:val="64AC3D58"/>
    <w:rsid w:val="64E96AEB"/>
    <w:rsid w:val="657B44FB"/>
    <w:rsid w:val="658D46CF"/>
    <w:rsid w:val="65DF67CB"/>
    <w:rsid w:val="65ED6EB4"/>
    <w:rsid w:val="660447FF"/>
    <w:rsid w:val="66194C4A"/>
    <w:rsid w:val="662863D0"/>
    <w:rsid w:val="66305190"/>
    <w:rsid w:val="66384AA8"/>
    <w:rsid w:val="665E5B1B"/>
    <w:rsid w:val="668003E0"/>
    <w:rsid w:val="66B17443"/>
    <w:rsid w:val="66E77CD1"/>
    <w:rsid w:val="67397DB3"/>
    <w:rsid w:val="676F4A49"/>
    <w:rsid w:val="67976253"/>
    <w:rsid w:val="67A337F5"/>
    <w:rsid w:val="67A46D34"/>
    <w:rsid w:val="67C933E3"/>
    <w:rsid w:val="67F05320"/>
    <w:rsid w:val="685A3C7C"/>
    <w:rsid w:val="68732E59"/>
    <w:rsid w:val="6880447B"/>
    <w:rsid w:val="688C6207"/>
    <w:rsid w:val="68A8404F"/>
    <w:rsid w:val="68E00D94"/>
    <w:rsid w:val="68F331B5"/>
    <w:rsid w:val="69086590"/>
    <w:rsid w:val="690960EE"/>
    <w:rsid w:val="695B3155"/>
    <w:rsid w:val="69743B79"/>
    <w:rsid w:val="69856A65"/>
    <w:rsid w:val="69AC2E6D"/>
    <w:rsid w:val="69B00F02"/>
    <w:rsid w:val="69C22990"/>
    <w:rsid w:val="69D313DD"/>
    <w:rsid w:val="69EC41C7"/>
    <w:rsid w:val="69F43330"/>
    <w:rsid w:val="6A096586"/>
    <w:rsid w:val="6A1D72DD"/>
    <w:rsid w:val="6A4116E6"/>
    <w:rsid w:val="6A8D1DAD"/>
    <w:rsid w:val="6AC41B34"/>
    <w:rsid w:val="6AC94502"/>
    <w:rsid w:val="6AEB0401"/>
    <w:rsid w:val="6B0120D0"/>
    <w:rsid w:val="6B0E7ACE"/>
    <w:rsid w:val="6B2A0713"/>
    <w:rsid w:val="6B583555"/>
    <w:rsid w:val="6B5F218F"/>
    <w:rsid w:val="6B821CDB"/>
    <w:rsid w:val="6BA3597E"/>
    <w:rsid w:val="6BA94FDA"/>
    <w:rsid w:val="6BCA5871"/>
    <w:rsid w:val="6BDA5644"/>
    <w:rsid w:val="6BED3E27"/>
    <w:rsid w:val="6BFB01BD"/>
    <w:rsid w:val="6C155E31"/>
    <w:rsid w:val="6C1A746E"/>
    <w:rsid w:val="6C1D722B"/>
    <w:rsid w:val="6C3E41ED"/>
    <w:rsid w:val="6C4677E8"/>
    <w:rsid w:val="6CA25869"/>
    <w:rsid w:val="6CC32924"/>
    <w:rsid w:val="6CCC42B0"/>
    <w:rsid w:val="6CE3660D"/>
    <w:rsid w:val="6D154FB5"/>
    <w:rsid w:val="6D653588"/>
    <w:rsid w:val="6D760601"/>
    <w:rsid w:val="6DD312E4"/>
    <w:rsid w:val="6E3378A3"/>
    <w:rsid w:val="6E47459E"/>
    <w:rsid w:val="6E6F0A0B"/>
    <w:rsid w:val="6E760705"/>
    <w:rsid w:val="6E7A4EC3"/>
    <w:rsid w:val="6E883319"/>
    <w:rsid w:val="6EA95FBE"/>
    <w:rsid w:val="6EAB6DBA"/>
    <w:rsid w:val="6EAC4EA4"/>
    <w:rsid w:val="6ED40F99"/>
    <w:rsid w:val="6ED75CE0"/>
    <w:rsid w:val="6EDC5CDA"/>
    <w:rsid w:val="6F073C7A"/>
    <w:rsid w:val="6F166D30"/>
    <w:rsid w:val="6F590238"/>
    <w:rsid w:val="6F5E4765"/>
    <w:rsid w:val="6F7A220E"/>
    <w:rsid w:val="6F7D56B3"/>
    <w:rsid w:val="6F9715A1"/>
    <w:rsid w:val="6FDB6CC8"/>
    <w:rsid w:val="6FEE1CB5"/>
    <w:rsid w:val="6FFF422E"/>
    <w:rsid w:val="70084D89"/>
    <w:rsid w:val="707B282F"/>
    <w:rsid w:val="70884927"/>
    <w:rsid w:val="708A7E30"/>
    <w:rsid w:val="70940D5A"/>
    <w:rsid w:val="70CA78D6"/>
    <w:rsid w:val="70F80517"/>
    <w:rsid w:val="7151205B"/>
    <w:rsid w:val="71586E5A"/>
    <w:rsid w:val="715B3E96"/>
    <w:rsid w:val="71884FBD"/>
    <w:rsid w:val="7192293B"/>
    <w:rsid w:val="719E1F90"/>
    <w:rsid w:val="71C109B9"/>
    <w:rsid w:val="721D7820"/>
    <w:rsid w:val="72600905"/>
    <w:rsid w:val="72690461"/>
    <w:rsid w:val="729A2792"/>
    <w:rsid w:val="72BF3583"/>
    <w:rsid w:val="73114271"/>
    <w:rsid w:val="733B61CF"/>
    <w:rsid w:val="73546BA4"/>
    <w:rsid w:val="736B60F2"/>
    <w:rsid w:val="737E6E1F"/>
    <w:rsid w:val="73C23401"/>
    <w:rsid w:val="73DE6DF5"/>
    <w:rsid w:val="73E54A68"/>
    <w:rsid w:val="742A7075"/>
    <w:rsid w:val="743B3197"/>
    <w:rsid w:val="743B7B94"/>
    <w:rsid w:val="7455337E"/>
    <w:rsid w:val="747913A3"/>
    <w:rsid w:val="749D0716"/>
    <w:rsid w:val="74A84516"/>
    <w:rsid w:val="74AA0F3E"/>
    <w:rsid w:val="74B33A93"/>
    <w:rsid w:val="74FA131B"/>
    <w:rsid w:val="753B039A"/>
    <w:rsid w:val="753B4B58"/>
    <w:rsid w:val="756A2B2A"/>
    <w:rsid w:val="757F689B"/>
    <w:rsid w:val="758768A9"/>
    <w:rsid w:val="75BF5554"/>
    <w:rsid w:val="763368A0"/>
    <w:rsid w:val="766008D0"/>
    <w:rsid w:val="766963BF"/>
    <w:rsid w:val="766B45E7"/>
    <w:rsid w:val="76730668"/>
    <w:rsid w:val="767C0347"/>
    <w:rsid w:val="76971BAC"/>
    <w:rsid w:val="76A44790"/>
    <w:rsid w:val="76A84336"/>
    <w:rsid w:val="772E2F50"/>
    <w:rsid w:val="773223AD"/>
    <w:rsid w:val="773F479D"/>
    <w:rsid w:val="77481B4F"/>
    <w:rsid w:val="775252D0"/>
    <w:rsid w:val="776B1197"/>
    <w:rsid w:val="777F7E7E"/>
    <w:rsid w:val="77D91F39"/>
    <w:rsid w:val="77E763B3"/>
    <w:rsid w:val="77FB442E"/>
    <w:rsid w:val="784561C3"/>
    <w:rsid w:val="78541389"/>
    <w:rsid w:val="78877660"/>
    <w:rsid w:val="78E02236"/>
    <w:rsid w:val="78E86041"/>
    <w:rsid w:val="793C7926"/>
    <w:rsid w:val="795F2E7D"/>
    <w:rsid w:val="7973147A"/>
    <w:rsid w:val="798244F6"/>
    <w:rsid w:val="7985752C"/>
    <w:rsid w:val="79911D22"/>
    <w:rsid w:val="79AB5DB1"/>
    <w:rsid w:val="79EC3FC0"/>
    <w:rsid w:val="79EF1BBD"/>
    <w:rsid w:val="79F365AA"/>
    <w:rsid w:val="79F50865"/>
    <w:rsid w:val="79FA6DDA"/>
    <w:rsid w:val="79FB3ADB"/>
    <w:rsid w:val="7A002609"/>
    <w:rsid w:val="7A18147C"/>
    <w:rsid w:val="7A253AA7"/>
    <w:rsid w:val="7A3050AA"/>
    <w:rsid w:val="7A4853B8"/>
    <w:rsid w:val="7A4A7CA7"/>
    <w:rsid w:val="7A714CE7"/>
    <w:rsid w:val="7A7F48E8"/>
    <w:rsid w:val="7A7F6691"/>
    <w:rsid w:val="7A9221EA"/>
    <w:rsid w:val="7AA36CA7"/>
    <w:rsid w:val="7AE922FC"/>
    <w:rsid w:val="7AF64447"/>
    <w:rsid w:val="7B2565F7"/>
    <w:rsid w:val="7B341E1B"/>
    <w:rsid w:val="7B62085C"/>
    <w:rsid w:val="7B66517C"/>
    <w:rsid w:val="7B7656D4"/>
    <w:rsid w:val="7B994A47"/>
    <w:rsid w:val="7BAA7EB8"/>
    <w:rsid w:val="7BC45E5D"/>
    <w:rsid w:val="7BCD4C49"/>
    <w:rsid w:val="7BD40DAA"/>
    <w:rsid w:val="7BE26A40"/>
    <w:rsid w:val="7BE941A7"/>
    <w:rsid w:val="7BEB6EFF"/>
    <w:rsid w:val="7C0269F8"/>
    <w:rsid w:val="7C2B0845"/>
    <w:rsid w:val="7C3E41E8"/>
    <w:rsid w:val="7C4F4B44"/>
    <w:rsid w:val="7C903AD5"/>
    <w:rsid w:val="7C9B17CF"/>
    <w:rsid w:val="7CAA3D3D"/>
    <w:rsid w:val="7CAB68B0"/>
    <w:rsid w:val="7CAF0749"/>
    <w:rsid w:val="7CB0500F"/>
    <w:rsid w:val="7CBA7334"/>
    <w:rsid w:val="7CD337BC"/>
    <w:rsid w:val="7D2857D6"/>
    <w:rsid w:val="7D3D2DAD"/>
    <w:rsid w:val="7D4134FC"/>
    <w:rsid w:val="7D86074C"/>
    <w:rsid w:val="7D981F45"/>
    <w:rsid w:val="7DB42776"/>
    <w:rsid w:val="7E1917EC"/>
    <w:rsid w:val="7E254C97"/>
    <w:rsid w:val="7E4475B2"/>
    <w:rsid w:val="7E583FC1"/>
    <w:rsid w:val="7E6C1B77"/>
    <w:rsid w:val="7E7C73F9"/>
    <w:rsid w:val="7E7D1421"/>
    <w:rsid w:val="7E8A6DB4"/>
    <w:rsid w:val="7E9A29F0"/>
    <w:rsid w:val="7E9B2C88"/>
    <w:rsid w:val="7EDA1AC4"/>
    <w:rsid w:val="7EE30A84"/>
    <w:rsid w:val="7EFB0AF6"/>
    <w:rsid w:val="7F0C2625"/>
    <w:rsid w:val="7F7C2FD8"/>
    <w:rsid w:val="7FA83A1E"/>
    <w:rsid w:val="7FC10CFD"/>
    <w:rsid w:val="7FC63E44"/>
    <w:rsid w:val="7FD422D8"/>
    <w:rsid w:val="7FD56D64"/>
    <w:rsid w:val="7FD57E32"/>
    <w:rsid w:val="7FF3207B"/>
    <w:rsid w:val="7FF5136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ocked="1"/>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99" w:name="index heading"/>
    <w:lsdException w:qFormat="1" w:unhideWhenUsed="0" w:uiPriority="0" w:semiHidden="0" w:name="caption" w:locked="1"/>
    <w:lsdException w:qFormat="1" w:unhideWhenUsed="0" w:uiPriority="99" w:name="table of figures"/>
    <w:lsdException w:uiPriority="99" w:name="envelope address" w:locked="1"/>
    <w:lsdException w:qFormat="1" w:uiPriority="99" w:semiHidden="0" w:name="envelope return" w:locked="1"/>
    <w:lsdException w:qFormat="1" w:unhideWhenUsed="0" w:uiPriority="99" w:name="footnote reference"/>
    <w:lsdException w:qFormat="1" w:unhideWhenUsed="0" w:uiPriority="99"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ocked="1"/>
    <w:lsdException w:qFormat="1" w:unhideWhenUsed="0" w:uiPriority="0" w:semiHidden="0"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5">
    <w:name w:val="heading 1"/>
    <w:basedOn w:val="1"/>
    <w:next w:val="1"/>
    <w:link w:val="76"/>
    <w:qFormat/>
    <w:uiPriority w:val="0"/>
    <w:pPr>
      <w:keepNext/>
      <w:keepLines/>
      <w:spacing w:line="578" w:lineRule="auto"/>
      <w:outlineLvl w:val="0"/>
    </w:pPr>
    <w:rPr>
      <w:b/>
      <w:bCs/>
      <w:kern w:val="44"/>
      <w:sz w:val="44"/>
      <w:szCs w:val="44"/>
    </w:rPr>
  </w:style>
  <w:style w:type="paragraph" w:styleId="6">
    <w:name w:val="heading 2"/>
    <w:basedOn w:val="1"/>
    <w:next w:val="1"/>
    <w:link w:val="77"/>
    <w:qFormat/>
    <w:uiPriority w:val="0"/>
    <w:pPr>
      <w:keepNext/>
      <w:keepLines/>
      <w:overflowPunct w:val="0"/>
      <w:adjustRightInd w:val="0"/>
      <w:jc w:val="left"/>
      <w:textAlignment w:val="baseline"/>
      <w:outlineLvl w:val="1"/>
    </w:pPr>
    <w:rPr>
      <w:rFonts w:ascii="宋体" w:hAnsi="宋体"/>
      <w:b/>
    </w:rPr>
  </w:style>
  <w:style w:type="paragraph" w:styleId="7">
    <w:name w:val="heading 3"/>
    <w:basedOn w:val="1"/>
    <w:next w:val="1"/>
    <w:link w:val="78"/>
    <w:qFormat/>
    <w:uiPriority w:val="0"/>
    <w:pPr>
      <w:keepNext/>
      <w:keepLines/>
      <w:adjustRightInd w:val="0"/>
      <w:jc w:val="left"/>
      <w:textAlignment w:val="baseline"/>
      <w:outlineLvl w:val="2"/>
    </w:pPr>
    <w:rPr>
      <w:b/>
      <w:bCs/>
      <w:kern w:val="0"/>
      <w:sz w:val="32"/>
      <w:szCs w:val="32"/>
    </w:rPr>
  </w:style>
  <w:style w:type="paragraph" w:styleId="8">
    <w:name w:val="heading 4"/>
    <w:basedOn w:val="7"/>
    <w:next w:val="1"/>
    <w:unhideWhenUsed/>
    <w:qFormat/>
    <w:locked/>
    <w:uiPriority w:val="0"/>
    <w:pPr>
      <w:spacing w:line="374" w:lineRule="auto"/>
      <w:outlineLvl w:val="3"/>
    </w:pPr>
    <w:rPr>
      <w:rFonts w:hint="eastAsia" w:ascii="Cambria" w:hAnsi="Cambria" w:eastAsia="宋体"/>
      <w:sz w:val="28"/>
    </w:rPr>
  </w:style>
  <w:style w:type="paragraph" w:styleId="9">
    <w:name w:val="heading 5"/>
    <w:basedOn w:val="1"/>
    <w:next w:val="10"/>
    <w:link w:val="79"/>
    <w:qFormat/>
    <w:uiPriority w:val="0"/>
    <w:pPr>
      <w:keepNext/>
      <w:keepLines/>
      <w:numPr>
        <w:ilvl w:val="4"/>
        <w:numId w:val="1"/>
      </w:numPr>
      <w:tabs>
        <w:tab w:val="left" w:pos="432"/>
      </w:tabs>
      <w:spacing w:line="376" w:lineRule="auto"/>
      <w:outlineLvl w:val="4"/>
    </w:pPr>
    <w:rPr>
      <w:b/>
      <w:bCs/>
      <w:kern w:val="0"/>
      <w:sz w:val="28"/>
      <w:szCs w:val="28"/>
    </w:rPr>
  </w:style>
  <w:style w:type="paragraph" w:styleId="11">
    <w:name w:val="heading 6"/>
    <w:basedOn w:val="1"/>
    <w:next w:val="10"/>
    <w:link w:val="80"/>
    <w:qFormat/>
    <w:uiPriority w:val="0"/>
    <w:pPr>
      <w:keepNext/>
      <w:keepLines/>
      <w:numPr>
        <w:ilvl w:val="5"/>
        <w:numId w:val="1"/>
      </w:numPr>
      <w:tabs>
        <w:tab w:val="left" w:pos="432"/>
      </w:tabs>
      <w:spacing w:line="320" w:lineRule="auto"/>
      <w:outlineLvl w:val="5"/>
    </w:pPr>
    <w:rPr>
      <w:rFonts w:ascii="Cambria" w:hAnsi="Cambria" w:eastAsia="宋体"/>
      <w:b/>
      <w:bCs/>
      <w:kern w:val="0"/>
      <w:sz w:val="24"/>
      <w:szCs w:val="24"/>
    </w:rPr>
  </w:style>
  <w:style w:type="paragraph" w:styleId="12">
    <w:name w:val="heading 7"/>
    <w:basedOn w:val="1"/>
    <w:next w:val="1"/>
    <w:link w:val="81"/>
    <w:qFormat/>
    <w:uiPriority w:val="0"/>
    <w:pPr>
      <w:keepNext/>
      <w:keepLines/>
      <w:numPr>
        <w:ilvl w:val="6"/>
        <w:numId w:val="1"/>
      </w:numPr>
      <w:tabs>
        <w:tab w:val="left" w:pos="432"/>
      </w:tabs>
      <w:spacing w:line="320" w:lineRule="auto"/>
      <w:outlineLvl w:val="6"/>
    </w:pPr>
    <w:rPr>
      <w:b/>
      <w:bCs/>
      <w:kern w:val="0"/>
      <w:sz w:val="24"/>
      <w:szCs w:val="24"/>
    </w:rPr>
  </w:style>
  <w:style w:type="paragraph" w:styleId="13">
    <w:name w:val="heading 8"/>
    <w:basedOn w:val="1"/>
    <w:next w:val="10"/>
    <w:link w:val="82"/>
    <w:qFormat/>
    <w:uiPriority w:val="0"/>
    <w:pPr>
      <w:keepNext/>
      <w:keepLines/>
      <w:numPr>
        <w:ilvl w:val="7"/>
        <w:numId w:val="1"/>
      </w:numPr>
      <w:tabs>
        <w:tab w:val="left" w:pos="432"/>
      </w:tabs>
      <w:spacing w:line="320" w:lineRule="auto"/>
      <w:outlineLvl w:val="7"/>
    </w:pPr>
    <w:rPr>
      <w:rFonts w:ascii="Cambria" w:hAnsi="Cambria" w:eastAsia="宋体"/>
      <w:kern w:val="0"/>
      <w:sz w:val="24"/>
      <w:szCs w:val="24"/>
    </w:rPr>
  </w:style>
  <w:style w:type="paragraph" w:styleId="14">
    <w:name w:val="heading 9"/>
    <w:basedOn w:val="1"/>
    <w:next w:val="10"/>
    <w:link w:val="83"/>
    <w:qFormat/>
    <w:uiPriority w:val="0"/>
    <w:pPr>
      <w:keepNext/>
      <w:keepLines/>
      <w:numPr>
        <w:ilvl w:val="8"/>
        <w:numId w:val="1"/>
      </w:numPr>
      <w:tabs>
        <w:tab w:val="left" w:pos="432"/>
      </w:tabs>
      <w:spacing w:line="320" w:lineRule="auto"/>
      <w:outlineLvl w:val="8"/>
    </w:pPr>
    <w:rPr>
      <w:rFonts w:ascii="Cambria" w:hAnsi="Cambria" w:eastAsia="宋体"/>
      <w:kern w:val="0"/>
      <w:sz w:val="21"/>
      <w:szCs w:val="21"/>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
    <w:basedOn w:val="3"/>
    <w:unhideWhenUsed/>
    <w:qFormat/>
    <w:uiPriority w:val="99"/>
    <w:pPr>
      <w:ind w:firstLine="420" w:firstLineChars="200"/>
    </w:pPr>
    <w:rPr>
      <w:rFonts w:ascii="Calibri" w:hAnsi="Calibri"/>
      <w:szCs w:val="26"/>
    </w:rPr>
  </w:style>
  <w:style w:type="paragraph" w:styleId="3">
    <w:name w:val="Body Text Indent"/>
    <w:basedOn w:val="1"/>
    <w:next w:val="4"/>
    <w:link w:val="88"/>
    <w:qFormat/>
    <w:uiPriority w:val="0"/>
    <w:pPr>
      <w:spacing w:line="520" w:lineRule="exact"/>
      <w:ind w:left="570"/>
    </w:pPr>
    <w:rPr>
      <w:rFonts w:ascii="方正仿宋简体" w:hAnsi="创艺简仿宋" w:eastAsia="方正仿宋简体"/>
      <w:sz w:val="24"/>
    </w:rPr>
  </w:style>
  <w:style w:type="paragraph" w:styleId="4">
    <w:name w:val="envelope return"/>
    <w:basedOn w:val="1"/>
    <w:unhideWhenUsed/>
    <w:qFormat/>
    <w:locked/>
    <w:uiPriority w:val="99"/>
    <w:pPr>
      <w:snapToGrid w:val="0"/>
    </w:pPr>
    <w:rPr>
      <w:rFonts w:ascii="Arial" w:hAnsi="Arial"/>
    </w:rPr>
  </w:style>
  <w:style w:type="paragraph" w:styleId="10">
    <w:name w:val="Normal Indent"/>
    <w:basedOn w:val="1"/>
    <w:link w:val="110"/>
    <w:qFormat/>
    <w:uiPriority w:val="0"/>
    <w:pPr>
      <w:adjustRightInd w:val="0"/>
      <w:ind w:firstLine="420"/>
      <w:jc w:val="left"/>
      <w:textAlignment w:val="baseline"/>
    </w:pPr>
    <w:rPr>
      <w:sz w:val="24"/>
    </w:rPr>
  </w:style>
  <w:style w:type="paragraph" w:styleId="15">
    <w:name w:val="toc 7"/>
    <w:basedOn w:val="1"/>
    <w:next w:val="1"/>
    <w:semiHidden/>
    <w:qFormat/>
    <w:uiPriority w:val="99"/>
    <w:pPr>
      <w:ind w:left="2520"/>
    </w:pPr>
  </w:style>
  <w:style w:type="paragraph" w:styleId="16">
    <w:name w:val="index 8"/>
    <w:basedOn w:val="1"/>
    <w:next w:val="1"/>
    <w:semiHidden/>
    <w:qFormat/>
    <w:uiPriority w:val="99"/>
    <w:pPr>
      <w:ind w:left="2940"/>
    </w:pPr>
  </w:style>
  <w:style w:type="paragraph" w:styleId="17">
    <w:name w:val="caption"/>
    <w:basedOn w:val="1"/>
    <w:next w:val="1"/>
    <w:qFormat/>
    <w:locked/>
    <w:uiPriority w:val="0"/>
    <w:pPr>
      <w:adjustRightInd w:val="0"/>
      <w:spacing w:before="152" w:after="160" w:line="360" w:lineRule="atLeast"/>
      <w:textAlignment w:val="baseline"/>
    </w:pPr>
    <w:rPr>
      <w:rFonts w:ascii="Arial" w:hAnsi="Arial" w:eastAsia="黑体"/>
      <w:kern w:val="0"/>
      <w:sz w:val="24"/>
    </w:rPr>
  </w:style>
  <w:style w:type="paragraph" w:styleId="18">
    <w:name w:val="index 5"/>
    <w:basedOn w:val="1"/>
    <w:next w:val="1"/>
    <w:semiHidden/>
    <w:qFormat/>
    <w:uiPriority w:val="99"/>
    <w:pPr>
      <w:ind w:left="1680"/>
    </w:pPr>
  </w:style>
  <w:style w:type="paragraph" w:styleId="19">
    <w:name w:val="Document Map"/>
    <w:basedOn w:val="1"/>
    <w:link w:val="86"/>
    <w:qFormat/>
    <w:uiPriority w:val="0"/>
    <w:pPr>
      <w:shd w:val="clear" w:color="auto" w:fill="000080"/>
    </w:pPr>
    <w:rPr>
      <w:kern w:val="0"/>
      <w:sz w:val="2"/>
    </w:rPr>
  </w:style>
  <w:style w:type="paragraph" w:styleId="20">
    <w:name w:val="toa heading"/>
    <w:basedOn w:val="1"/>
    <w:next w:val="1"/>
    <w:qFormat/>
    <w:locked/>
    <w:uiPriority w:val="0"/>
    <w:pPr>
      <w:adjustRightInd w:val="0"/>
      <w:spacing w:before="200" w:line="360" w:lineRule="atLeast"/>
      <w:jc w:val="center"/>
      <w:textAlignment w:val="baseline"/>
    </w:pPr>
    <w:rPr>
      <w:rFonts w:ascii="Arial" w:hAnsi="Arial" w:eastAsia="黑体"/>
      <w:kern w:val="0"/>
      <w:sz w:val="44"/>
    </w:rPr>
  </w:style>
  <w:style w:type="paragraph" w:styleId="21">
    <w:name w:val="annotation text"/>
    <w:basedOn w:val="1"/>
    <w:link w:val="84"/>
    <w:semiHidden/>
    <w:qFormat/>
    <w:uiPriority w:val="99"/>
    <w:pPr>
      <w:jc w:val="left"/>
    </w:pPr>
  </w:style>
  <w:style w:type="paragraph" w:styleId="22">
    <w:name w:val="index 6"/>
    <w:basedOn w:val="1"/>
    <w:next w:val="1"/>
    <w:semiHidden/>
    <w:qFormat/>
    <w:uiPriority w:val="99"/>
    <w:pPr>
      <w:ind w:left="2100"/>
    </w:pPr>
  </w:style>
  <w:style w:type="paragraph" w:styleId="23">
    <w:name w:val="Body Text 3"/>
    <w:basedOn w:val="1"/>
    <w:link w:val="145"/>
    <w:qFormat/>
    <w:locked/>
    <w:uiPriority w:val="0"/>
    <w:pPr>
      <w:adjustRightInd w:val="0"/>
      <w:spacing w:line="360" w:lineRule="atLeast"/>
      <w:jc w:val="center"/>
      <w:textAlignment w:val="baseline"/>
    </w:pPr>
    <w:rPr>
      <w:rFonts w:eastAsia="宋体"/>
      <w:color w:val="FF0000"/>
      <w:kern w:val="0"/>
      <w:sz w:val="21"/>
      <w:szCs w:val="21"/>
    </w:rPr>
  </w:style>
  <w:style w:type="paragraph" w:styleId="24">
    <w:name w:val="Body Text"/>
    <w:basedOn w:val="1"/>
    <w:next w:val="1"/>
    <w:link w:val="87"/>
    <w:qFormat/>
    <w:uiPriority w:val="0"/>
    <w:pPr>
      <w:spacing w:line="400" w:lineRule="exact"/>
    </w:pPr>
    <w:rPr>
      <w:kern w:val="0"/>
      <w:sz w:val="20"/>
    </w:rPr>
  </w:style>
  <w:style w:type="paragraph" w:styleId="25">
    <w:name w:val="index 4"/>
    <w:basedOn w:val="1"/>
    <w:next w:val="1"/>
    <w:semiHidden/>
    <w:qFormat/>
    <w:uiPriority w:val="99"/>
    <w:pPr>
      <w:ind w:left="1260"/>
    </w:pPr>
  </w:style>
  <w:style w:type="paragraph" w:styleId="26">
    <w:name w:val="toc 5"/>
    <w:basedOn w:val="1"/>
    <w:next w:val="1"/>
    <w:semiHidden/>
    <w:qFormat/>
    <w:uiPriority w:val="99"/>
    <w:pPr>
      <w:ind w:left="1680"/>
    </w:pPr>
  </w:style>
  <w:style w:type="paragraph" w:styleId="27">
    <w:name w:val="toc 3"/>
    <w:basedOn w:val="1"/>
    <w:next w:val="1"/>
    <w:qFormat/>
    <w:uiPriority w:val="39"/>
    <w:pPr>
      <w:ind w:left="840"/>
    </w:pPr>
  </w:style>
  <w:style w:type="paragraph" w:styleId="28">
    <w:name w:val="Plain Text"/>
    <w:basedOn w:val="1"/>
    <w:link w:val="89"/>
    <w:qFormat/>
    <w:uiPriority w:val="0"/>
    <w:rPr>
      <w:rFonts w:ascii="宋体" w:hAnsi="Courier New"/>
    </w:rPr>
  </w:style>
  <w:style w:type="paragraph" w:styleId="29">
    <w:name w:val="toc 8"/>
    <w:basedOn w:val="1"/>
    <w:next w:val="1"/>
    <w:semiHidden/>
    <w:qFormat/>
    <w:uiPriority w:val="99"/>
    <w:pPr>
      <w:ind w:left="2940"/>
    </w:pPr>
  </w:style>
  <w:style w:type="paragraph" w:styleId="30">
    <w:name w:val="index 3"/>
    <w:basedOn w:val="1"/>
    <w:next w:val="1"/>
    <w:semiHidden/>
    <w:qFormat/>
    <w:uiPriority w:val="99"/>
    <w:pPr>
      <w:ind w:left="840"/>
    </w:pPr>
  </w:style>
  <w:style w:type="paragraph" w:styleId="31">
    <w:name w:val="Date"/>
    <w:basedOn w:val="1"/>
    <w:next w:val="1"/>
    <w:link w:val="90"/>
    <w:qFormat/>
    <w:uiPriority w:val="0"/>
    <w:rPr>
      <w:kern w:val="0"/>
      <w:sz w:val="20"/>
    </w:rPr>
  </w:style>
  <w:style w:type="paragraph" w:styleId="32">
    <w:name w:val="Body Text Indent 2"/>
    <w:basedOn w:val="1"/>
    <w:link w:val="91"/>
    <w:qFormat/>
    <w:uiPriority w:val="0"/>
    <w:pPr>
      <w:tabs>
        <w:tab w:val="left" w:pos="0"/>
      </w:tabs>
      <w:spacing w:line="360" w:lineRule="auto"/>
      <w:ind w:firstLine="502" w:firstLineChars="209"/>
    </w:pPr>
    <w:rPr>
      <w:kern w:val="0"/>
      <w:sz w:val="20"/>
    </w:rPr>
  </w:style>
  <w:style w:type="paragraph" w:styleId="33">
    <w:name w:val="endnote text"/>
    <w:basedOn w:val="1"/>
    <w:link w:val="150"/>
    <w:qFormat/>
    <w:locked/>
    <w:uiPriority w:val="0"/>
    <w:pPr>
      <w:adjustRightInd w:val="0"/>
      <w:snapToGrid w:val="0"/>
      <w:spacing w:line="360" w:lineRule="atLeast"/>
      <w:jc w:val="left"/>
      <w:textAlignment w:val="baseline"/>
    </w:pPr>
    <w:rPr>
      <w:rFonts w:eastAsia="宋体"/>
      <w:kern w:val="0"/>
      <w:sz w:val="24"/>
    </w:rPr>
  </w:style>
  <w:style w:type="paragraph" w:styleId="34">
    <w:name w:val="Balloon Text"/>
    <w:basedOn w:val="1"/>
    <w:link w:val="92"/>
    <w:qFormat/>
    <w:uiPriority w:val="0"/>
    <w:rPr>
      <w:kern w:val="0"/>
      <w:sz w:val="2"/>
    </w:rPr>
  </w:style>
  <w:style w:type="paragraph" w:styleId="35">
    <w:name w:val="footer"/>
    <w:basedOn w:val="1"/>
    <w:link w:val="93"/>
    <w:qFormat/>
    <w:uiPriority w:val="0"/>
    <w:pPr>
      <w:tabs>
        <w:tab w:val="center" w:pos="4153"/>
        <w:tab w:val="right" w:pos="8306"/>
      </w:tabs>
      <w:snapToGrid w:val="0"/>
      <w:jc w:val="left"/>
    </w:pPr>
    <w:rPr>
      <w:kern w:val="0"/>
      <w:sz w:val="18"/>
      <w:szCs w:val="18"/>
    </w:rPr>
  </w:style>
  <w:style w:type="paragraph" w:styleId="36">
    <w:name w:val="header"/>
    <w:basedOn w:val="1"/>
    <w:link w:val="94"/>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adjustRightInd w:val="0"/>
      <w:jc w:val="left"/>
      <w:textAlignment w:val="baseline"/>
    </w:pPr>
    <w:rPr>
      <w:sz w:val="24"/>
    </w:rPr>
  </w:style>
  <w:style w:type="paragraph" w:styleId="38">
    <w:name w:val="toc 4"/>
    <w:basedOn w:val="1"/>
    <w:next w:val="1"/>
    <w:semiHidden/>
    <w:qFormat/>
    <w:uiPriority w:val="99"/>
    <w:pPr>
      <w:ind w:left="1260"/>
    </w:pPr>
  </w:style>
  <w:style w:type="paragraph" w:styleId="39">
    <w:name w:val="index heading"/>
    <w:basedOn w:val="1"/>
    <w:next w:val="40"/>
    <w:semiHidden/>
    <w:qFormat/>
    <w:uiPriority w:val="99"/>
  </w:style>
  <w:style w:type="paragraph" w:styleId="40">
    <w:name w:val="index 1"/>
    <w:basedOn w:val="1"/>
    <w:next w:val="1"/>
    <w:semiHidden/>
    <w:qFormat/>
    <w:uiPriority w:val="99"/>
  </w:style>
  <w:style w:type="paragraph" w:styleId="41">
    <w:name w:val="Subtitle"/>
    <w:basedOn w:val="1"/>
    <w:link w:val="147"/>
    <w:qFormat/>
    <w:locked/>
    <w:uiPriority w:val="0"/>
    <w:pPr>
      <w:adjustRightInd w:val="0"/>
      <w:spacing w:after="60" w:line="360" w:lineRule="atLeast"/>
      <w:jc w:val="center"/>
      <w:textAlignment w:val="baseline"/>
    </w:pPr>
    <w:rPr>
      <w:rFonts w:ascii="Arial" w:hAnsi="Arial" w:eastAsia="黑体"/>
      <w:i/>
      <w:kern w:val="0"/>
      <w:sz w:val="24"/>
    </w:rPr>
  </w:style>
  <w:style w:type="paragraph" w:styleId="42">
    <w:name w:val="footnote text"/>
    <w:basedOn w:val="1"/>
    <w:link w:val="95"/>
    <w:semiHidden/>
    <w:qFormat/>
    <w:uiPriority w:val="99"/>
    <w:pPr>
      <w:snapToGrid w:val="0"/>
      <w:jc w:val="left"/>
    </w:pPr>
    <w:rPr>
      <w:kern w:val="0"/>
      <w:sz w:val="18"/>
      <w:szCs w:val="18"/>
    </w:rPr>
  </w:style>
  <w:style w:type="paragraph" w:styleId="43">
    <w:name w:val="toc 6"/>
    <w:basedOn w:val="1"/>
    <w:next w:val="1"/>
    <w:semiHidden/>
    <w:qFormat/>
    <w:uiPriority w:val="99"/>
    <w:pPr>
      <w:ind w:left="2100"/>
    </w:pPr>
  </w:style>
  <w:style w:type="paragraph" w:styleId="44">
    <w:name w:val="Body Text Indent 3"/>
    <w:basedOn w:val="1"/>
    <w:link w:val="96"/>
    <w:qFormat/>
    <w:uiPriority w:val="0"/>
    <w:pPr>
      <w:spacing w:line="360" w:lineRule="auto"/>
      <w:ind w:firstLine="617" w:firstLineChars="257"/>
    </w:pPr>
    <w:rPr>
      <w:kern w:val="0"/>
      <w:sz w:val="16"/>
      <w:szCs w:val="16"/>
    </w:rPr>
  </w:style>
  <w:style w:type="paragraph" w:styleId="45">
    <w:name w:val="index 7"/>
    <w:basedOn w:val="1"/>
    <w:next w:val="1"/>
    <w:semiHidden/>
    <w:qFormat/>
    <w:uiPriority w:val="99"/>
    <w:pPr>
      <w:ind w:left="2520"/>
    </w:pPr>
  </w:style>
  <w:style w:type="paragraph" w:styleId="46">
    <w:name w:val="index 9"/>
    <w:basedOn w:val="1"/>
    <w:next w:val="1"/>
    <w:semiHidden/>
    <w:qFormat/>
    <w:uiPriority w:val="99"/>
    <w:pPr>
      <w:ind w:left="3360"/>
    </w:pPr>
  </w:style>
  <w:style w:type="paragraph" w:styleId="47">
    <w:name w:val="table of figures"/>
    <w:basedOn w:val="1"/>
    <w:next w:val="1"/>
    <w:semiHidden/>
    <w:qFormat/>
    <w:uiPriority w:val="99"/>
    <w:pPr>
      <w:adjustRightInd w:val="0"/>
      <w:ind w:left="420" w:hanging="420"/>
      <w:jc w:val="left"/>
      <w:textAlignment w:val="baseline"/>
    </w:pPr>
    <w:rPr>
      <w:smallCaps/>
      <w:sz w:val="24"/>
    </w:rPr>
  </w:style>
  <w:style w:type="paragraph" w:styleId="48">
    <w:name w:val="toc 2"/>
    <w:basedOn w:val="1"/>
    <w:next w:val="1"/>
    <w:qFormat/>
    <w:uiPriority w:val="39"/>
    <w:pPr>
      <w:ind w:left="420"/>
    </w:pPr>
  </w:style>
  <w:style w:type="paragraph" w:styleId="49">
    <w:name w:val="toc 9"/>
    <w:basedOn w:val="1"/>
    <w:next w:val="1"/>
    <w:semiHidden/>
    <w:qFormat/>
    <w:uiPriority w:val="99"/>
    <w:pPr>
      <w:ind w:left="3360"/>
    </w:pPr>
  </w:style>
  <w:style w:type="paragraph" w:styleId="50">
    <w:name w:val="Body Text 2"/>
    <w:basedOn w:val="1"/>
    <w:link w:val="144"/>
    <w:qFormat/>
    <w:locked/>
    <w:uiPriority w:val="0"/>
    <w:pPr>
      <w:adjustRightInd w:val="0"/>
      <w:spacing w:line="360" w:lineRule="atLeast"/>
      <w:jc w:val="center"/>
      <w:textAlignment w:val="baseline"/>
    </w:pPr>
    <w:rPr>
      <w:rFonts w:ascii="仿宋_GB2312" w:eastAsia="仿宋_GB2312"/>
      <w:kern w:val="0"/>
      <w:sz w:val="24"/>
      <w:szCs w:val="24"/>
    </w:rPr>
  </w:style>
  <w:style w:type="paragraph" w:styleId="51">
    <w:name w:val="HTML Preformatted"/>
    <w:basedOn w:val="1"/>
    <w:link w:val="9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52">
    <w:name w:val="Normal (Web)"/>
    <w:basedOn w:val="1"/>
    <w:qFormat/>
    <w:uiPriority w:val="0"/>
    <w:pPr>
      <w:spacing w:before="100" w:beforeAutospacing="1" w:after="100" w:afterAutospacing="1"/>
      <w:jc w:val="left"/>
    </w:pPr>
    <w:rPr>
      <w:kern w:val="0"/>
      <w:sz w:val="24"/>
    </w:rPr>
  </w:style>
  <w:style w:type="paragraph" w:styleId="53">
    <w:name w:val="index 2"/>
    <w:basedOn w:val="1"/>
    <w:next w:val="1"/>
    <w:semiHidden/>
    <w:qFormat/>
    <w:uiPriority w:val="99"/>
    <w:pPr>
      <w:ind w:left="420"/>
    </w:pPr>
  </w:style>
  <w:style w:type="paragraph" w:styleId="54">
    <w:name w:val="Title"/>
    <w:basedOn w:val="1"/>
    <w:next w:val="1"/>
    <w:link w:val="98"/>
    <w:qFormat/>
    <w:locked/>
    <w:uiPriority w:val="0"/>
    <w:pPr>
      <w:adjustRightInd w:val="0"/>
      <w:spacing w:line="420" w:lineRule="atLeast"/>
      <w:jc w:val="center"/>
      <w:textAlignment w:val="baseline"/>
      <w:outlineLvl w:val="0"/>
    </w:pPr>
    <w:rPr>
      <w:rFonts w:ascii="Arial" w:hAnsi="Arial"/>
      <w:b/>
      <w:kern w:val="0"/>
      <w:sz w:val="32"/>
    </w:rPr>
  </w:style>
  <w:style w:type="paragraph" w:styleId="55">
    <w:name w:val="annotation subject"/>
    <w:basedOn w:val="21"/>
    <w:next w:val="21"/>
    <w:link w:val="85"/>
    <w:semiHidden/>
    <w:qFormat/>
    <w:uiPriority w:val="99"/>
    <w:rPr>
      <w:b/>
      <w:bCs/>
      <w:sz w:val="20"/>
    </w:rPr>
  </w:style>
  <w:style w:type="paragraph" w:styleId="56">
    <w:name w:val="Body Text First Indent"/>
    <w:basedOn w:val="24"/>
    <w:link w:val="146"/>
    <w:qFormat/>
    <w:locked/>
    <w:uiPriority w:val="0"/>
    <w:pPr>
      <w:widowControl/>
      <w:spacing w:after="120" w:line="240" w:lineRule="auto"/>
      <w:ind w:firstLine="420" w:firstLineChars="100"/>
      <w:jc w:val="left"/>
    </w:pPr>
    <w:rPr>
      <w:rFonts w:eastAsia="宋体"/>
      <w:sz w:val="21"/>
    </w:rPr>
  </w:style>
  <w:style w:type="paragraph" w:styleId="57">
    <w:name w:val="Body Text First Indent 2"/>
    <w:basedOn w:val="3"/>
    <w:link w:val="151"/>
    <w:qFormat/>
    <w:locked/>
    <w:uiPriority w:val="0"/>
    <w:pPr>
      <w:widowControl/>
      <w:spacing w:after="120" w:line="240" w:lineRule="auto"/>
      <w:ind w:left="420" w:leftChars="200" w:firstLine="420" w:firstLineChars="200"/>
      <w:jc w:val="left"/>
    </w:pPr>
    <w:rPr>
      <w:rFonts w:ascii="Times New Roman" w:hAnsi="Times New Roman" w:eastAsia="宋体"/>
      <w:sz w:val="28"/>
    </w:rPr>
  </w:style>
  <w:style w:type="table" w:styleId="59">
    <w:name w:val="Table Grid"/>
    <w:basedOn w:val="5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basedOn w:val="60"/>
    <w:qFormat/>
    <w:uiPriority w:val="99"/>
    <w:rPr>
      <w:rFonts w:cs="Times New Roman"/>
      <w:b/>
    </w:rPr>
  </w:style>
  <w:style w:type="character" w:styleId="62">
    <w:name w:val="endnote reference"/>
    <w:qFormat/>
    <w:locked/>
    <w:uiPriority w:val="0"/>
    <w:rPr>
      <w:vertAlign w:val="superscript"/>
    </w:rPr>
  </w:style>
  <w:style w:type="character" w:styleId="63">
    <w:name w:val="page number"/>
    <w:basedOn w:val="60"/>
    <w:qFormat/>
    <w:uiPriority w:val="0"/>
    <w:rPr>
      <w:rFonts w:cs="Times New Roman"/>
    </w:rPr>
  </w:style>
  <w:style w:type="character" w:styleId="64">
    <w:name w:val="FollowedHyperlink"/>
    <w:basedOn w:val="60"/>
    <w:qFormat/>
    <w:uiPriority w:val="0"/>
    <w:rPr>
      <w:rFonts w:cs="Times New Roman"/>
      <w:color w:val="954F72"/>
      <w:u w:val="single"/>
    </w:rPr>
  </w:style>
  <w:style w:type="character" w:styleId="65">
    <w:name w:val="Emphasis"/>
    <w:basedOn w:val="60"/>
    <w:qFormat/>
    <w:uiPriority w:val="99"/>
    <w:rPr>
      <w:rFonts w:cs="Times New Roman"/>
      <w:i/>
    </w:rPr>
  </w:style>
  <w:style w:type="character" w:styleId="66">
    <w:name w:val="line number"/>
    <w:basedOn w:val="60"/>
    <w:qFormat/>
    <w:uiPriority w:val="0"/>
    <w:rPr>
      <w:rFonts w:cs="Times New Roman"/>
    </w:rPr>
  </w:style>
  <w:style w:type="character" w:styleId="67">
    <w:name w:val="HTML Definition"/>
    <w:basedOn w:val="60"/>
    <w:qFormat/>
    <w:uiPriority w:val="99"/>
    <w:rPr>
      <w:rFonts w:cs="Times New Roman"/>
      <w:i/>
    </w:rPr>
  </w:style>
  <w:style w:type="character" w:styleId="68">
    <w:name w:val="Hyperlink"/>
    <w:basedOn w:val="60"/>
    <w:qFormat/>
    <w:uiPriority w:val="0"/>
    <w:rPr>
      <w:rFonts w:cs="Times New Roman"/>
      <w:color w:val="0000FF"/>
      <w:u w:val="single"/>
    </w:rPr>
  </w:style>
  <w:style w:type="character" w:styleId="69">
    <w:name w:val="HTML Code"/>
    <w:basedOn w:val="60"/>
    <w:qFormat/>
    <w:uiPriority w:val="99"/>
    <w:rPr>
      <w:rFonts w:ascii="Menlo" w:hAnsi="Menlo" w:cs="Times New Roman"/>
      <w:color w:val="C7254E"/>
      <w:sz w:val="21"/>
      <w:shd w:val="clear" w:color="auto" w:fill="F9F2F4"/>
    </w:rPr>
  </w:style>
  <w:style w:type="character" w:styleId="70">
    <w:name w:val="annotation reference"/>
    <w:basedOn w:val="60"/>
    <w:semiHidden/>
    <w:qFormat/>
    <w:uiPriority w:val="99"/>
    <w:rPr>
      <w:rFonts w:cs="Times New Roman"/>
      <w:sz w:val="21"/>
    </w:rPr>
  </w:style>
  <w:style w:type="character" w:styleId="71">
    <w:name w:val="HTML Cite"/>
    <w:basedOn w:val="60"/>
    <w:qFormat/>
    <w:uiPriority w:val="99"/>
    <w:rPr>
      <w:rFonts w:cs="Times New Roman"/>
    </w:rPr>
  </w:style>
  <w:style w:type="character" w:styleId="72">
    <w:name w:val="footnote reference"/>
    <w:basedOn w:val="60"/>
    <w:semiHidden/>
    <w:qFormat/>
    <w:uiPriority w:val="99"/>
    <w:rPr>
      <w:rFonts w:cs="Times New Roman"/>
      <w:vertAlign w:val="superscript"/>
    </w:rPr>
  </w:style>
  <w:style w:type="character" w:styleId="73">
    <w:name w:val="HTML Keyboard"/>
    <w:basedOn w:val="60"/>
    <w:qFormat/>
    <w:uiPriority w:val="99"/>
    <w:rPr>
      <w:rFonts w:ascii="Menlo" w:hAnsi="Menlo" w:cs="Times New Roman"/>
      <w:sz w:val="21"/>
    </w:rPr>
  </w:style>
  <w:style w:type="character" w:styleId="74">
    <w:name w:val="HTML Sample"/>
    <w:basedOn w:val="60"/>
    <w:qFormat/>
    <w:uiPriority w:val="99"/>
    <w:rPr>
      <w:rFonts w:ascii="Menlo" w:hAnsi="Menlo" w:cs="Times New Roman"/>
      <w:sz w:val="21"/>
    </w:rPr>
  </w:style>
  <w:style w:type="paragraph" w:customStyle="1" w:styleId="75">
    <w:name w:val="正文文本首行缩进 21"/>
    <w:basedOn w:val="3"/>
    <w:unhideWhenUsed/>
    <w:qFormat/>
    <w:uiPriority w:val="99"/>
    <w:pPr>
      <w:ind w:firstLine="420" w:firstLineChars="200"/>
    </w:pPr>
    <w:rPr>
      <w:rFonts w:ascii="Calibri" w:hAnsi="Calibri"/>
      <w:szCs w:val="26"/>
    </w:rPr>
  </w:style>
  <w:style w:type="character" w:customStyle="1" w:styleId="76">
    <w:name w:val="标题 1 字符"/>
    <w:basedOn w:val="60"/>
    <w:link w:val="5"/>
    <w:qFormat/>
    <w:locked/>
    <w:uiPriority w:val="99"/>
    <w:rPr>
      <w:rFonts w:eastAsia="楷体_GB2312" w:cs="Times New Roman"/>
      <w:b/>
      <w:kern w:val="44"/>
      <w:sz w:val="44"/>
    </w:rPr>
  </w:style>
  <w:style w:type="character" w:customStyle="1" w:styleId="77">
    <w:name w:val="标题 2 字符"/>
    <w:basedOn w:val="60"/>
    <w:link w:val="6"/>
    <w:qFormat/>
    <w:locked/>
    <w:uiPriority w:val="99"/>
    <w:rPr>
      <w:rFonts w:ascii="宋体" w:hAnsi="宋体" w:eastAsia="楷体_GB2312" w:cs="Times New Roman"/>
      <w:b/>
      <w:kern w:val="2"/>
      <w:sz w:val="26"/>
      <w:lang w:val="en-US" w:eastAsia="zh-CN"/>
    </w:rPr>
  </w:style>
  <w:style w:type="character" w:customStyle="1" w:styleId="78">
    <w:name w:val="标题 3 字符"/>
    <w:basedOn w:val="60"/>
    <w:link w:val="7"/>
    <w:semiHidden/>
    <w:qFormat/>
    <w:locked/>
    <w:uiPriority w:val="99"/>
    <w:rPr>
      <w:rFonts w:eastAsia="楷体_GB2312" w:cs="Times New Roman"/>
      <w:b/>
      <w:sz w:val="32"/>
    </w:rPr>
  </w:style>
  <w:style w:type="character" w:customStyle="1" w:styleId="79">
    <w:name w:val="标题 5 字符"/>
    <w:basedOn w:val="60"/>
    <w:link w:val="9"/>
    <w:semiHidden/>
    <w:qFormat/>
    <w:locked/>
    <w:uiPriority w:val="99"/>
    <w:rPr>
      <w:rFonts w:eastAsia="楷体_GB2312" w:cs="Times New Roman"/>
      <w:b/>
      <w:sz w:val="28"/>
    </w:rPr>
  </w:style>
  <w:style w:type="character" w:customStyle="1" w:styleId="80">
    <w:name w:val="标题 6 字符"/>
    <w:basedOn w:val="60"/>
    <w:link w:val="11"/>
    <w:semiHidden/>
    <w:qFormat/>
    <w:locked/>
    <w:uiPriority w:val="99"/>
    <w:rPr>
      <w:rFonts w:ascii="Cambria" w:hAnsi="Cambria" w:eastAsia="宋体" w:cs="Times New Roman"/>
      <w:b/>
      <w:sz w:val="24"/>
    </w:rPr>
  </w:style>
  <w:style w:type="character" w:customStyle="1" w:styleId="81">
    <w:name w:val="标题 7 字符"/>
    <w:basedOn w:val="60"/>
    <w:link w:val="12"/>
    <w:semiHidden/>
    <w:qFormat/>
    <w:locked/>
    <w:uiPriority w:val="99"/>
    <w:rPr>
      <w:rFonts w:eastAsia="楷体_GB2312" w:cs="Times New Roman"/>
      <w:b/>
      <w:sz w:val="24"/>
    </w:rPr>
  </w:style>
  <w:style w:type="character" w:customStyle="1" w:styleId="82">
    <w:name w:val="标题 8 字符"/>
    <w:basedOn w:val="60"/>
    <w:link w:val="13"/>
    <w:semiHidden/>
    <w:qFormat/>
    <w:locked/>
    <w:uiPriority w:val="99"/>
    <w:rPr>
      <w:rFonts w:ascii="Cambria" w:hAnsi="Cambria" w:eastAsia="宋体" w:cs="Times New Roman"/>
      <w:sz w:val="24"/>
    </w:rPr>
  </w:style>
  <w:style w:type="character" w:customStyle="1" w:styleId="83">
    <w:name w:val="标题 9 字符"/>
    <w:basedOn w:val="60"/>
    <w:link w:val="14"/>
    <w:semiHidden/>
    <w:qFormat/>
    <w:locked/>
    <w:uiPriority w:val="99"/>
    <w:rPr>
      <w:rFonts w:ascii="Cambria" w:hAnsi="Cambria" w:eastAsia="宋体" w:cs="Times New Roman"/>
      <w:sz w:val="21"/>
    </w:rPr>
  </w:style>
  <w:style w:type="character" w:customStyle="1" w:styleId="84">
    <w:name w:val="批注文字 字符"/>
    <w:basedOn w:val="60"/>
    <w:link w:val="21"/>
    <w:semiHidden/>
    <w:qFormat/>
    <w:locked/>
    <w:uiPriority w:val="99"/>
    <w:rPr>
      <w:rFonts w:eastAsia="楷体_GB2312" w:cs="Times New Roman"/>
      <w:kern w:val="2"/>
      <w:sz w:val="26"/>
    </w:rPr>
  </w:style>
  <w:style w:type="character" w:customStyle="1" w:styleId="85">
    <w:name w:val="批注主题 字符"/>
    <w:basedOn w:val="84"/>
    <w:link w:val="55"/>
    <w:semiHidden/>
    <w:qFormat/>
    <w:locked/>
    <w:uiPriority w:val="99"/>
    <w:rPr>
      <w:rFonts w:eastAsia="楷体_GB2312" w:cs="Times New Roman"/>
      <w:b/>
      <w:kern w:val="2"/>
      <w:sz w:val="20"/>
    </w:rPr>
  </w:style>
  <w:style w:type="character" w:customStyle="1" w:styleId="86">
    <w:name w:val="文档结构图 字符"/>
    <w:basedOn w:val="60"/>
    <w:link w:val="19"/>
    <w:semiHidden/>
    <w:qFormat/>
    <w:locked/>
    <w:uiPriority w:val="99"/>
    <w:rPr>
      <w:rFonts w:eastAsia="楷体_GB2312" w:cs="Times New Roman"/>
      <w:sz w:val="2"/>
    </w:rPr>
  </w:style>
  <w:style w:type="character" w:customStyle="1" w:styleId="87">
    <w:name w:val="正文文本 字符"/>
    <w:basedOn w:val="60"/>
    <w:link w:val="24"/>
    <w:qFormat/>
    <w:locked/>
    <w:uiPriority w:val="0"/>
    <w:rPr>
      <w:rFonts w:eastAsia="楷体_GB2312" w:cs="Times New Roman"/>
      <w:sz w:val="20"/>
    </w:rPr>
  </w:style>
  <w:style w:type="character" w:customStyle="1" w:styleId="88">
    <w:name w:val="正文文本缩进 字符"/>
    <w:basedOn w:val="60"/>
    <w:link w:val="3"/>
    <w:qFormat/>
    <w:locked/>
    <w:uiPriority w:val="0"/>
    <w:rPr>
      <w:rFonts w:ascii="方正仿宋简体" w:hAnsi="创艺简仿宋" w:eastAsia="方正仿宋简体" w:cs="Times New Roman"/>
      <w:kern w:val="2"/>
      <w:sz w:val="24"/>
      <w:lang w:val="en-US" w:eastAsia="zh-CN"/>
    </w:rPr>
  </w:style>
  <w:style w:type="character" w:customStyle="1" w:styleId="89">
    <w:name w:val="纯文本 字符"/>
    <w:basedOn w:val="60"/>
    <w:link w:val="28"/>
    <w:qFormat/>
    <w:locked/>
    <w:uiPriority w:val="0"/>
    <w:rPr>
      <w:rFonts w:ascii="宋体" w:hAnsi="Courier New" w:eastAsia="楷体_GB2312" w:cs="Times New Roman"/>
      <w:kern w:val="2"/>
      <w:sz w:val="26"/>
      <w:lang w:val="en-US" w:eastAsia="zh-CN"/>
    </w:rPr>
  </w:style>
  <w:style w:type="character" w:customStyle="1" w:styleId="90">
    <w:name w:val="日期 字符"/>
    <w:basedOn w:val="60"/>
    <w:link w:val="31"/>
    <w:qFormat/>
    <w:locked/>
    <w:uiPriority w:val="0"/>
    <w:rPr>
      <w:rFonts w:eastAsia="楷体_GB2312" w:cs="Times New Roman"/>
      <w:sz w:val="20"/>
    </w:rPr>
  </w:style>
  <w:style w:type="character" w:customStyle="1" w:styleId="91">
    <w:name w:val="正文文本缩进 2 字符"/>
    <w:basedOn w:val="60"/>
    <w:link w:val="32"/>
    <w:semiHidden/>
    <w:qFormat/>
    <w:locked/>
    <w:uiPriority w:val="99"/>
    <w:rPr>
      <w:rFonts w:eastAsia="楷体_GB2312" w:cs="Times New Roman"/>
      <w:sz w:val="20"/>
    </w:rPr>
  </w:style>
  <w:style w:type="character" w:customStyle="1" w:styleId="92">
    <w:name w:val="批注框文本 字符"/>
    <w:basedOn w:val="60"/>
    <w:link w:val="34"/>
    <w:semiHidden/>
    <w:qFormat/>
    <w:locked/>
    <w:uiPriority w:val="99"/>
    <w:rPr>
      <w:rFonts w:eastAsia="楷体_GB2312" w:cs="Times New Roman"/>
      <w:sz w:val="2"/>
    </w:rPr>
  </w:style>
  <w:style w:type="character" w:customStyle="1" w:styleId="93">
    <w:name w:val="页脚 字符"/>
    <w:basedOn w:val="60"/>
    <w:link w:val="35"/>
    <w:qFormat/>
    <w:locked/>
    <w:uiPriority w:val="0"/>
    <w:rPr>
      <w:rFonts w:eastAsia="楷体_GB2312" w:cs="Times New Roman"/>
      <w:sz w:val="18"/>
    </w:rPr>
  </w:style>
  <w:style w:type="character" w:customStyle="1" w:styleId="94">
    <w:name w:val="页眉 字符"/>
    <w:basedOn w:val="60"/>
    <w:link w:val="36"/>
    <w:qFormat/>
    <w:locked/>
    <w:uiPriority w:val="99"/>
    <w:rPr>
      <w:rFonts w:eastAsia="楷体_GB2312" w:cs="Times New Roman"/>
      <w:kern w:val="2"/>
      <w:sz w:val="18"/>
    </w:rPr>
  </w:style>
  <w:style w:type="character" w:customStyle="1" w:styleId="95">
    <w:name w:val="脚注文本 字符"/>
    <w:basedOn w:val="60"/>
    <w:link w:val="42"/>
    <w:semiHidden/>
    <w:qFormat/>
    <w:locked/>
    <w:uiPriority w:val="99"/>
    <w:rPr>
      <w:rFonts w:eastAsia="楷体_GB2312" w:cs="Times New Roman"/>
      <w:sz w:val="18"/>
    </w:rPr>
  </w:style>
  <w:style w:type="character" w:customStyle="1" w:styleId="96">
    <w:name w:val="正文文本缩进 3 字符"/>
    <w:basedOn w:val="60"/>
    <w:link w:val="44"/>
    <w:qFormat/>
    <w:locked/>
    <w:uiPriority w:val="0"/>
    <w:rPr>
      <w:rFonts w:eastAsia="楷体_GB2312" w:cs="Times New Roman"/>
      <w:sz w:val="16"/>
    </w:rPr>
  </w:style>
  <w:style w:type="character" w:customStyle="1" w:styleId="97">
    <w:name w:val="HTML 预设格式 字符"/>
    <w:basedOn w:val="60"/>
    <w:link w:val="51"/>
    <w:semiHidden/>
    <w:qFormat/>
    <w:locked/>
    <w:uiPriority w:val="99"/>
    <w:rPr>
      <w:rFonts w:ascii="Courier New" w:hAnsi="Courier New" w:eastAsia="楷体_GB2312" w:cs="Times New Roman"/>
      <w:sz w:val="20"/>
    </w:rPr>
  </w:style>
  <w:style w:type="character" w:customStyle="1" w:styleId="98">
    <w:name w:val="标题 字符"/>
    <w:basedOn w:val="60"/>
    <w:link w:val="54"/>
    <w:qFormat/>
    <w:locked/>
    <w:uiPriority w:val="0"/>
    <w:rPr>
      <w:rFonts w:ascii="Cambria" w:hAnsi="Cambria" w:cs="Times New Roman"/>
      <w:b/>
      <w:bCs/>
      <w:sz w:val="32"/>
      <w:szCs w:val="32"/>
    </w:rPr>
  </w:style>
  <w:style w:type="paragraph" w:customStyle="1" w:styleId="99">
    <w:name w:val="列出段落1"/>
    <w:basedOn w:val="1"/>
    <w:qFormat/>
    <w:uiPriority w:val="99"/>
    <w:pPr>
      <w:ind w:firstLine="420" w:firstLineChars="200"/>
    </w:pPr>
    <w:rPr>
      <w:rFonts w:eastAsia="宋体"/>
      <w:sz w:val="21"/>
      <w:szCs w:val="24"/>
    </w:rPr>
  </w:style>
  <w:style w:type="paragraph" w:customStyle="1" w:styleId="100">
    <w:name w:val="Char"/>
    <w:basedOn w:val="1"/>
    <w:qFormat/>
    <w:uiPriority w:val="99"/>
    <w:pPr>
      <w:widowControl/>
      <w:spacing w:line="240" w:lineRule="exact"/>
      <w:jc w:val="left"/>
    </w:pPr>
    <w:rPr>
      <w:rFonts w:ascii="Verdana" w:hAnsi="Verdana" w:eastAsia="宋体"/>
      <w:kern w:val="0"/>
      <w:sz w:val="21"/>
      <w:lang w:eastAsia="en-US"/>
    </w:rPr>
  </w:style>
  <w:style w:type="paragraph" w:customStyle="1" w:styleId="101">
    <w:name w:val="纯文本1"/>
    <w:basedOn w:val="1"/>
    <w:qFormat/>
    <w:uiPriority w:val="99"/>
    <w:pPr>
      <w:adjustRightInd w:val="0"/>
      <w:textAlignment w:val="baseline"/>
    </w:pPr>
    <w:rPr>
      <w:rFonts w:ascii="宋体" w:hAnsi="Courier New"/>
      <w:sz w:val="28"/>
    </w:rPr>
  </w:style>
  <w:style w:type="paragraph" w:customStyle="1" w:styleId="102">
    <w:name w:val="图"/>
    <w:basedOn w:val="1"/>
    <w:qFormat/>
    <w:uiPriority w:val="99"/>
    <w:pPr>
      <w:keepNext/>
      <w:adjustRightInd w:val="0"/>
      <w:spacing w:line="300" w:lineRule="auto"/>
      <w:jc w:val="center"/>
      <w:textAlignment w:val="center"/>
    </w:pPr>
    <w:rPr>
      <w:rFonts w:eastAsia="宋体"/>
      <w:spacing w:val="20"/>
      <w:kern w:val="0"/>
      <w:sz w:val="24"/>
    </w:rPr>
  </w:style>
  <w:style w:type="paragraph" w:customStyle="1" w:styleId="103">
    <w:name w:val="Char Char1 Char Char Char Char"/>
    <w:basedOn w:val="19"/>
    <w:qFormat/>
    <w:uiPriority w:val="99"/>
    <w:pPr>
      <w:adjustRightInd w:val="0"/>
      <w:snapToGrid w:val="0"/>
      <w:spacing w:line="360" w:lineRule="auto"/>
    </w:pPr>
    <w:rPr>
      <w:rFonts w:ascii="Tahoma" w:hAnsi="Tahoma" w:eastAsia="宋体"/>
      <w:sz w:val="24"/>
      <w:szCs w:val="24"/>
    </w:rPr>
  </w:style>
  <w:style w:type="paragraph" w:customStyle="1" w:styleId="104">
    <w:name w:val="纯文本2"/>
    <w:basedOn w:val="1"/>
    <w:qFormat/>
    <w:uiPriority w:val="99"/>
    <w:pPr>
      <w:adjustRightInd w:val="0"/>
      <w:textAlignment w:val="baseline"/>
    </w:pPr>
    <w:rPr>
      <w:rFonts w:ascii="宋体" w:hAnsi="Courier New"/>
    </w:rPr>
  </w:style>
  <w:style w:type="paragraph" w:customStyle="1" w:styleId="105">
    <w:name w:val="_Style 1"/>
    <w:basedOn w:val="1"/>
    <w:qFormat/>
    <w:uiPriority w:val="99"/>
    <w:pPr>
      <w:ind w:firstLine="420" w:firstLineChars="200"/>
    </w:pPr>
  </w:style>
  <w:style w:type="paragraph" w:customStyle="1" w:styleId="106">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7">
    <w:name w:val="Char1"/>
    <w:basedOn w:val="1"/>
    <w:qFormat/>
    <w:uiPriority w:val="99"/>
    <w:rPr>
      <w:rFonts w:ascii="Tahoma" w:hAnsi="Tahoma" w:eastAsia="宋体"/>
      <w:sz w:val="24"/>
    </w:rPr>
  </w:style>
  <w:style w:type="character" w:customStyle="1" w:styleId="108">
    <w:name w:val="bds_more5"/>
    <w:qFormat/>
    <w:uiPriority w:val="99"/>
  </w:style>
  <w:style w:type="character" w:customStyle="1" w:styleId="109">
    <w:name w:val="noused"/>
    <w:qFormat/>
    <w:uiPriority w:val="99"/>
    <w:rPr>
      <w:b/>
      <w:color w:val="FFFFFF"/>
      <w:sz w:val="21"/>
    </w:rPr>
  </w:style>
  <w:style w:type="character" w:customStyle="1" w:styleId="110">
    <w:name w:val="正文缩进 字符"/>
    <w:link w:val="10"/>
    <w:qFormat/>
    <w:locked/>
    <w:uiPriority w:val="0"/>
    <w:rPr>
      <w:rFonts w:eastAsia="楷体_GB2312"/>
      <w:kern w:val="2"/>
      <w:sz w:val="24"/>
      <w:lang w:val="en-US" w:eastAsia="zh-CN"/>
    </w:rPr>
  </w:style>
  <w:style w:type="character" w:customStyle="1" w:styleId="111">
    <w:name w:val="Char Char2"/>
    <w:qFormat/>
    <w:uiPriority w:val="99"/>
    <w:rPr>
      <w:rFonts w:ascii="宋体" w:hAnsi="宋体" w:eastAsia="楷体_GB2312"/>
      <w:b/>
      <w:kern w:val="2"/>
      <w:sz w:val="26"/>
      <w:lang w:val="en-US" w:eastAsia="zh-CN"/>
    </w:rPr>
  </w:style>
  <w:style w:type="character" w:customStyle="1" w:styleId="112">
    <w:name w:val="bds_nopic1"/>
    <w:qFormat/>
    <w:uiPriority w:val="99"/>
  </w:style>
  <w:style w:type="character" w:customStyle="1" w:styleId="113">
    <w:name w:val="state"/>
    <w:qFormat/>
    <w:uiPriority w:val="99"/>
    <w:rPr>
      <w:b/>
      <w:color w:val="FFFFFF"/>
      <w:sz w:val="19"/>
    </w:rPr>
  </w:style>
  <w:style w:type="character" w:customStyle="1" w:styleId="114">
    <w:name w:val="bds_more6"/>
    <w:qFormat/>
    <w:uiPriority w:val="99"/>
  </w:style>
  <w:style w:type="character" w:customStyle="1" w:styleId="115">
    <w:name w:val="active"/>
    <w:qFormat/>
    <w:uiPriority w:val="99"/>
    <w:rPr>
      <w:color w:val="00FF00"/>
      <w:shd w:val="clear" w:color="auto" w:fill="000000"/>
    </w:rPr>
  </w:style>
  <w:style w:type="character" w:customStyle="1" w:styleId="116">
    <w:name w:val="bds_nopic2"/>
    <w:qFormat/>
    <w:uiPriority w:val="99"/>
  </w:style>
  <w:style w:type="character" w:customStyle="1" w:styleId="117">
    <w:name w:val="hilite6"/>
    <w:qFormat/>
    <w:uiPriority w:val="99"/>
    <w:rPr>
      <w:color w:val="FFFFFF"/>
      <w:shd w:val="clear" w:color="auto" w:fill="776666"/>
    </w:rPr>
  </w:style>
  <w:style w:type="character" w:customStyle="1" w:styleId="118">
    <w:name w:val="active8"/>
    <w:qFormat/>
    <w:uiPriority w:val="99"/>
    <w:rPr>
      <w:color w:val="00FF00"/>
      <w:shd w:val="clear" w:color="auto" w:fill="000000"/>
    </w:rPr>
  </w:style>
  <w:style w:type="character" w:customStyle="1" w:styleId="119">
    <w:name w:val="bds_more8"/>
    <w:qFormat/>
    <w:uiPriority w:val="99"/>
    <w:rPr>
      <w:rFonts w:ascii="宋体" w:hAnsi="宋体" w:eastAsia="宋体"/>
    </w:rPr>
  </w:style>
  <w:style w:type="character" w:customStyle="1" w:styleId="120">
    <w:name w:val="other"/>
    <w:qFormat/>
    <w:uiPriority w:val="99"/>
  </w:style>
  <w:style w:type="character" w:customStyle="1" w:styleId="121">
    <w:name w:val="hover61"/>
    <w:qFormat/>
    <w:uiPriority w:val="99"/>
    <w:rPr>
      <w:shd w:val="clear" w:color="auto" w:fill="FF0000"/>
    </w:rPr>
  </w:style>
  <w:style w:type="character" w:customStyle="1" w:styleId="122">
    <w:name w:val="bsharetext"/>
    <w:qFormat/>
    <w:uiPriority w:val="99"/>
  </w:style>
  <w:style w:type="character" w:customStyle="1" w:styleId="123">
    <w:name w:val="bds_nopic"/>
    <w:qFormat/>
    <w:uiPriority w:val="99"/>
  </w:style>
  <w:style w:type="character" w:customStyle="1" w:styleId="124">
    <w:name w:val="grid2"/>
    <w:qFormat/>
    <w:uiPriority w:val="99"/>
  </w:style>
  <w:style w:type="character" w:customStyle="1" w:styleId="125">
    <w:name w:val="hilite"/>
    <w:qFormat/>
    <w:uiPriority w:val="99"/>
    <w:rPr>
      <w:color w:val="FFFFFF"/>
      <w:shd w:val="clear" w:color="auto" w:fill="776666"/>
    </w:rPr>
  </w:style>
  <w:style w:type="character" w:customStyle="1" w:styleId="126">
    <w:name w:val="bds_more4"/>
    <w:qFormat/>
    <w:uiPriority w:val="99"/>
    <w:rPr>
      <w:rFonts w:ascii="宋体" w:hAnsi="宋体" w:eastAsia="宋体"/>
    </w:rPr>
  </w:style>
  <w:style w:type="character" w:customStyle="1" w:styleId="127">
    <w:name w:val="bds_more7"/>
    <w:qFormat/>
    <w:uiPriority w:val="99"/>
  </w:style>
  <w:style w:type="character" w:customStyle="1" w:styleId="128">
    <w:name w:val="grid"/>
    <w:qFormat/>
    <w:uiPriority w:val="99"/>
  </w:style>
  <w:style w:type="paragraph" w:customStyle="1" w:styleId="129">
    <w:name w:val="纯文本3"/>
    <w:basedOn w:val="1"/>
    <w:qFormat/>
    <w:uiPriority w:val="99"/>
    <w:pPr>
      <w:adjustRightInd w:val="0"/>
      <w:textAlignment w:val="baseline"/>
    </w:pPr>
    <w:rPr>
      <w:rFonts w:ascii="宋体" w:hAnsi="Courier New"/>
    </w:rPr>
  </w:style>
  <w:style w:type="paragraph" w:customStyle="1" w:styleId="130">
    <w:name w:val="正文文字3"/>
    <w:basedOn w:val="24"/>
    <w:qFormat/>
    <w:uiPriority w:val="0"/>
    <w:pPr>
      <w:ind w:left="30" w:leftChars="30" w:right="30" w:rightChars="30"/>
    </w:pPr>
  </w:style>
  <w:style w:type="paragraph" w:customStyle="1" w:styleId="131">
    <w:name w:val="flNote"/>
    <w:basedOn w:val="1"/>
    <w:qFormat/>
    <w:uiPriority w:val="0"/>
    <w:pPr>
      <w:spacing w:before="320" w:after="160"/>
      <w:jc w:val="center"/>
    </w:pPr>
    <w:rPr>
      <w:rFonts w:ascii="Arial" w:eastAsia="黑体"/>
      <w:sz w:val="30"/>
    </w:rPr>
  </w:style>
  <w:style w:type="paragraph" w:customStyle="1" w:styleId="132">
    <w:name w:val="Plain Text1"/>
    <w:basedOn w:val="1"/>
    <w:qFormat/>
    <w:uiPriority w:val="99"/>
    <w:rPr>
      <w:rFonts w:ascii="宋体" w:hAnsi="Courier New"/>
      <w:sz w:val="28"/>
    </w:rPr>
  </w:style>
  <w:style w:type="paragraph" w:customStyle="1" w:styleId="133">
    <w:name w:val="标题 2 + 黑色 行距: 1.5 倍行距"/>
    <w:basedOn w:val="6"/>
    <w:qFormat/>
    <w:uiPriority w:val="99"/>
    <w:pPr>
      <w:spacing w:line="360" w:lineRule="auto"/>
    </w:pPr>
    <w:rPr>
      <w:rFonts w:eastAsia="宋体" w:cs="宋体"/>
      <w:color w:val="000000"/>
    </w:rPr>
  </w:style>
  <w:style w:type="character" w:customStyle="1" w:styleId="134">
    <w:name w:val="font11"/>
    <w:basedOn w:val="60"/>
    <w:qFormat/>
    <w:uiPriority w:val="0"/>
    <w:rPr>
      <w:rFonts w:hint="eastAsia" w:ascii="宋体" w:hAnsi="宋体" w:eastAsia="宋体" w:cs="宋体"/>
      <w:color w:val="000000"/>
      <w:sz w:val="24"/>
      <w:szCs w:val="24"/>
      <w:u w:val="none"/>
    </w:rPr>
  </w:style>
  <w:style w:type="paragraph" w:styleId="135">
    <w:name w:val="List Paragraph"/>
    <w:basedOn w:val="1"/>
    <w:unhideWhenUsed/>
    <w:qFormat/>
    <w:uiPriority w:val="99"/>
    <w:pPr>
      <w:ind w:firstLine="420" w:firstLineChars="200"/>
    </w:pPr>
  </w:style>
  <w:style w:type="character" w:customStyle="1" w:styleId="136">
    <w:name w:val="flName Char"/>
    <w:qFormat/>
    <w:uiPriority w:val="0"/>
    <w:rPr>
      <w:rFonts w:ascii="Arial" w:hAnsi="Arial" w:eastAsia="黑体"/>
      <w:sz w:val="32"/>
      <w:lang w:val="en-US" w:eastAsia="zh-CN"/>
    </w:rPr>
  </w:style>
  <w:style w:type="character" w:customStyle="1" w:styleId="137">
    <w:name w:val="样式 宋体"/>
    <w:qFormat/>
    <w:uiPriority w:val="0"/>
    <w:rPr>
      <w:rFonts w:ascii="宋体" w:hAnsi="宋体" w:eastAsia="宋体"/>
      <w:sz w:val="24"/>
      <w:szCs w:val="24"/>
    </w:rPr>
  </w:style>
  <w:style w:type="character" w:customStyle="1" w:styleId="138">
    <w:name w:val="style81"/>
    <w:qFormat/>
    <w:uiPriority w:val="0"/>
    <w:rPr>
      <w:b/>
      <w:bCs/>
      <w:color w:val="666666"/>
      <w:sz w:val="21"/>
      <w:szCs w:val="21"/>
    </w:rPr>
  </w:style>
  <w:style w:type="character" w:customStyle="1" w:styleId="139">
    <w:name w:val="尾注文本 Char"/>
    <w:qFormat/>
    <w:uiPriority w:val="0"/>
    <w:rPr>
      <w:sz w:val="24"/>
    </w:rPr>
  </w:style>
  <w:style w:type="character" w:customStyle="1" w:styleId="140">
    <w:name w:val="正文1 Char"/>
    <w:qFormat/>
    <w:uiPriority w:val="0"/>
    <w:rPr>
      <w:rFonts w:ascii="宋体" w:hAnsi="宋体" w:eastAsia="宋体"/>
      <w:b/>
      <w:kern w:val="2"/>
      <w:sz w:val="24"/>
      <w:szCs w:val="24"/>
      <w:lang w:val="en-US" w:eastAsia="zh-CN" w:bidi="ar-SA"/>
    </w:rPr>
  </w:style>
  <w:style w:type="character" w:customStyle="1" w:styleId="141">
    <w:name w:val="正文首行缩进 Char"/>
    <w:basedOn w:val="87"/>
    <w:qFormat/>
    <w:uiPriority w:val="0"/>
    <w:rPr>
      <w:rFonts w:eastAsia="楷体_GB2312" w:cs="Times New Roman"/>
      <w:sz w:val="21"/>
    </w:rPr>
  </w:style>
  <w:style w:type="character" w:customStyle="1" w:styleId="142">
    <w:name w:val="standdate1"/>
    <w:qFormat/>
    <w:uiPriority w:val="0"/>
    <w:rPr>
      <w:rFonts w:ascii="黑体" w:eastAsia="黑体"/>
      <w:color w:val="auto"/>
      <w:sz w:val="24"/>
      <w:u w:val="none"/>
    </w:rPr>
  </w:style>
  <w:style w:type="character" w:customStyle="1" w:styleId="143">
    <w:name w:val="正文首行缩进 2 Char"/>
    <w:basedOn w:val="88"/>
    <w:qFormat/>
    <w:uiPriority w:val="0"/>
    <w:rPr>
      <w:rFonts w:ascii="方正仿宋简体" w:hAnsi="创艺简仿宋" w:eastAsia="方正仿宋简体" w:cs="Times New Roman"/>
      <w:kern w:val="2"/>
      <w:sz w:val="28"/>
      <w:lang w:val="en-US" w:eastAsia="zh-CN"/>
    </w:rPr>
  </w:style>
  <w:style w:type="character" w:customStyle="1" w:styleId="144">
    <w:name w:val="正文文本 2 字符"/>
    <w:basedOn w:val="60"/>
    <w:link w:val="50"/>
    <w:qFormat/>
    <w:uiPriority w:val="0"/>
    <w:rPr>
      <w:rFonts w:ascii="仿宋_GB2312" w:eastAsia="仿宋_GB2312"/>
      <w:sz w:val="24"/>
      <w:szCs w:val="24"/>
    </w:rPr>
  </w:style>
  <w:style w:type="character" w:customStyle="1" w:styleId="145">
    <w:name w:val="正文文本 3 字符"/>
    <w:basedOn w:val="60"/>
    <w:link w:val="23"/>
    <w:qFormat/>
    <w:uiPriority w:val="0"/>
    <w:rPr>
      <w:color w:val="FF0000"/>
      <w:sz w:val="21"/>
      <w:szCs w:val="21"/>
    </w:rPr>
  </w:style>
  <w:style w:type="character" w:customStyle="1" w:styleId="146">
    <w:name w:val="正文文本首行缩进 字符"/>
    <w:basedOn w:val="87"/>
    <w:link w:val="56"/>
    <w:semiHidden/>
    <w:qFormat/>
    <w:uiPriority w:val="99"/>
    <w:rPr>
      <w:rFonts w:eastAsia="楷体_GB2312" w:cs="Times New Roman"/>
      <w:kern w:val="2"/>
      <w:sz w:val="26"/>
    </w:rPr>
  </w:style>
  <w:style w:type="character" w:customStyle="1" w:styleId="147">
    <w:name w:val="副标题 字符"/>
    <w:basedOn w:val="60"/>
    <w:link w:val="41"/>
    <w:qFormat/>
    <w:uiPriority w:val="0"/>
    <w:rPr>
      <w:rFonts w:ascii="Arial" w:hAnsi="Arial" w:eastAsia="黑体"/>
      <w:i/>
      <w:sz w:val="24"/>
    </w:rPr>
  </w:style>
  <w:style w:type="paragraph" w:customStyle="1" w:styleId="148">
    <w:name w:val="flName"/>
    <w:basedOn w:val="131"/>
    <w:qFormat/>
    <w:uiPriority w:val="0"/>
    <w:pPr>
      <w:adjustRightInd w:val="0"/>
      <w:spacing w:line="360" w:lineRule="atLeast"/>
      <w:textAlignment w:val="baseline"/>
    </w:pPr>
    <w:rPr>
      <w:rFonts w:hAnsi="Arial"/>
      <w:kern w:val="0"/>
      <w:sz w:val="32"/>
    </w:rPr>
  </w:style>
  <w:style w:type="paragraph" w:customStyle="1" w:styleId="149">
    <w:name w:val="Char Char1 Char"/>
    <w:basedOn w:val="1"/>
    <w:qFormat/>
    <w:uiPriority w:val="0"/>
    <w:rPr>
      <w:rFonts w:eastAsia="宋体"/>
      <w:sz w:val="24"/>
      <w:szCs w:val="24"/>
    </w:rPr>
  </w:style>
  <w:style w:type="character" w:customStyle="1" w:styleId="150">
    <w:name w:val="尾注文本 字符"/>
    <w:basedOn w:val="60"/>
    <w:link w:val="33"/>
    <w:semiHidden/>
    <w:qFormat/>
    <w:uiPriority w:val="99"/>
    <w:rPr>
      <w:rFonts w:eastAsia="楷体_GB2312"/>
      <w:kern w:val="2"/>
      <w:sz w:val="26"/>
    </w:rPr>
  </w:style>
  <w:style w:type="character" w:customStyle="1" w:styleId="151">
    <w:name w:val="正文文本首行缩进 2 字符"/>
    <w:basedOn w:val="88"/>
    <w:link w:val="57"/>
    <w:semiHidden/>
    <w:qFormat/>
    <w:uiPriority w:val="99"/>
    <w:rPr>
      <w:rFonts w:ascii="方正仿宋简体" w:hAnsi="创艺简仿宋" w:eastAsia="楷体_GB2312" w:cs="Times New Roman"/>
      <w:kern w:val="2"/>
      <w:sz w:val="26"/>
      <w:lang w:val="en-US" w:eastAsia="zh-CN"/>
    </w:rPr>
  </w:style>
  <w:style w:type="paragraph" w:customStyle="1" w:styleId="152">
    <w:name w:val="TOC 标题1"/>
    <w:basedOn w:val="5"/>
    <w:next w:val="1"/>
    <w:qFormat/>
    <w:uiPriority w:val="39"/>
    <w:pPr>
      <w:widowControl/>
      <w:tabs>
        <w:tab w:val="left" w:pos="360"/>
      </w:tabs>
      <w:spacing w:before="480" w:line="276" w:lineRule="auto"/>
      <w:jc w:val="left"/>
      <w:outlineLvl w:val="9"/>
    </w:pPr>
    <w:rPr>
      <w:rFonts w:ascii="Cambria" w:hAnsi="Cambria" w:eastAsia="宋体"/>
      <w:color w:val="365F91"/>
      <w:kern w:val="0"/>
      <w:sz w:val="28"/>
      <w:szCs w:val="28"/>
    </w:rPr>
  </w:style>
  <w:style w:type="paragraph" w:customStyle="1" w:styleId="153">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54">
    <w:name w:val="样式 标题 2b2节标题 1.11.1标题2 + 宋体 五号 段前: 6 磅 段后: 0 磅 行距: 1.5 倍行距"/>
    <w:basedOn w:val="6"/>
    <w:qFormat/>
    <w:uiPriority w:val="0"/>
    <w:pPr>
      <w:tabs>
        <w:tab w:val="left" w:pos="928"/>
      </w:tabs>
      <w:overflowPunct/>
      <w:spacing w:before="260" w:after="260" w:line="360" w:lineRule="auto"/>
    </w:pPr>
    <w:rPr>
      <w:rFonts w:eastAsia="宋体" w:cs="宋体"/>
      <w:bCs/>
      <w:kern w:val="0"/>
      <w:sz w:val="24"/>
      <w:szCs w:val="24"/>
    </w:rPr>
  </w:style>
  <w:style w:type="paragraph" w:customStyle="1" w:styleId="155">
    <w:name w:val="font0"/>
    <w:basedOn w:val="1"/>
    <w:qFormat/>
    <w:uiPriority w:val="0"/>
    <w:pPr>
      <w:widowControl/>
      <w:spacing w:before="100" w:after="100"/>
      <w:jc w:val="left"/>
    </w:pPr>
    <w:rPr>
      <w:rFonts w:ascii="宋体" w:hAnsi="宋体" w:eastAsia="宋体"/>
      <w:kern w:val="0"/>
      <w:sz w:val="24"/>
    </w:rPr>
  </w:style>
  <w:style w:type="paragraph" w:customStyle="1" w:styleId="156">
    <w:name w:val="Char2"/>
    <w:basedOn w:val="19"/>
    <w:next w:val="1"/>
    <w:qFormat/>
    <w:uiPriority w:val="0"/>
    <w:rPr>
      <w:rFonts w:ascii="Tahoma" w:hAnsi="Tahoma" w:eastAsia="宋体"/>
      <w:kern w:val="2"/>
      <w:sz w:val="24"/>
      <w:szCs w:val="24"/>
    </w:rPr>
  </w:style>
  <w:style w:type="paragraph" w:customStyle="1" w:styleId="157">
    <w:name w:val="standdate"/>
    <w:basedOn w:val="35"/>
    <w:qFormat/>
    <w:uiPriority w:val="0"/>
    <w:pPr>
      <w:pBdr>
        <w:top w:val="single" w:color="auto" w:sz="6" w:space="7"/>
      </w:pBdr>
      <w:adjustRightInd w:val="0"/>
      <w:snapToGrid/>
      <w:spacing w:line="240" w:lineRule="atLeast"/>
      <w:jc w:val="center"/>
      <w:textAlignment w:val="center"/>
    </w:pPr>
    <w:rPr>
      <w:rFonts w:ascii="黑体" w:eastAsia="黑体"/>
      <w:b/>
      <w:spacing w:val="-4"/>
      <w:sz w:val="21"/>
      <w:szCs w:val="20"/>
    </w:rPr>
  </w:style>
  <w:style w:type="paragraph" w:customStyle="1" w:styleId="158">
    <w:name w:val="标题 10 + 小四"/>
    <w:basedOn w:val="5"/>
    <w:qFormat/>
    <w:uiPriority w:val="0"/>
    <w:pPr>
      <w:widowControl/>
      <w:tabs>
        <w:tab w:val="left" w:pos="360"/>
      </w:tabs>
      <w:spacing w:before="340" w:after="330" w:line="360" w:lineRule="auto"/>
      <w:jc w:val="left"/>
    </w:pPr>
    <w:rPr>
      <w:rFonts w:eastAsia="宋体"/>
      <w:sz w:val="24"/>
      <w:szCs w:val="24"/>
    </w:rPr>
  </w:style>
  <w:style w:type="paragraph" w:customStyle="1" w:styleId="159">
    <w:name w:val="Char3"/>
    <w:basedOn w:val="1"/>
    <w:qFormat/>
    <w:uiPriority w:val="0"/>
    <w:rPr>
      <w:rFonts w:eastAsia="宋体"/>
      <w:sz w:val="21"/>
      <w:szCs w:val="24"/>
    </w:rPr>
  </w:style>
  <w:style w:type="paragraph" w:customStyle="1" w:styleId="160">
    <w:name w:val="样式 标题 2 + 黑色 行距: 1.5 倍行距"/>
    <w:basedOn w:val="6"/>
    <w:qFormat/>
    <w:uiPriority w:val="0"/>
    <w:pPr>
      <w:tabs>
        <w:tab w:val="left" w:pos="928"/>
      </w:tabs>
      <w:overflowPunct/>
      <w:adjustRightInd/>
      <w:spacing w:before="260" w:after="260" w:line="360" w:lineRule="auto"/>
      <w:jc w:val="both"/>
      <w:textAlignment w:val="auto"/>
    </w:pPr>
    <w:rPr>
      <w:rFonts w:ascii="Arial" w:hAnsi="Arial" w:eastAsia="宋体" w:cs="宋体"/>
      <w:color w:val="000000"/>
      <w:sz w:val="32"/>
    </w:rPr>
  </w:style>
  <w:style w:type="paragraph" w:customStyle="1" w:styleId="161">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2">
    <w:name w:val="注"/>
    <w:basedOn w:val="1"/>
    <w:qFormat/>
    <w:uiPriority w:val="0"/>
    <w:pPr>
      <w:adjustRightInd w:val="0"/>
      <w:spacing w:line="360" w:lineRule="atLeast"/>
      <w:ind w:left="840" w:hanging="420"/>
      <w:textAlignment w:val="baseline"/>
    </w:pPr>
    <w:rPr>
      <w:rFonts w:eastAsia="宋体"/>
      <w:kern w:val="0"/>
      <w:sz w:val="21"/>
    </w:rPr>
  </w:style>
  <w:style w:type="paragraph" w:customStyle="1" w:styleId="163">
    <w:name w:val="正文文字2"/>
    <w:basedOn w:val="24"/>
    <w:qFormat/>
    <w:uiPriority w:val="0"/>
    <w:pPr>
      <w:adjustRightInd w:val="0"/>
      <w:spacing w:after="60" w:line="360" w:lineRule="atLeast"/>
      <w:ind w:left="30" w:leftChars="30" w:right="30" w:rightChars="30"/>
      <w:jc w:val="center"/>
      <w:textAlignment w:val="baseline"/>
    </w:pPr>
    <w:rPr>
      <w:rFonts w:ascii="Arial" w:hAnsi="Arial" w:eastAsia="黑体"/>
      <w:sz w:val="21"/>
    </w:rPr>
  </w:style>
  <w:style w:type="paragraph" w:customStyle="1" w:styleId="164">
    <w:name w:val="flType"/>
    <w:basedOn w:val="148"/>
    <w:qFormat/>
    <w:uiPriority w:val="0"/>
    <w:pPr>
      <w:spacing w:before="560" w:after="120"/>
    </w:pPr>
    <w:rPr>
      <w:sz w:val="28"/>
    </w:rPr>
  </w:style>
  <w:style w:type="paragraph" w:customStyle="1" w:styleId="165">
    <w:name w:val="字元 字元"/>
    <w:basedOn w:val="1"/>
    <w:qFormat/>
    <w:uiPriority w:val="0"/>
    <w:rPr>
      <w:rFonts w:eastAsia="宋体"/>
      <w:sz w:val="21"/>
      <w:szCs w:val="24"/>
    </w:rPr>
  </w:style>
  <w:style w:type="paragraph" w:customStyle="1" w:styleId="166">
    <w:name w:val="修订1"/>
    <w:hidden/>
    <w:unhideWhenUsed/>
    <w:qFormat/>
    <w:uiPriority w:val="99"/>
    <w:rPr>
      <w:rFonts w:ascii="Times New Roman" w:hAnsi="Times New Roman" w:eastAsia="楷体_GB2312" w:cs="Times New Roman"/>
      <w:kern w:val="2"/>
      <w:sz w:val="26"/>
      <w:lang w:val="en-US" w:eastAsia="zh-CN" w:bidi="ar-SA"/>
    </w:rPr>
  </w:style>
  <w:style w:type="character" w:customStyle="1" w:styleId="167">
    <w:name w:val="Variable"/>
    <w:qFormat/>
    <w:uiPriority w:val="0"/>
    <w:rPr>
      <w:i/>
    </w:rPr>
  </w:style>
  <w:style w:type="paragraph" w:customStyle="1" w:styleId="16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169">
    <w:name w:val="正文首行缩进 21"/>
    <w:basedOn w:val="170"/>
    <w:qFormat/>
    <w:uiPriority w:val="0"/>
    <w:pPr>
      <w:ind w:firstLine="200" w:firstLineChars="200"/>
    </w:pPr>
  </w:style>
  <w:style w:type="paragraph" w:customStyle="1" w:styleId="170">
    <w:name w:val="正文文本缩进 New"/>
    <w:basedOn w:val="171"/>
    <w:next w:val="172"/>
    <w:qFormat/>
    <w:uiPriority w:val="0"/>
    <w:pPr>
      <w:ind w:left="420" w:leftChars="200"/>
    </w:pPr>
  </w:style>
  <w:style w:type="paragraph" w:customStyle="1" w:styleId="171">
    <w:name w:val="正文 New"/>
    <w:next w:val="1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2">
    <w:name w:val="寄信人地址 New"/>
    <w:basedOn w:val="171"/>
    <w:qFormat/>
    <w:uiPriority w:val="0"/>
    <w:pPr>
      <w:snapToGrid w:val="0"/>
    </w:pPr>
    <w:rPr>
      <w:rFonts w:ascii="Arial" w:hAnsi="Arial"/>
    </w:rPr>
  </w:style>
  <w:style w:type="paragraph" w:customStyle="1" w:styleId="173">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DB2CEC-0752-4F70-B4C1-E67FAEB72AAE}">
  <ds:schemaRefs/>
</ds:datastoreItem>
</file>

<file path=docProps/app.xml><?xml version="1.0" encoding="utf-8"?>
<Properties xmlns="http://schemas.openxmlformats.org/officeDocument/2006/extended-properties" xmlns:vt="http://schemas.openxmlformats.org/officeDocument/2006/docPropsVTypes">
  <Template>Normal</Template>
  <Pages>42</Pages>
  <Words>21743</Words>
  <Characters>3694</Characters>
  <Lines>30</Lines>
  <Paragraphs>50</Paragraphs>
  <TotalTime>2</TotalTime>
  <ScaleCrop>false</ScaleCrop>
  <LinksUpToDate>false</LinksUpToDate>
  <CharactersWithSpaces>25387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2020-11-26T05:58:00Z</dcterms:created>
  <dc:creator>gt2017020601</dc:creator>
  <cp:lastModifiedBy>gt2017020601</cp:lastModifiedBy>
  <cp:lastPrinted>2021-04-12T07:35:00Z</cp:lastPrinted>
  <dcterms:modified xsi:type="dcterms:W3CDTF">2021-05-13T07:41:27Z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0D79DA58C3D7438694E5CA02FBB48530</vt:lpwstr>
  </property>
</Properties>
</file>