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6"/>
        <w:tabs>
          <w:tab w:val="left" w:pos="420"/>
        </w:tabs>
        <w:spacing w:before="120"/>
        <w:ind w:firstLine="210"/>
      </w:pPr>
    </w:p>
    <w:p>
      <w:pPr>
        <w:tabs>
          <w:tab w:val="left" w:pos="1050"/>
          <w:tab w:val="right" w:leader="dot" w:pos="9402"/>
        </w:tabs>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南通市妇幼保健院</w:t>
      </w:r>
    </w:p>
    <w:p>
      <w:pPr>
        <w:tabs>
          <w:tab w:val="left" w:pos="1050"/>
          <w:tab w:val="right" w:leader="dot" w:pos="9402"/>
        </w:tabs>
        <w:spacing w:after="190" w:afterLines="50"/>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2021-2024年绿植租摆与绿化养护项目</w:t>
      </w:r>
    </w:p>
    <w:p>
      <w:pPr>
        <w:tabs>
          <w:tab w:val="left" w:pos="1050"/>
          <w:tab w:val="right" w:leader="dot" w:pos="9402"/>
        </w:tabs>
        <w:spacing w:line="1600" w:lineRule="exact"/>
        <w:jc w:val="center"/>
        <w:rPr>
          <w:rFonts w:hint="eastAsia" w:ascii="方正小标宋简体" w:hAnsi="Calibri" w:eastAsia="方正小标宋简体"/>
          <w:sz w:val="56"/>
          <w:szCs w:val="56"/>
          <w:lang w:eastAsia="zh-CN"/>
        </w:rPr>
      </w:pPr>
      <w:r>
        <w:rPr>
          <w:rFonts w:hint="eastAsia" w:ascii="方正小标宋简体" w:hAnsi="宋体" w:eastAsia="方正小标宋简体" w:cs="方正小标宋简体"/>
          <w:sz w:val="56"/>
          <w:szCs w:val="56"/>
        </w:rPr>
        <w:t>竞争性磋商文件</w:t>
      </w:r>
      <w:r>
        <w:rPr>
          <w:rFonts w:hint="eastAsia" w:ascii="方正小标宋简体" w:hAnsi="宋体" w:eastAsia="方正小标宋简体" w:cs="方正小标宋简体"/>
          <w:sz w:val="56"/>
          <w:szCs w:val="56"/>
          <w:lang w:eastAsia="zh-CN"/>
        </w:rPr>
        <w:t>（二次）</w:t>
      </w:r>
    </w:p>
    <w:p>
      <w:pPr>
        <w:tabs>
          <w:tab w:val="left" w:pos="1050"/>
          <w:tab w:val="right" w:leader="dot" w:pos="9402"/>
        </w:tabs>
        <w:spacing w:line="520" w:lineRule="exact"/>
        <w:jc w:val="center"/>
        <w:rPr>
          <w:rFonts w:ascii="仿宋_GB2312" w:eastAsia="仿宋_GB2312"/>
          <w:sz w:val="36"/>
          <w:szCs w:val="36"/>
        </w:rPr>
      </w:pPr>
      <w:r>
        <w:rPr>
          <w:rFonts w:hint="eastAsia" w:ascii="宋体" w:hAnsi="宋体" w:eastAsia="宋体" w:cs="宋体"/>
          <w:sz w:val="36"/>
          <w:szCs w:val="36"/>
        </w:rPr>
        <w:t>（资格后审）</w:t>
      </w:r>
    </w:p>
    <w:p>
      <w:pPr>
        <w:jc w:val="center"/>
        <w:rPr>
          <w:rFonts w:ascii="仿宋_GB2312" w:hAnsi="Calibri" w:eastAsia="仿宋_GB2312"/>
          <w:b/>
          <w:bCs/>
          <w:sz w:val="44"/>
          <w:szCs w:val="44"/>
        </w:rPr>
      </w:pP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二〇二一年五月</w:t>
      </w:r>
      <w:r>
        <w:pict>
          <v:shape id="_x0000_s2051" o:spid="_x0000_s2051" o:spt="202" type="#_x0000_t202" style="position:absolute;left:0pt;margin-left:194.6pt;margin-top:40.55pt;height:38pt;width:63.75pt;z-index:251661312;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2336;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r>
        <w:br w:type="page"/>
      </w:r>
    </w:p>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hint="eastAsia" w:asciiTheme="majorEastAsia" w:hAnsiTheme="majorEastAsia" w:eastAsiaTheme="majorEastAsia" w:cstheme="minorEastAsia"/>
          <w:sz w:val="32"/>
          <w:szCs w:val="32"/>
          <w:lang w:eastAsia="zh-CN"/>
        </w:rPr>
      </w:pPr>
      <w:r>
        <w:rPr>
          <w:rFonts w:hint="eastAsia" w:asciiTheme="majorEastAsia" w:hAnsiTheme="majorEastAsia" w:eastAsiaTheme="majorEastAsia" w:cstheme="minorEastAsia"/>
          <w:sz w:val="32"/>
          <w:szCs w:val="32"/>
        </w:rPr>
        <w:t>第六章 合同</w:t>
      </w:r>
      <w:r>
        <w:rPr>
          <w:rFonts w:hint="eastAsia" w:asciiTheme="majorEastAsia" w:hAnsiTheme="majorEastAsia" w:eastAsiaTheme="majorEastAsia" w:cstheme="minorEastAsia"/>
          <w:sz w:val="32"/>
          <w:szCs w:val="32"/>
          <w:lang w:eastAsia="zh-CN"/>
        </w:rPr>
        <w:t>条款</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第七章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第八章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br w:type="page"/>
      </w: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江苏方桂圆工程项目管理有限公司（以下称代理机构）受南通市妇幼保健院（以下称采购单位）的委托，就南通市妇幼保健院2021-2024年绿植租摆与绿化养护项目组织竞争性磋商采购</w:t>
      </w:r>
      <w:r>
        <w:rPr>
          <w:rFonts w:hint="eastAsia" w:cs="宋体" w:asciiTheme="majorEastAsia" w:hAnsiTheme="majorEastAsia" w:eastAsiaTheme="majorEastAsia"/>
          <w:sz w:val="24"/>
          <w:szCs w:val="24"/>
          <w:lang w:eastAsia="zh-CN"/>
        </w:rPr>
        <w:t>（二次）</w:t>
      </w:r>
      <w:r>
        <w:rPr>
          <w:rFonts w:hint="eastAsia" w:cs="宋体" w:asciiTheme="majorEastAsia" w:hAnsiTheme="majorEastAsia" w:eastAsiaTheme="majorEastAsia"/>
          <w:sz w:val="24"/>
          <w:szCs w:val="24"/>
        </w:rPr>
        <w:t>，诚邀符合条件的潜在供应商参加该项目的竞争性磋商。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项目名称：南通市妇幼保健院2021-2024年绿植租摆与绿化养护项目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8.5万元/年</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服务期限：</w:t>
      </w:r>
      <w:r>
        <w:rPr>
          <w:rFonts w:hint="eastAsia" w:cs="宋体" w:asciiTheme="majorEastAsia" w:hAnsiTheme="majorEastAsia" w:eastAsiaTheme="majorEastAsia"/>
          <w:sz w:val="24"/>
          <w:szCs w:val="24"/>
        </w:rPr>
        <w:t>3年</w:t>
      </w:r>
      <w:r>
        <w:rPr>
          <w:rFonts w:hint="eastAsia" w:cs="宋体" w:asciiTheme="majorEastAsia" w:hAnsiTheme="majorEastAsia" w:eastAsiaTheme="majorEastAsia"/>
          <w:sz w:val="24"/>
          <w:szCs w:val="24"/>
          <w:lang w:eastAsia="zh-CN"/>
        </w:rPr>
        <w:t>，合同1年1签。</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3、在中华人民共和国境内注册的企业单位或其他组织等，具备完成本项目服务能力，提供合法有效的营业执照。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5、供应商须提供参与本次项目政府采购活动前三年内在经营活动中没有重大违法记录的书面《无重大违法记录声明函》。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，中标后不得分包、转包。</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具体资格要求详见第八章“资格审查文件”。 </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有意愿参与本项目磋商的供应商，请于本公告发布之日起至开标前，至南通市公共资源交易网（http://zfcg.nantong.gov.cn/）或南通市卫生健康委员会官网（</w:t>
      </w:r>
      <w:r>
        <w:fldChar w:fldCharType="begin"/>
      </w:r>
      <w:r>
        <w:instrText xml:space="preserve"> HYPERLINK "http://wjw.nantong.gov.cn/" </w:instrText>
      </w:r>
      <w: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）或南通市妇幼保健院官网（http://www.ntfybj.com/）自行下载本项目的竞争性磋商文件。凡涉及磋商文件的补充说明、澄清或修改，均以上述网站发布的信息为准。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四、响应文件</w:t>
      </w:r>
      <w:r>
        <w:rPr>
          <w:rFonts w:hint="eastAsia" w:cs="宋体" w:asciiTheme="majorEastAsia" w:hAnsiTheme="majorEastAsia" w:eastAsiaTheme="majorEastAsia"/>
          <w:b/>
          <w:sz w:val="24"/>
          <w:szCs w:val="24"/>
          <w:lang w:eastAsia="zh-CN"/>
        </w:rPr>
        <w:t>提交</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rPr>
        <w:t>截</w:t>
      </w:r>
      <w:r>
        <w:rPr>
          <w:rFonts w:hint="eastAsia" w:cs="宋体" w:asciiTheme="majorEastAsia" w:hAnsiTheme="majorEastAsia" w:eastAsiaTheme="majorEastAsia"/>
          <w:sz w:val="24"/>
          <w:szCs w:val="24"/>
          <w:highlight w:val="none"/>
        </w:rPr>
        <w:t>止时间：2021年</w:t>
      </w:r>
      <w:r>
        <w:rPr>
          <w:rFonts w:hint="eastAsia" w:cs="宋体" w:asciiTheme="majorEastAsia" w:hAnsiTheme="majorEastAsia" w:eastAsiaTheme="majorEastAsia"/>
          <w:sz w:val="24"/>
          <w:szCs w:val="24"/>
          <w:highlight w:val="none"/>
          <w:lang w:val="en-US" w:eastAsia="zh-CN"/>
        </w:rPr>
        <w:t>6</w:t>
      </w:r>
      <w:r>
        <w:rPr>
          <w:rFonts w:hint="eastAsia" w:cs="宋体" w:asciiTheme="majorEastAsia" w:hAnsiTheme="majorEastAsia" w:eastAsiaTheme="majorEastAsia"/>
          <w:sz w:val="24"/>
          <w:szCs w:val="24"/>
          <w:highlight w:val="none"/>
        </w:rPr>
        <w:t>月</w:t>
      </w:r>
      <w:r>
        <w:rPr>
          <w:rFonts w:hint="eastAsia" w:cs="宋体" w:asciiTheme="majorEastAsia" w:hAnsiTheme="majorEastAsia" w:eastAsiaTheme="majorEastAsia"/>
          <w:sz w:val="24"/>
          <w:szCs w:val="24"/>
          <w:highlight w:val="none"/>
          <w:lang w:val="en-US" w:eastAsia="zh-CN"/>
        </w:rPr>
        <w:t>7</w:t>
      </w:r>
      <w:r>
        <w:rPr>
          <w:rFonts w:hint="eastAsia" w:cs="宋体" w:asciiTheme="majorEastAsia" w:hAnsiTheme="majorEastAsia" w:eastAsiaTheme="majorEastAsia"/>
          <w:sz w:val="24"/>
          <w:szCs w:val="24"/>
          <w:highlight w:val="none"/>
        </w:rPr>
        <w:t>日</w:t>
      </w:r>
      <w:r>
        <w:rPr>
          <w:rFonts w:hint="eastAsia" w:cs="宋体" w:asciiTheme="majorEastAsia" w:hAnsiTheme="majorEastAsia" w:eastAsiaTheme="majorEastAsia"/>
          <w:sz w:val="24"/>
          <w:szCs w:val="24"/>
          <w:highlight w:val="none"/>
          <w:lang w:val="en-US" w:eastAsia="zh-CN"/>
        </w:rPr>
        <w:t>14</w:t>
      </w:r>
      <w:r>
        <w:rPr>
          <w:rFonts w:hint="eastAsia" w:cs="宋体" w:asciiTheme="majorEastAsia" w:hAnsiTheme="majorEastAsia" w:eastAsiaTheme="majorEastAsia"/>
          <w:sz w:val="24"/>
          <w:szCs w:val="24"/>
          <w:highlight w:val="none"/>
        </w:rPr>
        <w:t>时</w:t>
      </w:r>
      <w:r>
        <w:rPr>
          <w:rFonts w:hint="eastAsia" w:cs="宋体" w:asciiTheme="majorEastAsia" w:hAnsiTheme="majorEastAsia" w:eastAsiaTheme="majorEastAsia"/>
          <w:sz w:val="24"/>
          <w:szCs w:val="24"/>
          <w:highlight w:val="none"/>
          <w:lang w:val="en-US" w:eastAsia="zh-CN"/>
        </w:rPr>
        <w:t>00</w:t>
      </w:r>
      <w:r>
        <w:rPr>
          <w:rFonts w:hint="eastAsia" w:cs="宋体" w:asciiTheme="majorEastAsia" w:hAnsiTheme="majorEastAsia" w:eastAsiaTheme="majorEastAsia"/>
          <w:sz w:val="24"/>
          <w:szCs w:val="24"/>
          <w:highlight w:val="none"/>
        </w:rPr>
        <w:t>分</w:t>
      </w:r>
      <w:r>
        <w:rPr>
          <w:rFonts w:hint="eastAsia" w:cs="宋体" w:asciiTheme="majorEastAsia" w:hAnsiTheme="majorEastAsia" w:eastAsiaTheme="majorEastAsia"/>
          <w:sz w:val="24"/>
          <w:szCs w:val="24"/>
          <w:highlight w:val="none"/>
          <w:lang w:eastAsia="zh-CN"/>
        </w:rPr>
        <w:t>（北京时间）</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highlight w:val="none"/>
        </w:rPr>
        <w:t>地点：南通市世纪大道18号恒隆国际A座701，如</w:t>
      </w:r>
      <w:r>
        <w:rPr>
          <w:rFonts w:hint="eastAsia" w:cs="宋体" w:asciiTheme="majorEastAsia" w:hAnsiTheme="majorEastAsia" w:eastAsiaTheme="majorEastAsia"/>
          <w:sz w:val="24"/>
          <w:szCs w:val="24"/>
        </w:rPr>
        <w:t>有变动另行通知。</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lang w:eastAsia="zh-CN"/>
        </w:rPr>
        <w:t>五、开启</w:t>
      </w:r>
    </w:p>
    <w:p>
      <w:pPr>
        <w:widowControl/>
        <w:snapToGrid w:val="0"/>
        <w:spacing w:line="440" w:lineRule="exact"/>
        <w:ind w:firstLine="470" w:firstLineChars="196"/>
        <w:jc w:val="left"/>
        <w:rPr>
          <w:rFonts w:hint="eastAsia" w:cs="宋体" w:asciiTheme="majorEastAsia" w:hAnsiTheme="majorEastAsia" w:eastAsiaTheme="majorEastAsia"/>
          <w:b w:val="0"/>
          <w:bCs/>
          <w:sz w:val="24"/>
          <w:szCs w:val="24"/>
          <w:lang w:eastAsia="zh-CN"/>
        </w:rPr>
      </w:pPr>
      <w:r>
        <w:rPr>
          <w:rFonts w:hint="eastAsia" w:cs="宋体" w:asciiTheme="majorEastAsia" w:hAnsiTheme="majorEastAsia" w:eastAsiaTheme="majorEastAsia"/>
          <w:b w:val="0"/>
          <w:bCs/>
          <w:sz w:val="24"/>
          <w:szCs w:val="24"/>
          <w:lang w:eastAsia="zh-CN"/>
        </w:rPr>
        <w:t>时间：</w:t>
      </w:r>
      <w:r>
        <w:rPr>
          <w:rFonts w:hint="eastAsia" w:cs="宋体" w:asciiTheme="majorEastAsia" w:hAnsiTheme="majorEastAsia" w:eastAsiaTheme="majorEastAsia"/>
          <w:b w:val="0"/>
          <w:bCs/>
          <w:sz w:val="24"/>
          <w:szCs w:val="24"/>
          <w:highlight w:val="none"/>
        </w:rPr>
        <w:t>2021年</w:t>
      </w:r>
      <w:r>
        <w:rPr>
          <w:rFonts w:hint="eastAsia" w:cs="宋体" w:asciiTheme="majorEastAsia" w:hAnsiTheme="majorEastAsia" w:eastAsiaTheme="majorEastAsia"/>
          <w:b w:val="0"/>
          <w:bCs/>
          <w:sz w:val="24"/>
          <w:szCs w:val="24"/>
          <w:highlight w:val="none"/>
          <w:lang w:val="en-US" w:eastAsia="zh-CN"/>
        </w:rPr>
        <w:t>6</w:t>
      </w:r>
      <w:r>
        <w:rPr>
          <w:rFonts w:hint="eastAsia" w:cs="宋体" w:asciiTheme="majorEastAsia" w:hAnsiTheme="majorEastAsia" w:eastAsiaTheme="majorEastAsia"/>
          <w:b w:val="0"/>
          <w:bCs/>
          <w:sz w:val="24"/>
          <w:szCs w:val="24"/>
          <w:highlight w:val="none"/>
        </w:rPr>
        <w:t>月</w:t>
      </w:r>
      <w:r>
        <w:rPr>
          <w:rFonts w:hint="eastAsia" w:cs="宋体" w:asciiTheme="majorEastAsia" w:hAnsiTheme="majorEastAsia" w:eastAsiaTheme="majorEastAsia"/>
          <w:b w:val="0"/>
          <w:bCs/>
          <w:sz w:val="24"/>
          <w:szCs w:val="24"/>
          <w:highlight w:val="none"/>
          <w:lang w:val="en-US" w:eastAsia="zh-CN"/>
        </w:rPr>
        <w:t>7</w:t>
      </w:r>
      <w:r>
        <w:rPr>
          <w:rFonts w:hint="eastAsia" w:cs="宋体" w:asciiTheme="majorEastAsia" w:hAnsiTheme="majorEastAsia" w:eastAsiaTheme="majorEastAsia"/>
          <w:b w:val="0"/>
          <w:bCs/>
          <w:sz w:val="24"/>
          <w:szCs w:val="24"/>
          <w:highlight w:val="none"/>
        </w:rPr>
        <w:t>日</w:t>
      </w:r>
      <w:r>
        <w:rPr>
          <w:rFonts w:hint="eastAsia" w:cs="宋体" w:asciiTheme="majorEastAsia" w:hAnsiTheme="majorEastAsia" w:eastAsiaTheme="majorEastAsia"/>
          <w:b w:val="0"/>
          <w:bCs/>
          <w:sz w:val="24"/>
          <w:szCs w:val="24"/>
          <w:highlight w:val="none"/>
          <w:lang w:val="en-US" w:eastAsia="zh-CN"/>
        </w:rPr>
        <w:t>14</w:t>
      </w:r>
      <w:r>
        <w:rPr>
          <w:rFonts w:hint="eastAsia" w:cs="宋体" w:asciiTheme="majorEastAsia" w:hAnsiTheme="majorEastAsia" w:eastAsiaTheme="majorEastAsia"/>
          <w:b w:val="0"/>
          <w:bCs/>
          <w:sz w:val="24"/>
          <w:szCs w:val="24"/>
          <w:highlight w:val="none"/>
        </w:rPr>
        <w:t>时</w:t>
      </w:r>
      <w:r>
        <w:rPr>
          <w:rFonts w:hint="eastAsia" w:cs="宋体" w:asciiTheme="majorEastAsia" w:hAnsiTheme="majorEastAsia" w:eastAsiaTheme="majorEastAsia"/>
          <w:b w:val="0"/>
          <w:bCs/>
          <w:sz w:val="24"/>
          <w:szCs w:val="24"/>
          <w:highlight w:val="none"/>
          <w:lang w:val="en-US" w:eastAsia="zh-CN"/>
        </w:rPr>
        <w:t>00</w:t>
      </w:r>
      <w:r>
        <w:rPr>
          <w:rFonts w:hint="eastAsia" w:cs="宋体" w:asciiTheme="majorEastAsia" w:hAnsiTheme="majorEastAsia" w:eastAsiaTheme="majorEastAsia"/>
          <w:b w:val="0"/>
          <w:bCs/>
          <w:sz w:val="24"/>
          <w:szCs w:val="24"/>
          <w:highlight w:val="none"/>
        </w:rPr>
        <w:t>分</w:t>
      </w:r>
      <w:r>
        <w:rPr>
          <w:rFonts w:hint="eastAsia" w:cs="宋体" w:asciiTheme="majorEastAsia" w:hAnsiTheme="majorEastAsia" w:eastAsiaTheme="majorEastAsia"/>
          <w:b w:val="0"/>
          <w:bCs/>
          <w:sz w:val="24"/>
          <w:szCs w:val="24"/>
          <w:highlight w:val="none"/>
          <w:lang w:eastAsia="zh-CN"/>
        </w:rPr>
        <w:t>（北京时间）。</w:t>
      </w:r>
    </w:p>
    <w:p>
      <w:pPr>
        <w:widowControl/>
        <w:snapToGrid w:val="0"/>
        <w:spacing w:line="440" w:lineRule="exact"/>
        <w:ind w:firstLine="470"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val="0"/>
          <w:bCs/>
          <w:sz w:val="24"/>
          <w:szCs w:val="24"/>
          <w:lang w:eastAsia="zh-CN"/>
        </w:rPr>
        <w:t>地点：</w:t>
      </w:r>
      <w:r>
        <w:rPr>
          <w:rFonts w:hint="eastAsia" w:cs="宋体" w:asciiTheme="majorEastAsia" w:hAnsiTheme="majorEastAsia" w:eastAsiaTheme="majorEastAsia"/>
          <w:sz w:val="24"/>
          <w:szCs w:val="24"/>
          <w:highlight w:val="none"/>
        </w:rPr>
        <w:t>南通市世纪大道18号恒隆国际A座701，如</w:t>
      </w:r>
      <w:r>
        <w:rPr>
          <w:rFonts w:hint="eastAsia" w:cs="宋体" w:asciiTheme="majorEastAsia" w:hAnsiTheme="majorEastAsia" w:eastAsiaTheme="majorEastAsia"/>
          <w:sz w:val="24"/>
          <w:szCs w:val="24"/>
        </w:rPr>
        <w:t>有变动另行通知。</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、磋商保证金</w:t>
      </w:r>
    </w:p>
    <w:p>
      <w:pPr>
        <w:spacing w:line="440" w:lineRule="exact"/>
        <w:ind w:firstLine="484" w:firstLineChars="202"/>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本次项目磋商保证金为人民币：</w:t>
      </w:r>
      <w:r>
        <w:rPr>
          <w:rFonts w:hint="eastAsia" w:cs="宋体" w:asciiTheme="majorEastAsia" w:hAnsiTheme="majorEastAsia" w:eastAsiaTheme="majorEastAsia"/>
          <w:bCs/>
          <w:sz w:val="24"/>
          <w:szCs w:val="24"/>
          <w:u w:val="single"/>
        </w:rPr>
        <w:t>1700</w:t>
      </w:r>
      <w:r>
        <w:rPr>
          <w:rFonts w:hint="eastAsia" w:cs="宋体" w:asciiTheme="majorEastAsia" w:hAnsiTheme="majorEastAsia" w:eastAsiaTheme="majorEastAsia"/>
          <w:bCs/>
          <w:sz w:val="24"/>
          <w:szCs w:val="24"/>
        </w:rPr>
        <w:t>元。</w:t>
      </w:r>
    </w:p>
    <w:p>
      <w:pPr>
        <w:widowControl/>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磋商保证金仅限</w:t>
      </w:r>
      <w:r>
        <w:rPr>
          <w:rFonts w:hint="eastAsia" w:cs="宋体" w:asciiTheme="majorEastAsia" w:hAnsiTheme="majorEastAsia" w:eastAsiaTheme="majorEastAsia"/>
          <w:b/>
          <w:bCs/>
          <w:sz w:val="24"/>
          <w:szCs w:val="24"/>
          <w:u w:val="single"/>
        </w:rPr>
        <w:t xml:space="preserve"> 现金 </w:t>
      </w:r>
      <w:r>
        <w:rPr>
          <w:rFonts w:hint="eastAsia" w:cs="宋体" w:asciiTheme="majorEastAsia" w:hAnsiTheme="majorEastAsia" w:eastAsiaTheme="majorEastAsia"/>
          <w:bCs/>
          <w:sz w:val="24"/>
          <w:szCs w:val="24"/>
        </w:rPr>
        <w:t>的方式递交，不接受其他方式的递交，同时磋商保证金由供应商带至开标现场，在递交响应文件同时递交给代理机构。</w:t>
      </w:r>
    </w:p>
    <w:p>
      <w:pPr>
        <w:spacing w:line="440" w:lineRule="exact"/>
        <w:ind w:firstLine="484" w:firstLineChars="202"/>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未按要求提交磋商保证金的供应商，采购单位有权拒绝其响应文件</w:t>
      </w:r>
      <w:r>
        <w:rPr>
          <w:rFonts w:hint="eastAsia" w:cs="宋体" w:asciiTheme="majorEastAsia" w:hAnsiTheme="majorEastAsia" w:eastAsiaTheme="majorEastAsia"/>
          <w:bCs/>
          <w:sz w:val="24"/>
          <w:szCs w:val="24"/>
        </w:rPr>
        <w:t>。</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七</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联系人：张主任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w:t>
      </w:r>
      <w:r>
        <w:rPr>
          <w:rFonts w:hint="eastAsia" w:cs="宋体" w:asciiTheme="majorEastAsia" w:hAnsiTheme="majorEastAsia" w:eastAsiaTheme="majorEastAsia"/>
          <w:sz w:val="24"/>
          <w:szCs w:val="24"/>
          <w:lang w:val="zh-CN"/>
        </w:rPr>
        <w:t>13</w:t>
      </w:r>
      <w:r>
        <w:rPr>
          <w:rFonts w:hint="eastAsia" w:cs="宋体" w:asciiTheme="majorEastAsia" w:hAnsiTheme="majorEastAsia" w:eastAsiaTheme="majorEastAsia"/>
          <w:sz w:val="24"/>
          <w:szCs w:val="24"/>
        </w:rPr>
        <w:t>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址：南通市世纪大道18号恒隆国际大厦A座701室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联系人：孙金花、毛琴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邮  箱： </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1、磋商响应文件由：①资格审查文件、②技术磋商响应文件、③商务磋商响应文件共3部分组成（以下由文件序号代称）。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资格审查文件及技术磋商响应文件</w:t>
      </w:r>
      <w:r>
        <w:rPr>
          <w:rFonts w:hint="eastAsia" w:asciiTheme="majorEastAsia" w:hAnsiTheme="majorEastAsia" w:eastAsiaTheme="majorEastAsia" w:cstheme="minorEastAsia"/>
          <w:sz w:val="24"/>
          <w:szCs w:val="24"/>
        </w:rPr>
        <w:t>中，均不得含有任何商务磋商响应文件中的报价表（报价单）的内容，否则作无效磋商处理。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3、本次磋商采购代理服务费人民币1200元整，供应商须综合考虑在响应报价内，由成交供应商在领取成交通知书时向采购代理机构一次性付清。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w:t>
      </w:r>
      <w:r>
        <w:rPr>
          <w:rFonts w:hint="eastAsia" w:ascii="宋体" w:hAnsi="宋体" w:eastAsia="宋体"/>
          <w:sz w:val="24"/>
          <w:szCs w:val="24"/>
          <w:lang w:eastAsia="zh-CN"/>
        </w:rPr>
        <w:t>各项</w:t>
      </w:r>
      <w:r>
        <w:rPr>
          <w:rFonts w:hint="eastAsia" w:ascii="宋体" w:hAnsi="宋体" w:eastAsia="宋体"/>
          <w:sz w:val="24"/>
          <w:szCs w:val="24"/>
        </w:rPr>
        <w:t>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w:t>
      </w:r>
      <w:r>
        <w:rPr>
          <w:rFonts w:hint="eastAsia" w:ascii="宋体" w:hAnsi="宋体" w:eastAsia="宋体"/>
          <w:sz w:val="24"/>
          <w:szCs w:val="24"/>
          <w:lang w:eastAsia="zh-CN"/>
        </w:rPr>
        <w:t>响应</w:t>
      </w:r>
      <w:r>
        <w:rPr>
          <w:rFonts w:hint="eastAsia" w:ascii="宋体" w:hAnsi="宋体" w:eastAsia="宋体"/>
          <w:sz w:val="24"/>
          <w:szCs w:val="24"/>
        </w:rPr>
        <w:t>正负偏离表》上明示，如不明示的视同完全响应。</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一、项目概况</w:t>
      </w:r>
    </w:p>
    <w:p>
      <w:pPr>
        <w:widowControl/>
        <w:spacing w:line="480" w:lineRule="exact"/>
        <w:ind w:firstLine="480" w:firstLineChars="200"/>
        <w:contextualSpacing/>
        <w:rPr>
          <w:rFonts w:ascii="宋体" w:hAnsi="宋体" w:eastAsia="宋体"/>
          <w:sz w:val="24"/>
          <w:szCs w:val="24"/>
        </w:rPr>
      </w:pPr>
      <w:r>
        <w:rPr>
          <w:rFonts w:hint="eastAsia" w:ascii="宋体" w:hAnsi="宋体" w:eastAsia="宋体"/>
          <w:sz w:val="24"/>
          <w:szCs w:val="24"/>
        </w:rPr>
        <w:t>本项目分为绿植租摆、养护和自有绿化养护</w:t>
      </w:r>
      <w:r>
        <w:rPr>
          <w:rFonts w:hint="eastAsia" w:ascii="宋体" w:hAnsi="宋体" w:eastAsia="宋体"/>
          <w:sz w:val="24"/>
          <w:szCs w:val="24"/>
          <w:lang w:eastAsia="zh-CN"/>
        </w:rPr>
        <w:t>两部分</w:t>
      </w:r>
      <w:r>
        <w:rPr>
          <w:rFonts w:hint="eastAsia" w:ascii="宋体" w:hAnsi="宋体" w:eastAsia="宋体"/>
          <w:sz w:val="24"/>
          <w:szCs w:val="24"/>
        </w:rPr>
        <w:t>内容，租摆绿植</w:t>
      </w:r>
      <w:r>
        <w:rPr>
          <w:rFonts w:hint="eastAsia" w:ascii="宋体" w:hAnsi="宋体" w:eastAsia="宋体"/>
          <w:color w:val="auto"/>
          <w:sz w:val="24"/>
          <w:szCs w:val="24"/>
        </w:rPr>
        <w:t>共</w:t>
      </w:r>
      <w:r>
        <w:rPr>
          <w:rFonts w:hint="eastAsia" w:ascii="宋体" w:hAnsi="宋体" w:eastAsia="宋体"/>
          <w:color w:val="auto"/>
          <w:sz w:val="24"/>
          <w:szCs w:val="24"/>
          <w:lang w:val="en-US" w:eastAsia="zh-CN"/>
        </w:rPr>
        <w:t>576</w:t>
      </w:r>
      <w:r>
        <w:rPr>
          <w:rFonts w:hint="eastAsia" w:ascii="宋体" w:hAnsi="宋体" w:eastAsia="宋体"/>
          <w:color w:val="auto"/>
          <w:sz w:val="24"/>
          <w:szCs w:val="24"/>
          <w:lang w:eastAsia="zh-CN"/>
        </w:rPr>
        <w:t>株</w:t>
      </w:r>
      <w:r>
        <w:rPr>
          <w:rFonts w:hint="eastAsia" w:ascii="宋体" w:hAnsi="宋体" w:eastAsia="宋体"/>
          <w:sz w:val="24"/>
          <w:szCs w:val="24"/>
        </w:rPr>
        <w:t>，自有绿化约14000m</w:t>
      </w:r>
      <w:r>
        <w:rPr>
          <w:rFonts w:hint="eastAsia" w:ascii="宋体" w:hAnsi="宋体" w:eastAsia="宋体"/>
          <w:sz w:val="24"/>
          <w:szCs w:val="24"/>
          <w:vertAlign w:val="superscript"/>
        </w:rPr>
        <w:t>2</w:t>
      </w:r>
      <w:r>
        <w:rPr>
          <w:rFonts w:hint="eastAsia" w:ascii="宋体" w:hAnsi="宋体" w:eastAsia="宋体"/>
          <w:sz w:val="24"/>
          <w:szCs w:val="24"/>
        </w:rPr>
        <w:t>。（详见图纸）</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13"/>
        <w:gridCol w:w="205"/>
        <w:gridCol w:w="227"/>
        <w:gridCol w:w="1651"/>
        <w:gridCol w:w="1655"/>
        <w:gridCol w:w="1393"/>
        <w:gridCol w:w="1496"/>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绿植摆放明细表</w:t>
            </w:r>
          </w:p>
          <w:p>
            <w:pPr>
              <w:rPr>
                <w:rFonts w:hint="eastAsia" w:ascii="宋体" w:hAnsi="宋体" w:eastAsia="宋体" w:cs="宋体"/>
                <w:b/>
                <w:color w:val="auto"/>
                <w:sz w:val="24"/>
                <w:lang w:eastAsia="zh-CN"/>
              </w:rPr>
            </w:pPr>
            <w:r>
              <w:rPr>
                <w:rFonts w:hint="eastAsia" w:ascii="宋体" w:hAnsi="宋体" w:eastAsia="宋体" w:cs="宋体"/>
                <w:b/>
                <w:bCs/>
                <w:color w:val="auto"/>
                <w:sz w:val="24"/>
                <w:szCs w:val="24"/>
                <w:lang w:eastAsia="zh-CN"/>
              </w:rPr>
              <w:t>全院绿植租摆合计：</w:t>
            </w:r>
            <w:r>
              <w:rPr>
                <w:rFonts w:hint="eastAsia" w:ascii="宋体" w:hAnsi="宋体" w:eastAsia="宋体" w:cs="宋体"/>
                <w:b/>
                <w:bCs/>
                <w:color w:val="auto"/>
                <w:sz w:val="24"/>
                <w:szCs w:val="24"/>
                <w:lang w:val="en-US" w:eastAsia="zh-CN"/>
              </w:rPr>
              <w:t>576株（其中：大型：183株、中型：268株、小型125株）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大门两侧</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铁树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759" w:type="pct"/>
            <w:vMerge w:val="restart"/>
            <w:tcBorders>
              <w:right w:val="sing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门诊部</w:t>
            </w:r>
          </w:p>
          <w:p>
            <w:pPr>
              <w:jc w:val="center"/>
              <w:rPr>
                <w:rFonts w:hint="eastAsia" w:ascii="宋体" w:hAnsi="宋体" w:eastAsia="宋体" w:cs="宋体"/>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大型：60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中型：43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小型：20</w:t>
            </w:r>
          </w:p>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一楼门诊大厅</w:t>
            </w:r>
          </w:p>
        </w:tc>
        <w:tc>
          <w:tcPr>
            <w:tcW w:w="1164" w:type="pct"/>
            <w:gridSpan w:val="4"/>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也门铁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棕竹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二楼过道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大叶伞</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三楼过道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棕竹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百合竹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乳腺科</w:t>
            </w:r>
          </w:p>
        </w:tc>
        <w:tc>
          <w:tcPr>
            <w:tcW w:w="1164" w:type="pct"/>
            <w:gridSpan w:val="4"/>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中</w:t>
            </w:r>
            <w:r>
              <w:rPr>
                <w:rFonts w:hint="eastAsia" w:ascii="宋体" w:hAnsi="宋体" w:eastAsia="宋体" w:cs="宋体"/>
                <w:color w:val="auto"/>
                <w:sz w:val="24"/>
              </w:rPr>
              <w:t>型</w:t>
            </w:r>
          </w:p>
        </w:tc>
        <w:tc>
          <w:tcPr>
            <w:tcW w:w="707"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四楼过道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大叶伞</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也门铁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bottom w:val="single" w:color="auto" w:sz="12"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1164" w:type="pct"/>
            <w:gridSpan w:val="4"/>
            <w:tcBorders>
              <w:bottom w:val="single" w:color="auto" w:sz="12" w:space="0"/>
            </w:tcBorders>
            <w:noWrap w:val="0"/>
            <w:vAlign w:val="center"/>
          </w:tcPr>
          <w:p>
            <w:pPr>
              <w:jc w:val="center"/>
              <w:rPr>
                <w:rFonts w:hint="eastAsia" w:ascii="宋体" w:hAnsi="宋体" w:eastAsia="宋体" w:cs="宋体"/>
                <w:b/>
                <w:bCs/>
                <w:color w:val="auto"/>
                <w:sz w:val="24"/>
              </w:rPr>
            </w:pPr>
          </w:p>
        </w:tc>
        <w:tc>
          <w:tcPr>
            <w:tcW w:w="840" w:type="pct"/>
            <w:tcBorders>
              <w:bottom w:val="single" w:color="auto" w:sz="12" w:space="0"/>
            </w:tcBorders>
            <w:noWrap w:val="0"/>
            <w:vAlign w:val="center"/>
          </w:tcPr>
          <w:p>
            <w:pPr>
              <w:jc w:val="center"/>
              <w:rPr>
                <w:rFonts w:hint="eastAsia" w:ascii="宋体" w:hAnsi="宋体" w:eastAsia="宋体" w:cs="宋体"/>
                <w:b/>
                <w:bCs/>
                <w:color w:val="auto"/>
                <w:sz w:val="24"/>
              </w:rPr>
            </w:pPr>
          </w:p>
        </w:tc>
        <w:tc>
          <w:tcPr>
            <w:tcW w:w="707" w:type="pct"/>
            <w:tcBorders>
              <w:bottom w:val="single" w:color="auto" w:sz="12"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123</w:t>
            </w:r>
          </w:p>
        </w:tc>
        <w:tc>
          <w:tcPr>
            <w:tcW w:w="759" w:type="pct"/>
            <w:vMerge w:val="continue"/>
            <w:tcBorders>
              <w:bottom w:val="single" w:color="auto" w:sz="12" w:space="0"/>
              <w:right w:val="single" w:color="auto" w:sz="4" w:space="0"/>
            </w:tcBorders>
            <w:noWrap w:val="0"/>
            <w:vAlign w:val="center"/>
          </w:tcPr>
          <w:p>
            <w:pPr>
              <w:jc w:val="center"/>
              <w:rPr>
                <w:rFonts w:hint="eastAsia" w:ascii="宋体" w:hAnsi="宋体" w:eastAsia="宋体" w:cs="宋体"/>
                <w:b/>
                <w:bCs/>
                <w:color w:val="auto"/>
                <w:sz w:val="24"/>
              </w:rPr>
            </w:pPr>
          </w:p>
        </w:tc>
        <w:tc>
          <w:tcPr>
            <w:tcW w:w="827" w:type="pct"/>
            <w:vMerge w:val="continue"/>
            <w:tcBorders>
              <w:bottom w:val="single" w:color="auto" w:sz="12" w:space="0"/>
              <w:right w:val="double" w:color="auto" w:sz="4" w:space="0"/>
            </w:tcBorders>
            <w:noWrap w:val="0"/>
            <w:vAlign w:val="center"/>
          </w:tcPr>
          <w:p>
            <w:pPr>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大厅</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铁树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val="en-US" w:eastAsia="zh-CN"/>
              </w:rPr>
              <w:t>2</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门诊部</w:t>
            </w:r>
          </w:p>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（急诊室）</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中型：18</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小型：25</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注射科</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儿科门诊</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9</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富贵子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检验科</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1164" w:type="pct"/>
            <w:gridSpan w:val="4"/>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5</w:t>
            </w:r>
            <w:r>
              <w:rPr>
                <w:rFonts w:hint="eastAsia" w:ascii="宋体" w:hAnsi="宋体" w:eastAsia="宋体" w:cs="宋体"/>
                <w:b/>
                <w:bCs/>
                <w:color w:val="auto"/>
                <w:sz w:val="24"/>
                <w:lang w:val="en-US" w:eastAsia="zh-CN"/>
              </w:rPr>
              <w:t>3</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大门两侧</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铁树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门诊部</w:t>
            </w:r>
          </w:p>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（住院部）</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中型：9</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小型：12</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一楼大厅</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会诊中心</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二楼过道</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二楼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四楼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计</w:t>
            </w:r>
          </w:p>
        </w:tc>
        <w:tc>
          <w:tcPr>
            <w:tcW w:w="1056" w:type="pct"/>
            <w:gridSpan w:val="3"/>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37</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五楼</w:t>
            </w: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rPr>
              <w:t>五楼</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六楼</w:t>
            </w: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七楼过道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罗纹铁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八楼过道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大型：7</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百合竹</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十一楼过道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十二楼过道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十三楼过道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十四楼过道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银边铁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十五楼过道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银边铁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十六楼过道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一叶兰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十六楼护士站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十七楼过道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十八楼过道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二十楼过道</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838" w:type="pct"/>
            <w:noWrap w:val="0"/>
            <w:vAlign w:val="center"/>
          </w:tcPr>
          <w:p>
            <w:pPr>
              <w:tabs>
                <w:tab w:val="left" w:pos="481"/>
              </w:tabs>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二十楼医生室</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838"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838" w:type="pct"/>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二十一楼过道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六楼</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办公室</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大型：7</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中型：18</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五楼会议室1</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val="0"/>
                <w:bCs w:val="0"/>
                <w:color w:val="auto"/>
                <w:sz w:val="24"/>
                <w:lang w:eastAsia="zh-CN"/>
              </w:rPr>
              <w:t>一帆风顺</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color w:val="auto"/>
                <w:sz w:val="24"/>
                <w:lang w:val="en-US" w:eastAsia="zh-CN"/>
              </w:rPr>
              <w:t>8</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8</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接待室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君子兰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办公室1</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办公室2</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办公室3</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兰花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办公室4</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兰花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办公室5</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兰花</w:t>
            </w:r>
          </w:p>
        </w:tc>
        <w:tc>
          <w:tcPr>
            <w:tcW w:w="840" w:type="pc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中型</w:t>
            </w:r>
          </w:p>
        </w:tc>
        <w:tc>
          <w:tcPr>
            <w:tcW w:w="707" w:type="pc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办公室6</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一帆风顺</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办公室7</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restart"/>
            <w:noWrap w:val="0"/>
            <w:vAlign w:val="top"/>
          </w:tcPr>
          <w:p>
            <w:pPr>
              <w:jc w:val="center"/>
              <w:rPr>
                <w:rFonts w:hint="eastAsia" w:ascii="宋体" w:hAnsi="宋体" w:eastAsia="宋体" w:cs="宋体"/>
                <w:b/>
                <w:bCs/>
                <w:color w:val="auto"/>
                <w:sz w:val="24"/>
                <w:lang w:eastAsia="zh-CN"/>
              </w:rPr>
            </w:pPr>
          </w:p>
        </w:tc>
        <w:tc>
          <w:tcPr>
            <w:tcW w:w="827" w:type="pct"/>
            <w:vMerge w:val="restar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noWrap w:val="0"/>
            <w:vAlign w:val="top"/>
          </w:tcPr>
          <w:p>
            <w:pPr>
              <w:jc w:val="center"/>
              <w:rPr>
                <w:rFonts w:hint="eastAsia" w:ascii="宋体" w:hAnsi="宋体" w:eastAsia="宋体" w:cs="宋体"/>
                <w:b/>
                <w:bCs/>
                <w:color w:val="auto"/>
                <w:sz w:val="24"/>
                <w:lang w:eastAsia="zh-CN"/>
              </w:rPr>
            </w:pPr>
          </w:p>
        </w:tc>
        <w:tc>
          <w:tcPr>
            <w:tcW w:w="827" w:type="pct"/>
            <w:vMerge w:val="continue"/>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4</w:t>
            </w:r>
            <w:r>
              <w:rPr>
                <w:rFonts w:hint="eastAsia" w:ascii="宋体" w:hAnsi="宋体" w:eastAsia="宋体" w:cs="宋体"/>
                <w:b/>
                <w:bCs/>
                <w:color w:val="auto"/>
                <w:sz w:val="24"/>
                <w:lang w:val="en-US" w:eastAsia="zh-CN"/>
              </w:rPr>
              <w:t>3</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四楼</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后勤楼</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22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10</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收费处</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幸福树</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四楼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万年青</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8</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体检中心（新地址）</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夏威夷</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吉利红星</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螺纹铁</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五楼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平安树</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螺纹铁</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万年青</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6</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红十字救护培训中心（后勤楼一楼）</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龙须</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一帆风顺</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eastAsia="zh-CN"/>
              </w:rPr>
              <w:t>绿萝</w:t>
            </w:r>
          </w:p>
        </w:tc>
        <w:tc>
          <w:tcPr>
            <w:tcW w:w="840" w:type="pct"/>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eastAsia="zh-CN"/>
              </w:rPr>
              <w:t>大型</w:t>
            </w:r>
          </w:p>
        </w:tc>
        <w:tc>
          <w:tcPr>
            <w:tcW w:w="707" w:type="pct"/>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16</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bl>
    <w:p>
      <w:pPr>
        <w:pStyle w:val="24"/>
        <w:rPr>
          <w:rFonts w:ascii="宋体" w:hAnsi="宋体" w:eastAsia="宋体"/>
          <w:b/>
          <w:sz w:val="32"/>
          <w:szCs w:val="32"/>
        </w:rPr>
      </w:pPr>
      <w:r>
        <w:rPr>
          <w:rFonts w:hint="eastAsia" w:ascii="宋体" w:hAnsi="宋体" w:eastAsia="宋体"/>
          <w:b/>
          <w:kern w:val="2"/>
          <w:sz w:val="24"/>
          <w:szCs w:val="24"/>
        </w:rPr>
        <w:t>注：以上规格大型指绿植高度大于2米；中型指绿植高度1.2~2米；小型指绿植高度小于1.2米。</w:t>
      </w: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采购人自有绿化（红线范围以外部分）</w:t>
      </w:r>
    </w:p>
    <w:p>
      <w:pPr>
        <w:spacing w:line="360" w:lineRule="auto"/>
        <w:rPr>
          <w:rFonts w:ascii="宋体" w:hAnsi="宋体" w:eastAsia="宋体"/>
          <w:b/>
          <w:sz w:val="24"/>
          <w:szCs w:val="24"/>
        </w:rPr>
      </w:pPr>
      <w:r>
        <w:rPr>
          <w:rFonts w:hint="eastAsia" w:ascii="宋体" w:hAnsi="宋体" w:eastAsia="宋体"/>
          <w:b/>
          <w:sz w:val="24"/>
          <w:szCs w:val="24"/>
        </w:rPr>
        <w:drawing>
          <wp:inline distT="0" distB="0" distL="114300" distR="114300">
            <wp:extent cx="5334000" cy="3767455"/>
            <wp:effectExtent l="0" t="0" r="0" b="4445"/>
            <wp:docPr id="2" name="图片 2" descr="微信图片_2020050614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06140350"/>
                    <pic:cNvPicPr>
                      <a:picLocks noChangeAspect="1"/>
                    </pic:cNvPicPr>
                  </pic:nvPicPr>
                  <pic:blipFill>
                    <a:blip r:embed="rId9"/>
                    <a:stretch>
                      <a:fillRect/>
                    </a:stretch>
                  </pic:blipFill>
                  <pic:spPr>
                    <a:xfrm>
                      <a:off x="0" y="0"/>
                      <a:ext cx="5334000" cy="3767455"/>
                    </a:xfrm>
                    <a:prstGeom prst="rect">
                      <a:avLst/>
                    </a:prstGeom>
                    <a:noFill/>
                    <a:ln>
                      <a:noFill/>
                    </a:ln>
                  </pic:spPr>
                </pic:pic>
              </a:graphicData>
            </a:graphic>
          </wp:inline>
        </w:drawing>
      </w:r>
    </w:p>
    <w:p>
      <w:pPr>
        <w:widowControl/>
        <w:spacing w:line="480" w:lineRule="exact"/>
        <w:ind w:firstLine="482" w:firstLineChars="200"/>
        <w:contextualSpacing/>
        <w:rPr>
          <w:rFonts w:ascii="宋体" w:hAnsi="宋体" w:eastAsia="宋体"/>
          <w:b/>
          <w:sz w:val="24"/>
          <w:szCs w:val="24"/>
        </w:rPr>
      </w:pPr>
      <w:r>
        <w:rPr>
          <w:rFonts w:hint="eastAsia" w:ascii="宋体" w:hAnsi="宋体" w:eastAsia="宋体"/>
          <w:b/>
          <w:sz w:val="24"/>
          <w:szCs w:val="24"/>
        </w:rPr>
        <w:t>注：采购人自有绿化部分见上图（不含红线范围内的内容），约14000m</w:t>
      </w:r>
      <w:r>
        <w:rPr>
          <w:rFonts w:hint="eastAsia" w:ascii="宋体" w:hAnsi="宋体" w:eastAsia="宋体"/>
          <w:b/>
          <w:sz w:val="24"/>
          <w:szCs w:val="24"/>
          <w:vertAlign w:val="superscript"/>
        </w:rPr>
        <w:t>2</w:t>
      </w:r>
      <w:r>
        <w:rPr>
          <w:rFonts w:hint="eastAsia" w:ascii="宋体" w:hAnsi="宋体" w:eastAsia="宋体"/>
          <w:b/>
          <w:sz w:val="24"/>
          <w:szCs w:val="24"/>
        </w:rPr>
        <w:t>，请各供应商自行踏勘现场，如实际工程量与采购人给定的工程数量有差距，请各供应商综合考虑在报价内，按14000 m</w:t>
      </w:r>
      <w:r>
        <w:rPr>
          <w:rFonts w:hint="eastAsia" w:ascii="宋体" w:hAnsi="宋体" w:eastAsia="宋体"/>
          <w:b/>
          <w:sz w:val="24"/>
          <w:szCs w:val="24"/>
          <w:vertAlign w:val="superscript"/>
        </w:rPr>
        <w:t>2</w:t>
      </w:r>
      <w:r>
        <w:rPr>
          <w:rFonts w:hint="eastAsia" w:ascii="宋体" w:hAnsi="宋体" w:eastAsia="宋体"/>
          <w:b/>
          <w:sz w:val="24"/>
          <w:szCs w:val="24"/>
        </w:rPr>
        <w:t>的工程量计入综合单价。成交供应商不得以实际工程量与采购不符或不了解现场状况为由，要求额外增加费用。</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二、租赁及养护要求</w:t>
      </w:r>
    </w:p>
    <w:p>
      <w:pPr>
        <w:snapToGrid w:val="0"/>
        <w:spacing w:line="480" w:lineRule="exact"/>
        <w:ind w:firstLine="480" w:firstLineChars="200"/>
        <w:jc w:val="left"/>
        <w:rPr>
          <w:rFonts w:eastAsia="宋体"/>
          <w:sz w:val="24"/>
          <w:szCs w:val="24"/>
        </w:rPr>
      </w:pPr>
      <w:r>
        <w:rPr>
          <w:rFonts w:hint="eastAsia" w:eastAsia="宋体"/>
          <w:sz w:val="24"/>
          <w:szCs w:val="24"/>
        </w:rPr>
        <w:t>1、供应商应根据要求，向采购人提供优质的绿植花卉，合理安排摆放，满足采购人的采购需求。</w:t>
      </w:r>
    </w:p>
    <w:p>
      <w:pPr>
        <w:snapToGrid w:val="0"/>
        <w:spacing w:line="480" w:lineRule="exact"/>
        <w:ind w:firstLine="480" w:firstLineChars="200"/>
        <w:jc w:val="left"/>
        <w:rPr>
          <w:rFonts w:eastAsia="宋体"/>
          <w:sz w:val="24"/>
          <w:szCs w:val="24"/>
        </w:rPr>
      </w:pPr>
      <w:r>
        <w:rPr>
          <w:rFonts w:hint="eastAsia" w:eastAsia="宋体"/>
          <w:sz w:val="24"/>
          <w:szCs w:val="24"/>
        </w:rPr>
        <w:t>2、供应商须负责日常浇水、病虫害防治等养护工作，保持所有绿植的新鲜与美观，花盆、垫盆、套盆保持整洁，无灰尘、无积水、不外溢，确保无病虫害、枯枝烂叶等现象。</w:t>
      </w:r>
    </w:p>
    <w:p>
      <w:pPr>
        <w:snapToGrid w:val="0"/>
        <w:spacing w:line="480" w:lineRule="exact"/>
        <w:ind w:firstLine="480" w:firstLineChars="200"/>
        <w:jc w:val="left"/>
        <w:rPr>
          <w:rFonts w:eastAsia="宋体"/>
          <w:sz w:val="24"/>
          <w:szCs w:val="24"/>
        </w:rPr>
      </w:pPr>
      <w:r>
        <w:rPr>
          <w:rFonts w:hint="eastAsia" w:eastAsia="宋体"/>
          <w:sz w:val="24"/>
          <w:szCs w:val="24"/>
        </w:rPr>
        <w:t>3、为了做好绿植租摆与绿化养护服务，供应商每隔</w:t>
      </w:r>
      <w:r>
        <w:rPr>
          <w:rFonts w:eastAsia="宋体"/>
          <w:sz w:val="24"/>
          <w:szCs w:val="24"/>
        </w:rPr>
        <w:t>7</w:t>
      </w:r>
      <w:r>
        <w:rPr>
          <w:rFonts w:hint="eastAsia" w:eastAsia="宋体"/>
          <w:sz w:val="24"/>
          <w:szCs w:val="24"/>
        </w:rPr>
        <w:t>日对绿植进行养护，每月进行2次绿化养护。养护时间为采购人正常上班时间，特殊情况需要养护的，应事先预约；</w:t>
      </w:r>
    </w:p>
    <w:p>
      <w:pPr>
        <w:snapToGrid w:val="0"/>
        <w:spacing w:line="480" w:lineRule="exact"/>
        <w:ind w:firstLine="480" w:firstLineChars="200"/>
        <w:jc w:val="left"/>
        <w:rPr>
          <w:rFonts w:eastAsia="宋体"/>
          <w:sz w:val="24"/>
          <w:szCs w:val="24"/>
        </w:rPr>
      </w:pPr>
      <w:r>
        <w:rPr>
          <w:rFonts w:hint="eastAsia" w:eastAsia="宋体"/>
          <w:sz w:val="24"/>
          <w:szCs w:val="24"/>
        </w:rPr>
        <w:t>4、供应商在维护绿植时所产生的垃圾需按采购人规定处理，不随意处置；</w:t>
      </w:r>
    </w:p>
    <w:p>
      <w:pPr>
        <w:snapToGrid w:val="0"/>
        <w:spacing w:line="480" w:lineRule="exact"/>
        <w:ind w:firstLine="480" w:firstLineChars="200"/>
        <w:jc w:val="left"/>
        <w:rPr>
          <w:rFonts w:eastAsia="宋体"/>
          <w:sz w:val="24"/>
          <w:szCs w:val="24"/>
        </w:rPr>
      </w:pPr>
      <w:r>
        <w:rPr>
          <w:rFonts w:hint="eastAsia" w:eastAsia="宋体"/>
          <w:sz w:val="24"/>
          <w:szCs w:val="24"/>
        </w:rPr>
        <w:t>5、供应商应节约水电能源，不随意浪费，供应商应爱护绿植，不得随意移栽；</w:t>
      </w:r>
    </w:p>
    <w:p>
      <w:pPr>
        <w:snapToGrid w:val="0"/>
        <w:spacing w:line="480" w:lineRule="exact"/>
        <w:ind w:firstLine="480" w:firstLineChars="200"/>
        <w:jc w:val="left"/>
        <w:rPr>
          <w:rFonts w:eastAsia="宋体"/>
          <w:sz w:val="24"/>
          <w:szCs w:val="24"/>
        </w:rPr>
      </w:pPr>
      <w:r>
        <w:rPr>
          <w:rFonts w:hint="eastAsia" w:eastAsia="宋体"/>
          <w:sz w:val="24"/>
          <w:szCs w:val="24"/>
        </w:rPr>
        <w:t>6、供应商在春耕施肥和杀虫季节，按规定定期喷洒农药，并做好农药残渣对地面渗漏伤害的防护工作；</w:t>
      </w:r>
    </w:p>
    <w:p>
      <w:pPr>
        <w:snapToGrid w:val="0"/>
        <w:spacing w:line="480" w:lineRule="exact"/>
        <w:ind w:firstLine="482" w:firstLineChars="200"/>
        <w:jc w:val="left"/>
        <w:rPr>
          <w:rFonts w:eastAsia="宋体"/>
          <w:b/>
          <w:sz w:val="24"/>
          <w:szCs w:val="24"/>
        </w:rPr>
      </w:pPr>
      <w:r>
        <w:rPr>
          <w:rFonts w:hint="eastAsia" w:eastAsia="宋体"/>
          <w:b/>
          <w:sz w:val="24"/>
          <w:szCs w:val="24"/>
        </w:rPr>
        <w:t>7、如因成交供应商养护不周，导致绿植、绿化产生枯萎、病死、叶子严重脱落现象，无论为采购人自有还是租赁的绿植，供应商均须免费更换，且更换的绿植须得到采购人的认可。</w:t>
      </w:r>
    </w:p>
    <w:p>
      <w:pPr>
        <w:snapToGrid w:val="0"/>
        <w:spacing w:line="480" w:lineRule="exact"/>
        <w:ind w:firstLine="480" w:firstLineChars="200"/>
        <w:jc w:val="left"/>
        <w:rPr>
          <w:rFonts w:eastAsia="宋体"/>
          <w:sz w:val="24"/>
          <w:szCs w:val="24"/>
        </w:rPr>
      </w:pPr>
      <w:r>
        <w:rPr>
          <w:rFonts w:hint="eastAsia" w:eastAsia="宋体"/>
          <w:sz w:val="24"/>
          <w:szCs w:val="24"/>
        </w:rPr>
        <w:t>8、供应商</w:t>
      </w:r>
      <w:r>
        <w:rPr>
          <w:rFonts w:eastAsia="宋体"/>
          <w:sz w:val="24"/>
          <w:szCs w:val="24"/>
        </w:rPr>
        <w:t>应根据</w:t>
      </w:r>
      <w:r>
        <w:rPr>
          <w:rFonts w:hint="eastAsia" w:eastAsia="宋体"/>
          <w:sz w:val="24"/>
          <w:szCs w:val="24"/>
        </w:rPr>
        <w:t>采购人</w:t>
      </w:r>
      <w:r>
        <w:rPr>
          <w:rFonts w:eastAsia="宋体"/>
          <w:sz w:val="24"/>
          <w:szCs w:val="24"/>
        </w:rPr>
        <w:t>要求更换应季盆景</w:t>
      </w:r>
      <w:r>
        <w:rPr>
          <w:rFonts w:hint="eastAsia" w:eastAsia="宋体"/>
          <w:sz w:val="24"/>
          <w:szCs w:val="24"/>
        </w:rPr>
        <w:t>，及时更换失去观赏价值的绿植</w:t>
      </w:r>
      <w:r>
        <w:rPr>
          <w:rFonts w:eastAsia="宋体"/>
          <w:sz w:val="24"/>
          <w:szCs w:val="24"/>
        </w:rPr>
        <w:t>。</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三、服务期限等</w:t>
      </w:r>
    </w:p>
    <w:p>
      <w:pPr>
        <w:snapToGrid w:val="0"/>
        <w:spacing w:line="480" w:lineRule="exact"/>
        <w:ind w:firstLine="480" w:firstLineChars="200"/>
        <w:jc w:val="left"/>
        <w:rPr>
          <w:rFonts w:eastAsia="宋体"/>
          <w:sz w:val="24"/>
          <w:szCs w:val="24"/>
        </w:rPr>
      </w:pPr>
      <w:r>
        <w:rPr>
          <w:rFonts w:eastAsia="宋体"/>
          <w:sz w:val="24"/>
          <w:szCs w:val="24"/>
        </w:rPr>
        <w:t>1、签定合同日期：</w:t>
      </w:r>
      <w:r>
        <w:rPr>
          <w:rFonts w:hint="eastAsia" w:eastAsia="宋体"/>
          <w:sz w:val="24"/>
          <w:szCs w:val="24"/>
        </w:rPr>
        <w:t>本项目</w:t>
      </w:r>
      <w:r>
        <w:rPr>
          <w:rFonts w:eastAsia="宋体"/>
          <w:sz w:val="24"/>
          <w:szCs w:val="24"/>
        </w:rPr>
        <w:t>中标（成交）通知书发出</w:t>
      </w:r>
      <w:r>
        <w:rPr>
          <w:rFonts w:hint="eastAsia" w:eastAsia="宋体"/>
          <w:sz w:val="24"/>
          <w:szCs w:val="24"/>
        </w:rPr>
        <w:t>之日</w:t>
      </w:r>
      <w:r>
        <w:rPr>
          <w:rFonts w:hint="eastAsia" w:eastAsia="宋体"/>
          <w:sz w:val="24"/>
          <w:szCs w:val="24"/>
          <w:highlight w:val="none"/>
        </w:rPr>
        <w:t>起30</w:t>
      </w:r>
      <w:r>
        <w:rPr>
          <w:rFonts w:eastAsia="宋体"/>
          <w:sz w:val="24"/>
          <w:szCs w:val="24"/>
          <w:highlight w:val="none"/>
        </w:rPr>
        <w:t>日内与采购</w:t>
      </w:r>
      <w:r>
        <w:rPr>
          <w:rFonts w:eastAsia="宋体"/>
          <w:sz w:val="24"/>
          <w:szCs w:val="24"/>
        </w:rPr>
        <w:t>人</w:t>
      </w:r>
      <w:r>
        <w:rPr>
          <w:rFonts w:hint="eastAsia" w:eastAsia="宋体"/>
          <w:sz w:val="24"/>
          <w:szCs w:val="24"/>
        </w:rPr>
        <w:t>签订</w:t>
      </w:r>
      <w:r>
        <w:rPr>
          <w:rFonts w:eastAsia="宋体"/>
          <w:sz w:val="24"/>
          <w:szCs w:val="24"/>
        </w:rPr>
        <w:t>本项目的服务合同</w:t>
      </w:r>
      <w:r>
        <w:rPr>
          <w:rFonts w:hint="eastAsia" w:eastAsia="宋体"/>
          <w:sz w:val="24"/>
          <w:szCs w:val="24"/>
        </w:rPr>
        <w:t>，服务起始日期以采购人通知中标人进场服务的时间为准</w:t>
      </w:r>
      <w:r>
        <w:rPr>
          <w:rFonts w:eastAsia="宋体"/>
          <w:sz w:val="24"/>
          <w:szCs w:val="24"/>
        </w:rPr>
        <w:t>。</w:t>
      </w:r>
    </w:p>
    <w:p>
      <w:pPr>
        <w:snapToGrid w:val="0"/>
        <w:spacing w:line="480" w:lineRule="exact"/>
        <w:ind w:firstLine="480" w:firstLineChars="200"/>
        <w:jc w:val="left"/>
        <w:rPr>
          <w:rFonts w:hint="eastAsia" w:eastAsia="宋体"/>
          <w:sz w:val="24"/>
          <w:szCs w:val="24"/>
          <w:lang w:eastAsia="zh-CN"/>
        </w:rPr>
      </w:pPr>
      <w:r>
        <w:rPr>
          <w:rFonts w:hint="eastAsia" w:eastAsia="宋体"/>
          <w:color w:val="FF0000"/>
          <w:sz w:val="24"/>
          <w:szCs w:val="24"/>
        </w:rPr>
        <w:t>2、本项目服务期为3年</w:t>
      </w:r>
      <w:r>
        <w:rPr>
          <w:rFonts w:hint="eastAsia" w:eastAsia="宋体"/>
          <w:color w:val="FF0000"/>
          <w:sz w:val="24"/>
          <w:szCs w:val="24"/>
          <w:lang w:eastAsia="zh-CN"/>
        </w:rPr>
        <w:t>，合同1年1签。如中标人合同期内履约情况良好（即年度综合考核得分≥90分，考核细则见合同条款），则在第一年合同期满后，且供应商承诺不增加服务费用的前提下，采购人、供应商双方可续签下一年度合同，但最多续签2次。</w:t>
      </w:r>
    </w:p>
    <w:p>
      <w:pPr>
        <w:snapToGrid w:val="0"/>
        <w:spacing w:line="480" w:lineRule="exact"/>
        <w:ind w:firstLine="480" w:firstLineChars="200"/>
        <w:jc w:val="left"/>
        <w:rPr>
          <w:rFonts w:eastAsia="宋体"/>
          <w:sz w:val="24"/>
          <w:szCs w:val="24"/>
        </w:rPr>
      </w:pPr>
      <w:r>
        <w:rPr>
          <w:rFonts w:eastAsia="宋体"/>
          <w:sz w:val="24"/>
          <w:szCs w:val="24"/>
        </w:rPr>
        <w:t>3、服务地点：</w:t>
      </w:r>
      <w:r>
        <w:rPr>
          <w:rFonts w:hint="eastAsia" w:eastAsia="宋体"/>
          <w:sz w:val="24"/>
          <w:szCs w:val="24"/>
        </w:rPr>
        <w:t>南通市妇幼保健院。</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四、综合说明及其它要求</w:t>
      </w:r>
    </w:p>
    <w:p>
      <w:pPr>
        <w:snapToGrid w:val="0"/>
        <w:spacing w:line="480" w:lineRule="exact"/>
        <w:ind w:firstLine="480" w:firstLineChars="200"/>
        <w:jc w:val="left"/>
        <w:rPr>
          <w:rFonts w:eastAsia="宋体"/>
          <w:sz w:val="24"/>
          <w:szCs w:val="24"/>
        </w:rPr>
      </w:pPr>
      <w:r>
        <w:rPr>
          <w:rFonts w:eastAsia="宋体"/>
          <w:sz w:val="24"/>
          <w:szCs w:val="24"/>
        </w:rPr>
        <w:t>1</w:t>
      </w:r>
      <w:r>
        <w:rPr>
          <w:rFonts w:hint="eastAsia" w:eastAsia="宋体"/>
          <w:sz w:val="24"/>
          <w:szCs w:val="24"/>
        </w:rPr>
        <w:t>、合同履约期间，如出现重大综合管理缺陷，采购人有权自缺陷出现之日起直至缺陷更正，进行处惩，如供应商对综合管理缺陷不予更正，采购人有权另请其他单位更正，所发生的费用和造成的损失由供应商支付。</w:t>
      </w:r>
    </w:p>
    <w:p>
      <w:pPr>
        <w:snapToGrid w:val="0"/>
        <w:spacing w:line="480" w:lineRule="exact"/>
        <w:ind w:firstLine="480" w:firstLineChars="200"/>
        <w:jc w:val="left"/>
        <w:rPr>
          <w:rFonts w:eastAsia="宋体"/>
          <w:sz w:val="24"/>
          <w:szCs w:val="24"/>
        </w:rPr>
      </w:pPr>
      <w:r>
        <w:rPr>
          <w:rFonts w:hint="eastAsia" w:eastAsia="宋体"/>
          <w:sz w:val="24"/>
          <w:szCs w:val="24"/>
        </w:rPr>
        <w:t>2、供应商在履约期间，违反下列规定采购人有权解除合同：</w:t>
      </w:r>
    </w:p>
    <w:p>
      <w:pPr>
        <w:snapToGrid w:val="0"/>
        <w:spacing w:line="480" w:lineRule="exact"/>
        <w:ind w:firstLine="480" w:firstLineChars="200"/>
        <w:jc w:val="left"/>
        <w:rPr>
          <w:rFonts w:eastAsia="宋体"/>
          <w:sz w:val="24"/>
          <w:szCs w:val="24"/>
        </w:rPr>
      </w:pPr>
      <w:r>
        <w:rPr>
          <w:rFonts w:hint="eastAsia" w:eastAsia="宋体"/>
          <w:sz w:val="24"/>
          <w:szCs w:val="24"/>
        </w:rPr>
        <w:t>（1）将本项目全部或部分服务转包他人；</w:t>
      </w:r>
    </w:p>
    <w:p>
      <w:pPr>
        <w:snapToGrid w:val="0"/>
        <w:spacing w:line="480" w:lineRule="exact"/>
        <w:ind w:firstLine="480" w:firstLineChars="200"/>
        <w:jc w:val="left"/>
        <w:rPr>
          <w:rFonts w:eastAsia="宋体"/>
          <w:sz w:val="24"/>
          <w:szCs w:val="24"/>
        </w:rPr>
      </w:pPr>
      <w:r>
        <w:rPr>
          <w:rFonts w:hint="eastAsia" w:eastAsia="宋体"/>
          <w:sz w:val="24"/>
          <w:szCs w:val="24"/>
        </w:rPr>
        <w:t>（2）相关考核办法的有关规定。</w:t>
      </w:r>
    </w:p>
    <w:p>
      <w:pPr>
        <w:snapToGrid w:val="0"/>
        <w:spacing w:line="480" w:lineRule="exact"/>
        <w:ind w:firstLine="480" w:firstLineChars="200"/>
        <w:jc w:val="left"/>
        <w:rPr>
          <w:rFonts w:eastAsia="宋体"/>
          <w:sz w:val="24"/>
          <w:szCs w:val="24"/>
        </w:rPr>
      </w:pPr>
      <w:r>
        <w:rPr>
          <w:rFonts w:hint="eastAsia" w:eastAsia="宋体"/>
          <w:sz w:val="24"/>
          <w:szCs w:val="24"/>
        </w:rPr>
        <w:t>3、合同履行期间由于供应商的责任，违反管理考核规章等情形或造成社会不良影响的，采购人有权根据情节轻重采取以下一项或多项措施：</w:t>
      </w:r>
    </w:p>
    <w:p>
      <w:pPr>
        <w:snapToGrid w:val="0"/>
        <w:spacing w:line="480" w:lineRule="exact"/>
        <w:ind w:firstLine="480" w:firstLineChars="200"/>
        <w:jc w:val="left"/>
        <w:rPr>
          <w:rFonts w:eastAsia="宋体"/>
          <w:sz w:val="24"/>
          <w:szCs w:val="24"/>
        </w:rPr>
      </w:pPr>
      <w:r>
        <w:rPr>
          <w:rFonts w:hint="eastAsia" w:eastAsia="宋体"/>
          <w:sz w:val="24"/>
          <w:szCs w:val="24"/>
        </w:rPr>
        <w:t>（1）解除与供应商的合同；</w:t>
      </w:r>
    </w:p>
    <w:p>
      <w:pPr>
        <w:snapToGrid w:val="0"/>
        <w:spacing w:line="480" w:lineRule="exact"/>
        <w:ind w:firstLine="480" w:firstLineChars="200"/>
        <w:jc w:val="left"/>
        <w:rPr>
          <w:rFonts w:eastAsia="宋体"/>
          <w:sz w:val="24"/>
          <w:szCs w:val="24"/>
        </w:rPr>
      </w:pPr>
      <w:r>
        <w:rPr>
          <w:rFonts w:hint="eastAsia" w:eastAsia="宋体"/>
          <w:sz w:val="24"/>
          <w:szCs w:val="24"/>
        </w:rPr>
        <w:t>（2）限制其在以后项目中的投标；</w:t>
      </w:r>
    </w:p>
    <w:p>
      <w:pPr>
        <w:widowControl/>
        <w:spacing w:line="480" w:lineRule="exact"/>
        <w:ind w:firstLine="480" w:firstLineChars="200"/>
        <w:contextualSpacing/>
        <w:rPr>
          <w:rFonts w:asciiTheme="majorEastAsia" w:hAnsiTheme="majorEastAsia" w:eastAsiaTheme="majorEastAsia"/>
          <w:sz w:val="24"/>
          <w:szCs w:val="24"/>
        </w:rPr>
      </w:pPr>
      <w:r>
        <w:rPr>
          <w:rFonts w:hint="eastAsia" w:eastAsia="宋体"/>
          <w:sz w:val="24"/>
          <w:szCs w:val="24"/>
        </w:rPr>
        <w:t>（3）涉及违约金、赔偿金或其他应付费用的，采购人有权从应支付供应商的服务年度结算款可扣款项中扣除（若上述款项不足或没有可扣除款项，供应商应另行向采购人支付）。</w:t>
      </w:r>
      <w:r>
        <w:rPr>
          <w:rFonts w:hint="eastAsia" w:asciiTheme="majorEastAsia" w:hAnsiTheme="majorEastAsia" w:eastAsiaTheme="majorEastAsia"/>
          <w:b/>
          <w:bCs/>
          <w:sz w:val="36"/>
          <w:szCs w:val="36"/>
          <w:lang w:val="zh-CN"/>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5"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2、项目响应供应商的法定代表人或受权人须持身份证准时参加磋商评审会。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hint="default" w:asciiTheme="majorEastAsia" w:hAnsiTheme="majorEastAsia" w:eastAsiaTheme="majorEastAsia" w:cstheme="minorEastAsia"/>
          <w:b w:val="0"/>
          <w:bCs/>
          <w:sz w:val="24"/>
          <w:szCs w:val="24"/>
          <w:lang w:val="en-US" w:eastAsia="zh-CN"/>
        </w:rPr>
      </w:pPr>
      <w:r>
        <w:rPr>
          <w:rFonts w:hint="eastAsia" w:asciiTheme="majorEastAsia" w:hAnsiTheme="majorEastAsia" w:eastAsiaTheme="majorEastAsia" w:cstheme="minorEastAsia"/>
          <w:b w:val="0"/>
          <w:bCs/>
          <w:sz w:val="24"/>
          <w:szCs w:val="24"/>
          <w:lang w:val="en-US" w:eastAsia="zh-CN"/>
        </w:rPr>
        <w:t>17、</w:t>
      </w:r>
      <w:r>
        <w:rPr>
          <w:rFonts w:hint="eastAsia" w:ascii="宋体" w:hAnsi="宋体" w:eastAsia="宋体" w:cs="宋体"/>
          <w:sz w:val="24"/>
          <w:szCs w:val="24"/>
        </w:rPr>
        <w:t>若</w:t>
      </w:r>
      <w:r>
        <w:rPr>
          <w:rFonts w:hint="eastAsia" w:ascii="宋体" w:hAnsi="宋体" w:eastAsia="宋体" w:cs="宋体"/>
          <w:sz w:val="24"/>
          <w:szCs w:val="24"/>
          <w:lang w:eastAsia="zh-CN"/>
        </w:rPr>
        <w:t>本次</w:t>
      </w:r>
      <w:r>
        <w:rPr>
          <w:rFonts w:hint="eastAsia" w:ascii="宋体" w:hAnsi="宋体" w:eastAsia="宋体" w:cs="宋体"/>
          <w:sz w:val="24"/>
          <w:szCs w:val="24"/>
        </w:rPr>
        <w:t>采购过程中符合要求的供应商只有两家，则继续进行竞争性磋商采购活动；若采购过程中符合要求的供应商只有一家，则终止本次竞争性磋商采购活动，重新开展采购活动。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highlight w:val="none"/>
          <w:u w:val="single"/>
        </w:rPr>
      </w:pPr>
      <w:r>
        <w:rPr>
          <w:rFonts w:hint="eastAsia" w:asciiTheme="majorEastAsia" w:hAnsiTheme="majorEastAsia" w:eastAsiaTheme="majorEastAsia" w:cstheme="minorEastAsia"/>
          <w:sz w:val="24"/>
          <w:szCs w:val="24"/>
          <w:highlight w:val="none"/>
          <w:u w:val="single"/>
        </w:rPr>
        <w:t>技术分值占总分值的比重</w:t>
      </w:r>
      <w:r>
        <w:rPr>
          <w:rFonts w:hint="eastAsia" w:asciiTheme="majorEastAsia" w:hAnsiTheme="majorEastAsia" w:eastAsiaTheme="majorEastAsia" w:cstheme="minorEastAsia"/>
          <w:color w:val="auto"/>
          <w:sz w:val="24"/>
          <w:szCs w:val="24"/>
          <w:highlight w:val="none"/>
          <w:u w:val="single"/>
        </w:rPr>
        <w:t xml:space="preserve">为 </w:t>
      </w:r>
      <w:r>
        <w:rPr>
          <w:rFonts w:hint="eastAsia" w:asciiTheme="majorEastAsia" w:hAnsiTheme="majorEastAsia" w:eastAsiaTheme="majorEastAsia" w:cstheme="minorEastAsia"/>
          <w:color w:val="auto"/>
          <w:sz w:val="24"/>
          <w:szCs w:val="24"/>
          <w:highlight w:val="none"/>
          <w:u w:val="single"/>
          <w:lang w:val="en-US" w:eastAsia="zh-CN"/>
        </w:rPr>
        <w:t>8</w:t>
      </w:r>
      <w:r>
        <w:rPr>
          <w:rFonts w:hint="eastAsia" w:asciiTheme="majorEastAsia" w:hAnsiTheme="majorEastAsia" w:eastAsiaTheme="majorEastAsia" w:cstheme="minorEastAsia"/>
          <w:color w:val="auto"/>
          <w:sz w:val="24"/>
          <w:szCs w:val="24"/>
          <w:highlight w:val="none"/>
          <w:u w:val="single"/>
        </w:rPr>
        <w:t>0%（</w:t>
      </w:r>
      <w:r>
        <w:rPr>
          <w:rFonts w:hint="eastAsia" w:asciiTheme="majorEastAsia" w:hAnsiTheme="majorEastAsia" w:eastAsiaTheme="majorEastAsia" w:cstheme="minorEastAsia"/>
          <w:sz w:val="24"/>
          <w:szCs w:val="24"/>
          <w:highlight w:val="none"/>
          <w:u w:val="single"/>
        </w:rPr>
        <w:t>权重）（四舍五入保留两位小数）</w:t>
      </w:r>
      <w:r>
        <w:rPr>
          <w:rFonts w:hint="eastAsia" w:asciiTheme="majorEastAsia" w:hAnsiTheme="majorEastAsia" w:eastAsiaTheme="majorEastAsia" w:cstheme="minorEastAsia"/>
          <w:sz w:val="24"/>
          <w:szCs w:val="24"/>
          <w:highlight w:val="none"/>
        </w:rPr>
        <w:t>；</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u w:val="single"/>
        </w:rPr>
        <w:t>报价分值占总分值的比</w:t>
      </w:r>
      <w:r>
        <w:rPr>
          <w:rFonts w:hint="eastAsia" w:asciiTheme="majorEastAsia" w:hAnsiTheme="majorEastAsia" w:eastAsiaTheme="majorEastAsia" w:cstheme="minorEastAsia"/>
          <w:color w:val="auto"/>
          <w:sz w:val="24"/>
          <w:szCs w:val="24"/>
          <w:highlight w:val="none"/>
          <w:u w:val="single"/>
        </w:rPr>
        <w:t xml:space="preserve">重为 </w:t>
      </w:r>
      <w:r>
        <w:rPr>
          <w:rFonts w:hint="eastAsia" w:asciiTheme="majorEastAsia" w:hAnsiTheme="majorEastAsia" w:eastAsiaTheme="majorEastAsia" w:cstheme="minorEastAsia"/>
          <w:color w:val="auto"/>
          <w:sz w:val="24"/>
          <w:szCs w:val="24"/>
          <w:highlight w:val="none"/>
          <w:u w:val="single"/>
          <w:lang w:val="en-US" w:eastAsia="zh-CN"/>
        </w:rPr>
        <w:t>2</w:t>
      </w:r>
      <w:r>
        <w:rPr>
          <w:rFonts w:hint="eastAsia" w:asciiTheme="majorEastAsia" w:hAnsiTheme="majorEastAsia" w:eastAsiaTheme="majorEastAsia" w:cstheme="minorEastAsia"/>
          <w:color w:val="auto"/>
          <w:sz w:val="24"/>
          <w:szCs w:val="24"/>
          <w:highlight w:val="none"/>
          <w:u w:val="single"/>
        </w:rPr>
        <w:t>0%（</w:t>
      </w:r>
      <w:r>
        <w:rPr>
          <w:rFonts w:hint="eastAsia" w:asciiTheme="majorEastAsia" w:hAnsiTheme="majorEastAsia" w:eastAsiaTheme="majorEastAsia" w:cstheme="minorEastAsia"/>
          <w:sz w:val="24"/>
          <w:szCs w:val="24"/>
          <w:highlight w:val="none"/>
          <w:u w:val="single"/>
        </w:rPr>
        <w:t>权重）（四舍五入保留两位小数）</w:t>
      </w:r>
      <w:r>
        <w:rPr>
          <w:rFonts w:hint="eastAsia" w:asciiTheme="majorEastAsia" w:hAnsiTheme="majorEastAsia" w:eastAsiaTheme="majorEastAsia" w:cstheme="minorEastAsia"/>
          <w:sz w:val="24"/>
          <w:szCs w:val="24"/>
          <w:highlight w:val="none"/>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highlight w:val="none"/>
        </w:rPr>
        <w:t>4、技术分按算术平均值计算，分值</w:t>
      </w:r>
      <w:r>
        <w:rPr>
          <w:rFonts w:hint="eastAsia" w:asciiTheme="majorEastAsia" w:hAnsiTheme="majorEastAsia" w:eastAsiaTheme="majorEastAsia" w:cstheme="minorEastAsia"/>
          <w:sz w:val="24"/>
          <w:szCs w:val="24"/>
        </w:rPr>
        <w:t>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hint="eastAsia" w:asciiTheme="majorEastAsia" w:hAnsiTheme="majorEastAsia" w:eastAsiaTheme="majorEastAsia" w:cstheme="minorEastAsia"/>
          <w:b/>
          <w:sz w:val="24"/>
          <w:szCs w:val="24"/>
        </w:rPr>
      </w:pP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5"/>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0分，评标委员会根据以下几个方面进行综合评估打分(取算术平均值，得分采用四舍五入法保留小数点后两位小数。)</w:t>
      </w:r>
    </w:p>
    <w:tbl>
      <w:tblPr>
        <w:tblStyle w:val="58"/>
        <w:tblW w:w="4999" w:type="pct"/>
        <w:tblInd w:w="0" w:type="dxa"/>
        <w:tblLayout w:type="autofit"/>
        <w:tblCellMar>
          <w:top w:w="0" w:type="dxa"/>
          <w:left w:w="108" w:type="dxa"/>
          <w:bottom w:w="0" w:type="dxa"/>
          <w:right w:w="108" w:type="dxa"/>
        </w:tblCellMar>
      </w:tblPr>
      <w:tblGrid>
        <w:gridCol w:w="1241"/>
        <w:gridCol w:w="1419"/>
        <w:gridCol w:w="7191"/>
      </w:tblGrid>
      <w:tr>
        <w:tblPrEx>
          <w:tblCellMar>
            <w:top w:w="0" w:type="dxa"/>
            <w:left w:w="108" w:type="dxa"/>
            <w:bottom w:w="0" w:type="dxa"/>
            <w:right w:w="108" w:type="dxa"/>
          </w:tblCellMar>
        </w:tblPrEx>
        <w:trPr>
          <w:trHeight w:val="499" w:hRule="atLeast"/>
        </w:trPr>
        <w:tc>
          <w:tcPr>
            <w:tcW w:w="1350" w:type="pct"/>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r>
              <w:rPr>
                <w:rFonts w:hint="eastAsia" w:ascii="宋体" w:hAnsi="宋体" w:eastAsia="宋体" w:cs="宋体"/>
                <w:b/>
                <w:sz w:val="24"/>
                <w:szCs w:val="24"/>
              </w:rPr>
              <w:t>内     容</w:t>
            </w:r>
          </w:p>
        </w:tc>
        <w:tc>
          <w:tcPr>
            <w:tcW w:w="36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评分标准</w:t>
            </w:r>
          </w:p>
        </w:tc>
      </w:tr>
      <w:tr>
        <w:tblPrEx>
          <w:tblCellMar>
            <w:top w:w="0" w:type="dxa"/>
            <w:left w:w="108" w:type="dxa"/>
            <w:bottom w:w="0" w:type="dxa"/>
            <w:right w:w="108" w:type="dxa"/>
          </w:tblCellMar>
        </w:tblPrEx>
        <w:trPr>
          <w:trHeight w:val="4875" w:hRule="atLeast"/>
        </w:trPr>
        <w:tc>
          <w:tcPr>
            <w:tcW w:w="630" w:type="pct"/>
            <w:vMerge w:val="restar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r>
              <w:rPr>
                <w:rFonts w:hint="eastAsia" w:ascii="宋体" w:hAnsi="宋体" w:eastAsia="宋体" w:cs="宋体"/>
                <w:b/>
                <w:sz w:val="24"/>
                <w:szCs w:val="24"/>
              </w:rPr>
              <w:t>技术标（</w:t>
            </w:r>
            <w:r>
              <w:rPr>
                <w:rFonts w:hint="eastAsia" w:ascii="宋体" w:hAnsi="宋体" w:eastAsia="宋体" w:cs="宋体"/>
                <w:b/>
                <w:sz w:val="24"/>
                <w:szCs w:val="24"/>
                <w:lang w:val="en-US" w:eastAsia="zh-CN"/>
              </w:rPr>
              <w:t>80</w:t>
            </w:r>
            <w:r>
              <w:rPr>
                <w:rFonts w:hint="eastAsia" w:ascii="宋体" w:hAnsi="宋体" w:eastAsia="宋体" w:cs="宋体"/>
                <w:b/>
                <w:sz w:val="24"/>
                <w:szCs w:val="24"/>
              </w:rPr>
              <w:t>分）</w:t>
            </w:r>
          </w:p>
        </w:tc>
        <w:tc>
          <w:tcPr>
            <w:tcW w:w="720" w:type="pc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sz w:val="24"/>
                <w:szCs w:val="24"/>
              </w:rPr>
            </w:pPr>
            <w:r>
              <w:rPr>
                <w:rFonts w:hint="eastAsia" w:ascii="宋体" w:hAnsi="宋体" w:eastAsia="宋体" w:cs="宋体"/>
                <w:sz w:val="24"/>
                <w:szCs w:val="24"/>
              </w:rPr>
              <w:t>企业实力</w:t>
            </w:r>
          </w:p>
          <w:p>
            <w:pPr>
              <w:spacing w:line="370" w:lineRule="exact"/>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18</w:t>
            </w:r>
            <w:r>
              <w:rPr>
                <w:rFonts w:hint="eastAsia" w:ascii="宋体" w:hAnsi="宋体" w:eastAsia="宋体" w:cs="宋体"/>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投标供应商自有苗木基地及温室大棚：</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苗木基地面积大于等于5000平方米（7.5亩）的得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分，面积在1000-5000（含1000）平方米之间的得</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分，面积小于1000平方米的不得分；温室大棚面积大于等于500平方米的得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分，面积在200-500（含200）平方米之间的得</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分，面积小于200平方米的不得分。（提供照片及土地租赁合同等相关证明材料</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管理体系认证（</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具有ISO9001:2015质量管理体系认证证书的得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具有ISO14001:2015环境管理体系认证证书的得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具有ISO45001:2018职业健康安全管理体系认证证书的得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分。（提供证书复印件）</w:t>
            </w:r>
          </w:p>
          <w:p>
            <w:pPr>
              <w:numPr>
                <w:ilvl w:val="0"/>
                <w:numId w:val="0"/>
              </w:num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拟派项目负责人：</w:t>
            </w:r>
          </w:p>
          <w:p>
            <w:pPr>
              <w:numPr>
                <w:ilvl w:val="0"/>
                <w:numId w:val="0"/>
              </w:numPr>
              <w:jc w:val="left"/>
            </w:pPr>
            <w:r>
              <w:rPr>
                <w:rFonts w:hint="eastAsia" w:ascii="宋体" w:hAnsi="宋体" w:eastAsia="宋体" w:cs="宋体"/>
                <w:color w:val="000000"/>
                <w:sz w:val="24"/>
                <w:szCs w:val="24"/>
              </w:rPr>
              <w:t>具有园林绿化相关专业中级职称且从事绿化行业满2年的，得</w:t>
            </w:r>
            <w:r>
              <w:rPr>
                <w:rFonts w:hint="default" w:ascii="宋体" w:hAnsi="宋体" w:eastAsia="宋体" w:cs="宋体"/>
                <w:color w:val="000000"/>
                <w:sz w:val="24"/>
                <w:szCs w:val="24"/>
                <w:lang w:val="en-US"/>
              </w:rPr>
              <w:t>2</w:t>
            </w:r>
            <w:r>
              <w:rPr>
                <w:rFonts w:hint="eastAsia" w:ascii="宋体" w:hAnsi="宋体" w:eastAsia="宋体" w:cs="宋体"/>
                <w:color w:val="000000"/>
                <w:sz w:val="24"/>
                <w:szCs w:val="24"/>
              </w:rPr>
              <w:t>分；具有园林绿化相关</w:t>
            </w:r>
            <w:bookmarkStart w:id="13" w:name="_GoBack"/>
            <w:bookmarkEnd w:id="13"/>
            <w:r>
              <w:rPr>
                <w:rFonts w:hint="eastAsia" w:ascii="宋体" w:hAnsi="宋体" w:eastAsia="宋体" w:cs="宋体"/>
                <w:color w:val="000000"/>
                <w:sz w:val="24"/>
                <w:szCs w:val="24"/>
              </w:rPr>
              <w:t>专业高级工程师或高级技师的且从事绿化行业满3年的，得5分（提供</w:t>
            </w:r>
            <w:r>
              <w:rPr>
                <w:rFonts w:hint="eastAsia" w:ascii="宋体" w:hAnsi="宋体" w:eastAsia="宋体" w:cs="宋体"/>
                <w:color w:val="000000"/>
                <w:sz w:val="24"/>
                <w:szCs w:val="24"/>
                <w:lang w:eastAsia="zh-CN"/>
              </w:rPr>
              <w:t>职称证书、劳动</w:t>
            </w:r>
            <w:r>
              <w:rPr>
                <w:rFonts w:hint="eastAsia" w:ascii="宋体" w:hAnsi="宋体" w:eastAsia="宋体" w:cs="宋体"/>
                <w:color w:val="000000"/>
                <w:sz w:val="24"/>
                <w:szCs w:val="24"/>
              </w:rPr>
              <w:t>合同等相关证明材料</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tc>
      </w:tr>
      <w:tr>
        <w:tblPrEx>
          <w:tblCellMar>
            <w:top w:w="0" w:type="dxa"/>
            <w:left w:w="108" w:type="dxa"/>
            <w:bottom w:w="0" w:type="dxa"/>
            <w:right w:w="108" w:type="dxa"/>
          </w:tblCellMar>
        </w:tblPrEx>
        <w:trPr>
          <w:trHeight w:val="2107" w:hRule="atLeast"/>
        </w:trPr>
        <w:tc>
          <w:tcPr>
            <w:tcW w:w="630" w:type="pct"/>
            <w:vMerge w:val="continue"/>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sz w:val="24"/>
                <w:szCs w:val="24"/>
              </w:rPr>
            </w:pPr>
            <w:r>
              <w:rPr>
                <w:rFonts w:hint="eastAsia" w:ascii="宋体" w:hAnsi="宋体" w:eastAsia="宋体" w:cs="宋体"/>
                <w:sz w:val="24"/>
                <w:szCs w:val="24"/>
              </w:rPr>
              <w:t>企业业绩</w:t>
            </w:r>
          </w:p>
          <w:p>
            <w:pPr>
              <w:spacing w:line="370" w:lineRule="exact"/>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提供2017年1月1日至今与政府机关或企事业单位的绿植租摆或绿化养护类似业绩：</w:t>
            </w:r>
          </w:p>
          <w:p>
            <w:pPr>
              <w:jc w:val="left"/>
              <w:rPr>
                <w:rFonts w:ascii="宋体" w:hAnsi="宋体" w:eastAsia="宋体" w:cs="宋体"/>
                <w:color w:val="000000"/>
                <w:sz w:val="24"/>
                <w:szCs w:val="24"/>
              </w:rPr>
            </w:pPr>
            <w:r>
              <w:rPr>
                <w:rFonts w:hint="eastAsia" w:ascii="宋体" w:hAnsi="宋体" w:eastAsia="宋体" w:cs="宋体"/>
                <w:color w:val="000000"/>
                <w:sz w:val="24"/>
                <w:szCs w:val="24"/>
              </w:rPr>
              <w:t>绿植租摆或绿化养护合同，每年单价在8万元及以上的，有1个得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分；绿植租摆合同，每年单价在2万元及以上的，有1个得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分。同一项目合同（包含同一实施地点不同年度）不重复记分，本项最高</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分。（提供合同及相对应的发票复印件）</w:t>
            </w:r>
          </w:p>
        </w:tc>
      </w:tr>
      <w:tr>
        <w:trPr>
          <w:trHeight w:val="5441" w:hRule="atLeast"/>
        </w:trPr>
        <w:tc>
          <w:tcPr>
            <w:tcW w:w="630" w:type="pct"/>
            <w:vMerge w:val="continue"/>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养护方案</w:t>
            </w:r>
          </w:p>
          <w:p>
            <w:pPr>
              <w:jc w:val="center"/>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outlineLvl w:val="3"/>
              <w:rPr>
                <w:rFonts w:ascii="宋体" w:hAnsi="宋体" w:eastAsia="宋体" w:cs="宋体"/>
                <w:color w:val="000000"/>
                <w:sz w:val="24"/>
                <w:szCs w:val="24"/>
              </w:rPr>
            </w:pPr>
            <w:r>
              <w:rPr>
                <w:rFonts w:hint="eastAsia" w:ascii="宋体" w:hAnsi="宋体" w:eastAsia="宋体" w:cs="宋体"/>
                <w:color w:val="000000"/>
                <w:sz w:val="24"/>
                <w:szCs w:val="24"/>
              </w:rPr>
              <w:t>根据人员组织、养护计划、服务承诺、综合保障措施等</w:t>
            </w:r>
            <w:r>
              <w:rPr>
                <w:rFonts w:hint="eastAsia" w:ascii="宋体" w:hAnsi="宋体" w:eastAsia="宋体" w:cs="宋体"/>
                <w:color w:val="000000"/>
                <w:sz w:val="24"/>
                <w:szCs w:val="24"/>
                <w:lang w:eastAsia="zh-CN"/>
              </w:rPr>
              <w:t>综合</w:t>
            </w:r>
            <w:r>
              <w:rPr>
                <w:rFonts w:hint="eastAsia" w:ascii="宋体" w:hAnsi="宋体" w:eastAsia="宋体" w:cs="宋体"/>
                <w:color w:val="000000"/>
                <w:sz w:val="24"/>
                <w:szCs w:val="24"/>
              </w:rPr>
              <w:t>打分：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1.对项目认识深刻、全面、切合实际，目标明确，响应招标文件实质性要求：一般≤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2.组织健全、管理科学、体系完整、可操作性强：一般≤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3.质量、安全、文明管护的方案全面合理：一般≤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4.关键性环节及重点、难点分析和解决方法，分析全面、措施合理，对本项目具有针对性：一般≤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5.所采用的新材料、新技术、新工艺必须具备环境友好、资源节约等特点，同时能有效提高养护管理的质量和水平。每有一项得</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分，最多不超过</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6.所提建议有利养护管理工作的开展，切实可行、科学合理的，每有一项得</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分，最多不超过</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p>
          <w:p>
            <w:pPr>
              <w:rPr>
                <w:rFonts w:ascii="宋体" w:hAnsi="宋体" w:eastAsia="宋体" w:cs="宋体"/>
                <w:color w:val="000000"/>
                <w:kern w:val="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绿化养护服务承诺与响应措施。评委从服务承诺与响应措施，进行横向对比综合打分</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r>
              <w:rPr>
                <w:rFonts w:hint="eastAsia" w:ascii="宋体" w:hAnsi="宋体" w:eastAsia="宋体" w:cs="宋体"/>
                <w:color w:val="000000"/>
                <w:kern w:val="0"/>
                <w:sz w:val="24"/>
                <w:szCs w:val="24"/>
              </w:rPr>
              <w:t>。</w:t>
            </w:r>
          </w:p>
        </w:tc>
      </w:tr>
    </w:tbl>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评标办法中涉及人员证书、业绩合同等证明材料，如为复印件均须加盖供应商公章，否则该项不得分。</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（二）商务标评分：（</w:t>
      </w: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0分）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1、本次投标报价采用固定总价报价，本项目最高限价为8.5万元/年。</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2、有效报价：指投标报价低于或等于最高限价的报价，高于最高限价的作废标处理。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w:t>
      </w: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0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特别提醒】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1、未按时交纳磋商保证金或金额不足的；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8、磋商响应报价超出项目服务限价的；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6"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6"/>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7" w:name="_Toc94585343"/>
      <w:bookmarkStart w:id="8" w:name="_Toc363573858"/>
      <w:r>
        <w:rPr>
          <w:rFonts w:hint="eastAsia" w:hAnsi="宋体" w:eastAsia="宋体"/>
          <w:sz w:val="24"/>
          <w:szCs w:val="24"/>
        </w:rPr>
        <w:t>一、成交供应商在接到《成交通知书</w:t>
      </w:r>
      <w:r>
        <w:rPr>
          <w:rFonts w:hint="eastAsia" w:hAnsi="宋体" w:eastAsia="宋体"/>
          <w:sz w:val="24"/>
          <w:szCs w:val="24"/>
          <w:highlight w:val="none"/>
        </w:rPr>
        <w:t>》后3</w:t>
      </w:r>
      <w:r>
        <w:rPr>
          <w:rFonts w:hAnsi="宋体" w:eastAsia="宋体"/>
          <w:sz w:val="24"/>
          <w:szCs w:val="24"/>
          <w:highlight w:val="none"/>
        </w:rPr>
        <w:t>0</w:t>
      </w:r>
      <w:r>
        <w:rPr>
          <w:rFonts w:hint="eastAsia" w:hAnsi="宋体" w:eastAsia="宋体"/>
          <w:sz w:val="24"/>
          <w:szCs w:val="24"/>
          <w:highlight w:val="none"/>
        </w:rPr>
        <w:t>日内与采购人签订合同，</w:t>
      </w:r>
      <w:r>
        <w:rPr>
          <w:rFonts w:hint="eastAsia" w:hAnsi="宋体" w:eastAsia="宋体"/>
          <w:sz w:val="24"/>
          <w:szCs w:val="24"/>
        </w:rPr>
        <w:t>在签订合同之前应将履约保证金转账至采购人指定账户，</w:t>
      </w:r>
      <w:r>
        <w:rPr>
          <w:rFonts w:hint="eastAsia" w:hAnsi="宋体" w:eastAsia="宋体"/>
          <w:sz w:val="24"/>
          <w:szCs w:val="24"/>
          <w:highlight w:val="none"/>
        </w:rPr>
        <w:t>本项目履约保证金金额为中标价的5</w:t>
      </w:r>
      <w:r>
        <w:rPr>
          <w:rFonts w:hAnsi="宋体" w:eastAsia="宋体"/>
          <w:sz w:val="24"/>
          <w:szCs w:val="24"/>
          <w:highlight w:val="none"/>
        </w:rPr>
        <w:t>%</w:t>
      </w:r>
      <w:r>
        <w:rPr>
          <w:rFonts w:hint="eastAsia" w:hAnsi="宋体" w:eastAsia="宋体"/>
          <w:sz w:val="24"/>
          <w:szCs w:val="24"/>
          <w:highlight w:val="none"/>
        </w:rPr>
        <w:t>。合</w:t>
      </w:r>
      <w:r>
        <w:rPr>
          <w:rFonts w:hint="eastAsia" w:hAnsi="宋体" w:eastAsia="宋体"/>
          <w:sz w:val="24"/>
          <w:szCs w:val="24"/>
        </w:rPr>
        <w:t>同签订后成交供应商方可履约，否则引起的一切后果由成交人自行承担。合同一式四份（采购人、供应商各二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9" w:name="OLE_LINK2"/>
      <w:bookmarkStart w:id="10"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9"/>
      <w:bookmarkEnd w:id="10"/>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w:t>
      </w:r>
      <w:r>
        <w:rPr>
          <w:rFonts w:hAnsi="宋体" w:eastAsia="宋体"/>
          <w:sz w:val="24"/>
          <w:szCs w:val="24"/>
        </w:rPr>
        <w:t>每次采购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w:t>
      </w:r>
      <w:r>
        <w:rPr>
          <w:rFonts w:hAnsi="宋体" w:eastAsia="宋体"/>
          <w:sz w:val="24"/>
          <w:szCs w:val="24"/>
        </w:rPr>
        <w:t>根据结算金额按国家有关财税规定开出合法发票交采购</w:t>
      </w:r>
      <w:r>
        <w:rPr>
          <w:rFonts w:hint="eastAsia" w:hAnsi="宋体" w:eastAsia="宋体"/>
          <w:sz w:val="24"/>
          <w:szCs w:val="24"/>
        </w:rPr>
        <w:t>人</w:t>
      </w:r>
      <w:r>
        <w:rPr>
          <w:rFonts w:hAnsi="宋体" w:eastAsia="宋体"/>
          <w:sz w:val="24"/>
          <w:szCs w:val="24"/>
        </w:rPr>
        <w:t>办理付款手续。</w:t>
      </w:r>
    </w:p>
    <w:p>
      <w:pPr>
        <w:widowControl/>
        <w:jc w:val="left"/>
        <w:rPr>
          <w:rFonts w:ascii="宋体" w:hAnsi="宋体" w:eastAsia="宋体" w:cs="宋体"/>
          <w:b/>
          <w:sz w:val="24"/>
          <w:szCs w:val="22"/>
        </w:rPr>
      </w:pP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hint="eastAsia" w:asciiTheme="majorEastAsia" w:hAnsiTheme="majorEastAsia" w:eastAsiaTheme="majorEastAsia" w:cstheme="minorEastAsia"/>
          <w:b/>
          <w:w w:val="80"/>
          <w:sz w:val="36"/>
          <w:szCs w:val="36"/>
          <w:lang w:eastAsia="zh-CN"/>
        </w:rPr>
      </w:pPr>
      <w:r>
        <w:rPr>
          <w:rFonts w:hint="eastAsia" w:asciiTheme="majorEastAsia" w:hAnsiTheme="majorEastAsia" w:eastAsiaTheme="majorEastAsia" w:cstheme="minorEastAsia"/>
          <w:b/>
          <w:w w:val="80"/>
          <w:sz w:val="36"/>
          <w:szCs w:val="36"/>
        </w:rPr>
        <w:t>第六章</w:t>
      </w:r>
      <w:bookmarkEnd w:id="7"/>
      <w:r>
        <w:rPr>
          <w:rFonts w:hint="eastAsia" w:asciiTheme="majorEastAsia" w:hAnsiTheme="majorEastAsia" w:eastAsiaTheme="majorEastAsia" w:cstheme="minorEastAsia"/>
          <w:b/>
          <w:w w:val="80"/>
          <w:sz w:val="36"/>
          <w:szCs w:val="36"/>
        </w:rPr>
        <w:t xml:space="preserve"> </w:t>
      </w:r>
      <w:bookmarkEnd w:id="8"/>
      <w:r>
        <w:rPr>
          <w:rFonts w:hint="eastAsia" w:asciiTheme="majorEastAsia" w:hAnsiTheme="majorEastAsia" w:eastAsiaTheme="majorEastAsia" w:cstheme="minorEastAsia"/>
          <w:b/>
          <w:w w:val="80"/>
          <w:sz w:val="36"/>
          <w:szCs w:val="36"/>
        </w:rPr>
        <w:t>合同</w:t>
      </w:r>
      <w:r>
        <w:rPr>
          <w:rFonts w:hint="eastAsia" w:asciiTheme="majorEastAsia" w:hAnsiTheme="majorEastAsia" w:eastAsiaTheme="majorEastAsia" w:cstheme="minorEastAsia"/>
          <w:b/>
          <w:w w:val="80"/>
          <w:sz w:val="36"/>
          <w:szCs w:val="36"/>
          <w:lang w:eastAsia="zh-CN"/>
        </w:rPr>
        <w:t>条款</w:t>
      </w:r>
    </w:p>
    <w:p>
      <w:pPr>
        <w:pStyle w:val="24"/>
      </w:pPr>
    </w:p>
    <w:p/>
    <w:p>
      <w:pPr>
        <w:spacing w:line="480" w:lineRule="auto"/>
        <w:jc w:val="center"/>
        <w:rPr>
          <w:rFonts w:ascii="宋体" w:hAnsi="宋体"/>
          <w:b/>
          <w:w w:val="90"/>
          <w:kern w:val="0"/>
          <w:sz w:val="52"/>
          <w:szCs w:val="52"/>
        </w:rPr>
      </w:pPr>
      <w:bookmarkStart w:id="11" w:name="_Toc363573859"/>
      <w:r>
        <w:rPr>
          <w:rFonts w:hint="eastAsia" w:ascii="宋体" w:hAnsi="宋体"/>
          <w:b/>
          <w:w w:val="90"/>
          <w:kern w:val="0"/>
          <w:sz w:val="52"/>
          <w:szCs w:val="52"/>
        </w:rPr>
        <w:t>南通市妇幼保健院</w:t>
      </w:r>
    </w:p>
    <w:p>
      <w:pPr>
        <w:spacing w:line="480" w:lineRule="auto"/>
        <w:jc w:val="center"/>
        <w:rPr>
          <w:rFonts w:ascii="宋体" w:hAnsi="宋体"/>
          <w:b/>
          <w:bCs/>
          <w:sz w:val="52"/>
          <w:szCs w:val="52"/>
        </w:rPr>
      </w:pPr>
      <w:r>
        <w:rPr>
          <w:rFonts w:hint="eastAsia" w:ascii="宋体" w:hAnsi="宋体"/>
          <w:b/>
          <w:w w:val="90"/>
          <w:kern w:val="0"/>
          <w:sz w:val="52"/>
          <w:szCs w:val="52"/>
        </w:rPr>
        <w:t>2021-2024年绿植租摆与绿化养护合同</w:t>
      </w: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pStyle w:val="24"/>
        <w:jc w:val="center"/>
      </w:pPr>
    </w:p>
    <w:p>
      <w:pPr>
        <w:jc w:val="cente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pStyle w:val="24"/>
        <w:jc w:val="center"/>
      </w:pPr>
    </w:p>
    <w:p>
      <w:pPr>
        <w:jc w:val="center"/>
      </w:pPr>
    </w:p>
    <w:p>
      <w:pPr>
        <w:pStyle w:val="24"/>
        <w:jc w:val="center"/>
      </w:pPr>
    </w:p>
    <w:p>
      <w:pPr>
        <w:spacing w:line="360" w:lineRule="auto"/>
        <w:ind w:firstLine="560"/>
        <w:rPr>
          <w:rFonts w:ascii="仿宋_GB2312" w:hAnsi="仿宋" w:eastAsia="仿宋_GB2312"/>
          <w:sz w:val="28"/>
          <w:szCs w:val="28"/>
        </w:rPr>
      </w:pPr>
    </w:p>
    <w:p>
      <w:pPr>
        <w:spacing w:line="360" w:lineRule="auto"/>
        <w:ind w:firstLine="1680" w:firstLineChars="600"/>
        <w:rPr>
          <w:rFonts w:ascii="仿宋_GB2312" w:hAnsi="仿宋" w:eastAsia="仿宋_GB2312"/>
          <w:bCs/>
          <w:sz w:val="28"/>
          <w:szCs w:val="28"/>
          <w:u w:val="single"/>
        </w:rPr>
      </w:pPr>
      <w:r>
        <w:rPr>
          <w:rFonts w:hint="eastAsia" w:ascii="仿宋_GB2312" w:hAnsi="仿宋" w:eastAsia="仿宋_GB2312"/>
          <w:sz w:val="28"/>
          <w:szCs w:val="28"/>
        </w:rPr>
        <w:t>采购人（甲</w:t>
      </w:r>
      <w:r>
        <w:rPr>
          <w:rFonts w:ascii="仿宋_GB2312" w:hAnsi="仿宋" w:eastAsia="仿宋_GB2312"/>
          <w:sz w:val="28"/>
          <w:szCs w:val="28"/>
        </w:rPr>
        <w:t xml:space="preserve"> </w:t>
      </w:r>
      <w:r>
        <w:rPr>
          <w:rFonts w:hint="eastAsia" w:ascii="仿宋_GB2312" w:hAnsi="仿宋" w:eastAsia="仿宋_GB2312"/>
          <w:sz w:val="28"/>
          <w:szCs w:val="28"/>
        </w:rPr>
        <w:t>方）：</w:t>
      </w:r>
      <w:r>
        <w:rPr>
          <w:rFonts w:hint="eastAsia" w:ascii="仿宋_GB2312" w:hAnsi="仿宋" w:eastAsia="仿宋_GB2312"/>
          <w:sz w:val="28"/>
          <w:szCs w:val="28"/>
          <w:u w:val="single"/>
        </w:rPr>
        <w:t>南通市妇幼保健院</w:t>
      </w:r>
    </w:p>
    <w:p>
      <w:pPr>
        <w:spacing w:line="360" w:lineRule="auto"/>
        <w:ind w:firstLine="1680" w:firstLineChars="600"/>
        <w:rPr>
          <w:rFonts w:ascii="仿宋_GB2312" w:hAnsi="仿宋" w:eastAsia="仿宋_GB2312"/>
          <w:sz w:val="28"/>
          <w:szCs w:val="28"/>
          <w:u w:val="single"/>
        </w:rPr>
      </w:pPr>
      <w:r>
        <w:rPr>
          <w:rFonts w:hint="eastAsia" w:ascii="仿宋_GB2312" w:hAnsi="仿宋" w:eastAsia="仿宋_GB2312"/>
          <w:sz w:val="28"/>
          <w:szCs w:val="28"/>
        </w:rPr>
        <w:t>供应商（乙</w:t>
      </w:r>
      <w:r>
        <w:rPr>
          <w:rFonts w:ascii="仿宋_GB2312" w:hAnsi="仿宋" w:eastAsia="仿宋_GB2312"/>
          <w:sz w:val="28"/>
          <w:szCs w:val="28"/>
        </w:rPr>
        <w:t xml:space="preserve"> </w:t>
      </w:r>
      <w:r>
        <w:rPr>
          <w:rFonts w:hint="eastAsia" w:ascii="仿宋_GB2312" w:hAnsi="仿宋" w:eastAsia="仿宋_GB2312"/>
          <w:sz w:val="28"/>
          <w:szCs w:val="28"/>
        </w:rPr>
        <w:t>方）：</w:t>
      </w:r>
      <w:r>
        <w:rPr>
          <w:rFonts w:hint="eastAsia" w:ascii="仿宋_GB2312" w:hAnsi="仿宋" w:eastAsia="仿宋_GB2312"/>
          <w:sz w:val="28"/>
          <w:szCs w:val="28"/>
          <w:u w:val="single"/>
        </w:rPr>
        <w:t xml:space="preserve">                 </w:t>
      </w:r>
    </w:p>
    <w:p>
      <w:pPr>
        <w:widowControl/>
        <w:jc w:val="left"/>
        <w:rPr>
          <w:rFonts w:asciiTheme="majorEastAsia" w:hAnsiTheme="majorEastAsia" w:eastAsiaTheme="majorEastAsia" w:cstheme="minorEastAsia"/>
          <w:kern w:val="0"/>
          <w:sz w:val="24"/>
          <w:szCs w:val="24"/>
        </w:rPr>
      </w:pPr>
    </w:p>
    <w:p>
      <w:pPr>
        <w:widowControl/>
        <w:jc w:val="left"/>
        <w:rPr>
          <w:rFonts w:ascii="宋体" w:hAnsi="宋体" w:eastAsia="宋体"/>
          <w:bCs/>
          <w:sz w:val="24"/>
        </w:rPr>
      </w:pPr>
      <w:r>
        <w:rPr>
          <w:rFonts w:asciiTheme="majorEastAsia" w:hAnsiTheme="majorEastAsia" w:eastAsiaTheme="majorEastAsia" w:cstheme="minorEastAsia"/>
          <w:b/>
          <w:w w:val="80"/>
          <w:sz w:val="36"/>
          <w:szCs w:val="36"/>
        </w:rPr>
        <w:br w:type="page"/>
      </w:r>
      <w:r>
        <w:rPr>
          <w:rFonts w:hint="eastAsia" w:ascii="宋体" w:hAnsi="宋体" w:eastAsia="宋体"/>
          <w:b/>
          <w:sz w:val="24"/>
        </w:rPr>
        <w:t>采购人：</w:t>
      </w:r>
      <w:r>
        <w:rPr>
          <w:rFonts w:hint="eastAsia" w:ascii="宋体" w:hAnsi="宋体" w:eastAsia="宋体"/>
          <w:bCs/>
          <w:sz w:val="24"/>
          <w:u w:val="single"/>
        </w:rPr>
        <w:t>南通市妇幼保健院</w:t>
      </w:r>
      <w:r>
        <w:rPr>
          <w:rFonts w:hint="eastAsia" w:ascii="宋体" w:hAnsi="宋体" w:eastAsia="宋体"/>
          <w:bCs/>
          <w:sz w:val="24"/>
        </w:rPr>
        <w:t>（以下简称“甲方”）</w:t>
      </w:r>
    </w:p>
    <w:p>
      <w:pPr>
        <w:spacing w:line="360" w:lineRule="auto"/>
        <w:jc w:val="left"/>
        <w:rPr>
          <w:rFonts w:ascii="宋体" w:hAnsi="宋体" w:eastAsia="宋体"/>
          <w:b/>
          <w:sz w:val="24"/>
        </w:rPr>
      </w:pPr>
      <w:r>
        <w:rPr>
          <w:rFonts w:hint="eastAsia" w:ascii="宋体" w:hAnsi="宋体" w:eastAsia="宋体"/>
          <w:b/>
          <w:sz w:val="24"/>
        </w:rPr>
        <w:t>供应商：</w:t>
      </w:r>
      <w:r>
        <w:rPr>
          <w:rFonts w:hint="eastAsia" w:ascii="宋体" w:hAnsi="宋体" w:eastAsia="宋体"/>
          <w:b/>
          <w:sz w:val="24"/>
          <w:u w:val="single"/>
        </w:rPr>
        <w:t xml:space="preserve">                        </w:t>
      </w:r>
      <w:r>
        <w:rPr>
          <w:rFonts w:hint="eastAsia" w:ascii="宋体" w:hAnsi="宋体" w:eastAsia="宋体"/>
          <w:bCs/>
          <w:sz w:val="24"/>
        </w:rPr>
        <w:t>（以下简称“乙方”）</w:t>
      </w:r>
    </w:p>
    <w:p>
      <w:pPr>
        <w:spacing w:line="360" w:lineRule="auto"/>
        <w:ind w:firstLine="540"/>
        <w:rPr>
          <w:rFonts w:ascii="宋体" w:hAnsi="宋体" w:eastAsia="宋体"/>
          <w:b/>
          <w:sz w:val="24"/>
          <w:szCs w:val="21"/>
        </w:rPr>
      </w:pPr>
      <w:r>
        <w:rPr>
          <w:rFonts w:hint="eastAsia" w:ascii="宋体" w:hAnsi="宋体" w:eastAsia="宋体"/>
          <w:sz w:val="24"/>
        </w:rPr>
        <w:t>依《中华人民共和国民法典》、《中华人民共和国招标投标法》及相关法律法规为准则，依本项目磋商文件、乙方投标响应文件和商务报价为基础，遵循平等、自愿、公平、诚信的原则，双方就本项目有关事项协商一致，现订立本合同，共同遵照执行。</w:t>
      </w:r>
    </w:p>
    <w:p>
      <w:pPr>
        <w:spacing w:after="120" w:line="360" w:lineRule="auto"/>
        <w:ind w:left="520" w:leftChars="200" w:firstLine="600" w:firstLineChars="250"/>
        <w:rPr>
          <w:rFonts w:ascii="宋体" w:hAnsi="宋体" w:eastAsia="宋体"/>
          <w:sz w:val="24"/>
        </w:rPr>
      </w:pPr>
    </w:p>
    <w:p>
      <w:pPr>
        <w:spacing w:line="360" w:lineRule="auto"/>
        <w:ind w:firstLine="466" w:firstLineChars="200"/>
        <w:jc w:val="center"/>
        <w:rPr>
          <w:rFonts w:ascii="宋体" w:hAnsi="宋体" w:eastAsia="宋体"/>
          <w:b/>
          <w:spacing w:val="-4"/>
          <w:sz w:val="24"/>
        </w:rPr>
      </w:pPr>
      <w:r>
        <w:rPr>
          <w:rFonts w:hint="eastAsia" w:ascii="宋体" w:hAnsi="宋体" w:eastAsia="宋体"/>
          <w:b/>
          <w:spacing w:val="-4"/>
          <w:sz w:val="24"/>
        </w:rPr>
        <w:t>第一章</w:t>
      </w:r>
      <w:r>
        <w:rPr>
          <w:rFonts w:ascii="宋体" w:hAnsi="宋体" w:eastAsia="宋体"/>
          <w:b/>
          <w:spacing w:val="-4"/>
          <w:sz w:val="24"/>
        </w:rPr>
        <w:t xml:space="preserve">  </w:t>
      </w:r>
      <w:r>
        <w:rPr>
          <w:rFonts w:hint="eastAsia" w:ascii="宋体" w:hAnsi="宋体" w:eastAsia="宋体"/>
          <w:b/>
          <w:spacing w:val="-4"/>
          <w:sz w:val="24"/>
        </w:rPr>
        <w:t>合同标的</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第一条</w:t>
      </w:r>
      <w:r>
        <w:rPr>
          <w:rFonts w:ascii="宋体" w:hAnsi="宋体" w:eastAsia="宋体"/>
          <w:spacing w:val="-4"/>
          <w:sz w:val="24"/>
        </w:rPr>
        <w:t xml:space="preserve">  </w:t>
      </w:r>
      <w:r>
        <w:rPr>
          <w:rFonts w:hint="eastAsia" w:ascii="宋体" w:hAnsi="宋体" w:eastAsia="宋体"/>
          <w:spacing w:val="-4"/>
          <w:sz w:val="24"/>
        </w:rPr>
        <w:t>本合同标的为：</w:t>
      </w:r>
    </w:p>
    <w:p>
      <w:pPr>
        <w:spacing w:line="360" w:lineRule="auto"/>
        <w:ind w:firstLine="464" w:firstLineChars="200"/>
        <w:jc w:val="left"/>
        <w:rPr>
          <w:rFonts w:ascii="宋体" w:hAnsi="宋体" w:eastAsia="宋体"/>
          <w:spacing w:val="-4"/>
          <w:sz w:val="24"/>
          <w:u w:val="single"/>
        </w:rPr>
      </w:pPr>
      <w:r>
        <w:rPr>
          <w:rFonts w:hint="eastAsia" w:ascii="宋体" w:hAnsi="宋体" w:eastAsia="宋体"/>
          <w:spacing w:val="-4"/>
          <w:sz w:val="24"/>
          <w:u w:val="single"/>
        </w:rPr>
        <w:t>绿植、盆景、绿化的租赁摆放及修剪、施肥、除草、抹芽、防虫治理、维护养护、清卫、保洁等，Ⅰ级养</w:t>
      </w:r>
      <w:r>
        <w:rPr>
          <w:rFonts w:hint="eastAsia" w:ascii="宋体" w:hAnsi="宋体" w:eastAsia="宋体"/>
          <w:spacing w:val="-4"/>
          <w:sz w:val="24"/>
          <w:highlight w:val="none"/>
          <w:u w:val="single"/>
        </w:rPr>
        <w:t>护</w:t>
      </w:r>
      <w:r>
        <w:rPr>
          <w:rFonts w:hint="eastAsia" w:ascii="宋体" w:hAnsi="宋体" w:eastAsia="宋体"/>
          <w:spacing w:val="-4"/>
          <w:sz w:val="24"/>
          <w:highlight w:val="none"/>
          <w:u w:val="single"/>
          <w:lang w:val="en-US" w:eastAsia="zh-CN"/>
        </w:rPr>
        <w:t>1</w:t>
      </w:r>
      <w:r>
        <w:rPr>
          <w:rFonts w:hint="eastAsia" w:ascii="宋体" w:hAnsi="宋体" w:eastAsia="宋体"/>
          <w:spacing w:val="-4"/>
          <w:sz w:val="24"/>
          <w:highlight w:val="none"/>
          <w:u w:val="single"/>
        </w:rPr>
        <w:t>年。</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第二条</w:t>
      </w:r>
      <w:r>
        <w:rPr>
          <w:rFonts w:ascii="宋体" w:hAnsi="宋体" w:eastAsia="宋体"/>
          <w:spacing w:val="-4"/>
          <w:sz w:val="24"/>
        </w:rPr>
        <w:t xml:space="preserve">  </w:t>
      </w:r>
      <w:r>
        <w:rPr>
          <w:rFonts w:hint="eastAsia" w:ascii="宋体" w:hAnsi="宋体" w:eastAsia="宋体"/>
          <w:spacing w:val="-4"/>
          <w:sz w:val="24"/>
        </w:rPr>
        <w:t>本合同中涉及甲方需乙方提供租赁的绿植约</w:t>
      </w:r>
      <w:r>
        <w:rPr>
          <w:rFonts w:hint="eastAsia" w:ascii="宋体" w:hAnsi="宋体" w:eastAsia="宋体"/>
          <w:color w:val="auto"/>
          <w:spacing w:val="-4"/>
          <w:sz w:val="24"/>
          <w:lang w:val="en-US" w:eastAsia="zh-CN"/>
        </w:rPr>
        <w:t>576</w:t>
      </w:r>
      <w:r>
        <w:rPr>
          <w:rFonts w:hint="eastAsia" w:ascii="宋体" w:hAnsi="宋体" w:eastAsia="宋体"/>
          <w:color w:val="auto"/>
          <w:spacing w:val="-4"/>
          <w:sz w:val="24"/>
          <w:lang w:eastAsia="zh-CN"/>
        </w:rPr>
        <w:t>株</w:t>
      </w:r>
      <w:r>
        <w:rPr>
          <w:rFonts w:hint="eastAsia" w:ascii="宋体" w:hAnsi="宋体" w:eastAsia="宋体"/>
          <w:color w:val="auto"/>
          <w:spacing w:val="-4"/>
          <w:sz w:val="24"/>
        </w:rPr>
        <w:t>（详</w:t>
      </w:r>
      <w:r>
        <w:rPr>
          <w:rFonts w:hint="eastAsia" w:ascii="宋体" w:hAnsi="宋体" w:eastAsia="宋体"/>
          <w:spacing w:val="-4"/>
          <w:sz w:val="24"/>
        </w:rPr>
        <w:t>见采购清单），另有须养护的甲方自有绿化约14000m</w:t>
      </w:r>
      <w:r>
        <w:rPr>
          <w:rFonts w:hint="eastAsia" w:ascii="宋体" w:hAnsi="宋体" w:eastAsia="宋体"/>
          <w:spacing w:val="-4"/>
          <w:sz w:val="24"/>
          <w:vertAlign w:val="superscript"/>
        </w:rPr>
        <w:t>2</w:t>
      </w:r>
      <w:r>
        <w:rPr>
          <w:rFonts w:hint="eastAsia" w:ascii="宋体" w:hAnsi="宋体" w:eastAsia="宋体"/>
          <w:spacing w:val="-4"/>
          <w:sz w:val="24"/>
        </w:rPr>
        <w:t>（</w:t>
      </w:r>
      <w:r>
        <w:rPr>
          <w:rFonts w:hint="eastAsia" w:ascii="宋体" w:hAnsi="宋体" w:eastAsia="宋体"/>
          <w:sz w:val="24"/>
        </w:rPr>
        <w:t>详见图纸红线以外部分</w:t>
      </w:r>
      <w:r>
        <w:rPr>
          <w:rFonts w:hint="eastAsia" w:ascii="宋体" w:hAnsi="宋体" w:eastAsia="宋体"/>
          <w:spacing w:val="-4"/>
          <w:sz w:val="24"/>
        </w:rPr>
        <w:t>），其中甲方自有绿化养护部分工程量结算不予调整。</w:t>
      </w:r>
    </w:p>
    <w:p>
      <w:pPr>
        <w:spacing w:line="360" w:lineRule="auto"/>
        <w:ind w:firstLine="464" w:firstLineChars="200"/>
        <w:jc w:val="left"/>
        <w:rPr>
          <w:rFonts w:ascii="宋体" w:hAnsi="宋体" w:eastAsia="宋体"/>
          <w:spacing w:val="-4"/>
          <w:sz w:val="24"/>
        </w:rPr>
      </w:pPr>
      <w:r>
        <w:rPr>
          <w:rFonts w:hint="eastAsia" w:ascii="宋体" w:hAnsi="宋体" w:eastAsia="宋体"/>
          <w:spacing w:val="-4"/>
          <w:sz w:val="24"/>
        </w:rPr>
        <w:t>乙方应按照《南通市园林养护管理技术规程》要求，合理组织，精心养护，保持、完成养护管理任务。主要内容及要求如下：</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1、修剪：根据各类植物的生长特点、立地环境、景观要求，按操作规程适时进行。</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2、施肥：根据各类植物的生长特点及对肥料的需要，要求一年施肥不得少于2次，保持各类植物的生长旺盛，并达至一定景观效果。</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3、除草：各类绿地、绿带要结合松土及时清理各类杂草。</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4、抹芽：主要由乔木、大型灌木，对不定芽要及时清除，以保持树木骨架清晰，促进生长形态美观，养分集中（特别是修剪后，更应注意）。</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5、病虫害防治：病虫害防治是园林植物养护中较为重要的环节，要根据各类植物的寄生对象及时做好预防措施。抗旱、抗台、排涝；旱季及新种植物要及时进行浇水，防止植物因干旱而脱水致死；台风期间要做好加固、排涝、抢险工作，防止植物受损。</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6、清卫、保洁：及时清理树枝杂物，绿地必须达到无明显垃圾，做到整洁美观。乙方在维护绿植时所产生的垃圾需按规定处理，不随意处置。</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7、乙方应节约水电能源，不随意浪费，乙方应爱护绿植，不得随意移栽。</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8、</w:t>
      </w:r>
      <w:r>
        <w:rPr>
          <w:rFonts w:hint="eastAsia" w:eastAsia="宋体"/>
          <w:sz w:val="24"/>
        </w:rPr>
        <w:t>乙方在春耕施肥和杀虫季节，按规定定期喷洒农药，并做好农药残渣对地面渗漏伤害的防护工作</w:t>
      </w:r>
      <w:r>
        <w:rPr>
          <w:rFonts w:hint="eastAsia" w:ascii="宋体" w:hAnsi="宋体" w:eastAsia="宋体"/>
          <w:spacing w:val="-4"/>
          <w:sz w:val="24"/>
        </w:rPr>
        <w:t>。</w:t>
      </w:r>
    </w:p>
    <w:p>
      <w:pPr>
        <w:snapToGrid w:val="0"/>
        <w:spacing w:line="360" w:lineRule="auto"/>
        <w:ind w:firstLine="464" w:firstLineChars="200"/>
        <w:rPr>
          <w:rFonts w:hint="eastAsia" w:ascii="宋体" w:hAnsi="宋体" w:eastAsia="宋体"/>
          <w:spacing w:val="-4"/>
          <w:sz w:val="24"/>
        </w:rPr>
      </w:pPr>
      <w:r>
        <w:rPr>
          <w:rFonts w:hint="eastAsia" w:ascii="宋体" w:hAnsi="宋体" w:eastAsia="宋体"/>
          <w:spacing w:val="-4"/>
          <w:sz w:val="24"/>
        </w:rPr>
        <w:t>9、如甲方有重大活动（每年不超过三次），需要临时增加盆景数量，乙方在一个工作日内无偿提供。</w:t>
      </w:r>
    </w:p>
    <w:p>
      <w:pPr>
        <w:snapToGrid w:val="0"/>
        <w:spacing w:line="360" w:lineRule="auto"/>
        <w:ind w:firstLine="464" w:firstLineChars="200"/>
        <w:rPr>
          <w:rFonts w:hint="eastAsia" w:ascii="宋体" w:hAnsi="宋体" w:eastAsia="宋体"/>
          <w:spacing w:val="-4"/>
          <w:sz w:val="24"/>
        </w:rPr>
      </w:pPr>
      <w:r>
        <w:rPr>
          <w:rFonts w:hint="eastAsia" w:ascii="宋体" w:hAnsi="宋体" w:eastAsia="宋体"/>
          <w:spacing w:val="-4"/>
          <w:sz w:val="24"/>
        </w:rPr>
        <w:t>10、乙方应根据甲方要求更换应季盆景，及时更换失去观赏价值的绿植。</w:t>
      </w:r>
    </w:p>
    <w:p>
      <w:pPr>
        <w:snapToGrid w:val="0"/>
        <w:spacing w:line="360" w:lineRule="auto"/>
        <w:ind w:firstLine="464" w:firstLineChars="200"/>
        <w:rPr>
          <w:rFonts w:hint="default" w:ascii="宋体" w:hAnsi="宋体" w:eastAsia="宋体"/>
          <w:color w:val="FF0000"/>
          <w:spacing w:val="-4"/>
          <w:sz w:val="24"/>
          <w:lang w:val="en-US" w:eastAsia="zh-CN"/>
        </w:rPr>
      </w:pPr>
      <w:r>
        <w:rPr>
          <w:rFonts w:hint="eastAsia" w:ascii="宋体" w:hAnsi="宋体" w:eastAsia="宋体"/>
          <w:color w:val="FF0000"/>
          <w:spacing w:val="-4"/>
          <w:sz w:val="24"/>
          <w:lang w:val="en-US" w:eastAsia="zh-CN"/>
        </w:rPr>
        <w:t>11、如甲方需增加或减少租摆数量，其价格需与乙方报价明细表一致。</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第三条</w:t>
      </w:r>
      <w:r>
        <w:rPr>
          <w:rFonts w:ascii="宋体" w:hAnsi="宋体" w:eastAsia="宋体"/>
          <w:spacing w:val="-4"/>
          <w:sz w:val="24"/>
        </w:rPr>
        <w:t xml:space="preserve">  </w:t>
      </w:r>
      <w:r>
        <w:rPr>
          <w:rFonts w:hint="eastAsia" w:ascii="宋体" w:hAnsi="宋体" w:eastAsia="宋体"/>
          <w:spacing w:val="-4"/>
          <w:sz w:val="24"/>
        </w:rPr>
        <w:t>本合同中甲方如需乙方额外摆租绿植的，数量由甲方根据实际需要来定。</w:t>
      </w:r>
    </w:p>
    <w:p>
      <w:pPr>
        <w:spacing w:line="360" w:lineRule="auto"/>
        <w:ind w:firstLine="390"/>
        <w:rPr>
          <w:rFonts w:ascii="宋体" w:hAnsi="宋体" w:eastAsia="宋体"/>
          <w:spacing w:val="-4"/>
          <w:sz w:val="24"/>
        </w:rPr>
      </w:pPr>
    </w:p>
    <w:p>
      <w:pPr>
        <w:spacing w:line="360" w:lineRule="auto"/>
        <w:ind w:firstLine="390"/>
        <w:jc w:val="center"/>
        <w:rPr>
          <w:rFonts w:ascii="宋体" w:hAnsi="宋体" w:eastAsia="宋体"/>
          <w:b/>
          <w:sz w:val="24"/>
        </w:rPr>
      </w:pPr>
      <w:r>
        <w:rPr>
          <w:rFonts w:ascii="宋体" w:hAnsi="宋体" w:eastAsia="宋体"/>
          <w:b/>
          <w:sz w:val="24"/>
        </w:rPr>
        <w:t xml:space="preserve"> </w:t>
      </w:r>
      <w:r>
        <w:rPr>
          <w:rFonts w:hint="eastAsia" w:ascii="宋体" w:hAnsi="宋体" w:eastAsia="宋体"/>
          <w:b/>
          <w:sz w:val="24"/>
        </w:rPr>
        <w:t>第二章</w:t>
      </w:r>
      <w:r>
        <w:rPr>
          <w:rFonts w:ascii="宋体" w:hAnsi="宋体" w:eastAsia="宋体"/>
          <w:b/>
          <w:sz w:val="24"/>
        </w:rPr>
        <w:t xml:space="preserve">  </w:t>
      </w:r>
      <w:r>
        <w:rPr>
          <w:rFonts w:hint="eastAsia" w:ascii="宋体" w:hAnsi="宋体" w:eastAsia="宋体"/>
          <w:b/>
          <w:sz w:val="24"/>
        </w:rPr>
        <w:t>双方的权利义务</w:t>
      </w:r>
    </w:p>
    <w:p>
      <w:pPr>
        <w:spacing w:line="360" w:lineRule="auto"/>
        <w:ind w:firstLine="472" w:firstLineChars="196"/>
        <w:jc w:val="center"/>
        <w:rPr>
          <w:rFonts w:ascii="宋体" w:hAnsi="宋体" w:eastAsia="宋体"/>
          <w:b/>
          <w:sz w:val="24"/>
        </w:rPr>
      </w:pPr>
      <w:r>
        <w:rPr>
          <w:rFonts w:hint="eastAsia" w:ascii="宋体" w:hAnsi="宋体" w:eastAsia="宋体"/>
          <w:b/>
          <w:sz w:val="24"/>
        </w:rPr>
        <w:t>第一节</w:t>
      </w:r>
      <w:r>
        <w:rPr>
          <w:rFonts w:ascii="宋体" w:hAnsi="宋体" w:eastAsia="宋体"/>
          <w:b/>
          <w:sz w:val="24"/>
        </w:rPr>
        <w:t xml:space="preserve">  </w:t>
      </w:r>
      <w:r>
        <w:rPr>
          <w:rFonts w:hint="eastAsia" w:ascii="宋体" w:hAnsi="宋体" w:eastAsia="宋体"/>
          <w:b/>
          <w:sz w:val="24"/>
        </w:rPr>
        <w:t>乙方的权利义务</w:t>
      </w:r>
    </w:p>
    <w:p>
      <w:pPr>
        <w:spacing w:line="360" w:lineRule="auto"/>
        <w:ind w:firstLine="482" w:firstLineChars="200"/>
        <w:jc w:val="left"/>
        <w:rPr>
          <w:rFonts w:ascii="宋体" w:hAnsi="宋体" w:eastAsia="宋体"/>
          <w:sz w:val="24"/>
          <w:u w:val="single"/>
        </w:rPr>
      </w:pPr>
      <w:r>
        <w:rPr>
          <w:rFonts w:hint="eastAsia" w:ascii="宋体" w:hAnsi="宋体" w:eastAsia="宋体"/>
          <w:b/>
          <w:sz w:val="24"/>
        </w:rPr>
        <w:t>第四条</w:t>
      </w:r>
      <w:r>
        <w:rPr>
          <w:rFonts w:ascii="宋体" w:hAnsi="宋体" w:eastAsia="宋体"/>
          <w:sz w:val="24"/>
        </w:rPr>
        <w:t xml:space="preserve">  </w:t>
      </w:r>
      <w:r>
        <w:rPr>
          <w:rFonts w:hint="eastAsia" w:ascii="宋体" w:hAnsi="宋体" w:eastAsia="宋体"/>
          <w:sz w:val="24"/>
        </w:rPr>
        <w:t>为了做好对甲方的绿植租赁与绿化养护服务，乙方</w:t>
      </w:r>
      <w:r>
        <w:rPr>
          <w:rFonts w:hint="eastAsia" w:eastAsia="宋体"/>
          <w:sz w:val="24"/>
        </w:rPr>
        <w:t>每隔</w:t>
      </w:r>
      <w:r>
        <w:rPr>
          <w:rFonts w:eastAsia="宋体"/>
          <w:sz w:val="24"/>
        </w:rPr>
        <w:t>7</w:t>
      </w:r>
      <w:r>
        <w:rPr>
          <w:rFonts w:hint="eastAsia" w:eastAsia="宋体"/>
          <w:sz w:val="24"/>
        </w:rPr>
        <w:t>日对绿植进行养护，每月进行2次绿化养护</w:t>
      </w:r>
      <w:r>
        <w:rPr>
          <w:rFonts w:hint="eastAsia" w:ascii="宋体" w:hAnsi="宋体" w:eastAsia="宋体"/>
          <w:sz w:val="24"/>
        </w:rPr>
        <w:t>。</w:t>
      </w:r>
    </w:p>
    <w:p>
      <w:pPr>
        <w:spacing w:line="360" w:lineRule="auto"/>
        <w:ind w:firstLine="482" w:firstLineChars="200"/>
        <w:jc w:val="left"/>
        <w:rPr>
          <w:rFonts w:ascii="宋体" w:hAnsi="宋体" w:eastAsia="宋体"/>
          <w:sz w:val="24"/>
        </w:rPr>
      </w:pPr>
      <w:r>
        <w:rPr>
          <w:rFonts w:hint="eastAsia" w:ascii="宋体" w:hAnsi="宋体" w:eastAsia="宋体"/>
          <w:b/>
          <w:sz w:val="24"/>
        </w:rPr>
        <w:t>第五条</w:t>
      </w:r>
      <w:r>
        <w:rPr>
          <w:rFonts w:ascii="宋体" w:hAnsi="宋体" w:eastAsia="宋体"/>
          <w:sz w:val="24"/>
        </w:rPr>
        <w:t xml:space="preserve">  </w:t>
      </w:r>
      <w:r>
        <w:rPr>
          <w:rFonts w:hint="eastAsia" w:ascii="宋体" w:hAnsi="宋体" w:eastAsia="宋体"/>
          <w:sz w:val="24"/>
        </w:rPr>
        <w:t>乙方按照甲方要求提供租赁及养护服务，数量和位置以甲方提出的要求为准。如因乙方养护不周，导致绿植、绿化产生枯萎、病死、叶子严重脱落现象，乙方在</w:t>
      </w:r>
      <w:r>
        <w:rPr>
          <w:rFonts w:ascii="宋体" w:hAnsi="宋体" w:eastAsia="宋体"/>
          <w:sz w:val="24"/>
        </w:rPr>
        <w:t>2</w:t>
      </w:r>
      <w:r>
        <w:rPr>
          <w:rFonts w:hint="eastAsia" w:ascii="宋体" w:hAnsi="宋体" w:eastAsia="宋体"/>
          <w:sz w:val="24"/>
        </w:rPr>
        <w:t>天内须免费更换，且更换的绿植须得到采购人的认可。</w:t>
      </w:r>
    </w:p>
    <w:p>
      <w:pPr>
        <w:spacing w:line="360" w:lineRule="auto"/>
        <w:ind w:firstLine="482" w:firstLineChars="200"/>
        <w:jc w:val="left"/>
        <w:rPr>
          <w:rFonts w:ascii="宋体" w:hAnsi="宋体" w:eastAsia="宋体"/>
          <w:sz w:val="24"/>
        </w:rPr>
      </w:pPr>
      <w:r>
        <w:rPr>
          <w:rFonts w:hint="eastAsia" w:ascii="宋体" w:hAnsi="宋体" w:eastAsia="宋体"/>
          <w:b/>
          <w:sz w:val="24"/>
        </w:rPr>
        <w:t>第六条</w:t>
      </w:r>
      <w:r>
        <w:rPr>
          <w:rFonts w:ascii="宋体" w:hAnsi="宋体" w:eastAsia="宋体"/>
          <w:b/>
          <w:sz w:val="24"/>
        </w:rPr>
        <w:t xml:space="preserve">  </w:t>
      </w:r>
      <w:r>
        <w:rPr>
          <w:rFonts w:hint="eastAsia" w:ascii="宋体" w:hAnsi="宋体" w:eastAsia="宋体"/>
          <w:sz w:val="24"/>
        </w:rPr>
        <w:t>甲方自有花木有病虫害的，乙方应及时救治，并做好如下安全防范工作：</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1</w:t>
      </w:r>
      <w:r>
        <w:rPr>
          <w:rFonts w:hint="eastAsia" w:ascii="宋体" w:hAnsi="宋体" w:eastAsia="宋体"/>
          <w:kern w:val="0"/>
          <w:sz w:val="24"/>
        </w:rPr>
        <w:t>）乙方在从事喷洒农药、控制有害生物、修剪树木、修理设施或水体保护等工作时应自行采取相应的安全防护措施。除双方另有约定外，安全防护费用由乙方自行承担。</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2</w:t>
      </w:r>
      <w:r>
        <w:rPr>
          <w:rFonts w:hint="eastAsia" w:ascii="宋体" w:hAnsi="宋体" w:eastAsia="宋体"/>
          <w:kern w:val="0"/>
          <w:sz w:val="24"/>
        </w:rPr>
        <w:t>）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3</w:t>
      </w:r>
      <w:r>
        <w:rPr>
          <w:rFonts w:hint="eastAsia" w:ascii="宋体" w:hAnsi="宋体" w:eastAsia="宋体"/>
          <w:kern w:val="0"/>
          <w:sz w:val="24"/>
        </w:rPr>
        <w:t>）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任何责任和损失由乙方承担。</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（4）乙方必须重视职工安全作业，如发生安全责任事故，由乙方承担全部责任。造成甲方人员和财产损失的，乙方承担全部责任。</w:t>
      </w:r>
    </w:p>
    <w:p>
      <w:pPr>
        <w:spacing w:line="360" w:lineRule="auto"/>
        <w:ind w:firstLine="482" w:firstLineChars="200"/>
        <w:jc w:val="left"/>
        <w:rPr>
          <w:rFonts w:ascii="宋体" w:hAnsi="宋体" w:eastAsia="宋体"/>
          <w:sz w:val="24"/>
        </w:rPr>
      </w:pPr>
      <w:r>
        <w:rPr>
          <w:rFonts w:hint="eastAsia" w:ascii="宋体" w:hAnsi="宋体" w:eastAsia="宋体"/>
          <w:b/>
          <w:sz w:val="24"/>
        </w:rPr>
        <w:t>第七条</w:t>
      </w:r>
      <w:r>
        <w:rPr>
          <w:rFonts w:ascii="宋体" w:hAnsi="宋体" w:eastAsia="宋体"/>
          <w:b/>
          <w:sz w:val="24"/>
        </w:rPr>
        <w:t xml:space="preserve"> </w:t>
      </w:r>
      <w:r>
        <w:rPr>
          <w:rFonts w:ascii="宋体" w:hAnsi="宋体" w:eastAsia="宋体"/>
          <w:sz w:val="24"/>
        </w:rPr>
        <w:t xml:space="preserve">  </w:t>
      </w:r>
      <w:r>
        <w:rPr>
          <w:rFonts w:hint="eastAsia" w:ascii="宋体" w:hAnsi="宋体" w:eastAsia="宋体"/>
          <w:sz w:val="24"/>
        </w:rPr>
        <w:t>乙方应遵守甲方的有关规定，保持甲方摆放场所的环境卫生，不得进入甲方与租赁或养护业务无关的区域，从事与租赁养护业务无关的活动。</w:t>
      </w:r>
    </w:p>
    <w:p>
      <w:pPr>
        <w:spacing w:line="360" w:lineRule="auto"/>
        <w:ind w:firstLine="390"/>
        <w:jc w:val="center"/>
        <w:rPr>
          <w:rFonts w:ascii="宋体" w:hAnsi="宋体" w:eastAsia="宋体"/>
          <w:b/>
          <w:sz w:val="24"/>
        </w:rPr>
      </w:pPr>
      <w:r>
        <w:rPr>
          <w:rFonts w:hint="eastAsia" w:ascii="宋体" w:hAnsi="宋体" w:eastAsia="宋体"/>
          <w:b/>
          <w:sz w:val="24"/>
        </w:rPr>
        <w:t>第二节</w:t>
      </w:r>
      <w:r>
        <w:rPr>
          <w:rFonts w:ascii="宋体" w:hAnsi="宋体" w:eastAsia="宋体"/>
          <w:b/>
          <w:sz w:val="24"/>
        </w:rPr>
        <w:t xml:space="preserve">  </w:t>
      </w:r>
      <w:r>
        <w:rPr>
          <w:rFonts w:hint="eastAsia" w:ascii="宋体" w:hAnsi="宋体" w:eastAsia="宋体"/>
          <w:b/>
          <w:sz w:val="24"/>
        </w:rPr>
        <w:t>甲方的权利义务</w:t>
      </w:r>
    </w:p>
    <w:p>
      <w:pPr>
        <w:spacing w:line="360" w:lineRule="auto"/>
        <w:ind w:firstLine="482" w:firstLineChars="200"/>
        <w:jc w:val="left"/>
        <w:rPr>
          <w:rFonts w:ascii="宋体" w:hAnsi="宋体" w:eastAsia="宋体"/>
          <w:sz w:val="24"/>
        </w:rPr>
      </w:pPr>
      <w:r>
        <w:rPr>
          <w:rFonts w:hint="eastAsia" w:ascii="宋体" w:hAnsi="宋体" w:eastAsia="宋体"/>
          <w:b/>
          <w:sz w:val="24"/>
        </w:rPr>
        <w:t>第八条</w:t>
      </w:r>
      <w:r>
        <w:rPr>
          <w:rFonts w:ascii="宋体" w:hAnsi="宋体" w:eastAsia="宋体"/>
          <w:sz w:val="24"/>
        </w:rPr>
        <w:t xml:space="preserve">  </w:t>
      </w:r>
      <w:r>
        <w:rPr>
          <w:rFonts w:hint="eastAsia" w:ascii="宋体" w:hAnsi="宋体" w:eastAsia="宋体"/>
          <w:sz w:val="24"/>
        </w:rPr>
        <w:t>甲方应提供绿植养护护理所必须的水源等条件，按照本合同的约定向乙方及时、足额的支付合同费用。</w:t>
      </w:r>
    </w:p>
    <w:p>
      <w:pPr>
        <w:snapToGrid w:val="0"/>
        <w:spacing w:line="360" w:lineRule="auto"/>
        <w:ind w:firstLine="482" w:firstLineChars="200"/>
        <w:rPr>
          <w:rFonts w:ascii="宋体" w:hAnsi="宋体" w:eastAsia="宋体"/>
          <w:b/>
          <w:sz w:val="24"/>
        </w:rPr>
      </w:pPr>
      <w:r>
        <w:rPr>
          <w:rFonts w:hint="eastAsia" w:ascii="宋体" w:hAnsi="宋体" w:eastAsia="宋体"/>
          <w:b/>
          <w:sz w:val="24"/>
        </w:rPr>
        <w:t>第九条</w:t>
      </w:r>
      <w:r>
        <w:rPr>
          <w:rFonts w:ascii="宋体" w:hAnsi="宋体" w:eastAsia="宋体"/>
          <w:b/>
          <w:sz w:val="24"/>
        </w:rPr>
        <w:t xml:space="preserve">  </w:t>
      </w:r>
      <w:r>
        <w:rPr>
          <w:rFonts w:hint="eastAsia" w:ascii="宋体" w:hAnsi="宋体" w:eastAsia="宋体"/>
          <w:sz w:val="24"/>
        </w:rPr>
        <w:t>甲方将对乙方的供租和养护修剪服务考核如下：</w:t>
      </w:r>
    </w:p>
    <w:p>
      <w:pPr>
        <w:snapToGrid w:val="0"/>
        <w:spacing w:line="360" w:lineRule="auto"/>
        <w:ind w:firstLine="480" w:firstLineChars="200"/>
        <w:rPr>
          <w:rFonts w:ascii="宋体" w:hAnsi="宋体" w:eastAsia="宋体"/>
          <w:sz w:val="24"/>
        </w:rPr>
      </w:pPr>
      <w:r>
        <w:rPr>
          <w:rFonts w:hint="eastAsia" w:ascii="宋体" w:hAnsi="宋体" w:eastAsia="宋体"/>
          <w:sz w:val="24"/>
        </w:rPr>
        <w:t>（1）合同期内，甲方将对乙方服务进行每季度一次的考核，经考核不合格的，甲方有权单方面解除合同。</w:t>
      </w:r>
    </w:p>
    <w:p>
      <w:pPr>
        <w:snapToGrid w:val="0"/>
        <w:spacing w:line="360" w:lineRule="auto"/>
        <w:ind w:firstLine="480" w:firstLineChars="200"/>
        <w:rPr>
          <w:rFonts w:ascii="宋体" w:hAnsi="宋体" w:eastAsia="宋体"/>
          <w:sz w:val="24"/>
          <w:szCs w:val="21"/>
        </w:rPr>
      </w:pPr>
      <w:r>
        <w:rPr>
          <w:rFonts w:hint="eastAsia" w:ascii="宋体" w:hAnsi="宋体" w:eastAsia="宋体"/>
          <w:sz w:val="24"/>
        </w:rPr>
        <w:t>（2）乙方在按要求保质保量的完成该项目合同全部内容，并通过甲方考核后，甲方凭乙方提交的申请，一次性无息退还该合同项目的履约保证金。由于乙方原因，在签订合同后出现不按合同履行的情况，甲方有权将履约保证金作为违约金，全额不予退还，同时甲方亦有权单方解除合同，乙方还须承担相应的法律赔偿责任。</w:t>
      </w:r>
    </w:p>
    <w:p>
      <w:pPr>
        <w:spacing w:line="360" w:lineRule="auto"/>
        <w:ind w:firstLine="390"/>
        <w:jc w:val="center"/>
        <w:rPr>
          <w:rFonts w:ascii="宋体" w:hAnsi="宋体" w:eastAsia="宋体"/>
          <w:b/>
          <w:sz w:val="24"/>
        </w:rPr>
      </w:pPr>
      <w:r>
        <w:rPr>
          <w:rFonts w:hint="eastAsia" w:ascii="宋体" w:hAnsi="宋体" w:eastAsia="宋体"/>
          <w:b/>
          <w:sz w:val="24"/>
        </w:rPr>
        <w:t>第三章</w:t>
      </w:r>
      <w:r>
        <w:rPr>
          <w:rFonts w:ascii="宋体" w:hAnsi="宋体" w:eastAsia="宋体"/>
          <w:b/>
          <w:sz w:val="24"/>
        </w:rPr>
        <w:t xml:space="preserve">  </w:t>
      </w:r>
      <w:r>
        <w:rPr>
          <w:rFonts w:hint="eastAsia" w:ascii="宋体" w:hAnsi="宋体" w:eastAsia="宋体"/>
          <w:b/>
          <w:sz w:val="24"/>
        </w:rPr>
        <w:t>服务期限</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第十条</w:t>
      </w:r>
      <w:r>
        <w:rPr>
          <w:rFonts w:ascii="宋体" w:hAnsi="宋体" w:eastAsia="宋体"/>
          <w:color w:val="auto"/>
          <w:sz w:val="24"/>
        </w:rPr>
        <w:t xml:space="preserve">  </w:t>
      </w:r>
      <w:r>
        <w:rPr>
          <w:rFonts w:hint="eastAsia" w:ascii="宋体" w:hAnsi="宋体" w:eastAsia="宋体"/>
          <w:color w:val="auto"/>
          <w:sz w:val="24"/>
        </w:rPr>
        <w:t>本项目服务期为3年，合同1年1签。如中标人合同期内履约情况良好（即年度综合考核得分≥90分</w:t>
      </w:r>
      <w:r>
        <w:rPr>
          <w:rFonts w:hint="eastAsia" w:ascii="宋体" w:hAnsi="宋体" w:eastAsia="宋体"/>
          <w:color w:val="auto"/>
          <w:sz w:val="24"/>
          <w:lang w:eastAsia="zh-CN"/>
        </w:rPr>
        <w:t>，考核细则见合同附件</w:t>
      </w:r>
      <w:r>
        <w:rPr>
          <w:rFonts w:hint="eastAsia" w:ascii="宋体" w:hAnsi="宋体" w:eastAsia="宋体"/>
          <w:color w:val="auto"/>
          <w:sz w:val="24"/>
        </w:rPr>
        <w:t>），则在第一年合同期满后，且供应商承诺不增加服务费用的前提下，采购人、供应商双方可续签下一年度合同，但最多续签2次。</w:t>
      </w:r>
    </w:p>
    <w:p>
      <w:pPr>
        <w:spacing w:line="360" w:lineRule="auto"/>
        <w:ind w:firstLine="390"/>
        <w:jc w:val="center"/>
        <w:rPr>
          <w:rFonts w:ascii="宋体" w:hAnsi="宋体" w:eastAsia="宋体"/>
          <w:b/>
          <w:sz w:val="24"/>
        </w:rPr>
      </w:pPr>
      <w:r>
        <w:rPr>
          <w:rFonts w:hint="eastAsia" w:ascii="宋体" w:hAnsi="宋体" w:eastAsia="宋体"/>
          <w:b/>
          <w:sz w:val="24"/>
        </w:rPr>
        <w:t>第四章</w:t>
      </w:r>
      <w:r>
        <w:rPr>
          <w:rFonts w:ascii="宋体" w:hAnsi="宋体" w:eastAsia="宋体"/>
          <w:b/>
          <w:sz w:val="24"/>
        </w:rPr>
        <w:t xml:space="preserve">  </w:t>
      </w:r>
      <w:r>
        <w:rPr>
          <w:rFonts w:hint="eastAsia" w:ascii="宋体" w:hAnsi="宋体" w:eastAsia="宋体"/>
          <w:b/>
          <w:sz w:val="24"/>
        </w:rPr>
        <w:t>费用及支付方式</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第十一条</w:t>
      </w:r>
      <w:r>
        <w:rPr>
          <w:rFonts w:ascii="宋体" w:hAnsi="宋体" w:eastAsia="宋体"/>
          <w:color w:val="auto"/>
          <w:sz w:val="24"/>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甲方向乙方支付绿植租赁及养护费用金额为中标价</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r>
        <w:rPr>
          <w:rFonts w:hint="eastAsia" w:ascii="宋体" w:hAnsi="宋体" w:eastAsia="宋体"/>
          <w:color w:val="auto"/>
          <w:sz w:val="24"/>
          <w:highlight w:val="none"/>
        </w:rPr>
        <w:t>年。本费</w:t>
      </w:r>
      <w:r>
        <w:rPr>
          <w:rFonts w:hint="eastAsia" w:ascii="宋体" w:hAnsi="宋体" w:eastAsia="宋体"/>
          <w:color w:val="auto"/>
          <w:sz w:val="24"/>
        </w:rPr>
        <w:t>用系乙方履行本合同项下义务的全部对价。</w:t>
      </w:r>
      <w:r>
        <w:rPr>
          <w:rFonts w:hint="eastAsia" w:ascii="宋体" w:hAnsi="宋体" w:eastAsia="宋体" w:cs="宋体"/>
          <w:color w:val="auto"/>
          <w:sz w:val="24"/>
          <w:szCs w:val="24"/>
          <w:highlight w:val="none"/>
        </w:rPr>
        <w:t>合同期内，</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因需要调整项目工作量，</w:t>
      </w:r>
      <w:r>
        <w:rPr>
          <w:rFonts w:hint="eastAsia" w:ascii="宋体" w:hAnsi="宋体" w:eastAsia="宋体" w:cs="宋体"/>
          <w:color w:val="auto"/>
          <w:sz w:val="24"/>
          <w:szCs w:val="24"/>
          <w:highlight w:val="none"/>
          <w:lang w:eastAsia="zh-CN"/>
        </w:rPr>
        <w:t>则</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中标单价</w:t>
      </w:r>
      <w:r>
        <w:rPr>
          <w:rFonts w:hint="eastAsia" w:ascii="宋体" w:hAnsi="宋体" w:eastAsia="宋体" w:cs="宋体"/>
          <w:color w:val="auto"/>
          <w:sz w:val="24"/>
          <w:szCs w:val="24"/>
          <w:highlight w:val="none"/>
          <w:lang w:eastAsia="zh-CN"/>
        </w:rPr>
        <w:t>（投标报价明细表）按实</w:t>
      </w:r>
      <w:r>
        <w:rPr>
          <w:rFonts w:hint="eastAsia" w:ascii="宋体" w:hAnsi="宋体" w:eastAsia="宋体" w:cs="宋体"/>
          <w:color w:val="auto"/>
          <w:sz w:val="24"/>
          <w:szCs w:val="24"/>
          <w:highlight w:val="none"/>
        </w:rPr>
        <w:t>结算。</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第十二条</w:t>
      </w:r>
      <w:r>
        <w:rPr>
          <w:rFonts w:ascii="宋体" w:hAnsi="宋体" w:eastAsia="宋体"/>
          <w:color w:val="auto"/>
          <w:sz w:val="24"/>
        </w:rPr>
        <w:t xml:space="preserve">  </w:t>
      </w:r>
      <w:r>
        <w:rPr>
          <w:rFonts w:hint="eastAsia" w:ascii="宋体" w:hAnsi="宋体" w:eastAsia="宋体"/>
          <w:color w:val="auto"/>
          <w:sz w:val="24"/>
        </w:rPr>
        <w:t>甲方按以下方式支付绿植养护费用：</w:t>
      </w:r>
    </w:p>
    <w:p>
      <w:pPr>
        <w:spacing w:line="360" w:lineRule="auto"/>
        <w:ind w:firstLine="480" w:firstLineChars="200"/>
        <w:jc w:val="left"/>
        <w:rPr>
          <w:rFonts w:ascii="宋体" w:hAnsi="宋体" w:eastAsia="宋体"/>
          <w:color w:val="auto"/>
          <w:sz w:val="24"/>
          <w:highlight w:val="none"/>
          <w:u w:val="single"/>
        </w:rPr>
      </w:pPr>
      <w:r>
        <w:rPr>
          <w:rFonts w:hint="eastAsia" w:hAnsi="宋体" w:eastAsia="宋体"/>
          <w:color w:val="auto"/>
          <w:sz w:val="24"/>
          <w:highlight w:val="none"/>
          <w:u w:val="single"/>
        </w:rPr>
        <w:t>付款方式：</w:t>
      </w:r>
      <w:r>
        <w:rPr>
          <w:rFonts w:hint="eastAsia" w:hAnsi="宋体" w:eastAsia="宋体"/>
          <w:color w:val="auto"/>
          <w:sz w:val="24"/>
          <w:highlight w:val="none"/>
          <w:u w:val="single"/>
          <w:lang w:val="zh-CN"/>
        </w:rPr>
        <w:t>合同价款每半年支付一次；成交供应商按要求服务期满六个月，支付合同价的50%，余款待合同期满一次性付清余款（以上付款不计利息）。</w:t>
      </w:r>
    </w:p>
    <w:p>
      <w:pPr>
        <w:snapToGrid w:val="0"/>
        <w:spacing w:line="360" w:lineRule="auto"/>
        <w:ind w:firstLine="480" w:firstLineChars="200"/>
        <w:rPr>
          <w:rFonts w:ascii="宋体" w:hAnsi="宋体" w:eastAsia="宋体"/>
          <w:sz w:val="24"/>
        </w:rPr>
      </w:pPr>
      <w:r>
        <w:rPr>
          <w:rFonts w:hint="eastAsia" w:ascii="宋体" w:hAnsi="宋体" w:eastAsia="宋体"/>
          <w:color w:val="auto"/>
          <w:sz w:val="24"/>
        </w:rPr>
        <w:t>每次支付前，由乙方向甲方提供合法、有效的增值税专用发票，甲方将相应款</w:t>
      </w:r>
      <w:r>
        <w:rPr>
          <w:rFonts w:hint="eastAsia" w:ascii="宋体" w:hAnsi="宋体" w:eastAsia="宋体"/>
          <w:sz w:val="24"/>
        </w:rPr>
        <w:t>项汇至本合同中约定的账户。</w:t>
      </w:r>
    </w:p>
    <w:p>
      <w:pPr>
        <w:snapToGrid w:val="0"/>
        <w:spacing w:line="360" w:lineRule="auto"/>
        <w:ind w:firstLine="480" w:firstLineChars="200"/>
        <w:rPr>
          <w:rFonts w:ascii="宋体" w:hAnsi="宋体" w:eastAsia="宋体"/>
          <w:sz w:val="24"/>
        </w:rPr>
      </w:pPr>
      <w:r>
        <w:rPr>
          <w:rFonts w:hint="eastAsia" w:ascii="宋体" w:hAnsi="宋体" w:eastAsia="宋体"/>
          <w:sz w:val="24"/>
        </w:rPr>
        <w:t>对本合同养护实施管理所需的一切劳动力、材料、设备由乙方自行组织解决，由此产生的一切费用，由乙方承担。</w:t>
      </w:r>
    </w:p>
    <w:p>
      <w:pPr>
        <w:spacing w:line="360" w:lineRule="auto"/>
        <w:ind w:firstLine="390"/>
        <w:jc w:val="center"/>
        <w:rPr>
          <w:rFonts w:ascii="宋体" w:hAnsi="宋体" w:eastAsia="宋体"/>
          <w:b/>
          <w:sz w:val="24"/>
        </w:rPr>
      </w:pPr>
      <w:r>
        <w:rPr>
          <w:rFonts w:hint="eastAsia" w:ascii="宋体" w:hAnsi="宋体" w:eastAsia="宋体"/>
          <w:b/>
          <w:sz w:val="24"/>
        </w:rPr>
        <w:t>第五章</w:t>
      </w:r>
      <w:r>
        <w:rPr>
          <w:rFonts w:ascii="宋体" w:hAnsi="宋体" w:eastAsia="宋体"/>
          <w:b/>
          <w:sz w:val="24"/>
        </w:rPr>
        <w:t xml:space="preserve">  </w:t>
      </w:r>
      <w:r>
        <w:rPr>
          <w:rFonts w:hint="eastAsia" w:ascii="宋体" w:hAnsi="宋体" w:eastAsia="宋体"/>
          <w:b/>
          <w:sz w:val="24"/>
        </w:rPr>
        <w:t>违约责任</w:t>
      </w:r>
    </w:p>
    <w:p>
      <w:pPr>
        <w:adjustRightInd w:val="0"/>
        <w:snapToGrid w:val="0"/>
        <w:spacing w:line="360" w:lineRule="auto"/>
        <w:ind w:firstLine="482" w:firstLineChars="200"/>
        <w:jc w:val="left"/>
        <w:rPr>
          <w:rFonts w:ascii="宋体" w:hAnsi="宋体" w:eastAsia="宋体"/>
          <w:sz w:val="24"/>
        </w:rPr>
      </w:pPr>
      <w:r>
        <w:rPr>
          <w:rFonts w:hint="eastAsia" w:ascii="宋体" w:hAnsi="宋体" w:eastAsia="宋体"/>
          <w:b/>
          <w:sz w:val="24"/>
        </w:rPr>
        <w:t>第十三条</w:t>
      </w:r>
      <w:r>
        <w:rPr>
          <w:rFonts w:ascii="宋体" w:hAnsi="宋体" w:eastAsia="宋体"/>
          <w:b/>
          <w:sz w:val="24"/>
        </w:rPr>
        <w:t xml:space="preserve">  </w:t>
      </w:r>
      <w:r>
        <w:rPr>
          <w:rFonts w:hint="eastAsia" w:ascii="宋体" w:hAnsi="宋体" w:eastAsia="宋体"/>
          <w:sz w:val="24"/>
        </w:rPr>
        <w:t>在未取得对方书面同意的情况下，任一方均不能将本合同有关权利义务转让给第三方，否则视为根本违约，另一方可以立即解除合同，并要求违约方承担因此造成的损失。</w:t>
      </w:r>
    </w:p>
    <w:p>
      <w:pPr>
        <w:adjustRightInd w:val="0"/>
        <w:snapToGrid w:val="0"/>
        <w:spacing w:line="360" w:lineRule="auto"/>
        <w:ind w:firstLine="482" w:firstLineChars="200"/>
        <w:jc w:val="left"/>
        <w:rPr>
          <w:rFonts w:ascii="宋体" w:hAnsi="宋体" w:eastAsia="宋体"/>
          <w:kern w:val="0"/>
          <w:sz w:val="24"/>
        </w:rPr>
      </w:pPr>
      <w:r>
        <w:rPr>
          <w:rFonts w:hint="eastAsia" w:ascii="宋体" w:hAnsi="宋体" w:eastAsia="宋体"/>
          <w:b/>
          <w:sz w:val="24"/>
        </w:rPr>
        <w:t>第十四条</w:t>
      </w:r>
      <w:r>
        <w:rPr>
          <w:rFonts w:ascii="宋体" w:hAnsi="宋体" w:eastAsia="宋体"/>
          <w:b/>
          <w:sz w:val="24"/>
        </w:rPr>
        <w:t xml:space="preserve">  </w:t>
      </w:r>
      <w:r>
        <w:rPr>
          <w:rFonts w:hint="eastAsia" w:ascii="宋体" w:hAnsi="宋体" w:eastAsia="宋体"/>
          <w:kern w:val="0"/>
          <w:sz w:val="24"/>
        </w:rPr>
        <w:t>因乙方原因，养护质量未达到合同约定的养护标准，乙方应采取补救措施，造成损失的，应承担赔偿责任。未经甲方同意，乙方擅自更改、调整养护方案，给甲方造成损失的，应承担赔偿责任，同时，甲方有权单方解除本合同。</w:t>
      </w:r>
    </w:p>
    <w:p>
      <w:pPr>
        <w:spacing w:line="360" w:lineRule="auto"/>
        <w:ind w:firstLine="482" w:firstLineChars="200"/>
        <w:jc w:val="left"/>
        <w:rPr>
          <w:rFonts w:ascii="宋体" w:hAnsi="宋体" w:eastAsia="宋体"/>
          <w:sz w:val="24"/>
        </w:rPr>
      </w:pPr>
      <w:r>
        <w:rPr>
          <w:rFonts w:hint="eastAsia" w:ascii="宋体" w:hAnsi="宋体" w:eastAsia="宋体"/>
          <w:b/>
          <w:sz w:val="24"/>
        </w:rPr>
        <w:t>第十五条</w:t>
      </w:r>
      <w:r>
        <w:rPr>
          <w:rFonts w:ascii="宋体" w:hAnsi="宋体" w:eastAsia="宋体"/>
          <w:b/>
          <w:sz w:val="24"/>
        </w:rPr>
        <w:t xml:space="preserve">  </w:t>
      </w:r>
      <w:r>
        <w:rPr>
          <w:rFonts w:hint="eastAsia" w:ascii="宋体" w:hAnsi="宋体" w:eastAsia="宋体"/>
          <w:sz w:val="24"/>
        </w:rPr>
        <w:t>乙方未及时更换不能成活的绿植超过</w:t>
      </w:r>
      <w:r>
        <w:rPr>
          <w:rFonts w:ascii="宋体" w:hAnsi="宋体" w:eastAsia="宋体"/>
          <w:sz w:val="24"/>
          <w:u w:val="single"/>
        </w:rPr>
        <w:t>3</w:t>
      </w:r>
      <w:r>
        <w:rPr>
          <w:rFonts w:hint="eastAsia" w:ascii="宋体" w:hAnsi="宋体" w:eastAsia="宋体"/>
          <w:sz w:val="24"/>
        </w:rPr>
        <w:t>次，向甲方支付违约金</w:t>
      </w:r>
      <w:r>
        <w:rPr>
          <w:rFonts w:hint="eastAsia" w:ascii="宋体" w:hAnsi="宋体" w:eastAsia="宋体"/>
          <w:sz w:val="24"/>
          <w:u w:val="single"/>
        </w:rPr>
        <w:t>2</w:t>
      </w:r>
      <w:r>
        <w:rPr>
          <w:rFonts w:ascii="宋体" w:hAnsi="宋体" w:eastAsia="宋体"/>
          <w:sz w:val="24"/>
          <w:u w:val="single"/>
        </w:rPr>
        <w:t>000</w:t>
      </w:r>
      <w:r>
        <w:rPr>
          <w:rFonts w:hint="eastAsia" w:ascii="宋体" w:hAnsi="宋体" w:eastAsia="宋体"/>
          <w:sz w:val="24"/>
        </w:rPr>
        <w:t>元，累计超过</w:t>
      </w:r>
      <w:r>
        <w:rPr>
          <w:rFonts w:ascii="宋体" w:hAnsi="宋体" w:eastAsia="宋体"/>
          <w:sz w:val="24"/>
          <w:u w:val="single"/>
        </w:rPr>
        <w:t>5</w:t>
      </w:r>
      <w:r>
        <w:rPr>
          <w:rFonts w:hint="eastAsia" w:ascii="宋体" w:hAnsi="宋体" w:eastAsia="宋体"/>
          <w:sz w:val="24"/>
        </w:rPr>
        <w:t>次的，甲方有权单方解除本合同，由此给甲方造成的损失由乙方承担赔偿责任。</w:t>
      </w:r>
    </w:p>
    <w:p>
      <w:pPr>
        <w:spacing w:line="360" w:lineRule="auto"/>
        <w:ind w:firstLine="482" w:firstLineChars="200"/>
        <w:jc w:val="left"/>
        <w:rPr>
          <w:rFonts w:ascii="宋体" w:hAnsi="宋体" w:eastAsia="宋体"/>
          <w:sz w:val="24"/>
        </w:rPr>
      </w:pPr>
      <w:r>
        <w:rPr>
          <w:rFonts w:hint="eastAsia" w:ascii="宋体" w:hAnsi="宋体" w:eastAsia="宋体"/>
          <w:b/>
          <w:sz w:val="24"/>
        </w:rPr>
        <w:t>第十六条</w:t>
      </w:r>
      <w:r>
        <w:rPr>
          <w:rFonts w:ascii="宋体" w:hAnsi="宋体" w:eastAsia="宋体"/>
          <w:sz w:val="24"/>
        </w:rPr>
        <w:t xml:space="preserve">  </w:t>
      </w:r>
      <w:r>
        <w:rPr>
          <w:rFonts w:hint="eastAsia" w:ascii="宋体" w:hAnsi="宋体" w:eastAsia="宋体"/>
          <w:sz w:val="24"/>
        </w:rPr>
        <w:t>甲方经乙方催告逾期未支付费用达到</w:t>
      </w:r>
      <w:r>
        <w:rPr>
          <w:rFonts w:ascii="宋体" w:hAnsi="宋体" w:eastAsia="宋体"/>
          <w:sz w:val="24"/>
          <w:u w:val="single"/>
        </w:rPr>
        <w:t>3</w:t>
      </w:r>
      <w:r>
        <w:rPr>
          <w:rFonts w:hint="eastAsia" w:ascii="宋体" w:hAnsi="宋体" w:eastAsia="宋体"/>
          <w:sz w:val="24"/>
        </w:rPr>
        <w:t>个月且未支付合同约定总服务费用的</w:t>
      </w:r>
      <w:r>
        <w:rPr>
          <w:rFonts w:ascii="宋体" w:hAnsi="宋体" w:eastAsia="宋体"/>
          <w:sz w:val="24"/>
          <w:u w:val="single"/>
        </w:rPr>
        <w:t>50%</w:t>
      </w:r>
      <w:r>
        <w:rPr>
          <w:rFonts w:hint="eastAsia" w:ascii="宋体" w:hAnsi="宋体" w:eastAsia="宋体"/>
          <w:sz w:val="24"/>
        </w:rPr>
        <w:t>以上，乙方可以终止或解除本合同。</w:t>
      </w:r>
    </w:p>
    <w:p>
      <w:pPr>
        <w:spacing w:line="360" w:lineRule="auto"/>
        <w:ind w:firstLine="482" w:firstLineChars="200"/>
        <w:jc w:val="left"/>
        <w:rPr>
          <w:rFonts w:ascii="宋体" w:hAnsi="宋体" w:eastAsia="宋体"/>
          <w:sz w:val="24"/>
        </w:rPr>
      </w:pPr>
      <w:r>
        <w:rPr>
          <w:rFonts w:hint="eastAsia" w:ascii="宋体" w:hAnsi="宋体" w:eastAsia="宋体"/>
          <w:b/>
          <w:sz w:val="24"/>
        </w:rPr>
        <w:t>第十七条</w:t>
      </w:r>
      <w:r>
        <w:rPr>
          <w:rFonts w:ascii="宋体" w:hAnsi="宋体" w:eastAsia="宋体"/>
          <w:sz w:val="24"/>
        </w:rPr>
        <w:t xml:space="preserve">  </w:t>
      </w:r>
      <w:r>
        <w:rPr>
          <w:rFonts w:hint="eastAsia" w:ascii="宋体" w:hAnsi="宋体" w:eastAsia="宋体"/>
          <w:sz w:val="24"/>
        </w:rPr>
        <w:t>本合同中约定乙方应承担的赔偿金、违约金等，甲方有权在尚未支付的服务费用中扣除。</w:t>
      </w:r>
    </w:p>
    <w:p>
      <w:pPr>
        <w:spacing w:line="360" w:lineRule="auto"/>
        <w:ind w:firstLine="482" w:firstLineChars="200"/>
        <w:jc w:val="left"/>
        <w:rPr>
          <w:rFonts w:ascii="宋体" w:hAnsi="宋体" w:eastAsia="宋体"/>
          <w:sz w:val="24"/>
        </w:rPr>
      </w:pPr>
      <w:r>
        <w:rPr>
          <w:rFonts w:hint="eastAsia" w:ascii="宋体" w:hAnsi="宋体" w:eastAsia="宋体"/>
          <w:b/>
          <w:sz w:val="24"/>
        </w:rPr>
        <w:t>第十八条</w:t>
      </w:r>
      <w:r>
        <w:rPr>
          <w:rFonts w:ascii="宋体" w:hAnsi="宋体" w:eastAsia="宋体"/>
          <w:sz w:val="24"/>
        </w:rPr>
        <w:t xml:space="preserve">  </w:t>
      </w:r>
      <w:r>
        <w:rPr>
          <w:rFonts w:hint="eastAsia" w:ascii="宋体" w:hAnsi="宋体" w:eastAsia="宋体"/>
          <w:sz w:val="24"/>
        </w:rPr>
        <w:t>乙方未按招标文件要求提供合同标的物或服务、履行本工程的质保与养护服务，乙方若不能兑现承诺和正常履行养护期内的责职，甲方从乙方本工程履约保证金中按总额的10%进行扣除，同时甲方可指定第三方服务，由此产生的一切费用均由乙方另行支付。</w:t>
      </w:r>
    </w:p>
    <w:p>
      <w:pPr>
        <w:spacing w:line="360" w:lineRule="auto"/>
        <w:ind w:firstLine="390"/>
        <w:jc w:val="center"/>
        <w:rPr>
          <w:rFonts w:ascii="宋体" w:hAnsi="宋体" w:eastAsia="宋体"/>
          <w:b/>
          <w:sz w:val="24"/>
        </w:rPr>
      </w:pPr>
      <w:r>
        <w:rPr>
          <w:rFonts w:hint="eastAsia" w:ascii="宋体" w:hAnsi="宋体" w:eastAsia="宋体"/>
          <w:b/>
          <w:sz w:val="24"/>
        </w:rPr>
        <w:t>第六章</w:t>
      </w:r>
      <w:r>
        <w:rPr>
          <w:rFonts w:ascii="宋体" w:hAnsi="宋体" w:eastAsia="宋体"/>
          <w:b/>
          <w:sz w:val="24"/>
        </w:rPr>
        <w:t xml:space="preserve">  </w:t>
      </w:r>
      <w:r>
        <w:rPr>
          <w:rFonts w:hint="eastAsia" w:ascii="宋体" w:hAnsi="宋体" w:eastAsia="宋体"/>
          <w:b/>
          <w:sz w:val="24"/>
        </w:rPr>
        <w:t>争议解决方式</w:t>
      </w:r>
    </w:p>
    <w:p>
      <w:pPr>
        <w:spacing w:line="360" w:lineRule="auto"/>
        <w:ind w:firstLine="482" w:firstLineChars="200"/>
        <w:jc w:val="left"/>
        <w:rPr>
          <w:rFonts w:ascii="宋体" w:hAnsi="宋体" w:eastAsia="宋体"/>
          <w:sz w:val="24"/>
        </w:rPr>
      </w:pPr>
      <w:r>
        <w:rPr>
          <w:rFonts w:hint="eastAsia" w:ascii="宋体" w:hAnsi="宋体" w:eastAsia="宋体"/>
          <w:b/>
          <w:sz w:val="24"/>
        </w:rPr>
        <w:t xml:space="preserve">第十九条  </w:t>
      </w:r>
      <w:r>
        <w:rPr>
          <w:rFonts w:hint="eastAsia" w:ascii="宋体" w:hAnsi="宋体" w:eastAsia="宋体"/>
          <w:sz w:val="24"/>
        </w:rPr>
        <w:t>甲乙双方因履行本合同发生纠纷时，可以协商解决。</w:t>
      </w:r>
      <w:r>
        <w:rPr>
          <w:rFonts w:ascii="宋体" w:hAnsi="宋体" w:eastAsia="宋体"/>
          <w:sz w:val="24"/>
        </w:rPr>
        <w:t xml:space="preserve"> </w:t>
      </w:r>
      <w:r>
        <w:rPr>
          <w:rFonts w:hint="eastAsia" w:ascii="宋体" w:hAnsi="宋体" w:eastAsia="宋体"/>
          <w:sz w:val="24"/>
        </w:rPr>
        <w:t>协商不成，任一方均应提请南通仲裁委员会按照其仲裁规则进行仲裁。仲裁裁决是终局的,对双方均有约束力。</w:t>
      </w:r>
    </w:p>
    <w:p>
      <w:pPr>
        <w:spacing w:line="360" w:lineRule="auto"/>
        <w:ind w:firstLine="390"/>
        <w:jc w:val="center"/>
        <w:rPr>
          <w:rFonts w:ascii="宋体" w:hAnsi="宋体" w:eastAsia="宋体"/>
          <w:b/>
          <w:sz w:val="24"/>
        </w:rPr>
      </w:pPr>
      <w:r>
        <w:rPr>
          <w:rFonts w:hint="eastAsia" w:ascii="宋体" w:hAnsi="宋体" w:eastAsia="宋体"/>
          <w:b/>
          <w:sz w:val="24"/>
        </w:rPr>
        <w:t>第七章</w:t>
      </w:r>
      <w:r>
        <w:rPr>
          <w:rFonts w:ascii="宋体" w:hAnsi="宋体" w:eastAsia="宋体"/>
          <w:b/>
          <w:sz w:val="24"/>
        </w:rPr>
        <w:t xml:space="preserve">  </w:t>
      </w:r>
      <w:r>
        <w:rPr>
          <w:rFonts w:hint="eastAsia" w:ascii="宋体" w:hAnsi="宋体" w:eastAsia="宋体"/>
          <w:b/>
          <w:sz w:val="24"/>
        </w:rPr>
        <w:t>其它约定</w:t>
      </w:r>
    </w:p>
    <w:p>
      <w:pPr>
        <w:snapToGrid w:val="0"/>
        <w:spacing w:line="360" w:lineRule="auto"/>
        <w:ind w:firstLine="482" w:firstLineChars="200"/>
        <w:rPr>
          <w:rFonts w:ascii="宋体" w:hAnsi="宋体" w:eastAsia="宋体" w:cs="宋体"/>
          <w:kern w:val="0"/>
          <w:sz w:val="24"/>
        </w:rPr>
      </w:pPr>
      <w:r>
        <w:rPr>
          <w:rFonts w:hint="eastAsia" w:ascii="宋体" w:hAnsi="宋体" w:eastAsia="宋体"/>
          <w:b/>
          <w:sz w:val="24"/>
        </w:rPr>
        <w:t>第二十条</w:t>
      </w:r>
      <w:r>
        <w:rPr>
          <w:rFonts w:ascii="宋体" w:hAnsi="宋体" w:eastAsia="宋体"/>
          <w:b/>
          <w:sz w:val="24"/>
        </w:rPr>
        <w:t xml:space="preserve">  </w:t>
      </w:r>
      <w:r>
        <w:rPr>
          <w:rFonts w:hint="eastAsia" w:ascii="宋体" w:hAnsi="宋体" w:eastAsia="宋体" w:cs="宋体"/>
          <w:kern w:val="0"/>
          <w:sz w:val="24"/>
        </w:rPr>
        <w:t>如果本合同任何一方因受不可抗力事件影响而未能履行其在本合同下的全部或部分义务，该义务的履行在不可抗力事件妨碍其履行期间应予中止。</w:t>
      </w:r>
    </w:p>
    <w:p>
      <w:pPr>
        <w:spacing w:line="360" w:lineRule="auto"/>
        <w:ind w:firstLine="482" w:firstLineChars="200"/>
        <w:jc w:val="left"/>
        <w:rPr>
          <w:rFonts w:ascii="宋体" w:hAnsi="宋体" w:eastAsia="宋体" w:cs="宋体"/>
          <w:kern w:val="0"/>
          <w:sz w:val="24"/>
        </w:rPr>
      </w:pPr>
      <w:r>
        <w:rPr>
          <w:rFonts w:hint="eastAsia" w:ascii="宋体" w:hAnsi="宋体" w:eastAsia="宋体"/>
          <w:b/>
          <w:sz w:val="24"/>
        </w:rPr>
        <w:t>第二十一条</w:t>
      </w:r>
      <w:r>
        <w:rPr>
          <w:rFonts w:ascii="宋体" w:hAnsi="宋体" w:eastAsia="宋体"/>
          <w:b/>
          <w:sz w:val="24"/>
        </w:rPr>
        <w:t xml:space="preserve">  </w:t>
      </w:r>
      <w:r>
        <w:rPr>
          <w:rFonts w:hint="eastAsia" w:ascii="宋体" w:hAnsi="宋体" w:eastAsia="宋体" w:cs="宋体"/>
          <w:kern w:val="0"/>
          <w:sz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ascii="宋体" w:hAnsi="宋体" w:eastAsia="宋体" w:cs="宋体"/>
          <w:kern w:val="0"/>
          <w:sz w:val="24"/>
        </w:rPr>
        <w:t xml:space="preserve"> </w:t>
      </w:r>
    </w:p>
    <w:p>
      <w:pPr>
        <w:spacing w:line="360" w:lineRule="auto"/>
        <w:ind w:firstLine="482" w:firstLineChars="200"/>
        <w:jc w:val="left"/>
        <w:rPr>
          <w:rFonts w:ascii="宋体" w:hAnsi="宋体" w:eastAsia="宋体" w:cs="宋体"/>
          <w:kern w:val="0"/>
          <w:sz w:val="24"/>
        </w:rPr>
      </w:pPr>
      <w:r>
        <w:rPr>
          <w:rFonts w:hint="eastAsia" w:ascii="宋体" w:hAnsi="宋体" w:eastAsia="宋体"/>
          <w:b/>
          <w:sz w:val="24"/>
        </w:rPr>
        <w:t xml:space="preserve">第二十二条  </w:t>
      </w:r>
      <w:r>
        <w:rPr>
          <w:rFonts w:hint="eastAsia" w:ascii="宋体" w:hAnsi="宋体" w:eastAsia="宋体" w:cs="宋体"/>
          <w:kern w:val="0"/>
          <w:sz w:val="24"/>
        </w:rPr>
        <w:t>本合同所称</w:t>
      </w:r>
      <w:r>
        <w:rPr>
          <w:rFonts w:ascii="宋体" w:hAnsi="宋体" w:eastAsia="宋体" w:cs="宋体"/>
          <w:kern w:val="0"/>
          <w:sz w:val="24"/>
        </w:rPr>
        <w:t>"</w:t>
      </w:r>
      <w:r>
        <w:rPr>
          <w:rFonts w:hint="eastAsia" w:ascii="宋体" w:hAnsi="宋体" w:eastAsia="宋体" w:cs="宋体"/>
          <w:kern w:val="0"/>
          <w:sz w:val="24"/>
        </w:rPr>
        <w:t>不可抗力</w:t>
      </w:r>
      <w:r>
        <w:rPr>
          <w:rFonts w:ascii="宋体" w:hAnsi="宋体" w:eastAsia="宋体" w:cs="宋体"/>
          <w:kern w:val="0"/>
          <w:sz w:val="24"/>
        </w:rPr>
        <w:t>"</w:t>
      </w:r>
      <w:r>
        <w:rPr>
          <w:rFonts w:hint="eastAsia" w:ascii="宋体" w:hAnsi="宋体" w:eastAsia="宋体" w:cs="宋体"/>
          <w:kern w:val="0"/>
          <w:sz w:val="24"/>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snapToGrid w:val="0"/>
        <w:spacing w:line="360" w:lineRule="auto"/>
        <w:ind w:firstLine="482" w:firstLineChars="200"/>
        <w:rPr>
          <w:rFonts w:ascii="宋体" w:hAnsi="宋体" w:eastAsia="宋体" w:cs="宋体"/>
          <w:kern w:val="0"/>
          <w:sz w:val="24"/>
        </w:rPr>
      </w:pPr>
      <w:r>
        <w:rPr>
          <w:rFonts w:hint="eastAsia" w:ascii="宋体" w:hAnsi="宋体" w:eastAsia="宋体"/>
          <w:b/>
          <w:sz w:val="24"/>
        </w:rPr>
        <w:t xml:space="preserve">第二十三条  </w:t>
      </w:r>
      <w:r>
        <w:rPr>
          <w:rFonts w:hint="eastAsia" w:ascii="宋体" w:hAnsi="宋体" w:eastAsia="宋体" w:cs="宋体"/>
          <w:kern w:val="0"/>
          <w:sz w:val="24"/>
        </w:rPr>
        <w:t>在合同有效期内，甲、乙双方应严格遵守合同内容，不得擅自更改或终止合同，若有特殊事由需更改或终止合同时，应提前三个月通知对方。</w:t>
      </w:r>
    </w:p>
    <w:p>
      <w:pPr>
        <w:spacing w:line="360" w:lineRule="auto"/>
        <w:ind w:firstLine="482" w:firstLineChars="200"/>
        <w:jc w:val="left"/>
        <w:rPr>
          <w:rFonts w:ascii="宋体" w:hAnsi="宋体" w:eastAsia="宋体"/>
          <w:b/>
          <w:sz w:val="24"/>
        </w:rPr>
      </w:pPr>
      <w:r>
        <w:rPr>
          <w:rFonts w:hint="eastAsia" w:ascii="宋体" w:hAnsi="宋体" w:eastAsia="宋体"/>
          <w:b/>
          <w:sz w:val="24"/>
        </w:rPr>
        <w:t xml:space="preserve">第二十四条  </w:t>
      </w:r>
      <w:r>
        <w:rPr>
          <w:rFonts w:hint="eastAsia" w:ascii="宋体" w:hAnsi="宋体" w:eastAsia="宋体" w:cs="宋体"/>
          <w:kern w:val="0"/>
          <w:sz w:val="24"/>
        </w:rPr>
        <w:t>本合同未尽事宜，依照有关法律、法规执行，法律、法规未作规定的，甲乙双方可以达成书面补充合同。本合同的附件和补充合同均为本合同不可分割的组成部分，与本合同具有同等的法律效力。</w:t>
      </w:r>
    </w:p>
    <w:p>
      <w:pPr>
        <w:spacing w:line="360" w:lineRule="auto"/>
        <w:ind w:firstLine="482" w:firstLineChars="200"/>
        <w:jc w:val="left"/>
        <w:rPr>
          <w:rFonts w:ascii="宋体" w:hAnsi="宋体" w:eastAsia="宋体"/>
          <w:sz w:val="24"/>
        </w:rPr>
      </w:pPr>
      <w:r>
        <w:rPr>
          <w:rFonts w:hint="eastAsia" w:ascii="宋体" w:hAnsi="宋体" w:eastAsia="宋体"/>
          <w:b/>
          <w:sz w:val="24"/>
        </w:rPr>
        <w:t xml:space="preserve">第二十五条  </w:t>
      </w:r>
      <w:r>
        <w:rPr>
          <w:rFonts w:hint="eastAsia" w:ascii="宋体" w:hAnsi="宋体" w:eastAsia="宋体"/>
          <w:sz w:val="24"/>
        </w:rPr>
        <w:t>本合同自双方签字盖章之日起生效；合同文书壹式</w:t>
      </w:r>
      <w:r>
        <w:rPr>
          <w:rFonts w:hint="eastAsia" w:ascii="宋体" w:hAnsi="宋体" w:eastAsia="宋体"/>
          <w:sz w:val="24"/>
          <w:u w:val="single"/>
        </w:rPr>
        <w:t>四</w:t>
      </w:r>
      <w:r>
        <w:rPr>
          <w:rFonts w:hint="eastAsia" w:ascii="宋体" w:hAnsi="宋体" w:eastAsia="宋体"/>
          <w:sz w:val="24"/>
        </w:rPr>
        <w:t>份，甲、乙双方各持</w:t>
      </w:r>
      <w:r>
        <w:rPr>
          <w:rFonts w:hint="eastAsia" w:ascii="宋体" w:hAnsi="宋体" w:eastAsia="宋体"/>
          <w:sz w:val="24"/>
          <w:u w:val="single"/>
        </w:rPr>
        <w:t>两</w:t>
      </w:r>
      <w:r>
        <w:rPr>
          <w:rFonts w:hint="eastAsia" w:ascii="宋体" w:hAnsi="宋体" w:eastAsia="宋体"/>
          <w:sz w:val="24"/>
        </w:rPr>
        <w:t>份，具有同等法律效力。</w:t>
      </w:r>
    </w:p>
    <w:p>
      <w:pPr>
        <w:rPr>
          <w:rFonts w:hint="eastAsia" w:eastAsia="楷体_GB2312"/>
          <w:lang w:eastAsia="zh-CN"/>
        </w:rPr>
      </w:pPr>
    </w:p>
    <w:p>
      <w:pPr>
        <w:pStyle w:val="24"/>
      </w:pPr>
    </w:p>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甲方（盖章）：                      </w:t>
      </w:r>
      <w:r>
        <w:rPr>
          <w:rFonts w:ascii="宋体" w:hAnsi="宋体" w:eastAsia="宋体" w:cs="宋体"/>
          <w:sz w:val="24"/>
          <w:szCs w:val="24"/>
        </w:rPr>
        <w:t xml:space="preserve"> </w:t>
      </w:r>
      <w:r>
        <w:rPr>
          <w:rFonts w:hint="eastAsia" w:ascii="宋体" w:hAnsi="宋体" w:eastAsia="宋体" w:cs="宋体"/>
          <w:sz w:val="24"/>
          <w:szCs w:val="24"/>
        </w:rPr>
        <w:t xml:space="preserve">乙方（盖章）：  </w:t>
      </w:r>
    </w:p>
    <w:p>
      <w:pPr>
        <w:tabs>
          <w:tab w:val="center" w:pos="4125"/>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rPr>
        <w:tab/>
      </w:r>
      <w:r>
        <w:rPr>
          <w:rFonts w:hint="eastAsia" w:ascii="宋体" w:hAnsi="宋体" w:eastAsia="宋体" w:cs="宋体"/>
          <w:sz w:val="24"/>
          <w:szCs w:val="24"/>
        </w:rPr>
        <w:t xml:space="preserve">                         法定代表人：</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委托代理人：                         委托代理人：          </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                           联系电话：</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开户银行：                           开户银行：</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帐号：                               帐号： </w:t>
      </w:r>
    </w:p>
    <w:p>
      <w:pPr>
        <w:spacing w:line="500" w:lineRule="exact"/>
        <w:ind w:firstLine="480" w:firstLineChars="200"/>
        <w:jc w:val="right"/>
        <w:rPr>
          <w:rFonts w:ascii="宋体" w:hAnsi="宋体" w:eastAsia="宋体" w:cs="宋体"/>
          <w:sz w:val="24"/>
          <w:szCs w:val="24"/>
        </w:rPr>
      </w:pPr>
    </w:p>
    <w:p>
      <w:pPr>
        <w:spacing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签订日期：     年   月   日 </w:t>
      </w:r>
    </w:p>
    <w:p>
      <w:r>
        <w:br w:type="page"/>
      </w:r>
    </w:p>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pStyle w:val="57"/>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8"/>
          <w:szCs w:val="28"/>
          <w:lang w:eastAsia="zh-CN"/>
        </w:rPr>
        <w:t>南通市妇幼保健院绿植租摆与绿化养护</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季度</w:t>
      </w:r>
      <w:r>
        <w:rPr>
          <w:rFonts w:hint="eastAsia" w:ascii="宋体" w:hAnsi="宋体" w:eastAsia="宋体" w:cs="宋体"/>
          <w:b/>
          <w:bCs/>
          <w:sz w:val="28"/>
          <w:szCs w:val="28"/>
          <w:lang w:eastAsia="zh-CN"/>
        </w:rPr>
        <w:t>考核表</w:t>
      </w:r>
    </w:p>
    <w:tbl>
      <w:tblPr>
        <w:tblStyle w:val="58"/>
        <w:tblpPr w:leftFromText="180" w:rightFromText="180" w:vertAnchor="page" w:horzAnchor="page" w:tblpX="1504" w:tblpY="23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91"/>
        <w:gridCol w:w="1526"/>
        <w:gridCol w:w="3066"/>
        <w:gridCol w:w="2434"/>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6" w:hRule="atLeast"/>
        </w:trPr>
        <w:tc>
          <w:tcPr>
            <w:tcW w:w="1191" w:type="dxa"/>
            <w:tcBorders>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类别</w:t>
            </w:r>
          </w:p>
        </w:tc>
        <w:tc>
          <w:tcPr>
            <w:tcW w:w="152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养护项目</w:t>
            </w:r>
          </w:p>
        </w:tc>
        <w:tc>
          <w:tcPr>
            <w:tcW w:w="306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工作</w:t>
            </w:r>
            <w:r>
              <w:rPr>
                <w:rFonts w:hint="eastAsia" w:ascii="宋体" w:hAnsi="宋体" w:eastAsia="宋体" w:cs="宋体"/>
                <w:color w:val="333333"/>
                <w:kern w:val="0"/>
                <w:sz w:val="21"/>
                <w:szCs w:val="21"/>
              </w:rPr>
              <w:t>频次</w:t>
            </w:r>
          </w:p>
        </w:tc>
        <w:tc>
          <w:tcPr>
            <w:tcW w:w="2434"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考核标准</w:t>
            </w:r>
          </w:p>
        </w:tc>
        <w:tc>
          <w:tcPr>
            <w:tcW w:w="1300" w:type="dxa"/>
            <w:tcBorders>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考核情况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restart"/>
            <w:tcBorders>
              <w:top w:val="nil"/>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绿化养护（</w:t>
            </w:r>
            <w:r>
              <w:rPr>
                <w:rFonts w:hint="eastAsia" w:ascii="宋体" w:hAnsi="宋体" w:eastAsia="宋体" w:cs="宋体"/>
                <w:color w:val="333333"/>
                <w:kern w:val="0"/>
                <w:sz w:val="21"/>
                <w:szCs w:val="21"/>
                <w:lang w:val="en-US" w:eastAsia="zh-CN"/>
              </w:rPr>
              <w:t>25分</w:t>
            </w:r>
            <w:r>
              <w:rPr>
                <w:rFonts w:hint="eastAsia" w:ascii="宋体" w:hAnsi="宋体" w:eastAsia="宋体" w:cs="宋体"/>
                <w:color w:val="333333"/>
                <w:kern w:val="0"/>
                <w:sz w:val="21"/>
                <w:szCs w:val="21"/>
                <w:lang w:eastAsia="zh-CN"/>
              </w:rPr>
              <w:t>）</w:t>
            </w: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绿篱</w:t>
            </w:r>
            <w:r>
              <w:rPr>
                <w:rFonts w:hint="eastAsia" w:ascii="宋体" w:hAnsi="宋体" w:eastAsia="宋体" w:cs="宋体"/>
                <w:color w:val="333333"/>
                <w:kern w:val="0"/>
                <w:sz w:val="21"/>
                <w:szCs w:val="21"/>
              </w:rPr>
              <w:t>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每季度</w:t>
            </w:r>
            <w:r>
              <w:rPr>
                <w:rFonts w:hint="eastAsia" w:ascii="宋体" w:hAnsi="宋体" w:eastAsia="宋体" w:cs="宋体"/>
                <w:color w:val="333333"/>
                <w:kern w:val="0"/>
                <w:sz w:val="21"/>
                <w:szCs w:val="21"/>
                <w:lang w:val="en-US" w:eastAsia="zh-CN"/>
              </w:rPr>
              <w:t>2-3</w:t>
            </w:r>
            <w:r>
              <w:rPr>
                <w:rFonts w:hint="eastAsia" w:ascii="宋体" w:hAnsi="宋体" w:eastAsia="宋体" w:cs="宋体"/>
                <w:color w:val="333333"/>
                <w:kern w:val="0"/>
                <w:sz w:val="21"/>
                <w:szCs w:val="21"/>
              </w:rPr>
              <w:t>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灌木</w:t>
            </w:r>
            <w:r>
              <w:rPr>
                <w:rFonts w:hint="eastAsia" w:ascii="宋体" w:hAnsi="宋体" w:eastAsia="宋体" w:cs="宋体"/>
                <w:color w:val="333333"/>
                <w:kern w:val="0"/>
                <w:sz w:val="21"/>
                <w:szCs w:val="21"/>
                <w:lang w:eastAsia="zh-CN"/>
              </w:rPr>
              <w:t>浇水</w:t>
            </w:r>
          </w:p>
        </w:tc>
        <w:tc>
          <w:tcPr>
            <w:tcW w:w="3066" w:type="dxa"/>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夏季每月</w:t>
            </w:r>
            <w:r>
              <w:rPr>
                <w:rFonts w:hint="eastAsia" w:ascii="宋体" w:hAnsi="宋体" w:eastAsia="宋体" w:cs="宋体"/>
                <w:color w:val="333333"/>
                <w:kern w:val="0"/>
                <w:sz w:val="21"/>
                <w:szCs w:val="21"/>
                <w:lang w:val="en-US" w:eastAsia="zh-CN"/>
              </w:rPr>
              <w:t>2次、秋冬季每月2次</w:t>
            </w:r>
            <w:r>
              <w:rPr>
                <w:rFonts w:hint="eastAsia" w:ascii="宋体" w:hAnsi="宋体" w:eastAsia="宋体" w:cs="宋体"/>
                <w:color w:val="333333"/>
                <w:kern w:val="0"/>
                <w:sz w:val="21"/>
                <w:szCs w:val="21"/>
              </w:rPr>
              <w:t> </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乔木浇水</w:t>
            </w:r>
          </w:p>
        </w:tc>
        <w:tc>
          <w:tcPr>
            <w:tcW w:w="3066" w:type="dxa"/>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乔木修剪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每年</w:t>
            </w:r>
            <w:r>
              <w:rPr>
                <w:rFonts w:hint="eastAsia" w:ascii="宋体" w:hAnsi="宋体" w:eastAsia="宋体" w:cs="宋体"/>
                <w:color w:val="333333"/>
                <w:kern w:val="0"/>
                <w:sz w:val="21"/>
                <w:szCs w:val="21"/>
              </w:rPr>
              <w:t>修剪1</w:t>
            </w:r>
            <w:r>
              <w:rPr>
                <w:rFonts w:hint="eastAsia" w:ascii="宋体" w:hAnsi="宋体" w:eastAsia="宋体" w:cs="宋体"/>
                <w:color w:val="333333"/>
                <w:kern w:val="0"/>
                <w:sz w:val="21"/>
                <w:szCs w:val="21"/>
                <w:lang w:val="en-US" w:eastAsia="zh-CN"/>
              </w:rPr>
              <w:t>-2</w:t>
            </w:r>
            <w:r>
              <w:rPr>
                <w:rFonts w:hint="eastAsia" w:ascii="宋体" w:hAnsi="宋体" w:eastAsia="宋体" w:cs="宋体"/>
                <w:color w:val="333333"/>
                <w:kern w:val="0"/>
                <w:sz w:val="21"/>
                <w:szCs w:val="21"/>
              </w:rPr>
              <w:t>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草坪修剪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每月1次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杂草清除</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w:t>
            </w:r>
            <w:r>
              <w:rPr>
                <w:rFonts w:hint="eastAsia" w:ascii="宋体" w:hAnsi="宋体" w:eastAsia="宋体" w:cs="宋体"/>
                <w:color w:val="333333"/>
                <w:kern w:val="0"/>
                <w:sz w:val="21"/>
                <w:szCs w:val="21"/>
                <w:lang w:eastAsia="zh-CN"/>
              </w:rPr>
              <w:t>月</w:t>
            </w:r>
            <w:r>
              <w:rPr>
                <w:rFonts w:hint="eastAsia" w:ascii="宋体" w:hAnsi="宋体" w:eastAsia="宋体" w:cs="宋体"/>
                <w:color w:val="333333"/>
                <w:kern w:val="0"/>
                <w:sz w:val="21"/>
                <w:szCs w:val="21"/>
                <w:lang w:val="en-US" w:eastAsia="zh-CN"/>
              </w:rPr>
              <w:t>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施肥</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每季度1次</w:t>
            </w:r>
          </w:p>
        </w:tc>
        <w:tc>
          <w:tcPr>
            <w:tcW w:w="243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single" w:color="auto" w:sz="8" w:space="0"/>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病虫害防治</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每月1次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垃圾清理</w:t>
            </w:r>
          </w:p>
        </w:tc>
        <w:tc>
          <w:tcPr>
            <w:tcW w:w="3066"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及时清理运走</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有1次扣2分/次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restart"/>
            <w:tcBorders>
              <w:top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绿植租摆</w:t>
            </w:r>
          </w:p>
          <w:p>
            <w:pPr>
              <w:pStyle w:val="57"/>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75分</w:t>
            </w:r>
            <w:r>
              <w:rPr>
                <w:rFonts w:hint="eastAsia" w:ascii="宋体" w:hAnsi="宋体" w:eastAsia="宋体" w:cs="宋体"/>
                <w:color w:val="333333"/>
                <w:kern w:val="0"/>
                <w:sz w:val="21"/>
                <w:szCs w:val="21"/>
                <w:lang w:eastAsia="zh-CN"/>
              </w:rPr>
              <w:t>）</w:t>
            </w: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摆放数量</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满足招标文件需求</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少</w:t>
            </w:r>
            <w:r>
              <w:rPr>
                <w:rFonts w:hint="eastAsia" w:ascii="宋体" w:hAnsi="宋体" w:eastAsia="宋体" w:cs="宋体"/>
                <w:color w:val="333333"/>
                <w:kern w:val="0"/>
                <w:sz w:val="21"/>
                <w:szCs w:val="21"/>
                <w:lang w:val="en-US" w:eastAsia="zh-CN"/>
              </w:rPr>
              <w:t>1盆</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1分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摆放规格</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满足招标文件需求</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不符合</w:t>
            </w:r>
            <w:r>
              <w:rPr>
                <w:rFonts w:hint="eastAsia" w:ascii="宋体" w:hAnsi="宋体" w:eastAsia="宋体" w:cs="宋体"/>
                <w:color w:val="333333"/>
                <w:kern w:val="0"/>
                <w:sz w:val="21"/>
                <w:szCs w:val="21"/>
                <w:lang w:val="en-US" w:eastAsia="zh-CN"/>
              </w:rPr>
              <w:t>1盆</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绿植外观</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健壮、无</w:t>
            </w:r>
            <w:r>
              <w:rPr>
                <w:rFonts w:hint="eastAsia" w:ascii="宋体" w:hAnsi="宋体" w:eastAsia="宋体" w:cs="宋体"/>
                <w:sz w:val="21"/>
                <w:szCs w:val="21"/>
              </w:rPr>
              <w:t>枯枝烂叶</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定期浇水</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及时、不外溢</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病虫害防治</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无病虫害</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施肥</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每季度1次</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未做到扣1分/次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卫生保洁</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sz w:val="21"/>
                <w:szCs w:val="21"/>
              </w:rPr>
              <w:t>花盆、垫盆、套盆保持整洁</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未做到扣</w:t>
            </w:r>
            <w:r>
              <w:rPr>
                <w:rFonts w:hint="eastAsia" w:ascii="宋体" w:hAnsi="宋体" w:eastAsia="宋体" w:cs="宋体"/>
                <w:color w:val="333333"/>
                <w:kern w:val="0"/>
                <w:sz w:val="21"/>
                <w:szCs w:val="21"/>
                <w:lang w:val="en-US" w:eastAsia="zh-CN"/>
              </w:rPr>
              <w:t>0.5分/处</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绿植养护</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每周</w:t>
            </w:r>
            <w:r>
              <w:rPr>
                <w:rFonts w:hint="eastAsia" w:ascii="宋体" w:hAnsi="宋体" w:eastAsia="宋体" w:cs="宋体"/>
                <w:color w:val="333333"/>
                <w:kern w:val="0"/>
                <w:sz w:val="21"/>
                <w:szCs w:val="21"/>
                <w:lang w:val="en-US" w:eastAsia="zh-CN"/>
              </w:rPr>
              <w:t>1次</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其它</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及时更换不能成活的绿植</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未做到及时更换，超过3次扣违约金2000元，累计5次，解除合同</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217" w:type="dxa"/>
            <w:gridSpan w:val="4"/>
            <w:tcBorders>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合          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top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8326" w:type="dxa"/>
            <w:gridSpan w:val="4"/>
            <w:vMerge w:val="restart"/>
            <w:tcBorders>
              <w:top w:val="single" w:color="auto" w:sz="4" w:space="0"/>
              <w:left w:val="single" w:color="auto" w:sz="4" w:space="0"/>
            </w:tcBorders>
            <w:shd w:val="clear" w:color="auto" w:fill="FFFFFF"/>
            <w:noWrap w:val="0"/>
            <w:tcMar>
              <w:top w:w="0" w:type="dxa"/>
              <w:left w:w="108" w:type="dxa"/>
              <w:bottom w:w="0" w:type="dxa"/>
              <w:right w:w="108" w:type="dxa"/>
            </w:tcMar>
            <w:vAlign w:val="center"/>
          </w:tcPr>
          <w:p>
            <w:pPr>
              <w:widowControl/>
              <w:numPr>
                <w:ilvl w:val="0"/>
                <w:numId w:val="2"/>
              </w:num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每次考核总分为100分，每季度考核1次。</w:t>
            </w:r>
          </w:p>
          <w:p>
            <w:pPr>
              <w:pStyle w:val="57"/>
              <w:numPr>
                <w:ilvl w:val="0"/>
                <w:numId w:val="2"/>
              </w:numPr>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每半年养护费按两个季度考核分平均计算，考核分低于85分的，每低1分扣应支付费用总额的1%；高于85分（含）的，全额支付半年养护费。</w:t>
            </w:r>
          </w:p>
          <w:p>
            <w:pPr>
              <w:pStyle w:val="57"/>
              <w:numPr>
                <w:ilvl w:val="0"/>
                <w:numId w:val="2"/>
              </w:numPr>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本次考核期为</w:t>
            </w:r>
            <w:r>
              <w:rPr>
                <w:rFonts w:hint="eastAsia" w:ascii="宋体" w:hAnsi="宋体" w:eastAsia="宋体" w:cs="宋体"/>
                <w:sz w:val="21"/>
                <w:szCs w:val="21"/>
                <w:u w:val="single"/>
                <w:lang w:val="en-US" w:eastAsia="zh-CN"/>
              </w:rPr>
              <w:t xml:space="preserve">        年    月    日至     年    月    日</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考核说明</w:t>
            </w:r>
          </w:p>
        </w:tc>
        <w:tc>
          <w:tcPr>
            <w:tcW w:w="8326" w:type="dxa"/>
            <w:gridSpan w:val="4"/>
            <w:vMerge w:val="continue"/>
            <w:tcBorders>
              <w:lef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8326" w:type="dxa"/>
            <w:gridSpan w:val="4"/>
            <w:vMerge w:val="continue"/>
            <w:tcBorders>
              <w:lef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bl>
    <w:p>
      <w:pPr>
        <w:widowControl/>
        <w:jc w:val="left"/>
        <w:rPr>
          <w:rFonts w:hint="eastAsia" w:ascii="宋体" w:hAnsi="宋体" w:eastAsia="宋体" w:cs="宋体"/>
          <w:b/>
          <w:w w:val="80"/>
          <w:sz w:val="21"/>
          <w:szCs w:val="21"/>
        </w:rPr>
      </w:pPr>
      <w:r>
        <w:rPr>
          <w:rFonts w:hint="eastAsia" w:ascii="宋体" w:hAnsi="宋体" w:eastAsia="宋体" w:cs="宋体"/>
          <w:b/>
          <w:w w:val="80"/>
          <w:sz w:val="21"/>
          <w:szCs w:val="21"/>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第七章 质疑与投诉</w:t>
      </w:r>
      <w:bookmarkEnd w:id="11"/>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380" w:beforeLines="100" w:line="400" w:lineRule="exact"/>
        <w:outlineLvl w:val="0"/>
        <w:rPr>
          <w:rFonts w:asciiTheme="majorEastAsia" w:hAnsiTheme="majorEastAsia" w:eastAsiaTheme="majorEastAsia" w:cstheme="minorEastAsia"/>
          <w:b/>
          <w:w w:val="80"/>
          <w:sz w:val="32"/>
          <w:szCs w:val="32"/>
        </w:rPr>
      </w:pPr>
      <w:bookmarkStart w:id="12" w:name="_Toc363573860"/>
    </w:p>
    <w:p>
      <w:pPr>
        <w:pStyle w:val="57"/>
        <w:ind w:left="520" w:firstLine="560"/>
        <w:rPr>
          <w:rFonts w:asciiTheme="majorEastAsia" w:hAnsiTheme="majorEastAsia" w:eastAsiaTheme="majorEastAsia"/>
        </w:rPr>
      </w:pP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第八章</w:t>
      </w:r>
      <w:bookmarkEnd w:id="12"/>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 xml:space="preserve">、在中华人民共和国境内注册的企业单位或其他组织等，具备完成本项目服务能力，提供合法有效的营业执照。 </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法定代表人参加投标的，必须提供法定代表人身份证明及法定代表人本人身份证复印件；非法定代表人参加投标的，必须提供法定代表人签名或盖章的授权委托书及法定代表人和被授权人两个人的身份证复印件。（格式参见附件）</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、供应商须提供参与本次项目政府采购活动前三年内在经营活动中没有重大违法记录的书面《无重大违法记录声明函》。（格式参见附件）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、关于资格文件的声明函。（格式参见附件）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5</w:t>
      </w:r>
      <w:r>
        <w:rPr>
          <w:rFonts w:hint="eastAsia" w:asciiTheme="majorEastAsia" w:hAnsiTheme="majorEastAsia" w:eastAsiaTheme="majorEastAsia" w:cstheme="minorEastAsia"/>
          <w:sz w:val="24"/>
          <w:szCs w:val="24"/>
        </w:rPr>
        <w:t>、供应商认为需要提交的其他资料。</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57"/>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提供的服务要求标准等，仔细阅读并在理解的基础上结合第四章“技术标评分标准”内的评审细则，编写编制技术磋商响应文件。技术磋商响应文件的内容，不得有缺项或漏项，否则将有可能被视为未实质性响应磋商文件要求而作无效投标磋商处理，或可能直接影响技术磋商评审的得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、技术标评标办法中要求提供的全部资料。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、供应商认为需要提交的其他资料。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C、商务磋商响应文件：（一个密封包，内含：1份“正本”和2份“副本”。）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商务磋商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没收其全额磋商保证金并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w:t>
      </w:r>
      <w:r>
        <w:rPr>
          <w:rFonts w:hint="eastAsia" w:asciiTheme="majorEastAsia" w:hAnsiTheme="majorEastAsia" w:eastAsiaTheme="majorEastAsia" w:cstheme="minorEastAsia"/>
          <w:sz w:val="24"/>
          <w:szCs w:val="24"/>
          <w:lang w:eastAsia="zh-CN"/>
        </w:rPr>
        <w:t>（若有）</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5、残疾人福利性单位声明函</w:t>
      </w:r>
      <w:r>
        <w:rPr>
          <w:rFonts w:hint="eastAsia" w:asciiTheme="majorEastAsia" w:hAnsiTheme="majorEastAsia" w:eastAsiaTheme="majorEastAsia" w:cstheme="minorEastAsia"/>
          <w:sz w:val="24"/>
          <w:szCs w:val="24"/>
          <w:lang w:eastAsia="zh-CN"/>
        </w:rPr>
        <w:t>（若有）</w:t>
      </w:r>
      <w:r>
        <w:rPr>
          <w:rFonts w:hint="eastAsia" w:asciiTheme="majorEastAsia" w:hAnsiTheme="majorEastAsia" w:eastAsiaTheme="majorEastAsia" w:cstheme="minorEastAsia"/>
          <w:sz w:val="24"/>
          <w:szCs w:val="24"/>
        </w:rPr>
        <w:t>（格式参见附件）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pStyle w:val="20"/>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57"/>
        <w:ind w:left="520" w:firstLine="560"/>
        <w:rPr>
          <w:rFonts w:asciiTheme="majorEastAsia" w:hAnsiTheme="majorEastAsia" w:eastAsiaTheme="majorEastAsia"/>
        </w:rPr>
      </w:pP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（竞争性磋商项目名称）项目的政府采购活动，全权处理一切与该项目招标有关的事务。其在办理上述事宜过程中所签署的所有文件我公司均予以承认。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参加政府采购活动前3年内在经营活动中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hint="eastAsia"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420" w:lineRule="exact"/>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0"/>
        <w:overflowPunct w:val="0"/>
        <w:spacing w:line="420" w:lineRule="exact"/>
        <w:ind w:firstLine="660"/>
        <w:rPr>
          <w:rFonts w:ascii="宋体" w:hAnsi="宋体" w:eastAsia="宋体" w:cs="宋体"/>
          <w:bCs/>
          <w:sz w:val="23"/>
          <w:szCs w:val="23"/>
        </w:rPr>
      </w:pPr>
      <w:r>
        <w:rPr>
          <w:rFonts w:hint="eastAsia" w:ascii="宋体" w:hAnsi="宋体" w:eastAsia="宋体" w:cs="宋体"/>
          <w:bCs/>
          <w:sz w:val="23"/>
          <w:szCs w:val="23"/>
        </w:rPr>
        <w:t>本公司愿就由贵单位组织实施的</w:t>
      </w:r>
      <w:r>
        <w:rPr>
          <w:rFonts w:hint="eastAsia" w:ascii="宋体" w:hAnsi="宋体" w:eastAsia="宋体" w:cs="宋体"/>
          <w:bCs/>
          <w:sz w:val="23"/>
          <w:szCs w:val="23"/>
          <w:u w:val="single"/>
        </w:rPr>
        <w:t xml:space="preserve">            </w:t>
      </w:r>
      <w:r>
        <w:rPr>
          <w:rFonts w:hint="eastAsia" w:ascii="宋体" w:hAnsi="宋体" w:eastAsia="宋体" w:cs="宋体"/>
          <w:bCs/>
          <w:sz w:val="23"/>
          <w:szCs w:val="23"/>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 w:val="23"/>
          <w:szCs w:val="23"/>
        </w:rPr>
      </w:pPr>
    </w:p>
    <w:p>
      <w:pPr>
        <w:pStyle w:val="10"/>
        <w:overflowPunct w:val="0"/>
        <w:spacing w:line="420" w:lineRule="exact"/>
        <w:rPr>
          <w:rFonts w:ascii="宋体" w:hAnsi="宋体" w:eastAsia="宋体" w:cs="宋体"/>
          <w:bCs/>
          <w:sz w:val="23"/>
          <w:szCs w:val="23"/>
        </w:rPr>
      </w:pPr>
    </w:p>
    <w:p>
      <w:pPr>
        <w:pStyle w:val="10"/>
        <w:overflowPunct w:val="0"/>
        <w:spacing w:line="420" w:lineRule="exact"/>
        <w:rPr>
          <w:rFonts w:ascii="宋体" w:hAnsi="宋体" w:eastAsia="宋体" w:cs="宋体"/>
          <w:bCs/>
          <w:sz w:val="23"/>
          <w:szCs w:val="23"/>
        </w:rPr>
      </w:pPr>
    </w:p>
    <w:p>
      <w:pPr>
        <w:pStyle w:val="10"/>
        <w:overflowPunct w:val="0"/>
        <w:spacing w:line="360" w:lineRule="auto"/>
        <w:rPr>
          <w:rFonts w:ascii="宋体" w:hAnsi="宋体" w:eastAsia="宋体" w:cs="宋体"/>
          <w:bCs/>
          <w:sz w:val="23"/>
          <w:szCs w:val="23"/>
        </w:rPr>
      </w:pPr>
      <w:r>
        <w:rPr>
          <w:rFonts w:hint="eastAsia" w:ascii="宋体" w:hAnsi="宋体" w:eastAsia="宋体" w:cs="宋体"/>
          <w:bCs/>
          <w:sz w:val="23"/>
          <w:szCs w:val="23"/>
        </w:rPr>
        <w:t xml:space="preserve"> </w:t>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 xml:space="preserve">           （供应商）法定代表人（签字或盖章）：</w:t>
      </w:r>
    </w:p>
    <w:p>
      <w:pPr>
        <w:pStyle w:val="10"/>
        <w:overflowPunct w:val="0"/>
        <w:spacing w:line="360" w:lineRule="auto"/>
        <w:ind w:left="1700" w:firstLine="425"/>
        <w:rPr>
          <w:rFonts w:ascii="宋体" w:hAnsi="宋体" w:eastAsia="宋体" w:cs="宋体"/>
          <w:bCs/>
          <w:sz w:val="23"/>
          <w:szCs w:val="23"/>
        </w:rPr>
      </w:pPr>
      <w:r>
        <w:rPr>
          <w:rFonts w:hint="eastAsia" w:ascii="宋体" w:hAnsi="宋体" w:eastAsia="宋体" w:cs="宋体"/>
          <w:bCs/>
          <w:sz w:val="23"/>
          <w:szCs w:val="23"/>
        </w:rPr>
        <w:t xml:space="preserve">            （供应商）公章：</w:t>
      </w:r>
    </w:p>
    <w:p>
      <w:pPr>
        <w:spacing w:line="360" w:lineRule="auto"/>
        <w:jc w:val="center"/>
        <w:rPr>
          <w:rStyle w:val="77"/>
          <w:rFonts w:eastAsia="宋体" w:cs="宋体"/>
          <w:b w:val="0"/>
          <w:sz w:val="23"/>
          <w:szCs w:val="23"/>
        </w:rPr>
      </w:pPr>
      <w:r>
        <w:rPr>
          <w:rFonts w:hint="eastAsia" w:ascii="宋体" w:hAnsi="宋体" w:eastAsia="宋体" w:cs="宋体"/>
          <w:bCs/>
          <w:sz w:val="23"/>
          <w:szCs w:val="23"/>
        </w:rPr>
        <w:t xml:space="preserve">          年</w:t>
      </w:r>
      <w:r>
        <w:rPr>
          <w:rFonts w:hint="eastAsia" w:ascii="宋体" w:hAnsi="宋体" w:eastAsia="宋体" w:cs="宋体"/>
          <w:bCs/>
          <w:sz w:val="23"/>
          <w:szCs w:val="23"/>
        </w:rPr>
        <w:tab/>
      </w:r>
      <w:r>
        <w:rPr>
          <w:rFonts w:hint="eastAsia" w:ascii="宋体" w:hAnsi="宋体" w:eastAsia="宋体" w:cs="宋体"/>
          <w:bCs/>
          <w:sz w:val="23"/>
          <w:szCs w:val="23"/>
        </w:rPr>
        <w:t xml:space="preserve"> 月    日</w:t>
      </w:r>
    </w:p>
    <w:p>
      <w:pPr>
        <w:snapToGrid w:val="0"/>
        <w:spacing w:after="380" w:afterLines="100" w:line="520" w:lineRule="exact"/>
        <w:jc w:val="center"/>
        <w:rPr>
          <w:rFonts w:hint="eastAsia"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57"/>
        <w:gridCol w:w="914"/>
        <w:gridCol w:w="394"/>
        <w:gridCol w:w="1129"/>
        <w:gridCol w:w="609"/>
        <w:gridCol w:w="1019"/>
        <w:gridCol w:w="1519"/>
        <w:gridCol w:w="127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hint="eastAsia"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hint="eastAsia" w:ascii="宋体" w:hAnsi="宋体" w:eastAsia="宋体"/>
                <w:sz w:val="24"/>
                <w:szCs w:val="24"/>
              </w:rPr>
            </w:pPr>
          </w:p>
        </w:tc>
        <w:tc>
          <w:tcPr>
            <w:tcW w:w="646" w:type="pc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restar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主要</w:t>
            </w:r>
          </w:p>
          <w:p>
            <w:pPr>
              <w:tabs>
                <w:tab w:val="left" w:pos="4320"/>
              </w:tabs>
              <w:jc w:val="center"/>
              <w:rPr>
                <w:rFonts w:hint="eastAsia"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hint="eastAsia"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固定资产</w:t>
            </w:r>
          </w:p>
          <w:p>
            <w:pPr>
              <w:tabs>
                <w:tab w:val="left" w:pos="4320"/>
              </w:tabs>
              <w:jc w:val="center"/>
              <w:rPr>
                <w:rFonts w:hint="eastAsia"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hint="eastAsia"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hint="eastAsia" w:ascii="宋体" w:hAnsi="宋体" w:eastAsia="宋体"/>
                <w:sz w:val="24"/>
                <w:szCs w:val="24"/>
              </w:rPr>
            </w:pPr>
          </w:p>
          <w:p>
            <w:pPr>
              <w:tabs>
                <w:tab w:val="left" w:pos="-48"/>
                <w:tab w:val="left" w:pos="4320"/>
              </w:tabs>
              <w:ind w:right="-133" w:hanging="48"/>
              <w:rPr>
                <w:rFonts w:hint="eastAsia"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hint="eastAsia" w:ascii="宋体" w:hAnsi="宋体" w:eastAsia="宋体"/>
                <w:sz w:val="24"/>
                <w:szCs w:val="24"/>
              </w:rPr>
            </w:pP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continue"/>
            <w:vAlign w:val="center"/>
          </w:tcPr>
          <w:p>
            <w:pPr>
              <w:tabs>
                <w:tab w:val="left" w:pos="4320"/>
              </w:tabs>
              <w:jc w:val="center"/>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continue"/>
            <w:vAlign w:val="center"/>
          </w:tcPr>
          <w:p>
            <w:pPr>
              <w:tabs>
                <w:tab w:val="left" w:pos="4320"/>
              </w:tabs>
              <w:jc w:val="center"/>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hint="eastAsia"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hint="eastAsia"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hint="eastAsia"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hint="eastAsia" w:ascii="宋体" w:hAnsi="宋体" w:eastAsia="宋体"/>
                <w:sz w:val="24"/>
                <w:szCs w:val="24"/>
              </w:rPr>
            </w:pPr>
          </w:p>
        </w:tc>
        <w:tc>
          <w:tcPr>
            <w:tcW w:w="2295" w:type="pct"/>
            <w:gridSpan w:val="6"/>
            <w:tcBorders>
              <w:bottom w:val="double" w:color="auto" w:sz="4" w:space="0"/>
            </w:tcBorders>
            <w:vAlign w:val="center"/>
          </w:tcPr>
          <w:p>
            <w:pPr>
              <w:tabs>
                <w:tab w:val="left" w:pos="4320"/>
              </w:tabs>
              <w:rPr>
                <w:rFonts w:hint="eastAsia"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hint="eastAsia" w:ascii="宋体" w:hAnsi="宋体" w:eastAsia="宋体"/>
                <w:sz w:val="24"/>
                <w:szCs w:val="24"/>
              </w:rPr>
            </w:pPr>
          </w:p>
        </w:tc>
      </w:tr>
    </w:tbl>
    <w:p>
      <w:pPr>
        <w:widowControl/>
        <w:jc w:val="left"/>
        <w:rPr>
          <w:rFonts w:hint="eastAsia" w:ascii="宋体" w:hAnsi="宋体" w:eastAsia="宋体"/>
          <w:b/>
          <w:sz w:val="28"/>
          <w:szCs w:val="28"/>
        </w:rPr>
      </w:pPr>
    </w:p>
    <w:p>
      <w:pPr>
        <w:snapToGrid w:val="0"/>
        <w:spacing w:after="380"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hint="eastAsia" w:ascii="宋体" w:hAnsi="宋体" w:eastAsia="宋体" w:cs="宋体"/>
          <w:sz w:val="24"/>
          <w:u w:val="single"/>
        </w:rPr>
      </w:pPr>
      <w:r>
        <w:rPr>
          <w:rFonts w:hint="eastAsia" w:ascii="宋体" w:hAnsi="宋体" w:eastAsia="宋体" w:cs="宋体"/>
          <w:sz w:val="24"/>
          <w:lang w:eastAsia="zh-CN"/>
        </w:rPr>
        <w:t>项目</w:t>
      </w:r>
      <w:r>
        <w:rPr>
          <w:rFonts w:hint="eastAsia" w:ascii="宋体" w:hAnsi="宋体" w:eastAsia="宋体" w:cs="宋体"/>
          <w:sz w:val="24"/>
        </w:rPr>
        <w:t>名称：</w:t>
      </w:r>
    </w:p>
    <w:tbl>
      <w:tblPr>
        <w:tblStyle w:val="5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1421"/>
        <w:gridCol w:w="3045"/>
        <w:gridCol w:w="3061"/>
        <w:gridCol w:w="1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hint="eastAsia"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int="eastAsia"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int="eastAsia" w:hAnsi="宋体" w:eastAsia="宋体"/>
          <w:sz w:val="24"/>
          <w:szCs w:val="24"/>
        </w:rPr>
      </w:pPr>
      <w:r>
        <w:rPr>
          <w:rFonts w:hint="eastAsia" w:hAnsi="宋体" w:eastAsia="宋体"/>
          <w:sz w:val="24"/>
          <w:szCs w:val="24"/>
        </w:rPr>
        <w:t>1</w:t>
      </w:r>
      <w:r>
        <w:rPr>
          <w:rFonts w:hint="eastAsia" w:hAnsi="宋体" w:eastAsia="宋体"/>
          <w:sz w:val="24"/>
          <w:szCs w:val="24"/>
          <w:lang w:eastAsia="zh-CN"/>
        </w:rPr>
        <w:t>、</w:t>
      </w:r>
      <w:r>
        <w:rPr>
          <w:rFonts w:hint="eastAsia" w:hAnsi="宋体" w:eastAsia="宋体"/>
          <w:sz w:val="24"/>
          <w:szCs w:val="24"/>
        </w:rPr>
        <w:t>供应商提交的响应文件中与磋商文件第三部分“项目需求说明”中的要求有不同时，应逐条填列在偏离表中，否则将认为供应商接受磋商文件的所有要求。完全响应部分不填。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int="eastAsia"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hint="eastAsia" w:ascii="宋体" w:hAnsi="宋体" w:eastAsia="宋体"/>
          <w:sz w:val="24"/>
          <w:szCs w:val="24"/>
        </w:rPr>
      </w:pPr>
      <w:r>
        <w:rPr>
          <w:rFonts w:hint="eastAsia" w:ascii="宋体" w:hAnsi="宋体" w:eastAsia="宋体"/>
          <w:sz w:val="24"/>
          <w:szCs w:val="24"/>
        </w:rPr>
        <w:t>3、供应商如果虚假响应，将承担被没收全额磋商保证金的风险。</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rPr>
        <w:t>4、供应商若提供其他增值服务，可以在表中自行据实填写。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
      <w:pPr>
        <w:snapToGrid w:val="0"/>
        <w:spacing w:after="380"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80"/>
        <w:gridCol w:w="5088"/>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
                <w:sz w:val="24"/>
                <w:szCs w:val="24"/>
                <w:lang w:eastAsia="zh-CN"/>
              </w:rPr>
            </w:pPr>
            <w:r>
              <w:rPr>
                <w:rFonts w:hint="eastAsia" w:ascii="方正仿宋_GBK" w:eastAsia="宋体"/>
                <w:b/>
                <w:sz w:val="24"/>
                <w:szCs w:val="24"/>
              </w:rPr>
              <w:t>磋商总报价</w:t>
            </w:r>
            <w:r>
              <w:rPr>
                <w:rFonts w:hint="eastAsia" w:ascii="方正仿宋_GBK" w:eastAsia="宋体"/>
                <w:b/>
                <w:sz w:val="24"/>
                <w:szCs w:val="24"/>
                <w:lang w:eastAsia="zh-CN"/>
              </w:rPr>
              <w:t>（每年）</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7"/>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3"/>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3"/>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第二次报价、第三次报价（如有）将在开标现场填写，报价响应文件密封提交时只需填写“首轮报价”。</w:t>
      </w:r>
      <w:r>
        <w:rPr>
          <w:rFonts w:hint="eastAsia" w:ascii="宋体" w:hAnsi="宋体" w:eastAsia="宋体" w:cs="宋体"/>
          <w:b/>
          <w:bCs/>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57"/>
        <w:ind w:left="0" w:leftChars="0" w:firstLine="0" w:firstLineChars="0"/>
        <w:jc w:val="center"/>
        <w:rPr>
          <w:rFonts w:hint="eastAsia" w:ascii="宋体" w:hAnsi="宋体" w:cs="宋体"/>
          <w:b/>
          <w:sz w:val="28"/>
          <w:szCs w:val="28"/>
          <w:lang w:eastAsia="zh-CN"/>
        </w:rPr>
      </w:pPr>
      <w:r>
        <w:rPr>
          <w:rFonts w:hint="eastAsia" w:ascii="宋体" w:hAnsi="宋体" w:eastAsia="宋体" w:cs="宋体"/>
          <w:b/>
          <w:sz w:val="28"/>
          <w:szCs w:val="28"/>
        </w:rPr>
        <w:t>磋商响应报价</w:t>
      </w:r>
      <w:r>
        <w:rPr>
          <w:rFonts w:hint="eastAsia" w:ascii="宋体" w:hAnsi="宋体" w:cs="宋体"/>
          <w:b/>
          <w:sz w:val="28"/>
          <w:szCs w:val="28"/>
          <w:lang w:eastAsia="zh-CN"/>
        </w:rPr>
        <w:t>明细表</w:t>
      </w:r>
    </w:p>
    <w:p>
      <w:pPr>
        <w:kinsoku w:val="0"/>
        <w:topLinePunct/>
        <w:snapToGrid w:val="0"/>
        <w:spacing w:line="520" w:lineRule="exact"/>
        <w:rPr>
          <w:rFonts w:hint="eastAsia" w:ascii="宋体" w:hAnsi="宋体" w:cs="宋体"/>
          <w:b/>
          <w:sz w:val="28"/>
          <w:szCs w:val="28"/>
          <w:lang w:eastAsia="zh-CN"/>
        </w:rPr>
      </w:pPr>
      <w:r>
        <w:rPr>
          <w:rFonts w:hint="eastAsia" w:ascii="宋体" w:hAnsi="宋体" w:eastAsia="宋体" w:cs="宋体"/>
          <w:sz w:val="24"/>
          <w:szCs w:val="24"/>
        </w:rPr>
        <w:t>项目名称</w:t>
      </w:r>
      <w:r>
        <w:rPr>
          <w:rFonts w:ascii="方正仿宋_GBK" w:eastAsia="宋体"/>
          <w:b/>
          <w:sz w:val="24"/>
          <w:szCs w:val="24"/>
        </w:rPr>
        <w:t>：</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99"/>
        <w:gridCol w:w="1137"/>
        <w:gridCol w:w="962"/>
        <w:gridCol w:w="1829"/>
        <w:gridCol w:w="195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536" w:type="pct"/>
            <w:noWrap w:val="0"/>
            <w:vAlign w:val="center"/>
          </w:tcPr>
          <w:p>
            <w:pPr>
              <w:jc w:val="center"/>
              <w:rPr>
                <w:rFonts w:ascii="宋体" w:hAnsi="宋体" w:eastAsia="宋体" w:cs="宋体"/>
                <w:color w:val="000000"/>
                <w:kern w:val="0"/>
                <w:sz w:val="24"/>
                <w:szCs w:val="24"/>
              </w:rPr>
            </w:pPr>
            <w:r>
              <w:rPr>
                <w:rFonts w:hint="eastAsia" w:ascii="宋体" w:hAnsi="宋体" w:eastAsia="宋体" w:cs="宋体"/>
                <w:b/>
                <w:bCs/>
                <w:sz w:val="24"/>
                <w:szCs w:val="24"/>
              </w:rPr>
              <w:br w:type="page"/>
            </w:r>
            <w:r>
              <w:rPr>
                <w:rFonts w:hint="eastAsia" w:ascii="宋体" w:hAnsi="宋体" w:eastAsia="宋体" w:cs="宋体"/>
                <w:color w:val="000000"/>
                <w:kern w:val="0"/>
                <w:sz w:val="24"/>
                <w:szCs w:val="24"/>
              </w:rPr>
              <w:t>序号</w:t>
            </w:r>
          </w:p>
        </w:tc>
        <w:tc>
          <w:tcPr>
            <w:tcW w:w="1033" w:type="pct"/>
            <w:gridSpan w:val="2"/>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项目</w:t>
            </w:r>
            <w:r>
              <w:rPr>
                <w:rFonts w:hint="eastAsia" w:ascii="宋体" w:hAnsi="宋体" w:eastAsia="宋体" w:cs="宋体"/>
                <w:color w:val="000000"/>
                <w:kern w:val="0"/>
                <w:sz w:val="24"/>
                <w:szCs w:val="24"/>
              </w:rPr>
              <w:t>名称</w:t>
            </w:r>
          </w:p>
        </w:tc>
        <w:tc>
          <w:tcPr>
            <w:tcW w:w="488" w:type="pct"/>
            <w:noWrap w:val="0"/>
            <w:vAlign w:val="center"/>
          </w:tcPr>
          <w:p>
            <w:pPr>
              <w:widowControl/>
              <w:jc w:val="center"/>
              <w:rPr>
                <w:rFonts w:ascii="宋体" w:hAnsi="宋体" w:eastAsia="宋体" w:cs="宋体"/>
                <w:sz w:val="24"/>
                <w:szCs w:val="24"/>
              </w:rPr>
            </w:pPr>
            <w:r>
              <w:rPr>
                <w:rFonts w:hint="eastAsia" w:ascii="宋体" w:hAnsi="宋体" w:eastAsia="宋体" w:cs="宋体"/>
                <w:color w:val="000000"/>
                <w:kern w:val="0"/>
                <w:sz w:val="24"/>
                <w:szCs w:val="24"/>
              </w:rPr>
              <w:t>单位</w:t>
            </w:r>
          </w:p>
        </w:tc>
        <w:tc>
          <w:tcPr>
            <w:tcW w:w="928"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eastAsia="zh-CN"/>
              </w:rPr>
              <w:t>数量</w:t>
            </w:r>
          </w:p>
        </w:tc>
        <w:tc>
          <w:tcPr>
            <w:tcW w:w="993"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rPr>
              <w:t>综合单价</w:t>
            </w:r>
            <w:r>
              <w:rPr>
                <w:rFonts w:hint="eastAsia" w:ascii="宋体" w:hAnsi="宋体" w:eastAsia="宋体" w:cs="宋体"/>
                <w:color w:val="000000"/>
                <w:kern w:val="0"/>
                <w:sz w:val="24"/>
                <w:szCs w:val="24"/>
                <w:lang w:eastAsia="zh-CN"/>
              </w:rPr>
              <w:t>（元）</w:t>
            </w:r>
          </w:p>
        </w:tc>
        <w:tc>
          <w:tcPr>
            <w:tcW w:w="1020"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33" w:type="pct"/>
            <w:gridSpan w:val="2"/>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绿化养护</w:t>
            </w:r>
          </w:p>
        </w:tc>
        <w:tc>
          <w:tcPr>
            <w:tcW w:w="488"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平方米</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14000</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56" w:type="pct"/>
            <w:vMerge w:val="restart"/>
            <w:noWrap w:val="0"/>
            <w:vAlign w:val="center"/>
          </w:tcPr>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绿</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植</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租</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摆</w:t>
            </w: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大型</w:t>
            </w:r>
          </w:p>
        </w:tc>
        <w:tc>
          <w:tcPr>
            <w:tcW w:w="488"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183</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56" w:type="pct"/>
            <w:vMerge w:val="continue"/>
            <w:noWrap w:val="0"/>
            <w:vAlign w:val="center"/>
          </w:tcPr>
          <w:p>
            <w:pPr>
              <w:widowControl/>
              <w:jc w:val="center"/>
              <w:rPr>
                <w:rFonts w:ascii="宋体" w:hAnsi="宋体" w:eastAsia="宋体" w:cs="宋体"/>
                <w:sz w:val="24"/>
                <w:szCs w:val="24"/>
              </w:rPr>
            </w:pP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w:t>
            </w:r>
          </w:p>
        </w:tc>
        <w:tc>
          <w:tcPr>
            <w:tcW w:w="488"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268</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56" w:type="pct"/>
            <w:vMerge w:val="continue"/>
            <w:noWrap w:val="0"/>
            <w:vAlign w:val="center"/>
          </w:tcPr>
          <w:p>
            <w:pPr>
              <w:widowControl/>
              <w:jc w:val="center"/>
              <w:rPr>
                <w:rFonts w:ascii="宋体" w:hAnsi="宋体" w:eastAsia="宋体" w:cs="宋体"/>
                <w:sz w:val="24"/>
                <w:szCs w:val="24"/>
              </w:rPr>
            </w:pP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小型</w:t>
            </w:r>
          </w:p>
        </w:tc>
        <w:tc>
          <w:tcPr>
            <w:tcW w:w="488"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125</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536"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总计</w:t>
            </w:r>
          </w:p>
          <w:p>
            <w:pPr>
              <w:widowControl/>
              <w:jc w:val="center"/>
              <w:rPr>
                <w:rFonts w:hint="eastAsia" w:ascii="宋体" w:hAnsi="宋体" w:eastAsia="宋体" w:cs="宋体"/>
                <w:b/>
                <w:bCs/>
                <w:sz w:val="24"/>
                <w:szCs w:val="24"/>
                <w:lang w:eastAsia="zh-CN"/>
              </w:rPr>
            </w:pPr>
            <w:r>
              <w:rPr>
                <w:rFonts w:hint="eastAsia" w:ascii="宋体" w:hAnsi="宋体" w:eastAsia="宋体" w:cs="宋体"/>
                <w:color w:val="000000"/>
                <w:kern w:val="0"/>
                <w:sz w:val="24"/>
                <w:szCs w:val="24"/>
                <w:lang w:eastAsia="zh-CN"/>
              </w:rPr>
              <w:t>（每年）</w:t>
            </w:r>
          </w:p>
        </w:tc>
        <w:tc>
          <w:tcPr>
            <w:tcW w:w="4463" w:type="pct"/>
            <w:gridSpan w:val="6"/>
            <w:noWrap w:val="0"/>
            <w:vAlign w:val="center"/>
          </w:tcPr>
          <w:p>
            <w:pPr>
              <w:widowControl/>
              <w:jc w:val="left"/>
              <w:rPr>
                <w:rFonts w:hint="default" w:ascii="宋体" w:hAnsi="宋体" w:eastAsia="宋体" w:cs="宋体"/>
                <w:color w:val="000000"/>
                <w:kern w:val="0"/>
                <w:sz w:val="24"/>
                <w:szCs w:val="24"/>
                <w:lang w:val="en-US" w:eastAsia="zh-CN"/>
              </w:rPr>
            </w:pPr>
            <w:r>
              <w:rPr>
                <w:rFonts w:hint="eastAsia" w:ascii="方正仿宋_GBK" w:hAnsi="Times New Roman" w:eastAsia="宋体" w:cs="Times New Roman"/>
                <w:sz w:val="24"/>
                <w:szCs w:val="24"/>
              </w:rPr>
              <w:t>大写（人民币）：</w:t>
            </w:r>
            <w:r>
              <w:rPr>
                <w:rFonts w:hint="eastAsia" w:ascii="方正仿宋_GBK" w:eastAsia="宋体" w:cs="Times New Roman"/>
                <w:sz w:val="24"/>
                <w:szCs w:val="24"/>
                <w:lang w:val="en-US" w:eastAsia="zh-CN"/>
              </w:rPr>
              <w:t xml:space="preserve">                             </w:t>
            </w:r>
            <w:r>
              <w:rPr>
                <w:rFonts w:hint="eastAsia" w:ascii="方正仿宋_GBK" w:hAnsi="Times New Roman" w:eastAsia="宋体" w:cs="Times New Roman"/>
                <w:sz w:val="24"/>
                <w:szCs w:val="24"/>
              </w:rPr>
              <w:t>小写（￥）：</w:t>
            </w: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380"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7"/>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headerReference r:id="rId5" w:type="first"/>
      <w:footerReference r:id="rId7" w:type="first"/>
      <w:headerReference r:id="rId3" w:type="default"/>
      <w:footerReference r:id="rId6" w:type="default"/>
      <w:headerReference r:id="rId4" w:type="even"/>
      <w:pgSz w:w="11906" w:h="16838"/>
      <w:pgMar w:top="1418" w:right="851" w:bottom="709" w:left="1418" w:header="851" w:footer="449"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29</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32</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EC27F"/>
    <w:multiLevelType w:val="singleLevel"/>
    <w:tmpl w:val="DC8EC27F"/>
    <w:lvl w:ilvl="0" w:tentative="0">
      <w:start w:val="1"/>
      <w:numFmt w:val="decimal"/>
      <w:suff w:val="nothing"/>
      <w:lvlText w:val="%1、"/>
      <w:lvlJc w:val="left"/>
    </w:lvl>
  </w:abstractNum>
  <w:abstractNum w:abstractNumId="1">
    <w:nsid w:val="21125CBE"/>
    <w:multiLevelType w:val="singleLevel"/>
    <w:tmpl w:val="21125CBE"/>
    <w:lvl w:ilvl="0" w:tentative="0">
      <w:start w:val="1"/>
      <w:numFmt w:val="decimal"/>
      <w:suff w:val="nothing"/>
      <w:lvlText w:val="（%1）"/>
      <w:lvlJc w:val="left"/>
    </w:lvl>
  </w:abstractNum>
  <w:abstractNum w:abstractNumId="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21D8"/>
    <w:rsid w:val="002726A6"/>
    <w:rsid w:val="00276FBA"/>
    <w:rsid w:val="00277152"/>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5571"/>
    <w:rsid w:val="007A7262"/>
    <w:rsid w:val="007B051A"/>
    <w:rsid w:val="007B1053"/>
    <w:rsid w:val="007B1FF6"/>
    <w:rsid w:val="007B245C"/>
    <w:rsid w:val="007B2934"/>
    <w:rsid w:val="007B3C28"/>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B5B"/>
    <w:rsid w:val="00FC321B"/>
    <w:rsid w:val="00FC32D0"/>
    <w:rsid w:val="00FD056B"/>
    <w:rsid w:val="00FD12F3"/>
    <w:rsid w:val="00FD200F"/>
    <w:rsid w:val="00FD4C59"/>
    <w:rsid w:val="00FE14CA"/>
    <w:rsid w:val="00FE40B2"/>
    <w:rsid w:val="00FE6BB9"/>
    <w:rsid w:val="00FE7192"/>
    <w:rsid w:val="00FF5172"/>
    <w:rsid w:val="00FF6104"/>
    <w:rsid w:val="00FF6422"/>
    <w:rsid w:val="014F2F1A"/>
    <w:rsid w:val="015359AB"/>
    <w:rsid w:val="01684CDC"/>
    <w:rsid w:val="016F7F01"/>
    <w:rsid w:val="017725E7"/>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56DB9"/>
    <w:rsid w:val="11972241"/>
    <w:rsid w:val="11A02C0B"/>
    <w:rsid w:val="11C0331A"/>
    <w:rsid w:val="126342DC"/>
    <w:rsid w:val="126A3CE5"/>
    <w:rsid w:val="12804EC3"/>
    <w:rsid w:val="12B9724A"/>
    <w:rsid w:val="12ED108C"/>
    <w:rsid w:val="131F5F39"/>
    <w:rsid w:val="133A4BEB"/>
    <w:rsid w:val="134176DB"/>
    <w:rsid w:val="13627322"/>
    <w:rsid w:val="13753078"/>
    <w:rsid w:val="13876133"/>
    <w:rsid w:val="139D423C"/>
    <w:rsid w:val="139E459A"/>
    <w:rsid w:val="13DA36B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5631C8"/>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4A7932"/>
    <w:rsid w:val="2A5C63A7"/>
    <w:rsid w:val="2A6D6F90"/>
    <w:rsid w:val="2A864C63"/>
    <w:rsid w:val="2AA00028"/>
    <w:rsid w:val="2AB45DF7"/>
    <w:rsid w:val="2AB82483"/>
    <w:rsid w:val="2AD9619B"/>
    <w:rsid w:val="2AE13145"/>
    <w:rsid w:val="2AE40EA9"/>
    <w:rsid w:val="2AFC6512"/>
    <w:rsid w:val="2B186F23"/>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C401E1A"/>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B43701"/>
    <w:rsid w:val="4DDD23AC"/>
    <w:rsid w:val="4DEF4CFA"/>
    <w:rsid w:val="4DF31C11"/>
    <w:rsid w:val="4DFD2351"/>
    <w:rsid w:val="4E0A160C"/>
    <w:rsid w:val="4E2B1A47"/>
    <w:rsid w:val="4E432C41"/>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203525"/>
    <w:rsid w:val="545661A8"/>
    <w:rsid w:val="54847625"/>
    <w:rsid w:val="54B247BB"/>
    <w:rsid w:val="54EE5947"/>
    <w:rsid w:val="5513022F"/>
    <w:rsid w:val="55501CD9"/>
    <w:rsid w:val="55663A71"/>
    <w:rsid w:val="559F3434"/>
    <w:rsid w:val="55C62DF5"/>
    <w:rsid w:val="55DF7D1C"/>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494700"/>
    <w:rsid w:val="5C4B40E5"/>
    <w:rsid w:val="5C790E14"/>
    <w:rsid w:val="5C8A3BC2"/>
    <w:rsid w:val="5CC43B58"/>
    <w:rsid w:val="5CDC0284"/>
    <w:rsid w:val="5D2B07EE"/>
    <w:rsid w:val="5D48016A"/>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7E3A05"/>
    <w:rsid w:val="61CB7187"/>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507592"/>
    <w:rsid w:val="64803237"/>
    <w:rsid w:val="64AC3D58"/>
    <w:rsid w:val="64E96AEB"/>
    <w:rsid w:val="657B44FB"/>
    <w:rsid w:val="658D46CF"/>
    <w:rsid w:val="65DF67CB"/>
    <w:rsid w:val="65ED6EB4"/>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A25869"/>
    <w:rsid w:val="6CC32924"/>
    <w:rsid w:val="6CCC42B0"/>
    <w:rsid w:val="6CE3660D"/>
    <w:rsid w:val="6D154FB5"/>
    <w:rsid w:val="6D653588"/>
    <w:rsid w:val="6D760601"/>
    <w:rsid w:val="6DA14A3B"/>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C10CFD"/>
    <w:rsid w:val="7FC63E44"/>
    <w:rsid w:val="7FD422D8"/>
    <w:rsid w:val="7FD56D64"/>
    <w:rsid w:val="7FD57E32"/>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6"/>
    <w:qFormat/>
    <w:uiPriority w:val="0"/>
    <w:pPr>
      <w:keepNext/>
      <w:keepLines/>
      <w:spacing w:line="578" w:lineRule="auto"/>
      <w:outlineLvl w:val="0"/>
    </w:pPr>
    <w:rPr>
      <w:b/>
      <w:bCs/>
      <w:kern w:val="44"/>
      <w:sz w:val="44"/>
      <w:szCs w:val="44"/>
    </w:rPr>
  </w:style>
  <w:style w:type="paragraph" w:styleId="6">
    <w:name w:val="heading 2"/>
    <w:basedOn w:val="1"/>
    <w:next w:val="1"/>
    <w:link w:val="77"/>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8"/>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79"/>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0"/>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1"/>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2"/>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3"/>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firstLineChars="200"/>
    </w:pPr>
    <w:rPr>
      <w:rFonts w:ascii="Calibri" w:hAnsi="Calibri"/>
      <w:szCs w:val="26"/>
    </w:rPr>
  </w:style>
  <w:style w:type="paragraph" w:styleId="3">
    <w:name w:val="Body Text Indent"/>
    <w:basedOn w:val="1"/>
    <w:next w:val="4"/>
    <w:link w:val="88"/>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0"/>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6"/>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4"/>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5"/>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7"/>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89"/>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0"/>
    <w:qFormat/>
    <w:uiPriority w:val="0"/>
    <w:rPr>
      <w:kern w:val="0"/>
      <w:sz w:val="20"/>
    </w:rPr>
  </w:style>
  <w:style w:type="paragraph" w:styleId="32">
    <w:name w:val="Body Text Indent 2"/>
    <w:basedOn w:val="1"/>
    <w:link w:val="91"/>
    <w:qFormat/>
    <w:uiPriority w:val="0"/>
    <w:pPr>
      <w:tabs>
        <w:tab w:val="left" w:pos="0"/>
      </w:tabs>
      <w:spacing w:line="360" w:lineRule="auto"/>
      <w:ind w:firstLine="502" w:firstLineChars="209"/>
    </w:pPr>
    <w:rPr>
      <w:kern w:val="0"/>
      <w:sz w:val="20"/>
    </w:rPr>
  </w:style>
  <w:style w:type="paragraph" w:styleId="33">
    <w:name w:val="endnote text"/>
    <w:basedOn w:val="1"/>
    <w:link w:val="150"/>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2"/>
    <w:qFormat/>
    <w:uiPriority w:val="0"/>
    <w:rPr>
      <w:kern w:val="0"/>
      <w:sz w:val="2"/>
    </w:rPr>
  </w:style>
  <w:style w:type="paragraph" w:styleId="35">
    <w:name w:val="footer"/>
    <w:basedOn w:val="1"/>
    <w:link w:val="93"/>
    <w:qFormat/>
    <w:uiPriority w:val="0"/>
    <w:pPr>
      <w:tabs>
        <w:tab w:val="center" w:pos="4153"/>
        <w:tab w:val="right" w:pos="8306"/>
      </w:tabs>
      <w:snapToGrid w:val="0"/>
      <w:jc w:val="left"/>
    </w:pPr>
    <w:rPr>
      <w:kern w:val="0"/>
      <w:sz w:val="18"/>
      <w:szCs w:val="18"/>
    </w:rPr>
  </w:style>
  <w:style w:type="paragraph" w:styleId="36">
    <w:name w:val="header"/>
    <w:basedOn w:val="1"/>
    <w:link w:val="94"/>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7"/>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5"/>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6"/>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4"/>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8"/>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5"/>
    <w:semiHidden/>
    <w:qFormat/>
    <w:uiPriority w:val="99"/>
    <w:rPr>
      <w:b/>
      <w:bCs/>
      <w:sz w:val="20"/>
    </w:rPr>
  </w:style>
  <w:style w:type="paragraph" w:styleId="56">
    <w:name w:val="Body Text First Indent"/>
    <w:basedOn w:val="24"/>
    <w:link w:val="146"/>
    <w:qFormat/>
    <w:locked/>
    <w:uiPriority w:val="0"/>
    <w:pPr>
      <w:widowControl/>
      <w:spacing w:after="120" w:line="240" w:lineRule="auto"/>
      <w:ind w:firstLine="420" w:firstLineChars="100"/>
      <w:jc w:val="left"/>
    </w:pPr>
    <w:rPr>
      <w:rFonts w:eastAsia="宋体"/>
      <w:sz w:val="21"/>
    </w:rPr>
  </w:style>
  <w:style w:type="paragraph" w:styleId="57">
    <w:name w:val="Body Text First Indent 2"/>
    <w:basedOn w:val="3"/>
    <w:link w:val="151"/>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99"/>
    <w:rPr>
      <w:rFonts w:cs="Times New Roman"/>
      <w:b/>
    </w:rPr>
  </w:style>
  <w:style w:type="character" w:styleId="62">
    <w:name w:val="endnote reference"/>
    <w:qFormat/>
    <w:locked/>
    <w:uiPriority w:val="0"/>
    <w:rPr>
      <w:vertAlign w:val="superscript"/>
    </w:rPr>
  </w:style>
  <w:style w:type="character" w:styleId="63">
    <w:name w:val="page number"/>
    <w:basedOn w:val="60"/>
    <w:qFormat/>
    <w:uiPriority w:val="0"/>
    <w:rPr>
      <w:rFonts w:cs="Times New Roman"/>
    </w:rPr>
  </w:style>
  <w:style w:type="character" w:styleId="64">
    <w:name w:val="FollowedHyperlink"/>
    <w:basedOn w:val="60"/>
    <w:qFormat/>
    <w:uiPriority w:val="0"/>
    <w:rPr>
      <w:rFonts w:cs="Times New Roman"/>
      <w:color w:val="954F72"/>
      <w:u w:val="single"/>
    </w:rPr>
  </w:style>
  <w:style w:type="character" w:styleId="65">
    <w:name w:val="Emphasis"/>
    <w:basedOn w:val="60"/>
    <w:qFormat/>
    <w:uiPriority w:val="99"/>
    <w:rPr>
      <w:rFonts w:cs="Times New Roman"/>
      <w:i/>
    </w:rPr>
  </w:style>
  <w:style w:type="character" w:styleId="66">
    <w:name w:val="line number"/>
    <w:basedOn w:val="60"/>
    <w:qFormat/>
    <w:uiPriority w:val="0"/>
    <w:rPr>
      <w:rFonts w:cs="Times New Roman"/>
    </w:rPr>
  </w:style>
  <w:style w:type="character" w:styleId="67">
    <w:name w:val="HTML Definition"/>
    <w:basedOn w:val="60"/>
    <w:qFormat/>
    <w:uiPriority w:val="99"/>
    <w:rPr>
      <w:rFonts w:cs="Times New Roman"/>
      <w:i/>
    </w:rPr>
  </w:style>
  <w:style w:type="character" w:styleId="68">
    <w:name w:val="Hyperlink"/>
    <w:basedOn w:val="60"/>
    <w:qFormat/>
    <w:uiPriority w:val="0"/>
    <w:rPr>
      <w:rFonts w:cs="Times New Roman"/>
      <w:color w:val="0000FF"/>
      <w:u w:val="single"/>
    </w:rPr>
  </w:style>
  <w:style w:type="character" w:styleId="69">
    <w:name w:val="HTML Code"/>
    <w:basedOn w:val="60"/>
    <w:qFormat/>
    <w:uiPriority w:val="99"/>
    <w:rPr>
      <w:rFonts w:ascii="Menlo" w:hAnsi="Menlo" w:cs="Times New Roman"/>
      <w:color w:val="C7254E"/>
      <w:sz w:val="21"/>
      <w:shd w:val="clear" w:color="auto" w:fill="F9F2F4"/>
    </w:rPr>
  </w:style>
  <w:style w:type="character" w:styleId="70">
    <w:name w:val="annotation reference"/>
    <w:basedOn w:val="60"/>
    <w:semiHidden/>
    <w:qFormat/>
    <w:uiPriority w:val="99"/>
    <w:rPr>
      <w:rFonts w:cs="Times New Roman"/>
      <w:sz w:val="21"/>
    </w:rPr>
  </w:style>
  <w:style w:type="character" w:styleId="71">
    <w:name w:val="HTML Cite"/>
    <w:basedOn w:val="60"/>
    <w:qFormat/>
    <w:uiPriority w:val="99"/>
    <w:rPr>
      <w:rFonts w:cs="Times New Roman"/>
    </w:rPr>
  </w:style>
  <w:style w:type="character" w:styleId="72">
    <w:name w:val="footnote reference"/>
    <w:basedOn w:val="60"/>
    <w:semiHidden/>
    <w:qFormat/>
    <w:uiPriority w:val="99"/>
    <w:rPr>
      <w:rFonts w:cs="Times New Roman"/>
      <w:vertAlign w:val="superscript"/>
    </w:rPr>
  </w:style>
  <w:style w:type="character" w:styleId="73">
    <w:name w:val="HTML Keyboard"/>
    <w:basedOn w:val="60"/>
    <w:qFormat/>
    <w:uiPriority w:val="99"/>
    <w:rPr>
      <w:rFonts w:ascii="Menlo" w:hAnsi="Menlo" w:cs="Times New Roman"/>
      <w:sz w:val="21"/>
    </w:rPr>
  </w:style>
  <w:style w:type="character" w:styleId="74">
    <w:name w:val="HTML Sample"/>
    <w:basedOn w:val="60"/>
    <w:qFormat/>
    <w:uiPriority w:val="99"/>
    <w:rPr>
      <w:rFonts w:ascii="Menlo" w:hAnsi="Menlo" w:cs="Times New Roman"/>
      <w:sz w:val="21"/>
    </w:rPr>
  </w:style>
  <w:style w:type="paragraph" w:customStyle="1" w:styleId="75">
    <w:name w:val="正文文本首行缩进 21"/>
    <w:basedOn w:val="3"/>
    <w:unhideWhenUsed/>
    <w:qFormat/>
    <w:uiPriority w:val="99"/>
    <w:pPr>
      <w:ind w:firstLine="420" w:firstLineChars="200"/>
    </w:pPr>
    <w:rPr>
      <w:rFonts w:ascii="Calibri" w:hAnsi="Calibri"/>
      <w:szCs w:val="26"/>
    </w:rPr>
  </w:style>
  <w:style w:type="character" w:customStyle="1" w:styleId="76">
    <w:name w:val="标题 1 字符"/>
    <w:basedOn w:val="60"/>
    <w:link w:val="5"/>
    <w:qFormat/>
    <w:locked/>
    <w:uiPriority w:val="99"/>
    <w:rPr>
      <w:rFonts w:eastAsia="楷体_GB2312" w:cs="Times New Roman"/>
      <w:b/>
      <w:kern w:val="44"/>
      <w:sz w:val="44"/>
    </w:rPr>
  </w:style>
  <w:style w:type="character" w:customStyle="1" w:styleId="77">
    <w:name w:val="标题 2 字符"/>
    <w:basedOn w:val="60"/>
    <w:link w:val="6"/>
    <w:qFormat/>
    <w:locked/>
    <w:uiPriority w:val="99"/>
    <w:rPr>
      <w:rFonts w:ascii="宋体" w:hAnsi="宋体" w:eastAsia="楷体_GB2312" w:cs="Times New Roman"/>
      <w:b/>
      <w:kern w:val="2"/>
      <w:sz w:val="26"/>
      <w:lang w:val="en-US" w:eastAsia="zh-CN"/>
    </w:rPr>
  </w:style>
  <w:style w:type="character" w:customStyle="1" w:styleId="78">
    <w:name w:val="标题 3 字符"/>
    <w:basedOn w:val="60"/>
    <w:link w:val="7"/>
    <w:semiHidden/>
    <w:qFormat/>
    <w:locked/>
    <w:uiPriority w:val="99"/>
    <w:rPr>
      <w:rFonts w:eastAsia="楷体_GB2312" w:cs="Times New Roman"/>
      <w:b/>
      <w:sz w:val="32"/>
    </w:rPr>
  </w:style>
  <w:style w:type="character" w:customStyle="1" w:styleId="79">
    <w:name w:val="标题 5 字符"/>
    <w:basedOn w:val="60"/>
    <w:link w:val="9"/>
    <w:semiHidden/>
    <w:qFormat/>
    <w:locked/>
    <w:uiPriority w:val="99"/>
    <w:rPr>
      <w:rFonts w:eastAsia="楷体_GB2312" w:cs="Times New Roman"/>
      <w:b/>
      <w:sz w:val="28"/>
    </w:rPr>
  </w:style>
  <w:style w:type="character" w:customStyle="1" w:styleId="80">
    <w:name w:val="标题 6 字符"/>
    <w:basedOn w:val="60"/>
    <w:link w:val="11"/>
    <w:semiHidden/>
    <w:qFormat/>
    <w:locked/>
    <w:uiPriority w:val="99"/>
    <w:rPr>
      <w:rFonts w:ascii="Cambria" w:hAnsi="Cambria" w:eastAsia="宋体" w:cs="Times New Roman"/>
      <w:b/>
      <w:sz w:val="24"/>
    </w:rPr>
  </w:style>
  <w:style w:type="character" w:customStyle="1" w:styleId="81">
    <w:name w:val="标题 7 字符"/>
    <w:basedOn w:val="60"/>
    <w:link w:val="12"/>
    <w:semiHidden/>
    <w:qFormat/>
    <w:locked/>
    <w:uiPriority w:val="99"/>
    <w:rPr>
      <w:rFonts w:eastAsia="楷体_GB2312" w:cs="Times New Roman"/>
      <w:b/>
      <w:sz w:val="24"/>
    </w:rPr>
  </w:style>
  <w:style w:type="character" w:customStyle="1" w:styleId="82">
    <w:name w:val="标题 8 字符"/>
    <w:basedOn w:val="60"/>
    <w:link w:val="13"/>
    <w:semiHidden/>
    <w:qFormat/>
    <w:locked/>
    <w:uiPriority w:val="99"/>
    <w:rPr>
      <w:rFonts w:ascii="Cambria" w:hAnsi="Cambria" w:eastAsia="宋体" w:cs="Times New Roman"/>
      <w:sz w:val="24"/>
    </w:rPr>
  </w:style>
  <w:style w:type="character" w:customStyle="1" w:styleId="83">
    <w:name w:val="标题 9 字符"/>
    <w:basedOn w:val="60"/>
    <w:link w:val="14"/>
    <w:semiHidden/>
    <w:qFormat/>
    <w:locked/>
    <w:uiPriority w:val="99"/>
    <w:rPr>
      <w:rFonts w:ascii="Cambria" w:hAnsi="Cambria" w:eastAsia="宋体" w:cs="Times New Roman"/>
      <w:sz w:val="21"/>
    </w:rPr>
  </w:style>
  <w:style w:type="character" w:customStyle="1" w:styleId="84">
    <w:name w:val="批注文字 字符"/>
    <w:basedOn w:val="60"/>
    <w:link w:val="21"/>
    <w:semiHidden/>
    <w:qFormat/>
    <w:locked/>
    <w:uiPriority w:val="99"/>
    <w:rPr>
      <w:rFonts w:eastAsia="楷体_GB2312" w:cs="Times New Roman"/>
      <w:kern w:val="2"/>
      <w:sz w:val="26"/>
    </w:rPr>
  </w:style>
  <w:style w:type="character" w:customStyle="1" w:styleId="85">
    <w:name w:val="批注主题 字符"/>
    <w:basedOn w:val="84"/>
    <w:link w:val="55"/>
    <w:semiHidden/>
    <w:qFormat/>
    <w:locked/>
    <w:uiPriority w:val="99"/>
    <w:rPr>
      <w:rFonts w:eastAsia="楷体_GB2312" w:cs="Times New Roman"/>
      <w:b/>
      <w:kern w:val="2"/>
      <w:sz w:val="20"/>
    </w:rPr>
  </w:style>
  <w:style w:type="character" w:customStyle="1" w:styleId="86">
    <w:name w:val="文档结构图 字符"/>
    <w:basedOn w:val="60"/>
    <w:link w:val="19"/>
    <w:semiHidden/>
    <w:qFormat/>
    <w:locked/>
    <w:uiPriority w:val="99"/>
    <w:rPr>
      <w:rFonts w:eastAsia="楷体_GB2312" w:cs="Times New Roman"/>
      <w:sz w:val="2"/>
    </w:rPr>
  </w:style>
  <w:style w:type="character" w:customStyle="1" w:styleId="87">
    <w:name w:val="正文文本 字符"/>
    <w:basedOn w:val="60"/>
    <w:link w:val="24"/>
    <w:qFormat/>
    <w:locked/>
    <w:uiPriority w:val="0"/>
    <w:rPr>
      <w:rFonts w:eastAsia="楷体_GB2312" w:cs="Times New Roman"/>
      <w:sz w:val="20"/>
    </w:rPr>
  </w:style>
  <w:style w:type="character" w:customStyle="1" w:styleId="88">
    <w:name w:val="正文文本缩进 字符"/>
    <w:basedOn w:val="60"/>
    <w:link w:val="3"/>
    <w:qFormat/>
    <w:locked/>
    <w:uiPriority w:val="0"/>
    <w:rPr>
      <w:rFonts w:ascii="方正仿宋简体" w:hAnsi="创艺简仿宋" w:eastAsia="方正仿宋简体" w:cs="Times New Roman"/>
      <w:kern w:val="2"/>
      <w:sz w:val="24"/>
      <w:lang w:val="en-US" w:eastAsia="zh-CN"/>
    </w:rPr>
  </w:style>
  <w:style w:type="character" w:customStyle="1" w:styleId="89">
    <w:name w:val="纯文本 字符"/>
    <w:basedOn w:val="60"/>
    <w:link w:val="28"/>
    <w:qFormat/>
    <w:locked/>
    <w:uiPriority w:val="0"/>
    <w:rPr>
      <w:rFonts w:ascii="宋体" w:hAnsi="Courier New" w:eastAsia="楷体_GB2312" w:cs="Times New Roman"/>
      <w:kern w:val="2"/>
      <w:sz w:val="26"/>
      <w:lang w:val="en-US" w:eastAsia="zh-CN"/>
    </w:rPr>
  </w:style>
  <w:style w:type="character" w:customStyle="1" w:styleId="90">
    <w:name w:val="日期 字符"/>
    <w:basedOn w:val="60"/>
    <w:link w:val="31"/>
    <w:qFormat/>
    <w:locked/>
    <w:uiPriority w:val="0"/>
    <w:rPr>
      <w:rFonts w:eastAsia="楷体_GB2312" w:cs="Times New Roman"/>
      <w:sz w:val="20"/>
    </w:rPr>
  </w:style>
  <w:style w:type="character" w:customStyle="1" w:styleId="91">
    <w:name w:val="正文文本缩进 2 字符"/>
    <w:basedOn w:val="60"/>
    <w:link w:val="32"/>
    <w:semiHidden/>
    <w:qFormat/>
    <w:locked/>
    <w:uiPriority w:val="99"/>
    <w:rPr>
      <w:rFonts w:eastAsia="楷体_GB2312" w:cs="Times New Roman"/>
      <w:sz w:val="20"/>
    </w:rPr>
  </w:style>
  <w:style w:type="character" w:customStyle="1" w:styleId="92">
    <w:name w:val="批注框文本 字符"/>
    <w:basedOn w:val="60"/>
    <w:link w:val="34"/>
    <w:semiHidden/>
    <w:qFormat/>
    <w:locked/>
    <w:uiPriority w:val="99"/>
    <w:rPr>
      <w:rFonts w:eastAsia="楷体_GB2312" w:cs="Times New Roman"/>
      <w:sz w:val="2"/>
    </w:rPr>
  </w:style>
  <w:style w:type="character" w:customStyle="1" w:styleId="93">
    <w:name w:val="页脚 字符"/>
    <w:basedOn w:val="60"/>
    <w:link w:val="35"/>
    <w:qFormat/>
    <w:locked/>
    <w:uiPriority w:val="0"/>
    <w:rPr>
      <w:rFonts w:eastAsia="楷体_GB2312" w:cs="Times New Roman"/>
      <w:sz w:val="18"/>
    </w:rPr>
  </w:style>
  <w:style w:type="character" w:customStyle="1" w:styleId="94">
    <w:name w:val="页眉 字符"/>
    <w:basedOn w:val="60"/>
    <w:link w:val="36"/>
    <w:qFormat/>
    <w:locked/>
    <w:uiPriority w:val="99"/>
    <w:rPr>
      <w:rFonts w:eastAsia="楷体_GB2312" w:cs="Times New Roman"/>
      <w:kern w:val="2"/>
      <w:sz w:val="18"/>
    </w:rPr>
  </w:style>
  <w:style w:type="character" w:customStyle="1" w:styleId="95">
    <w:name w:val="脚注文本 字符"/>
    <w:basedOn w:val="60"/>
    <w:link w:val="42"/>
    <w:semiHidden/>
    <w:qFormat/>
    <w:locked/>
    <w:uiPriority w:val="99"/>
    <w:rPr>
      <w:rFonts w:eastAsia="楷体_GB2312" w:cs="Times New Roman"/>
      <w:sz w:val="18"/>
    </w:rPr>
  </w:style>
  <w:style w:type="character" w:customStyle="1" w:styleId="96">
    <w:name w:val="正文文本缩进 3 字符"/>
    <w:basedOn w:val="60"/>
    <w:link w:val="44"/>
    <w:qFormat/>
    <w:locked/>
    <w:uiPriority w:val="0"/>
    <w:rPr>
      <w:rFonts w:eastAsia="楷体_GB2312" w:cs="Times New Roman"/>
      <w:sz w:val="16"/>
    </w:rPr>
  </w:style>
  <w:style w:type="character" w:customStyle="1" w:styleId="97">
    <w:name w:val="HTML 预设格式 字符"/>
    <w:basedOn w:val="60"/>
    <w:link w:val="51"/>
    <w:semiHidden/>
    <w:qFormat/>
    <w:locked/>
    <w:uiPriority w:val="99"/>
    <w:rPr>
      <w:rFonts w:ascii="Courier New" w:hAnsi="Courier New" w:eastAsia="楷体_GB2312" w:cs="Times New Roman"/>
      <w:sz w:val="20"/>
    </w:rPr>
  </w:style>
  <w:style w:type="character" w:customStyle="1" w:styleId="98">
    <w:name w:val="标题 字符"/>
    <w:basedOn w:val="60"/>
    <w:link w:val="54"/>
    <w:qFormat/>
    <w:locked/>
    <w:uiPriority w:val="0"/>
    <w:rPr>
      <w:rFonts w:ascii="Cambria" w:hAnsi="Cambria" w:cs="Times New Roman"/>
      <w:b/>
      <w:bCs/>
      <w:sz w:val="32"/>
      <w:szCs w:val="32"/>
    </w:rPr>
  </w:style>
  <w:style w:type="paragraph" w:customStyle="1" w:styleId="99">
    <w:name w:val="列出段落1"/>
    <w:basedOn w:val="1"/>
    <w:qFormat/>
    <w:uiPriority w:val="99"/>
    <w:pPr>
      <w:ind w:firstLine="420" w:firstLineChars="200"/>
    </w:pPr>
    <w:rPr>
      <w:rFonts w:eastAsia="宋体"/>
      <w:sz w:val="21"/>
      <w:szCs w:val="24"/>
    </w:rPr>
  </w:style>
  <w:style w:type="paragraph" w:customStyle="1" w:styleId="100">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1">
    <w:name w:val="纯文本1"/>
    <w:basedOn w:val="1"/>
    <w:qFormat/>
    <w:uiPriority w:val="99"/>
    <w:pPr>
      <w:adjustRightInd w:val="0"/>
      <w:textAlignment w:val="baseline"/>
    </w:pPr>
    <w:rPr>
      <w:rFonts w:ascii="宋体" w:hAnsi="Courier New"/>
      <w:sz w:val="28"/>
    </w:rPr>
  </w:style>
  <w:style w:type="paragraph" w:customStyle="1" w:styleId="102">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3">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4">
    <w:name w:val="纯文本2"/>
    <w:basedOn w:val="1"/>
    <w:qFormat/>
    <w:uiPriority w:val="99"/>
    <w:pPr>
      <w:adjustRightInd w:val="0"/>
      <w:textAlignment w:val="baseline"/>
    </w:pPr>
    <w:rPr>
      <w:rFonts w:ascii="宋体" w:hAnsi="Courier New"/>
    </w:rPr>
  </w:style>
  <w:style w:type="paragraph" w:customStyle="1" w:styleId="105">
    <w:name w:val="_Style 1"/>
    <w:basedOn w:val="1"/>
    <w:qFormat/>
    <w:uiPriority w:val="99"/>
    <w:pPr>
      <w:ind w:firstLine="420" w:firstLineChars="200"/>
    </w:pPr>
  </w:style>
  <w:style w:type="paragraph" w:customStyle="1" w:styleId="106">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har1"/>
    <w:basedOn w:val="1"/>
    <w:qFormat/>
    <w:uiPriority w:val="99"/>
    <w:rPr>
      <w:rFonts w:ascii="Tahoma" w:hAnsi="Tahoma" w:eastAsia="宋体"/>
      <w:sz w:val="24"/>
    </w:rPr>
  </w:style>
  <w:style w:type="character" w:customStyle="1" w:styleId="108">
    <w:name w:val="bds_more5"/>
    <w:qFormat/>
    <w:uiPriority w:val="99"/>
  </w:style>
  <w:style w:type="character" w:customStyle="1" w:styleId="109">
    <w:name w:val="noused"/>
    <w:qFormat/>
    <w:uiPriority w:val="99"/>
    <w:rPr>
      <w:b/>
      <w:color w:val="FFFFFF"/>
      <w:sz w:val="21"/>
    </w:rPr>
  </w:style>
  <w:style w:type="character" w:customStyle="1" w:styleId="110">
    <w:name w:val="正文缩进 字符"/>
    <w:link w:val="10"/>
    <w:qFormat/>
    <w:locked/>
    <w:uiPriority w:val="0"/>
    <w:rPr>
      <w:rFonts w:eastAsia="楷体_GB2312"/>
      <w:kern w:val="2"/>
      <w:sz w:val="24"/>
      <w:lang w:val="en-US" w:eastAsia="zh-CN"/>
    </w:rPr>
  </w:style>
  <w:style w:type="character" w:customStyle="1" w:styleId="111">
    <w:name w:val="Char Char2"/>
    <w:qFormat/>
    <w:uiPriority w:val="99"/>
    <w:rPr>
      <w:rFonts w:ascii="宋体" w:hAnsi="宋体" w:eastAsia="楷体_GB2312"/>
      <w:b/>
      <w:kern w:val="2"/>
      <w:sz w:val="26"/>
      <w:lang w:val="en-US" w:eastAsia="zh-CN"/>
    </w:rPr>
  </w:style>
  <w:style w:type="character" w:customStyle="1" w:styleId="112">
    <w:name w:val="bds_nopic1"/>
    <w:qFormat/>
    <w:uiPriority w:val="99"/>
  </w:style>
  <w:style w:type="character" w:customStyle="1" w:styleId="113">
    <w:name w:val="state"/>
    <w:qFormat/>
    <w:uiPriority w:val="99"/>
    <w:rPr>
      <w:b/>
      <w:color w:val="FFFFFF"/>
      <w:sz w:val="19"/>
    </w:rPr>
  </w:style>
  <w:style w:type="character" w:customStyle="1" w:styleId="114">
    <w:name w:val="bds_more6"/>
    <w:qFormat/>
    <w:uiPriority w:val="99"/>
  </w:style>
  <w:style w:type="character" w:customStyle="1" w:styleId="115">
    <w:name w:val="active"/>
    <w:qFormat/>
    <w:uiPriority w:val="99"/>
    <w:rPr>
      <w:color w:val="00FF00"/>
      <w:shd w:val="clear" w:color="auto" w:fill="000000"/>
    </w:rPr>
  </w:style>
  <w:style w:type="character" w:customStyle="1" w:styleId="116">
    <w:name w:val="bds_nopic2"/>
    <w:qFormat/>
    <w:uiPriority w:val="99"/>
  </w:style>
  <w:style w:type="character" w:customStyle="1" w:styleId="117">
    <w:name w:val="hilite6"/>
    <w:qFormat/>
    <w:uiPriority w:val="99"/>
    <w:rPr>
      <w:color w:val="FFFFFF"/>
      <w:shd w:val="clear" w:color="auto" w:fill="776666"/>
    </w:rPr>
  </w:style>
  <w:style w:type="character" w:customStyle="1" w:styleId="118">
    <w:name w:val="active8"/>
    <w:qFormat/>
    <w:uiPriority w:val="99"/>
    <w:rPr>
      <w:color w:val="00FF00"/>
      <w:shd w:val="clear" w:color="auto" w:fill="000000"/>
    </w:rPr>
  </w:style>
  <w:style w:type="character" w:customStyle="1" w:styleId="119">
    <w:name w:val="bds_more8"/>
    <w:qFormat/>
    <w:uiPriority w:val="99"/>
    <w:rPr>
      <w:rFonts w:ascii="宋体" w:hAnsi="宋体" w:eastAsia="宋体"/>
    </w:rPr>
  </w:style>
  <w:style w:type="character" w:customStyle="1" w:styleId="120">
    <w:name w:val="other"/>
    <w:qFormat/>
    <w:uiPriority w:val="99"/>
  </w:style>
  <w:style w:type="character" w:customStyle="1" w:styleId="121">
    <w:name w:val="hover61"/>
    <w:qFormat/>
    <w:uiPriority w:val="99"/>
    <w:rPr>
      <w:shd w:val="clear" w:color="auto" w:fill="FF0000"/>
    </w:rPr>
  </w:style>
  <w:style w:type="character" w:customStyle="1" w:styleId="122">
    <w:name w:val="bsharetext"/>
    <w:qFormat/>
    <w:uiPriority w:val="99"/>
  </w:style>
  <w:style w:type="character" w:customStyle="1" w:styleId="123">
    <w:name w:val="bds_nopic"/>
    <w:qFormat/>
    <w:uiPriority w:val="99"/>
  </w:style>
  <w:style w:type="character" w:customStyle="1" w:styleId="124">
    <w:name w:val="grid2"/>
    <w:qFormat/>
    <w:uiPriority w:val="99"/>
  </w:style>
  <w:style w:type="character" w:customStyle="1" w:styleId="125">
    <w:name w:val="hilite"/>
    <w:qFormat/>
    <w:uiPriority w:val="99"/>
    <w:rPr>
      <w:color w:val="FFFFFF"/>
      <w:shd w:val="clear" w:color="auto" w:fill="776666"/>
    </w:rPr>
  </w:style>
  <w:style w:type="character" w:customStyle="1" w:styleId="126">
    <w:name w:val="bds_more4"/>
    <w:qFormat/>
    <w:uiPriority w:val="99"/>
    <w:rPr>
      <w:rFonts w:ascii="宋体" w:hAnsi="宋体" w:eastAsia="宋体"/>
    </w:rPr>
  </w:style>
  <w:style w:type="character" w:customStyle="1" w:styleId="127">
    <w:name w:val="bds_more7"/>
    <w:qFormat/>
    <w:uiPriority w:val="99"/>
  </w:style>
  <w:style w:type="character" w:customStyle="1" w:styleId="128">
    <w:name w:val="grid"/>
    <w:qFormat/>
    <w:uiPriority w:val="99"/>
  </w:style>
  <w:style w:type="paragraph" w:customStyle="1" w:styleId="129">
    <w:name w:val="纯文本3"/>
    <w:basedOn w:val="1"/>
    <w:qFormat/>
    <w:uiPriority w:val="99"/>
    <w:pPr>
      <w:adjustRightInd w:val="0"/>
      <w:textAlignment w:val="baseline"/>
    </w:pPr>
    <w:rPr>
      <w:rFonts w:ascii="宋体" w:hAnsi="Courier New"/>
    </w:rPr>
  </w:style>
  <w:style w:type="paragraph" w:customStyle="1" w:styleId="130">
    <w:name w:val="正文文字3"/>
    <w:basedOn w:val="24"/>
    <w:qFormat/>
    <w:uiPriority w:val="0"/>
    <w:pPr>
      <w:ind w:left="30" w:leftChars="30" w:right="30" w:rightChars="30"/>
    </w:pPr>
  </w:style>
  <w:style w:type="paragraph" w:customStyle="1" w:styleId="131">
    <w:name w:val="flNote"/>
    <w:basedOn w:val="1"/>
    <w:qFormat/>
    <w:uiPriority w:val="0"/>
    <w:pPr>
      <w:spacing w:before="320" w:after="160"/>
      <w:jc w:val="center"/>
    </w:pPr>
    <w:rPr>
      <w:rFonts w:ascii="Arial" w:eastAsia="黑体"/>
      <w:sz w:val="30"/>
    </w:rPr>
  </w:style>
  <w:style w:type="paragraph" w:customStyle="1" w:styleId="132">
    <w:name w:val="Plain Text1"/>
    <w:basedOn w:val="1"/>
    <w:qFormat/>
    <w:uiPriority w:val="99"/>
    <w:rPr>
      <w:rFonts w:ascii="宋体" w:hAnsi="Courier New"/>
      <w:sz w:val="28"/>
    </w:rPr>
  </w:style>
  <w:style w:type="paragraph" w:customStyle="1" w:styleId="133">
    <w:name w:val="标题 2 + 黑色 行距: 1.5 倍行距"/>
    <w:basedOn w:val="6"/>
    <w:qFormat/>
    <w:uiPriority w:val="99"/>
    <w:pPr>
      <w:spacing w:line="360" w:lineRule="auto"/>
    </w:pPr>
    <w:rPr>
      <w:rFonts w:eastAsia="宋体" w:cs="宋体"/>
      <w:color w:val="000000"/>
    </w:rPr>
  </w:style>
  <w:style w:type="character" w:customStyle="1" w:styleId="134">
    <w:name w:val="font11"/>
    <w:basedOn w:val="60"/>
    <w:qFormat/>
    <w:uiPriority w:val="0"/>
    <w:rPr>
      <w:rFonts w:hint="eastAsia" w:ascii="宋体" w:hAnsi="宋体" w:eastAsia="宋体" w:cs="宋体"/>
      <w:color w:val="000000"/>
      <w:sz w:val="24"/>
      <w:szCs w:val="24"/>
      <w:u w:val="none"/>
    </w:rPr>
  </w:style>
  <w:style w:type="paragraph" w:styleId="135">
    <w:name w:val="List Paragraph"/>
    <w:basedOn w:val="1"/>
    <w:unhideWhenUsed/>
    <w:qFormat/>
    <w:uiPriority w:val="99"/>
    <w:pPr>
      <w:ind w:firstLine="420" w:firstLineChars="200"/>
    </w:pPr>
  </w:style>
  <w:style w:type="character" w:customStyle="1" w:styleId="136">
    <w:name w:val="flName Char"/>
    <w:qFormat/>
    <w:uiPriority w:val="0"/>
    <w:rPr>
      <w:rFonts w:ascii="Arial" w:hAnsi="Arial" w:eastAsia="黑体"/>
      <w:sz w:val="32"/>
      <w:lang w:val="en-US" w:eastAsia="zh-CN"/>
    </w:rPr>
  </w:style>
  <w:style w:type="character" w:customStyle="1" w:styleId="137">
    <w:name w:val="样式 宋体"/>
    <w:qFormat/>
    <w:uiPriority w:val="0"/>
    <w:rPr>
      <w:rFonts w:ascii="宋体" w:hAnsi="宋体" w:eastAsia="宋体"/>
      <w:sz w:val="24"/>
      <w:szCs w:val="24"/>
    </w:rPr>
  </w:style>
  <w:style w:type="character" w:customStyle="1" w:styleId="138">
    <w:name w:val="style81"/>
    <w:qFormat/>
    <w:uiPriority w:val="0"/>
    <w:rPr>
      <w:b/>
      <w:bCs/>
      <w:color w:val="666666"/>
      <w:sz w:val="21"/>
      <w:szCs w:val="21"/>
    </w:rPr>
  </w:style>
  <w:style w:type="character" w:customStyle="1" w:styleId="139">
    <w:name w:val="尾注文本 Char"/>
    <w:qFormat/>
    <w:uiPriority w:val="0"/>
    <w:rPr>
      <w:sz w:val="24"/>
    </w:rPr>
  </w:style>
  <w:style w:type="character" w:customStyle="1" w:styleId="140">
    <w:name w:val="正文1 Char"/>
    <w:qFormat/>
    <w:uiPriority w:val="0"/>
    <w:rPr>
      <w:rFonts w:ascii="宋体" w:hAnsi="宋体" w:eastAsia="宋体"/>
      <w:b/>
      <w:kern w:val="2"/>
      <w:sz w:val="24"/>
      <w:szCs w:val="24"/>
      <w:lang w:val="en-US" w:eastAsia="zh-CN" w:bidi="ar-SA"/>
    </w:rPr>
  </w:style>
  <w:style w:type="character" w:customStyle="1" w:styleId="141">
    <w:name w:val="正文首行缩进 Char"/>
    <w:basedOn w:val="87"/>
    <w:qFormat/>
    <w:uiPriority w:val="0"/>
    <w:rPr>
      <w:rFonts w:eastAsia="楷体_GB2312" w:cs="Times New Roman"/>
      <w:sz w:val="21"/>
    </w:rPr>
  </w:style>
  <w:style w:type="character" w:customStyle="1" w:styleId="142">
    <w:name w:val="standdate1"/>
    <w:qFormat/>
    <w:uiPriority w:val="0"/>
    <w:rPr>
      <w:rFonts w:ascii="黑体" w:eastAsia="黑体"/>
      <w:color w:val="auto"/>
      <w:sz w:val="24"/>
      <w:u w:val="none"/>
    </w:rPr>
  </w:style>
  <w:style w:type="character" w:customStyle="1" w:styleId="143">
    <w:name w:val="正文首行缩进 2 Char"/>
    <w:basedOn w:val="88"/>
    <w:qFormat/>
    <w:uiPriority w:val="0"/>
    <w:rPr>
      <w:rFonts w:ascii="方正仿宋简体" w:hAnsi="创艺简仿宋" w:eastAsia="方正仿宋简体" w:cs="Times New Roman"/>
      <w:kern w:val="2"/>
      <w:sz w:val="28"/>
      <w:lang w:val="en-US" w:eastAsia="zh-CN"/>
    </w:rPr>
  </w:style>
  <w:style w:type="character" w:customStyle="1" w:styleId="144">
    <w:name w:val="正文文本 2 字符"/>
    <w:basedOn w:val="60"/>
    <w:link w:val="50"/>
    <w:qFormat/>
    <w:uiPriority w:val="0"/>
    <w:rPr>
      <w:rFonts w:ascii="仿宋_GB2312" w:eastAsia="仿宋_GB2312"/>
      <w:sz w:val="24"/>
      <w:szCs w:val="24"/>
    </w:rPr>
  </w:style>
  <w:style w:type="character" w:customStyle="1" w:styleId="145">
    <w:name w:val="正文文本 3 字符"/>
    <w:basedOn w:val="60"/>
    <w:link w:val="23"/>
    <w:qFormat/>
    <w:uiPriority w:val="0"/>
    <w:rPr>
      <w:color w:val="FF0000"/>
      <w:sz w:val="21"/>
      <w:szCs w:val="21"/>
    </w:rPr>
  </w:style>
  <w:style w:type="character" w:customStyle="1" w:styleId="146">
    <w:name w:val="正文文本首行缩进 字符"/>
    <w:basedOn w:val="87"/>
    <w:link w:val="56"/>
    <w:semiHidden/>
    <w:qFormat/>
    <w:uiPriority w:val="99"/>
    <w:rPr>
      <w:rFonts w:eastAsia="楷体_GB2312" w:cs="Times New Roman"/>
      <w:kern w:val="2"/>
      <w:sz w:val="26"/>
    </w:rPr>
  </w:style>
  <w:style w:type="character" w:customStyle="1" w:styleId="147">
    <w:name w:val="副标题 字符"/>
    <w:basedOn w:val="60"/>
    <w:link w:val="41"/>
    <w:qFormat/>
    <w:uiPriority w:val="0"/>
    <w:rPr>
      <w:rFonts w:ascii="Arial" w:hAnsi="Arial" w:eastAsia="黑体"/>
      <w:i/>
      <w:sz w:val="24"/>
    </w:rPr>
  </w:style>
  <w:style w:type="paragraph" w:customStyle="1" w:styleId="148">
    <w:name w:val="flName"/>
    <w:basedOn w:val="131"/>
    <w:qFormat/>
    <w:uiPriority w:val="0"/>
    <w:pPr>
      <w:adjustRightInd w:val="0"/>
      <w:spacing w:line="360" w:lineRule="atLeast"/>
      <w:textAlignment w:val="baseline"/>
    </w:pPr>
    <w:rPr>
      <w:rFonts w:hAnsi="Arial"/>
      <w:kern w:val="0"/>
      <w:sz w:val="32"/>
    </w:rPr>
  </w:style>
  <w:style w:type="paragraph" w:customStyle="1" w:styleId="149">
    <w:name w:val="Char Char1 Char"/>
    <w:basedOn w:val="1"/>
    <w:qFormat/>
    <w:uiPriority w:val="0"/>
    <w:rPr>
      <w:rFonts w:eastAsia="宋体"/>
      <w:sz w:val="24"/>
      <w:szCs w:val="24"/>
    </w:rPr>
  </w:style>
  <w:style w:type="character" w:customStyle="1" w:styleId="150">
    <w:name w:val="尾注文本 字符"/>
    <w:basedOn w:val="60"/>
    <w:link w:val="33"/>
    <w:semiHidden/>
    <w:qFormat/>
    <w:uiPriority w:val="99"/>
    <w:rPr>
      <w:rFonts w:eastAsia="楷体_GB2312"/>
      <w:kern w:val="2"/>
      <w:sz w:val="26"/>
    </w:rPr>
  </w:style>
  <w:style w:type="character" w:customStyle="1" w:styleId="151">
    <w:name w:val="正文文本首行缩进 2 字符"/>
    <w:basedOn w:val="88"/>
    <w:link w:val="57"/>
    <w:semiHidden/>
    <w:qFormat/>
    <w:uiPriority w:val="99"/>
    <w:rPr>
      <w:rFonts w:ascii="方正仿宋简体" w:hAnsi="创艺简仿宋" w:eastAsia="楷体_GB2312" w:cs="Times New Roman"/>
      <w:kern w:val="2"/>
      <w:sz w:val="26"/>
      <w:lang w:val="en-US" w:eastAsia="zh-CN"/>
    </w:rPr>
  </w:style>
  <w:style w:type="paragraph" w:customStyle="1" w:styleId="152">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4">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5">
    <w:name w:val="font0"/>
    <w:basedOn w:val="1"/>
    <w:qFormat/>
    <w:uiPriority w:val="0"/>
    <w:pPr>
      <w:widowControl/>
      <w:spacing w:before="100" w:after="100"/>
      <w:jc w:val="left"/>
    </w:pPr>
    <w:rPr>
      <w:rFonts w:ascii="宋体" w:hAnsi="宋体" w:eastAsia="宋体"/>
      <w:kern w:val="0"/>
      <w:sz w:val="24"/>
    </w:rPr>
  </w:style>
  <w:style w:type="paragraph" w:customStyle="1" w:styleId="156">
    <w:name w:val="Char2"/>
    <w:basedOn w:val="19"/>
    <w:next w:val="1"/>
    <w:qFormat/>
    <w:uiPriority w:val="0"/>
    <w:rPr>
      <w:rFonts w:ascii="Tahoma" w:hAnsi="Tahoma" w:eastAsia="宋体"/>
      <w:kern w:val="2"/>
      <w:sz w:val="24"/>
      <w:szCs w:val="24"/>
    </w:rPr>
  </w:style>
  <w:style w:type="paragraph" w:customStyle="1" w:styleId="157">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8">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59">
    <w:name w:val="Char3"/>
    <w:basedOn w:val="1"/>
    <w:qFormat/>
    <w:uiPriority w:val="0"/>
    <w:rPr>
      <w:rFonts w:eastAsia="宋体"/>
      <w:sz w:val="21"/>
      <w:szCs w:val="24"/>
    </w:rPr>
  </w:style>
  <w:style w:type="paragraph" w:customStyle="1" w:styleId="160">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1">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2">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3">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4">
    <w:name w:val="flType"/>
    <w:basedOn w:val="148"/>
    <w:qFormat/>
    <w:uiPriority w:val="0"/>
    <w:pPr>
      <w:spacing w:before="560" w:after="120"/>
    </w:pPr>
    <w:rPr>
      <w:sz w:val="28"/>
    </w:rPr>
  </w:style>
  <w:style w:type="paragraph" w:customStyle="1" w:styleId="165">
    <w:name w:val="字元 字元"/>
    <w:basedOn w:val="1"/>
    <w:qFormat/>
    <w:uiPriority w:val="0"/>
    <w:rPr>
      <w:rFonts w:eastAsia="宋体"/>
      <w:sz w:val="21"/>
      <w:szCs w:val="24"/>
    </w:rPr>
  </w:style>
  <w:style w:type="paragraph" w:customStyle="1" w:styleId="166">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7">
    <w:name w:val="Variable"/>
    <w:qFormat/>
    <w:uiPriority w:val="0"/>
    <w:rPr>
      <w:i/>
    </w:rPr>
  </w:style>
  <w:style w:type="paragraph" w:customStyle="1" w:styleId="1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B2CEC-0752-4F70-B4C1-E67FAEB72AAE}">
  <ds:schemaRefs/>
</ds:datastoreItem>
</file>

<file path=docProps/app.xml><?xml version="1.0" encoding="utf-8"?>
<Properties xmlns="http://schemas.openxmlformats.org/officeDocument/2006/extended-properties" xmlns:vt="http://schemas.openxmlformats.org/officeDocument/2006/docPropsVTypes">
  <Template>Normal</Template>
  <Pages>42</Pages>
  <Words>21743</Words>
  <Characters>3694</Characters>
  <Lines>30</Lines>
  <Paragraphs>50</Paragraphs>
  <TotalTime>20</TotalTime>
  <ScaleCrop>false</ScaleCrop>
  <LinksUpToDate>false</LinksUpToDate>
  <CharactersWithSpaces>25387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2020-11-26T05:58:00Z</dcterms:created>
  <dc:creator>gt2017020601</dc:creator>
  <cp:lastModifiedBy>gt2017020601</cp:lastModifiedBy>
  <cp:lastPrinted>2021-04-12T07:35:00Z</cp:lastPrinted>
  <dcterms:modified xsi:type="dcterms:W3CDTF">2021-05-26T07:59:22Z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0D79DA58C3D7438694E5CA02FBB48530</vt:lpwstr>
  </property>
</Properties>
</file>