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7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lang w:eastAsia="zh-CN"/>
        </w:rPr>
        <w:t>南通市妇幼保健院体检中心楼顶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</w:rPr>
        <w:t>发光字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7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</w:rPr>
        <w:t>制作与安装项目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lang w:eastAsia="zh-CN"/>
        </w:rPr>
        <w:t>材质要求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发光字内容：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院标：2000mmx2000mm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南通市妇幼保健院：2000mmx2000mm。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示意图：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3009900" cy="3293110"/>
            <wp:effectExtent l="0" t="0" r="0" b="2540"/>
            <wp:docPr id="6" name="图片 6" descr="IMG_3227(20200417-1038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227(20200417-103830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101725" cy="3280410"/>
            <wp:effectExtent l="0" t="0" r="3175" b="15240"/>
            <wp:docPr id="7" name="图片 7" descr="IMG_3225(20200417-1038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225(20200417-10381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材质要求：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亚克力吸塑面板厚度不低于4mm，抗酸性大于20%。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LED发光字：1mm镀锌钢板内置超高亮瑞普生9mmLED灯珠，灯间距20mm，站边80mm。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油漆采用进口汽车漆全外部烤漆，颜色准确，光感一致；耐候性符合GB/T13492-92中的规定；附着力符合GB/T1770-89中的规定，需要在专业烤漆机房中完成烤漆工艺过程。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字体钢架：30X30，2.0厚度26根。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钢结构：所有钢结构焊接均需依据国际《钢结构工程施工质量验收规范》标准制作。3.75厚，100X100方管镀锌75根。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电源：400W低压12V。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电线：无锡江南电缆。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  <w:t>配电箱：600X400X150mm，绝缘电压500V，IP30（正泰）。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b w:val="0"/>
          <w:i w:val="0"/>
          <w:caps w:val="0"/>
          <w:color w:val="222222"/>
          <w:spacing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6"/>
          <w:szCs w:val="36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F37C9"/>
    <w:rsid w:val="1FDA614E"/>
    <w:rsid w:val="326453B9"/>
    <w:rsid w:val="4512312D"/>
    <w:rsid w:val="49B34860"/>
    <w:rsid w:val="578F37C9"/>
    <w:rsid w:val="704470D4"/>
    <w:rsid w:val="7541290C"/>
    <w:rsid w:val="7A215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561" w:firstLineChars="200"/>
      <w:outlineLvl w:val="0"/>
    </w:pPr>
    <w:rPr>
      <w:rFonts w:ascii="Calibri" w:hAnsi="Calibri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561" w:firstLineChars="200"/>
      <w:outlineLvl w:val="1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2020-04-21T07:21:00Z</dcterms:created>
  <dc:creator>冰间寒月</dc:creator>
  <cp:lastModifiedBy>冰间寒月</cp:lastModifiedBy>
  <dcterms:modified xsi:type="dcterms:W3CDTF">2020-04-27T02:04:00Z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