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E11" w:rsidRPr="00D62F8E" w:rsidRDefault="00D62F8E">
      <w:pPr>
        <w:pStyle w:val="20"/>
        <w:ind w:leftChars="0" w:left="0" w:firstLineChars="0" w:firstLine="0"/>
        <w:rPr>
          <w:rFonts w:asciiTheme="minorEastAsia" w:eastAsiaTheme="minorEastAsia" w:hAnsiTheme="minorEastAsia"/>
          <w:sz w:val="28"/>
          <w:szCs w:val="28"/>
        </w:rPr>
      </w:pPr>
      <w:r w:rsidRPr="00D62F8E">
        <w:rPr>
          <w:rFonts w:asciiTheme="minorEastAsia" w:eastAsiaTheme="minorEastAsia" w:hAnsiTheme="minorEastAsia"/>
          <w:sz w:val="28"/>
          <w:szCs w:val="28"/>
        </w:rPr>
        <w:t>附件</w:t>
      </w:r>
      <w:r w:rsidR="00EA1265">
        <w:rPr>
          <w:rFonts w:asciiTheme="minorEastAsia" w:eastAsiaTheme="minorEastAsia" w:hAnsiTheme="minorEastAsia" w:hint="eastAsia"/>
          <w:sz w:val="28"/>
          <w:szCs w:val="28"/>
        </w:rPr>
        <w:t>1</w:t>
      </w:r>
      <w:r w:rsidRPr="00D62F8E">
        <w:rPr>
          <w:rFonts w:asciiTheme="minorEastAsia" w:eastAsiaTheme="minorEastAsia" w:hAnsiTheme="minorEastAsia" w:hint="eastAsia"/>
          <w:sz w:val="28"/>
          <w:szCs w:val="28"/>
        </w:rPr>
        <w:t xml:space="preserve"> 项目需求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6"/>
        <w:gridCol w:w="6616"/>
      </w:tblGrid>
      <w:tr w:rsidR="00367E11" w:rsidRPr="00367E11" w:rsidTr="007870DB">
        <w:trPr>
          <w:trHeight w:val="785"/>
        </w:trPr>
        <w:tc>
          <w:tcPr>
            <w:tcW w:w="1906" w:type="dxa"/>
          </w:tcPr>
          <w:p w:rsidR="00367E11" w:rsidRPr="00367E11" w:rsidRDefault="00367E11" w:rsidP="00367E11">
            <w:pPr>
              <w:jc w:val="center"/>
              <w:rPr>
                <w:rFonts w:ascii="宋体" w:hAnsi="宋体" w:cs="宋体"/>
                <w:b/>
                <w:bCs/>
                <w:sz w:val="28"/>
                <w:szCs w:val="28"/>
              </w:rPr>
            </w:pPr>
            <w:r w:rsidRPr="00367E11">
              <w:rPr>
                <w:rFonts w:ascii="宋体" w:hAnsi="宋体" w:cs="宋体" w:hint="eastAsia"/>
                <w:b/>
                <w:bCs/>
                <w:sz w:val="28"/>
                <w:szCs w:val="28"/>
              </w:rPr>
              <w:t>项目名称</w:t>
            </w:r>
          </w:p>
        </w:tc>
        <w:tc>
          <w:tcPr>
            <w:tcW w:w="6616" w:type="dxa"/>
          </w:tcPr>
          <w:p w:rsidR="00367E11" w:rsidRPr="00367E11" w:rsidRDefault="00EE2CB4" w:rsidP="00367E11">
            <w:pPr>
              <w:jc w:val="center"/>
              <w:rPr>
                <w:rFonts w:ascii="宋体" w:hAnsi="宋体" w:cs="宋体"/>
                <w:sz w:val="28"/>
                <w:szCs w:val="28"/>
              </w:rPr>
            </w:pPr>
            <w:r w:rsidRPr="00367E11">
              <w:rPr>
                <w:rFonts w:ascii="宋体" w:hAnsi="宋体" w:cs="宋体"/>
                <w:sz w:val="28"/>
                <w:szCs w:val="28"/>
              </w:rPr>
              <w:t>食堂餐梯（杂物）梯采购</w:t>
            </w:r>
          </w:p>
          <w:p w:rsidR="00367E11" w:rsidRPr="00367E11" w:rsidRDefault="00367E11" w:rsidP="00367E11">
            <w:pPr>
              <w:jc w:val="center"/>
              <w:rPr>
                <w:rFonts w:ascii="宋体" w:hAnsi="宋体" w:cs="宋体"/>
                <w:sz w:val="28"/>
                <w:szCs w:val="28"/>
              </w:rPr>
            </w:pPr>
          </w:p>
        </w:tc>
      </w:tr>
      <w:tr w:rsidR="00367E11" w:rsidRPr="00367E11" w:rsidTr="00367E11">
        <w:tc>
          <w:tcPr>
            <w:tcW w:w="1906" w:type="dxa"/>
          </w:tcPr>
          <w:p w:rsidR="00367E11" w:rsidRPr="00367E11" w:rsidRDefault="00367E11" w:rsidP="00367E11">
            <w:pPr>
              <w:jc w:val="center"/>
              <w:rPr>
                <w:rFonts w:ascii="宋体" w:hAnsi="宋体" w:cs="宋体"/>
                <w:b/>
                <w:bCs/>
                <w:sz w:val="28"/>
                <w:szCs w:val="28"/>
              </w:rPr>
            </w:pPr>
            <w:r w:rsidRPr="00367E11">
              <w:rPr>
                <w:rFonts w:ascii="宋体" w:hAnsi="宋体" w:cs="宋体" w:hint="eastAsia"/>
                <w:b/>
                <w:bCs/>
                <w:sz w:val="28"/>
                <w:szCs w:val="28"/>
              </w:rPr>
              <w:t>预算</w:t>
            </w:r>
          </w:p>
        </w:tc>
        <w:tc>
          <w:tcPr>
            <w:tcW w:w="6616" w:type="dxa"/>
          </w:tcPr>
          <w:p w:rsidR="00367E11" w:rsidRPr="00367E11" w:rsidRDefault="00EE2CB4" w:rsidP="00367E11">
            <w:pPr>
              <w:jc w:val="center"/>
              <w:rPr>
                <w:rFonts w:ascii="宋体" w:hAnsi="宋体" w:cs="宋体"/>
                <w:sz w:val="28"/>
                <w:szCs w:val="28"/>
              </w:rPr>
            </w:pPr>
            <w:r w:rsidRPr="00367E11">
              <w:rPr>
                <w:rFonts w:ascii="宋体" w:hAnsi="宋体" w:cs="宋体" w:hint="eastAsia"/>
                <w:sz w:val="28"/>
                <w:szCs w:val="28"/>
              </w:rPr>
              <w:t>30000元</w:t>
            </w:r>
          </w:p>
        </w:tc>
      </w:tr>
      <w:tr w:rsidR="00367E11" w:rsidRPr="00367E11" w:rsidTr="00367E11">
        <w:trPr>
          <w:trHeight w:val="1073"/>
        </w:trPr>
        <w:tc>
          <w:tcPr>
            <w:tcW w:w="1906" w:type="dxa"/>
          </w:tcPr>
          <w:p w:rsidR="00367E11" w:rsidRPr="00367E11" w:rsidRDefault="00367E11">
            <w:pPr>
              <w:rPr>
                <w:rFonts w:ascii="宋体" w:hAnsi="宋体" w:cs="宋体"/>
                <w:b/>
                <w:bCs/>
                <w:sz w:val="28"/>
                <w:szCs w:val="28"/>
              </w:rPr>
            </w:pPr>
            <w:r w:rsidRPr="00367E11">
              <w:rPr>
                <w:rFonts w:ascii="宋体" w:hAnsi="宋体" w:cs="宋体" w:hint="eastAsia"/>
                <w:b/>
                <w:bCs/>
                <w:sz w:val="28"/>
                <w:szCs w:val="28"/>
              </w:rPr>
              <w:t>特定资格要求</w:t>
            </w:r>
          </w:p>
        </w:tc>
        <w:tc>
          <w:tcPr>
            <w:tcW w:w="6616" w:type="dxa"/>
          </w:tcPr>
          <w:p w:rsidR="00367E11" w:rsidRPr="007870DB" w:rsidRDefault="007870DB" w:rsidP="007870DB">
            <w:pPr>
              <w:ind w:firstLineChars="150" w:firstLine="315"/>
              <w:jc w:val="left"/>
              <w:rPr>
                <w:rFonts w:ascii="宋体" w:hAnsi="宋体" w:cs="宋体"/>
                <w:bCs/>
                <w:szCs w:val="21"/>
              </w:rPr>
            </w:pPr>
            <w:r>
              <w:rPr>
                <w:rFonts w:ascii="宋体" w:hAnsi="宋体" w:cs="宋体" w:hint="eastAsia"/>
                <w:bCs/>
                <w:szCs w:val="21"/>
              </w:rPr>
              <w:t>（</w:t>
            </w:r>
            <w:r w:rsidR="00001FD9" w:rsidRPr="007870DB">
              <w:rPr>
                <w:rFonts w:ascii="宋体" w:hAnsi="宋体" w:cs="宋体" w:hint="eastAsia"/>
                <w:bCs/>
                <w:szCs w:val="21"/>
              </w:rPr>
              <w:t>1)如投标人为制造商则需具备有效期内的《中华人民共和国特种设备生产许可证》，制造许可子项包含杂物电梯；(2)如投标人为代理商则需具备有效期内的《中华人民共和国特种设备生产许可证》电梯安装含修理，其代理产品的制造厂商需具备有效期内的《中华人民共和国特种设备生产许可证》，制造许可子项包含杂物电梯。</w:t>
            </w:r>
          </w:p>
        </w:tc>
      </w:tr>
      <w:tr w:rsidR="00367E11" w:rsidRPr="00367E11" w:rsidTr="00367E11">
        <w:trPr>
          <w:trHeight w:val="3491"/>
        </w:trPr>
        <w:tc>
          <w:tcPr>
            <w:tcW w:w="1906" w:type="dxa"/>
          </w:tcPr>
          <w:p w:rsidR="00367E11" w:rsidRPr="00367E11" w:rsidRDefault="00367E11" w:rsidP="00367E11">
            <w:pPr>
              <w:jc w:val="center"/>
              <w:rPr>
                <w:rFonts w:ascii="宋体" w:hAnsi="宋体" w:cs="宋体"/>
                <w:b/>
                <w:bCs/>
                <w:sz w:val="28"/>
                <w:szCs w:val="28"/>
              </w:rPr>
            </w:pPr>
            <w:r w:rsidRPr="00367E11">
              <w:rPr>
                <w:rFonts w:ascii="宋体" w:hAnsi="宋体" w:cs="宋体" w:hint="eastAsia"/>
                <w:b/>
                <w:bCs/>
                <w:sz w:val="28"/>
                <w:szCs w:val="28"/>
              </w:rPr>
              <w:t>项目需求</w:t>
            </w:r>
          </w:p>
          <w:p w:rsidR="00367E11" w:rsidRPr="00367E11" w:rsidRDefault="00367E11" w:rsidP="00367E11">
            <w:pPr>
              <w:jc w:val="center"/>
              <w:rPr>
                <w:rFonts w:ascii="宋体" w:hAnsi="宋体" w:cs="宋体"/>
                <w:sz w:val="28"/>
                <w:szCs w:val="28"/>
              </w:rPr>
            </w:pPr>
            <w:r w:rsidRPr="00367E11">
              <w:rPr>
                <w:rFonts w:ascii="宋体" w:hAnsi="宋体" w:cs="宋体" w:hint="eastAsia"/>
                <w:sz w:val="28"/>
                <w:szCs w:val="28"/>
              </w:rPr>
              <w:t>（包括服务内容及达到要求等）</w:t>
            </w:r>
          </w:p>
        </w:tc>
        <w:tc>
          <w:tcPr>
            <w:tcW w:w="6616" w:type="dxa"/>
          </w:tcPr>
          <w:p w:rsidR="00367E11" w:rsidRPr="005D5F34" w:rsidRDefault="00EE2CB4" w:rsidP="00367E11">
            <w:pPr>
              <w:pStyle w:val="a5"/>
              <w:snapToGrid w:val="0"/>
              <w:spacing w:line="360" w:lineRule="auto"/>
            </w:pPr>
            <w:r w:rsidRPr="005D5F34">
              <w:rPr>
                <w:rFonts w:hint="eastAsia"/>
              </w:rPr>
              <w:t>型号，参数：</w:t>
            </w:r>
            <w:r w:rsidRPr="005D5F34">
              <w:rPr>
                <w:rFonts w:hint="eastAsia"/>
              </w:rPr>
              <w:t xml:space="preserve">TWJ,200/0.4-AS </w:t>
            </w:r>
            <w:r w:rsidRPr="005D5F34">
              <w:rPr>
                <w:rFonts w:hint="eastAsia"/>
              </w:rPr>
              <w:t>推车式</w:t>
            </w:r>
          </w:p>
          <w:p w:rsidR="00EE2CB4" w:rsidRPr="005D5F34" w:rsidRDefault="00EE2CB4" w:rsidP="00EE2CB4">
            <w:r w:rsidRPr="005D5F34">
              <w:rPr>
                <w:rFonts w:hint="eastAsia"/>
              </w:rPr>
              <w:t>额定载重：</w:t>
            </w:r>
            <w:r w:rsidR="00093F0F" w:rsidRPr="005D5F34">
              <w:rPr>
                <w:rFonts w:hint="eastAsia"/>
              </w:rPr>
              <w:t>不低于</w:t>
            </w:r>
            <w:r w:rsidRPr="005D5F34">
              <w:rPr>
                <w:rFonts w:hint="eastAsia"/>
              </w:rPr>
              <w:t>200kg</w:t>
            </w:r>
          </w:p>
          <w:p w:rsidR="00EE2CB4" w:rsidRPr="005D5F34" w:rsidRDefault="00EE2CB4" w:rsidP="00EE2CB4">
            <w:r w:rsidRPr="005D5F34">
              <w:rPr>
                <w:rFonts w:hint="eastAsia"/>
              </w:rPr>
              <w:t>额定速度：</w:t>
            </w:r>
            <w:r w:rsidR="00093F0F" w:rsidRPr="005D5F34">
              <w:rPr>
                <w:rFonts w:hint="eastAsia"/>
              </w:rPr>
              <w:t>不高于</w:t>
            </w:r>
            <w:r w:rsidRPr="005D5F34">
              <w:rPr>
                <w:rFonts w:hint="eastAsia"/>
              </w:rPr>
              <w:t>0.4m/s</w:t>
            </w:r>
          </w:p>
          <w:p w:rsidR="00EE2CB4" w:rsidRPr="005D5F34" w:rsidRDefault="00EE2CB4" w:rsidP="00EE2CB4">
            <w:r w:rsidRPr="005D5F34">
              <w:rPr>
                <w:rFonts w:hint="eastAsia"/>
              </w:rPr>
              <w:t>服务楼层：</w:t>
            </w:r>
            <w:r w:rsidRPr="005D5F34">
              <w:rPr>
                <w:rFonts w:hint="eastAsia"/>
              </w:rPr>
              <w:t>1F/2F</w:t>
            </w:r>
          </w:p>
          <w:p w:rsidR="00EE2CB4" w:rsidRPr="005D5F34" w:rsidRDefault="00EE2CB4" w:rsidP="00EE2CB4">
            <w:r w:rsidRPr="005D5F34">
              <w:rPr>
                <w:rFonts w:hint="eastAsia"/>
              </w:rPr>
              <w:t>提升高度：</w:t>
            </w:r>
            <w:r w:rsidRPr="005D5F34">
              <w:rPr>
                <w:rFonts w:hint="eastAsia"/>
              </w:rPr>
              <w:t>4500mm</w:t>
            </w:r>
          </w:p>
          <w:p w:rsidR="00EE2CB4" w:rsidRPr="005D5F34" w:rsidRDefault="00EE2CB4" w:rsidP="00EE2CB4">
            <w:r w:rsidRPr="005D5F34">
              <w:rPr>
                <w:rFonts w:hint="eastAsia"/>
              </w:rPr>
              <w:t>轿厢尺寸：</w:t>
            </w:r>
            <w:r w:rsidRPr="005D5F34">
              <w:rPr>
                <w:rFonts w:hint="eastAsia"/>
              </w:rPr>
              <w:t>500mm*500mm*1200mm</w:t>
            </w:r>
          </w:p>
          <w:p w:rsidR="00EE2CB4" w:rsidRPr="005D5F34" w:rsidRDefault="00EE2CB4" w:rsidP="00EE2CB4">
            <w:r w:rsidRPr="005D5F34">
              <w:rPr>
                <w:rFonts w:hint="eastAsia"/>
              </w:rPr>
              <w:t>开门尺寸：</w:t>
            </w:r>
            <w:r w:rsidRPr="005D5F34">
              <w:rPr>
                <w:rFonts w:hint="eastAsia"/>
              </w:rPr>
              <w:t>500mm*1200mm</w:t>
            </w:r>
          </w:p>
          <w:p w:rsidR="00EE2CB4" w:rsidRPr="005D5F34" w:rsidRDefault="00EE2CB4" w:rsidP="00EE2CB4">
            <w:r w:rsidRPr="005D5F34">
              <w:rPr>
                <w:rFonts w:hint="eastAsia"/>
              </w:rPr>
              <w:t>开门方式：上下直分</w:t>
            </w:r>
          </w:p>
          <w:p w:rsidR="00EE2CB4" w:rsidRPr="005D5F34" w:rsidRDefault="00EE2CB4" w:rsidP="00EE2CB4">
            <w:r w:rsidRPr="005D5F34">
              <w:rPr>
                <w:rFonts w:hint="eastAsia"/>
              </w:rPr>
              <w:t>电梯功率：</w:t>
            </w:r>
            <w:r w:rsidR="00093F0F" w:rsidRPr="005D5F34">
              <w:rPr>
                <w:rFonts w:hint="eastAsia"/>
              </w:rPr>
              <w:t>不大于</w:t>
            </w:r>
            <w:r w:rsidRPr="005D5F34">
              <w:rPr>
                <w:rFonts w:hint="eastAsia"/>
              </w:rPr>
              <w:t>1.5kw</w:t>
            </w:r>
          </w:p>
          <w:p w:rsidR="00EE2CB4" w:rsidRPr="005D5F34" w:rsidRDefault="00EE2CB4" w:rsidP="00EE2CB4">
            <w:r w:rsidRPr="005D5F34">
              <w:t>控制及驱动</w:t>
            </w:r>
          </w:p>
          <w:p w:rsidR="00EE2CB4" w:rsidRPr="005D5F34" w:rsidRDefault="00EE2CB4" w:rsidP="00EE2CB4">
            <w:r w:rsidRPr="005D5F34">
              <w:rPr>
                <w:rFonts w:hint="eastAsia"/>
              </w:rPr>
              <w:t>控制方式：厅外按钮</w:t>
            </w:r>
          </w:p>
          <w:p w:rsidR="00EE2CB4" w:rsidRPr="005D5F34" w:rsidRDefault="00EE2CB4" w:rsidP="00EE2CB4">
            <w:r w:rsidRPr="005D5F34">
              <w:rPr>
                <w:rFonts w:hint="eastAsia"/>
              </w:rPr>
              <w:t>驱动方式：交流单速</w:t>
            </w:r>
          </w:p>
          <w:p w:rsidR="00EE2CB4" w:rsidRPr="005D5F34" w:rsidRDefault="00EE2CB4" w:rsidP="00EE2CB4">
            <w:r w:rsidRPr="005D5F34">
              <w:rPr>
                <w:rFonts w:hint="eastAsia"/>
              </w:rPr>
              <w:t>井道参数：</w:t>
            </w:r>
          </w:p>
          <w:p w:rsidR="00EE2CB4" w:rsidRPr="005D5F34" w:rsidRDefault="00EE2CB4" w:rsidP="00EE2CB4">
            <w:r w:rsidRPr="005D5F34">
              <w:rPr>
                <w:rFonts w:hint="eastAsia"/>
              </w:rPr>
              <w:t>顶层高度：</w:t>
            </w:r>
            <w:r w:rsidRPr="005D5F34">
              <w:rPr>
                <w:rFonts w:hint="eastAsia"/>
              </w:rPr>
              <w:t>4300mm</w:t>
            </w:r>
          </w:p>
          <w:p w:rsidR="00EE2CB4" w:rsidRPr="005D5F34" w:rsidRDefault="00EE2CB4" w:rsidP="00EE2CB4">
            <w:r w:rsidRPr="005D5F34">
              <w:rPr>
                <w:rFonts w:hint="eastAsia"/>
              </w:rPr>
              <w:t>地坑深度：</w:t>
            </w:r>
            <w:r w:rsidRPr="005D5F34">
              <w:rPr>
                <w:rFonts w:hint="eastAsia"/>
              </w:rPr>
              <w:t>850mm</w:t>
            </w:r>
          </w:p>
          <w:p w:rsidR="00EE2CB4" w:rsidRPr="005D5F34" w:rsidRDefault="00EE2CB4" w:rsidP="00EE2CB4">
            <w:r w:rsidRPr="005D5F34">
              <w:rPr>
                <w:rFonts w:hint="eastAsia"/>
              </w:rPr>
              <w:t>井道尺寸：</w:t>
            </w:r>
            <w:r w:rsidRPr="005D5F34">
              <w:rPr>
                <w:rFonts w:hint="eastAsia"/>
              </w:rPr>
              <w:t>800mm*850mm</w:t>
            </w:r>
          </w:p>
          <w:p w:rsidR="00EE2CB4" w:rsidRPr="005D5F34" w:rsidRDefault="00EE2CB4" w:rsidP="00EE2CB4">
            <w:r w:rsidRPr="005D5F34">
              <w:rPr>
                <w:rFonts w:hint="eastAsia"/>
              </w:rPr>
              <w:t>机房尺寸：不可进入机房</w:t>
            </w:r>
          </w:p>
          <w:p w:rsidR="00EE2CB4" w:rsidRPr="005D5F34" w:rsidRDefault="00EE2CB4" w:rsidP="00EE2CB4">
            <w:r w:rsidRPr="005D5F34">
              <w:rPr>
                <w:rFonts w:hint="eastAsia"/>
              </w:rPr>
              <w:t>电源要求：动力三相五线</w:t>
            </w:r>
          </w:p>
          <w:p w:rsidR="00EE2CB4" w:rsidRPr="005D5F34" w:rsidRDefault="00EE2CB4" w:rsidP="00EE2CB4">
            <w:r w:rsidRPr="005D5F34">
              <w:rPr>
                <w:rFonts w:hint="eastAsia"/>
              </w:rPr>
              <w:t>轿厢设计</w:t>
            </w:r>
          </w:p>
          <w:p w:rsidR="00EE2CB4" w:rsidRPr="005D5F34" w:rsidRDefault="00EE2CB4" w:rsidP="00EE2CB4">
            <w:r w:rsidRPr="005D5F34">
              <w:rPr>
                <w:rFonts w:hint="eastAsia"/>
              </w:rPr>
              <w:t>脚顶装饰：</w:t>
            </w:r>
            <w:r w:rsidR="004424BC" w:rsidRPr="005D5F34">
              <w:rPr>
                <w:rFonts w:hint="eastAsia"/>
              </w:rPr>
              <w:t>发纹不锈钢（实厚≧</w:t>
            </w:r>
            <w:r w:rsidR="004424BC" w:rsidRPr="005D5F34">
              <w:rPr>
                <w:rFonts w:hint="eastAsia"/>
              </w:rPr>
              <w:t>0.9mm</w:t>
            </w:r>
            <w:r w:rsidR="004424BC" w:rsidRPr="005D5F34">
              <w:rPr>
                <w:rFonts w:hint="eastAsia"/>
              </w:rPr>
              <w:t>）</w:t>
            </w:r>
          </w:p>
          <w:p w:rsidR="004424BC" w:rsidRPr="005D5F34" w:rsidRDefault="004424BC" w:rsidP="004424BC">
            <w:r w:rsidRPr="005D5F34">
              <w:rPr>
                <w:rFonts w:hint="eastAsia"/>
              </w:rPr>
              <w:t>轿厢内饰：发纹不锈钢（实厚≧</w:t>
            </w:r>
            <w:r w:rsidRPr="005D5F34">
              <w:rPr>
                <w:rFonts w:hint="eastAsia"/>
              </w:rPr>
              <w:t>0.9mm</w:t>
            </w:r>
            <w:r w:rsidRPr="005D5F34">
              <w:rPr>
                <w:rFonts w:hint="eastAsia"/>
              </w:rPr>
              <w:t>）</w:t>
            </w:r>
          </w:p>
          <w:p w:rsidR="004424BC" w:rsidRPr="005D5F34" w:rsidRDefault="004424BC" w:rsidP="004424BC">
            <w:r w:rsidRPr="005D5F34">
              <w:t>轿门：</w:t>
            </w:r>
            <w:r w:rsidRPr="005D5F34">
              <w:rPr>
                <w:rFonts w:hint="eastAsia"/>
              </w:rPr>
              <w:t>发纹不锈钢（实厚≧</w:t>
            </w:r>
            <w:r w:rsidRPr="005D5F34">
              <w:rPr>
                <w:rFonts w:hint="eastAsia"/>
              </w:rPr>
              <w:t>0.9mm</w:t>
            </w:r>
            <w:r w:rsidRPr="005D5F34">
              <w:rPr>
                <w:rFonts w:hint="eastAsia"/>
              </w:rPr>
              <w:t>）</w:t>
            </w:r>
          </w:p>
          <w:p w:rsidR="004424BC" w:rsidRPr="005D5F34" w:rsidRDefault="004424BC" w:rsidP="004424BC">
            <w:r w:rsidRPr="005D5F34">
              <w:t>轿厢地面：</w:t>
            </w:r>
            <w:r w:rsidRPr="005D5F34">
              <w:rPr>
                <w:rFonts w:hint="eastAsia"/>
              </w:rPr>
              <w:t>发纹不锈钢（实厚≧</w:t>
            </w:r>
            <w:r w:rsidRPr="005D5F34">
              <w:rPr>
                <w:rFonts w:hint="eastAsia"/>
              </w:rPr>
              <w:t>0.9mm</w:t>
            </w:r>
            <w:r w:rsidRPr="005D5F34">
              <w:rPr>
                <w:rFonts w:hint="eastAsia"/>
              </w:rPr>
              <w:t>）</w:t>
            </w:r>
          </w:p>
          <w:p w:rsidR="004424BC" w:rsidRPr="005D5F34" w:rsidRDefault="004424BC" w:rsidP="004424BC">
            <w:r w:rsidRPr="005D5F34">
              <w:t>操作面板：</w:t>
            </w:r>
            <w:r w:rsidRPr="005D5F34">
              <w:rPr>
                <w:rFonts w:hint="eastAsia"/>
              </w:rPr>
              <w:t>发纹不锈钢配数字面板</w:t>
            </w:r>
          </w:p>
          <w:p w:rsidR="004424BC" w:rsidRPr="005D5F34" w:rsidRDefault="004424BC" w:rsidP="004424BC">
            <w:r w:rsidRPr="005D5F34">
              <w:rPr>
                <w:rFonts w:hint="eastAsia"/>
              </w:rPr>
              <w:t>厅门：发纹不锈钢（实厚≧</w:t>
            </w:r>
            <w:r w:rsidRPr="005D5F34">
              <w:t>0.9mm</w:t>
            </w:r>
            <w:r w:rsidRPr="005D5F34">
              <w:rPr>
                <w:rFonts w:hint="eastAsia"/>
              </w:rPr>
              <w:t>）</w:t>
            </w:r>
          </w:p>
          <w:p w:rsidR="00367E11" w:rsidRPr="00AD1EC9" w:rsidRDefault="004424BC" w:rsidP="00AD1EC9">
            <w:pPr>
              <w:rPr>
                <w:b/>
              </w:rPr>
            </w:pPr>
            <w:r w:rsidRPr="00AD1EC9">
              <w:rPr>
                <w:rFonts w:hint="eastAsia"/>
                <w:b/>
              </w:rPr>
              <w:t>注：此参数是以老餐梯参数为参考，新采购餐梯需现场实勘并细化。</w:t>
            </w:r>
          </w:p>
        </w:tc>
      </w:tr>
      <w:tr w:rsidR="00367E11" w:rsidRPr="00367E11" w:rsidTr="0041457C">
        <w:trPr>
          <w:trHeight w:val="6936"/>
        </w:trPr>
        <w:tc>
          <w:tcPr>
            <w:tcW w:w="1906" w:type="dxa"/>
          </w:tcPr>
          <w:p w:rsidR="00367E11" w:rsidRPr="00367E11" w:rsidRDefault="0041457C" w:rsidP="00367E11">
            <w:pPr>
              <w:jc w:val="center"/>
              <w:rPr>
                <w:rFonts w:ascii="宋体" w:hAnsi="宋体" w:cs="宋体"/>
                <w:b/>
                <w:bCs/>
                <w:sz w:val="28"/>
                <w:szCs w:val="28"/>
              </w:rPr>
            </w:pPr>
            <w:r>
              <w:rPr>
                <w:rFonts w:ascii="宋体" w:hAnsi="宋体" w:cs="宋体"/>
                <w:b/>
                <w:bCs/>
                <w:sz w:val="28"/>
                <w:szCs w:val="28"/>
              </w:rPr>
              <w:lastRenderedPageBreak/>
              <w:t>采购标的</w:t>
            </w:r>
            <w:r>
              <w:rPr>
                <w:rFonts w:ascii="宋体" w:hAnsi="宋体" w:cs="宋体" w:hint="eastAsia"/>
                <w:b/>
                <w:bCs/>
                <w:sz w:val="28"/>
                <w:szCs w:val="28"/>
              </w:rPr>
              <w:t xml:space="preserve">   </w:t>
            </w:r>
            <w:r>
              <w:rPr>
                <w:rFonts w:ascii="宋体" w:hAnsi="宋体" w:cs="宋体"/>
                <w:b/>
                <w:bCs/>
                <w:sz w:val="28"/>
                <w:szCs w:val="28"/>
              </w:rPr>
              <w:t>的要求</w:t>
            </w:r>
          </w:p>
        </w:tc>
        <w:tc>
          <w:tcPr>
            <w:tcW w:w="6616" w:type="dxa"/>
          </w:tcPr>
          <w:p w:rsidR="0041457C" w:rsidRPr="0041457C" w:rsidRDefault="0041457C" w:rsidP="0041457C">
            <w:pPr>
              <w:spacing w:line="460" w:lineRule="exact"/>
              <w:ind w:firstLine="480"/>
              <w:rPr>
                <w:rFonts w:ascii="仿宋" w:eastAsia="仿宋" w:hAnsi="仿宋"/>
                <w:szCs w:val="21"/>
              </w:rPr>
            </w:pPr>
            <w:r w:rsidRPr="0041457C">
              <w:rPr>
                <w:rFonts w:ascii="仿宋" w:eastAsia="仿宋" w:hAnsi="仿宋" w:hint="eastAsia"/>
                <w:szCs w:val="21"/>
              </w:rPr>
              <w:t>1)投标供应商应保证货物是全新、未使用过的原厂合格产品，并完全符合投标文件的质量、规格和参数的要求。</w:t>
            </w:r>
          </w:p>
          <w:p w:rsidR="0041457C" w:rsidRPr="0041457C" w:rsidRDefault="0041457C" w:rsidP="0041457C">
            <w:pPr>
              <w:spacing w:line="460" w:lineRule="exact"/>
              <w:ind w:firstLine="480"/>
              <w:rPr>
                <w:rFonts w:ascii="仿宋" w:eastAsia="仿宋" w:hAnsi="仿宋"/>
                <w:szCs w:val="21"/>
              </w:rPr>
            </w:pPr>
            <w:r w:rsidRPr="0041457C">
              <w:rPr>
                <w:rFonts w:ascii="仿宋" w:eastAsia="仿宋" w:hAnsi="仿宋" w:hint="eastAsia"/>
                <w:szCs w:val="21"/>
              </w:rPr>
              <w:t>2)投标供应商应保证其货物在正确安装、正常使用下，在其使用寿命期内应具有满意的性能。</w:t>
            </w:r>
          </w:p>
          <w:p w:rsidR="0041457C" w:rsidRPr="0041457C" w:rsidRDefault="0041457C" w:rsidP="0041457C">
            <w:pPr>
              <w:spacing w:line="460" w:lineRule="exact"/>
              <w:ind w:firstLine="480"/>
              <w:rPr>
                <w:rFonts w:ascii="仿宋" w:eastAsia="仿宋" w:hAnsi="仿宋"/>
                <w:szCs w:val="21"/>
              </w:rPr>
            </w:pPr>
            <w:r w:rsidRPr="0041457C">
              <w:rPr>
                <w:rFonts w:ascii="仿宋" w:eastAsia="仿宋" w:hAnsi="仿宋" w:hint="eastAsia"/>
                <w:szCs w:val="21"/>
              </w:rPr>
              <w:t>3)投标供应商应采取必要的安全措施保证货物的运输及安装的安全，并承担货物的运输及安装过程中产生的风险。</w:t>
            </w:r>
          </w:p>
          <w:p w:rsidR="0041457C" w:rsidRPr="0041457C" w:rsidRDefault="0041457C" w:rsidP="0041457C">
            <w:pPr>
              <w:spacing w:line="460" w:lineRule="exact"/>
              <w:ind w:firstLine="480"/>
              <w:rPr>
                <w:rFonts w:ascii="仿宋" w:eastAsia="仿宋" w:hAnsi="仿宋"/>
                <w:szCs w:val="21"/>
              </w:rPr>
            </w:pPr>
            <w:r w:rsidRPr="0041457C">
              <w:rPr>
                <w:rFonts w:ascii="仿宋" w:eastAsia="仿宋" w:hAnsi="仿宋" w:hint="eastAsia"/>
                <w:szCs w:val="21"/>
              </w:rPr>
              <w:t>4)投标供应商可以先到现场踏勘以充分了解餐梯位置、道路、空间、装卸限制及任何其它足以影响投标报价的情况，任何因忽视或误解现场情况而导致的索赔或供货期延长申请将不获批准，由此发生的任何费用由投标供应商自理。</w:t>
            </w:r>
          </w:p>
          <w:p w:rsidR="00367E11" w:rsidRDefault="0041457C" w:rsidP="0041457C">
            <w:pPr>
              <w:spacing w:line="460" w:lineRule="exact"/>
              <w:ind w:firstLine="480"/>
              <w:rPr>
                <w:rFonts w:ascii="仿宋" w:eastAsia="仿宋" w:hAnsi="仿宋" w:hint="eastAsia"/>
                <w:szCs w:val="21"/>
              </w:rPr>
            </w:pPr>
            <w:r w:rsidRPr="0041457C">
              <w:rPr>
                <w:rFonts w:ascii="仿宋" w:eastAsia="仿宋" w:hAnsi="仿宋" w:hint="eastAsia"/>
                <w:szCs w:val="21"/>
              </w:rPr>
              <w:t>5)中标供应商提供的餐梯必须满足招标文件要求，须提供与投标文件品牌、规格型号、价格、数量等相符的产品，否则中标供应商承担违约责任。餐梯到货后，需报采购人后方可进场安装，对于不合格或不相符的餐梯严禁安装，一切损失及后果由中标供应商自行承担。</w:t>
            </w:r>
          </w:p>
          <w:p w:rsidR="00AD1EC9" w:rsidRPr="00367E11" w:rsidRDefault="00AD1EC9" w:rsidP="0041457C">
            <w:pPr>
              <w:spacing w:line="460" w:lineRule="exact"/>
              <w:ind w:firstLine="480"/>
              <w:rPr>
                <w:rFonts w:ascii="宋体" w:hAnsi="宋体" w:cs="宋体"/>
                <w:b/>
                <w:bCs/>
                <w:sz w:val="44"/>
                <w:szCs w:val="44"/>
              </w:rPr>
            </w:pPr>
            <w:r>
              <w:rPr>
                <w:rFonts w:ascii="仿宋" w:eastAsia="仿宋" w:hAnsi="仿宋" w:hint="eastAsia"/>
                <w:szCs w:val="21"/>
              </w:rPr>
              <w:t>6）食堂餐梯采购安装完成后需供应商办齐所有特种设备使用手续（例如特种设备登记证等）并提供一年免费维保及两年免费质保。</w:t>
            </w:r>
          </w:p>
        </w:tc>
      </w:tr>
      <w:tr w:rsidR="0041457C" w:rsidRPr="00367E11" w:rsidTr="00367E11">
        <w:trPr>
          <w:trHeight w:val="2067"/>
        </w:trPr>
        <w:tc>
          <w:tcPr>
            <w:tcW w:w="1906" w:type="dxa"/>
          </w:tcPr>
          <w:p w:rsidR="0041457C" w:rsidRPr="00367E11" w:rsidRDefault="0041457C" w:rsidP="00367E11">
            <w:pPr>
              <w:jc w:val="center"/>
              <w:rPr>
                <w:rFonts w:ascii="宋体" w:hAnsi="宋体" w:cs="宋体"/>
                <w:b/>
                <w:bCs/>
                <w:sz w:val="28"/>
                <w:szCs w:val="28"/>
              </w:rPr>
            </w:pPr>
            <w:r>
              <w:rPr>
                <w:rFonts w:ascii="宋体" w:hAnsi="宋体" w:cs="宋体" w:hint="eastAsia"/>
                <w:b/>
                <w:bCs/>
                <w:sz w:val="28"/>
                <w:szCs w:val="28"/>
              </w:rPr>
              <w:t>采购标的的  验收标准</w:t>
            </w:r>
          </w:p>
        </w:tc>
        <w:tc>
          <w:tcPr>
            <w:tcW w:w="6616" w:type="dxa"/>
          </w:tcPr>
          <w:p w:rsidR="0041457C" w:rsidRPr="0041457C" w:rsidRDefault="0041457C" w:rsidP="0041457C">
            <w:pPr>
              <w:spacing w:line="460" w:lineRule="exact"/>
              <w:ind w:firstLine="480"/>
              <w:rPr>
                <w:rFonts w:ascii="仿宋" w:eastAsia="仿宋" w:hAnsi="仿宋"/>
                <w:szCs w:val="21"/>
              </w:rPr>
            </w:pPr>
            <w:r w:rsidRPr="0041457C">
              <w:rPr>
                <w:rFonts w:ascii="仿宋" w:eastAsia="仿宋" w:hAnsi="仿宋" w:hint="eastAsia"/>
                <w:szCs w:val="21"/>
              </w:rPr>
              <w:t>依据行业标准验收。在接到供应商以书面形式提出验收申请后，在10个工作日内及时组织相关专业技术人员，并出具验收报告，作为支付货款的依据。</w:t>
            </w:r>
          </w:p>
          <w:p w:rsidR="0041457C" w:rsidRPr="0041457C" w:rsidRDefault="0041457C" w:rsidP="0041457C">
            <w:pPr>
              <w:spacing w:line="460" w:lineRule="exact"/>
              <w:ind w:firstLine="480"/>
              <w:rPr>
                <w:rFonts w:ascii="仿宋" w:eastAsia="仿宋" w:hAnsi="仿宋"/>
                <w:szCs w:val="21"/>
              </w:rPr>
            </w:pPr>
            <w:r w:rsidRPr="0041457C">
              <w:rPr>
                <w:rFonts w:ascii="仿宋" w:eastAsia="仿宋" w:hAnsi="仿宋" w:hint="eastAsia"/>
                <w:szCs w:val="21"/>
              </w:rPr>
              <w:t>1、所供产品应为生产厂家整机原包装全新设备，进场时应有装箱单、安装及使用说明、产品合格证书、保修单、相关附件、备件等应齐全。</w:t>
            </w:r>
          </w:p>
          <w:p w:rsidR="0041457C" w:rsidRPr="0041457C" w:rsidRDefault="0041457C" w:rsidP="0041457C">
            <w:pPr>
              <w:spacing w:line="460" w:lineRule="exact"/>
              <w:ind w:firstLine="480"/>
              <w:rPr>
                <w:rFonts w:ascii="仿宋" w:eastAsia="仿宋" w:hAnsi="仿宋"/>
                <w:szCs w:val="21"/>
              </w:rPr>
            </w:pPr>
            <w:r w:rsidRPr="0041457C">
              <w:rPr>
                <w:rFonts w:ascii="仿宋" w:eastAsia="仿宋" w:hAnsi="仿宋" w:hint="eastAsia"/>
                <w:szCs w:val="21"/>
              </w:rPr>
              <w:t>2、安装时按照需求方指定位置安装到位，并做好周边卫生。</w:t>
            </w:r>
          </w:p>
          <w:p w:rsidR="0041457C" w:rsidRPr="0041457C" w:rsidRDefault="0041457C" w:rsidP="0041457C">
            <w:pPr>
              <w:spacing w:line="460" w:lineRule="exact"/>
              <w:ind w:firstLine="480"/>
            </w:pPr>
            <w:r w:rsidRPr="0041457C">
              <w:rPr>
                <w:rFonts w:ascii="仿宋" w:eastAsia="仿宋" w:hAnsi="仿宋" w:hint="eastAsia"/>
                <w:szCs w:val="21"/>
              </w:rPr>
              <w:t>3、安装好、调试好、正常运转。</w:t>
            </w:r>
          </w:p>
        </w:tc>
      </w:tr>
      <w:tr w:rsidR="0041457C" w:rsidRPr="00367E11" w:rsidTr="00367E11">
        <w:trPr>
          <w:trHeight w:val="2067"/>
        </w:trPr>
        <w:tc>
          <w:tcPr>
            <w:tcW w:w="1906" w:type="dxa"/>
          </w:tcPr>
          <w:p w:rsidR="0041457C" w:rsidRPr="00367E11" w:rsidRDefault="0041457C" w:rsidP="00367E11">
            <w:pPr>
              <w:jc w:val="center"/>
              <w:rPr>
                <w:rFonts w:ascii="宋体" w:hAnsi="宋体" w:cs="宋体"/>
                <w:b/>
                <w:bCs/>
                <w:sz w:val="28"/>
                <w:szCs w:val="28"/>
              </w:rPr>
            </w:pPr>
            <w:r>
              <w:rPr>
                <w:rFonts w:ascii="宋体" w:hAnsi="宋体" w:cs="宋体" w:hint="eastAsia"/>
                <w:b/>
                <w:bCs/>
                <w:sz w:val="28"/>
                <w:szCs w:val="28"/>
              </w:rPr>
              <w:t>采购标的的服务要求</w:t>
            </w:r>
          </w:p>
        </w:tc>
        <w:tc>
          <w:tcPr>
            <w:tcW w:w="6616" w:type="dxa"/>
          </w:tcPr>
          <w:p w:rsidR="0041457C" w:rsidRPr="0095061B" w:rsidRDefault="0041457C" w:rsidP="0041457C">
            <w:pPr>
              <w:widowControl/>
              <w:shd w:val="clear" w:color="auto" w:fill="FFFFFF"/>
              <w:spacing w:line="460" w:lineRule="exact"/>
              <w:ind w:firstLine="480"/>
              <w:rPr>
                <w:rFonts w:ascii="仿宋" w:eastAsia="仿宋" w:hAnsi="仿宋"/>
                <w:szCs w:val="21"/>
              </w:rPr>
            </w:pPr>
            <w:r w:rsidRPr="0095061B">
              <w:rPr>
                <w:rFonts w:ascii="仿宋" w:eastAsia="仿宋" w:hAnsi="仿宋"/>
                <w:szCs w:val="21"/>
              </w:rPr>
              <w:t>1</w:t>
            </w:r>
            <w:r w:rsidRPr="0095061B">
              <w:rPr>
                <w:rFonts w:ascii="仿宋" w:eastAsia="仿宋" w:hAnsi="仿宋" w:hint="eastAsia"/>
                <w:szCs w:val="21"/>
              </w:rPr>
              <w:t>.中标供应商负责标的物的现场安装指导、启动、调试、监督；</w:t>
            </w:r>
          </w:p>
          <w:p w:rsidR="0041457C" w:rsidRPr="0095061B" w:rsidRDefault="0041457C" w:rsidP="0041457C">
            <w:pPr>
              <w:widowControl/>
              <w:shd w:val="clear" w:color="auto" w:fill="FFFFFF"/>
              <w:spacing w:line="460" w:lineRule="exact"/>
              <w:ind w:firstLine="480"/>
              <w:rPr>
                <w:rFonts w:ascii="仿宋" w:eastAsia="仿宋" w:hAnsi="仿宋"/>
                <w:szCs w:val="21"/>
              </w:rPr>
            </w:pPr>
            <w:r w:rsidRPr="0095061B">
              <w:rPr>
                <w:rFonts w:ascii="仿宋" w:eastAsia="仿宋" w:hAnsi="仿宋"/>
                <w:szCs w:val="21"/>
              </w:rPr>
              <w:t>2</w:t>
            </w:r>
            <w:r w:rsidRPr="0095061B">
              <w:rPr>
                <w:rFonts w:ascii="仿宋" w:eastAsia="仿宋" w:hAnsi="仿宋" w:hint="eastAsia"/>
                <w:szCs w:val="21"/>
              </w:rPr>
              <w:t>.中标供应商免费提供标的物组装和一般维修所必需的工具；</w:t>
            </w:r>
          </w:p>
          <w:p w:rsidR="0041457C" w:rsidRPr="0095061B" w:rsidRDefault="0041457C" w:rsidP="0041457C">
            <w:pPr>
              <w:widowControl/>
              <w:shd w:val="clear" w:color="auto" w:fill="FFFFFF"/>
              <w:spacing w:line="460" w:lineRule="exact"/>
              <w:ind w:firstLine="480"/>
              <w:rPr>
                <w:rFonts w:ascii="仿宋" w:eastAsia="仿宋" w:hAnsi="仿宋"/>
                <w:szCs w:val="21"/>
              </w:rPr>
            </w:pPr>
            <w:r w:rsidRPr="0095061B">
              <w:rPr>
                <w:rFonts w:ascii="仿宋" w:eastAsia="仿宋" w:hAnsi="仿宋"/>
                <w:szCs w:val="21"/>
              </w:rPr>
              <w:t>3</w:t>
            </w:r>
            <w:r w:rsidRPr="0095061B">
              <w:rPr>
                <w:rFonts w:ascii="仿宋" w:eastAsia="仿宋" w:hAnsi="仿宋" w:hint="eastAsia"/>
                <w:szCs w:val="21"/>
              </w:rPr>
              <w:t>.中标供应商在合同规定的期限内对所提供的标的物实行现场维护，随时处理存在的故障，如现场不能维修解决的故障问题，须提供故障不能排除时的解决方案。</w:t>
            </w:r>
          </w:p>
          <w:p w:rsidR="0041457C" w:rsidRPr="00303864" w:rsidRDefault="0041457C" w:rsidP="00303864">
            <w:pPr>
              <w:widowControl/>
              <w:shd w:val="clear" w:color="auto" w:fill="FFFFFF"/>
              <w:spacing w:line="460" w:lineRule="exact"/>
              <w:ind w:firstLine="480"/>
              <w:rPr>
                <w:rFonts w:ascii="仿宋" w:eastAsia="仿宋" w:hAnsi="仿宋"/>
                <w:szCs w:val="21"/>
              </w:rPr>
            </w:pPr>
            <w:r w:rsidRPr="0095061B">
              <w:rPr>
                <w:rFonts w:ascii="仿宋" w:eastAsia="仿宋" w:hAnsi="仿宋"/>
                <w:szCs w:val="21"/>
              </w:rPr>
              <w:t>4</w:t>
            </w:r>
            <w:r w:rsidRPr="0095061B">
              <w:rPr>
                <w:rFonts w:ascii="仿宋" w:eastAsia="仿宋" w:hAnsi="仿宋" w:hint="eastAsia"/>
                <w:szCs w:val="21"/>
              </w:rPr>
              <w:t>.中标供应商接到使用方通知后1小时内响应，2小时内上门服</w:t>
            </w:r>
            <w:r w:rsidRPr="0095061B">
              <w:rPr>
                <w:rFonts w:ascii="仿宋" w:eastAsia="仿宋" w:hAnsi="仿宋" w:hint="eastAsia"/>
                <w:szCs w:val="21"/>
              </w:rPr>
              <w:lastRenderedPageBreak/>
              <w:t>务，24小时内解决好问题。</w:t>
            </w:r>
          </w:p>
        </w:tc>
      </w:tr>
      <w:tr w:rsidR="0095061B" w:rsidRPr="00367E11" w:rsidTr="00367E11">
        <w:trPr>
          <w:trHeight w:val="2067"/>
        </w:trPr>
        <w:tc>
          <w:tcPr>
            <w:tcW w:w="1906" w:type="dxa"/>
          </w:tcPr>
          <w:p w:rsidR="0095061B" w:rsidRPr="00367E11" w:rsidRDefault="0095061B" w:rsidP="00367E11">
            <w:pPr>
              <w:jc w:val="center"/>
              <w:rPr>
                <w:rFonts w:ascii="宋体" w:hAnsi="宋体" w:cs="宋体"/>
                <w:b/>
                <w:bCs/>
                <w:sz w:val="28"/>
                <w:szCs w:val="28"/>
              </w:rPr>
            </w:pPr>
            <w:r>
              <w:rPr>
                <w:rFonts w:ascii="宋体" w:hAnsi="宋体" w:cs="宋体" w:hint="eastAsia"/>
                <w:b/>
                <w:bCs/>
                <w:sz w:val="28"/>
                <w:szCs w:val="28"/>
              </w:rPr>
              <w:lastRenderedPageBreak/>
              <w:t>履约保证金要求</w:t>
            </w:r>
          </w:p>
        </w:tc>
        <w:tc>
          <w:tcPr>
            <w:tcW w:w="6616" w:type="dxa"/>
          </w:tcPr>
          <w:p w:rsidR="0095061B" w:rsidRPr="0095061B" w:rsidRDefault="0095061B" w:rsidP="00093F0F">
            <w:pPr>
              <w:pStyle w:val="2"/>
              <w:rPr>
                <w:rFonts w:ascii="仿宋" w:eastAsia="仿宋" w:hAnsi="仿宋"/>
                <w:b w:val="0"/>
                <w:sz w:val="21"/>
                <w:szCs w:val="21"/>
              </w:rPr>
            </w:pPr>
            <w:r w:rsidRPr="0095061B">
              <w:rPr>
                <w:rFonts w:ascii="仿宋" w:eastAsia="仿宋" w:hAnsi="仿宋" w:hint="eastAsia"/>
                <w:b w:val="0"/>
                <w:sz w:val="21"/>
                <w:szCs w:val="21"/>
              </w:rPr>
              <w:t>无</w:t>
            </w:r>
          </w:p>
        </w:tc>
      </w:tr>
      <w:tr w:rsidR="0095061B" w:rsidRPr="00367E11" w:rsidTr="00367E11">
        <w:trPr>
          <w:trHeight w:val="2067"/>
        </w:trPr>
        <w:tc>
          <w:tcPr>
            <w:tcW w:w="1906" w:type="dxa"/>
          </w:tcPr>
          <w:p w:rsidR="0095061B" w:rsidRPr="00367E11" w:rsidRDefault="0095061B" w:rsidP="00367E11">
            <w:pPr>
              <w:jc w:val="center"/>
              <w:rPr>
                <w:rFonts w:ascii="宋体" w:hAnsi="宋体" w:cs="宋体"/>
                <w:b/>
                <w:bCs/>
                <w:sz w:val="28"/>
                <w:szCs w:val="28"/>
              </w:rPr>
            </w:pPr>
            <w:r>
              <w:rPr>
                <w:rFonts w:ascii="宋体" w:hAnsi="宋体" w:cs="宋体" w:hint="eastAsia"/>
                <w:b/>
                <w:bCs/>
                <w:sz w:val="28"/>
                <w:szCs w:val="28"/>
              </w:rPr>
              <w:t>采购实质性要求</w:t>
            </w:r>
          </w:p>
        </w:tc>
        <w:tc>
          <w:tcPr>
            <w:tcW w:w="6616" w:type="dxa"/>
          </w:tcPr>
          <w:p w:rsidR="0095061B" w:rsidRPr="006F37D3" w:rsidRDefault="0095061B" w:rsidP="0095061B">
            <w:pPr>
              <w:rPr>
                <w:rFonts w:ascii="仿宋" w:eastAsia="仿宋" w:hAnsi="仿宋"/>
                <w:szCs w:val="21"/>
              </w:rPr>
            </w:pPr>
            <w:r w:rsidRPr="006F37D3">
              <w:rPr>
                <w:rFonts w:ascii="仿宋" w:eastAsia="仿宋" w:hAnsi="仿宋" w:hint="eastAsia"/>
                <w:szCs w:val="21"/>
              </w:rPr>
              <w:t>额定载重：不低于200kg</w:t>
            </w:r>
          </w:p>
          <w:p w:rsidR="0095061B" w:rsidRPr="006F37D3" w:rsidRDefault="0095061B" w:rsidP="0095061B">
            <w:pPr>
              <w:rPr>
                <w:rFonts w:ascii="仿宋" w:eastAsia="仿宋" w:hAnsi="仿宋"/>
                <w:szCs w:val="21"/>
              </w:rPr>
            </w:pPr>
            <w:r w:rsidRPr="006F37D3">
              <w:rPr>
                <w:rFonts w:ascii="仿宋" w:eastAsia="仿宋" w:hAnsi="仿宋" w:hint="eastAsia"/>
                <w:szCs w:val="21"/>
              </w:rPr>
              <w:t>额定速度：不高于0.4m/s</w:t>
            </w:r>
          </w:p>
          <w:p w:rsidR="0095061B" w:rsidRPr="006F37D3" w:rsidRDefault="0095061B" w:rsidP="0095061B">
            <w:pPr>
              <w:rPr>
                <w:rFonts w:ascii="仿宋" w:eastAsia="仿宋" w:hAnsi="仿宋"/>
                <w:szCs w:val="21"/>
              </w:rPr>
            </w:pPr>
            <w:r w:rsidRPr="006F37D3">
              <w:rPr>
                <w:rFonts w:ascii="仿宋" w:eastAsia="仿宋" w:hAnsi="仿宋" w:hint="eastAsia"/>
                <w:szCs w:val="21"/>
              </w:rPr>
              <w:t>服务楼层：1F/2F</w:t>
            </w:r>
          </w:p>
          <w:p w:rsidR="0095061B" w:rsidRPr="006F37D3" w:rsidRDefault="0095061B" w:rsidP="0095061B">
            <w:pPr>
              <w:rPr>
                <w:rFonts w:ascii="仿宋" w:eastAsia="仿宋" w:hAnsi="仿宋"/>
                <w:szCs w:val="21"/>
              </w:rPr>
            </w:pPr>
            <w:r w:rsidRPr="006F37D3">
              <w:rPr>
                <w:rFonts w:ascii="仿宋" w:eastAsia="仿宋" w:hAnsi="仿宋" w:hint="eastAsia"/>
                <w:szCs w:val="21"/>
              </w:rPr>
              <w:t>提升高度：4500mm</w:t>
            </w:r>
          </w:p>
          <w:p w:rsidR="0095061B" w:rsidRPr="006F37D3" w:rsidRDefault="0095061B" w:rsidP="0095061B">
            <w:pPr>
              <w:rPr>
                <w:rFonts w:ascii="仿宋" w:eastAsia="仿宋" w:hAnsi="仿宋"/>
                <w:szCs w:val="21"/>
              </w:rPr>
            </w:pPr>
            <w:r w:rsidRPr="006F37D3">
              <w:rPr>
                <w:rFonts w:ascii="仿宋" w:eastAsia="仿宋" w:hAnsi="仿宋" w:hint="eastAsia"/>
                <w:szCs w:val="21"/>
              </w:rPr>
              <w:t>轿厢尺寸：500mm*500mm*1200mm</w:t>
            </w:r>
          </w:p>
          <w:p w:rsidR="0095061B" w:rsidRPr="006F37D3" w:rsidRDefault="0095061B" w:rsidP="0095061B">
            <w:pPr>
              <w:rPr>
                <w:rFonts w:ascii="仿宋" w:eastAsia="仿宋" w:hAnsi="仿宋"/>
                <w:szCs w:val="21"/>
              </w:rPr>
            </w:pPr>
            <w:r w:rsidRPr="006F37D3">
              <w:rPr>
                <w:rFonts w:ascii="仿宋" w:eastAsia="仿宋" w:hAnsi="仿宋" w:hint="eastAsia"/>
                <w:szCs w:val="21"/>
              </w:rPr>
              <w:t>开门尺寸：500mm*1200mm</w:t>
            </w:r>
          </w:p>
          <w:p w:rsidR="0095061B" w:rsidRPr="006F37D3" w:rsidRDefault="0095061B" w:rsidP="0095061B">
            <w:pPr>
              <w:rPr>
                <w:rFonts w:ascii="仿宋" w:eastAsia="仿宋" w:hAnsi="仿宋"/>
                <w:szCs w:val="21"/>
              </w:rPr>
            </w:pPr>
            <w:r w:rsidRPr="006F37D3">
              <w:rPr>
                <w:rFonts w:ascii="仿宋" w:eastAsia="仿宋" w:hAnsi="仿宋" w:hint="eastAsia"/>
                <w:szCs w:val="21"/>
              </w:rPr>
              <w:t>开门方式：上下直分</w:t>
            </w:r>
          </w:p>
          <w:p w:rsidR="0095061B" w:rsidRPr="006F37D3" w:rsidRDefault="0095061B" w:rsidP="0095061B">
            <w:pPr>
              <w:rPr>
                <w:rFonts w:ascii="仿宋" w:eastAsia="仿宋" w:hAnsi="仿宋"/>
                <w:szCs w:val="21"/>
              </w:rPr>
            </w:pPr>
            <w:r w:rsidRPr="006F37D3">
              <w:rPr>
                <w:rFonts w:ascii="仿宋" w:eastAsia="仿宋" w:hAnsi="仿宋" w:hint="eastAsia"/>
                <w:szCs w:val="21"/>
              </w:rPr>
              <w:t>电梯功率：不大于1.5kw</w:t>
            </w:r>
          </w:p>
          <w:p w:rsidR="0095061B" w:rsidRPr="006F37D3" w:rsidRDefault="0095061B" w:rsidP="0095061B">
            <w:pPr>
              <w:rPr>
                <w:rFonts w:ascii="仿宋" w:eastAsia="仿宋" w:hAnsi="仿宋"/>
                <w:szCs w:val="21"/>
              </w:rPr>
            </w:pPr>
            <w:r w:rsidRPr="006F37D3">
              <w:rPr>
                <w:rFonts w:ascii="仿宋" w:eastAsia="仿宋" w:hAnsi="仿宋"/>
                <w:szCs w:val="21"/>
              </w:rPr>
              <w:t>控制及驱动</w:t>
            </w:r>
          </w:p>
          <w:p w:rsidR="0095061B" w:rsidRPr="006F37D3" w:rsidRDefault="0095061B" w:rsidP="0095061B">
            <w:pPr>
              <w:rPr>
                <w:rFonts w:ascii="仿宋" w:eastAsia="仿宋" w:hAnsi="仿宋"/>
                <w:szCs w:val="21"/>
              </w:rPr>
            </w:pPr>
            <w:r w:rsidRPr="006F37D3">
              <w:rPr>
                <w:rFonts w:ascii="仿宋" w:eastAsia="仿宋" w:hAnsi="仿宋" w:hint="eastAsia"/>
                <w:szCs w:val="21"/>
              </w:rPr>
              <w:t>控制方式：厅外按钮</w:t>
            </w:r>
          </w:p>
          <w:p w:rsidR="0095061B" w:rsidRPr="006F37D3" w:rsidRDefault="0095061B" w:rsidP="0095061B">
            <w:pPr>
              <w:rPr>
                <w:rFonts w:ascii="仿宋" w:eastAsia="仿宋" w:hAnsi="仿宋"/>
                <w:szCs w:val="21"/>
              </w:rPr>
            </w:pPr>
            <w:r w:rsidRPr="006F37D3">
              <w:rPr>
                <w:rFonts w:ascii="仿宋" w:eastAsia="仿宋" w:hAnsi="仿宋" w:hint="eastAsia"/>
                <w:szCs w:val="21"/>
              </w:rPr>
              <w:t>驱动方式：交流单速</w:t>
            </w:r>
          </w:p>
          <w:p w:rsidR="0095061B" w:rsidRPr="006F37D3" w:rsidRDefault="0095061B" w:rsidP="0095061B">
            <w:pPr>
              <w:rPr>
                <w:rFonts w:ascii="仿宋" w:eastAsia="仿宋" w:hAnsi="仿宋"/>
                <w:szCs w:val="21"/>
              </w:rPr>
            </w:pPr>
            <w:r w:rsidRPr="006F37D3">
              <w:rPr>
                <w:rFonts w:ascii="仿宋" w:eastAsia="仿宋" w:hAnsi="仿宋" w:hint="eastAsia"/>
                <w:szCs w:val="21"/>
              </w:rPr>
              <w:t>轿厢设计</w:t>
            </w:r>
          </w:p>
          <w:p w:rsidR="0095061B" w:rsidRPr="006F37D3" w:rsidRDefault="0095061B" w:rsidP="0095061B">
            <w:pPr>
              <w:rPr>
                <w:rFonts w:ascii="仿宋" w:eastAsia="仿宋" w:hAnsi="仿宋"/>
                <w:szCs w:val="21"/>
              </w:rPr>
            </w:pPr>
            <w:r w:rsidRPr="006F37D3">
              <w:rPr>
                <w:rFonts w:ascii="仿宋" w:eastAsia="仿宋" w:hAnsi="仿宋" w:hint="eastAsia"/>
                <w:szCs w:val="21"/>
              </w:rPr>
              <w:t>脚顶装饰：发纹不锈钢（实厚≧0.9mm）</w:t>
            </w:r>
          </w:p>
          <w:p w:rsidR="0095061B" w:rsidRPr="006F37D3" w:rsidRDefault="0095061B" w:rsidP="0095061B">
            <w:pPr>
              <w:rPr>
                <w:rFonts w:ascii="仿宋" w:eastAsia="仿宋" w:hAnsi="仿宋"/>
                <w:szCs w:val="21"/>
              </w:rPr>
            </w:pPr>
            <w:r w:rsidRPr="006F37D3">
              <w:rPr>
                <w:rFonts w:ascii="仿宋" w:eastAsia="仿宋" w:hAnsi="仿宋" w:hint="eastAsia"/>
                <w:szCs w:val="21"/>
              </w:rPr>
              <w:t>轿厢内饰：发纹不锈钢（实厚≧0.9mm）</w:t>
            </w:r>
          </w:p>
          <w:p w:rsidR="0095061B" w:rsidRPr="006F37D3" w:rsidRDefault="0095061B" w:rsidP="0095061B">
            <w:pPr>
              <w:rPr>
                <w:rFonts w:ascii="仿宋" w:eastAsia="仿宋" w:hAnsi="仿宋"/>
                <w:szCs w:val="21"/>
              </w:rPr>
            </w:pPr>
            <w:r w:rsidRPr="006F37D3">
              <w:rPr>
                <w:rFonts w:ascii="仿宋" w:eastAsia="仿宋" w:hAnsi="仿宋"/>
                <w:szCs w:val="21"/>
              </w:rPr>
              <w:t>轿门：</w:t>
            </w:r>
            <w:r w:rsidRPr="006F37D3">
              <w:rPr>
                <w:rFonts w:ascii="仿宋" w:eastAsia="仿宋" w:hAnsi="仿宋" w:hint="eastAsia"/>
                <w:szCs w:val="21"/>
              </w:rPr>
              <w:t>发纹不锈钢（实厚≧0.9mm）</w:t>
            </w:r>
          </w:p>
          <w:p w:rsidR="0095061B" w:rsidRPr="006F37D3" w:rsidRDefault="0095061B" w:rsidP="0095061B">
            <w:pPr>
              <w:rPr>
                <w:rFonts w:ascii="仿宋" w:eastAsia="仿宋" w:hAnsi="仿宋"/>
                <w:szCs w:val="21"/>
              </w:rPr>
            </w:pPr>
            <w:r w:rsidRPr="006F37D3">
              <w:rPr>
                <w:rFonts w:ascii="仿宋" w:eastAsia="仿宋" w:hAnsi="仿宋"/>
                <w:szCs w:val="21"/>
              </w:rPr>
              <w:t>轿厢地面：</w:t>
            </w:r>
            <w:r w:rsidRPr="006F37D3">
              <w:rPr>
                <w:rFonts w:ascii="仿宋" w:eastAsia="仿宋" w:hAnsi="仿宋" w:hint="eastAsia"/>
                <w:szCs w:val="21"/>
              </w:rPr>
              <w:t>发纹不锈钢（实厚≧0.9mm）</w:t>
            </w:r>
          </w:p>
          <w:p w:rsidR="0095061B" w:rsidRPr="006F37D3" w:rsidRDefault="0095061B" w:rsidP="0095061B">
            <w:pPr>
              <w:rPr>
                <w:rFonts w:ascii="仿宋" w:eastAsia="仿宋" w:hAnsi="仿宋"/>
                <w:szCs w:val="21"/>
              </w:rPr>
            </w:pPr>
            <w:r w:rsidRPr="006F37D3">
              <w:rPr>
                <w:rFonts w:ascii="仿宋" w:eastAsia="仿宋" w:hAnsi="仿宋"/>
                <w:szCs w:val="21"/>
              </w:rPr>
              <w:t>操作面板：</w:t>
            </w:r>
            <w:r w:rsidRPr="006F37D3">
              <w:rPr>
                <w:rFonts w:ascii="仿宋" w:eastAsia="仿宋" w:hAnsi="仿宋" w:hint="eastAsia"/>
                <w:szCs w:val="21"/>
              </w:rPr>
              <w:t>发纹不锈钢配数字面板</w:t>
            </w:r>
          </w:p>
          <w:p w:rsidR="0095061B" w:rsidRDefault="0095061B" w:rsidP="0095061B">
            <w:pPr>
              <w:rPr>
                <w:rFonts w:ascii="仿宋" w:eastAsia="仿宋" w:hAnsi="仿宋"/>
                <w:szCs w:val="21"/>
              </w:rPr>
            </w:pPr>
            <w:r w:rsidRPr="006F37D3">
              <w:rPr>
                <w:rFonts w:ascii="仿宋" w:eastAsia="仿宋" w:hAnsi="仿宋" w:hint="eastAsia"/>
                <w:szCs w:val="21"/>
              </w:rPr>
              <w:t>厅门：发纹不锈钢（实厚≧</w:t>
            </w:r>
            <w:r w:rsidRPr="006F37D3">
              <w:rPr>
                <w:rFonts w:ascii="仿宋" w:eastAsia="仿宋" w:hAnsi="仿宋"/>
                <w:szCs w:val="21"/>
              </w:rPr>
              <w:t>0.9mm</w:t>
            </w:r>
            <w:r w:rsidRPr="006F37D3">
              <w:rPr>
                <w:rFonts w:ascii="仿宋" w:eastAsia="仿宋" w:hAnsi="仿宋" w:hint="eastAsia"/>
                <w:szCs w:val="21"/>
              </w:rPr>
              <w:t>）</w:t>
            </w:r>
          </w:p>
          <w:p w:rsidR="0095061B" w:rsidRPr="006F37D3" w:rsidRDefault="0095061B" w:rsidP="0095061B">
            <w:pPr>
              <w:rPr>
                <w:rFonts w:ascii="仿宋" w:eastAsia="仿宋" w:hAnsi="仿宋"/>
                <w:szCs w:val="21"/>
              </w:rPr>
            </w:pPr>
          </w:p>
          <w:p w:rsidR="0095061B" w:rsidRPr="00303864" w:rsidRDefault="0095061B" w:rsidP="00303864">
            <w:pPr>
              <w:spacing w:line="460" w:lineRule="exact"/>
              <w:jc w:val="left"/>
              <w:rPr>
                <w:rFonts w:ascii="仿宋" w:eastAsia="仿宋" w:hAnsi="仿宋"/>
                <w:iCs/>
                <w:szCs w:val="21"/>
              </w:rPr>
            </w:pPr>
            <w:r w:rsidRPr="0095061B">
              <w:rPr>
                <w:rFonts w:ascii="仿宋" w:eastAsia="仿宋" w:hAnsi="仿宋" w:hint="eastAsia"/>
                <w:iCs/>
                <w:szCs w:val="21"/>
              </w:rPr>
              <w:t>中标供应商提供的货物必须达到或优于招标文件“采购清单”技术需求中各项指标参数。对于产品的任何技术及质量不合格，中标供应商承担检测费用，采购人有权拒收、</w:t>
            </w:r>
            <w:r w:rsidR="00CB3A86">
              <w:rPr>
                <w:rFonts w:ascii="仿宋" w:eastAsia="仿宋" w:hAnsi="仿宋" w:hint="eastAsia"/>
                <w:iCs/>
                <w:szCs w:val="21"/>
              </w:rPr>
              <w:t>退货</w:t>
            </w:r>
            <w:r w:rsidRPr="0095061B">
              <w:rPr>
                <w:rFonts w:ascii="仿宋" w:eastAsia="仿宋" w:hAnsi="仿宋" w:hint="eastAsia"/>
                <w:iCs/>
                <w:szCs w:val="21"/>
              </w:rPr>
              <w:t>直至解除本合同，同时采购人有权保留使用该产品直至供应商提供合格产品替换，并要求中标供应商支付因此造成的所有损失。破拆部件由中标供应商负责补齐且采购人不支付任何补偿费用。</w:t>
            </w:r>
          </w:p>
        </w:tc>
      </w:tr>
    </w:tbl>
    <w:p w:rsidR="00367E11" w:rsidRDefault="00367E11">
      <w:pPr>
        <w:pStyle w:val="20"/>
      </w:pPr>
    </w:p>
    <w:sectPr w:rsidR="00367E11" w:rsidSect="0023718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39F" w:rsidRDefault="00D0139F" w:rsidP="00EE2CB4">
      <w:r>
        <w:separator/>
      </w:r>
    </w:p>
  </w:endnote>
  <w:endnote w:type="continuationSeparator" w:id="1">
    <w:p w:rsidR="00D0139F" w:rsidRDefault="00D0139F" w:rsidP="00EE2C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39F" w:rsidRDefault="00D0139F" w:rsidP="00EE2CB4">
      <w:r>
        <w:separator/>
      </w:r>
    </w:p>
  </w:footnote>
  <w:footnote w:type="continuationSeparator" w:id="1">
    <w:p w:rsidR="00D0139F" w:rsidRDefault="00D0139F" w:rsidP="00EE2C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mMzOGQyMDlhNDQ4N2E0ZDFlMjk5NGNjZDkwNmIwNTMifQ=="/>
  </w:docVars>
  <w:rsids>
    <w:rsidRoot w:val="00EE2CB4"/>
    <w:rsid w:val="00001FD9"/>
    <w:rsid w:val="00093F0F"/>
    <w:rsid w:val="00237182"/>
    <w:rsid w:val="002F5EEB"/>
    <w:rsid w:val="00303864"/>
    <w:rsid w:val="00367E11"/>
    <w:rsid w:val="003E55FF"/>
    <w:rsid w:val="0041302A"/>
    <w:rsid w:val="0041457C"/>
    <w:rsid w:val="004424BC"/>
    <w:rsid w:val="004503AE"/>
    <w:rsid w:val="00476472"/>
    <w:rsid w:val="004F0547"/>
    <w:rsid w:val="0050202A"/>
    <w:rsid w:val="005D5F34"/>
    <w:rsid w:val="006B4CEE"/>
    <w:rsid w:val="006C0C6D"/>
    <w:rsid w:val="006E0BC1"/>
    <w:rsid w:val="007870DB"/>
    <w:rsid w:val="007D0E27"/>
    <w:rsid w:val="0095061B"/>
    <w:rsid w:val="00A13D8B"/>
    <w:rsid w:val="00AD1EC9"/>
    <w:rsid w:val="00B13AA7"/>
    <w:rsid w:val="00B64BDD"/>
    <w:rsid w:val="00BC1F97"/>
    <w:rsid w:val="00C65670"/>
    <w:rsid w:val="00CB3A86"/>
    <w:rsid w:val="00D0139F"/>
    <w:rsid w:val="00D62F8E"/>
    <w:rsid w:val="00E147B2"/>
    <w:rsid w:val="00EA1265"/>
    <w:rsid w:val="00EA5F0C"/>
    <w:rsid w:val="00EE2CB4"/>
    <w:rsid w:val="13A71019"/>
    <w:rsid w:val="157925D8"/>
    <w:rsid w:val="1B962045"/>
    <w:rsid w:val="1DC320CD"/>
    <w:rsid w:val="23E0369A"/>
    <w:rsid w:val="31470839"/>
    <w:rsid w:val="39B213E6"/>
    <w:rsid w:val="494707C7"/>
    <w:rsid w:val="4D9F0FC2"/>
    <w:rsid w:val="5A6574B1"/>
    <w:rsid w:val="5B3C0260"/>
    <w:rsid w:val="6D3F25A8"/>
    <w:rsid w:val="707B24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qFormat="1"/>
    <w:lsdException w:name="caption" w:semiHidden="1" w:unhideWhenUsed="1" w:qFormat="1"/>
    <w:lsdException w:name="envelope return" w:uiPriority="99" w:qFormat="1"/>
    <w:lsdException w:name="annotation reference" w:semiHidden="1" w:uiPriority="99" w:qFormat="1"/>
    <w:lsdException w:name="Title" w:qFormat="1"/>
    <w:lsdException w:name="Default Paragraph Font" w:semiHidden="1"/>
    <w:lsdException w:name="Body Text" w:uiPriority="99" w:qFormat="1"/>
    <w:lsdException w:name="Body Text Indent" w:semiHidden="1" w:uiPriority="99"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7182"/>
    <w:pPr>
      <w:widowControl w:val="0"/>
      <w:jc w:val="both"/>
    </w:pPr>
    <w:rPr>
      <w:kern w:val="2"/>
      <w:sz w:val="21"/>
      <w:szCs w:val="24"/>
    </w:rPr>
  </w:style>
  <w:style w:type="paragraph" w:styleId="2">
    <w:name w:val="heading 2"/>
    <w:basedOn w:val="a"/>
    <w:next w:val="a0"/>
    <w:link w:val="2Char"/>
    <w:qFormat/>
    <w:rsid w:val="00093F0F"/>
    <w:pPr>
      <w:keepNext/>
      <w:keepLines/>
      <w:spacing w:before="260" w:after="260" w:line="416" w:lineRule="auto"/>
      <w:jc w:val="center"/>
      <w:outlineLvl w:val="1"/>
    </w:pPr>
    <w:rPr>
      <w:rFonts w:ascii="Arial" w:eastAsia="幼圆" w:hAnsi="Arial"/>
      <w:b/>
      <w:bCs/>
      <w:kern w:val="0"/>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
    <w:uiPriority w:val="99"/>
    <w:semiHidden/>
    <w:qFormat/>
    <w:rsid w:val="00237182"/>
    <w:pPr>
      <w:jc w:val="left"/>
    </w:pPr>
  </w:style>
  <w:style w:type="paragraph" w:styleId="a5">
    <w:name w:val="Body Text"/>
    <w:basedOn w:val="a"/>
    <w:next w:val="a"/>
    <w:uiPriority w:val="99"/>
    <w:qFormat/>
    <w:rsid w:val="00237182"/>
    <w:rPr>
      <w:kern w:val="0"/>
    </w:rPr>
  </w:style>
  <w:style w:type="paragraph" w:styleId="a6">
    <w:name w:val="Body Text Indent"/>
    <w:basedOn w:val="a"/>
    <w:next w:val="a7"/>
    <w:uiPriority w:val="99"/>
    <w:semiHidden/>
    <w:qFormat/>
    <w:rsid w:val="00237182"/>
    <w:pPr>
      <w:spacing w:after="120"/>
      <w:ind w:leftChars="200" w:left="420"/>
    </w:pPr>
  </w:style>
  <w:style w:type="paragraph" w:styleId="a7">
    <w:name w:val="envelope return"/>
    <w:basedOn w:val="a"/>
    <w:uiPriority w:val="99"/>
    <w:qFormat/>
    <w:rsid w:val="00237182"/>
    <w:pPr>
      <w:snapToGrid w:val="0"/>
    </w:pPr>
    <w:rPr>
      <w:rFonts w:ascii="Arial" w:hAnsi="Arial" w:cs="Arial"/>
    </w:rPr>
  </w:style>
  <w:style w:type="paragraph" w:styleId="a8">
    <w:name w:val="footer"/>
    <w:basedOn w:val="a"/>
    <w:rsid w:val="00237182"/>
    <w:pPr>
      <w:tabs>
        <w:tab w:val="center" w:pos="4153"/>
        <w:tab w:val="right" w:pos="8306"/>
      </w:tabs>
      <w:snapToGrid w:val="0"/>
      <w:jc w:val="left"/>
    </w:pPr>
    <w:rPr>
      <w:sz w:val="18"/>
    </w:rPr>
  </w:style>
  <w:style w:type="paragraph" w:styleId="a9">
    <w:name w:val="header"/>
    <w:basedOn w:val="a"/>
    <w:rsid w:val="0023718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Body Text First Indent 2"/>
    <w:basedOn w:val="a6"/>
    <w:uiPriority w:val="99"/>
    <w:qFormat/>
    <w:rsid w:val="00237182"/>
    <w:pPr>
      <w:ind w:firstLineChars="200" w:firstLine="420"/>
    </w:pPr>
  </w:style>
  <w:style w:type="table" w:styleId="aa">
    <w:name w:val="Table Grid"/>
    <w:basedOn w:val="a2"/>
    <w:rsid w:val="0023718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qFormat/>
    <w:rsid w:val="00237182"/>
    <w:rPr>
      <w:sz w:val="21"/>
      <w:szCs w:val="21"/>
    </w:rPr>
  </w:style>
  <w:style w:type="character" w:customStyle="1" w:styleId="2Char">
    <w:name w:val="标题 2 Char"/>
    <w:basedOn w:val="a1"/>
    <w:link w:val="2"/>
    <w:rsid w:val="00093F0F"/>
    <w:rPr>
      <w:rFonts w:ascii="Arial" w:eastAsia="幼圆" w:hAnsi="Arial"/>
      <w:b/>
      <w:bCs/>
      <w:sz w:val="44"/>
      <w:szCs w:val="44"/>
    </w:rPr>
  </w:style>
  <w:style w:type="paragraph" w:styleId="a0">
    <w:name w:val="Normal Indent"/>
    <w:basedOn w:val="a"/>
    <w:rsid w:val="00093F0F"/>
    <w:pPr>
      <w:ind w:firstLineChars="200" w:firstLine="420"/>
    </w:pPr>
  </w:style>
</w:styles>
</file>

<file path=word/webSettings.xml><?xml version="1.0" encoding="utf-8"?>
<w:webSettings xmlns:r="http://schemas.openxmlformats.org/officeDocument/2006/relationships" xmlns:w="http://schemas.openxmlformats.org/wordprocessingml/2006/main">
  <w:divs>
    <w:div w:id="91162097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279</Words>
  <Characters>1594</Characters>
  <Application>Microsoft Office Word</Application>
  <DocSecurity>0</DocSecurity>
  <Lines>13</Lines>
  <Paragraphs>3</Paragraphs>
  <ScaleCrop>false</ScaleCrop>
  <Company>微软中国</Company>
  <LinksUpToDate>false</LinksUpToDate>
  <CharactersWithSpaces>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CGZJ</cp:lastModifiedBy>
  <cp:revision>8</cp:revision>
  <cp:lastPrinted>2025-10-23T00:25:00Z</cp:lastPrinted>
  <dcterms:created xsi:type="dcterms:W3CDTF">2025-10-22T08:11:00Z</dcterms:created>
  <dcterms:modified xsi:type="dcterms:W3CDTF">2025-10-23T01:12:00Z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C7361C360959498B82B8A7194298E47D_13</vt:lpwstr>
  </property>
  <property fmtid="{D5CDD505-2E9C-101B-9397-08002B2CF9AE}" pid="4" name="KSOTemplateDocerSaveRecord">
    <vt:lpwstr>eyJoZGlkIjoiNmMzOGQyMDlhNDQ4N2E0ZDFlMjk5NGNjZDkwNmIwNTMiLCJ1c2VySWQiOiIyNDM2NTY4NDQifQ==</vt:lpwstr>
  </property>
</Properties>
</file>