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A6466">
      <w:pPr>
        <w:spacing w:line="460" w:lineRule="exact"/>
        <w:jc w:val="center"/>
        <w:rPr>
          <w:rFonts w:ascii="宋体" w:hAnsi="宋体"/>
          <w:sz w:val="32"/>
          <w:szCs w:val="32"/>
          <w:highlight w:val="none"/>
        </w:rPr>
      </w:pPr>
      <w:r>
        <w:rPr>
          <w:rFonts w:hint="eastAsia" w:ascii="宋体" w:hAnsi="宋体"/>
          <w:sz w:val="36"/>
          <w:szCs w:val="36"/>
          <w:highlight w:val="none"/>
        </w:rPr>
        <w:t>评标办法</w:t>
      </w:r>
    </w:p>
    <w:p w14:paraId="2EE5348E">
      <w:pPr>
        <w:spacing w:line="460" w:lineRule="exact"/>
        <w:ind w:firstLine="2812" w:firstLineChars="879"/>
        <w:rPr>
          <w:rFonts w:ascii="宋体" w:hAnsi="宋体"/>
          <w:sz w:val="32"/>
          <w:szCs w:val="32"/>
          <w:highlight w:val="none"/>
        </w:rPr>
      </w:pPr>
    </w:p>
    <w:p w14:paraId="4EA730E5">
      <w:pPr>
        <w:spacing w:line="360" w:lineRule="auto"/>
        <w:rPr>
          <w:rFonts w:hint="default"/>
          <w:sz w:val="24"/>
          <w:highlight w:val="none"/>
          <w:lang w:val="en-US" w:eastAsia="zh-CN"/>
        </w:rPr>
      </w:pPr>
    </w:p>
    <w:p w14:paraId="1D60B105">
      <w:pPr>
        <w:spacing w:line="360" w:lineRule="auto"/>
        <w:ind w:firstLine="482" w:firstLineChars="200"/>
        <w:rPr>
          <w:rFonts w:ascii="宋体" w:hAnsi="宋体" w:cs="宋体"/>
          <w:b/>
          <w:bCs/>
          <w:kern w:val="0"/>
          <w:sz w:val="24"/>
          <w:szCs w:val="24"/>
          <w:highlight w:val="none"/>
        </w:rPr>
      </w:pPr>
      <w:r>
        <w:rPr>
          <w:rFonts w:hint="eastAsia" w:ascii="宋体" w:hAnsi="宋体"/>
          <w:b/>
          <w:sz w:val="24"/>
          <w:szCs w:val="24"/>
          <w:highlight w:val="none"/>
        </w:rPr>
        <w:t>一、</w:t>
      </w:r>
      <w:r>
        <w:rPr>
          <w:rFonts w:hint="eastAsia" w:ascii="宋体" w:hAnsi="宋体" w:cs="宋体"/>
          <w:b/>
          <w:bCs/>
          <w:kern w:val="0"/>
          <w:sz w:val="24"/>
          <w:szCs w:val="24"/>
          <w:highlight w:val="none"/>
        </w:rPr>
        <w:t>本工程采用</w:t>
      </w:r>
      <w:r>
        <w:rPr>
          <w:rFonts w:hint="eastAsia" w:ascii="宋体" w:hAnsi="宋体" w:cs="宋体"/>
          <w:b/>
          <w:bCs/>
          <w:kern w:val="0"/>
          <w:sz w:val="24"/>
          <w:szCs w:val="24"/>
          <w:highlight w:val="none"/>
          <w:lang w:eastAsia="zh-CN"/>
        </w:rPr>
        <w:t>综合评估法</w:t>
      </w:r>
      <w:r>
        <w:rPr>
          <w:rFonts w:hint="eastAsia" w:ascii="宋体" w:hAnsi="宋体" w:cs="宋体"/>
          <w:b/>
          <w:bCs/>
          <w:kern w:val="0"/>
          <w:sz w:val="24"/>
          <w:szCs w:val="24"/>
          <w:highlight w:val="none"/>
        </w:rPr>
        <w:t>的评标办法，具体评标程序及评标细则如下：</w:t>
      </w:r>
    </w:p>
    <w:p w14:paraId="3DB9B1CA">
      <w:pPr>
        <w:widowControl/>
        <w:spacing w:line="360" w:lineRule="auto"/>
        <w:ind w:firstLine="600" w:firstLineChars="250"/>
        <w:rPr>
          <w:rFonts w:ascii="宋体" w:hAnsi="宋体"/>
          <w:sz w:val="24"/>
          <w:szCs w:val="24"/>
          <w:highlight w:val="none"/>
        </w:rPr>
      </w:pPr>
      <w:r>
        <w:rPr>
          <w:rFonts w:hint="eastAsia" w:ascii="宋体" w:hAnsi="宋体"/>
          <w:sz w:val="24"/>
          <w:szCs w:val="24"/>
          <w:highlight w:val="none"/>
        </w:rPr>
        <w:t xml:space="preserve">(一)开标、评标程序： </w:t>
      </w:r>
    </w:p>
    <w:p w14:paraId="2B9AF92A">
      <w:pPr>
        <w:keepNext w:val="0"/>
        <w:keepLines w:val="0"/>
        <w:pageBreakBefore w:val="0"/>
        <w:widowControl/>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资格符合性评审—</w:t>
      </w:r>
      <w:r>
        <w:rPr>
          <w:rFonts w:hint="eastAsia" w:ascii="宋体" w:hAnsi="宋体" w:cs="宋体"/>
          <w:color w:val="auto"/>
          <w:sz w:val="24"/>
          <w:szCs w:val="24"/>
          <w:highlight w:val="none"/>
          <w:lang w:eastAsia="zh-CN"/>
        </w:rPr>
        <w:t>商务技术标</w:t>
      </w:r>
      <w:r>
        <w:rPr>
          <w:rFonts w:hint="eastAsia" w:ascii="宋体" w:hAnsi="宋体" w:cs="宋体"/>
          <w:color w:val="auto"/>
          <w:sz w:val="24"/>
          <w:szCs w:val="24"/>
          <w:highlight w:val="none"/>
        </w:rPr>
        <w:t>的评审—</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的评审—确定中标候选人</w:t>
      </w:r>
    </w:p>
    <w:p w14:paraId="556B0440">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（二）评审标准</w:t>
      </w:r>
    </w:p>
    <w:p w14:paraId="5C04D345">
      <w:pPr>
        <w:autoSpaceDE w:val="0"/>
        <w:autoSpaceDN w:val="0"/>
        <w:adjustRightInd w:val="0"/>
        <w:snapToGrid w:val="0"/>
        <w:spacing w:line="360" w:lineRule="auto"/>
        <w:ind w:firstLine="600" w:firstLineChars="250"/>
        <w:rPr>
          <w:rFonts w:ascii="宋体" w:hAnsi="宋体"/>
          <w:sz w:val="24"/>
          <w:szCs w:val="24"/>
          <w:highlight w:val="none"/>
        </w:rPr>
      </w:pPr>
      <w:r>
        <w:rPr>
          <w:rFonts w:hint="eastAsia" w:ascii="宋体" w:hAnsi="宋体"/>
          <w:sz w:val="24"/>
          <w:szCs w:val="24"/>
          <w:highlight w:val="none"/>
        </w:rPr>
        <w:t>评标委员会按形式评审因素和评审标准、资格评审标准的合格条件，对各投标人递交的资格审查资料进行评审，并公布资格审查合格者名单。</w:t>
      </w:r>
    </w:p>
    <w:p w14:paraId="4F86CFBA">
      <w:pPr>
        <w:widowControl/>
        <w:spacing w:line="360" w:lineRule="auto"/>
        <w:ind w:firstLine="590" w:firstLineChars="245"/>
        <w:jc w:val="left"/>
        <w:rPr>
          <w:rFonts w:ascii="宋体" w:hAnsi="宋体"/>
          <w:b/>
          <w:bCs/>
          <w:kern w:val="0"/>
          <w:sz w:val="24"/>
          <w:szCs w:val="24"/>
          <w:highlight w:val="none"/>
        </w:rPr>
      </w:pPr>
      <w:r>
        <w:rPr>
          <w:rFonts w:hint="eastAsia" w:ascii="宋体" w:hAnsi="宋体"/>
          <w:b/>
          <w:bCs/>
          <w:kern w:val="0"/>
          <w:sz w:val="24"/>
          <w:szCs w:val="24"/>
          <w:highlight w:val="none"/>
        </w:rPr>
        <w:t>1、资格评审标准</w:t>
      </w:r>
    </w:p>
    <w:tbl>
      <w:tblPr>
        <w:tblStyle w:val="3"/>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3598"/>
        <w:gridCol w:w="2990"/>
      </w:tblGrid>
      <w:tr w14:paraId="1516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trPr>
        <w:tc>
          <w:tcPr>
            <w:tcW w:w="675" w:type="dxa"/>
            <w:noWrap/>
            <w:vAlign w:val="center"/>
          </w:tcPr>
          <w:p w14:paraId="2384F2ED">
            <w:pPr>
              <w:spacing w:line="320" w:lineRule="exact"/>
              <w:jc w:val="center"/>
              <w:rPr>
                <w:rFonts w:ascii="宋体" w:hAnsi="宋体"/>
                <w:sz w:val="24"/>
                <w:szCs w:val="24"/>
                <w:highlight w:val="none"/>
              </w:rPr>
            </w:pPr>
            <w:r>
              <w:rPr>
                <w:rFonts w:hint="eastAsia" w:ascii="宋体" w:hAnsi="宋体"/>
                <w:sz w:val="24"/>
                <w:szCs w:val="24"/>
                <w:highlight w:val="none"/>
              </w:rPr>
              <w:t>序号</w:t>
            </w:r>
          </w:p>
        </w:tc>
        <w:tc>
          <w:tcPr>
            <w:tcW w:w="1985" w:type="dxa"/>
            <w:noWrap/>
            <w:vAlign w:val="center"/>
          </w:tcPr>
          <w:p w14:paraId="5C81F927">
            <w:pPr>
              <w:spacing w:line="320" w:lineRule="exact"/>
              <w:jc w:val="center"/>
              <w:rPr>
                <w:rFonts w:ascii="宋体" w:hAnsi="宋体"/>
                <w:sz w:val="24"/>
                <w:szCs w:val="24"/>
                <w:highlight w:val="none"/>
              </w:rPr>
            </w:pPr>
            <w:r>
              <w:rPr>
                <w:rFonts w:hint="eastAsia" w:ascii="宋体" w:hAnsi="宋体"/>
                <w:sz w:val="24"/>
                <w:szCs w:val="24"/>
                <w:highlight w:val="none"/>
              </w:rPr>
              <w:t>项目内容</w:t>
            </w:r>
          </w:p>
        </w:tc>
        <w:tc>
          <w:tcPr>
            <w:tcW w:w="3598" w:type="dxa"/>
            <w:noWrap/>
            <w:vAlign w:val="center"/>
          </w:tcPr>
          <w:p w14:paraId="677A72F8">
            <w:pPr>
              <w:spacing w:line="320" w:lineRule="exact"/>
              <w:jc w:val="center"/>
              <w:rPr>
                <w:rFonts w:ascii="宋体" w:hAnsi="宋体"/>
                <w:sz w:val="24"/>
                <w:szCs w:val="24"/>
                <w:highlight w:val="none"/>
              </w:rPr>
            </w:pPr>
            <w:r>
              <w:rPr>
                <w:rFonts w:hint="eastAsia" w:ascii="宋体" w:hAnsi="宋体"/>
                <w:sz w:val="24"/>
                <w:szCs w:val="24"/>
                <w:highlight w:val="none"/>
              </w:rPr>
              <w:t>合格条件</w:t>
            </w:r>
          </w:p>
        </w:tc>
        <w:tc>
          <w:tcPr>
            <w:tcW w:w="2990" w:type="dxa"/>
            <w:noWrap/>
            <w:vAlign w:val="center"/>
          </w:tcPr>
          <w:p w14:paraId="146A2982">
            <w:pPr>
              <w:spacing w:line="320" w:lineRule="exact"/>
              <w:jc w:val="center"/>
              <w:rPr>
                <w:rFonts w:ascii="宋体" w:hAnsi="宋体"/>
                <w:sz w:val="24"/>
                <w:szCs w:val="24"/>
                <w:highlight w:val="none"/>
              </w:rPr>
            </w:pPr>
            <w:r>
              <w:rPr>
                <w:rFonts w:hint="eastAsia" w:ascii="宋体" w:hAnsi="宋体"/>
                <w:sz w:val="24"/>
                <w:szCs w:val="24"/>
                <w:highlight w:val="none"/>
              </w:rPr>
              <w:t>需提供的证明材料</w:t>
            </w:r>
          </w:p>
        </w:tc>
      </w:tr>
      <w:tr w14:paraId="31DA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75" w:type="dxa"/>
            <w:noWrap/>
            <w:vAlign w:val="center"/>
          </w:tcPr>
          <w:p w14:paraId="0F5FD97E">
            <w:pPr>
              <w:spacing w:line="320" w:lineRule="exact"/>
              <w:jc w:val="center"/>
              <w:rPr>
                <w:rFonts w:ascii="宋体" w:hAnsi="宋体"/>
                <w:sz w:val="24"/>
                <w:szCs w:val="24"/>
                <w:highlight w:val="none"/>
              </w:rPr>
            </w:pPr>
            <w:r>
              <w:rPr>
                <w:rFonts w:ascii="宋体" w:hAnsi="宋体"/>
                <w:sz w:val="24"/>
                <w:szCs w:val="24"/>
                <w:highlight w:val="none"/>
              </w:rPr>
              <w:t>1</w:t>
            </w:r>
          </w:p>
        </w:tc>
        <w:tc>
          <w:tcPr>
            <w:tcW w:w="1985" w:type="dxa"/>
            <w:noWrap/>
            <w:vAlign w:val="center"/>
          </w:tcPr>
          <w:p w14:paraId="3B34B48C">
            <w:pPr>
              <w:spacing w:line="320" w:lineRule="exact"/>
              <w:jc w:val="left"/>
              <w:rPr>
                <w:rFonts w:ascii="宋体" w:hAnsi="宋体"/>
                <w:sz w:val="24"/>
                <w:szCs w:val="24"/>
                <w:highlight w:val="none"/>
              </w:rPr>
            </w:pPr>
            <w:r>
              <w:rPr>
                <w:rFonts w:hint="eastAsia" w:ascii="宋体" w:hAnsi="宋体"/>
                <w:sz w:val="24"/>
                <w:szCs w:val="24"/>
                <w:highlight w:val="none"/>
              </w:rPr>
              <w:t>法定代表人身份证明书</w:t>
            </w:r>
          </w:p>
        </w:tc>
        <w:tc>
          <w:tcPr>
            <w:tcW w:w="3598" w:type="dxa"/>
            <w:noWrap/>
            <w:vAlign w:val="center"/>
          </w:tcPr>
          <w:p w14:paraId="79502E84">
            <w:pPr>
              <w:spacing w:line="320" w:lineRule="exact"/>
              <w:jc w:val="left"/>
              <w:rPr>
                <w:rFonts w:ascii="宋体" w:hAnsi="宋体"/>
                <w:sz w:val="24"/>
                <w:szCs w:val="24"/>
                <w:highlight w:val="none"/>
              </w:rPr>
            </w:pPr>
            <w:r>
              <w:rPr>
                <w:rFonts w:hint="eastAsia" w:ascii="宋体" w:hAnsi="宋体"/>
                <w:sz w:val="24"/>
                <w:szCs w:val="24"/>
                <w:highlight w:val="none"/>
              </w:rPr>
              <w:t>必须加盖单位公章。</w:t>
            </w:r>
          </w:p>
        </w:tc>
        <w:tc>
          <w:tcPr>
            <w:tcW w:w="2990" w:type="dxa"/>
            <w:noWrap/>
            <w:vAlign w:val="center"/>
          </w:tcPr>
          <w:p w14:paraId="423B4897">
            <w:pPr>
              <w:spacing w:line="320" w:lineRule="exact"/>
              <w:jc w:val="left"/>
              <w:rPr>
                <w:rFonts w:ascii="宋体" w:hAnsi="宋体"/>
                <w:sz w:val="24"/>
                <w:szCs w:val="24"/>
                <w:highlight w:val="none"/>
              </w:rPr>
            </w:pPr>
            <w:r>
              <w:rPr>
                <w:rFonts w:hint="eastAsia" w:ascii="宋体" w:hAnsi="宋体"/>
                <w:sz w:val="24"/>
                <w:szCs w:val="24"/>
                <w:highlight w:val="none"/>
              </w:rPr>
              <w:t>格式见第五章</w:t>
            </w:r>
          </w:p>
        </w:tc>
      </w:tr>
      <w:tr w14:paraId="6E49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75" w:type="dxa"/>
            <w:noWrap/>
            <w:vAlign w:val="center"/>
          </w:tcPr>
          <w:p w14:paraId="4708EF46">
            <w:pPr>
              <w:spacing w:line="320" w:lineRule="exact"/>
              <w:jc w:val="center"/>
              <w:rPr>
                <w:rFonts w:ascii="宋体" w:hAnsi="宋体"/>
                <w:sz w:val="24"/>
                <w:szCs w:val="24"/>
                <w:highlight w:val="none"/>
              </w:rPr>
            </w:pPr>
            <w:r>
              <w:rPr>
                <w:rFonts w:ascii="宋体" w:hAnsi="宋体"/>
                <w:sz w:val="24"/>
                <w:szCs w:val="24"/>
                <w:highlight w:val="none"/>
              </w:rPr>
              <w:t>2</w:t>
            </w:r>
          </w:p>
        </w:tc>
        <w:tc>
          <w:tcPr>
            <w:tcW w:w="1985" w:type="dxa"/>
            <w:noWrap/>
            <w:vAlign w:val="center"/>
          </w:tcPr>
          <w:p w14:paraId="3748013A">
            <w:pPr>
              <w:spacing w:line="320" w:lineRule="exact"/>
              <w:jc w:val="left"/>
              <w:rPr>
                <w:rFonts w:ascii="宋体" w:hAnsi="宋体"/>
                <w:sz w:val="24"/>
                <w:szCs w:val="24"/>
                <w:highlight w:val="none"/>
              </w:rPr>
            </w:pPr>
            <w:r>
              <w:rPr>
                <w:rFonts w:hint="eastAsia" w:ascii="宋体" w:hAnsi="宋体"/>
                <w:sz w:val="24"/>
                <w:szCs w:val="24"/>
                <w:highlight w:val="none"/>
              </w:rPr>
              <w:t>法人授权委托书</w:t>
            </w:r>
          </w:p>
          <w:p w14:paraId="2112D0DF">
            <w:pPr>
              <w:spacing w:line="320" w:lineRule="exact"/>
              <w:jc w:val="left"/>
              <w:rPr>
                <w:rFonts w:ascii="宋体" w:hAnsi="宋体"/>
                <w:sz w:val="24"/>
                <w:szCs w:val="24"/>
                <w:highlight w:val="none"/>
              </w:rPr>
            </w:pPr>
            <w:r>
              <w:rPr>
                <w:rFonts w:hint="eastAsia" w:ascii="宋体" w:hAnsi="宋体"/>
                <w:sz w:val="24"/>
                <w:szCs w:val="24"/>
                <w:highlight w:val="none"/>
              </w:rPr>
              <w:t>（如有授权）</w:t>
            </w:r>
          </w:p>
        </w:tc>
        <w:tc>
          <w:tcPr>
            <w:tcW w:w="3598" w:type="dxa"/>
            <w:noWrap/>
            <w:vAlign w:val="center"/>
          </w:tcPr>
          <w:p w14:paraId="41AF8395">
            <w:pPr>
              <w:spacing w:line="320" w:lineRule="exact"/>
              <w:jc w:val="left"/>
              <w:rPr>
                <w:rFonts w:ascii="宋体" w:hAnsi="宋体" w:cs="宋体"/>
                <w:kern w:val="0"/>
                <w:sz w:val="24"/>
                <w:szCs w:val="24"/>
                <w:highlight w:val="none"/>
              </w:rPr>
            </w:pPr>
            <w:r>
              <w:rPr>
                <w:rFonts w:hint="eastAsia" w:ascii="宋体" w:hAnsi="宋体" w:cs="宋体"/>
                <w:kern w:val="0"/>
                <w:sz w:val="24"/>
                <w:szCs w:val="24"/>
                <w:highlight w:val="none"/>
              </w:rPr>
              <w:t>①必须加盖单位法定代表人章（或签字）及单位公章；</w:t>
            </w:r>
          </w:p>
          <w:p w14:paraId="3E58CC58">
            <w:pPr>
              <w:spacing w:line="320" w:lineRule="exact"/>
              <w:jc w:val="left"/>
              <w:rPr>
                <w:rFonts w:ascii="宋体" w:hAnsi="宋体"/>
                <w:sz w:val="24"/>
                <w:szCs w:val="24"/>
                <w:highlight w:val="none"/>
              </w:rPr>
            </w:pPr>
            <w:r>
              <w:rPr>
                <w:rFonts w:hint="eastAsia" w:ascii="宋体" w:hAnsi="宋体" w:cs="宋体"/>
                <w:kern w:val="0"/>
                <w:sz w:val="24"/>
                <w:szCs w:val="24"/>
                <w:highlight w:val="none"/>
              </w:rPr>
              <w:t>②法人授权委托书必须有效</w:t>
            </w:r>
          </w:p>
        </w:tc>
        <w:tc>
          <w:tcPr>
            <w:tcW w:w="2990" w:type="dxa"/>
            <w:noWrap/>
            <w:vAlign w:val="center"/>
          </w:tcPr>
          <w:p w14:paraId="0A7A215E">
            <w:pPr>
              <w:spacing w:line="320" w:lineRule="exact"/>
              <w:jc w:val="left"/>
              <w:rPr>
                <w:rFonts w:ascii="宋体" w:hAnsi="宋体"/>
                <w:sz w:val="24"/>
                <w:szCs w:val="24"/>
                <w:highlight w:val="none"/>
              </w:rPr>
            </w:pPr>
            <w:r>
              <w:rPr>
                <w:rFonts w:hint="eastAsia" w:ascii="宋体" w:hAnsi="宋体"/>
                <w:sz w:val="24"/>
                <w:szCs w:val="24"/>
                <w:highlight w:val="none"/>
              </w:rPr>
              <w:t>格式见第五章</w:t>
            </w:r>
          </w:p>
        </w:tc>
      </w:tr>
      <w:tr w14:paraId="04C8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675" w:type="dxa"/>
            <w:noWrap/>
            <w:vAlign w:val="center"/>
          </w:tcPr>
          <w:p w14:paraId="2A4D22F9">
            <w:pPr>
              <w:spacing w:line="320" w:lineRule="exact"/>
              <w:jc w:val="center"/>
              <w:rPr>
                <w:rFonts w:ascii="宋体" w:hAnsi="宋体"/>
                <w:sz w:val="24"/>
                <w:szCs w:val="24"/>
                <w:highlight w:val="none"/>
              </w:rPr>
            </w:pPr>
            <w:r>
              <w:rPr>
                <w:rFonts w:ascii="宋体" w:hAnsi="宋体"/>
                <w:sz w:val="24"/>
                <w:szCs w:val="24"/>
                <w:highlight w:val="none"/>
              </w:rPr>
              <w:t>3</w:t>
            </w:r>
          </w:p>
        </w:tc>
        <w:tc>
          <w:tcPr>
            <w:tcW w:w="1985" w:type="dxa"/>
            <w:noWrap/>
            <w:vAlign w:val="center"/>
          </w:tcPr>
          <w:p w14:paraId="65484B59">
            <w:pPr>
              <w:spacing w:line="320" w:lineRule="exact"/>
              <w:jc w:val="left"/>
              <w:rPr>
                <w:rFonts w:ascii="宋体" w:hAnsi="宋体"/>
                <w:sz w:val="24"/>
                <w:szCs w:val="24"/>
                <w:highlight w:val="none"/>
              </w:rPr>
            </w:pPr>
            <w:r>
              <w:rPr>
                <w:rFonts w:hint="eastAsia" w:ascii="宋体" w:hAnsi="宋体"/>
                <w:sz w:val="24"/>
                <w:szCs w:val="24"/>
                <w:highlight w:val="none"/>
              </w:rPr>
              <w:t>企业法人营业执照</w:t>
            </w:r>
          </w:p>
        </w:tc>
        <w:tc>
          <w:tcPr>
            <w:tcW w:w="3598" w:type="dxa"/>
            <w:noWrap/>
            <w:vAlign w:val="center"/>
          </w:tcPr>
          <w:p w14:paraId="42BB4C80">
            <w:pPr>
              <w:spacing w:line="320" w:lineRule="exact"/>
              <w:jc w:val="left"/>
              <w:rPr>
                <w:rFonts w:ascii="宋体" w:hAnsi="宋体"/>
                <w:sz w:val="24"/>
                <w:szCs w:val="24"/>
                <w:highlight w:val="none"/>
              </w:rPr>
            </w:pPr>
            <w:r>
              <w:rPr>
                <w:rFonts w:hint="eastAsia" w:ascii="宋体" w:hAnsi="宋体"/>
                <w:sz w:val="24"/>
                <w:szCs w:val="24"/>
                <w:highlight w:val="none"/>
              </w:rPr>
              <w:t>工商行政管理部门颁发的法人营业执照</w:t>
            </w:r>
          </w:p>
        </w:tc>
        <w:tc>
          <w:tcPr>
            <w:tcW w:w="2990" w:type="dxa"/>
            <w:noWrap/>
            <w:vAlign w:val="center"/>
          </w:tcPr>
          <w:p w14:paraId="506BEC29">
            <w:pPr>
              <w:spacing w:line="320" w:lineRule="exact"/>
              <w:jc w:val="left"/>
              <w:rPr>
                <w:rFonts w:ascii="宋体" w:hAnsi="宋体"/>
                <w:sz w:val="24"/>
                <w:szCs w:val="24"/>
                <w:highlight w:val="none"/>
              </w:rPr>
            </w:pPr>
            <w:r>
              <w:rPr>
                <w:rFonts w:hint="eastAsia" w:ascii="宋体" w:hAnsi="宋体"/>
                <w:sz w:val="24"/>
                <w:szCs w:val="24"/>
                <w:highlight w:val="none"/>
              </w:rPr>
              <w:t>有效的企业营业执照</w:t>
            </w:r>
          </w:p>
        </w:tc>
      </w:tr>
      <w:tr w14:paraId="2DAD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675" w:type="dxa"/>
            <w:noWrap/>
            <w:vAlign w:val="center"/>
          </w:tcPr>
          <w:p w14:paraId="6729AE36">
            <w:pPr>
              <w:spacing w:line="320" w:lineRule="exact"/>
              <w:jc w:val="center"/>
              <w:rPr>
                <w:rFonts w:ascii="宋体" w:hAnsi="宋体"/>
                <w:sz w:val="24"/>
                <w:szCs w:val="24"/>
                <w:highlight w:val="none"/>
              </w:rPr>
            </w:pPr>
            <w:r>
              <w:rPr>
                <w:rFonts w:ascii="宋体" w:hAnsi="宋体"/>
                <w:sz w:val="24"/>
                <w:szCs w:val="24"/>
                <w:highlight w:val="none"/>
              </w:rPr>
              <w:t>4</w:t>
            </w:r>
          </w:p>
        </w:tc>
        <w:tc>
          <w:tcPr>
            <w:tcW w:w="1985" w:type="dxa"/>
            <w:noWrap/>
            <w:vAlign w:val="center"/>
          </w:tcPr>
          <w:p w14:paraId="57298B20">
            <w:pPr>
              <w:spacing w:line="320" w:lineRule="exact"/>
              <w:jc w:val="left"/>
              <w:rPr>
                <w:rFonts w:ascii="宋体" w:hAnsi="宋体"/>
                <w:sz w:val="24"/>
                <w:szCs w:val="24"/>
                <w:highlight w:val="none"/>
              </w:rPr>
            </w:pPr>
            <w:r>
              <w:rPr>
                <w:rFonts w:hint="eastAsia" w:ascii="宋体" w:hAnsi="宋体"/>
                <w:sz w:val="24"/>
                <w:szCs w:val="24"/>
                <w:highlight w:val="none"/>
              </w:rPr>
              <w:t>企业资质类别等级</w:t>
            </w:r>
          </w:p>
        </w:tc>
        <w:tc>
          <w:tcPr>
            <w:tcW w:w="3598" w:type="dxa"/>
            <w:noWrap/>
            <w:vAlign w:val="center"/>
          </w:tcPr>
          <w:p w14:paraId="4F456FD5">
            <w:pPr>
              <w:spacing w:line="320" w:lineRule="exact"/>
              <w:jc w:val="left"/>
              <w:rPr>
                <w:rFonts w:ascii="宋体" w:hAnsi="宋体"/>
                <w:sz w:val="24"/>
                <w:szCs w:val="24"/>
                <w:highlight w:val="none"/>
              </w:rPr>
            </w:pPr>
            <w:r>
              <w:rPr>
                <w:rFonts w:hint="eastAsia" w:ascii="宋体" w:hAnsi="宋体"/>
                <w:sz w:val="24"/>
                <w:szCs w:val="24"/>
                <w:highlight w:val="none"/>
              </w:rPr>
              <w:t>建设行政主管部门颁发的</w:t>
            </w:r>
            <w:r>
              <w:rPr>
                <w:rFonts w:hint="eastAsia" w:ascii="宋体" w:hAnsi="宋体"/>
                <w:sz w:val="24"/>
                <w:szCs w:val="24"/>
                <w:highlight w:val="none"/>
                <w:u w:val="none"/>
              </w:rPr>
              <w:t>建筑工程施工总承包叁级及以上资质</w:t>
            </w:r>
          </w:p>
        </w:tc>
        <w:tc>
          <w:tcPr>
            <w:tcW w:w="2990" w:type="dxa"/>
            <w:noWrap/>
            <w:vAlign w:val="center"/>
          </w:tcPr>
          <w:p w14:paraId="1405C8EA">
            <w:pPr>
              <w:spacing w:line="320" w:lineRule="exact"/>
              <w:jc w:val="left"/>
              <w:rPr>
                <w:rFonts w:ascii="宋体" w:hAnsi="宋体"/>
                <w:sz w:val="24"/>
                <w:szCs w:val="24"/>
                <w:highlight w:val="none"/>
              </w:rPr>
            </w:pPr>
            <w:r>
              <w:rPr>
                <w:rFonts w:hint="eastAsia" w:ascii="宋体" w:hAnsi="宋体"/>
                <w:sz w:val="24"/>
                <w:szCs w:val="24"/>
                <w:highlight w:val="none"/>
              </w:rPr>
              <w:t>有效的企业资质证书</w:t>
            </w:r>
          </w:p>
        </w:tc>
      </w:tr>
      <w:tr w14:paraId="58DF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675" w:type="dxa"/>
            <w:noWrap/>
            <w:vAlign w:val="center"/>
          </w:tcPr>
          <w:p w14:paraId="333EE12E">
            <w:pPr>
              <w:spacing w:line="320" w:lineRule="exact"/>
              <w:jc w:val="center"/>
              <w:rPr>
                <w:rFonts w:ascii="宋体" w:hAnsi="宋体"/>
                <w:sz w:val="24"/>
                <w:szCs w:val="24"/>
                <w:highlight w:val="none"/>
              </w:rPr>
            </w:pPr>
            <w:r>
              <w:rPr>
                <w:rFonts w:ascii="宋体" w:hAnsi="宋体"/>
                <w:sz w:val="24"/>
                <w:szCs w:val="24"/>
                <w:highlight w:val="none"/>
              </w:rPr>
              <w:t>5</w:t>
            </w:r>
          </w:p>
        </w:tc>
        <w:tc>
          <w:tcPr>
            <w:tcW w:w="1985" w:type="dxa"/>
            <w:noWrap/>
            <w:vAlign w:val="center"/>
          </w:tcPr>
          <w:p w14:paraId="42F09373">
            <w:pPr>
              <w:spacing w:line="320" w:lineRule="exact"/>
              <w:jc w:val="left"/>
              <w:rPr>
                <w:rFonts w:ascii="宋体" w:hAnsi="宋体"/>
                <w:sz w:val="24"/>
                <w:szCs w:val="24"/>
                <w:highlight w:val="none"/>
              </w:rPr>
            </w:pPr>
            <w:r>
              <w:rPr>
                <w:rFonts w:hint="eastAsia" w:ascii="宋体" w:hAnsi="宋体"/>
                <w:sz w:val="24"/>
                <w:szCs w:val="24"/>
                <w:highlight w:val="none"/>
              </w:rPr>
              <w:t>企业安全生产许可证</w:t>
            </w:r>
          </w:p>
        </w:tc>
        <w:tc>
          <w:tcPr>
            <w:tcW w:w="3598" w:type="dxa"/>
            <w:noWrap/>
            <w:vAlign w:val="center"/>
          </w:tcPr>
          <w:p w14:paraId="34E1C458">
            <w:pPr>
              <w:spacing w:line="320" w:lineRule="exact"/>
              <w:jc w:val="left"/>
              <w:rPr>
                <w:rFonts w:ascii="宋体" w:hAnsi="宋体"/>
                <w:sz w:val="24"/>
                <w:szCs w:val="24"/>
                <w:highlight w:val="none"/>
              </w:rPr>
            </w:pPr>
            <w:r>
              <w:rPr>
                <w:rFonts w:hint="eastAsia" w:ascii="宋体" w:hAnsi="宋体"/>
                <w:sz w:val="24"/>
                <w:szCs w:val="24"/>
                <w:highlight w:val="none"/>
              </w:rPr>
              <w:t>企业具备安全生产条件，并取得安全生产许可证</w:t>
            </w:r>
          </w:p>
        </w:tc>
        <w:tc>
          <w:tcPr>
            <w:tcW w:w="2990" w:type="dxa"/>
            <w:noWrap/>
            <w:vAlign w:val="center"/>
          </w:tcPr>
          <w:p w14:paraId="5CA70C47">
            <w:pPr>
              <w:spacing w:line="320" w:lineRule="exact"/>
              <w:jc w:val="left"/>
              <w:rPr>
                <w:rFonts w:ascii="宋体" w:hAnsi="宋体"/>
                <w:sz w:val="24"/>
                <w:szCs w:val="24"/>
                <w:highlight w:val="none"/>
              </w:rPr>
            </w:pPr>
            <w:r>
              <w:rPr>
                <w:rFonts w:hint="eastAsia" w:ascii="宋体" w:hAnsi="宋体"/>
                <w:sz w:val="24"/>
                <w:szCs w:val="24"/>
                <w:highlight w:val="none"/>
              </w:rPr>
              <w:t>有效的安全生产许可证</w:t>
            </w:r>
          </w:p>
        </w:tc>
      </w:tr>
      <w:tr w14:paraId="2834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675" w:type="dxa"/>
            <w:noWrap/>
            <w:vAlign w:val="center"/>
          </w:tcPr>
          <w:p w14:paraId="00938C75">
            <w:pPr>
              <w:spacing w:line="320" w:lineRule="exact"/>
              <w:jc w:val="center"/>
              <w:rPr>
                <w:rFonts w:ascii="宋体" w:hAnsi="宋体"/>
                <w:sz w:val="24"/>
                <w:szCs w:val="24"/>
                <w:highlight w:val="none"/>
              </w:rPr>
            </w:pPr>
            <w:r>
              <w:rPr>
                <w:rFonts w:ascii="宋体" w:hAnsi="宋体"/>
                <w:sz w:val="24"/>
                <w:szCs w:val="24"/>
                <w:highlight w:val="none"/>
              </w:rPr>
              <w:t>6</w:t>
            </w:r>
          </w:p>
        </w:tc>
        <w:tc>
          <w:tcPr>
            <w:tcW w:w="1985" w:type="dxa"/>
            <w:noWrap/>
            <w:vAlign w:val="center"/>
          </w:tcPr>
          <w:p w14:paraId="7D9F660B">
            <w:pPr>
              <w:spacing w:line="320" w:lineRule="exact"/>
              <w:jc w:val="left"/>
              <w:rPr>
                <w:rFonts w:ascii="宋体" w:hAnsi="宋体"/>
                <w:sz w:val="24"/>
                <w:szCs w:val="24"/>
                <w:highlight w:val="none"/>
              </w:rPr>
            </w:pPr>
            <w:r>
              <w:rPr>
                <w:rFonts w:hint="eastAsia" w:ascii="宋体" w:hAnsi="宋体"/>
                <w:sz w:val="24"/>
                <w:szCs w:val="24"/>
                <w:highlight w:val="none"/>
              </w:rPr>
              <w:t>拟派项目负责人资质等级</w:t>
            </w:r>
          </w:p>
        </w:tc>
        <w:tc>
          <w:tcPr>
            <w:tcW w:w="3598" w:type="dxa"/>
            <w:noWrap/>
            <w:vAlign w:val="center"/>
          </w:tcPr>
          <w:p w14:paraId="6AF68783">
            <w:pPr>
              <w:spacing w:line="32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建筑工程专业贰级及以上注册建造师</w:t>
            </w:r>
            <w:r>
              <w:rPr>
                <w:rFonts w:hint="eastAsia" w:ascii="宋体" w:hAnsi="宋体"/>
                <w:sz w:val="24"/>
                <w:szCs w:val="24"/>
                <w:highlight w:val="none"/>
                <w:lang w:eastAsia="zh-CN"/>
              </w:rPr>
              <w:t>，并同时具有安全生产考核合格证（</w:t>
            </w:r>
            <w:r>
              <w:rPr>
                <w:rFonts w:hint="eastAsia" w:ascii="宋体" w:hAnsi="宋体"/>
                <w:sz w:val="24"/>
                <w:szCs w:val="24"/>
                <w:highlight w:val="none"/>
                <w:lang w:val="en-US" w:eastAsia="zh-CN"/>
              </w:rPr>
              <w:t>B证）</w:t>
            </w:r>
            <w:r>
              <w:rPr>
                <w:rFonts w:hint="eastAsia" w:ascii="宋体" w:hAnsi="宋体"/>
                <w:sz w:val="24"/>
                <w:szCs w:val="24"/>
                <w:highlight w:val="none"/>
                <w:lang w:eastAsia="zh-CN"/>
              </w:rPr>
              <w:t>，均须注册在本投标人单位</w:t>
            </w:r>
          </w:p>
        </w:tc>
        <w:tc>
          <w:tcPr>
            <w:tcW w:w="2990" w:type="dxa"/>
            <w:noWrap/>
            <w:vAlign w:val="center"/>
          </w:tcPr>
          <w:p w14:paraId="61B1D2B8">
            <w:pPr>
              <w:autoSpaceDE w:val="0"/>
              <w:autoSpaceDN w:val="0"/>
              <w:adjustRightInd w:val="0"/>
              <w:snapToGrid w:val="0"/>
              <w:spacing w:line="320" w:lineRule="exact"/>
              <w:jc w:val="left"/>
              <w:rPr>
                <w:rFonts w:hint="eastAsia" w:ascii="宋体" w:hAnsi="宋体"/>
                <w:sz w:val="24"/>
                <w:szCs w:val="24"/>
                <w:highlight w:val="none"/>
              </w:rPr>
            </w:pPr>
            <w:r>
              <w:rPr>
                <w:rFonts w:hint="eastAsia" w:ascii="宋体" w:hAnsi="宋体"/>
                <w:sz w:val="24"/>
                <w:szCs w:val="24"/>
                <w:highlight w:val="none"/>
              </w:rPr>
              <w:t>有效的中华人民共和国建造师注册证书</w:t>
            </w:r>
            <w:r>
              <w:rPr>
                <w:rFonts w:hint="eastAsia" w:ascii="宋体" w:hAnsi="宋体"/>
                <w:sz w:val="24"/>
                <w:szCs w:val="24"/>
                <w:highlight w:val="none"/>
                <w:lang w:eastAsia="zh-CN"/>
              </w:rPr>
              <w:t>、</w:t>
            </w:r>
            <w:r>
              <w:rPr>
                <w:rFonts w:hint="eastAsia" w:ascii="宋体" w:hAnsi="宋体"/>
                <w:sz w:val="24"/>
                <w:szCs w:val="24"/>
                <w:highlight w:val="none"/>
              </w:rPr>
              <w:t>安全生产考核合格证（</w:t>
            </w:r>
            <w:r>
              <w:rPr>
                <w:rFonts w:ascii="宋体" w:hAnsi="宋体"/>
                <w:sz w:val="24"/>
                <w:szCs w:val="24"/>
                <w:highlight w:val="none"/>
              </w:rPr>
              <w:t>B</w:t>
            </w:r>
            <w:r>
              <w:rPr>
                <w:rFonts w:hint="eastAsia" w:ascii="宋体" w:hAnsi="宋体"/>
                <w:sz w:val="24"/>
                <w:szCs w:val="24"/>
                <w:highlight w:val="none"/>
              </w:rPr>
              <w:t>证）</w:t>
            </w:r>
          </w:p>
          <w:p w14:paraId="560DF802">
            <w:pPr>
              <w:autoSpaceDE w:val="0"/>
              <w:autoSpaceDN w:val="0"/>
              <w:adjustRightInd w:val="0"/>
              <w:snapToGrid w:val="0"/>
              <w:spacing w:line="320" w:lineRule="exact"/>
              <w:jc w:val="left"/>
              <w:rPr>
                <w:rFonts w:hint="eastAsia" w:ascii="宋体" w:hAnsi="宋体"/>
                <w:sz w:val="24"/>
                <w:szCs w:val="24"/>
                <w:highlight w:val="none"/>
                <w:lang w:eastAsia="zh-CN"/>
              </w:rPr>
            </w:pPr>
            <w:r>
              <w:rPr>
                <w:rFonts w:hint="eastAsia" w:ascii="宋体" w:hAnsi="宋体" w:eastAsia="宋体" w:cs="宋体"/>
                <w:b w:val="0"/>
                <w:bCs w:val="0"/>
                <w:i w:val="0"/>
                <w:iCs w:val="0"/>
                <w:caps w:val="0"/>
                <w:color w:val="333333"/>
                <w:spacing w:val="0"/>
                <w:sz w:val="21"/>
                <w:szCs w:val="21"/>
                <w:shd w:val="clear" w:color="auto" w:fill="FFFFFF"/>
              </w:rPr>
              <w:t>拟派项目负责人为一级注册建造师的，</w:t>
            </w:r>
            <w:r>
              <w:rPr>
                <w:rFonts w:hint="eastAsia" w:ascii="宋体" w:hAnsi="宋体" w:eastAsia="宋体" w:cs="宋体"/>
                <w:b w:val="0"/>
                <w:bCs w:val="0"/>
                <w:color w:val="auto"/>
                <w:sz w:val="21"/>
                <w:szCs w:val="21"/>
              </w:rPr>
              <w:t>须根据《住房和城乡建设部办公厅关于全面实行一级建造师电子注册证书的通知》（建办市〔2021〕40号）</w:t>
            </w:r>
            <w:r>
              <w:rPr>
                <w:rFonts w:hint="eastAsia" w:ascii="宋体" w:hAnsi="宋体" w:eastAsia="宋体" w:cs="宋体"/>
                <w:b w:val="0"/>
                <w:bCs w:val="0"/>
                <w:color w:val="auto"/>
                <w:sz w:val="21"/>
                <w:szCs w:val="21"/>
                <w:lang w:eastAsia="zh-CN"/>
              </w:rPr>
              <w:t>文件要求使用并提供电子证书，</w:t>
            </w:r>
            <w:r>
              <w:rPr>
                <w:rFonts w:hint="eastAsia" w:ascii="宋体" w:hAnsi="宋体" w:eastAsia="宋体" w:cs="宋体"/>
                <w:b w:val="0"/>
                <w:bCs w:val="0"/>
                <w:i w:val="0"/>
                <w:iCs w:val="0"/>
                <w:caps w:val="0"/>
                <w:color w:val="333333"/>
                <w:spacing w:val="0"/>
                <w:sz w:val="21"/>
                <w:szCs w:val="21"/>
                <w:shd w:val="clear" w:color="auto" w:fill="FFFFFF"/>
              </w:rPr>
              <w:t>拟派项目负责人为</w:t>
            </w:r>
            <w:r>
              <w:rPr>
                <w:rFonts w:hint="eastAsia" w:cs="宋体"/>
                <w:b w:val="0"/>
                <w:bCs w:val="0"/>
                <w:i w:val="0"/>
                <w:iCs w:val="0"/>
                <w:caps w:val="0"/>
                <w:color w:val="333333"/>
                <w:spacing w:val="0"/>
                <w:sz w:val="21"/>
                <w:szCs w:val="21"/>
                <w:shd w:val="clear" w:color="auto" w:fill="FFFFFF"/>
                <w:lang w:eastAsia="zh-CN"/>
              </w:rPr>
              <w:t>江苏省二</w:t>
            </w:r>
            <w:r>
              <w:rPr>
                <w:rFonts w:hint="eastAsia" w:ascii="宋体" w:hAnsi="宋体" w:eastAsia="宋体" w:cs="宋体"/>
                <w:b w:val="0"/>
                <w:bCs w:val="0"/>
                <w:i w:val="0"/>
                <w:iCs w:val="0"/>
                <w:caps w:val="0"/>
                <w:color w:val="333333"/>
                <w:spacing w:val="0"/>
                <w:sz w:val="21"/>
                <w:szCs w:val="21"/>
                <w:shd w:val="clear" w:color="auto" w:fill="FFFFFF"/>
              </w:rPr>
              <w:t>级注册建造师的</w:t>
            </w:r>
            <w:r>
              <w:rPr>
                <w:rFonts w:hint="eastAsia" w:cs="宋体"/>
                <w:b w:val="0"/>
                <w:bCs w:val="0"/>
                <w:i w:val="0"/>
                <w:iCs w:val="0"/>
                <w:caps w:val="0"/>
                <w:color w:val="333333"/>
                <w:spacing w:val="0"/>
                <w:sz w:val="21"/>
                <w:szCs w:val="21"/>
                <w:shd w:val="clear" w:color="auto" w:fill="FFFFFF"/>
                <w:lang w:eastAsia="zh-CN"/>
              </w:rPr>
              <w:t>，</w:t>
            </w:r>
            <w:r>
              <w:rPr>
                <w:rFonts w:hint="eastAsia" w:ascii="宋体" w:hAnsi="宋体" w:eastAsia="宋体" w:cs="宋体"/>
                <w:b w:val="0"/>
                <w:bCs w:val="0"/>
                <w:color w:val="auto"/>
                <w:sz w:val="21"/>
                <w:szCs w:val="21"/>
                <w:lang w:eastAsia="zh-CN"/>
              </w:rPr>
              <w:t>《省住房和城乡建设厅关于我省二级建造师、二级造价工程师、二级注册建筑师、二级注册结构工程师注册证书电子证照换发的公告》（〔2023〕第26号）的</w:t>
            </w:r>
            <w:r>
              <w:rPr>
                <w:rFonts w:hint="eastAsia" w:ascii="宋体" w:hAnsi="宋体" w:eastAsia="宋体" w:cs="宋体"/>
                <w:b w:val="0"/>
                <w:bCs w:val="0"/>
                <w:color w:val="auto"/>
                <w:sz w:val="21"/>
                <w:szCs w:val="21"/>
              </w:rPr>
              <w:t>文件要求执行，</w:t>
            </w:r>
            <w:r>
              <w:rPr>
                <w:rFonts w:hint="eastAsia" w:ascii="宋体" w:hAnsi="宋体" w:eastAsia="宋体" w:cs="宋体"/>
                <w:b w:val="0"/>
                <w:bCs w:val="0"/>
                <w:color w:val="auto"/>
                <w:sz w:val="21"/>
                <w:szCs w:val="21"/>
                <w:lang w:eastAsia="zh-CN"/>
              </w:rPr>
              <w:t>其他省份按当地最地规定执行，</w:t>
            </w:r>
            <w:r>
              <w:rPr>
                <w:rFonts w:hint="eastAsia" w:ascii="宋体" w:hAnsi="宋体" w:eastAsia="宋体" w:cs="宋体"/>
                <w:b w:val="0"/>
                <w:bCs w:val="0"/>
                <w:color w:val="auto"/>
                <w:sz w:val="21"/>
                <w:szCs w:val="21"/>
              </w:rPr>
              <w:t>同</w:t>
            </w:r>
            <w:r>
              <w:rPr>
                <w:rFonts w:hint="eastAsia" w:ascii="宋体" w:hAnsi="宋体" w:eastAsia="宋体" w:cs="宋体"/>
                <w:color w:val="auto"/>
                <w:sz w:val="21"/>
                <w:szCs w:val="21"/>
              </w:rPr>
              <w:t>时，建造师注册单位和安全生产考核合格证（B证）上显示单位均应为本投标人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否则不予认可。</w:t>
            </w:r>
          </w:p>
        </w:tc>
      </w:tr>
      <w:tr w14:paraId="330E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675" w:type="dxa"/>
            <w:noWrap/>
            <w:vAlign w:val="center"/>
          </w:tcPr>
          <w:p w14:paraId="0E7E15AF">
            <w:pPr>
              <w:spacing w:line="320" w:lineRule="exact"/>
              <w:jc w:val="center"/>
              <w:rPr>
                <w:rFonts w:ascii="宋体" w:hAnsi="宋体"/>
                <w:sz w:val="24"/>
                <w:szCs w:val="24"/>
                <w:highlight w:val="none"/>
              </w:rPr>
            </w:pPr>
            <w:r>
              <w:rPr>
                <w:rFonts w:ascii="宋体" w:hAnsi="宋体"/>
                <w:sz w:val="24"/>
                <w:szCs w:val="24"/>
                <w:highlight w:val="none"/>
              </w:rPr>
              <w:t>7</w:t>
            </w:r>
          </w:p>
        </w:tc>
        <w:tc>
          <w:tcPr>
            <w:tcW w:w="1985" w:type="dxa"/>
            <w:noWrap/>
            <w:vAlign w:val="center"/>
          </w:tcPr>
          <w:p w14:paraId="45B2B653">
            <w:pPr>
              <w:spacing w:line="320" w:lineRule="exact"/>
              <w:jc w:val="left"/>
              <w:rPr>
                <w:rFonts w:ascii="宋体" w:hAnsi="宋体"/>
                <w:sz w:val="24"/>
                <w:szCs w:val="24"/>
                <w:highlight w:val="none"/>
              </w:rPr>
            </w:pPr>
            <w:r>
              <w:rPr>
                <w:rFonts w:hint="eastAsia" w:ascii="宋体" w:hAnsi="宋体"/>
                <w:sz w:val="24"/>
                <w:szCs w:val="24"/>
                <w:highlight w:val="none"/>
              </w:rPr>
              <w:t>拟派项目负责人</w:t>
            </w:r>
            <w:r>
              <w:rPr>
                <w:rFonts w:hint="eastAsia" w:ascii="宋体" w:hAnsi="宋体"/>
                <w:sz w:val="24"/>
                <w:szCs w:val="24"/>
                <w:highlight w:val="none"/>
                <w:lang w:eastAsia="zh-CN"/>
              </w:rPr>
              <w:t>为投标人的正式员工</w:t>
            </w:r>
          </w:p>
        </w:tc>
        <w:tc>
          <w:tcPr>
            <w:tcW w:w="3598" w:type="dxa"/>
            <w:noWrap/>
            <w:vAlign w:val="center"/>
          </w:tcPr>
          <w:p w14:paraId="240A8434">
            <w:pPr>
              <w:spacing w:line="320" w:lineRule="exact"/>
              <w:jc w:val="left"/>
              <w:rPr>
                <w:rFonts w:hint="eastAsia" w:ascii="宋体" w:hAnsi="宋体" w:eastAsia="宋体"/>
                <w:sz w:val="24"/>
                <w:szCs w:val="24"/>
                <w:highlight w:val="none"/>
                <w:lang w:eastAsia="zh-CN"/>
              </w:rPr>
            </w:pPr>
            <w:r>
              <w:rPr>
                <w:rFonts w:hint="eastAsia" w:ascii="宋体" w:hAnsi="宋体"/>
                <w:sz w:val="24"/>
                <w:szCs w:val="24"/>
                <w:highlight w:val="none"/>
              </w:rPr>
              <w:t>拟派项目负责人</w:t>
            </w:r>
            <w:r>
              <w:rPr>
                <w:rFonts w:hint="eastAsia" w:ascii="宋体" w:hAnsi="宋体"/>
                <w:sz w:val="24"/>
                <w:szCs w:val="24"/>
                <w:highlight w:val="none"/>
                <w:lang w:eastAsia="zh-CN"/>
              </w:rPr>
              <w:t>与投标人签订的</w:t>
            </w:r>
            <w:r>
              <w:rPr>
                <w:rFonts w:hint="eastAsia" w:ascii="宋体" w:hAnsi="宋体"/>
                <w:sz w:val="24"/>
                <w:szCs w:val="24"/>
                <w:highlight w:val="none"/>
              </w:rPr>
              <w:t>有效的</w:t>
            </w:r>
            <w:r>
              <w:rPr>
                <w:rFonts w:hint="eastAsia" w:ascii="宋体" w:hAnsi="宋体"/>
                <w:sz w:val="24"/>
                <w:szCs w:val="24"/>
                <w:highlight w:val="none"/>
                <w:lang w:eastAsia="zh-CN"/>
              </w:rPr>
              <w:t>劳动合同</w:t>
            </w:r>
          </w:p>
        </w:tc>
        <w:tc>
          <w:tcPr>
            <w:tcW w:w="2990" w:type="dxa"/>
            <w:noWrap/>
            <w:vAlign w:val="center"/>
          </w:tcPr>
          <w:p w14:paraId="3F19F11A">
            <w:pPr>
              <w:spacing w:line="320" w:lineRule="exact"/>
              <w:jc w:val="left"/>
              <w:rPr>
                <w:rFonts w:ascii="宋体" w:hAnsi="宋体"/>
                <w:sz w:val="24"/>
                <w:szCs w:val="24"/>
                <w:highlight w:val="none"/>
              </w:rPr>
            </w:pPr>
            <w:r>
              <w:rPr>
                <w:rFonts w:hint="eastAsia" w:ascii="宋体" w:hAnsi="宋体"/>
                <w:sz w:val="24"/>
                <w:szCs w:val="24"/>
                <w:highlight w:val="none"/>
              </w:rPr>
              <w:t>有效的</w:t>
            </w:r>
            <w:r>
              <w:rPr>
                <w:rFonts w:hint="eastAsia" w:ascii="宋体" w:hAnsi="宋体"/>
                <w:sz w:val="24"/>
                <w:szCs w:val="24"/>
                <w:highlight w:val="none"/>
                <w:lang w:eastAsia="zh-CN"/>
              </w:rPr>
              <w:t>劳动合同</w:t>
            </w:r>
            <w:r>
              <w:rPr>
                <w:rFonts w:hint="eastAsia" w:ascii="宋体" w:hAnsi="宋体"/>
                <w:sz w:val="24"/>
                <w:szCs w:val="24"/>
                <w:highlight w:val="none"/>
              </w:rPr>
              <w:t>。</w:t>
            </w:r>
            <w:bookmarkStart w:id="0" w:name="_GoBack"/>
            <w:bookmarkEnd w:id="0"/>
          </w:p>
        </w:tc>
      </w:tr>
      <w:tr w14:paraId="3BE6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675" w:type="dxa"/>
            <w:noWrap/>
            <w:vAlign w:val="center"/>
          </w:tcPr>
          <w:p w14:paraId="43BBC9D7">
            <w:pPr>
              <w:spacing w:line="320" w:lineRule="exact"/>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8</w:t>
            </w:r>
          </w:p>
        </w:tc>
        <w:tc>
          <w:tcPr>
            <w:tcW w:w="1985" w:type="dxa"/>
            <w:noWrap/>
            <w:vAlign w:val="center"/>
          </w:tcPr>
          <w:p w14:paraId="697434D2">
            <w:pPr>
              <w:pStyle w:val="2"/>
              <w:spacing w:before="0" w:beforeAutospacing="0" w:after="0" w:afterAutospacing="0"/>
              <w:jc w:val="left"/>
              <w:rPr>
                <w:sz w:val="24"/>
                <w:szCs w:val="24"/>
                <w:highlight w:val="none"/>
              </w:rPr>
            </w:pPr>
            <w:r>
              <w:rPr>
                <w:rFonts w:hint="eastAsia"/>
                <w:sz w:val="24"/>
                <w:szCs w:val="24"/>
                <w:highlight w:val="none"/>
              </w:rPr>
              <w:t>诚信承诺书</w:t>
            </w:r>
          </w:p>
        </w:tc>
        <w:tc>
          <w:tcPr>
            <w:tcW w:w="3598" w:type="dxa"/>
            <w:noWrap/>
            <w:vAlign w:val="center"/>
          </w:tcPr>
          <w:p w14:paraId="691CFC47">
            <w:pPr>
              <w:spacing w:line="320" w:lineRule="exact"/>
              <w:jc w:val="left"/>
              <w:rPr>
                <w:rFonts w:ascii="宋体" w:hAnsi="宋体"/>
                <w:sz w:val="24"/>
                <w:szCs w:val="24"/>
                <w:highlight w:val="none"/>
              </w:rPr>
            </w:pPr>
            <w:r>
              <w:rPr>
                <w:rFonts w:hint="eastAsia" w:ascii="宋体" w:hAnsi="宋体" w:cs="宋体"/>
                <w:kern w:val="0"/>
                <w:sz w:val="24"/>
                <w:szCs w:val="24"/>
                <w:highlight w:val="none"/>
              </w:rPr>
              <w:t>诚信承诺书</w:t>
            </w:r>
          </w:p>
        </w:tc>
        <w:tc>
          <w:tcPr>
            <w:tcW w:w="2990" w:type="dxa"/>
            <w:noWrap/>
            <w:vAlign w:val="center"/>
          </w:tcPr>
          <w:p w14:paraId="7D170623">
            <w:pPr>
              <w:spacing w:line="360" w:lineRule="exact"/>
              <w:jc w:val="left"/>
              <w:rPr>
                <w:rFonts w:ascii="宋体" w:hAnsi="宋体" w:cs="宋体"/>
                <w:kern w:val="0"/>
                <w:sz w:val="24"/>
                <w:szCs w:val="24"/>
                <w:highlight w:val="none"/>
              </w:rPr>
            </w:pPr>
            <w:r>
              <w:rPr>
                <w:rFonts w:hint="eastAsia" w:ascii="宋体" w:hAnsi="宋体" w:cs="宋体"/>
                <w:b w:val="0"/>
                <w:bCs w:val="0"/>
                <w:kern w:val="0"/>
                <w:sz w:val="24"/>
                <w:szCs w:val="24"/>
                <w:highlight w:val="none"/>
              </w:rPr>
              <w:t>要求提供诚信承诺书，格式见招标文件第五章投标文件格式。</w:t>
            </w:r>
          </w:p>
        </w:tc>
      </w:tr>
      <w:tr w14:paraId="47F1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0" w:hRule="atLeast"/>
        </w:trPr>
        <w:tc>
          <w:tcPr>
            <w:tcW w:w="675" w:type="dxa"/>
            <w:noWrap/>
            <w:vAlign w:val="center"/>
          </w:tcPr>
          <w:p w14:paraId="342AB255">
            <w:pPr>
              <w:spacing w:line="320" w:lineRule="exact"/>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9</w:t>
            </w:r>
          </w:p>
        </w:tc>
        <w:tc>
          <w:tcPr>
            <w:tcW w:w="1985" w:type="dxa"/>
            <w:noWrap/>
            <w:vAlign w:val="center"/>
          </w:tcPr>
          <w:p w14:paraId="1F5504D0">
            <w:pPr>
              <w:pStyle w:val="2"/>
              <w:spacing w:before="0" w:beforeAutospacing="0" w:after="0" w:afterAutospacing="0"/>
              <w:jc w:val="left"/>
              <w:rPr>
                <w:rFonts w:hint="eastAsia" w:eastAsia="宋体"/>
                <w:sz w:val="24"/>
                <w:szCs w:val="24"/>
                <w:highlight w:val="none"/>
                <w:lang w:eastAsia="zh-CN"/>
              </w:rPr>
            </w:pPr>
            <w:r>
              <w:rPr>
                <w:rFonts w:hint="eastAsia"/>
                <w:sz w:val="24"/>
                <w:szCs w:val="24"/>
                <w:highlight w:val="none"/>
                <w:lang w:eastAsia="zh-CN"/>
              </w:rPr>
              <w:t>动态监管</w:t>
            </w:r>
          </w:p>
        </w:tc>
        <w:tc>
          <w:tcPr>
            <w:tcW w:w="3598" w:type="dxa"/>
            <w:noWrap/>
            <w:vAlign w:val="center"/>
          </w:tcPr>
          <w:p w14:paraId="45C07C1C">
            <w:pPr>
              <w:spacing w:line="320" w:lineRule="exact"/>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投标人在本招标项目投标文件递交截止时间当日，建筑业企业资质动态监管结果中本项目要求的资质处于合格状态</w:t>
            </w:r>
          </w:p>
        </w:tc>
        <w:tc>
          <w:tcPr>
            <w:tcW w:w="2990" w:type="dxa"/>
            <w:noWrap/>
            <w:vAlign w:val="center"/>
          </w:tcPr>
          <w:p w14:paraId="3CA1E824">
            <w:pPr>
              <w:spacing w:line="360" w:lineRule="exact"/>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在本招标项目投标文件递交截止时间当日登录“江苏省建筑市场监管与诚信信息一体化平台”，检查投标人的建筑企业资质动态监管结果中本项目要求的资质，对动态监管处于不合格状态的投标人进行截图保存，提供给评标委员会。</w:t>
            </w:r>
          </w:p>
        </w:tc>
      </w:tr>
      <w:tr w14:paraId="6C92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675" w:type="dxa"/>
            <w:noWrap/>
            <w:vAlign w:val="center"/>
          </w:tcPr>
          <w:p w14:paraId="13ECC598">
            <w:pPr>
              <w:spacing w:line="320" w:lineRule="exact"/>
              <w:jc w:val="center"/>
              <w:rPr>
                <w:sz w:val="24"/>
                <w:szCs w:val="24"/>
                <w:highlight w:val="none"/>
              </w:rPr>
            </w:pPr>
            <w:r>
              <w:rPr>
                <w:rFonts w:hint="eastAsia"/>
                <w:sz w:val="24"/>
                <w:szCs w:val="24"/>
                <w:highlight w:val="none"/>
              </w:rPr>
              <w:t>备注</w:t>
            </w:r>
          </w:p>
        </w:tc>
        <w:tc>
          <w:tcPr>
            <w:tcW w:w="8573" w:type="dxa"/>
            <w:gridSpan w:val="3"/>
            <w:noWrap/>
            <w:vAlign w:val="center"/>
          </w:tcPr>
          <w:p w14:paraId="41AC9D60">
            <w:pPr>
              <w:spacing w:line="320" w:lineRule="exact"/>
              <w:jc w:val="left"/>
              <w:rPr>
                <w:rFonts w:hint="eastAsia"/>
                <w:b/>
                <w:sz w:val="24"/>
                <w:szCs w:val="24"/>
                <w:highlight w:val="none"/>
              </w:rPr>
            </w:pPr>
            <w:r>
              <w:rPr>
                <w:rFonts w:hint="eastAsia"/>
                <w:b/>
                <w:sz w:val="24"/>
                <w:szCs w:val="24"/>
                <w:highlight w:val="none"/>
              </w:rPr>
              <w:t>注：上述资格审查内容提供清晰可辨认的复印件，</w:t>
            </w:r>
            <w:r>
              <w:rPr>
                <w:rFonts w:hint="eastAsia"/>
                <w:b/>
                <w:sz w:val="24"/>
                <w:szCs w:val="24"/>
                <w:highlight w:val="none"/>
                <w:lang w:eastAsia="zh-CN"/>
              </w:rPr>
              <w:t>并加盖投标人公章。如</w:t>
            </w:r>
            <w:r>
              <w:rPr>
                <w:rFonts w:hint="eastAsia"/>
                <w:b/>
                <w:sz w:val="24"/>
                <w:szCs w:val="24"/>
                <w:highlight w:val="none"/>
              </w:rPr>
              <w:t>复印件不清楚导致无法辨认</w:t>
            </w:r>
            <w:r>
              <w:rPr>
                <w:rFonts w:hint="eastAsia"/>
                <w:b/>
                <w:sz w:val="24"/>
                <w:szCs w:val="24"/>
                <w:highlight w:val="none"/>
                <w:lang w:eastAsia="zh-CN"/>
              </w:rPr>
              <w:t>，</w:t>
            </w:r>
            <w:r>
              <w:rPr>
                <w:rFonts w:hint="eastAsia"/>
                <w:b/>
                <w:sz w:val="24"/>
                <w:szCs w:val="24"/>
                <w:highlight w:val="none"/>
              </w:rPr>
              <w:t>且任意一项经评标委员会评审不通过的，则资格审查不予通过。</w:t>
            </w:r>
          </w:p>
        </w:tc>
      </w:tr>
    </w:tbl>
    <w:p w14:paraId="05E9ABFA">
      <w:pPr>
        <w:spacing w:line="4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经初步评审合格的投标文件，评标委员会根据招标文件确定的评标标准和方法，对其</w:t>
      </w:r>
      <w:r>
        <w:rPr>
          <w:rFonts w:hint="eastAsia" w:ascii="宋体" w:hAnsi="宋体" w:eastAsia="宋体" w:cs="宋体"/>
          <w:sz w:val="24"/>
          <w:szCs w:val="24"/>
          <w:highlight w:val="none"/>
          <w:lang w:val="en-US" w:eastAsia="zh-CN"/>
        </w:rPr>
        <w:t>商务</w:t>
      </w:r>
      <w:r>
        <w:rPr>
          <w:rFonts w:hint="eastAsia" w:ascii="宋体" w:hAnsi="宋体" w:eastAsia="宋体" w:cs="宋体"/>
          <w:sz w:val="24"/>
          <w:szCs w:val="24"/>
          <w:highlight w:val="none"/>
        </w:rPr>
        <w:t>技术标与</w:t>
      </w:r>
      <w:r>
        <w:rPr>
          <w:rFonts w:hint="eastAsia" w:ascii="宋体" w:hAnsi="宋体" w:eastAsia="宋体" w:cs="宋体"/>
          <w:sz w:val="24"/>
          <w:szCs w:val="24"/>
          <w:highlight w:val="none"/>
          <w:lang w:val="en-US" w:eastAsia="zh-CN"/>
        </w:rPr>
        <w:t>价格标部分</w:t>
      </w:r>
      <w:r>
        <w:rPr>
          <w:rFonts w:hint="eastAsia" w:ascii="宋体" w:hAnsi="宋体" w:eastAsia="宋体" w:cs="宋体"/>
          <w:sz w:val="24"/>
          <w:szCs w:val="24"/>
          <w:highlight w:val="none"/>
        </w:rPr>
        <w:t>作进一步评审。</w:t>
      </w:r>
    </w:p>
    <w:p w14:paraId="44828390">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.商务</w:t>
      </w:r>
      <w:r>
        <w:rPr>
          <w:rFonts w:hint="eastAsia" w:ascii="宋体" w:hAnsi="宋体" w:eastAsia="宋体" w:cs="宋体"/>
          <w:b/>
          <w:color w:val="auto"/>
          <w:sz w:val="24"/>
          <w:szCs w:val="24"/>
          <w:highlight w:val="none"/>
        </w:rPr>
        <w:t>技术</w:t>
      </w:r>
      <w:r>
        <w:rPr>
          <w:rFonts w:hint="eastAsia" w:ascii="宋体" w:hAnsi="宋体" w:eastAsia="宋体" w:cs="宋体"/>
          <w:b/>
          <w:color w:val="auto"/>
          <w:sz w:val="24"/>
          <w:szCs w:val="24"/>
          <w:highlight w:val="none"/>
          <w:lang w:val="en-US" w:eastAsia="zh-CN"/>
        </w:rPr>
        <w:t>标评审</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0分）</w:t>
      </w:r>
    </w:p>
    <w:p w14:paraId="00D28C8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各投标人得分为所有评标委员会成员评分的算术平均值，分值四舍五入保留小数点后两位。</w:t>
      </w:r>
    </w:p>
    <w:tbl>
      <w:tblPr>
        <w:tblStyle w:val="4"/>
        <w:tblW w:w="9139"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2059"/>
        <w:gridCol w:w="6602"/>
      </w:tblGrid>
      <w:tr w14:paraId="5556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78" w:type="dxa"/>
            <w:noWrap w:val="0"/>
            <w:vAlign w:val="center"/>
          </w:tcPr>
          <w:p w14:paraId="244A35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2059" w:type="dxa"/>
            <w:noWrap w:val="0"/>
            <w:vAlign w:val="center"/>
          </w:tcPr>
          <w:p w14:paraId="53568B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评分因素</w:t>
            </w:r>
          </w:p>
        </w:tc>
        <w:tc>
          <w:tcPr>
            <w:tcW w:w="6602" w:type="dxa"/>
            <w:noWrap w:val="0"/>
            <w:vAlign w:val="center"/>
          </w:tcPr>
          <w:p w14:paraId="6D86B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评分标准</w:t>
            </w:r>
          </w:p>
        </w:tc>
      </w:tr>
      <w:tr w14:paraId="5902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478" w:type="dxa"/>
            <w:noWrap w:val="0"/>
            <w:vAlign w:val="center"/>
          </w:tcPr>
          <w:p w14:paraId="3D9CC9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059" w:type="dxa"/>
            <w:noWrap w:val="0"/>
            <w:vAlign w:val="center"/>
          </w:tcPr>
          <w:p w14:paraId="567070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实施方案</w:t>
            </w:r>
          </w:p>
          <w:p w14:paraId="723E6C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10分</w:t>
            </w:r>
            <w:r>
              <w:rPr>
                <w:rFonts w:hint="eastAsia" w:ascii="宋体" w:hAnsi="宋体" w:eastAsia="宋体" w:cs="宋体"/>
                <w:b w:val="0"/>
                <w:bCs w:val="0"/>
                <w:color w:val="auto"/>
                <w:sz w:val="24"/>
                <w:szCs w:val="24"/>
                <w:highlight w:val="none"/>
                <w:lang w:eastAsia="zh-CN"/>
              </w:rPr>
              <w:t>）</w:t>
            </w:r>
          </w:p>
        </w:tc>
        <w:tc>
          <w:tcPr>
            <w:tcW w:w="6602" w:type="dxa"/>
            <w:noWrap w:val="0"/>
            <w:vAlign w:val="center"/>
          </w:tcPr>
          <w:p w14:paraId="25B984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vertAlign w:val="baseline"/>
                <w:lang w:val="en-US" w:eastAsia="zh-CN"/>
              </w:rPr>
              <w:t>1</w:t>
            </w: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vertAlign w:val="baseline"/>
              </w:rPr>
              <w:t>对本项目的基本情况阐述、施工组织总体设想、施工管理目标及本工程的重点、难点分析</w:t>
            </w:r>
            <w:r>
              <w:rPr>
                <w:rFonts w:hint="eastAsia" w:ascii="宋体" w:hAnsi="宋体" w:eastAsia="宋体" w:cs="宋体"/>
                <w:b/>
                <w:bCs/>
                <w:color w:val="auto"/>
                <w:sz w:val="24"/>
                <w:szCs w:val="24"/>
                <w:highlight w:val="none"/>
                <w:vertAlign w:val="baseline"/>
                <w:lang w:eastAsia="zh-CN"/>
              </w:rPr>
              <w:t>；</w:t>
            </w:r>
          </w:p>
          <w:p w14:paraId="3C4F37F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vertAlign w:val="baseline"/>
                <w:lang w:val="en-US" w:eastAsia="zh-CN"/>
              </w:rPr>
              <w:t>2</w:t>
            </w: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rPr>
              <w:t>劳动力投入计划与进度计划呼应，调配投入计划合理、准确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有</w:t>
            </w:r>
            <w:r>
              <w:rPr>
                <w:rFonts w:hint="eastAsia" w:ascii="宋体" w:hAnsi="宋体" w:eastAsia="宋体" w:cs="宋体"/>
                <w:b/>
                <w:bCs/>
                <w:color w:val="auto"/>
                <w:sz w:val="24"/>
                <w:szCs w:val="24"/>
                <w:highlight w:val="none"/>
                <w:lang w:eastAsia="zh-CN"/>
              </w:rPr>
              <w:t>驻点人员计划</w:t>
            </w:r>
            <w:r>
              <w:rPr>
                <w:rFonts w:hint="eastAsia" w:ascii="宋体" w:hAnsi="宋体" w:eastAsia="宋体" w:cs="宋体"/>
                <w:b/>
                <w:bCs/>
                <w:color w:val="auto"/>
                <w:sz w:val="24"/>
                <w:szCs w:val="24"/>
                <w:highlight w:val="none"/>
              </w:rPr>
              <w:t>；</w:t>
            </w:r>
          </w:p>
          <w:p w14:paraId="58F435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vertAlign w:val="baseline"/>
                <w:lang w:val="en-US" w:eastAsia="zh-CN"/>
              </w:rPr>
              <w:t>3</w:t>
            </w: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rPr>
              <w:t>常规物资材料具有一定储备量，较好满足</w:t>
            </w:r>
            <w:r>
              <w:rPr>
                <w:rFonts w:hint="eastAsia" w:ascii="宋体" w:hAnsi="宋体" w:eastAsia="宋体" w:cs="宋体"/>
                <w:b/>
                <w:bCs/>
                <w:color w:val="auto"/>
                <w:sz w:val="24"/>
                <w:szCs w:val="24"/>
                <w:highlight w:val="none"/>
                <w:lang w:eastAsia="zh-CN"/>
              </w:rPr>
              <w:t>日常施工</w:t>
            </w:r>
            <w:r>
              <w:rPr>
                <w:rFonts w:hint="eastAsia" w:ascii="宋体" w:hAnsi="宋体" w:eastAsia="宋体" w:cs="宋体"/>
                <w:b/>
                <w:bCs/>
                <w:color w:val="auto"/>
                <w:sz w:val="24"/>
                <w:szCs w:val="24"/>
                <w:highlight w:val="none"/>
              </w:rPr>
              <w:t>需要，能承诺在2小时内到场；非常规物资材料有稳定供货渠道，能承诺在12小时内到场</w:t>
            </w:r>
            <w:r>
              <w:rPr>
                <w:rFonts w:hint="eastAsia" w:ascii="宋体" w:hAnsi="宋体" w:eastAsia="宋体" w:cs="宋体"/>
                <w:b/>
                <w:bCs/>
                <w:color w:val="auto"/>
                <w:sz w:val="24"/>
                <w:szCs w:val="24"/>
                <w:highlight w:val="none"/>
                <w:lang w:eastAsia="zh-CN"/>
              </w:rPr>
              <w:t>；</w:t>
            </w:r>
          </w:p>
          <w:p w14:paraId="46D0F49D">
            <w:pPr>
              <w:pStyle w:val="6"/>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vertAlign w:val="baseline"/>
                <w:lang w:val="en-US" w:eastAsia="zh-CN"/>
              </w:rPr>
              <w:t>4</w:t>
            </w: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rPr>
              <w:t>根据本工程实际需求，采用先进机械设备且配置合理、先进，满足安全技术规范和施工进度需要；有详细的机械设备投入清单</w:t>
            </w:r>
            <w:r>
              <w:rPr>
                <w:rFonts w:hint="eastAsia" w:ascii="宋体" w:hAnsi="宋体" w:eastAsia="宋体" w:cs="宋体"/>
                <w:b/>
                <w:bCs/>
                <w:color w:val="auto"/>
                <w:sz w:val="24"/>
                <w:szCs w:val="24"/>
                <w:highlight w:val="none"/>
                <w:lang w:eastAsia="zh-CN"/>
              </w:rPr>
              <w:t>；</w:t>
            </w:r>
          </w:p>
          <w:p w14:paraId="2FF1597E">
            <w:pPr>
              <w:pStyle w:val="6"/>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vertAlign w:val="baseline"/>
                <w:lang w:val="en-US" w:eastAsia="zh-CN"/>
              </w:rPr>
              <w:t>5</w:t>
            </w:r>
            <w:r>
              <w:rPr>
                <w:rFonts w:hint="eastAsia" w:ascii="宋体" w:hAnsi="宋体" w:eastAsia="宋体" w:cs="宋体"/>
                <w:b/>
                <w:bCs/>
                <w:color w:val="auto"/>
                <w:sz w:val="24"/>
                <w:szCs w:val="24"/>
                <w:highlight w:val="none"/>
                <w:vertAlign w:val="baseline"/>
                <w:lang w:eastAsia="zh-CN"/>
              </w:rPr>
              <w:t>）</w:t>
            </w:r>
            <w:r>
              <w:rPr>
                <w:rFonts w:hint="eastAsia" w:ascii="宋体" w:hAnsi="宋体" w:eastAsia="宋体" w:cs="宋体"/>
                <w:b/>
                <w:bCs/>
                <w:color w:val="auto"/>
                <w:sz w:val="24"/>
                <w:szCs w:val="24"/>
                <w:highlight w:val="none"/>
              </w:rPr>
              <w:t>工程档案资料及结算资料承诺及保证措施</w:t>
            </w:r>
            <w:r>
              <w:rPr>
                <w:rFonts w:hint="eastAsia" w:ascii="宋体" w:hAnsi="宋体" w:eastAsia="宋体" w:cs="宋体"/>
                <w:b/>
                <w:bCs/>
                <w:color w:val="auto"/>
                <w:sz w:val="24"/>
                <w:szCs w:val="24"/>
                <w:highlight w:val="none"/>
                <w:lang w:eastAsia="zh-CN"/>
              </w:rPr>
              <w:t>。</w:t>
            </w:r>
          </w:p>
          <w:p w14:paraId="2D815B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由评委进行打分：</w:t>
            </w:r>
            <w:r>
              <w:rPr>
                <w:rFonts w:hint="eastAsia" w:ascii="宋体" w:hAnsi="宋体" w:eastAsia="宋体" w:cs="宋体"/>
                <w:b w:val="0"/>
                <w:bCs w:val="0"/>
                <w:color w:val="auto"/>
                <w:sz w:val="24"/>
                <w:szCs w:val="24"/>
                <w:highlight w:val="none"/>
                <w:vertAlign w:val="baseline"/>
                <w:lang w:val="en-US" w:eastAsia="zh-CN"/>
              </w:rPr>
              <w:t>7.0分</w:t>
            </w:r>
            <w:r>
              <w:rPr>
                <w:rFonts w:hint="eastAsia" w:ascii="宋体" w:hAnsi="宋体" w:eastAsia="宋体" w:cs="宋体"/>
                <w:sz w:val="24"/>
                <w:highlight w:val="none"/>
                <w:lang w:val="en-US" w:eastAsia="zh-CN"/>
              </w:rPr>
              <w:t>≦</w:t>
            </w:r>
            <w:r>
              <w:rPr>
                <w:rFonts w:hint="eastAsia" w:ascii="宋体" w:hAnsi="宋体" w:eastAsia="宋体" w:cs="宋体"/>
                <w:b w:val="0"/>
                <w:bCs w:val="0"/>
                <w:color w:val="auto"/>
                <w:sz w:val="24"/>
                <w:szCs w:val="24"/>
                <w:highlight w:val="none"/>
                <w:vertAlign w:val="baseline"/>
              </w:rPr>
              <w:t>优秀</w:t>
            </w:r>
            <w:r>
              <w:rPr>
                <w:rFonts w:hint="eastAsia" w:ascii="宋体" w:hAnsi="宋体" w:eastAsia="宋体" w:cs="宋体"/>
                <w:sz w:val="24"/>
                <w:highlight w:val="none"/>
                <w:lang w:val="en-US" w:eastAsia="zh-CN"/>
              </w:rPr>
              <w:t>≦</w:t>
            </w:r>
            <w:r>
              <w:rPr>
                <w:rFonts w:hint="eastAsia" w:ascii="宋体" w:hAnsi="宋体" w:eastAsia="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rPr>
              <w:t>.0</w:t>
            </w:r>
            <w:r>
              <w:rPr>
                <w:rFonts w:hint="eastAsia" w:ascii="宋体" w:hAnsi="宋体" w:eastAsia="宋体" w:cs="宋体"/>
                <w:b w:val="0"/>
                <w:bCs w:val="0"/>
                <w:color w:val="auto"/>
                <w:sz w:val="24"/>
                <w:szCs w:val="24"/>
                <w:highlight w:val="none"/>
                <w:vertAlign w:val="baseline"/>
                <w:lang w:val="en-US" w:eastAsia="zh-CN"/>
              </w:rPr>
              <w:t>分</w:t>
            </w:r>
            <w:r>
              <w:rPr>
                <w:rFonts w:hint="eastAsia" w:ascii="宋体" w:hAnsi="宋体" w:eastAsia="宋体" w:cs="宋体"/>
                <w:b w:val="0"/>
                <w:bCs w:val="0"/>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4.0分</w:t>
            </w:r>
            <w:r>
              <w:rPr>
                <w:rFonts w:hint="eastAsia" w:ascii="宋体" w:hAnsi="宋体" w:eastAsia="宋体" w:cs="宋体"/>
                <w:sz w:val="24"/>
                <w:highlight w:val="none"/>
                <w:lang w:val="en-US" w:eastAsia="zh-CN"/>
              </w:rPr>
              <w:t>≦良好＜7.0分</w:t>
            </w:r>
            <w:r>
              <w:rPr>
                <w:rFonts w:hint="eastAsia" w:ascii="宋体" w:hAnsi="宋体" w:eastAsia="宋体" w:cs="宋体"/>
                <w:b w:val="0"/>
                <w:bCs w:val="0"/>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1.0分</w:t>
            </w:r>
            <w:r>
              <w:rPr>
                <w:rFonts w:hint="eastAsia" w:ascii="宋体" w:hAnsi="宋体" w:eastAsia="宋体" w:cs="宋体"/>
                <w:sz w:val="24"/>
                <w:highlight w:val="none"/>
                <w:lang w:val="en-US" w:eastAsia="zh-CN"/>
              </w:rPr>
              <w:t>≦一般＜4.0分</w:t>
            </w:r>
            <w:r>
              <w:rPr>
                <w:rFonts w:hint="eastAsia" w:ascii="宋体" w:hAnsi="宋体" w:eastAsia="宋体" w:cs="宋体"/>
                <w:b w:val="0"/>
                <w:bCs w:val="0"/>
                <w:color w:val="auto"/>
                <w:sz w:val="24"/>
                <w:szCs w:val="24"/>
                <w:highlight w:val="none"/>
                <w:vertAlign w:val="baseline"/>
              </w:rPr>
              <w:t>；无该项内容或缺少重点的不得分。</w:t>
            </w:r>
          </w:p>
        </w:tc>
      </w:tr>
      <w:tr w14:paraId="0163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478" w:type="dxa"/>
            <w:noWrap w:val="0"/>
            <w:vAlign w:val="center"/>
          </w:tcPr>
          <w:p w14:paraId="4F600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059" w:type="dxa"/>
            <w:noWrap w:val="0"/>
            <w:vAlign w:val="center"/>
          </w:tcPr>
          <w:p w14:paraId="68B2DD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应急响应承诺及进度保障措施</w:t>
            </w:r>
          </w:p>
          <w:p w14:paraId="778FD2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6602" w:type="dxa"/>
            <w:noWrap w:val="0"/>
            <w:vAlign w:val="center"/>
          </w:tcPr>
          <w:p w14:paraId="089872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应急响应承诺满足招标文件要求，工期保证措施合理且有针对性，</w:t>
            </w:r>
          </w:p>
          <w:p w14:paraId="607183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有具体的违约责任承诺</w:t>
            </w:r>
            <w:r>
              <w:rPr>
                <w:rFonts w:hint="eastAsia" w:ascii="宋体" w:hAnsi="宋体" w:eastAsia="宋体" w:cs="宋体"/>
                <w:b/>
                <w:bCs/>
                <w:color w:val="auto"/>
                <w:sz w:val="24"/>
                <w:szCs w:val="24"/>
                <w:highlight w:val="none"/>
                <w:lang w:eastAsia="zh-CN"/>
              </w:rPr>
              <w:t>；</w:t>
            </w:r>
          </w:p>
          <w:p w14:paraId="1E318F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针对恶劣天气（台风、暴雨、暴雪、冰雹、冰冻、酷暑等）及重大活动、节假日等特别事件段的应急保证措施到位。</w:t>
            </w:r>
          </w:p>
          <w:p w14:paraId="5D96DD3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由评委进行打分：</w:t>
            </w:r>
            <w:r>
              <w:rPr>
                <w:rFonts w:hint="eastAsia" w:ascii="宋体" w:hAnsi="宋体" w:eastAsia="宋体" w:cs="宋体"/>
                <w:b w:val="0"/>
                <w:bCs w:val="0"/>
                <w:color w:val="auto"/>
                <w:sz w:val="24"/>
                <w:szCs w:val="24"/>
                <w:highlight w:val="none"/>
                <w:vertAlign w:val="baseline"/>
                <w:lang w:val="en-US" w:eastAsia="zh-CN"/>
              </w:rPr>
              <w:t>7.0分</w:t>
            </w:r>
            <w:r>
              <w:rPr>
                <w:rFonts w:hint="eastAsia" w:ascii="宋体" w:hAnsi="宋体" w:eastAsia="宋体" w:cs="宋体"/>
                <w:sz w:val="24"/>
                <w:highlight w:val="none"/>
                <w:lang w:val="en-US" w:eastAsia="zh-CN"/>
              </w:rPr>
              <w:t>≦</w:t>
            </w:r>
            <w:r>
              <w:rPr>
                <w:rFonts w:hint="eastAsia" w:ascii="宋体" w:hAnsi="宋体" w:eastAsia="宋体" w:cs="宋体"/>
                <w:b w:val="0"/>
                <w:bCs w:val="0"/>
                <w:color w:val="auto"/>
                <w:sz w:val="24"/>
                <w:szCs w:val="24"/>
                <w:highlight w:val="none"/>
                <w:vertAlign w:val="baseline"/>
              </w:rPr>
              <w:t>优秀</w:t>
            </w:r>
            <w:r>
              <w:rPr>
                <w:rFonts w:hint="eastAsia" w:ascii="宋体" w:hAnsi="宋体" w:eastAsia="宋体" w:cs="宋体"/>
                <w:sz w:val="24"/>
                <w:highlight w:val="none"/>
                <w:lang w:val="en-US" w:eastAsia="zh-CN"/>
              </w:rPr>
              <w:t>≦</w:t>
            </w:r>
            <w:r>
              <w:rPr>
                <w:rFonts w:hint="eastAsia" w:ascii="宋体" w:hAnsi="宋体" w:eastAsia="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rPr>
              <w:t>.0</w:t>
            </w:r>
            <w:r>
              <w:rPr>
                <w:rFonts w:hint="eastAsia" w:ascii="宋体" w:hAnsi="宋体" w:eastAsia="宋体" w:cs="宋体"/>
                <w:b w:val="0"/>
                <w:bCs w:val="0"/>
                <w:color w:val="auto"/>
                <w:sz w:val="24"/>
                <w:szCs w:val="24"/>
                <w:highlight w:val="none"/>
                <w:vertAlign w:val="baseline"/>
                <w:lang w:val="en-US" w:eastAsia="zh-CN"/>
              </w:rPr>
              <w:t>分</w:t>
            </w:r>
            <w:r>
              <w:rPr>
                <w:rFonts w:hint="eastAsia" w:ascii="宋体" w:hAnsi="宋体" w:eastAsia="宋体" w:cs="宋体"/>
                <w:b w:val="0"/>
                <w:bCs w:val="0"/>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4.0分</w:t>
            </w:r>
            <w:r>
              <w:rPr>
                <w:rFonts w:hint="eastAsia" w:ascii="宋体" w:hAnsi="宋体" w:eastAsia="宋体" w:cs="宋体"/>
                <w:sz w:val="24"/>
                <w:highlight w:val="none"/>
                <w:lang w:val="en-US" w:eastAsia="zh-CN"/>
              </w:rPr>
              <w:t>≦良好＜7.0分</w:t>
            </w:r>
            <w:r>
              <w:rPr>
                <w:rFonts w:hint="eastAsia" w:ascii="宋体" w:hAnsi="宋体" w:eastAsia="宋体" w:cs="宋体"/>
                <w:b w:val="0"/>
                <w:bCs w:val="0"/>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1.0分</w:t>
            </w:r>
            <w:r>
              <w:rPr>
                <w:rFonts w:hint="eastAsia" w:ascii="宋体" w:hAnsi="宋体" w:eastAsia="宋体" w:cs="宋体"/>
                <w:sz w:val="24"/>
                <w:highlight w:val="none"/>
                <w:lang w:val="en-US" w:eastAsia="zh-CN"/>
              </w:rPr>
              <w:t>≦一般＜4.0分</w:t>
            </w:r>
            <w:r>
              <w:rPr>
                <w:rFonts w:hint="eastAsia" w:ascii="宋体" w:hAnsi="宋体" w:eastAsia="宋体" w:cs="宋体"/>
                <w:b w:val="0"/>
                <w:bCs w:val="0"/>
                <w:color w:val="auto"/>
                <w:sz w:val="24"/>
                <w:szCs w:val="24"/>
                <w:highlight w:val="none"/>
                <w:vertAlign w:val="baseline"/>
              </w:rPr>
              <w:t>；无该项内容或缺少重点的不得分。</w:t>
            </w:r>
          </w:p>
        </w:tc>
      </w:tr>
      <w:tr w14:paraId="7E8D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trPr>
        <w:tc>
          <w:tcPr>
            <w:tcW w:w="478" w:type="dxa"/>
            <w:noWrap w:val="0"/>
            <w:vAlign w:val="center"/>
          </w:tcPr>
          <w:p w14:paraId="5FF826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059" w:type="dxa"/>
            <w:noWrap w:val="0"/>
            <w:vAlign w:val="center"/>
          </w:tcPr>
          <w:p w14:paraId="4AA824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安全、文明管理</w:t>
            </w:r>
            <w:r>
              <w:rPr>
                <w:rFonts w:hint="eastAsia" w:ascii="宋体" w:hAnsi="宋体" w:eastAsia="宋体" w:cs="宋体"/>
                <w:b w:val="0"/>
                <w:bCs w:val="0"/>
                <w:color w:val="auto"/>
                <w:sz w:val="24"/>
                <w:szCs w:val="24"/>
                <w:highlight w:val="none"/>
              </w:rPr>
              <w:t>措施</w:t>
            </w:r>
          </w:p>
          <w:p w14:paraId="5C4B4A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6602" w:type="dxa"/>
            <w:noWrap w:val="0"/>
            <w:vAlign w:val="center"/>
          </w:tcPr>
          <w:p w14:paraId="790257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质量体系完善，保证措施科学合理，成品保护措施合理齐全</w:t>
            </w:r>
            <w:r>
              <w:rPr>
                <w:rFonts w:hint="eastAsia" w:ascii="宋体" w:hAnsi="宋体" w:eastAsia="宋体" w:cs="宋体"/>
                <w:b/>
                <w:bCs/>
                <w:color w:val="auto"/>
                <w:sz w:val="24"/>
                <w:szCs w:val="24"/>
                <w:highlight w:val="none"/>
                <w:lang w:eastAsia="zh-CN"/>
              </w:rPr>
              <w:t>；</w:t>
            </w:r>
          </w:p>
          <w:p w14:paraId="14CD82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施工安全生产保障体系健全，管理目标具体，安全管理制度完善，全员安全责任制明确，现场安全管理组织机构及人员配备满足国家规定要求。根据工程特点、周边环境和施工工艺，现场危险源辨识全面，制定有项目危险性较大的分部分项工程工程清单并明确有响应的安全管理措施。安全技术方案措施科学合理、针对性强</w:t>
            </w:r>
            <w:r>
              <w:rPr>
                <w:rFonts w:hint="eastAsia" w:ascii="宋体" w:hAnsi="宋体" w:eastAsia="宋体" w:cs="宋体"/>
                <w:b/>
                <w:bCs/>
                <w:color w:val="auto"/>
                <w:sz w:val="24"/>
                <w:szCs w:val="24"/>
                <w:highlight w:val="none"/>
                <w:lang w:eastAsia="zh-CN"/>
              </w:rPr>
              <w:t>；</w:t>
            </w:r>
          </w:p>
          <w:p w14:paraId="402CF5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创安全文明标准化工地目标明确，有针对项目实际情况，科学可行的创建计划和符合相关标准、规范、规程的创建保证措施和安全文明措施费用投入使用计划。施工现场维护、警示措施到位，施工车辆统一标识，人员统一着装，符合有关文明施工、健康卫生的规定。施工现场扬尘治理措施必须符合省、市有关规定,防治方案科学、先进。</w:t>
            </w:r>
          </w:p>
          <w:p w14:paraId="310274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由评委进行打分：</w:t>
            </w:r>
            <w:r>
              <w:rPr>
                <w:rFonts w:hint="eastAsia" w:ascii="宋体" w:hAnsi="宋体" w:eastAsia="宋体" w:cs="宋体"/>
                <w:b w:val="0"/>
                <w:bCs w:val="0"/>
                <w:color w:val="auto"/>
                <w:sz w:val="24"/>
                <w:szCs w:val="24"/>
                <w:highlight w:val="none"/>
                <w:vertAlign w:val="baseline"/>
                <w:lang w:val="en-US" w:eastAsia="zh-CN"/>
              </w:rPr>
              <w:t>7.0分</w:t>
            </w:r>
            <w:r>
              <w:rPr>
                <w:rFonts w:hint="eastAsia" w:ascii="宋体" w:hAnsi="宋体" w:eastAsia="宋体" w:cs="宋体"/>
                <w:sz w:val="24"/>
                <w:highlight w:val="none"/>
                <w:lang w:val="en-US" w:eastAsia="zh-CN"/>
              </w:rPr>
              <w:t>≦</w:t>
            </w:r>
            <w:r>
              <w:rPr>
                <w:rFonts w:hint="eastAsia" w:ascii="宋体" w:hAnsi="宋体" w:eastAsia="宋体" w:cs="宋体"/>
                <w:b w:val="0"/>
                <w:bCs w:val="0"/>
                <w:color w:val="auto"/>
                <w:sz w:val="24"/>
                <w:szCs w:val="24"/>
                <w:highlight w:val="none"/>
                <w:vertAlign w:val="baseline"/>
              </w:rPr>
              <w:t>优秀</w:t>
            </w:r>
            <w:r>
              <w:rPr>
                <w:rFonts w:hint="eastAsia" w:ascii="宋体" w:hAnsi="宋体" w:eastAsia="宋体" w:cs="宋体"/>
                <w:sz w:val="24"/>
                <w:highlight w:val="none"/>
                <w:lang w:val="en-US" w:eastAsia="zh-CN"/>
              </w:rPr>
              <w:t>≦</w:t>
            </w:r>
            <w:r>
              <w:rPr>
                <w:rFonts w:hint="eastAsia" w:ascii="宋体" w:hAnsi="宋体" w:eastAsia="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rPr>
              <w:t>.0</w:t>
            </w:r>
            <w:r>
              <w:rPr>
                <w:rFonts w:hint="eastAsia" w:ascii="宋体" w:hAnsi="宋体" w:eastAsia="宋体" w:cs="宋体"/>
                <w:b w:val="0"/>
                <w:bCs w:val="0"/>
                <w:color w:val="auto"/>
                <w:sz w:val="24"/>
                <w:szCs w:val="24"/>
                <w:highlight w:val="none"/>
                <w:vertAlign w:val="baseline"/>
                <w:lang w:val="en-US" w:eastAsia="zh-CN"/>
              </w:rPr>
              <w:t>分</w:t>
            </w:r>
            <w:r>
              <w:rPr>
                <w:rFonts w:hint="eastAsia" w:ascii="宋体" w:hAnsi="宋体" w:eastAsia="宋体" w:cs="宋体"/>
                <w:b w:val="0"/>
                <w:bCs w:val="0"/>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4.0分</w:t>
            </w:r>
            <w:r>
              <w:rPr>
                <w:rFonts w:hint="eastAsia" w:ascii="宋体" w:hAnsi="宋体" w:eastAsia="宋体" w:cs="宋体"/>
                <w:sz w:val="24"/>
                <w:highlight w:val="none"/>
                <w:lang w:val="en-US" w:eastAsia="zh-CN"/>
              </w:rPr>
              <w:t>≦良好＜7.0分</w:t>
            </w:r>
            <w:r>
              <w:rPr>
                <w:rFonts w:hint="eastAsia" w:ascii="宋体" w:hAnsi="宋体" w:eastAsia="宋体" w:cs="宋体"/>
                <w:b w:val="0"/>
                <w:bCs w:val="0"/>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1.0分</w:t>
            </w:r>
            <w:r>
              <w:rPr>
                <w:rFonts w:hint="eastAsia" w:ascii="宋体" w:hAnsi="宋体" w:eastAsia="宋体" w:cs="宋体"/>
                <w:sz w:val="24"/>
                <w:highlight w:val="none"/>
                <w:lang w:val="en-US" w:eastAsia="zh-CN"/>
              </w:rPr>
              <w:t>≦一般＜4.0分</w:t>
            </w:r>
            <w:r>
              <w:rPr>
                <w:rFonts w:hint="eastAsia" w:ascii="宋体" w:hAnsi="宋体" w:eastAsia="宋体" w:cs="宋体"/>
                <w:b w:val="0"/>
                <w:bCs w:val="0"/>
                <w:color w:val="auto"/>
                <w:sz w:val="24"/>
                <w:szCs w:val="24"/>
                <w:highlight w:val="none"/>
                <w:vertAlign w:val="baseline"/>
              </w:rPr>
              <w:t>；无该项内容或缺少重点的不得分。</w:t>
            </w:r>
          </w:p>
        </w:tc>
      </w:tr>
    </w:tbl>
    <w:p w14:paraId="0809378B">
      <w:pPr>
        <w:keepNext w:val="0"/>
        <w:keepLines w:val="0"/>
        <w:pageBreakBefore w:val="0"/>
        <w:widowControl w:val="0"/>
        <w:kinsoku/>
        <w:wordWrap/>
        <w:overflowPunct/>
        <w:topLinePunct w:val="0"/>
        <w:autoSpaceDE/>
        <w:autoSpaceDN/>
        <w:bidi w:val="0"/>
        <w:adjustRightInd/>
        <w:snapToGrid/>
        <w:spacing w:before="137" w:beforeLines="50"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3.投标报价评审（70分）</w:t>
      </w:r>
    </w:p>
    <w:p w14:paraId="7CE4ACF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eastAsia="zh-CN"/>
        </w:rPr>
        <w:t>投标人只需对</w:t>
      </w:r>
      <w:r>
        <w:rPr>
          <w:rFonts w:hint="eastAsia" w:ascii="宋体" w:hAnsi="宋体" w:eastAsia="宋体" w:cs="Times New Roman"/>
          <w:kern w:val="0"/>
          <w:sz w:val="24"/>
          <w:highlight w:val="none"/>
        </w:rPr>
        <w:t>零星工程</w:t>
      </w:r>
      <w:r>
        <w:rPr>
          <w:rFonts w:hint="eastAsia" w:ascii="宋体" w:hAnsi="宋体" w:eastAsia="宋体" w:cs="Times New Roman"/>
          <w:kern w:val="0"/>
          <w:sz w:val="24"/>
          <w:highlight w:val="none"/>
          <w:lang w:eastAsia="zh-CN"/>
        </w:rPr>
        <w:t>（</w:t>
      </w:r>
      <w:r>
        <w:rPr>
          <w:rFonts w:hint="eastAsia" w:ascii="宋体" w:hAnsi="宋体" w:eastAsia="宋体" w:cs="Times New Roman"/>
          <w:kern w:val="0"/>
          <w:sz w:val="24"/>
          <w:highlight w:val="none"/>
        </w:rPr>
        <w:t>投资额≦2万元的日常修缮零星工程</w:t>
      </w:r>
      <w:r>
        <w:rPr>
          <w:rFonts w:hint="eastAsia" w:ascii="宋体" w:hAnsi="宋体" w:eastAsia="宋体" w:cs="Times New Roman"/>
          <w:kern w:val="0"/>
          <w:sz w:val="24"/>
          <w:highlight w:val="none"/>
          <w:lang w:eastAsia="zh-CN"/>
        </w:rPr>
        <w:t>）部分进行投标报价。</w:t>
      </w:r>
    </w:p>
    <w:p w14:paraId="0C750B4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本次采用下浮率报价方式，下浮率</w:t>
      </w:r>
      <w:r>
        <w:rPr>
          <w:rFonts w:hint="eastAsia" w:ascii="宋体" w:hAnsi="宋体" w:eastAsia="宋体" w:cs="宋体"/>
          <w:kern w:val="0"/>
          <w:sz w:val="24"/>
          <w:highlight w:val="none"/>
          <w:lang w:val="en-US" w:eastAsia="zh-CN"/>
        </w:rPr>
        <w:t>≧</w:t>
      </w:r>
      <w:r>
        <w:rPr>
          <w:rFonts w:hint="eastAsia" w:ascii="宋体" w:hAnsi="宋体" w:eastAsia="宋体" w:cs="Times New Roman"/>
          <w:strike w:val="0"/>
          <w:dstrike w:val="0"/>
          <w:kern w:val="0"/>
          <w:sz w:val="24"/>
          <w:highlight w:val="none"/>
          <w:lang w:val="en-US" w:eastAsia="zh-CN"/>
        </w:rPr>
        <w:t>8</w:t>
      </w:r>
      <w:r>
        <w:rPr>
          <w:rFonts w:hint="eastAsia" w:ascii="宋体" w:hAnsi="宋体" w:eastAsia="宋体" w:cs="Times New Roman"/>
          <w:kern w:val="0"/>
          <w:sz w:val="24"/>
          <w:highlight w:val="none"/>
          <w:lang w:val="en-US" w:eastAsia="zh-CN"/>
        </w:rPr>
        <w:t>.00%的报价为有效报价。投标下浮率＜8.00%的作无效标处理。无效投标报价的投标文件不再进行评审。各投标人的投标报价需保留2位小数，否则按四舍五入法进行修正后进行评审。如某投标人的报价为13.256%，则修正后的报价为13.26%。</w:t>
      </w:r>
    </w:p>
    <w:p w14:paraId="2D95414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（1）确定评标基准价：</w:t>
      </w:r>
    </w:p>
    <w:p w14:paraId="0CF4FD8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所有有效报价的算术平均值为评标基准价。</w:t>
      </w:r>
    </w:p>
    <w:p w14:paraId="6AB0600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（2）计算价格标得分：</w:t>
      </w:r>
    </w:p>
    <w:p w14:paraId="7001810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Times New Roman"/>
          <w:kern w:val="0"/>
          <w:sz w:val="24"/>
          <w:highlight w:val="none"/>
          <w:lang w:val="en-US" w:eastAsia="zh-CN"/>
        </w:rPr>
      </w:pPr>
      <w:r>
        <w:rPr>
          <w:rFonts w:hint="default" w:ascii="宋体" w:hAnsi="宋体" w:eastAsia="宋体" w:cs="Times New Roman"/>
          <w:kern w:val="0"/>
          <w:sz w:val="24"/>
          <w:highlight w:val="none"/>
          <w:lang w:val="en-US" w:eastAsia="zh-CN"/>
        </w:rPr>
        <w:t>有效报价等于评标基准价的得满分70分</w:t>
      </w:r>
      <w:r>
        <w:rPr>
          <w:rFonts w:hint="eastAsia" w:ascii="宋体" w:hAnsi="宋体" w:eastAsia="宋体" w:cs="Times New Roman"/>
          <w:kern w:val="0"/>
          <w:sz w:val="24"/>
          <w:highlight w:val="none"/>
          <w:lang w:val="en-US" w:eastAsia="zh-CN"/>
        </w:rPr>
        <w:t>，</w:t>
      </w:r>
      <w:r>
        <w:rPr>
          <w:rFonts w:hint="default" w:ascii="宋体" w:hAnsi="宋体" w:eastAsia="宋体" w:cs="Times New Roman"/>
          <w:kern w:val="0"/>
          <w:sz w:val="24"/>
          <w:highlight w:val="none"/>
          <w:lang w:val="en-US" w:eastAsia="zh-CN"/>
        </w:rPr>
        <w:t>有效报价与评标基准价相比，每</w:t>
      </w:r>
      <w:r>
        <w:rPr>
          <w:rFonts w:hint="eastAsia" w:ascii="宋体" w:hAnsi="宋体" w:eastAsia="宋体" w:cs="Times New Roman"/>
          <w:kern w:val="0"/>
          <w:sz w:val="24"/>
          <w:highlight w:val="none"/>
          <w:lang w:val="en-US" w:eastAsia="zh-CN"/>
        </w:rPr>
        <w:t>减少</w:t>
      </w:r>
      <w:r>
        <w:rPr>
          <w:rFonts w:hint="default" w:ascii="宋体" w:hAnsi="宋体" w:eastAsia="宋体" w:cs="Times New Roman"/>
          <w:kern w:val="0"/>
          <w:sz w:val="24"/>
          <w:highlight w:val="none"/>
          <w:lang w:val="en-US" w:eastAsia="zh-CN"/>
        </w:rPr>
        <w:t>1%扣0.9分；每</w:t>
      </w:r>
      <w:r>
        <w:rPr>
          <w:rFonts w:hint="eastAsia" w:ascii="宋体" w:hAnsi="宋体" w:eastAsia="宋体" w:cs="Times New Roman"/>
          <w:kern w:val="0"/>
          <w:sz w:val="24"/>
          <w:highlight w:val="none"/>
          <w:lang w:val="en-US" w:eastAsia="zh-CN"/>
        </w:rPr>
        <w:t>增加</w:t>
      </w:r>
      <w:r>
        <w:rPr>
          <w:rFonts w:hint="default" w:ascii="宋体" w:hAnsi="宋体" w:eastAsia="宋体" w:cs="Times New Roman"/>
          <w:kern w:val="0"/>
          <w:sz w:val="24"/>
          <w:highlight w:val="none"/>
          <w:lang w:val="en-US" w:eastAsia="zh-CN"/>
        </w:rPr>
        <w:t>1%扣0.6分</w:t>
      </w:r>
      <w:r>
        <w:rPr>
          <w:rFonts w:hint="eastAsia" w:ascii="宋体" w:hAnsi="宋体" w:eastAsia="宋体" w:cs="Times New Roman"/>
          <w:kern w:val="0"/>
          <w:sz w:val="24"/>
          <w:highlight w:val="none"/>
          <w:lang w:val="en-US" w:eastAsia="zh-CN"/>
        </w:rPr>
        <w:t>，</w:t>
      </w:r>
      <w:r>
        <w:rPr>
          <w:rFonts w:hint="default" w:ascii="宋体" w:hAnsi="宋体" w:eastAsia="宋体" w:cs="Times New Roman"/>
          <w:kern w:val="0"/>
          <w:sz w:val="24"/>
          <w:highlight w:val="none"/>
          <w:lang w:val="en-US" w:eastAsia="zh-CN"/>
        </w:rPr>
        <w:t>不足1%的采用插入法计算，得分采用四舍五入法保留两位小数。</w:t>
      </w:r>
    </w:p>
    <w:tbl>
      <w:tblPr>
        <w:tblStyle w:val="3"/>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680"/>
        <w:gridCol w:w="1581"/>
        <w:gridCol w:w="4811"/>
      </w:tblGrid>
      <w:tr w14:paraId="1E9F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14:paraId="3666FD6A">
            <w:pPr>
              <w:snapToGrid w:val="0"/>
              <w:jc w:val="center"/>
              <w:rPr>
                <w:sz w:val="24"/>
                <w:szCs w:val="24"/>
                <w:highlight w:val="none"/>
              </w:rPr>
            </w:pPr>
            <w:r>
              <w:rPr>
                <w:rFonts w:hint="eastAsia"/>
                <w:sz w:val="24"/>
                <w:szCs w:val="24"/>
                <w:highlight w:val="none"/>
              </w:rPr>
              <w:t>单位</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EE0988E">
            <w:pPr>
              <w:snapToGrid w:val="0"/>
              <w:jc w:val="center"/>
              <w:rPr>
                <w:sz w:val="24"/>
                <w:szCs w:val="24"/>
                <w:highlight w:val="none"/>
              </w:rPr>
            </w:pPr>
            <w:r>
              <w:rPr>
                <w:rFonts w:hint="eastAsia"/>
                <w:sz w:val="24"/>
                <w:szCs w:val="24"/>
                <w:highlight w:val="none"/>
              </w:rPr>
              <w:t>评审投标报价（</w:t>
            </w:r>
            <w:r>
              <w:rPr>
                <w:sz w:val="24"/>
                <w:szCs w:val="24"/>
                <w:highlight w:val="none"/>
              </w:rPr>
              <w:t>%</w:t>
            </w:r>
            <w:r>
              <w:rPr>
                <w:rFonts w:hint="eastAsia"/>
                <w:sz w:val="24"/>
                <w:szCs w:val="24"/>
                <w:highlight w:val="none"/>
              </w:rPr>
              <w:t>）</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39A1DF0">
            <w:pPr>
              <w:snapToGrid w:val="0"/>
              <w:jc w:val="center"/>
              <w:rPr>
                <w:sz w:val="24"/>
                <w:szCs w:val="24"/>
                <w:highlight w:val="none"/>
              </w:rPr>
            </w:pPr>
            <w:r>
              <w:rPr>
                <w:rFonts w:hint="eastAsia"/>
                <w:sz w:val="24"/>
                <w:szCs w:val="24"/>
                <w:highlight w:val="none"/>
              </w:rPr>
              <w:t>评标基准价（</w:t>
            </w:r>
            <w:r>
              <w:rPr>
                <w:sz w:val="24"/>
                <w:szCs w:val="24"/>
                <w:highlight w:val="none"/>
              </w:rPr>
              <w:t>%</w:t>
            </w:r>
            <w:r>
              <w:rPr>
                <w:rFonts w:hint="eastAsia"/>
                <w:sz w:val="24"/>
                <w:szCs w:val="24"/>
                <w:highlight w:val="none"/>
              </w:rPr>
              <w:t>）</w:t>
            </w:r>
          </w:p>
        </w:tc>
        <w:tc>
          <w:tcPr>
            <w:tcW w:w="4811" w:type="dxa"/>
            <w:tcBorders>
              <w:top w:val="single" w:color="auto" w:sz="4" w:space="0"/>
              <w:left w:val="single" w:color="auto" w:sz="4" w:space="0"/>
              <w:bottom w:val="single" w:color="auto" w:sz="4" w:space="0"/>
              <w:right w:val="single" w:color="auto" w:sz="4" w:space="0"/>
            </w:tcBorders>
            <w:noWrap w:val="0"/>
            <w:vAlign w:val="center"/>
          </w:tcPr>
          <w:p w14:paraId="6AD3FCCF">
            <w:pPr>
              <w:snapToGrid w:val="0"/>
              <w:jc w:val="center"/>
              <w:rPr>
                <w:sz w:val="24"/>
                <w:szCs w:val="24"/>
                <w:highlight w:val="none"/>
              </w:rPr>
            </w:pPr>
            <w:r>
              <w:rPr>
                <w:rFonts w:hint="eastAsia"/>
                <w:sz w:val="24"/>
                <w:szCs w:val="24"/>
                <w:highlight w:val="none"/>
              </w:rPr>
              <w:t>价格得分计算</w:t>
            </w:r>
          </w:p>
        </w:tc>
      </w:tr>
      <w:tr w14:paraId="792D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14:paraId="6EA17A5E">
            <w:pPr>
              <w:jc w:val="center"/>
              <w:rPr>
                <w:sz w:val="24"/>
                <w:szCs w:val="24"/>
                <w:highlight w:val="none"/>
              </w:rPr>
            </w:pPr>
            <w:r>
              <w:rPr>
                <w:sz w:val="24"/>
                <w:szCs w:val="24"/>
                <w:highlight w:val="none"/>
              </w:rPr>
              <w:t>A</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BC3C372">
            <w:pPr>
              <w:jc w:val="center"/>
              <w:rPr>
                <w:sz w:val="24"/>
                <w:szCs w:val="24"/>
                <w:highlight w:val="none"/>
              </w:rPr>
            </w:pPr>
            <w:r>
              <w:rPr>
                <w:rFonts w:hint="eastAsia"/>
                <w:sz w:val="24"/>
                <w:szCs w:val="24"/>
                <w:highlight w:val="none"/>
                <w:lang w:val="en-US" w:eastAsia="zh-CN"/>
              </w:rPr>
              <w:t>1</w:t>
            </w:r>
            <w:r>
              <w:rPr>
                <w:rFonts w:hint="eastAsia"/>
                <w:sz w:val="24"/>
                <w:szCs w:val="24"/>
                <w:highlight w:val="none"/>
              </w:rPr>
              <w:t>3.20</w:t>
            </w:r>
          </w:p>
        </w:tc>
        <w:tc>
          <w:tcPr>
            <w:tcW w:w="1581" w:type="dxa"/>
            <w:vMerge w:val="restart"/>
            <w:tcBorders>
              <w:top w:val="single" w:color="auto" w:sz="4" w:space="0"/>
              <w:left w:val="single" w:color="auto" w:sz="4" w:space="0"/>
              <w:bottom w:val="single" w:color="auto" w:sz="4" w:space="0"/>
              <w:right w:val="single" w:color="auto" w:sz="4" w:space="0"/>
            </w:tcBorders>
            <w:noWrap w:val="0"/>
            <w:vAlign w:val="center"/>
          </w:tcPr>
          <w:p w14:paraId="3D74EC99">
            <w:pPr>
              <w:jc w:val="center"/>
              <w:rPr>
                <w:rFonts w:hint="default" w:eastAsia="宋体"/>
                <w:sz w:val="24"/>
                <w:szCs w:val="24"/>
                <w:highlight w:val="none"/>
                <w:lang w:val="en-US" w:eastAsia="zh-CN"/>
              </w:rPr>
            </w:pPr>
            <w:r>
              <w:rPr>
                <w:rFonts w:hint="eastAsia" w:eastAsia="宋体"/>
                <w:sz w:val="24"/>
                <w:szCs w:val="24"/>
                <w:highlight w:val="none"/>
                <w:lang w:val="en-US" w:eastAsia="zh-CN"/>
              </w:rPr>
              <w:t>13.13</w:t>
            </w:r>
          </w:p>
        </w:tc>
        <w:tc>
          <w:tcPr>
            <w:tcW w:w="4811" w:type="dxa"/>
            <w:tcBorders>
              <w:top w:val="single" w:color="auto" w:sz="4" w:space="0"/>
              <w:left w:val="single" w:color="auto" w:sz="4" w:space="0"/>
              <w:bottom w:val="single" w:color="auto" w:sz="4" w:space="0"/>
              <w:right w:val="single" w:color="auto" w:sz="4" w:space="0"/>
            </w:tcBorders>
            <w:noWrap w:val="0"/>
            <w:vAlign w:val="center"/>
          </w:tcPr>
          <w:p w14:paraId="4F7311DE">
            <w:pPr>
              <w:jc w:val="center"/>
              <w:rPr>
                <w:rFonts w:hint="default" w:eastAsia="宋体"/>
                <w:sz w:val="24"/>
                <w:szCs w:val="24"/>
                <w:highlight w:val="none"/>
                <w:lang w:val="en-US" w:eastAsia="zh-CN"/>
              </w:rPr>
            </w:pPr>
            <w:r>
              <w:rPr>
                <w:rFonts w:hint="eastAsia"/>
                <w:sz w:val="24"/>
                <w:szCs w:val="24"/>
                <w:highlight w:val="none"/>
                <w:lang w:val="en-US" w:eastAsia="zh-CN"/>
              </w:rPr>
              <w:t>70</w:t>
            </w:r>
            <w:r>
              <w:rPr>
                <w:sz w:val="24"/>
                <w:szCs w:val="24"/>
                <w:highlight w:val="none"/>
              </w:rPr>
              <w:t>-</w:t>
            </w:r>
            <w:r>
              <w:rPr>
                <w:rFonts w:hint="eastAsia"/>
                <w:sz w:val="24"/>
                <w:szCs w:val="24"/>
                <w:highlight w:val="none"/>
              </w:rPr>
              <w:t>（</w:t>
            </w:r>
            <w:r>
              <w:rPr>
                <w:rFonts w:hint="eastAsia"/>
                <w:sz w:val="24"/>
                <w:szCs w:val="24"/>
                <w:highlight w:val="none"/>
                <w:lang w:val="en-US" w:eastAsia="zh-CN"/>
              </w:rPr>
              <w:t>13</w:t>
            </w:r>
            <w:r>
              <w:rPr>
                <w:rFonts w:hint="eastAsia"/>
                <w:sz w:val="24"/>
                <w:szCs w:val="24"/>
                <w:highlight w:val="none"/>
              </w:rPr>
              <w:t>.</w:t>
            </w:r>
            <w:r>
              <w:rPr>
                <w:rFonts w:hint="eastAsia"/>
                <w:sz w:val="24"/>
                <w:szCs w:val="24"/>
                <w:highlight w:val="none"/>
                <w:lang w:val="en-US" w:eastAsia="zh-CN"/>
              </w:rPr>
              <w:t>20</w:t>
            </w:r>
            <w:r>
              <w:rPr>
                <w:sz w:val="24"/>
                <w:szCs w:val="24"/>
                <w:highlight w:val="none"/>
              </w:rPr>
              <w:t>-</w:t>
            </w:r>
            <w:r>
              <w:rPr>
                <w:rFonts w:hint="eastAsia"/>
                <w:sz w:val="24"/>
                <w:szCs w:val="24"/>
                <w:highlight w:val="none"/>
                <w:lang w:val="en-US" w:eastAsia="zh-CN"/>
              </w:rPr>
              <w:t>1</w:t>
            </w:r>
            <w:r>
              <w:rPr>
                <w:rFonts w:hint="eastAsia"/>
                <w:sz w:val="24"/>
                <w:szCs w:val="24"/>
                <w:highlight w:val="none"/>
              </w:rPr>
              <w:t>3.</w:t>
            </w:r>
            <w:r>
              <w:rPr>
                <w:rFonts w:hint="eastAsia"/>
                <w:sz w:val="24"/>
                <w:szCs w:val="24"/>
                <w:highlight w:val="none"/>
                <w:lang w:val="en-US" w:eastAsia="zh-CN"/>
              </w:rPr>
              <w:t>13</w:t>
            </w:r>
            <w:r>
              <w:rPr>
                <w:rFonts w:hint="eastAsia"/>
                <w:sz w:val="24"/>
                <w:szCs w:val="24"/>
                <w:highlight w:val="none"/>
              </w:rPr>
              <w:t>）</w:t>
            </w:r>
            <w:r>
              <w:rPr>
                <w:sz w:val="24"/>
                <w:szCs w:val="24"/>
                <w:highlight w:val="none"/>
              </w:rPr>
              <w:t>*0.</w:t>
            </w:r>
            <w:r>
              <w:rPr>
                <w:rFonts w:hint="eastAsia"/>
                <w:sz w:val="24"/>
                <w:szCs w:val="24"/>
                <w:highlight w:val="none"/>
                <w:lang w:val="en-US" w:eastAsia="zh-CN"/>
              </w:rPr>
              <w:t>6</w:t>
            </w:r>
            <w:r>
              <w:rPr>
                <w:sz w:val="24"/>
                <w:szCs w:val="24"/>
                <w:highlight w:val="none"/>
              </w:rPr>
              <w:t>=</w:t>
            </w:r>
            <w:r>
              <w:rPr>
                <w:rFonts w:hint="eastAsia"/>
                <w:sz w:val="24"/>
                <w:szCs w:val="24"/>
                <w:highlight w:val="none"/>
              </w:rPr>
              <w:t>6</w:t>
            </w:r>
            <w:r>
              <w:rPr>
                <w:rFonts w:hint="eastAsia"/>
                <w:sz w:val="24"/>
                <w:szCs w:val="24"/>
                <w:highlight w:val="none"/>
                <w:lang w:val="en-US" w:eastAsia="zh-CN"/>
              </w:rPr>
              <w:t>9.96</w:t>
            </w:r>
          </w:p>
        </w:tc>
      </w:tr>
      <w:tr w14:paraId="246F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14:paraId="00D16248">
            <w:pPr>
              <w:jc w:val="center"/>
              <w:rPr>
                <w:sz w:val="24"/>
                <w:szCs w:val="24"/>
                <w:highlight w:val="none"/>
              </w:rPr>
            </w:pPr>
            <w:r>
              <w:rPr>
                <w:sz w:val="24"/>
                <w:szCs w:val="24"/>
                <w:highlight w:val="none"/>
              </w:rPr>
              <w:t>B</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39FF979">
            <w:pPr>
              <w:jc w:val="center"/>
              <w:rPr>
                <w:sz w:val="24"/>
                <w:szCs w:val="24"/>
                <w:highlight w:val="none"/>
              </w:rPr>
            </w:pPr>
            <w:r>
              <w:rPr>
                <w:rFonts w:hint="eastAsia"/>
                <w:sz w:val="24"/>
                <w:szCs w:val="24"/>
                <w:highlight w:val="none"/>
                <w:lang w:val="en-US" w:eastAsia="zh-CN"/>
              </w:rPr>
              <w:t>15</w:t>
            </w:r>
            <w:r>
              <w:rPr>
                <w:rFonts w:hint="eastAsia"/>
                <w:sz w:val="24"/>
                <w:szCs w:val="24"/>
                <w:highlight w:val="none"/>
              </w:rPr>
              <w:t>.00</w:t>
            </w: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2568DFCB">
            <w:pPr>
              <w:jc w:val="center"/>
              <w:rPr>
                <w:sz w:val="24"/>
                <w:szCs w:val="24"/>
                <w:highlight w:val="none"/>
              </w:rPr>
            </w:pPr>
          </w:p>
        </w:tc>
        <w:tc>
          <w:tcPr>
            <w:tcW w:w="4811" w:type="dxa"/>
            <w:tcBorders>
              <w:top w:val="single" w:color="auto" w:sz="4" w:space="0"/>
              <w:left w:val="single" w:color="auto" w:sz="4" w:space="0"/>
              <w:bottom w:val="single" w:color="auto" w:sz="4" w:space="0"/>
              <w:right w:val="single" w:color="auto" w:sz="4" w:space="0"/>
            </w:tcBorders>
            <w:noWrap w:val="0"/>
            <w:vAlign w:val="center"/>
          </w:tcPr>
          <w:p w14:paraId="326E5A99">
            <w:pPr>
              <w:jc w:val="center"/>
              <w:rPr>
                <w:rFonts w:hint="default" w:eastAsia="宋体"/>
                <w:sz w:val="24"/>
                <w:szCs w:val="24"/>
                <w:highlight w:val="none"/>
                <w:lang w:val="en-US" w:eastAsia="zh-CN"/>
              </w:rPr>
            </w:pPr>
            <w:r>
              <w:rPr>
                <w:rFonts w:hint="eastAsia"/>
                <w:sz w:val="24"/>
                <w:szCs w:val="24"/>
                <w:highlight w:val="none"/>
                <w:lang w:val="en-US" w:eastAsia="zh-CN"/>
              </w:rPr>
              <w:t>70</w:t>
            </w:r>
            <w:r>
              <w:rPr>
                <w:sz w:val="24"/>
                <w:szCs w:val="24"/>
                <w:highlight w:val="none"/>
              </w:rPr>
              <w:t>-</w:t>
            </w:r>
            <w:r>
              <w:rPr>
                <w:rFonts w:hint="eastAsia"/>
                <w:sz w:val="24"/>
                <w:szCs w:val="24"/>
                <w:highlight w:val="none"/>
              </w:rPr>
              <w:t>（</w:t>
            </w:r>
            <w:r>
              <w:rPr>
                <w:rFonts w:hint="eastAsia"/>
                <w:sz w:val="24"/>
                <w:szCs w:val="24"/>
                <w:highlight w:val="none"/>
                <w:lang w:val="en-US" w:eastAsia="zh-CN"/>
              </w:rPr>
              <w:t>15</w:t>
            </w:r>
            <w:r>
              <w:rPr>
                <w:rFonts w:hint="eastAsia"/>
                <w:sz w:val="24"/>
                <w:szCs w:val="24"/>
                <w:highlight w:val="none"/>
              </w:rPr>
              <w:t>.</w:t>
            </w:r>
            <w:r>
              <w:rPr>
                <w:rFonts w:hint="eastAsia"/>
                <w:sz w:val="24"/>
                <w:szCs w:val="24"/>
                <w:highlight w:val="none"/>
                <w:lang w:val="en-US" w:eastAsia="zh-CN"/>
              </w:rPr>
              <w:t>20</w:t>
            </w:r>
            <w:r>
              <w:rPr>
                <w:sz w:val="24"/>
                <w:szCs w:val="24"/>
                <w:highlight w:val="none"/>
              </w:rPr>
              <w:t>-</w:t>
            </w:r>
            <w:r>
              <w:rPr>
                <w:rFonts w:hint="eastAsia"/>
                <w:sz w:val="24"/>
                <w:szCs w:val="24"/>
                <w:highlight w:val="none"/>
                <w:lang w:val="en-US" w:eastAsia="zh-CN"/>
              </w:rPr>
              <w:t>1</w:t>
            </w:r>
            <w:r>
              <w:rPr>
                <w:rFonts w:hint="eastAsia"/>
                <w:sz w:val="24"/>
                <w:szCs w:val="24"/>
                <w:highlight w:val="none"/>
              </w:rPr>
              <w:t>3.</w:t>
            </w:r>
            <w:r>
              <w:rPr>
                <w:rFonts w:hint="eastAsia"/>
                <w:sz w:val="24"/>
                <w:szCs w:val="24"/>
                <w:highlight w:val="none"/>
                <w:lang w:val="en-US" w:eastAsia="zh-CN"/>
              </w:rPr>
              <w:t>13</w:t>
            </w:r>
            <w:r>
              <w:rPr>
                <w:rFonts w:hint="eastAsia"/>
                <w:sz w:val="24"/>
                <w:szCs w:val="24"/>
                <w:highlight w:val="none"/>
              </w:rPr>
              <w:t>）</w:t>
            </w:r>
            <w:r>
              <w:rPr>
                <w:sz w:val="24"/>
                <w:szCs w:val="24"/>
                <w:highlight w:val="none"/>
              </w:rPr>
              <w:t>*0.</w:t>
            </w:r>
            <w:r>
              <w:rPr>
                <w:rFonts w:hint="eastAsia"/>
                <w:sz w:val="24"/>
                <w:szCs w:val="24"/>
                <w:highlight w:val="none"/>
                <w:lang w:val="en-US" w:eastAsia="zh-CN"/>
              </w:rPr>
              <w:t>6</w:t>
            </w:r>
            <w:r>
              <w:rPr>
                <w:sz w:val="24"/>
                <w:szCs w:val="24"/>
                <w:highlight w:val="none"/>
              </w:rPr>
              <w:t>=</w:t>
            </w:r>
            <w:r>
              <w:rPr>
                <w:rFonts w:hint="eastAsia"/>
                <w:sz w:val="24"/>
                <w:szCs w:val="24"/>
                <w:highlight w:val="none"/>
              </w:rPr>
              <w:t>6</w:t>
            </w:r>
            <w:r>
              <w:rPr>
                <w:rFonts w:hint="eastAsia"/>
                <w:sz w:val="24"/>
                <w:szCs w:val="24"/>
                <w:highlight w:val="none"/>
                <w:lang w:val="en-US" w:eastAsia="zh-CN"/>
              </w:rPr>
              <w:t>8.76</w:t>
            </w:r>
          </w:p>
        </w:tc>
      </w:tr>
      <w:tr w14:paraId="1172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14:paraId="7E0CA278">
            <w:pPr>
              <w:jc w:val="center"/>
              <w:rPr>
                <w:sz w:val="24"/>
                <w:szCs w:val="24"/>
                <w:highlight w:val="none"/>
              </w:rPr>
            </w:pPr>
            <w:r>
              <w:rPr>
                <w:sz w:val="24"/>
                <w:szCs w:val="24"/>
                <w:highlight w:val="none"/>
              </w:rPr>
              <w:t>C</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4A94B7C">
            <w:pPr>
              <w:jc w:val="center"/>
              <w:rPr>
                <w:sz w:val="24"/>
                <w:szCs w:val="24"/>
                <w:highlight w:val="none"/>
              </w:rPr>
            </w:pPr>
            <w:r>
              <w:rPr>
                <w:rFonts w:hint="eastAsia"/>
                <w:sz w:val="24"/>
                <w:szCs w:val="24"/>
                <w:highlight w:val="none"/>
                <w:lang w:val="en-US" w:eastAsia="zh-CN"/>
              </w:rPr>
              <w:t>11</w:t>
            </w: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0</w:t>
            </w: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5653DFEB">
            <w:pPr>
              <w:jc w:val="center"/>
              <w:rPr>
                <w:sz w:val="24"/>
                <w:szCs w:val="24"/>
                <w:highlight w:val="none"/>
              </w:rPr>
            </w:pPr>
          </w:p>
        </w:tc>
        <w:tc>
          <w:tcPr>
            <w:tcW w:w="4811" w:type="dxa"/>
            <w:tcBorders>
              <w:top w:val="single" w:color="auto" w:sz="4" w:space="0"/>
              <w:left w:val="single" w:color="auto" w:sz="4" w:space="0"/>
              <w:bottom w:val="single" w:color="auto" w:sz="4" w:space="0"/>
              <w:right w:val="single" w:color="auto" w:sz="4" w:space="0"/>
            </w:tcBorders>
            <w:noWrap w:val="0"/>
            <w:vAlign w:val="center"/>
          </w:tcPr>
          <w:p w14:paraId="35F5B5DD">
            <w:pPr>
              <w:jc w:val="center"/>
              <w:rPr>
                <w:rFonts w:hint="default" w:eastAsia="宋体"/>
                <w:sz w:val="24"/>
                <w:szCs w:val="24"/>
                <w:highlight w:val="none"/>
                <w:lang w:val="en-US" w:eastAsia="zh-CN"/>
              </w:rPr>
            </w:pPr>
            <w:r>
              <w:rPr>
                <w:rFonts w:hint="eastAsia"/>
                <w:sz w:val="24"/>
                <w:szCs w:val="24"/>
                <w:highlight w:val="none"/>
                <w:lang w:val="en-US" w:eastAsia="zh-CN"/>
              </w:rPr>
              <w:t>70</w:t>
            </w:r>
            <w:r>
              <w:rPr>
                <w:sz w:val="24"/>
                <w:szCs w:val="24"/>
                <w:highlight w:val="none"/>
              </w:rPr>
              <w:t>-</w:t>
            </w:r>
            <w:r>
              <w:rPr>
                <w:rFonts w:hint="eastAsia"/>
                <w:sz w:val="24"/>
                <w:szCs w:val="24"/>
                <w:highlight w:val="none"/>
              </w:rPr>
              <w:t>（</w:t>
            </w:r>
            <w:r>
              <w:rPr>
                <w:rFonts w:hint="eastAsia"/>
                <w:sz w:val="24"/>
                <w:szCs w:val="24"/>
                <w:highlight w:val="none"/>
                <w:lang w:val="en-US" w:eastAsia="zh-CN"/>
              </w:rPr>
              <w:t>13</w:t>
            </w:r>
            <w:r>
              <w:rPr>
                <w:rFonts w:hint="eastAsia"/>
                <w:sz w:val="24"/>
                <w:szCs w:val="24"/>
                <w:highlight w:val="none"/>
              </w:rPr>
              <w:t>.</w:t>
            </w:r>
            <w:r>
              <w:rPr>
                <w:rFonts w:hint="eastAsia"/>
                <w:sz w:val="24"/>
                <w:szCs w:val="24"/>
                <w:highlight w:val="none"/>
                <w:lang w:val="en-US" w:eastAsia="zh-CN"/>
              </w:rPr>
              <w:t>13</w:t>
            </w:r>
            <w:r>
              <w:rPr>
                <w:sz w:val="24"/>
                <w:szCs w:val="24"/>
                <w:highlight w:val="none"/>
              </w:rPr>
              <w:t>-</w:t>
            </w:r>
            <w:r>
              <w:rPr>
                <w:rFonts w:hint="eastAsia"/>
                <w:sz w:val="24"/>
                <w:szCs w:val="24"/>
                <w:highlight w:val="none"/>
                <w:lang w:val="en-US" w:eastAsia="zh-CN"/>
              </w:rPr>
              <w:t>11</w:t>
            </w:r>
            <w:r>
              <w:rPr>
                <w:rFonts w:hint="eastAsia"/>
                <w:sz w:val="24"/>
                <w:szCs w:val="24"/>
                <w:highlight w:val="none"/>
              </w:rPr>
              <w:t>.</w:t>
            </w:r>
            <w:r>
              <w:rPr>
                <w:rFonts w:hint="eastAsia"/>
                <w:sz w:val="24"/>
                <w:szCs w:val="24"/>
                <w:highlight w:val="none"/>
                <w:lang w:val="en-US" w:eastAsia="zh-CN"/>
              </w:rPr>
              <w:t>20</w:t>
            </w:r>
            <w:r>
              <w:rPr>
                <w:rFonts w:hint="eastAsia"/>
                <w:sz w:val="24"/>
                <w:szCs w:val="24"/>
                <w:highlight w:val="none"/>
              </w:rPr>
              <w:t>）</w:t>
            </w:r>
            <w:r>
              <w:rPr>
                <w:sz w:val="24"/>
                <w:szCs w:val="24"/>
                <w:highlight w:val="none"/>
              </w:rPr>
              <w:t>*0.</w:t>
            </w:r>
            <w:r>
              <w:rPr>
                <w:rFonts w:hint="eastAsia"/>
                <w:sz w:val="24"/>
                <w:szCs w:val="24"/>
                <w:highlight w:val="none"/>
                <w:lang w:val="en-US" w:eastAsia="zh-CN"/>
              </w:rPr>
              <w:t>9</w:t>
            </w:r>
            <w:r>
              <w:rPr>
                <w:sz w:val="24"/>
                <w:szCs w:val="24"/>
                <w:highlight w:val="none"/>
              </w:rPr>
              <w:t>=</w:t>
            </w:r>
            <w:r>
              <w:rPr>
                <w:rFonts w:hint="eastAsia"/>
                <w:sz w:val="24"/>
                <w:szCs w:val="24"/>
                <w:highlight w:val="none"/>
                <w:lang w:val="en-US" w:eastAsia="zh-CN"/>
              </w:rPr>
              <w:t>68.26</w:t>
            </w:r>
          </w:p>
        </w:tc>
      </w:tr>
    </w:tbl>
    <w:p w14:paraId="63ECFA4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评标结束后，除评标过程中存在计算错误外，上述评标基准价不因招投标当事人质疑、投诉、复议以及其它任何情形而改变。</w:t>
      </w:r>
    </w:p>
    <w:p w14:paraId="58E8CA77">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Times New Roman"/>
          <w:b/>
          <w:bCs/>
          <w:kern w:val="0"/>
          <w:sz w:val="24"/>
          <w:highlight w:val="none"/>
          <w:lang w:val="en-US" w:eastAsia="zh-CN"/>
        </w:rPr>
      </w:pPr>
      <w:r>
        <w:rPr>
          <w:rFonts w:hint="eastAsia" w:ascii="宋体" w:hAnsi="宋体" w:eastAsia="宋体" w:cs="Times New Roman"/>
          <w:b/>
          <w:bCs/>
          <w:kern w:val="0"/>
          <w:sz w:val="24"/>
          <w:highlight w:val="none"/>
          <w:lang w:val="en-US" w:eastAsia="zh-CN"/>
        </w:rPr>
        <w:t>4.确定中标候选人</w:t>
      </w:r>
    </w:p>
    <w:p w14:paraId="5B8F13E1">
      <w:pPr>
        <w:widowControl/>
        <w:spacing w:line="360" w:lineRule="auto"/>
        <w:ind w:firstLine="480" w:firstLineChars="200"/>
        <w:jc w:val="left"/>
        <w:rPr>
          <w:rFonts w:ascii="宋体" w:hAnsi="宋体"/>
          <w:kern w:val="0"/>
          <w:sz w:val="24"/>
          <w:highlight w:val="none"/>
        </w:rPr>
      </w:pPr>
      <w:r>
        <w:rPr>
          <w:rFonts w:hint="eastAsia" w:ascii="宋体" w:hAnsi="宋体"/>
          <w:kern w:val="0"/>
          <w:sz w:val="24"/>
          <w:highlight w:val="none"/>
          <w:lang w:val="en-US" w:eastAsia="zh-CN"/>
        </w:rPr>
        <w:t>4</w:t>
      </w:r>
      <w:r>
        <w:rPr>
          <w:rFonts w:hint="eastAsia" w:ascii="宋体" w:hAnsi="宋体"/>
          <w:kern w:val="0"/>
          <w:sz w:val="24"/>
          <w:highlight w:val="none"/>
        </w:rPr>
        <w:t>.1凡参与投标的单位，视同认可招标人规定的</w:t>
      </w:r>
      <w:r>
        <w:rPr>
          <w:rFonts w:hint="eastAsia" w:ascii="宋体" w:hAnsi="宋体"/>
          <w:kern w:val="0"/>
          <w:sz w:val="24"/>
          <w:highlight w:val="none"/>
          <w:lang w:eastAsia="zh-CN"/>
        </w:rPr>
        <w:t>任务</w:t>
      </w:r>
      <w:r>
        <w:rPr>
          <w:rFonts w:hint="eastAsia" w:ascii="宋体" w:hAnsi="宋体"/>
          <w:kern w:val="0"/>
          <w:sz w:val="24"/>
          <w:highlight w:val="none"/>
        </w:rPr>
        <w:t>方式：</w:t>
      </w:r>
    </w:p>
    <w:p w14:paraId="4791F5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highlight w:val="none"/>
          <w:lang w:eastAsia="zh-CN"/>
        </w:rPr>
      </w:pPr>
      <w:r>
        <w:rPr>
          <w:rFonts w:hint="eastAsia" w:ascii="宋体" w:hAnsi="宋体"/>
          <w:b w:val="0"/>
          <w:bCs w:val="0"/>
          <w:sz w:val="24"/>
          <w:highlight w:val="none"/>
          <w:lang w:val="en-US" w:eastAsia="zh-CN"/>
        </w:rPr>
        <w:t>（1）</w:t>
      </w:r>
      <w:r>
        <w:rPr>
          <w:rFonts w:hint="eastAsia" w:ascii="宋体" w:hAnsi="宋体"/>
          <w:b w:val="0"/>
          <w:bCs w:val="0"/>
          <w:sz w:val="24"/>
          <w:highlight w:val="none"/>
          <w:lang w:eastAsia="zh-CN"/>
        </w:rPr>
        <w:t>零星工程：根据</w:t>
      </w:r>
      <w:r>
        <w:rPr>
          <w:rFonts w:hint="eastAsia" w:ascii="宋体" w:hAnsi="宋体"/>
          <w:b w:val="0"/>
          <w:bCs w:val="0"/>
          <w:sz w:val="24"/>
          <w:highlight w:val="none"/>
        </w:rPr>
        <w:t>维修</w:t>
      </w:r>
      <w:r>
        <w:rPr>
          <w:rFonts w:hint="eastAsia" w:ascii="宋体" w:hAnsi="宋体"/>
          <w:b w:val="0"/>
          <w:bCs w:val="0"/>
          <w:kern w:val="0"/>
          <w:sz w:val="24"/>
          <w:highlight w:val="none"/>
        </w:rPr>
        <w:t>派工指令文件及相关工程量确认手续</w:t>
      </w:r>
      <w:r>
        <w:rPr>
          <w:rFonts w:hint="eastAsia" w:ascii="宋体" w:hAnsi="宋体"/>
          <w:b w:val="0"/>
          <w:bCs w:val="0"/>
          <w:sz w:val="24"/>
          <w:highlight w:val="none"/>
        </w:rPr>
        <w:t>；施工图纸</w:t>
      </w:r>
      <w:r>
        <w:rPr>
          <w:rFonts w:hint="eastAsia" w:ascii="宋体" w:hAnsi="宋体"/>
          <w:b w:val="0"/>
          <w:bCs w:val="0"/>
          <w:sz w:val="24"/>
          <w:highlight w:val="none"/>
          <w:lang w:eastAsia="zh-CN"/>
        </w:rPr>
        <w:t>；本须知第</w:t>
      </w:r>
      <w:r>
        <w:rPr>
          <w:rFonts w:hint="eastAsia" w:ascii="宋体" w:hAnsi="宋体"/>
          <w:b w:val="0"/>
          <w:bCs w:val="0"/>
          <w:sz w:val="24"/>
          <w:highlight w:val="none"/>
          <w:lang w:val="en-US" w:eastAsia="zh-CN"/>
        </w:rPr>
        <w:t>18条</w:t>
      </w:r>
      <w:r>
        <w:rPr>
          <w:rFonts w:hint="eastAsia" w:ascii="宋体" w:hAnsi="宋体"/>
          <w:b w:val="0"/>
          <w:bCs w:val="0"/>
          <w:sz w:val="24"/>
          <w:highlight w:val="none"/>
          <w:lang w:eastAsia="zh-CN"/>
        </w:rPr>
        <w:t>的约定；合同下浮率等依据进行结算。</w:t>
      </w:r>
      <w:r>
        <w:rPr>
          <w:rFonts w:hint="eastAsia" w:ascii="宋体" w:hAnsi="宋体"/>
          <w:sz w:val="24"/>
          <w:highlight w:val="none"/>
          <w:lang w:eastAsia="zh-CN"/>
        </w:rPr>
        <w:t>中标单位</w:t>
      </w:r>
      <w:r>
        <w:rPr>
          <w:rFonts w:ascii="宋体" w:hAnsi="宋体"/>
          <w:sz w:val="24"/>
          <w:highlight w:val="none"/>
        </w:rPr>
        <w:t>与招标人签订</w:t>
      </w:r>
      <w:r>
        <w:rPr>
          <w:rFonts w:hint="eastAsia" w:ascii="宋体" w:hAnsi="宋体"/>
          <w:sz w:val="24"/>
          <w:highlight w:val="none"/>
          <w:lang w:eastAsia="zh-CN"/>
        </w:rPr>
        <w:t>框架合同时</w:t>
      </w:r>
      <w:r>
        <w:rPr>
          <w:rFonts w:hint="eastAsia" w:ascii="宋体" w:hAnsi="宋体"/>
          <w:sz w:val="24"/>
          <w:highlight w:val="none"/>
        </w:rPr>
        <w:t>，</w:t>
      </w:r>
      <w:r>
        <w:rPr>
          <w:rFonts w:hint="eastAsia" w:ascii="宋体" w:hAnsi="宋体"/>
          <w:sz w:val="24"/>
          <w:highlight w:val="none"/>
          <w:lang w:eastAsia="zh-CN"/>
        </w:rPr>
        <w:t>将</w:t>
      </w:r>
      <w:r>
        <w:rPr>
          <w:rFonts w:hint="eastAsia" w:ascii="宋体" w:hAnsi="宋体"/>
          <w:sz w:val="24"/>
          <w:highlight w:val="none"/>
        </w:rPr>
        <w:t>统一</w:t>
      </w:r>
      <w:r>
        <w:rPr>
          <w:rFonts w:ascii="宋体" w:hAnsi="宋体"/>
          <w:sz w:val="24"/>
          <w:highlight w:val="none"/>
        </w:rPr>
        <w:t>抽取派工</w:t>
      </w:r>
      <w:r>
        <w:rPr>
          <w:rFonts w:hint="eastAsia" w:ascii="宋体" w:hAnsi="宋体"/>
          <w:sz w:val="24"/>
          <w:highlight w:val="none"/>
        </w:rPr>
        <w:t>序号，按</w:t>
      </w:r>
      <w:r>
        <w:rPr>
          <w:rFonts w:ascii="宋体" w:hAnsi="宋体"/>
          <w:sz w:val="24"/>
          <w:highlight w:val="none"/>
        </w:rPr>
        <w:t>序号依次接收零星工程的施工</w:t>
      </w:r>
      <w:r>
        <w:rPr>
          <w:rFonts w:hint="eastAsia" w:ascii="宋体" w:hAnsi="宋体"/>
          <w:sz w:val="24"/>
          <w:highlight w:val="none"/>
          <w:lang w:eastAsia="zh-CN"/>
        </w:rPr>
        <w:t>轮值</w:t>
      </w:r>
      <w:r>
        <w:rPr>
          <w:rFonts w:ascii="宋体" w:hAnsi="宋体"/>
          <w:sz w:val="24"/>
          <w:highlight w:val="none"/>
        </w:rPr>
        <w:t>任务</w:t>
      </w:r>
      <w:r>
        <w:rPr>
          <w:rFonts w:hint="eastAsia" w:ascii="宋体" w:hAnsi="宋体"/>
          <w:sz w:val="24"/>
          <w:highlight w:val="none"/>
        </w:rPr>
        <w:t>。</w:t>
      </w:r>
      <w:r>
        <w:rPr>
          <w:rFonts w:hint="eastAsia" w:ascii="宋体" w:hAnsi="宋体"/>
          <w:sz w:val="24"/>
          <w:highlight w:val="none"/>
          <w:lang w:eastAsia="zh-CN"/>
        </w:rPr>
        <w:t>每个月安排</w:t>
      </w:r>
      <w:r>
        <w:rPr>
          <w:rFonts w:hint="eastAsia" w:ascii="宋体" w:hAnsi="宋体"/>
          <w:sz w:val="24"/>
          <w:highlight w:val="none"/>
          <w:lang w:val="en-US" w:eastAsia="zh-CN"/>
        </w:rPr>
        <w:t>1家中标</w:t>
      </w:r>
      <w:r>
        <w:rPr>
          <w:rFonts w:hint="eastAsia" w:ascii="宋体" w:hAnsi="宋体" w:eastAsia="宋体" w:cs="Times New Roman"/>
          <w:sz w:val="24"/>
          <w:highlight w:val="none"/>
          <w:lang w:val="en-US" w:eastAsia="zh-CN"/>
        </w:rPr>
        <w:t>人，</w:t>
      </w:r>
      <w:r>
        <w:rPr>
          <w:rFonts w:hint="eastAsia" w:ascii="宋体" w:hAnsi="宋体" w:eastAsia="宋体" w:cs="Times New Roman"/>
          <w:sz w:val="24"/>
          <w:highlight w:val="none"/>
          <w:lang w:eastAsia="zh-CN"/>
        </w:rPr>
        <w:t>中标单位需提供驻点维修人员一名，院方提供住宿及存放工具的仓库（不提供餐食），驻点人员需24小时接受院方的日常急修派单。如因维修量大或驻点人员能力不足，中标单位须及时加派人员或调整人员，否则招标人有权指派其他中标单位参与维修，该时间段内的轮值单位不得因此提出任何异议。</w:t>
      </w:r>
      <w:r>
        <w:rPr>
          <w:rFonts w:hint="eastAsia" w:ascii="宋体" w:hAnsi="宋体"/>
          <w:b w:val="0"/>
          <w:bCs w:val="0"/>
          <w:sz w:val="24"/>
          <w:highlight w:val="none"/>
          <w:lang w:eastAsia="zh-CN"/>
        </w:rPr>
        <w:t>付款时以医院审计结果为准。</w:t>
      </w:r>
    </w:p>
    <w:p w14:paraId="305F31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kern w:val="0"/>
          <w:sz w:val="24"/>
          <w:highlight w:val="none"/>
          <w:lang w:val="en-US"/>
        </w:rPr>
      </w:pPr>
      <w:r>
        <w:rPr>
          <w:rFonts w:hint="eastAsia" w:ascii="宋体" w:hAnsi="宋体"/>
          <w:b w:val="0"/>
          <w:bCs w:val="0"/>
          <w:sz w:val="24"/>
          <w:highlight w:val="none"/>
          <w:lang w:val="en-US" w:eastAsia="zh-CN"/>
        </w:rPr>
        <w:t>（2）</w:t>
      </w:r>
      <w:r>
        <w:rPr>
          <w:rFonts w:hint="eastAsia" w:ascii="宋体" w:hAnsi="宋体"/>
          <w:b w:val="0"/>
          <w:bCs w:val="0"/>
          <w:sz w:val="24"/>
          <w:highlight w:val="none"/>
          <w:lang w:eastAsia="zh-CN"/>
        </w:rPr>
        <w:t>小型工程：根据</w:t>
      </w:r>
      <w:r>
        <w:rPr>
          <w:rFonts w:hint="eastAsia" w:ascii="宋体" w:hAnsi="宋体"/>
          <w:b w:val="0"/>
          <w:bCs w:val="0"/>
          <w:sz w:val="24"/>
          <w:highlight w:val="none"/>
        </w:rPr>
        <w:t>维修</w:t>
      </w:r>
      <w:r>
        <w:rPr>
          <w:rFonts w:hint="eastAsia" w:ascii="宋体" w:hAnsi="宋体"/>
          <w:b w:val="0"/>
          <w:bCs w:val="0"/>
          <w:kern w:val="0"/>
          <w:sz w:val="24"/>
          <w:highlight w:val="none"/>
        </w:rPr>
        <w:t>派工指令文件及相关工程量确认手续</w:t>
      </w:r>
      <w:r>
        <w:rPr>
          <w:rFonts w:hint="eastAsia" w:ascii="宋体" w:hAnsi="宋体"/>
          <w:b w:val="0"/>
          <w:bCs w:val="0"/>
          <w:sz w:val="24"/>
          <w:highlight w:val="none"/>
        </w:rPr>
        <w:t>；施工图纸</w:t>
      </w:r>
      <w:r>
        <w:rPr>
          <w:rFonts w:hint="eastAsia" w:ascii="宋体" w:hAnsi="宋体"/>
          <w:b w:val="0"/>
          <w:bCs w:val="0"/>
          <w:sz w:val="24"/>
          <w:highlight w:val="none"/>
          <w:lang w:eastAsia="zh-CN"/>
        </w:rPr>
        <w:t>；本须知第</w:t>
      </w:r>
      <w:r>
        <w:rPr>
          <w:rFonts w:hint="eastAsia" w:ascii="宋体" w:hAnsi="宋体"/>
          <w:b w:val="0"/>
          <w:bCs w:val="0"/>
          <w:sz w:val="24"/>
          <w:highlight w:val="none"/>
          <w:lang w:val="en-US" w:eastAsia="zh-CN"/>
        </w:rPr>
        <w:t>18条</w:t>
      </w:r>
      <w:r>
        <w:rPr>
          <w:rFonts w:hint="eastAsia" w:ascii="宋体" w:hAnsi="宋体"/>
          <w:b w:val="0"/>
          <w:bCs w:val="0"/>
          <w:sz w:val="24"/>
          <w:highlight w:val="none"/>
          <w:lang w:eastAsia="zh-CN"/>
        </w:rPr>
        <w:t>的约定；内部竞价文件及中标人的投标文件；中标费率或合同价等依据进行结算。付款时以医院审计结果为准。</w:t>
      </w:r>
      <w:r>
        <w:rPr>
          <w:rFonts w:hint="eastAsia" w:ascii="宋体" w:hAnsi="宋体"/>
          <w:kern w:val="0"/>
          <w:sz w:val="24"/>
          <w:highlight w:val="none"/>
        </w:rPr>
        <w:t>原则上</w:t>
      </w:r>
      <w:r>
        <w:rPr>
          <w:rFonts w:hint="eastAsia" w:ascii="宋体" w:hAnsi="宋体"/>
          <w:kern w:val="0"/>
          <w:sz w:val="24"/>
          <w:highlight w:val="none"/>
          <w:lang w:eastAsia="zh-CN"/>
        </w:rPr>
        <w:t>按合理低价法，邀请本次</w:t>
      </w:r>
      <w:r>
        <w:rPr>
          <w:rFonts w:hint="eastAsia" w:ascii="宋体" w:hAnsi="宋体"/>
          <w:kern w:val="0"/>
          <w:sz w:val="24"/>
          <w:highlight w:val="none"/>
        </w:rPr>
        <w:t>全部</w:t>
      </w:r>
      <w:r>
        <w:rPr>
          <w:rFonts w:hint="eastAsia" w:ascii="宋体" w:hAnsi="宋体"/>
          <w:kern w:val="0"/>
          <w:sz w:val="24"/>
          <w:highlight w:val="none"/>
          <w:lang w:eastAsia="zh-CN"/>
        </w:rPr>
        <w:t>中标</w:t>
      </w:r>
      <w:r>
        <w:rPr>
          <w:rFonts w:hint="eastAsia" w:ascii="宋体" w:hAnsi="宋体"/>
          <w:kern w:val="0"/>
          <w:sz w:val="24"/>
          <w:highlight w:val="none"/>
        </w:rPr>
        <w:t>单位参与</w:t>
      </w:r>
      <w:r>
        <w:rPr>
          <w:rFonts w:hint="eastAsia" w:ascii="宋体" w:hAnsi="宋体"/>
          <w:kern w:val="0"/>
          <w:sz w:val="24"/>
          <w:highlight w:val="none"/>
          <w:lang w:eastAsia="zh-CN"/>
        </w:rPr>
        <w:t>内部竞</w:t>
      </w:r>
      <w:r>
        <w:rPr>
          <w:rFonts w:hint="eastAsia" w:ascii="宋体" w:hAnsi="宋体"/>
          <w:kern w:val="0"/>
          <w:sz w:val="24"/>
          <w:highlight w:val="none"/>
        </w:rPr>
        <w:t>价，以院内聘请的第三方造价咨询公司出具的工程控制价为基数，</w:t>
      </w:r>
      <w:r>
        <w:rPr>
          <w:rFonts w:hint="eastAsia" w:ascii="宋体" w:hAnsi="宋体"/>
          <w:kern w:val="0"/>
          <w:sz w:val="24"/>
          <w:highlight w:val="none"/>
          <w:lang w:eastAsia="zh-CN"/>
        </w:rPr>
        <w:t>中标</w:t>
      </w:r>
      <w:r>
        <w:rPr>
          <w:rFonts w:hint="eastAsia" w:ascii="宋体" w:hAnsi="宋体"/>
          <w:kern w:val="0"/>
          <w:sz w:val="24"/>
          <w:highlight w:val="none"/>
        </w:rPr>
        <w:t>单位</w:t>
      </w:r>
      <w:r>
        <w:rPr>
          <w:rFonts w:hint="eastAsia" w:ascii="宋体" w:hAnsi="宋体"/>
          <w:kern w:val="0"/>
          <w:sz w:val="24"/>
          <w:highlight w:val="none"/>
          <w:lang w:eastAsia="zh-CN"/>
        </w:rPr>
        <w:t>按内部竞价文件进行报价。</w:t>
      </w:r>
    </w:p>
    <w:p w14:paraId="671F63AF">
      <w:pPr>
        <w:spacing w:line="360" w:lineRule="auto"/>
        <w:ind w:firstLine="480"/>
        <w:rPr>
          <w:rFonts w:hint="eastAsia"/>
          <w:strike w:val="0"/>
          <w:dstrike w:val="0"/>
          <w:sz w:val="24"/>
          <w:highlight w:val="none"/>
          <w:lang w:val="en-US" w:eastAsia="zh-CN"/>
        </w:rPr>
      </w:pPr>
      <w:r>
        <w:rPr>
          <w:rFonts w:hint="eastAsia" w:ascii="宋体" w:hAnsi="宋体" w:eastAsia="宋体" w:cs="Times New Roman"/>
          <w:kern w:val="0"/>
          <w:sz w:val="24"/>
          <w:highlight w:val="none"/>
          <w:lang w:val="en-US" w:eastAsia="zh-CN"/>
        </w:rPr>
        <w:t xml:space="preserve">4.2 </w:t>
      </w:r>
      <w:r>
        <w:rPr>
          <w:rFonts w:hint="eastAsia" w:ascii="Times New Roman" w:hAnsi="Times New Roman" w:eastAsia="宋体" w:cs="Times New Roman"/>
          <w:strike w:val="0"/>
          <w:dstrike w:val="0"/>
          <w:sz w:val="24"/>
          <w:highlight w:val="none"/>
          <w:lang w:eastAsia="zh-CN"/>
        </w:rPr>
        <w:t>本工程的中标人原则上为</w:t>
      </w:r>
      <w:r>
        <w:rPr>
          <w:rFonts w:hint="eastAsia" w:ascii="Times New Roman" w:hAnsi="Times New Roman" w:eastAsia="宋体" w:cs="Times New Roman"/>
          <w:strike w:val="0"/>
          <w:dstrike w:val="0"/>
          <w:sz w:val="24"/>
          <w:highlight w:val="none"/>
          <w:lang w:val="en-US" w:eastAsia="zh-CN"/>
        </w:rPr>
        <w:t>5家。当递交投标文件或资格审查合格的投标人＜5家时，该工程招标失败，重新发布公告；当资格审查合格的投标人为5家时，则全部推荐为中标候选人；</w:t>
      </w:r>
      <w:r>
        <w:rPr>
          <w:rFonts w:hint="eastAsia"/>
          <w:strike w:val="0"/>
          <w:dstrike w:val="0"/>
          <w:sz w:val="24"/>
          <w:highlight w:val="none"/>
          <w:lang w:eastAsia="zh-CN"/>
        </w:rPr>
        <w:t>当</w:t>
      </w:r>
      <w:r>
        <w:rPr>
          <w:rFonts w:hint="eastAsia"/>
          <w:strike w:val="0"/>
          <w:dstrike w:val="0"/>
          <w:sz w:val="24"/>
          <w:highlight w:val="none"/>
          <w:lang w:val="en-US" w:eastAsia="zh-CN"/>
        </w:rPr>
        <w:t>资格审查合格的投标人</w:t>
      </w:r>
      <w:r>
        <w:rPr>
          <w:rFonts w:hint="eastAsia" w:ascii="宋体" w:hAnsi="宋体" w:eastAsia="宋体" w:cs="宋体"/>
          <w:strike w:val="0"/>
          <w:dstrike w:val="0"/>
          <w:sz w:val="24"/>
          <w:highlight w:val="none"/>
          <w:lang w:val="en-US" w:eastAsia="zh-CN"/>
        </w:rPr>
        <w:t>≧6</w:t>
      </w:r>
      <w:r>
        <w:rPr>
          <w:rFonts w:hint="eastAsia"/>
          <w:strike w:val="0"/>
          <w:dstrike w:val="0"/>
          <w:sz w:val="24"/>
          <w:highlight w:val="none"/>
          <w:lang w:val="en-US" w:eastAsia="zh-CN"/>
        </w:rPr>
        <w:t>家时，评标委员会按各投标人总分从高到低的顺序推荐10名中标候选人，如有总分相同时，以价格得分高的优先，如仍相同，则现场抽签确定。</w:t>
      </w:r>
    </w:p>
    <w:p w14:paraId="6387D3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4.3 各中标人下浮率的算术平均值为本工程的统一合同下浮率，并以此下浮率作为零星工程结算时依据。</w:t>
      </w:r>
    </w:p>
    <w:p w14:paraId="2E3057B6">
      <w:pPr>
        <w:widowControl/>
        <w:spacing w:line="460" w:lineRule="exact"/>
        <w:ind w:firstLine="472" w:firstLineChars="196"/>
        <w:jc w:val="left"/>
        <w:rPr>
          <w:rFonts w:ascii="宋体" w:hAnsi="宋体" w:cs="宋体"/>
          <w:b/>
          <w:kern w:val="0"/>
          <w:sz w:val="24"/>
          <w:highlight w:val="none"/>
        </w:rPr>
      </w:pPr>
      <w:r>
        <w:rPr>
          <w:rFonts w:hint="eastAsia" w:ascii="宋体" w:hAnsi="宋体" w:cs="宋体"/>
          <w:b/>
          <w:kern w:val="0"/>
          <w:sz w:val="24"/>
          <w:highlight w:val="none"/>
          <w:lang w:val="en-US" w:eastAsia="zh-CN"/>
        </w:rPr>
        <w:t>5</w:t>
      </w:r>
      <w:r>
        <w:rPr>
          <w:rFonts w:hint="eastAsia" w:ascii="宋体" w:hAnsi="宋体" w:cs="宋体"/>
          <w:b/>
          <w:kern w:val="0"/>
          <w:sz w:val="24"/>
          <w:highlight w:val="none"/>
        </w:rPr>
        <w:t>、评标委员会具有最终解释权。</w:t>
      </w:r>
    </w:p>
    <w:p w14:paraId="51C14E4A">
      <w:pPr>
        <w:widowControl/>
        <w:spacing w:line="460" w:lineRule="exact"/>
        <w:ind w:firstLine="472" w:firstLineChars="196"/>
        <w:jc w:val="left"/>
        <w:rPr>
          <w:rFonts w:ascii="宋体" w:hAnsi="宋体" w:cs="宋体"/>
          <w:b/>
          <w:kern w:val="0"/>
          <w:sz w:val="24"/>
          <w:highlight w:val="none"/>
        </w:rPr>
      </w:pPr>
    </w:p>
    <w:p w14:paraId="7B9F28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A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正文1"/>
    <w:basedOn w:val="7"/>
    <w:uiPriority w:val="0"/>
    <w:pPr>
      <w:widowControl w:val="0"/>
      <w:adjustRightInd w:val="0"/>
      <w:spacing w:line="315" w:lineRule="atLeast"/>
      <w:jc w:val="both"/>
      <w:textAlignment w:val="baseline"/>
    </w:pPr>
    <w:rPr>
      <w:rFonts w:ascii="宋体"/>
      <w:sz w:val="24"/>
      <w:lang w:val="en-US" w:eastAsia="zh-CN" w:bidi="ar-SA"/>
    </w:rPr>
  </w:style>
  <w:style w:type="paragraph" w:customStyle="1" w:styleId="7">
    <w:name w:val="正文11"/>
    <w:next w:val="8"/>
    <w:qFormat/>
    <w:uiPriority w:val="0"/>
    <w:pPr>
      <w:widowControl w:val="0"/>
      <w:jc w:val="both"/>
    </w:pPr>
    <w:rPr>
      <w:rFonts w:ascii="Calibri" w:hAnsi="Calibri" w:eastAsia="宋体" w:cs="Times New Roman"/>
      <w:kern w:val="2"/>
      <w:sz w:val="21"/>
      <w:szCs w:val="21"/>
      <w:lang w:val="en-US" w:eastAsia="zh-CN" w:bidi="ar-SA"/>
    </w:rPr>
  </w:style>
  <w:style w:type="paragraph" w:customStyle="1" w:styleId="8">
    <w:name w:val="正文文本1"/>
    <w:basedOn w:val="7"/>
    <w:next w:val="7"/>
    <w:unhideWhenUsed/>
    <w:qFormat/>
    <w:uiPriority w:val="99"/>
    <w:rPr>
      <w:rFonts w:ascii="??_GB2312" w:hAnsi="??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2024-12-16T03:39:58Z</dcterms:created>
  <dc:creator>wlgc-chenjuan</dc:creator>
  <cp:lastModifiedBy>wlgc-chenjuan</cp:lastModifiedBy>
  <dcterms:modified xsi:type="dcterms:W3CDTF">2024-12-16T03:40:30Z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BCC4862DED224EE0AAC37CDDDDE6B562_12</vt:lpwstr>
  </property>
</Properties>
</file>