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E9DA4">
      <w:pPr>
        <w:pStyle w:val="30"/>
        <w:ind w:left="2585" w:leftChars="600" w:hanging="1325" w:hangingChars="300"/>
        <w:rPr>
          <w:rFonts w:asciiTheme="majorEastAsia" w:hAnsiTheme="majorEastAsia" w:eastAsiaTheme="majorEastAsia"/>
          <w:b/>
          <w:bCs/>
          <w:color w:val="auto"/>
          <w:sz w:val="44"/>
          <w:szCs w:val="44"/>
        </w:rPr>
      </w:pPr>
      <w:bookmarkStart w:id="160" w:name="_GoBack"/>
      <w:bookmarkEnd w:id="160"/>
    </w:p>
    <w:p w14:paraId="15548E61">
      <w:pPr>
        <w:pStyle w:val="30"/>
        <w:ind w:left="2585" w:leftChars="600" w:hanging="1325" w:hangingChars="300"/>
        <w:rPr>
          <w:rFonts w:asciiTheme="majorEastAsia" w:hAnsiTheme="majorEastAsia" w:eastAsiaTheme="majorEastAsia"/>
          <w:b/>
          <w:bCs/>
          <w:color w:val="auto"/>
          <w:sz w:val="44"/>
          <w:szCs w:val="44"/>
        </w:rPr>
      </w:pPr>
    </w:p>
    <w:p w14:paraId="4F0C9BF4">
      <w:pPr>
        <w:pStyle w:val="30"/>
        <w:ind w:left="0" w:leftChars="0" w:firstLine="0" w:firstLineChars="0"/>
        <w:jc w:val="center"/>
        <w:rPr>
          <w:rFonts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南通市妇幼保健院</w:t>
      </w:r>
      <w:r>
        <w:rPr>
          <w:rFonts w:hint="eastAsia" w:asciiTheme="majorEastAsia" w:hAnsiTheme="majorEastAsia" w:eastAsiaTheme="majorEastAsia"/>
          <w:b/>
          <w:bCs/>
          <w:color w:val="auto"/>
          <w:sz w:val="44"/>
          <w:szCs w:val="44"/>
          <w:lang w:val="en-US" w:eastAsia="zh-CN"/>
        </w:rPr>
        <w:t>2024年</w:t>
      </w:r>
      <w:r>
        <w:rPr>
          <w:rFonts w:hint="eastAsia" w:asciiTheme="majorEastAsia" w:hAnsiTheme="majorEastAsia" w:eastAsiaTheme="majorEastAsia"/>
          <w:b/>
          <w:bCs/>
          <w:color w:val="auto"/>
          <w:sz w:val="44"/>
          <w:szCs w:val="44"/>
        </w:rPr>
        <w:t>PDA采购项目</w:t>
      </w:r>
    </w:p>
    <w:p w14:paraId="184B1048">
      <w:pPr>
        <w:jc w:val="center"/>
        <w:rPr>
          <w:rFonts w:asciiTheme="majorEastAsia" w:hAnsiTheme="majorEastAsia" w:eastAsiaTheme="majorEastAsia"/>
          <w:b/>
          <w:color w:val="auto"/>
          <w:sz w:val="52"/>
          <w:szCs w:val="52"/>
        </w:rPr>
      </w:pPr>
      <w:r>
        <w:rPr>
          <w:rFonts w:hint="eastAsia" w:asciiTheme="majorEastAsia" w:hAnsiTheme="majorEastAsia" w:eastAsiaTheme="majorEastAsia"/>
          <w:b/>
          <w:color w:val="auto"/>
          <w:sz w:val="52"/>
          <w:szCs w:val="52"/>
        </w:rPr>
        <w:t>竞争性磋商文件</w:t>
      </w:r>
    </w:p>
    <w:p w14:paraId="19D5720D">
      <w:pPr>
        <w:keepNext/>
        <w:spacing w:line="500" w:lineRule="exact"/>
        <w:jc w:val="center"/>
        <w:outlineLvl w:val="5"/>
        <w:rPr>
          <w:rFonts w:asciiTheme="majorEastAsia" w:hAnsiTheme="majorEastAsia" w:eastAsiaTheme="majorEastAsia"/>
          <w:b/>
          <w:color w:val="auto"/>
          <w:kern w:val="0"/>
          <w:sz w:val="44"/>
          <w:szCs w:val="20"/>
        </w:rPr>
      </w:pPr>
    </w:p>
    <w:p w14:paraId="046DC14C">
      <w:pPr>
        <w:spacing w:line="500" w:lineRule="exact"/>
        <w:jc w:val="center"/>
        <w:rPr>
          <w:rFonts w:asciiTheme="majorEastAsia" w:hAnsiTheme="majorEastAsia" w:eastAsiaTheme="majorEastAsia"/>
          <w:color w:val="auto"/>
        </w:rPr>
      </w:pPr>
      <w:r>
        <w:rPr>
          <w:rFonts w:hint="eastAsia" w:asciiTheme="majorEastAsia" w:hAnsiTheme="majorEastAsia" w:eastAsiaTheme="majorEastAsia"/>
          <w:b/>
          <w:color w:val="auto"/>
          <w:kern w:val="0"/>
          <w:sz w:val="28"/>
          <w:szCs w:val="28"/>
        </w:rPr>
        <w:t>采购文件分包编号：2024XXCS005</w:t>
      </w:r>
      <w:r>
        <w:rPr>
          <w:rFonts w:asciiTheme="majorEastAsia" w:hAnsiTheme="majorEastAsia" w:eastAsiaTheme="majorEastAsia"/>
          <w:color w:val="auto"/>
        </w:rPr>
        <w:drawing>
          <wp:anchor distT="0" distB="0" distL="114300" distR="114300" simplePos="0" relativeHeight="251659264" behindDoc="0" locked="0" layoutInCell="0" allowOverlap="1">
            <wp:simplePos x="0" y="0"/>
            <wp:positionH relativeFrom="column">
              <wp:posOffset>1733550</wp:posOffset>
            </wp:positionH>
            <wp:positionV relativeFrom="paragraph">
              <wp:posOffset>396240</wp:posOffset>
            </wp:positionV>
            <wp:extent cx="2333625" cy="1790065"/>
            <wp:effectExtent l="0" t="0" r="0" b="0"/>
            <wp:wrapTopAndBottom/>
            <wp:docPr id="14"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对象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33625" cy="1790065"/>
                    </a:xfrm>
                    <a:prstGeom prst="rect">
                      <a:avLst/>
                    </a:prstGeom>
                    <a:noFill/>
                  </pic:spPr>
                </pic:pic>
              </a:graphicData>
            </a:graphic>
          </wp:anchor>
        </w:drawing>
      </w:r>
    </w:p>
    <w:p w14:paraId="62EB3C4C">
      <w:pPr>
        <w:spacing w:line="500" w:lineRule="exact"/>
        <w:jc w:val="center"/>
        <w:rPr>
          <w:rFonts w:asciiTheme="majorEastAsia" w:hAnsiTheme="majorEastAsia" w:eastAsiaTheme="majorEastAsia"/>
          <w:color w:val="auto"/>
          <w:sz w:val="32"/>
        </w:rPr>
      </w:pPr>
    </w:p>
    <w:p w14:paraId="0D63F6FD">
      <w:pPr>
        <w:spacing w:line="500" w:lineRule="exact"/>
        <w:jc w:val="center"/>
        <w:rPr>
          <w:rFonts w:asciiTheme="majorEastAsia" w:hAnsiTheme="majorEastAsia" w:eastAsiaTheme="majorEastAsia"/>
          <w:color w:val="auto"/>
          <w:sz w:val="32"/>
        </w:rPr>
      </w:pPr>
    </w:p>
    <w:p w14:paraId="5EC5D50A">
      <w:pPr>
        <w:pStyle w:val="30"/>
        <w:ind w:firstLine="480"/>
        <w:rPr>
          <w:color w:val="auto"/>
        </w:rPr>
      </w:pPr>
    </w:p>
    <w:p w14:paraId="30557810">
      <w:pPr>
        <w:spacing w:line="500" w:lineRule="exact"/>
        <w:jc w:val="center"/>
        <w:rPr>
          <w:rFonts w:asciiTheme="majorEastAsia" w:hAnsiTheme="majorEastAsia" w:eastAsiaTheme="majorEastAsia"/>
          <w:color w:val="auto"/>
          <w:sz w:val="32"/>
        </w:rPr>
      </w:pPr>
    </w:p>
    <w:p w14:paraId="7CFE03E1">
      <w:pPr>
        <w:pStyle w:val="30"/>
        <w:ind w:firstLine="480"/>
        <w:rPr>
          <w:color w:val="auto"/>
        </w:rPr>
      </w:pPr>
    </w:p>
    <w:p w14:paraId="6C9B1AE2">
      <w:pPr>
        <w:pStyle w:val="30"/>
        <w:ind w:firstLine="480"/>
        <w:rPr>
          <w:color w:val="auto"/>
        </w:rPr>
      </w:pPr>
    </w:p>
    <w:p w14:paraId="759D2547">
      <w:pPr>
        <w:autoSpaceDE w:val="0"/>
        <w:autoSpaceDN w:val="0"/>
        <w:adjustRightInd w:val="0"/>
        <w:spacing w:line="600" w:lineRule="exact"/>
        <w:ind w:firstLine="595" w:firstLineChars="200"/>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spacing w:val="-12"/>
          <w:kern w:val="0"/>
          <w:sz w:val="32"/>
          <w:szCs w:val="32"/>
        </w:rPr>
        <w:t xml:space="preserve">采 </w:t>
      </w:r>
      <w:r>
        <w:rPr>
          <w:rFonts w:cs="宋体" w:asciiTheme="majorEastAsia" w:hAnsiTheme="majorEastAsia" w:eastAsiaTheme="majorEastAsia"/>
          <w:b/>
          <w:color w:val="auto"/>
          <w:spacing w:val="-12"/>
          <w:kern w:val="0"/>
          <w:sz w:val="32"/>
          <w:szCs w:val="32"/>
        </w:rPr>
        <w:t xml:space="preserve">    </w:t>
      </w:r>
      <w:r>
        <w:rPr>
          <w:rFonts w:hint="eastAsia" w:cs="宋体" w:asciiTheme="majorEastAsia" w:hAnsiTheme="majorEastAsia" w:eastAsiaTheme="majorEastAsia"/>
          <w:b/>
          <w:color w:val="auto"/>
          <w:spacing w:val="-12"/>
          <w:kern w:val="0"/>
          <w:sz w:val="32"/>
          <w:szCs w:val="32"/>
        </w:rPr>
        <w:t xml:space="preserve">购 </w:t>
      </w:r>
      <w:r>
        <w:rPr>
          <w:rFonts w:cs="宋体" w:asciiTheme="majorEastAsia" w:hAnsiTheme="majorEastAsia" w:eastAsiaTheme="majorEastAsia"/>
          <w:b/>
          <w:color w:val="auto"/>
          <w:spacing w:val="-12"/>
          <w:kern w:val="0"/>
          <w:sz w:val="32"/>
          <w:szCs w:val="32"/>
        </w:rPr>
        <w:t xml:space="preserve">  </w:t>
      </w:r>
      <w:r>
        <w:rPr>
          <w:rFonts w:hint="eastAsia" w:cs="宋体" w:asciiTheme="majorEastAsia" w:hAnsiTheme="majorEastAsia" w:eastAsiaTheme="majorEastAsia"/>
          <w:b/>
          <w:color w:val="auto"/>
          <w:spacing w:val="-12"/>
          <w:kern w:val="0"/>
          <w:sz w:val="32"/>
          <w:szCs w:val="32"/>
        </w:rPr>
        <w:t>人（盖章）:</w:t>
      </w:r>
      <w:r>
        <w:rPr>
          <w:rFonts w:hint="eastAsia"/>
          <w:color w:val="auto"/>
        </w:rPr>
        <w:t xml:space="preserve"> </w:t>
      </w:r>
      <w:r>
        <w:rPr>
          <w:rFonts w:hint="eastAsia" w:cs="宋体" w:asciiTheme="majorEastAsia" w:hAnsiTheme="majorEastAsia" w:eastAsiaTheme="majorEastAsia"/>
          <w:b/>
          <w:color w:val="auto"/>
          <w:kern w:val="0"/>
          <w:sz w:val="32"/>
          <w:szCs w:val="32"/>
        </w:rPr>
        <w:t>南通市妇幼保健院</w:t>
      </w:r>
    </w:p>
    <w:p w14:paraId="52A855BB">
      <w:pPr>
        <w:autoSpaceDE w:val="0"/>
        <w:autoSpaceDN w:val="0"/>
        <w:adjustRightInd w:val="0"/>
        <w:spacing w:line="600" w:lineRule="exact"/>
        <w:ind w:firstLine="643" w:firstLineChars="200"/>
        <w:jc w:val="left"/>
        <w:rPr>
          <w:rFonts w:cs="宋体" w:asciiTheme="majorEastAsia" w:hAnsiTheme="majorEastAsia" w:eastAsiaTheme="majorEastAsia"/>
          <w:b/>
          <w:color w:val="auto"/>
          <w:kern w:val="0"/>
          <w:sz w:val="32"/>
          <w:szCs w:val="32"/>
          <w:u w:val="single"/>
        </w:rPr>
      </w:pPr>
      <w:r>
        <w:rPr>
          <w:rFonts w:hint="eastAsia" w:cs="宋体" w:asciiTheme="majorEastAsia" w:hAnsiTheme="majorEastAsia" w:eastAsiaTheme="majorEastAsia"/>
          <w:b/>
          <w:color w:val="auto"/>
          <w:kern w:val="0"/>
          <w:sz w:val="32"/>
          <w:szCs w:val="32"/>
          <w:lang w:eastAsia="zh-TW"/>
        </w:rPr>
        <w:t>招标代理机构</w:t>
      </w:r>
      <w:r>
        <w:rPr>
          <w:rFonts w:hint="eastAsia" w:cs="宋体" w:asciiTheme="majorEastAsia" w:hAnsiTheme="majorEastAsia" w:eastAsiaTheme="majorEastAsia"/>
          <w:b/>
          <w:color w:val="auto"/>
          <w:kern w:val="0"/>
          <w:sz w:val="32"/>
          <w:szCs w:val="32"/>
        </w:rPr>
        <w:t>（盖章）:南通城建工程项目管理有限公司</w:t>
      </w:r>
    </w:p>
    <w:p w14:paraId="6FC4F808">
      <w:pPr>
        <w:autoSpaceDE w:val="0"/>
        <w:autoSpaceDN w:val="0"/>
        <w:adjustRightInd w:val="0"/>
        <w:snapToGrid w:val="0"/>
        <w:spacing w:line="600" w:lineRule="exact"/>
        <w:ind w:firstLine="643" w:firstLineChars="200"/>
        <w:jc w:val="left"/>
        <w:rPr>
          <w:rFonts w:cs="宋体" w:asciiTheme="majorEastAsia" w:hAnsiTheme="majorEastAsia" w:eastAsiaTheme="majorEastAsia"/>
          <w:b/>
          <w:color w:val="auto"/>
          <w:kern w:val="0"/>
          <w:sz w:val="32"/>
          <w:szCs w:val="32"/>
          <w:u w:val="single"/>
        </w:rPr>
      </w:pPr>
      <w:r>
        <w:rPr>
          <w:rFonts w:hint="eastAsia" w:cs="宋体" w:asciiTheme="majorEastAsia" w:hAnsiTheme="majorEastAsia" w:eastAsiaTheme="majorEastAsia"/>
          <w:b/>
          <w:color w:val="auto"/>
          <w:kern w:val="0"/>
          <w:sz w:val="32"/>
          <w:szCs w:val="32"/>
        </w:rPr>
        <w:t>日               期 :</w:t>
      </w:r>
      <w:r>
        <w:rPr>
          <w:rFonts w:hint="eastAsia" w:cs="宋体" w:asciiTheme="majorEastAsia" w:hAnsiTheme="majorEastAsia" w:eastAsiaTheme="majorEastAsia"/>
          <w:b/>
          <w:color w:val="auto"/>
          <w:kern w:val="0"/>
          <w:sz w:val="32"/>
          <w:szCs w:val="32"/>
          <w:u w:val="single"/>
        </w:rPr>
        <w:t>202</w:t>
      </w:r>
      <w:r>
        <w:rPr>
          <w:rFonts w:hint="eastAsia" w:cs="宋体" w:asciiTheme="majorEastAsia" w:hAnsiTheme="majorEastAsia" w:eastAsiaTheme="majorEastAsia"/>
          <w:b/>
          <w:color w:val="auto"/>
          <w:kern w:val="0"/>
          <w:sz w:val="32"/>
          <w:szCs w:val="32"/>
          <w:u w:val="single"/>
          <w:lang w:val="en-US" w:eastAsia="zh-CN"/>
        </w:rPr>
        <w:t>4</w:t>
      </w:r>
      <w:r>
        <w:rPr>
          <w:rFonts w:hint="eastAsia" w:cs="宋体" w:asciiTheme="majorEastAsia" w:hAnsiTheme="majorEastAsia" w:eastAsiaTheme="majorEastAsia"/>
          <w:b/>
          <w:color w:val="auto"/>
          <w:kern w:val="0"/>
          <w:sz w:val="32"/>
          <w:szCs w:val="32"/>
          <w:u w:val="single"/>
        </w:rPr>
        <w:t>年</w:t>
      </w:r>
      <w:r>
        <w:rPr>
          <w:rFonts w:hint="eastAsia" w:cs="宋体" w:asciiTheme="majorEastAsia" w:hAnsiTheme="majorEastAsia" w:eastAsiaTheme="majorEastAsia"/>
          <w:b/>
          <w:color w:val="auto"/>
          <w:kern w:val="0"/>
          <w:sz w:val="32"/>
          <w:szCs w:val="32"/>
          <w:u w:val="single"/>
          <w:lang w:val="en-US" w:eastAsia="zh-CN"/>
        </w:rPr>
        <w:t>10</w:t>
      </w:r>
      <w:r>
        <w:rPr>
          <w:rFonts w:hint="eastAsia" w:cs="宋体" w:asciiTheme="majorEastAsia" w:hAnsiTheme="majorEastAsia" w:eastAsiaTheme="majorEastAsia"/>
          <w:b/>
          <w:color w:val="auto"/>
          <w:kern w:val="0"/>
          <w:sz w:val="32"/>
          <w:szCs w:val="32"/>
          <w:u w:val="single"/>
        </w:rPr>
        <w:t>月</w:t>
      </w:r>
      <w:r>
        <w:rPr>
          <w:rFonts w:hint="eastAsia" w:cs="宋体" w:asciiTheme="majorEastAsia" w:hAnsiTheme="majorEastAsia" w:eastAsiaTheme="majorEastAsia"/>
          <w:b/>
          <w:color w:val="auto"/>
          <w:kern w:val="0"/>
          <w:sz w:val="32"/>
          <w:szCs w:val="32"/>
          <w:u w:val="single"/>
          <w:lang w:val="en-US" w:eastAsia="zh-CN"/>
        </w:rPr>
        <w:t>24</w:t>
      </w:r>
      <w:r>
        <w:rPr>
          <w:rFonts w:hint="eastAsia" w:cs="宋体" w:asciiTheme="majorEastAsia" w:hAnsiTheme="majorEastAsia" w:eastAsiaTheme="majorEastAsia"/>
          <w:b/>
          <w:color w:val="auto"/>
          <w:kern w:val="0"/>
          <w:sz w:val="32"/>
          <w:szCs w:val="32"/>
          <w:u w:val="single"/>
        </w:rPr>
        <w:t>日</w:t>
      </w:r>
    </w:p>
    <w:p w14:paraId="2BE85797">
      <w:pPr>
        <w:pStyle w:val="30"/>
        <w:ind w:firstLine="480"/>
        <w:rPr>
          <w:rFonts w:asciiTheme="majorEastAsia" w:hAnsiTheme="majorEastAsia" w:eastAsiaTheme="majorEastAsia"/>
          <w:color w:val="auto"/>
        </w:rPr>
      </w:pPr>
    </w:p>
    <w:p w14:paraId="2E29CF01">
      <w:pPr>
        <w:adjustRightInd w:val="0"/>
        <w:snapToGrid w:val="0"/>
        <w:spacing w:line="500" w:lineRule="exact"/>
        <w:ind w:left="-158" w:leftChars="-75"/>
        <w:rPr>
          <w:rFonts w:asciiTheme="majorEastAsia" w:hAnsiTheme="majorEastAsia" w:eastAsiaTheme="majorEastAsia"/>
          <w:b/>
          <w:snapToGrid w:val="0"/>
          <w:color w:val="auto"/>
          <w:sz w:val="26"/>
          <w:szCs w:val="28"/>
          <w:u w:val="single"/>
        </w:rPr>
      </w:pPr>
    </w:p>
    <w:p w14:paraId="5DC66116">
      <w:pPr>
        <w:adjustRightInd w:val="0"/>
        <w:snapToGrid w:val="0"/>
        <w:spacing w:line="440" w:lineRule="exact"/>
        <w:ind w:firstLine="720" w:firstLineChars="300"/>
        <w:rPr>
          <w:rFonts w:asciiTheme="majorEastAsia" w:hAnsiTheme="majorEastAsia" w:eastAsiaTheme="majorEastAsia"/>
          <w:bCs/>
          <w:snapToGrid w:val="0"/>
          <w:color w:val="auto"/>
          <w:sz w:val="24"/>
        </w:rPr>
      </w:pPr>
      <w:r>
        <w:rPr>
          <w:rFonts w:asciiTheme="majorEastAsia" w:hAnsiTheme="majorEastAsia" w:eastAsiaTheme="majorEastAsia"/>
          <w:bCs/>
          <w:snapToGrid w:val="0"/>
          <w:color w:val="auto"/>
          <w:sz w:val="24"/>
        </w:rPr>
        <w:t xml:space="preserve">地址: </w:t>
      </w:r>
      <w:r>
        <w:rPr>
          <w:rFonts w:hint="eastAsia" w:asciiTheme="majorEastAsia" w:hAnsiTheme="majorEastAsia" w:eastAsiaTheme="majorEastAsia"/>
          <w:bCs/>
          <w:snapToGrid w:val="0"/>
          <w:color w:val="auto"/>
          <w:sz w:val="24"/>
        </w:rPr>
        <w:t>南通市崇川区世纪大道399号</w:t>
      </w:r>
      <w:r>
        <w:rPr>
          <w:rFonts w:asciiTheme="majorEastAsia" w:hAnsiTheme="majorEastAsia" w:eastAsiaTheme="majorEastAsia"/>
          <w:bCs/>
          <w:snapToGrid w:val="0"/>
          <w:color w:val="auto"/>
          <w:sz w:val="24"/>
        </w:rPr>
        <w:t>邮政编码：</w:t>
      </w:r>
      <w:r>
        <w:rPr>
          <w:rFonts w:hint="eastAsia" w:asciiTheme="majorEastAsia" w:hAnsiTheme="majorEastAsia" w:eastAsiaTheme="majorEastAsia"/>
          <w:bCs/>
          <w:snapToGrid w:val="0"/>
          <w:color w:val="auto"/>
          <w:sz w:val="24"/>
        </w:rPr>
        <w:t>2</w:t>
      </w:r>
      <w:r>
        <w:rPr>
          <w:rFonts w:asciiTheme="majorEastAsia" w:hAnsiTheme="majorEastAsia" w:eastAsiaTheme="majorEastAsia"/>
          <w:bCs/>
          <w:snapToGrid w:val="0"/>
          <w:color w:val="auto"/>
          <w:sz w:val="24"/>
        </w:rPr>
        <w:t>26007</w:t>
      </w:r>
    </w:p>
    <w:p w14:paraId="128C25FE">
      <w:pPr>
        <w:widowControl/>
        <w:spacing w:line="440" w:lineRule="exact"/>
        <w:ind w:firstLine="720" w:firstLineChars="300"/>
        <w:rPr>
          <w:rFonts w:asciiTheme="majorEastAsia" w:hAnsiTheme="majorEastAsia" w:eastAsiaTheme="majorEastAsia"/>
          <w:bCs/>
          <w:snapToGrid w:val="0"/>
          <w:color w:val="auto"/>
          <w:sz w:val="24"/>
        </w:rPr>
      </w:pPr>
      <w:bookmarkStart w:id="0" w:name="_Toc415233241"/>
      <w:bookmarkStart w:id="1" w:name="_Toc438651106"/>
      <w:r>
        <w:rPr>
          <w:rFonts w:hint="eastAsia" w:asciiTheme="majorEastAsia" w:hAnsiTheme="majorEastAsia" w:eastAsiaTheme="majorEastAsia"/>
          <w:bCs/>
          <w:snapToGrid w:val="0"/>
          <w:color w:val="auto"/>
          <w:sz w:val="24"/>
        </w:rPr>
        <w:t>南通市卫生健康委员会官网、南通市妇幼保健院官网</w:t>
      </w:r>
    </w:p>
    <w:p w14:paraId="1F53C75E">
      <w:pPr>
        <w:widowControl/>
        <w:jc w:val="center"/>
        <w:rPr>
          <w:rFonts w:asciiTheme="majorEastAsia" w:hAnsiTheme="majorEastAsia" w:eastAsiaTheme="majorEastAsia"/>
          <w:color w:val="auto"/>
          <w:sz w:val="44"/>
          <w:szCs w:val="44"/>
        </w:rPr>
      </w:pPr>
    </w:p>
    <w:p w14:paraId="12C564F9">
      <w:pPr>
        <w:widowControl/>
        <w:jc w:val="center"/>
        <w:rPr>
          <w:rFonts w:asciiTheme="majorEastAsia" w:hAnsiTheme="majorEastAsia" w:eastAsiaTheme="majorEastAsia"/>
          <w:color w:val="auto"/>
          <w:sz w:val="44"/>
          <w:szCs w:val="44"/>
        </w:rPr>
      </w:pPr>
      <w:r>
        <w:rPr>
          <w:rFonts w:asciiTheme="majorEastAsia" w:hAnsiTheme="majorEastAsia" w:eastAsiaTheme="majorEastAsia"/>
          <w:color w:val="auto"/>
          <w:sz w:val="44"/>
          <w:szCs w:val="44"/>
        </w:rPr>
        <w:t>目</w:t>
      </w:r>
      <w:r>
        <w:rPr>
          <w:rFonts w:hint="eastAsia" w:asciiTheme="majorEastAsia" w:hAnsiTheme="majorEastAsia" w:eastAsiaTheme="majorEastAsia"/>
          <w:color w:val="auto"/>
          <w:sz w:val="44"/>
          <w:szCs w:val="44"/>
        </w:rPr>
        <w:t xml:space="preserve"> </w:t>
      </w:r>
      <w:r>
        <w:rPr>
          <w:rFonts w:asciiTheme="majorEastAsia" w:hAnsiTheme="majorEastAsia" w:eastAsiaTheme="majorEastAsia"/>
          <w:color w:val="auto"/>
          <w:sz w:val="44"/>
          <w:szCs w:val="44"/>
        </w:rPr>
        <w:t xml:space="preserve"> 录</w:t>
      </w:r>
    </w:p>
    <w:p w14:paraId="3EBB0FCB">
      <w:pPr>
        <w:pStyle w:val="30"/>
        <w:ind w:firstLine="480"/>
        <w:rPr>
          <w:rFonts w:asciiTheme="majorEastAsia" w:hAnsiTheme="majorEastAsia" w:eastAsiaTheme="majorEastAsia"/>
          <w:color w:val="auto"/>
        </w:rPr>
      </w:pPr>
    </w:p>
    <w:p w14:paraId="26461D9C">
      <w:pPr>
        <w:autoSpaceDE w:val="0"/>
        <w:autoSpaceDN w:val="0"/>
        <w:adjustRightInd w:val="0"/>
        <w:snapToGrid w:val="0"/>
        <w:spacing w:line="480" w:lineRule="auto"/>
        <w:ind w:firstLine="556"/>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t>第一部分  竞争性磋商公告</w:t>
      </w:r>
    </w:p>
    <w:p w14:paraId="7E485656">
      <w:pPr>
        <w:autoSpaceDE w:val="0"/>
        <w:autoSpaceDN w:val="0"/>
        <w:adjustRightInd w:val="0"/>
        <w:snapToGrid w:val="0"/>
        <w:spacing w:line="480" w:lineRule="auto"/>
        <w:ind w:firstLine="556"/>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t>第二部分  磋商须知</w:t>
      </w:r>
    </w:p>
    <w:p w14:paraId="030E0787">
      <w:pPr>
        <w:autoSpaceDE w:val="0"/>
        <w:autoSpaceDN w:val="0"/>
        <w:adjustRightInd w:val="0"/>
        <w:snapToGrid w:val="0"/>
        <w:spacing w:line="480" w:lineRule="auto"/>
        <w:ind w:firstLine="537"/>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t>第三部分  项目需求</w:t>
      </w:r>
    </w:p>
    <w:p w14:paraId="6C3D6F06">
      <w:pPr>
        <w:autoSpaceDE w:val="0"/>
        <w:autoSpaceDN w:val="0"/>
        <w:adjustRightInd w:val="0"/>
        <w:snapToGrid w:val="0"/>
        <w:spacing w:line="480" w:lineRule="auto"/>
        <w:ind w:firstLine="537"/>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t>第四部分  评审方法和评审标准</w:t>
      </w:r>
    </w:p>
    <w:p w14:paraId="3A5ECFFB">
      <w:pPr>
        <w:autoSpaceDE w:val="0"/>
        <w:autoSpaceDN w:val="0"/>
        <w:adjustRightInd w:val="0"/>
        <w:snapToGrid w:val="0"/>
        <w:spacing w:line="480" w:lineRule="auto"/>
        <w:ind w:firstLine="556"/>
        <w:rPr>
          <w:rFonts w:asciiTheme="majorEastAsia" w:hAnsiTheme="majorEastAsia" w:eastAsiaTheme="majorEastAsia"/>
          <w:color w:val="auto"/>
          <w:sz w:val="30"/>
          <w:szCs w:val="30"/>
        </w:rPr>
      </w:pPr>
      <w:r>
        <w:rPr>
          <w:rFonts w:hint="eastAsia" w:asciiTheme="majorEastAsia" w:hAnsiTheme="majorEastAsia" w:eastAsiaTheme="majorEastAsia"/>
          <w:color w:val="auto"/>
          <w:sz w:val="30"/>
          <w:szCs w:val="30"/>
        </w:rPr>
        <w:t>第五部分  响应文件组成</w:t>
      </w:r>
    </w:p>
    <w:p w14:paraId="777229FB">
      <w:pPr>
        <w:pStyle w:val="3"/>
        <w:spacing w:line="360" w:lineRule="auto"/>
        <w:jc w:val="center"/>
        <w:rPr>
          <w:rFonts w:asciiTheme="majorEastAsia" w:hAnsiTheme="majorEastAsia" w:eastAsiaTheme="majorEastAsia"/>
          <w:color w:val="auto"/>
          <w:kern w:val="2"/>
          <w:sz w:val="25"/>
          <w:szCs w:val="28"/>
        </w:rPr>
      </w:pPr>
      <w:r>
        <w:rPr>
          <w:rFonts w:asciiTheme="majorEastAsia" w:hAnsiTheme="majorEastAsia" w:eastAsiaTheme="majorEastAsia"/>
          <w:color w:val="auto"/>
          <w:lang w:val="zh-CN"/>
        </w:rPr>
        <w:br w:type="page"/>
      </w:r>
      <w:r>
        <w:rPr>
          <w:rFonts w:hint="eastAsia" w:asciiTheme="majorEastAsia" w:hAnsiTheme="majorEastAsia" w:eastAsiaTheme="majorEastAsia"/>
          <w:color w:val="auto"/>
          <w:sz w:val="36"/>
          <w:szCs w:val="28"/>
        </w:rPr>
        <w:t>招标文件备案表</w:t>
      </w:r>
    </w:p>
    <w:bookmarkEnd w:id="0"/>
    <w:bookmarkEnd w:id="1"/>
    <w:tbl>
      <w:tblPr>
        <w:tblStyle w:val="31"/>
        <w:tblW w:w="8647"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647"/>
      </w:tblGrid>
      <w:tr w14:paraId="4B64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647" w:type="dxa"/>
            <w:tcBorders>
              <w:top w:val="single" w:color="auto" w:sz="4" w:space="0"/>
              <w:left w:val="single" w:color="auto" w:sz="4" w:space="0"/>
              <w:bottom w:val="single" w:color="auto" w:sz="4" w:space="0"/>
              <w:right w:val="single" w:color="auto" w:sz="4" w:space="0"/>
            </w:tcBorders>
          </w:tcPr>
          <w:p w14:paraId="3C765D5F">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rPr>
            </w:pPr>
          </w:p>
          <w:p w14:paraId="38438CDE">
            <w:pPr>
              <w:keepNext w:val="0"/>
              <w:keepLines w:val="0"/>
              <w:suppressLineNumbers w:val="0"/>
              <w:tabs>
                <w:tab w:val="left" w:pos="5070"/>
              </w:tabs>
              <w:spacing w:before="0" w:beforeAutospacing="0" w:after="0" w:afterAutospacing="0" w:line="360" w:lineRule="auto"/>
              <w:ind w:left="0" w:right="0"/>
              <w:rPr>
                <w:rFonts w:hint="default" w:cs="宋体" w:asciiTheme="majorEastAsia" w:hAnsiTheme="majorEastAsia" w:eastAsiaTheme="majorEastAsia"/>
                <w:color w:val="auto"/>
                <w:sz w:val="24"/>
              </w:rPr>
            </w:pPr>
          </w:p>
          <w:p w14:paraId="02786492">
            <w:pPr>
              <w:keepNext w:val="0"/>
              <w:keepLines w:val="0"/>
              <w:suppressLineNumbers w:val="0"/>
              <w:tabs>
                <w:tab w:val="left" w:pos="5070"/>
              </w:tabs>
              <w:spacing w:before="0" w:beforeAutospacing="0" w:after="0" w:afterAutospacing="0" w:line="360" w:lineRule="auto"/>
              <w:ind w:left="0" w:right="0" w:firstLine="1200" w:firstLineChars="500"/>
              <w:rPr>
                <w:rFonts w:hint="default" w:cs="宋体" w:asciiTheme="majorEastAsia" w:hAnsiTheme="majorEastAsia" w:eastAsiaTheme="majorEastAsia"/>
                <w:color w:val="auto"/>
                <w:sz w:val="24"/>
              </w:rPr>
            </w:pPr>
            <w:r>
              <w:rPr>
                <w:rFonts w:hint="eastAsia" w:cs="宋体" w:asciiTheme="majorEastAsia" w:hAnsiTheme="majorEastAsia" w:eastAsiaTheme="majorEastAsia"/>
                <w:color w:val="auto"/>
                <w:sz w:val="24"/>
              </w:rPr>
              <w:t>编制人：</w:t>
            </w:r>
          </w:p>
          <w:p w14:paraId="56F60630">
            <w:pPr>
              <w:pStyle w:val="30"/>
              <w:keepNext w:val="0"/>
              <w:keepLines w:val="0"/>
              <w:suppressLineNumbers w:val="0"/>
              <w:spacing w:before="0" w:beforeAutospacing="0" w:afterAutospacing="0"/>
              <w:ind w:right="0" w:firstLine="0" w:firstLineChars="0"/>
              <w:rPr>
                <w:rFonts w:hint="default" w:asciiTheme="majorEastAsia" w:hAnsiTheme="majorEastAsia" w:eastAsiaTheme="majorEastAsia"/>
                <w:color w:val="auto"/>
              </w:rPr>
            </w:pPr>
          </w:p>
          <w:p w14:paraId="2DBF5428">
            <w:pPr>
              <w:keepNext w:val="0"/>
              <w:keepLines w:val="0"/>
              <w:suppressLineNumbers w:val="0"/>
              <w:tabs>
                <w:tab w:val="left" w:pos="5070"/>
              </w:tabs>
              <w:spacing w:before="0" w:beforeAutospacing="0" w:after="0" w:afterAutospacing="0" w:line="360" w:lineRule="auto"/>
              <w:ind w:left="0" w:right="0"/>
              <w:jc w:val="center"/>
              <w:rPr>
                <w:rFonts w:hint="default" w:cs="宋体" w:asciiTheme="majorEastAsia" w:hAnsiTheme="majorEastAsia" w:eastAsiaTheme="majorEastAsia"/>
                <w:color w:val="auto"/>
                <w:sz w:val="24"/>
              </w:rPr>
            </w:pPr>
          </w:p>
          <w:p w14:paraId="5F602E68">
            <w:pPr>
              <w:keepNext w:val="0"/>
              <w:keepLines w:val="0"/>
              <w:suppressLineNumbers w:val="0"/>
              <w:tabs>
                <w:tab w:val="left" w:pos="5070"/>
              </w:tabs>
              <w:spacing w:before="0" w:beforeAutospacing="0" w:after="0" w:afterAutospacing="0" w:line="360" w:lineRule="auto"/>
              <w:ind w:left="0" w:right="0"/>
              <w:jc w:val="right"/>
              <w:rPr>
                <w:rFonts w:hint="default" w:cs="宋体" w:asciiTheme="majorEastAsia" w:hAnsiTheme="majorEastAsia" w:eastAsiaTheme="majorEastAsia"/>
                <w:color w:val="auto"/>
                <w:sz w:val="24"/>
              </w:rPr>
            </w:pPr>
            <w:r>
              <w:rPr>
                <w:rFonts w:hint="eastAsia" w:cs="宋体" w:asciiTheme="majorEastAsia" w:hAnsiTheme="majorEastAsia" w:eastAsiaTheme="majorEastAsia"/>
                <w:color w:val="auto"/>
                <w:sz w:val="24"/>
              </w:rPr>
              <w:t xml:space="preserve"> </w:t>
            </w:r>
            <w:r>
              <w:rPr>
                <w:rFonts w:hint="default" w:cs="宋体" w:asciiTheme="majorEastAsia" w:hAnsiTheme="majorEastAsia" w:eastAsiaTheme="majorEastAsia"/>
                <w:color w:val="auto"/>
                <w:sz w:val="24"/>
              </w:rPr>
              <w:t xml:space="preserve">                               </w:t>
            </w:r>
            <w:r>
              <w:rPr>
                <w:rFonts w:hint="eastAsia" w:cs="宋体" w:asciiTheme="majorEastAsia" w:hAnsiTheme="majorEastAsia" w:eastAsiaTheme="majorEastAsia"/>
                <w:color w:val="auto"/>
                <w:sz w:val="24"/>
              </w:rPr>
              <w:t>日期： 202</w:t>
            </w:r>
            <w:r>
              <w:rPr>
                <w:rFonts w:hint="eastAsia" w:cs="宋体" w:asciiTheme="majorEastAsia" w:hAnsiTheme="majorEastAsia" w:eastAsiaTheme="majorEastAsia"/>
                <w:color w:val="auto"/>
                <w:sz w:val="24"/>
                <w:lang w:val="en-US" w:eastAsia="zh-CN"/>
              </w:rPr>
              <w:t>4</w:t>
            </w:r>
            <w:r>
              <w:rPr>
                <w:rFonts w:hint="eastAsia" w:cs="宋体" w:asciiTheme="majorEastAsia" w:hAnsiTheme="majorEastAsia" w:eastAsiaTheme="majorEastAsia"/>
                <w:color w:val="auto"/>
                <w:sz w:val="24"/>
              </w:rPr>
              <w:t>年</w:t>
            </w:r>
            <w:r>
              <w:rPr>
                <w:rFonts w:hint="eastAsia" w:cs="宋体" w:asciiTheme="majorEastAsia" w:hAnsiTheme="majorEastAsia" w:eastAsiaTheme="majorEastAsia"/>
                <w:color w:val="auto"/>
                <w:sz w:val="24"/>
                <w:lang w:val="en-US" w:eastAsia="zh-CN"/>
              </w:rPr>
              <w:t>10</w:t>
            </w:r>
            <w:r>
              <w:rPr>
                <w:rFonts w:hint="eastAsia" w:cs="宋体" w:asciiTheme="majorEastAsia" w:hAnsiTheme="majorEastAsia" w:eastAsiaTheme="majorEastAsia"/>
                <w:color w:val="auto"/>
                <w:sz w:val="24"/>
              </w:rPr>
              <w:t xml:space="preserve"> 月</w:t>
            </w:r>
            <w:r>
              <w:rPr>
                <w:rFonts w:hint="eastAsia" w:cs="宋体" w:asciiTheme="majorEastAsia" w:hAnsiTheme="majorEastAsia" w:eastAsiaTheme="majorEastAsia"/>
                <w:color w:val="auto"/>
                <w:sz w:val="24"/>
                <w:lang w:val="en-US" w:eastAsia="zh-CN"/>
              </w:rPr>
              <w:t>24</w:t>
            </w:r>
            <w:r>
              <w:rPr>
                <w:rFonts w:hint="eastAsia" w:cs="宋体" w:asciiTheme="majorEastAsia" w:hAnsiTheme="majorEastAsia" w:eastAsiaTheme="majorEastAsia"/>
                <w:color w:val="auto"/>
                <w:sz w:val="24"/>
              </w:rPr>
              <w:t xml:space="preserve"> 日</w:t>
            </w:r>
          </w:p>
        </w:tc>
      </w:tr>
      <w:tr w14:paraId="42E18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97" w:hRule="atLeast"/>
        </w:trPr>
        <w:tc>
          <w:tcPr>
            <w:tcW w:w="8647" w:type="dxa"/>
            <w:tcBorders>
              <w:top w:val="single" w:color="auto" w:sz="4" w:space="0"/>
              <w:left w:val="single" w:color="auto" w:sz="4" w:space="0"/>
              <w:bottom w:val="single" w:color="auto" w:sz="4" w:space="0"/>
              <w:right w:val="single" w:color="auto" w:sz="4" w:space="0"/>
            </w:tcBorders>
          </w:tcPr>
          <w:p w14:paraId="7F41CA35">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rPr>
            </w:pPr>
          </w:p>
          <w:p w14:paraId="50912B68">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rPr>
            </w:pPr>
          </w:p>
          <w:p w14:paraId="4231A416">
            <w:pPr>
              <w:keepNext w:val="0"/>
              <w:keepLines w:val="0"/>
              <w:suppressLineNumbers w:val="0"/>
              <w:spacing w:before="0" w:beforeAutospacing="0" w:after="0" w:afterAutospacing="0" w:line="360" w:lineRule="auto"/>
              <w:ind w:left="0" w:right="0" w:firstLine="2040" w:firstLineChars="850"/>
              <w:rPr>
                <w:rFonts w:hint="default" w:cs="宋体" w:asciiTheme="majorEastAsia" w:hAnsiTheme="majorEastAsia" w:eastAsiaTheme="majorEastAsia"/>
                <w:color w:val="auto"/>
                <w:sz w:val="24"/>
              </w:rPr>
            </w:pPr>
          </w:p>
          <w:p w14:paraId="17DCD8B1">
            <w:pPr>
              <w:keepNext w:val="0"/>
              <w:keepLines w:val="0"/>
              <w:suppressLineNumbers w:val="0"/>
              <w:spacing w:before="0" w:beforeAutospacing="0" w:after="0" w:afterAutospacing="0" w:line="360" w:lineRule="auto"/>
              <w:ind w:left="0" w:right="0" w:firstLine="1200" w:firstLineChars="500"/>
              <w:rPr>
                <w:rFonts w:hint="default" w:cs="宋体" w:asciiTheme="majorEastAsia" w:hAnsiTheme="majorEastAsia" w:eastAsiaTheme="majorEastAsia"/>
                <w:color w:val="auto"/>
                <w:sz w:val="24"/>
              </w:rPr>
            </w:pPr>
            <w:r>
              <w:rPr>
                <w:rFonts w:hint="eastAsia" w:cs="宋体" w:asciiTheme="majorEastAsia" w:hAnsiTheme="majorEastAsia" w:eastAsiaTheme="majorEastAsia"/>
                <w:color w:val="auto"/>
                <w:sz w:val="24"/>
              </w:rPr>
              <w:t>采购人(盖章)                代表人(签字)</w:t>
            </w:r>
          </w:p>
          <w:p w14:paraId="09FE9BBC">
            <w:pPr>
              <w:pStyle w:val="75"/>
              <w:keepNext w:val="0"/>
              <w:keepLines w:val="0"/>
              <w:suppressLineNumbers w:val="0"/>
              <w:spacing w:before="0" w:beforeAutospacing="0" w:after="0" w:afterAutospacing="0"/>
              <w:ind w:left="0" w:right="0"/>
              <w:rPr>
                <w:rFonts w:hint="default" w:asciiTheme="majorEastAsia" w:hAnsiTheme="majorEastAsia" w:eastAsiaTheme="majorEastAsia"/>
                <w:color w:val="auto"/>
                <w:kern w:val="2"/>
                <w:sz w:val="21"/>
                <w:szCs w:val="22"/>
              </w:rPr>
            </w:pPr>
          </w:p>
          <w:p w14:paraId="36E17E05">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rPr>
            </w:pPr>
          </w:p>
          <w:p w14:paraId="65F3D577">
            <w:pPr>
              <w:pStyle w:val="75"/>
              <w:keepNext w:val="0"/>
              <w:keepLines w:val="0"/>
              <w:suppressLineNumbers w:val="0"/>
              <w:spacing w:before="0" w:beforeAutospacing="0" w:after="0" w:afterAutospacing="0"/>
              <w:ind w:left="0" w:right="0"/>
              <w:rPr>
                <w:rFonts w:hint="default" w:asciiTheme="majorEastAsia" w:hAnsiTheme="majorEastAsia" w:eastAsiaTheme="majorEastAsia"/>
                <w:color w:val="auto"/>
                <w:kern w:val="2"/>
                <w:sz w:val="21"/>
                <w:szCs w:val="22"/>
              </w:rPr>
            </w:pPr>
          </w:p>
          <w:p w14:paraId="0CACE327">
            <w:pPr>
              <w:keepNext w:val="0"/>
              <w:keepLines w:val="0"/>
              <w:suppressLineNumbers w:val="0"/>
              <w:spacing w:before="0" w:beforeAutospacing="0" w:after="0" w:afterAutospacing="0" w:line="360" w:lineRule="auto"/>
              <w:ind w:left="0" w:right="0"/>
              <w:jc w:val="center"/>
              <w:rPr>
                <w:rFonts w:hint="default" w:cs="宋体" w:asciiTheme="majorEastAsia" w:hAnsiTheme="majorEastAsia" w:eastAsiaTheme="majorEastAsia"/>
                <w:color w:val="auto"/>
                <w:sz w:val="24"/>
              </w:rPr>
            </w:pPr>
            <w:r>
              <w:rPr>
                <w:rFonts w:hint="eastAsia" w:cs="宋体" w:asciiTheme="majorEastAsia" w:hAnsiTheme="majorEastAsia" w:eastAsiaTheme="majorEastAsia"/>
                <w:color w:val="auto"/>
                <w:sz w:val="24"/>
              </w:rPr>
              <w:t xml:space="preserve"> </w:t>
            </w:r>
            <w:r>
              <w:rPr>
                <w:rFonts w:hint="default" w:cs="宋体" w:asciiTheme="majorEastAsia" w:hAnsiTheme="majorEastAsia" w:eastAsiaTheme="majorEastAsia"/>
                <w:color w:val="auto"/>
                <w:sz w:val="24"/>
              </w:rPr>
              <w:t xml:space="preserve">                            </w:t>
            </w:r>
          </w:p>
          <w:p w14:paraId="7D1BFAF3">
            <w:pPr>
              <w:keepNext w:val="0"/>
              <w:keepLines w:val="0"/>
              <w:suppressLineNumbers w:val="0"/>
              <w:spacing w:before="0" w:beforeAutospacing="0" w:after="0" w:afterAutospacing="0" w:line="360" w:lineRule="auto"/>
              <w:ind w:left="0" w:right="0"/>
              <w:jc w:val="right"/>
              <w:rPr>
                <w:rFonts w:hint="default" w:cs="宋体" w:asciiTheme="majorEastAsia" w:hAnsiTheme="majorEastAsia" w:eastAsiaTheme="majorEastAsia"/>
                <w:color w:val="auto"/>
                <w:sz w:val="24"/>
              </w:rPr>
            </w:pPr>
            <w:r>
              <w:rPr>
                <w:rFonts w:hint="default" w:cs="宋体" w:asciiTheme="majorEastAsia" w:hAnsiTheme="majorEastAsia" w:eastAsiaTheme="majorEastAsia"/>
                <w:color w:val="auto"/>
                <w:sz w:val="24"/>
              </w:rPr>
              <w:t xml:space="preserve">  </w:t>
            </w:r>
            <w:r>
              <w:rPr>
                <w:rFonts w:hint="eastAsia" w:cs="宋体" w:asciiTheme="majorEastAsia" w:hAnsiTheme="majorEastAsia" w:eastAsiaTheme="majorEastAsia"/>
                <w:color w:val="auto"/>
                <w:sz w:val="24"/>
              </w:rPr>
              <w:t>日期： 202</w:t>
            </w:r>
            <w:r>
              <w:rPr>
                <w:rFonts w:hint="eastAsia" w:cs="宋体" w:asciiTheme="majorEastAsia" w:hAnsiTheme="majorEastAsia" w:eastAsiaTheme="majorEastAsia"/>
                <w:color w:val="auto"/>
                <w:sz w:val="24"/>
                <w:lang w:val="en-US" w:eastAsia="zh-CN"/>
              </w:rPr>
              <w:t>4</w:t>
            </w:r>
            <w:r>
              <w:rPr>
                <w:rFonts w:hint="eastAsia" w:cs="宋体" w:asciiTheme="majorEastAsia" w:hAnsiTheme="majorEastAsia" w:eastAsiaTheme="majorEastAsia"/>
                <w:color w:val="auto"/>
                <w:sz w:val="24"/>
              </w:rPr>
              <w:t>年</w:t>
            </w:r>
            <w:r>
              <w:rPr>
                <w:rFonts w:hint="eastAsia" w:cs="宋体" w:asciiTheme="majorEastAsia" w:hAnsiTheme="majorEastAsia" w:eastAsiaTheme="majorEastAsia"/>
                <w:color w:val="auto"/>
                <w:sz w:val="24"/>
                <w:lang w:val="en-US" w:eastAsia="zh-CN"/>
              </w:rPr>
              <w:t>10</w:t>
            </w:r>
            <w:r>
              <w:rPr>
                <w:rFonts w:hint="eastAsia" w:cs="宋体" w:asciiTheme="majorEastAsia" w:hAnsiTheme="majorEastAsia" w:eastAsiaTheme="majorEastAsia"/>
                <w:color w:val="auto"/>
                <w:sz w:val="24"/>
              </w:rPr>
              <w:t xml:space="preserve"> 月</w:t>
            </w:r>
            <w:r>
              <w:rPr>
                <w:rFonts w:hint="eastAsia" w:cs="宋体" w:asciiTheme="majorEastAsia" w:hAnsiTheme="majorEastAsia" w:eastAsiaTheme="majorEastAsia"/>
                <w:color w:val="auto"/>
                <w:sz w:val="24"/>
                <w:lang w:val="en-US" w:eastAsia="zh-CN"/>
              </w:rPr>
              <w:t>24</w:t>
            </w:r>
            <w:r>
              <w:rPr>
                <w:rFonts w:hint="eastAsia" w:cs="宋体" w:asciiTheme="majorEastAsia" w:hAnsiTheme="majorEastAsia" w:eastAsiaTheme="majorEastAsia"/>
                <w:color w:val="auto"/>
                <w:sz w:val="24"/>
              </w:rPr>
              <w:t>日</w:t>
            </w:r>
          </w:p>
          <w:p w14:paraId="5E125BE0">
            <w:pPr>
              <w:keepNext w:val="0"/>
              <w:keepLines w:val="0"/>
              <w:suppressLineNumbers w:val="0"/>
              <w:spacing w:before="0" w:beforeAutospacing="0" w:after="0" w:afterAutospacing="0" w:line="360" w:lineRule="auto"/>
              <w:ind w:left="0" w:right="0"/>
              <w:rPr>
                <w:rFonts w:hint="default" w:cs="宋体" w:asciiTheme="majorEastAsia" w:hAnsiTheme="majorEastAsia" w:eastAsiaTheme="majorEastAsia"/>
                <w:color w:val="auto"/>
                <w:sz w:val="24"/>
              </w:rPr>
            </w:pPr>
          </w:p>
        </w:tc>
      </w:tr>
      <w:tr w14:paraId="51271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80" w:hRule="atLeast"/>
        </w:trPr>
        <w:tc>
          <w:tcPr>
            <w:tcW w:w="8647" w:type="dxa"/>
            <w:tcBorders>
              <w:top w:val="single" w:color="auto" w:sz="4" w:space="0"/>
              <w:left w:val="single" w:color="auto" w:sz="4" w:space="0"/>
              <w:bottom w:val="single" w:color="auto" w:sz="4" w:space="0"/>
              <w:right w:val="single" w:color="auto" w:sz="4" w:space="0"/>
            </w:tcBorders>
          </w:tcPr>
          <w:p w14:paraId="1B4B53E1">
            <w:pPr>
              <w:keepNext w:val="0"/>
              <w:keepLines w:val="0"/>
              <w:suppressLineNumbers w:val="0"/>
              <w:spacing w:before="0" w:beforeAutospacing="0" w:after="0" w:afterAutospacing="0" w:line="360" w:lineRule="auto"/>
              <w:ind w:left="0" w:right="0"/>
              <w:jc w:val="center"/>
              <w:rPr>
                <w:rFonts w:hint="default" w:cs="宋体" w:asciiTheme="majorEastAsia" w:hAnsiTheme="majorEastAsia" w:eastAsiaTheme="majorEastAsia"/>
                <w:color w:val="auto"/>
                <w:sz w:val="24"/>
              </w:rPr>
            </w:pPr>
          </w:p>
          <w:p w14:paraId="787F523A">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rPr>
            </w:pPr>
          </w:p>
          <w:p w14:paraId="6038B0C9">
            <w:pPr>
              <w:keepNext w:val="0"/>
              <w:keepLines w:val="0"/>
              <w:suppressLineNumbers w:val="0"/>
              <w:spacing w:before="0" w:beforeAutospacing="0" w:after="120" w:afterAutospacing="0" w:line="360" w:lineRule="auto"/>
              <w:ind w:left="0" w:right="0"/>
              <w:rPr>
                <w:rFonts w:hint="default" w:cs="宋体" w:asciiTheme="majorEastAsia" w:hAnsiTheme="majorEastAsia" w:eastAsiaTheme="majorEastAsia"/>
                <w:color w:val="auto"/>
                <w:sz w:val="24"/>
              </w:rPr>
            </w:pPr>
          </w:p>
          <w:p w14:paraId="0AE365B1">
            <w:pPr>
              <w:keepNext w:val="0"/>
              <w:keepLines w:val="0"/>
              <w:suppressLineNumbers w:val="0"/>
              <w:spacing w:before="0" w:beforeAutospacing="0" w:after="0" w:afterAutospacing="0" w:line="360" w:lineRule="auto"/>
              <w:ind w:left="0" w:right="0" w:firstLine="1200" w:firstLineChars="500"/>
              <w:rPr>
                <w:rFonts w:hint="default" w:cs="宋体" w:asciiTheme="majorEastAsia" w:hAnsiTheme="majorEastAsia" w:eastAsiaTheme="majorEastAsia"/>
                <w:color w:val="auto"/>
                <w:sz w:val="24"/>
              </w:rPr>
            </w:pPr>
            <w:r>
              <w:rPr>
                <w:rFonts w:hint="default" w:cs="宋体" w:asciiTheme="majorEastAsia" w:hAnsiTheme="majorEastAsia" w:eastAsiaTheme="majorEastAsia"/>
                <w:color w:val="auto"/>
                <w:sz w:val="24"/>
              </w:rPr>
              <w:t>招标代理（盖章）</w:t>
            </w:r>
            <w:r>
              <w:rPr>
                <w:rFonts w:hint="eastAsia" w:cs="宋体" w:asciiTheme="majorEastAsia" w:hAnsiTheme="majorEastAsia" w:eastAsiaTheme="majorEastAsia"/>
                <w:color w:val="auto"/>
                <w:sz w:val="24"/>
              </w:rPr>
              <w:t>法定代表人（签字或盖章）</w:t>
            </w:r>
          </w:p>
          <w:p w14:paraId="7AE915D4">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rPr>
            </w:pPr>
          </w:p>
          <w:p w14:paraId="6648A986">
            <w:pPr>
              <w:pStyle w:val="30"/>
              <w:keepNext w:val="0"/>
              <w:keepLines w:val="0"/>
              <w:suppressLineNumbers w:val="0"/>
              <w:spacing w:before="0" w:beforeAutospacing="0" w:afterAutospacing="0"/>
              <w:ind w:right="0" w:firstLine="480"/>
              <w:rPr>
                <w:rFonts w:hint="default" w:asciiTheme="majorEastAsia" w:hAnsiTheme="majorEastAsia" w:eastAsiaTheme="majorEastAsia"/>
                <w:color w:val="auto"/>
              </w:rPr>
            </w:pPr>
          </w:p>
          <w:p w14:paraId="1EA8098F">
            <w:pPr>
              <w:keepNext w:val="0"/>
              <w:keepLines w:val="0"/>
              <w:suppressLineNumbers w:val="0"/>
              <w:spacing w:before="0" w:beforeAutospacing="0" w:after="0" w:afterAutospacing="0"/>
              <w:ind w:left="0" w:right="0"/>
              <w:rPr>
                <w:rFonts w:hint="default"/>
                <w:color w:val="auto"/>
              </w:rPr>
            </w:pPr>
          </w:p>
          <w:p w14:paraId="1E484FDE">
            <w:pPr>
              <w:pStyle w:val="75"/>
              <w:keepNext w:val="0"/>
              <w:keepLines w:val="0"/>
              <w:suppressLineNumbers w:val="0"/>
              <w:spacing w:before="0" w:beforeAutospacing="0" w:after="0" w:afterAutospacing="0"/>
              <w:ind w:left="0" w:right="0"/>
              <w:rPr>
                <w:rFonts w:hint="default" w:asciiTheme="majorEastAsia" w:hAnsiTheme="majorEastAsia" w:eastAsiaTheme="majorEastAsia"/>
                <w:color w:val="auto"/>
                <w:kern w:val="2"/>
                <w:sz w:val="21"/>
                <w:szCs w:val="22"/>
              </w:rPr>
            </w:pPr>
          </w:p>
          <w:p w14:paraId="771D700A">
            <w:pPr>
              <w:keepNext w:val="0"/>
              <w:keepLines w:val="0"/>
              <w:suppressLineNumbers w:val="0"/>
              <w:spacing w:before="0" w:beforeAutospacing="0" w:after="0" w:afterAutospacing="0" w:line="360" w:lineRule="auto"/>
              <w:ind w:left="0" w:right="0"/>
              <w:jc w:val="right"/>
              <w:rPr>
                <w:rFonts w:hint="default" w:cs="宋体" w:asciiTheme="majorEastAsia" w:hAnsiTheme="majorEastAsia" w:eastAsiaTheme="majorEastAsia"/>
                <w:color w:val="auto"/>
                <w:sz w:val="24"/>
              </w:rPr>
            </w:pPr>
            <w:r>
              <w:rPr>
                <w:rFonts w:hint="eastAsia" w:cs="宋体" w:asciiTheme="majorEastAsia" w:hAnsiTheme="majorEastAsia" w:eastAsiaTheme="majorEastAsia"/>
                <w:color w:val="auto"/>
                <w:sz w:val="24"/>
              </w:rPr>
              <w:t xml:space="preserve"> </w:t>
            </w:r>
            <w:r>
              <w:rPr>
                <w:rFonts w:hint="default" w:cs="宋体" w:asciiTheme="majorEastAsia" w:hAnsiTheme="majorEastAsia" w:eastAsiaTheme="majorEastAsia"/>
                <w:color w:val="auto"/>
                <w:sz w:val="24"/>
              </w:rPr>
              <w:t xml:space="preserve">                           </w:t>
            </w:r>
            <w:r>
              <w:rPr>
                <w:rFonts w:hint="eastAsia" w:cs="宋体" w:asciiTheme="majorEastAsia" w:hAnsiTheme="majorEastAsia" w:eastAsiaTheme="majorEastAsia"/>
                <w:color w:val="auto"/>
                <w:sz w:val="24"/>
              </w:rPr>
              <w:t>日期： 202</w:t>
            </w:r>
            <w:r>
              <w:rPr>
                <w:rFonts w:hint="eastAsia" w:cs="宋体" w:asciiTheme="majorEastAsia" w:hAnsiTheme="majorEastAsia" w:eastAsiaTheme="majorEastAsia"/>
                <w:color w:val="auto"/>
                <w:sz w:val="24"/>
                <w:lang w:val="en-US" w:eastAsia="zh-CN"/>
              </w:rPr>
              <w:t>4</w:t>
            </w:r>
            <w:r>
              <w:rPr>
                <w:rFonts w:hint="eastAsia" w:cs="宋体" w:asciiTheme="majorEastAsia" w:hAnsiTheme="majorEastAsia" w:eastAsiaTheme="majorEastAsia"/>
                <w:color w:val="auto"/>
                <w:sz w:val="24"/>
              </w:rPr>
              <w:t>年</w:t>
            </w:r>
            <w:r>
              <w:rPr>
                <w:rFonts w:hint="eastAsia" w:cs="宋体" w:asciiTheme="majorEastAsia" w:hAnsiTheme="majorEastAsia" w:eastAsiaTheme="majorEastAsia"/>
                <w:color w:val="auto"/>
                <w:sz w:val="24"/>
                <w:lang w:val="en-US" w:eastAsia="zh-CN"/>
              </w:rPr>
              <w:t>10</w:t>
            </w:r>
            <w:r>
              <w:rPr>
                <w:rFonts w:hint="eastAsia" w:cs="宋体" w:asciiTheme="majorEastAsia" w:hAnsiTheme="majorEastAsia" w:eastAsiaTheme="majorEastAsia"/>
                <w:color w:val="auto"/>
                <w:sz w:val="24"/>
              </w:rPr>
              <w:t xml:space="preserve"> 月</w:t>
            </w:r>
            <w:r>
              <w:rPr>
                <w:rFonts w:hint="eastAsia" w:cs="宋体" w:asciiTheme="majorEastAsia" w:hAnsiTheme="majorEastAsia" w:eastAsiaTheme="majorEastAsia"/>
                <w:color w:val="auto"/>
                <w:sz w:val="24"/>
                <w:lang w:val="en-US" w:eastAsia="zh-CN"/>
              </w:rPr>
              <w:t>24</w:t>
            </w:r>
            <w:r>
              <w:rPr>
                <w:rFonts w:hint="eastAsia" w:cs="宋体" w:asciiTheme="majorEastAsia" w:hAnsiTheme="majorEastAsia" w:eastAsiaTheme="majorEastAsia"/>
                <w:color w:val="auto"/>
                <w:sz w:val="24"/>
              </w:rPr>
              <w:t>日</w:t>
            </w:r>
          </w:p>
          <w:p w14:paraId="38A743DD">
            <w:pPr>
              <w:keepNext w:val="0"/>
              <w:keepLines w:val="0"/>
              <w:suppressLineNumbers w:val="0"/>
              <w:spacing w:before="0" w:beforeAutospacing="0" w:after="120" w:afterAutospacing="0" w:line="360" w:lineRule="auto"/>
              <w:ind w:left="0" w:right="0" w:firstLine="1680" w:firstLineChars="800"/>
              <w:rPr>
                <w:rFonts w:hint="default" w:asciiTheme="majorEastAsia" w:hAnsiTheme="majorEastAsia" w:eastAsiaTheme="majorEastAsia"/>
                <w:color w:val="auto"/>
              </w:rPr>
            </w:pPr>
          </w:p>
        </w:tc>
      </w:tr>
    </w:tbl>
    <w:p w14:paraId="172A9C4C">
      <w:pPr>
        <w:pStyle w:val="109"/>
        <w:rPr>
          <w:rFonts w:asciiTheme="majorEastAsia" w:hAnsiTheme="majorEastAsia" w:eastAsiaTheme="majorEastAsia"/>
          <w:color w:val="auto"/>
        </w:rPr>
      </w:pPr>
      <w:r>
        <w:rPr>
          <w:rFonts w:asciiTheme="majorEastAsia" w:hAnsiTheme="majorEastAsia" w:eastAsiaTheme="majorEastAsia"/>
          <w:color w:val="auto"/>
        </w:rPr>
        <w:br w:type="page"/>
      </w:r>
      <w:bookmarkStart w:id="2" w:name="_Toc86915682"/>
      <w:bookmarkStart w:id="3" w:name="OLE_LINK2"/>
      <w:bookmarkStart w:id="4" w:name="OLE_LINK4"/>
      <w:bookmarkStart w:id="5" w:name="OLE_LINK5"/>
      <w:r>
        <w:rPr>
          <w:rFonts w:asciiTheme="majorEastAsia" w:hAnsiTheme="majorEastAsia" w:eastAsiaTheme="majorEastAsia"/>
          <w:color w:val="auto"/>
        </w:rPr>
        <w:t xml:space="preserve">  </w:t>
      </w:r>
      <w:r>
        <w:rPr>
          <w:rFonts w:hint="eastAsia" w:asciiTheme="majorEastAsia" w:hAnsiTheme="majorEastAsia" w:eastAsiaTheme="majorEastAsia"/>
          <w:color w:val="auto"/>
        </w:rPr>
        <w:t>第一部分</w:t>
      </w:r>
      <w:bookmarkStart w:id="6" w:name="OLE_LINK9"/>
      <w:bookmarkStart w:id="7" w:name="OLE_LINK1"/>
      <w:bookmarkStart w:id="8" w:name="OLE_LINK7"/>
      <w:bookmarkStart w:id="9" w:name="OLE_LINK6"/>
      <w:r>
        <w:rPr>
          <w:rFonts w:hint="eastAsia" w:asciiTheme="majorEastAsia" w:hAnsiTheme="majorEastAsia" w:eastAsiaTheme="majorEastAsia"/>
          <w:color w:val="auto"/>
        </w:rPr>
        <w:t xml:space="preserve"> </w:t>
      </w:r>
      <w:r>
        <w:rPr>
          <w:rFonts w:asciiTheme="majorEastAsia" w:hAnsiTheme="majorEastAsia" w:eastAsiaTheme="majorEastAsia"/>
          <w:color w:val="auto"/>
        </w:rPr>
        <w:t xml:space="preserve"> </w:t>
      </w:r>
      <w:r>
        <w:rPr>
          <w:rFonts w:hint="eastAsia" w:asciiTheme="majorEastAsia" w:hAnsiTheme="majorEastAsia" w:eastAsiaTheme="majorEastAsia"/>
          <w:color w:val="auto"/>
        </w:rPr>
        <w:t>竞争性磋商采购邀请</w:t>
      </w:r>
      <w:bookmarkEnd w:id="2"/>
    </w:p>
    <w:tbl>
      <w:tblPr>
        <w:tblStyle w:val="31"/>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8"/>
      </w:tblGrid>
      <w:tr w14:paraId="1F63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9078" w:type="dxa"/>
          </w:tcPr>
          <w:p w14:paraId="7D8610B7">
            <w:pPr>
              <w:keepNext w:val="0"/>
              <w:keepLines w:val="0"/>
              <w:suppressLineNumbers w:val="0"/>
              <w:spacing w:before="0" w:beforeAutospacing="0" w:after="0" w:afterAutospacing="0" w:line="360" w:lineRule="auto"/>
              <w:ind w:left="0" w:right="-340" w:rightChars="-162"/>
              <w:textAlignment w:val="baseline"/>
              <w:rPr>
                <w:rFonts w:hint="default" w:asciiTheme="majorEastAsia" w:hAnsiTheme="majorEastAsia" w:eastAsiaTheme="majorEastAsia"/>
                <w:color w:val="auto"/>
                <w:kern w:val="0"/>
              </w:rPr>
            </w:pPr>
            <w:r>
              <w:rPr>
                <w:rFonts w:hint="default" w:asciiTheme="majorEastAsia" w:hAnsiTheme="majorEastAsia" w:eastAsiaTheme="majorEastAsia"/>
                <w:color w:val="auto"/>
                <w:kern w:val="0"/>
              </w:rPr>
              <w:t>项目概况：</w:t>
            </w:r>
          </w:p>
          <w:p w14:paraId="5EE65D3F">
            <w:pPr>
              <w:keepNext w:val="0"/>
              <w:keepLines w:val="0"/>
              <w:suppressLineNumbers w:val="0"/>
              <w:snapToGrid w:val="0"/>
              <w:spacing w:before="0" w:beforeAutospacing="0" w:after="0" w:afterAutospacing="0" w:line="420" w:lineRule="exact"/>
              <w:ind w:left="335" w:right="0"/>
              <w:textAlignment w:val="baseline"/>
              <w:rPr>
                <w:rFonts w:hint="default" w:ascii="宋体" w:hAnsi="宋体" w:cs="宋体"/>
                <w:color w:val="auto"/>
                <w:szCs w:val="21"/>
                <w:u w:val="single"/>
              </w:rPr>
            </w:pPr>
            <w:r>
              <w:rPr>
                <w:rFonts w:hint="eastAsia" w:asciiTheme="majorEastAsia" w:hAnsiTheme="majorEastAsia" w:eastAsiaTheme="majorEastAsia"/>
                <w:b/>
                <w:bCs/>
                <w:color w:val="auto"/>
                <w:u w:val="single"/>
              </w:rPr>
              <w:t>南通市妇幼保健院</w:t>
            </w:r>
            <w:r>
              <w:rPr>
                <w:rFonts w:hint="eastAsia" w:asciiTheme="majorEastAsia" w:hAnsiTheme="majorEastAsia" w:eastAsiaTheme="majorEastAsia"/>
                <w:b/>
                <w:bCs/>
                <w:color w:val="auto"/>
                <w:u w:val="single"/>
                <w:lang w:val="en-US" w:eastAsia="zh-CN"/>
              </w:rPr>
              <w:t>2024年</w:t>
            </w:r>
            <w:r>
              <w:rPr>
                <w:rFonts w:hint="eastAsia" w:asciiTheme="majorEastAsia" w:hAnsiTheme="majorEastAsia" w:eastAsiaTheme="majorEastAsia"/>
                <w:b/>
                <w:bCs/>
                <w:color w:val="auto"/>
                <w:u w:val="single"/>
              </w:rPr>
              <w:t>PDA采购项目</w:t>
            </w:r>
            <w:r>
              <w:rPr>
                <w:rFonts w:hint="default" w:asciiTheme="majorEastAsia" w:hAnsiTheme="majorEastAsia" w:eastAsiaTheme="majorEastAsia"/>
                <w:color w:val="auto"/>
              </w:rPr>
              <w:t>的潜在供应商应在</w:t>
            </w:r>
            <w:r>
              <w:rPr>
                <w:rFonts w:hint="eastAsia" w:ascii="宋体" w:hAnsi="宋体" w:cs="宋体"/>
                <w:b/>
                <w:bCs/>
                <w:color w:val="auto"/>
                <w:szCs w:val="21"/>
                <w:u w:val="single"/>
              </w:rPr>
              <w:t>南通市卫生健康委员会官网（http://wjw.nantong.gov.cn）和南通市妇幼保健院官网（http://www.ntfybj.com）</w:t>
            </w:r>
            <w:r>
              <w:rPr>
                <w:rFonts w:hint="eastAsia" w:cs="仿宋" w:asciiTheme="majorEastAsia" w:hAnsiTheme="majorEastAsia" w:eastAsiaTheme="majorEastAsia"/>
                <w:b/>
                <w:bCs/>
                <w:color w:val="auto"/>
                <w:u w:val="single"/>
              </w:rPr>
              <w:t xml:space="preserve"> </w:t>
            </w:r>
            <w:r>
              <w:rPr>
                <w:rFonts w:hint="default" w:asciiTheme="majorEastAsia" w:hAnsiTheme="majorEastAsia" w:eastAsiaTheme="majorEastAsia"/>
                <w:color w:val="auto"/>
              </w:rPr>
              <w:t>获取采购文件，并于</w:t>
            </w:r>
            <w:r>
              <w:rPr>
                <w:rFonts w:hint="default" w:asciiTheme="majorEastAsia" w:hAnsiTheme="majorEastAsia" w:eastAsiaTheme="majorEastAsia"/>
                <w:b/>
                <w:color w:val="auto"/>
                <w:u w:val="single"/>
              </w:rPr>
              <w:t>202</w:t>
            </w:r>
            <w:r>
              <w:rPr>
                <w:rFonts w:hint="eastAsia" w:asciiTheme="majorEastAsia" w:hAnsiTheme="majorEastAsia" w:eastAsiaTheme="majorEastAsia"/>
                <w:b/>
                <w:color w:val="auto"/>
                <w:u w:val="single"/>
                <w:lang w:val="en-US" w:eastAsia="zh-CN"/>
              </w:rPr>
              <w:t>4</w:t>
            </w:r>
            <w:r>
              <w:rPr>
                <w:rFonts w:hint="default" w:asciiTheme="majorEastAsia" w:hAnsiTheme="majorEastAsia" w:eastAsiaTheme="majorEastAsia"/>
                <w:b/>
                <w:color w:val="auto"/>
                <w:u w:val="single"/>
              </w:rPr>
              <w:t>年</w:t>
            </w:r>
            <w:r>
              <w:rPr>
                <w:rFonts w:hint="eastAsia" w:asciiTheme="majorEastAsia" w:hAnsiTheme="majorEastAsia" w:eastAsiaTheme="majorEastAsia"/>
                <w:b/>
                <w:color w:val="auto"/>
                <w:u w:val="single"/>
                <w:lang w:val="en-US" w:eastAsia="zh-CN"/>
              </w:rPr>
              <w:t>11</w:t>
            </w:r>
            <w:r>
              <w:rPr>
                <w:rFonts w:hint="default" w:asciiTheme="majorEastAsia" w:hAnsiTheme="majorEastAsia" w:eastAsiaTheme="majorEastAsia"/>
                <w:b/>
                <w:color w:val="auto"/>
                <w:u w:val="single"/>
              </w:rPr>
              <w:t>月</w:t>
            </w:r>
            <w:r>
              <w:rPr>
                <w:rFonts w:hint="eastAsia" w:asciiTheme="majorEastAsia" w:hAnsiTheme="majorEastAsia" w:eastAsiaTheme="majorEastAsia"/>
                <w:b/>
                <w:color w:val="auto"/>
                <w:u w:val="single"/>
                <w:lang w:val="en-US" w:eastAsia="zh-CN"/>
              </w:rPr>
              <w:t>5 日</w:t>
            </w:r>
            <w:r>
              <w:rPr>
                <w:rFonts w:hint="eastAsia" w:asciiTheme="majorEastAsia" w:hAnsiTheme="majorEastAsia" w:eastAsiaTheme="majorEastAsia"/>
                <w:b/>
                <w:color w:val="auto"/>
                <w:u w:val="single"/>
              </w:rPr>
              <w:t xml:space="preserve"> </w:t>
            </w:r>
            <w:r>
              <w:rPr>
                <w:rFonts w:hint="default" w:asciiTheme="majorEastAsia" w:hAnsiTheme="majorEastAsia" w:eastAsiaTheme="majorEastAsia"/>
                <w:b/>
                <w:color w:val="auto"/>
                <w:u w:val="single"/>
              </w:rPr>
              <w:t>14 点</w:t>
            </w:r>
            <w:r>
              <w:rPr>
                <w:rFonts w:hint="eastAsia" w:asciiTheme="majorEastAsia" w:hAnsiTheme="majorEastAsia" w:eastAsiaTheme="majorEastAsia"/>
                <w:b/>
                <w:color w:val="auto"/>
                <w:u w:val="single"/>
                <w:lang w:val="en-US" w:eastAsia="zh-CN"/>
              </w:rPr>
              <w:t>0</w:t>
            </w:r>
            <w:r>
              <w:rPr>
                <w:rFonts w:hint="default" w:asciiTheme="majorEastAsia" w:hAnsiTheme="majorEastAsia" w:eastAsiaTheme="majorEastAsia"/>
                <w:b/>
                <w:color w:val="auto"/>
                <w:u w:val="single"/>
              </w:rPr>
              <w:t>0 分</w:t>
            </w:r>
            <w:r>
              <w:rPr>
                <w:rFonts w:hint="default" w:asciiTheme="majorEastAsia" w:hAnsiTheme="majorEastAsia" w:eastAsiaTheme="majorEastAsia"/>
                <w:color w:val="auto"/>
              </w:rPr>
              <w:t>（北京时间）</w:t>
            </w:r>
            <w:r>
              <w:rPr>
                <w:rFonts w:hint="default" w:asciiTheme="majorEastAsia" w:hAnsiTheme="majorEastAsia" w:eastAsiaTheme="majorEastAsia"/>
                <w:bCs/>
                <w:color w:val="auto"/>
              </w:rPr>
              <w:t>）</w:t>
            </w:r>
            <w:r>
              <w:rPr>
                <w:rFonts w:hint="default" w:asciiTheme="majorEastAsia" w:hAnsiTheme="majorEastAsia" w:eastAsiaTheme="majorEastAsia"/>
                <w:color w:val="auto"/>
              </w:rPr>
              <w:t>前提交响应文件。</w:t>
            </w:r>
          </w:p>
        </w:tc>
      </w:tr>
    </w:tbl>
    <w:p w14:paraId="0A984A21">
      <w:pPr>
        <w:pStyle w:val="111"/>
        <w:rPr>
          <w:rFonts w:asciiTheme="majorEastAsia" w:hAnsiTheme="majorEastAsia" w:eastAsiaTheme="majorEastAsia"/>
          <w:color w:val="auto"/>
        </w:rPr>
      </w:pPr>
      <w:bookmarkStart w:id="10" w:name="_Toc28359079"/>
      <w:bookmarkStart w:id="11" w:name="_Toc86915683"/>
      <w:bookmarkStart w:id="12" w:name="_Toc35393790"/>
      <w:bookmarkStart w:id="13" w:name="_Toc35393621"/>
      <w:bookmarkStart w:id="14" w:name="_Toc28359002"/>
      <w:bookmarkStart w:id="15" w:name="_Hlk24379207"/>
      <w:r>
        <w:rPr>
          <w:rFonts w:hint="eastAsia" w:asciiTheme="majorEastAsia" w:hAnsiTheme="majorEastAsia" w:eastAsiaTheme="majorEastAsia"/>
          <w:color w:val="auto"/>
        </w:rPr>
        <w:t>一、项目基本情况</w:t>
      </w:r>
      <w:bookmarkEnd w:id="10"/>
      <w:bookmarkEnd w:id="11"/>
      <w:bookmarkEnd w:id="12"/>
      <w:bookmarkEnd w:id="13"/>
      <w:bookmarkEnd w:id="14"/>
    </w:p>
    <w:p w14:paraId="20A17473">
      <w:pPr>
        <w:pStyle w:val="113"/>
        <w:rPr>
          <w:color w:val="auto"/>
        </w:rPr>
      </w:pPr>
      <w:r>
        <w:rPr>
          <w:color w:val="auto"/>
        </w:rPr>
        <w:t>1.</w:t>
      </w:r>
      <w:r>
        <w:rPr>
          <w:rFonts w:hint="eastAsia"/>
          <w:color w:val="auto"/>
        </w:rPr>
        <w:t>项目编号：2024XXCS005</w:t>
      </w:r>
      <w:r>
        <w:rPr>
          <w:rFonts w:hint="eastAsia"/>
          <w:bCs/>
          <w:color w:val="auto"/>
        </w:rPr>
        <w:t xml:space="preserve">       </w:t>
      </w:r>
      <w:r>
        <w:rPr>
          <w:rFonts w:hint="eastAsia"/>
          <w:color w:val="auto"/>
        </w:rPr>
        <w:t xml:space="preserve">     </w:t>
      </w:r>
    </w:p>
    <w:p w14:paraId="74098B0A">
      <w:pPr>
        <w:pStyle w:val="113"/>
        <w:rPr>
          <w:color w:val="auto"/>
        </w:rPr>
      </w:pPr>
      <w:r>
        <w:rPr>
          <w:rFonts w:hint="eastAsia"/>
          <w:color w:val="auto"/>
        </w:rPr>
        <w:t>2.项目名称：南通市妇幼保健院</w:t>
      </w:r>
      <w:r>
        <w:rPr>
          <w:rFonts w:hint="eastAsia"/>
          <w:color w:val="auto"/>
          <w:lang w:val="en-US" w:eastAsia="zh-CN"/>
        </w:rPr>
        <w:t>2024年</w:t>
      </w:r>
      <w:r>
        <w:rPr>
          <w:rFonts w:hint="eastAsia"/>
          <w:color w:val="auto"/>
        </w:rPr>
        <w:t>PDA采购项目</w:t>
      </w:r>
    </w:p>
    <w:p w14:paraId="5C816F29">
      <w:pPr>
        <w:pStyle w:val="113"/>
        <w:rPr>
          <w:rFonts w:hint="default" w:eastAsia="宋体"/>
          <w:color w:val="auto"/>
          <w:lang w:val="en-US" w:eastAsia="zh-CN"/>
        </w:rPr>
      </w:pPr>
      <w:r>
        <w:rPr>
          <w:rFonts w:hint="eastAsia"/>
          <w:color w:val="auto"/>
        </w:rPr>
        <w:t>3.项目类型：</w:t>
      </w:r>
      <w:r>
        <w:rPr>
          <w:rFonts w:hint="eastAsia"/>
          <w:color w:val="auto"/>
          <w:lang w:val="en-US" w:eastAsia="zh-CN"/>
        </w:rPr>
        <w:t>货物</w:t>
      </w:r>
    </w:p>
    <w:bookmarkEnd w:id="15"/>
    <w:p w14:paraId="413FD2F4">
      <w:pPr>
        <w:pStyle w:val="113"/>
        <w:rPr>
          <w:rFonts w:hint="default" w:eastAsia="宋体"/>
          <w:color w:val="auto"/>
          <w:lang w:val="en-US" w:eastAsia="zh-CN"/>
        </w:rPr>
      </w:pPr>
      <w:r>
        <w:rPr>
          <w:rFonts w:hint="eastAsia"/>
          <w:color w:val="auto"/>
        </w:rPr>
        <w:t>4.所属行业：</w:t>
      </w:r>
      <w:r>
        <w:rPr>
          <w:rFonts w:hint="eastAsia"/>
          <w:color w:val="auto"/>
          <w:lang w:val="en-US" w:eastAsia="zh-CN"/>
        </w:rPr>
        <w:t>工业</w:t>
      </w:r>
    </w:p>
    <w:p w14:paraId="2BAC7634">
      <w:pPr>
        <w:pStyle w:val="113"/>
        <w:rPr>
          <w:color w:val="auto"/>
        </w:rPr>
      </w:pPr>
      <w:r>
        <w:rPr>
          <w:rFonts w:hint="eastAsia"/>
          <w:color w:val="auto"/>
        </w:rPr>
        <w:t>5</w:t>
      </w:r>
      <w:r>
        <w:rPr>
          <w:color w:val="auto"/>
        </w:rPr>
        <w:t>.</w:t>
      </w:r>
      <w:r>
        <w:rPr>
          <w:rFonts w:hint="eastAsia"/>
          <w:color w:val="auto"/>
        </w:rPr>
        <w:t>预算金额：</w:t>
      </w:r>
      <w:r>
        <w:rPr>
          <w:rFonts w:hint="eastAsia"/>
          <w:color w:val="auto"/>
          <w:lang w:val="en-US" w:eastAsia="zh-CN"/>
        </w:rPr>
        <w:t>30</w:t>
      </w:r>
      <w:r>
        <w:rPr>
          <w:rFonts w:hint="eastAsia"/>
          <w:color w:val="auto"/>
        </w:rPr>
        <w:t>万元</w:t>
      </w:r>
    </w:p>
    <w:p w14:paraId="47EC7A18">
      <w:pPr>
        <w:pStyle w:val="113"/>
        <w:rPr>
          <w:rFonts w:hint="default" w:eastAsia="宋体"/>
          <w:color w:val="auto"/>
          <w:lang w:val="en-US" w:eastAsia="zh-CN"/>
        </w:rPr>
      </w:pPr>
      <w:r>
        <w:rPr>
          <w:color w:val="auto"/>
        </w:rPr>
        <w:t>6</w:t>
      </w:r>
      <w:r>
        <w:rPr>
          <w:rFonts w:hint="eastAsia"/>
          <w:color w:val="auto"/>
        </w:rPr>
        <w:t>.最高限价：最高限价为人民币</w:t>
      </w:r>
      <w:r>
        <w:rPr>
          <w:rFonts w:hint="eastAsia"/>
          <w:color w:val="auto"/>
          <w:lang w:val="en-US" w:eastAsia="zh-CN"/>
        </w:rPr>
        <w:t>30万元，超过最高限价作废标处理。</w:t>
      </w:r>
    </w:p>
    <w:p w14:paraId="2B29D2A0">
      <w:pPr>
        <w:pStyle w:val="113"/>
        <w:rPr>
          <w:color w:val="auto"/>
        </w:rPr>
      </w:pPr>
      <w:r>
        <w:rPr>
          <w:color w:val="auto"/>
        </w:rPr>
        <w:t>7</w:t>
      </w:r>
      <w:r>
        <w:rPr>
          <w:rFonts w:hint="eastAsia"/>
          <w:color w:val="auto"/>
        </w:rPr>
        <w:t>.采购需求：详见磋商文件</w:t>
      </w:r>
      <w:r>
        <w:rPr>
          <w:color w:val="auto"/>
        </w:rPr>
        <w:t>，请仔细研究。</w:t>
      </w:r>
    </w:p>
    <w:p w14:paraId="05D38E8D">
      <w:pPr>
        <w:pStyle w:val="113"/>
        <w:rPr>
          <w:rFonts w:hint="eastAsia"/>
          <w:color w:val="auto"/>
        </w:rPr>
      </w:pPr>
      <w:r>
        <w:rPr>
          <w:rFonts w:hint="eastAsia"/>
          <w:color w:val="auto"/>
        </w:rPr>
        <w:t>8.交货地点</w:t>
      </w:r>
      <w:r>
        <w:rPr>
          <w:rFonts w:hint="eastAsia"/>
          <w:color w:val="auto"/>
          <w:lang w:eastAsia="zh-CN"/>
        </w:rPr>
        <w:t>：</w:t>
      </w:r>
      <w:r>
        <w:rPr>
          <w:rFonts w:hint="eastAsia"/>
          <w:color w:val="auto"/>
        </w:rPr>
        <w:t>南通市妇幼保健院指定地点。</w:t>
      </w:r>
    </w:p>
    <w:p w14:paraId="4C9AB925">
      <w:pPr>
        <w:pStyle w:val="113"/>
        <w:rPr>
          <w:b/>
          <w:bCs/>
          <w:color w:val="auto"/>
        </w:rPr>
      </w:pPr>
      <w:r>
        <w:rPr>
          <w:rFonts w:hint="eastAsia"/>
          <w:color w:val="auto"/>
          <w:lang w:val="en-US" w:eastAsia="zh-CN"/>
        </w:rPr>
        <w:t>9.</w:t>
      </w:r>
      <w:r>
        <w:rPr>
          <w:rFonts w:hint="eastAsia"/>
          <w:color w:val="auto"/>
        </w:rPr>
        <w:t>交货时间</w:t>
      </w:r>
      <w:r>
        <w:rPr>
          <w:rFonts w:hint="eastAsia"/>
          <w:color w:val="auto"/>
          <w:lang w:eastAsia="zh-CN"/>
        </w:rPr>
        <w:t>：</w:t>
      </w:r>
      <w:r>
        <w:rPr>
          <w:rFonts w:hint="eastAsia"/>
          <w:color w:val="auto"/>
        </w:rPr>
        <w:t>自合同签定之日起 20 天内，完成全部货物的现场安装部署调试工作 (因采购单位原因造成的延期除外)。</w:t>
      </w:r>
    </w:p>
    <w:p w14:paraId="3263489D">
      <w:pPr>
        <w:pStyle w:val="113"/>
        <w:rPr>
          <w:rFonts w:hint="eastAsia"/>
          <w:color w:val="auto"/>
        </w:rPr>
      </w:pPr>
      <w:r>
        <w:rPr>
          <w:rFonts w:hint="eastAsia"/>
          <w:color w:val="auto"/>
          <w:lang w:val="en-US" w:eastAsia="zh-CN"/>
        </w:rPr>
        <w:t>10</w:t>
      </w:r>
      <w:r>
        <w:rPr>
          <w:rFonts w:hint="eastAsia"/>
          <w:color w:val="auto"/>
        </w:rPr>
        <w:t>.质量</w:t>
      </w:r>
      <w:r>
        <w:rPr>
          <w:rFonts w:hint="eastAsia"/>
          <w:color w:val="auto"/>
          <w:lang w:val="en-US" w:eastAsia="zh-CN"/>
        </w:rPr>
        <w:t>要求</w:t>
      </w:r>
      <w:r>
        <w:rPr>
          <w:rFonts w:hint="eastAsia"/>
          <w:color w:val="auto"/>
        </w:rPr>
        <w:t>：乙方提供的货物必须符合中华人民共和国国家及行业有关标准。</w:t>
      </w:r>
    </w:p>
    <w:p w14:paraId="32066334">
      <w:pPr>
        <w:pStyle w:val="113"/>
        <w:rPr>
          <w:rFonts w:hint="eastAsia"/>
          <w:color w:val="auto"/>
        </w:rPr>
      </w:pPr>
      <w:r>
        <w:rPr>
          <w:rFonts w:hint="eastAsia"/>
          <w:color w:val="auto"/>
          <w:lang w:val="en-US" w:eastAsia="zh-CN"/>
        </w:rPr>
        <w:t>11.</w:t>
      </w:r>
      <w:r>
        <w:rPr>
          <w:rFonts w:hint="eastAsia"/>
          <w:color w:val="auto"/>
        </w:rPr>
        <w:t>本项目是否接受联合体投标：否</w:t>
      </w:r>
    </w:p>
    <w:p w14:paraId="7627CF0E">
      <w:pPr>
        <w:pStyle w:val="113"/>
        <w:rPr>
          <w:color w:val="auto"/>
        </w:rPr>
      </w:pPr>
      <w:r>
        <w:rPr>
          <w:rFonts w:hint="eastAsia"/>
          <w:color w:val="auto"/>
        </w:rPr>
        <w:t>1</w:t>
      </w:r>
      <w:r>
        <w:rPr>
          <w:rFonts w:hint="eastAsia"/>
          <w:color w:val="auto"/>
          <w:lang w:val="en-US" w:eastAsia="zh-CN"/>
        </w:rPr>
        <w:t>2</w:t>
      </w:r>
      <w:r>
        <w:rPr>
          <w:color w:val="auto"/>
        </w:rPr>
        <w:t>.</w:t>
      </w:r>
      <w:r>
        <w:rPr>
          <w:rFonts w:hint="eastAsia"/>
          <w:color w:val="auto"/>
        </w:rPr>
        <w:t>本项目是否接受分包：否</w:t>
      </w:r>
    </w:p>
    <w:p w14:paraId="60FA3A2C">
      <w:pPr>
        <w:pStyle w:val="111"/>
        <w:rPr>
          <w:rFonts w:asciiTheme="majorEastAsia" w:hAnsiTheme="majorEastAsia" w:eastAsiaTheme="majorEastAsia"/>
          <w:color w:val="auto"/>
        </w:rPr>
      </w:pPr>
      <w:bookmarkStart w:id="16" w:name="_Toc86915684"/>
      <w:r>
        <w:rPr>
          <w:rFonts w:hint="eastAsia" w:asciiTheme="majorEastAsia" w:hAnsiTheme="majorEastAsia" w:eastAsiaTheme="majorEastAsia"/>
          <w:color w:val="auto"/>
        </w:rPr>
        <w:t>二、</w:t>
      </w:r>
      <w:r>
        <w:rPr>
          <w:rFonts w:asciiTheme="majorEastAsia" w:hAnsiTheme="majorEastAsia" w:eastAsiaTheme="majorEastAsia"/>
          <w:color w:val="auto"/>
        </w:rPr>
        <w:t>供应商的资格要求</w:t>
      </w:r>
      <w:r>
        <w:rPr>
          <w:rFonts w:hint="eastAsia" w:asciiTheme="majorEastAsia" w:hAnsiTheme="majorEastAsia" w:eastAsiaTheme="majorEastAsia"/>
          <w:color w:val="auto"/>
        </w:rPr>
        <w:t>：</w:t>
      </w:r>
      <w:bookmarkEnd w:id="16"/>
    </w:p>
    <w:p w14:paraId="2EDECA3C">
      <w:pPr>
        <w:pStyle w:val="113"/>
        <w:spacing w:line="420" w:lineRule="exact"/>
        <w:rPr>
          <w:rFonts w:asciiTheme="majorEastAsia" w:hAnsiTheme="majorEastAsia" w:eastAsiaTheme="majorEastAsia"/>
          <w:color w:val="auto"/>
        </w:rPr>
      </w:pPr>
      <w:bookmarkStart w:id="17" w:name="_Toc85792836"/>
      <w:bookmarkStart w:id="18" w:name="_Toc86915685"/>
      <w:bookmarkStart w:id="19" w:name="_Toc86915686"/>
      <w:r>
        <w:rPr>
          <w:rFonts w:hint="eastAsia" w:asciiTheme="majorEastAsia" w:hAnsiTheme="majorEastAsia" w:eastAsiaTheme="majorEastAsia"/>
          <w:color w:val="auto"/>
        </w:rPr>
        <w:t>1．满足《中华人民共和国政府采购法》第二十二条规定</w:t>
      </w:r>
      <w:bookmarkEnd w:id="17"/>
      <w:bookmarkEnd w:id="18"/>
      <w:r>
        <w:rPr>
          <w:rFonts w:hint="eastAsia" w:asciiTheme="majorEastAsia" w:hAnsiTheme="majorEastAsia" w:eastAsiaTheme="majorEastAsia"/>
          <w:color w:val="auto"/>
        </w:rPr>
        <w:t>。</w:t>
      </w:r>
    </w:p>
    <w:p w14:paraId="207DF0E0">
      <w:pPr>
        <w:pStyle w:val="113"/>
        <w:spacing w:line="420" w:lineRule="exact"/>
        <w:rPr>
          <w:rFonts w:asciiTheme="majorEastAsia" w:hAnsiTheme="majorEastAsia" w:eastAsiaTheme="majorEastAsia"/>
          <w:color w:val="auto"/>
        </w:rPr>
      </w:pPr>
      <w:r>
        <w:rPr>
          <w:rFonts w:hint="eastAsia" w:asciiTheme="majorEastAsia" w:hAnsiTheme="majorEastAsia" w:eastAsiaTheme="majorEastAsia"/>
          <w:color w:val="auto"/>
        </w:rPr>
        <w:t>2．落实政府采购政策需满足的资格要求：</w:t>
      </w:r>
      <w:r>
        <w:rPr>
          <w:rFonts w:asciiTheme="majorEastAsia" w:hAnsiTheme="majorEastAsia" w:eastAsiaTheme="majorEastAsia"/>
          <w:color w:val="auto"/>
        </w:rPr>
        <w:t>是否专门面向中小企业</w:t>
      </w:r>
      <w:r>
        <w:rPr>
          <w:rFonts w:hint="eastAsia" w:asciiTheme="majorEastAsia" w:hAnsiTheme="majorEastAsia" w:eastAsiaTheme="majorEastAsia"/>
          <w:color w:val="auto"/>
        </w:rPr>
        <w:t>：</w:t>
      </w:r>
      <w:r>
        <w:rPr>
          <w:rFonts w:hint="eastAsia" w:asciiTheme="majorEastAsia" w:hAnsiTheme="majorEastAsia" w:eastAsiaTheme="majorEastAsia"/>
          <w:color w:val="auto"/>
          <w:u w:val="single"/>
        </w:rPr>
        <w:t>否</w:t>
      </w:r>
    </w:p>
    <w:p w14:paraId="381AA2AD">
      <w:pPr>
        <w:pStyle w:val="113"/>
        <w:spacing w:line="420" w:lineRule="exact"/>
        <w:rPr>
          <w:rFonts w:asciiTheme="majorEastAsia" w:hAnsiTheme="majorEastAsia" w:eastAsiaTheme="majorEastAsia"/>
          <w:color w:val="auto"/>
        </w:rPr>
      </w:pPr>
      <w:r>
        <w:rPr>
          <w:rFonts w:hint="eastAsia" w:asciiTheme="majorEastAsia" w:hAnsiTheme="majorEastAsia" w:eastAsiaTheme="majorEastAsia"/>
          <w:color w:val="auto"/>
        </w:rPr>
        <w:t>3．本项目的特定资格要求：</w:t>
      </w:r>
    </w:p>
    <w:p w14:paraId="2D2CB7B0">
      <w:pPr>
        <w:pStyle w:val="111"/>
        <w:spacing w:line="420" w:lineRule="exact"/>
        <w:ind w:firstLine="420" w:firstLineChars="200"/>
        <w:rPr>
          <w:rFonts w:asciiTheme="majorEastAsia" w:hAnsiTheme="majorEastAsia" w:eastAsiaTheme="majorEastAsia"/>
          <w:b w:val="0"/>
          <w:bCs/>
          <w:color w:val="auto"/>
        </w:rPr>
      </w:pPr>
      <w:r>
        <w:rPr>
          <w:rFonts w:asciiTheme="majorEastAsia" w:hAnsiTheme="majorEastAsia" w:eastAsiaTheme="majorEastAsia"/>
          <w:b w:val="0"/>
          <w:bCs/>
          <w:color w:val="auto"/>
        </w:rPr>
        <w:t>3.1法定代表人参加项目</w:t>
      </w:r>
      <w:r>
        <w:rPr>
          <w:rFonts w:hint="eastAsia" w:asciiTheme="majorEastAsia" w:hAnsiTheme="majorEastAsia" w:eastAsiaTheme="majorEastAsia"/>
          <w:b w:val="0"/>
          <w:bCs/>
          <w:color w:val="auto"/>
        </w:rPr>
        <w:t>投标</w:t>
      </w:r>
      <w:r>
        <w:rPr>
          <w:rFonts w:asciiTheme="majorEastAsia" w:hAnsiTheme="majorEastAsia" w:eastAsiaTheme="majorEastAsia"/>
          <w:b w:val="0"/>
          <w:bCs/>
          <w:color w:val="auto"/>
        </w:rPr>
        <w:t>的，须提供法定代表人身份证明书；非法定代表人参加的，必须提供法定代表人签名或盖章的授权委托书及被授权</w:t>
      </w:r>
      <w:r>
        <w:rPr>
          <w:rFonts w:hint="eastAsia" w:asciiTheme="majorEastAsia" w:hAnsiTheme="majorEastAsia" w:eastAsiaTheme="majorEastAsia"/>
          <w:b w:val="0"/>
          <w:bCs/>
          <w:color w:val="auto"/>
        </w:rPr>
        <w:t>人本人的身份证复印件</w:t>
      </w:r>
      <w:r>
        <w:rPr>
          <w:rFonts w:asciiTheme="majorEastAsia" w:hAnsiTheme="majorEastAsia" w:eastAsiaTheme="majorEastAsia"/>
          <w:b w:val="0"/>
          <w:bCs/>
          <w:color w:val="auto"/>
        </w:rPr>
        <w:t>。</w:t>
      </w:r>
      <w:r>
        <w:rPr>
          <w:rFonts w:hint="eastAsia" w:asciiTheme="majorEastAsia" w:hAnsiTheme="majorEastAsia" w:eastAsiaTheme="majorEastAsia"/>
          <w:b w:val="0"/>
          <w:bCs/>
          <w:color w:val="auto"/>
        </w:rPr>
        <w:t>被授权人为投标企业正式人员证明材料（提供①与投标企业签订的有效劳动合同复印件；②社保机构出具并盖章的投标企业为其缴纳养老保险缴费清单</w:t>
      </w:r>
      <w:r>
        <w:rPr>
          <w:rFonts w:hint="eastAsia" w:asciiTheme="majorEastAsia" w:hAnsiTheme="majorEastAsia" w:eastAsiaTheme="majorEastAsia"/>
          <w:b w:val="0"/>
          <w:bCs/>
          <w:color w:val="auto"/>
          <w:lang w:val="en-US" w:eastAsia="zh-CN"/>
        </w:rPr>
        <w:t>证明</w:t>
      </w:r>
      <w:r>
        <w:rPr>
          <w:rFonts w:hint="eastAsia" w:asciiTheme="majorEastAsia" w:hAnsiTheme="majorEastAsia" w:eastAsiaTheme="majorEastAsia"/>
          <w:b w:val="0"/>
          <w:bCs/>
          <w:color w:val="auto"/>
        </w:rPr>
        <w:t>（开标截止前三个月中任意一个月</w:t>
      </w:r>
      <w:r>
        <w:rPr>
          <w:rFonts w:hint="eastAsia" w:asciiTheme="majorEastAsia" w:hAnsiTheme="majorEastAsia" w:eastAsiaTheme="majorEastAsia"/>
          <w:b w:val="0"/>
          <w:bCs/>
          <w:color w:val="auto"/>
          <w:lang w:eastAsia="zh-CN"/>
        </w:rPr>
        <w:t>）</w:t>
      </w:r>
      <w:r>
        <w:rPr>
          <w:rFonts w:hint="eastAsia" w:asciiTheme="majorEastAsia" w:hAnsiTheme="majorEastAsia" w:eastAsiaTheme="majorEastAsia"/>
          <w:b w:val="0"/>
          <w:bCs/>
          <w:color w:val="auto"/>
        </w:rPr>
        <w:t>）。</w:t>
      </w:r>
    </w:p>
    <w:p w14:paraId="39648340">
      <w:pPr>
        <w:pStyle w:val="113"/>
        <w:spacing w:line="420" w:lineRule="exact"/>
        <w:rPr>
          <w:rFonts w:asciiTheme="majorEastAsia" w:hAnsiTheme="majorEastAsia" w:eastAsiaTheme="majorEastAsia"/>
          <w:bCs/>
          <w:color w:val="auto"/>
        </w:rPr>
      </w:pPr>
      <w:bookmarkStart w:id="20" w:name="_Hlk143074895"/>
      <w:r>
        <w:rPr>
          <w:rFonts w:asciiTheme="majorEastAsia" w:hAnsiTheme="majorEastAsia" w:eastAsiaTheme="majorEastAsia"/>
          <w:bCs/>
          <w:color w:val="auto"/>
        </w:rPr>
        <w:t>3.2</w:t>
      </w:r>
      <w:r>
        <w:rPr>
          <w:rFonts w:asciiTheme="majorEastAsia" w:hAnsiTheme="majorEastAsia" w:eastAsiaTheme="majorEastAsia"/>
          <w:color w:val="auto"/>
        </w:rPr>
        <w:t>供应商</w:t>
      </w:r>
      <w:r>
        <w:rPr>
          <w:rFonts w:hint="eastAsia" w:asciiTheme="majorEastAsia" w:hAnsiTheme="majorEastAsia" w:eastAsiaTheme="majorEastAsia"/>
          <w:bCs/>
          <w:color w:val="auto"/>
        </w:rPr>
        <w:t>有效的营业执照</w:t>
      </w:r>
      <w:r>
        <w:rPr>
          <w:rFonts w:asciiTheme="majorEastAsia" w:hAnsiTheme="majorEastAsia" w:eastAsiaTheme="majorEastAsia"/>
          <w:bCs/>
          <w:color w:val="auto"/>
        </w:rPr>
        <w:t>复印件</w:t>
      </w:r>
      <w:r>
        <w:rPr>
          <w:rFonts w:hint="eastAsia" w:asciiTheme="majorEastAsia" w:hAnsiTheme="majorEastAsia" w:eastAsiaTheme="majorEastAsia"/>
          <w:bCs/>
          <w:color w:val="auto"/>
        </w:rPr>
        <w:t>。</w:t>
      </w:r>
    </w:p>
    <w:bookmarkEnd w:id="19"/>
    <w:bookmarkEnd w:id="20"/>
    <w:p w14:paraId="46385131">
      <w:pPr>
        <w:pStyle w:val="113"/>
        <w:ind w:firstLine="422"/>
        <w:rPr>
          <w:rFonts w:asciiTheme="majorEastAsia" w:hAnsiTheme="majorEastAsia" w:eastAsiaTheme="majorEastAsia"/>
          <w:b/>
          <w:bCs/>
          <w:color w:val="auto"/>
        </w:rPr>
      </w:pPr>
      <w:bookmarkStart w:id="21" w:name="_Toc86915688"/>
      <w:r>
        <w:rPr>
          <w:rFonts w:hint="eastAsia" w:asciiTheme="majorEastAsia" w:hAnsiTheme="majorEastAsia" w:eastAsiaTheme="majorEastAsia"/>
          <w:b/>
          <w:bCs/>
          <w:color w:val="auto"/>
        </w:rPr>
        <w:t>3.</w:t>
      </w:r>
      <w:r>
        <w:rPr>
          <w:rFonts w:hint="eastAsia" w:asciiTheme="majorEastAsia" w:hAnsiTheme="majorEastAsia" w:eastAsiaTheme="majorEastAsia"/>
          <w:b/>
          <w:bCs/>
          <w:color w:val="auto"/>
          <w:lang w:val="en-US" w:eastAsia="zh-CN"/>
        </w:rPr>
        <w:t>3</w:t>
      </w:r>
      <w:r>
        <w:rPr>
          <w:rFonts w:hint="eastAsia" w:asciiTheme="majorEastAsia" w:hAnsiTheme="majorEastAsia" w:eastAsiaTheme="majorEastAsia"/>
          <w:b/>
          <w:bCs/>
          <w:color w:val="auto"/>
        </w:rPr>
        <w:t>符合相关法律、法规规定的其他要求。</w:t>
      </w:r>
    </w:p>
    <w:p w14:paraId="4DCD4BBF">
      <w:pPr>
        <w:pStyle w:val="113"/>
        <w:ind w:firstLine="0" w:firstLineChars="0"/>
        <w:rPr>
          <w:rFonts w:asciiTheme="majorEastAsia" w:hAnsiTheme="majorEastAsia" w:eastAsiaTheme="majorEastAsia"/>
          <w:b/>
          <w:bCs/>
          <w:color w:val="auto"/>
        </w:rPr>
      </w:pPr>
      <w:r>
        <w:rPr>
          <w:rFonts w:hint="eastAsia" w:asciiTheme="majorEastAsia" w:hAnsiTheme="majorEastAsia" w:eastAsiaTheme="majorEastAsia"/>
          <w:b/>
          <w:bCs/>
          <w:color w:val="auto"/>
        </w:rPr>
        <w:t>三、获取采购文件</w:t>
      </w:r>
      <w:bookmarkEnd w:id="21"/>
    </w:p>
    <w:p w14:paraId="72BDBD17">
      <w:pPr>
        <w:pStyle w:val="113"/>
        <w:rPr>
          <w:b/>
          <w:bCs/>
          <w:color w:val="auto"/>
        </w:rPr>
      </w:pPr>
      <w:bookmarkStart w:id="22" w:name="_Toc28359005"/>
      <w:bookmarkStart w:id="23" w:name="_Toc86915689"/>
      <w:bookmarkStart w:id="24" w:name="_Toc35393624"/>
      <w:bookmarkStart w:id="25" w:name="_Toc35393793"/>
      <w:bookmarkStart w:id="26" w:name="_Toc28359082"/>
      <w:r>
        <w:rPr>
          <w:rFonts w:hint="eastAsia"/>
          <w:color w:val="auto"/>
        </w:rPr>
        <w:t>时  间：自公告发布之日起至</w:t>
      </w:r>
      <w:r>
        <w:rPr>
          <w:rFonts w:hint="eastAsia"/>
          <w:b/>
          <w:bCs/>
          <w:color w:val="auto"/>
        </w:rPr>
        <w:t>2</w:t>
      </w:r>
      <w:r>
        <w:rPr>
          <w:b/>
          <w:bCs/>
          <w:color w:val="auto"/>
        </w:rPr>
        <w:t>02</w:t>
      </w:r>
      <w:r>
        <w:rPr>
          <w:rFonts w:hint="eastAsia"/>
          <w:b/>
          <w:bCs/>
          <w:color w:val="auto"/>
          <w:lang w:val="en-US" w:eastAsia="zh-CN"/>
        </w:rPr>
        <w:t>4</w:t>
      </w:r>
      <w:r>
        <w:rPr>
          <w:rFonts w:hint="eastAsia"/>
          <w:b/>
          <w:bCs/>
          <w:color w:val="auto"/>
        </w:rPr>
        <w:t>年</w:t>
      </w:r>
      <w:r>
        <w:rPr>
          <w:rFonts w:hint="eastAsia"/>
          <w:b/>
          <w:bCs/>
          <w:color w:val="auto"/>
          <w:lang w:val="en-US" w:eastAsia="zh-CN"/>
        </w:rPr>
        <w:t>11</w:t>
      </w:r>
      <w:r>
        <w:rPr>
          <w:rFonts w:hint="eastAsia"/>
          <w:b/>
          <w:bCs/>
          <w:color w:val="auto"/>
        </w:rPr>
        <w:t>月</w:t>
      </w:r>
      <w:r>
        <w:rPr>
          <w:rFonts w:hint="eastAsia"/>
          <w:b/>
          <w:bCs/>
          <w:color w:val="auto"/>
          <w:lang w:val="en-US" w:eastAsia="zh-CN"/>
        </w:rPr>
        <w:t xml:space="preserve">5 </w:t>
      </w:r>
      <w:r>
        <w:rPr>
          <w:rFonts w:hint="eastAsia"/>
          <w:b/>
          <w:bCs/>
          <w:color w:val="auto"/>
        </w:rPr>
        <w:t>日</w:t>
      </w:r>
    </w:p>
    <w:p w14:paraId="1E803669">
      <w:pPr>
        <w:pStyle w:val="113"/>
        <w:rPr>
          <w:color w:val="auto"/>
        </w:rPr>
      </w:pPr>
      <w:r>
        <w:rPr>
          <w:rFonts w:hint="eastAsia"/>
          <w:color w:val="auto"/>
        </w:rPr>
        <w:t>地  点：南通市卫生健康委员会官网（http://wjw.nantong.gov.cn）和南通市妇幼保健院官网（http://www.ntfybj.com）。</w:t>
      </w:r>
    </w:p>
    <w:p w14:paraId="2E035CB6">
      <w:pPr>
        <w:pStyle w:val="113"/>
        <w:rPr>
          <w:color w:val="auto"/>
        </w:rPr>
      </w:pPr>
      <w:r>
        <w:rPr>
          <w:rFonts w:hint="eastAsia"/>
          <w:color w:val="auto"/>
        </w:rPr>
        <w:t>方  式：自行下载</w:t>
      </w:r>
    </w:p>
    <w:p w14:paraId="646C84FC">
      <w:pPr>
        <w:pStyle w:val="113"/>
        <w:rPr>
          <w:color w:val="auto"/>
        </w:rPr>
      </w:pPr>
      <w:r>
        <w:rPr>
          <w:rFonts w:hint="eastAsia"/>
          <w:color w:val="auto"/>
        </w:rPr>
        <w:t>售  价：300元/每位磋商供应商，（磋商响应供应商在进入不见面开标qq群时以扫描招标代理人员提供的付款二维码方式递交）。</w:t>
      </w:r>
    </w:p>
    <w:p w14:paraId="38529B2B">
      <w:pPr>
        <w:pStyle w:val="113"/>
        <w:ind w:firstLine="0" w:firstLineChars="0"/>
        <w:rPr>
          <w:rFonts w:asciiTheme="majorEastAsia" w:hAnsiTheme="majorEastAsia" w:eastAsiaTheme="majorEastAsia"/>
          <w:b/>
          <w:color w:val="auto"/>
        </w:rPr>
      </w:pPr>
      <w:r>
        <w:rPr>
          <w:rFonts w:hint="eastAsia" w:asciiTheme="majorEastAsia" w:hAnsiTheme="majorEastAsia" w:eastAsiaTheme="majorEastAsia"/>
          <w:b/>
          <w:bCs/>
          <w:color w:val="auto"/>
        </w:rPr>
        <w:t>四、</w:t>
      </w:r>
      <w:bookmarkEnd w:id="22"/>
      <w:bookmarkEnd w:id="23"/>
      <w:bookmarkEnd w:id="24"/>
      <w:bookmarkEnd w:id="25"/>
      <w:bookmarkEnd w:id="26"/>
      <w:r>
        <w:rPr>
          <w:rFonts w:asciiTheme="majorEastAsia" w:hAnsiTheme="majorEastAsia" w:eastAsiaTheme="majorEastAsia"/>
          <w:b/>
          <w:color w:val="auto"/>
        </w:rPr>
        <w:t>提交响应文件截止时间、磋商时间和地点</w:t>
      </w:r>
    </w:p>
    <w:p w14:paraId="3D457805">
      <w:pPr>
        <w:pStyle w:val="111"/>
        <w:ind w:firstLine="285" w:firstLineChars="135"/>
        <w:rPr>
          <w:rFonts w:cs="宋体" w:asciiTheme="majorEastAsia" w:hAnsiTheme="majorEastAsia" w:eastAsiaTheme="majorEastAsia"/>
          <w:i/>
          <w:color w:val="auto"/>
          <w:u w:val="single"/>
        </w:rPr>
      </w:pPr>
      <w:bookmarkStart w:id="27" w:name="_Toc28359016"/>
      <w:bookmarkStart w:id="28" w:name="_Toc35393633"/>
      <w:bookmarkStart w:id="29" w:name="_Toc86915690"/>
      <w:bookmarkStart w:id="30" w:name="_Toc28359093"/>
      <w:bookmarkStart w:id="31" w:name="_Toc35393802"/>
      <w:r>
        <w:rPr>
          <w:rFonts w:cs="宋体" w:asciiTheme="majorEastAsia" w:hAnsiTheme="majorEastAsia" w:eastAsiaTheme="majorEastAsia"/>
          <w:color w:val="auto"/>
        </w:rPr>
        <w:t xml:space="preserve"> 1.</w:t>
      </w:r>
      <w:r>
        <w:rPr>
          <w:rFonts w:hint="eastAsia" w:cs="宋体" w:asciiTheme="majorEastAsia" w:hAnsiTheme="majorEastAsia" w:eastAsiaTheme="majorEastAsia"/>
          <w:color w:val="auto"/>
        </w:rPr>
        <w:t>截止时间：</w:t>
      </w:r>
      <w:r>
        <w:rPr>
          <w:rFonts w:cs="宋体" w:asciiTheme="majorEastAsia" w:hAnsiTheme="majorEastAsia" w:eastAsiaTheme="majorEastAsia"/>
          <w:color w:val="auto"/>
        </w:rPr>
        <w:t>202</w:t>
      </w:r>
      <w:r>
        <w:rPr>
          <w:rFonts w:hint="eastAsia" w:cs="宋体" w:asciiTheme="majorEastAsia" w:hAnsiTheme="majorEastAsia" w:eastAsiaTheme="majorEastAsia"/>
          <w:color w:val="auto"/>
          <w:lang w:val="en-US" w:eastAsia="zh-CN"/>
        </w:rPr>
        <w:t>4</w:t>
      </w:r>
      <w:r>
        <w:rPr>
          <w:rFonts w:cs="宋体" w:asciiTheme="majorEastAsia" w:hAnsiTheme="majorEastAsia" w:eastAsiaTheme="majorEastAsia"/>
          <w:color w:val="auto"/>
        </w:rPr>
        <w:t>年</w:t>
      </w:r>
      <w:r>
        <w:rPr>
          <w:rFonts w:hint="eastAsia" w:cs="宋体" w:asciiTheme="majorEastAsia" w:hAnsiTheme="majorEastAsia" w:eastAsiaTheme="majorEastAsia"/>
          <w:color w:val="auto"/>
          <w:lang w:val="en-US" w:eastAsia="zh-CN"/>
        </w:rPr>
        <w:t>11</w:t>
      </w:r>
      <w:r>
        <w:rPr>
          <w:rFonts w:cs="宋体" w:asciiTheme="majorEastAsia" w:hAnsiTheme="majorEastAsia" w:eastAsiaTheme="majorEastAsia"/>
          <w:color w:val="auto"/>
        </w:rPr>
        <w:t>月</w:t>
      </w:r>
      <w:r>
        <w:rPr>
          <w:rFonts w:hint="eastAsia" w:cs="宋体" w:asciiTheme="majorEastAsia" w:hAnsiTheme="majorEastAsia" w:eastAsiaTheme="majorEastAsia"/>
          <w:color w:val="auto"/>
          <w:lang w:val="en-US" w:eastAsia="zh-CN"/>
        </w:rPr>
        <w:t xml:space="preserve">5 </w:t>
      </w:r>
      <w:r>
        <w:rPr>
          <w:rFonts w:cs="宋体" w:asciiTheme="majorEastAsia" w:hAnsiTheme="majorEastAsia" w:eastAsiaTheme="majorEastAsia"/>
          <w:color w:val="auto"/>
        </w:rPr>
        <w:t>日 14 点</w:t>
      </w:r>
      <w:r>
        <w:rPr>
          <w:rFonts w:hint="eastAsia" w:cs="宋体" w:asciiTheme="majorEastAsia" w:hAnsiTheme="majorEastAsia" w:eastAsiaTheme="majorEastAsia"/>
          <w:color w:val="auto"/>
          <w:lang w:val="en-US" w:eastAsia="zh-CN"/>
        </w:rPr>
        <w:t>0</w:t>
      </w:r>
      <w:r>
        <w:rPr>
          <w:rFonts w:cs="宋体" w:asciiTheme="majorEastAsia" w:hAnsiTheme="majorEastAsia" w:eastAsiaTheme="majorEastAsia"/>
          <w:color w:val="auto"/>
        </w:rPr>
        <w:t>0 分（北京时间）</w:t>
      </w:r>
    </w:p>
    <w:p w14:paraId="0761D980">
      <w:pPr>
        <w:pStyle w:val="113"/>
        <w:ind w:firstLine="422"/>
        <w:rPr>
          <w:rFonts w:cs="宋体" w:asciiTheme="majorEastAsia" w:hAnsiTheme="majorEastAsia" w:eastAsiaTheme="majorEastAsia"/>
          <w:b/>
          <w:color w:val="auto"/>
        </w:rPr>
      </w:pPr>
      <w:r>
        <w:rPr>
          <w:rFonts w:cs="宋体" w:asciiTheme="majorEastAsia" w:hAnsiTheme="majorEastAsia" w:eastAsiaTheme="majorEastAsia"/>
          <w:b/>
          <w:color w:val="auto"/>
        </w:rPr>
        <w:t>2.</w:t>
      </w:r>
      <w:r>
        <w:rPr>
          <w:rFonts w:hint="eastAsia" w:cs="宋体" w:asciiTheme="majorEastAsia" w:hAnsiTheme="majorEastAsia" w:eastAsiaTheme="majorEastAsia"/>
          <w:b/>
          <w:color w:val="auto"/>
        </w:rPr>
        <w:t>递交方式</w:t>
      </w:r>
      <w:r>
        <w:rPr>
          <w:rFonts w:cs="宋体" w:asciiTheme="majorEastAsia" w:hAnsiTheme="majorEastAsia" w:eastAsiaTheme="majorEastAsia"/>
          <w:b/>
          <w:color w:val="auto"/>
        </w:rPr>
        <w:t>：</w:t>
      </w:r>
      <w:r>
        <w:rPr>
          <w:rFonts w:hint="eastAsia" w:cs="宋体" w:asciiTheme="majorEastAsia" w:hAnsiTheme="majorEastAsia" w:eastAsiaTheme="majorEastAsia"/>
          <w:b/>
          <w:color w:val="auto"/>
        </w:rPr>
        <w:t>各响应供应商</w:t>
      </w:r>
      <w:r>
        <w:rPr>
          <w:rFonts w:cs="宋体" w:asciiTheme="majorEastAsia" w:hAnsiTheme="majorEastAsia" w:eastAsiaTheme="majorEastAsia"/>
          <w:b/>
          <w:color w:val="auto"/>
        </w:rPr>
        <w:t>在开标截止时间前将响应文件保存为加盖公章的PDF扫描件“</w:t>
      </w:r>
      <w:r>
        <w:rPr>
          <w:rFonts w:hint="eastAsia" w:asciiTheme="majorEastAsia" w:hAnsiTheme="majorEastAsia" w:eastAsiaTheme="majorEastAsia"/>
          <w:b/>
          <w:bCs/>
          <w:color w:val="auto"/>
        </w:rPr>
        <w:t>资格审查证明材料</w:t>
      </w:r>
      <w:r>
        <w:rPr>
          <w:rFonts w:hint="eastAsia" w:asciiTheme="majorEastAsia" w:hAnsiTheme="majorEastAsia" w:eastAsiaTheme="majorEastAsia"/>
          <w:color w:val="auto"/>
        </w:rPr>
        <w:t>、</w:t>
      </w:r>
      <w:r>
        <w:rPr>
          <w:b/>
          <w:bCs/>
          <w:color w:val="auto"/>
        </w:rPr>
        <w:t>商务技术文件</w:t>
      </w:r>
      <w:r>
        <w:rPr>
          <w:rFonts w:hint="eastAsia" w:asciiTheme="majorEastAsia" w:hAnsiTheme="majorEastAsia" w:eastAsiaTheme="majorEastAsia"/>
          <w:color w:val="auto"/>
        </w:rPr>
        <w:t>、</w:t>
      </w:r>
      <w:r>
        <w:rPr>
          <w:rFonts w:hint="eastAsia" w:asciiTheme="majorEastAsia" w:hAnsiTheme="majorEastAsia" w:eastAsiaTheme="majorEastAsia"/>
          <w:b/>
          <w:bCs/>
          <w:color w:val="auto"/>
        </w:rPr>
        <w:t>价格文件</w:t>
      </w:r>
      <w:r>
        <w:rPr>
          <w:rFonts w:cs="宋体" w:asciiTheme="majorEastAsia" w:hAnsiTheme="majorEastAsia" w:eastAsiaTheme="majorEastAsia"/>
          <w:b/>
          <w:color w:val="auto"/>
        </w:rPr>
        <w:t>”分别压缩加密后（以1份电子邮件形式发送，供应商可在磋商文件提交截止时间前，对其电子响应文件进行修改，招标代理下载的响应文件为规定时间内最后发送到邮箱的响应文件）发送至邮箱：</w:t>
      </w:r>
      <w:r>
        <w:rPr>
          <w:rFonts w:hint="eastAsia" w:cs="宋体" w:asciiTheme="majorEastAsia" w:hAnsiTheme="majorEastAsia" w:eastAsiaTheme="majorEastAsia"/>
          <w:b/>
          <w:color w:val="auto"/>
          <w:lang w:val="en-US" w:eastAsia="zh-CN"/>
        </w:rPr>
        <w:t>649240141</w:t>
      </w:r>
      <w:r>
        <w:rPr>
          <w:rFonts w:cs="宋体" w:asciiTheme="majorEastAsia" w:hAnsiTheme="majorEastAsia" w:eastAsiaTheme="majorEastAsia"/>
          <w:b/>
          <w:color w:val="auto"/>
        </w:rPr>
        <w:t>@qq.com，并注明单位名称。逾期未发送的响应文件，</w:t>
      </w:r>
      <w:r>
        <w:rPr>
          <w:rFonts w:hint="eastAsia" w:cs="宋体" w:asciiTheme="majorEastAsia" w:hAnsiTheme="majorEastAsia" w:eastAsiaTheme="majorEastAsia"/>
          <w:b/>
          <w:color w:val="auto"/>
        </w:rPr>
        <w:t>采购人</w:t>
      </w:r>
      <w:r>
        <w:rPr>
          <w:rFonts w:cs="宋体" w:asciiTheme="majorEastAsia" w:hAnsiTheme="majorEastAsia" w:eastAsiaTheme="majorEastAsia"/>
          <w:b/>
          <w:color w:val="auto"/>
        </w:rPr>
        <w:t>将不予受理。</w:t>
      </w:r>
    </w:p>
    <w:p w14:paraId="727577D9">
      <w:pPr>
        <w:spacing w:line="460" w:lineRule="exact"/>
        <w:ind w:firstLine="422" w:firstLineChars="200"/>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3</w:t>
      </w:r>
      <w:r>
        <w:rPr>
          <w:rFonts w:hint="eastAsia" w:asciiTheme="majorEastAsia" w:hAnsiTheme="majorEastAsia" w:eastAsiaTheme="majorEastAsia"/>
          <w:b/>
          <w:color w:val="auto"/>
          <w:szCs w:val="21"/>
          <w:lang w:val="en-US" w:eastAsia="zh-CN"/>
        </w:rPr>
        <w:t>.</w:t>
      </w:r>
      <w:r>
        <w:rPr>
          <w:rFonts w:hint="eastAsia" w:asciiTheme="majorEastAsia" w:hAnsiTheme="majorEastAsia" w:eastAsiaTheme="majorEastAsia"/>
          <w:b/>
          <w:color w:val="auto"/>
          <w:szCs w:val="21"/>
        </w:rPr>
        <w:t>开标：开标截止时间后请各投标根据招标代理要求将压缩解密密码发送在“南通城建不见面开标群”中；</w:t>
      </w:r>
    </w:p>
    <w:p w14:paraId="78D3FC44">
      <w:pPr>
        <w:spacing w:line="460" w:lineRule="exact"/>
        <w:ind w:firstLine="422" w:firstLineChars="200"/>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4</w:t>
      </w:r>
      <w:r>
        <w:rPr>
          <w:rFonts w:hint="eastAsia" w:asciiTheme="majorEastAsia" w:hAnsiTheme="majorEastAsia" w:eastAsiaTheme="majorEastAsia"/>
          <w:b/>
          <w:color w:val="auto"/>
          <w:szCs w:val="21"/>
          <w:lang w:val="en-US" w:eastAsia="zh-CN"/>
        </w:rPr>
        <w:t>.</w:t>
      </w:r>
      <w:r>
        <w:rPr>
          <w:rFonts w:hint="eastAsia" w:asciiTheme="majorEastAsia" w:hAnsiTheme="majorEastAsia" w:eastAsiaTheme="majorEastAsia"/>
          <w:b/>
          <w:color w:val="auto"/>
          <w:szCs w:val="21"/>
        </w:rPr>
        <w:t>本项目采用远程不见面交易模式，投标供应商仅需制作电子投标文件，无需提供纸质投标文件；中标人在领取中标通知书前须提交投标文件叁套（包括</w:t>
      </w:r>
      <w:r>
        <w:rPr>
          <w:rFonts w:hint="eastAsia" w:asciiTheme="majorEastAsia" w:hAnsiTheme="majorEastAsia" w:eastAsiaTheme="majorEastAsia"/>
          <w:b/>
          <w:bCs/>
          <w:color w:val="auto"/>
        </w:rPr>
        <w:t>资格审查证明材料</w:t>
      </w:r>
      <w:r>
        <w:rPr>
          <w:rFonts w:hint="eastAsia" w:asciiTheme="majorEastAsia" w:hAnsiTheme="majorEastAsia" w:eastAsiaTheme="majorEastAsia"/>
          <w:color w:val="auto"/>
        </w:rPr>
        <w:t>、</w:t>
      </w:r>
      <w:r>
        <w:rPr>
          <w:b/>
          <w:bCs/>
          <w:color w:val="auto"/>
        </w:rPr>
        <w:t>商务技术文件</w:t>
      </w:r>
      <w:r>
        <w:rPr>
          <w:rFonts w:hint="eastAsia" w:asciiTheme="majorEastAsia" w:hAnsiTheme="majorEastAsia" w:eastAsiaTheme="majorEastAsia"/>
          <w:color w:val="auto"/>
        </w:rPr>
        <w:t>、</w:t>
      </w:r>
      <w:r>
        <w:rPr>
          <w:rFonts w:hint="eastAsia" w:asciiTheme="majorEastAsia" w:hAnsiTheme="majorEastAsia" w:eastAsiaTheme="majorEastAsia"/>
          <w:b/>
          <w:bCs/>
          <w:color w:val="auto"/>
        </w:rPr>
        <w:t>价格文件</w:t>
      </w:r>
      <w:r>
        <w:rPr>
          <w:rFonts w:hint="eastAsia" w:cs="宋体" w:asciiTheme="majorEastAsia" w:hAnsiTheme="majorEastAsia" w:eastAsiaTheme="majorEastAsia"/>
          <w:b/>
          <w:color w:val="auto"/>
          <w:szCs w:val="21"/>
        </w:rPr>
        <w:t>）</w:t>
      </w:r>
      <w:r>
        <w:rPr>
          <w:rFonts w:hint="eastAsia" w:asciiTheme="majorEastAsia" w:hAnsiTheme="majorEastAsia" w:eastAsiaTheme="majorEastAsia"/>
          <w:b/>
          <w:color w:val="auto"/>
          <w:szCs w:val="21"/>
        </w:rPr>
        <w:t>。</w:t>
      </w:r>
    </w:p>
    <w:bookmarkEnd w:id="27"/>
    <w:bookmarkEnd w:id="28"/>
    <w:bookmarkEnd w:id="29"/>
    <w:bookmarkEnd w:id="30"/>
    <w:bookmarkEnd w:id="31"/>
    <w:p w14:paraId="65E2BBAB">
      <w:pPr>
        <w:keepNext/>
        <w:keepLines/>
        <w:adjustRightInd w:val="0"/>
        <w:snapToGrid w:val="0"/>
        <w:spacing w:line="440" w:lineRule="exact"/>
        <w:textAlignment w:val="baseline"/>
        <w:outlineLvl w:val="1"/>
        <w:rPr>
          <w:rFonts w:ascii="宋体" w:hAnsi="宋体" w:cs="宋体"/>
          <w:b/>
          <w:bCs/>
          <w:color w:val="auto"/>
          <w:kern w:val="0"/>
          <w:szCs w:val="21"/>
        </w:rPr>
      </w:pPr>
      <w:bookmarkStart w:id="32" w:name="_Toc86915691"/>
      <w:r>
        <w:rPr>
          <w:rFonts w:hint="eastAsia" w:ascii="宋体" w:hAnsi="宋体" w:cs="宋体"/>
          <w:b/>
          <w:bCs/>
          <w:color w:val="auto"/>
          <w:kern w:val="0"/>
          <w:szCs w:val="21"/>
        </w:rPr>
        <w:t>五、响应文件的开启</w:t>
      </w:r>
    </w:p>
    <w:p w14:paraId="1B9FC694">
      <w:pPr>
        <w:snapToGrid w:val="0"/>
        <w:spacing w:line="440" w:lineRule="exact"/>
        <w:ind w:firstLine="422" w:firstLineChars="200"/>
        <w:textAlignment w:val="baseline"/>
        <w:rPr>
          <w:rFonts w:ascii="宋体" w:hAnsi="宋体" w:cs="宋体"/>
          <w:b/>
          <w:color w:val="auto"/>
          <w:szCs w:val="21"/>
        </w:rPr>
      </w:pPr>
      <w:r>
        <w:rPr>
          <w:rFonts w:hint="eastAsia" w:ascii="宋体" w:hAnsi="宋体" w:cs="宋体"/>
          <w:b/>
          <w:color w:val="auto"/>
          <w:szCs w:val="21"/>
        </w:rPr>
        <w:t>1</w:t>
      </w:r>
      <w:r>
        <w:rPr>
          <w:rFonts w:hint="eastAsia" w:ascii="宋体" w:hAnsi="宋体" w:cs="宋体"/>
          <w:b/>
          <w:color w:val="auto"/>
          <w:szCs w:val="21"/>
          <w:lang w:val="en-US" w:eastAsia="zh-CN"/>
        </w:rPr>
        <w:t>.</w:t>
      </w:r>
      <w:r>
        <w:rPr>
          <w:rFonts w:hint="eastAsia" w:ascii="宋体" w:hAnsi="宋体" w:cs="宋体"/>
          <w:b/>
          <w:color w:val="auto"/>
          <w:szCs w:val="21"/>
        </w:rPr>
        <w:t>时间：202</w:t>
      </w:r>
      <w:r>
        <w:rPr>
          <w:rFonts w:hint="eastAsia" w:ascii="宋体" w:hAnsi="宋体" w:cs="宋体"/>
          <w:b/>
          <w:color w:val="auto"/>
          <w:szCs w:val="21"/>
          <w:lang w:val="en-US" w:eastAsia="zh-CN"/>
        </w:rPr>
        <w:t>4</w:t>
      </w:r>
      <w:r>
        <w:rPr>
          <w:rFonts w:hint="eastAsia" w:ascii="宋体" w:hAnsi="宋体" w:cs="宋体"/>
          <w:b/>
          <w:color w:val="auto"/>
          <w:szCs w:val="21"/>
        </w:rPr>
        <w:t>年</w:t>
      </w:r>
      <w:r>
        <w:rPr>
          <w:rFonts w:hint="eastAsia" w:ascii="宋体" w:hAnsi="宋体" w:cs="宋体"/>
          <w:b/>
          <w:color w:val="auto"/>
          <w:szCs w:val="21"/>
          <w:lang w:val="en-US" w:eastAsia="zh-CN"/>
        </w:rPr>
        <w:t>11</w:t>
      </w:r>
      <w:r>
        <w:rPr>
          <w:rFonts w:hint="eastAsia" w:ascii="宋体" w:hAnsi="宋体" w:cs="宋体"/>
          <w:b/>
          <w:color w:val="auto"/>
          <w:szCs w:val="21"/>
        </w:rPr>
        <w:t>月</w:t>
      </w:r>
      <w:r>
        <w:rPr>
          <w:rFonts w:hint="eastAsia" w:ascii="宋体" w:hAnsi="宋体" w:cs="宋体"/>
          <w:b/>
          <w:color w:val="auto"/>
          <w:szCs w:val="21"/>
          <w:lang w:val="en-US" w:eastAsia="zh-CN"/>
        </w:rPr>
        <w:t>5</w:t>
      </w:r>
      <w:r>
        <w:rPr>
          <w:rFonts w:hint="eastAsia" w:ascii="宋体" w:hAnsi="宋体" w:cs="宋体"/>
          <w:b/>
          <w:color w:val="auto"/>
          <w:szCs w:val="21"/>
        </w:rPr>
        <w:t>日</w:t>
      </w:r>
      <w:r>
        <w:rPr>
          <w:rFonts w:ascii="宋体" w:hAnsi="宋体" w:cs="宋体"/>
          <w:b/>
          <w:color w:val="auto"/>
          <w:szCs w:val="21"/>
        </w:rPr>
        <w:t xml:space="preserve"> 14 </w:t>
      </w:r>
      <w:r>
        <w:rPr>
          <w:rFonts w:hint="eastAsia" w:ascii="宋体" w:hAnsi="宋体" w:cs="宋体"/>
          <w:b/>
          <w:color w:val="auto"/>
          <w:szCs w:val="21"/>
        </w:rPr>
        <w:t>点</w:t>
      </w:r>
      <w:r>
        <w:rPr>
          <w:rFonts w:ascii="宋体" w:hAnsi="宋体" w:cs="宋体"/>
          <w:b/>
          <w:color w:val="auto"/>
          <w:szCs w:val="21"/>
        </w:rPr>
        <w:t xml:space="preserve"> 00 </w:t>
      </w:r>
      <w:r>
        <w:rPr>
          <w:rFonts w:hint="eastAsia" w:ascii="宋体" w:hAnsi="宋体" w:cs="宋体"/>
          <w:b/>
          <w:color w:val="auto"/>
          <w:szCs w:val="21"/>
        </w:rPr>
        <w:t>分（北京时间）</w:t>
      </w:r>
    </w:p>
    <w:p w14:paraId="376C6DA7">
      <w:pPr>
        <w:snapToGrid w:val="0"/>
        <w:spacing w:line="440" w:lineRule="exact"/>
        <w:ind w:firstLine="422" w:firstLineChars="200"/>
        <w:textAlignment w:val="baseline"/>
        <w:rPr>
          <w:rFonts w:ascii="宋体" w:hAnsi="宋体" w:cs="宋体"/>
          <w:b/>
          <w:color w:val="auto"/>
          <w:szCs w:val="21"/>
        </w:rPr>
      </w:pPr>
      <w:r>
        <w:rPr>
          <w:rFonts w:ascii="宋体" w:hAnsi="宋体" w:cs="宋体"/>
          <w:b/>
          <w:color w:val="auto"/>
          <w:szCs w:val="21"/>
        </w:rPr>
        <w:t>2</w:t>
      </w:r>
      <w:r>
        <w:rPr>
          <w:rFonts w:hint="eastAsia" w:ascii="宋体" w:hAnsi="宋体" w:cs="宋体"/>
          <w:b/>
          <w:color w:val="auto"/>
          <w:szCs w:val="21"/>
          <w:lang w:val="en-US" w:eastAsia="zh-CN"/>
        </w:rPr>
        <w:t>.</w:t>
      </w:r>
      <w:r>
        <w:rPr>
          <w:rFonts w:hint="eastAsia" w:ascii="宋体" w:hAnsi="宋体" w:cs="宋体"/>
          <w:b/>
          <w:color w:val="auto"/>
          <w:szCs w:val="21"/>
        </w:rPr>
        <w:t xml:space="preserve">地点：供应商自行选择任意地点参加远程开标会 </w:t>
      </w:r>
    </w:p>
    <w:p w14:paraId="66D2DBC3">
      <w:pPr>
        <w:snapToGrid w:val="0"/>
        <w:spacing w:line="440" w:lineRule="exact"/>
        <w:ind w:firstLine="422" w:firstLineChars="200"/>
        <w:textAlignment w:val="baseline"/>
        <w:rPr>
          <w:rFonts w:ascii="宋体" w:hAnsi="宋体" w:cs="宋体"/>
          <w:b/>
          <w:color w:val="auto"/>
          <w:szCs w:val="21"/>
        </w:rPr>
      </w:pPr>
      <w:r>
        <w:rPr>
          <w:rFonts w:hint="eastAsia" w:ascii="宋体" w:hAnsi="宋体" w:cs="宋体"/>
          <w:b/>
          <w:color w:val="auto"/>
          <w:szCs w:val="21"/>
        </w:rPr>
        <w:t>注：为确保本项目远程开标时交互顺利，现提供QQ群作为本项目的备用远程交互群，群号为：688296845，群名称为：南通城建不见面开标群，各供应商的授权委托人在开标前以“单位全称+授权委托人姓名+联系号码”的格式申请加入此群，并在入群后修改自己在群里的备注名称为“单位全称+授权委托人姓名+联系号码”，在开评标全过程中，则以此QQ群作为远程交互工具进行实时交互，若此时供应商未加入QQ交互群，则视为不参与本次询价项目且无权对开评标全过程提疑。</w:t>
      </w:r>
    </w:p>
    <w:p w14:paraId="3D692A80">
      <w:pPr>
        <w:snapToGrid w:val="0"/>
        <w:spacing w:line="440" w:lineRule="exact"/>
        <w:ind w:firstLine="424" w:firstLineChars="201"/>
        <w:textAlignment w:val="baseline"/>
        <w:rPr>
          <w:rFonts w:ascii="宋体" w:hAnsi="宋体" w:cs="宋体"/>
          <w:b/>
          <w:color w:val="auto"/>
          <w:szCs w:val="21"/>
        </w:rPr>
      </w:pPr>
      <w:r>
        <w:rPr>
          <w:rFonts w:hint="eastAsia" w:ascii="宋体" w:hAnsi="宋体" w:cs="宋体"/>
          <w:b/>
          <w:color w:val="auto"/>
          <w:szCs w:val="21"/>
        </w:rPr>
        <w:t>3、评标地点：南通市世纪大道18号恒隆国际</w:t>
      </w:r>
      <w:r>
        <w:rPr>
          <w:rFonts w:ascii="宋体" w:hAnsi="宋体" w:cs="宋体"/>
          <w:b/>
          <w:color w:val="auto"/>
          <w:szCs w:val="21"/>
        </w:rPr>
        <w:t>B</w:t>
      </w:r>
      <w:r>
        <w:rPr>
          <w:rFonts w:hint="eastAsia" w:ascii="宋体" w:hAnsi="宋体" w:cs="宋体"/>
          <w:b/>
          <w:color w:val="auto"/>
          <w:szCs w:val="21"/>
        </w:rPr>
        <w:t>座</w:t>
      </w:r>
      <w:r>
        <w:rPr>
          <w:rFonts w:ascii="宋体" w:hAnsi="宋体" w:cs="宋体"/>
          <w:b/>
          <w:color w:val="auto"/>
          <w:szCs w:val="21"/>
        </w:rPr>
        <w:t>1106</w:t>
      </w:r>
      <w:r>
        <w:rPr>
          <w:rFonts w:hint="eastAsia" w:ascii="宋体" w:hAnsi="宋体" w:cs="宋体"/>
          <w:b/>
          <w:color w:val="auto"/>
          <w:szCs w:val="21"/>
        </w:rPr>
        <w:t>会议室</w:t>
      </w:r>
    </w:p>
    <w:p w14:paraId="131DA7C1">
      <w:pPr>
        <w:pStyle w:val="111"/>
        <w:rPr>
          <w:rFonts w:asciiTheme="majorEastAsia" w:hAnsiTheme="majorEastAsia" w:eastAsiaTheme="majorEastAsia"/>
          <w:color w:val="auto"/>
        </w:rPr>
      </w:pPr>
      <w:r>
        <w:rPr>
          <w:rFonts w:hint="eastAsia" w:asciiTheme="majorEastAsia" w:hAnsiTheme="majorEastAsia" w:eastAsiaTheme="majorEastAsia"/>
          <w:color w:val="auto"/>
        </w:rPr>
        <w:t>六、公告期限</w:t>
      </w:r>
      <w:bookmarkEnd w:id="32"/>
    </w:p>
    <w:p w14:paraId="5AADB723">
      <w:pPr>
        <w:snapToGrid w:val="0"/>
        <w:spacing w:line="440" w:lineRule="exact"/>
        <w:ind w:firstLine="420" w:firstLineChars="200"/>
        <w:rPr>
          <w:rFonts w:cs="Arial" w:asciiTheme="majorEastAsia" w:hAnsiTheme="majorEastAsia" w:eastAsiaTheme="majorEastAsia"/>
          <w:bCs/>
          <w:color w:val="auto"/>
          <w:szCs w:val="21"/>
        </w:rPr>
      </w:pPr>
      <w:r>
        <w:rPr>
          <w:rFonts w:hint="eastAsia" w:cs="Arial" w:asciiTheme="majorEastAsia" w:hAnsiTheme="majorEastAsia" w:eastAsiaTheme="majorEastAsia"/>
          <w:bCs/>
          <w:color w:val="auto"/>
          <w:szCs w:val="21"/>
        </w:rPr>
        <w:t>自本公告发布之日起</w:t>
      </w:r>
      <w:r>
        <w:rPr>
          <w:rFonts w:hint="eastAsia" w:cs="Arial" w:asciiTheme="majorEastAsia" w:hAnsiTheme="majorEastAsia" w:eastAsiaTheme="majorEastAsia"/>
          <w:bCs/>
          <w:color w:val="auto"/>
          <w:szCs w:val="21"/>
          <w:lang w:val="en-US" w:eastAsia="zh-CN"/>
        </w:rPr>
        <w:t>不少于5</w:t>
      </w:r>
      <w:r>
        <w:rPr>
          <w:rFonts w:hint="eastAsia" w:cs="Arial" w:asciiTheme="majorEastAsia" w:hAnsiTheme="majorEastAsia" w:eastAsiaTheme="majorEastAsia"/>
          <w:bCs/>
          <w:color w:val="auto"/>
          <w:szCs w:val="21"/>
        </w:rPr>
        <w:t>个工作日。</w:t>
      </w:r>
    </w:p>
    <w:p w14:paraId="682F33A9">
      <w:pPr>
        <w:pStyle w:val="111"/>
        <w:rPr>
          <w:rFonts w:asciiTheme="majorEastAsia" w:hAnsiTheme="majorEastAsia" w:eastAsiaTheme="majorEastAsia"/>
          <w:color w:val="auto"/>
        </w:rPr>
      </w:pPr>
      <w:bookmarkStart w:id="33" w:name="_Toc86915692"/>
      <w:r>
        <w:rPr>
          <w:rFonts w:hint="eastAsia" w:asciiTheme="majorEastAsia" w:hAnsiTheme="majorEastAsia" w:eastAsiaTheme="majorEastAsia"/>
          <w:color w:val="auto"/>
        </w:rPr>
        <w:t>七、其他补充事宜</w:t>
      </w:r>
    </w:p>
    <w:p w14:paraId="5E8DE857">
      <w:pPr>
        <w:pStyle w:val="111"/>
        <w:ind w:left="420" w:leftChars="200"/>
        <w:rPr>
          <w:rFonts w:asciiTheme="majorEastAsia" w:hAnsiTheme="majorEastAsia" w:eastAsiaTheme="majorEastAsia"/>
          <w:color w:val="auto"/>
        </w:rPr>
      </w:pPr>
      <w:r>
        <w:rPr>
          <w:rFonts w:hint="eastAsia" w:asciiTheme="majorEastAsia" w:hAnsiTheme="majorEastAsia" w:eastAsiaTheme="majorEastAsia"/>
          <w:color w:val="auto"/>
        </w:rPr>
        <w:t>1</w:t>
      </w:r>
      <w:r>
        <w:rPr>
          <w:rFonts w:asciiTheme="majorEastAsia" w:hAnsiTheme="majorEastAsia" w:eastAsiaTheme="majorEastAsia"/>
          <w:color w:val="auto"/>
        </w:rPr>
        <w:t>.</w:t>
      </w:r>
      <w:r>
        <w:rPr>
          <w:rFonts w:hint="eastAsia" w:asciiTheme="majorEastAsia" w:hAnsiTheme="majorEastAsia" w:eastAsiaTheme="majorEastAsia"/>
          <w:color w:val="auto"/>
        </w:rPr>
        <w:t>投标保证金：</w:t>
      </w:r>
      <w:bookmarkEnd w:id="33"/>
      <w:r>
        <w:rPr>
          <w:rFonts w:hint="eastAsia" w:asciiTheme="majorEastAsia" w:hAnsiTheme="majorEastAsia" w:eastAsiaTheme="majorEastAsia"/>
          <w:color w:val="auto"/>
        </w:rPr>
        <w:t>免收</w:t>
      </w:r>
    </w:p>
    <w:p w14:paraId="669F7C31">
      <w:pPr>
        <w:pStyle w:val="111"/>
        <w:rPr>
          <w:rFonts w:asciiTheme="majorEastAsia" w:hAnsiTheme="majorEastAsia" w:eastAsiaTheme="majorEastAsia"/>
          <w:color w:val="auto"/>
        </w:rPr>
      </w:pPr>
      <w:bookmarkStart w:id="34" w:name="_Toc86915694"/>
      <w:bookmarkStart w:id="35" w:name="_Toc35393637"/>
      <w:bookmarkStart w:id="36" w:name="_Toc35393806"/>
      <w:bookmarkStart w:id="37" w:name="_Toc28359019"/>
      <w:bookmarkStart w:id="38" w:name="_Toc28359096"/>
      <w:r>
        <w:rPr>
          <w:rFonts w:hint="eastAsia" w:asciiTheme="majorEastAsia" w:hAnsiTheme="majorEastAsia" w:eastAsiaTheme="majorEastAsia"/>
          <w:color w:val="auto"/>
        </w:rPr>
        <w:t>八、对本次招标提出询问，请按以下方式联系：</w:t>
      </w:r>
      <w:bookmarkEnd w:id="34"/>
    </w:p>
    <w:p w14:paraId="754E93A6">
      <w:pPr>
        <w:spacing w:line="440" w:lineRule="exact"/>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1.采购人信息</w:t>
      </w:r>
      <w:bookmarkEnd w:id="35"/>
      <w:bookmarkEnd w:id="36"/>
      <w:bookmarkEnd w:id="37"/>
      <w:bookmarkEnd w:id="38"/>
    </w:p>
    <w:p w14:paraId="6A76F730">
      <w:pPr>
        <w:spacing w:line="440" w:lineRule="exact"/>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名 称：</w:t>
      </w:r>
      <w:r>
        <w:rPr>
          <w:rFonts w:hint="eastAsia" w:asciiTheme="majorEastAsia" w:hAnsiTheme="majorEastAsia" w:eastAsiaTheme="majorEastAsia"/>
          <w:bCs/>
          <w:color w:val="auto"/>
          <w:szCs w:val="21"/>
        </w:rPr>
        <w:t>南通市妇幼保健院</w:t>
      </w:r>
    </w:p>
    <w:p w14:paraId="0B44EC09">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地 址：南通市崇川区世纪大道399号</w:t>
      </w:r>
    </w:p>
    <w:p w14:paraId="54EDDDDD">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w:t>
      </w:r>
      <w:r>
        <w:rPr>
          <w:rFonts w:hint="eastAsia" w:asciiTheme="majorEastAsia" w:hAnsiTheme="majorEastAsia" w:eastAsiaTheme="majorEastAsia"/>
          <w:color w:val="auto"/>
          <w:szCs w:val="21"/>
          <w:lang w:val="en-US" w:eastAsia="zh-CN"/>
        </w:rPr>
        <w:t>单女士</w:t>
      </w:r>
      <w:r>
        <w:rPr>
          <w:rFonts w:hint="eastAsia" w:asciiTheme="majorEastAsia" w:hAnsiTheme="majorEastAsia" w:eastAsiaTheme="majorEastAsia"/>
          <w:color w:val="auto"/>
          <w:szCs w:val="21"/>
        </w:rPr>
        <w:t xml:space="preserve">       </w:t>
      </w:r>
      <w:r>
        <w:rPr>
          <w:rFonts w:asciiTheme="majorEastAsia" w:hAnsiTheme="majorEastAsia" w:eastAsiaTheme="majorEastAsia"/>
          <w:color w:val="auto"/>
          <w:szCs w:val="21"/>
        </w:rPr>
        <w:t xml:space="preserve">  </w:t>
      </w:r>
      <w:r>
        <w:rPr>
          <w:rFonts w:hint="eastAsia" w:asciiTheme="majorEastAsia" w:hAnsiTheme="majorEastAsia" w:eastAsiaTheme="majorEastAsia"/>
          <w:color w:val="auto"/>
          <w:szCs w:val="21"/>
          <w:lang w:val="en-US" w:eastAsia="zh-CN"/>
        </w:rPr>
        <w:t xml:space="preserve">  </w:t>
      </w:r>
      <w:r>
        <w:rPr>
          <w:rFonts w:hint="eastAsia" w:asciiTheme="majorEastAsia" w:hAnsiTheme="majorEastAsia" w:eastAsiaTheme="majorEastAsia"/>
          <w:color w:val="auto"/>
          <w:szCs w:val="21"/>
        </w:rPr>
        <w:t>联系方式：</w:t>
      </w:r>
      <w:bookmarkStart w:id="39" w:name="_Toc28359021"/>
      <w:bookmarkStart w:id="40" w:name="_Toc28359098"/>
      <w:bookmarkStart w:id="41" w:name="_Toc35393808"/>
      <w:bookmarkStart w:id="42" w:name="_Toc35393639"/>
      <w:r>
        <w:rPr>
          <w:rFonts w:hint="eastAsia" w:asciiTheme="majorEastAsia" w:hAnsiTheme="majorEastAsia" w:eastAsiaTheme="majorEastAsia"/>
          <w:color w:val="auto"/>
          <w:szCs w:val="21"/>
        </w:rPr>
        <w:t xml:space="preserve">0513859008062 </w:t>
      </w:r>
    </w:p>
    <w:p w14:paraId="193BC06B">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2.招标代理机构：南通城建工程项目管理有限公司</w:t>
      </w:r>
    </w:p>
    <w:p w14:paraId="389FF275">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地址：世纪大道18号恒隆国际A座801</w:t>
      </w:r>
    </w:p>
    <w:p w14:paraId="60A58C84">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w:t>
      </w:r>
      <w:r>
        <w:rPr>
          <w:rFonts w:hint="eastAsia" w:asciiTheme="majorEastAsia" w:hAnsiTheme="majorEastAsia" w:eastAsiaTheme="majorEastAsia"/>
          <w:color w:val="auto"/>
          <w:szCs w:val="21"/>
          <w:lang w:val="en-US" w:eastAsia="zh-CN"/>
        </w:rPr>
        <w:t>顾莉玲</w:t>
      </w:r>
      <w:r>
        <w:rPr>
          <w:rFonts w:hint="eastAsia" w:asciiTheme="majorEastAsia" w:hAnsiTheme="majorEastAsia" w:eastAsiaTheme="majorEastAsia"/>
          <w:color w:val="auto"/>
          <w:szCs w:val="21"/>
        </w:rPr>
        <w:t xml:space="preserve">            联系电话：18912268</w:t>
      </w:r>
      <w:r>
        <w:rPr>
          <w:rFonts w:hint="eastAsia" w:asciiTheme="majorEastAsia" w:hAnsiTheme="majorEastAsia" w:eastAsiaTheme="majorEastAsia"/>
          <w:color w:val="auto"/>
          <w:szCs w:val="21"/>
          <w:lang w:val="en-US" w:eastAsia="zh-CN"/>
        </w:rPr>
        <w:t>1</w:t>
      </w:r>
      <w:r>
        <w:rPr>
          <w:rFonts w:hint="eastAsia" w:asciiTheme="majorEastAsia" w:hAnsiTheme="majorEastAsia" w:eastAsiaTheme="majorEastAsia"/>
          <w:color w:val="auto"/>
          <w:szCs w:val="21"/>
        </w:rPr>
        <w:t>77</w:t>
      </w:r>
    </w:p>
    <w:p w14:paraId="2A340346">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3.项目联系方式：</w:t>
      </w:r>
    </w:p>
    <w:p w14:paraId="3D979A86">
      <w:pPr>
        <w:tabs>
          <w:tab w:val="left" w:pos="4962"/>
        </w:tabs>
        <w:spacing w:line="440" w:lineRule="exact"/>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联系人：</w:t>
      </w:r>
      <w:r>
        <w:rPr>
          <w:rFonts w:hint="eastAsia" w:asciiTheme="majorEastAsia" w:hAnsiTheme="majorEastAsia" w:eastAsiaTheme="majorEastAsia"/>
          <w:color w:val="auto"/>
          <w:szCs w:val="21"/>
          <w:lang w:val="en-US" w:eastAsia="zh-CN"/>
        </w:rPr>
        <w:t>顾莉玲</w:t>
      </w:r>
      <w:r>
        <w:rPr>
          <w:rFonts w:hint="eastAsia" w:asciiTheme="majorEastAsia" w:hAnsiTheme="majorEastAsia" w:eastAsiaTheme="majorEastAsia"/>
          <w:color w:val="auto"/>
          <w:szCs w:val="21"/>
        </w:rPr>
        <w:t xml:space="preserve">            联系电话：18912268</w:t>
      </w:r>
      <w:r>
        <w:rPr>
          <w:rFonts w:hint="eastAsia" w:asciiTheme="majorEastAsia" w:hAnsiTheme="majorEastAsia" w:eastAsiaTheme="majorEastAsia"/>
          <w:color w:val="auto"/>
          <w:szCs w:val="21"/>
          <w:lang w:val="en-US" w:eastAsia="zh-CN"/>
        </w:rPr>
        <w:t>1</w:t>
      </w:r>
      <w:r>
        <w:rPr>
          <w:rFonts w:hint="eastAsia" w:asciiTheme="majorEastAsia" w:hAnsiTheme="majorEastAsia" w:eastAsiaTheme="majorEastAsia"/>
          <w:color w:val="auto"/>
          <w:szCs w:val="21"/>
        </w:rPr>
        <w:t>77</w:t>
      </w:r>
    </w:p>
    <w:bookmarkEnd w:id="39"/>
    <w:bookmarkEnd w:id="40"/>
    <w:bookmarkEnd w:id="41"/>
    <w:bookmarkEnd w:id="42"/>
    <w:p w14:paraId="70E69FA7">
      <w:pPr>
        <w:snapToGrid w:val="0"/>
        <w:spacing w:line="460" w:lineRule="exact"/>
        <w:rPr>
          <w:rFonts w:cs="Arial" w:asciiTheme="majorEastAsia" w:hAnsiTheme="majorEastAsia" w:eastAsiaTheme="majorEastAsia"/>
          <w:color w:val="auto"/>
          <w:szCs w:val="21"/>
        </w:rPr>
      </w:pPr>
    </w:p>
    <w:p w14:paraId="467C627A">
      <w:pPr>
        <w:pStyle w:val="75"/>
        <w:rPr>
          <w:rFonts w:asciiTheme="majorEastAsia" w:hAnsiTheme="majorEastAsia" w:eastAsiaTheme="majorEastAsia"/>
          <w:color w:val="auto"/>
        </w:rPr>
      </w:pPr>
    </w:p>
    <w:p w14:paraId="1E738764">
      <w:pPr>
        <w:spacing w:line="440" w:lineRule="exact"/>
        <w:ind w:firstLine="420" w:firstLineChars="20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rPr>
        <w:t xml:space="preserve"> </w:t>
      </w:r>
      <w:r>
        <w:rPr>
          <w:rFonts w:asciiTheme="majorEastAsia" w:hAnsiTheme="majorEastAsia" w:eastAsiaTheme="majorEastAsia"/>
          <w:color w:val="auto"/>
          <w:szCs w:val="21"/>
        </w:rPr>
        <w:t xml:space="preserve">                                                     </w:t>
      </w: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rPr>
        <w:t>采购人：南通市妇幼保健院</w:t>
      </w:r>
    </w:p>
    <w:p w14:paraId="0618469B">
      <w:pPr>
        <w:snapToGrid w:val="0"/>
        <w:spacing w:line="440" w:lineRule="exact"/>
        <w:ind w:firstLine="7245" w:firstLineChars="345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202</w:t>
      </w:r>
      <w:r>
        <w:rPr>
          <w:rFonts w:hint="eastAsia" w:asciiTheme="majorEastAsia" w:hAnsiTheme="majorEastAsia" w:eastAsiaTheme="majorEastAsia"/>
          <w:bCs/>
          <w:color w:val="auto"/>
          <w:szCs w:val="21"/>
          <w:highlight w:val="none"/>
          <w:lang w:val="en-US" w:eastAsia="zh-CN"/>
        </w:rPr>
        <w:t>4</w:t>
      </w:r>
      <w:r>
        <w:rPr>
          <w:rFonts w:hint="eastAsia" w:asciiTheme="majorEastAsia" w:hAnsiTheme="majorEastAsia" w:eastAsiaTheme="majorEastAsia"/>
          <w:bCs/>
          <w:color w:val="auto"/>
          <w:szCs w:val="21"/>
          <w:highlight w:val="none"/>
        </w:rPr>
        <w:t>年</w:t>
      </w:r>
      <w:r>
        <w:rPr>
          <w:rFonts w:hint="eastAsia" w:asciiTheme="majorEastAsia" w:hAnsiTheme="majorEastAsia" w:eastAsiaTheme="majorEastAsia"/>
          <w:bCs/>
          <w:color w:val="auto"/>
          <w:szCs w:val="21"/>
          <w:highlight w:val="none"/>
          <w:lang w:val="en-US" w:eastAsia="zh-CN"/>
        </w:rPr>
        <w:t>10</w:t>
      </w:r>
      <w:r>
        <w:rPr>
          <w:rFonts w:hint="eastAsia" w:asciiTheme="majorEastAsia" w:hAnsiTheme="majorEastAsia" w:eastAsiaTheme="majorEastAsia"/>
          <w:bCs/>
          <w:color w:val="auto"/>
          <w:szCs w:val="21"/>
          <w:highlight w:val="none"/>
        </w:rPr>
        <w:t>月</w:t>
      </w:r>
      <w:r>
        <w:rPr>
          <w:rFonts w:hint="eastAsia" w:asciiTheme="majorEastAsia" w:hAnsiTheme="majorEastAsia" w:eastAsiaTheme="majorEastAsia"/>
          <w:bCs/>
          <w:color w:val="auto"/>
          <w:szCs w:val="21"/>
          <w:highlight w:val="none"/>
          <w:lang w:val="en-US" w:eastAsia="zh-CN"/>
        </w:rPr>
        <w:t>24</w:t>
      </w:r>
      <w:r>
        <w:rPr>
          <w:rFonts w:hint="eastAsia" w:asciiTheme="majorEastAsia" w:hAnsiTheme="majorEastAsia" w:eastAsiaTheme="majorEastAsia"/>
          <w:bCs/>
          <w:color w:val="auto"/>
          <w:szCs w:val="21"/>
          <w:highlight w:val="none"/>
        </w:rPr>
        <w:t>日</w:t>
      </w:r>
      <w:bookmarkEnd w:id="6"/>
      <w:bookmarkStart w:id="43" w:name="_Hlt26954810"/>
      <w:bookmarkEnd w:id="43"/>
      <w:bookmarkStart w:id="44" w:name="_Hlt26954824"/>
      <w:bookmarkEnd w:id="44"/>
      <w:bookmarkStart w:id="45" w:name="_Hlt26954907"/>
      <w:bookmarkEnd w:id="45"/>
      <w:bookmarkStart w:id="46" w:name="_Hlt26668836"/>
      <w:bookmarkEnd w:id="46"/>
      <w:bookmarkStart w:id="47" w:name="_Hlt26670330"/>
      <w:bookmarkEnd w:id="47"/>
    </w:p>
    <w:bookmarkEnd w:id="3"/>
    <w:bookmarkEnd w:id="4"/>
    <w:bookmarkEnd w:id="5"/>
    <w:bookmarkEnd w:id="7"/>
    <w:bookmarkEnd w:id="8"/>
    <w:p w14:paraId="6869B8F4">
      <w:pPr>
        <w:pStyle w:val="109"/>
        <w:rPr>
          <w:rFonts w:asciiTheme="majorEastAsia" w:hAnsiTheme="majorEastAsia" w:eastAsiaTheme="majorEastAsia"/>
          <w:color w:val="auto"/>
        </w:rPr>
      </w:pPr>
      <w:r>
        <w:rPr>
          <w:rFonts w:asciiTheme="majorEastAsia" w:hAnsiTheme="majorEastAsia" w:eastAsiaTheme="majorEastAsia"/>
          <w:color w:val="auto"/>
          <w:highlight w:val="none"/>
        </w:rPr>
        <w:br w:type="page"/>
      </w:r>
      <w:bookmarkEnd w:id="9"/>
      <w:bookmarkStart w:id="48" w:name="_Toc86915695"/>
      <w:bookmarkStart w:id="49" w:name="_Toc482127427"/>
      <w:r>
        <w:rPr>
          <w:rFonts w:hint="eastAsia" w:asciiTheme="majorEastAsia" w:hAnsiTheme="majorEastAsia" w:eastAsiaTheme="majorEastAsia"/>
          <w:color w:val="auto"/>
        </w:rPr>
        <w:t>第二部分 磋商须知</w:t>
      </w:r>
      <w:bookmarkEnd w:id="48"/>
      <w:bookmarkEnd w:id="49"/>
    </w:p>
    <w:p w14:paraId="04FCF624">
      <w:pPr>
        <w:pStyle w:val="111"/>
        <w:rPr>
          <w:rFonts w:asciiTheme="majorEastAsia" w:hAnsiTheme="majorEastAsia" w:eastAsiaTheme="majorEastAsia"/>
          <w:bCs/>
          <w:color w:val="auto"/>
        </w:rPr>
      </w:pPr>
      <w:bookmarkStart w:id="50" w:name="_Toc20823275"/>
      <w:bookmarkStart w:id="51" w:name="_Toc16938519"/>
      <w:bookmarkStart w:id="52" w:name="_Toc120614214"/>
      <w:bookmarkStart w:id="53" w:name="_Toc513029203"/>
      <w:bookmarkStart w:id="54" w:name="_Toc513029237"/>
      <w:bookmarkStart w:id="55" w:name="_Toc86915702"/>
      <w:bookmarkStart w:id="56" w:name="_Toc16938553"/>
      <w:bookmarkStart w:id="57" w:name="_Toc20823309"/>
      <w:r>
        <w:rPr>
          <w:rFonts w:asciiTheme="majorEastAsia" w:hAnsiTheme="majorEastAsia" w:eastAsiaTheme="majorEastAsia"/>
          <w:bCs/>
          <w:color w:val="auto"/>
        </w:rPr>
        <w:t>（一）总则</w:t>
      </w:r>
      <w:bookmarkEnd w:id="50"/>
      <w:bookmarkEnd w:id="51"/>
      <w:bookmarkEnd w:id="52"/>
      <w:bookmarkEnd w:id="53"/>
    </w:p>
    <w:p w14:paraId="7F9EA2AF">
      <w:pPr>
        <w:pStyle w:val="111"/>
        <w:rPr>
          <w:rFonts w:asciiTheme="majorEastAsia" w:hAnsiTheme="majorEastAsia" w:eastAsiaTheme="majorEastAsia"/>
          <w:bCs/>
          <w:color w:val="auto"/>
        </w:rPr>
      </w:pPr>
      <w:bookmarkStart w:id="58" w:name="_Hlt16619475"/>
      <w:bookmarkEnd w:id="58"/>
      <w:bookmarkStart w:id="59" w:name="_Toc458694821"/>
      <w:bookmarkStart w:id="60" w:name="_Toc513029204"/>
      <w:bookmarkStart w:id="61" w:name="_Toc20823276"/>
      <w:bookmarkStart w:id="62" w:name="_Toc16938520"/>
      <w:r>
        <w:rPr>
          <w:rFonts w:asciiTheme="majorEastAsia" w:hAnsiTheme="majorEastAsia" w:eastAsiaTheme="majorEastAsia"/>
          <w:color w:val="auto"/>
        </w:rPr>
        <w:t>1</w:t>
      </w:r>
      <w:bookmarkEnd w:id="59"/>
      <w:r>
        <w:rPr>
          <w:rFonts w:asciiTheme="majorEastAsia" w:hAnsiTheme="majorEastAsia" w:eastAsiaTheme="majorEastAsia"/>
          <w:color w:val="auto"/>
        </w:rPr>
        <w:t>.采购方式</w:t>
      </w:r>
      <w:bookmarkEnd w:id="60"/>
      <w:bookmarkEnd w:id="61"/>
      <w:bookmarkEnd w:id="62"/>
    </w:p>
    <w:p w14:paraId="11C9E62F">
      <w:pPr>
        <w:pStyle w:val="113"/>
        <w:rPr>
          <w:rFonts w:asciiTheme="majorEastAsia" w:hAnsiTheme="majorEastAsia" w:eastAsiaTheme="majorEastAsia"/>
          <w:color w:val="auto"/>
        </w:rPr>
      </w:pPr>
      <w:r>
        <w:rPr>
          <w:rFonts w:asciiTheme="majorEastAsia" w:hAnsiTheme="majorEastAsia" w:eastAsiaTheme="majorEastAsia"/>
          <w:color w:val="auto"/>
        </w:rPr>
        <w:t>1.1 本次采取竞争性磋商方式，本磋商文件仅适用于磋商公告中所述项目。</w:t>
      </w:r>
    </w:p>
    <w:p w14:paraId="356C1E48">
      <w:pPr>
        <w:pStyle w:val="111"/>
        <w:rPr>
          <w:rFonts w:asciiTheme="majorEastAsia" w:hAnsiTheme="majorEastAsia" w:eastAsiaTheme="majorEastAsia"/>
          <w:bCs/>
          <w:color w:val="auto"/>
        </w:rPr>
      </w:pPr>
      <w:bookmarkStart w:id="63" w:name="_Toc20823277"/>
      <w:bookmarkStart w:id="64" w:name="_Toc513029205"/>
      <w:bookmarkStart w:id="65" w:name="_Toc16938521"/>
      <w:r>
        <w:rPr>
          <w:rFonts w:asciiTheme="majorEastAsia" w:hAnsiTheme="majorEastAsia" w:eastAsiaTheme="majorEastAsia"/>
          <w:color w:val="auto"/>
        </w:rPr>
        <w:t>2.合格的</w:t>
      </w:r>
      <w:bookmarkEnd w:id="63"/>
      <w:bookmarkEnd w:id="64"/>
      <w:bookmarkEnd w:id="65"/>
      <w:r>
        <w:rPr>
          <w:rFonts w:asciiTheme="majorEastAsia" w:hAnsiTheme="majorEastAsia" w:eastAsiaTheme="majorEastAsia"/>
          <w:color w:val="auto"/>
        </w:rPr>
        <w:t>供应商</w:t>
      </w:r>
    </w:p>
    <w:p w14:paraId="4688C393">
      <w:pPr>
        <w:pStyle w:val="113"/>
        <w:rPr>
          <w:rFonts w:asciiTheme="majorEastAsia" w:hAnsiTheme="majorEastAsia" w:eastAsiaTheme="majorEastAsia"/>
          <w:color w:val="auto"/>
        </w:rPr>
      </w:pPr>
      <w:r>
        <w:rPr>
          <w:rFonts w:asciiTheme="majorEastAsia" w:hAnsiTheme="majorEastAsia" w:eastAsiaTheme="majorEastAsia"/>
          <w:color w:val="auto"/>
        </w:rPr>
        <w:t>2.1满足磋商公告中供应商的资格要求的规定。</w:t>
      </w:r>
    </w:p>
    <w:p w14:paraId="7E08AEB5">
      <w:pPr>
        <w:pStyle w:val="113"/>
        <w:rPr>
          <w:rFonts w:asciiTheme="majorEastAsia" w:hAnsiTheme="majorEastAsia" w:eastAsiaTheme="majorEastAsia"/>
          <w:color w:val="auto"/>
        </w:rPr>
      </w:pPr>
      <w:r>
        <w:rPr>
          <w:rFonts w:asciiTheme="majorEastAsia" w:hAnsiTheme="majorEastAsia" w:eastAsiaTheme="majorEastAsia"/>
          <w:color w:val="auto"/>
        </w:rPr>
        <w:t>2.2 满足本文件实质性条款的规定。</w:t>
      </w:r>
    </w:p>
    <w:p w14:paraId="7612F429">
      <w:pPr>
        <w:pStyle w:val="111"/>
        <w:rPr>
          <w:rFonts w:asciiTheme="majorEastAsia" w:hAnsiTheme="majorEastAsia" w:eastAsiaTheme="majorEastAsia"/>
          <w:bCs/>
          <w:color w:val="auto"/>
        </w:rPr>
      </w:pPr>
      <w:bookmarkStart w:id="66" w:name="_Toc16938522"/>
      <w:bookmarkStart w:id="67" w:name="_Toc20823278"/>
      <w:bookmarkStart w:id="68" w:name="_Toc513029206"/>
      <w:r>
        <w:rPr>
          <w:rFonts w:asciiTheme="majorEastAsia" w:hAnsiTheme="majorEastAsia" w:eastAsiaTheme="majorEastAsia"/>
          <w:color w:val="auto"/>
        </w:rPr>
        <w:t>3.适用法律</w:t>
      </w:r>
      <w:bookmarkEnd w:id="66"/>
      <w:bookmarkEnd w:id="67"/>
      <w:bookmarkEnd w:id="68"/>
    </w:p>
    <w:p w14:paraId="7003675A">
      <w:pPr>
        <w:pStyle w:val="113"/>
        <w:rPr>
          <w:rFonts w:asciiTheme="majorEastAsia" w:hAnsiTheme="majorEastAsia" w:eastAsiaTheme="majorEastAsia"/>
          <w:color w:val="auto"/>
        </w:rPr>
      </w:pPr>
      <w:r>
        <w:rPr>
          <w:rFonts w:asciiTheme="majorEastAsia" w:hAnsiTheme="majorEastAsia" w:eastAsiaTheme="majorEastAsia"/>
          <w:color w:val="auto"/>
        </w:rPr>
        <w:t>3.1 本次采购及由此产生的合同受中华人民共和国有关的法律法规制约和保护。</w:t>
      </w:r>
    </w:p>
    <w:p w14:paraId="5C55DE42">
      <w:pPr>
        <w:pStyle w:val="111"/>
        <w:rPr>
          <w:rFonts w:asciiTheme="majorEastAsia" w:hAnsiTheme="majorEastAsia" w:eastAsiaTheme="majorEastAsia"/>
          <w:bCs/>
          <w:color w:val="auto"/>
        </w:rPr>
      </w:pPr>
      <w:bookmarkStart w:id="69" w:name="_Toc16938523"/>
      <w:bookmarkStart w:id="70" w:name="_Toc462564067"/>
      <w:bookmarkStart w:id="71" w:name="_Toc513029207"/>
      <w:bookmarkStart w:id="72" w:name="_Toc20823279"/>
      <w:r>
        <w:rPr>
          <w:rFonts w:asciiTheme="majorEastAsia" w:hAnsiTheme="majorEastAsia" w:eastAsiaTheme="majorEastAsia"/>
          <w:color w:val="auto"/>
        </w:rPr>
        <w:t>4.磋商费用</w:t>
      </w:r>
      <w:bookmarkEnd w:id="69"/>
      <w:bookmarkEnd w:id="70"/>
      <w:bookmarkEnd w:id="71"/>
      <w:bookmarkEnd w:id="72"/>
    </w:p>
    <w:p w14:paraId="1832D342">
      <w:pPr>
        <w:pStyle w:val="113"/>
        <w:rPr>
          <w:rFonts w:asciiTheme="majorEastAsia" w:hAnsiTheme="majorEastAsia" w:eastAsiaTheme="majorEastAsia"/>
          <w:color w:val="auto"/>
        </w:rPr>
      </w:pPr>
      <w:r>
        <w:rPr>
          <w:rFonts w:asciiTheme="majorEastAsia" w:hAnsiTheme="majorEastAsia" w:eastAsiaTheme="majorEastAsia"/>
          <w:bCs/>
          <w:color w:val="auto"/>
        </w:rPr>
        <w:t>4.1</w:t>
      </w:r>
      <w:r>
        <w:rPr>
          <w:rFonts w:asciiTheme="majorEastAsia" w:hAnsiTheme="majorEastAsia" w:eastAsiaTheme="majorEastAsia"/>
          <w:color w:val="auto"/>
        </w:rPr>
        <w:t xml:space="preserve"> 供应商应自行承担所有与参加磋商有关的费用，无论磋商过程中的做法和结果如何，</w:t>
      </w:r>
      <w:r>
        <w:rPr>
          <w:rFonts w:hint="eastAsia" w:asciiTheme="majorEastAsia" w:hAnsiTheme="majorEastAsia" w:eastAsiaTheme="majorEastAsia"/>
          <w:color w:val="auto"/>
        </w:rPr>
        <w:t>本招标代理</w:t>
      </w:r>
      <w:r>
        <w:rPr>
          <w:rFonts w:asciiTheme="majorEastAsia" w:hAnsiTheme="majorEastAsia" w:eastAsiaTheme="majorEastAsia"/>
          <w:color w:val="auto"/>
        </w:rPr>
        <w:t>均</w:t>
      </w:r>
      <w:r>
        <w:rPr>
          <w:rFonts w:hint="eastAsia" w:asciiTheme="majorEastAsia" w:hAnsiTheme="majorEastAsia" w:eastAsiaTheme="majorEastAsia"/>
          <w:color w:val="auto"/>
        </w:rPr>
        <w:t>无</w:t>
      </w:r>
      <w:r>
        <w:rPr>
          <w:rFonts w:asciiTheme="majorEastAsia" w:hAnsiTheme="majorEastAsia" w:eastAsiaTheme="majorEastAsia"/>
          <w:color w:val="auto"/>
        </w:rPr>
        <w:t>义务和责任承担这些费用。</w:t>
      </w:r>
    </w:p>
    <w:p w14:paraId="2B8AF941">
      <w:pPr>
        <w:pStyle w:val="113"/>
        <w:rPr>
          <w:rFonts w:cs="宋体" w:asciiTheme="majorEastAsia" w:hAnsiTheme="majorEastAsia" w:eastAsiaTheme="majorEastAsia"/>
          <w:bCs/>
          <w:color w:val="auto"/>
        </w:rPr>
      </w:pPr>
      <w:r>
        <w:rPr>
          <w:rFonts w:asciiTheme="majorEastAsia" w:hAnsiTheme="majorEastAsia" w:eastAsiaTheme="majorEastAsia"/>
          <w:color w:val="auto"/>
        </w:rPr>
        <w:t>4.2</w:t>
      </w:r>
      <w:r>
        <w:rPr>
          <w:rFonts w:hint="eastAsia" w:cs="宋体" w:asciiTheme="majorEastAsia" w:hAnsiTheme="majorEastAsia" w:eastAsiaTheme="majorEastAsia"/>
          <w:color w:val="auto"/>
          <w:szCs w:val="24"/>
        </w:rPr>
        <w:t>采购人不收取任何费用。依据财政部《政府采购代理机构管理暂行办法》第十五条规定，约定由成交供应商向招标代理机构支付代理服务费。</w:t>
      </w:r>
      <w:r>
        <w:rPr>
          <w:rFonts w:hint="eastAsia" w:cs="宋体" w:asciiTheme="majorEastAsia" w:hAnsiTheme="majorEastAsia" w:eastAsiaTheme="majorEastAsia"/>
          <w:b/>
          <w:color w:val="auto"/>
        </w:rPr>
        <w:t>服务费的收费标准按国家发展改革委员会发改价格[2011]534号文件规定标准的40%收取，不满1200元按1200元收取）。</w:t>
      </w:r>
      <w:r>
        <w:rPr>
          <w:rFonts w:hint="eastAsia" w:cs="宋体" w:asciiTheme="majorEastAsia" w:hAnsiTheme="majorEastAsia" w:eastAsiaTheme="majorEastAsia"/>
          <w:color w:val="auto"/>
          <w:szCs w:val="24"/>
        </w:rPr>
        <w:t>此项费用含在投标报价中，并不单独立项，由成交供应商在取得成交通知书前，向招标代理机构一次付清。</w:t>
      </w:r>
    </w:p>
    <w:p w14:paraId="07B0776C">
      <w:pPr>
        <w:pStyle w:val="111"/>
        <w:rPr>
          <w:rFonts w:asciiTheme="majorEastAsia" w:hAnsiTheme="majorEastAsia" w:eastAsiaTheme="majorEastAsia"/>
          <w:bCs/>
          <w:color w:val="auto"/>
        </w:rPr>
      </w:pPr>
      <w:r>
        <w:rPr>
          <w:rFonts w:asciiTheme="majorEastAsia" w:hAnsiTheme="majorEastAsia" w:eastAsiaTheme="majorEastAsia"/>
          <w:color w:val="auto"/>
        </w:rPr>
        <w:t>5.磋商文件的约束力</w:t>
      </w:r>
    </w:p>
    <w:p w14:paraId="640A3BE4">
      <w:pPr>
        <w:pStyle w:val="113"/>
        <w:rPr>
          <w:rFonts w:asciiTheme="majorEastAsia" w:hAnsiTheme="majorEastAsia" w:eastAsiaTheme="majorEastAsia"/>
          <w:color w:val="auto"/>
        </w:rPr>
      </w:pPr>
      <w:r>
        <w:rPr>
          <w:rFonts w:asciiTheme="majorEastAsia" w:hAnsiTheme="majorEastAsia" w:eastAsiaTheme="majorEastAsia"/>
          <w:bCs/>
          <w:color w:val="auto"/>
        </w:rPr>
        <w:t>5.1</w:t>
      </w:r>
      <w:r>
        <w:rPr>
          <w:rFonts w:asciiTheme="majorEastAsia" w:hAnsiTheme="majorEastAsia" w:eastAsiaTheme="majorEastAsia"/>
          <w:color w:val="auto"/>
        </w:rPr>
        <w:t xml:space="preserve"> 供应商一旦参加本项目采购活动，即被认为接受了本磋商文件的规定和约束。</w:t>
      </w:r>
    </w:p>
    <w:p w14:paraId="5D97DEA6">
      <w:pPr>
        <w:pStyle w:val="111"/>
        <w:rPr>
          <w:rFonts w:asciiTheme="majorEastAsia" w:hAnsiTheme="majorEastAsia" w:eastAsiaTheme="majorEastAsia"/>
          <w:color w:val="auto"/>
        </w:rPr>
      </w:pPr>
      <w:r>
        <w:rPr>
          <w:rFonts w:asciiTheme="majorEastAsia" w:hAnsiTheme="majorEastAsia" w:eastAsiaTheme="majorEastAsia"/>
          <w:color w:val="auto"/>
        </w:rPr>
        <w:t>6.磋商文件的解释</w:t>
      </w:r>
    </w:p>
    <w:p w14:paraId="266AF13D">
      <w:pPr>
        <w:pStyle w:val="113"/>
        <w:rPr>
          <w:rFonts w:asciiTheme="majorEastAsia" w:hAnsiTheme="majorEastAsia" w:eastAsiaTheme="majorEastAsia"/>
          <w:color w:val="auto"/>
        </w:rPr>
      </w:pPr>
      <w:r>
        <w:rPr>
          <w:rFonts w:asciiTheme="majorEastAsia" w:hAnsiTheme="majorEastAsia" w:eastAsiaTheme="majorEastAsia"/>
          <w:bCs/>
          <w:color w:val="auto"/>
        </w:rPr>
        <w:t>6.1</w:t>
      </w:r>
      <w:r>
        <w:rPr>
          <w:rFonts w:asciiTheme="majorEastAsia" w:hAnsiTheme="majorEastAsia" w:eastAsiaTheme="majorEastAsia"/>
          <w:color w:val="auto"/>
        </w:rPr>
        <w:t>磋商文件需求部分（供应商资格要求、项目需求、商务技术评分标准）由采购人解释。</w:t>
      </w:r>
    </w:p>
    <w:p w14:paraId="07B28EDC">
      <w:pPr>
        <w:pStyle w:val="111"/>
        <w:rPr>
          <w:rFonts w:asciiTheme="majorEastAsia" w:hAnsiTheme="majorEastAsia" w:eastAsiaTheme="majorEastAsia"/>
          <w:bCs/>
          <w:color w:val="auto"/>
        </w:rPr>
      </w:pPr>
      <w:bookmarkStart w:id="73" w:name="_Toc20823281"/>
      <w:bookmarkStart w:id="74" w:name="_Toc513029209"/>
      <w:bookmarkStart w:id="75" w:name="_Toc120614215"/>
      <w:bookmarkStart w:id="76" w:name="_Toc16938525"/>
      <w:r>
        <w:rPr>
          <w:rFonts w:asciiTheme="majorEastAsia" w:hAnsiTheme="majorEastAsia" w:eastAsiaTheme="majorEastAsia"/>
          <w:bCs/>
          <w:color w:val="auto"/>
        </w:rPr>
        <w:t>（二）磋商文件</w:t>
      </w:r>
      <w:bookmarkEnd w:id="73"/>
      <w:bookmarkEnd w:id="74"/>
      <w:bookmarkEnd w:id="75"/>
      <w:bookmarkEnd w:id="76"/>
    </w:p>
    <w:p w14:paraId="7FBD06CF">
      <w:pPr>
        <w:pStyle w:val="111"/>
        <w:rPr>
          <w:rFonts w:asciiTheme="majorEastAsia" w:hAnsiTheme="majorEastAsia" w:eastAsiaTheme="majorEastAsia"/>
          <w:bCs/>
          <w:color w:val="auto"/>
        </w:rPr>
      </w:pPr>
      <w:bookmarkStart w:id="77" w:name="_Toc513029210"/>
      <w:bookmarkStart w:id="78" w:name="_Toc20823282"/>
      <w:bookmarkStart w:id="79" w:name="_Toc16938526"/>
      <w:r>
        <w:rPr>
          <w:rFonts w:asciiTheme="majorEastAsia" w:hAnsiTheme="majorEastAsia" w:eastAsiaTheme="majorEastAsia"/>
          <w:color w:val="auto"/>
        </w:rPr>
        <w:t>1.磋商文件构成</w:t>
      </w:r>
      <w:bookmarkEnd w:id="77"/>
      <w:bookmarkEnd w:id="78"/>
      <w:bookmarkEnd w:id="79"/>
    </w:p>
    <w:p w14:paraId="107A299A">
      <w:pPr>
        <w:pStyle w:val="113"/>
        <w:rPr>
          <w:rFonts w:asciiTheme="majorEastAsia" w:hAnsiTheme="majorEastAsia" w:eastAsiaTheme="majorEastAsia"/>
          <w:color w:val="auto"/>
        </w:rPr>
      </w:pPr>
      <w:r>
        <w:rPr>
          <w:rFonts w:asciiTheme="majorEastAsia" w:hAnsiTheme="majorEastAsia" w:eastAsiaTheme="majorEastAsia"/>
          <w:bCs/>
          <w:color w:val="auto"/>
        </w:rPr>
        <w:t>1.1</w:t>
      </w:r>
      <w:r>
        <w:rPr>
          <w:rFonts w:asciiTheme="majorEastAsia" w:hAnsiTheme="majorEastAsia" w:eastAsiaTheme="majorEastAsia"/>
          <w:color w:val="auto"/>
        </w:rPr>
        <w:t xml:space="preserve"> 磋商文件由以下部分组成：</w:t>
      </w:r>
    </w:p>
    <w:p w14:paraId="62214E2A">
      <w:pPr>
        <w:pStyle w:val="113"/>
        <w:rPr>
          <w:rFonts w:asciiTheme="majorEastAsia" w:hAnsiTheme="majorEastAsia" w:eastAsiaTheme="majorEastAsia"/>
          <w:color w:val="auto"/>
        </w:rPr>
      </w:pPr>
      <w:r>
        <w:rPr>
          <w:rFonts w:asciiTheme="majorEastAsia" w:hAnsiTheme="majorEastAsia" w:eastAsiaTheme="majorEastAsia"/>
          <w:color w:val="auto"/>
        </w:rPr>
        <w:t>（1</w:t>
      </w:r>
      <w:r>
        <w:rPr>
          <w:rFonts w:hint="eastAsia" w:asciiTheme="majorEastAsia" w:hAnsiTheme="majorEastAsia" w:eastAsiaTheme="majorEastAsia"/>
          <w:color w:val="auto"/>
        </w:rPr>
        <w:t>）采购邀请</w:t>
      </w:r>
    </w:p>
    <w:p w14:paraId="2D4BBF8C">
      <w:pPr>
        <w:pStyle w:val="113"/>
        <w:rPr>
          <w:rFonts w:asciiTheme="majorEastAsia" w:hAnsiTheme="majorEastAsia" w:eastAsiaTheme="majorEastAsia"/>
          <w:color w:val="auto"/>
        </w:rPr>
      </w:pPr>
      <w:r>
        <w:rPr>
          <w:rFonts w:asciiTheme="majorEastAsia" w:hAnsiTheme="majorEastAsia" w:eastAsiaTheme="majorEastAsia"/>
          <w:color w:val="auto"/>
        </w:rPr>
        <w:t>（2）磋商须知</w:t>
      </w:r>
    </w:p>
    <w:p w14:paraId="176EDAFB">
      <w:pPr>
        <w:pStyle w:val="113"/>
        <w:rPr>
          <w:rFonts w:asciiTheme="majorEastAsia" w:hAnsiTheme="majorEastAsia" w:eastAsiaTheme="majorEastAsia"/>
          <w:color w:val="auto"/>
        </w:rPr>
      </w:pPr>
      <w:r>
        <w:rPr>
          <w:rFonts w:asciiTheme="majorEastAsia" w:hAnsiTheme="majorEastAsia" w:eastAsiaTheme="majorEastAsia"/>
          <w:color w:val="auto"/>
        </w:rPr>
        <w:t>（3）项目需求</w:t>
      </w:r>
    </w:p>
    <w:p w14:paraId="1582192C">
      <w:pPr>
        <w:pStyle w:val="113"/>
        <w:rPr>
          <w:rFonts w:asciiTheme="majorEastAsia" w:hAnsiTheme="majorEastAsia" w:eastAsiaTheme="majorEastAsia"/>
          <w:color w:val="auto"/>
        </w:rPr>
      </w:pPr>
      <w:r>
        <w:rPr>
          <w:rFonts w:asciiTheme="majorEastAsia" w:hAnsiTheme="majorEastAsia" w:eastAsiaTheme="majorEastAsia"/>
          <w:color w:val="auto"/>
        </w:rPr>
        <w:t>（4）评审方法和评审标准</w:t>
      </w:r>
    </w:p>
    <w:p w14:paraId="4509FB33">
      <w:pPr>
        <w:pStyle w:val="113"/>
        <w:rPr>
          <w:rFonts w:asciiTheme="majorEastAsia" w:hAnsiTheme="majorEastAsia" w:eastAsiaTheme="majorEastAsia"/>
          <w:color w:val="auto"/>
        </w:rPr>
      </w:pPr>
      <w:r>
        <w:rPr>
          <w:rFonts w:asciiTheme="majorEastAsia" w:hAnsiTheme="majorEastAsia" w:eastAsiaTheme="majorEastAsia"/>
          <w:color w:val="auto"/>
        </w:rPr>
        <w:t>（5）响应文件组成</w:t>
      </w:r>
    </w:p>
    <w:p w14:paraId="5290BC14">
      <w:pPr>
        <w:pStyle w:val="113"/>
        <w:rPr>
          <w:rFonts w:asciiTheme="majorEastAsia" w:hAnsiTheme="majorEastAsia" w:eastAsiaTheme="majorEastAsia"/>
          <w:color w:val="auto"/>
        </w:rPr>
      </w:pPr>
      <w:r>
        <w:rPr>
          <w:rFonts w:asciiTheme="majorEastAsia" w:hAnsiTheme="majorEastAsia" w:eastAsiaTheme="majorEastAsia"/>
          <w:color w:val="auto"/>
        </w:rPr>
        <w:t>（6）附件</w:t>
      </w:r>
    </w:p>
    <w:p w14:paraId="1C5E9528">
      <w:pPr>
        <w:pStyle w:val="113"/>
        <w:rPr>
          <w:rFonts w:asciiTheme="majorEastAsia" w:hAnsiTheme="majorEastAsia" w:eastAsiaTheme="majorEastAsia"/>
          <w:color w:val="auto"/>
        </w:rPr>
      </w:pPr>
      <w:r>
        <w:rPr>
          <w:rFonts w:asciiTheme="majorEastAsia" w:hAnsiTheme="majorEastAsia" w:eastAsiaTheme="majorEastAsia"/>
          <w:color w:val="auto"/>
        </w:rPr>
        <w:t>请仔细检查磋商文件是否齐全，如有缺漏请立即与采购</w:t>
      </w:r>
      <w:r>
        <w:rPr>
          <w:rFonts w:hint="eastAsia" w:asciiTheme="majorEastAsia" w:hAnsiTheme="majorEastAsia" w:eastAsiaTheme="majorEastAsia"/>
          <w:color w:val="auto"/>
        </w:rPr>
        <w:t>人</w:t>
      </w:r>
      <w:r>
        <w:rPr>
          <w:rFonts w:asciiTheme="majorEastAsia" w:hAnsiTheme="majorEastAsia" w:eastAsiaTheme="majorEastAsia"/>
          <w:color w:val="auto"/>
        </w:rPr>
        <w:t>联系解决。</w:t>
      </w:r>
    </w:p>
    <w:p w14:paraId="7A9D3E2C">
      <w:pPr>
        <w:pStyle w:val="113"/>
        <w:rPr>
          <w:rFonts w:asciiTheme="majorEastAsia" w:hAnsiTheme="majorEastAsia" w:eastAsiaTheme="majorEastAsia"/>
          <w:color w:val="auto"/>
        </w:rPr>
      </w:pPr>
      <w:r>
        <w:rPr>
          <w:rFonts w:asciiTheme="majorEastAsia" w:hAnsiTheme="majorEastAsia" w:eastAsiaTheme="majorEastAsia"/>
          <w:bCs/>
          <w:color w:val="auto"/>
        </w:rPr>
        <w:t>1.2</w:t>
      </w:r>
      <w:r>
        <w:rPr>
          <w:rFonts w:asciiTheme="majorEastAsia" w:hAnsiTheme="majorEastAsia" w:eastAsiaTheme="majorEastAsia"/>
          <w:color w:val="auto"/>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20F340F">
      <w:pPr>
        <w:pStyle w:val="111"/>
        <w:rPr>
          <w:rFonts w:asciiTheme="majorEastAsia" w:hAnsiTheme="majorEastAsia" w:eastAsiaTheme="majorEastAsia"/>
          <w:bCs/>
          <w:color w:val="auto"/>
        </w:rPr>
      </w:pPr>
      <w:bookmarkStart w:id="80" w:name="_Toc513029211"/>
      <w:bookmarkStart w:id="81" w:name="_Toc16938527"/>
      <w:bookmarkStart w:id="82" w:name="_Toc20823283"/>
      <w:bookmarkStart w:id="83" w:name="_Toc462564070"/>
      <w:r>
        <w:rPr>
          <w:rFonts w:asciiTheme="majorEastAsia" w:hAnsiTheme="majorEastAsia" w:eastAsiaTheme="majorEastAsia"/>
          <w:color w:val="auto"/>
        </w:rPr>
        <w:t>2.磋商文件的澄清</w:t>
      </w:r>
      <w:bookmarkEnd w:id="80"/>
      <w:bookmarkEnd w:id="81"/>
      <w:bookmarkEnd w:id="82"/>
      <w:bookmarkEnd w:id="83"/>
    </w:p>
    <w:p w14:paraId="5F352987">
      <w:pPr>
        <w:pStyle w:val="113"/>
        <w:rPr>
          <w:rFonts w:asciiTheme="majorEastAsia" w:hAnsiTheme="majorEastAsia" w:eastAsiaTheme="majorEastAsia"/>
          <w:color w:val="auto"/>
        </w:rPr>
      </w:pPr>
      <w:r>
        <w:rPr>
          <w:rFonts w:asciiTheme="majorEastAsia" w:hAnsiTheme="majorEastAsia" w:eastAsiaTheme="majorEastAsia"/>
          <w:bCs/>
          <w:color w:val="auto"/>
        </w:rPr>
        <w:t>2.1</w:t>
      </w:r>
      <w:r>
        <w:rPr>
          <w:rFonts w:asciiTheme="majorEastAsia" w:hAnsiTheme="majorEastAsia" w:eastAsiaTheme="majorEastAsia"/>
          <w:color w:val="auto"/>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46590EDB">
      <w:pPr>
        <w:pStyle w:val="113"/>
        <w:rPr>
          <w:rFonts w:asciiTheme="majorEastAsia" w:hAnsiTheme="majorEastAsia" w:eastAsiaTheme="majorEastAsia"/>
          <w:color w:val="auto"/>
        </w:rPr>
      </w:pPr>
      <w:r>
        <w:rPr>
          <w:rFonts w:asciiTheme="majorEastAsia" w:hAnsiTheme="majorEastAsia" w:eastAsiaTheme="majorEastAsia"/>
          <w:color w:val="auto"/>
        </w:rPr>
        <w:t>2.2采购人视情组织答疑会</w:t>
      </w:r>
    </w:p>
    <w:p w14:paraId="4B008AA1">
      <w:pPr>
        <w:pStyle w:val="111"/>
        <w:rPr>
          <w:rFonts w:asciiTheme="majorEastAsia" w:hAnsiTheme="majorEastAsia" w:eastAsiaTheme="majorEastAsia"/>
          <w:bCs/>
          <w:color w:val="auto"/>
        </w:rPr>
      </w:pPr>
      <w:bookmarkStart w:id="84" w:name="_Toc462564071"/>
      <w:bookmarkStart w:id="85" w:name="_Toc513029212"/>
      <w:bookmarkStart w:id="86" w:name="_Toc16938528"/>
      <w:bookmarkStart w:id="87" w:name="_Toc20823284"/>
      <w:r>
        <w:rPr>
          <w:rFonts w:asciiTheme="majorEastAsia" w:hAnsiTheme="majorEastAsia" w:eastAsiaTheme="majorEastAsia"/>
          <w:color w:val="auto"/>
        </w:rPr>
        <w:t>3.磋商文件的修改</w:t>
      </w:r>
      <w:bookmarkEnd w:id="84"/>
      <w:bookmarkEnd w:id="85"/>
      <w:bookmarkEnd w:id="86"/>
      <w:bookmarkEnd w:id="87"/>
    </w:p>
    <w:p w14:paraId="7BCE9006">
      <w:pPr>
        <w:pStyle w:val="113"/>
        <w:rPr>
          <w:rFonts w:asciiTheme="majorEastAsia" w:hAnsiTheme="majorEastAsia" w:eastAsiaTheme="majorEastAsia"/>
          <w:color w:val="auto"/>
        </w:rPr>
      </w:pPr>
      <w:r>
        <w:rPr>
          <w:rFonts w:asciiTheme="majorEastAsia" w:hAnsiTheme="majorEastAsia" w:eastAsiaTheme="majorEastAsia"/>
          <w:bCs/>
          <w:color w:val="auto"/>
        </w:rPr>
        <w:t>3.1</w:t>
      </w:r>
      <w:r>
        <w:rPr>
          <w:rFonts w:asciiTheme="majorEastAsia" w:hAnsiTheme="majorEastAsia" w:eastAsiaTheme="majorEastAsia"/>
          <w:color w:val="auto"/>
        </w:rPr>
        <w:t xml:space="preserve"> 在响应文件提交截止时间前，采购</w:t>
      </w:r>
      <w:r>
        <w:rPr>
          <w:rFonts w:hint="eastAsia" w:asciiTheme="majorEastAsia" w:hAnsiTheme="majorEastAsia" w:eastAsiaTheme="majorEastAsia"/>
          <w:color w:val="auto"/>
        </w:rPr>
        <w:t>人</w:t>
      </w:r>
      <w:r>
        <w:rPr>
          <w:rFonts w:asciiTheme="majorEastAsia" w:hAnsiTheme="majorEastAsia" w:eastAsiaTheme="majorEastAsia"/>
          <w:color w:val="auto"/>
        </w:rPr>
        <w:t>可以对磋商文件进行修改。</w:t>
      </w:r>
    </w:p>
    <w:p w14:paraId="083BA407">
      <w:pPr>
        <w:pStyle w:val="113"/>
        <w:rPr>
          <w:rFonts w:asciiTheme="majorEastAsia" w:hAnsiTheme="majorEastAsia" w:eastAsiaTheme="majorEastAsia"/>
          <w:color w:val="auto"/>
        </w:rPr>
      </w:pPr>
      <w:r>
        <w:rPr>
          <w:rFonts w:asciiTheme="majorEastAsia" w:hAnsiTheme="majorEastAsia" w:eastAsiaTheme="majorEastAsia"/>
          <w:bCs/>
          <w:color w:val="auto"/>
        </w:rPr>
        <w:t xml:space="preserve">3.2 </w:t>
      </w:r>
      <w:r>
        <w:rPr>
          <w:rFonts w:asciiTheme="majorEastAsia" w:hAnsiTheme="majorEastAsia" w:eastAsiaTheme="majorEastAsia"/>
          <w:color w:val="auto"/>
        </w:rPr>
        <w:t>采购</w:t>
      </w:r>
      <w:r>
        <w:rPr>
          <w:rFonts w:hint="eastAsia" w:asciiTheme="majorEastAsia" w:hAnsiTheme="majorEastAsia" w:eastAsiaTheme="majorEastAsia"/>
          <w:color w:val="auto"/>
        </w:rPr>
        <w:t>人</w:t>
      </w:r>
      <w:r>
        <w:rPr>
          <w:rFonts w:asciiTheme="majorEastAsia" w:hAnsiTheme="majorEastAsia" w:eastAsiaTheme="majorEastAsia"/>
          <w:color w:val="auto"/>
        </w:rPr>
        <w:t>有权按照法定的要求推迟响应文件提交截止日期和磋商日期。</w:t>
      </w:r>
    </w:p>
    <w:p w14:paraId="6609BF14">
      <w:pPr>
        <w:pStyle w:val="113"/>
        <w:rPr>
          <w:rFonts w:cs="仿宋" w:asciiTheme="majorEastAsia" w:hAnsiTheme="majorEastAsia" w:eastAsiaTheme="majorEastAsia"/>
          <w:b/>
          <w:bCs/>
          <w:color w:val="auto"/>
        </w:rPr>
      </w:pPr>
      <w:r>
        <w:rPr>
          <w:rFonts w:asciiTheme="majorEastAsia" w:hAnsiTheme="majorEastAsia" w:eastAsiaTheme="majorEastAsia"/>
          <w:bCs/>
          <w:color w:val="auto"/>
        </w:rPr>
        <w:t xml:space="preserve">3.3 </w:t>
      </w:r>
      <w:r>
        <w:rPr>
          <w:rFonts w:asciiTheme="majorEastAsia" w:hAnsiTheme="majorEastAsia" w:eastAsiaTheme="majorEastAsia"/>
          <w:color w:val="auto"/>
        </w:rPr>
        <w:t>磋商文件的修改将在</w:t>
      </w:r>
      <w:r>
        <w:rPr>
          <w:rFonts w:hint="eastAsia" w:cs="仿宋" w:asciiTheme="majorEastAsia" w:hAnsiTheme="majorEastAsia" w:eastAsiaTheme="majorEastAsia"/>
          <w:b/>
          <w:bCs/>
          <w:color w:val="auto"/>
        </w:rPr>
        <w:t>南通市卫生健康委员会官网</w:t>
      </w:r>
    </w:p>
    <w:p w14:paraId="146E2210">
      <w:pPr>
        <w:pStyle w:val="113"/>
        <w:ind w:firstLine="422"/>
        <w:rPr>
          <w:rFonts w:asciiTheme="majorEastAsia" w:hAnsiTheme="majorEastAsia" w:eastAsiaTheme="majorEastAsia"/>
          <w:color w:val="auto"/>
        </w:rPr>
      </w:pPr>
      <w:r>
        <w:rPr>
          <w:rFonts w:hint="eastAsia" w:cs="仿宋" w:asciiTheme="majorEastAsia" w:hAnsiTheme="majorEastAsia" w:eastAsiaTheme="majorEastAsia"/>
          <w:b/>
          <w:bCs/>
          <w:color w:val="auto"/>
        </w:rPr>
        <w:t>（http://wjw.nantong.gov.cn）和南通市妇幼保健院官网（http://www.ntfybj.com）</w:t>
      </w:r>
      <w:r>
        <w:rPr>
          <w:rFonts w:asciiTheme="majorEastAsia" w:hAnsiTheme="majorEastAsia" w:eastAsiaTheme="majorEastAsia"/>
          <w:color w:val="auto"/>
        </w:rPr>
        <w:t>公布，补充文件将作为磋商文件的组成部分，并对供应商具有约束力。</w:t>
      </w:r>
    </w:p>
    <w:p w14:paraId="136A7A98">
      <w:pPr>
        <w:pStyle w:val="111"/>
        <w:rPr>
          <w:rFonts w:asciiTheme="majorEastAsia" w:hAnsiTheme="majorEastAsia" w:eastAsiaTheme="majorEastAsia"/>
          <w:bCs/>
          <w:color w:val="auto"/>
        </w:rPr>
      </w:pPr>
      <w:bookmarkStart w:id="88" w:name="_Toc513029213"/>
      <w:bookmarkStart w:id="89" w:name="_Toc16938529"/>
      <w:bookmarkStart w:id="90" w:name="_Toc120614216"/>
      <w:bookmarkStart w:id="91" w:name="_Toc462564072"/>
      <w:bookmarkStart w:id="92" w:name="_Toc20823285"/>
      <w:r>
        <w:rPr>
          <w:rFonts w:asciiTheme="majorEastAsia" w:hAnsiTheme="majorEastAsia" w:eastAsiaTheme="majorEastAsia"/>
          <w:bCs/>
          <w:color w:val="auto"/>
        </w:rPr>
        <w:t>（三）响应文件的编制</w:t>
      </w:r>
      <w:bookmarkEnd w:id="88"/>
      <w:bookmarkEnd w:id="89"/>
      <w:bookmarkEnd w:id="90"/>
      <w:bookmarkEnd w:id="91"/>
      <w:bookmarkEnd w:id="92"/>
    </w:p>
    <w:p w14:paraId="00D37952">
      <w:pPr>
        <w:pStyle w:val="111"/>
        <w:rPr>
          <w:rFonts w:asciiTheme="majorEastAsia" w:hAnsiTheme="majorEastAsia" w:eastAsiaTheme="majorEastAsia"/>
          <w:bCs/>
          <w:color w:val="auto"/>
        </w:rPr>
      </w:pPr>
      <w:bookmarkStart w:id="93" w:name="_Toc513029214"/>
      <w:bookmarkStart w:id="94" w:name="_Toc20823286"/>
      <w:bookmarkStart w:id="95" w:name="_Toc16938530"/>
      <w:bookmarkStart w:id="96" w:name="_Toc462564073"/>
      <w:r>
        <w:rPr>
          <w:rFonts w:asciiTheme="majorEastAsia" w:hAnsiTheme="majorEastAsia" w:eastAsiaTheme="majorEastAsia"/>
          <w:color w:val="auto"/>
        </w:rPr>
        <w:t>1.响应文件的语言及度量衡单位</w:t>
      </w:r>
      <w:bookmarkEnd w:id="93"/>
      <w:bookmarkEnd w:id="94"/>
      <w:bookmarkEnd w:id="95"/>
      <w:bookmarkEnd w:id="96"/>
    </w:p>
    <w:p w14:paraId="046B5280">
      <w:pPr>
        <w:pStyle w:val="113"/>
        <w:rPr>
          <w:rFonts w:asciiTheme="majorEastAsia" w:hAnsiTheme="majorEastAsia" w:eastAsiaTheme="majorEastAsia"/>
          <w:color w:val="auto"/>
        </w:rPr>
      </w:pPr>
      <w:r>
        <w:rPr>
          <w:rFonts w:asciiTheme="majorEastAsia" w:hAnsiTheme="majorEastAsia" w:eastAsiaTheme="majorEastAsia"/>
          <w:bCs/>
          <w:color w:val="auto"/>
        </w:rPr>
        <w:t>1.1</w:t>
      </w:r>
      <w:r>
        <w:rPr>
          <w:rFonts w:asciiTheme="majorEastAsia" w:hAnsiTheme="majorEastAsia" w:eastAsiaTheme="majorEastAsia"/>
          <w:color w:val="auto"/>
        </w:rPr>
        <w:t>供应商提交的响应文件以及供应商与采购人就有关磋商的所有来往通知、函件和文件均应使用</w:t>
      </w:r>
      <w:r>
        <w:rPr>
          <w:rFonts w:asciiTheme="majorEastAsia" w:hAnsiTheme="majorEastAsia" w:eastAsiaTheme="majorEastAsia"/>
          <w:bCs/>
          <w:color w:val="auto"/>
        </w:rPr>
        <w:t>简体中文</w:t>
      </w:r>
      <w:r>
        <w:rPr>
          <w:rFonts w:asciiTheme="majorEastAsia" w:hAnsiTheme="majorEastAsia" w:eastAsiaTheme="majorEastAsia"/>
          <w:color w:val="auto"/>
        </w:rPr>
        <w:t>。</w:t>
      </w:r>
    </w:p>
    <w:p w14:paraId="1FF804BE">
      <w:pPr>
        <w:pStyle w:val="113"/>
        <w:rPr>
          <w:rFonts w:asciiTheme="majorEastAsia" w:hAnsiTheme="majorEastAsia" w:eastAsiaTheme="majorEastAsia"/>
          <w:color w:val="auto"/>
        </w:rPr>
      </w:pPr>
      <w:r>
        <w:rPr>
          <w:rFonts w:asciiTheme="majorEastAsia" w:hAnsiTheme="majorEastAsia" w:eastAsiaTheme="majorEastAsia"/>
          <w:bCs/>
          <w:color w:val="auto"/>
        </w:rPr>
        <w:t>1.2</w:t>
      </w:r>
      <w:r>
        <w:rPr>
          <w:rFonts w:asciiTheme="majorEastAsia" w:hAnsiTheme="majorEastAsia" w:eastAsiaTheme="majorEastAsia"/>
          <w:color w:val="auto"/>
        </w:rPr>
        <w:t xml:space="preserve"> 除技术性能另有规定外，响应文件所使用的度量衡单位，均须采用国家法定计量单位。</w:t>
      </w:r>
    </w:p>
    <w:p w14:paraId="37D36DBB">
      <w:pPr>
        <w:pStyle w:val="111"/>
        <w:rPr>
          <w:rFonts w:asciiTheme="majorEastAsia" w:hAnsiTheme="majorEastAsia" w:eastAsiaTheme="majorEastAsia"/>
          <w:bCs/>
          <w:color w:val="auto"/>
        </w:rPr>
      </w:pPr>
      <w:bookmarkStart w:id="97" w:name="_Toc462564074"/>
      <w:bookmarkStart w:id="98" w:name="_Toc16938531"/>
      <w:bookmarkStart w:id="99" w:name="_Toc513029215"/>
      <w:bookmarkStart w:id="100" w:name="_Toc20823287"/>
      <w:r>
        <w:rPr>
          <w:rFonts w:asciiTheme="majorEastAsia" w:hAnsiTheme="majorEastAsia" w:eastAsiaTheme="majorEastAsia"/>
          <w:color w:val="auto"/>
        </w:rPr>
        <w:t>2.响应文件构成</w:t>
      </w:r>
      <w:bookmarkEnd w:id="97"/>
      <w:bookmarkEnd w:id="98"/>
      <w:bookmarkEnd w:id="99"/>
      <w:bookmarkEnd w:id="100"/>
    </w:p>
    <w:p w14:paraId="2C4D53AC">
      <w:pPr>
        <w:pStyle w:val="113"/>
        <w:rPr>
          <w:rFonts w:asciiTheme="majorEastAsia" w:hAnsiTheme="majorEastAsia" w:eastAsiaTheme="majorEastAsia"/>
          <w:color w:val="auto"/>
        </w:rPr>
      </w:pPr>
      <w:r>
        <w:rPr>
          <w:rFonts w:asciiTheme="majorEastAsia" w:hAnsiTheme="majorEastAsia" w:eastAsiaTheme="majorEastAsia"/>
          <w:bCs/>
          <w:color w:val="auto"/>
        </w:rPr>
        <w:t>2.1</w:t>
      </w:r>
      <w:r>
        <w:rPr>
          <w:rFonts w:asciiTheme="majorEastAsia" w:hAnsiTheme="majorEastAsia" w:eastAsiaTheme="majorEastAsia"/>
          <w:color w:val="auto"/>
        </w:rPr>
        <w:t xml:space="preserve"> 供应商编写的响应文件应包括资格审查证明材料文件、商务技术标文件、价格标文件。供应商按“第五部分 响应文件组成”要求编写响应文件。</w:t>
      </w:r>
    </w:p>
    <w:p w14:paraId="6F603971">
      <w:pPr>
        <w:pStyle w:val="111"/>
        <w:rPr>
          <w:rFonts w:asciiTheme="majorEastAsia" w:hAnsiTheme="majorEastAsia" w:eastAsiaTheme="majorEastAsia"/>
          <w:bCs/>
          <w:color w:val="auto"/>
        </w:rPr>
      </w:pPr>
      <w:bookmarkStart w:id="101" w:name="_Hlt26954838"/>
      <w:bookmarkEnd w:id="101"/>
      <w:bookmarkStart w:id="102" w:name="_Hlt26668975"/>
      <w:bookmarkEnd w:id="102"/>
      <w:bookmarkStart w:id="103" w:name="_Hlt26670360"/>
      <w:bookmarkEnd w:id="103"/>
      <w:bookmarkStart w:id="104" w:name="_Toc14577360"/>
      <w:bookmarkStart w:id="105" w:name="_Toc49090511"/>
      <w:r>
        <w:rPr>
          <w:rFonts w:asciiTheme="majorEastAsia" w:hAnsiTheme="majorEastAsia" w:eastAsiaTheme="majorEastAsia"/>
          <w:color w:val="auto"/>
        </w:rPr>
        <w:t>3.</w:t>
      </w:r>
      <w:bookmarkEnd w:id="104"/>
      <w:bookmarkEnd w:id="105"/>
      <w:r>
        <w:rPr>
          <w:rFonts w:asciiTheme="majorEastAsia" w:hAnsiTheme="majorEastAsia" w:eastAsiaTheme="majorEastAsia"/>
          <w:color w:val="auto"/>
        </w:rPr>
        <w:t>磋商响应有效期</w:t>
      </w:r>
    </w:p>
    <w:p w14:paraId="7E86768E">
      <w:pPr>
        <w:pStyle w:val="113"/>
        <w:rPr>
          <w:rFonts w:asciiTheme="majorEastAsia" w:hAnsiTheme="majorEastAsia" w:eastAsiaTheme="majorEastAsia"/>
          <w:color w:val="auto"/>
        </w:rPr>
      </w:pPr>
      <w:r>
        <w:rPr>
          <w:rFonts w:asciiTheme="majorEastAsia" w:hAnsiTheme="majorEastAsia" w:eastAsiaTheme="majorEastAsia"/>
          <w:color w:val="auto"/>
        </w:rPr>
        <w:t>3.1磋商响应有效期为采购</w:t>
      </w:r>
      <w:r>
        <w:rPr>
          <w:rFonts w:hint="eastAsia" w:asciiTheme="majorEastAsia" w:hAnsiTheme="majorEastAsia" w:eastAsiaTheme="majorEastAsia"/>
          <w:color w:val="auto"/>
        </w:rPr>
        <w:t>人</w:t>
      </w:r>
      <w:r>
        <w:rPr>
          <w:rFonts w:asciiTheme="majorEastAsia" w:hAnsiTheme="majorEastAsia" w:eastAsiaTheme="majorEastAsia"/>
          <w:color w:val="auto"/>
        </w:rPr>
        <w:t>规定的响应文件提交截止时间后</w:t>
      </w:r>
      <w:r>
        <w:rPr>
          <w:rFonts w:asciiTheme="majorEastAsia" w:hAnsiTheme="majorEastAsia" w:eastAsiaTheme="majorEastAsia"/>
          <w:color w:val="auto"/>
          <w:u w:val="single"/>
        </w:rPr>
        <w:t>六十（60）天</w:t>
      </w:r>
      <w:r>
        <w:rPr>
          <w:rFonts w:asciiTheme="majorEastAsia" w:hAnsiTheme="majorEastAsia" w:eastAsiaTheme="majorEastAsia"/>
          <w:color w:val="auto"/>
        </w:rPr>
        <w:t>。磋商响应有效期比规定短的将被视为非实质性响应而予以拒绝。</w:t>
      </w:r>
    </w:p>
    <w:p w14:paraId="2714BED4">
      <w:pPr>
        <w:pStyle w:val="111"/>
        <w:rPr>
          <w:rFonts w:asciiTheme="majorEastAsia" w:hAnsiTheme="majorEastAsia" w:eastAsiaTheme="majorEastAsia"/>
          <w:bCs/>
          <w:color w:val="auto"/>
        </w:rPr>
      </w:pPr>
      <w:r>
        <w:rPr>
          <w:rFonts w:asciiTheme="majorEastAsia" w:hAnsiTheme="majorEastAsia" w:eastAsiaTheme="majorEastAsia"/>
          <w:color w:val="auto"/>
        </w:rPr>
        <w:t>4. 磋商响应有效期的延长</w:t>
      </w:r>
    </w:p>
    <w:p w14:paraId="5CF73322">
      <w:pPr>
        <w:pStyle w:val="113"/>
        <w:rPr>
          <w:rFonts w:asciiTheme="majorEastAsia" w:hAnsiTheme="majorEastAsia" w:eastAsiaTheme="majorEastAsia"/>
          <w:color w:val="auto"/>
        </w:rPr>
      </w:pPr>
      <w:r>
        <w:rPr>
          <w:rFonts w:asciiTheme="majorEastAsia" w:hAnsiTheme="majorEastAsia" w:eastAsiaTheme="majorEastAsia"/>
          <w:color w:val="auto"/>
        </w:rPr>
        <w:t>4.1在特殊情况下，采购</w:t>
      </w:r>
      <w:r>
        <w:rPr>
          <w:rFonts w:hint="eastAsia" w:asciiTheme="majorEastAsia" w:hAnsiTheme="majorEastAsia" w:eastAsiaTheme="majorEastAsia"/>
          <w:color w:val="auto"/>
        </w:rPr>
        <w:t>人</w:t>
      </w:r>
      <w:r>
        <w:rPr>
          <w:rFonts w:asciiTheme="majorEastAsia" w:hAnsiTheme="majorEastAsia" w:eastAsiaTheme="majorEastAsia"/>
          <w:color w:val="auto"/>
        </w:rPr>
        <w:t>于原磋商响应有效期满之前，可向磋商供应商提出延长磋商响应有效期的要求。这种要求与答复均应采用书面形式。供应商可以拒绝采购</w:t>
      </w:r>
      <w:r>
        <w:rPr>
          <w:rFonts w:hint="eastAsia" w:asciiTheme="majorEastAsia" w:hAnsiTheme="majorEastAsia" w:eastAsiaTheme="majorEastAsia"/>
          <w:color w:val="auto"/>
        </w:rPr>
        <w:t>人</w:t>
      </w:r>
      <w:r>
        <w:rPr>
          <w:rFonts w:asciiTheme="majorEastAsia" w:hAnsiTheme="majorEastAsia" w:eastAsiaTheme="majorEastAsia"/>
          <w:color w:val="auto"/>
        </w:rPr>
        <w:t>的这一要求而放弃磋商响应，同意延长磋商响应有效期的供应商既不能要求也不允许修改其响应文件。受磋商响应有效期约束的所有权利与义务均延长至新的有效期。</w:t>
      </w:r>
    </w:p>
    <w:p w14:paraId="5EFD74ED">
      <w:pPr>
        <w:pStyle w:val="111"/>
        <w:rPr>
          <w:rFonts w:asciiTheme="majorEastAsia" w:hAnsiTheme="majorEastAsia" w:eastAsiaTheme="majorEastAsia"/>
          <w:bCs/>
          <w:color w:val="auto"/>
        </w:rPr>
      </w:pPr>
      <w:bookmarkStart w:id="106" w:name="_Hlt26954739"/>
      <w:bookmarkEnd w:id="106"/>
      <w:bookmarkStart w:id="107" w:name="_Hlt26954852"/>
      <w:bookmarkEnd w:id="107"/>
      <w:bookmarkStart w:id="108" w:name="_Toc120614217"/>
      <w:bookmarkStart w:id="109" w:name="_Toc20823296"/>
      <w:bookmarkStart w:id="110" w:name="_Toc513029224"/>
      <w:bookmarkStart w:id="111" w:name="_Toc16938540"/>
      <w:r>
        <w:rPr>
          <w:rFonts w:asciiTheme="majorEastAsia" w:hAnsiTheme="majorEastAsia" w:eastAsiaTheme="majorEastAsia"/>
          <w:bCs/>
          <w:color w:val="auto"/>
        </w:rPr>
        <w:t>（四）响应文件的提交</w:t>
      </w:r>
      <w:bookmarkEnd w:id="108"/>
      <w:bookmarkEnd w:id="109"/>
      <w:bookmarkEnd w:id="110"/>
      <w:bookmarkEnd w:id="111"/>
    </w:p>
    <w:p w14:paraId="1233B0F8">
      <w:pPr>
        <w:pStyle w:val="111"/>
        <w:rPr>
          <w:rFonts w:asciiTheme="majorEastAsia" w:hAnsiTheme="majorEastAsia" w:eastAsiaTheme="majorEastAsia"/>
          <w:bCs/>
          <w:color w:val="auto"/>
        </w:rPr>
      </w:pPr>
      <w:bookmarkStart w:id="112" w:name="_Toc462564084"/>
      <w:bookmarkStart w:id="113" w:name="_Toc16938541"/>
      <w:bookmarkStart w:id="114" w:name="_Toc20823297"/>
      <w:bookmarkStart w:id="115" w:name="_Toc513029225"/>
      <w:r>
        <w:rPr>
          <w:rFonts w:asciiTheme="majorEastAsia" w:hAnsiTheme="majorEastAsia" w:eastAsiaTheme="majorEastAsia"/>
          <w:color w:val="auto"/>
        </w:rPr>
        <w:t>1.响应文件</w:t>
      </w:r>
      <w:bookmarkEnd w:id="112"/>
      <w:bookmarkEnd w:id="113"/>
      <w:bookmarkEnd w:id="114"/>
      <w:bookmarkEnd w:id="115"/>
      <w:r>
        <w:rPr>
          <w:rFonts w:asciiTheme="majorEastAsia" w:hAnsiTheme="majorEastAsia" w:eastAsiaTheme="majorEastAsia"/>
          <w:color w:val="auto"/>
        </w:rPr>
        <w:t>的提交</w:t>
      </w:r>
    </w:p>
    <w:p w14:paraId="35704E16">
      <w:pPr>
        <w:pStyle w:val="113"/>
        <w:rPr>
          <w:rFonts w:asciiTheme="majorEastAsia" w:hAnsiTheme="majorEastAsia" w:eastAsiaTheme="majorEastAsia"/>
          <w:b/>
          <w:bCs/>
          <w:color w:val="auto"/>
        </w:rPr>
      </w:pPr>
      <w:bookmarkStart w:id="116" w:name="_Toc513029226"/>
      <w:bookmarkStart w:id="117" w:name="_Toc16938542"/>
      <w:bookmarkStart w:id="118" w:name="_Toc20823298"/>
      <w:r>
        <w:rPr>
          <w:rFonts w:asciiTheme="majorEastAsia" w:hAnsiTheme="majorEastAsia" w:eastAsiaTheme="majorEastAsia"/>
          <w:color w:val="auto"/>
        </w:rPr>
        <w:t>1.1</w:t>
      </w:r>
      <w:r>
        <w:rPr>
          <w:rFonts w:asciiTheme="majorEastAsia" w:hAnsiTheme="majorEastAsia" w:eastAsiaTheme="majorEastAsia"/>
          <w:b/>
          <w:bCs/>
          <w:color w:val="auto"/>
        </w:rPr>
        <w:t>供应商</w:t>
      </w:r>
      <w:r>
        <w:rPr>
          <w:rFonts w:hint="eastAsia" w:asciiTheme="majorEastAsia" w:hAnsiTheme="majorEastAsia" w:eastAsiaTheme="majorEastAsia"/>
          <w:b/>
          <w:bCs/>
          <w:color w:val="auto"/>
        </w:rPr>
        <w:t xml:space="preserve">在响应文件提交截止时间前，必须自行将响应文件电子文档上传至磋商文件规定邮箱。 </w:t>
      </w:r>
    </w:p>
    <w:p w14:paraId="12E5B7B6">
      <w:pPr>
        <w:pStyle w:val="113"/>
        <w:rPr>
          <w:rFonts w:asciiTheme="majorEastAsia" w:hAnsiTheme="majorEastAsia" w:eastAsiaTheme="majorEastAsia"/>
          <w:color w:val="auto"/>
        </w:rPr>
      </w:pPr>
      <w:r>
        <w:rPr>
          <w:rFonts w:asciiTheme="majorEastAsia" w:hAnsiTheme="majorEastAsia" w:eastAsiaTheme="majorEastAsia"/>
          <w:color w:val="auto"/>
        </w:rPr>
        <w:t>1.</w:t>
      </w:r>
      <w:r>
        <w:rPr>
          <w:rFonts w:hint="eastAsia" w:asciiTheme="majorEastAsia" w:hAnsiTheme="majorEastAsia" w:eastAsiaTheme="majorEastAsia"/>
          <w:color w:val="auto"/>
        </w:rPr>
        <w:t xml:space="preserve">2.上传响应文件的内容不清楚或不清晰的（含扫描件），造成无法评审或部分影响评审的，或者电子文件与正本文件不符，导致评审差错的，责任由交易响应人自负。 </w:t>
      </w:r>
    </w:p>
    <w:p w14:paraId="73B03D21">
      <w:pPr>
        <w:pStyle w:val="113"/>
        <w:rPr>
          <w:rFonts w:asciiTheme="majorEastAsia" w:hAnsiTheme="majorEastAsia" w:eastAsiaTheme="majorEastAsia"/>
          <w:color w:val="auto"/>
        </w:rPr>
      </w:pPr>
      <w:r>
        <w:rPr>
          <w:rFonts w:asciiTheme="majorEastAsia" w:hAnsiTheme="majorEastAsia" w:eastAsiaTheme="majorEastAsia"/>
          <w:color w:val="auto"/>
        </w:rPr>
        <w:t>1.</w:t>
      </w:r>
      <w:r>
        <w:rPr>
          <w:rFonts w:hint="eastAsia" w:asciiTheme="majorEastAsia" w:hAnsiTheme="majorEastAsia" w:eastAsiaTheme="majorEastAsia"/>
          <w:color w:val="auto"/>
        </w:rPr>
        <w:t>3.响应文件须加盖单位电子签章。</w:t>
      </w:r>
    </w:p>
    <w:p w14:paraId="010ADF97">
      <w:pPr>
        <w:pStyle w:val="111"/>
        <w:rPr>
          <w:rFonts w:asciiTheme="majorEastAsia" w:hAnsiTheme="majorEastAsia" w:eastAsiaTheme="majorEastAsia"/>
          <w:color w:val="auto"/>
        </w:rPr>
      </w:pPr>
      <w:r>
        <w:rPr>
          <w:rFonts w:asciiTheme="majorEastAsia" w:hAnsiTheme="majorEastAsia" w:eastAsiaTheme="majorEastAsia"/>
          <w:color w:val="auto"/>
        </w:rPr>
        <w:t>2.响应文件截止日期</w:t>
      </w:r>
      <w:bookmarkEnd w:id="116"/>
      <w:bookmarkEnd w:id="117"/>
      <w:bookmarkEnd w:id="118"/>
    </w:p>
    <w:p w14:paraId="0221082C">
      <w:pPr>
        <w:pStyle w:val="113"/>
        <w:rPr>
          <w:rFonts w:asciiTheme="majorEastAsia" w:hAnsiTheme="majorEastAsia" w:eastAsiaTheme="majorEastAsia"/>
          <w:color w:val="auto"/>
        </w:rPr>
      </w:pPr>
      <w:r>
        <w:rPr>
          <w:rFonts w:asciiTheme="majorEastAsia" w:hAnsiTheme="majorEastAsia" w:eastAsiaTheme="majorEastAsia"/>
          <w:color w:val="auto"/>
        </w:rPr>
        <w:t>2.1 供应商上传电子响应文件的时间不得迟于磋商公告中规定的响应文件提交截止时间。</w:t>
      </w:r>
    </w:p>
    <w:p w14:paraId="5648AD16">
      <w:pPr>
        <w:pStyle w:val="111"/>
        <w:rPr>
          <w:rFonts w:asciiTheme="majorEastAsia" w:hAnsiTheme="majorEastAsia" w:eastAsiaTheme="majorEastAsia"/>
          <w:bCs/>
          <w:color w:val="auto"/>
        </w:rPr>
      </w:pPr>
      <w:r>
        <w:rPr>
          <w:rFonts w:asciiTheme="majorEastAsia" w:hAnsiTheme="majorEastAsia" w:eastAsiaTheme="majorEastAsia"/>
          <w:bCs/>
          <w:color w:val="auto"/>
        </w:rPr>
        <w:t>供应商应充分考虑到网络环境、网络带宽等风险因素，如因供应商自身原因造成的电子响应文件上传不成功由供应商自行承担全部责任。</w:t>
      </w:r>
    </w:p>
    <w:p w14:paraId="5910D519">
      <w:pPr>
        <w:pStyle w:val="113"/>
        <w:rPr>
          <w:rFonts w:asciiTheme="majorEastAsia" w:hAnsiTheme="majorEastAsia" w:eastAsiaTheme="majorEastAsia"/>
          <w:color w:val="auto"/>
        </w:rPr>
      </w:pPr>
      <w:r>
        <w:rPr>
          <w:rFonts w:asciiTheme="majorEastAsia" w:hAnsiTheme="majorEastAsia" w:eastAsiaTheme="majorEastAsia"/>
          <w:color w:val="auto"/>
        </w:rPr>
        <w:t>2.2 采购</w:t>
      </w:r>
      <w:r>
        <w:rPr>
          <w:rFonts w:hint="eastAsia" w:asciiTheme="majorEastAsia" w:hAnsiTheme="majorEastAsia" w:eastAsiaTheme="majorEastAsia"/>
          <w:color w:val="auto"/>
        </w:rPr>
        <w:t>人</w:t>
      </w:r>
      <w:r>
        <w:rPr>
          <w:rFonts w:asciiTheme="majorEastAsia" w:hAnsiTheme="majorEastAsia" w:eastAsiaTheme="majorEastAsia"/>
          <w:color w:val="auto"/>
        </w:rPr>
        <w:t>可以按照规定，通过修改响应文件酌情延长响应文件提交截止日期，在此情况下，供应商的所有权利和义务以及供应商受制的截止日期均应以延长后新的截止日期为准。</w:t>
      </w:r>
    </w:p>
    <w:p w14:paraId="2D40A592">
      <w:pPr>
        <w:pStyle w:val="111"/>
        <w:rPr>
          <w:rFonts w:asciiTheme="majorEastAsia" w:hAnsiTheme="majorEastAsia" w:eastAsiaTheme="majorEastAsia"/>
          <w:bCs/>
          <w:color w:val="auto"/>
        </w:rPr>
      </w:pPr>
      <w:bookmarkStart w:id="119" w:name="_Toc16938543"/>
      <w:bookmarkStart w:id="120" w:name="_Toc20823299"/>
      <w:bookmarkStart w:id="121" w:name="_Toc513029227"/>
      <w:r>
        <w:rPr>
          <w:rFonts w:asciiTheme="majorEastAsia" w:hAnsiTheme="majorEastAsia" w:eastAsiaTheme="majorEastAsia"/>
          <w:color w:val="auto"/>
        </w:rPr>
        <w:t>3.响应文件</w:t>
      </w:r>
      <w:bookmarkEnd w:id="119"/>
      <w:bookmarkEnd w:id="120"/>
      <w:bookmarkEnd w:id="121"/>
      <w:r>
        <w:rPr>
          <w:rFonts w:asciiTheme="majorEastAsia" w:hAnsiTheme="majorEastAsia" w:eastAsiaTheme="majorEastAsia"/>
          <w:color w:val="auto"/>
        </w:rPr>
        <w:t>的拒收</w:t>
      </w:r>
    </w:p>
    <w:p w14:paraId="3CFCEE0E">
      <w:pPr>
        <w:pStyle w:val="113"/>
        <w:rPr>
          <w:rFonts w:asciiTheme="majorEastAsia" w:hAnsiTheme="majorEastAsia" w:eastAsiaTheme="majorEastAsia"/>
          <w:color w:val="auto"/>
        </w:rPr>
      </w:pPr>
      <w:r>
        <w:rPr>
          <w:rFonts w:asciiTheme="majorEastAsia" w:hAnsiTheme="majorEastAsia" w:eastAsiaTheme="majorEastAsia"/>
          <w:color w:val="auto"/>
        </w:rPr>
        <w:t>3.1 采购</w:t>
      </w:r>
      <w:r>
        <w:rPr>
          <w:rFonts w:hint="eastAsia" w:asciiTheme="majorEastAsia" w:hAnsiTheme="majorEastAsia" w:eastAsiaTheme="majorEastAsia"/>
          <w:color w:val="auto"/>
        </w:rPr>
        <w:t>人</w:t>
      </w:r>
      <w:r>
        <w:rPr>
          <w:rFonts w:asciiTheme="majorEastAsia" w:hAnsiTheme="majorEastAsia" w:eastAsiaTheme="majorEastAsia"/>
          <w:color w:val="auto"/>
        </w:rPr>
        <w:t>拒绝接收在其规定的响应文件提交截止时间后上传的任何响应文件。</w:t>
      </w:r>
    </w:p>
    <w:p w14:paraId="4AD14736">
      <w:pPr>
        <w:pStyle w:val="111"/>
        <w:rPr>
          <w:rFonts w:asciiTheme="majorEastAsia" w:hAnsiTheme="majorEastAsia" w:eastAsiaTheme="majorEastAsia"/>
          <w:bCs/>
          <w:color w:val="auto"/>
        </w:rPr>
      </w:pPr>
      <w:bookmarkStart w:id="122" w:name="_Toc16938544"/>
      <w:bookmarkStart w:id="123" w:name="_Toc20823300"/>
      <w:bookmarkStart w:id="124" w:name="_Toc513029228"/>
      <w:r>
        <w:rPr>
          <w:rFonts w:asciiTheme="majorEastAsia" w:hAnsiTheme="majorEastAsia" w:eastAsiaTheme="majorEastAsia"/>
          <w:color w:val="auto"/>
        </w:rPr>
        <w:t>4. 响应文件的撤回和修改</w:t>
      </w:r>
      <w:bookmarkEnd w:id="122"/>
      <w:bookmarkEnd w:id="123"/>
      <w:bookmarkEnd w:id="124"/>
    </w:p>
    <w:p w14:paraId="1BC6E3B7">
      <w:pPr>
        <w:pStyle w:val="113"/>
        <w:rPr>
          <w:rFonts w:asciiTheme="majorEastAsia" w:hAnsiTheme="majorEastAsia" w:eastAsiaTheme="majorEastAsia"/>
          <w:color w:val="auto"/>
        </w:rPr>
      </w:pPr>
      <w:r>
        <w:rPr>
          <w:rFonts w:asciiTheme="majorEastAsia" w:hAnsiTheme="majorEastAsia" w:eastAsiaTheme="majorEastAsia"/>
          <w:color w:val="auto"/>
        </w:rPr>
        <w:t>4.1 响应文件的撤回</w:t>
      </w:r>
    </w:p>
    <w:p w14:paraId="4D6BADF2">
      <w:pPr>
        <w:pStyle w:val="113"/>
        <w:rPr>
          <w:rFonts w:asciiTheme="majorEastAsia" w:hAnsiTheme="majorEastAsia" w:eastAsiaTheme="majorEastAsia"/>
          <w:color w:val="auto"/>
        </w:rPr>
      </w:pPr>
      <w:r>
        <w:rPr>
          <w:rFonts w:asciiTheme="majorEastAsia" w:hAnsiTheme="majorEastAsia" w:eastAsiaTheme="majorEastAsia"/>
          <w:color w:val="auto"/>
        </w:rPr>
        <w:t>4.1.1 电子响应文件的撤回</w:t>
      </w:r>
    </w:p>
    <w:p w14:paraId="1F706D24">
      <w:pPr>
        <w:pStyle w:val="113"/>
        <w:rPr>
          <w:rFonts w:asciiTheme="majorEastAsia" w:hAnsiTheme="majorEastAsia" w:eastAsiaTheme="majorEastAsia"/>
          <w:color w:val="auto"/>
        </w:rPr>
      </w:pPr>
      <w:r>
        <w:rPr>
          <w:rFonts w:asciiTheme="majorEastAsia" w:hAnsiTheme="majorEastAsia" w:eastAsiaTheme="majorEastAsia"/>
          <w:color w:val="auto"/>
        </w:rPr>
        <w:t>供应商可在响应文件提交截止时间前，撤回其电子响应文件。</w:t>
      </w:r>
    </w:p>
    <w:p w14:paraId="74F5BFE8">
      <w:pPr>
        <w:pStyle w:val="113"/>
        <w:rPr>
          <w:rFonts w:asciiTheme="majorEastAsia" w:hAnsiTheme="majorEastAsia" w:eastAsiaTheme="majorEastAsia"/>
          <w:color w:val="auto"/>
        </w:rPr>
      </w:pPr>
      <w:r>
        <w:rPr>
          <w:rFonts w:asciiTheme="majorEastAsia" w:hAnsiTheme="majorEastAsia" w:eastAsiaTheme="majorEastAsia"/>
          <w:color w:val="auto"/>
        </w:rPr>
        <w:t>4.1.2 供应商撤回电子响应文件，则认为其不再参与本项目磋商活动。</w:t>
      </w:r>
    </w:p>
    <w:p w14:paraId="27CF08DD">
      <w:pPr>
        <w:pStyle w:val="113"/>
        <w:rPr>
          <w:rFonts w:asciiTheme="majorEastAsia" w:hAnsiTheme="majorEastAsia" w:eastAsiaTheme="majorEastAsia"/>
          <w:color w:val="auto"/>
        </w:rPr>
      </w:pPr>
      <w:r>
        <w:rPr>
          <w:rFonts w:asciiTheme="majorEastAsia" w:hAnsiTheme="majorEastAsia" w:eastAsiaTheme="majorEastAsia"/>
          <w:color w:val="auto"/>
        </w:rPr>
        <w:t>4.2 响应文件的修改</w:t>
      </w:r>
    </w:p>
    <w:p w14:paraId="57DA68C0">
      <w:pPr>
        <w:pStyle w:val="113"/>
        <w:rPr>
          <w:rFonts w:asciiTheme="majorEastAsia" w:hAnsiTheme="majorEastAsia" w:eastAsiaTheme="majorEastAsia"/>
          <w:bCs/>
          <w:color w:val="auto"/>
        </w:rPr>
      </w:pPr>
      <w:r>
        <w:rPr>
          <w:rFonts w:asciiTheme="majorEastAsia" w:hAnsiTheme="majorEastAsia" w:eastAsiaTheme="majorEastAsia"/>
          <w:bCs/>
          <w:color w:val="auto"/>
        </w:rPr>
        <w:t>供应商可在响应文件提交截止时间前，对其电子响应文件进行修改。</w:t>
      </w:r>
    </w:p>
    <w:p w14:paraId="6EB5A836">
      <w:pPr>
        <w:pStyle w:val="113"/>
        <w:rPr>
          <w:rFonts w:asciiTheme="majorEastAsia" w:hAnsiTheme="majorEastAsia" w:eastAsiaTheme="majorEastAsia"/>
          <w:bCs/>
          <w:color w:val="auto"/>
        </w:rPr>
      </w:pPr>
      <w:r>
        <w:rPr>
          <w:rFonts w:asciiTheme="majorEastAsia" w:hAnsiTheme="majorEastAsia" w:eastAsiaTheme="majorEastAsia"/>
          <w:color w:val="auto"/>
        </w:rPr>
        <w:t>4.3</w:t>
      </w:r>
      <w:r>
        <w:rPr>
          <w:rFonts w:asciiTheme="majorEastAsia" w:hAnsiTheme="majorEastAsia" w:eastAsiaTheme="majorEastAsia"/>
          <w:bCs/>
          <w:color w:val="auto"/>
        </w:rPr>
        <w:t xml:space="preserve"> 在响应文件提交截止时间之后，供应商不得对其电子响应文件作任何修改。</w:t>
      </w:r>
    </w:p>
    <w:p w14:paraId="0B7C2651">
      <w:pPr>
        <w:pStyle w:val="113"/>
        <w:rPr>
          <w:rFonts w:asciiTheme="majorEastAsia" w:hAnsiTheme="majorEastAsia" w:eastAsiaTheme="majorEastAsia"/>
          <w:bCs/>
          <w:color w:val="auto"/>
        </w:rPr>
      </w:pPr>
      <w:r>
        <w:rPr>
          <w:rFonts w:asciiTheme="majorEastAsia" w:hAnsiTheme="majorEastAsia" w:eastAsiaTheme="majorEastAsia"/>
          <w:color w:val="auto"/>
        </w:rPr>
        <w:t>4.4</w:t>
      </w:r>
      <w:r>
        <w:rPr>
          <w:rFonts w:asciiTheme="majorEastAsia" w:hAnsiTheme="majorEastAsia" w:eastAsiaTheme="majorEastAsia"/>
          <w:bCs/>
          <w:color w:val="auto"/>
        </w:rPr>
        <w:t xml:space="preserve"> 在响应文件截止时间至响应文件中规定的磋商响应有效期满之间的这段时间内，供应商不得撤回其响应文件。</w:t>
      </w:r>
    </w:p>
    <w:p w14:paraId="619995E3">
      <w:pPr>
        <w:pStyle w:val="111"/>
        <w:rPr>
          <w:rFonts w:asciiTheme="majorEastAsia" w:hAnsiTheme="majorEastAsia" w:eastAsiaTheme="majorEastAsia"/>
          <w:bCs/>
          <w:color w:val="auto"/>
        </w:rPr>
      </w:pPr>
      <w:bookmarkStart w:id="125" w:name="_Toc120614218"/>
      <w:bookmarkStart w:id="126" w:name="_Toc16938545"/>
      <w:bookmarkStart w:id="127" w:name="_Toc20823301"/>
      <w:bookmarkStart w:id="128" w:name="_Toc513029229"/>
      <w:r>
        <w:rPr>
          <w:rFonts w:asciiTheme="majorEastAsia" w:hAnsiTheme="majorEastAsia" w:eastAsiaTheme="majorEastAsia"/>
          <w:bCs/>
          <w:color w:val="auto"/>
        </w:rPr>
        <w:t>（五）</w:t>
      </w:r>
      <w:bookmarkEnd w:id="125"/>
      <w:bookmarkEnd w:id="126"/>
      <w:bookmarkEnd w:id="127"/>
      <w:bookmarkEnd w:id="128"/>
      <w:bookmarkStart w:id="129" w:name="_Toc16938546"/>
      <w:bookmarkStart w:id="130" w:name="_Toc20823302"/>
      <w:bookmarkStart w:id="131" w:name="_Toc513029230"/>
      <w:r>
        <w:rPr>
          <w:rFonts w:asciiTheme="majorEastAsia" w:hAnsiTheme="majorEastAsia" w:eastAsiaTheme="majorEastAsia"/>
          <w:bCs/>
          <w:color w:val="auto"/>
        </w:rPr>
        <w:t>磋商与评审</w:t>
      </w:r>
    </w:p>
    <w:p w14:paraId="3478FDE8">
      <w:pPr>
        <w:pStyle w:val="111"/>
        <w:rPr>
          <w:rFonts w:asciiTheme="majorEastAsia" w:hAnsiTheme="majorEastAsia" w:eastAsiaTheme="majorEastAsia"/>
          <w:bCs/>
          <w:color w:val="auto"/>
        </w:rPr>
      </w:pPr>
      <w:r>
        <w:rPr>
          <w:rFonts w:asciiTheme="majorEastAsia" w:hAnsiTheme="majorEastAsia" w:eastAsiaTheme="majorEastAsia"/>
          <w:bCs/>
          <w:color w:val="auto"/>
        </w:rPr>
        <w:t>1.磋商仪式</w:t>
      </w:r>
    </w:p>
    <w:p w14:paraId="5942B89D">
      <w:pPr>
        <w:pStyle w:val="113"/>
        <w:rPr>
          <w:rFonts w:asciiTheme="majorEastAsia" w:hAnsiTheme="majorEastAsia" w:eastAsiaTheme="majorEastAsia"/>
          <w:color w:val="auto"/>
          <w:lang w:val="zh-CN"/>
        </w:rPr>
      </w:pPr>
      <w:r>
        <w:rPr>
          <w:rFonts w:asciiTheme="majorEastAsia" w:hAnsiTheme="majorEastAsia" w:eastAsiaTheme="majorEastAsia"/>
          <w:color w:val="auto"/>
          <w:lang w:val="zh-CN"/>
        </w:rPr>
        <w:t>1.</w:t>
      </w:r>
      <w:r>
        <w:rPr>
          <w:rFonts w:hint="eastAsia" w:asciiTheme="majorEastAsia" w:hAnsiTheme="majorEastAsia" w:eastAsiaTheme="majorEastAsia"/>
          <w:color w:val="auto"/>
          <w:lang w:val="zh-CN"/>
        </w:rPr>
        <w:t>1下载招标文件：自本公告发布之日起即可下载本磋商文件。</w:t>
      </w:r>
    </w:p>
    <w:p w14:paraId="46239ED8">
      <w:pPr>
        <w:pStyle w:val="111"/>
        <w:rPr>
          <w:rFonts w:asciiTheme="majorEastAsia" w:hAnsiTheme="majorEastAsia" w:eastAsiaTheme="majorEastAsia"/>
          <w:color w:val="auto"/>
        </w:rPr>
      </w:pPr>
      <w:r>
        <w:rPr>
          <w:rFonts w:asciiTheme="majorEastAsia" w:hAnsiTheme="majorEastAsia" w:eastAsiaTheme="majorEastAsia"/>
          <w:color w:val="auto"/>
        </w:rPr>
        <w:t>2.磋商小组</w:t>
      </w:r>
    </w:p>
    <w:p w14:paraId="2E930BA7">
      <w:pPr>
        <w:pStyle w:val="113"/>
        <w:rPr>
          <w:rFonts w:asciiTheme="majorEastAsia" w:hAnsiTheme="majorEastAsia" w:eastAsiaTheme="majorEastAsia"/>
          <w:color w:val="auto"/>
        </w:rPr>
      </w:pPr>
      <w:r>
        <w:rPr>
          <w:rFonts w:asciiTheme="majorEastAsia" w:hAnsiTheme="majorEastAsia" w:eastAsiaTheme="majorEastAsia"/>
          <w:color w:val="auto"/>
        </w:rPr>
        <w:t>2.1磋商开始仪式结束后，</w:t>
      </w:r>
      <w:r>
        <w:rPr>
          <w:rFonts w:hint="eastAsia" w:asciiTheme="majorEastAsia" w:hAnsiTheme="majorEastAsia" w:eastAsiaTheme="majorEastAsia"/>
          <w:color w:val="auto"/>
        </w:rPr>
        <w:t>采购人</w:t>
      </w:r>
      <w:r>
        <w:rPr>
          <w:rFonts w:asciiTheme="majorEastAsia" w:hAnsiTheme="majorEastAsia" w:eastAsiaTheme="majorEastAsia"/>
          <w:color w:val="auto"/>
        </w:rPr>
        <w:t>将立即组织磋商小组进行评审。</w:t>
      </w:r>
    </w:p>
    <w:p w14:paraId="41DA2594">
      <w:pPr>
        <w:pStyle w:val="113"/>
        <w:rPr>
          <w:rFonts w:asciiTheme="majorEastAsia" w:hAnsiTheme="majorEastAsia" w:eastAsiaTheme="majorEastAsia"/>
          <w:color w:val="auto"/>
        </w:rPr>
      </w:pPr>
      <w:r>
        <w:rPr>
          <w:rFonts w:asciiTheme="majorEastAsia" w:hAnsiTheme="majorEastAsia" w:eastAsiaTheme="majorEastAsia"/>
          <w:color w:val="auto"/>
        </w:rPr>
        <w:t>2.2磋商小组由采购人代表和评审专家共</w:t>
      </w:r>
      <w:r>
        <w:rPr>
          <w:rFonts w:asciiTheme="majorEastAsia" w:hAnsiTheme="majorEastAsia" w:eastAsiaTheme="majorEastAsia"/>
          <w:b/>
          <w:bCs/>
          <w:color w:val="auto"/>
        </w:rPr>
        <w:t>3人以上单数组成</w:t>
      </w:r>
      <w:r>
        <w:rPr>
          <w:rFonts w:asciiTheme="majorEastAsia" w:hAnsiTheme="majorEastAsia" w:eastAsiaTheme="majorEastAsia"/>
          <w:color w:val="auto"/>
        </w:rPr>
        <w:t>，其中评审专家人数不得少于磋商小组成员总数的2/3。采购人不得以评审专家身份参加本部门或本单位采购项目的评审。本中心人员不得参加本机构代理的采购项目的评审。</w:t>
      </w:r>
    </w:p>
    <w:p w14:paraId="576E9CF5">
      <w:pPr>
        <w:pStyle w:val="113"/>
        <w:rPr>
          <w:rFonts w:asciiTheme="majorEastAsia" w:hAnsiTheme="majorEastAsia" w:eastAsiaTheme="majorEastAsia"/>
          <w:color w:val="auto"/>
        </w:rPr>
      </w:pPr>
      <w:r>
        <w:rPr>
          <w:rFonts w:asciiTheme="majorEastAsia" w:hAnsiTheme="majorEastAsia" w:eastAsiaTheme="majorEastAsia"/>
          <w:color w:val="auto"/>
        </w:rPr>
        <w:t>2.3超过公开招标限额标准的项目，磋商小组应当由5人以上单数组成。</w:t>
      </w:r>
    </w:p>
    <w:p w14:paraId="5B3E64D7">
      <w:pPr>
        <w:pStyle w:val="113"/>
        <w:rPr>
          <w:rFonts w:asciiTheme="majorEastAsia" w:hAnsiTheme="majorEastAsia" w:eastAsiaTheme="majorEastAsia"/>
          <w:color w:val="auto"/>
        </w:rPr>
      </w:pPr>
      <w:r>
        <w:rPr>
          <w:rFonts w:asciiTheme="majorEastAsia" w:hAnsiTheme="majorEastAsia" w:eastAsiaTheme="majorEastAsia"/>
          <w:color w:val="auto"/>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0A69653F">
      <w:pPr>
        <w:pStyle w:val="113"/>
        <w:rPr>
          <w:rFonts w:asciiTheme="majorEastAsia" w:hAnsiTheme="majorEastAsia" w:eastAsiaTheme="majorEastAsia"/>
          <w:color w:val="auto"/>
        </w:rPr>
      </w:pPr>
      <w:r>
        <w:rPr>
          <w:rFonts w:asciiTheme="majorEastAsia" w:hAnsiTheme="majorEastAsia" w:eastAsiaTheme="majorEastAsia"/>
          <w:color w:val="auto"/>
        </w:rPr>
        <w:t>2.5磋商小组独立工作，负责评审所有响应文件并确定成交侯选人。</w:t>
      </w:r>
    </w:p>
    <w:p w14:paraId="2CF0B1DD">
      <w:pPr>
        <w:pStyle w:val="111"/>
        <w:rPr>
          <w:rFonts w:asciiTheme="majorEastAsia" w:hAnsiTheme="majorEastAsia" w:eastAsiaTheme="majorEastAsia"/>
          <w:color w:val="auto"/>
        </w:rPr>
      </w:pPr>
      <w:r>
        <w:rPr>
          <w:rFonts w:asciiTheme="majorEastAsia" w:hAnsiTheme="majorEastAsia" w:eastAsiaTheme="majorEastAsia"/>
          <w:color w:val="auto"/>
        </w:rPr>
        <w:t>3. 磋商评审过程的保密与公正</w:t>
      </w:r>
    </w:p>
    <w:p w14:paraId="18FF824E">
      <w:pPr>
        <w:pStyle w:val="113"/>
        <w:rPr>
          <w:rFonts w:asciiTheme="majorEastAsia" w:hAnsiTheme="majorEastAsia" w:eastAsiaTheme="majorEastAsia"/>
          <w:color w:val="auto"/>
        </w:rPr>
      </w:pPr>
      <w:r>
        <w:rPr>
          <w:rFonts w:asciiTheme="majorEastAsia" w:hAnsiTheme="majorEastAsia" w:eastAsiaTheme="majorEastAsia"/>
          <w:color w:val="auto"/>
        </w:rPr>
        <w:t>3.1磋商小组、采购人和工作人员、相关监督人员等与评审工作有关的人员，对评审情况以及在评审过程中获悉的国家秘密、商业秘密负有保密责任。</w:t>
      </w:r>
    </w:p>
    <w:p w14:paraId="70BDAC62">
      <w:pPr>
        <w:pStyle w:val="113"/>
        <w:rPr>
          <w:rFonts w:asciiTheme="majorEastAsia" w:hAnsiTheme="majorEastAsia" w:eastAsiaTheme="majorEastAsia"/>
          <w:color w:val="auto"/>
        </w:rPr>
      </w:pPr>
      <w:r>
        <w:rPr>
          <w:rFonts w:asciiTheme="majorEastAsia" w:hAnsiTheme="majorEastAsia" w:eastAsiaTheme="majorEastAsia"/>
          <w:color w:val="auto"/>
        </w:rPr>
        <w:t>3.2在磋商评审过程中，磋商供应商不得以任何行为影响磋商评审过程，否则其响应文件将被作为无效响应文件。</w:t>
      </w:r>
    </w:p>
    <w:p w14:paraId="6BDD69D5">
      <w:pPr>
        <w:pStyle w:val="113"/>
        <w:rPr>
          <w:rFonts w:asciiTheme="majorEastAsia" w:hAnsiTheme="majorEastAsia" w:eastAsiaTheme="majorEastAsia"/>
          <w:color w:val="auto"/>
        </w:rPr>
      </w:pPr>
      <w:r>
        <w:rPr>
          <w:rFonts w:asciiTheme="majorEastAsia" w:hAnsiTheme="majorEastAsia" w:eastAsiaTheme="majorEastAsia"/>
          <w:color w:val="auto"/>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09004AF">
      <w:pPr>
        <w:pStyle w:val="113"/>
        <w:rPr>
          <w:rFonts w:asciiTheme="majorEastAsia" w:hAnsiTheme="majorEastAsia" w:eastAsiaTheme="majorEastAsia"/>
          <w:bCs/>
          <w:color w:val="auto"/>
        </w:rPr>
      </w:pPr>
      <w:r>
        <w:rPr>
          <w:rFonts w:asciiTheme="majorEastAsia" w:hAnsiTheme="majorEastAsia" w:eastAsiaTheme="majorEastAsia"/>
          <w:color w:val="auto"/>
        </w:rPr>
        <w:t>3.4</w:t>
      </w:r>
      <w:r>
        <w:rPr>
          <w:rFonts w:asciiTheme="majorEastAsia" w:hAnsiTheme="majorEastAsia" w:eastAsiaTheme="majorEastAsia"/>
          <w:bCs/>
          <w:color w:val="auto"/>
        </w:rPr>
        <w:t>评审开始后，直至向成交供应商授予合同时止，凡是与审查、澄清、评价和比较响应的有关资料以及授标建议等，采购人、磋商小组均不得向供应商或与评标无关的其他人员透露。</w:t>
      </w:r>
    </w:p>
    <w:p w14:paraId="5D1FFAA4">
      <w:pPr>
        <w:pStyle w:val="113"/>
        <w:rPr>
          <w:rFonts w:asciiTheme="majorEastAsia" w:hAnsiTheme="majorEastAsia" w:eastAsiaTheme="majorEastAsia"/>
          <w:color w:val="auto"/>
        </w:rPr>
      </w:pPr>
      <w:r>
        <w:rPr>
          <w:rFonts w:asciiTheme="majorEastAsia" w:hAnsiTheme="majorEastAsia" w:eastAsiaTheme="majorEastAsia"/>
          <w:color w:val="auto"/>
        </w:rPr>
        <w:t>3.5在评审期间，</w:t>
      </w:r>
      <w:r>
        <w:rPr>
          <w:rFonts w:hint="eastAsia" w:asciiTheme="majorEastAsia" w:hAnsiTheme="majorEastAsia" w:eastAsiaTheme="majorEastAsia"/>
          <w:color w:val="auto"/>
        </w:rPr>
        <w:t>采购人</w:t>
      </w:r>
      <w:r>
        <w:rPr>
          <w:rFonts w:asciiTheme="majorEastAsia" w:hAnsiTheme="majorEastAsia" w:eastAsiaTheme="majorEastAsia"/>
          <w:color w:val="auto"/>
        </w:rPr>
        <w:t>将设专门人员与供应商联系。</w:t>
      </w:r>
    </w:p>
    <w:p w14:paraId="3AD9DB37">
      <w:pPr>
        <w:pStyle w:val="113"/>
        <w:rPr>
          <w:rFonts w:asciiTheme="majorEastAsia" w:hAnsiTheme="majorEastAsia" w:eastAsiaTheme="majorEastAsia"/>
          <w:color w:val="auto"/>
        </w:rPr>
      </w:pPr>
      <w:r>
        <w:rPr>
          <w:rFonts w:asciiTheme="majorEastAsia" w:hAnsiTheme="majorEastAsia" w:eastAsiaTheme="majorEastAsia"/>
          <w:color w:val="auto"/>
        </w:rPr>
        <w:t>3.6</w:t>
      </w:r>
      <w:r>
        <w:rPr>
          <w:rFonts w:hint="eastAsia" w:asciiTheme="majorEastAsia" w:hAnsiTheme="majorEastAsia" w:eastAsiaTheme="majorEastAsia"/>
          <w:color w:val="auto"/>
        </w:rPr>
        <w:t>采购人</w:t>
      </w:r>
      <w:r>
        <w:rPr>
          <w:rFonts w:asciiTheme="majorEastAsia" w:hAnsiTheme="majorEastAsia" w:eastAsiaTheme="majorEastAsia"/>
          <w:color w:val="auto"/>
        </w:rPr>
        <w:t>和评审小组不向未成交的供应商解释未成交原因，也不公布评审过程中的相关细节。</w:t>
      </w:r>
    </w:p>
    <w:p w14:paraId="5BDE2557">
      <w:pPr>
        <w:pStyle w:val="111"/>
        <w:rPr>
          <w:rFonts w:asciiTheme="majorEastAsia" w:hAnsiTheme="majorEastAsia" w:eastAsiaTheme="majorEastAsia"/>
          <w:color w:val="auto"/>
        </w:rPr>
      </w:pPr>
      <w:r>
        <w:rPr>
          <w:rFonts w:asciiTheme="majorEastAsia" w:hAnsiTheme="majorEastAsia" w:eastAsiaTheme="majorEastAsia"/>
          <w:color w:val="auto"/>
        </w:rPr>
        <w:t>4、评审过程的澄清</w:t>
      </w:r>
    </w:p>
    <w:p w14:paraId="52D47531">
      <w:pPr>
        <w:pStyle w:val="113"/>
        <w:rPr>
          <w:rFonts w:asciiTheme="majorEastAsia" w:hAnsiTheme="majorEastAsia" w:eastAsiaTheme="majorEastAsia"/>
          <w:color w:val="auto"/>
        </w:rPr>
      </w:pPr>
      <w:r>
        <w:rPr>
          <w:rFonts w:asciiTheme="majorEastAsia" w:hAnsiTheme="majorEastAsia" w:eastAsiaTheme="majorEastAsia"/>
          <w:color w:val="auto"/>
        </w:rPr>
        <w:t>4.1评审期间，为有助于对响应文件的审查、评价和比较，磋商小组有权以电子函件形式要求响应人对其响应文件进行澄清，但并非对每个供应商都作澄清要求。</w:t>
      </w:r>
    </w:p>
    <w:p w14:paraId="419B61E9">
      <w:pPr>
        <w:pStyle w:val="113"/>
        <w:rPr>
          <w:rFonts w:asciiTheme="majorEastAsia" w:hAnsiTheme="majorEastAsia" w:eastAsiaTheme="majorEastAsia"/>
          <w:color w:val="auto"/>
        </w:rPr>
      </w:pPr>
      <w:r>
        <w:rPr>
          <w:rFonts w:asciiTheme="majorEastAsia" w:hAnsiTheme="majorEastAsia" w:eastAsiaTheme="majorEastAsia"/>
          <w:color w:val="auto"/>
        </w:rPr>
        <w:t>4.2接到磋商小组澄清要求的供应商应派人按磋商小组规定的时间和格式在</w:t>
      </w:r>
      <w:r>
        <w:rPr>
          <w:rFonts w:asciiTheme="majorEastAsia" w:hAnsiTheme="majorEastAsia" w:eastAsiaTheme="majorEastAsia"/>
          <w:b/>
          <w:bCs/>
          <w:color w:val="auto"/>
        </w:rPr>
        <w:t>“</w:t>
      </w:r>
      <w:r>
        <w:rPr>
          <w:rFonts w:hint="eastAsia" w:asciiTheme="majorEastAsia" w:hAnsiTheme="majorEastAsia" w:eastAsiaTheme="majorEastAsia"/>
          <w:b/>
          <w:bCs/>
          <w:color w:val="auto"/>
        </w:rPr>
        <w:t>磋商文件中规定的Q</w:t>
      </w:r>
      <w:r>
        <w:rPr>
          <w:rFonts w:asciiTheme="majorEastAsia" w:hAnsiTheme="majorEastAsia" w:eastAsiaTheme="majorEastAsia"/>
          <w:b/>
          <w:bCs/>
          <w:color w:val="auto"/>
        </w:rPr>
        <w:t>Q</w:t>
      </w:r>
      <w:r>
        <w:rPr>
          <w:rFonts w:hint="eastAsia" w:asciiTheme="majorEastAsia" w:hAnsiTheme="majorEastAsia" w:eastAsiaTheme="majorEastAsia"/>
          <w:b/>
          <w:bCs/>
          <w:color w:val="auto"/>
        </w:rPr>
        <w:t>邮箱</w:t>
      </w:r>
      <w:r>
        <w:rPr>
          <w:rFonts w:asciiTheme="majorEastAsia" w:hAnsiTheme="majorEastAsia" w:eastAsiaTheme="majorEastAsia"/>
          <w:b/>
          <w:bCs/>
          <w:color w:val="auto"/>
        </w:rPr>
        <w:t>”</w:t>
      </w:r>
      <w:r>
        <w:rPr>
          <w:rFonts w:asciiTheme="majorEastAsia" w:hAnsiTheme="majorEastAsia" w:eastAsiaTheme="majorEastAsia"/>
          <w:color w:val="auto"/>
        </w:rPr>
        <w:t>中做出澄清，澄清的内容作为响应文件的补充部分，但实质性的内容不得做任何更改。</w:t>
      </w:r>
    </w:p>
    <w:p w14:paraId="501B1ED8">
      <w:pPr>
        <w:pStyle w:val="113"/>
        <w:rPr>
          <w:rFonts w:asciiTheme="majorEastAsia" w:hAnsiTheme="majorEastAsia" w:eastAsiaTheme="majorEastAsia"/>
          <w:bCs/>
          <w:color w:val="auto"/>
        </w:rPr>
      </w:pPr>
      <w:r>
        <w:rPr>
          <w:rFonts w:asciiTheme="majorEastAsia" w:hAnsiTheme="majorEastAsia" w:eastAsiaTheme="majorEastAsia"/>
          <w:color w:val="auto"/>
        </w:rPr>
        <w:t>4.3 接到磋商小组澄清要求的供应商如未按规定做出澄清，其风</w:t>
      </w:r>
      <w:r>
        <w:rPr>
          <w:rFonts w:asciiTheme="majorEastAsia" w:hAnsiTheme="majorEastAsia" w:eastAsiaTheme="majorEastAsia"/>
          <w:bCs/>
          <w:color w:val="auto"/>
        </w:rPr>
        <w:t>险由供应商自行承担。</w:t>
      </w:r>
    </w:p>
    <w:p w14:paraId="1CCE46B7">
      <w:pPr>
        <w:pStyle w:val="111"/>
        <w:rPr>
          <w:rFonts w:asciiTheme="majorEastAsia" w:hAnsiTheme="majorEastAsia" w:eastAsiaTheme="majorEastAsia"/>
          <w:bCs/>
          <w:color w:val="auto"/>
        </w:rPr>
      </w:pPr>
      <w:r>
        <w:rPr>
          <w:rFonts w:asciiTheme="majorEastAsia" w:hAnsiTheme="majorEastAsia" w:eastAsiaTheme="majorEastAsia"/>
          <w:bCs/>
          <w:color w:val="auto"/>
        </w:rPr>
        <w:t>5.对响应文件的初审</w:t>
      </w:r>
    </w:p>
    <w:p w14:paraId="2573B407">
      <w:pPr>
        <w:pStyle w:val="113"/>
        <w:rPr>
          <w:rFonts w:asciiTheme="majorEastAsia" w:hAnsiTheme="majorEastAsia" w:eastAsiaTheme="majorEastAsia"/>
          <w:color w:val="auto"/>
        </w:rPr>
      </w:pPr>
      <w:r>
        <w:rPr>
          <w:rFonts w:asciiTheme="majorEastAsia" w:hAnsiTheme="majorEastAsia" w:eastAsiaTheme="majorEastAsia"/>
          <w:color w:val="auto"/>
        </w:rPr>
        <w:t>5.1响应文件初审分为资格性审查和符合性审查。</w:t>
      </w:r>
    </w:p>
    <w:p w14:paraId="512DC15B">
      <w:pPr>
        <w:pStyle w:val="113"/>
        <w:rPr>
          <w:rFonts w:asciiTheme="majorEastAsia" w:hAnsiTheme="majorEastAsia" w:eastAsiaTheme="majorEastAsia"/>
          <w:color w:val="auto"/>
        </w:rPr>
      </w:pPr>
      <w:r>
        <w:rPr>
          <w:rFonts w:asciiTheme="majorEastAsia" w:hAnsiTheme="majorEastAsia" w:eastAsiaTheme="majorEastAsia"/>
          <w:color w:val="auto"/>
        </w:rPr>
        <w:t>5.1.1资格性检查：依据法律法规和磋商文件的规定，由采购人对响应文件中的资格审查证明材料进行审查，资格审查的结论，采购人以书面形式向磋商小组进行反馈。</w:t>
      </w:r>
    </w:p>
    <w:p w14:paraId="4BF409FB">
      <w:pPr>
        <w:pStyle w:val="113"/>
        <w:rPr>
          <w:rFonts w:asciiTheme="majorEastAsia" w:hAnsiTheme="majorEastAsia" w:eastAsiaTheme="majorEastAsia"/>
          <w:color w:val="auto"/>
        </w:rPr>
      </w:pPr>
      <w:r>
        <w:rPr>
          <w:rFonts w:asciiTheme="majorEastAsia" w:hAnsiTheme="majorEastAsia" w:eastAsiaTheme="majorEastAsia"/>
          <w:color w:val="auto"/>
        </w:rPr>
        <w:t>5.1.2符合性审查：依据磋商文件的规定，由磋商小组从响应文件的有效性、完整性和对磋商文件的响应程度进行审查，以确定是否对磋商文件的实质性要求作出响应。</w:t>
      </w:r>
    </w:p>
    <w:p w14:paraId="3C8188BB">
      <w:pPr>
        <w:pStyle w:val="113"/>
        <w:rPr>
          <w:rFonts w:asciiTheme="majorEastAsia" w:hAnsiTheme="majorEastAsia" w:eastAsiaTheme="majorEastAsia"/>
          <w:color w:val="auto"/>
        </w:rPr>
      </w:pPr>
      <w:r>
        <w:rPr>
          <w:rFonts w:asciiTheme="majorEastAsia" w:hAnsiTheme="majorEastAsia" w:eastAsiaTheme="majorEastAsia"/>
          <w:color w:val="auto"/>
        </w:rPr>
        <w:t>5.1.3未通过资格审查或符合性审查的供应商人，</w:t>
      </w:r>
      <w:r>
        <w:rPr>
          <w:rFonts w:hint="eastAsia" w:asciiTheme="majorEastAsia" w:hAnsiTheme="majorEastAsia" w:eastAsiaTheme="majorEastAsia"/>
          <w:color w:val="auto"/>
        </w:rPr>
        <w:t>采购人</w:t>
      </w:r>
      <w:r>
        <w:rPr>
          <w:rFonts w:asciiTheme="majorEastAsia" w:hAnsiTheme="majorEastAsia" w:eastAsiaTheme="majorEastAsia"/>
          <w:color w:val="auto"/>
        </w:rPr>
        <w:t>将在“</w:t>
      </w:r>
      <w:r>
        <w:rPr>
          <w:rFonts w:hint="eastAsia" w:asciiTheme="majorEastAsia" w:hAnsiTheme="majorEastAsia" w:eastAsiaTheme="majorEastAsia"/>
          <w:b/>
          <w:bCs/>
          <w:color w:val="auto"/>
        </w:rPr>
        <w:t>南通城建不见面开标群</w:t>
      </w:r>
      <w:r>
        <w:rPr>
          <w:rFonts w:asciiTheme="majorEastAsia" w:hAnsiTheme="majorEastAsia" w:eastAsiaTheme="majorEastAsia"/>
          <w:color w:val="auto"/>
        </w:rPr>
        <w:t>”中告知未通过资格审查或符合性审查的原因，评审结束后，</w:t>
      </w:r>
      <w:r>
        <w:rPr>
          <w:rFonts w:hint="eastAsia" w:asciiTheme="majorEastAsia" w:hAnsiTheme="majorEastAsia" w:eastAsiaTheme="majorEastAsia"/>
          <w:color w:val="auto"/>
        </w:rPr>
        <w:t>采购人</w:t>
      </w:r>
      <w:r>
        <w:rPr>
          <w:rFonts w:asciiTheme="majorEastAsia" w:hAnsiTheme="majorEastAsia" w:eastAsiaTheme="majorEastAsia"/>
          <w:color w:val="auto"/>
        </w:rPr>
        <w:t>将不再告知未通过资格审查或符合性审查的原因。</w:t>
      </w:r>
    </w:p>
    <w:p w14:paraId="77E09449">
      <w:pPr>
        <w:pStyle w:val="113"/>
        <w:rPr>
          <w:rFonts w:asciiTheme="majorEastAsia" w:hAnsiTheme="majorEastAsia" w:eastAsiaTheme="majorEastAsia"/>
          <w:color w:val="auto"/>
        </w:rPr>
      </w:pPr>
      <w:r>
        <w:rPr>
          <w:rFonts w:asciiTheme="majorEastAsia" w:hAnsiTheme="majorEastAsia" w:eastAsiaTheme="majorEastAsia"/>
          <w:color w:val="auto"/>
        </w:rPr>
        <w:t>5.2在正式磋商之前，磋商小组将首先审查每份响应文件是否实质性响应了磋商文件的要求。实质性响应的响应文件应该是与磋商文件要求的全部条款、条件和规格相符，没有重大负偏离或保留。</w:t>
      </w:r>
    </w:p>
    <w:p w14:paraId="5C8F8ABC">
      <w:pPr>
        <w:pStyle w:val="113"/>
        <w:rPr>
          <w:rFonts w:asciiTheme="majorEastAsia" w:hAnsiTheme="majorEastAsia" w:eastAsiaTheme="majorEastAsia"/>
          <w:color w:val="auto"/>
        </w:rPr>
      </w:pPr>
      <w:r>
        <w:rPr>
          <w:rFonts w:asciiTheme="majorEastAsia" w:hAnsiTheme="majorEastAsia" w:eastAsiaTheme="majorEastAsia"/>
          <w:color w:val="auto"/>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CDA079B">
      <w:pPr>
        <w:pStyle w:val="113"/>
        <w:rPr>
          <w:rFonts w:asciiTheme="majorEastAsia" w:hAnsiTheme="majorEastAsia" w:eastAsiaTheme="majorEastAsia"/>
          <w:color w:val="auto"/>
        </w:rPr>
      </w:pPr>
      <w:r>
        <w:rPr>
          <w:rFonts w:asciiTheme="majorEastAsia" w:hAnsiTheme="majorEastAsia" w:eastAsiaTheme="majorEastAsia"/>
          <w:color w:val="auto"/>
        </w:rPr>
        <w:t>5.3如果响应文件实质上没有响应磋商文件的要求，磋商小组将予以拒绝，供应商不得通过修改或撤销不合要求的偏离或保留而使其响应文件成为实质性响应的文件。</w:t>
      </w:r>
    </w:p>
    <w:p w14:paraId="7E5F4376">
      <w:pPr>
        <w:pStyle w:val="113"/>
        <w:rPr>
          <w:rFonts w:asciiTheme="majorEastAsia" w:hAnsiTheme="majorEastAsia" w:eastAsiaTheme="majorEastAsia"/>
          <w:color w:val="auto"/>
        </w:rPr>
      </w:pPr>
      <w:r>
        <w:rPr>
          <w:rFonts w:asciiTheme="majorEastAsia" w:hAnsiTheme="majorEastAsia" w:eastAsiaTheme="majorEastAsia"/>
          <w:color w:val="auto"/>
        </w:rPr>
        <w:t>5.4磋商小组将对确定为实质性响应的文件进行进一步审核，看其是否有计算上或累加上的算术错误，修正错误的原则如下：</w:t>
      </w:r>
    </w:p>
    <w:p w14:paraId="3AF64E7A">
      <w:pPr>
        <w:pStyle w:val="113"/>
        <w:rPr>
          <w:rFonts w:asciiTheme="majorEastAsia" w:hAnsiTheme="majorEastAsia" w:eastAsiaTheme="majorEastAsia"/>
          <w:color w:val="auto"/>
        </w:rPr>
      </w:pPr>
      <w:r>
        <w:rPr>
          <w:rFonts w:asciiTheme="majorEastAsia" w:hAnsiTheme="majorEastAsia" w:eastAsiaTheme="majorEastAsia"/>
          <w:color w:val="auto"/>
        </w:rPr>
        <w:t>（1）响应文件中报价总表内容与响应文件中相应内容不一致的，以报价总表为准。</w:t>
      </w:r>
    </w:p>
    <w:p w14:paraId="75855189">
      <w:pPr>
        <w:pStyle w:val="113"/>
        <w:rPr>
          <w:rFonts w:asciiTheme="majorEastAsia" w:hAnsiTheme="majorEastAsia" w:eastAsiaTheme="majorEastAsia"/>
          <w:color w:val="auto"/>
        </w:rPr>
      </w:pPr>
      <w:r>
        <w:rPr>
          <w:rFonts w:asciiTheme="majorEastAsia" w:hAnsiTheme="majorEastAsia" w:eastAsiaTheme="majorEastAsia"/>
          <w:color w:val="auto"/>
        </w:rPr>
        <w:t>（2）大写金额和小写金额不一致的，以大写金额为准。</w:t>
      </w:r>
    </w:p>
    <w:p w14:paraId="4AB283D6">
      <w:pPr>
        <w:pStyle w:val="113"/>
        <w:rPr>
          <w:rFonts w:asciiTheme="majorEastAsia" w:hAnsiTheme="majorEastAsia" w:eastAsiaTheme="majorEastAsia"/>
          <w:color w:val="auto"/>
        </w:rPr>
      </w:pPr>
      <w:r>
        <w:rPr>
          <w:rFonts w:asciiTheme="majorEastAsia" w:hAnsiTheme="majorEastAsia" w:eastAsiaTheme="majorEastAsia"/>
          <w:color w:val="auto"/>
        </w:rPr>
        <w:t>（3）单价金额小数点或者百分比有明显错位的，以报价总表的总价为准，并修改单价。</w:t>
      </w:r>
    </w:p>
    <w:p w14:paraId="00606919">
      <w:pPr>
        <w:pStyle w:val="113"/>
        <w:rPr>
          <w:rFonts w:asciiTheme="majorEastAsia" w:hAnsiTheme="majorEastAsia" w:eastAsiaTheme="majorEastAsia"/>
          <w:color w:val="auto"/>
        </w:rPr>
      </w:pPr>
      <w:r>
        <w:rPr>
          <w:rFonts w:asciiTheme="majorEastAsia" w:hAnsiTheme="majorEastAsia" w:eastAsiaTheme="majorEastAsia"/>
          <w:color w:val="auto"/>
        </w:rPr>
        <w:t>（4）总价金额与按单价汇总金额不一致的，以单价金额计算结果为准。</w:t>
      </w:r>
    </w:p>
    <w:p w14:paraId="2223C008">
      <w:pPr>
        <w:pStyle w:val="113"/>
        <w:rPr>
          <w:rFonts w:asciiTheme="majorEastAsia" w:hAnsiTheme="majorEastAsia" w:eastAsiaTheme="majorEastAsia"/>
          <w:color w:val="auto"/>
        </w:rPr>
      </w:pPr>
      <w:r>
        <w:rPr>
          <w:rFonts w:asciiTheme="majorEastAsia" w:hAnsiTheme="majorEastAsia" w:eastAsiaTheme="majorEastAsia"/>
          <w:color w:val="auto"/>
        </w:rPr>
        <w:t>同时出现两种以上错误的，按照前款规定的顺序修正。</w:t>
      </w:r>
    </w:p>
    <w:p w14:paraId="275B2072">
      <w:pPr>
        <w:pStyle w:val="113"/>
        <w:rPr>
          <w:rFonts w:asciiTheme="majorEastAsia" w:hAnsiTheme="majorEastAsia" w:eastAsiaTheme="majorEastAsia"/>
          <w:color w:val="auto"/>
        </w:rPr>
      </w:pPr>
      <w:r>
        <w:rPr>
          <w:rFonts w:asciiTheme="majorEastAsia" w:hAnsiTheme="majorEastAsia" w:eastAsiaTheme="majorEastAsia"/>
          <w:color w:val="auto"/>
        </w:rPr>
        <w:t>5.5磋商小组将按上述修正错误的方法调整响应文件中的报价，并通过“</w:t>
      </w:r>
      <w:r>
        <w:rPr>
          <w:rFonts w:hint="eastAsia" w:asciiTheme="majorEastAsia" w:hAnsiTheme="majorEastAsia" w:eastAsiaTheme="majorEastAsia"/>
          <w:b/>
          <w:bCs/>
          <w:color w:val="auto"/>
        </w:rPr>
        <w:t>南通城建不见面开标群</w:t>
      </w:r>
      <w:r>
        <w:rPr>
          <w:rFonts w:asciiTheme="majorEastAsia" w:hAnsiTheme="majorEastAsia" w:eastAsiaTheme="majorEastAsia"/>
          <w:b/>
          <w:bCs/>
          <w:color w:val="auto"/>
        </w:rPr>
        <w:t>”</w:t>
      </w:r>
      <w:r>
        <w:rPr>
          <w:rFonts w:asciiTheme="majorEastAsia" w:hAnsiTheme="majorEastAsia" w:eastAsiaTheme="majorEastAsia"/>
          <w:color w:val="auto"/>
        </w:rPr>
        <w:t>告知供应商，调整后的价格应对供应商具有约束力。如果供应商不接受修正后的价格，则其磋商活动将被拒绝。</w:t>
      </w:r>
    </w:p>
    <w:p w14:paraId="346EEE30">
      <w:pPr>
        <w:pStyle w:val="113"/>
        <w:rPr>
          <w:rFonts w:asciiTheme="majorEastAsia" w:hAnsiTheme="majorEastAsia" w:eastAsiaTheme="majorEastAsia"/>
          <w:color w:val="auto"/>
        </w:rPr>
      </w:pPr>
      <w:r>
        <w:rPr>
          <w:rFonts w:asciiTheme="majorEastAsia" w:hAnsiTheme="majorEastAsia" w:eastAsiaTheme="majorEastAsia"/>
          <w:color w:val="auto"/>
        </w:rPr>
        <w:t>5.6磋商小组将允许修正响应文件中不构成重大偏离的、微小的、非正规的、不一致的或不规则的地方，但这些修改不能影响任何供应商相应的名次排列。</w:t>
      </w:r>
    </w:p>
    <w:p w14:paraId="6AF78F90">
      <w:pPr>
        <w:pStyle w:val="113"/>
        <w:rPr>
          <w:rFonts w:asciiTheme="majorEastAsia" w:hAnsiTheme="majorEastAsia" w:eastAsiaTheme="majorEastAsia"/>
          <w:color w:val="auto"/>
        </w:rPr>
      </w:pPr>
      <w:r>
        <w:rPr>
          <w:rFonts w:asciiTheme="majorEastAsia" w:hAnsiTheme="majorEastAsia" w:eastAsiaTheme="majorEastAsia"/>
          <w:color w:val="auto"/>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763FED24">
      <w:pPr>
        <w:pStyle w:val="113"/>
        <w:rPr>
          <w:rFonts w:asciiTheme="majorEastAsia" w:hAnsiTheme="majorEastAsia" w:eastAsiaTheme="majorEastAsia"/>
          <w:color w:val="auto"/>
        </w:rPr>
      </w:pPr>
      <w:r>
        <w:rPr>
          <w:rFonts w:asciiTheme="majorEastAsia" w:hAnsiTheme="majorEastAsia" w:eastAsiaTheme="majorEastAsia"/>
          <w:color w:val="auto"/>
        </w:rPr>
        <w:t>5.</w:t>
      </w:r>
      <w:r>
        <w:rPr>
          <w:rFonts w:hint="eastAsia" w:asciiTheme="majorEastAsia" w:hAnsiTheme="majorEastAsia" w:eastAsiaTheme="majorEastAsia"/>
          <w:color w:val="auto"/>
        </w:rPr>
        <w:t>8</w:t>
      </w:r>
      <w:r>
        <w:rPr>
          <w:rFonts w:asciiTheme="majorEastAsia" w:hAnsiTheme="majorEastAsia" w:eastAsiaTheme="majorEastAsia"/>
          <w:color w:val="auto"/>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25BA0BB4">
      <w:pPr>
        <w:pStyle w:val="113"/>
        <w:rPr>
          <w:rFonts w:asciiTheme="majorEastAsia" w:hAnsiTheme="majorEastAsia" w:eastAsiaTheme="majorEastAsia"/>
          <w:color w:val="auto"/>
        </w:rPr>
      </w:pPr>
      <w:r>
        <w:rPr>
          <w:rFonts w:asciiTheme="majorEastAsia" w:hAnsiTheme="majorEastAsia" w:eastAsiaTheme="majorEastAsia"/>
          <w:color w:val="auto"/>
        </w:rPr>
        <w:t>非单一产品采购项目，磋商文件中将载明其中的核心产品。多家供应商提供的核心产品品牌相同的，按前款规定处理。</w:t>
      </w:r>
    </w:p>
    <w:p w14:paraId="4A4E4A3F">
      <w:pPr>
        <w:pStyle w:val="113"/>
        <w:rPr>
          <w:rFonts w:asciiTheme="majorEastAsia" w:hAnsiTheme="majorEastAsia" w:eastAsiaTheme="majorEastAsia"/>
          <w:color w:val="auto"/>
        </w:rPr>
      </w:pPr>
      <w:r>
        <w:rPr>
          <w:rFonts w:asciiTheme="majorEastAsia" w:hAnsiTheme="majorEastAsia" w:eastAsiaTheme="majorEastAsia"/>
          <w:color w:val="auto"/>
        </w:rPr>
        <w:t>5.</w:t>
      </w:r>
      <w:r>
        <w:rPr>
          <w:rFonts w:hint="eastAsia" w:asciiTheme="majorEastAsia" w:hAnsiTheme="majorEastAsia" w:eastAsiaTheme="majorEastAsia"/>
          <w:color w:val="auto"/>
        </w:rPr>
        <w:t>9</w:t>
      </w:r>
      <w:r>
        <w:rPr>
          <w:rFonts w:asciiTheme="majorEastAsia" w:hAnsiTheme="majorEastAsia" w:eastAsiaTheme="majorEastAsia"/>
          <w:color w:val="auto"/>
        </w:rPr>
        <w:t>供应商在评审全过程中应保持通讯畅通，并安排专人与</w:t>
      </w:r>
      <w:r>
        <w:rPr>
          <w:rFonts w:hint="eastAsia" w:asciiTheme="majorEastAsia" w:hAnsiTheme="majorEastAsia" w:eastAsiaTheme="majorEastAsia"/>
          <w:color w:val="auto"/>
        </w:rPr>
        <w:t>代理机构</w:t>
      </w:r>
      <w:r>
        <w:rPr>
          <w:rFonts w:asciiTheme="majorEastAsia" w:hAnsiTheme="majorEastAsia" w:eastAsiaTheme="majorEastAsia"/>
          <w:color w:val="auto"/>
        </w:rPr>
        <w:t>及磋商小组联系。</w:t>
      </w:r>
    </w:p>
    <w:p w14:paraId="069BEBC3">
      <w:pPr>
        <w:pStyle w:val="111"/>
        <w:rPr>
          <w:rFonts w:asciiTheme="majorEastAsia" w:hAnsiTheme="majorEastAsia" w:eastAsiaTheme="majorEastAsia"/>
          <w:bCs/>
          <w:color w:val="auto"/>
        </w:rPr>
      </w:pPr>
      <w:r>
        <w:rPr>
          <w:rFonts w:asciiTheme="majorEastAsia" w:hAnsiTheme="majorEastAsia" w:eastAsiaTheme="majorEastAsia"/>
          <w:bCs/>
          <w:color w:val="auto"/>
        </w:rPr>
        <w:t>6. 被认定为未实质性响应磋商文件的响应文件的情形。</w:t>
      </w:r>
    </w:p>
    <w:p w14:paraId="04702CDF">
      <w:pPr>
        <w:pStyle w:val="113"/>
        <w:rPr>
          <w:rFonts w:asciiTheme="majorEastAsia" w:hAnsiTheme="majorEastAsia" w:eastAsiaTheme="majorEastAsia"/>
          <w:color w:val="auto"/>
        </w:rPr>
      </w:pPr>
      <w:r>
        <w:rPr>
          <w:rFonts w:asciiTheme="majorEastAsia" w:hAnsiTheme="majorEastAsia" w:eastAsiaTheme="majorEastAsia"/>
          <w:color w:val="auto"/>
        </w:rPr>
        <w:t>6.1出现下列情形之一的，作无效响应处理。</w:t>
      </w:r>
      <w:r>
        <w:rPr>
          <w:rFonts w:asciiTheme="majorEastAsia" w:hAnsiTheme="majorEastAsia" w:eastAsiaTheme="majorEastAsia"/>
          <w:color w:val="auto"/>
        </w:rPr>
        <w:tab/>
      </w:r>
      <w:r>
        <w:rPr>
          <w:rFonts w:asciiTheme="majorEastAsia" w:hAnsiTheme="majorEastAsia" w:eastAsiaTheme="majorEastAsia"/>
          <w:color w:val="auto"/>
        </w:rPr>
        <w:tab/>
      </w:r>
    </w:p>
    <w:p w14:paraId="118EA64C">
      <w:pPr>
        <w:pStyle w:val="113"/>
        <w:rPr>
          <w:rFonts w:asciiTheme="majorEastAsia" w:hAnsiTheme="majorEastAsia" w:eastAsiaTheme="majorEastAsia"/>
          <w:color w:val="auto"/>
        </w:rPr>
      </w:pPr>
      <w:r>
        <w:rPr>
          <w:rFonts w:asciiTheme="majorEastAsia" w:hAnsiTheme="majorEastAsia" w:eastAsiaTheme="majorEastAsia"/>
          <w:color w:val="auto"/>
        </w:rPr>
        <w:t>6.1.1供应商在</w:t>
      </w:r>
      <w:r>
        <w:rPr>
          <w:rFonts w:hint="eastAsia" w:asciiTheme="majorEastAsia" w:hAnsiTheme="majorEastAsia" w:eastAsiaTheme="majorEastAsia"/>
          <w:b/>
          <w:color w:val="auto"/>
        </w:rPr>
        <w:t>“南通城建不见面开标群”</w:t>
      </w:r>
      <w:r>
        <w:rPr>
          <w:rFonts w:asciiTheme="majorEastAsia" w:hAnsiTheme="majorEastAsia" w:eastAsiaTheme="majorEastAsia"/>
          <w:color w:val="auto"/>
        </w:rPr>
        <w:t>未成功解密电子响应文件的。</w:t>
      </w:r>
    </w:p>
    <w:p w14:paraId="5378D3C3">
      <w:pPr>
        <w:pStyle w:val="113"/>
        <w:rPr>
          <w:rFonts w:asciiTheme="majorEastAsia" w:hAnsiTheme="majorEastAsia" w:eastAsiaTheme="majorEastAsia"/>
          <w:color w:val="auto"/>
        </w:rPr>
      </w:pPr>
      <w:r>
        <w:rPr>
          <w:rFonts w:asciiTheme="majorEastAsia" w:hAnsiTheme="majorEastAsia" w:eastAsiaTheme="majorEastAsia"/>
          <w:color w:val="auto"/>
        </w:rPr>
        <w:t>6.1.2未完整上传响应文件电子文档的,或上传的文件打不开的。</w:t>
      </w:r>
    </w:p>
    <w:p w14:paraId="17466128">
      <w:pPr>
        <w:pStyle w:val="113"/>
        <w:rPr>
          <w:rFonts w:asciiTheme="majorEastAsia" w:hAnsiTheme="majorEastAsia" w:eastAsiaTheme="majorEastAsia"/>
          <w:color w:val="auto"/>
        </w:rPr>
      </w:pPr>
      <w:r>
        <w:rPr>
          <w:rFonts w:asciiTheme="majorEastAsia" w:hAnsiTheme="majorEastAsia" w:eastAsiaTheme="majorEastAsia"/>
          <w:color w:val="auto"/>
        </w:rPr>
        <w:t>6.1.3同一供应商提交两个（含两个）以上不同的响应报价的。</w:t>
      </w:r>
    </w:p>
    <w:p w14:paraId="30B6C01D">
      <w:pPr>
        <w:pStyle w:val="113"/>
        <w:rPr>
          <w:rFonts w:asciiTheme="majorEastAsia" w:hAnsiTheme="majorEastAsia" w:eastAsiaTheme="majorEastAsia"/>
          <w:color w:val="auto"/>
        </w:rPr>
      </w:pPr>
      <w:r>
        <w:rPr>
          <w:rFonts w:asciiTheme="majorEastAsia" w:hAnsiTheme="majorEastAsia" w:eastAsiaTheme="majorEastAsia"/>
          <w:color w:val="auto"/>
        </w:rPr>
        <w:t xml:space="preserve">6.1.4不具备磋商文件中规定的资格要求的。 </w:t>
      </w:r>
    </w:p>
    <w:p w14:paraId="024C78E5">
      <w:pPr>
        <w:pStyle w:val="113"/>
        <w:rPr>
          <w:rFonts w:asciiTheme="majorEastAsia" w:hAnsiTheme="majorEastAsia" w:eastAsiaTheme="majorEastAsia"/>
          <w:color w:val="auto"/>
        </w:rPr>
      </w:pPr>
      <w:r>
        <w:rPr>
          <w:rFonts w:asciiTheme="majorEastAsia" w:hAnsiTheme="majorEastAsia" w:eastAsiaTheme="majorEastAsia"/>
          <w:color w:val="auto"/>
        </w:rPr>
        <w:t xml:space="preserve">6.1.5响应报价超过了采购预算或最高限价的。 </w:t>
      </w:r>
    </w:p>
    <w:p w14:paraId="22590A34">
      <w:pPr>
        <w:pStyle w:val="113"/>
        <w:rPr>
          <w:rFonts w:asciiTheme="majorEastAsia" w:hAnsiTheme="majorEastAsia" w:eastAsiaTheme="majorEastAsia"/>
          <w:color w:val="auto"/>
        </w:rPr>
      </w:pPr>
      <w:r>
        <w:rPr>
          <w:rFonts w:asciiTheme="majorEastAsia" w:hAnsiTheme="majorEastAsia" w:eastAsiaTheme="majorEastAsia"/>
          <w:color w:val="auto"/>
        </w:rPr>
        <w:t>6.1.6未通过符合性检查的。</w:t>
      </w:r>
    </w:p>
    <w:p w14:paraId="08330FDB">
      <w:pPr>
        <w:pStyle w:val="113"/>
        <w:rPr>
          <w:rFonts w:asciiTheme="majorEastAsia" w:hAnsiTheme="majorEastAsia" w:eastAsiaTheme="majorEastAsia"/>
          <w:color w:val="auto"/>
        </w:rPr>
      </w:pPr>
      <w:r>
        <w:rPr>
          <w:rFonts w:asciiTheme="majorEastAsia" w:hAnsiTheme="majorEastAsia" w:eastAsiaTheme="majorEastAsia"/>
          <w:color w:val="auto"/>
        </w:rPr>
        <w:t>6.1.7不符合法律、法规和磋商文件中规定的其他实质性要求的。</w:t>
      </w:r>
    </w:p>
    <w:p w14:paraId="5F44E1B4">
      <w:pPr>
        <w:pStyle w:val="113"/>
        <w:rPr>
          <w:rFonts w:asciiTheme="majorEastAsia" w:hAnsiTheme="majorEastAsia" w:eastAsiaTheme="majorEastAsia"/>
          <w:color w:val="auto"/>
        </w:rPr>
      </w:pPr>
      <w:r>
        <w:rPr>
          <w:rFonts w:asciiTheme="majorEastAsia" w:hAnsiTheme="majorEastAsia" w:eastAsiaTheme="majorEastAsia"/>
          <w:color w:val="auto"/>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36E0152">
      <w:pPr>
        <w:pStyle w:val="113"/>
        <w:rPr>
          <w:rFonts w:asciiTheme="majorEastAsia" w:hAnsiTheme="majorEastAsia" w:eastAsiaTheme="majorEastAsia"/>
          <w:color w:val="auto"/>
        </w:rPr>
      </w:pPr>
      <w:r>
        <w:rPr>
          <w:rFonts w:asciiTheme="majorEastAsia" w:hAnsiTheme="majorEastAsia" w:eastAsiaTheme="majorEastAsia"/>
          <w:color w:val="auto"/>
        </w:rPr>
        <w:t>6.1.9 响应文件含有采购人不能接受的附加条件的。</w:t>
      </w:r>
    </w:p>
    <w:p w14:paraId="2633935E">
      <w:pPr>
        <w:pStyle w:val="113"/>
        <w:rPr>
          <w:rFonts w:asciiTheme="majorEastAsia" w:hAnsiTheme="majorEastAsia" w:eastAsiaTheme="majorEastAsia"/>
          <w:color w:val="auto"/>
        </w:rPr>
      </w:pPr>
      <w:r>
        <w:rPr>
          <w:rFonts w:asciiTheme="majorEastAsia" w:hAnsiTheme="majorEastAsia" w:eastAsiaTheme="majorEastAsia"/>
          <w:color w:val="auto"/>
        </w:rPr>
        <w:t>6.1.10磋商小组认为供应商的报价明显低于其他通过符合性审查供应商的报价，有可能影响产品质量或者不能诚信履约的，将通过</w:t>
      </w:r>
      <w:r>
        <w:rPr>
          <w:rFonts w:asciiTheme="majorEastAsia" w:hAnsiTheme="majorEastAsia" w:eastAsiaTheme="majorEastAsia"/>
          <w:b/>
          <w:bCs/>
          <w:color w:val="auto"/>
        </w:rPr>
        <w:t>“</w:t>
      </w:r>
      <w:r>
        <w:rPr>
          <w:rFonts w:hint="eastAsia" w:asciiTheme="majorEastAsia" w:hAnsiTheme="majorEastAsia" w:eastAsiaTheme="majorEastAsia"/>
          <w:b/>
          <w:bCs/>
          <w:color w:val="auto"/>
        </w:rPr>
        <w:t>磋商文件</w:t>
      </w:r>
      <w:r>
        <w:rPr>
          <w:rFonts w:asciiTheme="majorEastAsia" w:hAnsiTheme="majorEastAsia" w:eastAsiaTheme="majorEastAsia"/>
          <w:b/>
          <w:bCs/>
          <w:color w:val="auto"/>
        </w:rPr>
        <w:t>”</w:t>
      </w:r>
      <w:r>
        <w:rPr>
          <w:rFonts w:asciiTheme="majorEastAsia" w:hAnsiTheme="majorEastAsia" w:eastAsiaTheme="majorEastAsia"/>
          <w:color w:val="auto"/>
        </w:rPr>
        <w:t>要求其在合理的时间内提供说明，必要时提交相关证明材料；供应商不能证明其报价合理性的，磋商小组应当将其作为无效响应处理。</w:t>
      </w:r>
    </w:p>
    <w:p w14:paraId="79305898">
      <w:pPr>
        <w:pStyle w:val="113"/>
        <w:rPr>
          <w:rFonts w:asciiTheme="majorEastAsia" w:hAnsiTheme="majorEastAsia" w:eastAsiaTheme="majorEastAsia"/>
          <w:color w:val="auto"/>
        </w:rPr>
      </w:pPr>
      <w:r>
        <w:rPr>
          <w:rFonts w:asciiTheme="majorEastAsia" w:hAnsiTheme="majorEastAsia" w:eastAsiaTheme="majorEastAsia"/>
          <w:color w:val="auto"/>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6167D480">
      <w:pPr>
        <w:pStyle w:val="113"/>
        <w:rPr>
          <w:rFonts w:asciiTheme="majorEastAsia" w:hAnsiTheme="majorEastAsia" w:eastAsiaTheme="majorEastAsia"/>
          <w:color w:val="auto"/>
        </w:rPr>
      </w:pPr>
      <w:r>
        <w:rPr>
          <w:rFonts w:asciiTheme="majorEastAsia" w:hAnsiTheme="majorEastAsia" w:eastAsiaTheme="majorEastAsia"/>
          <w:color w:val="auto"/>
        </w:rPr>
        <w:t>6.1.12响应文件未按照采购文件要求加盖电子签章。</w:t>
      </w:r>
    </w:p>
    <w:p w14:paraId="03A845A7">
      <w:pPr>
        <w:pStyle w:val="113"/>
        <w:rPr>
          <w:rFonts w:asciiTheme="majorEastAsia" w:hAnsiTheme="majorEastAsia" w:eastAsiaTheme="majorEastAsia"/>
          <w:color w:val="auto"/>
        </w:rPr>
      </w:pPr>
      <w:r>
        <w:rPr>
          <w:rFonts w:asciiTheme="majorEastAsia" w:hAnsiTheme="majorEastAsia" w:eastAsiaTheme="majorEastAsia"/>
          <w:color w:val="auto"/>
        </w:rPr>
        <w:t>6.1.13不同的供应商响应文件制作机器码、文件创建标识码一致的。</w:t>
      </w:r>
    </w:p>
    <w:p w14:paraId="03D09F4F">
      <w:pPr>
        <w:pStyle w:val="113"/>
        <w:rPr>
          <w:rFonts w:asciiTheme="majorEastAsia" w:hAnsiTheme="majorEastAsia" w:eastAsiaTheme="majorEastAsia"/>
          <w:color w:val="auto"/>
        </w:rPr>
      </w:pPr>
      <w:r>
        <w:rPr>
          <w:rFonts w:hint="eastAsia" w:asciiTheme="majorEastAsia" w:hAnsiTheme="majorEastAsia" w:eastAsiaTheme="majorEastAsia"/>
          <w:color w:val="auto"/>
        </w:rPr>
        <w:t>6.1.14投标人的商务技术部分得分相差悬殊，评标委员会认为得分畸低者没有实质性响应的。</w:t>
      </w:r>
    </w:p>
    <w:p w14:paraId="1794881B">
      <w:pPr>
        <w:pStyle w:val="113"/>
        <w:rPr>
          <w:rFonts w:asciiTheme="majorEastAsia" w:hAnsiTheme="majorEastAsia" w:eastAsiaTheme="majorEastAsia"/>
          <w:color w:val="auto"/>
        </w:rPr>
      </w:pPr>
      <w:r>
        <w:rPr>
          <w:rFonts w:asciiTheme="majorEastAsia" w:hAnsiTheme="majorEastAsia" w:eastAsiaTheme="majorEastAsia"/>
          <w:color w:val="auto"/>
        </w:rPr>
        <w:t>6.1.1</w:t>
      </w:r>
      <w:r>
        <w:rPr>
          <w:rFonts w:hint="eastAsia" w:asciiTheme="majorEastAsia" w:hAnsiTheme="majorEastAsia" w:eastAsiaTheme="majorEastAsia"/>
          <w:color w:val="auto"/>
        </w:rPr>
        <w:t>5</w:t>
      </w:r>
      <w:r>
        <w:rPr>
          <w:rFonts w:asciiTheme="majorEastAsia" w:hAnsiTheme="majorEastAsia" w:eastAsiaTheme="majorEastAsia"/>
          <w:color w:val="auto"/>
        </w:rPr>
        <w:t>其他法律、法规及本磋商文件规定的属无效响应的情形。</w:t>
      </w:r>
    </w:p>
    <w:p w14:paraId="70B55985">
      <w:pPr>
        <w:pStyle w:val="113"/>
        <w:rPr>
          <w:rFonts w:asciiTheme="majorEastAsia" w:hAnsiTheme="majorEastAsia" w:eastAsiaTheme="majorEastAsia"/>
          <w:color w:val="auto"/>
        </w:rPr>
      </w:pPr>
      <w:r>
        <w:rPr>
          <w:rFonts w:asciiTheme="majorEastAsia" w:hAnsiTheme="majorEastAsia" w:eastAsiaTheme="majorEastAsia"/>
          <w:color w:val="auto"/>
        </w:rPr>
        <w:t>6.2出现下列情形之一的，磋商失败。</w:t>
      </w:r>
    </w:p>
    <w:p w14:paraId="1C28A4A8">
      <w:pPr>
        <w:pStyle w:val="113"/>
        <w:rPr>
          <w:rFonts w:asciiTheme="majorEastAsia" w:hAnsiTheme="majorEastAsia" w:eastAsiaTheme="majorEastAsia"/>
          <w:color w:val="auto"/>
        </w:rPr>
      </w:pPr>
      <w:r>
        <w:rPr>
          <w:rFonts w:asciiTheme="majorEastAsia" w:hAnsiTheme="majorEastAsia" w:eastAsiaTheme="majorEastAsia"/>
          <w:color w:val="auto"/>
        </w:rPr>
        <w:t>6.2.1符合条件的供应商或者对磋商文件作实质响应的供应商不足3家的（市场竞争不充分的科研项目，以及需要扶持的科技成果转化项目可以是2家）；</w:t>
      </w:r>
    </w:p>
    <w:p w14:paraId="43696EEA">
      <w:pPr>
        <w:pStyle w:val="113"/>
        <w:rPr>
          <w:rFonts w:asciiTheme="majorEastAsia" w:hAnsiTheme="majorEastAsia" w:eastAsiaTheme="majorEastAsia"/>
          <w:color w:val="auto"/>
        </w:rPr>
      </w:pPr>
      <w:r>
        <w:rPr>
          <w:rFonts w:asciiTheme="majorEastAsia" w:hAnsiTheme="majorEastAsia" w:eastAsiaTheme="majorEastAsia"/>
          <w:color w:val="auto"/>
        </w:rPr>
        <w:t>6.2.2出现影响采购公正的违法违规行为的；</w:t>
      </w:r>
    </w:p>
    <w:p w14:paraId="6794426B">
      <w:pPr>
        <w:pStyle w:val="113"/>
        <w:rPr>
          <w:rFonts w:asciiTheme="majorEastAsia" w:hAnsiTheme="majorEastAsia" w:eastAsiaTheme="majorEastAsia"/>
          <w:color w:val="auto"/>
        </w:rPr>
      </w:pPr>
      <w:r>
        <w:rPr>
          <w:rFonts w:asciiTheme="majorEastAsia" w:hAnsiTheme="majorEastAsia" w:eastAsiaTheme="majorEastAsia"/>
          <w:color w:val="auto"/>
        </w:rPr>
        <w:t>6.2.3因重大变故，采购任务取消的。</w:t>
      </w:r>
    </w:p>
    <w:p w14:paraId="735AA03B">
      <w:pPr>
        <w:pStyle w:val="113"/>
        <w:rPr>
          <w:rFonts w:asciiTheme="majorEastAsia" w:hAnsiTheme="majorEastAsia" w:eastAsiaTheme="majorEastAsia"/>
          <w:color w:val="auto"/>
        </w:rPr>
      </w:pPr>
      <w:r>
        <w:rPr>
          <w:rFonts w:asciiTheme="majorEastAsia" w:hAnsiTheme="majorEastAsia" w:eastAsiaTheme="majorEastAsia"/>
          <w:color w:val="auto"/>
        </w:rPr>
        <w:t>6.2.4磋商小组认定磋商文件存在歧义、重大缺陷导致评审工作无法进行。</w:t>
      </w:r>
    </w:p>
    <w:p w14:paraId="03065987">
      <w:pPr>
        <w:pStyle w:val="113"/>
        <w:rPr>
          <w:rFonts w:asciiTheme="majorEastAsia" w:hAnsiTheme="majorEastAsia" w:eastAsiaTheme="majorEastAsia"/>
          <w:color w:val="auto"/>
        </w:rPr>
      </w:pPr>
      <w:r>
        <w:rPr>
          <w:rFonts w:asciiTheme="majorEastAsia" w:hAnsiTheme="majorEastAsia" w:eastAsiaTheme="majorEastAsia"/>
          <w:color w:val="auto"/>
        </w:rPr>
        <w:t>6.2.5 因系统故障原因造成</w:t>
      </w:r>
      <w:r>
        <w:rPr>
          <w:rFonts w:hint="eastAsia" w:asciiTheme="majorEastAsia" w:hAnsiTheme="majorEastAsia" w:eastAsiaTheme="majorEastAsia"/>
          <w:color w:val="auto"/>
        </w:rPr>
        <w:t>磋商无法继续进行的</w:t>
      </w:r>
      <w:r>
        <w:rPr>
          <w:rFonts w:asciiTheme="majorEastAsia" w:hAnsiTheme="majorEastAsia" w:eastAsiaTheme="majorEastAsia"/>
          <w:color w:val="auto"/>
        </w:rPr>
        <w:t>。</w:t>
      </w:r>
    </w:p>
    <w:p w14:paraId="686EE28B">
      <w:pPr>
        <w:pStyle w:val="113"/>
        <w:rPr>
          <w:rFonts w:asciiTheme="majorEastAsia" w:hAnsiTheme="majorEastAsia" w:eastAsiaTheme="majorEastAsia"/>
          <w:color w:val="auto"/>
        </w:rPr>
      </w:pPr>
      <w:r>
        <w:rPr>
          <w:rFonts w:asciiTheme="majorEastAsia" w:hAnsiTheme="majorEastAsia" w:eastAsiaTheme="majorEastAsia"/>
          <w:color w:val="auto"/>
        </w:rPr>
        <w:t>6.3 响应文件提交截止时间结束后参加磋商的供应商不足三家的处理：</w:t>
      </w:r>
    </w:p>
    <w:p w14:paraId="0CA46646">
      <w:pPr>
        <w:pStyle w:val="113"/>
        <w:rPr>
          <w:rFonts w:asciiTheme="majorEastAsia" w:hAnsiTheme="majorEastAsia" w:eastAsiaTheme="majorEastAsia"/>
          <w:color w:val="auto"/>
        </w:rPr>
      </w:pPr>
      <w:r>
        <w:rPr>
          <w:rFonts w:asciiTheme="majorEastAsia" w:hAnsiTheme="majorEastAsia" w:eastAsiaTheme="majorEastAsia"/>
          <w:color w:val="auto"/>
        </w:rPr>
        <w:t>6.3.1如出现响应文件提交截止时间结束后参加磋商的供应商或者在评审期间对磋商文件做出实质响应的供应商不足三家情况，按政府采购相关规定执行。</w:t>
      </w:r>
    </w:p>
    <w:bookmarkEnd w:id="129"/>
    <w:bookmarkEnd w:id="130"/>
    <w:bookmarkEnd w:id="131"/>
    <w:p w14:paraId="69E49BE2">
      <w:pPr>
        <w:pStyle w:val="111"/>
        <w:rPr>
          <w:rFonts w:asciiTheme="majorEastAsia" w:hAnsiTheme="majorEastAsia" w:eastAsiaTheme="majorEastAsia"/>
          <w:bCs/>
          <w:color w:val="auto"/>
        </w:rPr>
      </w:pPr>
      <w:bookmarkStart w:id="132" w:name="_Toc120614219"/>
      <w:r>
        <w:rPr>
          <w:rFonts w:asciiTheme="majorEastAsia" w:hAnsiTheme="majorEastAsia" w:eastAsiaTheme="majorEastAsia"/>
          <w:bCs/>
          <w:color w:val="auto"/>
        </w:rPr>
        <w:t>（六）</w:t>
      </w:r>
      <w:bookmarkEnd w:id="132"/>
      <w:r>
        <w:rPr>
          <w:rFonts w:asciiTheme="majorEastAsia" w:hAnsiTheme="majorEastAsia" w:eastAsiaTheme="majorEastAsia"/>
          <w:bCs/>
          <w:color w:val="auto"/>
        </w:rPr>
        <w:t>成交</w:t>
      </w:r>
    </w:p>
    <w:p w14:paraId="5B0AA915">
      <w:pPr>
        <w:pStyle w:val="111"/>
        <w:rPr>
          <w:rFonts w:asciiTheme="majorEastAsia" w:hAnsiTheme="majorEastAsia" w:eastAsiaTheme="majorEastAsia"/>
          <w:color w:val="auto"/>
        </w:rPr>
      </w:pPr>
      <w:bookmarkStart w:id="133" w:name="_Toc16938554"/>
      <w:bookmarkStart w:id="134" w:name="_Toc20823310"/>
      <w:r>
        <w:rPr>
          <w:rFonts w:asciiTheme="majorEastAsia" w:hAnsiTheme="majorEastAsia" w:eastAsiaTheme="majorEastAsia"/>
          <w:color w:val="auto"/>
        </w:rPr>
        <w:t>1.确定</w:t>
      </w:r>
      <w:bookmarkEnd w:id="133"/>
      <w:bookmarkEnd w:id="134"/>
      <w:r>
        <w:rPr>
          <w:rFonts w:asciiTheme="majorEastAsia" w:hAnsiTheme="majorEastAsia" w:eastAsiaTheme="majorEastAsia"/>
          <w:color w:val="auto"/>
        </w:rPr>
        <w:t>成交单位</w:t>
      </w:r>
    </w:p>
    <w:p w14:paraId="3DE55FF8">
      <w:pPr>
        <w:pStyle w:val="113"/>
        <w:rPr>
          <w:rFonts w:asciiTheme="majorEastAsia" w:hAnsiTheme="majorEastAsia" w:eastAsiaTheme="majorEastAsia"/>
          <w:color w:val="auto"/>
        </w:rPr>
      </w:pPr>
      <w:r>
        <w:rPr>
          <w:rFonts w:asciiTheme="majorEastAsia" w:hAnsiTheme="majorEastAsia" w:eastAsiaTheme="majorEastAsia"/>
          <w:color w:val="auto"/>
        </w:rPr>
        <w:t xml:space="preserve">1.1成交候选供应商的选取原则和数量见磋商文件第四部分规定。 </w:t>
      </w:r>
    </w:p>
    <w:p w14:paraId="3AC33E7E">
      <w:pPr>
        <w:pStyle w:val="113"/>
        <w:rPr>
          <w:rFonts w:asciiTheme="majorEastAsia" w:hAnsiTheme="majorEastAsia" w:eastAsiaTheme="majorEastAsia"/>
          <w:color w:val="auto"/>
        </w:rPr>
      </w:pPr>
      <w:r>
        <w:rPr>
          <w:rFonts w:asciiTheme="majorEastAsia" w:hAnsiTheme="majorEastAsia" w:eastAsiaTheme="majorEastAsia"/>
          <w:color w:val="auto"/>
        </w:rPr>
        <w:t>1.2 采购人授权磋商小组在成交候选供应商中直接确定成交供应商。</w:t>
      </w:r>
    </w:p>
    <w:p w14:paraId="24091D50">
      <w:pPr>
        <w:pStyle w:val="113"/>
        <w:rPr>
          <w:rFonts w:cs="仿宋" w:asciiTheme="majorEastAsia" w:hAnsiTheme="majorEastAsia" w:eastAsiaTheme="majorEastAsia"/>
          <w:b/>
          <w:bCs/>
          <w:color w:val="auto"/>
        </w:rPr>
      </w:pPr>
      <w:r>
        <w:rPr>
          <w:rFonts w:asciiTheme="majorEastAsia" w:hAnsiTheme="majorEastAsia" w:eastAsiaTheme="majorEastAsia"/>
          <w:color w:val="auto"/>
        </w:rPr>
        <w:t xml:space="preserve">1.3 </w:t>
      </w:r>
      <w:r>
        <w:rPr>
          <w:rFonts w:hint="eastAsia" w:asciiTheme="majorEastAsia" w:hAnsiTheme="majorEastAsia" w:eastAsiaTheme="majorEastAsia"/>
          <w:color w:val="auto"/>
        </w:rPr>
        <w:t>采购人</w:t>
      </w:r>
      <w:r>
        <w:rPr>
          <w:rFonts w:asciiTheme="majorEastAsia" w:hAnsiTheme="majorEastAsia" w:eastAsiaTheme="majorEastAsia"/>
          <w:color w:val="auto"/>
        </w:rPr>
        <w:t>将在</w:t>
      </w:r>
      <w:r>
        <w:rPr>
          <w:rFonts w:hint="eastAsia" w:asciiTheme="majorEastAsia" w:hAnsiTheme="majorEastAsia" w:eastAsiaTheme="majorEastAsia"/>
          <w:color w:val="auto"/>
          <w:lang w:eastAsia="zh-CN"/>
        </w:rPr>
        <w:t>“</w:t>
      </w:r>
      <w:r>
        <w:rPr>
          <w:rFonts w:hint="eastAsia" w:cs="仿宋" w:asciiTheme="majorEastAsia" w:hAnsiTheme="majorEastAsia" w:eastAsiaTheme="majorEastAsia"/>
          <w:b/>
          <w:bCs/>
          <w:color w:val="auto"/>
        </w:rPr>
        <w:t>南通市卫生健康委员会官网</w:t>
      </w:r>
    </w:p>
    <w:p w14:paraId="612A2894">
      <w:pPr>
        <w:pStyle w:val="113"/>
        <w:rPr>
          <w:rFonts w:asciiTheme="majorEastAsia" w:hAnsiTheme="majorEastAsia" w:eastAsiaTheme="majorEastAsia"/>
          <w:color w:val="auto"/>
        </w:rPr>
      </w:pPr>
      <w:r>
        <w:rPr>
          <w:rFonts w:hint="eastAsia" w:cs="仿宋" w:asciiTheme="majorEastAsia" w:hAnsiTheme="majorEastAsia" w:eastAsiaTheme="majorEastAsia"/>
          <w:b/>
          <w:bCs/>
          <w:color w:val="auto"/>
        </w:rPr>
        <w:t>（http://wjw.nantong.gov.cn）和南通市妇幼保健院官网（http://www.ntfybj.com）</w:t>
      </w:r>
      <w:r>
        <w:rPr>
          <w:rFonts w:hint="eastAsia" w:cs="仿宋" w:asciiTheme="majorEastAsia" w:hAnsiTheme="majorEastAsia" w:eastAsiaTheme="majorEastAsia"/>
          <w:b/>
          <w:bCs/>
          <w:color w:val="auto"/>
          <w:lang w:eastAsia="zh-CN"/>
        </w:rPr>
        <w:t>”</w:t>
      </w:r>
      <w:r>
        <w:rPr>
          <w:rFonts w:asciiTheme="majorEastAsia" w:hAnsiTheme="majorEastAsia" w:eastAsiaTheme="majorEastAsia"/>
          <w:color w:val="auto"/>
        </w:rPr>
        <w:t>发布成交结果公告，公告期限为1个工作日。</w:t>
      </w:r>
    </w:p>
    <w:p w14:paraId="1A43DE76">
      <w:pPr>
        <w:pStyle w:val="113"/>
        <w:rPr>
          <w:rFonts w:asciiTheme="majorEastAsia" w:hAnsiTheme="majorEastAsia" w:eastAsiaTheme="majorEastAsia"/>
          <w:color w:val="auto"/>
        </w:rPr>
      </w:pPr>
      <w:r>
        <w:rPr>
          <w:rFonts w:asciiTheme="majorEastAsia" w:hAnsiTheme="majorEastAsia" w:eastAsiaTheme="majorEastAsia"/>
          <w:color w:val="auto"/>
        </w:rPr>
        <w:t>1.</w:t>
      </w:r>
      <w:r>
        <w:rPr>
          <w:rFonts w:hint="eastAsia" w:asciiTheme="majorEastAsia" w:hAnsiTheme="majorEastAsia" w:eastAsiaTheme="majorEastAsia"/>
          <w:color w:val="auto"/>
        </w:rPr>
        <w:t>4</w:t>
      </w:r>
      <w:r>
        <w:rPr>
          <w:rFonts w:asciiTheme="majorEastAsia" w:hAnsiTheme="majorEastAsia" w:eastAsiaTheme="majorEastAsia"/>
          <w:color w:val="auto"/>
        </w:rPr>
        <w:t>若有充分证据证明，成交供应商出现下列情况之一的，一经查实，将被取消成交资格：</w:t>
      </w:r>
    </w:p>
    <w:p w14:paraId="00B92305">
      <w:pPr>
        <w:pStyle w:val="113"/>
        <w:rPr>
          <w:rFonts w:asciiTheme="majorEastAsia" w:hAnsiTheme="majorEastAsia" w:eastAsiaTheme="majorEastAsia"/>
          <w:color w:val="auto"/>
        </w:rPr>
      </w:pPr>
      <w:r>
        <w:rPr>
          <w:rFonts w:asciiTheme="majorEastAsia" w:hAnsiTheme="majorEastAsia" w:eastAsiaTheme="majorEastAsia"/>
          <w:color w:val="auto"/>
        </w:rPr>
        <w:t>1.4.1提供虚假材料谋取成交的。</w:t>
      </w:r>
    </w:p>
    <w:p w14:paraId="0D89F87D">
      <w:pPr>
        <w:pStyle w:val="113"/>
        <w:rPr>
          <w:rFonts w:asciiTheme="majorEastAsia" w:hAnsiTheme="majorEastAsia" w:eastAsiaTheme="majorEastAsia"/>
          <w:color w:val="auto"/>
        </w:rPr>
      </w:pPr>
      <w:r>
        <w:rPr>
          <w:rFonts w:asciiTheme="majorEastAsia" w:hAnsiTheme="majorEastAsia" w:eastAsiaTheme="majorEastAsia"/>
          <w:color w:val="auto"/>
        </w:rPr>
        <w:t>1.4.2向采购人行贿或者评审专家提供其他不正当利益的。</w:t>
      </w:r>
    </w:p>
    <w:p w14:paraId="036FABA4">
      <w:pPr>
        <w:pStyle w:val="113"/>
        <w:rPr>
          <w:rFonts w:asciiTheme="majorEastAsia" w:hAnsiTheme="majorEastAsia" w:eastAsiaTheme="majorEastAsia"/>
          <w:color w:val="auto"/>
        </w:rPr>
      </w:pPr>
      <w:r>
        <w:rPr>
          <w:rFonts w:asciiTheme="majorEastAsia" w:hAnsiTheme="majorEastAsia" w:eastAsiaTheme="majorEastAsia"/>
          <w:color w:val="auto"/>
        </w:rPr>
        <w:t>1.4.3恶意竞争，最终总报价明显低于其自身合理成本且又无法提供证明的。</w:t>
      </w:r>
    </w:p>
    <w:p w14:paraId="017E89C6">
      <w:pPr>
        <w:pStyle w:val="113"/>
        <w:rPr>
          <w:rFonts w:asciiTheme="majorEastAsia" w:hAnsiTheme="majorEastAsia" w:eastAsiaTheme="majorEastAsia"/>
          <w:color w:val="auto"/>
        </w:rPr>
      </w:pPr>
      <w:r>
        <w:rPr>
          <w:rFonts w:asciiTheme="majorEastAsia" w:hAnsiTheme="majorEastAsia" w:eastAsiaTheme="majorEastAsia"/>
          <w:color w:val="auto"/>
        </w:rPr>
        <w:t>1.4.4属于本文件规定的无效条件，但在评审过程中又未被磋商小组发现的。</w:t>
      </w:r>
    </w:p>
    <w:p w14:paraId="4B600B66">
      <w:pPr>
        <w:pStyle w:val="113"/>
        <w:rPr>
          <w:rFonts w:asciiTheme="majorEastAsia" w:hAnsiTheme="majorEastAsia" w:eastAsiaTheme="majorEastAsia"/>
          <w:color w:val="auto"/>
        </w:rPr>
      </w:pPr>
      <w:r>
        <w:rPr>
          <w:rFonts w:asciiTheme="majorEastAsia" w:hAnsiTheme="majorEastAsia" w:eastAsiaTheme="majorEastAsia"/>
          <w:color w:val="auto"/>
        </w:rPr>
        <w:t>1.4.5与采购人或者其他供应商恶意串通的。</w:t>
      </w:r>
    </w:p>
    <w:p w14:paraId="38C35933">
      <w:pPr>
        <w:pStyle w:val="113"/>
        <w:rPr>
          <w:rFonts w:asciiTheme="majorEastAsia" w:hAnsiTheme="majorEastAsia" w:eastAsiaTheme="majorEastAsia"/>
          <w:color w:val="auto"/>
        </w:rPr>
      </w:pPr>
      <w:r>
        <w:rPr>
          <w:rFonts w:asciiTheme="majorEastAsia" w:hAnsiTheme="majorEastAsia" w:eastAsiaTheme="majorEastAsia"/>
          <w:color w:val="auto"/>
        </w:rPr>
        <w:t>1.4.6采取不正当手段诋毁、排挤其他供应商的。</w:t>
      </w:r>
    </w:p>
    <w:p w14:paraId="70E1149D">
      <w:pPr>
        <w:pStyle w:val="113"/>
        <w:rPr>
          <w:rFonts w:asciiTheme="majorEastAsia" w:hAnsiTheme="majorEastAsia" w:eastAsiaTheme="majorEastAsia"/>
          <w:color w:val="auto"/>
        </w:rPr>
      </w:pPr>
      <w:bookmarkStart w:id="135" w:name="_Toc200451960"/>
      <w:r>
        <w:rPr>
          <w:rFonts w:asciiTheme="majorEastAsia" w:hAnsiTheme="majorEastAsia" w:eastAsiaTheme="majorEastAsia"/>
          <w:color w:val="auto"/>
        </w:rPr>
        <w:t>1.5.有下列情形之一的，视为供应商串通参与磋商，响应无效：</w:t>
      </w:r>
    </w:p>
    <w:p w14:paraId="26D4AA34">
      <w:pPr>
        <w:pStyle w:val="113"/>
        <w:rPr>
          <w:rFonts w:asciiTheme="majorEastAsia" w:hAnsiTheme="majorEastAsia" w:eastAsiaTheme="majorEastAsia"/>
          <w:color w:val="auto"/>
        </w:rPr>
      </w:pPr>
      <w:r>
        <w:rPr>
          <w:rFonts w:asciiTheme="majorEastAsia" w:hAnsiTheme="majorEastAsia" w:eastAsiaTheme="majorEastAsia"/>
          <w:color w:val="auto"/>
        </w:rPr>
        <w:t>1.5.1不同供应商的响应文件由同一单位或者个人编制；</w:t>
      </w:r>
    </w:p>
    <w:p w14:paraId="27A0131E">
      <w:pPr>
        <w:pStyle w:val="113"/>
        <w:rPr>
          <w:rFonts w:asciiTheme="majorEastAsia" w:hAnsiTheme="majorEastAsia" w:eastAsiaTheme="majorEastAsia"/>
          <w:color w:val="auto"/>
        </w:rPr>
      </w:pPr>
      <w:r>
        <w:rPr>
          <w:rFonts w:asciiTheme="majorEastAsia" w:hAnsiTheme="majorEastAsia" w:eastAsiaTheme="majorEastAsia"/>
          <w:color w:val="auto"/>
        </w:rPr>
        <w:t>1.5.2不同供应商委托同一单位或者个人办理磋商事宜；</w:t>
      </w:r>
    </w:p>
    <w:p w14:paraId="435DCC85">
      <w:pPr>
        <w:pStyle w:val="113"/>
        <w:rPr>
          <w:rFonts w:asciiTheme="majorEastAsia" w:hAnsiTheme="majorEastAsia" w:eastAsiaTheme="majorEastAsia"/>
          <w:color w:val="auto"/>
        </w:rPr>
      </w:pPr>
      <w:r>
        <w:rPr>
          <w:rFonts w:asciiTheme="majorEastAsia" w:hAnsiTheme="majorEastAsia" w:eastAsiaTheme="majorEastAsia"/>
          <w:color w:val="auto"/>
        </w:rPr>
        <w:t>1.5.3不同供应商的响应文件载明的项目管理成员或者联系人员为同一人；</w:t>
      </w:r>
    </w:p>
    <w:p w14:paraId="3444FB0B">
      <w:pPr>
        <w:pStyle w:val="113"/>
        <w:rPr>
          <w:rFonts w:asciiTheme="majorEastAsia" w:hAnsiTheme="majorEastAsia" w:eastAsiaTheme="majorEastAsia"/>
          <w:color w:val="auto"/>
        </w:rPr>
      </w:pPr>
      <w:r>
        <w:rPr>
          <w:rFonts w:asciiTheme="majorEastAsia" w:hAnsiTheme="majorEastAsia" w:eastAsiaTheme="majorEastAsia"/>
          <w:color w:val="auto"/>
        </w:rPr>
        <w:t>1.5.4不同供应商的响应文件异常一致或者响应报价呈规律性差异。</w:t>
      </w:r>
    </w:p>
    <w:p w14:paraId="45B59AF2">
      <w:pPr>
        <w:pStyle w:val="111"/>
        <w:rPr>
          <w:rFonts w:asciiTheme="majorEastAsia" w:hAnsiTheme="majorEastAsia" w:eastAsiaTheme="majorEastAsia"/>
          <w:color w:val="auto"/>
        </w:rPr>
      </w:pPr>
      <w:r>
        <w:rPr>
          <w:rFonts w:asciiTheme="majorEastAsia" w:hAnsiTheme="majorEastAsia" w:eastAsiaTheme="majorEastAsia"/>
          <w:color w:val="auto"/>
        </w:rPr>
        <w:t>2.质疑处理</w:t>
      </w:r>
      <w:bookmarkEnd w:id="135"/>
    </w:p>
    <w:p w14:paraId="6E8B88F5">
      <w:pPr>
        <w:pStyle w:val="113"/>
        <w:rPr>
          <w:rFonts w:asciiTheme="majorEastAsia" w:hAnsiTheme="majorEastAsia" w:eastAsiaTheme="majorEastAsia"/>
          <w:color w:val="auto"/>
        </w:rPr>
      </w:pPr>
      <w:r>
        <w:rPr>
          <w:rFonts w:asciiTheme="majorEastAsia" w:hAnsiTheme="majorEastAsia" w:eastAsiaTheme="majorEastAsia"/>
          <w:color w:val="auto"/>
        </w:rPr>
        <w:t>2.1 提出质疑的供应商应当是参与所质疑项目采购活动的供应商。潜在供应商依法获取其可质疑的磋商文件的，可以对磋商文件提出质疑。</w:t>
      </w:r>
    </w:p>
    <w:p w14:paraId="58928DE8">
      <w:pPr>
        <w:pStyle w:val="113"/>
        <w:rPr>
          <w:rFonts w:asciiTheme="majorEastAsia" w:hAnsiTheme="majorEastAsia" w:eastAsiaTheme="majorEastAsia"/>
          <w:color w:val="auto"/>
        </w:rPr>
      </w:pPr>
      <w:r>
        <w:rPr>
          <w:rFonts w:asciiTheme="majorEastAsia" w:hAnsiTheme="majorEastAsia" w:eastAsiaTheme="majorEastAsia"/>
          <w:color w:val="auto"/>
        </w:rPr>
        <w:t>2.2供应商认为磋商文件、采购过程和采购结果使自己的权益受到损害的，可以在知道或应知其权益受到损害之日起七个工作日内，以书面形式向采购人提出质疑。上述应知其权益受到损害之日，是指：</w:t>
      </w:r>
    </w:p>
    <w:p w14:paraId="16975622">
      <w:pPr>
        <w:pStyle w:val="113"/>
        <w:rPr>
          <w:rFonts w:asciiTheme="majorEastAsia" w:hAnsiTheme="majorEastAsia" w:eastAsiaTheme="majorEastAsia"/>
          <w:color w:val="auto"/>
        </w:rPr>
      </w:pPr>
      <w:r>
        <w:rPr>
          <w:rFonts w:asciiTheme="majorEastAsia" w:hAnsiTheme="majorEastAsia" w:eastAsiaTheme="majorEastAsia"/>
          <w:color w:val="auto"/>
        </w:rPr>
        <w:t>2.2.1对可以质疑的磋商文件提出质疑的，为收到磋商文件之日或者磋商文件公告期限届满之日；</w:t>
      </w:r>
    </w:p>
    <w:p w14:paraId="053FCA6F">
      <w:pPr>
        <w:pStyle w:val="113"/>
        <w:rPr>
          <w:rFonts w:asciiTheme="majorEastAsia" w:hAnsiTheme="majorEastAsia" w:eastAsiaTheme="majorEastAsia"/>
          <w:color w:val="auto"/>
        </w:rPr>
      </w:pPr>
      <w:r>
        <w:rPr>
          <w:rFonts w:asciiTheme="majorEastAsia" w:hAnsiTheme="majorEastAsia" w:eastAsiaTheme="majorEastAsia"/>
          <w:color w:val="auto"/>
        </w:rPr>
        <w:t>2.2.2对采购过程提出质疑的，为各采购程序环节结束之日；</w:t>
      </w:r>
    </w:p>
    <w:p w14:paraId="30995747">
      <w:pPr>
        <w:pStyle w:val="113"/>
        <w:rPr>
          <w:rFonts w:asciiTheme="majorEastAsia" w:hAnsiTheme="majorEastAsia" w:eastAsiaTheme="majorEastAsia"/>
          <w:color w:val="auto"/>
        </w:rPr>
      </w:pPr>
      <w:r>
        <w:rPr>
          <w:rFonts w:asciiTheme="majorEastAsia" w:hAnsiTheme="majorEastAsia" w:eastAsiaTheme="majorEastAsia"/>
          <w:color w:val="auto"/>
        </w:rPr>
        <w:t>2.2.3对成交结果提出质疑的，为成交结果公告期限届满之日。</w:t>
      </w:r>
    </w:p>
    <w:p w14:paraId="504B61DB">
      <w:pPr>
        <w:pStyle w:val="113"/>
        <w:rPr>
          <w:rFonts w:asciiTheme="majorEastAsia" w:hAnsiTheme="majorEastAsia" w:eastAsiaTheme="majorEastAsia"/>
          <w:color w:val="auto"/>
        </w:rPr>
      </w:pPr>
      <w:r>
        <w:rPr>
          <w:rFonts w:asciiTheme="majorEastAsia" w:hAnsiTheme="majorEastAsia" w:eastAsiaTheme="majorEastAsia"/>
          <w:color w:val="auto"/>
        </w:rPr>
        <w:t>供应商应当在法定质疑期内一次性提出针对同一采购程序环节的质疑。</w:t>
      </w:r>
    </w:p>
    <w:p w14:paraId="42853D84">
      <w:pPr>
        <w:pStyle w:val="113"/>
        <w:rPr>
          <w:rFonts w:asciiTheme="majorEastAsia" w:hAnsiTheme="majorEastAsia" w:eastAsiaTheme="majorEastAsia"/>
          <w:color w:val="auto"/>
        </w:rPr>
      </w:pPr>
      <w:r>
        <w:rPr>
          <w:rFonts w:asciiTheme="majorEastAsia" w:hAnsiTheme="majorEastAsia" w:eastAsiaTheme="majorEastAsia"/>
          <w:color w:val="auto"/>
        </w:rPr>
        <w:t>2.3质疑函必须按照本磋商文件中《质疑函范本》要求的格式和内容进行填写。</w:t>
      </w:r>
    </w:p>
    <w:p w14:paraId="1AFC52DC">
      <w:pPr>
        <w:pStyle w:val="113"/>
        <w:rPr>
          <w:rFonts w:asciiTheme="majorEastAsia" w:hAnsiTheme="majorEastAsia" w:eastAsiaTheme="majorEastAsia"/>
          <w:color w:val="auto"/>
        </w:rPr>
      </w:pPr>
      <w:r>
        <w:rPr>
          <w:rFonts w:asciiTheme="majorEastAsia" w:hAnsiTheme="majorEastAsia" w:eastAsiaTheme="majorEastAsia"/>
          <w:color w:val="auto"/>
        </w:rPr>
        <w:t>2.4对采购方式、磋商文件中项目需求、供应商资格条件、评审方法和评审标准、资格审查结果等应当由采购人答复的质疑，请向采购人提出，由采购人负责答复。</w:t>
      </w:r>
    </w:p>
    <w:p w14:paraId="666F9001">
      <w:pPr>
        <w:pStyle w:val="113"/>
        <w:rPr>
          <w:rFonts w:asciiTheme="majorEastAsia" w:hAnsiTheme="majorEastAsia" w:eastAsiaTheme="majorEastAsia"/>
          <w:color w:val="auto"/>
        </w:rPr>
      </w:pPr>
      <w:r>
        <w:rPr>
          <w:rFonts w:asciiTheme="majorEastAsia" w:hAnsiTheme="majorEastAsia" w:eastAsiaTheme="majorEastAsia"/>
          <w:color w:val="auto"/>
        </w:rPr>
        <w:t>为方便供应商提起质疑，供应商可选择在南通市政府采购网开通的“网上质疑投诉系统”于法定期限内提起质疑，或向采购人以书面形式提交质疑函。采购人质疑接收人及联系方式，见磋商文件第一部分。</w:t>
      </w:r>
    </w:p>
    <w:p w14:paraId="6DA26D57">
      <w:pPr>
        <w:pStyle w:val="113"/>
        <w:rPr>
          <w:rFonts w:asciiTheme="majorEastAsia" w:hAnsiTheme="majorEastAsia" w:eastAsiaTheme="majorEastAsia"/>
          <w:color w:val="auto"/>
        </w:rPr>
      </w:pPr>
      <w:r>
        <w:rPr>
          <w:rFonts w:asciiTheme="majorEastAsia" w:hAnsiTheme="majorEastAsia" w:eastAsiaTheme="majorEastAsia"/>
          <w:color w:val="auto"/>
        </w:rPr>
        <w:t>2.5 以下情形的质疑不予受理</w:t>
      </w:r>
    </w:p>
    <w:p w14:paraId="13DBF96A">
      <w:pPr>
        <w:pStyle w:val="113"/>
        <w:rPr>
          <w:rFonts w:asciiTheme="majorEastAsia" w:hAnsiTheme="majorEastAsia" w:eastAsiaTheme="majorEastAsia"/>
          <w:color w:val="auto"/>
        </w:rPr>
      </w:pPr>
      <w:r>
        <w:rPr>
          <w:rFonts w:asciiTheme="majorEastAsia" w:hAnsiTheme="majorEastAsia" w:eastAsiaTheme="majorEastAsia"/>
          <w:color w:val="auto"/>
        </w:rPr>
        <w:t>2.5.1 内容不符合《政府采购质疑和投诉办法》第十二条规定的质疑。</w:t>
      </w:r>
    </w:p>
    <w:p w14:paraId="7F484088">
      <w:pPr>
        <w:pStyle w:val="113"/>
        <w:rPr>
          <w:rFonts w:asciiTheme="majorEastAsia" w:hAnsiTheme="majorEastAsia" w:eastAsiaTheme="majorEastAsia"/>
          <w:color w:val="auto"/>
        </w:rPr>
      </w:pPr>
      <w:r>
        <w:rPr>
          <w:rFonts w:asciiTheme="majorEastAsia" w:hAnsiTheme="majorEastAsia" w:eastAsiaTheme="majorEastAsia"/>
          <w:color w:val="auto"/>
        </w:rPr>
        <w:t>2.5.2 超出政府采购法定期限的质疑。</w:t>
      </w:r>
    </w:p>
    <w:p w14:paraId="38F89F1E">
      <w:pPr>
        <w:pStyle w:val="113"/>
        <w:rPr>
          <w:rFonts w:asciiTheme="majorEastAsia" w:hAnsiTheme="majorEastAsia" w:eastAsiaTheme="majorEastAsia"/>
          <w:color w:val="auto"/>
        </w:rPr>
      </w:pPr>
      <w:r>
        <w:rPr>
          <w:rFonts w:asciiTheme="majorEastAsia" w:hAnsiTheme="majorEastAsia" w:eastAsiaTheme="majorEastAsia"/>
          <w:color w:val="auto"/>
        </w:rPr>
        <w:t>2.5.3 未参加磋商活动的供应商或在磋商活动中自身权益未受到损害的供应商所提出的质疑。</w:t>
      </w:r>
    </w:p>
    <w:p w14:paraId="78C7CC4E">
      <w:pPr>
        <w:pStyle w:val="113"/>
        <w:rPr>
          <w:rFonts w:asciiTheme="majorEastAsia" w:hAnsiTheme="majorEastAsia" w:eastAsiaTheme="majorEastAsia"/>
          <w:color w:val="auto"/>
        </w:rPr>
      </w:pPr>
      <w:r>
        <w:rPr>
          <w:rFonts w:asciiTheme="majorEastAsia" w:hAnsiTheme="majorEastAsia" w:eastAsiaTheme="majorEastAsia"/>
          <w:color w:val="auto"/>
        </w:rPr>
        <w:t>2.6 供应商提出书面质疑必须有理、有据，不得捏造事实、提供虚假材料进行恶意质疑。否则，一经查实，</w:t>
      </w:r>
      <w:r>
        <w:rPr>
          <w:rFonts w:hint="eastAsia" w:asciiTheme="majorEastAsia" w:hAnsiTheme="majorEastAsia" w:eastAsiaTheme="majorEastAsia"/>
          <w:color w:val="auto"/>
        </w:rPr>
        <w:t>采购人</w:t>
      </w:r>
      <w:r>
        <w:rPr>
          <w:rFonts w:asciiTheme="majorEastAsia" w:hAnsiTheme="majorEastAsia" w:eastAsiaTheme="majorEastAsia"/>
          <w:color w:val="auto"/>
        </w:rPr>
        <w:t>有权依据政府采购的有关规定，报请政府采购监管部门对该供应商进行相应的行政处罚和记录该供应商的失信信息。</w:t>
      </w:r>
    </w:p>
    <w:p w14:paraId="2312B3FE">
      <w:pPr>
        <w:pStyle w:val="113"/>
        <w:rPr>
          <w:rFonts w:asciiTheme="majorEastAsia" w:hAnsiTheme="majorEastAsia" w:eastAsiaTheme="majorEastAsia"/>
          <w:color w:val="auto"/>
        </w:rPr>
      </w:pPr>
      <w:r>
        <w:rPr>
          <w:rFonts w:asciiTheme="majorEastAsia" w:hAnsiTheme="majorEastAsia" w:eastAsiaTheme="majorEastAsia"/>
          <w:color w:val="auto"/>
        </w:rPr>
        <w:t>3．成交通知书</w:t>
      </w:r>
    </w:p>
    <w:p w14:paraId="7C8C3E0F">
      <w:pPr>
        <w:pStyle w:val="113"/>
        <w:rPr>
          <w:rFonts w:asciiTheme="majorEastAsia" w:hAnsiTheme="majorEastAsia" w:eastAsiaTheme="majorEastAsia"/>
          <w:color w:val="auto"/>
        </w:rPr>
      </w:pPr>
      <w:r>
        <w:rPr>
          <w:rFonts w:asciiTheme="majorEastAsia" w:hAnsiTheme="majorEastAsia" w:eastAsiaTheme="majorEastAsia"/>
          <w:color w:val="auto"/>
        </w:rPr>
        <w:t>3.l 成交结果确定后，</w:t>
      </w:r>
      <w:r>
        <w:rPr>
          <w:rFonts w:hint="eastAsia" w:asciiTheme="majorEastAsia" w:hAnsiTheme="majorEastAsia" w:eastAsiaTheme="majorEastAsia"/>
          <w:color w:val="auto"/>
        </w:rPr>
        <w:t>采购人</w:t>
      </w:r>
      <w:r>
        <w:rPr>
          <w:rFonts w:asciiTheme="majorEastAsia" w:hAnsiTheme="majorEastAsia" w:eastAsiaTheme="majorEastAsia"/>
          <w:color w:val="auto"/>
        </w:rPr>
        <w:t>将向成交供应商发出成交通知书。</w:t>
      </w:r>
    </w:p>
    <w:p w14:paraId="755AC8C6">
      <w:pPr>
        <w:pStyle w:val="113"/>
        <w:rPr>
          <w:rFonts w:asciiTheme="majorEastAsia" w:hAnsiTheme="majorEastAsia" w:eastAsiaTheme="majorEastAsia"/>
          <w:color w:val="auto"/>
        </w:rPr>
      </w:pPr>
      <w:r>
        <w:rPr>
          <w:rFonts w:asciiTheme="majorEastAsia" w:hAnsiTheme="majorEastAsia" w:eastAsiaTheme="majorEastAsia"/>
          <w:color w:val="auto"/>
        </w:rPr>
        <w:t>3.2成交通知书将是合同的一个组成部分。对采购人和成交供应商均具有法律效力。成交通知书发出后，采购人改变成交结果的，或者成交供应商放弃磋商项目的，应当依法承担法律责任。</w:t>
      </w:r>
    </w:p>
    <w:p w14:paraId="7E0F543C">
      <w:pPr>
        <w:pStyle w:val="111"/>
        <w:rPr>
          <w:rFonts w:asciiTheme="majorEastAsia" w:hAnsiTheme="majorEastAsia" w:eastAsiaTheme="majorEastAsia"/>
          <w:bCs/>
          <w:color w:val="auto"/>
        </w:rPr>
      </w:pPr>
      <w:bookmarkStart w:id="136" w:name="_Toc120614220"/>
      <w:bookmarkStart w:id="137" w:name="_Toc513029236"/>
      <w:bookmarkStart w:id="138" w:name="_Toc20823308"/>
      <w:bookmarkStart w:id="139" w:name="_Toc16938552"/>
      <w:r>
        <w:rPr>
          <w:rFonts w:asciiTheme="majorEastAsia" w:hAnsiTheme="majorEastAsia" w:eastAsiaTheme="majorEastAsia"/>
          <w:bCs/>
          <w:color w:val="auto"/>
        </w:rPr>
        <w:t>（七）授予合同</w:t>
      </w:r>
      <w:bookmarkEnd w:id="136"/>
    </w:p>
    <w:bookmarkEnd w:id="137"/>
    <w:bookmarkEnd w:id="138"/>
    <w:bookmarkEnd w:id="139"/>
    <w:p w14:paraId="385917F9">
      <w:pPr>
        <w:pStyle w:val="111"/>
        <w:rPr>
          <w:rFonts w:asciiTheme="majorEastAsia" w:hAnsiTheme="majorEastAsia" w:eastAsiaTheme="majorEastAsia"/>
          <w:color w:val="auto"/>
        </w:rPr>
      </w:pPr>
      <w:r>
        <w:rPr>
          <w:rFonts w:asciiTheme="majorEastAsia" w:hAnsiTheme="majorEastAsia" w:eastAsiaTheme="majorEastAsia"/>
          <w:color w:val="auto"/>
        </w:rPr>
        <w:t>1.签订合同</w:t>
      </w:r>
    </w:p>
    <w:p w14:paraId="7B367418">
      <w:pPr>
        <w:pStyle w:val="113"/>
        <w:rPr>
          <w:rFonts w:asciiTheme="majorEastAsia" w:hAnsiTheme="majorEastAsia" w:eastAsiaTheme="majorEastAsia"/>
          <w:color w:val="auto"/>
        </w:rPr>
      </w:pPr>
      <w:r>
        <w:rPr>
          <w:rFonts w:asciiTheme="majorEastAsia" w:hAnsiTheme="majorEastAsia" w:eastAsiaTheme="majorEastAsia"/>
          <w:bCs/>
          <w:color w:val="auto"/>
        </w:rPr>
        <w:t>1</w:t>
      </w:r>
      <w:r>
        <w:rPr>
          <w:rFonts w:asciiTheme="majorEastAsia" w:hAnsiTheme="majorEastAsia" w:eastAsiaTheme="majorEastAsia"/>
          <w:color w:val="auto"/>
        </w:rPr>
        <w:t>.l成交供应商应当在成交通知书发出之日起三十日内（在新冠疫情防控期间为十五日内），按照磋商文件确定的事项与采购人签订政府采购合同。</w:t>
      </w:r>
    </w:p>
    <w:p w14:paraId="198340BC">
      <w:pPr>
        <w:pStyle w:val="113"/>
        <w:rPr>
          <w:rFonts w:asciiTheme="majorEastAsia" w:hAnsiTheme="majorEastAsia" w:eastAsiaTheme="majorEastAsia"/>
          <w:color w:val="auto"/>
        </w:rPr>
      </w:pPr>
      <w:r>
        <w:rPr>
          <w:rFonts w:asciiTheme="majorEastAsia" w:hAnsiTheme="majorEastAsia" w:eastAsiaTheme="majorEastAsia"/>
          <w:color w:val="auto"/>
        </w:rPr>
        <w:t>1.2磋商文件、成交供应商的响应文件及磋商过程中有关澄清、承诺文件均应作为合同附件。</w:t>
      </w:r>
    </w:p>
    <w:p w14:paraId="002407A2">
      <w:pPr>
        <w:pStyle w:val="113"/>
        <w:rPr>
          <w:rFonts w:asciiTheme="majorEastAsia" w:hAnsiTheme="majorEastAsia" w:eastAsiaTheme="majorEastAsia"/>
          <w:color w:val="auto"/>
        </w:rPr>
      </w:pPr>
      <w:r>
        <w:rPr>
          <w:rFonts w:asciiTheme="majorEastAsia" w:hAnsiTheme="majorEastAsia" w:eastAsiaTheme="majorEastAsia"/>
          <w:color w:val="auto"/>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77706A1">
      <w:pPr>
        <w:pStyle w:val="111"/>
        <w:rPr>
          <w:rFonts w:asciiTheme="majorEastAsia" w:hAnsiTheme="majorEastAsia" w:eastAsiaTheme="majorEastAsia"/>
          <w:color w:val="auto"/>
        </w:rPr>
      </w:pPr>
      <w:r>
        <w:rPr>
          <w:rFonts w:asciiTheme="majorEastAsia" w:hAnsiTheme="majorEastAsia" w:eastAsiaTheme="majorEastAsia"/>
          <w:color w:val="auto"/>
        </w:rPr>
        <w:t>2.货物和服务的追加、减少和添购。</w:t>
      </w:r>
    </w:p>
    <w:p w14:paraId="243C92D1">
      <w:pPr>
        <w:pStyle w:val="113"/>
        <w:rPr>
          <w:rFonts w:asciiTheme="majorEastAsia" w:hAnsiTheme="majorEastAsia" w:eastAsiaTheme="majorEastAsia"/>
          <w:color w:val="auto"/>
        </w:rPr>
      </w:pPr>
      <w:r>
        <w:rPr>
          <w:rFonts w:asciiTheme="majorEastAsia" w:hAnsiTheme="majorEastAsia" w:eastAsiaTheme="majorEastAsia"/>
          <w:color w:val="auto"/>
        </w:rPr>
        <w:t>2.1政府采购合同履行中，采购人需追加与合同标的相同的货物和服务的，在不改变合同其他条款的前提下，可以与成交供应商协商签订补充合同，但所有补充合同的采购金额不超过原合同金额10%。</w:t>
      </w:r>
    </w:p>
    <w:p w14:paraId="0B9732BD">
      <w:pPr>
        <w:pStyle w:val="113"/>
        <w:rPr>
          <w:rFonts w:asciiTheme="majorEastAsia" w:hAnsiTheme="majorEastAsia" w:eastAsiaTheme="majorEastAsia"/>
          <w:color w:val="auto"/>
        </w:rPr>
      </w:pPr>
      <w:r>
        <w:rPr>
          <w:rFonts w:asciiTheme="majorEastAsia" w:hAnsiTheme="majorEastAsia" w:eastAsiaTheme="majorEastAsia"/>
          <w:color w:val="auto"/>
        </w:rPr>
        <w:t>2.2采购结束后，采购人若由于各种客观原因，必须对采购项目所牵涉的货物和服务进行适当的减少时，在双方协商一致的前提下，可以按照采购时的价格水平做相应的调减，并据此签订补充合同。</w:t>
      </w:r>
    </w:p>
    <w:p w14:paraId="60C10635">
      <w:pPr>
        <w:pStyle w:val="113"/>
        <w:rPr>
          <w:rFonts w:asciiTheme="majorEastAsia" w:hAnsiTheme="majorEastAsia" w:eastAsiaTheme="majorEastAsia"/>
          <w:b/>
          <w:bCs/>
          <w:color w:val="auto"/>
        </w:rPr>
      </w:pPr>
      <w:r>
        <w:rPr>
          <w:rFonts w:asciiTheme="majorEastAsia" w:hAnsiTheme="majorEastAsia" w:eastAsiaTheme="majorEastAsia"/>
          <w:color w:val="auto"/>
        </w:rPr>
        <w:t>3.</w:t>
      </w:r>
      <w:r>
        <w:rPr>
          <w:rFonts w:hint="eastAsia" w:asciiTheme="majorEastAsia" w:hAnsiTheme="majorEastAsia" w:eastAsiaTheme="majorEastAsia"/>
          <w:b/>
          <w:bCs/>
          <w:color w:val="auto"/>
        </w:rPr>
        <w:t>政府采购履约保证资金、合同信用融资扶持政策</w:t>
      </w:r>
    </w:p>
    <w:bookmarkEnd w:id="54"/>
    <w:bookmarkEnd w:id="55"/>
    <w:bookmarkEnd w:id="56"/>
    <w:bookmarkEnd w:id="57"/>
    <w:p w14:paraId="4F0AFB85">
      <w:pPr>
        <w:tabs>
          <w:tab w:val="left" w:pos="720"/>
        </w:tabs>
        <w:spacing w:line="460" w:lineRule="exact"/>
        <w:ind w:firstLine="422" w:firstLineChars="200"/>
        <w:jc w:val="center"/>
        <w:outlineLvl w:val="2"/>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3.1中标供应商如需获得履约保证金支持，可在南通市政府采购网直接线上办理线上履约保证保险申请，详情请见南通市政府采购网首页 “易企服”综合服务平台-金融产品全周期-履约</w:t>
      </w:r>
    </w:p>
    <w:p w14:paraId="5BDDEA10">
      <w:pPr>
        <w:tabs>
          <w:tab w:val="left" w:pos="720"/>
        </w:tabs>
        <w:spacing w:line="460" w:lineRule="exact"/>
        <w:outlineLvl w:val="2"/>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保证保险专栏。</w:t>
      </w:r>
    </w:p>
    <w:p w14:paraId="7FBCBB25">
      <w:pPr>
        <w:tabs>
          <w:tab w:val="left" w:pos="720"/>
        </w:tabs>
        <w:spacing w:line="460" w:lineRule="exact"/>
        <w:ind w:firstLine="422" w:firstLineChars="200"/>
        <w:jc w:val="left"/>
        <w:outlineLvl w:val="2"/>
        <w:rPr>
          <w:rFonts w:cs="Arial" w:asciiTheme="majorEastAsia" w:hAnsiTheme="majorEastAsia" w:eastAsiaTheme="majorEastAsia"/>
          <w:b/>
          <w:bCs/>
          <w:color w:val="auto"/>
          <w:sz w:val="32"/>
          <w:szCs w:val="32"/>
        </w:rPr>
      </w:pPr>
      <w:r>
        <w:rPr>
          <w:rFonts w:hint="eastAsia" w:asciiTheme="majorEastAsia" w:hAnsiTheme="majorEastAsia" w:eastAsiaTheme="majorEastAsia"/>
          <w:b/>
          <w:bCs/>
          <w:color w:val="auto"/>
          <w:szCs w:val="21"/>
        </w:rPr>
        <w:t>3.2根据《关于转发江苏省财政厅、中国人民银行南京分行&lt;关于深入推进政府采购线上合同信用融资工作的通知&gt;的通知》（通财购〔2021〕41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南通市政府采购网 “易企服”综合服务平台-金融产品全周期-贷款产品专栏。</w:t>
      </w:r>
      <w:r>
        <w:rPr>
          <w:rFonts w:cs="仿宋" w:asciiTheme="majorEastAsia" w:hAnsiTheme="majorEastAsia" w:eastAsiaTheme="majorEastAsia"/>
          <w:bCs/>
          <w:color w:val="auto"/>
          <w:szCs w:val="21"/>
        </w:rPr>
        <w:br w:type="page"/>
      </w:r>
    </w:p>
    <w:p w14:paraId="5E6A173A">
      <w:pPr>
        <w:pStyle w:val="109"/>
        <w:rPr>
          <w:rFonts w:asciiTheme="majorEastAsia" w:hAnsiTheme="majorEastAsia" w:eastAsiaTheme="majorEastAsia"/>
          <w:color w:val="auto"/>
          <w:sz w:val="36"/>
          <w:szCs w:val="36"/>
        </w:rPr>
      </w:pPr>
      <w:bookmarkStart w:id="140" w:name="OLE_LINK3"/>
      <w:r>
        <w:rPr>
          <w:rFonts w:hint="eastAsia" w:asciiTheme="majorEastAsia" w:hAnsiTheme="majorEastAsia" w:eastAsiaTheme="majorEastAsia"/>
          <w:color w:val="auto"/>
          <w:sz w:val="36"/>
          <w:szCs w:val="36"/>
        </w:rPr>
        <w:t>第三部分 项目需求</w:t>
      </w:r>
    </w:p>
    <w:p w14:paraId="536B70BF">
      <w:pPr>
        <w:pStyle w:val="111"/>
        <w:rPr>
          <w:rFonts w:hint="default" w:eastAsia="宋体"/>
          <w:color w:val="auto"/>
          <w:lang w:val="en-US" w:eastAsia="zh-CN"/>
        </w:rPr>
      </w:pPr>
      <w:r>
        <w:rPr>
          <w:rFonts w:hint="eastAsia"/>
          <w:color w:val="auto"/>
        </w:rPr>
        <w:t>一、</w:t>
      </w:r>
      <w:r>
        <w:rPr>
          <w:rFonts w:hint="eastAsia"/>
          <w:color w:val="auto"/>
          <w:lang w:val="en-US" w:eastAsia="zh-CN"/>
        </w:rPr>
        <w:t>项目背景</w:t>
      </w:r>
    </w:p>
    <w:p w14:paraId="1B9EE638">
      <w:pPr>
        <w:snapToGrid w:val="0"/>
        <w:spacing w:line="360" w:lineRule="auto"/>
        <w:ind w:firstLine="556"/>
        <w:rPr>
          <w:kern w:val="0"/>
          <w:sz w:val="24"/>
          <w:lang w:val="zh-CN"/>
        </w:rPr>
      </w:pPr>
      <w:r>
        <w:rPr>
          <w:rFonts w:hint="eastAsia"/>
          <w:kern w:val="0"/>
          <w:sz w:val="24"/>
          <w:lang w:val="zh-CN"/>
        </w:rPr>
        <w:t>医</w:t>
      </w:r>
      <w:r>
        <w:rPr>
          <w:kern w:val="0"/>
          <w:sz w:val="24"/>
          <w:lang w:val="zh-CN"/>
        </w:rPr>
        <w:t>院原有PDA</w:t>
      </w:r>
      <w:r>
        <w:rPr>
          <w:rFonts w:hint="eastAsia"/>
          <w:kern w:val="0"/>
          <w:sz w:val="24"/>
          <w:lang w:val="zh-CN"/>
        </w:rPr>
        <w:t>投</w:t>
      </w:r>
      <w:r>
        <w:rPr>
          <w:kern w:val="0"/>
          <w:sz w:val="24"/>
          <w:lang w:val="zh-CN"/>
        </w:rPr>
        <w:t>用使用年限已</w:t>
      </w:r>
      <w:r>
        <w:rPr>
          <w:rFonts w:hint="eastAsia"/>
          <w:kern w:val="0"/>
          <w:sz w:val="24"/>
          <w:lang w:val="zh-CN"/>
        </w:rPr>
        <w:t>5年</w:t>
      </w:r>
      <w:r>
        <w:rPr>
          <w:kern w:val="0"/>
          <w:sz w:val="24"/>
          <w:lang w:val="zh-CN"/>
        </w:rPr>
        <w:t>以上，原有PDA设备由于产品</w:t>
      </w:r>
      <w:r>
        <w:rPr>
          <w:rFonts w:hint="eastAsia"/>
          <w:kern w:val="0"/>
          <w:sz w:val="24"/>
          <w:lang w:val="zh-CN"/>
        </w:rPr>
        <w:t>使</w:t>
      </w:r>
      <w:r>
        <w:rPr>
          <w:kern w:val="0"/>
          <w:sz w:val="24"/>
          <w:lang w:val="zh-CN"/>
        </w:rPr>
        <w:t>用频率，</w:t>
      </w:r>
      <w:r>
        <w:rPr>
          <w:rFonts w:hint="eastAsia"/>
          <w:kern w:val="0"/>
          <w:sz w:val="24"/>
          <w:lang w:val="zh-CN"/>
        </w:rPr>
        <w:t>产</w:t>
      </w:r>
      <w:r>
        <w:rPr>
          <w:kern w:val="0"/>
          <w:sz w:val="24"/>
          <w:lang w:val="zh-CN"/>
        </w:rPr>
        <w:t>品</w:t>
      </w:r>
      <w:r>
        <w:rPr>
          <w:rFonts w:hint="eastAsia"/>
          <w:kern w:val="0"/>
          <w:sz w:val="24"/>
          <w:lang w:val="zh-CN"/>
        </w:rPr>
        <w:t>性</w:t>
      </w:r>
      <w:r>
        <w:rPr>
          <w:kern w:val="0"/>
          <w:sz w:val="24"/>
          <w:lang w:val="zh-CN"/>
        </w:rPr>
        <w:t>能</w:t>
      </w:r>
      <w:r>
        <w:rPr>
          <w:rFonts w:hint="eastAsia"/>
          <w:kern w:val="0"/>
          <w:sz w:val="24"/>
          <w:lang w:val="zh-CN"/>
        </w:rPr>
        <w:t>（软</w:t>
      </w:r>
      <w:r>
        <w:rPr>
          <w:kern w:val="0"/>
          <w:sz w:val="24"/>
          <w:lang w:val="zh-CN"/>
        </w:rPr>
        <w:t>件运行</w:t>
      </w:r>
      <w:r>
        <w:rPr>
          <w:rFonts w:hint="eastAsia"/>
          <w:kern w:val="0"/>
          <w:sz w:val="24"/>
          <w:lang w:val="zh-CN"/>
        </w:rPr>
        <w:t>卡顿、</w:t>
      </w:r>
      <w:r>
        <w:rPr>
          <w:kern w:val="0"/>
          <w:sz w:val="24"/>
          <w:lang w:val="zh-CN"/>
        </w:rPr>
        <w:t>电池待机时间缩短等）、以及软件</w:t>
      </w:r>
      <w:r>
        <w:rPr>
          <w:rFonts w:hint="eastAsia"/>
          <w:kern w:val="0"/>
          <w:sz w:val="24"/>
          <w:lang w:val="zh-CN"/>
        </w:rPr>
        <w:t>适</w:t>
      </w:r>
      <w:r>
        <w:rPr>
          <w:kern w:val="0"/>
          <w:sz w:val="24"/>
          <w:lang w:val="zh-CN"/>
        </w:rPr>
        <w:t>配</w:t>
      </w:r>
      <w:r>
        <w:rPr>
          <w:rFonts w:hint="eastAsia"/>
          <w:kern w:val="0"/>
          <w:sz w:val="24"/>
          <w:lang w:val="zh-CN"/>
        </w:rPr>
        <w:t>无</w:t>
      </w:r>
      <w:r>
        <w:rPr>
          <w:kern w:val="0"/>
          <w:sz w:val="24"/>
          <w:lang w:val="zh-CN"/>
        </w:rPr>
        <w:t>法满足医院现有软件功能使用。同</w:t>
      </w:r>
      <w:r>
        <w:rPr>
          <w:rFonts w:hint="eastAsia"/>
          <w:kern w:val="0"/>
          <w:sz w:val="24"/>
          <w:lang w:val="zh-CN"/>
        </w:rPr>
        <w:t>时</w:t>
      </w:r>
      <w:r>
        <w:rPr>
          <w:kern w:val="0"/>
          <w:sz w:val="24"/>
          <w:lang w:val="zh-CN"/>
        </w:rPr>
        <w:t>原有PDA已过保修年限，</w:t>
      </w:r>
      <w:r>
        <w:rPr>
          <w:rFonts w:hint="eastAsia"/>
          <w:kern w:val="0"/>
          <w:sz w:val="24"/>
          <w:lang w:val="zh-CN"/>
        </w:rPr>
        <w:t>设</w:t>
      </w:r>
      <w:r>
        <w:rPr>
          <w:kern w:val="0"/>
          <w:sz w:val="24"/>
          <w:lang w:val="zh-CN"/>
        </w:rPr>
        <w:t>备故障率上升，维修出现不及时、</w:t>
      </w:r>
      <w:r>
        <w:rPr>
          <w:rFonts w:hint="eastAsia"/>
          <w:kern w:val="0"/>
          <w:sz w:val="24"/>
          <w:lang w:val="zh-CN"/>
        </w:rPr>
        <w:t>缺</w:t>
      </w:r>
      <w:r>
        <w:rPr>
          <w:kern w:val="0"/>
          <w:sz w:val="24"/>
          <w:lang w:val="zh-CN"/>
        </w:rPr>
        <w:t>少配件</w:t>
      </w:r>
      <w:r>
        <w:rPr>
          <w:rFonts w:hint="eastAsia"/>
          <w:kern w:val="0"/>
          <w:sz w:val="24"/>
          <w:lang w:val="zh-CN"/>
        </w:rPr>
        <w:t>、</w:t>
      </w:r>
      <w:r>
        <w:rPr>
          <w:kern w:val="0"/>
          <w:sz w:val="24"/>
          <w:lang w:val="zh-CN"/>
        </w:rPr>
        <w:t>维修费用高。</w:t>
      </w:r>
      <w:r>
        <w:rPr>
          <w:rFonts w:hint="eastAsia"/>
          <w:kern w:val="0"/>
          <w:sz w:val="24"/>
          <w:lang w:val="zh-CN"/>
        </w:rPr>
        <w:t>综</w:t>
      </w:r>
      <w:r>
        <w:rPr>
          <w:kern w:val="0"/>
          <w:sz w:val="24"/>
          <w:lang w:val="zh-CN"/>
        </w:rPr>
        <w:t>合考虑</w:t>
      </w:r>
      <w:r>
        <w:rPr>
          <w:rFonts w:hint="eastAsia"/>
          <w:kern w:val="0"/>
          <w:sz w:val="24"/>
          <w:lang w:val="zh-CN"/>
        </w:rPr>
        <w:t>建议采</w:t>
      </w:r>
      <w:r>
        <w:rPr>
          <w:kern w:val="0"/>
          <w:sz w:val="24"/>
          <w:lang w:val="zh-CN"/>
        </w:rPr>
        <w:t>用分批次对原有PDA设备进行产品替换</w:t>
      </w:r>
      <w:r>
        <w:rPr>
          <w:rFonts w:hint="eastAsia"/>
          <w:kern w:val="0"/>
          <w:sz w:val="24"/>
          <w:lang w:val="zh-CN"/>
        </w:rPr>
        <w:t>。</w:t>
      </w:r>
    </w:p>
    <w:p w14:paraId="24FA8B31">
      <w:pPr>
        <w:pStyle w:val="111"/>
        <w:numPr>
          <w:ilvl w:val="0"/>
          <w:numId w:val="0"/>
        </w:numPr>
        <w:rPr>
          <w:rFonts w:hint="eastAsia"/>
          <w:color w:val="auto"/>
          <w:lang w:val="en-US" w:eastAsia="zh-CN"/>
        </w:rPr>
      </w:pPr>
      <w:r>
        <w:rPr>
          <w:rFonts w:hint="eastAsia"/>
          <w:color w:val="auto"/>
          <w:lang w:val="en-US" w:eastAsia="zh-CN"/>
        </w:rPr>
        <w:t>二、采购货物清单</w:t>
      </w:r>
    </w:p>
    <w:tbl>
      <w:tblPr>
        <w:tblStyle w:val="31"/>
        <w:tblW w:w="9199" w:type="dxa"/>
        <w:tblInd w:w="-1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746"/>
        <w:gridCol w:w="1272"/>
        <w:gridCol w:w="4943"/>
        <w:gridCol w:w="800"/>
        <w:gridCol w:w="1438"/>
      </w:tblGrid>
      <w:tr w14:paraId="52EE1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74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46D419">
            <w:pPr>
              <w:keepNext w:val="0"/>
              <w:keepLines w:val="0"/>
              <w:widowControl/>
              <w:suppressLineNumbers w:val="0"/>
              <w:spacing w:before="0" w:beforeAutospacing="0" w:after="0" w:afterAutospacing="0"/>
              <w:ind w:left="0" w:right="0"/>
              <w:jc w:val="center"/>
              <w:rPr>
                <w:rFonts w:hint="default"/>
                <w:b/>
                <w:bCs/>
                <w:kern w:val="0"/>
                <w:szCs w:val="21"/>
                <w:lang w:val="zh-CN"/>
              </w:rPr>
            </w:pPr>
            <w:r>
              <w:rPr>
                <w:rFonts w:hint="default"/>
                <w:b/>
                <w:bCs/>
                <w:kern w:val="0"/>
                <w:szCs w:val="21"/>
                <w:lang w:val="zh-CN"/>
              </w:rPr>
              <w:t>序号</w:t>
            </w:r>
          </w:p>
        </w:tc>
        <w:tc>
          <w:tcPr>
            <w:tcW w:w="127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FC5F0E">
            <w:pPr>
              <w:keepNext w:val="0"/>
              <w:keepLines w:val="0"/>
              <w:widowControl/>
              <w:suppressLineNumbers w:val="0"/>
              <w:spacing w:before="0" w:beforeAutospacing="0" w:after="0" w:afterAutospacing="0"/>
              <w:ind w:left="0" w:right="0"/>
              <w:jc w:val="center"/>
              <w:rPr>
                <w:rFonts w:hint="default"/>
                <w:b/>
                <w:bCs/>
                <w:kern w:val="0"/>
                <w:szCs w:val="21"/>
                <w:lang w:val="zh-CN"/>
              </w:rPr>
            </w:pPr>
            <w:r>
              <w:rPr>
                <w:rFonts w:hint="default"/>
                <w:b/>
                <w:bCs/>
                <w:kern w:val="0"/>
                <w:szCs w:val="21"/>
                <w:lang w:val="zh-CN"/>
              </w:rPr>
              <w:t>设备名称</w:t>
            </w:r>
          </w:p>
        </w:tc>
        <w:tc>
          <w:tcPr>
            <w:tcW w:w="494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E010A6">
            <w:pPr>
              <w:keepNext w:val="0"/>
              <w:keepLines w:val="0"/>
              <w:widowControl/>
              <w:suppressLineNumbers w:val="0"/>
              <w:spacing w:before="0" w:beforeAutospacing="0" w:after="0" w:afterAutospacing="0"/>
              <w:ind w:left="0" w:right="0"/>
              <w:jc w:val="center"/>
              <w:rPr>
                <w:rFonts w:hint="default"/>
                <w:b/>
                <w:bCs/>
                <w:kern w:val="0"/>
                <w:szCs w:val="21"/>
                <w:lang w:val="zh-CN"/>
              </w:rPr>
            </w:pPr>
            <w:r>
              <w:rPr>
                <w:rFonts w:hint="eastAsia"/>
                <w:b/>
                <w:bCs/>
                <w:kern w:val="0"/>
                <w:szCs w:val="21"/>
                <w:lang w:val="zh-CN"/>
              </w:rPr>
              <w:t>配置参数</w:t>
            </w:r>
            <w:r>
              <w:rPr>
                <w:rFonts w:hint="default"/>
                <w:b/>
                <w:bCs/>
                <w:kern w:val="0"/>
                <w:szCs w:val="21"/>
                <w:lang w:val="zh-CN"/>
              </w:rPr>
              <w:t>要求</w:t>
            </w:r>
          </w:p>
        </w:tc>
        <w:tc>
          <w:tcPr>
            <w:tcW w:w="8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C636E4">
            <w:pPr>
              <w:keepNext w:val="0"/>
              <w:keepLines w:val="0"/>
              <w:widowControl/>
              <w:suppressLineNumbers w:val="0"/>
              <w:spacing w:before="0" w:beforeAutospacing="0" w:after="0" w:afterAutospacing="0"/>
              <w:ind w:left="0" w:right="0"/>
              <w:jc w:val="center"/>
              <w:rPr>
                <w:rFonts w:hint="default"/>
                <w:b/>
                <w:bCs/>
                <w:kern w:val="0"/>
                <w:szCs w:val="21"/>
                <w:lang w:val="zh-CN"/>
              </w:rPr>
            </w:pPr>
            <w:r>
              <w:rPr>
                <w:rFonts w:hint="default"/>
                <w:b/>
                <w:bCs/>
                <w:kern w:val="0"/>
                <w:szCs w:val="21"/>
                <w:lang w:val="zh-CN"/>
              </w:rPr>
              <w:t>数量</w:t>
            </w:r>
          </w:p>
        </w:tc>
        <w:tc>
          <w:tcPr>
            <w:tcW w:w="1438" w:type="dxa"/>
            <w:tcBorders>
              <w:top w:val="single" w:color="auto" w:sz="6" w:space="0"/>
              <w:left w:val="nil"/>
              <w:bottom w:val="single" w:color="auto" w:sz="6" w:space="0"/>
              <w:right w:val="single" w:color="auto" w:sz="6" w:space="0"/>
            </w:tcBorders>
            <w:shd w:val="clear" w:color="auto" w:fill="FFFFFF"/>
            <w:vAlign w:val="center"/>
          </w:tcPr>
          <w:p w14:paraId="63736AEF">
            <w:pPr>
              <w:keepNext w:val="0"/>
              <w:keepLines w:val="0"/>
              <w:widowControl/>
              <w:suppressLineNumbers w:val="0"/>
              <w:spacing w:before="0" w:beforeAutospacing="0" w:after="0" w:afterAutospacing="0"/>
              <w:ind w:left="0" w:right="0"/>
              <w:jc w:val="center"/>
              <w:rPr>
                <w:rFonts w:hint="default"/>
                <w:b/>
                <w:bCs/>
                <w:kern w:val="0"/>
                <w:szCs w:val="21"/>
                <w:lang w:val="zh-CN"/>
              </w:rPr>
            </w:pPr>
            <w:r>
              <w:rPr>
                <w:rFonts w:hint="eastAsia"/>
                <w:b/>
                <w:bCs/>
                <w:kern w:val="0"/>
                <w:szCs w:val="21"/>
                <w:lang w:val="zh-CN"/>
              </w:rPr>
              <w:t>建议</w:t>
            </w:r>
            <w:r>
              <w:rPr>
                <w:rFonts w:hint="default"/>
                <w:b/>
                <w:bCs/>
                <w:kern w:val="0"/>
                <w:szCs w:val="21"/>
                <w:lang w:val="zh-CN"/>
              </w:rPr>
              <w:t>品牌</w:t>
            </w:r>
          </w:p>
        </w:tc>
      </w:tr>
      <w:tr w14:paraId="06842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29" w:hRule="atLeast"/>
        </w:trPr>
        <w:tc>
          <w:tcPr>
            <w:tcW w:w="74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4DE7EF">
            <w:pPr>
              <w:keepNext w:val="0"/>
              <w:keepLines w:val="0"/>
              <w:widowControl/>
              <w:suppressLineNumbers w:val="0"/>
              <w:spacing w:before="0" w:beforeAutospacing="0" w:after="0" w:afterAutospacing="0"/>
              <w:ind w:left="0" w:right="0"/>
              <w:jc w:val="center"/>
              <w:rPr>
                <w:rFonts w:hint="default"/>
                <w:kern w:val="0"/>
                <w:szCs w:val="21"/>
                <w:lang w:val="zh-CN"/>
              </w:rPr>
            </w:pPr>
            <w:r>
              <w:rPr>
                <w:rFonts w:hint="eastAsia"/>
                <w:kern w:val="0"/>
                <w:szCs w:val="21"/>
                <w:lang w:val="zh-CN"/>
              </w:rPr>
              <w:t>1</w:t>
            </w:r>
          </w:p>
        </w:tc>
        <w:tc>
          <w:tcPr>
            <w:tcW w:w="127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C6F666">
            <w:pPr>
              <w:keepNext w:val="0"/>
              <w:keepLines w:val="0"/>
              <w:widowControl/>
              <w:suppressLineNumbers w:val="0"/>
              <w:spacing w:before="0" w:beforeAutospacing="0" w:after="0" w:afterAutospacing="0"/>
              <w:ind w:left="0" w:right="0"/>
              <w:jc w:val="center"/>
              <w:rPr>
                <w:rFonts w:hint="default"/>
                <w:kern w:val="0"/>
                <w:szCs w:val="21"/>
                <w:lang w:val="zh-CN"/>
              </w:rPr>
            </w:pPr>
            <w:r>
              <w:rPr>
                <w:rFonts w:hint="default"/>
                <w:kern w:val="0"/>
                <w:szCs w:val="21"/>
                <w:lang w:val="zh-CN"/>
              </w:rPr>
              <w:t xml:space="preserve">PDA </w:t>
            </w:r>
          </w:p>
        </w:tc>
        <w:tc>
          <w:tcPr>
            <w:tcW w:w="494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BF7E3F">
            <w:pPr>
              <w:keepNext w:val="0"/>
              <w:keepLines w:val="0"/>
              <w:widowControl/>
              <w:suppressLineNumbers w:val="0"/>
              <w:spacing w:before="0" w:beforeAutospacing="0" w:after="0" w:afterAutospacing="0"/>
              <w:ind w:left="0" w:right="0"/>
              <w:jc w:val="left"/>
              <w:rPr>
                <w:rFonts w:hint="default"/>
                <w:kern w:val="0"/>
                <w:szCs w:val="21"/>
                <w:lang w:val="zh-CN"/>
              </w:rPr>
            </w:pPr>
            <w:r>
              <w:rPr>
                <w:rFonts w:hint="eastAsia"/>
                <w:kern w:val="0"/>
                <w:szCs w:val="21"/>
                <w:lang w:val="zh-CN"/>
              </w:rPr>
              <w:t>Android 1</w:t>
            </w:r>
            <w:r>
              <w:rPr>
                <w:rFonts w:hint="default"/>
                <w:kern w:val="0"/>
                <w:szCs w:val="21"/>
                <w:lang w:val="zh-CN"/>
              </w:rPr>
              <w:t>1</w:t>
            </w:r>
            <w:r>
              <w:rPr>
                <w:rFonts w:hint="eastAsia"/>
                <w:kern w:val="0"/>
                <w:szCs w:val="21"/>
                <w:lang w:val="zh-CN"/>
              </w:rPr>
              <w:t>.0及以上，八核处理器、主频≥</w:t>
            </w:r>
            <w:r>
              <w:rPr>
                <w:rFonts w:hint="default"/>
                <w:kern w:val="0"/>
                <w:szCs w:val="21"/>
                <w:lang w:val="zh-CN"/>
              </w:rPr>
              <w:t>2</w:t>
            </w:r>
            <w:r>
              <w:rPr>
                <w:rFonts w:hint="eastAsia"/>
                <w:kern w:val="0"/>
                <w:szCs w:val="21"/>
                <w:lang w:val="zh-CN"/>
              </w:rPr>
              <w:t>.</w:t>
            </w:r>
            <w:r>
              <w:rPr>
                <w:rFonts w:hint="default"/>
                <w:kern w:val="0"/>
                <w:szCs w:val="21"/>
                <w:lang w:val="zh-CN"/>
              </w:rPr>
              <w:t>0</w:t>
            </w:r>
            <w:r>
              <w:rPr>
                <w:rFonts w:hint="eastAsia"/>
                <w:kern w:val="0"/>
                <w:szCs w:val="21"/>
                <w:lang w:val="zh-CN"/>
              </w:rPr>
              <w:t>GHz；内存≥</w:t>
            </w:r>
            <w:r>
              <w:rPr>
                <w:rFonts w:hint="default"/>
                <w:kern w:val="0"/>
                <w:szCs w:val="21"/>
                <w:lang w:val="zh-CN"/>
              </w:rPr>
              <w:t>4</w:t>
            </w:r>
            <w:r>
              <w:rPr>
                <w:rFonts w:hint="eastAsia"/>
                <w:kern w:val="0"/>
                <w:szCs w:val="21"/>
                <w:lang w:val="zh-CN"/>
              </w:rPr>
              <w:t>GB；存储≥</w:t>
            </w:r>
            <w:r>
              <w:rPr>
                <w:rFonts w:hint="default"/>
                <w:kern w:val="0"/>
                <w:szCs w:val="21"/>
                <w:lang w:val="zh-CN"/>
              </w:rPr>
              <w:t>64</w:t>
            </w:r>
            <w:r>
              <w:rPr>
                <w:rFonts w:hint="eastAsia"/>
                <w:kern w:val="0"/>
                <w:szCs w:val="21"/>
                <w:lang w:val="zh-CN"/>
              </w:rPr>
              <w:t>GB, 电池≥4</w:t>
            </w:r>
            <w:r>
              <w:rPr>
                <w:rFonts w:hint="default"/>
                <w:kern w:val="0"/>
                <w:szCs w:val="21"/>
                <w:lang w:val="zh-CN"/>
              </w:rPr>
              <w:t>5</w:t>
            </w:r>
            <w:r>
              <w:rPr>
                <w:rFonts w:hint="eastAsia"/>
                <w:kern w:val="0"/>
                <w:szCs w:val="21"/>
                <w:lang w:val="zh-CN"/>
              </w:rPr>
              <w:t>00mAh，屏幕≥5.</w:t>
            </w:r>
            <w:r>
              <w:rPr>
                <w:rFonts w:hint="default"/>
                <w:kern w:val="0"/>
                <w:szCs w:val="21"/>
                <w:lang w:val="zh-CN"/>
              </w:rPr>
              <w:t>5</w:t>
            </w:r>
            <w:r>
              <w:rPr>
                <w:rFonts w:hint="eastAsia"/>
                <w:kern w:val="0"/>
                <w:szCs w:val="21"/>
                <w:lang w:val="zh-CN"/>
              </w:rPr>
              <w:t>寸彩色。</w:t>
            </w:r>
          </w:p>
          <w:p w14:paraId="7BF64636">
            <w:pPr>
              <w:keepNext w:val="0"/>
              <w:keepLines w:val="0"/>
              <w:widowControl/>
              <w:suppressLineNumbers w:val="0"/>
              <w:spacing w:before="0" w:beforeAutospacing="0" w:after="0" w:afterAutospacing="0"/>
              <w:ind w:left="0" w:right="0"/>
              <w:jc w:val="left"/>
              <w:rPr>
                <w:rFonts w:hint="default"/>
                <w:kern w:val="0"/>
                <w:szCs w:val="21"/>
                <w:lang w:val="zh-CN"/>
              </w:rPr>
            </w:pPr>
            <w:r>
              <w:rPr>
                <w:rFonts w:hint="eastAsia"/>
                <w:kern w:val="0"/>
                <w:szCs w:val="21"/>
                <w:lang w:val="zh-CN"/>
              </w:rPr>
              <w:t>含管理平台接入license软件。</w:t>
            </w:r>
          </w:p>
          <w:p w14:paraId="4002C0D9">
            <w:pPr>
              <w:keepNext w:val="0"/>
              <w:keepLines w:val="0"/>
              <w:widowControl/>
              <w:suppressLineNumbers w:val="0"/>
              <w:spacing w:before="0" w:beforeAutospacing="0" w:after="0" w:afterAutospacing="0"/>
              <w:ind w:left="0" w:right="0"/>
              <w:jc w:val="left"/>
              <w:rPr>
                <w:rFonts w:hint="default"/>
                <w:kern w:val="0"/>
                <w:szCs w:val="21"/>
              </w:rPr>
            </w:pPr>
            <w:r>
              <w:rPr>
                <w:rFonts w:hint="eastAsia"/>
                <w:kern w:val="0"/>
                <w:szCs w:val="21"/>
                <w:lang w:val="zh-CN"/>
              </w:rPr>
              <w:t>提供原厂三年主机全保服务（包含人为损坏）。</w:t>
            </w:r>
          </w:p>
        </w:tc>
        <w:tc>
          <w:tcPr>
            <w:tcW w:w="8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0A93FB">
            <w:pPr>
              <w:keepNext w:val="0"/>
              <w:keepLines w:val="0"/>
              <w:widowControl/>
              <w:suppressLineNumbers w:val="0"/>
              <w:spacing w:before="0" w:beforeAutospacing="0" w:after="0" w:afterAutospacing="0"/>
              <w:ind w:left="0" w:right="0"/>
              <w:jc w:val="center"/>
              <w:rPr>
                <w:rFonts w:hint="default"/>
                <w:kern w:val="0"/>
                <w:szCs w:val="21"/>
                <w:lang w:val="zh-CN"/>
              </w:rPr>
            </w:pPr>
            <w:r>
              <w:rPr>
                <w:rFonts w:hint="default"/>
                <w:kern w:val="0"/>
                <w:szCs w:val="21"/>
                <w:lang w:val="zh-CN"/>
              </w:rPr>
              <w:t>83</w:t>
            </w:r>
            <w:r>
              <w:rPr>
                <w:rFonts w:hint="eastAsia"/>
                <w:kern w:val="0"/>
                <w:szCs w:val="21"/>
                <w:lang w:val="zh-CN"/>
              </w:rPr>
              <w:t>台</w:t>
            </w:r>
          </w:p>
        </w:tc>
        <w:tc>
          <w:tcPr>
            <w:tcW w:w="1438" w:type="dxa"/>
            <w:tcBorders>
              <w:top w:val="single" w:color="auto" w:sz="6" w:space="0"/>
              <w:left w:val="nil"/>
              <w:bottom w:val="single" w:color="auto" w:sz="6" w:space="0"/>
              <w:right w:val="single" w:color="auto" w:sz="6" w:space="0"/>
            </w:tcBorders>
            <w:shd w:val="clear" w:color="auto" w:fill="FFFFFF"/>
            <w:vAlign w:val="center"/>
          </w:tcPr>
          <w:p w14:paraId="28D6CC14">
            <w:pPr>
              <w:keepNext w:val="0"/>
              <w:keepLines w:val="0"/>
              <w:widowControl/>
              <w:suppressLineNumbers w:val="0"/>
              <w:spacing w:before="0" w:beforeAutospacing="0" w:after="0" w:afterAutospacing="0"/>
              <w:ind w:left="0" w:right="0"/>
              <w:rPr>
                <w:rFonts w:hint="default"/>
                <w:kern w:val="0"/>
                <w:szCs w:val="21"/>
                <w:lang w:val="zh-CN"/>
              </w:rPr>
            </w:pPr>
            <w:r>
              <w:rPr>
                <w:rFonts w:hint="eastAsia"/>
                <w:kern w:val="0"/>
                <w:szCs w:val="21"/>
                <w:lang w:val="zh-CN"/>
              </w:rPr>
              <w:t>优尼泰克、希姆通、霍尼韦尔</w:t>
            </w:r>
          </w:p>
        </w:tc>
      </w:tr>
    </w:tbl>
    <w:p w14:paraId="04C8CB86">
      <w:pPr>
        <w:pStyle w:val="111"/>
      </w:pPr>
      <w:bookmarkStart w:id="141" w:name="_Toc86915703"/>
      <w:r>
        <w:rPr>
          <w:rFonts w:hint="eastAsia" w:cs="宋体"/>
          <w:sz w:val="24"/>
          <w:szCs w:val="24"/>
        </w:rPr>
        <w:t>注：</w:t>
      </w:r>
      <w:r>
        <w:rPr>
          <w:rFonts w:cs="宋体"/>
          <w:sz w:val="24"/>
          <w:szCs w:val="24"/>
        </w:rPr>
        <w:t>本次项目产品有建议品牌。投标供应商针对项目需求可以投“建议品牌”也可以投“非建议品牌”的产品，但所投“非建议品牌”产品的档次须等于或高于建议品牌档次，其产品技术参数须等于或优于建议品牌产品的技术参数，投标供应商提供非“建议品牌产品”参加投标响应的，必须按以下要求，针对投标产品，提供完整齐全的证明文件：①由相关机构出具的检测报告；②技术白皮书（对设备厂家核心技术的阐述）。如未提供则视其为重大漏项，作无效投标文件处理；同时经三分之二评委认定，所选品牌型号档次等于或优于建议品牌型号档次的，可视作完全响应建议品牌型号产品，否则将作无效投标处理。</w:t>
      </w:r>
    </w:p>
    <w:p w14:paraId="1EDCCECD">
      <w:pPr>
        <w:pStyle w:val="111"/>
      </w:pPr>
      <w:r>
        <w:rPr>
          <w:rFonts w:hint="eastAsia"/>
        </w:rPr>
        <w:t>三、采购标的需满足的质量、安全、技术规格、物理特性等要求</w:t>
      </w:r>
    </w:p>
    <w:tbl>
      <w:tblPr>
        <w:tblStyle w:val="3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30"/>
        <w:gridCol w:w="6495"/>
      </w:tblGrid>
      <w:tr w14:paraId="2B3C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895" w:type="dxa"/>
            <w:vAlign w:val="center"/>
          </w:tcPr>
          <w:p w14:paraId="6BA679F3">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序号</w:t>
            </w:r>
          </w:p>
        </w:tc>
        <w:tc>
          <w:tcPr>
            <w:tcW w:w="1530" w:type="dxa"/>
            <w:vAlign w:val="center"/>
          </w:tcPr>
          <w:p w14:paraId="05DFB9B2">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指标项</w:t>
            </w:r>
          </w:p>
        </w:tc>
        <w:tc>
          <w:tcPr>
            <w:tcW w:w="6495" w:type="dxa"/>
            <w:vAlign w:val="center"/>
          </w:tcPr>
          <w:p w14:paraId="51C911FA">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技术规格</w:t>
            </w:r>
          </w:p>
        </w:tc>
      </w:tr>
      <w:tr w14:paraId="4BA8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5" w:type="dxa"/>
            <w:vAlign w:val="center"/>
          </w:tcPr>
          <w:p w14:paraId="597A9F6C">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1</w:t>
            </w:r>
          </w:p>
        </w:tc>
        <w:tc>
          <w:tcPr>
            <w:tcW w:w="1530" w:type="dxa"/>
            <w:vAlign w:val="center"/>
          </w:tcPr>
          <w:p w14:paraId="4DFC274A">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操作系统</w:t>
            </w:r>
          </w:p>
        </w:tc>
        <w:tc>
          <w:tcPr>
            <w:tcW w:w="6495" w:type="dxa"/>
            <w:vAlign w:val="center"/>
          </w:tcPr>
          <w:p w14:paraId="312C1AB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rPr>
              <w:t>Android 11.0及以上, 针对医疗行业应用定制开发，需提供国家权威部门出具的医疗操作系统软件著作权证书扫描件，并加盖供应商公章</w:t>
            </w:r>
          </w:p>
        </w:tc>
      </w:tr>
      <w:tr w14:paraId="40A9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14:paraId="1498000B">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2</w:t>
            </w:r>
          </w:p>
        </w:tc>
        <w:tc>
          <w:tcPr>
            <w:tcW w:w="1530" w:type="dxa"/>
            <w:vAlign w:val="center"/>
          </w:tcPr>
          <w:p w14:paraId="0E02C972">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kern w:val="0"/>
                <w:szCs w:val="21"/>
              </w:rPr>
              <w:t>CPU</w:t>
            </w:r>
          </w:p>
        </w:tc>
        <w:tc>
          <w:tcPr>
            <w:tcW w:w="6495" w:type="dxa"/>
            <w:vAlign w:val="center"/>
          </w:tcPr>
          <w:p w14:paraId="2FB41082">
            <w:pPr>
              <w:keepNext w:val="0"/>
              <w:keepLines w:val="0"/>
              <w:suppressLineNumbers w:val="0"/>
              <w:spacing w:before="60" w:beforeAutospacing="0" w:after="60" w:afterAutospacing="0" w:line="240" w:lineRule="atLeast"/>
              <w:ind w:left="0" w:right="0"/>
              <w:rPr>
                <w:rFonts w:hint="default"/>
              </w:rPr>
            </w:pPr>
            <w:r>
              <w:rPr>
                <w:rFonts w:hint="eastAsia" w:ascii="宋体" w:hAnsi="宋体" w:cs="宋体"/>
                <w:kern w:val="0"/>
                <w:szCs w:val="21"/>
              </w:rPr>
              <w:t>八核处理器</w:t>
            </w:r>
            <w:r>
              <w:rPr>
                <w:rFonts w:hint="eastAsia" w:ascii="宋体" w:hAnsi="宋体" w:cs="宋体"/>
                <w:szCs w:val="21"/>
                <w:lang w:bidi="en-US"/>
              </w:rPr>
              <w:t>、主频≥2.0GHz；内存≥4GB；</w:t>
            </w:r>
            <w:r>
              <w:rPr>
                <w:rFonts w:hint="eastAsia" w:ascii="宋体" w:hAnsi="宋体" w:cs="宋体"/>
                <w:kern w:val="0"/>
                <w:szCs w:val="21"/>
              </w:rPr>
              <w:t>存储≥64GB,SD卡可扩充到128G</w:t>
            </w:r>
          </w:p>
        </w:tc>
      </w:tr>
      <w:tr w14:paraId="0A8A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5" w:type="dxa"/>
            <w:vAlign w:val="center"/>
          </w:tcPr>
          <w:p w14:paraId="5B8B20DB">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3</w:t>
            </w:r>
          </w:p>
        </w:tc>
        <w:tc>
          <w:tcPr>
            <w:tcW w:w="1530" w:type="dxa"/>
            <w:vAlign w:val="center"/>
          </w:tcPr>
          <w:p w14:paraId="210047CF">
            <w:pPr>
              <w:keepNext w:val="0"/>
              <w:keepLines w:val="0"/>
              <w:suppressLineNumbers w:val="0"/>
              <w:spacing w:before="60" w:beforeAutospacing="0" w:after="60" w:afterAutospacing="0" w:line="240" w:lineRule="atLeast"/>
              <w:ind w:left="0" w:right="0"/>
              <w:rPr>
                <w:rFonts w:hint="default" w:ascii="宋体" w:hAnsi="宋体" w:cs="宋体"/>
                <w:kern w:val="0"/>
                <w:szCs w:val="21"/>
              </w:rPr>
            </w:pPr>
            <w:r>
              <w:rPr>
                <w:rFonts w:hint="eastAsia" w:ascii="宋体" w:hAnsi="宋体" w:cs="宋体"/>
                <w:szCs w:val="21"/>
                <w:lang w:bidi="en-US"/>
              </w:rPr>
              <w:t>电池容量</w:t>
            </w:r>
          </w:p>
        </w:tc>
        <w:tc>
          <w:tcPr>
            <w:tcW w:w="6495" w:type="dxa"/>
            <w:vAlign w:val="center"/>
          </w:tcPr>
          <w:p w14:paraId="4707D29E">
            <w:pPr>
              <w:keepNext w:val="0"/>
              <w:keepLines w:val="0"/>
              <w:suppressLineNumbers w:val="0"/>
              <w:spacing w:before="60" w:beforeAutospacing="0" w:after="60" w:afterAutospacing="0" w:line="240" w:lineRule="atLeast"/>
              <w:ind w:left="0" w:right="0"/>
              <w:rPr>
                <w:rFonts w:hint="default" w:ascii="宋体" w:hAnsi="宋体" w:cs="宋体"/>
                <w:kern w:val="0"/>
                <w:szCs w:val="21"/>
              </w:rPr>
            </w:pPr>
            <w:r>
              <w:rPr>
                <w:rFonts w:hint="eastAsia" w:ascii="宋体" w:hAnsi="宋体" w:cs="宋体"/>
                <w:szCs w:val="21"/>
                <w:lang w:bidi="en-US"/>
              </w:rPr>
              <w:t>≥4500mAh，电池通过GB 31241-2014电池安全检测，提供电池CQC认证报告盖章扫描件</w:t>
            </w:r>
          </w:p>
        </w:tc>
      </w:tr>
      <w:tr w14:paraId="4745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5" w:type="dxa"/>
            <w:vAlign w:val="center"/>
          </w:tcPr>
          <w:p w14:paraId="5A4E16C1">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★4</w:t>
            </w:r>
          </w:p>
        </w:tc>
        <w:tc>
          <w:tcPr>
            <w:tcW w:w="1530" w:type="dxa"/>
            <w:vAlign w:val="center"/>
          </w:tcPr>
          <w:p w14:paraId="42A41269">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电池安装</w:t>
            </w:r>
          </w:p>
        </w:tc>
        <w:tc>
          <w:tcPr>
            <w:tcW w:w="6495" w:type="dxa"/>
            <w:vAlign w:val="center"/>
          </w:tcPr>
          <w:p w14:paraId="00C5EC88">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电池可拆卸并更换，无需任何辅助工具，确保后期维护和安装更换方便（拍照展示，提供盖章扫描件）</w:t>
            </w:r>
          </w:p>
        </w:tc>
      </w:tr>
      <w:tr w14:paraId="2BA2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5" w:type="dxa"/>
            <w:vAlign w:val="center"/>
          </w:tcPr>
          <w:p w14:paraId="5FFAE27D">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5</w:t>
            </w:r>
          </w:p>
        </w:tc>
        <w:tc>
          <w:tcPr>
            <w:tcW w:w="1530" w:type="dxa"/>
            <w:vAlign w:val="center"/>
          </w:tcPr>
          <w:p w14:paraId="12C92BF9">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显示屏</w:t>
            </w:r>
          </w:p>
        </w:tc>
        <w:tc>
          <w:tcPr>
            <w:tcW w:w="6495" w:type="dxa"/>
            <w:vAlign w:val="center"/>
          </w:tcPr>
          <w:p w14:paraId="5CE7AE1D">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≥5.5寸彩色1280*720多点触控屏，支持手套/带水触摸，超明亮，阳光下可视</w:t>
            </w:r>
          </w:p>
        </w:tc>
      </w:tr>
      <w:tr w14:paraId="4B3B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5" w:type="dxa"/>
            <w:vAlign w:val="center"/>
          </w:tcPr>
          <w:p w14:paraId="4023DCAF">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6</w:t>
            </w:r>
          </w:p>
        </w:tc>
        <w:tc>
          <w:tcPr>
            <w:tcW w:w="1530" w:type="dxa"/>
            <w:vAlign w:val="center"/>
          </w:tcPr>
          <w:p w14:paraId="1D907DA4">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尺寸</w:t>
            </w:r>
          </w:p>
        </w:tc>
        <w:tc>
          <w:tcPr>
            <w:tcW w:w="6495" w:type="dxa"/>
            <w:vAlign w:val="center"/>
          </w:tcPr>
          <w:p w14:paraId="1B0F1E21">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≤159*75*14.4 mm</w:t>
            </w:r>
          </w:p>
        </w:tc>
      </w:tr>
      <w:tr w14:paraId="2E63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5" w:type="dxa"/>
            <w:vAlign w:val="center"/>
          </w:tcPr>
          <w:p w14:paraId="36AA4BD1">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7</w:t>
            </w:r>
          </w:p>
        </w:tc>
        <w:tc>
          <w:tcPr>
            <w:tcW w:w="1530" w:type="dxa"/>
            <w:vAlign w:val="center"/>
          </w:tcPr>
          <w:p w14:paraId="41289087">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摄像头</w:t>
            </w:r>
          </w:p>
        </w:tc>
        <w:tc>
          <w:tcPr>
            <w:tcW w:w="6495" w:type="dxa"/>
            <w:vAlign w:val="center"/>
          </w:tcPr>
          <w:p w14:paraId="014C6C6D">
            <w:pPr>
              <w:keepNext w:val="0"/>
              <w:keepLines w:val="0"/>
              <w:suppressLineNumbers w:val="0"/>
              <w:spacing w:before="60" w:beforeAutospacing="0" w:after="60" w:afterAutospacing="0" w:line="240" w:lineRule="atLeast"/>
              <w:ind w:left="0" w:right="0"/>
              <w:rPr>
                <w:rFonts w:hint="default"/>
              </w:rPr>
            </w:pPr>
            <w:r>
              <w:rPr>
                <w:rFonts w:hint="eastAsia" w:ascii="宋体" w:hAnsi="宋体" w:cs="宋体"/>
                <w:szCs w:val="21"/>
                <w:lang w:bidi="en-US"/>
              </w:rPr>
              <w:t>后置≥1300万,前置≥500万</w:t>
            </w:r>
          </w:p>
        </w:tc>
      </w:tr>
      <w:tr w14:paraId="619D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5" w:type="dxa"/>
            <w:vAlign w:val="center"/>
          </w:tcPr>
          <w:p w14:paraId="7C4C9AC6">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8</w:t>
            </w:r>
          </w:p>
        </w:tc>
        <w:tc>
          <w:tcPr>
            <w:tcW w:w="1530" w:type="dxa"/>
            <w:vAlign w:val="center"/>
          </w:tcPr>
          <w:p w14:paraId="1ABA4F0F">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条码扫描引擎</w:t>
            </w:r>
          </w:p>
        </w:tc>
        <w:tc>
          <w:tcPr>
            <w:tcW w:w="6495" w:type="dxa"/>
            <w:vAlign w:val="center"/>
          </w:tcPr>
          <w:p w14:paraId="427A449C">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支持一维码、二维码扫描，支持屏幕扫描，同时支持污损残缺条码和避光带扫描</w:t>
            </w:r>
          </w:p>
        </w:tc>
      </w:tr>
      <w:tr w14:paraId="1DF6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5" w:type="dxa"/>
            <w:vAlign w:val="center"/>
          </w:tcPr>
          <w:p w14:paraId="02B5C82F">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9</w:t>
            </w:r>
          </w:p>
        </w:tc>
        <w:tc>
          <w:tcPr>
            <w:tcW w:w="1530" w:type="dxa"/>
            <w:vAlign w:val="center"/>
          </w:tcPr>
          <w:p w14:paraId="58670A7A">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rPr>
              <w:t>条码读取</w:t>
            </w:r>
          </w:p>
        </w:tc>
        <w:tc>
          <w:tcPr>
            <w:tcW w:w="6495" w:type="dxa"/>
            <w:vAlign w:val="center"/>
          </w:tcPr>
          <w:p w14:paraId="6B1AE4C6">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rPr>
              <w:t>支持GS1条码识别，扫描工具同步支持设置GS1应用标识分隔符开关功能（需提供功能截图证明文件）</w:t>
            </w:r>
          </w:p>
        </w:tc>
      </w:tr>
      <w:tr w14:paraId="7C67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47902755">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10</w:t>
            </w:r>
          </w:p>
        </w:tc>
        <w:tc>
          <w:tcPr>
            <w:tcW w:w="1530" w:type="dxa"/>
            <w:vAlign w:val="center"/>
          </w:tcPr>
          <w:p w14:paraId="59336563">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rPr>
              <w:t>准心模式</w:t>
            </w:r>
          </w:p>
        </w:tc>
        <w:tc>
          <w:tcPr>
            <w:tcW w:w="6495" w:type="dxa"/>
            <w:vAlign w:val="center"/>
          </w:tcPr>
          <w:p w14:paraId="6D655274">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可实现PDA准心扫描，防止相邻条码的误读（需提供功能截图证明文件）</w:t>
            </w:r>
          </w:p>
        </w:tc>
      </w:tr>
      <w:tr w14:paraId="674E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10D73728">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11</w:t>
            </w:r>
          </w:p>
        </w:tc>
        <w:tc>
          <w:tcPr>
            <w:tcW w:w="1530" w:type="dxa"/>
            <w:vAlign w:val="center"/>
          </w:tcPr>
          <w:p w14:paraId="4B7CF54D">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扫描按键</w:t>
            </w:r>
          </w:p>
        </w:tc>
        <w:tc>
          <w:tcPr>
            <w:tcW w:w="6495" w:type="dxa"/>
            <w:vAlign w:val="center"/>
          </w:tcPr>
          <w:p w14:paraId="098D752C">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 xml:space="preserve">同时支持左右两侧实体扫描按键及屏幕虚拟扫描按键（需提供屏幕虚拟扫描按键功能设置截图证明文件） </w:t>
            </w:r>
          </w:p>
        </w:tc>
      </w:tr>
      <w:tr w14:paraId="5A20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070B868C">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12</w:t>
            </w:r>
          </w:p>
        </w:tc>
        <w:tc>
          <w:tcPr>
            <w:tcW w:w="1530" w:type="dxa"/>
            <w:vAlign w:val="center"/>
          </w:tcPr>
          <w:p w14:paraId="43C3C829">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网络连接</w:t>
            </w:r>
          </w:p>
        </w:tc>
        <w:tc>
          <w:tcPr>
            <w:tcW w:w="6495" w:type="dxa"/>
            <w:vAlign w:val="center"/>
          </w:tcPr>
          <w:p w14:paraId="098257D9">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IEEE 802.11a/b/g/n/ac，支持2.4G及5G频段</w:t>
            </w:r>
          </w:p>
        </w:tc>
      </w:tr>
      <w:tr w14:paraId="1D07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5D213B37">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★13</w:t>
            </w:r>
          </w:p>
        </w:tc>
        <w:tc>
          <w:tcPr>
            <w:tcW w:w="1530" w:type="dxa"/>
            <w:vAlign w:val="center"/>
          </w:tcPr>
          <w:p w14:paraId="22F71F02">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无线网络安全性</w:t>
            </w:r>
          </w:p>
        </w:tc>
        <w:tc>
          <w:tcPr>
            <w:tcW w:w="6495" w:type="dxa"/>
            <w:vAlign w:val="center"/>
          </w:tcPr>
          <w:p w14:paraId="488DE00C">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 xml:space="preserve">WEP, 802.1x, TKIP, AES, LEAP, PEAPv0, PEAPv1, EAP-M, SCHAPv2 </w:t>
            </w:r>
          </w:p>
          <w:p w14:paraId="0F1FCA88">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EAP-GTC, EAP-TLS, EAP-TTLS, WPA-PSK, WPA2</w:t>
            </w:r>
          </w:p>
        </w:tc>
      </w:tr>
      <w:tr w14:paraId="4D9B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5A795A53">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★14</w:t>
            </w:r>
          </w:p>
        </w:tc>
        <w:tc>
          <w:tcPr>
            <w:tcW w:w="1530" w:type="dxa"/>
            <w:vAlign w:val="center"/>
          </w:tcPr>
          <w:p w14:paraId="4E98B7FD">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蓝牙</w:t>
            </w:r>
          </w:p>
        </w:tc>
        <w:tc>
          <w:tcPr>
            <w:tcW w:w="6495" w:type="dxa"/>
            <w:vAlign w:val="center"/>
          </w:tcPr>
          <w:p w14:paraId="11AE90D9">
            <w:pPr>
              <w:keepNext w:val="0"/>
              <w:keepLines w:val="0"/>
              <w:suppressLineNumbers w:val="0"/>
              <w:spacing w:before="0" w:beforeAutospacing="0" w:after="0" w:afterAutospacing="0"/>
              <w:ind w:left="0" w:right="0"/>
              <w:rPr>
                <w:rFonts w:hint="default" w:ascii="宋体" w:hAnsi="宋体" w:cs="宋体"/>
                <w:szCs w:val="21"/>
                <w:lang w:bidi="en-US"/>
              </w:rPr>
            </w:pPr>
            <w:r>
              <w:rPr>
                <w:rFonts w:hint="eastAsia" w:ascii="宋体" w:hAnsi="宋体" w:cs="宋体"/>
                <w:szCs w:val="21"/>
                <w:lang w:bidi="en-US"/>
              </w:rPr>
              <w:t>Bluetooth Class 5.1</w:t>
            </w:r>
          </w:p>
        </w:tc>
      </w:tr>
      <w:tr w14:paraId="5720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95" w:type="dxa"/>
            <w:vAlign w:val="center"/>
          </w:tcPr>
          <w:p w14:paraId="2DE8C137">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15</w:t>
            </w:r>
          </w:p>
        </w:tc>
        <w:tc>
          <w:tcPr>
            <w:tcW w:w="1530" w:type="dxa"/>
            <w:vAlign w:val="center"/>
          </w:tcPr>
          <w:p w14:paraId="6D297DB0">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振动</w:t>
            </w:r>
          </w:p>
        </w:tc>
        <w:tc>
          <w:tcPr>
            <w:tcW w:w="6495" w:type="dxa"/>
            <w:vAlign w:val="center"/>
          </w:tcPr>
          <w:p w14:paraId="1ADAEAA4">
            <w:pPr>
              <w:keepNext w:val="0"/>
              <w:keepLines w:val="0"/>
              <w:suppressLineNumbers w:val="0"/>
              <w:spacing w:before="0" w:beforeAutospacing="0" w:after="0" w:afterAutospacing="0"/>
              <w:ind w:left="0" w:right="0"/>
              <w:rPr>
                <w:rFonts w:hint="default" w:ascii="宋体" w:hAnsi="宋体" w:cs="宋体"/>
                <w:szCs w:val="21"/>
                <w:lang w:bidi="en-US"/>
              </w:rPr>
            </w:pPr>
            <w:r>
              <w:rPr>
                <w:rFonts w:hint="eastAsia" w:ascii="宋体" w:hAnsi="宋体" w:cs="宋体"/>
                <w:szCs w:val="21"/>
                <w:lang w:bidi="en-US"/>
              </w:rPr>
              <w:t>自带振动马达</w:t>
            </w:r>
          </w:p>
        </w:tc>
      </w:tr>
      <w:tr w14:paraId="4E4F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vAlign w:val="center"/>
          </w:tcPr>
          <w:p w14:paraId="5B259F12">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★16</w:t>
            </w:r>
          </w:p>
        </w:tc>
        <w:tc>
          <w:tcPr>
            <w:tcW w:w="1530" w:type="dxa"/>
            <w:vAlign w:val="center"/>
          </w:tcPr>
          <w:p w14:paraId="43F52F35">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工业防护等级</w:t>
            </w:r>
          </w:p>
        </w:tc>
        <w:tc>
          <w:tcPr>
            <w:tcW w:w="6495" w:type="dxa"/>
            <w:vAlign w:val="center"/>
          </w:tcPr>
          <w:p w14:paraId="074C73F4">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IP67或以上，（提供报告盖章扫描件）</w:t>
            </w:r>
          </w:p>
        </w:tc>
      </w:tr>
      <w:tr w14:paraId="7292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vAlign w:val="center"/>
          </w:tcPr>
          <w:p w14:paraId="33EE9E59">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★17</w:t>
            </w:r>
          </w:p>
        </w:tc>
        <w:tc>
          <w:tcPr>
            <w:tcW w:w="1530" w:type="dxa"/>
            <w:vAlign w:val="center"/>
          </w:tcPr>
          <w:p w14:paraId="27EAE3DB">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外壳材料</w:t>
            </w:r>
          </w:p>
        </w:tc>
        <w:tc>
          <w:tcPr>
            <w:tcW w:w="6495" w:type="dxa"/>
            <w:vAlign w:val="center"/>
          </w:tcPr>
          <w:p w14:paraId="7A62CB01">
            <w:pPr>
              <w:keepNext w:val="0"/>
              <w:keepLines w:val="0"/>
              <w:suppressLineNumbers w:val="0"/>
              <w:spacing w:before="60" w:beforeAutospacing="0" w:after="60" w:afterAutospacing="0" w:line="240" w:lineRule="atLeast"/>
              <w:ind w:left="0" w:right="0"/>
              <w:rPr>
                <w:rFonts w:hint="default" w:ascii="宋体" w:hAnsi="宋体" w:cs="宋体"/>
                <w:szCs w:val="21"/>
                <w:lang w:bidi="en-US"/>
              </w:rPr>
            </w:pPr>
            <w:r>
              <w:rPr>
                <w:rFonts w:hint="eastAsia" w:ascii="宋体" w:hAnsi="宋体" w:cs="宋体"/>
                <w:szCs w:val="21"/>
                <w:lang w:bidi="en-US"/>
              </w:rPr>
              <w:t>白色抑菌材料，可耐受医用酒精、过氧化氢、丙乙醇、次氯酸钠等医院常用消毒剂（含屏幕部分），并提供第三方具有CNAS和CMA资质实验室的耐医用酒精和医用过氧化氢擦拭的检测报告，提供测试报告盖章扫描件</w:t>
            </w:r>
          </w:p>
        </w:tc>
      </w:tr>
      <w:tr w14:paraId="3E49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5" w:type="dxa"/>
            <w:vAlign w:val="center"/>
          </w:tcPr>
          <w:p w14:paraId="441EF89E">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18</w:t>
            </w:r>
          </w:p>
        </w:tc>
        <w:tc>
          <w:tcPr>
            <w:tcW w:w="1530" w:type="dxa"/>
            <w:vAlign w:val="center"/>
          </w:tcPr>
          <w:p w14:paraId="6E45399D">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按键</w:t>
            </w:r>
          </w:p>
        </w:tc>
        <w:tc>
          <w:tcPr>
            <w:tcW w:w="6495" w:type="dxa"/>
            <w:vAlign w:val="center"/>
          </w:tcPr>
          <w:p w14:paraId="5FE9595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为便于消毒清洗设备正面必须为触控按键，不得有实体按键，提供虚拟扫描按键设置截图</w:t>
            </w:r>
          </w:p>
        </w:tc>
      </w:tr>
      <w:tr w14:paraId="14E3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5" w:type="dxa"/>
            <w:vAlign w:val="center"/>
          </w:tcPr>
          <w:p w14:paraId="340B6F9C">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★19</w:t>
            </w:r>
          </w:p>
        </w:tc>
        <w:tc>
          <w:tcPr>
            <w:tcW w:w="1530" w:type="dxa"/>
            <w:vAlign w:val="center"/>
          </w:tcPr>
          <w:p w14:paraId="2D3CF6B0">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防摔抗震</w:t>
            </w:r>
          </w:p>
        </w:tc>
        <w:tc>
          <w:tcPr>
            <w:tcW w:w="6495" w:type="dxa"/>
            <w:vAlign w:val="center"/>
          </w:tcPr>
          <w:p w14:paraId="0C9897CB">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可承受1.5m高处到地面的多次跌落；（需提供第三方机构出具跌落测试报告盖章扫描件，其委托单位必须为投标产品原厂商）</w:t>
            </w:r>
          </w:p>
        </w:tc>
      </w:tr>
      <w:tr w14:paraId="3DFC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5" w:type="dxa"/>
            <w:vAlign w:val="center"/>
          </w:tcPr>
          <w:p w14:paraId="4DE017F3">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20</w:t>
            </w:r>
          </w:p>
        </w:tc>
        <w:tc>
          <w:tcPr>
            <w:tcW w:w="1530" w:type="dxa"/>
            <w:vAlign w:val="center"/>
          </w:tcPr>
          <w:p w14:paraId="51A6A59A">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抗滚落能力</w:t>
            </w:r>
          </w:p>
        </w:tc>
        <w:tc>
          <w:tcPr>
            <w:tcW w:w="6495" w:type="dxa"/>
            <w:vAlign w:val="center"/>
          </w:tcPr>
          <w:p w14:paraId="2C3E77CA">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500x0.5 m范围内的滚落</w:t>
            </w:r>
          </w:p>
        </w:tc>
      </w:tr>
      <w:tr w14:paraId="4A4D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5" w:type="dxa"/>
            <w:vAlign w:val="center"/>
          </w:tcPr>
          <w:p w14:paraId="742E1806">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21</w:t>
            </w:r>
          </w:p>
        </w:tc>
        <w:tc>
          <w:tcPr>
            <w:tcW w:w="1530" w:type="dxa"/>
            <w:vAlign w:val="center"/>
          </w:tcPr>
          <w:p w14:paraId="56650E52">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重量</w:t>
            </w:r>
          </w:p>
        </w:tc>
        <w:tc>
          <w:tcPr>
            <w:tcW w:w="6495" w:type="dxa"/>
            <w:vAlign w:val="center"/>
          </w:tcPr>
          <w:p w14:paraId="53773F4D">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rPr>
              <w:t>≤258克（带电池）</w:t>
            </w:r>
          </w:p>
        </w:tc>
      </w:tr>
      <w:tr w14:paraId="64F7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5" w:type="dxa"/>
            <w:vAlign w:val="center"/>
          </w:tcPr>
          <w:p w14:paraId="0515FC7E">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kern w:val="0"/>
                <w:szCs w:val="21"/>
              </w:rPr>
              <w:t>★22</w:t>
            </w:r>
          </w:p>
        </w:tc>
        <w:tc>
          <w:tcPr>
            <w:tcW w:w="1530" w:type="dxa"/>
            <w:vAlign w:val="center"/>
          </w:tcPr>
          <w:p w14:paraId="04FDBB4E">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无故障时间</w:t>
            </w:r>
          </w:p>
        </w:tc>
        <w:tc>
          <w:tcPr>
            <w:tcW w:w="6495" w:type="dxa"/>
            <w:vAlign w:val="center"/>
          </w:tcPr>
          <w:p w14:paraId="243307EC">
            <w:pPr>
              <w:keepNext w:val="0"/>
              <w:keepLines w:val="0"/>
              <w:suppressLineNumbers w:val="0"/>
              <w:spacing w:before="0" w:beforeAutospacing="0" w:after="0" w:afterAutospacing="0" w:line="240" w:lineRule="atLeast"/>
              <w:ind w:left="0" w:right="0"/>
              <w:rPr>
                <w:rFonts w:hint="default" w:ascii="宋体" w:hAnsi="宋体" w:cs="宋体"/>
                <w:szCs w:val="21"/>
              </w:rPr>
            </w:pPr>
            <w:r>
              <w:rPr>
                <w:rFonts w:hint="eastAsia" w:ascii="宋体" w:hAnsi="宋体" w:cs="宋体"/>
                <w:szCs w:val="21"/>
              </w:rPr>
              <w:t>平均无故障时间不低于20000小时，并提供第三方检测报告盖章扫描件</w:t>
            </w:r>
          </w:p>
        </w:tc>
      </w:tr>
      <w:tr w14:paraId="669C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5" w:type="dxa"/>
            <w:vAlign w:val="center"/>
          </w:tcPr>
          <w:p w14:paraId="4EEB9BAC">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w:t>
            </w:r>
            <w:r>
              <w:rPr>
                <w:rFonts w:hint="eastAsia" w:ascii="宋体" w:hAnsi="宋体" w:cs="宋体"/>
                <w:kern w:val="0"/>
                <w:szCs w:val="21"/>
              </w:rPr>
              <w:t>23</w:t>
            </w:r>
          </w:p>
        </w:tc>
        <w:tc>
          <w:tcPr>
            <w:tcW w:w="1530" w:type="dxa"/>
            <w:vMerge w:val="restart"/>
            <w:vAlign w:val="center"/>
          </w:tcPr>
          <w:p w14:paraId="4330C0F3">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认证</w:t>
            </w:r>
          </w:p>
        </w:tc>
        <w:tc>
          <w:tcPr>
            <w:tcW w:w="6495" w:type="dxa"/>
            <w:vAlign w:val="center"/>
          </w:tcPr>
          <w:p w14:paraId="1946A19A">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CCC认证，</w:t>
            </w:r>
            <w:r>
              <w:rPr>
                <w:rFonts w:hint="eastAsia" w:ascii="宋体" w:hAnsi="宋体" w:cs="宋体"/>
                <w:szCs w:val="21"/>
              </w:rPr>
              <w:t>无线电发射设备型号核准证，WIFI联盟，电池空运和海运报告，并加盖公章扫描件</w:t>
            </w:r>
          </w:p>
        </w:tc>
      </w:tr>
      <w:tr w14:paraId="7449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5" w:type="dxa"/>
            <w:vAlign w:val="center"/>
          </w:tcPr>
          <w:p w14:paraId="4A774598">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24</w:t>
            </w:r>
          </w:p>
        </w:tc>
        <w:tc>
          <w:tcPr>
            <w:tcW w:w="1530" w:type="dxa"/>
            <w:vMerge w:val="continue"/>
            <w:vAlign w:val="center"/>
          </w:tcPr>
          <w:p w14:paraId="32A137B6">
            <w:pPr>
              <w:keepNext w:val="0"/>
              <w:keepLines w:val="0"/>
              <w:suppressLineNumbers w:val="0"/>
              <w:spacing w:before="0" w:beforeAutospacing="0" w:after="0" w:afterAutospacing="0" w:line="240" w:lineRule="atLeast"/>
              <w:ind w:left="0" w:right="0"/>
              <w:rPr>
                <w:rFonts w:hint="default" w:ascii="宋体" w:hAnsi="宋体" w:cs="宋体"/>
                <w:szCs w:val="21"/>
              </w:rPr>
            </w:pPr>
          </w:p>
        </w:tc>
        <w:tc>
          <w:tcPr>
            <w:tcW w:w="6495" w:type="dxa"/>
            <w:vAlign w:val="center"/>
          </w:tcPr>
          <w:p w14:paraId="437B1A14">
            <w:pPr>
              <w:keepNext w:val="0"/>
              <w:keepLines w:val="0"/>
              <w:suppressLineNumbers w:val="0"/>
              <w:spacing w:before="0" w:beforeAutospacing="0" w:after="0" w:afterAutospacing="0" w:line="240" w:lineRule="atLeast"/>
              <w:ind w:left="0" w:right="0"/>
              <w:rPr>
                <w:rFonts w:hint="default" w:ascii="宋体" w:hAnsi="宋体" w:cs="宋体"/>
                <w:szCs w:val="21"/>
              </w:rPr>
            </w:pPr>
            <w:r>
              <w:rPr>
                <w:rFonts w:hint="eastAsia" w:ascii="宋体" w:hAnsi="宋体" w:cs="宋体"/>
                <w:szCs w:val="21"/>
                <w:lang w:bidi="en-US"/>
              </w:rPr>
              <w:t>投标文件中需提供终端原厂产品彩页盖章扫描件</w:t>
            </w:r>
          </w:p>
        </w:tc>
      </w:tr>
      <w:tr w14:paraId="4114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5" w:type="dxa"/>
            <w:vAlign w:val="center"/>
          </w:tcPr>
          <w:p w14:paraId="53F720C0">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★25</w:t>
            </w:r>
          </w:p>
        </w:tc>
        <w:tc>
          <w:tcPr>
            <w:tcW w:w="1530" w:type="dxa"/>
            <w:vMerge w:val="continue"/>
            <w:vAlign w:val="center"/>
          </w:tcPr>
          <w:p w14:paraId="2383C198">
            <w:pPr>
              <w:keepNext w:val="0"/>
              <w:keepLines w:val="0"/>
              <w:suppressLineNumbers w:val="0"/>
              <w:spacing w:before="0" w:beforeAutospacing="0" w:after="0" w:afterAutospacing="0" w:line="240" w:lineRule="atLeast"/>
              <w:ind w:left="0" w:right="0"/>
              <w:rPr>
                <w:rFonts w:hint="default" w:ascii="宋体" w:hAnsi="宋体" w:cs="宋体"/>
                <w:szCs w:val="21"/>
              </w:rPr>
            </w:pPr>
          </w:p>
        </w:tc>
        <w:tc>
          <w:tcPr>
            <w:tcW w:w="6495" w:type="dxa"/>
            <w:vAlign w:val="center"/>
          </w:tcPr>
          <w:p w14:paraId="67DBACC1">
            <w:pPr>
              <w:keepNext w:val="0"/>
              <w:keepLines w:val="0"/>
              <w:suppressLineNumbers w:val="0"/>
              <w:spacing w:before="0" w:beforeAutospacing="0" w:after="0" w:afterAutospacing="0" w:line="240" w:lineRule="atLeast"/>
              <w:ind w:left="0" w:right="0"/>
              <w:rPr>
                <w:rFonts w:hint="default" w:ascii="宋体" w:hAnsi="宋体" w:cs="宋体"/>
                <w:szCs w:val="21"/>
              </w:rPr>
            </w:pPr>
            <w:r>
              <w:rPr>
                <w:rFonts w:hint="eastAsia" w:ascii="宋体" w:hAnsi="宋体" w:cs="宋体"/>
                <w:szCs w:val="21"/>
                <w:lang w:bidi="en-US"/>
              </w:rPr>
              <w:t>原厂三年主机全保服务（包含人为损坏）</w:t>
            </w:r>
          </w:p>
        </w:tc>
      </w:tr>
      <w:tr w14:paraId="2011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7B6C43CB">
            <w:pPr>
              <w:keepNext w:val="0"/>
              <w:keepLines w:val="0"/>
              <w:suppressLineNumbers w:val="0"/>
              <w:spacing w:before="0" w:beforeAutospacing="0" w:after="0" w:afterAutospacing="0" w:line="240" w:lineRule="atLeast"/>
              <w:ind w:left="0" w:right="0"/>
              <w:jc w:val="center"/>
              <w:rPr>
                <w:rFonts w:hint="default" w:ascii="宋体" w:hAnsi="宋体" w:cs="宋体"/>
                <w:kern w:val="0"/>
                <w:szCs w:val="21"/>
              </w:rPr>
            </w:pPr>
            <w:r>
              <w:rPr>
                <w:rFonts w:hint="eastAsia" w:ascii="宋体" w:hAnsi="宋体" w:cs="宋体"/>
                <w:szCs w:val="21"/>
                <w:lang w:bidi="en-US"/>
              </w:rPr>
              <w:t>26</w:t>
            </w:r>
          </w:p>
        </w:tc>
        <w:tc>
          <w:tcPr>
            <w:tcW w:w="1530" w:type="dxa"/>
            <w:vAlign w:val="center"/>
          </w:tcPr>
          <w:p w14:paraId="39B44684">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操作温度</w:t>
            </w:r>
          </w:p>
        </w:tc>
        <w:tc>
          <w:tcPr>
            <w:tcW w:w="6495" w:type="dxa"/>
            <w:vAlign w:val="center"/>
          </w:tcPr>
          <w:p w14:paraId="51290192">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-20°C 至+50°C</w:t>
            </w:r>
          </w:p>
        </w:tc>
      </w:tr>
      <w:tr w14:paraId="45ED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4796C99C">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27</w:t>
            </w:r>
          </w:p>
        </w:tc>
        <w:tc>
          <w:tcPr>
            <w:tcW w:w="1530" w:type="dxa"/>
            <w:vAlign w:val="center"/>
          </w:tcPr>
          <w:p w14:paraId="06D7753D">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存储温度</w:t>
            </w:r>
          </w:p>
        </w:tc>
        <w:tc>
          <w:tcPr>
            <w:tcW w:w="6495" w:type="dxa"/>
            <w:vAlign w:val="center"/>
          </w:tcPr>
          <w:p w14:paraId="1DB7A55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-4°F 至 148°F -20°C 至 +60°C</w:t>
            </w:r>
          </w:p>
        </w:tc>
      </w:tr>
      <w:tr w14:paraId="4A66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28C57E2B">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28</w:t>
            </w:r>
          </w:p>
        </w:tc>
        <w:tc>
          <w:tcPr>
            <w:tcW w:w="1530" w:type="dxa"/>
            <w:vAlign w:val="center"/>
          </w:tcPr>
          <w:p w14:paraId="7A61B53E">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湿度</w:t>
            </w:r>
          </w:p>
        </w:tc>
        <w:tc>
          <w:tcPr>
            <w:tcW w:w="6495" w:type="dxa"/>
            <w:vAlign w:val="center"/>
          </w:tcPr>
          <w:p w14:paraId="183A8FD5">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湿度5%至90% （无冷凝）</w:t>
            </w:r>
          </w:p>
        </w:tc>
      </w:tr>
      <w:tr w14:paraId="41F8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78BB4BB9">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29</w:t>
            </w:r>
          </w:p>
        </w:tc>
        <w:tc>
          <w:tcPr>
            <w:tcW w:w="1530" w:type="dxa"/>
            <w:vAlign w:val="center"/>
          </w:tcPr>
          <w:p w14:paraId="342E7066">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充电底座和手绳</w:t>
            </w:r>
          </w:p>
        </w:tc>
        <w:tc>
          <w:tcPr>
            <w:tcW w:w="6495" w:type="dxa"/>
            <w:vAlign w:val="center"/>
          </w:tcPr>
          <w:p w14:paraId="065A00AA">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每台配置单充底座和手绳</w:t>
            </w:r>
          </w:p>
        </w:tc>
      </w:tr>
      <w:tr w14:paraId="2D75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21539DC4">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30</w:t>
            </w:r>
          </w:p>
        </w:tc>
        <w:tc>
          <w:tcPr>
            <w:tcW w:w="1530" w:type="dxa"/>
            <w:vAlign w:val="center"/>
          </w:tcPr>
          <w:p w14:paraId="1EFCC57E">
            <w:pPr>
              <w:keepNext w:val="0"/>
              <w:keepLines w:val="0"/>
              <w:suppressLineNumbers w:val="0"/>
              <w:spacing w:before="0" w:beforeAutospacing="0" w:after="0" w:afterAutospacing="0" w:line="240" w:lineRule="atLeast"/>
              <w:ind w:left="0" w:right="0"/>
              <w:rPr>
                <w:rFonts w:hint="default" w:ascii="宋体" w:hAnsi="宋体" w:cs="宋体"/>
                <w:szCs w:val="21"/>
                <w:shd w:val="pct10" w:color="auto" w:fill="FFFFFF"/>
                <w:lang w:bidi="en-US"/>
              </w:rPr>
            </w:pPr>
            <w:r>
              <w:rPr>
                <w:rFonts w:hint="eastAsia" w:ascii="宋体" w:hAnsi="宋体" w:cs="宋体"/>
                <w:szCs w:val="21"/>
                <w:lang w:bidi="en-US"/>
              </w:rPr>
              <w:t>授权</w:t>
            </w:r>
          </w:p>
        </w:tc>
        <w:tc>
          <w:tcPr>
            <w:tcW w:w="6495" w:type="dxa"/>
            <w:vAlign w:val="center"/>
          </w:tcPr>
          <w:p w14:paraId="4899385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投标时提供原厂项目授权函和售后服务承诺函扫描件(原厂承诺主机三年全保，包含人为损坏)</w:t>
            </w:r>
          </w:p>
        </w:tc>
      </w:tr>
      <w:tr w14:paraId="47F5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08BF5D6D">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31</w:t>
            </w:r>
          </w:p>
        </w:tc>
        <w:tc>
          <w:tcPr>
            <w:tcW w:w="1530" w:type="dxa"/>
            <w:vAlign w:val="center"/>
          </w:tcPr>
          <w:p w14:paraId="7335F41F">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连续扫描</w:t>
            </w:r>
          </w:p>
        </w:tc>
        <w:tc>
          <w:tcPr>
            <w:tcW w:w="6495" w:type="dxa"/>
            <w:vAlign w:val="center"/>
          </w:tcPr>
          <w:p w14:paraId="60FEAC28">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可支持条码屏幕自动连续扫描，速度分快速、中速、慢速（需提供功能截图证明文件）</w:t>
            </w:r>
          </w:p>
        </w:tc>
      </w:tr>
      <w:tr w14:paraId="79A0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31FDF2ED">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★32</w:t>
            </w:r>
          </w:p>
        </w:tc>
        <w:tc>
          <w:tcPr>
            <w:tcW w:w="1530" w:type="dxa"/>
            <w:vAlign w:val="center"/>
          </w:tcPr>
          <w:p w14:paraId="5D4E3D78">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个性化桌面</w:t>
            </w:r>
          </w:p>
        </w:tc>
        <w:tc>
          <w:tcPr>
            <w:tcW w:w="6495" w:type="dxa"/>
            <w:vAlign w:val="center"/>
          </w:tcPr>
          <w:p w14:paraId="1347618E">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通过扫描二维码快速实现个性化桌面设置，满足不同的应用场景要求。（需提供个性化桌面著作权原厂商盖章扫描件）</w:t>
            </w:r>
          </w:p>
        </w:tc>
      </w:tr>
      <w:tr w14:paraId="0DBB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017DA302">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33</w:t>
            </w:r>
          </w:p>
        </w:tc>
        <w:tc>
          <w:tcPr>
            <w:tcW w:w="1530" w:type="dxa"/>
            <w:vAlign w:val="center"/>
          </w:tcPr>
          <w:p w14:paraId="041907E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网络安全管理</w:t>
            </w:r>
          </w:p>
        </w:tc>
        <w:tc>
          <w:tcPr>
            <w:tcW w:w="6495" w:type="dxa"/>
            <w:vAlign w:val="center"/>
          </w:tcPr>
          <w:p w14:paraId="2781336B">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不借助任何第三方软件实现添加网络白（黑）名单功能，屏蔽非法网络，确保设备院内医疗使用。（需提供功能截图证明文件）</w:t>
            </w:r>
          </w:p>
        </w:tc>
      </w:tr>
      <w:tr w14:paraId="275D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11317D44">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★34</w:t>
            </w:r>
          </w:p>
        </w:tc>
        <w:tc>
          <w:tcPr>
            <w:tcW w:w="1530" w:type="dxa"/>
            <w:vAlign w:val="center"/>
          </w:tcPr>
          <w:p w14:paraId="5B80210A">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防腐蚀测试</w:t>
            </w:r>
          </w:p>
        </w:tc>
        <w:tc>
          <w:tcPr>
            <w:tcW w:w="6495" w:type="dxa"/>
            <w:vAlign w:val="center"/>
          </w:tcPr>
          <w:p w14:paraId="6A3389E9">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投标产品通过GB/T2423.17-2008防腐（盐雾）检测（需提供第三方机构出具的测试报告或证书并加盖原厂商公章，其委托单位必须为投标产品原厂商，并且证书型号与投标型号必须一致）</w:t>
            </w:r>
          </w:p>
        </w:tc>
      </w:tr>
      <w:tr w14:paraId="314E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05887555">
            <w:pPr>
              <w:keepNext w:val="0"/>
              <w:keepLines w:val="0"/>
              <w:suppressLineNumbers w:val="0"/>
              <w:spacing w:before="0" w:beforeAutospacing="0" w:after="0" w:afterAutospacing="0" w:line="240" w:lineRule="atLeast"/>
              <w:ind w:left="0" w:right="0"/>
              <w:jc w:val="center"/>
              <w:rPr>
                <w:rFonts w:hint="default" w:ascii="宋体" w:hAnsi="宋体" w:cs="宋体"/>
                <w:szCs w:val="21"/>
                <w:lang w:bidi="en-US"/>
              </w:rPr>
            </w:pPr>
            <w:r>
              <w:rPr>
                <w:rFonts w:hint="eastAsia" w:ascii="宋体" w:hAnsi="宋体" w:cs="宋体"/>
                <w:szCs w:val="21"/>
                <w:lang w:bidi="en-US"/>
              </w:rPr>
              <w:t>★35</w:t>
            </w:r>
          </w:p>
        </w:tc>
        <w:tc>
          <w:tcPr>
            <w:tcW w:w="1530" w:type="dxa"/>
            <w:vAlign w:val="center"/>
          </w:tcPr>
          <w:p w14:paraId="0D750E87">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szCs w:val="21"/>
                <w:lang w:bidi="en-US"/>
              </w:rPr>
              <w:t>医用电气安全</w:t>
            </w:r>
          </w:p>
        </w:tc>
        <w:tc>
          <w:tcPr>
            <w:tcW w:w="6495" w:type="dxa"/>
            <w:vAlign w:val="center"/>
          </w:tcPr>
          <w:p w14:paraId="2201135C">
            <w:pPr>
              <w:keepNext w:val="0"/>
              <w:keepLines w:val="0"/>
              <w:suppressLineNumbers w:val="0"/>
              <w:spacing w:before="0" w:beforeAutospacing="0" w:after="0" w:afterAutospacing="0" w:line="240" w:lineRule="atLeast"/>
              <w:ind w:left="0" w:right="0"/>
              <w:rPr>
                <w:rFonts w:hint="default" w:ascii="宋体" w:hAnsi="宋体" w:cs="宋体"/>
                <w:szCs w:val="21"/>
                <w:lang w:bidi="en-US"/>
              </w:rPr>
            </w:pPr>
            <w:r>
              <w:rPr>
                <w:rFonts w:hint="eastAsia" w:ascii="宋体" w:hAnsi="宋体" w:cs="宋体"/>
                <w:kern w:val="0"/>
                <w:szCs w:val="21"/>
                <w:lang w:bidi="ar"/>
              </w:rPr>
              <w:t>投标产品通过</w:t>
            </w:r>
            <w:r>
              <w:rPr>
                <w:rFonts w:hint="eastAsia" w:ascii="宋体" w:hAnsi="宋体" w:cs="宋体"/>
                <w:szCs w:val="21"/>
              </w:rPr>
              <w:t>YY 9706.102-2021</w:t>
            </w:r>
            <w:r>
              <w:rPr>
                <w:rFonts w:hint="eastAsia" w:ascii="宋体" w:hAnsi="宋体" w:cs="宋体"/>
                <w:kern w:val="0"/>
                <w:szCs w:val="21"/>
                <w:lang w:bidi="ar"/>
              </w:rPr>
              <w:t xml:space="preserve"> 医用电气安全检测，需提供第三方CNAS实验室出具检测报告，其委托单位必须为投标产品原厂商，提供盖章扫描件</w:t>
            </w:r>
          </w:p>
        </w:tc>
      </w:tr>
      <w:tr w14:paraId="777C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5" w:type="dxa"/>
            <w:vAlign w:val="center"/>
          </w:tcPr>
          <w:p w14:paraId="3A688EC7">
            <w:pPr>
              <w:keepNext w:val="0"/>
              <w:keepLines w:val="0"/>
              <w:suppressLineNumbers w:val="0"/>
              <w:spacing w:before="0" w:beforeAutospacing="0" w:after="0" w:afterAutospacing="0" w:line="240" w:lineRule="atLeast"/>
              <w:ind w:left="0" w:right="0"/>
              <w:jc w:val="center"/>
              <w:rPr>
                <w:rFonts w:hint="default" w:ascii="宋体" w:hAnsi="宋体" w:cs="宋体"/>
                <w:szCs w:val="21"/>
                <w:highlight w:val="yellow"/>
                <w:lang w:bidi="en-US"/>
              </w:rPr>
            </w:pPr>
            <w:r>
              <w:rPr>
                <w:rFonts w:hint="eastAsia" w:ascii="宋体" w:hAnsi="宋体" w:cs="宋体"/>
                <w:szCs w:val="21"/>
                <w:highlight w:val="yellow"/>
                <w:lang w:bidi="en-US"/>
              </w:rPr>
              <w:t>★36</w:t>
            </w:r>
          </w:p>
        </w:tc>
        <w:tc>
          <w:tcPr>
            <w:tcW w:w="1530" w:type="dxa"/>
            <w:vAlign w:val="center"/>
          </w:tcPr>
          <w:p w14:paraId="4C108D1E">
            <w:pPr>
              <w:keepNext w:val="0"/>
              <w:keepLines w:val="0"/>
              <w:suppressLineNumbers w:val="0"/>
              <w:spacing w:before="0" w:beforeAutospacing="0" w:after="0" w:afterAutospacing="0" w:line="240" w:lineRule="atLeast"/>
              <w:ind w:left="0" w:right="0"/>
              <w:rPr>
                <w:rFonts w:hint="default" w:ascii="宋体" w:hAnsi="宋体" w:cs="宋体"/>
                <w:szCs w:val="21"/>
                <w:highlight w:val="yellow"/>
                <w:lang w:bidi="en-US"/>
              </w:rPr>
            </w:pPr>
            <w:r>
              <w:rPr>
                <w:rFonts w:hint="eastAsia" w:ascii="宋体" w:hAnsi="宋体" w:cs="宋体"/>
                <w:szCs w:val="21"/>
                <w:highlight w:val="yellow"/>
                <w:lang w:bidi="en-US"/>
              </w:rPr>
              <w:t>兼容性</w:t>
            </w:r>
          </w:p>
        </w:tc>
        <w:tc>
          <w:tcPr>
            <w:tcW w:w="6495" w:type="dxa"/>
            <w:vAlign w:val="center"/>
          </w:tcPr>
          <w:p w14:paraId="791CDDA9">
            <w:pPr>
              <w:keepNext w:val="0"/>
              <w:keepLines w:val="0"/>
              <w:suppressLineNumbers w:val="0"/>
              <w:spacing w:before="0" w:beforeAutospacing="0" w:after="0" w:afterAutospacing="0" w:line="240" w:lineRule="atLeast"/>
              <w:ind w:left="0" w:right="0"/>
              <w:rPr>
                <w:rFonts w:hint="default" w:ascii="宋体" w:hAnsi="宋体" w:cs="宋体"/>
                <w:kern w:val="0"/>
                <w:szCs w:val="21"/>
                <w:highlight w:val="yellow"/>
                <w:lang w:bidi="ar"/>
              </w:rPr>
            </w:pPr>
            <w:r>
              <w:rPr>
                <w:rFonts w:hint="eastAsia" w:ascii="宋体" w:hAnsi="宋体" w:cs="宋体"/>
                <w:kern w:val="0"/>
                <w:szCs w:val="21"/>
                <w:highlight w:val="yellow"/>
                <w:lang w:bidi="ar"/>
              </w:rPr>
              <w:t>支持接入医院</w:t>
            </w:r>
            <w:r>
              <w:rPr>
                <w:rFonts w:hint="eastAsia" w:ascii="宋体" w:hAnsi="宋体" w:cs="宋体"/>
                <w:kern w:val="0"/>
                <w:szCs w:val="21"/>
                <w:highlight w:val="yellow"/>
                <w:lang w:val="zh-CN" w:bidi="ar"/>
              </w:rPr>
              <w:t>PDA设备</w:t>
            </w:r>
            <w:r>
              <w:rPr>
                <w:rFonts w:hint="eastAsia" w:ascii="宋体" w:hAnsi="宋体" w:cs="宋体"/>
                <w:kern w:val="0"/>
                <w:szCs w:val="21"/>
                <w:highlight w:val="yellow"/>
                <w:lang w:bidi="ar"/>
              </w:rPr>
              <w:t>管理平台，投标时提供承诺函。</w:t>
            </w:r>
          </w:p>
        </w:tc>
      </w:tr>
    </w:tbl>
    <w:p w14:paraId="777BEC57">
      <w:pPr>
        <w:snapToGrid w:val="0"/>
        <w:spacing w:line="360" w:lineRule="auto"/>
        <w:rPr>
          <w:b/>
          <w:bCs/>
          <w:kern w:val="0"/>
          <w:sz w:val="24"/>
          <w:lang w:val="zh-CN"/>
        </w:rPr>
      </w:pPr>
      <w:r>
        <w:rPr>
          <w:rFonts w:hint="eastAsia"/>
          <w:b/>
          <w:bCs/>
          <w:kern w:val="0"/>
          <w:sz w:val="24"/>
        </w:rPr>
        <w:t>四、</w:t>
      </w:r>
      <w:r>
        <w:rPr>
          <w:rFonts w:hint="eastAsia"/>
          <w:b/>
          <w:bCs/>
          <w:kern w:val="0"/>
          <w:sz w:val="24"/>
          <w:lang w:val="zh-CN"/>
        </w:rPr>
        <w:t>包装及运输：</w:t>
      </w:r>
    </w:p>
    <w:p w14:paraId="697E7C87">
      <w:pPr>
        <w:snapToGrid w:val="0"/>
        <w:spacing w:line="360" w:lineRule="auto"/>
        <w:ind w:firstLine="556"/>
        <w:rPr>
          <w:kern w:val="0"/>
          <w:sz w:val="24"/>
          <w:lang w:val="zh-CN"/>
        </w:rPr>
      </w:pPr>
      <w:r>
        <w:rPr>
          <w:rFonts w:hint="eastAsia"/>
          <w:kern w:val="0"/>
          <w:sz w:val="24"/>
          <w:lang w:val="zh-CN"/>
        </w:rPr>
        <w:t>1、由乙方提供符合本合同项下货物运输的必要包装方式，符合采购文件的要求。</w:t>
      </w:r>
    </w:p>
    <w:p w14:paraId="3743CF96">
      <w:pPr>
        <w:snapToGrid w:val="0"/>
        <w:spacing w:line="360" w:lineRule="auto"/>
        <w:ind w:firstLine="556"/>
        <w:rPr>
          <w:kern w:val="0"/>
          <w:sz w:val="24"/>
          <w:lang w:val="zh-CN"/>
        </w:rPr>
      </w:pPr>
      <w:r>
        <w:rPr>
          <w:rFonts w:hint="eastAsia"/>
          <w:kern w:val="0"/>
          <w:sz w:val="24"/>
          <w:lang w:val="zh-CN"/>
        </w:rPr>
        <w:t>2、包装物材料及包装方式必须同时符合国家有关强制性要求，否则可能导致的延误由乙方承担责任。</w:t>
      </w:r>
    </w:p>
    <w:p w14:paraId="0E561A08">
      <w:pPr>
        <w:snapToGrid w:val="0"/>
        <w:spacing w:line="360" w:lineRule="auto"/>
        <w:rPr>
          <w:b/>
          <w:bCs/>
          <w:kern w:val="0"/>
          <w:sz w:val="24"/>
        </w:rPr>
      </w:pPr>
      <w:r>
        <w:rPr>
          <w:rFonts w:hint="eastAsia"/>
          <w:b/>
          <w:bCs/>
          <w:kern w:val="0"/>
          <w:sz w:val="24"/>
        </w:rPr>
        <w:t>五、质量质保要求：</w:t>
      </w:r>
    </w:p>
    <w:p w14:paraId="5B68C787">
      <w:pPr>
        <w:snapToGrid w:val="0"/>
        <w:spacing w:line="360" w:lineRule="auto"/>
        <w:ind w:firstLine="556"/>
        <w:rPr>
          <w:kern w:val="0"/>
          <w:sz w:val="24"/>
          <w:lang w:val="zh-CN"/>
        </w:rPr>
      </w:pPr>
      <w:r>
        <w:rPr>
          <w:rFonts w:hint="eastAsia"/>
          <w:kern w:val="0"/>
          <w:sz w:val="24"/>
          <w:lang w:val="zh-CN"/>
        </w:rPr>
        <w:t>1、免费质保期限：原厂三年主机全保服务。</w:t>
      </w:r>
    </w:p>
    <w:p w14:paraId="691C5035">
      <w:pPr>
        <w:snapToGrid w:val="0"/>
        <w:spacing w:line="360" w:lineRule="auto"/>
        <w:ind w:firstLine="556"/>
        <w:rPr>
          <w:kern w:val="0"/>
          <w:sz w:val="24"/>
          <w:lang w:val="zh-CN"/>
        </w:rPr>
      </w:pPr>
      <w:r>
        <w:rPr>
          <w:rFonts w:hint="eastAsia"/>
          <w:kern w:val="0"/>
          <w:sz w:val="24"/>
          <w:lang w:val="zh-CN"/>
        </w:rPr>
        <w:t>2、货物质量：乙方提供的货物必须符合中华人民共和国国家及行业有关标准。</w:t>
      </w:r>
    </w:p>
    <w:p w14:paraId="03B1A4BE">
      <w:pPr>
        <w:snapToGrid w:val="0"/>
        <w:spacing w:line="360" w:lineRule="auto"/>
        <w:rPr>
          <w:b/>
          <w:bCs/>
          <w:kern w:val="0"/>
          <w:sz w:val="24"/>
          <w:lang w:val="zh-CN"/>
        </w:rPr>
      </w:pPr>
      <w:r>
        <w:rPr>
          <w:rFonts w:hint="eastAsia"/>
          <w:b/>
          <w:bCs/>
          <w:kern w:val="0"/>
          <w:sz w:val="24"/>
        </w:rPr>
        <w:t>六、</w:t>
      </w:r>
      <w:r>
        <w:rPr>
          <w:rFonts w:hint="eastAsia"/>
          <w:b/>
          <w:bCs/>
          <w:kern w:val="0"/>
          <w:sz w:val="24"/>
          <w:lang w:val="zh-CN"/>
        </w:rPr>
        <w:t>交货及验收：</w:t>
      </w:r>
    </w:p>
    <w:p w14:paraId="691C1F2C">
      <w:pPr>
        <w:snapToGrid w:val="0"/>
        <w:spacing w:line="360" w:lineRule="auto"/>
        <w:ind w:firstLine="556"/>
        <w:rPr>
          <w:kern w:val="0"/>
          <w:sz w:val="24"/>
          <w:lang w:val="zh-CN"/>
        </w:rPr>
      </w:pPr>
      <w:r>
        <w:rPr>
          <w:rFonts w:hint="eastAsia"/>
          <w:kern w:val="0"/>
          <w:sz w:val="24"/>
          <w:lang w:val="zh-CN"/>
        </w:rPr>
        <w:t>1、交货地点：南通市妇幼保健院指定地点。</w:t>
      </w:r>
    </w:p>
    <w:p w14:paraId="23ECE1B2">
      <w:pPr>
        <w:snapToGrid w:val="0"/>
        <w:spacing w:line="360" w:lineRule="auto"/>
        <w:ind w:firstLine="556"/>
        <w:rPr>
          <w:kern w:val="0"/>
          <w:sz w:val="24"/>
          <w:lang w:val="zh-CN"/>
        </w:rPr>
      </w:pPr>
      <w:r>
        <w:rPr>
          <w:rFonts w:hint="eastAsia"/>
          <w:kern w:val="0"/>
          <w:sz w:val="24"/>
          <w:lang w:val="zh-CN"/>
        </w:rPr>
        <w:t>2、交货时间：自合同签定之日起 20 天内，完成全部货物的现场安装部署调试工作 (因采购单位原因造成的延期除外)。</w:t>
      </w:r>
    </w:p>
    <w:p w14:paraId="663EF92D">
      <w:pPr>
        <w:snapToGrid w:val="0"/>
        <w:spacing w:line="360" w:lineRule="auto"/>
        <w:ind w:firstLine="556"/>
        <w:rPr>
          <w:kern w:val="0"/>
          <w:sz w:val="24"/>
          <w:lang w:val="zh-CN"/>
        </w:rPr>
      </w:pPr>
      <w:r>
        <w:rPr>
          <w:rFonts w:hint="eastAsia"/>
          <w:kern w:val="0"/>
          <w:sz w:val="24"/>
          <w:lang w:val="zh-CN"/>
        </w:rPr>
        <w:t>3、验收要求：采购单位按合同约定积极配合供应商履约，按合同约定及时组织相关专业技术人员，必要时邀请财政等部门共同参与验收，并出具验收报告，验收合格的作为支付货款的依据。</w:t>
      </w:r>
    </w:p>
    <w:p w14:paraId="1ECBA692">
      <w:pPr>
        <w:snapToGrid w:val="0"/>
        <w:spacing w:line="360" w:lineRule="auto"/>
        <w:rPr>
          <w:b/>
          <w:bCs/>
          <w:kern w:val="0"/>
          <w:sz w:val="24"/>
        </w:rPr>
      </w:pPr>
      <w:r>
        <w:rPr>
          <w:rFonts w:hint="eastAsia"/>
          <w:b/>
          <w:bCs/>
          <w:kern w:val="0"/>
          <w:sz w:val="24"/>
        </w:rPr>
        <w:t>七、售后服务要求：</w:t>
      </w:r>
    </w:p>
    <w:p w14:paraId="0E79897C">
      <w:pPr>
        <w:spacing w:line="360" w:lineRule="auto"/>
        <w:ind w:firstLine="480" w:firstLineChars="200"/>
        <w:jc w:val="left"/>
        <w:rPr>
          <w:rFonts w:ascii="宋体" w:hAnsi="宋体" w:cs="宋体"/>
          <w:sz w:val="24"/>
        </w:rPr>
      </w:pPr>
      <w:r>
        <w:rPr>
          <w:rFonts w:hint="eastAsia" w:ascii="宋体" w:hAnsi="宋体" w:cs="宋体"/>
          <w:sz w:val="24"/>
        </w:rPr>
        <w:t>1、售后技术服务：紧急故障须在1小时内响应，2小时内派专业技术人员到现场进行故障排除，12小时内解决；一般故障应在2小时内响应，24小时内解决。若乙方未按时完成或拒绝维修的，甲方有权寻找第三方进行维修，相应费用由乙方承担，并且每发生一次，甲方有权对乙方处以人民币1000元罚款，费用从未付款项中扣除。</w:t>
      </w:r>
    </w:p>
    <w:p w14:paraId="27CFA96E">
      <w:pPr>
        <w:snapToGrid w:val="0"/>
        <w:spacing w:line="360" w:lineRule="auto"/>
        <w:rPr>
          <w:b/>
          <w:bCs/>
          <w:kern w:val="0"/>
          <w:sz w:val="24"/>
          <w:lang w:val="zh-CN"/>
        </w:rPr>
      </w:pPr>
      <w:r>
        <w:rPr>
          <w:rFonts w:hint="eastAsia"/>
          <w:b/>
          <w:bCs/>
          <w:kern w:val="0"/>
          <w:sz w:val="24"/>
        </w:rPr>
        <w:t>八、</w:t>
      </w:r>
      <w:r>
        <w:rPr>
          <w:rFonts w:hint="eastAsia"/>
          <w:b/>
          <w:bCs/>
          <w:kern w:val="0"/>
          <w:sz w:val="24"/>
          <w:lang w:val="zh-CN"/>
        </w:rPr>
        <w:t>付款方式：</w:t>
      </w:r>
    </w:p>
    <w:p w14:paraId="3AAA2B5E">
      <w:pPr>
        <w:snapToGrid w:val="0"/>
        <w:spacing w:line="360" w:lineRule="auto"/>
        <w:ind w:firstLine="556"/>
        <w:rPr>
          <w:kern w:val="0"/>
          <w:sz w:val="24"/>
          <w:lang w:val="zh-CN"/>
        </w:rPr>
      </w:pPr>
      <w:r>
        <w:rPr>
          <w:rFonts w:hint="eastAsia"/>
          <w:kern w:val="0"/>
          <w:sz w:val="24"/>
          <w:lang w:val="zh-CN"/>
        </w:rPr>
        <w:t>1、项目经验收合格后，甲方在15个工作日内按支付流程向成交供应商支付合同金额的90%，质保期满付清10%余款。</w:t>
      </w:r>
    </w:p>
    <w:p w14:paraId="74A88F2D">
      <w:pPr>
        <w:snapToGrid w:val="0"/>
        <w:spacing w:line="360" w:lineRule="auto"/>
        <w:rPr>
          <w:b/>
          <w:bCs/>
          <w:kern w:val="0"/>
          <w:sz w:val="24"/>
        </w:rPr>
      </w:pPr>
      <w:r>
        <w:rPr>
          <w:rFonts w:hint="eastAsia"/>
          <w:b/>
          <w:bCs/>
          <w:kern w:val="0"/>
          <w:sz w:val="24"/>
        </w:rPr>
        <w:t>九、其他要求：</w:t>
      </w:r>
    </w:p>
    <w:p w14:paraId="7BDE6A8F">
      <w:pPr>
        <w:snapToGrid w:val="0"/>
        <w:spacing w:line="360" w:lineRule="auto"/>
        <w:ind w:firstLine="556"/>
        <w:rPr>
          <w:b/>
          <w:bCs/>
          <w:color w:val="FF0000"/>
          <w:kern w:val="0"/>
          <w:sz w:val="24"/>
        </w:rPr>
      </w:pPr>
      <w:r>
        <w:rPr>
          <w:rFonts w:hint="eastAsia"/>
          <w:kern w:val="0"/>
          <w:sz w:val="24"/>
        </w:rPr>
        <w:t>1、成交结果公告发布之日起3个工作日内，</w:t>
      </w:r>
      <w:r>
        <w:rPr>
          <w:rFonts w:hint="eastAsia"/>
          <w:b/>
          <w:bCs/>
          <w:color w:val="FF0000"/>
          <w:kern w:val="0"/>
          <w:sz w:val="24"/>
        </w:rPr>
        <w:t>成交供应商须按要求将相关证明材料的原件提供给采购单位，且所有原件须同时加盖生产厂家和成交供应商的公章，并同时将所投产品（1台）交采购单位进行功能性测试。</w:t>
      </w:r>
    </w:p>
    <w:p w14:paraId="1D6B9ECA">
      <w:pPr>
        <w:snapToGrid w:val="0"/>
        <w:spacing w:line="360" w:lineRule="auto"/>
        <w:ind w:firstLine="556"/>
        <w:rPr>
          <w:kern w:val="0"/>
          <w:sz w:val="24"/>
        </w:rPr>
      </w:pPr>
      <w:r>
        <w:rPr>
          <w:rFonts w:hint="eastAsia"/>
          <w:kern w:val="0"/>
          <w:sz w:val="24"/>
        </w:rPr>
        <w:t>2、如成交供应商的产品未提供或未通过采购单位的功能性测试的、未提交或提交的资料未达到项目需求及采购人要求的，将视作自动放弃成交资格处理，采购单位有权选择排名第二的供应商或者重新组织采购。</w:t>
      </w:r>
    </w:p>
    <w:p w14:paraId="6807AB7A">
      <w:pPr>
        <w:snapToGrid w:val="0"/>
        <w:spacing w:line="360" w:lineRule="auto"/>
        <w:ind w:firstLine="556"/>
        <w:rPr>
          <w:kern w:val="0"/>
          <w:sz w:val="24"/>
        </w:rPr>
      </w:pPr>
      <w:r>
        <w:rPr>
          <w:rFonts w:hint="eastAsia"/>
          <w:kern w:val="0"/>
          <w:sz w:val="24"/>
        </w:rPr>
        <w:t>3、成交供应商在中标后签订合同前需提供PDA产品原厂针对本次项目的原厂授权函及质保的售后服务承诺函原件并加盖原厂公章，此项为签合同必备条件，未提供可拒签合同。</w:t>
      </w:r>
    </w:p>
    <w:p w14:paraId="48DDCBE2">
      <w:pPr>
        <w:jc w:val="center"/>
        <w:rPr>
          <w:rFonts w:hint="eastAsia" w:asciiTheme="majorEastAsia" w:hAnsiTheme="majorEastAsia" w:eastAsiaTheme="majorEastAsia"/>
          <w:b/>
          <w:bCs/>
          <w:color w:val="auto"/>
          <w:sz w:val="36"/>
          <w:szCs w:val="36"/>
        </w:rPr>
      </w:pPr>
    </w:p>
    <w:p w14:paraId="024CDA50">
      <w:pPr>
        <w:jc w:val="center"/>
        <w:rPr>
          <w:rFonts w:asciiTheme="majorEastAsia" w:hAnsiTheme="majorEastAsia" w:eastAsiaTheme="majorEastAsia"/>
          <w:b/>
          <w:bCs/>
          <w:color w:val="auto"/>
          <w:kern w:val="0"/>
          <w:sz w:val="36"/>
          <w:szCs w:val="36"/>
        </w:rPr>
      </w:pPr>
      <w:r>
        <w:rPr>
          <w:rFonts w:hint="eastAsia" w:asciiTheme="majorEastAsia" w:hAnsiTheme="majorEastAsia" w:eastAsiaTheme="majorEastAsia"/>
          <w:b/>
          <w:bCs/>
          <w:color w:val="auto"/>
          <w:sz w:val="36"/>
          <w:szCs w:val="36"/>
        </w:rPr>
        <w:t xml:space="preserve">第四部分 </w:t>
      </w:r>
      <w:r>
        <w:rPr>
          <w:rFonts w:asciiTheme="majorEastAsia" w:hAnsiTheme="majorEastAsia" w:eastAsiaTheme="majorEastAsia"/>
          <w:b/>
          <w:bCs/>
          <w:color w:val="auto"/>
          <w:sz w:val="36"/>
          <w:szCs w:val="36"/>
        </w:rPr>
        <w:t xml:space="preserve"> </w:t>
      </w:r>
      <w:r>
        <w:rPr>
          <w:rFonts w:hint="eastAsia" w:asciiTheme="majorEastAsia" w:hAnsiTheme="majorEastAsia" w:eastAsiaTheme="majorEastAsia"/>
          <w:b/>
          <w:bCs/>
          <w:color w:val="auto"/>
          <w:sz w:val="36"/>
          <w:szCs w:val="36"/>
        </w:rPr>
        <w:t>评审方法和评审标准</w:t>
      </w:r>
    </w:p>
    <w:p w14:paraId="4D7F1568">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一、磋商方式</w:t>
      </w:r>
    </w:p>
    <w:p w14:paraId="5E9527CA">
      <w:pPr>
        <w:pStyle w:val="113"/>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不见面远程磋商模式：供应商在各自地点参加磋商活动。</w:t>
      </w:r>
    </w:p>
    <w:p w14:paraId="505C72C8">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二、磋商程序及评审方法和标准</w:t>
      </w:r>
    </w:p>
    <w:p w14:paraId="350BCB69">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1.评审方法：综合评分法，经磋商确定最终采购需求和提交最后报价的供应商后，由磋商小组采用综合评分法对提交最后报价的供应商的响应文件和最后报价进行综合评分。</w:t>
      </w:r>
    </w:p>
    <w:p w14:paraId="0CD0EA4C">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1E24006F">
      <w:pPr>
        <w:pStyle w:val="113"/>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商务技术部分评审结束后进入最后报价环节，最后报价将作为评审价。系统发送最后报价填报通知后，所有的响应供应商须在15分钟内填写并提交最后报价，未在规定时间内提交最后报价的，视作无效响应处理。</w:t>
      </w:r>
    </w:p>
    <w:p w14:paraId="55C7AFF1">
      <w:pPr>
        <w:pStyle w:val="113"/>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03EA4663">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供应商商务、技术部分和价格部分的合计分值，为该供应商的评审总得分。</w:t>
      </w:r>
    </w:p>
    <w:p w14:paraId="732F5AA4">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67B8D9C8">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评委在认真审阅响应文件的基础上，根据各响应文件的响应程度独立评判，不得统一打分。</w:t>
      </w:r>
    </w:p>
    <w:p w14:paraId="4D948FE1">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（一）采购人（代表）对供应商资格进行审查。</w:t>
      </w:r>
    </w:p>
    <w:p w14:paraId="7BDAC3A7">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供应商资格不合格的，其响应文件判定为无效响应文件。</w:t>
      </w:r>
    </w:p>
    <w:p w14:paraId="59923B6B">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（二）磋商小组对符合资格供应商的响应文件进行符合性审查。</w:t>
      </w:r>
    </w:p>
    <w:p w14:paraId="463AC046">
      <w:pPr>
        <w:pStyle w:val="1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未通过符合性审查的响应文件，将被判为不满足磋商文件实质性要求。 </w:t>
      </w:r>
    </w:p>
    <w:p w14:paraId="717AF443">
      <w:pPr>
        <w:pStyle w:val="1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三</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商务技术分：</w:t>
      </w:r>
      <w:r>
        <w:rPr>
          <w:rFonts w:hint="eastAsia" w:ascii="宋体" w:hAnsi="宋体" w:eastAsia="宋体" w:cs="宋体"/>
          <w:color w:val="auto"/>
          <w:sz w:val="24"/>
          <w:szCs w:val="24"/>
        </w:rPr>
        <w:t>70</w:t>
      </w:r>
      <w:r>
        <w:rPr>
          <w:rFonts w:hint="eastAsia" w:ascii="宋体" w:hAnsi="宋体" w:eastAsia="宋体" w:cs="宋体"/>
          <w:color w:val="auto"/>
          <w:sz w:val="24"/>
          <w:szCs w:val="24"/>
          <w:lang w:val="zh-CN"/>
        </w:rPr>
        <w:t>分</w:t>
      </w:r>
    </w:p>
    <w:p w14:paraId="564EEF0E">
      <w:pPr>
        <w:pStyle w:val="113"/>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各供应商得分为磋商小组成员评分的算术平均分，分值保留小数点后两位。</w:t>
      </w:r>
    </w:p>
    <w:tbl>
      <w:tblPr>
        <w:tblStyle w:val="31"/>
        <w:tblW w:w="923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19"/>
        <w:gridCol w:w="1313"/>
        <w:gridCol w:w="5900"/>
      </w:tblGrid>
      <w:tr w14:paraId="1931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00" w:type="dxa"/>
            <w:vAlign w:val="center"/>
          </w:tcPr>
          <w:p w14:paraId="70218B2F">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19" w:type="dxa"/>
            <w:vAlign w:val="center"/>
          </w:tcPr>
          <w:p w14:paraId="57254BAB">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评审项目</w:t>
            </w:r>
          </w:p>
        </w:tc>
        <w:tc>
          <w:tcPr>
            <w:tcW w:w="1313" w:type="dxa"/>
            <w:vAlign w:val="center"/>
          </w:tcPr>
          <w:p w14:paraId="4FF36739">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最高得分</w:t>
            </w:r>
          </w:p>
        </w:tc>
        <w:tc>
          <w:tcPr>
            <w:tcW w:w="5900" w:type="dxa"/>
            <w:vAlign w:val="center"/>
          </w:tcPr>
          <w:p w14:paraId="1CAAF965">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技术评审因素及评分规定</w:t>
            </w:r>
          </w:p>
        </w:tc>
      </w:tr>
      <w:tr w14:paraId="043C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5CEF4A9B">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19" w:type="dxa"/>
            <w:shd w:val="clear" w:color="auto" w:fill="auto"/>
            <w:vAlign w:val="center"/>
          </w:tcPr>
          <w:p w14:paraId="2758CF7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cs="宋体"/>
                <w:szCs w:val="21"/>
              </w:rPr>
              <w:t>技术响应</w:t>
            </w:r>
          </w:p>
        </w:tc>
        <w:tc>
          <w:tcPr>
            <w:tcW w:w="1313" w:type="dxa"/>
            <w:vAlign w:val="center"/>
          </w:tcPr>
          <w:p w14:paraId="086B8F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cs="宋体"/>
                <w:szCs w:val="21"/>
              </w:rPr>
              <w:t>38分</w:t>
            </w:r>
          </w:p>
        </w:tc>
        <w:tc>
          <w:tcPr>
            <w:tcW w:w="5900" w:type="dxa"/>
            <w:shd w:val="clear" w:color="auto" w:fill="auto"/>
            <w:vAlign w:val="center"/>
          </w:tcPr>
          <w:p w14:paraId="00D5EDD3">
            <w:pPr>
              <w:pStyle w:val="8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招标文件中技术参数完全符合招标文件内容中技术条款要求且没有任何负偏离得38分；</w:t>
            </w:r>
          </w:p>
          <w:p w14:paraId="67575E88">
            <w:pPr>
              <w:pStyle w:val="8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其中标★为核心指标，不允许负偏离，证明材料或者功能截图需要与招标文件描述功能吻合，如有负偏离或投标时未提供相关证明材料或者功能截图不符合要求者，做无效投标处理；</w:t>
            </w:r>
          </w:p>
          <w:p w14:paraId="261D2302">
            <w:pPr>
              <w:pStyle w:val="8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其他技术指标不满足招标文件要求的，每项扣2分，最多扣38分。</w:t>
            </w:r>
          </w:p>
          <w:p w14:paraId="28C7B8D6">
            <w:pPr>
              <w:pStyle w:val="86"/>
              <w:keepNext w:val="0"/>
              <w:keepLines w:val="0"/>
              <w:suppressLineNumbers w:val="0"/>
              <w:spacing w:before="0" w:beforeAutospacing="0" w:after="0" w:afterAutospacing="0"/>
              <w:ind w:left="0" w:right="0" w:firstLine="0" w:firstLineChars="0"/>
              <w:rPr>
                <w:rFonts w:hint="eastAsia" w:ascii="宋体" w:hAnsi="宋体" w:eastAsia="宋体" w:cs="宋体"/>
                <w:color w:val="auto"/>
                <w:sz w:val="21"/>
                <w:szCs w:val="21"/>
              </w:rPr>
            </w:pPr>
            <w:r>
              <w:rPr>
                <w:rFonts w:hint="eastAsia" w:ascii="宋体" w:hAnsi="宋体" w:cs="宋体"/>
                <w:b/>
                <w:bCs/>
                <w:szCs w:val="21"/>
              </w:rPr>
              <w:t>注：本项目</w:t>
            </w:r>
            <w:r>
              <w:rPr>
                <w:rFonts w:hint="eastAsia" w:ascii="宋体" w:hAnsi="宋体" w:cs="宋体"/>
                <w:b/>
                <w:bCs/>
                <w:kern w:val="0"/>
                <w:szCs w:val="21"/>
                <w:lang w:bidi="ar"/>
              </w:rPr>
              <w:t>需有详细的偏离表。</w:t>
            </w:r>
          </w:p>
        </w:tc>
      </w:tr>
      <w:tr w14:paraId="4BD7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7792AA35">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1219" w:type="dxa"/>
            <w:shd w:val="clear" w:color="auto" w:fill="auto"/>
            <w:vAlign w:val="center"/>
          </w:tcPr>
          <w:p w14:paraId="77751621">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zh-CN" w:eastAsia="zh-CN" w:bidi="ar-SA"/>
              </w:rPr>
            </w:pPr>
            <w:r>
              <w:rPr>
                <w:rFonts w:hint="eastAsia" w:ascii="宋体" w:hAnsi="宋体" w:cs="宋体"/>
                <w:szCs w:val="21"/>
              </w:rPr>
              <w:t>证书响应</w:t>
            </w:r>
          </w:p>
        </w:tc>
        <w:tc>
          <w:tcPr>
            <w:tcW w:w="1313" w:type="dxa"/>
            <w:vAlign w:val="center"/>
          </w:tcPr>
          <w:p w14:paraId="53EE6822">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cs="宋体"/>
                <w:szCs w:val="21"/>
              </w:rPr>
              <w:t>10分</w:t>
            </w:r>
          </w:p>
        </w:tc>
        <w:tc>
          <w:tcPr>
            <w:tcW w:w="5900" w:type="dxa"/>
            <w:shd w:val="clear" w:color="auto" w:fill="auto"/>
            <w:vAlign w:val="center"/>
          </w:tcPr>
          <w:p w14:paraId="01E15E5F">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1、投标须提供ISO45001/14001； CE认证；ROHS认证；工信部颁发电信设备进网许可证。每提供一份证书加2分，满分8分。</w:t>
            </w:r>
          </w:p>
          <w:p w14:paraId="40BDEA3C">
            <w:pPr>
              <w:keepNext w:val="0"/>
              <w:keepLines w:val="0"/>
              <w:suppressLineNumbers w:val="0"/>
              <w:snapToGrid w:val="0"/>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ascii="宋体" w:hAnsi="宋体" w:cs="宋体"/>
                <w:szCs w:val="21"/>
              </w:rPr>
              <w:t>2、投标须提供针对计算机信息化系统集成售后服务的《售后服务认证证书》七星及以上，得2分。</w:t>
            </w:r>
          </w:p>
        </w:tc>
      </w:tr>
      <w:tr w14:paraId="7491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03E3513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1219" w:type="dxa"/>
            <w:shd w:val="clear" w:color="auto" w:fill="auto"/>
            <w:vAlign w:val="center"/>
          </w:tcPr>
          <w:p w14:paraId="470B4549">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zh-CN" w:eastAsia="zh-CN" w:bidi="ar-SA"/>
              </w:rPr>
            </w:pPr>
            <w:r>
              <w:rPr>
                <w:rFonts w:hint="eastAsia" w:ascii="宋体" w:hAnsi="宋体" w:cs="宋体"/>
                <w:szCs w:val="21"/>
              </w:rPr>
              <w:t>服务</w:t>
            </w:r>
            <w:r>
              <w:rPr>
                <w:rFonts w:hint="eastAsia" w:ascii="宋体" w:hAnsi="宋体" w:cs="宋体"/>
                <w:szCs w:val="21"/>
                <w:lang w:val="en-US" w:eastAsia="zh-CN"/>
              </w:rPr>
              <w:t>方案</w:t>
            </w:r>
          </w:p>
        </w:tc>
        <w:tc>
          <w:tcPr>
            <w:tcW w:w="1313" w:type="dxa"/>
            <w:vAlign w:val="center"/>
          </w:tcPr>
          <w:p w14:paraId="20D96E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cs="宋体"/>
                <w:szCs w:val="21"/>
                <w:lang w:val="en-US" w:eastAsia="zh-CN"/>
              </w:rPr>
              <w:t>5</w:t>
            </w:r>
            <w:r>
              <w:rPr>
                <w:rFonts w:hint="eastAsia" w:ascii="宋体" w:hAnsi="宋体" w:cs="宋体"/>
                <w:szCs w:val="21"/>
              </w:rPr>
              <w:t>分</w:t>
            </w:r>
          </w:p>
        </w:tc>
        <w:tc>
          <w:tcPr>
            <w:tcW w:w="5900" w:type="dxa"/>
            <w:shd w:val="clear" w:color="auto" w:fill="auto"/>
            <w:vAlign w:val="center"/>
          </w:tcPr>
          <w:p w14:paraId="39ADC6B9">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1、根据货物实施安装、售后、本地化服务方案的合理性、可行性、质量保证措施、售后服务响应措施等施酌情评分：</w:t>
            </w:r>
          </w:p>
          <w:p w14:paraId="7BA8FAA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lang w:val="en-US" w:eastAsia="zh-CN"/>
              </w:rPr>
            </w:pPr>
            <w:r>
              <w:rPr>
                <w:rFonts w:hint="eastAsia" w:ascii="宋体" w:hAnsi="宋体" w:cs="宋体"/>
                <w:szCs w:val="21"/>
              </w:rPr>
              <w:t>方案合理可行的，得5-3分；方案一般得2-1分；方案不完整不合理的不得分。</w:t>
            </w:r>
          </w:p>
        </w:tc>
      </w:tr>
      <w:tr w14:paraId="1908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731933EF">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219" w:type="dxa"/>
            <w:shd w:val="clear" w:color="auto" w:fill="auto"/>
            <w:vAlign w:val="center"/>
          </w:tcPr>
          <w:p w14:paraId="1C5F8EB4">
            <w:pPr>
              <w:keepNext w:val="0"/>
              <w:keepLines w:val="0"/>
              <w:suppressLineNumbers w:val="0"/>
              <w:spacing w:before="0" w:beforeAutospacing="0" w:after="0" w:afterAutospacing="0"/>
              <w:ind w:left="0" w:right="0"/>
              <w:jc w:val="left"/>
              <w:rPr>
                <w:rFonts w:hint="default" w:ascii="宋体" w:hAnsi="宋体" w:eastAsia="宋体" w:cs="宋体"/>
                <w:szCs w:val="21"/>
                <w:lang w:val="en-US" w:eastAsia="zh-CN"/>
              </w:rPr>
            </w:pPr>
            <w:r>
              <w:rPr>
                <w:rFonts w:hint="eastAsia" w:ascii="宋体" w:hAnsi="宋体" w:cs="宋体"/>
                <w:szCs w:val="21"/>
                <w:lang w:val="en-US" w:eastAsia="zh-CN"/>
              </w:rPr>
              <w:t>服务能力</w:t>
            </w:r>
          </w:p>
        </w:tc>
        <w:tc>
          <w:tcPr>
            <w:tcW w:w="1313" w:type="dxa"/>
            <w:vAlign w:val="center"/>
          </w:tcPr>
          <w:p w14:paraId="004A725F">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900" w:type="dxa"/>
            <w:shd w:val="clear" w:color="auto" w:fill="auto"/>
            <w:vAlign w:val="center"/>
          </w:tcPr>
          <w:p w14:paraId="304A2385">
            <w:pPr>
              <w:keepNext w:val="0"/>
              <w:keepLines w:val="0"/>
              <w:numPr>
                <w:ilvl w:val="0"/>
                <w:numId w:val="0"/>
              </w:numPr>
              <w:suppressLineNumbers w:val="0"/>
              <w:snapToGrid w:val="0"/>
              <w:spacing w:before="0" w:beforeAutospacing="0" w:after="0" w:afterAutospacing="0"/>
              <w:ind w:left="0" w:right="0"/>
              <w:rPr>
                <w:rFonts w:hint="default" w:ascii="宋体" w:hAnsi="宋体" w:cs="宋体"/>
                <w:szCs w:val="21"/>
              </w:rPr>
            </w:pPr>
            <w:r>
              <w:rPr>
                <w:rFonts w:hint="eastAsia" w:ascii="宋体" w:hAnsi="宋体" w:cs="宋体"/>
                <w:szCs w:val="21"/>
                <w:lang w:val="en-US" w:eastAsia="zh-CN"/>
              </w:rPr>
              <w:t>1、</w:t>
            </w:r>
            <w:r>
              <w:rPr>
                <w:rFonts w:hint="eastAsia" w:ascii="宋体" w:hAnsi="宋体" w:cs="宋体"/>
                <w:szCs w:val="21"/>
              </w:rPr>
              <w:t>售后团队具有系统集成项目管理工程师证书，每提供一个得  1分，最多可得2分；</w:t>
            </w:r>
          </w:p>
          <w:p w14:paraId="0172DCAF">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lang w:val="en-US" w:eastAsia="zh-CN"/>
              </w:rPr>
              <w:t>2、</w:t>
            </w:r>
            <w:r>
              <w:rPr>
                <w:rFonts w:hint="eastAsia" w:ascii="宋体" w:hAnsi="宋体" w:cs="宋体"/>
                <w:szCs w:val="21"/>
              </w:rPr>
              <w:t>本次项目拟派团队成员具有注册信息安全工程师证书（CISP）每提供一个，可得1分，本项最多可得 2 分。</w:t>
            </w:r>
          </w:p>
          <w:p w14:paraId="1163F588">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lang w:val="en-US" w:eastAsia="zh-CN"/>
              </w:rPr>
              <w:t>3</w:t>
            </w:r>
            <w:r>
              <w:rPr>
                <w:rFonts w:hint="eastAsia" w:ascii="宋体" w:hAnsi="宋体" w:cs="宋体"/>
                <w:szCs w:val="21"/>
              </w:rPr>
              <w:t>、本次项目拟派团队成员具有CISAW信息安全保障(安全集成)人员认证证书，得2分；具有CISAW信息安全保障(风险管理)人员认证证书，得2分；具有CISAW 信息安全保障(安全运维)人员认证证书，得2分</w:t>
            </w:r>
            <w:r>
              <w:rPr>
                <w:rFonts w:hint="eastAsia" w:ascii="宋体" w:hAnsi="宋体" w:cs="宋体"/>
                <w:szCs w:val="21"/>
                <w:lang w:eastAsia="zh-CN"/>
              </w:rPr>
              <w:t>。</w:t>
            </w:r>
            <w:r>
              <w:rPr>
                <w:rFonts w:hint="eastAsia" w:ascii="宋体" w:hAnsi="宋体" w:cs="宋体"/>
                <w:szCs w:val="21"/>
              </w:rPr>
              <w:t>[备注：本项证书不可为相同人员持证，相同人员持多证只按一个证书计算，得2分。]</w:t>
            </w:r>
          </w:p>
          <w:p w14:paraId="1213CAA3">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注：</w:t>
            </w:r>
            <w:r>
              <w:rPr>
                <w:rFonts w:hint="eastAsia" w:ascii="宋体" w:hAnsi="宋体" w:cs="宋体"/>
                <w:szCs w:val="21"/>
              </w:rPr>
              <w:t>以上证书人员需提供近1个月的社保证明材料，以及工程师证书复印件，加盖投标供应商公章方可得分，不提供不得分。</w:t>
            </w:r>
          </w:p>
        </w:tc>
      </w:tr>
      <w:tr w14:paraId="76BD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1039FC03">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219" w:type="dxa"/>
            <w:shd w:val="clear" w:color="auto" w:fill="auto"/>
            <w:vAlign w:val="center"/>
          </w:tcPr>
          <w:p w14:paraId="29E4BDBE">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kern w:val="0"/>
                <w:szCs w:val="21"/>
              </w:rPr>
              <w:t>综合评分</w:t>
            </w:r>
          </w:p>
        </w:tc>
        <w:tc>
          <w:tcPr>
            <w:tcW w:w="1313" w:type="dxa"/>
            <w:vAlign w:val="center"/>
          </w:tcPr>
          <w:p w14:paraId="5C00B02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cs="宋体"/>
                <w:szCs w:val="21"/>
              </w:rPr>
              <w:t>7分</w:t>
            </w:r>
          </w:p>
        </w:tc>
        <w:tc>
          <w:tcPr>
            <w:tcW w:w="5900" w:type="dxa"/>
            <w:shd w:val="clear" w:color="auto" w:fill="auto"/>
            <w:vAlign w:val="center"/>
          </w:tcPr>
          <w:p w14:paraId="1D8C38E8">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kern w:val="0"/>
                <w:szCs w:val="21"/>
              </w:rPr>
              <w:t>评委对投标货物的技术和性能综合评价，评价优得5-7分，评价良2-4分，评价较差的0-1分。</w:t>
            </w:r>
          </w:p>
        </w:tc>
      </w:tr>
    </w:tbl>
    <w:p w14:paraId="2D5B5834">
      <w:pPr>
        <w:pStyle w:val="111"/>
        <w:ind w:firstLine="482" w:firstLineChars="200"/>
        <w:rPr>
          <w:rFonts w:cs="宋体"/>
          <w:bCs/>
          <w:sz w:val="24"/>
          <w:szCs w:val="24"/>
        </w:rPr>
      </w:pPr>
      <w:r>
        <w:rPr>
          <w:rFonts w:hint="eastAsia" w:cs="宋体"/>
          <w:bCs/>
          <w:sz w:val="24"/>
          <w:szCs w:val="24"/>
        </w:rPr>
        <w:t>备注：上述响应文件中所提供的相关合同业绩、证书、证明及报告等必须与原件一致。采购结束后，采购人将对中标单位上述投标文件中所提供的相关材料进行核实，如发现虚假或与事实不符的，将取消其中标资格。</w:t>
      </w:r>
    </w:p>
    <w:p w14:paraId="3091E23A">
      <w:pPr>
        <w:pStyle w:val="111"/>
        <w:rPr>
          <w:rFonts w:hint="eastAsia" w:ascii="宋体" w:hAnsi="宋体" w:eastAsia="宋体" w:cs="宋体"/>
          <w:color w:val="auto"/>
          <w:sz w:val="24"/>
          <w:szCs w:val="24"/>
        </w:rPr>
      </w:pPr>
      <w:r>
        <w:rPr>
          <w:rFonts w:hint="eastAsia" w:ascii="宋体" w:hAnsi="宋体" w:eastAsia="宋体" w:cs="宋体"/>
          <w:color w:val="auto"/>
          <w:sz w:val="24"/>
          <w:szCs w:val="24"/>
        </w:rPr>
        <w:t>（四）</w:t>
      </w:r>
      <w:r>
        <w:rPr>
          <w:rFonts w:hint="eastAsia" w:ascii="宋体" w:hAnsi="宋体" w:eastAsia="宋体" w:cs="宋体"/>
          <w:color w:val="auto"/>
          <w:sz w:val="24"/>
          <w:szCs w:val="24"/>
          <w:lang w:val="zh-CN"/>
        </w:rPr>
        <w:t>价格分</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分</w:t>
      </w:r>
    </w:p>
    <w:p w14:paraId="6D327D14">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价格分统一采用低价优先法计算，即满足磋商文件要求且最后报价最低的供应商的价格为磋商基准价，其价格分为满分。其他供应商的价格分统一按照下列公式计算：</w:t>
      </w:r>
    </w:p>
    <w:p w14:paraId="797DE69E">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磋商报价得分=（磋商基准价/最后磋商报价）×30%×100%</w:t>
      </w:r>
    </w:p>
    <w:p w14:paraId="39D05EDF">
      <w:pPr>
        <w:pStyle w:val="111"/>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五</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政府采购政策功能落实</w:t>
      </w:r>
    </w:p>
    <w:p w14:paraId="7461C71F">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1、小微型企业价格扣除</w:t>
      </w:r>
    </w:p>
    <w:p w14:paraId="68C70FEC">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（1）本项目对小型和微型企业产品给予20%的扣除价格，用扣除后的价格参与评审。</w:t>
      </w:r>
    </w:p>
    <w:p w14:paraId="60208710">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（2）供应商需按照《政府采购促进中小企业发展管理办法》（财库﹝2020﹞46 号）的规定提供相应的《中小企业声明函》。</w:t>
      </w:r>
    </w:p>
    <w:p w14:paraId="5FAD108F">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（3）企业标准请参照《关于印发中小企业划型标准规定的通知》（工信部联企业[2011]300号）文件规定自行填写。</w:t>
      </w:r>
    </w:p>
    <w:p w14:paraId="2C646C9B">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2、残疾人福利单位价格扣除</w:t>
      </w:r>
    </w:p>
    <w:p w14:paraId="3A396267">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（1）本项目对残疾人福利性单位，给予20%的价格扣除，用扣除后的价格参与评审。</w:t>
      </w:r>
    </w:p>
    <w:p w14:paraId="1E5CC015">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（2）残疾人福利单位需按照采购文件的要求提供《残疾人福利性单位声明函》。</w:t>
      </w:r>
    </w:p>
    <w:p w14:paraId="7ECBC002">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（3）残疾人福利单位标准请参照《关于促进残疾人就业政府采购政策的通知》（财库〔2017〕141号）。</w:t>
      </w:r>
    </w:p>
    <w:p w14:paraId="0C23D407">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3、监狱和戒毒企业价格扣除</w:t>
      </w:r>
    </w:p>
    <w:p w14:paraId="0BB608C4">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（1）本项目对监狱和戒毒企业（简称监狱企业）给予20%的价格扣除，用扣除后的价格参与评审。</w:t>
      </w:r>
    </w:p>
    <w:p w14:paraId="2713A915">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05533A75">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（3）监狱企业标准请参照《关于政府采购支持监狱企业发展有关问题的通知》（财库[2014]68号）。</w:t>
      </w:r>
    </w:p>
    <w:p w14:paraId="10A10905">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4、残疾人福利单位、监狱企业属于小型、微型企业的，不重复享受政策。</w:t>
      </w:r>
    </w:p>
    <w:p w14:paraId="295B84CA">
      <w:pPr>
        <w:pStyle w:val="113"/>
        <w:rPr>
          <w:rFonts w:hint="eastAsia" w:ascii="宋体" w:hAnsi="宋体" w:eastAsia="宋体" w:cs="宋体"/>
          <w:color w:val="auto"/>
          <w:sz w:val="24"/>
          <w:szCs w:val="24"/>
        </w:rPr>
      </w:pPr>
      <w:r>
        <w:rPr>
          <w:rFonts w:hint="eastAsia" w:ascii="宋体" w:hAnsi="宋体" w:eastAsia="宋体" w:cs="宋体"/>
          <w:color w:val="auto"/>
          <w:sz w:val="24"/>
          <w:szCs w:val="24"/>
        </w:rPr>
        <w:t>5、专门面向中小企业采购的项目或者采购包，不再执行价格评审优惠的扶持政策。</w:t>
      </w:r>
    </w:p>
    <w:p w14:paraId="33EE7612">
      <w:pPr>
        <w:pStyle w:val="111"/>
        <w:rPr>
          <w:rFonts w:hint="eastAsia" w:ascii="宋体" w:hAnsi="宋体" w:eastAsia="宋体" w:cs="宋体"/>
          <w:bCs/>
          <w:color w:val="auto"/>
          <w:sz w:val="24"/>
          <w:szCs w:val="24"/>
        </w:rPr>
      </w:pPr>
      <w:r>
        <w:rPr>
          <w:rFonts w:hint="eastAsia" w:ascii="宋体" w:hAnsi="宋体" w:eastAsia="宋体" w:cs="宋体"/>
          <w:color w:val="auto"/>
          <w:sz w:val="24"/>
          <w:szCs w:val="24"/>
        </w:rPr>
        <w:t>（六）成交供应商的确定</w:t>
      </w:r>
    </w:p>
    <w:p w14:paraId="29434A85">
      <w:pPr>
        <w:pStyle w:val="113"/>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磋商小组汇总各评委评分后，按照得分从高到低的顺序推荐三名成交候选人，并编写评审报告。</w:t>
      </w:r>
    </w:p>
    <w:p w14:paraId="53AEA686">
      <w:pPr>
        <w:pStyle w:val="113"/>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采购人委托磋商小组直接确定排名第一的成交候选人为成交供应商。</w:t>
      </w:r>
    </w:p>
    <w:p w14:paraId="0B02F94B">
      <w:pPr>
        <w:pStyle w:val="111"/>
        <w:rPr>
          <w:rFonts w:hint="eastAsia" w:ascii="宋体" w:hAnsi="宋体" w:eastAsia="宋体" w:cs="宋体"/>
          <w:color w:val="auto"/>
          <w:sz w:val="24"/>
          <w:szCs w:val="24"/>
        </w:rPr>
      </w:pPr>
      <w:r>
        <w:rPr>
          <w:rFonts w:hint="eastAsia" w:ascii="宋体" w:hAnsi="宋体" w:eastAsia="宋体" w:cs="宋体"/>
          <w:color w:val="auto"/>
          <w:sz w:val="24"/>
          <w:szCs w:val="24"/>
        </w:rPr>
        <w:t>（七）采购人代表宣布评审结果。</w:t>
      </w:r>
    </w:p>
    <w:p w14:paraId="48F2130E">
      <w:pPr>
        <w:pStyle w:val="111"/>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（八）公告成交结果</w:t>
      </w:r>
    </w:p>
    <w:p w14:paraId="33D788AB">
      <w:pPr>
        <w:keepNext w:val="0"/>
        <w:keepLines w:val="0"/>
        <w:pageBreakBefore w:val="0"/>
        <w:widowControl w:val="0"/>
        <w:kinsoku/>
        <w:wordWrap/>
        <w:overflowPunct/>
        <w:topLinePunct w:val="0"/>
        <w:autoSpaceDE/>
        <w:autoSpaceDN/>
        <w:bidi w:val="0"/>
        <w:adjustRightInd/>
        <w:snapToGrid/>
        <w:spacing w:line="360" w:lineRule="auto"/>
        <w:ind w:left="335"/>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rPr>
        <w:t>自确定成交供应商之日起2个工作日内，在</w:t>
      </w:r>
      <w:r>
        <w:rPr>
          <w:rFonts w:hint="eastAsia" w:ascii="宋体" w:hAnsi="宋体" w:eastAsia="宋体" w:cs="宋体"/>
          <w:color w:val="auto"/>
          <w:sz w:val="24"/>
          <w:szCs w:val="24"/>
          <w:u w:val="single"/>
        </w:rPr>
        <w:t>南通市卫生健康委员会官网</w:t>
      </w:r>
    </w:p>
    <w:p w14:paraId="0DC313C8">
      <w:pPr>
        <w:pStyle w:val="113"/>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（http://wjw.nantong.gov.cn）和南通市妇幼保健院官网（http://www.ntfybj.com）</w:t>
      </w:r>
      <w:r>
        <w:rPr>
          <w:rFonts w:hint="eastAsia" w:ascii="宋体" w:hAnsi="宋体" w:eastAsia="宋体" w:cs="宋体"/>
          <w:color w:val="auto"/>
          <w:sz w:val="24"/>
          <w:szCs w:val="24"/>
        </w:rPr>
        <w:t>网公告成交结果，公告期限为1个工作日。</w:t>
      </w:r>
    </w:p>
    <w:p w14:paraId="72A9C706">
      <w:pPr>
        <w:pStyle w:val="111"/>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（九）发放成交通知书</w:t>
      </w:r>
    </w:p>
    <w:p w14:paraId="41606DF9">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公告成交结果的同时，采购人向成交供应商发放成交通知书。</w:t>
      </w:r>
      <w:r>
        <w:rPr>
          <w:rFonts w:hint="eastAsia" w:ascii="宋体" w:hAnsi="宋体" w:eastAsia="宋体" w:cs="宋体"/>
          <w:b/>
          <w:bCs/>
          <w:color w:val="auto"/>
          <w:sz w:val="24"/>
          <w:szCs w:val="24"/>
          <w:lang w:val="en-US" w:eastAsia="zh-CN"/>
        </w:rPr>
        <w:t>在成交结果公告发布之日起3个工作日内，成交供应商须按要求将相关证明材料的原件提供给采购单位，且所有原件须同时加盖生产厂家和成交供应商的公章，并同时将所投产品（1台）交采购单位进行功能性测试。</w:t>
      </w:r>
    </w:p>
    <w:p w14:paraId="6321DB17">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2、如成交供应商的产品未提供或未通过采购单位的功能性测试的、未提交或提交的资料未达到项目需求及采购人要求的，将视作自动放弃成交资格处理，采购单位有权选择排名第二的供应商或者重新组织采购。</w:t>
      </w:r>
    </w:p>
    <w:p w14:paraId="027D44CC">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成交通知书发出后，采购人不得违法改变成交结果，成交供应商无正当理由不得放弃成交。</w:t>
      </w:r>
    </w:p>
    <w:p w14:paraId="2A857333">
      <w:pPr>
        <w:keepNext w:val="0"/>
        <w:keepLines w:val="0"/>
        <w:pageBreakBefore w:val="0"/>
        <w:widowControl w:val="0"/>
        <w:kinsoku/>
        <w:wordWrap/>
        <w:overflowPunct/>
        <w:topLinePunct w:val="0"/>
        <w:autoSpaceDE/>
        <w:autoSpaceDN/>
        <w:bidi w:val="0"/>
        <w:adjustRightInd/>
        <w:snapToGrid/>
        <w:spacing w:line="360" w:lineRule="auto"/>
        <w:ind w:firstLine="55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4、成交供应商在中标后签订合同前需提供PDA产品原厂针对本次项目的原厂授权函及质保的售后服务承诺函原件并加盖原厂公章，此项为签合同必备条件，未提供可拒签合同。</w:t>
      </w:r>
    </w:p>
    <w:p w14:paraId="6B626C7C">
      <w:pPr>
        <w:snapToGrid w:val="0"/>
        <w:spacing w:line="360" w:lineRule="auto"/>
        <w:ind w:firstLine="556"/>
        <w:rPr>
          <w:rFonts w:hint="eastAsia" w:ascii="宋体" w:hAnsi="宋体" w:eastAsia="宋体" w:cs="宋体"/>
          <w:color w:val="auto"/>
          <w:sz w:val="24"/>
          <w:szCs w:val="24"/>
        </w:rPr>
      </w:pPr>
    </w:p>
    <w:p w14:paraId="23D4ED31">
      <w:pPr>
        <w:widowControl/>
        <w:jc w:val="left"/>
        <w:rPr>
          <w:rFonts w:hint="eastAsia" w:ascii="宋体" w:hAnsi="宋体" w:eastAsia="宋体" w:cs="宋体"/>
          <w:b/>
          <w:color w:val="auto"/>
          <w:kern w:val="0"/>
          <w:sz w:val="32"/>
          <w:szCs w:val="20"/>
        </w:rPr>
      </w:pPr>
      <w:r>
        <w:rPr>
          <w:rFonts w:hint="eastAsia" w:ascii="宋体" w:hAnsi="宋体" w:eastAsia="宋体" w:cs="宋体"/>
          <w:color w:val="auto"/>
        </w:rPr>
        <w:br w:type="page"/>
      </w:r>
    </w:p>
    <w:p w14:paraId="076FD400">
      <w:pPr>
        <w:pStyle w:val="107"/>
        <w:rPr>
          <w:rFonts w:asciiTheme="majorEastAsia" w:hAnsiTheme="majorEastAsia" w:eastAsiaTheme="majorEastAsia"/>
          <w:color w:val="auto"/>
        </w:rPr>
      </w:pPr>
      <w:r>
        <w:rPr>
          <w:rFonts w:hint="eastAsia" w:asciiTheme="majorEastAsia" w:hAnsiTheme="majorEastAsia" w:eastAsiaTheme="majorEastAsia"/>
          <w:color w:val="auto"/>
        </w:rPr>
        <w:t xml:space="preserve">第五部分 </w:t>
      </w:r>
      <w:r>
        <w:rPr>
          <w:rFonts w:asciiTheme="majorEastAsia" w:hAnsiTheme="majorEastAsia" w:eastAsiaTheme="majorEastAsia"/>
          <w:color w:val="auto"/>
        </w:rPr>
        <w:t xml:space="preserve"> </w:t>
      </w:r>
      <w:r>
        <w:rPr>
          <w:rFonts w:hint="eastAsia" w:asciiTheme="majorEastAsia" w:hAnsiTheme="majorEastAsia" w:eastAsiaTheme="majorEastAsia"/>
          <w:color w:val="auto"/>
        </w:rPr>
        <w:t>响应文件组成</w:t>
      </w:r>
    </w:p>
    <w:p w14:paraId="483F5DDD">
      <w:pPr>
        <w:pStyle w:val="113"/>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响应文件由</w:t>
      </w:r>
      <w:r>
        <w:rPr>
          <w:rFonts w:hint="eastAsia" w:ascii="宋体" w:hAnsi="宋体" w:eastAsia="宋体" w:cs="宋体"/>
          <w:b/>
          <w:bCs/>
          <w:color w:val="auto"/>
          <w:sz w:val="24"/>
          <w:szCs w:val="24"/>
        </w:rPr>
        <w:t>资格审查证明材料</w:t>
      </w:r>
      <w:r>
        <w:rPr>
          <w:rFonts w:hint="eastAsia" w:ascii="宋体" w:hAnsi="宋体" w:eastAsia="宋体" w:cs="宋体"/>
          <w:color w:val="auto"/>
          <w:sz w:val="24"/>
          <w:szCs w:val="24"/>
        </w:rPr>
        <w:t>、</w:t>
      </w:r>
      <w:bookmarkStart w:id="142" w:name="_Hlk129792405"/>
      <w:r>
        <w:rPr>
          <w:rFonts w:hint="eastAsia" w:ascii="宋体" w:hAnsi="宋体" w:eastAsia="宋体" w:cs="宋体"/>
          <w:b/>
          <w:bCs/>
          <w:color w:val="auto"/>
          <w:sz w:val="24"/>
          <w:szCs w:val="24"/>
        </w:rPr>
        <w:t>商务技术文件</w:t>
      </w:r>
      <w:bookmarkEnd w:id="142"/>
      <w:r>
        <w:rPr>
          <w:rFonts w:hint="eastAsia" w:ascii="宋体" w:hAnsi="宋体" w:eastAsia="宋体" w:cs="宋体"/>
          <w:color w:val="auto"/>
          <w:sz w:val="24"/>
          <w:szCs w:val="24"/>
        </w:rPr>
        <w:t>、</w:t>
      </w:r>
      <w:r>
        <w:rPr>
          <w:rFonts w:hint="eastAsia" w:ascii="宋体" w:hAnsi="宋体" w:eastAsia="宋体" w:cs="宋体"/>
          <w:b/>
          <w:bCs/>
          <w:color w:val="auto"/>
          <w:sz w:val="24"/>
          <w:szCs w:val="24"/>
        </w:rPr>
        <w:t>价格文件</w:t>
      </w:r>
      <w:r>
        <w:rPr>
          <w:rFonts w:hint="eastAsia" w:ascii="宋体" w:hAnsi="宋体" w:eastAsia="宋体" w:cs="宋体"/>
          <w:color w:val="auto"/>
          <w:sz w:val="24"/>
          <w:szCs w:val="24"/>
        </w:rPr>
        <w:t>三部分组成。</w:t>
      </w:r>
      <w:r>
        <w:rPr>
          <w:rFonts w:hint="eastAsia" w:ascii="宋体" w:hAnsi="宋体" w:eastAsia="宋体" w:cs="宋体"/>
          <w:bCs/>
          <w:color w:val="auto"/>
          <w:kern w:val="0"/>
          <w:sz w:val="24"/>
          <w:szCs w:val="24"/>
          <w:lang w:val="zh-CN"/>
        </w:rPr>
        <w:t>请供应商根据本磋商文件的要求上传响应的材料。</w:t>
      </w:r>
    </w:p>
    <w:p w14:paraId="51CDDEB8">
      <w:pPr>
        <w:pStyle w:val="111"/>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一、资格审查证明材料（不能出现商务技术文件、价格文件）</w:t>
      </w:r>
    </w:p>
    <w:p w14:paraId="60BB0FAA">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投标人符合《政府采购法》第二十二条规定条件的承诺函</w:t>
      </w:r>
      <w:r>
        <w:rPr>
          <w:rFonts w:hint="eastAsia" w:ascii="宋体" w:hAnsi="宋体" w:eastAsia="宋体" w:cs="宋体"/>
          <w:color w:val="auto"/>
          <w:sz w:val="24"/>
          <w:szCs w:val="24"/>
          <w:lang w:val="zh-CN"/>
        </w:rPr>
        <w:t>（格式见附件1）；</w:t>
      </w:r>
    </w:p>
    <w:p w14:paraId="012D1909">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2.法定代表人身份证明书、</w:t>
      </w:r>
      <w:r>
        <w:rPr>
          <w:rFonts w:hint="eastAsia" w:ascii="宋体" w:hAnsi="宋体" w:eastAsia="宋体" w:cs="宋体"/>
          <w:color w:val="auto"/>
          <w:sz w:val="24"/>
          <w:szCs w:val="24"/>
          <w:lang w:val="en-US" w:eastAsia="zh-CN"/>
        </w:rPr>
        <w:t>法人</w:t>
      </w:r>
      <w:r>
        <w:rPr>
          <w:rFonts w:hint="eastAsia" w:ascii="宋体" w:hAnsi="宋体" w:eastAsia="宋体" w:cs="宋体"/>
          <w:color w:val="auto"/>
          <w:sz w:val="24"/>
          <w:szCs w:val="24"/>
          <w:lang w:val="zh-CN"/>
        </w:rPr>
        <w:t>身份证</w:t>
      </w:r>
      <w:r>
        <w:rPr>
          <w:rFonts w:hint="eastAsia" w:ascii="宋体" w:hAnsi="宋体" w:eastAsia="宋体" w:cs="宋体"/>
          <w:color w:val="auto"/>
          <w:sz w:val="24"/>
          <w:szCs w:val="24"/>
          <w:lang w:val="en-US" w:eastAsia="zh-CN"/>
        </w:rPr>
        <w:t>扫描</w:t>
      </w:r>
      <w:r>
        <w:rPr>
          <w:rFonts w:hint="eastAsia" w:ascii="宋体" w:hAnsi="宋体" w:eastAsia="宋体" w:cs="宋体"/>
          <w:color w:val="auto"/>
          <w:sz w:val="24"/>
          <w:szCs w:val="24"/>
          <w:lang w:val="zh-CN"/>
        </w:rPr>
        <w:t>件（格式见附件2）；</w:t>
      </w:r>
    </w:p>
    <w:p w14:paraId="26F317AB">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3.法定代表人授权委托书原件，</w:t>
      </w:r>
      <w:r>
        <w:rPr>
          <w:rFonts w:hint="eastAsia" w:ascii="宋体" w:hAnsi="宋体" w:eastAsia="宋体" w:cs="宋体"/>
          <w:color w:val="auto"/>
          <w:sz w:val="24"/>
          <w:szCs w:val="24"/>
          <w:lang w:val="en-US" w:eastAsia="zh-CN"/>
        </w:rPr>
        <w:t>及授权委托人</w:t>
      </w:r>
      <w:r>
        <w:rPr>
          <w:rFonts w:hint="eastAsia" w:ascii="宋体" w:hAnsi="宋体" w:eastAsia="宋体" w:cs="宋体"/>
          <w:color w:val="auto"/>
          <w:sz w:val="24"/>
          <w:szCs w:val="24"/>
          <w:lang w:val="zh-CN"/>
        </w:rPr>
        <w:t>本人身份证</w:t>
      </w:r>
      <w:r>
        <w:rPr>
          <w:rFonts w:hint="eastAsia" w:ascii="宋体" w:hAnsi="宋体" w:eastAsia="宋体" w:cs="宋体"/>
          <w:color w:val="auto"/>
          <w:sz w:val="24"/>
          <w:szCs w:val="24"/>
          <w:lang w:val="en-US" w:eastAsia="zh-CN"/>
        </w:rPr>
        <w:t>扫描</w:t>
      </w:r>
      <w:r>
        <w:rPr>
          <w:rFonts w:hint="eastAsia" w:ascii="宋体" w:hAnsi="宋体" w:eastAsia="宋体" w:cs="宋体"/>
          <w:color w:val="auto"/>
          <w:sz w:val="24"/>
          <w:szCs w:val="24"/>
          <w:lang w:val="zh-CN"/>
        </w:rPr>
        <w:t>件（格式见附件3）；</w:t>
      </w:r>
    </w:p>
    <w:p w14:paraId="288B8A71">
      <w:pPr>
        <w:pStyle w:val="113"/>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4.授权委托人</w:t>
      </w:r>
      <w:r>
        <w:rPr>
          <w:rFonts w:hint="eastAsia" w:ascii="宋体" w:hAnsi="宋体" w:eastAsia="宋体" w:cs="宋体"/>
          <w:b w:val="0"/>
          <w:bCs/>
          <w:color w:val="auto"/>
          <w:sz w:val="24"/>
          <w:szCs w:val="24"/>
        </w:rPr>
        <w:t>（提供①与投标企业签订的有效劳动合同复印件；②社保机构出具并盖章的投标企业为其缴纳养老保险缴费清单</w:t>
      </w:r>
      <w:r>
        <w:rPr>
          <w:rFonts w:hint="eastAsia" w:ascii="宋体" w:hAnsi="宋体" w:eastAsia="宋体" w:cs="宋体"/>
          <w:b w:val="0"/>
          <w:bCs/>
          <w:color w:val="auto"/>
          <w:sz w:val="24"/>
          <w:szCs w:val="24"/>
          <w:lang w:val="en-US" w:eastAsia="zh-CN"/>
        </w:rPr>
        <w:t>证明</w:t>
      </w:r>
      <w:r>
        <w:rPr>
          <w:rFonts w:hint="eastAsia" w:ascii="宋体" w:hAnsi="宋体" w:eastAsia="宋体" w:cs="宋体"/>
          <w:b w:val="0"/>
          <w:bCs/>
          <w:color w:val="auto"/>
          <w:sz w:val="24"/>
          <w:szCs w:val="24"/>
        </w:rPr>
        <w:t>（开标截止前三个月中任意一个月</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w:t>
      </w:r>
    </w:p>
    <w:p w14:paraId="2DDF45E0">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竞争性磋商响应函（格式见附件</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w:t>
      </w:r>
    </w:p>
    <w:p w14:paraId="030801CA">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.供应商有效的营业执照复印件。</w:t>
      </w:r>
    </w:p>
    <w:p w14:paraId="7508F4E0">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.供应商信用承诺书（</w:t>
      </w:r>
      <w:r>
        <w:rPr>
          <w:rFonts w:hint="eastAsia" w:ascii="宋体" w:hAnsi="宋体" w:eastAsia="宋体" w:cs="宋体"/>
          <w:color w:val="auto"/>
          <w:sz w:val="24"/>
          <w:szCs w:val="24"/>
        </w:rPr>
        <w:t>格式见附件1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p>
    <w:p w14:paraId="0EB97381">
      <w:pPr>
        <w:pStyle w:val="111"/>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二、商务技术文件（不能出现价格文件）</w:t>
      </w:r>
    </w:p>
    <w:p w14:paraId="5C56BE07">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1.供应商情况一览表；（格式见附件4）</w:t>
      </w:r>
    </w:p>
    <w:p w14:paraId="6A70F180">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2.商务技术评分标准中须提供的相关得分佐证材料；</w:t>
      </w:r>
    </w:p>
    <w:p w14:paraId="5023DE12">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3.技术部分正负偏离表；（格式见附件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w:t>
      </w:r>
    </w:p>
    <w:p w14:paraId="4960B45A">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供应商认为需要提交的其他商务技术材料。</w:t>
      </w:r>
    </w:p>
    <w:p w14:paraId="71D0082E">
      <w:pPr>
        <w:pStyle w:val="111"/>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三、价格文件</w:t>
      </w:r>
    </w:p>
    <w:p w14:paraId="0821AA3B">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报价总表</w:t>
      </w:r>
      <w:r>
        <w:rPr>
          <w:rFonts w:hint="eastAsia" w:ascii="宋体" w:hAnsi="宋体" w:eastAsia="宋体" w:cs="宋体"/>
          <w:color w:val="auto"/>
          <w:sz w:val="24"/>
          <w:szCs w:val="24"/>
          <w:lang w:val="zh-CN"/>
        </w:rPr>
        <w:t>（格式见附件</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 xml:space="preserve">）； </w:t>
      </w:r>
    </w:p>
    <w:p w14:paraId="51A88283">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中小企业声明函（格式见附件</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p>
    <w:p w14:paraId="66B1B692">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残疾人福利性单位声明函（格式见附件</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p>
    <w:p w14:paraId="72389A15">
      <w:pPr>
        <w:pStyle w:val="113"/>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bCs/>
          <w:color w:val="auto"/>
          <w:sz w:val="24"/>
          <w:szCs w:val="24"/>
        </w:rPr>
        <w:t>监狱和戒毒企业证明材料（格式见附件</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w:t>
      </w:r>
    </w:p>
    <w:p w14:paraId="67339FA2">
      <w:pPr>
        <w:pStyle w:val="113"/>
        <w:ind w:firstLine="422"/>
        <w:rPr>
          <w:rFonts w:hint="eastAsia" w:ascii="宋体" w:hAnsi="宋体" w:eastAsia="宋体" w:cs="宋体"/>
          <w:b/>
          <w:color w:val="auto"/>
          <w:sz w:val="24"/>
          <w:szCs w:val="24"/>
          <w:lang w:val="zh-CN"/>
        </w:rPr>
      </w:pPr>
    </w:p>
    <w:p w14:paraId="6E652A47">
      <w:pPr>
        <w:widowControl/>
        <w:jc w:val="left"/>
        <w:rPr>
          <w:rFonts w:asciiTheme="majorEastAsia" w:hAnsiTheme="majorEastAsia" w:eastAsiaTheme="majorEastAsia"/>
          <w:color w:val="auto"/>
          <w:kern w:val="0"/>
          <w:sz w:val="32"/>
          <w:szCs w:val="32"/>
          <w:lang w:val="zh-CN"/>
        </w:rPr>
      </w:pPr>
      <w:r>
        <w:rPr>
          <w:rFonts w:hint="eastAsia" w:ascii="宋体" w:hAnsi="宋体" w:eastAsia="宋体" w:cs="宋体"/>
          <w:color w:val="auto"/>
          <w:kern w:val="0"/>
          <w:sz w:val="24"/>
          <w:szCs w:val="24"/>
          <w:lang w:val="zh-CN"/>
        </w:rPr>
        <w:br w:type="page"/>
      </w:r>
      <w:r>
        <w:rPr>
          <w:rFonts w:asciiTheme="majorEastAsia" w:hAnsiTheme="majorEastAsia" w:eastAsiaTheme="majorEastAsia"/>
          <w:color w:val="auto"/>
          <w:kern w:val="0"/>
          <w:sz w:val="32"/>
          <w:szCs w:val="32"/>
          <w:lang w:val="zh-CN"/>
        </w:rPr>
        <w:t>附件1</w:t>
      </w:r>
    </w:p>
    <w:p w14:paraId="473248C1">
      <w:pPr>
        <w:jc w:val="center"/>
        <w:rPr>
          <w:rFonts w:asciiTheme="majorEastAsia" w:hAnsiTheme="majorEastAsia" w:eastAsiaTheme="majorEastAsia"/>
          <w:b/>
          <w:color w:val="auto"/>
          <w:sz w:val="30"/>
          <w:szCs w:val="30"/>
        </w:rPr>
      </w:pPr>
      <w:r>
        <w:rPr>
          <w:rFonts w:hint="eastAsia" w:asciiTheme="majorEastAsia" w:hAnsiTheme="majorEastAsia" w:eastAsiaTheme="majorEastAsia"/>
          <w:b/>
          <w:color w:val="auto"/>
          <w:sz w:val="30"/>
          <w:szCs w:val="30"/>
        </w:rPr>
        <w:t>投标人符合《政府采购法》第二十二条规定条件的声明函</w:t>
      </w:r>
    </w:p>
    <w:p w14:paraId="1D46AC12">
      <w:pPr>
        <w:spacing w:line="460" w:lineRule="exact"/>
        <w:rPr>
          <w:rFonts w:asciiTheme="majorEastAsia" w:hAnsiTheme="majorEastAsia" w:eastAsiaTheme="majorEastAsia"/>
          <w:b/>
          <w:bCs/>
          <w:color w:val="auto"/>
          <w:sz w:val="44"/>
          <w:szCs w:val="44"/>
        </w:rPr>
      </w:pPr>
    </w:p>
    <w:p w14:paraId="647CDE33">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我单位参加</w:t>
      </w:r>
      <w:r>
        <w:rPr>
          <w:rFonts w:hint="eastAsia" w:ascii="宋体" w:hAnsi="宋体" w:eastAsia="宋体" w:cs="宋体"/>
          <w:bCs/>
          <w:color w:val="auto"/>
          <w:sz w:val="24"/>
          <w:szCs w:val="24"/>
          <w:u w:val="none"/>
        </w:rPr>
        <w:t xml:space="preserve">________________ </w:t>
      </w: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u w:val="none"/>
        </w:rPr>
        <w:t>________________</w:t>
      </w:r>
      <w:r>
        <w:rPr>
          <w:rFonts w:hint="eastAsia" w:ascii="宋体" w:hAnsi="宋体" w:eastAsia="宋体" w:cs="宋体"/>
          <w:bCs/>
          <w:color w:val="auto"/>
          <w:sz w:val="24"/>
          <w:szCs w:val="24"/>
        </w:rPr>
        <w:t>（项目编号）投标活动。针对《中华人民共和国政府采购法》第二十二条规定做出如下声明：</w:t>
      </w:r>
    </w:p>
    <w:p w14:paraId="66253E6D">
      <w:pPr>
        <w:spacing w:line="520" w:lineRule="exact"/>
        <w:ind w:firstLine="482"/>
        <w:rPr>
          <w:rFonts w:hint="eastAsia" w:ascii="宋体" w:hAnsi="宋体" w:eastAsia="宋体" w:cs="宋体"/>
          <w:color w:val="auto"/>
          <w:sz w:val="24"/>
          <w:szCs w:val="24"/>
        </w:rPr>
      </w:pPr>
      <w:r>
        <w:rPr>
          <w:rFonts w:hint="eastAsia" w:ascii="宋体" w:hAnsi="宋体" w:eastAsia="宋体" w:cs="宋体"/>
          <w:bCs/>
          <w:color w:val="auto"/>
          <w:sz w:val="24"/>
          <w:szCs w:val="24"/>
        </w:rPr>
        <w:t>1.我单位具有独立承担民事责任的能力；</w:t>
      </w:r>
    </w:p>
    <w:p w14:paraId="185299AF">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2.我单位具有良好的商业信誉和健全的财务会计制度；</w:t>
      </w:r>
    </w:p>
    <w:p w14:paraId="4D065020">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3.我单位具有履行合同所必需的设备和专业技术能力；</w:t>
      </w:r>
    </w:p>
    <w:p w14:paraId="5AF1BC24">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4.我单位有依法缴纳税收和社会保障资金的良好记录；</w:t>
      </w:r>
    </w:p>
    <w:p w14:paraId="2F0983BE">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C280B5E">
      <w:pPr>
        <w:spacing w:line="52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6.我单位满足法律、行政法规规定的其他条件。</w:t>
      </w:r>
    </w:p>
    <w:p w14:paraId="5D9015B3">
      <w:pPr>
        <w:spacing w:line="500" w:lineRule="exact"/>
        <w:ind w:firstLine="482"/>
        <w:rPr>
          <w:rFonts w:hint="eastAsia" w:ascii="宋体" w:hAnsi="宋体" w:eastAsia="宋体" w:cs="宋体"/>
          <w:color w:val="auto"/>
          <w:sz w:val="24"/>
          <w:szCs w:val="24"/>
        </w:rPr>
      </w:pPr>
    </w:p>
    <w:p w14:paraId="0DA89DB5">
      <w:pPr>
        <w:spacing w:line="500" w:lineRule="exact"/>
        <w:rPr>
          <w:rFonts w:hint="eastAsia" w:ascii="宋体" w:hAnsi="宋体" w:eastAsia="宋体" w:cs="宋体"/>
          <w:bCs/>
          <w:color w:val="auto"/>
          <w:sz w:val="24"/>
          <w:szCs w:val="24"/>
        </w:rPr>
      </w:pPr>
    </w:p>
    <w:p w14:paraId="367F5A2B">
      <w:pPr>
        <w:spacing w:line="500" w:lineRule="exact"/>
        <w:rPr>
          <w:rFonts w:hint="eastAsia" w:ascii="宋体" w:hAnsi="宋体" w:eastAsia="宋体" w:cs="宋体"/>
          <w:bCs/>
          <w:color w:val="auto"/>
          <w:sz w:val="24"/>
          <w:szCs w:val="24"/>
        </w:rPr>
      </w:pPr>
    </w:p>
    <w:p w14:paraId="0AA72CA8">
      <w:pPr>
        <w:spacing w:line="500" w:lineRule="exact"/>
        <w:rPr>
          <w:rFonts w:hint="eastAsia" w:ascii="宋体" w:hAnsi="宋体" w:eastAsia="宋体" w:cs="宋体"/>
          <w:bCs/>
          <w:color w:val="auto"/>
          <w:sz w:val="24"/>
          <w:szCs w:val="24"/>
        </w:rPr>
      </w:pPr>
    </w:p>
    <w:p w14:paraId="2F3B92DF">
      <w:pPr>
        <w:spacing w:line="4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承诺人名称（公章）：</w:t>
      </w:r>
    </w:p>
    <w:p w14:paraId="31B85CCE">
      <w:pPr>
        <w:spacing w:line="460" w:lineRule="exact"/>
        <w:jc w:val="right"/>
        <w:rPr>
          <w:rFonts w:hint="eastAsia" w:ascii="宋体" w:hAnsi="宋体" w:eastAsia="宋体" w:cs="宋体"/>
          <w:bCs/>
          <w:color w:val="auto"/>
          <w:sz w:val="24"/>
          <w:szCs w:val="24"/>
        </w:rPr>
      </w:pPr>
    </w:p>
    <w:p w14:paraId="5AF772B3">
      <w:pPr>
        <w:spacing w:line="460" w:lineRule="exact"/>
        <w:jc w:val="righ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日期：</w:t>
      </w:r>
      <w:r>
        <w:rPr>
          <w:rFonts w:hint="eastAsia" w:ascii="宋体" w:hAnsi="宋体" w:eastAsia="宋体" w:cs="宋体"/>
          <w:bCs/>
          <w:color w:val="auto"/>
          <w:sz w:val="24"/>
          <w:szCs w:val="24"/>
          <w:u w:val="none"/>
        </w:rPr>
        <w:t>______</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日</w:t>
      </w:r>
    </w:p>
    <w:p w14:paraId="6A227480">
      <w:pPr>
        <w:snapToGrid w:val="0"/>
        <w:spacing w:line="400" w:lineRule="exact"/>
        <w:ind w:firstLine="463" w:firstLineChars="192"/>
        <w:contextualSpacing/>
        <w:rPr>
          <w:rFonts w:hint="eastAsia" w:ascii="宋体" w:hAnsi="宋体" w:eastAsia="宋体" w:cs="宋体"/>
          <w:b/>
          <w:color w:val="auto"/>
          <w:kern w:val="0"/>
          <w:sz w:val="24"/>
          <w:szCs w:val="24"/>
        </w:rPr>
      </w:pPr>
    </w:p>
    <w:p w14:paraId="70779A00">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4C0802E0">
      <w:pPr>
        <w:widowControl/>
        <w:jc w:val="left"/>
        <w:rPr>
          <w:rFonts w:asciiTheme="majorEastAsia" w:hAnsiTheme="majorEastAsia" w:eastAsiaTheme="majorEastAsia"/>
          <w:color w:val="auto"/>
          <w:kern w:val="0"/>
          <w:sz w:val="32"/>
          <w:szCs w:val="32"/>
          <w:lang w:val="zh-CN"/>
        </w:rPr>
      </w:pPr>
    </w:p>
    <w:p w14:paraId="0B7808E0">
      <w:pPr>
        <w:snapToGrid w:val="0"/>
        <w:spacing w:line="400" w:lineRule="exact"/>
        <w:contextualSpacing/>
        <w:rPr>
          <w:rFonts w:asciiTheme="majorEastAsia" w:hAnsiTheme="majorEastAsia" w:eastAsiaTheme="majorEastAsia"/>
          <w:color w:val="auto"/>
          <w:kern w:val="0"/>
          <w:sz w:val="32"/>
          <w:szCs w:val="32"/>
          <w:lang w:val="zh-CN"/>
        </w:rPr>
      </w:pPr>
    </w:p>
    <w:p w14:paraId="342D5583">
      <w:pPr>
        <w:snapToGrid w:val="0"/>
        <w:spacing w:line="400" w:lineRule="exact"/>
        <w:contextualSpacing/>
        <w:rPr>
          <w:rFonts w:asciiTheme="majorEastAsia" w:hAnsiTheme="majorEastAsia" w:eastAsiaTheme="majorEastAsia"/>
          <w:color w:val="auto"/>
          <w:kern w:val="0"/>
          <w:sz w:val="32"/>
          <w:szCs w:val="32"/>
          <w:lang w:val="zh-CN"/>
        </w:rPr>
      </w:pPr>
    </w:p>
    <w:p w14:paraId="77B09482">
      <w:pPr>
        <w:snapToGrid w:val="0"/>
        <w:spacing w:line="400" w:lineRule="exact"/>
        <w:contextualSpacing/>
        <w:rPr>
          <w:rFonts w:asciiTheme="majorEastAsia" w:hAnsiTheme="majorEastAsia" w:eastAsiaTheme="majorEastAsia"/>
          <w:color w:val="auto"/>
          <w:kern w:val="0"/>
          <w:sz w:val="32"/>
          <w:szCs w:val="32"/>
          <w:lang w:val="zh-CN"/>
        </w:rPr>
      </w:pPr>
    </w:p>
    <w:p w14:paraId="782A07DE">
      <w:pPr>
        <w:snapToGrid w:val="0"/>
        <w:spacing w:line="400" w:lineRule="exact"/>
        <w:contextualSpacing/>
        <w:rPr>
          <w:rFonts w:asciiTheme="majorEastAsia" w:hAnsiTheme="majorEastAsia" w:eastAsiaTheme="majorEastAsia"/>
          <w:color w:val="auto"/>
          <w:kern w:val="0"/>
          <w:sz w:val="32"/>
          <w:szCs w:val="32"/>
          <w:lang w:val="zh-CN"/>
        </w:rPr>
      </w:pPr>
    </w:p>
    <w:p w14:paraId="4123C3FC">
      <w:pPr>
        <w:snapToGrid w:val="0"/>
        <w:spacing w:line="400" w:lineRule="exact"/>
        <w:contextualSpacing/>
        <w:rPr>
          <w:rFonts w:asciiTheme="majorEastAsia" w:hAnsiTheme="majorEastAsia" w:eastAsiaTheme="majorEastAsia"/>
          <w:color w:val="auto"/>
          <w:kern w:val="0"/>
          <w:sz w:val="32"/>
          <w:szCs w:val="32"/>
          <w:lang w:val="zh-CN"/>
        </w:rPr>
      </w:pPr>
      <w:r>
        <w:rPr>
          <w:rFonts w:asciiTheme="majorEastAsia" w:hAnsiTheme="majorEastAsia" w:eastAsiaTheme="majorEastAsia"/>
          <w:color w:val="auto"/>
          <w:kern w:val="0"/>
          <w:sz w:val="32"/>
          <w:szCs w:val="32"/>
          <w:lang w:val="zh-CN"/>
        </w:rPr>
        <w:t>附件2</w:t>
      </w:r>
    </w:p>
    <w:p w14:paraId="37B9A0FC">
      <w:pPr>
        <w:spacing w:line="560" w:lineRule="exact"/>
        <w:jc w:val="center"/>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法定代表人身份证明</w:t>
      </w:r>
    </w:p>
    <w:p w14:paraId="0EED1E4A">
      <w:pPr>
        <w:spacing w:line="480" w:lineRule="exact"/>
        <w:rPr>
          <w:rFonts w:asciiTheme="majorEastAsia" w:hAnsiTheme="majorEastAsia" w:eastAsiaTheme="majorEastAsia"/>
          <w:color w:val="auto"/>
          <w:sz w:val="24"/>
        </w:rPr>
      </w:pPr>
    </w:p>
    <w:p w14:paraId="446E7F8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先生/女士： 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5119BE5F">
      <w:pPr>
        <w:spacing w:line="480" w:lineRule="exact"/>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14:paraId="4A30B5AF">
      <w:pPr>
        <w:spacing w:line="480" w:lineRule="exact"/>
        <w:ind w:firstLine="480"/>
        <w:rPr>
          <w:rFonts w:hint="eastAsia" w:ascii="宋体" w:hAnsi="宋体" w:eastAsia="宋体" w:cs="宋体"/>
          <w:color w:val="auto"/>
          <w:sz w:val="24"/>
          <w:szCs w:val="24"/>
        </w:rPr>
      </w:pPr>
    </w:p>
    <w:p w14:paraId="666760E9">
      <w:pPr>
        <w:spacing w:line="6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注：提供法定代表人的身份证</w:t>
      </w:r>
      <w:r>
        <w:rPr>
          <w:rFonts w:hint="eastAsia" w:ascii="宋体" w:hAnsi="宋体" w:eastAsia="宋体" w:cs="宋体"/>
          <w:b/>
          <w:color w:val="auto"/>
          <w:sz w:val="24"/>
          <w:szCs w:val="24"/>
          <w:lang w:val="en-US" w:eastAsia="zh-CN"/>
        </w:rPr>
        <w:t>扫描件（正反面）</w:t>
      </w:r>
      <w:r>
        <w:rPr>
          <w:rFonts w:hint="eastAsia" w:ascii="宋体" w:hAnsi="宋体" w:eastAsia="宋体" w:cs="宋体"/>
          <w:b/>
          <w:color w:val="auto"/>
          <w:sz w:val="24"/>
          <w:szCs w:val="24"/>
        </w:rPr>
        <w:t>盖公章</w:t>
      </w:r>
    </w:p>
    <w:p w14:paraId="59E7512B">
      <w:pPr>
        <w:rPr>
          <w:rFonts w:hint="eastAsia" w:ascii="宋体" w:hAnsi="宋体" w:eastAsia="宋体" w:cs="宋体"/>
          <w:color w:val="auto"/>
          <w:sz w:val="24"/>
          <w:szCs w:val="24"/>
        </w:rPr>
      </w:pPr>
    </w:p>
    <w:p w14:paraId="527E1A35">
      <w:pPr>
        <w:snapToGrid w:val="0"/>
        <w:spacing w:line="400" w:lineRule="exact"/>
        <w:ind w:firstLine="463" w:firstLineChars="192"/>
        <w:contextualSpacing/>
        <w:rPr>
          <w:rFonts w:hint="eastAsia" w:ascii="宋体" w:hAnsi="宋体" w:eastAsia="宋体" w:cs="宋体"/>
          <w:b/>
          <w:color w:val="auto"/>
          <w:kern w:val="0"/>
          <w:sz w:val="24"/>
          <w:szCs w:val="24"/>
        </w:rPr>
      </w:pPr>
    </w:p>
    <w:p w14:paraId="76089E4C">
      <w:pPr>
        <w:snapToGrid w:val="0"/>
        <w:spacing w:line="400" w:lineRule="exact"/>
        <w:ind w:firstLine="463" w:firstLineChars="192"/>
        <w:contextualSpacing/>
        <w:rPr>
          <w:rFonts w:hint="eastAsia" w:ascii="宋体" w:hAnsi="宋体" w:eastAsia="宋体" w:cs="宋体"/>
          <w:b/>
          <w:color w:val="auto"/>
          <w:kern w:val="0"/>
          <w:sz w:val="24"/>
          <w:szCs w:val="24"/>
          <w:lang w:val="zh-CN"/>
        </w:rPr>
      </w:pPr>
    </w:p>
    <w:p w14:paraId="331E0A85">
      <w:pPr>
        <w:snapToGrid w:val="0"/>
        <w:spacing w:line="400" w:lineRule="exact"/>
        <w:ind w:firstLine="463" w:firstLineChars="192"/>
        <w:contextualSpacing/>
        <w:rPr>
          <w:rFonts w:hint="eastAsia" w:ascii="宋体" w:hAnsi="宋体" w:eastAsia="宋体" w:cs="宋体"/>
          <w:b/>
          <w:color w:val="auto"/>
          <w:kern w:val="0"/>
          <w:sz w:val="24"/>
          <w:szCs w:val="24"/>
          <w:lang w:val="zh-CN"/>
        </w:rPr>
      </w:pPr>
    </w:p>
    <w:p w14:paraId="4F9EFEF3">
      <w:pPr>
        <w:snapToGrid w:val="0"/>
        <w:spacing w:line="400" w:lineRule="exact"/>
        <w:ind w:firstLine="463" w:firstLineChars="192"/>
        <w:contextualSpacing/>
        <w:rPr>
          <w:rFonts w:hint="eastAsia" w:ascii="宋体" w:hAnsi="宋体" w:eastAsia="宋体" w:cs="宋体"/>
          <w:b/>
          <w:color w:val="auto"/>
          <w:kern w:val="0"/>
          <w:sz w:val="24"/>
          <w:szCs w:val="24"/>
          <w:lang w:val="zh-CN"/>
        </w:rPr>
      </w:pPr>
    </w:p>
    <w:p w14:paraId="414D9FCA">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68F821DC">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773CFAE2">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153362C2">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5D422C56">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402E5B11">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52910C1B">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0123B80F">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5B69A2DA">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2BD5C14F">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04DE7EBD">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0ABF55FF">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2959E68D">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6C3C589A">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0952172B">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74E95A02">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43A2DD05">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32E6B4DB">
      <w:pPr>
        <w:snapToGrid w:val="0"/>
        <w:spacing w:line="400" w:lineRule="exact"/>
        <w:ind w:firstLine="540" w:firstLineChars="192"/>
        <w:contextualSpacing/>
        <w:rPr>
          <w:rFonts w:cs="宋体" w:asciiTheme="majorEastAsia" w:hAnsiTheme="majorEastAsia" w:eastAsiaTheme="majorEastAsia"/>
          <w:b/>
          <w:color w:val="auto"/>
          <w:kern w:val="0"/>
          <w:sz w:val="28"/>
          <w:szCs w:val="28"/>
          <w:lang w:val="zh-CN"/>
        </w:rPr>
      </w:pPr>
    </w:p>
    <w:p w14:paraId="20AA96C2">
      <w:pPr>
        <w:snapToGrid w:val="0"/>
        <w:spacing w:line="400" w:lineRule="exact"/>
        <w:contextualSpacing/>
        <w:rPr>
          <w:rFonts w:cs="宋体" w:asciiTheme="majorEastAsia" w:hAnsiTheme="majorEastAsia" w:eastAsiaTheme="majorEastAsia"/>
          <w:b/>
          <w:color w:val="auto"/>
          <w:kern w:val="0"/>
          <w:sz w:val="28"/>
          <w:szCs w:val="28"/>
          <w:lang w:val="zh-CN"/>
        </w:rPr>
      </w:pPr>
    </w:p>
    <w:p w14:paraId="6646AADD">
      <w:pPr>
        <w:snapToGrid w:val="0"/>
        <w:spacing w:line="400" w:lineRule="exact"/>
        <w:contextualSpacing/>
        <w:rPr>
          <w:rFonts w:asciiTheme="majorEastAsia" w:hAnsiTheme="majorEastAsia" w:eastAsiaTheme="majorEastAsia"/>
          <w:color w:val="auto"/>
          <w:kern w:val="0"/>
          <w:sz w:val="32"/>
          <w:szCs w:val="32"/>
          <w:lang w:val="zh-CN"/>
        </w:rPr>
      </w:pPr>
    </w:p>
    <w:p w14:paraId="2DE4A62A">
      <w:pPr>
        <w:snapToGrid w:val="0"/>
        <w:spacing w:line="400" w:lineRule="exact"/>
        <w:contextualSpacing/>
        <w:rPr>
          <w:rFonts w:asciiTheme="majorEastAsia" w:hAnsiTheme="majorEastAsia" w:eastAsiaTheme="majorEastAsia"/>
          <w:color w:val="auto"/>
          <w:kern w:val="0"/>
          <w:sz w:val="32"/>
          <w:szCs w:val="32"/>
          <w:lang w:val="zh-CN"/>
        </w:rPr>
      </w:pPr>
    </w:p>
    <w:p w14:paraId="35E2FAF9">
      <w:pPr>
        <w:snapToGrid w:val="0"/>
        <w:spacing w:line="400" w:lineRule="exact"/>
        <w:contextualSpacing/>
        <w:rPr>
          <w:rFonts w:asciiTheme="majorEastAsia" w:hAnsiTheme="majorEastAsia" w:eastAsiaTheme="majorEastAsia"/>
          <w:color w:val="auto"/>
          <w:kern w:val="0"/>
          <w:sz w:val="32"/>
          <w:szCs w:val="32"/>
          <w:lang w:val="zh-CN"/>
        </w:rPr>
      </w:pPr>
      <w:r>
        <w:rPr>
          <w:rFonts w:asciiTheme="majorEastAsia" w:hAnsiTheme="majorEastAsia" w:eastAsiaTheme="majorEastAsia"/>
          <w:color w:val="auto"/>
          <w:kern w:val="0"/>
          <w:sz w:val="32"/>
          <w:szCs w:val="32"/>
          <w:lang w:val="zh-CN"/>
        </w:rPr>
        <w:t>附件3</w:t>
      </w:r>
    </w:p>
    <w:p w14:paraId="430E3526">
      <w:pPr>
        <w:spacing w:line="560" w:lineRule="exact"/>
        <w:jc w:val="center"/>
        <w:rPr>
          <w:rFonts w:hint="eastAsia"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法定代表人授权委托书</w:t>
      </w:r>
    </w:p>
    <w:p w14:paraId="066B3E70">
      <w:pPr>
        <w:rPr>
          <w:rFonts w:hint="eastAsia" w:ascii="宋体" w:hAnsi="宋体" w:eastAsia="宋体" w:cs="宋体"/>
          <w:color w:val="auto"/>
          <w:sz w:val="24"/>
          <w:szCs w:val="24"/>
        </w:rPr>
      </w:pPr>
    </w:p>
    <w:p w14:paraId="3CDDCAF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姓名）系————（授权单位名称）的法定代表人，现委托-------（姓名）（身份证号——————）为我方代理人，以我方名义全权处理与本次采购项目（编号：----------）有关的一切事务，其法律后果由我方承担。</w:t>
      </w:r>
    </w:p>
    <w:p w14:paraId="6544A7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本授权书于---年---月---日起生效。代理人无转委托权。</w:t>
      </w:r>
    </w:p>
    <w:p w14:paraId="1C72C194">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代理人(被授权人):------</w:t>
      </w:r>
    </w:p>
    <w:p w14:paraId="6AA3596F">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授权单位名称（盖章）：-----</w:t>
      </w:r>
    </w:p>
    <w:p w14:paraId="15E09634">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授权单位法定代表人（签字或盖章）：-----</w:t>
      </w:r>
    </w:p>
    <w:p w14:paraId="0C9C1C56">
      <w:pPr>
        <w:spacing w:line="360" w:lineRule="auto"/>
        <w:jc w:val="right"/>
        <w:rPr>
          <w:rFonts w:hint="eastAsia" w:ascii="宋体" w:hAnsi="宋体" w:eastAsia="宋体" w:cs="宋体"/>
          <w:color w:val="auto"/>
          <w:sz w:val="24"/>
          <w:szCs w:val="24"/>
        </w:rPr>
      </w:pPr>
    </w:p>
    <w:p w14:paraId="7AD14A93">
      <w:pPr>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XXXX年XX月XX日</w:t>
      </w:r>
    </w:p>
    <w:p w14:paraId="7D7B7AC8">
      <w:pPr>
        <w:snapToGrid w:val="0"/>
        <w:spacing w:line="400" w:lineRule="exact"/>
        <w:ind w:firstLine="463" w:firstLineChars="192"/>
        <w:contextualSpacing/>
        <w:rPr>
          <w:rFonts w:hint="eastAsia" w:ascii="宋体" w:hAnsi="宋体" w:eastAsia="宋体" w:cs="宋体"/>
          <w:b/>
          <w:color w:val="auto"/>
          <w:kern w:val="0"/>
          <w:sz w:val="24"/>
          <w:szCs w:val="24"/>
        </w:rPr>
      </w:pPr>
    </w:p>
    <w:p w14:paraId="289B74C1">
      <w:pPr>
        <w:snapToGrid w:val="0"/>
        <w:spacing w:line="400" w:lineRule="exact"/>
        <w:ind w:firstLine="463" w:firstLineChars="192"/>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注：提供法定代表人的身份证扫描件（正反面）盖公章</w:t>
      </w:r>
    </w:p>
    <w:p w14:paraId="475B01A7">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D63BF46">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567EDBCE">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7F1BAD38">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503C7DC5">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5AB98B1D">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1917A4AC">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B8229C1">
      <w:pPr>
        <w:snapToGrid w:val="0"/>
        <w:spacing w:line="400" w:lineRule="exact"/>
        <w:ind w:firstLine="537" w:firstLineChars="192"/>
        <w:contextualSpacing/>
        <w:rPr>
          <w:rFonts w:asciiTheme="majorEastAsia" w:hAnsiTheme="majorEastAsia" w:eastAsiaTheme="majorEastAsia"/>
          <w:color w:val="auto"/>
          <w:sz w:val="28"/>
          <w:szCs w:val="28"/>
        </w:rPr>
      </w:pPr>
    </w:p>
    <w:p w14:paraId="0CAB0D17">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196EDFF4">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43771BC">
      <w:pPr>
        <w:pStyle w:val="14"/>
        <w:rPr>
          <w:color w:val="auto"/>
        </w:rPr>
      </w:pPr>
    </w:p>
    <w:p w14:paraId="3D906B18">
      <w:pPr>
        <w:rPr>
          <w:color w:val="auto"/>
        </w:rPr>
      </w:pPr>
    </w:p>
    <w:p w14:paraId="26712F15">
      <w:pPr>
        <w:pStyle w:val="2"/>
        <w:rPr>
          <w:color w:val="auto"/>
        </w:rPr>
      </w:pPr>
    </w:p>
    <w:p w14:paraId="34428654">
      <w:pPr>
        <w:pStyle w:val="20"/>
        <w:rPr>
          <w:color w:val="auto"/>
        </w:rPr>
      </w:pPr>
    </w:p>
    <w:p w14:paraId="57789946">
      <w:pPr>
        <w:pStyle w:val="20"/>
        <w:rPr>
          <w:color w:val="auto"/>
        </w:rPr>
      </w:pPr>
    </w:p>
    <w:p w14:paraId="78DC6258">
      <w:pPr>
        <w:pStyle w:val="20"/>
        <w:rPr>
          <w:color w:val="auto"/>
        </w:rPr>
      </w:pPr>
    </w:p>
    <w:p w14:paraId="7C4A40B8">
      <w:pPr>
        <w:pStyle w:val="20"/>
        <w:rPr>
          <w:color w:val="auto"/>
        </w:rPr>
      </w:pPr>
    </w:p>
    <w:p w14:paraId="778CD982">
      <w:pPr>
        <w:pStyle w:val="20"/>
        <w:rPr>
          <w:color w:val="auto"/>
        </w:rPr>
      </w:pPr>
    </w:p>
    <w:p w14:paraId="163A16E0">
      <w:pPr>
        <w:pStyle w:val="20"/>
        <w:rPr>
          <w:color w:val="auto"/>
        </w:rPr>
      </w:pPr>
    </w:p>
    <w:p w14:paraId="415CA7EB">
      <w:pPr>
        <w:snapToGrid w:val="0"/>
        <w:spacing w:line="400" w:lineRule="exact"/>
        <w:contextualSpacing/>
        <w:rPr>
          <w:rFonts w:cs="宋体" w:asciiTheme="majorEastAsia" w:hAnsiTheme="majorEastAsia" w:eastAsiaTheme="majorEastAsia"/>
          <w:b/>
          <w:color w:val="auto"/>
          <w:kern w:val="0"/>
          <w:sz w:val="28"/>
          <w:szCs w:val="28"/>
        </w:rPr>
      </w:pPr>
    </w:p>
    <w:p w14:paraId="6A6E3802">
      <w:pPr>
        <w:snapToGrid w:val="0"/>
        <w:spacing w:line="400" w:lineRule="exact"/>
        <w:contextualSpacing/>
        <w:rPr>
          <w:rFonts w:asciiTheme="majorEastAsia" w:hAnsiTheme="majorEastAsia" w:eastAsiaTheme="majorEastAsia"/>
          <w:color w:val="auto"/>
          <w:kern w:val="0"/>
          <w:sz w:val="32"/>
          <w:szCs w:val="32"/>
        </w:rPr>
      </w:pPr>
      <w:bookmarkStart w:id="143" w:name="_Hlk110516708"/>
      <w:r>
        <w:rPr>
          <w:rFonts w:asciiTheme="majorEastAsia" w:hAnsiTheme="majorEastAsia" w:eastAsiaTheme="majorEastAsia"/>
          <w:color w:val="auto"/>
          <w:kern w:val="0"/>
          <w:sz w:val="32"/>
          <w:szCs w:val="32"/>
        </w:rPr>
        <w:t>附件4</w:t>
      </w:r>
    </w:p>
    <w:p w14:paraId="49543A04">
      <w:pPr>
        <w:tabs>
          <w:tab w:val="left" w:pos="1260"/>
        </w:tabs>
        <w:snapToGrid w:val="0"/>
        <w:spacing w:line="300" w:lineRule="auto"/>
        <w:contextualSpacing/>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供应商情况一览表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4A38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7F343767">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单位名称</w:t>
            </w:r>
          </w:p>
        </w:tc>
        <w:tc>
          <w:tcPr>
            <w:tcW w:w="7923" w:type="dxa"/>
            <w:gridSpan w:val="10"/>
            <w:tcBorders>
              <w:top w:val="double" w:color="auto" w:sz="4" w:space="0"/>
              <w:right w:val="double" w:color="auto" w:sz="4" w:space="0"/>
            </w:tcBorders>
            <w:vAlign w:val="center"/>
          </w:tcPr>
          <w:p w14:paraId="59BC83A2">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0D41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0871DFB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单位优势及特长</w:t>
            </w:r>
          </w:p>
        </w:tc>
        <w:tc>
          <w:tcPr>
            <w:tcW w:w="7072" w:type="dxa"/>
            <w:gridSpan w:val="9"/>
            <w:tcBorders>
              <w:left w:val="single" w:color="auto" w:sz="4" w:space="0"/>
              <w:right w:val="double" w:color="auto" w:sz="4" w:space="0"/>
            </w:tcBorders>
            <w:vAlign w:val="center"/>
          </w:tcPr>
          <w:p w14:paraId="2AC7B292">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54A2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DC36456">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单位</w:t>
            </w:r>
          </w:p>
          <w:p w14:paraId="167EC70A">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概况</w:t>
            </w:r>
          </w:p>
        </w:tc>
        <w:tc>
          <w:tcPr>
            <w:tcW w:w="1276" w:type="dxa"/>
            <w:gridSpan w:val="2"/>
            <w:vAlign w:val="center"/>
          </w:tcPr>
          <w:p w14:paraId="422FF12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职工总数</w:t>
            </w:r>
          </w:p>
        </w:tc>
        <w:tc>
          <w:tcPr>
            <w:tcW w:w="1417" w:type="dxa"/>
            <w:gridSpan w:val="2"/>
            <w:vAlign w:val="center"/>
          </w:tcPr>
          <w:p w14:paraId="0A88E216">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人</w:t>
            </w:r>
          </w:p>
        </w:tc>
        <w:tc>
          <w:tcPr>
            <w:tcW w:w="567" w:type="dxa"/>
            <w:vMerge w:val="restart"/>
            <w:vAlign w:val="center"/>
          </w:tcPr>
          <w:p w14:paraId="33E104F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上一年主要经济指标</w:t>
            </w:r>
          </w:p>
        </w:tc>
        <w:tc>
          <w:tcPr>
            <w:tcW w:w="946" w:type="dxa"/>
            <w:vAlign w:val="center"/>
          </w:tcPr>
          <w:p w14:paraId="4160B53D">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营业额</w:t>
            </w:r>
          </w:p>
        </w:tc>
        <w:tc>
          <w:tcPr>
            <w:tcW w:w="1414" w:type="dxa"/>
            <w:gridSpan w:val="2"/>
            <w:vAlign w:val="center"/>
          </w:tcPr>
          <w:p w14:paraId="2656906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184" w:type="dxa"/>
            <w:gridSpan w:val="2"/>
            <w:vAlign w:val="center"/>
          </w:tcPr>
          <w:p w14:paraId="71418DF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实现利润</w:t>
            </w:r>
          </w:p>
        </w:tc>
        <w:tc>
          <w:tcPr>
            <w:tcW w:w="1544" w:type="dxa"/>
            <w:tcBorders>
              <w:right w:val="double" w:color="auto" w:sz="4" w:space="0"/>
            </w:tcBorders>
            <w:vAlign w:val="center"/>
          </w:tcPr>
          <w:p w14:paraId="59F58B9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440C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443C854">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p>
        </w:tc>
        <w:tc>
          <w:tcPr>
            <w:tcW w:w="1276" w:type="dxa"/>
            <w:gridSpan w:val="2"/>
            <w:vAlign w:val="center"/>
          </w:tcPr>
          <w:p w14:paraId="2094ED7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流动资金</w:t>
            </w:r>
          </w:p>
        </w:tc>
        <w:tc>
          <w:tcPr>
            <w:tcW w:w="1417" w:type="dxa"/>
            <w:gridSpan w:val="2"/>
            <w:vAlign w:val="center"/>
          </w:tcPr>
          <w:p w14:paraId="7EF92441">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万元</w:t>
            </w:r>
          </w:p>
        </w:tc>
        <w:tc>
          <w:tcPr>
            <w:tcW w:w="567" w:type="dxa"/>
            <w:vMerge w:val="continue"/>
            <w:vAlign w:val="center"/>
          </w:tcPr>
          <w:p w14:paraId="2FE9F3B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Merge w:val="restart"/>
            <w:vAlign w:val="center"/>
          </w:tcPr>
          <w:p w14:paraId="21C7D0B9">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主要</w:t>
            </w:r>
          </w:p>
          <w:p w14:paraId="0464693C">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w:t>
            </w:r>
          </w:p>
        </w:tc>
        <w:tc>
          <w:tcPr>
            <w:tcW w:w="4142" w:type="dxa"/>
            <w:gridSpan w:val="5"/>
            <w:tcBorders>
              <w:right w:val="double" w:color="auto" w:sz="4" w:space="0"/>
            </w:tcBorders>
            <w:vAlign w:val="center"/>
          </w:tcPr>
          <w:p w14:paraId="1D89E943">
            <w:pPr>
              <w:keepNext w:val="0"/>
              <w:keepLines w:val="0"/>
              <w:suppressLineNumbers w:val="0"/>
              <w:tabs>
                <w:tab w:val="left" w:pos="4320"/>
              </w:tabs>
              <w:spacing w:before="120" w:beforeAutospacing="0" w:after="12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p>
        </w:tc>
      </w:tr>
      <w:tr w14:paraId="505A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67FB8610">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p>
        </w:tc>
        <w:tc>
          <w:tcPr>
            <w:tcW w:w="1276" w:type="dxa"/>
            <w:gridSpan w:val="2"/>
            <w:vAlign w:val="center"/>
          </w:tcPr>
          <w:p w14:paraId="54C644B2">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固定资产</w:t>
            </w:r>
          </w:p>
          <w:p w14:paraId="680BD7E7">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（万元）</w:t>
            </w:r>
          </w:p>
        </w:tc>
        <w:tc>
          <w:tcPr>
            <w:tcW w:w="1417" w:type="dxa"/>
            <w:gridSpan w:val="2"/>
            <w:vAlign w:val="center"/>
          </w:tcPr>
          <w:p w14:paraId="4E0012CD">
            <w:pPr>
              <w:keepNext w:val="0"/>
              <w:keepLines w:val="0"/>
              <w:suppressLineNumbers w:val="0"/>
              <w:tabs>
                <w:tab w:val="left" w:pos="-48"/>
                <w:tab w:val="left" w:pos="4320"/>
              </w:tabs>
              <w:spacing w:before="0" w:beforeAutospacing="0" w:after="0" w:afterAutospacing="0"/>
              <w:ind w:left="0" w:right="-133" w:hanging="48"/>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原值：</w:t>
            </w:r>
          </w:p>
          <w:p w14:paraId="7F469AEC">
            <w:pPr>
              <w:keepNext w:val="0"/>
              <w:keepLines w:val="0"/>
              <w:suppressLineNumbers w:val="0"/>
              <w:tabs>
                <w:tab w:val="left" w:pos="-48"/>
                <w:tab w:val="left" w:pos="4320"/>
              </w:tabs>
              <w:spacing w:before="0" w:beforeAutospacing="0" w:after="0" w:afterAutospacing="0"/>
              <w:ind w:left="0" w:right="0" w:hanging="48"/>
              <w:jc w:val="right"/>
              <w:rPr>
                <w:rFonts w:hint="default" w:asciiTheme="majorEastAsia" w:hAnsiTheme="majorEastAsia" w:eastAsiaTheme="majorEastAsia"/>
                <w:color w:val="auto"/>
                <w:sz w:val="18"/>
                <w:szCs w:val="18"/>
              </w:rPr>
            </w:pPr>
          </w:p>
          <w:p w14:paraId="44E7CFF5">
            <w:pPr>
              <w:keepNext w:val="0"/>
              <w:keepLines w:val="0"/>
              <w:suppressLineNumbers w:val="0"/>
              <w:tabs>
                <w:tab w:val="left" w:pos="-48"/>
                <w:tab w:val="left" w:pos="4320"/>
              </w:tabs>
              <w:spacing w:before="0" w:beforeAutospacing="0" w:after="0" w:afterAutospacing="0"/>
              <w:ind w:left="0" w:right="-133" w:hanging="48"/>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净值：</w:t>
            </w:r>
          </w:p>
          <w:p w14:paraId="5E8AB006">
            <w:pPr>
              <w:keepNext w:val="0"/>
              <w:keepLines w:val="0"/>
              <w:suppressLineNumbers w:val="0"/>
              <w:tabs>
                <w:tab w:val="left" w:pos="-48"/>
                <w:tab w:val="left" w:pos="4320"/>
              </w:tabs>
              <w:spacing w:before="0" w:beforeAutospacing="0" w:after="0" w:afterAutospacing="0"/>
              <w:ind w:left="0" w:right="0" w:hanging="48"/>
              <w:jc w:val="right"/>
              <w:rPr>
                <w:rFonts w:hint="default" w:asciiTheme="majorEastAsia" w:hAnsiTheme="majorEastAsia" w:eastAsiaTheme="majorEastAsia"/>
                <w:color w:val="auto"/>
                <w:sz w:val="18"/>
                <w:szCs w:val="18"/>
              </w:rPr>
            </w:pPr>
          </w:p>
        </w:tc>
        <w:tc>
          <w:tcPr>
            <w:tcW w:w="567" w:type="dxa"/>
            <w:vMerge w:val="continue"/>
            <w:vAlign w:val="center"/>
          </w:tcPr>
          <w:p w14:paraId="1003AA51">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Merge w:val="continue"/>
            <w:vAlign w:val="center"/>
          </w:tcPr>
          <w:p w14:paraId="2F92D9A9">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p>
        </w:tc>
        <w:tc>
          <w:tcPr>
            <w:tcW w:w="4142" w:type="dxa"/>
            <w:gridSpan w:val="5"/>
            <w:tcBorders>
              <w:right w:val="double" w:color="auto" w:sz="4" w:space="0"/>
            </w:tcBorders>
            <w:vAlign w:val="center"/>
          </w:tcPr>
          <w:p w14:paraId="73246499">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p>
        </w:tc>
      </w:tr>
      <w:tr w14:paraId="03DA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25B67AA">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p>
        </w:tc>
        <w:tc>
          <w:tcPr>
            <w:tcW w:w="1276" w:type="dxa"/>
            <w:gridSpan w:val="2"/>
            <w:vAlign w:val="center"/>
          </w:tcPr>
          <w:p w14:paraId="22C5C148">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占地面积</w:t>
            </w:r>
          </w:p>
        </w:tc>
        <w:tc>
          <w:tcPr>
            <w:tcW w:w="1417" w:type="dxa"/>
            <w:gridSpan w:val="2"/>
            <w:vAlign w:val="center"/>
          </w:tcPr>
          <w:p w14:paraId="0E92AB29">
            <w:pPr>
              <w:keepNext w:val="0"/>
              <w:keepLines w:val="0"/>
              <w:suppressLineNumbers w:val="0"/>
              <w:tabs>
                <w:tab w:val="left" w:pos="4320"/>
              </w:tabs>
              <w:spacing w:before="0" w:beforeAutospacing="0" w:after="0" w:afterAutospacing="0"/>
              <w:ind w:left="0" w:right="0"/>
              <w:jc w:val="right"/>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M</w:t>
            </w:r>
            <w:r>
              <w:rPr>
                <w:rFonts w:hint="eastAsia" w:asciiTheme="majorEastAsia" w:hAnsiTheme="majorEastAsia" w:eastAsiaTheme="majorEastAsia"/>
                <w:color w:val="auto"/>
                <w:sz w:val="18"/>
                <w:szCs w:val="18"/>
                <w:vertAlign w:val="superscript"/>
              </w:rPr>
              <w:t>2</w:t>
            </w:r>
          </w:p>
        </w:tc>
        <w:tc>
          <w:tcPr>
            <w:tcW w:w="567" w:type="dxa"/>
            <w:vMerge w:val="continue"/>
            <w:vAlign w:val="center"/>
          </w:tcPr>
          <w:p w14:paraId="3AD9C7A1">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Merge w:val="continue"/>
            <w:vAlign w:val="center"/>
          </w:tcPr>
          <w:p w14:paraId="1080ECCB">
            <w:pPr>
              <w:keepNext w:val="0"/>
              <w:keepLines w:val="0"/>
              <w:suppressLineNumbers w:val="0"/>
              <w:tabs>
                <w:tab w:val="left" w:pos="4320"/>
              </w:tabs>
              <w:spacing w:before="0" w:beforeAutospacing="0" w:after="0" w:afterAutospacing="0"/>
              <w:ind w:left="0" w:right="0"/>
              <w:jc w:val="center"/>
              <w:rPr>
                <w:rFonts w:hint="default" w:asciiTheme="majorEastAsia" w:hAnsiTheme="majorEastAsia" w:eastAsiaTheme="majorEastAsia"/>
                <w:color w:val="auto"/>
                <w:sz w:val="18"/>
                <w:szCs w:val="18"/>
              </w:rPr>
            </w:pPr>
          </w:p>
        </w:tc>
        <w:tc>
          <w:tcPr>
            <w:tcW w:w="4142" w:type="dxa"/>
            <w:gridSpan w:val="5"/>
            <w:tcBorders>
              <w:right w:val="double" w:color="auto" w:sz="4" w:space="0"/>
            </w:tcBorders>
            <w:vAlign w:val="center"/>
          </w:tcPr>
          <w:p w14:paraId="4C7B1492">
            <w:pPr>
              <w:keepNext w:val="0"/>
              <w:keepLines w:val="0"/>
              <w:suppressLineNumbers w:val="0"/>
              <w:tabs>
                <w:tab w:val="left" w:pos="4320"/>
              </w:tabs>
              <w:spacing w:before="120" w:beforeAutospacing="0" w:after="12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p>
        </w:tc>
      </w:tr>
      <w:tr w14:paraId="2A4A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87EAC1C">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本次</w:t>
            </w:r>
          </w:p>
          <w:p w14:paraId="4673272F">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投标</w:t>
            </w:r>
          </w:p>
          <w:p w14:paraId="53A2EB38">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w:t>
            </w:r>
          </w:p>
          <w:p w14:paraId="0B7BA112">
            <w:pPr>
              <w:keepNext w:val="0"/>
              <w:keepLines w:val="0"/>
              <w:suppressLineNumbers w:val="0"/>
              <w:tabs>
                <w:tab w:val="left" w:pos="4320"/>
              </w:tabs>
              <w:spacing w:before="0" w:beforeAutospacing="0" w:after="0" w:afterAutospacing="0"/>
              <w:ind w:left="200" w:right="0" w:hanging="199" w:hangingChars="111"/>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情况</w:t>
            </w:r>
          </w:p>
        </w:tc>
        <w:tc>
          <w:tcPr>
            <w:tcW w:w="1643" w:type="dxa"/>
            <w:gridSpan w:val="3"/>
            <w:vAlign w:val="center"/>
          </w:tcPr>
          <w:p w14:paraId="059826E5">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本次投标</w:t>
            </w:r>
          </w:p>
          <w:p w14:paraId="469A3682">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产品名称</w:t>
            </w:r>
          </w:p>
        </w:tc>
        <w:tc>
          <w:tcPr>
            <w:tcW w:w="1617" w:type="dxa"/>
            <w:gridSpan w:val="2"/>
            <w:vAlign w:val="center"/>
          </w:tcPr>
          <w:p w14:paraId="310D712B">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型    号</w:t>
            </w:r>
          </w:p>
        </w:tc>
        <w:tc>
          <w:tcPr>
            <w:tcW w:w="946" w:type="dxa"/>
            <w:vAlign w:val="center"/>
          </w:tcPr>
          <w:p w14:paraId="630D2527">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上年</w:t>
            </w:r>
          </w:p>
          <w:p w14:paraId="52DA0B42">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产销量</w:t>
            </w:r>
          </w:p>
        </w:tc>
        <w:tc>
          <w:tcPr>
            <w:tcW w:w="1263" w:type="dxa"/>
            <w:vAlign w:val="center"/>
          </w:tcPr>
          <w:p w14:paraId="52EF2309">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产品技术</w:t>
            </w:r>
          </w:p>
          <w:p w14:paraId="3D8B8ADA">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先进水平</w:t>
            </w:r>
          </w:p>
        </w:tc>
        <w:tc>
          <w:tcPr>
            <w:tcW w:w="1273" w:type="dxa"/>
            <w:gridSpan w:val="2"/>
            <w:vAlign w:val="center"/>
          </w:tcPr>
          <w:p w14:paraId="456CDB9A">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曾获何级</w:t>
            </w:r>
          </w:p>
          <w:p w14:paraId="48544D5D">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何种奖励</w:t>
            </w:r>
          </w:p>
        </w:tc>
        <w:tc>
          <w:tcPr>
            <w:tcW w:w="1606" w:type="dxa"/>
            <w:gridSpan w:val="2"/>
            <w:tcBorders>
              <w:right w:val="double" w:color="auto" w:sz="4" w:space="0"/>
            </w:tcBorders>
            <w:vAlign w:val="center"/>
          </w:tcPr>
          <w:p w14:paraId="327FDD4E">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主要用户</w:t>
            </w:r>
          </w:p>
          <w:p w14:paraId="47895849">
            <w:pPr>
              <w:keepNext w:val="0"/>
              <w:keepLines w:val="0"/>
              <w:suppressLineNumbers w:val="0"/>
              <w:tabs>
                <w:tab w:val="left" w:pos="4320"/>
              </w:tabs>
              <w:spacing w:before="60" w:beforeAutospacing="0" w:after="60" w:afterAutospacing="0"/>
              <w:ind w:left="0" w:right="0"/>
              <w:jc w:val="center"/>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名称</w:t>
            </w:r>
          </w:p>
        </w:tc>
      </w:tr>
      <w:tr w14:paraId="41C2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61317E9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14:paraId="0C1947C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14:paraId="102E32E4">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14:paraId="008F808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14:paraId="7D17B9F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14:paraId="64DCB81D">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14:paraId="402E4783">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3636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E9BE90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14:paraId="2BB2C69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14:paraId="2BF482C3">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14:paraId="17F0F73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14:paraId="6276734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14:paraId="52CC2D55">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14:paraId="5450990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14C0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3F1ABA0">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14:paraId="3F9A1094">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14:paraId="7C716C66">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14:paraId="55527B2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14:paraId="07E6C5E7">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14:paraId="0409277B">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14:paraId="2E983DF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596E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1671176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43" w:type="dxa"/>
            <w:gridSpan w:val="3"/>
            <w:vAlign w:val="center"/>
          </w:tcPr>
          <w:p w14:paraId="15A63A04">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17" w:type="dxa"/>
            <w:gridSpan w:val="2"/>
            <w:vAlign w:val="center"/>
          </w:tcPr>
          <w:p w14:paraId="25BD99FF">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946" w:type="dxa"/>
            <w:vAlign w:val="center"/>
          </w:tcPr>
          <w:p w14:paraId="669F40B8">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63" w:type="dxa"/>
            <w:vAlign w:val="center"/>
          </w:tcPr>
          <w:p w14:paraId="58B2A07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273" w:type="dxa"/>
            <w:gridSpan w:val="2"/>
            <w:vAlign w:val="center"/>
          </w:tcPr>
          <w:p w14:paraId="40FC0493">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1606" w:type="dxa"/>
            <w:gridSpan w:val="2"/>
            <w:tcBorders>
              <w:right w:val="double" w:color="auto" w:sz="4" w:space="0"/>
            </w:tcBorders>
            <w:vAlign w:val="center"/>
          </w:tcPr>
          <w:p w14:paraId="4EB0F5C7">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r w14:paraId="6E18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6BB934E">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其它</w:t>
            </w:r>
          </w:p>
        </w:tc>
        <w:tc>
          <w:tcPr>
            <w:tcW w:w="4206" w:type="dxa"/>
            <w:gridSpan w:val="6"/>
            <w:vAlign w:val="center"/>
          </w:tcPr>
          <w:p w14:paraId="1AB6CBEB">
            <w:pPr>
              <w:keepNext w:val="0"/>
              <w:keepLines w:val="0"/>
              <w:suppressLineNumbers w:val="0"/>
              <w:tabs>
                <w:tab w:val="left" w:pos="4320"/>
              </w:tabs>
              <w:spacing w:before="60" w:beforeAutospacing="0" w:after="6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5FA459A6">
            <w:pPr>
              <w:keepNext w:val="0"/>
              <w:keepLines w:val="0"/>
              <w:suppressLineNumbers w:val="0"/>
              <w:tabs>
                <w:tab w:val="left" w:pos="4320"/>
              </w:tabs>
              <w:spacing w:before="60" w:beforeAutospacing="0" w:after="60" w:afterAutospacing="0"/>
              <w:ind w:left="0" w:right="0"/>
              <w:rPr>
                <w:rFonts w:hint="default"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AD0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39C88DFA">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4206" w:type="dxa"/>
            <w:gridSpan w:val="6"/>
            <w:tcBorders>
              <w:bottom w:val="double" w:color="auto" w:sz="4" w:space="0"/>
            </w:tcBorders>
            <w:vAlign w:val="center"/>
          </w:tcPr>
          <w:p w14:paraId="6F2D4B7C">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c>
          <w:tcPr>
            <w:tcW w:w="4142" w:type="dxa"/>
            <w:gridSpan w:val="5"/>
            <w:tcBorders>
              <w:bottom w:val="double" w:color="auto" w:sz="4" w:space="0"/>
              <w:right w:val="double" w:color="auto" w:sz="4" w:space="0"/>
            </w:tcBorders>
            <w:vAlign w:val="center"/>
          </w:tcPr>
          <w:p w14:paraId="1928FD47">
            <w:pPr>
              <w:keepNext w:val="0"/>
              <w:keepLines w:val="0"/>
              <w:suppressLineNumbers w:val="0"/>
              <w:tabs>
                <w:tab w:val="left" w:pos="4320"/>
              </w:tabs>
              <w:spacing w:before="0" w:beforeAutospacing="0" w:after="0" w:afterAutospacing="0"/>
              <w:ind w:left="0" w:right="0"/>
              <w:rPr>
                <w:rFonts w:hint="default" w:asciiTheme="majorEastAsia" w:hAnsiTheme="majorEastAsia" w:eastAsiaTheme="majorEastAsia"/>
                <w:color w:val="auto"/>
                <w:sz w:val="18"/>
                <w:szCs w:val="18"/>
              </w:rPr>
            </w:pPr>
          </w:p>
        </w:tc>
      </w:tr>
    </w:tbl>
    <w:p w14:paraId="7E2105F9">
      <w:pPr>
        <w:snapToGrid w:val="0"/>
        <w:spacing w:line="300" w:lineRule="auto"/>
        <w:contextualSpacing/>
        <w:rPr>
          <w:rFonts w:asciiTheme="majorEastAsia" w:hAnsiTheme="majorEastAsia" w:eastAsiaTheme="majorEastAsia"/>
          <w:color w:val="auto"/>
          <w:sz w:val="28"/>
          <w:szCs w:val="28"/>
        </w:rPr>
      </w:pPr>
    </w:p>
    <w:p w14:paraId="75DA3A1F">
      <w:pPr>
        <w:snapToGrid w:val="0"/>
        <w:spacing w:line="300" w:lineRule="auto"/>
        <w:contextualSpacing/>
        <w:rPr>
          <w:rFonts w:asciiTheme="majorEastAsia" w:hAnsiTheme="majorEastAsia" w:eastAsiaTheme="majorEastAsia"/>
          <w:color w:val="auto"/>
          <w:sz w:val="28"/>
          <w:szCs w:val="28"/>
        </w:rPr>
      </w:pPr>
    </w:p>
    <w:bookmarkEnd w:id="143"/>
    <w:p w14:paraId="75B43B40">
      <w:pPr>
        <w:rPr>
          <w:rFonts w:asciiTheme="majorEastAsia" w:hAnsiTheme="majorEastAsia" w:eastAsiaTheme="majorEastAsia"/>
          <w:color w:val="auto"/>
          <w:kern w:val="0"/>
          <w:sz w:val="32"/>
          <w:szCs w:val="32"/>
        </w:rPr>
      </w:pPr>
      <w:r>
        <w:rPr>
          <w:rFonts w:asciiTheme="majorEastAsia" w:hAnsiTheme="majorEastAsia" w:eastAsiaTheme="majorEastAsia"/>
          <w:color w:val="auto"/>
          <w:kern w:val="0"/>
          <w:sz w:val="32"/>
          <w:szCs w:val="32"/>
        </w:rPr>
        <w:br w:type="page"/>
      </w:r>
    </w:p>
    <w:p w14:paraId="164F2C38">
      <w:pPr>
        <w:snapToGrid w:val="0"/>
        <w:spacing w:line="300" w:lineRule="auto"/>
        <w:contextualSpacing/>
        <w:jc w:val="both"/>
        <w:rPr>
          <w:rFonts w:asciiTheme="majorEastAsia" w:hAnsiTheme="majorEastAsia" w:eastAsiaTheme="majorEastAsia"/>
          <w:color w:val="auto"/>
          <w:kern w:val="0"/>
          <w:sz w:val="32"/>
          <w:szCs w:val="32"/>
        </w:rPr>
      </w:pPr>
      <w:r>
        <w:rPr>
          <w:rFonts w:asciiTheme="majorEastAsia" w:hAnsiTheme="majorEastAsia" w:eastAsiaTheme="majorEastAsia"/>
          <w:color w:val="auto"/>
          <w:kern w:val="0"/>
          <w:sz w:val="32"/>
          <w:szCs w:val="32"/>
        </w:rPr>
        <w:t>附件5</w:t>
      </w:r>
    </w:p>
    <w:p w14:paraId="288EEF4E">
      <w:pPr>
        <w:snapToGrid w:val="0"/>
        <w:spacing w:line="300" w:lineRule="auto"/>
        <w:contextualSpacing/>
        <w:jc w:val="center"/>
        <w:rPr>
          <w:rFonts w:ascii="宋体" w:hAnsi="宋体" w:cs="宋体"/>
          <w:b/>
          <w:color w:val="auto"/>
          <w:sz w:val="32"/>
          <w:szCs w:val="32"/>
        </w:rPr>
      </w:pPr>
      <w:r>
        <w:rPr>
          <w:rFonts w:hint="eastAsia" w:ascii="宋体" w:hAnsi="宋体" w:cs="宋体"/>
          <w:b/>
          <w:color w:val="auto"/>
          <w:sz w:val="32"/>
          <w:szCs w:val="32"/>
        </w:rPr>
        <w:t>技术部分正负偏离表</w:t>
      </w:r>
    </w:p>
    <w:p w14:paraId="4D5C9F39">
      <w:pPr>
        <w:ind w:firstLine="560" w:firstLineChars="200"/>
        <w:jc w:val="center"/>
        <w:rPr>
          <w:rFonts w:ascii="宋体" w:hAnsi="宋体" w:cs="宋体"/>
          <w:color w:val="auto"/>
          <w:sz w:val="28"/>
          <w:szCs w:val="28"/>
        </w:rPr>
      </w:pPr>
      <w:r>
        <w:rPr>
          <w:rFonts w:hint="eastAsia" w:ascii="宋体" w:hAnsi="宋体" w:cs="宋体"/>
          <w:color w:val="auto"/>
          <w:sz w:val="28"/>
          <w:szCs w:val="28"/>
        </w:rPr>
        <w:t>（由投标人据实填写，表格不够自行添加）</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2340"/>
        <w:gridCol w:w="2043"/>
        <w:gridCol w:w="2637"/>
        <w:gridCol w:w="1453"/>
      </w:tblGrid>
      <w:tr w14:paraId="7430D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2C5D1F5B">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9523DE2">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B73659C">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投标文件要求的技术要求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79E4E9C">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1B66067">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p>
          <w:p w14:paraId="4341C607">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偏离说明</w:t>
            </w:r>
          </w:p>
        </w:tc>
      </w:tr>
      <w:tr w14:paraId="018FC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2729035">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7D012AF">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DF7FDEC">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925FBEA">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7741546">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r w14:paraId="07D44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CF45E96">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AF6B8E7">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E01014E">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D72DDF7">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A19A366">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r w14:paraId="3CF33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62773B3">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68F3A0F">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11C3664">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578BB22">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8D21E4F">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r w14:paraId="47494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09401F0">
            <w:pPr>
              <w:keepNext w:val="0"/>
              <w:keepLines w:val="0"/>
              <w:suppressLineNumbers w:val="0"/>
              <w:spacing w:before="0" w:beforeAutospacing="0" w:after="0" w:afterAutospacing="0" w:line="340" w:lineRule="exact"/>
              <w:ind w:left="0" w:right="0"/>
              <w:jc w:val="center"/>
              <w:rPr>
                <w:rFonts w:hint="default" w:ascii="宋体" w:hAnsi="宋体" w:cs="宋体"/>
                <w:color w:val="auto"/>
                <w:sz w:val="24"/>
              </w:rPr>
            </w:pPr>
            <w:r>
              <w:rPr>
                <w:rFonts w:hint="eastAsia" w:ascii="宋体" w:hAnsi="宋体" w:cs="宋体"/>
                <w:color w:val="auto"/>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20582DB">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D3CF6D">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A9AE399">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8A0EDC4">
            <w:pPr>
              <w:keepNext w:val="0"/>
              <w:keepLines w:val="0"/>
              <w:suppressLineNumbers w:val="0"/>
              <w:spacing w:before="0" w:beforeAutospacing="0" w:after="0" w:afterAutospacing="0" w:line="340" w:lineRule="exact"/>
              <w:ind w:left="0" w:right="0"/>
              <w:jc w:val="left"/>
              <w:rPr>
                <w:rFonts w:hint="default" w:ascii="宋体" w:hAnsi="宋体" w:cs="宋体"/>
                <w:color w:val="auto"/>
                <w:sz w:val="24"/>
              </w:rPr>
            </w:pPr>
          </w:p>
        </w:tc>
      </w:tr>
    </w:tbl>
    <w:p w14:paraId="0362FBF1">
      <w:pPr>
        <w:snapToGrid w:val="0"/>
        <w:spacing w:line="300" w:lineRule="auto"/>
        <w:contextualSpacing/>
        <w:rPr>
          <w:rFonts w:ascii="宋体" w:hAnsi="宋体" w:cs="宋体"/>
          <w:b/>
          <w:color w:val="auto"/>
          <w:sz w:val="24"/>
        </w:rPr>
      </w:pPr>
    </w:p>
    <w:p w14:paraId="7AD597EE">
      <w:pPr>
        <w:spacing w:line="360" w:lineRule="auto"/>
        <w:rPr>
          <w:rFonts w:ascii="宋体" w:hAnsi="宋体" w:cs="仿宋"/>
          <w:color w:val="auto"/>
          <w:kern w:val="0"/>
          <w:sz w:val="24"/>
        </w:rPr>
      </w:pPr>
      <w:r>
        <w:rPr>
          <w:rFonts w:hint="eastAsia" w:ascii="宋体" w:hAnsi="宋体" w:cs="仿宋"/>
          <w:color w:val="auto"/>
          <w:kern w:val="0"/>
          <w:sz w:val="24"/>
        </w:rPr>
        <w:t>投标人（全称并加盖公章）：</w:t>
      </w:r>
    </w:p>
    <w:p w14:paraId="1A37A560">
      <w:pPr>
        <w:spacing w:line="360" w:lineRule="auto"/>
        <w:rPr>
          <w:rFonts w:ascii="宋体" w:hAnsi="宋体" w:cs="仿宋"/>
          <w:color w:val="auto"/>
          <w:sz w:val="24"/>
        </w:rPr>
      </w:pPr>
      <w:r>
        <w:rPr>
          <w:rFonts w:hint="eastAsia" w:ascii="宋体" w:hAnsi="宋体" w:cs="仿宋"/>
          <w:color w:val="auto"/>
          <w:sz w:val="24"/>
        </w:rPr>
        <w:t>投标人授权代表签字：</w:t>
      </w:r>
    </w:p>
    <w:p w14:paraId="0F3FD8A0">
      <w:pPr>
        <w:spacing w:after="120"/>
        <w:rPr>
          <w:rFonts w:ascii="宋体" w:hAnsi="宋体"/>
          <w:color w:val="auto"/>
        </w:rPr>
      </w:pPr>
      <w:r>
        <w:rPr>
          <w:rFonts w:hint="eastAsia" w:ascii="宋体" w:hAnsi="宋体" w:cs="仿宋"/>
          <w:color w:val="auto"/>
          <w:sz w:val="24"/>
        </w:rPr>
        <w:t>日期：</w:t>
      </w:r>
    </w:p>
    <w:p w14:paraId="55B55A41">
      <w:pPr>
        <w:snapToGrid w:val="0"/>
        <w:spacing w:line="300" w:lineRule="auto"/>
        <w:contextualSpacing/>
        <w:rPr>
          <w:rFonts w:ascii="宋体" w:hAnsi="宋体" w:cs="宋体"/>
          <w:b/>
          <w:color w:val="auto"/>
          <w:sz w:val="24"/>
        </w:rPr>
      </w:pPr>
      <w:r>
        <w:rPr>
          <w:rFonts w:hint="eastAsia" w:ascii="宋体" w:hAnsi="宋体" w:cs="宋体"/>
          <w:b/>
          <w:color w:val="auto"/>
          <w:sz w:val="24"/>
        </w:rPr>
        <w:t>注：</w:t>
      </w:r>
    </w:p>
    <w:p w14:paraId="2D8CAF89">
      <w:pPr>
        <w:snapToGrid w:val="0"/>
        <w:spacing w:line="300" w:lineRule="auto"/>
        <w:ind w:firstLine="480" w:firstLineChars="200"/>
        <w:contextualSpacing/>
        <w:rPr>
          <w:rFonts w:ascii="宋体" w:hAnsi="宋体" w:cs="宋体"/>
          <w:color w:val="auto"/>
          <w:sz w:val="24"/>
        </w:rPr>
      </w:pPr>
      <w:r>
        <w:rPr>
          <w:rFonts w:hint="eastAsia" w:ascii="宋体" w:hAnsi="宋体" w:cs="宋体"/>
          <w:color w:val="auto"/>
          <w:sz w:val="24"/>
        </w:rPr>
        <w:t>1.投标人提交的响应文件中与招标文件第三部分“项目需求”中的技术部分的要求，应逐条填列在偏离表中。</w:t>
      </w:r>
    </w:p>
    <w:p w14:paraId="1BA19343">
      <w:pPr>
        <w:snapToGrid w:val="0"/>
        <w:spacing w:line="300" w:lineRule="auto"/>
        <w:ind w:firstLine="480" w:firstLineChars="200"/>
        <w:contextualSpacing/>
        <w:rPr>
          <w:rFonts w:ascii="宋体" w:hAnsi="宋体" w:cs="宋体"/>
          <w:color w:val="auto"/>
          <w:sz w:val="24"/>
        </w:rPr>
      </w:pPr>
      <w:r>
        <w:rPr>
          <w:rFonts w:hint="eastAsia" w:ascii="宋体" w:hAnsi="宋体" w:cs="宋体"/>
          <w:color w:val="auto"/>
          <w:sz w:val="24"/>
        </w:rPr>
        <w:t>2. “偏离说明”一栏选择“正偏离”、“无偏离”、“负偏离”进行填写。正偏离、无偏离的确认和负偏离的是否响应招标文件，由评委认定。</w:t>
      </w:r>
    </w:p>
    <w:p w14:paraId="613D93CA">
      <w:pPr>
        <w:snapToGrid w:val="0"/>
        <w:spacing w:line="300" w:lineRule="auto"/>
        <w:ind w:firstLine="480" w:firstLineChars="200"/>
        <w:contextualSpacing/>
        <w:rPr>
          <w:rFonts w:ascii="宋体" w:hAnsi="宋体" w:cs="宋体"/>
          <w:color w:val="auto"/>
          <w:sz w:val="24"/>
        </w:rPr>
      </w:pPr>
      <w:r>
        <w:rPr>
          <w:rFonts w:hint="eastAsia" w:ascii="宋体" w:hAnsi="宋体" w:cs="宋体"/>
          <w:color w:val="auto"/>
          <w:sz w:val="24"/>
        </w:rPr>
        <w:t>3.投标人如果虚假响应，将被暂停参加南通市经济技术开发区公共资源交易中心组织政府采购活动。</w:t>
      </w:r>
    </w:p>
    <w:p w14:paraId="50859107">
      <w:pPr>
        <w:snapToGrid w:val="0"/>
        <w:spacing w:line="300" w:lineRule="auto"/>
        <w:ind w:firstLine="480" w:firstLineChars="200"/>
        <w:contextualSpacing/>
        <w:rPr>
          <w:rFonts w:ascii="宋体" w:hAnsi="宋体" w:cs="宋体"/>
          <w:bCs/>
          <w:color w:val="auto"/>
          <w:sz w:val="24"/>
        </w:rPr>
      </w:pPr>
      <w:r>
        <w:rPr>
          <w:rFonts w:hint="eastAsia" w:ascii="宋体" w:hAnsi="宋体" w:cs="宋体"/>
          <w:bCs/>
          <w:color w:val="auto"/>
          <w:sz w:val="24"/>
        </w:rPr>
        <w:t>4.投标人若提供其他增值服务，可以在表中自行据实填写。</w:t>
      </w:r>
    </w:p>
    <w:p w14:paraId="570DCAFC">
      <w:pPr>
        <w:snapToGrid w:val="0"/>
        <w:spacing w:line="300" w:lineRule="auto"/>
        <w:ind w:firstLine="480" w:firstLineChars="200"/>
        <w:contextualSpacing/>
        <w:rPr>
          <w:rFonts w:hint="eastAsia" w:ascii="宋体" w:hAnsi="宋体" w:cs="宋体"/>
          <w:bCs/>
          <w:color w:val="auto"/>
          <w:sz w:val="24"/>
        </w:rPr>
      </w:pPr>
      <w:r>
        <w:rPr>
          <w:rFonts w:hint="eastAsia" w:ascii="宋体" w:hAnsi="宋体" w:cs="宋体"/>
          <w:bCs/>
          <w:color w:val="auto"/>
          <w:sz w:val="24"/>
        </w:rPr>
        <w:t>5</w:t>
      </w:r>
      <w:r>
        <w:rPr>
          <w:rFonts w:ascii="宋体" w:hAnsi="宋体" w:cs="宋体"/>
          <w:bCs/>
          <w:color w:val="auto"/>
          <w:sz w:val="24"/>
        </w:rPr>
        <w:t>.</w:t>
      </w:r>
      <w:r>
        <w:rPr>
          <w:rFonts w:hint="eastAsia" w:ascii="宋体" w:hAnsi="宋体" w:cs="宋体"/>
          <w:bCs/>
          <w:color w:val="auto"/>
          <w:sz w:val="24"/>
        </w:rPr>
        <w:t>无偏离盖章上传即可。</w:t>
      </w:r>
    </w:p>
    <w:p w14:paraId="73290A82">
      <w:pPr>
        <w:snapToGrid w:val="0"/>
        <w:spacing w:line="400" w:lineRule="exact"/>
        <w:contextualSpacing/>
        <w:rPr>
          <w:rFonts w:ascii="宋体" w:hAnsi="宋体"/>
          <w:color w:val="auto"/>
          <w:kern w:val="0"/>
          <w:sz w:val="32"/>
          <w:szCs w:val="32"/>
        </w:rPr>
      </w:pPr>
    </w:p>
    <w:p w14:paraId="686A7025">
      <w:pPr>
        <w:snapToGrid w:val="0"/>
        <w:spacing w:line="400" w:lineRule="exact"/>
        <w:contextualSpacing/>
        <w:rPr>
          <w:rFonts w:asciiTheme="majorEastAsia" w:hAnsiTheme="majorEastAsia" w:eastAsiaTheme="majorEastAsia"/>
          <w:color w:val="auto"/>
          <w:kern w:val="0"/>
          <w:sz w:val="32"/>
          <w:szCs w:val="32"/>
        </w:rPr>
      </w:pPr>
      <w:r>
        <w:rPr>
          <w:rFonts w:ascii="宋体" w:hAnsi="宋体" w:cs="宋体"/>
          <w:b/>
          <w:bCs/>
          <w:color w:val="auto"/>
          <w:kern w:val="0"/>
          <w:sz w:val="32"/>
          <w:szCs w:val="32"/>
        </w:rPr>
        <w:br w:type="page"/>
      </w:r>
    </w:p>
    <w:p w14:paraId="1ACA8811">
      <w:pPr>
        <w:snapToGrid w:val="0"/>
        <w:spacing w:line="300" w:lineRule="auto"/>
        <w:contextualSpacing/>
        <w:jc w:val="both"/>
        <w:rPr>
          <w:rFonts w:hint="eastAsia" w:asciiTheme="majorEastAsia" w:hAnsiTheme="majorEastAsia" w:eastAsiaTheme="majorEastAsia"/>
          <w:color w:val="auto"/>
          <w:kern w:val="0"/>
          <w:sz w:val="32"/>
          <w:szCs w:val="32"/>
          <w:lang w:eastAsia="zh-CN"/>
        </w:rPr>
      </w:pPr>
      <w:r>
        <w:rPr>
          <w:rFonts w:asciiTheme="majorEastAsia" w:hAnsiTheme="majorEastAsia" w:eastAsiaTheme="majorEastAsia"/>
          <w:color w:val="auto"/>
          <w:kern w:val="0"/>
          <w:sz w:val="32"/>
          <w:szCs w:val="32"/>
        </w:rPr>
        <w:t>附件</w:t>
      </w:r>
      <w:r>
        <w:rPr>
          <w:rFonts w:hint="eastAsia" w:asciiTheme="majorEastAsia" w:hAnsiTheme="majorEastAsia" w:eastAsiaTheme="majorEastAsia"/>
          <w:color w:val="auto"/>
          <w:kern w:val="0"/>
          <w:sz w:val="32"/>
          <w:szCs w:val="32"/>
          <w:lang w:val="en-US" w:eastAsia="zh-CN"/>
        </w:rPr>
        <w:t>6</w:t>
      </w:r>
    </w:p>
    <w:p w14:paraId="49D9E1DF">
      <w:pPr>
        <w:widowControl/>
        <w:spacing w:before="100" w:beforeAutospacing="1" w:after="100" w:afterAutospacing="1" w:line="500" w:lineRule="atLeast"/>
        <w:jc w:val="center"/>
        <w:rPr>
          <w:rFonts w:cs="宋体" w:asciiTheme="majorEastAsia" w:hAnsiTheme="majorEastAsia" w:eastAsiaTheme="majorEastAsia"/>
          <w:color w:val="auto"/>
          <w:kern w:val="0"/>
          <w:sz w:val="32"/>
          <w:szCs w:val="32"/>
        </w:rPr>
      </w:pPr>
      <w:r>
        <w:rPr>
          <w:rFonts w:hint="eastAsia" w:cs="宋体" w:asciiTheme="majorEastAsia" w:hAnsiTheme="majorEastAsia" w:eastAsiaTheme="majorEastAsia"/>
          <w:b/>
          <w:bCs/>
          <w:color w:val="auto"/>
          <w:kern w:val="0"/>
          <w:sz w:val="32"/>
          <w:szCs w:val="32"/>
        </w:rPr>
        <w:t>报价总表</w:t>
      </w:r>
    </w:p>
    <w:p w14:paraId="05F532EB">
      <w:pPr>
        <w:rPr>
          <w:rFonts w:cs="宋体" w:asciiTheme="majorEastAsia" w:hAnsiTheme="majorEastAsia" w:eastAsiaTheme="majorEastAsia"/>
          <w:color w:val="auto"/>
          <w:kern w:val="0"/>
          <w:sz w:val="28"/>
          <w:szCs w:val="28"/>
          <w:u w:val="single"/>
        </w:rPr>
      </w:pPr>
      <w:r>
        <w:rPr>
          <w:rFonts w:cs="宋体" w:asciiTheme="majorEastAsia" w:hAnsiTheme="majorEastAsia" w:eastAsiaTheme="majorEastAsia"/>
          <w:color w:val="auto"/>
          <w:kern w:val="0"/>
          <w:sz w:val="28"/>
          <w:szCs w:val="28"/>
        </w:rPr>
        <w:t>供应商全称（加盖公章）：</w:t>
      </w:r>
    </w:p>
    <w:p w14:paraId="7BEFB089">
      <w:pPr>
        <w:rPr>
          <w:rFonts w:cs="宋体" w:asciiTheme="majorEastAsia" w:hAnsiTheme="majorEastAsia" w:eastAsiaTheme="majorEastAsia"/>
          <w:color w:val="auto"/>
          <w:kern w:val="0"/>
          <w:sz w:val="28"/>
          <w:szCs w:val="28"/>
          <w:u w:val="single"/>
        </w:rPr>
      </w:pPr>
      <w:r>
        <w:rPr>
          <w:rFonts w:cs="宋体" w:asciiTheme="majorEastAsia" w:hAnsiTheme="majorEastAsia" w:eastAsiaTheme="majorEastAsia"/>
          <w:color w:val="auto"/>
          <w:kern w:val="0"/>
          <w:sz w:val="28"/>
          <w:szCs w:val="28"/>
        </w:rPr>
        <w:t>项目名称：</w:t>
      </w:r>
    </w:p>
    <w:p w14:paraId="7F39F639">
      <w:pPr>
        <w:rPr>
          <w:rFonts w:cs="宋体" w:asciiTheme="majorEastAsia" w:hAnsiTheme="majorEastAsia" w:eastAsiaTheme="majorEastAsia"/>
          <w:color w:val="auto"/>
          <w:kern w:val="0"/>
          <w:sz w:val="28"/>
          <w:szCs w:val="28"/>
        </w:rPr>
      </w:pPr>
      <w:r>
        <w:rPr>
          <w:rFonts w:cs="宋体" w:asciiTheme="majorEastAsia" w:hAnsiTheme="majorEastAsia" w:eastAsiaTheme="majorEastAsia"/>
          <w:color w:val="auto"/>
          <w:kern w:val="0"/>
          <w:sz w:val="28"/>
          <w:szCs w:val="28"/>
        </w:rPr>
        <w:t>项目编号：</w:t>
      </w:r>
    </w:p>
    <w:tbl>
      <w:tblPr>
        <w:tblStyle w:val="3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1"/>
        <w:gridCol w:w="4294"/>
      </w:tblGrid>
      <w:tr w14:paraId="6BB4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1" w:type="dxa"/>
          </w:tcPr>
          <w:p w14:paraId="516255FD">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cs="宋体" w:asciiTheme="majorEastAsia" w:hAnsiTheme="majorEastAsia" w:eastAsiaTheme="majorEastAsia"/>
                <w:color w:val="auto"/>
                <w:kern w:val="0"/>
                <w:sz w:val="28"/>
                <w:szCs w:val="28"/>
              </w:rPr>
              <w:t>磋商</w:t>
            </w:r>
            <w:r>
              <w:rPr>
                <w:rFonts w:hint="default" w:cs="宋体" w:asciiTheme="majorEastAsia" w:hAnsiTheme="majorEastAsia" w:eastAsiaTheme="majorEastAsia"/>
                <w:color w:val="auto"/>
                <w:kern w:val="0"/>
                <w:sz w:val="28"/>
                <w:szCs w:val="28"/>
              </w:rPr>
              <w:t>货物、服务名称</w:t>
            </w:r>
          </w:p>
        </w:tc>
        <w:tc>
          <w:tcPr>
            <w:tcW w:w="4294" w:type="dxa"/>
          </w:tcPr>
          <w:p w14:paraId="301ECC9A">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cs="宋体" w:asciiTheme="majorEastAsia" w:hAnsiTheme="majorEastAsia" w:eastAsiaTheme="majorEastAsia"/>
                <w:color w:val="auto"/>
                <w:kern w:val="0"/>
                <w:sz w:val="28"/>
                <w:szCs w:val="28"/>
              </w:rPr>
              <w:t>磋商</w:t>
            </w:r>
            <w:r>
              <w:rPr>
                <w:rFonts w:hint="default" w:cs="宋体" w:asciiTheme="majorEastAsia" w:hAnsiTheme="majorEastAsia" w:eastAsiaTheme="majorEastAsia"/>
                <w:color w:val="auto"/>
                <w:kern w:val="0"/>
                <w:sz w:val="28"/>
                <w:szCs w:val="28"/>
              </w:rPr>
              <w:t>总报价</w:t>
            </w:r>
          </w:p>
        </w:tc>
      </w:tr>
      <w:tr w14:paraId="69A8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461" w:type="dxa"/>
            <w:vAlign w:val="center"/>
          </w:tcPr>
          <w:p w14:paraId="0CED00F3">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asciiTheme="minorEastAsia" w:hAnsiTheme="minorEastAsia" w:eastAsiaTheme="minorEastAsia" w:cstheme="minorEastAsia"/>
                <w:color w:val="auto"/>
                <w:sz w:val="24"/>
                <w:szCs w:val="24"/>
              </w:rPr>
              <w:t>南通市妇幼保健院</w:t>
            </w:r>
            <w:r>
              <w:rPr>
                <w:rFonts w:hint="eastAsia" w:asciiTheme="minorEastAsia" w:hAnsiTheme="minorEastAsia" w:eastAsiaTheme="minorEastAsia" w:cstheme="minorEastAsia"/>
                <w:color w:val="auto"/>
                <w:sz w:val="24"/>
                <w:szCs w:val="24"/>
                <w:lang w:val="en-US" w:eastAsia="zh-CN"/>
              </w:rPr>
              <w:t>2024年</w:t>
            </w:r>
            <w:r>
              <w:rPr>
                <w:rFonts w:hint="eastAsia" w:asciiTheme="minorEastAsia" w:hAnsiTheme="minorEastAsia" w:eastAsiaTheme="minorEastAsia" w:cstheme="minorEastAsia"/>
                <w:color w:val="auto"/>
                <w:sz w:val="24"/>
                <w:szCs w:val="24"/>
              </w:rPr>
              <w:t>PDA采购项目</w:t>
            </w:r>
          </w:p>
        </w:tc>
        <w:tc>
          <w:tcPr>
            <w:tcW w:w="4294" w:type="dxa"/>
          </w:tcPr>
          <w:p w14:paraId="5F892F24">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kern w:val="0"/>
                <w:sz w:val="28"/>
                <w:szCs w:val="28"/>
              </w:rPr>
            </w:pPr>
            <w:r>
              <w:rPr>
                <w:rFonts w:hint="default" w:cs="宋体" w:asciiTheme="majorEastAsia" w:hAnsiTheme="majorEastAsia" w:eastAsiaTheme="majorEastAsia"/>
                <w:color w:val="auto"/>
                <w:kern w:val="0"/>
                <w:sz w:val="28"/>
                <w:szCs w:val="28"/>
              </w:rPr>
              <w:t>大写：</w:t>
            </w:r>
          </w:p>
          <w:p w14:paraId="2FE2D6B4">
            <w:pPr>
              <w:keepNext w:val="0"/>
              <w:keepLines w:val="0"/>
              <w:suppressLineNumbers w:val="0"/>
              <w:spacing w:before="0" w:beforeAutospacing="0" w:after="0" w:afterAutospacing="0"/>
              <w:ind w:left="0" w:right="0"/>
              <w:rPr>
                <w:rFonts w:hint="default" w:asciiTheme="majorEastAsia" w:hAnsiTheme="majorEastAsia" w:eastAsiaTheme="majorEastAsia"/>
                <w:color w:val="auto"/>
                <w:szCs w:val="22"/>
                <w:u w:val="single"/>
              </w:rPr>
            </w:pPr>
            <w:r>
              <w:rPr>
                <w:rFonts w:hint="default" w:cs="宋体" w:asciiTheme="majorEastAsia" w:hAnsiTheme="majorEastAsia" w:eastAsiaTheme="majorEastAsia"/>
                <w:color w:val="auto"/>
                <w:kern w:val="0"/>
                <w:sz w:val="28"/>
                <w:szCs w:val="28"/>
              </w:rPr>
              <w:t>小写：  元（人民币）</w:t>
            </w:r>
          </w:p>
        </w:tc>
      </w:tr>
    </w:tbl>
    <w:p w14:paraId="113A917A">
      <w:pPr>
        <w:rPr>
          <w:rFonts w:cs="宋体" w:asciiTheme="majorEastAsia" w:hAnsiTheme="majorEastAsia" w:eastAsiaTheme="majorEastAsia"/>
          <w:color w:val="auto"/>
          <w:kern w:val="0"/>
          <w:sz w:val="28"/>
          <w:szCs w:val="28"/>
        </w:rPr>
      </w:pPr>
      <w:r>
        <w:rPr>
          <w:rFonts w:cs="宋体" w:asciiTheme="majorEastAsia" w:hAnsiTheme="majorEastAsia" w:eastAsiaTheme="majorEastAsia"/>
          <w:color w:val="auto"/>
          <w:kern w:val="0"/>
          <w:sz w:val="28"/>
          <w:szCs w:val="28"/>
        </w:rPr>
        <w:t>日期：</w:t>
      </w:r>
    </w:p>
    <w:p w14:paraId="347464DE">
      <w:pPr>
        <w:rPr>
          <w:rFonts w:cs="宋体" w:asciiTheme="majorEastAsia" w:hAnsiTheme="majorEastAsia" w:eastAsiaTheme="majorEastAsia"/>
          <w:color w:val="auto"/>
          <w:kern w:val="0"/>
          <w:sz w:val="28"/>
          <w:szCs w:val="28"/>
        </w:rPr>
      </w:pPr>
      <w:r>
        <w:rPr>
          <w:rFonts w:cs="宋体" w:asciiTheme="majorEastAsia" w:hAnsiTheme="majorEastAsia" w:eastAsiaTheme="majorEastAsia"/>
          <w:color w:val="auto"/>
          <w:kern w:val="0"/>
          <w:sz w:val="28"/>
          <w:szCs w:val="28"/>
        </w:rPr>
        <w:t>填写说明：</w:t>
      </w:r>
    </w:p>
    <w:p w14:paraId="6732A1D6">
      <w:pPr>
        <w:rPr>
          <w:rFonts w:cs="宋体" w:asciiTheme="majorEastAsia" w:hAnsiTheme="majorEastAsia" w:eastAsiaTheme="majorEastAsia"/>
          <w:color w:val="auto"/>
          <w:kern w:val="0"/>
          <w:sz w:val="28"/>
          <w:szCs w:val="28"/>
        </w:rPr>
      </w:pPr>
      <w:r>
        <w:rPr>
          <w:rFonts w:hint="eastAsia" w:cs="宋体" w:asciiTheme="majorEastAsia" w:hAnsiTheme="majorEastAsia" w:eastAsiaTheme="majorEastAsia"/>
          <w:color w:val="auto"/>
          <w:kern w:val="0"/>
          <w:sz w:val="28"/>
          <w:szCs w:val="28"/>
        </w:rPr>
        <w:t>1</w:t>
      </w:r>
      <w:r>
        <w:rPr>
          <w:rFonts w:cs="宋体" w:asciiTheme="majorEastAsia" w:hAnsiTheme="majorEastAsia" w:eastAsiaTheme="majorEastAsia"/>
          <w:color w:val="auto"/>
          <w:kern w:val="0"/>
          <w:sz w:val="28"/>
          <w:szCs w:val="28"/>
        </w:rPr>
        <w:t>、</w:t>
      </w:r>
      <w:r>
        <w:rPr>
          <w:rFonts w:hint="eastAsia" w:cs="宋体" w:asciiTheme="majorEastAsia" w:hAnsiTheme="majorEastAsia" w:eastAsiaTheme="majorEastAsia"/>
          <w:color w:val="auto"/>
          <w:kern w:val="0"/>
          <w:sz w:val="28"/>
          <w:szCs w:val="28"/>
        </w:rPr>
        <w:t>报价总表</w:t>
      </w:r>
      <w:r>
        <w:rPr>
          <w:rFonts w:cs="宋体" w:asciiTheme="majorEastAsia" w:hAnsiTheme="majorEastAsia" w:eastAsiaTheme="majorEastAsia"/>
          <w:color w:val="auto"/>
          <w:kern w:val="0"/>
          <w:sz w:val="28"/>
          <w:szCs w:val="28"/>
        </w:rPr>
        <w:t>必须加盖</w:t>
      </w:r>
      <w:r>
        <w:rPr>
          <w:rFonts w:hint="eastAsia" w:cs="宋体" w:asciiTheme="majorEastAsia" w:hAnsiTheme="majorEastAsia" w:eastAsiaTheme="majorEastAsia"/>
          <w:color w:val="auto"/>
          <w:kern w:val="0"/>
          <w:sz w:val="28"/>
          <w:szCs w:val="28"/>
        </w:rPr>
        <w:t>供应商</w:t>
      </w:r>
      <w:r>
        <w:rPr>
          <w:rFonts w:cs="宋体" w:asciiTheme="majorEastAsia" w:hAnsiTheme="majorEastAsia" w:eastAsiaTheme="majorEastAsia"/>
          <w:color w:val="auto"/>
          <w:kern w:val="0"/>
          <w:sz w:val="28"/>
          <w:szCs w:val="28"/>
        </w:rPr>
        <w:t>公章（复印件无效）。</w:t>
      </w:r>
    </w:p>
    <w:p w14:paraId="01B7EDD6">
      <w:pPr>
        <w:rPr>
          <w:rFonts w:cs="宋体" w:asciiTheme="majorEastAsia" w:hAnsiTheme="majorEastAsia" w:eastAsiaTheme="majorEastAsia"/>
          <w:color w:val="auto"/>
          <w:kern w:val="0"/>
          <w:sz w:val="28"/>
          <w:szCs w:val="28"/>
        </w:rPr>
      </w:pPr>
      <w:r>
        <w:rPr>
          <w:rFonts w:hint="eastAsia" w:cs="宋体" w:asciiTheme="majorEastAsia" w:hAnsiTheme="majorEastAsia" w:eastAsiaTheme="majorEastAsia"/>
          <w:color w:val="auto"/>
          <w:kern w:val="0"/>
          <w:sz w:val="28"/>
          <w:szCs w:val="28"/>
        </w:rPr>
        <w:t>2</w:t>
      </w:r>
      <w:r>
        <w:rPr>
          <w:rFonts w:cs="宋体" w:asciiTheme="majorEastAsia" w:hAnsiTheme="majorEastAsia" w:eastAsiaTheme="majorEastAsia"/>
          <w:color w:val="auto"/>
          <w:kern w:val="0"/>
          <w:sz w:val="28"/>
          <w:szCs w:val="28"/>
        </w:rPr>
        <w:t>、如有分包，供应商</w:t>
      </w:r>
      <w:r>
        <w:rPr>
          <w:rFonts w:hint="eastAsia" w:cs="宋体" w:asciiTheme="majorEastAsia" w:hAnsiTheme="majorEastAsia" w:eastAsiaTheme="majorEastAsia"/>
          <w:color w:val="auto"/>
          <w:kern w:val="0"/>
          <w:sz w:val="28"/>
          <w:szCs w:val="28"/>
        </w:rPr>
        <w:t>参与</w:t>
      </w:r>
      <w:r>
        <w:rPr>
          <w:rFonts w:cs="宋体" w:asciiTheme="majorEastAsia" w:hAnsiTheme="majorEastAsia" w:eastAsiaTheme="majorEastAsia"/>
          <w:color w:val="auto"/>
          <w:kern w:val="0"/>
          <w:sz w:val="28"/>
          <w:szCs w:val="28"/>
        </w:rPr>
        <w:t>任何一个包的标的，都需单独填写</w:t>
      </w:r>
      <w:r>
        <w:rPr>
          <w:rFonts w:hint="eastAsia" w:cs="宋体" w:asciiTheme="majorEastAsia" w:hAnsiTheme="majorEastAsia" w:eastAsiaTheme="majorEastAsia"/>
          <w:color w:val="auto"/>
          <w:kern w:val="0"/>
          <w:sz w:val="28"/>
          <w:szCs w:val="28"/>
        </w:rPr>
        <w:t>报价总表</w:t>
      </w:r>
      <w:r>
        <w:rPr>
          <w:rFonts w:cs="宋体" w:asciiTheme="majorEastAsia" w:hAnsiTheme="majorEastAsia" w:eastAsiaTheme="majorEastAsia"/>
          <w:color w:val="auto"/>
          <w:kern w:val="0"/>
          <w:sz w:val="28"/>
          <w:szCs w:val="28"/>
        </w:rPr>
        <w:t>。</w:t>
      </w:r>
    </w:p>
    <w:p w14:paraId="481D777C">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1809E4F2">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32EA285E">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A2CD521">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E0AF8DE">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495B524B">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2AD694CE">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3EC7E5BB">
      <w:pPr>
        <w:rPr>
          <w:rFonts w:cs="宋体" w:asciiTheme="majorEastAsia" w:hAnsiTheme="majorEastAsia" w:eastAsiaTheme="majorEastAsia"/>
          <w:b/>
          <w:color w:val="auto"/>
          <w:kern w:val="0"/>
          <w:sz w:val="28"/>
          <w:szCs w:val="28"/>
        </w:rPr>
      </w:pPr>
      <w:r>
        <w:rPr>
          <w:rFonts w:cs="宋体" w:asciiTheme="majorEastAsia" w:hAnsiTheme="majorEastAsia" w:eastAsiaTheme="majorEastAsia"/>
          <w:b/>
          <w:color w:val="auto"/>
          <w:kern w:val="0"/>
          <w:sz w:val="28"/>
          <w:szCs w:val="28"/>
        </w:rPr>
        <w:br w:type="page"/>
      </w:r>
    </w:p>
    <w:p w14:paraId="1CC88E49">
      <w:pPr>
        <w:snapToGrid w:val="0"/>
        <w:spacing w:line="400" w:lineRule="exact"/>
        <w:contextualSpacing/>
        <w:rPr>
          <w:rFonts w:asciiTheme="majorEastAsia" w:hAnsiTheme="majorEastAsia" w:eastAsiaTheme="majorEastAsia"/>
          <w:color w:val="auto"/>
          <w:kern w:val="0"/>
          <w:sz w:val="32"/>
          <w:szCs w:val="32"/>
        </w:rPr>
      </w:pPr>
    </w:p>
    <w:p w14:paraId="372AAA4D">
      <w:pPr>
        <w:snapToGrid w:val="0"/>
        <w:spacing w:line="400" w:lineRule="exact"/>
        <w:contextualSpacing/>
        <w:rPr>
          <w:rFonts w:hint="eastAsia" w:asciiTheme="majorEastAsia" w:hAnsiTheme="majorEastAsia" w:eastAsiaTheme="majorEastAsia"/>
          <w:color w:val="auto"/>
          <w:kern w:val="0"/>
          <w:sz w:val="32"/>
          <w:szCs w:val="32"/>
          <w:lang w:val="en-US" w:eastAsia="zh-CN"/>
        </w:rPr>
      </w:pPr>
      <w:r>
        <w:rPr>
          <w:rFonts w:asciiTheme="majorEastAsia" w:hAnsiTheme="majorEastAsia" w:eastAsiaTheme="majorEastAsia"/>
          <w:color w:val="auto"/>
          <w:kern w:val="0"/>
          <w:sz w:val="32"/>
          <w:szCs w:val="32"/>
        </w:rPr>
        <w:t>附件</w:t>
      </w:r>
      <w:r>
        <w:rPr>
          <w:rFonts w:hint="eastAsia" w:asciiTheme="majorEastAsia" w:hAnsiTheme="majorEastAsia" w:eastAsiaTheme="majorEastAsia"/>
          <w:color w:val="auto"/>
          <w:kern w:val="0"/>
          <w:sz w:val="32"/>
          <w:szCs w:val="32"/>
          <w:lang w:val="en-US" w:eastAsia="zh-CN"/>
        </w:rPr>
        <w:t>7</w:t>
      </w:r>
    </w:p>
    <w:p w14:paraId="330B425E">
      <w:pPr>
        <w:widowControl/>
        <w:ind w:firstLine="2891" w:firstLineChars="900"/>
        <w:rPr>
          <w:rFonts w:cs="宋体" w:asciiTheme="majorEastAsia" w:hAnsiTheme="majorEastAsia" w:eastAsiaTheme="majorEastAsia"/>
          <w:b/>
          <w:bCs/>
          <w:color w:val="auto"/>
          <w:kern w:val="0"/>
          <w:sz w:val="32"/>
          <w:szCs w:val="32"/>
        </w:rPr>
      </w:pPr>
      <w:bookmarkStart w:id="144" w:name="_Hlk110962823"/>
      <w:r>
        <w:rPr>
          <w:rFonts w:hint="eastAsia" w:cs="宋体" w:asciiTheme="majorEastAsia" w:hAnsiTheme="majorEastAsia" w:eastAsiaTheme="majorEastAsia"/>
          <w:b/>
          <w:bCs/>
          <w:color w:val="auto"/>
          <w:kern w:val="0"/>
          <w:sz w:val="32"/>
          <w:szCs w:val="32"/>
        </w:rPr>
        <w:t>报价总表（最后报价）</w:t>
      </w:r>
      <w:bookmarkEnd w:id="144"/>
    </w:p>
    <w:p w14:paraId="210BE96C">
      <w:pPr>
        <w:pStyle w:val="30"/>
        <w:ind w:firstLine="480"/>
        <w:rPr>
          <w:rFonts w:asciiTheme="majorEastAsia" w:hAnsiTheme="majorEastAsia" w:eastAsiaTheme="majorEastAsia"/>
          <w:color w:val="auto"/>
        </w:rPr>
      </w:pPr>
    </w:p>
    <w:p w14:paraId="0BCC8436">
      <w:pPr>
        <w:rPr>
          <w:rFonts w:cs="宋体" w:asciiTheme="majorEastAsia" w:hAnsiTheme="majorEastAsia" w:eastAsiaTheme="majorEastAsia"/>
          <w:color w:val="auto"/>
          <w:kern w:val="0"/>
          <w:sz w:val="28"/>
          <w:szCs w:val="28"/>
          <w:u w:val="single"/>
        </w:rPr>
      </w:pPr>
      <w:r>
        <w:rPr>
          <w:rFonts w:cs="宋体" w:asciiTheme="majorEastAsia" w:hAnsiTheme="majorEastAsia" w:eastAsiaTheme="majorEastAsia"/>
          <w:color w:val="auto"/>
          <w:kern w:val="0"/>
          <w:sz w:val="28"/>
          <w:szCs w:val="28"/>
        </w:rPr>
        <w:t>供应商全称（加盖公章）：</w:t>
      </w:r>
    </w:p>
    <w:p w14:paraId="2749D4F7">
      <w:pPr>
        <w:rPr>
          <w:rFonts w:cs="宋体" w:asciiTheme="majorEastAsia" w:hAnsiTheme="majorEastAsia" w:eastAsiaTheme="majorEastAsia"/>
          <w:color w:val="auto"/>
          <w:kern w:val="0"/>
          <w:sz w:val="28"/>
          <w:szCs w:val="28"/>
          <w:u w:val="single"/>
        </w:rPr>
      </w:pPr>
      <w:r>
        <w:rPr>
          <w:rFonts w:cs="宋体" w:asciiTheme="majorEastAsia" w:hAnsiTheme="majorEastAsia" w:eastAsiaTheme="majorEastAsia"/>
          <w:color w:val="auto"/>
          <w:kern w:val="0"/>
          <w:sz w:val="28"/>
          <w:szCs w:val="28"/>
        </w:rPr>
        <w:t>项目名称：</w:t>
      </w:r>
    </w:p>
    <w:p w14:paraId="3C56A197">
      <w:pPr>
        <w:rPr>
          <w:rFonts w:cs="宋体" w:asciiTheme="majorEastAsia" w:hAnsiTheme="majorEastAsia" w:eastAsiaTheme="majorEastAsia"/>
          <w:color w:val="auto"/>
          <w:kern w:val="0"/>
          <w:sz w:val="28"/>
          <w:szCs w:val="28"/>
        </w:rPr>
      </w:pPr>
      <w:r>
        <w:rPr>
          <w:rFonts w:cs="宋体" w:asciiTheme="majorEastAsia" w:hAnsiTheme="majorEastAsia" w:eastAsiaTheme="majorEastAsia"/>
          <w:color w:val="auto"/>
          <w:kern w:val="0"/>
          <w:sz w:val="28"/>
          <w:szCs w:val="28"/>
        </w:rPr>
        <w:t>项目编号：</w:t>
      </w:r>
    </w:p>
    <w:p w14:paraId="33D4B0AE">
      <w:pPr>
        <w:rPr>
          <w:rFonts w:cs="宋体" w:asciiTheme="majorEastAsia" w:hAnsiTheme="majorEastAsia" w:eastAsiaTheme="majorEastAsia"/>
          <w:color w:val="auto"/>
          <w:kern w:val="0"/>
          <w:sz w:val="28"/>
          <w:szCs w:val="28"/>
        </w:rPr>
      </w:pPr>
      <w:r>
        <w:rPr>
          <w:rFonts w:cs="宋体" w:asciiTheme="majorEastAsia" w:hAnsiTheme="majorEastAsia" w:eastAsiaTheme="majorEastAsia"/>
          <w:color w:val="auto"/>
          <w:kern w:val="0"/>
          <w:sz w:val="28"/>
          <w:szCs w:val="28"/>
        </w:rPr>
        <w:t>分包号：</w:t>
      </w:r>
    </w:p>
    <w:tbl>
      <w:tblPr>
        <w:tblStyle w:val="3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9"/>
        <w:gridCol w:w="4356"/>
      </w:tblGrid>
      <w:tr w14:paraId="7441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9" w:type="dxa"/>
          </w:tcPr>
          <w:p w14:paraId="5C11A8F0">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cs="宋体" w:asciiTheme="majorEastAsia" w:hAnsiTheme="majorEastAsia" w:eastAsiaTheme="majorEastAsia"/>
                <w:color w:val="auto"/>
                <w:kern w:val="0"/>
                <w:sz w:val="28"/>
                <w:szCs w:val="28"/>
              </w:rPr>
              <w:t>磋商</w:t>
            </w:r>
            <w:r>
              <w:rPr>
                <w:rFonts w:hint="default" w:cs="宋体" w:asciiTheme="majorEastAsia" w:hAnsiTheme="majorEastAsia" w:eastAsiaTheme="majorEastAsia"/>
                <w:color w:val="auto"/>
                <w:kern w:val="0"/>
                <w:sz w:val="28"/>
                <w:szCs w:val="28"/>
              </w:rPr>
              <w:t>货物、服务名称</w:t>
            </w:r>
          </w:p>
        </w:tc>
        <w:tc>
          <w:tcPr>
            <w:tcW w:w="4356" w:type="dxa"/>
          </w:tcPr>
          <w:p w14:paraId="202944DF">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cs="宋体" w:asciiTheme="majorEastAsia" w:hAnsiTheme="majorEastAsia" w:eastAsiaTheme="majorEastAsia"/>
                <w:color w:val="auto"/>
                <w:kern w:val="0"/>
                <w:sz w:val="28"/>
                <w:szCs w:val="28"/>
              </w:rPr>
              <w:t>磋商</w:t>
            </w:r>
            <w:r>
              <w:rPr>
                <w:rFonts w:hint="default" w:cs="宋体" w:asciiTheme="majorEastAsia" w:hAnsiTheme="majorEastAsia" w:eastAsiaTheme="majorEastAsia"/>
                <w:color w:val="auto"/>
                <w:kern w:val="0"/>
                <w:sz w:val="28"/>
                <w:szCs w:val="28"/>
              </w:rPr>
              <w:t>总报价</w:t>
            </w:r>
          </w:p>
        </w:tc>
      </w:tr>
      <w:tr w14:paraId="7601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399" w:type="dxa"/>
            <w:vAlign w:val="center"/>
          </w:tcPr>
          <w:p w14:paraId="7FB627C4">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Cs w:val="22"/>
              </w:rPr>
            </w:pPr>
            <w:r>
              <w:rPr>
                <w:rFonts w:hint="eastAsia" w:asciiTheme="minorEastAsia" w:hAnsiTheme="minorEastAsia" w:eastAsiaTheme="minorEastAsia" w:cstheme="minorEastAsia"/>
                <w:color w:val="auto"/>
                <w:sz w:val="24"/>
                <w:szCs w:val="24"/>
              </w:rPr>
              <w:t>南通市妇幼保健院</w:t>
            </w:r>
            <w:r>
              <w:rPr>
                <w:rFonts w:hint="eastAsia" w:asciiTheme="minorEastAsia" w:hAnsiTheme="minorEastAsia" w:eastAsiaTheme="minorEastAsia" w:cstheme="minorEastAsia"/>
                <w:color w:val="auto"/>
                <w:sz w:val="24"/>
                <w:szCs w:val="24"/>
                <w:lang w:val="en-US" w:eastAsia="zh-CN"/>
              </w:rPr>
              <w:t>2024年</w:t>
            </w:r>
            <w:r>
              <w:rPr>
                <w:rFonts w:hint="eastAsia" w:asciiTheme="minorEastAsia" w:hAnsiTheme="minorEastAsia" w:eastAsiaTheme="minorEastAsia" w:cstheme="minorEastAsia"/>
                <w:color w:val="auto"/>
                <w:sz w:val="24"/>
                <w:szCs w:val="24"/>
              </w:rPr>
              <w:t>PDA采购项目</w:t>
            </w:r>
          </w:p>
        </w:tc>
        <w:tc>
          <w:tcPr>
            <w:tcW w:w="4356" w:type="dxa"/>
          </w:tcPr>
          <w:p w14:paraId="7A73A066">
            <w:pPr>
              <w:keepNext w:val="0"/>
              <w:keepLines w:val="0"/>
              <w:suppressLineNumbers w:val="0"/>
              <w:spacing w:before="0" w:beforeAutospacing="0" w:after="0" w:afterAutospacing="0"/>
              <w:ind w:left="0" w:right="0"/>
              <w:rPr>
                <w:rFonts w:hint="default" w:cs="宋体" w:asciiTheme="majorEastAsia" w:hAnsiTheme="majorEastAsia" w:eastAsiaTheme="majorEastAsia"/>
                <w:color w:val="auto"/>
                <w:kern w:val="0"/>
                <w:sz w:val="28"/>
                <w:szCs w:val="28"/>
              </w:rPr>
            </w:pPr>
            <w:r>
              <w:rPr>
                <w:rFonts w:hint="default" w:cs="宋体" w:asciiTheme="majorEastAsia" w:hAnsiTheme="majorEastAsia" w:eastAsiaTheme="majorEastAsia"/>
                <w:color w:val="auto"/>
                <w:kern w:val="0"/>
                <w:sz w:val="28"/>
                <w:szCs w:val="28"/>
              </w:rPr>
              <w:t>大写：</w:t>
            </w:r>
          </w:p>
          <w:p w14:paraId="08EA193B">
            <w:pPr>
              <w:keepNext w:val="0"/>
              <w:keepLines w:val="0"/>
              <w:suppressLineNumbers w:val="0"/>
              <w:spacing w:before="0" w:beforeAutospacing="0" w:after="0" w:afterAutospacing="0"/>
              <w:ind w:left="0" w:right="0"/>
              <w:rPr>
                <w:rFonts w:hint="default" w:asciiTheme="majorEastAsia" w:hAnsiTheme="majorEastAsia" w:eastAsiaTheme="majorEastAsia"/>
                <w:color w:val="auto"/>
                <w:szCs w:val="22"/>
                <w:u w:val="single"/>
              </w:rPr>
            </w:pPr>
            <w:r>
              <w:rPr>
                <w:rFonts w:hint="default" w:cs="宋体" w:asciiTheme="majorEastAsia" w:hAnsiTheme="majorEastAsia" w:eastAsiaTheme="majorEastAsia"/>
                <w:color w:val="auto"/>
                <w:kern w:val="0"/>
                <w:sz w:val="28"/>
                <w:szCs w:val="28"/>
              </w:rPr>
              <w:t>小写：  元（人民币）</w:t>
            </w:r>
          </w:p>
        </w:tc>
      </w:tr>
    </w:tbl>
    <w:p w14:paraId="3FE9DEEA">
      <w:pPr>
        <w:spacing w:line="460" w:lineRule="exact"/>
        <w:rPr>
          <w:rFonts w:cs="宋体" w:asciiTheme="majorEastAsia" w:hAnsiTheme="majorEastAsia" w:eastAsiaTheme="majorEastAsia"/>
          <w:color w:val="auto"/>
          <w:kern w:val="0"/>
          <w:szCs w:val="21"/>
        </w:rPr>
      </w:pPr>
      <w:r>
        <w:rPr>
          <w:rFonts w:cs="宋体" w:asciiTheme="majorEastAsia" w:hAnsiTheme="majorEastAsia" w:eastAsiaTheme="majorEastAsia"/>
          <w:color w:val="auto"/>
          <w:kern w:val="0"/>
          <w:szCs w:val="21"/>
        </w:rPr>
        <w:t>日期：</w:t>
      </w:r>
    </w:p>
    <w:p w14:paraId="585F4442">
      <w:pPr>
        <w:spacing w:line="460" w:lineRule="exact"/>
        <w:rPr>
          <w:rFonts w:cs="宋体" w:asciiTheme="majorEastAsia" w:hAnsiTheme="majorEastAsia" w:eastAsiaTheme="majorEastAsia"/>
          <w:color w:val="auto"/>
          <w:kern w:val="0"/>
          <w:szCs w:val="21"/>
        </w:rPr>
      </w:pPr>
      <w:r>
        <w:rPr>
          <w:rFonts w:cs="宋体" w:asciiTheme="majorEastAsia" w:hAnsiTheme="majorEastAsia" w:eastAsiaTheme="majorEastAsia"/>
          <w:color w:val="auto"/>
          <w:kern w:val="0"/>
          <w:szCs w:val="21"/>
        </w:rPr>
        <w:t>填写说明：</w:t>
      </w:r>
    </w:p>
    <w:p w14:paraId="4D18365A">
      <w:pPr>
        <w:spacing w:line="460" w:lineRule="exac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r>
        <w:rPr>
          <w:rFonts w:cs="宋体" w:asciiTheme="majorEastAsia" w:hAnsiTheme="majorEastAsia" w:eastAsiaTheme="majorEastAsia"/>
          <w:color w:val="auto"/>
          <w:kern w:val="0"/>
          <w:szCs w:val="21"/>
        </w:rPr>
        <w:t>、</w:t>
      </w:r>
      <w:r>
        <w:rPr>
          <w:rFonts w:hint="eastAsia" w:cs="宋体" w:asciiTheme="majorEastAsia" w:hAnsiTheme="majorEastAsia" w:eastAsiaTheme="majorEastAsia"/>
          <w:color w:val="auto"/>
          <w:kern w:val="0"/>
          <w:szCs w:val="21"/>
        </w:rPr>
        <w:t>报价总表</w:t>
      </w:r>
      <w:r>
        <w:rPr>
          <w:rFonts w:cs="宋体" w:asciiTheme="majorEastAsia" w:hAnsiTheme="majorEastAsia" w:eastAsiaTheme="majorEastAsia"/>
          <w:color w:val="auto"/>
          <w:kern w:val="0"/>
          <w:szCs w:val="21"/>
        </w:rPr>
        <w:t>必须加盖</w:t>
      </w:r>
      <w:r>
        <w:rPr>
          <w:rFonts w:hint="eastAsia" w:cs="宋体" w:asciiTheme="majorEastAsia" w:hAnsiTheme="majorEastAsia" w:eastAsiaTheme="majorEastAsia"/>
          <w:color w:val="auto"/>
          <w:kern w:val="0"/>
          <w:szCs w:val="21"/>
        </w:rPr>
        <w:t>供应商</w:t>
      </w:r>
      <w:r>
        <w:rPr>
          <w:rFonts w:cs="宋体" w:asciiTheme="majorEastAsia" w:hAnsiTheme="majorEastAsia" w:eastAsiaTheme="majorEastAsia"/>
          <w:color w:val="auto"/>
          <w:kern w:val="0"/>
          <w:szCs w:val="21"/>
        </w:rPr>
        <w:t>公章（复印件无效）。</w:t>
      </w:r>
    </w:p>
    <w:p w14:paraId="10BB29AF">
      <w:pPr>
        <w:spacing w:line="460" w:lineRule="exact"/>
        <w:rPr>
          <w:rFonts w:cs="宋体" w:asciiTheme="majorEastAsia" w:hAnsiTheme="majorEastAsia" w:eastAsiaTheme="majorEastAsia"/>
          <w:b/>
          <w:color w:val="auto"/>
          <w:kern w:val="0"/>
          <w:szCs w:val="21"/>
        </w:rPr>
      </w:pPr>
      <w:r>
        <w:rPr>
          <w:rFonts w:hint="eastAsia" w:cs="宋体" w:asciiTheme="majorEastAsia" w:hAnsiTheme="majorEastAsia" w:eastAsiaTheme="majorEastAsia"/>
          <w:color w:val="auto"/>
          <w:kern w:val="0"/>
          <w:szCs w:val="21"/>
        </w:rPr>
        <w:t>2</w:t>
      </w:r>
      <w:r>
        <w:rPr>
          <w:rFonts w:cs="宋体" w:asciiTheme="majorEastAsia" w:hAnsiTheme="majorEastAsia" w:eastAsiaTheme="majorEastAsia"/>
          <w:color w:val="auto"/>
          <w:kern w:val="0"/>
          <w:szCs w:val="21"/>
        </w:rPr>
        <w:t>、</w:t>
      </w:r>
      <w:r>
        <w:rPr>
          <w:rFonts w:hint="eastAsia" w:cs="宋体" w:asciiTheme="majorEastAsia" w:hAnsiTheme="majorEastAsia" w:eastAsiaTheme="majorEastAsia"/>
          <w:b/>
          <w:color w:val="auto"/>
          <w:kern w:val="0"/>
          <w:szCs w:val="21"/>
        </w:rPr>
        <w:t>磋商响应最终报价不得超出首次报价，否则作无效报价处理。</w:t>
      </w:r>
    </w:p>
    <w:p w14:paraId="795605A7">
      <w:pPr>
        <w:pStyle w:val="113"/>
        <w:ind w:firstLine="0" w:firstLineChars="0"/>
        <w:rPr>
          <w:rFonts w:asciiTheme="majorEastAsia" w:hAnsiTheme="majorEastAsia" w:eastAsiaTheme="majorEastAsia"/>
          <w:b/>
          <w:bCs/>
          <w:color w:val="auto"/>
        </w:rPr>
      </w:pPr>
      <w:r>
        <w:rPr>
          <w:rFonts w:cs="宋体" w:asciiTheme="majorEastAsia" w:hAnsiTheme="majorEastAsia" w:eastAsiaTheme="majorEastAsia"/>
          <w:b/>
          <w:color w:val="auto"/>
          <w:kern w:val="0"/>
        </w:rPr>
        <w:t>3</w:t>
      </w:r>
      <w:r>
        <w:rPr>
          <w:rFonts w:hint="eastAsia" w:cs="宋体" w:asciiTheme="majorEastAsia" w:hAnsiTheme="majorEastAsia" w:eastAsiaTheme="majorEastAsia"/>
          <w:b/>
          <w:color w:val="auto"/>
          <w:kern w:val="0"/>
        </w:rPr>
        <w:t>、友情提醒：技术标部分评审结束后进入最后报价环节，最后报价将作为评审价。南通城建不见面远程QQ群发送最后报价填报通知后，所有的响应供应商须在1</w:t>
      </w:r>
      <w:r>
        <w:rPr>
          <w:rFonts w:cs="宋体" w:asciiTheme="majorEastAsia" w:hAnsiTheme="majorEastAsia" w:eastAsiaTheme="majorEastAsia"/>
          <w:b/>
          <w:color w:val="auto"/>
          <w:kern w:val="0"/>
        </w:rPr>
        <w:t>5</w:t>
      </w:r>
      <w:r>
        <w:rPr>
          <w:rFonts w:hint="eastAsia" w:cs="宋体" w:asciiTheme="majorEastAsia" w:hAnsiTheme="majorEastAsia" w:eastAsiaTheme="majorEastAsia"/>
          <w:b/>
          <w:color w:val="auto"/>
          <w:kern w:val="0"/>
        </w:rPr>
        <w:t>分钟内填写最后报价</w:t>
      </w:r>
      <w:r>
        <w:rPr>
          <w:rFonts w:cs="宋体" w:asciiTheme="majorEastAsia" w:hAnsiTheme="majorEastAsia" w:eastAsiaTheme="majorEastAsia"/>
          <w:b/>
          <w:color w:val="auto"/>
          <w:kern w:val="0"/>
        </w:rPr>
        <w:t>保存为加盖公章的PDF扫描件</w:t>
      </w:r>
      <w:r>
        <w:rPr>
          <w:rFonts w:hint="eastAsia" w:cs="宋体" w:asciiTheme="majorEastAsia" w:hAnsiTheme="majorEastAsia" w:eastAsiaTheme="majorEastAsia"/>
          <w:b/>
          <w:color w:val="auto"/>
          <w:kern w:val="0"/>
        </w:rPr>
        <w:t>发送至邮箱</w:t>
      </w:r>
      <w:r>
        <w:rPr>
          <w:rFonts w:hint="eastAsia" w:cs="宋体" w:asciiTheme="majorEastAsia" w:hAnsiTheme="majorEastAsia" w:eastAsiaTheme="majorEastAsia"/>
          <w:b/>
          <w:color w:val="auto"/>
          <w:kern w:val="0"/>
          <w:lang w:val="en-US" w:eastAsia="zh-CN"/>
        </w:rPr>
        <w:t>649240141</w:t>
      </w:r>
      <w:r>
        <w:rPr>
          <w:rFonts w:hint="eastAsia" w:cs="宋体" w:asciiTheme="majorEastAsia" w:hAnsiTheme="majorEastAsia" w:eastAsiaTheme="majorEastAsia"/>
          <w:b/>
          <w:color w:val="auto"/>
          <w:kern w:val="0"/>
        </w:rPr>
        <w:t>@qq.com，</w:t>
      </w:r>
      <w:r>
        <w:rPr>
          <w:rFonts w:asciiTheme="majorEastAsia" w:hAnsiTheme="majorEastAsia" w:eastAsiaTheme="majorEastAsia"/>
          <w:b/>
          <w:bCs/>
          <w:color w:val="auto"/>
        </w:rPr>
        <w:t>未在规定时间内提交最后报价的，视作无效响应处理。</w:t>
      </w:r>
    </w:p>
    <w:p w14:paraId="0392632C">
      <w:pPr>
        <w:spacing w:line="460" w:lineRule="exact"/>
        <w:rPr>
          <w:rFonts w:cs="宋体" w:asciiTheme="majorEastAsia" w:hAnsiTheme="majorEastAsia" w:eastAsiaTheme="majorEastAsia"/>
          <w:b/>
          <w:color w:val="auto"/>
          <w:kern w:val="0"/>
          <w:szCs w:val="21"/>
        </w:rPr>
      </w:pPr>
    </w:p>
    <w:p w14:paraId="4AB31290">
      <w:pPr>
        <w:pStyle w:val="30"/>
        <w:spacing w:line="460" w:lineRule="exact"/>
        <w:ind w:firstLine="480"/>
        <w:rPr>
          <w:rFonts w:asciiTheme="majorEastAsia" w:hAnsiTheme="majorEastAsia" w:eastAsiaTheme="majorEastAsia"/>
          <w:color w:val="auto"/>
        </w:rPr>
      </w:pPr>
    </w:p>
    <w:p w14:paraId="4B69C22B">
      <w:pPr>
        <w:snapToGrid w:val="0"/>
        <w:spacing w:line="400" w:lineRule="exact"/>
        <w:ind w:firstLine="540" w:firstLineChars="192"/>
        <w:contextualSpacing/>
        <w:rPr>
          <w:rFonts w:cs="宋体" w:asciiTheme="majorEastAsia" w:hAnsiTheme="majorEastAsia" w:eastAsiaTheme="majorEastAsia"/>
          <w:b/>
          <w:color w:val="auto"/>
          <w:kern w:val="0"/>
          <w:sz w:val="28"/>
          <w:szCs w:val="28"/>
        </w:rPr>
      </w:pPr>
    </w:p>
    <w:p w14:paraId="5B469B87">
      <w:pPr>
        <w:pStyle w:val="2"/>
        <w:rPr>
          <w:color w:val="auto"/>
        </w:rPr>
      </w:pPr>
    </w:p>
    <w:p w14:paraId="6F6713F8">
      <w:pPr>
        <w:pStyle w:val="20"/>
        <w:rPr>
          <w:color w:val="auto"/>
        </w:rPr>
      </w:pPr>
    </w:p>
    <w:p w14:paraId="39F25DC1">
      <w:pPr>
        <w:pStyle w:val="20"/>
        <w:rPr>
          <w:color w:val="auto"/>
        </w:rPr>
      </w:pPr>
    </w:p>
    <w:p w14:paraId="638EF5F7">
      <w:pPr>
        <w:pStyle w:val="20"/>
        <w:rPr>
          <w:color w:val="auto"/>
        </w:rPr>
      </w:pPr>
    </w:p>
    <w:p w14:paraId="4A860B33">
      <w:pPr>
        <w:pStyle w:val="20"/>
        <w:rPr>
          <w:color w:val="auto"/>
        </w:rPr>
      </w:pPr>
    </w:p>
    <w:p w14:paraId="4F86BA66">
      <w:pPr>
        <w:rPr>
          <w:rFonts w:asciiTheme="majorEastAsia" w:hAnsiTheme="majorEastAsia" w:eastAsiaTheme="majorEastAsia"/>
          <w:color w:val="auto"/>
          <w:sz w:val="32"/>
          <w:szCs w:val="32"/>
        </w:rPr>
      </w:pPr>
      <w:r>
        <w:rPr>
          <w:rFonts w:asciiTheme="majorEastAsia" w:hAnsiTheme="majorEastAsia" w:eastAsiaTheme="majorEastAsia"/>
          <w:color w:val="auto"/>
          <w:sz w:val="32"/>
          <w:szCs w:val="32"/>
        </w:rPr>
        <w:br w:type="page"/>
      </w:r>
    </w:p>
    <w:p w14:paraId="5C49F9D4">
      <w:pPr>
        <w:snapToGrid w:val="0"/>
        <w:spacing w:line="300" w:lineRule="auto"/>
        <w:outlineLvl w:val="0"/>
        <w:rPr>
          <w:rFonts w:hint="eastAsia" w:asciiTheme="majorEastAsia" w:hAnsiTheme="majorEastAsia" w:eastAsiaTheme="majorEastAsia"/>
          <w:color w:val="auto"/>
          <w:sz w:val="32"/>
          <w:szCs w:val="32"/>
          <w:lang w:eastAsia="zh-CN"/>
        </w:rPr>
      </w:pPr>
      <w:r>
        <w:rPr>
          <w:rFonts w:asciiTheme="majorEastAsia" w:hAnsiTheme="majorEastAsia" w:eastAsiaTheme="majorEastAsia"/>
          <w:color w:val="auto"/>
          <w:sz w:val="32"/>
          <w:szCs w:val="32"/>
        </w:rPr>
        <w:t>附件</w:t>
      </w:r>
      <w:r>
        <w:rPr>
          <w:rFonts w:hint="eastAsia" w:asciiTheme="majorEastAsia" w:hAnsiTheme="majorEastAsia" w:eastAsiaTheme="majorEastAsia"/>
          <w:color w:val="auto"/>
          <w:sz w:val="32"/>
          <w:szCs w:val="32"/>
          <w:lang w:val="en-US" w:eastAsia="zh-CN"/>
        </w:rPr>
        <w:t>8</w:t>
      </w:r>
    </w:p>
    <w:p w14:paraId="1466557D">
      <w:pPr>
        <w:snapToGrid w:val="0"/>
        <w:spacing w:line="300" w:lineRule="auto"/>
        <w:outlineLvl w:val="0"/>
        <w:rPr>
          <w:rFonts w:asciiTheme="majorEastAsia" w:hAnsiTheme="majorEastAsia" w:eastAsiaTheme="majorEastAsia"/>
          <w:color w:val="auto"/>
          <w:sz w:val="28"/>
          <w:szCs w:val="28"/>
        </w:rPr>
      </w:pPr>
    </w:p>
    <w:p w14:paraId="2071861C">
      <w:pPr>
        <w:pStyle w:val="30"/>
        <w:ind w:left="0" w:leftChars="0" w:firstLine="0" w:firstLineChars="0"/>
        <w:jc w:val="center"/>
        <w:rPr>
          <w:rFonts w:ascii="宋体" w:hAnsi="宋体" w:cs="仿宋"/>
          <w:b/>
          <w:bCs/>
          <w:color w:val="auto"/>
          <w:sz w:val="32"/>
          <w:szCs w:val="32"/>
        </w:rPr>
      </w:pPr>
      <w:r>
        <w:rPr>
          <w:rFonts w:hint="eastAsia" w:ascii="宋体" w:hAnsi="宋体" w:cs="仿宋"/>
          <w:b/>
          <w:bCs/>
          <w:color w:val="auto"/>
          <w:sz w:val="32"/>
          <w:szCs w:val="32"/>
        </w:rPr>
        <w:t>中小企业声明函</w:t>
      </w:r>
    </w:p>
    <w:p w14:paraId="41A8EBB9">
      <w:pPr>
        <w:spacing w:after="120" w:line="360" w:lineRule="auto"/>
        <w:ind w:left="420" w:leftChars="200" w:firstLine="480" w:firstLineChars="200"/>
        <w:rPr>
          <w:rFonts w:hint="eastAsia" w:ascii="宋体" w:hAnsi="宋体" w:cs="仿宋"/>
          <w:color w:val="auto"/>
          <w:sz w:val="24"/>
          <w:szCs w:val="24"/>
        </w:rPr>
      </w:pPr>
      <w:r>
        <w:rPr>
          <w:rFonts w:hint="eastAsia" w:ascii="宋体" w:hAnsi="宋体" w:cs="仿宋"/>
          <w:color w:val="auto"/>
          <w:sz w:val="24"/>
          <w:szCs w:val="24"/>
        </w:rPr>
        <w:t>本公司（联合体）郑重声明，根据《政府采购促进中小企业发展管理办法》（财库﹝2020﹞46 号）的规定，本公司参加的采购活动，提供的货物全部由符合政策要求的中小企业制造。相关企业的具体情况如下：</w:t>
      </w:r>
    </w:p>
    <w:p w14:paraId="32ABD277">
      <w:pPr>
        <w:spacing w:after="120" w:line="360" w:lineRule="auto"/>
        <w:ind w:left="420" w:leftChars="200" w:firstLine="480" w:firstLineChars="200"/>
        <w:rPr>
          <w:rFonts w:ascii="宋体" w:hAnsi="宋体" w:cs="仿宋"/>
          <w:color w:val="auto"/>
          <w:sz w:val="24"/>
          <w:szCs w:val="24"/>
        </w:rPr>
      </w:pPr>
      <w:r>
        <w:rPr>
          <w:rFonts w:hint="eastAsia" w:ascii="宋体" w:hAnsi="宋体" w:cs="仿宋"/>
          <w:color w:val="auto"/>
          <w:sz w:val="24"/>
          <w:szCs w:val="24"/>
        </w:rPr>
        <w:t>1</w:t>
      </w:r>
      <w:r>
        <w:rPr>
          <w:rFonts w:ascii="宋体" w:hAnsi="宋体" w:cs="仿宋"/>
          <w:color w:val="auto"/>
          <w:sz w:val="24"/>
          <w:szCs w:val="24"/>
        </w:rPr>
        <w:t>.</w:t>
      </w:r>
      <w:r>
        <w:rPr>
          <w:rFonts w:hint="eastAsia" w:ascii="宋体" w:hAnsi="宋体" w:cs="仿宋"/>
          <w:color w:val="auto"/>
          <w:sz w:val="24"/>
          <w:szCs w:val="24"/>
          <w:u w:val="single"/>
        </w:rPr>
        <w:t>（</w:t>
      </w:r>
      <w:r>
        <w:rPr>
          <w:rFonts w:hint="eastAsia" w:ascii="宋体" w:hAnsi="宋体" w:cs="仿宋"/>
          <w:i/>
          <w:iCs/>
          <w:color w:val="auto"/>
          <w:sz w:val="24"/>
          <w:szCs w:val="24"/>
          <w:u w:val="single"/>
        </w:rPr>
        <w:t>标的物名称</w:t>
      </w:r>
      <w:r>
        <w:rPr>
          <w:rFonts w:hint="eastAsia" w:ascii="宋体" w:hAnsi="宋体" w:cs="仿宋"/>
          <w:color w:val="auto"/>
          <w:sz w:val="24"/>
          <w:szCs w:val="24"/>
          <w:u w:val="single"/>
        </w:rPr>
        <w:t xml:space="preserve">） </w:t>
      </w:r>
      <w:r>
        <w:rPr>
          <w:rFonts w:hint="eastAsia" w:ascii="宋体" w:hAnsi="宋体" w:cs="仿宋"/>
          <w:color w:val="auto"/>
          <w:sz w:val="24"/>
          <w:szCs w:val="24"/>
        </w:rPr>
        <w:t>，属于行业；制造商为</w:t>
      </w:r>
      <w:r>
        <w:rPr>
          <w:rFonts w:hint="eastAsia" w:ascii="宋体" w:hAnsi="宋体" w:cs="仿宋"/>
          <w:color w:val="auto"/>
          <w:sz w:val="24"/>
          <w:szCs w:val="24"/>
          <w:u w:val="single"/>
        </w:rPr>
        <w:t>（</w:t>
      </w:r>
      <w:r>
        <w:rPr>
          <w:rFonts w:hint="eastAsia" w:ascii="宋体" w:hAnsi="宋体" w:cs="仿宋"/>
          <w:i/>
          <w:iCs/>
          <w:color w:val="auto"/>
          <w:sz w:val="24"/>
          <w:szCs w:val="24"/>
          <w:u w:val="single"/>
        </w:rPr>
        <w:t>企业名称</w:t>
      </w:r>
      <w:r>
        <w:rPr>
          <w:rFonts w:hint="eastAsia" w:ascii="宋体" w:hAnsi="宋体" w:cs="仿宋"/>
          <w:color w:val="auto"/>
          <w:sz w:val="24"/>
          <w:szCs w:val="24"/>
          <w:u w:val="single"/>
        </w:rPr>
        <w:t xml:space="preserve">） </w:t>
      </w:r>
      <w:r>
        <w:rPr>
          <w:rFonts w:hint="eastAsia" w:ascii="宋体" w:hAnsi="宋体" w:cs="仿宋"/>
          <w:color w:val="auto"/>
          <w:sz w:val="24"/>
          <w:szCs w:val="24"/>
        </w:rPr>
        <w:t>，从业人员人，营业收入为万元，资产总额为万元，属于</w:t>
      </w:r>
      <w:r>
        <w:rPr>
          <w:rFonts w:hint="eastAsia" w:ascii="宋体" w:hAnsi="宋体" w:cs="仿宋"/>
          <w:color w:val="auto"/>
          <w:sz w:val="24"/>
          <w:szCs w:val="24"/>
          <w:u w:val="single"/>
        </w:rPr>
        <w:t>（</w:t>
      </w:r>
      <w:r>
        <w:rPr>
          <w:rFonts w:hint="eastAsia" w:ascii="宋体" w:hAnsi="宋体" w:cs="仿宋"/>
          <w:i/>
          <w:iCs/>
          <w:color w:val="auto"/>
          <w:sz w:val="24"/>
          <w:szCs w:val="24"/>
          <w:u w:val="single"/>
        </w:rPr>
        <w:t>中型企业、小型企业、微型企业</w:t>
      </w:r>
      <w:r>
        <w:rPr>
          <w:rFonts w:hint="eastAsia" w:ascii="宋体" w:hAnsi="宋体" w:cs="仿宋"/>
          <w:color w:val="auto"/>
          <w:sz w:val="24"/>
          <w:szCs w:val="24"/>
          <w:u w:val="single"/>
        </w:rPr>
        <w:t xml:space="preserve">） </w:t>
      </w:r>
      <w:r>
        <w:rPr>
          <w:rFonts w:hint="eastAsia" w:ascii="宋体" w:hAnsi="宋体" w:cs="仿宋"/>
          <w:color w:val="auto"/>
          <w:sz w:val="24"/>
          <w:szCs w:val="24"/>
        </w:rPr>
        <w:t>；</w:t>
      </w:r>
    </w:p>
    <w:p w14:paraId="4B729F1E">
      <w:pPr>
        <w:spacing w:after="120" w:line="360" w:lineRule="auto"/>
        <w:ind w:left="420" w:leftChars="200" w:firstLine="480" w:firstLineChars="200"/>
        <w:rPr>
          <w:rFonts w:ascii="宋体" w:hAnsi="宋体" w:cs="仿宋"/>
          <w:color w:val="auto"/>
          <w:sz w:val="24"/>
          <w:szCs w:val="24"/>
        </w:rPr>
      </w:pPr>
      <w:r>
        <w:rPr>
          <w:rFonts w:ascii="宋体" w:hAnsi="宋体" w:cs="仿宋"/>
          <w:color w:val="auto"/>
          <w:sz w:val="24"/>
          <w:szCs w:val="24"/>
        </w:rPr>
        <w:t>2.</w:t>
      </w:r>
      <w:r>
        <w:rPr>
          <w:rFonts w:hint="eastAsia" w:ascii="宋体" w:hAnsi="宋体" w:cs="仿宋"/>
          <w:color w:val="auto"/>
          <w:sz w:val="24"/>
          <w:szCs w:val="24"/>
          <w:u w:val="single"/>
        </w:rPr>
        <w:t>（</w:t>
      </w:r>
      <w:r>
        <w:rPr>
          <w:rFonts w:hint="eastAsia" w:ascii="宋体" w:hAnsi="宋体" w:cs="仿宋"/>
          <w:i/>
          <w:iCs/>
          <w:color w:val="auto"/>
          <w:sz w:val="24"/>
          <w:szCs w:val="24"/>
          <w:u w:val="single"/>
        </w:rPr>
        <w:t>标的物名称</w:t>
      </w:r>
      <w:r>
        <w:rPr>
          <w:rFonts w:hint="eastAsia" w:ascii="宋体" w:hAnsi="宋体" w:cs="仿宋"/>
          <w:color w:val="auto"/>
          <w:sz w:val="24"/>
          <w:szCs w:val="24"/>
          <w:u w:val="single"/>
        </w:rPr>
        <w:t xml:space="preserve">） </w:t>
      </w:r>
      <w:r>
        <w:rPr>
          <w:rFonts w:hint="eastAsia" w:ascii="宋体" w:hAnsi="宋体" w:cs="仿宋"/>
          <w:color w:val="auto"/>
          <w:sz w:val="24"/>
          <w:szCs w:val="24"/>
        </w:rPr>
        <w:t>，属于行业；制造商为</w:t>
      </w:r>
      <w:r>
        <w:rPr>
          <w:rFonts w:hint="eastAsia" w:ascii="宋体" w:hAnsi="宋体" w:cs="仿宋"/>
          <w:color w:val="auto"/>
          <w:sz w:val="24"/>
          <w:szCs w:val="24"/>
          <w:u w:val="single"/>
        </w:rPr>
        <w:t>（</w:t>
      </w:r>
      <w:r>
        <w:rPr>
          <w:rFonts w:hint="eastAsia" w:ascii="宋体" w:hAnsi="宋体" w:cs="仿宋"/>
          <w:i/>
          <w:iCs/>
          <w:color w:val="auto"/>
          <w:sz w:val="24"/>
          <w:szCs w:val="24"/>
          <w:u w:val="single"/>
        </w:rPr>
        <w:t>企业名称</w:t>
      </w:r>
      <w:r>
        <w:rPr>
          <w:rFonts w:hint="eastAsia" w:ascii="宋体" w:hAnsi="宋体" w:cs="仿宋"/>
          <w:color w:val="auto"/>
          <w:sz w:val="24"/>
          <w:szCs w:val="24"/>
          <w:u w:val="single"/>
        </w:rPr>
        <w:t xml:space="preserve">） </w:t>
      </w:r>
      <w:r>
        <w:rPr>
          <w:rFonts w:hint="eastAsia" w:ascii="宋体" w:hAnsi="宋体" w:cs="仿宋"/>
          <w:color w:val="auto"/>
          <w:sz w:val="24"/>
          <w:szCs w:val="24"/>
        </w:rPr>
        <w:t>，从业人员人，营业收入为万元，资产总额为万元，属于</w:t>
      </w:r>
      <w:r>
        <w:rPr>
          <w:rFonts w:hint="eastAsia" w:ascii="宋体" w:hAnsi="宋体" w:cs="仿宋"/>
          <w:color w:val="auto"/>
          <w:sz w:val="24"/>
          <w:szCs w:val="24"/>
          <w:u w:val="single"/>
        </w:rPr>
        <w:t>（</w:t>
      </w:r>
      <w:r>
        <w:rPr>
          <w:rFonts w:hint="eastAsia" w:ascii="宋体" w:hAnsi="宋体" w:cs="仿宋"/>
          <w:i/>
          <w:iCs/>
          <w:color w:val="auto"/>
          <w:sz w:val="24"/>
          <w:szCs w:val="24"/>
          <w:u w:val="single"/>
        </w:rPr>
        <w:t>中型企业、小型企业、微型企业</w:t>
      </w:r>
      <w:r>
        <w:rPr>
          <w:rFonts w:hint="eastAsia" w:ascii="宋体" w:hAnsi="宋体" w:cs="仿宋"/>
          <w:color w:val="auto"/>
          <w:sz w:val="24"/>
          <w:szCs w:val="24"/>
          <w:u w:val="single"/>
        </w:rPr>
        <w:t xml:space="preserve">） </w:t>
      </w:r>
      <w:r>
        <w:rPr>
          <w:rFonts w:hint="eastAsia" w:ascii="宋体" w:hAnsi="宋体" w:cs="仿宋"/>
          <w:color w:val="auto"/>
          <w:sz w:val="24"/>
          <w:szCs w:val="24"/>
        </w:rPr>
        <w:t>；</w:t>
      </w:r>
    </w:p>
    <w:p w14:paraId="2545294F">
      <w:pPr>
        <w:spacing w:after="120" w:line="360" w:lineRule="auto"/>
        <w:ind w:left="420" w:leftChars="200" w:firstLine="480" w:firstLineChars="200"/>
        <w:rPr>
          <w:rFonts w:ascii="宋体" w:hAnsi="宋体" w:cs="仿宋"/>
          <w:color w:val="auto"/>
          <w:sz w:val="24"/>
          <w:szCs w:val="24"/>
        </w:rPr>
      </w:pPr>
      <w:r>
        <w:rPr>
          <w:rFonts w:ascii="宋体" w:hAnsi="宋体" w:cs="仿宋"/>
          <w:color w:val="auto"/>
          <w:sz w:val="24"/>
          <w:szCs w:val="24"/>
        </w:rPr>
        <w:t>3.</w:t>
      </w:r>
      <w:r>
        <w:rPr>
          <w:rFonts w:hint="eastAsia" w:ascii="宋体" w:hAnsi="宋体" w:cs="仿宋"/>
          <w:color w:val="auto"/>
          <w:sz w:val="24"/>
          <w:szCs w:val="24"/>
          <w:u w:val="single"/>
        </w:rPr>
        <w:t>（</w:t>
      </w:r>
      <w:r>
        <w:rPr>
          <w:rFonts w:hint="eastAsia" w:ascii="宋体" w:hAnsi="宋体" w:cs="仿宋"/>
          <w:i/>
          <w:iCs/>
          <w:color w:val="auto"/>
          <w:sz w:val="24"/>
          <w:szCs w:val="24"/>
          <w:u w:val="single"/>
        </w:rPr>
        <w:t>标的物名称</w:t>
      </w:r>
      <w:r>
        <w:rPr>
          <w:rFonts w:hint="eastAsia" w:ascii="宋体" w:hAnsi="宋体" w:cs="仿宋"/>
          <w:color w:val="auto"/>
          <w:sz w:val="24"/>
          <w:szCs w:val="24"/>
          <w:u w:val="single"/>
        </w:rPr>
        <w:t xml:space="preserve">） </w:t>
      </w:r>
      <w:r>
        <w:rPr>
          <w:rFonts w:hint="eastAsia" w:ascii="宋体" w:hAnsi="宋体" w:cs="仿宋"/>
          <w:color w:val="auto"/>
          <w:sz w:val="24"/>
          <w:szCs w:val="24"/>
        </w:rPr>
        <w:t>，属于行业；制造商为</w:t>
      </w:r>
      <w:r>
        <w:rPr>
          <w:rFonts w:hint="eastAsia" w:ascii="宋体" w:hAnsi="宋体" w:cs="仿宋"/>
          <w:color w:val="auto"/>
          <w:sz w:val="24"/>
          <w:szCs w:val="24"/>
          <w:u w:val="single"/>
        </w:rPr>
        <w:t>（</w:t>
      </w:r>
      <w:r>
        <w:rPr>
          <w:rFonts w:hint="eastAsia" w:ascii="宋体" w:hAnsi="宋体" w:cs="仿宋"/>
          <w:i/>
          <w:iCs/>
          <w:color w:val="auto"/>
          <w:sz w:val="24"/>
          <w:szCs w:val="24"/>
          <w:u w:val="single"/>
        </w:rPr>
        <w:t>企业名称</w:t>
      </w:r>
      <w:r>
        <w:rPr>
          <w:rFonts w:hint="eastAsia" w:ascii="宋体" w:hAnsi="宋体" w:cs="仿宋"/>
          <w:color w:val="auto"/>
          <w:sz w:val="24"/>
          <w:szCs w:val="24"/>
          <w:u w:val="single"/>
        </w:rPr>
        <w:t xml:space="preserve">） </w:t>
      </w:r>
      <w:r>
        <w:rPr>
          <w:rFonts w:hint="eastAsia" w:ascii="宋体" w:hAnsi="宋体" w:cs="仿宋"/>
          <w:color w:val="auto"/>
          <w:sz w:val="24"/>
          <w:szCs w:val="24"/>
        </w:rPr>
        <w:t>，从业人员人，营业收入为万元，资产总额为万元，属于</w:t>
      </w:r>
      <w:r>
        <w:rPr>
          <w:rFonts w:hint="eastAsia" w:ascii="宋体" w:hAnsi="宋体" w:cs="仿宋"/>
          <w:color w:val="auto"/>
          <w:sz w:val="24"/>
          <w:szCs w:val="24"/>
          <w:u w:val="single"/>
        </w:rPr>
        <w:t>（</w:t>
      </w:r>
      <w:r>
        <w:rPr>
          <w:rFonts w:hint="eastAsia" w:ascii="宋体" w:hAnsi="宋体" w:cs="仿宋"/>
          <w:i/>
          <w:iCs/>
          <w:color w:val="auto"/>
          <w:sz w:val="24"/>
          <w:szCs w:val="24"/>
          <w:u w:val="single"/>
        </w:rPr>
        <w:t>中型企业、小型企业、微型企业</w:t>
      </w:r>
      <w:r>
        <w:rPr>
          <w:rFonts w:hint="eastAsia" w:ascii="宋体" w:hAnsi="宋体" w:cs="仿宋"/>
          <w:color w:val="auto"/>
          <w:sz w:val="24"/>
          <w:szCs w:val="24"/>
          <w:u w:val="single"/>
        </w:rPr>
        <w:t xml:space="preserve">） </w:t>
      </w:r>
      <w:r>
        <w:rPr>
          <w:rFonts w:hint="eastAsia" w:ascii="宋体" w:hAnsi="宋体" w:cs="仿宋"/>
          <w:color w:val="auto"/>
          <w:sz w:val="24"/>
          <w:szCs w:val="24"/>
        </w:rPr>
        <w:t>；</w:t>
      </w:r>
    </w:p>
    <w:p w14:paraId="084C5003">
      <w:pPr>
        <w:spacing w:after="120" w:line="360" w:lineRule="auto"/>
        <w:ind w:left="420" w:leftChars="200" w:firstLine="480" w:firstLineChars="200"/>
        <w:rPr>
          <w:rFonts w:ascii="宋体" w:hAnsi="宋体" w:cs="仿宋"/>
          <w:color w:val="auto"/>
          <w:sz w:val="24"/>
          <w:szCs w:val="24"/>
        </w:rPr>
      </w:pPr>
      <w:r>
        <w:rPr>
          <w:rFonts w:hint="eastAsia" w:ascii="宋体" w:hAnsi="宋体" w:cs="仿宋"/>
          <w:color w:val="auto"/>
          <w:sz w:val="24"/>
          <w:szCs w:val="24"/>
        </w:rPr>
        <w:t>…… 以上企业，不属于大企业的分支机构，不存在控股股东为大企业的情形，也不存在与大企业的负责人为同一人的情形。</w:t>
      </w:r>
    </w:p>
    <w:p w14:paraId="7A60BCDA">
      <w:pPr>
        <w:spacing w:after="120" w:line="360" w:lineRule="auto"/>
        <w:ind w:left="420" w:leftChars="200" w:firstLine="480" w:firstLineChars="200"/>
        <w:rPr>
          <w:rFonts w:ascii="宋体" w:hAnsi="宋体" w:cs="仿宋"/>
          <w:color w:val="auto"/>
          <w:sz w:val="24"/>
          <w:szCs w:val="24"/>
        </w:rPr>
      </w:pPr>
      <w:r>
        <w:rPr>
          <w:rFonts w:hint="eastAsia" w:ascii="宋体" w:hAnsi="宋体" w:cs="仿宋"/>
          <w:color w:val="auto"/>
          <w:sz w:val="24"/>
          <w:szCs w:val="24"/>
        </w:rPr>
        <w:t>本企业对上述声明内容的真实性负责。如有虚假，将依 法承担相应责任。</w:t>
      </w:r>
    </w:p>
    <w:p w14:paraId="55A2D85E">
      <w:pPr>
        <w:spacing w:after="120" w:line="360" w:lineRule="auto"/>
        <w:ind w:left="420" w:leftChars="200" w:firstLine="480" w:firstLineChars="200"/>
        <w:rPr>
          <w:rFonts w:ascii="宋体" w:hAnsi="宋体" w:cs="仿宋"/>
          <w:color w:val="auto"/>
          <w:sz w:val="24"/>
          <w:szCs w:val="24"/>
        </w:rPr>
      </w:pPr>
      <w:r>
        <w:rPr>
          <w:rFonts w:hint="eastAsia" w:ascii="宋体" w:hAnsi="宋体" w:cs="仿宋"/>
          <w:color w:val="auto"/>
          <w:sz w:val="24"/>
          <w:szCs w:val="24"/>
        </w:rPr>
        <w:t>企业名称（盖章）： 日 期：</w:t>
      </w:r>
    </w:p>
    <w:p w14:paraId="1FE39199">
      <w:pPr>
        <w:spacing w:line="560" w:lineRule="exact"/>
        <w:ind w:firstLine="321" w:firstLineChars="100"/>
        <w:jc w:val="center"/>
        <w:rPr>
          <w:rFonts w:ascii="宋体" w:hAnsi="宋体" w:cs="仿宋"/>
          <w:b/>
          <w:bCs/>
          <w:color w:val="auto"/>
          <w:sz w:val="32"/>
          <w:szCs w:val="32"/>
        </w:rPr>
      </w:pPr>
    </w:p>
    <w:p w14:paraId="2C258B78">
      <w:pPr>
        <w:spacing w:line="560" w:lineRule="exact"/>
        <w:ind w:firstLine="321" w:firstLineChars="100"/>
        <w:jc w:val="center"/>
        <w:rPr>
          <w:rFonts w:ascii="宋体" w:hAnsi="宋体" w:cs="仿宋"/>
          <w:b/>
          <w:bCs/>
          <w:color w:val="auto"/>
          <w:sz w:val="32"/>
          <w:szCs w:val="32"/>
        </w:rPr>
      </w:pPr>
    </w:p>
    <w:p w14:paraId="4387F105">
      <w:pPr>
        <w:widowControl/>
        <w:snapToGrid w:val="0"/>
        <w:spacing w:line="420" w:lineRule="exact"/>
        <w:ind w:firstLine="564" w:firstLineChars="235"/>
        <w:jc w:val="left"/>
        <w:rPr>
          <w:rFonts w:ascii="宋体" w:hAnsi="宋体" w:cs="仿宋"/>
          <w:color w:val="auto"/>
          <w:sz w:val="24"/>
          <w:szCs w:val="24"/>
        </w:rPr>
      </w:pPr>
      <w:r>
        <w:rPr>
          <w:rFonts w:hint="eastAsia" w:ascii="宋体" w:hAnsi="宋体" w:cs="仿宋"/>
          <w:color w:val="auto"/>
          <w:sz w:val="24"/>
          <w:szCs w:val="24"/>
        </w:rPr>
        <w:t>1从业人员、营业收入、资产总额填报上一年度数据，无上一年度数据的新成立企业可不填报。</w:t>
      </w:r>
    </w:p>
    <w:p w14:paraId="6EB366D9">
      <w:pPr>
        <w:spacing w:line="560" w:lineRule="exact"/>
        <w:ind w:firstLine="240" w:firstLineChars="100"/>
        <w:rPr>
          <w:rFonts w:ascii="宋体" w:hAnsi="宋体" w:cs="仿宋"/>
          <w:color w:val="auto"/>
          <w:sz w:val="24"/>
          <w:szCs w:val="21"/>
        </w:rPr>
      </w:pPr>
    </w:p>
    <w:p w14:paraId="3C323CA1">
      <w:pPr>
        <w:spacing w:line="560" w:lineRule="exact"/>
        <w:ind w:firstLine="240" w:firstLineChars="100"/>
        <w:rPr>
          <w:rFonts w:ascii="宋体" w:hAnsi="宋体" w:cs="仿宋"/>
          <w:color w:val="auto"/>
          <w:sz w:val="24"/>
          <w:szCs w:val="21"/>
        </w:rPr>
      </w:pPr>
      <w:r>
        <w:rPr>
          <w:rFonts w:hint="eastAsia" w:ascii="宋体" w:hAnsi="宋体" w:cs="仿宋"/>
          <w:color w:val="auto"/>
          <w:sz w:val="24"/>
          <w:szCs w:val="21"/>
        </w:rPr>
        <w:t>（备注：供应商如不提供此声明函，价格将不做相应扣除）</w:t>
      </w:r>
    </w:p>
    <w:p w14:paraId="0EA5D514">
      <w:pPr>
        <w:spacing w:line="560" w:lineRule="exact"/>
        <w:rPr>
          <w:rFonts w:ascii="宋体" w:hAnsi="宋体" w:cs="仿宋"/>
          <w:b/>
          <w:bCs/>
          <w:color w:val="auto"/>
          <w:sz w:val="32"/>
          <w:szCs w:val="32"/>
        </w:rPr>
      </w:pPr>
    </w:p>
    <w:p w14:paraId="3D314BB3">
      <w:pPr>
        <w:pStyle w:val="14"/>
        <w:rPr>
          <w:rFonts w:ascii="宋体" w:hAnsi="宋体" w:eastAsia="宋体"/>
          <w:color w:val="auto"/>
        </w:rPr>
      </w:pPr>
    </w:p>
    <w:p w14:paraId="373198F6">
      <w:pPr>
        <w:snapToGrid w:val="0"/>
        <w:spacing w:line="300" w:lineRule="auto"/>
        <w:outlineLvl w:val="0"/>
        <w:rPr>
          <w:rFonts w:asciiTheme="majorEastAsia" w:hAnsiTheme="majorEastAsia" w:eastAsiaTheme="majorEastAsia"/>
          <w:color w:val="auto"/>
          <w:sz w:val="24"/>
        </w:rPr>
      </w:pPr>
    </w:p>
    <w:p w14:paraId="2131CE34">
      <w:pPr>
        <w:widowControl/>
        <w:jc w:val="left"/>
        <w:rPr>
          <w:rFonts w:asciiTheme="majorEastAsia" w:hAnsiTheme="majorEastAsia" w:eastAsiaTheme="majorEastAsia"/>
          <w:color w:val="auto"/>
          <w:sz w:val="32"/>
          <w:szCs w:val="32"/>
        </w:rPr>
      </w:pPr>
      <w:r>
        <w:rPr>
          <w:rFonts w:asciiTheme="majorEastAsia" w:hAnsiTheme="majorEastAsia" w:eastAsiaTheme="majorEastAsia"/>
          <w:color w:val="auto"/>
          <w:sz w:val="32"/>
          <w:szCs w:val="32"/>
        </w:rPr>
        <w:br w:type="page"/>
      </w:r>
    </w:p>
    <w:p w14:paraId="504AFEC5">
      <w:pPr>
        <w:snapToGrid w:val="0"/>
        <w:spacing w:line="300" w:lineRule="auto"/>
        <w:outlineLvl w:val="0"/>
        <w:rPr>
          <w:rFonts w:asciiTheme="majorEastAsia" w:hAnsiTheme="majorEastAsia" w:eastAsiaTheme="majorEastAsia"/>
          <w:color w:val="auto"/>
          <w:sz w:val="32"/>
          <w:szCs w:val="32"/>
        </w:rPr>
      </w:pPr>
    </w:p>
    <w:p w14:paraId="5DEA6975">
      <w:pPr>
        <w:snapToGrid w:val="0"/>
        <w:spacing w:line="300" w:lineRule="auto"/>
        <w:outlineLvl w:val="0"/>
        <w:rPr>
          <w:rFonts w:hint="eastAsia" w:asciiTheme="majorEastAsia" w:hAnsiTheme="majorEastAsia" w:eastAsiaTheme="majorEastAsia"/>
          <w:color w:val="auto"/>
          <w:sz w:val="32"/>
          <w:szCs w:val="32"/>
          <w:lang w:val="en-US" w:eastAsia="zh-CN"/>
        </w:rPr>
      </w:pPr>
      <w:r>
        <w:rPr>
          <w:rFonts w:asciiTheme="majorEastAsia" w:hAnsiTheme="majorEastAsia" w:eastAsiaTheme="majorEastAsia"/>
          <w:color w:val="auto"/>
          <w:sz w:val="32"/>
          <w:szCs w:val="32"/>
        </w:rPr>
        <w:t>附件</w:t>
      </w:r>
      <w:r>
        <w:rPr>
          <w:rFonts w:hint="eastAsia" w:asciiTheme="majorEastAsia" w:hAnsiTheme="majorEastAsia" w:eastAsiaTheme="majorEastAsia"/>
          <w:color w:val="auto"/>
          <w:sz w:val="32"/>
          <w:szCs w:val="32"/>
          <w:lang w:val="en-US" w:eastAsia="zh-CN"/>
        </w:rPr>
        <w:t>9</w:t>
      </w:r>
    </w:p>
    <w:p w14:paraId="2F398B55">
      <w:pPr>
        <w:spacing w:line="460" w:lineRule="exact"/>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残疾人福利性单位声明函</w:t>
      </w:r>
    </w:p>
    <w:p w14:paraId="32EA1A0D">
      <w:pPr>
        <w:spacing w:line="588"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6ACAE84B">
      <w:pPr>
        <w:spacing w:line="588"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本单位对上述声明的真实性负责。如有虚假，将依法承担相应责任。</w:t>
      </w:r>
    </w:p>
    <w:p w14:paraId="6AA6C69A">
      <w:pPr>
        <w:spacing w:line="588"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（备注：1、供应商如不提供此声明函，价格将不做相应扣除。2、中标供应商为残疾人福利单位的，此声明函将随中标结果同时公告，接受社会监督）</w:t>
      </w:r>
    </w:p>
    <w:p w14:paraId="1D546F28">
      <w:pPr>
        <w:spacing w:line="588" w:lineRule="exact"/>
        <w:ind w:firstLine="504" w:firstLineChars="200"/>
        <w:rPr>
          <w:rFonts w:asciiTheme="majorEastAsia" w:hAnsiTheme="majorEastAsia" w:eastAsiaTheme="majorEastAsia"/>
          <w:color w:val="auto"/>
          <w:spacing w:val="6"/>
          <w:sz w:val="24"/>
        </w:rPr>
      </w:pPr>
    </w:p>
    <w:p w14:paraId="5EFDE1DC">
      <w:pPr>
        <w:spacing w:line="588" w:lineRule="exact"/>
        <w:ind w:firstLine="444" w:firstLineChars="200"/>
        <w:rPr>
          <w:rFonts w:asciiTheme="majorEastAsia" w:hAnsiTheme="majorEastAsia" w:eastAsiaTheme="majorEastAsia"/>
          <w:color w:val="auto"/>
          <w:spacing w:val="6"/>
          <w:szCs w:val="21"/>
        </w:rPr>
      </w:pPr>
    </w:p>
    <w:p w14:paraId="07C7584B">
      <w:pPr>
        <w:spacing w:line="588" w:lineRule="exact"/>
        <w:ind w:firstLine="584" w:firstLineChars="200"/>
        <w:rPr>
          <w:rFonts w:asciiTheme="majorEastAsia" w:hAnsiTheme="majorEastAsia" w:eastAsiaTheme="majorEastAsia"/>
          <w:color w:val="auto"/>
          <w:spacing w:val="6"/>
          <w:sz w:val="28"/>
          <w:szCs w:val="28"/>
        </w:rPr>
      </w:pPr>
    </w:p>
    <w:p w14:paraId="76AA07AD">
      <w:pPr>
        <w:spacing w:line="588" w:lineRule="exact"/>
        <w:ind w:firstLine="584" w:firstLineChars="200"/>
        <w:rPr>
          <w:rFonts w:asciiTheme="majorEastAsia" w:hAnsiTheme="majorEastAsia" w:eastAsiaTheme="majorEastAsia"/>
          <w:color w:val="auto"/>
          <w:spacing w:val="6"/>
          <w:sz w:val="28"/>
          <w:szCs w:val="28"/>
        </w:rPr>
      </w:pPr>
    </w:p>
    <w:p w14:paraId="01ED98ED">
      <w:pPr>
        <w:tabs>
          <w:tab w:val="left" w:pos="4860"/>
        </w:tabs>
        <w:spacing w:line="588" w:lineRule="exact"/>
        <w:ind w:right="1560" w:firstLine="480" w:firstLineChars="200"/>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供应商全称（盖章）：</w:t>
      </w:r>
    </w:p>
    <w:p w14:paraId="6DCB5DF3">
      <w:pPr>
        <w:tabs>
          <w:tab w:val="left" w:pos="4860"/>
        </w:tabs>
        <w:spacing w:line="588" w:lineRule="exact"/>
        <w:ind w:right="1560" w:firstLine="480" w:firstLineChars="200"/>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日  期：</w:t>
      </w:r>
    </w:p>
    <w:p w14:paraId="25B56F3D">
      <w:pPr>
        <w:ind w:firstLine="420"/>
        <w:rPr>
          <w:rFonts w:asciiTheme="majorEastAsia" w:hAnsiTheme="majorEastAsia" w:eastAsiaTheme="majorEastAsia"/>
          <w:color w:val="auto"/>
          <w:sz w:val="24"/>
        </w:rPr>
      </w:pPr>
    </w:p>
    <w:p w14:paraId="3D7D130C">
      <w:pPr>
        <w:snapToGrid w:val="0"/>
        <w:spacing w:line="300" w:lineRule="auto"/>
        <w:outlineLvl w:val="0"/>
        <w:rPr>
          <w:rFonts w:asciiTheme="majorEastAsia" w:hAnsiTheme="majorEastAsia" w:eastAsiaTheme="majorEastAsia"/>
          <w:color w:val="auto"/>
          <w:sz w:val="28"/>
          <w:szCs w:val="28"/>
        </w:rPr>
      </w:pPr>
    </w:p>
    <w:p w14:paraId="1A8D3F03">
      <w:pPr>
        <w:snapToGrid w:val="0"/>
        <w:spacing w:line="300" w:lineRule="auto"/>
        <w:outlineLvl w:val="0"/>
        <w:rPr>
          <w:rFonts w:asciiTheme="majorEastAsia" w:hAnsiTheme="majorEastAsia" w:eastAsiaTheme="majorEastAsia"/>
          <w:color w:val="auto"/>
          <w:sz w:val="28"/>
          <w:szCs w:val="28"/>
        </w:rPr>
      </w:pPr>
    </w:p>
    <w:p w14:paraId="2DF8CE7F">
      <w:pPr>
        <w:snapToGrid w:val="0"/>
        <w:spacing w:line="300" w:lineRule="auto"/>
        <w:outlineLvl w:val="0"/>
        <w:rPr>
          <w:rFonts w:asciiTheme="majorEastAsia" w:hAnsiTheme="majorEastAsia" w:eastAsiaTheme="majorEastAsia"/>
          <w:color w:val="auto"/>
          <w:sz w:val="28"/>
          <w:szCs w:val="28"/>
        </w:rPr>
      </w:pPr>
    </w:p>
    <w:p w14:paraId="6F71917B">
      <w:pPr>
        <w:snapToGrid w:val="0"/>
        <w:spacing w:line="300" w:lineRule="auto"/>
        <w:outlineLvl w:val="0"/>
        <w:rPr>
          <w:rFonts w:asciiTheme="majorEastAsia" w:hAnsiTheme="majorEastAsia" w:eastAsiaTheme="majorEastAsia"/>
          <w:color w:val="auto"/>
          <w:sz w:val="28"/>
          <w:szCs w:val="28"/>
        </w:rPr>
      </w:pPr>
    </w:p>
    <w:p w14:paraId="055182AE">
      <w:pPr>
        <w:snapToGrid w:val="0"/>
        <w:spacing w:line="300" w:lineRule="auto"/>
        <w:outlineLvl w:val="0"/>
        <w:rPr>
          <w:rFonts w:asciiTheme="majorEastAsia" w:hAnsiTheme="majorEastAsia" w:eastAsiaTheme="majorEastAsia"/>
          <w:color w:val="auto"/>
          <w:sz w:val="28"/>
          <w:szCs w:val="28"/>
        </w:rPr>
      </w:pPr>
    </w:p>
    <w:p w14:paraId="54D382A6">
      <w:pPr>
        <w:snapToGrid w:val="0"/>
        <w:spacing w:line="300" w:lineRule="auto"/>
        <w:outlineLvl w:val="0"/>
        <w:rPr>
          <w:rFonts w:asciiTheme="majorEastAsia" w:hAnsiTheme="majorEastAsia" w:eastAsiaTheme="majorEastAsia"/>
          <w:color w:val="auto"/>
          <w:sz w:val="28"/>
          <w:szCs w:val="28"/>
        </w:rPr>
      </w:pPr>
    </w:p>
    <w:p w14:paraId="1E63D188">
      <w:pPr>
        <w:widowControl/>
        <w:jc w:val="left"/>
        <w:rPr>
          <w:rFonts w:asciiTheme="majorEastAsia" w:hAnsiTheme="majorEastAsia" w:eastAsiaTheme="majorEastAsia"/>
          <w:color w:val="auto"/>
          <w:sz w:val="32"/>
          <w:szCs w:val="32"/>
        </w:rPr>
      </w:pPr>
      <w:bookmarkStart w:id="145" w:name="_Hlk110516980"/>
      <w:r>
        <w:rPr>
          <w:rFonts w:asciiTheme="majorEastAsia" w:hAnsiTheme="majorEastAsia" w:eastAsiaTheme="majorEastAsia"/>
          <w:color w:val="auto"/>
          <w:sz w:val="32"/>
          <w:szCs w:val="32"/>
        </w:rPr>
        <w:br w:type="page"/>
      </w:r>
    </w:p>
    <w:p w14:paraId="4243C723">
      <w:pPr>
        <w:snapToGrid w:val="0"/>
        <w:spacing w:line="300" w:lineRule="auto"/>
        <w:outlineLvl w:val="0"/>
        <w:rPr>
          <w:rFonts w:asciiTheme="majorEastAsia" w:hAnsiTheme="majorEastAsia" w:eastAsiaTheme="majorEastAsia"/>
          <w:color w:val="auto"/>
          <w:sz w:val="32"/>
          <w:szCs w:val="32"/>
        </w:rPr>
      </w:pPr>
    </w:p>
    <w:p w14:paraId="175EED58">
      <w:pPr>
        <w:snapToGrid w:val="0"/>
        <w:spacing w:line="300" w:lineRule="auto"/>
        <w:outlineLvl w:val="0"/>
        <w:rPr>
          <w:rFonts w:hint="default" w:asciiTheme="majorEastAsia" w:hAnsiTheme="majorEastAsia" w:eastAsiaTheme="majorEastAsia"/>
          <w:color w:val="auto"/>
          <w:sz w:val="32"/>
          <w:szCs w:val="32"/>
          <w:lang w:val="en-US" w:eastAsia="zh-CN"/>
        </w:rPr>
      </w:pPr>
      <w:r>
        <w:rPr>
          <w:rFonts w:asciiTheme="majorEastAsia" w:hAnsiTheme="majorEastAsia" w:eastAsiaTheme="majorEastAsia"/>
          <w:color w:val="auto"/>
          <w:sz w:val="32"/>
          <w:szCs w:val="32"/>
        </w:rPr>
        <w:t>附件</w:t>
      </w:r>
      <w:r>
        <w:rPr>
          <w:rFonts w:hint="eastAsia" w:asciiTheme="majorEastAsia" w:hAnsiTheme="majorEastAsia" w:eastAsiaTheme="majorEastAsia"/>
          <w:color w:val="auto"/>
          <w:sz w:val="32"/>
          <w:szCs w:val="32"/>
          <w:lang w:val="en-US" w:eastAsia="zh-CN"/>
        </w:rPr>
        <w:t>10</w:t>
      </w:r>
    </w:p>
    <w:p w14:paraId="5E5B25A5">
      <w:pPr>
        <w:snapToGrid w:val="0"/>
        <w:spacing w:line="420" w:lineRule="exact"/>
        <w:jc w:val="center"/>
        <w:outlineLvl w:val="3"/>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监狱和戒毒企业证明材料</w:t>
      </w:r>
    </w:p>
    <w:p w14:paraId="448EAA1D">
      <w:pPr>
        <w:snapToGrid w:val="0"/>
        <w:spacing w:line="420" w:lineRule="exact"/>
        <w:ind w:firstLine="495" w:firstLineChars="177"/>
        <w:rPr>
          <w:rFonts w:cs="宋体" w:asciiTheme="majorEastAsia" w:hAnsiTheme="majorEastAsia" w:eastAsiaTheme="majorEastAsia"/>
          <w:color w:val="auto"/>
          <w:sz w:val="28"/>
          <w:szCs w:val="28"/>
        </w:rPr>
      </w:pPr>
    </w:p>
    <w:p w14:paraId="54A96CDF">
      <w:pPr>
        <w:snapToGrid w:val="0"/>
        <w:spacing w:line="420" w:lineRule="exact"/>
        <w:ind w:firstLine="498" w:firstLineChars="177"/>
        <w:rPr>
          <w:rFonts w:cs="宋体" w:asciiTheme="majorEastAsia" w:hAnsiTheme="majorEastAsia" w:eastAsiaTheme="majorEastAsia"/>
          <w:b/>
          <w:color w:val="auto"/>
          <w:sz w:val="28"/>
          <w:szCs w:val="28"/>
        </w:rPr>
      </w:pPr>
      <w:r>
        <w:rPr>
          <w:rFonts w:hint="eastAsia" w:cs="宋体" w:asciiTheme="majorEastAsia" w:hAnsiTheme="majorEastAsia" w:eastAsiaTheme="majorEastAsia"/>
          <w:b/>
          <w:color w:val="auto"/>
          <w:sz w:val="28"/>
          <w:szCs w:val="28"/>
        </w:rPr>
        <w:t>（格式自拟）</w:t>
      </w:r>
    </w:p>
    <w:p w14:paraId="2C025B0E">
      <w:pPr>
        <w:snapToGrid w:val="0"/>
        <w:spacing w:line="420" w:lineRule="exact"/>
        <w:ind w:firstLine="495" w:firstLineChars="177"/>
        <w:rPr>
          <w:rFonts w:cs="宋体" w:asciiTheme="majorEastAsia" w:hAnsiTheme="majorEastAsia" w:eastAsiaTheme="majorEastAsia"/>
          <w:color w:val="auto"/>
          <w:sz w:val="28"/>
          <w:szCs w:val="28"/>
        </w:rPr>
      </w:pPr>
    </w:p>
    <w:p w14:paraId="4E8C9D7C">
      <w:pPr>
        <w:snapToGrid w:val="0"/>
        <w:spacing w:line="460" w:lineRule="exact"/>
        <w:ind w:firstLine="566" w:firstLineChars="236"/>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bookmarkEnd w:id="145"/>
    <w:p w14:paraId="3BC00272">
      <w:pPr>
        <w:snapToGrid w:val="0"/>
        <w:spacing w:line="300" w:lineRule="auto"/>
        <w:outlineLvl w:val="0"/>
        <w:rPr>
          <w:rFonts w:asciiTheme="majorEastAsia" w:hAnsiTheme="majorEastAsia" w:eastAsiaTheme="majorEastAsia"/>
          <w:color w:val="auto"/>
          <w:sz w:val="24"/>
        </w:rPr>
      </w:pPr>
    </w:p>
    <w:p w14:paraId="08D73096">
      <w:pPr>
        <w:snapToGrid w:val="0"/>
        <w:spacing w:line="300" w:lineRule="auto"/>
        <w:outlineLvl w:val="0"/>
        <w:rPr>
          <w:rFonts w:asciiTheme="majorEastAsia" w:hAnsiTheme="majorEastAsia" w:eastAsiaTheme="majorEastAsia"/>
          <w:color w:val="auto"/>
          <w:sz w:val="28"/>
          <w:szCs w:val="28"/>
        </w:rPr>
      </w:pPr>
    </w:p>
    <w:p w14:paraId="2175A12F">
      <w:pPr>
        <w:snapToGrid w:val="0"/>
        <w:spacing w:line="300" w:lineRule="auto"/>
        <w:outlineLvl w:val="0"/>
        <w:rPr>
          <w:rFonts w:asciiTheme="majorEastAsia" w:hAnsiTheme="majorEastAsia" w:eastAsiaTheme="majorEastAsia"/>
          <w:color w:val="auto"/>
          <w:sz w:val="28"/>
          <w:szCs w:val="28"/>
        </w:rPr>
      </w:pPr>
    </w:p>
    <w:p w14:paraId="6E9F5A41">
      <w:pPr>
        <w:snapToGrid w:val="0"/>
        <w:spacing w:line="300" w:lineRule="auto"/>
        <w:outlineLvl w:val="0"/>
        <w:rPr>
          <w:rFonts w:asciiTheme="majorEastAsia" w:hAnsiTheme="majorEastAsia" w:eastAsiaTheme="majorEastAsia"/>
          <w:color w:val="auto"/>
          <w:sz w:val="28"/>
          <w:szCs w:val="28"/>
        </w:rPr>
      </w:pPr>
    </w:p>
    <w:p w14:paraId="530F54A4">
      <w:pPr>
        <w:snapToGrid w:val="0"/>
        <w:spacing w:line="300" w:lineRule="auto"/>
        <w:outlineLvl w:val="0"/>
        <w:rPr>
          <w:rFonts w:asciiTheme="majorEastAsia" w:hAnsiTheme="majorEastAsia" w:eastAsiaTheme="majorEastAsia"/>
          <w:color w:val="auto"/>
          <w:sz w:val="28"/>
          <w:szCs w:val="28"/>
        </w:rPr>
      </w:pPr>
    </w:p>
    <w:p w14:paraId="7711ACA4">
      <w:pPr>
        <w:snapToGrid w:val="0"/>
        <w:spacing w:line="300" w:lineRule="auto"/>
        <w:outlineLvl w:val="0"/>
        <w:rPr>
          <w:rFonts w:asciiTheme="majorEastAsia" w:hAnsiTheme="majorEastAsia" w:eastAsiaTheme="majorEastAsia"/>
          <w:color w:val="auto"/>
          <w:sz w:val="28"/>
          <w:szCs w:val="28"/>
        </w:rPr>
      </w:pPr>
    </w:p>
    <w:p w14:paraId="67BE593F">
      <w:pPr>
        <w:snapToGrid w:val="0"/>
        <w:spacing w:line="300" w:lineRule="auto"/>
        <w:outlineLvl w:val="0"/>
        <w:rPr>
          <w:rFonts w:asciiTheme="majorEastAsia" w:hAnsiTheme="majorEastAsia" w:eastAsiaTheme="majorEastAsia"/>
          <w:color w:val="auto"/>
          <w:sz w:val="28"/>
          <w:szCs w:val="28"/>
        </w:rPr>
      </w:pPr>
    </w:p>
    <w:p w14:paraId="2051AAE6">
      <w:pPr>
        <w:snapToGrid w:val="0"/>
        <w:spacing w:line="300" w:lineRule="auto"/>
        <w:outlineLvl w:val="0"/>
        <w:rPr>
          <w:rFonts w:asciiTheme="majorEastAsia" w:hAnsiTheme="majorEastAsia" w:eastAsiaTheme="majorEastAsia"/>
          <w:color w:val="auto"/>
          <w:sz w:val="28"/>
          <w:szCs w:val="28"/>
        </w:rPr>
      </w:pPr>
    </w:p>
    <w:p w14:paraId="0B773DB6">
      <w:pPr>
        <w:snapToGrid w:val="0"/>
        <w:spacing w:line="300" w:lineRule="auto"/>
        <w:outlineLvl w:val="0"/>
        <w:rPr>
          <w:rFonts w:asciiTheme="majorEastAsia" w:hAnsiTheme="majorEastAsia" w:eastAsiaTheme="majorEastAsia"/>
          <w:color w:val="auto"/>
          <w:sz w:val="28"/>
          <w:szCs w:val="28"/>
        </w:rPr>
      </w:pPr>
    </w:p>
    <w:p w14:paraId="667A6EE6">
      <w:pPr>
        <w:snapToGrid w:val="0"/>
        <w:spacing w:line="300" w:lineRule="auto"/>
        <w:outlineLvl w:val="0"/>
        <w:rPr>
          <w:rFonts w:asciiTheme="majorEastAsia" w:hAnsiTheme="majorEastAsia" w:eastAsiaTheme="majorEastAsia"/>
          <w:color w:val="auto"/>
          <w:sz w:val="28"/>
          <w:szCs w:val="28"/>
        </w:rPr>
      </w:pPr>
    </w:p>
    <w:p w14:paraId="40BAC10E">
      <w:pPr>
        <w:snapToGrid w:val="0"/>
        <w:spacing w:line="300" w:lineRule="auto"/>
        <w:outlineLvl w:val="0"/>
        <w:rPr>
          <w:rFonts w:asciiTheme="majorEastAsia" w:hAnsiTheme="majorEastAsia" w:eastAsiaTheme="majorEastAsia"/>
          <w:color w:val="auto"/>
          <w:sz w:val="28"/>
          <w:szCs w:val="28"/>
        </w:rPr>
      </w:pPr>
    </w:p>
    <w:p w14:paraId="0710133A">
      <w:pPr>
        <w:snapToGrid w:val="0"/>
        <w:spacing w:line="300" w:lineRule="auto"/>
        <w:outlineLvl w:val="0"/>
        <w:rPr>
          <w:rFonts w:asciiTheme="majorEastAsia" w:hAnsiTheme="majorEastAsia" w:eastAsiaTheme="majorEastAsia"/>
          <w:color w:val="auto"/>
          <w:sz w:val="28"/>
          <w:szCs w:val="28"/>
        </w:rPr>
      </w:pPr>
    </w:p>
    <w:p w14:paraId="0D798451">
      <w:pPr>
        <w:snapToGrid w:val="0"/>
        <w:spacing w:line="300" w:lineRule="auto"/>
        <w:outlineLvl w:val="0"/>
        <w:rPr>
          <w:rFonts w:asciiTheme="majorEastAsia" w:hAnsiTheme="majorEastAsia" w:eastAsiaTheme="majorEastAsia"/>
          <w:color w:val="auto"/>
          <w:sz w:val="28"/>
          <w:szCs w:val="28"/>
        </w:rPr>
      </w:pPr>
    </w:p>
    <w:p w14:paraId="7C140302">
      <w:pPr>
        <w:snapToGrid w:val="0"/>
        <w:spacing w:line="300" w:lineRule="auto"/>
        <w:outlineLvl w:val="0"/>
        <w:rPr>
          <w:rFonts w:asciiTheme="majorEastAsia" w:hAnsiTheme="majorEastAsia" w:eastAsiaTheme="majorEastAsia"/>
          <w:color w:val="auto"/>
          <w:sz w:val="28"/>
          <w:szCs w:val="28"/>
        </w:rPr>
      </w:pPr>
    </w:p>
    <w:p w14:paraId="6B0F9A81">
      <w:pPr>
        <w:widowControl/>
        <w:jc w:val="left"/>
        <w:rPr>
          <w:rFonts w:asciiTheme="majorEastAsia" w:hAnsiTheme="majorEastAsia" w:eastAsiaTheme="majorEastAsia"/>
          <w:b/>
          <w:color w:val="auto"/>
          <w:kern w:val="0"/>
          <w:sz w:val="32"/>
          <w:szCs w:val="20"/>
        </w:rPr>
      </w:pPr>
    </w:p>
    <w:p w14:paraId="458ACEA2">
      <w:pPr>
        <w:widowControl/>
        <w:jc w:val="left"/>
        <w:rPr>
          <w:rFonts w:asciiTheme="majorEastAsia" w:hAnsiTheme="majorEastAsia" w:eastAsiaTheme="majorEastAsia"/>
          <w:color w:val="auto"/>
        </w:rPr>
      </w:pPr>
      <w:r>
        <w:rPr>
          <w:rFonts w:asciiTheme="majorEastAsia" w:hAnsiTheme="majorEastAsia" w:eastAsiaTheme="majorEastAsia"/>
          <w:color w:val="auto"/>
        </w:rPr>
        <w:br w:type="page"/>
      </w:r>
      <w:bookmarkStart w:id="146" w:name="_Hlk110516754"/>
    </w:p>
    <w:p w14:paraId="08BE7872">
      <w:pPr>
        <w:widowControl/>
        <w:jc w:val="left"/>
        <w:rPr>
          <w:rFonts w:asciiTheme="majorEastAsia" w:hAnsiTheme="majorEastAsia" w:eastAsiaTheme="majorEastAsia"/>
          <w:color w:val="auto"/>
        </w:rPr>
      </w:pPr>
    </w:p>
    <w:p w14:paraId="199F4E93">
      <w:pPr>
        <w:widowControl/>
        <w:jc w:val="left"/>
        <w:rPr>
          <w:rFonts w:hint="default" w:asciiTheme="majorEastAsia" w:hAnsiTheme="majorEastAsia" w:eastAsiaTheme="majorEastAsia"/>
          <w:b/>
          <w:color w:val="auto"/>
          <w:kern w:val="0"/>
          <w:sz w:val="32"/>
          <w:szCs w:val="20"/>
          <w:lang w:val="en-US" w:eastAsia="zh-CN"/>
        </w:rPr>
      </w:pPr>
      <w:r>
        <w:rPr>
          <w:rFonts w:asciiTheme="majorEastAsia" w:hAnsiTheme="majorEastAsia" w:eastAsiaTheme="majorEastAsia"/>
          <w:bCs/>
          <w:color w:val="auto"/>
          <w:sz w:val="32"/>
          <w:szCs w:val="32"/>
        </w:rPr>
        <w:t>附件</w:t>
      </w:r>
      <w:r>
        <w:rPr>
          <w:rFonts w:hint="eastAsia" w:asciiTheme="majorEastAsia" w:hAnsiTheme="majorEastAsia" w:eastAsiaTheme="majorEastAsia"/>
          <w:bCs/>
          <w:color w:val="auto"/>
          <w:sz w:val="32"/>
          <w:szCs w:val="32"/>
          <w:lang w:val="en-US" w:eastAsia="zh-CN"/>
        </w:rPr>
        <w:t>11</w:t>
      </w:r>
    </w:p>
    <w:p w14:paraId="20235B94">
      <w:pPr>
        <w:spacing w:before="240" w:line="312" w:lineRule="auto"/>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t>供应商信用承诺书</w:t>
      </w:r>
    </w:p>
    <w:p w14:paraId="358E65C1">
      <w:pPr>
        <w:pStyle w:val="30"/>
        <w:ind w:firstLine="480"/>
        <w:rPr>
          <w:rFonts w:asciiTheme="majorEastAsia" w:hAnsiTheme="majorEastAsia" w:eastAsiaTheme="majorEastAsia"/>
          <w:color w:val="auto"/>
        </w:rPr>
      </w:pPr>
    </w:p>
    <w:p w14:paraId="06D7D42B">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为营造公开、公平、公正的公共资源交易环境，树立诚信守法的投标人形象，本人代表本单位作出以下承诺：</w:t>
      </w:r>
    </w:p>
    <w:p w14:paraId="01102680">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一、本单位对所提交的单位基本信息、单位负责人、项目负责人、技术负责人、从业资质和资格、业绩、财务状况、信誉等所有资料，均合法、真实、准确、有效，无任何伪造、修改、虚假成分；</w:t>
      </w:r>
    </w:p>
    <w:p w14:paraId="7FE22256">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二、严格依照国家和省、市、县关于政府采购等方面的法律、法规、规章、规范性文件，参加公共资源交易招标投标活动；积极履行社会责任，促进廉政建设；</w:t>
      </w:r>
    </w:p>
    <w:p w14:paraId="56B52675">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三、严格遵守即时信息公示规定，及时更新公共资源交易中心主体信息库中信息；</w:t>
      </w:r>
    </w:p>
    <w:p w14:paraId="55887268">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四、自我约束、自我管理，守合同、重信用，不参与围标串标、弄虚作假、骗取中标、干扰评标、违约毁约、恶意投诉等行为，主动维护公共资源交易招标投标的良好秩序；</w:t>
      </w:r>
    </w:p>
    <w:p w14:paraId="0D8A6443">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0610104">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六、自觉接受政府部门、行业组织、社会公众、新闻舆论等监督；</w:t>
      </w:r>
    </w:p>
    <w:p w14:paraId="1D909871">
      <w:pPr>
        <w:spacing w:line="360" w:lineRule="auto"/>
        <w:ind w:firstLine="480" w:firstLineChars="2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七、上述承诺已向本单位员工作了宣传教育；</w:t>
      </w:r>
    </w:p>
    <w:p w14:paraId="6D800B0E">
      <w:pPr>
        <w:spacing w:line="360" w:lineRule="auto"/>
        <w:ind w:firstLine="482" w:firstLineChars="200"/>
        <w:rPr>
          <w:rFonts w:cs="宋体" w:asciiTheme="majorEastAsia" w:hAnsiTheme="majorEastAsia" w:eastAsiaTheme="majorEastAsia"/>
          <w:b/>
          <w:color w:val="auto"/>
          <w:kern w:val="0"/>
          <w:sz w:val="24"/>
          <w:lang w:val="zh-CN"/>
        </w:rPr>
      </w:pPr>
      <w:r>
        <w:rPr>
          <w:rFonts w:hint="eastAsia" w:cs="宋体" w:asciiTheme="majorEastAsia" w:hAnsiTheme="majorEastAsia" w:eastAsiaTheme="majorEastAsia"/>
          <w:b/>
          <w:color w:val="auto"/>
          <w:kern w:val="0"/>
          <w:sz w:val="24"/>
          <w:lang w:val="zh-CN"/>
        </w:rPr>
        <w:t>如有违反上述承诺的不良行为，本单位同意将其予以上网公示。</w:t>
      </w:r>
    </w:p>
    <w:p w14:paraId="2A5A94AB">
      <w:pPr>
        <w:spacing w:line="360" w:lineRule="auto"/>
        <w:rPr>
          <w:rFonts w:cs="宋体" w:asciiTheme="majorEastAsia" w:hAnsiTheme="majorEastAsia" w:eastAsiaTheme="majorEastAsia"/>
          <w:color w:val="auto"/>
          <w:kern w:val="0"/>
          <w:sz w:val="24"/>
          <w:lang w:val="zh-CN"/>
        </w:rPr>
      </w:pPr>
    </w:p>
    <w:p w14:paraId="3517E250">
      <w:pPr>
        <w:spacing w:line="360" w:lineRule="auto"/>
        <w:ind w:firstLine="4560" w:firstLineChars="1900"/>
        <w:rPr>
          <w:rFonts w:cs="宋体" w:asciiTheme="majorEastAsia" w:hAnsiTheme="majorEastAsia" w:eastAsiaTheme="majorEastAsia"/>
          <w:color w:val="auto"/>
          <w:kern w:val="0"/>
          <w:sz w:val="24"/>
          <w:lang w:val="zh-CN"/>
        </w:rPr>
      </w:pPr>
    </w:p>
    <w:p w14:paraId="37C7EBD5">
      <w:pPr>
        <w:spacing w:line="360" w:lineRule="auto"/>
        <w:ind w:left="1260" w:leftChars="600" w:firstLine="2640" w:firstLineChars="1100"/>
        <w:rPr>
          <w:rFonts w:cs="宋体" w:asciiTheme="majorEastAsia" w:hAnsiTheme="majorEastAsia" w:eastAsiaTheme="majorEastAsia"/>
          <w:color w:val="auto"/>
          <w:kern w:val="0"/>
          <w:sz w:val="24"/>
          <w:u w:val="single"/>
          <w:lang w:val="zh-CN"/>
        </w:rPr>
      </w:pPr>
      <w:r>
        <w:rPr>
          <w:rFonts w:hint="eastAsia" w:cs="宋体" w:asciiTheme="majorEastAsia" w:hAnsiTheme="majorEastAsia" w:eastAsiaTheme="majorEastAsia"/>
          <w:color w:val="auto"/>
          <w:kern w:val="0"/>
          <w:sz w:val="24"/>
          <w:lang w:val="zh-CN"/>
        </w:rPr>
        <w:t>投标供应商全称(盖公章)：</w:t>
      </w:r>
    </w:p>
    <w:p w14:paraId="6B80D343">
      <w:pPr>
        <w:spacing w:line="360" w:lineRule="auto"/>
        <w:ind w:left="1260" w:leftChars="600" w:firstLine="2640" w:firstLineChars="1100"/>
        <w:rPr>
          <w:rFonts w:cs="宋体" w:asciiTheme="majorEastAsia" w:hAnsiTheme="majorEastAsia" w:eastAsiaTheme="majorEastAsia"/>
          <w:color w:val="auto"/>
          <w:sz w:val="24"/>
          <w:u w:val="single"/>
          <w:lang w:val="zh-CN"/>
        </w:rPr>
      </w:pPr>
      <w:r>
        <w:rPr>
          <w:rFonts w:hint="eastAsia" w:cs="宋体" w:asciiTheme="majorEastAsia" w:hAnsiTheme="majorEastAsia" w:eastAsiaTheme="majorEastAsia"/>
          <w:color w:val="auto"/>
          <w:kern w:val="0"/>
          <w:sz w:val="24"/>
          <w:lang w:val="zh-CN"/>
        </w:rPr>
        <w:t>法定代表人（签字或盖章）：</w:t>
      </w:r>
    </w:p>
    <w:p w14:paraId="7DA4E203">
      <w:pPr>
        <w:spacing w:line="360" w:lineRule="auto"/>
        <w:ind w:left="1260" w:leftChars="600" w:firstLine="2640" w:firstLineChars="1100"/>
        <w:rPr>
          <w:rFonts w:cs="宋体" w:asciiTheme="majorEastAsia" w:hAnsiTheme="majorEastAsia" w:eastAsiaTheme="majorEastAsia"/>
          <w:color w:val="auto"/>
          <w:kern w:val="0"/>
          <w:sz w:val="24"/>
          <w:lang w:val="zh-CN"/>
        </w:rPr>
      </w:pPr>
      <w:r>
        <w:rPr>
          <w:rFonts w:hint="eastAsia" w:cs="宋体" w:asciiTheme="majorEastAsia" w:hAnsiTheme="majorEastAsia" w:eastAsiaTheme="majorEastAsia"/>
          <w:color w:val="auto"/>
          <w:kern w:val="0"/>
          <w:sz w:val="24"/>
          <w:lang w:val="zh-CN"/>
        </w:rPr>
        <w:t>时间：  年  月   日</w:t>
      </w:r>
    </w:p>
    <w:bookmarkEnd w:id="146"/>
    <w:p w14:paraId="125BB83A">
      <w:pPr>
        <w:snapToGrid w:val="0"/>
        <w:spacing w:line="300" w:lineRule="auto"/>
        <w:ind w:left="1260" w:leftChars="600"/>
        <w:outlineLvl w:val="0"/>
        <w:rPr>
          <w:rFonts w:asciiTheme="majorEastAsia" w:hAnsiTheme="majorEastAsia" w:eastAsiaTheme="majorEastAsia"/>
          <w:color w:val="auto"/>
          <w:sz w:val="32"/>
          <w:szCs w:val="32"/>
        </w:rPr>
      </w:pPr>
    </w:p>
    <w:p w14:paraId="3C014B17">
      <w:pPr>
        <w:snapToGrid w:val="0"/>
        <w:spacing w:line="300" w:lineRule="auto"/>
        <w:outlineLvl w:val="0"/>
        <w:rPr>
          <w:rFonts w:asciiTheme="majorEastAsia" w:hAnsiTheme="majorEastAsia" w:eastAsiaTheme="majorEastAsia"/>
          <w:color w:val="auto"/>
          <w:sz w:val="32"/>
          <w:szCs w:val="32"/>
        </w:rPr>
      </w:pPr>
    </w:p>
    <w:p w14:paraId="709E05D3">
      <w:pPr>
        <w:snapToGrid w:val="0"/>
        <w:spacing w:line="300" w:lineRule="auto"/>
        <w:outlineLvl w:val="0"/>
        <w:rPr>
          <w:rFonts w:asciiTheme="majorEastAsia" w:hAnsiTheme="majorEastAsia" w:eastAsiaTheme="majorEastAsia"/>
          <w:color w:val="auto"/>
          <w:sz w:val="32"/>
          <w:szCs w:val="32"/>
        </w:rPr>
      </w:pPr>
    </w:p>
    <w:p w14:paraId="60361681">
      <w:pPr>
        <w:snapToGrid w:val="0"/>
        <w:spacing w:line="420" w:lineRule="exact"/>
        <w:jc w:val="left"/>
        <w:outlineLvl w:val="4"/>
        <w:rPr>
          <w:rFonts w:asciiTheme="majorEastAsia" w:hAnsiTheme="majorEastAsia" w:eastAsiaTheme="majorEastAsia"/>
          <w:color w:val="auto"/>
        </w:rPr>
      </w:pPr>
    </w:p>
    <w:p w14:paraId="2337D59C">
      <w:pPr>
        <w:snapToGrid w:val="0"/>
        <w:spacing w:line="360" w:lineRule="auto"/>
        <w:outlineLvl w:val="3"/>
        <w:rPr>
          <w:rFonts w:ascii="宋体" w:hAnsi="宋体" w:cs="宋体"/>
          <w:b/>
          <w:bCs/>
          <w:color w:val="auto"/>
          <w:sz w:val="24"/>
        </w:rPr>
      </w:pPr>
      <w:r>
        <w:rPr>
          <w:rFonts w:hint="eastAsia" w:asciiTheme="majorEastAsia" w:hAnsiTheme="majorEastAsia" w:eastAsiaTheme="majorEastAsia"/>
          <w:bCs/>
          <w:color w:val="auto"/>
          <w:sz w:val="32"/>
          <w:szCs w:val="32"/>
        </w:rPr>
        <w:t>附件1</w:t>
      </w:r>
      <w:r>
        <w:rPr>
          <w:rFonts w:hint="eastAsia" w:asciiTheme="majorEastAsia" w:hAnsiTheme="majorEastAsia" w:eastAsiaTheme="majorEastAsia"/>
          <w:bCs/>
          <w:color w:val="auto"/>
          <w:sz w:val="32"/>
          <w:szCs w:val="32"/>
          <w:lang w:val="en-US" w:eastAsia="zh-CN"/>
        </w:rPr>
        <w:t>2</w:t>
      </w:r>
      <w:r>
        <w:rPr>
          <w:rFonts w:hint="eastAsia" w:asciiTheme="majorEastAsia" w:hAnsiTheme="majorEastAsia" w:eastAsiaTheme="majorEastAsia"/>
          <w:bCs/>
          <w:color w:val="auto"/>
          <w:sz w:val="32"/>
          <w:szCs w:val="32"/>
        </w:rPr>
        <w:t xml:space="preserve">： </w:t>
      </w:r>
      <w:r>
        <w:rPr>
          <w:rFonts w:asciiTheme="majorEastAsia" w:hAnsiTheme="majorEastAsia" w:eastAsiaTheme="majorEastAsia"/>
          <w:bCs/>
          <w:color w:val="auto"/>
          <w:sz w:val="32"/>
          <w:szCs w:val="32"/>
        </w:rPr>
        <w:t xml:space="preserve">         </w:t>
      </w:r>
      <w:r>
        <w:rPr>
          <w:rFonts w:hint="eastAsia" w:ascii="宋体" w:hAnsi="宋体"/>
          <w:b/>
          <w:color w:val="auto"/>
          <w:sz w:val="28"/>
          <w:szCs w:val="28"/>
        </w:rPr>
        <w:t>竞争磋商响应函</w:t>
      </w:r>
      <w:r>
        <w:rPr>
          <w:rFonts w:hint="eastAsia" w:ascii="宋体" w:hAnsi="宋体" w:cs="宋体"/>
          <w:bCs/>
          <w:color w:val="auto"/>
          <w:sz w:val="24"/>
        </w:rPr>
        <w:t>（</w:t>
      </w:r>
      <w:r>
        <w:rPr>
          <w:rFonts w:hint="eastAsia" w:ascii="宋体" w:hAnsi="宋体" w:cs="宋体"/>
          <w:bCs/>
          <w:color w:val="auto"/>
          <w:sz w:val="24"/>
          <w:u w:val="single"/>
        </w:rPr>
        <w:t>格式不得变动</w:t>
      </w:r>
      <w:r>
        <w:rPr>
          <w:rFonts w:hint="eastAsia" w:ascii="宋体" w:hAnsi="宋体" w:cs="宋体"/>
          <w:bCs/>
          <w:color w:val="auto"/>
          <w:sz w:val="24"/>
        </w:rPr>
        <w:t>）</w:t>
      </w:r>
    </w:p>
    <w:p w14:paraId="27C047CC">
      <w:pPr>
        <w:overflowPunct w:val="0"/>
        <w:adjustRightInd w:val="0"/>
        <w:spacing w:line="480" w:lineRule="exact"/>
        <w:jc w:val="left"/>
        <w:textAlignment w:val="baseline"/>
        <w:rPr>
          <w:rFonts w:ascii="宋体" w:hAnsi="宋体" w:cs="宋体"/>
          <w:color w:val="auto"/>
          <w:sz w:val="24"/>
          <w:u w:val="single"/>
        </w:rPr>
      </w:pPr>
      <w:r>
        <w:rPr>
          <w:rFonts w:hint="eastAsia" w:ascii="宋体" w:hAnsi="宋体" w:cs="宋体"/>
          <w:b/>
          <w:color w:val="auto"/>
          <w:sz w:val="24"/>
          <w:u w:val="single"/>
        </w:rPr>
        <w:t>南通市妇幼保健院</w:t>
      </w:r>
      <w:r>
        <w:rPr>
          <w:rFonts w:hint="eastAsia" w:ascii="宋体" w:hAnsi="宋体" w:cs="宋体"/>
          <w:color w:val="auto"/>
          <w:sz w:val="24"/>
          <w:u w:val="single"/>
        </w:rPr>
        <w:t xml:space="preserve"> ：</w:t>
      </w:r>
    </w:p>
    <w:p w14:paraId="540674A3">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依据贵单位委托代理机构组织的（</w:t>
      </w:r>
      <w:r>
        <w:rPr>
          <w:rFonts w:hint="eastAsia" w:ascii="宋体" w:hAnsi="宋体" w:cs="宋体"/>
          <w:color w:val="auto"/>
          <w:sz w:val="24"/>
          <w:u w:val="single"/>
        </w:rPr>
        <w:t>磋商项目名称</w:t>
      </w:r>
      <w:r>
        <w:rPr>
          <w:rFonts w:hint="eastAsia" w:ascii="宋体" w:hAnsi="宋体" w:cs="宋体"/>
          <w:color w:val="auto"/>
          <w:sz w:val="24"/>
        </w:rPr>
        <w:t>)项目竞争磋商的邀请，我方授权（</w:t>
      </w:r>
      <w:r>
        <w:rPr>
          <w:rFonts w:hint="eastAsia" w:ascii="宋体" w:hAnsi="宋体" w:cs="宋体"/>
          <w:color w:val="auto"/>
          <w:sz w:val="24"/>
          <w:u w:val="single"/>
        </w:rPr>
        <w:t>姓名</w:t>
      </w:r>
      <w:r>
        <w:rPr>
          <w:rFonts w:hint="eastAsia" w:ascii="宋体" w:hAnsi="宋体" w:cs="宋体"/>
          <w:color w:val="auto"/>
          <w:sz w:val="24"/>
        </w:rPr>
        <w:t>）（</w:t>
      </w:r>
      <w:r>
        <w:rPr>
          <w:rFonts w:hint="eastAsia" w:ascii="宋体" w:hAnsi="宋体" w:cs="宋体"/>
          <w:color w:val="auto"/>
          <w:sz w:val="24"/>
          <w:u w:val="single"/>
        </w:rPr>
        <w:t>职务</w:t>
      </w:r>
      <w:r>
        <w:rPr>
          <w:rFonts w:hint="eastAsia" w:ascii="宋体" w:hAnsi="宋体" w:cs="宋体"/>
          <w:color w:val="auto"/>
          <w:sz w:val="24"/>
        </w:rPr>
        <w:t>）为全权代表参加该项目的磋商工作，全权处理本次竞争磋商的有关事宜。同时，我公司声明如下：</w:t>
      </w:r>
    </w:p>
    <w:p w14:paraId="3FD244F3">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1、同意并接受竞争磋商文件的各项要求，遵守竞争磋商文件中的各项规定，按竞争磋商文件的要求提供报价。</w:t>
      </w:r>
    </w:p>
    <w:p w14:paraId="733AD415">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2、我公司已经详细阅读了竞争磋商文件的全部内容，我方已完全清晰理解竞争磋商文件的要求，不存在任何含糊不清和误解之处，同意放弃对竞争磋商文件所表述的内容提出异议和质疑的权利。</w:t>
      </w:r>
    </w:p>
    <w:p w14:paraId="3E482E75">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3、我公司已毫无保留地向贵方提供一切所需的证明材料。</w:t>
      </w:r>
    </w:p>
    <w:p w14:paraId="20533DF7">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14:paraId="0ABB6A56">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5、我公司尊重磋商小组所作的评定结果，同时清楚理解到报价最低并非意味着必定获得成交资格。</w:t>
      </w:r>
    </w:p>
    <w:p w14:paraId="64C3CB50">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6、一旦成交，我方将根据竞争磋商文件的规定，严格履行合同规定的责任和义务，并保证在竞争磋商文件中规定的时间期限内完成合同项目。</w:t>
      </w:r>
    </w:p>
    <w:p w14:paraId="0D356E23">
      <w:pPr>
        <w:snapToGrid w:val="0"/>
        <w:spacing w:line="360" w:lineRule="auto"/>
        <w:ind w:firstLine="480" w:firstLineChars="200"/>
        <w:rPr>
          <w:rFonts w:ascii="宋体" w:hAnsi="宋体" w:cs="宋体"/>
          <w:color w:val="auto"/>
          <w:sz w:val="24"/>
        </w:rPr>
      </w:pPr>
    </w:p>
    <w:p w14:paraId="55B8A1E9">
      <w:pPr>
        <w:pStyle w:val="30"/>
        <w:ind w:firstLine="480"/>
        <w:rPr>
          <w:color w:val="auto"/>
        </w:rPr>
      </w:pPr>
    </w:p>
    <w:p w14:paraId="31379D8E">
      <w:pPr>
        <w:snapToGrid w:val="0"/>
        <w:spacing w:line="360" w:lineRule="auto"/>
        <w:jc w:val="right"/>
        <w:rPr>
          <w:rFonts w:ascii="宋体" w:hAnsi="宋体" w:cs="宋体"/>
          <w:color w:val="auto"/>
          <w:sz w:val="24"/>
        </w:rPr>
      </w:pPr>
      <w:r>
        <w:rPr>
          <w:rFonts w:hint="eastAsia" w:ascii="宋体" w:hAnsi="宋体" w:cs="宋体"/>
          <w:color w:val="auto"/>
          <w:sz w:val="24"/>
        </w:rPr>
        <w:t>竞争磋商响应单位：（加盖公章）</w:t>
      </w:r>
    </w:p>
    <w:p w14:paraId="276437BF">
      <w:pPr>
        <w:snapToGrid w:val="0"/>
        <w:spacing w:line="360" w:lineRule="auto"/>
        <w:ind w:firstLine="2400" w:firstLineChars="1000"/>
        <w:jc w:val="right"/>
        <w:rPr>
          <w:rFonts w:ascii="宋体" w:hAnsi="宋体" w:cs="宋体"/>
          <w:color w:val="auto"/>
          <w:sz w:val="24"/>
        </w:rPr>
      </w:pPr>
      <w:r>
        <w:rPr>
          <w:rFonts w:hint="eastAsia" w:ascii="宋体" w:hAnsi="宋体" w:cs="宋体"/>
          <w:color w:val="auto"/>
          <w:sz w:val="24"/>
        </w:rPr>
        <w:t>法定代表人或被授权人：（签字或盖章）</w:t>
      </w:r>
    </w:p>
    <w:p w14:paraId="2310C277">
      <w:pPr>
        <w:snapToGrid w:val="0"/>
        <w:spacing w:line="360" w:lineRule="auto"/>
        <w:ind w:firstLine="6120" w:firstLineChars="2550"/>
        <w:outlineLvl w:val="3"/>
        <w:rPr>
          <w:rFonts w:ascii="宋体" w:hAnsi="宋体" w:cs="宋体"/>
          <w:b/>
          <w:bCs/>
          <w:color w:val="auto"/>
          <w:sz w:val="28"/>
          <w:szCs w:val="28"/>
        </w:rPr>
      </w:pPr>
      <w:r>
        <w:rPr>
          <w:rFonts w:hint="eastAsia" w:ascii="宋体" w:hAnsi="宋体" w:cs="宋体"/>
          <w:color w:val="auto"/>
          <w:sz w:val="24"/>
        </w:rPr>
        <w:t>年      月     日</w:t>
      </w:r>
    </w:p>
    <w:p w14:paraId="7DBB1B84">
      <w:pPr>
        <w:autoSpaceDN w:val="0"/>
        <w:spacing w:line="500" w:lineRule="atLeast"/>
        <w:rPr>
          <w:rFonts w:cs="宋体" w:asciiTheme="majorEastAsia" w:hAnsiTheme="majorEastAsia" w:eastAsiaTheme="majorEastAsia"/>
          <w:b/>
          <w:color w:val="auto"/>
          <w:sz w:val="32"/>
          <w:szCs w:val="32"/>
        </w:rPr>
      </w:pPr>
    </w:p>
    <w:p w14:paraId="0DA4F724">
      <w:pPr>
        <w:widowControl/>
        <w:jc w:val="left"/>
        <w:rPr>
          <w:rFonts w:asciiTheme="majorEastAsia" w:hAnsiTheme="majorEastAsia" w:eastAsiaTheme="majorEastAsia"/>
          <w:color w:val="auto"/>
          <w:sz w:val="32"/>
          <w:szCs w:val="32"/>
        </w:rPr>
      </w:pPr>
      <w:r>
        <w:rPr>
          <w:rFonts w:hint="eastAsia" w:cs="方正仿宋_GB2312" w:asciiTheme="majorEastAsia" w:hAnsiTheme="majorEastAsia" w:eastAsiaTheme="majorEastAsia"/>
          <w:color w:val="auto"/>
          <w:sz w:val="28"/>
        </w:rPr>
        <w:br w:type="page"/>
      </w:r>
    </w:p>
    <w:p w14:paraId="512AC137">
      <w:pPr>
        <w:pStyle w:val="30"/>
        <w:ind w:firstLine="480"/>
        <w:rPr>
          <w:rFonts w:asciiTheme="majorEastAsia" w:hAnsiTheme="majorEastAsia" w:eastAsiaTheme="majorEastAsia"/>
          <w:color w:val="auto"/>
        </w:rPr>
      </w:pPr>
    </w:p>
    <w:p w14:paraId="369CE255">
      <w:pPr>
        <w:snapToGrid w:val="0"/>
        <w:spacing w:line="420" w:lineRule="exact"/>
        <w:jc w:val="left"/>
        <w:outlineLvl w:val="4"/>
        <w:rPr>
          <w:rFonts w:hint="eastAsia" w:asciiTheme="majorEastAsia" w:hAnsiTheme="majorEastAsia" w:eastAsiaTheme="majorEastAsia"/>
          <w:color w:val="auto"/>
          <w:sz w:val="32"/>
          <w:szCs w:val="32"/>
          <w:lang w:val="en-US" w:eastAsia="zh-CN"/>
        </w:rPr>
      </w:pPr>
      <w:r>
        <w:rPr>
          <w:rFonts w:asciiTheme="majorEastAsia" w:hAnsiTheme="majorEastAsia" w:eastAsiaTheme="majorEastAsia"/>
          <w:color w:val="auto"/>
          <w:sz w:val="32"/>
          <w:szCs w:val="32"/>
        </w:rPr>
        <w:t>附件1</w:t>
      </w:r>
      <w:r>
        <w:rPr>
          <w:rFonts w:hint="eastAsia" w:asciiTheme="majorEastAsia" w:hAnsiTheme="majorEastAsia" w:eastAsiaTheme="majorEastAsia"/>
          <w:color w:val="auto"/>
          <w:sz w:val="32"/>
          <w:szCs w:val="32"/>
          <w:lang w:val="en-US" w:eastAsia="zh-CN"/>
        </w:rPr>
        <w:t>3</w:t>
      </w:r>
    </w:p>
    <w:p w14:paraId="71689A94">
      <w:pPr>
        <w:jc w:val="center"/>
        <w:rPr>
          <w:rFonts w:cs="仿宋" w:asciiTheme="majorEastAsia" w:hAnsiTheme="majorEastAsia" w:eastAsiaTheme="majorEastAsia"/>
          <w:bCs/>
          <w:color w:val="auto"/>
          <w:sz w:val="44"/>
          <w:szCs w:val="44"/>
        </w:rPr>
      </w:pPr>
    </w:p>
    <w:p w14:paraId="3F46BD8F">
      <w:pPr>
        <w:jc w:val="center"/>
        <w:rPr>
          <w:rFonts w:cs="仿宋" w:asciiTheme="majorEastAsia" w:hAnsiTheme="majorEastAsia" w:eastAsiaTheme="majorEastAsia"/>
          <w:bCs/>
          <w:color w:val="auto"/>
          <w:sz w:val="44"/>
          <w:szCs w:val="44"/>
        </w:rPr>
      </w:pPr>
      <w:r>
        <w:rPr>
          <w:rFonts w:hint="eastAsia" w:cs="仿宋" w:asciiTheme="majorEastAsia" w:hAnsiTheme="majorEastAsia" w:eastAsiaTheme="majorEastAsia"/>
          <w:bCs/>
          <w:color w:val="auto"/>
          <w:sz w:val="44"/>
          <w:szCs w:val="44"/>
        </w:rPr>
        <w:t>质疑函范本</w:t>
      </w:r>
    </w:p>
    <w:p w14:paraId="3908BB9B">
      <w:pPr>
        <w:pStyle w:val="111"/>
        <w:rPr>
          <w:rFonts w:asciiTheme="majorEastAsia" w:hAnsiTheme="majorEastAsia" w:eastAsiaTheme="majorEastAsia"/>
          <w:color w:val="auto"/>
        </w:rPr>
      </w:pPr>
      <w:r>
        <w:rPr>
          <w:rFonts w:hint="eastAsia" w:asciiTheme="majorEastAsia" w:hAnsiTheme="majorEastAsia" w:eastAsiaTheme="majorEastAsia"/>
          <w:color w:val="auto"/>
        </w:rPr>
        <w:t>一、质疑供应商基本信息</w:t>
      </w:r>
    </w:p>
    <w:p w14:paraId="08B66E99">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质疑供应商：</w:t>
      </w:r>
    </w:p>
    <w:p w14:paraId="66C2C0B8">
      <w:pPr>
        <w:pStyle w:val="113"/>
        <w:rPr>
          <w:rFonts w:asciiTheme="majorEastAsia" w:hAnsiTheme="majorEastAsia" w:eastAsiaTheme="majorEastAsia"/>
          <w:color w:val="auto"/>
        </w:rPr>
      </w:pPr>
      <w:r>
        <w:rPr>
          <w:rFonts w:hint="eastAsia" w:asciiTheme="majorEastAsia" w:hAnsiTheme="majorEastAsia" w:eastAsiaTheme="majorEastAsia"/>
          <w:color w:val="auto"/>
        </w:rPr>
        <w:t>地址：邮编：</w:t>
      </w:r>
    </w:p>
    <w:p w14:paraId="1A267638">
      <w:pPr>
        <w:pStyle w:val="113"/>
        <w:rPr>
          <w:rFonts w:asciiTheme="majorEastAsia" w:hAnsiTheme="majorEastAsia" w:eastAsiaTheme="majorEastAsia"/>
          <w:color w:val="auto"/>
        </w:rPr>
      </w:pPr>
      <w:r>
        <w:rPr>
          <w:rFonts w:hint="eastAsia" w:asciiTheme="majorEastAsia" w:hAnsiTheme="majorEastAsia" w:eastAsiaTheme="majorEastAsia"/>
          <w:color w:val="auto"/>
        </w:rPr>
        <w:t>联系人：联系电话：</w:t>
      </w:r>
    </w:p>
    <w:p w14:paraId="20E0409D">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授权代表：</w:t>
      </w:r>
    </w:p>
    <w:p w14:paraId="0CF87B09">
      <w:pPr>
        <w:pStyle w:val="113"/>
        <w:rPr>
          <w:rFonts w:asciiTheme="majorEastAsia" w:hAnsiTheme="majorEastAsia" w:eastAsiaTheme="majorEastAsia"/>
          <w:color w:val="auto"/>
        </w:rPr>
      </w:pPr>
      <w:r>
        <w:rPr>
          <w:rFonts w:hint="eastAsia" w:asciiTheme="majorEastAsia" w:hAnsiTheme="majorEastAsia" w:eastAsiaTheme="majorEastAsia"/>
          <w:color w:val="auto"/>
        </w:rPr>
        <w:t>联系电话：</w:t>
      </w:r>
    </w:p>
    <w:p w14:paraId="51D3918E">
      <w:pPr>
        <w:pStyle w:val="113"/>
        <w:rPr>
          <w:rFonts w:asciiTheme="majorEastAsia" w:hAnsiTheme="majorEastAsia" w:eastAsiaTheme="majorEastAsia"/>
          <w:color w:val="auto"/>
        </w:rPr>
      </w:pPr>
      <w:r>
        <w:rPr>
          <w:rFonts w:hint="eastAsia" w:asciiTheme="majorEastAsia" w:hAnsiTheme="majorEastAsia" w:eastAsiaTheme="majorEastAsia"/>
          <w:color w:val="auto"/>
        </w:rPr>
        <w:t>地址：邮编：</w:t>
      </w:r>
    </w:p>
    <w:p w14:paraId="7CC1A03F">
      <w:pPr>
        <w:pStyle w:val="111"/>
        <w:rPr>
          <w:rFonts w:asciiTheme="majorEastAsia" w:hAnsiTheme="majorEastAsia" w:eastAsiaTheme="majorEastAsia"/>
          <w:color w:val="auto"/>
        </w:rPr>
      </w:pPr>
      <w:r>
        <w:rPr>
          <w:rFonts w:hint="eastAsia" w:asciiTheme="majorEastAsia" w:hAnsiTheme="majorEastAsia" w:eastAsiaTheme="majorEastAsia"/>
          <w:color w:val="auto"/>
        </w:rPr>
        <w:t>二、质疑项目基本情况</w:t>
      </w:r>
    </w:p>
    <w:p w14:paraId="6D47C4BC">
      <w:pPr>
        <w:pStyle w:val="113"/>
        <w:rPr>
          <w:rFonts w:asciiTheme="majorEastAsia" w:hAnsiTheme="majorEastAsia" w:eastAsiaTheme="majorEastAsia"/>
          <w:color w:val="auto"/>
        </w:rPr>
      </w:pPr>
      <w:r>
        <w:rPr>
          <w:rFonts w:hint="eastAsia" w:asciiTheme="majorEastAsia" w:hAnsiTheme="majorEastAsia" w:eastAsiaTheme="majorEastAsia"/>
          <w:color w:val="auto"/>
        </w:rPr>
        <w:t>质疑项目的名称：</w:t>
      </w:r>
    </w:p>
    <w:p w14:paraId="4565445D">
      <w:pPr>
        <w:pStyle w:val="113"/>
        <w:rPr>
          <w:rFonts w:asciiTheme="majorEastAsia" w:hAnsiTheme="majorEastAsia" w:eastAsiaTheme="majorEastAsia"/>
          <w:color w:val="auto"/>
        </w:rPr>
      </w:pPr>
      <w:r>
        <w:rPr>
          <w:rFonts w:hint="eastAsia" w:asciiTheme="majorEastAsia" w:hAnsiTheme="majorEastAsia" w:eastAsiaTheme="majorEastAsia"/>
          <w:color w:val="auto"/>
        </w:rPr>
        <w:t>质疑项目的编号：包号：</w:t>
      </w:r>
    </w:p>
    <w:p w14:paraId="4E137BF7">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采购人名称：</w:t>
      </w:r>
    </w:p>
    <w:p w14:paraId="532996D9">
      <w:pPr>
        <w:pStyle w:val="113"/>
        <w:rPr>
          <w:rFonts w:asciiTheme="majorEastAsia" w:hAnsiTheme="majorEastAsia" w:eastAsiaTheme="majorEastAsia"/>
          <w:color w:val="auto"/>
        </w:rPr>
      </w:pPr>
      <w:r>
        <w:rPr>
          <w:rFonts w:hint="eastAsia" w:asciiTheme="majorEastAsia" w:hAnsiTheme="majorEastAsia" w:eastAsiaTheme="majorEastAsia"/>
          <w:color w:val="auto"/>
        </w:rPr>
        <w:t>采购文件获取日期：</w:t>
      </w:r>
    </w:p>
    <w:p w14:paraId="601EE069">
      <w:pPr>
        <w:pStyle w:val="111"/>
        <w:rPr>
          <w:rFonts w:asciiTheme="majorEastAsia" w:hAnsiTheme="majorEastAsia" w:eastAsiaTheme="majorEastAsia"/>
          <w:color w:val="auto"/>
        </w:rPr>
      </w:pPr>
      <w:r>
        <w:rPr>
          <w:rFonts w:hint="eastAsia" w:asciiTheme="majorEastAsia" w:hAnsiTheme="majorEastAsia" w:eastAsiaTheme="majorEastAsia"/>
          <w:color w:val="auto"/>
        </w:rPr>
        <w:t>三、质疑事项具体内容</w:t>
      </w:r>
    </w:p>
    <w:p w14:paraId="486BF04A">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质疑事项1：</w:t>
      </w:r>
    </w:p>
    <w:p w14:paraId="5D0899C0">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事实依据：</w:t>
      </w:r>
    </w:p>
    <w:p w14:paraId="0EE52B59">
      <w:pPr>
        <w:pStyle w:val="113"/>
        <w:rPr>
          <w:rFonts w:asciiTheme="majorEastAsia" w:hAnsiTheme="majorEastAsia" w:eastAsiaTheme="majorEastAsia"/>
          <w:color w:val="auto"/>
        </w:rPr>
      </w:pPr>
    </w:p>
    <w:p w14:paraId="3D062E54">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法律依据：</w:t>
      </w:r>
    </w:p>
    <w:p w14:paraId="6D5D468A">
      <w:pPr>
        <w:pStyle w:val="113"/>
        <w:rPr>
          <w:rFonts w:asciiTheme="majorEastAsia" w:hAnsiTheme="majorEastAsia" w:eastAsiaTheme="majorEastAsia"/>
          <w:color w:val="auto"/>
          <w:u w:val="dotted"/>
        </w:rPr>
      </w:pPr>
    </w:p>
    <w:p w14:paraId="7B44240A">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质疑事项2</w:t>
      </w:r>
    </w:p>
    <w:p w14:paraId="16799A46">
      <w:pPr>
        <w:pStyle w:val="113"/>
        <w:rPr>
          <w:rFonts w:asciiTheme="majorEastAsia" w:hAnsiTheme="majorEastAsia" w:eastAsiaTheme="majorEastAsia"/>
          <w:color w:val="auto"/>
        </w:rPr>
      </w:pPr>
      <w:r>
        <w:rPr>
          <w:rFonts w:hint="eastAsia" w:asciiTheme="majorEastAsia" w:hAnsiTheme="majorEastAsia" w:eastAsiaTheme="majorEastAsia"/>
          <w:color w:val="auto"/>
        </w:rPr>
        <w:t>……</w:t>
      </w:r>
    </w:p>
    <w:p w14:paraId="70D6D9D0">
      <w:pPr>
        <w:pStyle w:val="111"/>
        <w:rPr>
          <w:rFonts w:asciiTheme="majorEastAsia" w:hAnsiTheme="majorEastAsia" w:eastAsiaTheme="majorEastAsia"/>
          <w:color w:val="auto"/>
        </w:rPr>
      </w:pPr>
      <w:r>
        <w:rPr>
          <w:rFonts w:hint="eastAsia" w:asciiTheme="majorEastAsia" w:hAnsiTheme="majorEastAsia" w:eastAsiaTheme="majorEastAsia"/>
          <w:color w:val="auto"/>
        </w:rPr>
        <w:t>四、与质疑事项相关的质疑请求</w:t>
      </w:r>
    </w:p>
    <w:p w14:paraId="41418002">
      <w:pPr>
        <w:pStyle w:val="113"/>
        <w:rPr>
          <w:rFonts w:asciiTheme="majorEastAsia" w:hAnsiTheme="majorEastAsia" w:eastAsiaTheme="majorEastAsia"/>
          <w:color w:val="auto"/>
          <w:u w:val="dotted"/>
        </w:rPr>
      </w:pPr>
      <w:r>
        <w:rPr>
          <w:rFonts w:hint="eastAsia" w:asciiTheme="majorEastAsia" w:hAnsiTheme="majorEastAsia" w:eastAsiaTheme="majorEastAsia"/>
          <w:color w:val="auto"/>
        </w:rPr>
        <w:t>请求：</w:t>
      </w:r>
    </w:p>
    <w:p w14:paraId="41348536">
      <w:pPr>
        <w:pStyle w:val="113"/>
        <w:rPr>
          <w:rFonts w:asciiTheme="majorEastAsia" w:hAnsiTheme="majorEastAsia" w:eastAsiaTheme="majorEastAsia"/>
          <w:color w:val="auto"/>
        </w:rPr>
      </w:pPr>
      <w:r>
        <w:rPr>
          <w:rFonts w:hint="eastAsia" w:asciiTheme="majorEastAsia" w:hAnsiTheme="majorEastAsia" w:eastAsiaTheme="majorEastAsia"/>
          <w:color w:val="auto"/>
        </w:rPr>
        <w:t xml:space="preserve">签字(签章)：                   公章：                      </w:t>
      </w:r>
    </w:p>
    <w:p w14:paraId="6C88B12D">
      <w:pPr>
        <w:pStyle w:val="113"/>
        <w:rPr>
          <w:rFonts w:asciiTheme="majorEastAsia" w:hAnsiTheme="majorEastAsia" w:eastAsiaTheme="majorEastAsia"/>
          <w:color w:val="auto"/>
        </w:rPr>
      </w:pPr>
      <w:r>
        <w:rPr>
          <w:rFonts w:hint="eastAsia" w:asciiTheme="majorEastAsia" w:hAnsiTheme="majorEastAsia" w:eastAsiaTheme="majorEastAsia"/>
          <w:color w:val="auto"/>
        </w:rPr>
        <w:t xml:space="preserve">日期：    </w:t>
      </w:r>
    </w:p>
    <w:p w14:paraId="15C46A7F">
      <w:pPr>
        <w:pStyle w:val="111"/>
        <w:rPr>
          <w:rFonts w:asciiTheme="majorEastAsia" w:hAnsiTheme="majorEastAsia" w:eastAsiaTheme="majorEastAsia"/>
          <w:color w:val="auto"/>
        </w:rPr>
      </w:pPr>
    </w:p>
    <w:p w14:paraId="158E03E4">
      <w:pPr>
        <w:pStyle w:val="111"/>
        <w:rPr>
          <w:rFonts w:asciiTheme="majorEastAsia" w:hAnsiTheme="majorEastAsia" w:eastAsiaTheme="majorEastAsia"/>
          <w:color w:val="auto"/>
        </w:rPr>
      </w:pPr>
      <w:r>
        <w:rPr>
          <w:rFonts w:hint="eastAsia" w:asciiTheme="majorEastAsia" w:hAnsiTheme="majorEastAsia" w:eastAsiaTheme="majorEastAsia"/>
          <w:color w:val="auto"/>
        </w:rPr>
        <w:t>质疑函制作说明：</w:t>
      </w:r>
    </w:p>
    <w:p w14:paraId="0E364F0C">
      <w:pPr>
        <w:pStyle w:val="113"/>
        <w:rPr>
          <w:rFonts w:asciiTheme="majorEastAsia" w:hAnsiTheme="majorEastAsia" w:eastAsiaTheme="majorEastAsia"/>
          <w:color w:val="auto"/>
        </w:rPr>
      </w:pPr>
      <w:r>
        <w:rPr>
          <w:rFonts w:hint="eastAsia" w:asciiTheme="majorEastAsia" w:hAnsiTheme="majorEastAsia" w:eastAsiaTheme="majorEastAsia"/>
          <w:color w:val="auto"/>
        </w:rPr>
        <w:t>1.供应商提出质疑时，应提交质疑函和必要的证明材料。</w:t>
      </w:r>
    </w:p>
    <w:p w14:paraId="465B21DC">
      <w:pPr>
        <w:pStyle w:val="113"/>
        <w:rPr>
          <w:rFonts w:asciiTheme="majorEastAsia" w:hAnsiTheme="majorEastAsia" w:eastAsiaTheme="majorEastAsia"/>
          <w:color w:val="auto"/>
        </w:rPr>
      </w:pPr>
      <w:r>
        <w:rPr>
          <w:rFonts w:hint="eastAsia" w:asciiTheme="majorEastAsia" w:hAnsiTheme="majorEastAsia" w:eastAsiaTheme="majorEastAsia"/>
          <w:color w:val="auto"/>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rPr>
        <w:t>供应商签署的授权委托书。授权委托书应载明代理人的姓名或者名称、代理事项、具体权限、期限和相关事项。</w:t>
      </w:r>
    </w:p>
    <w:p w14:paraId="5EC70A4A">
      <w:pPr>
        <w:pStyle w:val="113"/>
        <w:rPr>
          <w:rFonts w:asciiTheme="majorEastAsia" w:hAnsiTheme="majorEastAsia" w:eastAsiaTheme="majorEastAsia"/>
          <w:color w:val="auto"/>
        </w:rPr>
      </w:pPr>
      <w:r>
        <w:rPr>
          <w:rFonts w:hint="eastAsia" w:asciiTheme="majorEastAsia" w:hAnsiTheme="majorEastAsia" w:eastAsiaTheme="majorEastAsia"/>
          <w:color w:val="auto"/>
        </w:rPr>
        <w:t>3.质疑供应商若对项目的某一分包进行质疑，质疑函中应列明具体分包号。</w:t>
      </w:r>
    </w:p>
    <w:p w14:paraId="5BF18950">
      <w:pPr>
        <w:pStyle w:val="113"/>
        <w:rPr>
          <w:rFonts w:asciiTheme="majorEastAsia" w:hAnsiTheme="majorEastAsia" w:eastAsiaTheme="majorEastAsia"/>
          <w:color w:val="auto"/>
        </w:rPr>
      </w:pPr>
      <w:r>
        <w:rPr>
          <w:rFonts w:hint="eastAsia" w:asciiTheme="majorEastAsia" w:hAnsiTheme="majorEastAsia" w:eastAsiaTheme="majorEastAsia"/>
          <w:color w:val="auto"/>
        </w:rPr>
        <w:t>4.质疑函的质疑事项应具体、明确，并有必要的事实依据和法律依据。</w:t>
      </w:r>
    </w:p>
    <w:p w14:paraId="2A3D1E1B">
      <w:pPr>
        <w:pStyle w:val="113"/>
        <w:rPr>
          <w:rFonts w:asciiTheme="majorEastAsia" w:hAnsiTheme="majorEastAsia" w:eastAsiaTheme="majorEastAsia"/>
          <w:color w:val="auto"/>
        </w:rPr>
      </w:pPr>
      <w:r>
        <w:rPr>
          <w:rFonts w:hint="eastAsia" w:asciiTheme="majorEastAsia" w:hAnsiTheme="majorEastAsia" w:eastAsiaTheme="majorEastAsia"/>
          <w:color w:val="auto"/>
        </w:rPr>
        <w:t>5.质疑函的质疑请求应与质疑事项相关。</w:t>
      </w:r>
    </w:p>
    <w:p w14:paraId="29B37D89">
      <w:pPr>
        <w:pStyle w:val="113"/>
        <w:rPr>
          <w:rFonts w:asciiTheme="majorEastAsia" w:hAnsiTheme="majorEastAsia" w:eastAsiaTheme="majorEastAsia"/>
          <w:color w:val="auto"/>
        </w:rPr>
      </w:pPr>
      <w:r>
        <w:rPr>
          <w:rFonts w:hint="eastAsia" w:asciiTheme="majorEastAsia" w:hAnsiTheme="majorEastAsia" w:eastAsiaTheme="majorEastAsia"/>
          <w:color w:val="auto"/>
        </w:rPr>
        <w:t>6.质疑供应商为自然人的，质疑函应由本人签字；质疑供应商为法人或者其他组织的，质疑函应由法定代表人、主要负责人，或者其授权代表签字或者盖章，并加盖公章。</w:t>
      </w:r>
    </w:p>
    <w:p w14:paraId="1DCEB99D">
      <w:pPr>
        <w:pStyle w:val="113"/>
        <w:ind w:firstLine="560"/>
        <w:rPr>
          <w:rFonts w:asciiTheme="majorEastAsia" w:hAnsiTheme="majorEastAsia" w:eastAsiaTheme="majorEastAsia"/>
          <w:color w:val="auto"/>
          <w:sz w:val="28"/>
          <w:szCs w:val="28"/>
        </w:rPr>
      </w:pPr>
    </w:p>
    <w:p w14:paraId="3720703D">
      <w:pPr>
        <w:pStyle w:val="113"/>
        <w:ind w:firstLine="560"/>
        <w:rPr>
          <w:rFonts w:asciiTheme="majorEastAsia" w:hAnsiTheme="majorEastAsia" w:eastAsiaTheme="majorEastAsia"/>
          <w:color w:val="auto"/>
          <w:sz w:val="28"/>
          <w:szCs w:val="28"/>
        </w:rPr>
      </w:pPr>
    </w:p>
    <w:p w14:paraId="7D31F888">
      <w:pPr>
        <w:pStyle w:val="113"/>
        <w:ind w:firstLine="562"/>
        <w:rPr>
          <w:rFonts w:asciiTheme="majorEastAsia" w:hAnsiTheme="majorEastAsia" w:eastAsiaTheme="majorEastAsia"/>
          <w:b/>
          <w:color w:val="auto"/>
          <w:sz w:val="28"/>
          <w:szCs w:val="28"/>
        </w:rPr>
      </w:pPr>
    </w:p>
    <w:p w14:paraId="2B3F6E1D">
      <w:pPr>
        <w:pStyle w:val="113"/>
        <w:ind w:firstLine="562"/>
        <w:rPr>
          <w:rFonts w:asciiTheme="majorEastAsia" w:hAnsiTheme="majorEastAsia" w:eastAsiaTheme="majorEastAsia"/>
          <w:b/>
          <w:bCs/>
          <w:color w:val="auto"/>
          <w:sz w:val="28"/>
          <w:szCs w:val="28"/>
        </w:rPr>
      </w:pPr>
    </w:p>
    <w:p w14:paraId="51DF0921">
      <w:pPr>
        <w:widowControl/>
        <w:jc w:val="left"/>
        <w:rPr>
          <w:rFonts w:asciiTheme="majorEastAsia" w:hAnsiTheme="majorEastAsia" w:eastAsiaTheme="majorEastAsia"/>
          <w:b/>
          <w:color w:val="auto"/>
          <w:szCs w:val="21"/>
        </w:rPr>
      </w:pPr>
      <w:r>
        <w:rPr>
          <w:rFonts w:asciiTheme="majorEastAsia" w:hAnsiTheme="majorEastAsia" w:eastAsiaTheme="majorEastAsia"/>
          <w:color w:val="auto"/>
        </w:rPr>
        <w:br w:type="page"/>
      </w:r>
    </w:p>
    <w:p w14:paraId="0C41C9F2">
      <w:pPr>
        <w:pStyle w:val="109"/>
        <w:ind w:right="183" w:rightChars="87"/>
        <w:jc w:val="left"/>
        <w:rPr>
          <w:rFonts w:asciiTheme="majorEastAsia" w:hAnsiTheme="majorEastAsia" w:eastAsiaTheme="majorEastAsia"/>
          <w:color w:val="auto"/>
          <w:sz w:val="24"/>
          <w:szCs w:val="24"/>
        </w:rPr>
      </w:pPr>
    </w:p>
    <w:p w14:paraId="6F401D20">
      <w:pPr>
        <w:pStyle w:val="109"/>
        <w:ind w:right="183" w:rightChars="87"/>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附件1</w:t>
      </w:r>
      <w:r>
        <w:rPr>
          <w:rFonts w:hint="eastAsia" w:asciiTheme="majorEastAsia" w:hAnsiTheme="majorEastAsia" w:eastAsiaTheme="majorEastAsia"/>
          <w:color w:val="auto"/>
          <w:sz w:val="24"/>
          <w:szCs w:val="24"/>
          <w:lang w:val="en-US" w:eastAsia="zh-CN"/>
        </w:rPr>
        <w:t>4</w:t>
      </w:r>
      <w:r>
        <w:rPr>
          <w:rFonts w:hint="eastAsia" w:asciiTheme="majorEastAsia" w:hAnsiTheme="majorEastAsia" w:eastAsiaTheme="majorEastAsia"/>
          <w:color w:val="auto"/>
          <w:sz w:val="24"/>
          <w:szCs w:val="24"/>
        </w:rPr>
        <w:t>：</w:t>
      </w:r>
    </w:p>
    <w:bookmarkEnd w:id="140"/>
    <w:bookmarkEnd w:id="141"/>
    <w:p w14:paraId="05C06B32">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合同书</w:t>
      </w:r>
    </w:p>
    <w:p w14:paraId="5B6643C4">
      <w:pPr>
        <w:spacing w:after="60" w:line="180" w:lineRule="atLeast"/>
        <w:ind w:firstLine="552" w:firstLineChars="230"/>
        <w:rPr>
          <w:rFonts w:ascii="仿宋" w:hAnsi="仿宋" w:eastAsia="仿宋" w:cs="仿宋"/>
          <w:sz w:val="24"/>
        </w:rPr>
      </w:pPr>
      <w:r>
        <w:rPr>
          <w:rFonts w:hint="eastAsia" w:ascii="仿宋" w:hAnsi="仿宋" w:eastAsia="仿宋" w:cs="仿宋"/>
          <w:sz w:val="24"/>
        </w:rPr>
        <w:t xml:space="preserve">甲方：南通市妇幼保健院 </w:t>
      </w:r>
    </w:p>
    <w:p w14:paraId="7BDC0643">
      <w:pPr>
        <w:spacing w:after="60" w:line="180" w:lineRule="atLeast"/>
        <w:ind w:firstLine="552" w:firstLineChars="230"/>
        <w:rPr>
          <w:rFonts w:ascii="仿宋" w:hAnsi="仿宋" w:eastAsia="仿宋" w:cs="仿宋"/>
          <w:sz w:val="24"/>
        </w:rPr>
      </w:pPr>
      <w:r>
        <w:rPr>
          <w:rFonts w:hint="eastAsia" w:ascii="仿宋" w:hAnsi="仿宋" w:eastAsia="仿宋" w:cs="仿宋"/>
          <w:sz w:val="24"/>
        </w:rPr>
        <w:t>乙方：</w:t>
      </w:r>
    </w:p>
    <w:p w14:paraId="4512C727">
      <w:pPr>
        <w:spacing w:after="60" w:line="180" w:lineRule="atLeast"/>
        <w:ind w:firstLine="552" w:firstLineChars="230"/>
        <w:rPr>
          <w:rFonts w:ascii="仿宋" w:hAnsi="仿宋" w:eastAsia="仿宋" w:cs="仿宋"/>
          <w:sz w:val="24"/>
        </w:rPr>
      </w:pPr>
      <w:r>
        <w:rPr>
          <w:rFonts w:hint="eastAsia" w:ascii="仿宋" w:hAnsi="仿宋" w:eastAsia="仿宋" w:cs="仿宋"/>
          <w:sz w:val="24"/>
        </w:rPr>
        <w:t>根据《中华人民共和国民法典》及</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招标结果，经双方协商一致，签订本合同。</w:t>
      </w:r>
      <w:bookmarkStart w:id="147" w:name="_Toc81879411"/>
    </w:p>
    <w:p w14:paraId="26353D9C">
      <w:pPr>
        <w:spacing w:after="60" w:line="180" w:lineRule="atLeast"/>
        <w:rPr>
          <w:rFonts w:ascii="仿宋" w:hAnsi="仿宋" w:eastAsia="仿宋" w:cs="仿宋"/>
          <w:b/>
          <w:bCs/>
          <w:sz w:val="24"/>
        </w:rPr>
      </w:pPr>
      <w:r>
        <w:rPr>
          <w:rFonts w:hint="eastAsia" w:ascii="仿宋" w:hAnsi="仿宋" w:eastAsia="仿宋" w:cs="仿宋"/>
          <w:b/>
          <w:bCs/>
          <w:sz w:val="24"/>
        </w:rPr>
        <w:t>一、货物及服务：</w:t>
      </w:r>
      <w:bookmarkEnd w:id="147"/>
    </w:p>
    <w:p w14:paraId="485C5396">
      <w:pPr>
        <w:spacing w:after="60" w:line="360" w:lineRule="auto"/>
        <w:ind w:firstLine="552" w:firstLineChars="230"/>
        <w:rPr>
          <w:rFonts w:ascii="仿宋" w:hAnsi="仿宋" w:eastAsia="仿宋" w:cs="仿宋"/>
          <w:sz w:val="24"/>
        </w:rPr>
      </w:pPr>
      <w:r>
        <w:rPr>
          <w:rFonts w:hint="eastAsia" w:ascii="仿宋" w:hAnsi="仿宋" w:eastAsia="仿宋" w:cs="仿宋"/>
          <w:sz w:val="24"/>
        </w:rPr>
        <w:t xml:space="preserve">1、乙方向甲方提供以下货物以及运输、装卸、检验、技术服务、质保期服务等相关服务。                                                                  </w:t>
      </w:r>
    </w:p>
    <w:tbl>
      <w:tblPr>
        <w:tblStyle w:val="31"/>
        <w:tblW w:w="8680" w:type="dxa"/>
        <w:tblInd w:w="-201" w:type="dxa"/>
        <w:tblLayout w:type="autofit"/>
        <w:tblCellMar>
          <w:top w:w="15" w:type="dxa"/>
          <w:left w:w="15" w:type="dxa"/>
          <w:bottom w:w="15" w:type="dxa"/>
          <w:right w:w="15" w:type="dxa"/>
        </w:tblCellMar>
      </w:tblPr>
      <w:tblGrid>
        <w:gridCol w:w="720"/>
        <w:gridCol w:w="1215"/>
        <w:gridCol w:w="1335"/>
        <w:gridCol w:w="3240"/>
        <w:gridCol w:w="696"/>
        <w:gridCol w:w="724"/>
        <w:gridCol w:w="750"/>
      </w:tblGrid>
      <w:tr w14:paraId="4EEEBCCA">
        <w:tblPrEx>
          <w:tblCellMar>
            <w:top w:w="15" w:type="dxa"/>
            <w:left w:w="15" w:type="dxa"/>
            <w:bottom w:w="15" w:type="dxa"/>
            <w:right w:w="15" w:type="dxa"/>
          </w:tblCellMar>
        </w:tblPrEx>
        <w:trPr>
          <w:trHeight w:val="405" w:hRule="atLeast"/>
        </w:trPr>
        <w:tc>
          <w:tcPr>
            <w:tcW w:w="7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BA784EC">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b/>
                <w:bCs/>
                <w:kern w:val="0"/>
                <w:sz w:val="24"/>
              </w:rPr>
              <w:t>序号</w:t>
            </w:r>
          </w:p>
        </w:tc>
        <w:tc>
          <w:tcPr>
            <w:tcW w:w="121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104FD40">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b/>
                <w:bCs/>
                <w:kern w:val="0"/>
                <w:sz w:val="24"/>
              </w:rPr>
              <w:t>设备名称</w:t>
            </w:r>
          </w:p>
        </w:tc>
        <w:tc>
          <w:tcPr>
            <w:tcW w:w="133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E8C6793">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b/>
                <w:bCs/>
                <w:kern w:val="0"/>
                <w:sz w:val="24"/>
              </w:rPr>
              <w:t>品牌、型号</w:t>
            </w:r>
          </w:p>
        </w:tc>
        <w:tc>
          <w:tcPr>
            <w:tcW w:w="32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5833C8E">
            <w:pPr>
              <w:keepNext w:val="0"/>
              <w:keepLines w:val="0"/>
              <w:widowControl/>
              <w:suppressLineNumbers w:val="0"/>
              <w:spacing w:before="0" w:beforeAutospacing="0" w:after="0" w:afterAutospacing="0" w:line="300" w:lineRule="atLeast"/>
              <w:ind w:left="0" w:right="0" w:firstLine="480"/>
              <w:jc w:val="center"/>
              <w:rPr>
                <w:rFonts w:hint="default" w:ascii="仿宋" w:hAnsi="仿宋" w:eastAsia="仿宋" w:cs="仿宋"/>
                <w:kern w:val="0"/>
                <w:szCs w:val="21"/>
              </w:rPr>
            </w:pPr>
            <w:r>
              <w:rPr>
                <w:rFonts w:hint="eastAsia" w:ascii="仿宋" w:hAnsi="仿宋" w:eastAsia="仿宋" w:cs="仿宋"/>
                <w:b/>
                <w:bCs/>
                <w:kern w:val="0"/>
                <w:sz w:val="24"/>
              </w:rPr>
              <w:t>规格型号参数</w:t>
            </w:r>
          </w:p>
        </w:tc>
        <w:tc>
          <w:tcPr>
            <w:tcW w:w="69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4052EC1E">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b/>
                <w:bCs/>
                <w:kern w:val="0"/>
                <w:sz w:val="24"/>
              </w:rPr>
              <w:t>数量</w:t>
            </w:r>
          </w:p>
        </w:tc>
        <w:tc>
          <w:tcPr>
            <w:tcW w:w="724" w:type="dxa"/>
            <w:tcBorders>
              <w:top w:val="single" w:color="auto" w:sz="6" w:space="0"/>
              <w:left w:val="nil"/>
              <w:bottom w:val="single" w:color="auto" w:sz="6" w:space="0"/>
              <w:right w:val="single" w:color="auto" w:sz="6" w:space="0"/>
            </w:tcBorders>
            <w:vAlign w:val="center"/>
          </w:tcPr>
          <w:p w14:paraId="1C36BB08">
            <w:pPr>
              <w:keepNext w:val="0"/>
              <w:keepLines w:val="0"/>
              <w:widowControl/>
              <w:suppressLineNumbers w:val="0"/>
              <w:spacing w:before="0" w:beforeAutospacing="0" w:after="0" w:afterAutospacing="0" w:line="300" w:lineRule="atLeast"/>
              <w:ind w:left="0" w:right="0"/>
              <w:rPr>
                <w:rFonts w:hint="default" w:ascii="仿宋" w:hAnsi="仿宋" w:eastAsia="仿宋" w:cs="仿宋"/>
                <w:b/>
                <w:bCs/>
                <w:kern w:val="0"/>
                <w:sz w:val="24"/>
              </w:rPr>
            </w:pPr>
            <w:r>
              <w:rPr>
                <w:rFonts w:hint="eastAsia" w:ascii="仿宋" w:hAnsi="仿宋" w:eastAsia="仿宋" w:cs="仿宋"/>
                <w:b/>
                <w:bCs/>
                <w:kern w:val="0"/>
                <w:sz w:val="24"/>
              </w:rPr>
              <w:t>单价</w:t>
            </w:r>
          </w:p>
        </w:tc>
        <w:tc>
          <w:tcPr>
            <w:tcW w:w="750" w:type="dxa"/>
            <w:tcBorders>
              <w:top w:val="single" w:color="auto" w:sz="6" w:space="0"/>
              <w:left w:val="nil"/>
              <w:bottom w:val="single" w:color="auto" w:sz="6" w:space="0"/>
              <w:right w:val="single" w:color="auto" w:sz="6" w:space="0"/>
            </w:tcBorders>
            <w:vAlign w:val="center"/>
          </w:tcPr>
          <w:p w14:paraId="1FEA49A4">
            <w:pPr>
              <w:keepNext w:val="0"/>
              <w:keepLines w:val="0"/>
              <w:widowControl/>
              <w:suppressLineNumbers w:val="0"/>
              <w:spacing w:before="0" w:beforeAutospacing="0" w:after="0" w:afterAutospacing="0" w:line="300" w:lineRule="atLeast"/>
              <w:ind w:left="0" w:right="0"/>
              <w:jc w:val="center"/>
              <w:rPr>
                <w:rFonts w:hint="default" w:ascii="仿宋" w:hAnsi="仿宋" w:eastAsia="仿宋" w:cs="仿宋"/>
                <w:b/>
                <w:bCs/>
                <w:kern w:val="0"/>
                <w:sz w:val="24"/>
              </w:rPr>
            </w:pPr>
            <w:r>
              <w:rPr>
                <w:rFonts w:hint="eastAsia" w:ascii="仿宋" w:hAnsi="仿宋" w:eastAsia="仿宋" w:cs="仿宋"/>
                <w:b/>
                <w:bCs/>
                <w:kern w:val="0"/>
                <w:sz w:val="24"/>
              </w:rPr>
              <w:t>总价</w:t>
            </w:r>
          </w:p>
        </w:tc>
      </w:tr>
      <w:tr w14:paraId="742FC03A">
        <w:tblPrEx>
          <w:tblCellMar>
            <w:top w:w="15" w:type="dxa"/>
            <w:left w:w="15" w:type="dxa"/>
            <w:bottom w:w="15" w:type="dxa"/>
            <w:right w:w="15" w:type="dxa"/>
          </w:tblCellMar>
        </w:tblPrEx>
        <w:trPr>
          <w:trHeight w:val="1695" w:hRule="atLeast"/>
        </w:trPr>
        <w:tc>
          <w:tcPr>
            <w:tcW w:w="720" w:type="dxa"/>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14:paraId="1232FA8B">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kern w:val="0"/>
                <w:sz w:val="24"/>
              </w:rPr>
              <w:t>1</w:t>
            </w:r>
          </w:p>
        </w:tc>
        <w:tc>
          <w:tcPr>
            <w:tcW w:w="1215" w:type="dxa"/>
            <w:tcBorders>
              <w:top w:val="nil"/>
              <w:left w:val="nil"/>
              <w:bottom w:val="single" w:color="auto" w:sz="4" w:space="0"/>
              <w:right w:val="single" w:color="auto" w:sz="6" w:space="0"/>
            </w:tcBorders>
            <w:tcMar>
              <w:top w:w="0" w:type="dxa"/>
              <w:left w:w="105" w:type="dxa"/>
              <w:bottom w:w="0" w:type="dxa"/>
              <w:right w:w="105" w:type="dxa"/>
            </w:tcMar>
            <w:vAlign w:val="center"/>
          </w:tcPr>
          <w:p w14:paraId="639786E5">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r>
              <w:rPr>
                <w:rFonts w:hint="eastAsia" w:ascii="仿宋" w:hAnsi="仿宋" w:eastAsia="仿宋" w:cs="仿宋"/>
                <w:kern w:val="0"/>
                <w:szCs w:val="21"/>
              </w:rPr>
              <w:t xml:space="preserve"> </w:t>
            </w:r>
            <w:r>
              <w:rPr>
                <w:rFonts w:hint="default"/>
                <w:kern w:val="0"/>
                <w:sz w:val="24"/>
                <w:lang w:val="zh-CN"/>
              </w:rPr>
              <w:t>PDA</w:t>
            </w:r>
          </w:p>
        </w:tc>
        <w:tc>
          <w:tcPr>
            <w:tcW w:w="1335" w:type="dxa"/>
            <w:tcBorders>
              <w:top w:val="nil"/>
              <w:left w:val="nil"/>
              <w:bottom w:val="single" w:color="auto" w:sz="4" w:space="0"/>
              <w:right w:val="single" w:color="auto" w:sz="6" w:space="0"/>
            </w:tcBorders>
            <w:tcMar>
              <w:top w:w="0" w:type="dxa"/>
              <w:left w:w="105" w:type="dxa"/>
              <w:bottom w:w="0" w:type="dxa"/>
              <w:right w:w="105" w:type="dxa"/>
            </w:tcMar>
            <w:vAlign w:val="center"/>
          </w:tcPr>
          <w:p w14:paraId="33E40C70">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Cs w:val="21"/>
              </w:rPr>
            </w:pPr>
          </w:p>
        </w:tc>
        <w:tc>
          <w:tcPr>
            <w:tcW w:w="3240" w:type="dxa"/>
            <w:tcBorders>
              <w:top w:val="nil"/>
              <w:left w:val="nil"/>
              <w:bottom w:val="single" w:color="auto" w:sz="4" w:space="0"/>
              <w:right w:val="single" w:color="auto" w:sz="6" w:space="0"/>
            </w:tcBorders>
            <w:tcMar>
              <w:top w:w="0" w:type="dxa"/>
              <w:left w:w="105" w:type="dxa"/>
              <w:bottom w:w="0" w:type="dxa"/>
              <w:right w:w="105" w:type="dxa"/>
            </w:tcMar>
            <w:vAlign w:val="center"/>
          </w:tcPr>
          <w:p w14:paraId="5981FC14">
            <w:pPr>
              <w:keepNext w:val="0"/>
              <w:keepLines w:val="0"/>
              <w:widowControl/>
              <w:suppressLineNumbers w:val="0"/>
              <w:spacing w:before="0" w:beforeAutospacing="0" w:after="0" w:afterAutospacing="0"/>
              <w:ind w:left="0" w:right="0"/>
              <w:jc w:val="left"/>
              <w:rPr>
                <w:rFonts w:hint="default"/>
                <w:kern w:val="0"/>
                <w:szCs w:val="21"/>
                <w:lang w:val="zh-CN"/>
              </w:rPr>
            </w:pPr>
            <w:r>
              <w:rPr>
                <w:rFonts w:hint="eastAsia"/>
                <w:kern w:val="0"/>
                <w:szCs w:val="21"/>
                <w:lang w:val="zh-CN"/>
              </w:rPr>
              <w:t>Android 1</w:t>
            </w:r>
            <w:r>
              <w:rPr>
                <w:rFonts w:hint="default"/>
                <w:kern w:val="0"/>
                <w:szCs w:val="21"/>
                <w:lang w:val="zh-CN"/>
              </w:rPr>
              <w:t>1</w:t>
            </w:r>
            <w:r>
              <w:rPr>
                <w:rFonts w:hint="eastAsia"/>
                <w:kern w:val="0"/>
                <w:szCs w:val="21"/>
                <w:lang w:val="zh-CN"/>
              </w:rPr>
              <w:t>.0及以上，八核处理器、主频≥</w:t>
            </w:r>
            <w:r>
              <w:rPr>
                <w:rFonts w:hint="default"/>
                <w:kern w:val="0"/>
                <w:szCs w:val="21"/>
                <w:lang w:val="zh-CN"/>
              </w:rPr>
              <w:t>2</w:t>
            </w:r>
            <w:r>
              <w:rPr>
                <w:rFonts w:hint="eastAsia"/>
                <w:kern w:val="0"/>
                <w:szCs w:val="21"/>
                <w:lang w:val="zh-CN"/>
              </w:rPr>
              <w:t>.</w:t>
            </w:r>
            <w:r>
              <w:rPr>
                <w:rFonts w:hint="default"/>
                <w:kern w:val="0"/>
                <w:szCs w:val="21"/>
                <w:lang w:val="zh-CN"/>
              </w:rPr>
              <w:t>0</w:t>
            </w:r>
            <w:r>
              <w:rPr>
                <w:rFonts w:hint="eastAsia"/>
                <w:kern w:val="0"/>
                <w:szCs w:val="21"/>
                <w:lang w:val="zh-CN"/>
              </w:rPr>
              <w:t>GHz；内存≥</w:t>
            </w:r>
            <w:r>
              <w:rPr>
                <w:rFonts w:hint="default"/>
                <w:kern w:val="0"/>
                <w:szCs w:val="21"/>
                <w:lang w:val="zh-CN"/>
              </w:rPr>
              <w:t>4</w:t>
            </w:r>
            <w:r>
              <w:rPr>
                <w:rFonts w:hint="eastAsia"/>
                <w:kern w:val="0"/>
                <w:szCs w:val="21"/>
                <w:lang w:val="zh-CN"/>
              </w:rPr>
              <w:t>GB；存储≥</w:t>
            </w:r>
            <w:r>
              <w:rPr>
                <w:rFonts w:hint="default"/>
                <w:kern w:val="0"/>
                <w:szCs w:val="21"/>
                <w:lang w:val="zh-CN"/>
              </w:rPr>
              <w:t>64</w:t>
            </w:r>
            <w:r>
              <w:rPr>
                <w:rFonts w:hint="eastAsia"/>
                <w:kern w:val="0"/>
                <w:szCs w:val="21"/>
                <w:lang w:val="zh-CN"/>
              </w:rPr>
              <w:t>GB, 电池≥4</w:t>
            </w:r>
            <w:r>
              <w:rPr>
                <w:rFonts w:hint="default"/>
                <w:kern w:val="0"/>
                <w:szCs w:val="21"/>
                <w:lang w:val="zh-CN"/>
              </w:rPr>
              <w:t>5</w:t>
            </w:r>
            <w:r>
              <w:rPr>
                <w:rFonts w:hint="eastAsia"/>
                <w:kern w:val="0"/>
                <w:szCs w:val="21"/>
                <w:lang w:val="zh-CN"/>
              </w:rPr>
              <w:t>00mAh，屏幕≥5.</w:t>
            </w:r>
            <w:r>
              <w:rPr>
                <w:rFonts w:hint="default"/>
                <w:kern w:val="0"/>
                <w:szCs w:val="21"/>
                <w:lang w:val="zh-CN"/>
              </w:rPr>
              <w:t>5</w:t>
            </w:r>
            <w:r>
              <w:rPr>
                <w:rFonts w:hint="eastAsia"/>
                <w:kern w:val="0"/>
                <w:szCs w:val="21"/>
                <w:lang w:val="zh-CN"/>
              </w:rPr>
              <w:t>寸彩色。</w:t>
            </w:r>
          </w:p>
          <w:p w14:paraId="62266B38">
            <w:pPr>
              <w:keepNext w:val="0"/>
              <w:keepLines w:val="0"/>
              <w:widowControl/>
              <w:suppressLineNumbers w:val="0"/>
              <w:spacing w:before="0" w:beforeAutospacing="0" w:after="0" w:afterAutospacing="0"/>
              <w:ind w:left="0" w:right="0"/>
              <w:jc w:val="left"/>
              <w:rPr>
                <w:rFonts w:hint="default"/>
                <w:kern w:val="0"/>
                <w:szCs w:val="21"/>
                <w:lang w:val="zh-CN"/>
              </w:rPr>
            </w:pPr>
            <w:r>
              <w:rPr>
                <w:rFonts w:hint="eastAsia"/>
                <w:kern w:val="0"/>
                <w:szCs w:val="21"/>
                <w:lang w:val="zh-CN"/>
              </w:rPr>
              <w:t>含管理平台接入license软件。</w:t>
            </w:r>
          </w:p>
          <w:p w14:paraId="5BB8DB3A">
            <w:pPr>
              <w:keepNext w:val="0"/>
              <w:keepLines w:val="0"/>
              <w:widowControl/>
              <w:suppressLineNumbers w:val="0"/>
              <w:spacing w:before="0" w:beforeAutospacing="0" w:after="0" w:afterAutospacing="0"/>
              <w:ind w:left="0" w:right="0"/>
              <w:jc w:val="left"/>
              <w:rPr>
                <w:rFonts w:hint="default"/>
                <w:kern w:val="0"/>
                <w:szCs w:val="21"/>
                <w:lang w:val="zh-CN"/>
              </w:rPr>
            </w:pPr>
            <w:r>
              <w:rPr>
                <w:rFonts w:hint="eastAsia"/>
                <w:kern w:val="0"/>
                <w:szCs w:val="21"/>
                <w:lang w:val="zh-CN"/>
              </w:rPr>
              <w:t>提供原厂三年主机全保服务（包含人为损坏）。</w:t>
            </w:r>
          </w:p>
        </w:tc>
        <w:tc>
          <w:tcPr>
            <w:tcW w:w="696" w:type="dxa"/>
            <w:tcBorders>
              <w:top w:val="nil"/>
              <w:left w:val="nil"/>
              <w:bottom w:val="single" w:color="auto" w:sz="4" w:space="0"/>
              <w:right w:val="single" w:color="auto" w:sz="6" w:space="0"/>
            </w:tcBorders>
            <w:tcMar>
              <w:top w:w="0" w:type="dxa"/>
              <w:left w:w="105" w:type="dxa"/>
              <w:bottom w:w="0" w:type="dxa"/>
              <w:right w:w="105" w:type="dxa"/>
            </w:tcMar>
            <w:vAlign w:val="center"/>
          </w:tcPr>
          <w:p w14:paraId="6BBA7316">
            <w:pPr>
              <w:keepNext w:val="0"/>
              <w:keepLines w:val="0"/>
              <w:widowControl/>
              <w:suppressLineNumbers w:val="0"/>
              <w:spacing w:before="0" w:beforeAutospacing="0" w:after="0" w:afterAutospacing="0" w:line="300" w:lineRule="atLeast"/>
              <w:ind w:left="0" w:right="0"/>
              <w:jc w:val="center"/>
              <w:rPr>
                <w:rFonts w:hint="default" w:ascii="仿宋" w:hAnsi="仿宋" w:eastAsia="仿宋" w:cs="仿宋"/>
                <w:kern w:val="0"/>
                <w:szCs w:val="21"/>
              </w:rPr>
            </w:pPr>
            <w:r>
              <w:rPr>
                <w:rFonts w:hint="default" w:ascii="仿宋" w:hAnsi="仿宋" w:eastAsia="仿宋" w:cs="仿宋"/>
                <w:kern w:val="0"/>
                <w:szCs w:val="21"/>
              </w:rPr>
              <w:t>83</w:t>
            </w:r>
          </w:p>
        </w:tc>
        <w:tc>
          <w:tcPr>
            <w:tcW w:w="724" w:type="dxa"/>
            <w:tcBorders>
              <w:top w:val="nil"/>
              <w:left w:val="nil"/>
              <w:bottom w:val="single" w:color="auto" w:sz="4" w:space="0"/>
              <w:right w:val="single" w:color="auto" w:sz="6" w:space="0"/>
            </w:tcBorders>
            <w:vAlign w:val="center"/>
          </w:tcPr>
          <w:p w14:paraId="652FFFDA">
            <w:pPr>
              <w:keepNext w:val="0"/>
              <w:keepLines w:val="0"/>
              <w:widowControl/>
              <w:suppressLineNumbers w:val="0"/>
              <w:spacing w:before="0" w:beforeAutospacing="0" w:after="0" w:afterAutospacing="0" w:line="300" w:lineRule="atLeast"/>
              <w:ind w:left="0" w:right="0"/>
              <w:jc w:val="center"/>
              <w:rPr>
                <w:rFonts w:hint="default" w:ascii="仿宋" w:hAnsi="仿宋" w:eastAsia="仿宋" w:cs="仿宋"/>
                <w:kern w:val="0"/>
                <w:sz w:val="24"/>
              </w:rPr>
            </w:pPr>
          </w:p>
        </w:tc>
        <w:tc>
          <w:tcPr>
            <w:tcW w:w="750" w:type="dxa"/>
            <w:tcBorders>
              <w:top w:val="nil"/>
              <w:left w:val="nil"/>
              <w:bottom w:val="single" w:color="auto" w:sz="4" w:space="0"/>
              <w:right w:val="single" w:color="auto" w:sz="6" w:space="0"/>
            </w:tcBorders>
            <w:vAlign w:val="center"/>
          </w:tcPr>
          <w:p w14:paraId="6C942F77">
            <w:pPr>
              <w:keepNext w:val="0"/>
              <w:keepLines w:val="0"/>
              <w:widowControl/>
              <w:suppressLineNumbers w:val="0"/>
              <w:spacing w:before="0" w:beforeAutospacing="0" w:after="0" w:afterAutospacing="0" w:line="300" w:lineRule="atLeast"/>
              <w:ind w:left="0" w:right="0"/>
              <w:jc w:val="center"/>
              <w:rPr>
                <w:rFonts w:hint="default" w:ascii="仿宋" w:hAnsi="仿宋" w:eastAsia="仿宋" w:cs="仿宋"/>
                <w:kern w:val="0"/>
                <w:sz w:val="24"/>
              </w:rPr>
            </w:pPr>
          </w:p>
        </w:tc>
      </w:tr>
      <w:tr w14:paraId="1A7DBED3">
        <w:tblPrEx>
          <w:tblCellMar>
            <w:top w:w="15" w:type="dxa"/>
            <w:left w:w="15" w:type="dxa"/>
            <w:bottom w:w="15" w:type="dxa"/>
            <w:right w:w="15" w:type="dxa"/>
          </w:tblCellMar>
        </w:tblPrEx>
        <w:trPr>
          <w:trHeight w:val="405" w:hRule="atLeast"/>
        </w:trPr>
        <w:tc>
          <w:tcPr>
            <w:tcW w:w="1935" w:type="dxa"/>
            <w:gridSpan w:val="2"/>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3E85890">
            <w:pPr>
              <w:keepNext w:val="0"/>
              <w:keepLines w:val="0"/>
              <w:widowControl/>
              <w:suppressLineNumbers w:val="0"/>
              <w:spacing w:before="0" w:beforeAutospacing="0" w:after="0" w:afterAutospacing="0" w:line="300" w:lineRule="atLeast"/>
              <w:ind w:left="0" w:right="0"/>
              <w:jc w:val="center"/>
              <w:rPr>
                <w:rFonts w:hint="default" w:ascii="仿宋" w:hAnsi="仿宋" w:eastAsia="仿宋" w:cs="仿宋"/>
                <w:kern w:val="0"/>
                <w:sz w:val="24"/>
              </w:rPr>
            </w:pPr>
            <w:r>
              <w:rPr>
                <w:rFonts w:hint="eastAsia" w:ascii="仿宋" w:hAnsi="仿宋" w:eastAsia="仿宋" w:cs="仿宋"/>
                <w:kern w:val="0"/>
                <w:sz w:val="24"/>
              </w:rPr>
              <w:t>合计</w:t>
            </w:r>
          </w:p>
        </w:tc>
        <w:tc>
          <w:tcPr>
            <w:tcW w:w="674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4E95674D">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 w:val="24"/>
              </w:rPr>
            </w:pPr>
            <w:r>
              <w:rPr>
                <w:rFonts w:hint="eastAsia" w:ascii="仿宋" w:hAnsi="仿宋" w:eastAsia="仿宋" w:cs="仿宋"/>
                <w:kern w:val="0"/>
                <w:sz w:val="24"/>
              </w:rPr>
              <w:t>大写：人民币         元整</w:t>
            </w:r>
          </w:p>
          <w:p w14:paraId="10AAF631">
            <w:pPr>
              <w:keepNext w:val="0"/>
              <w:keepLines w:val="0"/>
              <w:widowControl/>
              <w:suppressLineNumbers w:val="0"/>
              <w:spacing w:before="0" w:beforeAutospacing="0" w:after="0" w:afterAutospacing="0" w:line="300" w:lineRule="atLeast"/>
              <w:ind w:left="0" w:right="0"/>
              <w:rPr>
                <w:rFonts w:hint="default" w:ascii="仿宋" w:hAnsi="仿宋" w:eastAsia="仿宋" w:cs="仿宋"/>
                <w:kern w:val="0"/>
                <w:sz w:val="24"/>
              </w:rPr>
            </w:pPr>
            <w:r>
              <w:rPr>
                <w:rFonts w:hint="eastAsia" w:ascii="仿宋" w:hAnsi="仿宋" w:eastAsia="仿宋" w:cs="仿宋"/>
                <w:kern w:val="0"/>
                <w:sz w:val="24"/>
              </w:rPr>
              <w:t>小写：</w:t>
            </w:r>
            <w:r>
              <w:rPr>
                <w:rFonts w:hint="default" w:ascii="Calibri" w:hAnsi="Calibri" w:eastAsia="仿宋" w:cs="Calibri"/>
                <w:kern w:val="0"/>
                <w:sz w:val="24"/>
              </w:rPr>
              <w:t>¥</w:t>
            </w:r>
            <w:r>
              <w:rPr>
                <w:rFonts w:hint="eastAsia" w:ascii="仿宋" w:hAnsi="仿宋" w:eastAsia="仿宋" w:cs="仿宋"/>
                <w:kern w:val="0"/>
                <w:sz w:val="24"/>
              </w:rPr>
              <w:t xml:space="preserve"> </w:t>
            </w:r>
          </w:p>
        </w:tc>
      </w:tr>
    </w:tbl>
    <w:p w14:paraId="4A0663C9">
      <w:pPr>
        <w:spacing w:after="60" w:line="360" w:lineRule="auto"/>
        <w:ind w:firstLine="552" w:firstLineChars="230"/>
        <w:rPr>
          <w:rFonts w:ascii="仿宋" w:hAnsi="仿宋" w:eastAsia="仿宋" w:cs="仿宋"/>
          <w:sz w:val="24"/>
        </w:rPr>
      </w:pPr>
      <w:r>
        <w:rPr>
          <w:rFonts w:hint="eastAsia" w:ascii="仿宋" w:hAnsi="仿宋" w:eastAsia="仿宋" w:cs="仿宋"/>
          <w:sz w:val="24"/>
        </w:rPr>
        <w:t>2、乙方提供的货物及服务必须满足采购文件的各项要求。</w:t>
      </w:r>
    </w:p>
    <w:p w14:paraId="2FFB92B7">
      <w:pPr>
        <w:spacing w:after="60" w:line="360" w:lineRule="auto"/>
        <w:ind w:firstLine="552" w:firstLineChars="230"/>
        <w:rPr>
          <w:rFonts w:ascii="仿宋" w:hAnsi="仿宋" w:eastAsia="仿宋" w:cs="仿宋"/>
          <w:sz w:val="24"/>
        </w:rPr>
      </w:pPr>
      <w:r>
        <w:rPr>
          <w:rFonts w:hint="eastAsia" w:ascii="仿宋" w:hAnsi="仿宋" w:eastAsia="仿宋" w:cs="仿宋"/>
          <w:sz w:val="24"/>
        </w:rPr>
        <w:t>3、乙方提供的运输、装卸、检验、技术服务、质保期等服务不得低于采购文件的要求及投标文件承诺的标准。</w:t>
      </w:r>
      <w:bookmarkStart w:id="148" w:name="_Toc81879412"/>
    </w:p>
    <w:p w14:paraId="02945657">
      <w:pPr>
        <w:spacing w:after="60" w:line="360" w:lineRule="auto"/>
        <w:rPr>
          <w:rFonts w:ascii="仿宋" w:hAnsi="仿宋" w:eastAsia="仿宋" w:cs="仿宋"/>
          <w:b/>
          <w:bCs/>
          <w:sz w:val="24"/>
        </w:rPr>
      </w:pPr>
      <w:r>
        <w:rPr>
          <w:rFonts w:hint="eastAsia" w:ascii="仿宋" w:hAnsi="仿宋" w:eastAsia="仿宋" w:cs="仿宋"/>
          <w:b/>
          <w:bCs/>
          <w:sz w:val="24"/>
        </w:rPr>
        <w:t>二、价格：</w:t>
      </w:r>
      <w:bookmarkEnd w:id="148"/>
    </w:p>
    <w:p w14:paraId="4A7F75C2">
      <w:pPr>
        <w:spacing w:after="60" w:line="360" w:lineRule="auto"/>
        <w:ind w:firstLine="552" w:firstLineChars="230"/>
        <w:rPr>
          <w:rFonts w:ascii="仿宋" w:hAnsi="仿宋" w:eastAsia="仿宋" w:cs="仿宋"/>
          <w:b/>
          <w:sz w:val="24"/>
        </w:rPr>
      </w:pPr>
      <w:r>
        <w:rPr>
          <w:rFonts w:hint="eastAsia" w:ascii="仿宋" w:hAnsi="仿宋" w:eastAsia="仿宋" w:cs="仿宋"/>
          <w:sz w:val="24"/>
        </w:rPr>
        <w:t>1、本合同价款总额为：大写：</w:t>
      </w:r>
      <w:r>
        <w:rPr>
          <w:rFonts w:hint="eastAsia" w:ascii="仿宋" w:hAnsi="仿宋" w:eastAsia="仿宋" w:cs="仿宋"/>
          <w:sz w:val="24"/>
          <w:u w:val="single"/>
        </w:rPr>
        <w:t xml:space="preserve">人民币 </w:t>
      </w:r>
      <w:r>
        <w:rPr>
          <w:rFonts w:hint="eastAsia" w:ascii="仿宋" w:hAnsi="仿宋" w:eastAsia="仿宋" w:cs="仿宋"/>
          <w:kern w:val="0"/>
          <w:sz w:val="24"/>
          <w:u w:val="single"/>
        </w:rPr>
        <w:t xml:space="preserve"> </w:t>
      </w:r>
      <w:r>
        <w:rPr>
          <w:rFonts w:ascii="仿宋" w:hAnsi="仿宋" w:eastAsia="仿宋" w:cs="仿宋"/>
          <w:kern w:val="0"/>
          <w:sz w:val="24"/>
          <w:u w:val="single"/>
        </w:rPr>
        <w:t xml:space="preserve">      </w:t>
      </w:r>
      <w:r>
        <w:rPr>
          <w:rFonts w:hint="eastAsia" w:ascii="仿宋" w:hAnsi="仿宋" w:eastAsia="仿宋" w:cs="仿宋"/>
          <w:sz w:val="24"/>
          <w:u w:val="single"/>
        </w:rPr>
        <w:t>元整</w:t>
      </w:r>
      <w:r>
        <w:rPr>
          <w:rFonts w:hint="eastAsia" w:ascii="仿宋" w:hAnsi="仿宋" w:eastAsia="仿宋" w:cs="仿宋"/>
          <w:sz w:val="24"/>
        </w:rPr>
        <w:t>，小写：</w:t>
      </w:r>
      <w:r>
        <w:rPr>
          <w:rFonts w:hint="eastAsia" w:ascii="仿宋" w:hAnsi="仿宋" w:eastAsia="仿宋" w:cs="仿宋"/>
          <w:sz w:val="24"/>
          <w:u w:val="single"/>
        </w:rPr>
        <w:t>¥</w:t>
      </w:r>
      <w:r>
        <w:rPr>
          <w:rFonts w:ascii="仿宋" w:hAnsi="仿宋" w:eastAsia="仿宋" w:cs="仿宋"/>
          <w:kern w:val="0"/>
          <w:sz w:val="24"/>
          <w:u w:val="single"/>
        </w:rPr>
        <w:t xml:space="preserve">      </w:t>
      </w:r>
      <w:r>
        <w:rPr>
          <w:rFonts w:hint="eastAsia" w:ascii="仿宋" w:hAnsi="仿宋" w:eastAsia="仿宋" w:cs="仿宋"/>
          <w:sz w:val="24"/>
        </w:rPr>
        <w:t>。</w:t>
      </w:r>
    </w:p>
    <w:p w14:paraId="120D9BDF">
      <w:pPr>
        <w:spacing w:after="60" w:line="360" w:lineRule="auto"/>
        <w:ind w:firstLine="552" w:firstLineChars="230"/>
        <w:rPr>
          <w:rFonts w:ascii="仿宋" w:hAnsi="仿宋" w:eastAsia="仿宋" w:cs="仿宋"/>
          <w:sz w:val="24"/>
        </w:rPr>
      </w:pPr>
      <w:r>
        <w:rPr>
          <w:rFonts w:hint="eastAsia" w:ascii="仿宋" w:hAnsi="仿宋" w:eastAsia="仿宋" w:cs="仿宋"/>
          <w:sz w:val="24"/>
        </w:rPr>
        <w:t>2、合同价格为：指定地点交货价，</w:t>
      </w:r>
      <w:bookmarkStart w:id="149" w:name="_Toc81879413"/>
      <w:r>
        <w:rPr>
          <w:rFonts w:hint="eastAsia" w:ascii="仿宋" w:hAnsi="仿宋" w:eastAsia="仿宋" w:cs="仿宋"/>
          <w:sz w:val="24"/>
        </w:rPr>
        <w:t>包含全系统集成费用，包括设备调试费用、人员培训费及其它所需配件等所需线材辅料等一切费用。在本合同履行期间,该价格不受市场任何因素影响。</w:t>
      </w:r>
    </w:p>
    <w:p w14:paraId="2808C096">
      <w:pPr>
        <w:spacing w:after="60" w:line="360" w:lineRule="auto"/>
        <w:rPr>
          <w:rFonts w:ascii="仿宋" w:hAnsi="仿宋" w:eastAsia="仿宋" w:cs="仿宋"/>
          <w:b/>
          <w:bCs/>
          <w:sz w:val="24"/>
        </w:rPr>
      </w:pPr>
      <w:r>
        <w:rPr>
          <w:rFonts w:hint="eastAsia" w:ascii="仿宋" w:hAnsi="仿宋" w:eastAsia="仿宋" w:cs="仿宋"/>
          <w:b/>
          <w:bCs/>
          <w:sz w:val="24"/>
        </w:rPr>
        <w:t>三、货物质量要求及乙方对质量负责条件和期限：</w:t>
      </w:r>
      <w:bookmarkEnd w:id="149"/>
    </w:p>
    <w:p w14:paraId="3A6BC788">
      <w:pPr>
        <w:spacing w:after="60" w:line="360" w:lineRule="auto"/>
        <w:ind w:firstLine="552" w:firstLineChars="230"/>
        <w:rPr>
          <w:rFonts w:ascii="仿宋" w:hAnsi="仿宋" w:eastAsia="仿宋" w:cs="仿宋"/>
          <w:sz w:val="24"/>
        </w:rPr>
      </w:pPr>
      <w:r>
        <w:rPr>
          <w:rFonts w:hint="eastAsia" w:ascii="仿宋" w:hAnsi="仿宋" w:eastAsia="仿宋" w:cs="仿宋"/>
          <w:sz w:val="24"/>
        </w:rPr>
        <w:t>1、免费质保期限：原厂三年主机全保服务。</w:t>
      </w:r>
    </w:p>
    <w:p w14:paraId="7DAB714F">
      <w:pPr>
        <w:spacing w:after="60" w:line="360" w:lineRule="auto"/>
        <w:ind w:firstLine="552" w:firstLineChars="230"/>
        <w:rPr>
          <w:rFonts w:ascii="仿宋" w:hAnsi="仿宋" w:eastAsia="仿宋" w:cs="仿宋"/>
          <w:sz w:val="24"/>
        </w:rPr>
      </w:pPr>
      <w:r>
        <w:rPr>
          <w:rFonts w:hint="eastAsia" w:ascii="仿宋" w:hAnsi="仿宋" w:eastAsia="仿宋" w:cs="仿宋"/>
          <w:sz w:val="24"/>
        </w:rPr>
        <w:t>2、货物质量：乙方提供的货物必须符合中华人民共和国国家及行业有关标准。</w:t>
      </w:r>
    </w:p>
    <w:p w14:paraId="29CD0CF9">
      <w:pPr>
        <w:tabs>
          <w:tab w:val="left" w:pos="360"/>
        </w:tabs>
        <w:spacing w:after="60" w:line="360" w:lineRule="auto"/>
        <w:rPr>
          <w:rFonts w:ascii="仿宋" w:hAnsi="仿宋" w:eastAsia="仿宋" w:cs="仿宋"/>
          <w:b/>
          <w:bCs/>
          <w:sz w:val="24"/>
        </w:rPr>
      </w:pPr>
      <w:bookmarkStart w:id="150" w:name="_Toc81879414"/>
      <w:r>
        <w:rPr>
          <w:rFonts w:hint="eastAsia" w:ascii="仿宋" w:hAnsi="仿宋" w:eastAsia="仿宋" w:cs="仿宋"/>
          <w:b/>
          <w:bCs/>
          <w:sz w:val="24"/>
        </w:rPr>
        <w:t>四、包装及运输：</w:t>
      </w:r>
      <w:bookmarkEnd w:id="150"/>
    </w:p>
    <w:p w14:paraId="5D8412C2">
      <w:pPr>
        <w:spacing w:after="60" w:line="360" w:lineRule="auto"/>
        <w:ind w:firstLine="552" w:firstLineChars="230"/>
        <w:rPr>
          <w:rFonts w:ascii="仿宋" w:hAnsi="仿宋" w:eastAsia="仿宋" w:cs="仿宋"/>
          <w:sz w:val="24"/>
        </w:rPr>
      </w:pPr>
      <w:r>
        <w:rPr>
          <w:rFonts w:hint="eastAsia" w:ascii="仿宋" w:hAnsi="仿宋" w:eastAsia="仿宋" w:cs="仿宋"/>
          <w:sz w:val="24"/>
        </w:rPr>
        <w:t>1、由乙方提供符合本合同项下货物运输的必要包装方式，符合采购文件的要求。</w:t>
      </w:r>
    </w:p>
    <w:p w14:paraId="6CE1C6DD">
      <w:pPr>
        <w:spacing w:after="60" w:line="360" w:lineRule="auto"/>
        <w:ind w:firstLine="552" w:firstLineChars="230"/>
        <w:rPr>
          <w:rFonts w:ascii="仿宋" w:hAnsi="仿宋" w:eastAsia="仿宋" w:cs="仿宋"/>
          <w:sz w:val="24"/>
        </w:rPr>
      </w:pPr>
      <w:r>
        <w:rPr>
          <w:rFonts w:hint="eastAsia" w:ascii="仿宋" w:hAnsi="仿宋" w:eastAsia="仿宋" w:cs="仿宋"/>
          <w:sz w:val="24"/>
        </w:rPr>
        <w:t>2、包装物材料及包装方式必须同时符合国家有关强制性要求，否则可能导致的延误由乙方承担责任。</w:t>
      </w:r>
    </w:p>
    <w:p w14:paraId="36D759E2">
      <w:pPr>
        <w:tabs>
          <w:tab w:val="left" w:pos="360"/>
        </w:tabs>
        <w:spacing w:after="60" w:line="360" w:lineRule="auto"/>
        <w:rPr>
          <w:rFonts w:ascii="仿宋" w:hAnsi="仿宋" w:eastAsia="仿宋" w:cs="仿宋"/>
          <w:b/>
          <w:bCs/>
          <w:sz w:val="24"/>
        </w:rPr>
      </w:pPr>
      <w:bookmarkStart w:id="151" w:name="_Toc81879415"/>
      <w:r>
        <w:rPr>
          <w:rFonts w:hint="eastAsia" w:ascii="仿宋" w:hAnsi="仿宋" w:eastAsia="仿宋" w:cs="仿宋"/>
          <w:b/>
          <w:bCs/>
          <w:sz w:val="24"/>
        </w:rPr>
        <w:t>五、交货及验收：</w:t>
      </w:r>
      <w:bookmarkEnd w:id="151"/>
    </w:p>
    <w:p w14:paraId="72897558">
      <w:pPr>
        <w:spacing w:after="60" w:line="360" w:lineRule="auto"/>
        <w:ind w:firstLine="480" w:firstLineChars="200"/>
        <w:rPr>
          <w:rFonts w:ascii="仿宋" w:hAnsi="仿宋" w:eastAsia="仿宋" w:cs="仿宋"/>
          <w:sz w:val="24"/>
        </w:rPr>
      </w:pPr>
      <w:bookmarkStart w:id="152" w:name="_Toc81879417"/>
      <w:r>
        <w:rPr>
          <w:rFonts w:hint="eastAsia" w:ascii="仿宋" w:hAnsi="仿宋" w:eastAsia="仿宋" w:cs="仿宋"/>
          <w:sz w:val="24"/>
        </w:rPr>
        <w:t>1、交货地点:南通市妇幼保健院指定地点。</w:t>
      </w:r>
    </w:p>
    <w:p w14:paraId="60F76579">
      <w:pPr>
        <w:spacing w:after="60" w:line="360" w:lineRule="auto"/>
        <w:ind w:firstLine="480" w:firstLineChars="200"/>
        <w:rPr>
          <w:rFonts w:ascii="仿宋" w:hAnsi="仿宋" w:eastAsia="仿宋" w:cs="仿宋"/>
          <w:sz w:val="24"/>
        </w:rPr>
      </w:pPr>
      <w:r>
        <w:rPr>
          <w:rFonts w:hint="eastAsia" w:ascii="仿宋" w:hAnsi="仿宋" w:eastAsia="仿宋" w:cs="仿宋"/>
          <w:sz w:val="24"/>
        </w:rPr>
        <w:t>2、交货时间:自合同签定之日起 20 天内，完成全部货物的现场安装部署调试工作 (因采购单位原因造成的延期除外)。</w:t>
      </w:r>
    </w:p>
    <w:p w14:paraId="3B59B525">
      <w:pPr>
        <w:spacing w:after="60" w:line="360" w:lineRule="auto"/>
        <w:ind w:firstLine="480" w:firstLineChars="200"/>
        <w:rPr>
          <w:rFonts w:ascii="仿宋" w:hAnsi="仿宋" w:eastAsia="仿宋" w:cs="仿宋"/>
          <w:sz w:val="24"/>
        </w:rPr>
      </w:pPr>
      <w:r>
        <w:rPr>
          <w:rFonts w:hint="eastAsia" w:ascii="仿宋" w:hAnsi="仿宋" w:eastAsia="仿宋" w:cs="仿宋"/>
          <w:sz w:val="24"/>
        </w:rPr>
        <w:t>3、验收要求:采购单位按合同约定积极配合供应商履约，按合同约定及时组织相关专业技术人员，必要时邀请财政等部门共同参与验收，并出具验收报告，验收合格的作为支付货款的依据。</w:t>
      </w:r>
    </w:p>
    <w:p w14:paraId="7E88B81F">
      <w:pPr>
        <w:spacing w:after="60" w:line="360" w:lineRule="auto"/>
        <w:rPr>
          <w:rFonts w:ascii="仿宋" w:hAnsi="仿宋" w:eastAsia="仿宋" w:cs="仿宋"/>
          <w:b/>
          <w:bCs/>
          <w:sz w:val="24"/>
        </w:rPr>
      </w:pPr>
      <w:r>
        <w:rPr>
          <w:rFonts w:hint="eastAsia" w:ascii="仿宋" w:hAnsi="仿宋" w:eastAsia="仿宋" w:cs="仿宋"/>
          <w:b/>
          <w:bCs/>
          <w:sz w:val="24"/>
        </w:rPr>
        <w:t>六、结算及付款方式：</w:t>
      </w:r>
      <w:bookmarkEnd w:id="152"/>
    </w:p>
    <w:p w14:paraId="7345BD31">
      <w:pPr>
        <w:spacing w:after="60" w:line="360" w:lineRule="auto"/>
        <w:ind w:firstLine="552" w:firstLineChars="230"/>
        <w:rPr>
          <w:rFonts w:ascii="仿宋" w:hAnsi="仿宋" w:eastAsia="仿宋" w:cs="仿宋"/>
          <w:sz w:val="24"/>
        </w:rPr>
      </w:pPr>
      <w:bookmarkStart w:id="153" w:name="_Toc81879418"/>
      <w:r>
        <w:rPr>
          <w:rFonts w:hint="eastAsia" w:ascii="仿宋" w:hAnsi="仿宋" w:eastAsia="仿宋" w:cs="仿宋"/>
          <w:sz w:val="24"/>
        </w:rPr>
        <w:t>1、项目经验收合格后，甲方在15个工作日内按支付流程向成交供应商支付合同金额的90%（</w:t>
      </w:r>
      <w:r>
        <w:rPr>
          <w:rFonts w:hint="eastAsia" w:ascii="仿宋" w:hAnsi="仿宋" w:eastAsia="仿宋" w:cs="仿宋"/>
          <w:sz w:val="24"/>
          <w:u w:val="single"/>
        </w:rPr>
        <w:t>¥</w:t>
      </w:r>
      <w:r>
        <w:rPr>
          <w:rFonts w:ascii="仿宋" w:hAnsi="仿宋" w:eastAsia="仿宋" w:cs="仿宋"/>
          <w:sz w:val="24"/>
          <w:u w:val="single"/>
        </w:rPr>
        <w:t xml:space="preserve">   </w:t>
      </w:r>
      <w:r>
        <w:rPr>
          <w:rFonts w:hint="eastAsia" w:ascii="仿宋" w:hAnsi="仿宋" w:eastAsia="仿宋" w:cs="仿宋"/>
          <w:sz w:val="24"/>
        </w:rPr>
        <w:t>），质保期满付清10%余款（</w:t>
      </w:r>
      <w:r>
        <w:rPr>
          <w:rFonts w:hint="eastAsia" w:ascii="仿宋" w:hAnsi="仿宋" w:eastAsia="仿宋" w:cs="仿宋"/>
          <w:sz w:val="24"/>
          <w:u w:val="single"/>
        </w:rPr>
        <w:t>¥</w:t>
      </w:r>
      <w:r>
        <w:rPr>
          <w:rFonts w:ascii="仿宋" w:hAnsi="仿宋" w:eastAsia="仿宋" w:cs="仿宋"/>
          <w:sz w:val="24"/>
          <w:u w:val="single"/>
        </w:rPr>
        <w:t xml:space="preserve">    </w:t>
      </w:r>
      <w:r>
        <w:rPr>
          <w:rFonts w:hint="eastAsia" w:ascii="仿宋" w:hAnsi="仿宋" w:eastAsia="仿宋" w:cs="仿宋"/>
          <w:sz w:val="24"/>
        </w:rPr>
        <w:t>）。</w:t>
      </w:r>
    </w:p>
    <w:p w14:paraId="4D1DE151">
      <w:pPr>
        <w:tabs>
          <w:tab w:val="left" w:pos="360"/>
        </w:tabs>
        <w:spacing w:after="60" w:line="360" w:lineRule="auto"/>
        <w:rPr>
          <w:rFonts w:ascii="仿宋" w:hAnsi="仿宋" w:eastAsia="仿宋" w:cs="仿宋"/>
          <w:b/>
          <w:bCs/>
          <w:sz w:val="24"/>
        </w:rPr>
      </w:pPr>
      <w:r>
        <w:rPr>
          <w:rFonts w:hint="eastAsia" w:ascii="仿宋" w:hAnsi="仿宋" w:eastAsia="仿宋" w:cs="仿宋"/>
          <w:b/>
          <w:bCs/>
          <w:sz w:val="24"/>
        </w:rPr>
        <w:t>七、安装、售后服务内容:</w:t>
      </w:r>
    </w:p>
    <w:p w14:paraId="53E78EC0">
      <w:pPr>
        <w:tabs>
          <w:tab w:val="left" w:pos="360"/>
        </w:tabs>
        <w:spacing w:after="60" w:line="360" w:lineRule="auto"/>
        <w:ind w:firstLine="480" w:firstLineChars="200"/>
        <w:rPr>
          <w:rFonts w:ascii="仿宋" w:hAnsi="仿宋" w:eastAsia="仿宋" w:cs="仿宋"/>
          <w:bCs/>
          <w:sz w:val="24"/>
        </w:rPr>
      </w:pPr>
      <w:r>
        <w:rPr>
          <w:rFonts w:hint="eastAsia" w:ascii="仿宋" w:hAnsi="仿宋" w:eastAsia="仿宋" w:cs="仿宋"/>
          <w:bCs/>
          <w:sz w:val="24"/>
        </w:rPr>
        <w:t>乙方必须负责安装、调试直至合格交付使用。本项目货物为配合临产室工作站使用，如在此过程中出现匹配差异,乙方需配合解决问题，且不再收取额外费用。甲方向乙方发出服务通知后，乙方应当立即着手解决使用问题，在必要的情况下赶往甲方现场，一般故障须在2小时内解决，重大故障须在 24 小时内解决。</w:t>
      </w:r>
    </w:p>
    <w:p w14:paraId="7B2CA50A">
      <w:pPr>
        <w:tabs>
          <w:tab w:val="left" w:pos="360"/>
        </w:tabs>
        <w:spacing w:after="60" w:line="360" w:lineRule="auto"/>
        <w:rPr>
          <w:rFonts w:ascii="仿宋" w:hAnsi="仿宋" w:eastAsia="仿宋" w:cs="仿宋"/>
          <w:b/>
          <w:bCs/>
          <w:sz w:val="24"/>
        </w:rPr>
      </w:pPr>
      <w:r>
        <w:rPr>
          <w:rFonts w:hint="eastAsia" w:ascii="仿宋" w:hAnsi="仿宋" w:eastAsia="仿宋" w:cs="仿宋"/>
          <w:b/>
          <w:bCs/>
          <w:sz w:val="24"/>
        </w:rPr>
        <w:t>八、知识产权条款：</w:t>
      </w:r>
    </w:p>
    <w:p w14:paraId="0BC7DB87">
      <w:pPr>
        <w:spacing w:after="60" w:line="360" w:lineRule="auto"/>
        <w:ind w:firstLine="552" w:firstLineChars="230"/>
        <w:rPr>
          <w:rFonts w:ascii="仿宋" w:hAnsi="仿宋" w:eastAsia="仿宋" w:cs="仿宋"/>
          <w:sz w:val="24"/>
        </w:rPr>
      </w:pPr>
      <w:r>
        <w:rPr>
          <w:rFonts w:hint="eastAsia" w:ascii="仿宋" w:hAnsi="仿宋" w:eastAsia="仿宋" w:cs="仿宋"/>
          <w:sz w:val="24"/>
        </w:rPr>
        <w:t>乙方保证软、硬件原厂对其软、硬件拥有全部知识产权。其权利义务不涉及第三方，不存在任何侵权。</w:t>
      </w:r>
    </w:p>
    <w:p w14:paraId="2448E963">
      <w:pPr>
        <w:tabs>
          <w:tab w:val="left" w:pos="360"/>
          <w:tab w:val="left" w:pos="540"/>
        </w:tabs>
        <w:spacing w:after="60" w:line="360" w:lineRule="auto"/>
        <w:rPr>
          <w:rFonts w:ascii="仿宋" w:hAnsi="仿宋" w:eastAsia="仿宋" w:cs="仿宋"/>
          <w:b/>
          <w:bCs/>
          <w:sz w:val="24"/>
        </w:rPr>
      </w:pPr>
      <w:r>
        <w:rPr>
          <w:rFonts w:hint="eastAsia" w:ascii="仿宋" w:hAnsi="仿宋" w:eastAsia="仿宋" w:cs="仿宋"/>
          <w:b/>
          <w:bCs/>
          <w:sz w:val="24"/>
        </w:rPr>
        <w:t>九、保密条款：</w:t>
      </w:r>
    </w:p>
    <w:p w14:paraId="12CA0400">
      <w:pPr>
        <w:spacing w:after="60" w:line="360" w:lineRule="auto"/>
        <w:ind w:firstLine="552" w:firstLineChars="230"/>
        <w:rPr>
          <w:rFonts w:ascii="仿宋" w:hAnsi="仿宋" w:eastAsia="仿宋" w:cs="仿宋"/>
          <w:sz w:val="24"/>
        </w:rPr>
      </w:pPr>
      <w:r>
        <w:rPr>
          <w:rFonts w:hint="eastAsia" w:ascii="仿宋" w:hAnsi="仿宋" w:eastAsia="仿宋" w:cs="仿宋"/>
          <w:sz w:val="24"/>
        </w:rPr>
        <w:t>双方不得向第三者泄露、转让本合同涉及的技术、商务资料。</w:t>
      </w:r>
    </w:p>
    <w:p w14:paraId="0E57ACDC">
      <w:pPr>
        <w:tabs>
          <w:tab w:val="left" w:pos="360"/>
          <w:tab w:val="left" w:pos="540"/>
        </w:tabs>
        <w:spacing w:after="60" w:line="360" w:lineRule="auto"/>
        <w:rPr>
          <w:rFonts w:ascii="仿宋" w:hAnsi="仿宋" w:eastAsia="仿宋" w:cs="仿宋"/>
          <w:b/>
          <w:bCs/>
          <w:sz w:val="24"/>
        </w:rPr>
      </w:pPr>
      <w:r>
        <w:rPr>
          <w:rFonts w:hint="eastAsia" w:ascii="仿宋" w:hAnsi="仿宋" w:eastAsia="仿宋" w:cs="仿宋"/>
          <w:b/>
          <w:bCs/>
          <w:sz w:val="24"/>
        </w:rPr>
        <w:t>十、履约约定：</w:t>
      </w:r>
      <w:bookmarkEnd w:id="153"/>
    </w:p>
    <w:p w14:paraId="21D05C8D">
      <w:pPr>
        <w:spacing w:after="60" w:line="360" w:lineRule="auto"/>
        <w:ind w:firstLine="552" w:firstLineChars="230"/>
        <w:rPr>
          <w:rFonts w:ascii="仿宋" w:hAnsi="仿宋" w:eastAsia="仿宋" w:cs="仿宋"/>
          <w:sz w:val="24"/>
        </w:rPr>
      </w:pPr>
      <w:r>
        <w:rPr>
          <w:rFonts w:hint="eastAsia" w:ascii="仿宋" w:hAnsi="仿宋" w:eastAsia="仿宋" w:cs="仿宋"/>
          <w:sz w:val="24"/>
        </w:rPr>
        <w:t>1、在设备安装调试完成后，甲方将通知乙方共同组织验收，对通知而未参加的视同接受验收结论。</w:t>
      </w:r>
    </w:p>
    <w:p w14:paraId="2D412E36">
      <w:pPr>
        <w:spacing w:after="60" w:line="360" w:lineRule="auto"/>
        <w:ind w:firstLine="552" w:firstLineChars="230"/>
        <w:rPr>
          <w:rFonts w:ascii="仿宋" w:hAnsi="仿宋" w:eastAsia="仿宋" w:cs="仿宋"/>
          <w:sz w:val="24"/>
        </w:rPr>
      </w:pPr>
      <w:r>
        <w:rPr>
          <w:rFonts w:hint="eastAsia" w:ascii="仿宋" w:hAnsi="仿宋" w:eastAsia="仿宋" w:cs="仿宋"/>
          <w:sz w:val="24"/>
        </w:rPr>
        <w:t>2、在供货过程中，若未按期供货的每延迟1天将按未按期供货货款的1% 以处罚扣减；若供货出现瑕疵但尚未影响使用，按供货货款的1-5%予以处罚扣减；若严重偏离招标技术标准供货，造成项目要求不达标的将不付货款，本次所供产品全部退货，并根据此次供货情况对采购单位造成的损失进行赔偿。</w:t>
      </w:r>
    </w:p>
    <w:p w14:paraId="6507DD5A">
      <w:pPr>
        <w:spacing w:after="60" w:line="360" w:lineRule="auto"/>
        <w:ind w:firstLine="552" w:firstLineChars="230"/>
        <w:rPr>
          <w:rFonts w:ascii="仿宋" w:hAnsi="仿宋" w:eastAsia="仿宋" w:cs="仿宋"/>
          <w:sz w:val="24"/>
        </w:rPr>
      </w:pPr>
      <w:r>
        <w:rPr>
          <w:rFonts w:hint="eastAsia" w:ascii="仿宋" w:hAnsi="仿宋" w:eastAsia="仿宋" w:cs="仿宋"/>
          <w:sz w:val="24"/>
        </w:rPr>
        <w:t>3、甲方无正当理由拒收货物，拒付货款的，甲方向乙方偿付该批货物总额10%的违约金。</w:t>
      </w:r>
    </w:p>
    <w:p w14:paraId="2E947B46">
      <w:pPr>
        <w:spacing w:after="60" w:line="360" w:lineRule="auto"/>
        <w:ind w:firstLine="552" w:firstLineChars="230"/>
        <w:rPr>
          <w:rFonts w:ascii="仿宋" w:hAnsi="仿宋" w:eastAsia="仿宋" w:cs="仿宋"/>
          <w:sz w:val="24"/>
        </w:rPr>
      </w:pPr>
      <w:r>
        <w:rPr>
          <w:rFonts w:hint="eastAsia" w:ascii="仿宋" w:hAnsi="仿宋" w:eastAsia="仿宋" w:cs="仿宋"/>
          <w:sz w:val="24"/>
        </w:rPr>
        <w:t>4、甲方无正当理由逾期付款的，则每日按该批货物总额3%向乙方偿付违约金。</w:t>
      </w:r>
    </w:p>
    <w:p w14:paraId="45A90642">
      <w:pPr>
        <w:spacing w:after="60" w:line="360" w:lineRule="auto"/>
        <w:ind w:firstLine="552" w:firstLineChars="230"/>
        <w:rPr>
          <w:rFonts w:ascii="仿宋" w:hAnsi="仿宋" w:eastAsia="仿宋" w:cs="仿宋"/>
          <w:sz w:val="24"/>
        </w:rPr>
      </w:pPr>
      <w:r>
        <w:rPr>
          <w:rFonts w:hint="eastAsia" w:ascii="仿宋" w:hAnsi="仿宋" w:eastAsia="仿宋" w:cs="仿宋"/>
          <w:sz w:val="24"/>
        </w:rPr>
        <w:t>5、因乙方不能按期交货，甲方有权购甲其他产品替代该批货物，由此产生的差价损失由乙方支付。</w:t>
      </w:r>
      <w:bookmarkStart w:id="154" w:name="_Toc81879419"/>
      <w:r>
        <w:rPr>
          <w:rFonts w:hint="eastAsia" w:ascii="仿宋" w:hAnsi="仿宋" w:eastAsia="仿宋" w:cs="仿宋"/>
          <w:sz w:val="24"/>
        </w:rPr>
        <w:t xml:space="preserve"> </w:t>
      </w:r>
    </w:p>
    <w:p w14:paraId="220955F8">
      <w:pPr>
        <w:numPr>
          <w:ilvl w:val="1"/>
          <w:numId w:val="0"/>
        </w:numPr>
        <w:tabs>
          <w:tab w:val="left" w:pos="360"/>
          <w:tab w:val="left" w:pos="540"/>
        </w:tabs>
        <w:spacing w:after="60" w:line="360" w:lineRule="auto"/>
        <w:rPr>
          <w:rFonts w:ascii="仿宋" w:hAnsi="仿宋" w:eastAsia="仿宋" w:cs="仿宋"/>
          <w:b/>
          <w:bCs/>
          <w:sz w:val="24"/>
        </w:rPr>
      </w:pPr>
      <w:r>
        <w:rPr>
          <w:rFonts w:hint="eastAsia" w:ascii="仿宋" w:hAnsi="仿宋" w:eastAsia="仿宋" w:cs="仿宋"/>
          <w:b/>
          <w:bCs/>
          <w:sz w:val="24"/>
        </w:rPr>
        <w:t>十一、不可抗力：</w:t>
      </w:r>
      <w:bookmarkEnd w:id="154"/>
    </w:p>
    <w:p w14:paraId="4FDA4C22">
      <w:pPr>
        <w:spacing w:after="60" w:line="360" w:lineRule="auto"/>
        <w:ind w:firstLine="552" w:firstLineChars="230"/>
        <w:rPr>
          <w:rFonts w:ascii="仿宋" w:hAnsi="仿宋" w:eastAsia="仿宋" w:cs="仿宋"/>
          <w:sz w:val="24"/>
        </w:rPr>
      </w:pPr>
      <w:r>
        <w:rPr>
          <w:rFonts w:hint="eastAsia" w:ascii="仿宋" w:hAnsi="仿宋" w:eastAsia="仿宋" w:cs="仿宋"/>
          <w:sz w:val="24"/>
        </w:rPr>
        <w:t>1、由于不可抗力因素（指火灾、地震、洪水、战争等）使乙方不能在合同规定的期限内交货时，乙方必须立即以书面形式通知甲方，并以书面形式向甲方提供有关政府机关所出具的不可抗力因素证明。</w:t>
      </w:r>
    </w:p>
    <w:p w14:paraId="0EADDBEF">
      <w:pPr>
        <w:spacing w:after="60" w:line="360" w:lineRule="auto"/>
        <w:ind w:firstLine="552" w:firstLineChars="230"/>
        <w:rPr>
          <w:rFonts w:ascii="仿宋" w:hAnsi="仿宋" w:eastAsia="仿宋" w:cs="仿宋"/>
          <w:sz w:val="24"/>
        </w:rPr>
      </w:pPr>
      <w:r>
        <w:rPr>
          <w:rFonts w:hint="eastAsia" w:ascii="仿宋" w:hAnsi="仿宋" w:eastAsia="仿宋" w:cs="仿宋"/>
          <w:sz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155" w:name="_Toc81879420"/>
    </w:p>
    <w:bookmarkEnd w:id="155"/>
    <w:p w14:paraId="25863E8F">
      <w:pPr>
        <w:snapToGrid w:val="0"/>
        <w:spacing w:line="360" w:lineRule="auto"/>
        <w:contextualSpacing/>
        <w:jc w:val="left"/>
        <w:outlineLvl w:val="0"/>
        <w:rPr>
          <w:rFonts w:ascii="仿宋" w:hAnsi="仿宋" w:eastAsia="仿宋" w:cs="仿宋"/>
          <w:b/>
          <w:bCs/>
          <w:sz w:val="24"/>
        </w:rPr>
      </w:pPr>
      <w:bookmarkStart w:id="156" w:name="_Toc81879421"/>
      <w:r>
        <w:rPr>
          <w:rFonts w:hint="eastAsia" w:ascii="仿宋" w:hAnsi="仿宋" w:eastAsia="仿宋" w:cs="仿宋"/>
          <w:b/>
          <w:bCs/>
          <w:sz w:val="24"/>
        </w:rPr>
        <w:t>十二、争议解决：</w:t>
      </w:r>
      <w:bookmarkEnd w:id="156"/>
    </w:p>
    <w:p w14:paraId="1F4B915E">
      <w:pPr>
        <w:spacing w:after="60" w:line="360" w:lineRule="auto"/>
        <w:ind w:firstLine="552" w:firstLineChars="230"/>
        <w:rPr>
          <w:rFonts w:ascii="仿宋" w:hAnsi="仿宋" w:eastAsia="仿宋" w:cs="仿宋"/>
          <w:sz w:val="24"/>
        </w:rPr>
      </w:pPr>
      <w:r>
        <w:rPr>
          <w:rFonts w:hint="eastAsia" w:ascii="仿宋" w:hAnsi="仿宋" w:eastAsia="仿宋" w:cs="仿宋"/>
          <w:sz w:val="24"/>
        </w:rPr>
        <w:t>本合同发生争议，由双方协商调解解决，协商或调解不成时可以向甲方所在地人民法院起诉。</w:t>
      </w:r>
      <w:bookmarkStart w:id="157" w:name="_Toc81879422"/>
    </w:p>
    <w:p w14:paraId="313A306B">
      <w:pPr>
        <w:spacing w:after="60" w:line="360" w:lineRule="auto"/>
        <w:rPr>
          <w:rFonts w:ascii="仿宋" w:hAnsi="仿宋" w:eastAsia="仿宋" w:cs="仿宋"/>
          <w:b/>
          <w:bCs/>
          <w:sz w:val="24"/>
        </w:rPr>
      </w:pPr>
      <w:r>
        <w:rPr>
          <w:rFonts w:hint="eastAsia" w:ascii="仿宋" w:hAnsi="仿宋" w:eastAsia="仿宋" w:cs="仿宋"/>
          <w:b/>
          <w:bCs/>
          <w:sz w:val="24"/>
        </w:rPr>
        <w:t>十三、合同构成：</w:t>
      </w:r>
      <w:bookmarkEnd w:id="157"/>
    </w:p>
    <w:p w14:paraId="6326A029">
      <w:pPr>
        <w:spacing w:after="60" w:line="360" w:lineRule="auto"/>
        <w:ind w:firstLine="552" w:firstLineChars="230"/>
        <w:rPr>
          <w:rFonts w:ascii="仿宋" w:hAnsi="仿宋" w:eastAsia="仿宋" w:cs="仿宋"/>
          <w:sz w:val="24"/>
        </w:rPr>
      </w:pPr>
      <w:r>
        <w:rPr>
          <w:rFonts w:hint="eastAsia" w:ascii="仿宋" w:hAnsi="仿宋" w:eastAsia="仿宋" w:cs="仿宋"/>
          <w:sz w:val="24"/>
        </w:rPr>
        <w:t>1、下述文件是构成合同不可分割的部分，具有同等的法律效力，应一并阅读和理解</w:t>
      </w:r>
      <w:bookmarkStart w:id="158" w:name="_Toc81879423"/>
      <w:r>
        <w:rPr>
          <w:rFonts w:hint="eastAsia" w:ascii="仿宋" w:hAnsi="仿宋" w:eastAsia="仿宋" w:cs="仿宋"/>
          <w:sz w:val="24"/>
        </w:rPr>
        <w:t>：（1）招标文件；（2）投标文件；（3）中标通知书（如有）</w:t>
      </w:r>
    </w:p>
    <w:p w14:paraId="6051CB06">
      <w:pPr>
        <w:tabs>
          <w:tab w:val="left" w:pos="360"/>
        </w:tabs>
        <w:spacing w:after="60" w:line="360" w:lineRule="auto"/>
        <w:rPr>
          <w:rFonts w:ascii="仿宋" w:hAnsi="仿宋" w:eastAsia="仿宋" w:cs="仿宋"/>
          <w:b/>
          <w:bCs/>
          <w:sz w:val="24"/>
        </w:rPr>
      </w:pPr>
      <w:r>
        <w:rPr>
          <w:rFonts w:hint="eastAsia" w:ascii="仿宋" w:hAnsi="仿宋" w:eastAsia="仿宋" w:cs="仿宋"/>
          <w:b/>
          <w:bCs/>
          <w:sz w:val="24"/>
        </w:rPr>
        <w:t>十四、合同数量：</w:t>
      </w:r>
      <w:bookmarkEnd w:id="158"/>
    </w:p>
    <w:p w14:paraId="7A9DB67A">
      <w:pPr>
        <w:spacing w:after="60" w:line="360" w:lineRule="auto"/>
        <w:ind w:firstLine="552" w:firstLineChars="230"/>
        <w:rPr>
          <w:rFonts w:ascii="仿宋" w:hAnsi="仿宋" w:eastAsia="仿宋" w:cs="仿宋"/>
          <w:sz w:val="24"/>
        </w:rPr>
      </w:pPr>
      <w:r>
        <w:rPr>
          <w:rFonts w:hint="eastAsia" w:ascii="仿宋" w:hAnsi="仿宋" w:eastAsia="仿宋" w:cs="仿宋"/>
          <w:sz w:val="24"/>
        </w:rPr>
        <w:t>1、本合同壹式肆份，具有同等法律效力，甲方执贰份，乙方执贰份。</w:t>
      </w:r>
      <w:bookmarkStart w:id="159" w:name="_Toc81879424"/>
    </w:p>
    <w:p w14:paraId="41165AD3">
      <w:pPr>
        <w:tabs>
          <w:tab w:val="left" w:pos="360"/>
        </w:tabs>
        <w:spacing w:after="60" w:line="360" w:lineRule="auto"/>
        <w:rPr>
          <w:rFonts w:ascii="仿宋" w:hAnsi="仿宋" w:eastAsia="仿宋" w:cs="仿宋"/>
          <w:b/>
          <w:bCs/>
          <w:sz w:val="24"/>
        </w:rPr>
      </w:pPr>
      <w:r>
        <w:rPr>
          <w:rFonts w:hint="eastAsia" w:ascii="仿宋" w:hAnsi="仿宋" w:eastAsia="仿宋" w:cs="仿宋"/>
          <w:b/>
          <w:bCs/>
          <w:sz w:val="24"/>
        </w:rPr>
        <w:t>十五、合同未尽事宜：</w:t>
      </w:r>
      <w:bookmarkEnd w:id="159"/>
    </w:p>
    <w:p w14:paraId="65E5BB47">
      <w:pPr>
        <w:spacing w:after="60" w:line="360" w:lineRule="auto"/>
        <w:ind w:firstLine="552" w:firstLineChars="230"/>
        <w:rPr>
          <w:rFonts w:ascii="仿宋" w:hAnsi="仿宋" w:eastAsia="仿宋" w:cs="仿宋"/>
          <w:sz w:val="24"/>
        </w:rPr>
      </w:pPr>
      <w:r>
        <w:rPr>
          <w:rFonts w:hint="eastAsia" w:ascii="仿宋" w:hAnsi="仿宋" w:eastAsia="仿宋" w:cs="仿宋"/>
          <w:sz w:val="24"/>
        </w:rPr>
        <w:t>1、乙方必需加强施工工人的安全生产教育，做到规范安全操作，并承担施工过程中的所有安全责任，一旦发生安全事故与甲方无关。</w:t>
      </w:r>
    </w:p>
    <w:p w14:paraId="146B1A31">
      <w:pPr>
        <w:spacing w:after="60" w:line="360" w:lineRule="auto"/>
        <w:ind w:firstLine="552" w:firstLineChars="230"/>
        <w:rPr>
          <w:rFonts w:ascii="仿宋" w:hAnsi="仿宋" w:eastAsia="仿宋" w:cs="仿宋"/>
          <w:sz w:val="24"/>
        </w:rPr>
      </w:pPr>
      <w:r>
        <w:rPr>
          <w:rFonts w:hint="eastAsia" w:ascii="仿宋" w:hAnsi="仿宋" w:eastAsia="仿宋" w:cs="仿宋"/>
          <w:sz w:val="24"/>
        </w:rPr>
        <w:t>2、合同中未尽事宜，甲乙双方应友好协商，按国家有关法律、法规执行。</w:t>
      </w:r>
    </w:p>
    <w:tbl>
      <w:tblPr>
        <w:tblStyle w:val="31"/>
        <w:tblW w:w="9219" w:type="dxa"/>
        <w:tblInd w:w="0" w:type="dxa"/>
        <w:tblLayout w:type="autofit"/>
        <w:tblCellMar>
          <w:top w:w="0" w:type="dxa"/>
          <w:left w:w="108" w:type="dxa"/>
          <w:bottom w:w="0" w:type="dxa"/>
          <w:right w:w="108" w:type="dxa"/>
        </w:tblCellMar>
      </w:tblPr>
      <w:tblGrid>
        <w:gridCol w:w="4277"/>
        <w:gridCol w:w="4942"/>
      </w:tblGrid>
      <w:tr w14:paraId="7D932465">
        <w:tblPrEx>
          <w:tblCellMar>
            <w:top w:w="0" w:type="dxa"/>
            <w:left w:w="108" w:type="dxa"/>
            <w:bottom w:w="0" w:type="dxa"/>
            <w:right w:w="108" w:type="dxa"/>
          </w:tblCellMar>
        </w:tblPrEx>
        <w:trPr>
          <w:trHeight w:val="438" w:hRule="atLeast"/>
        </w:trPr>
        <w:tc>
          <w:tcPr>
            <w:tcW w:w="4277" w:type="dxa"/>
          </w:tcPr>
          <w:p w14:paraId="06CBBAA0">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甲    方：南通市妇幼保健院（盖章）</w:t>
            </w:r>
          </w:p>
          <w:p w14:paraId="23E37D69">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地址：南通市崇川区世纪大道399号</w:t>
            </w:r>
          </w:p>
          <w:p w14:paraId="10941436">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代表人：（签字）</w:t>
            </w:r>
          </w:p>
          <w:p w14:paraId="660E7ED4">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联系方式：</w:t>
            </w:r>
          </w:p>
          <w:p w14:paraId="6EAA6FFF">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开户行：</w:t>
            </w:r>
          </w:p>
          <w:p w14:paraId="7DB4C9BB">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账号：</w:t>
            </w:r>
          </w:p>
          <w:p w14:paraId="2EC795C3">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 w:val="24"/>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tc>
        <w:tc>
          <w:tcPr>
            <w:tcW w:w="4942" w:type="dxa"/>
          </w:tcPr>
          <w:p w14:paraId="78AFBA89">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 xml:space="preserve">乙    方： </w:t>
            </w:r>
          </w:p>
          <w:p w14:paraId="448CBFD8">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地址：代表人：（签字）</w:t>
            </w:r>
          </w:p>
          <w:p w14:paraId="595D424E">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联系方式：</w:t>
            </w:r>
          </w:p>
          <w:p w14:paraId="0EC1331C">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 xml:space="preserve">开户行： </w:t>
            </w:r>
          </w:p>
          <w:p w14:paraId="5B1AD188">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Cs w:val="21"/>
              </w:rPr>
            </w:pPr>
            <w:r>
              <w:rPr>
                <w:rFonts w:hint="eastAsia" w:ascii="仿宋" w:hAnsi="仿宋" w:eastAsia="仿宋" w:cs="仿宋"/>
                <w:szCs w:val="21"/>
              </w:rPr>
              <w:t xml:space="preserve">账号： </w:t>
            </w:r>
          </w:p>
          <w:p w14:paraId="79A21D2C">
            <w:pPr>
              <w:keepNext w:val="0"/>
              <w:keepLines w:val="0"/>
              <w:suppressLineNumbers w:val="0"/>
              <w:tabs>
                <w:tab w:val="left" w:pos="360"/>
              </w:tabs>
              <w:spacing w:before="0" w:beforeAutospacing="0" w:after="60" w:afterAutospacing="0" w:line="300" w:lineRule="auto"/>
              <w:ind w:left="0" w:right="0"/>
              <w:rPr>
                <w:rFonts w:hint="default" w:ascii="仿宋" w:hAnsi="仿宋" w:eastAsia="仿宋" w:cs="仿宋"/>
                <w:sz w:val="24"/>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tc>
      </w:tr>
    </w:tbl>
    <w:p w14:paraId="394E645C">
      <w:pPr>
        <w:spacing w:after="60" w:line="360" w:lineRule="auto"/>
        <w:jc w:val="center"/>
        <w:rPr>
          <w:rFonts w:hint="eastAsia" w:ascii="仿宋" w:hAnsi="仿宋" w:eastAsia="仿宋" w:cs="仿宋"/>
          <w:color w:val="auto"/>
        </w:rPr>
      </w:pPr>
    </w:p>
    <w:p w14:paraId="2CDD3D3F">
      <w:pPr>
        <w:spacing w:after="60" w:line="360" w:lineRule="auto"/>
        <w:jc w:val="center"/>
        <w:rPr>
          <w:rFonts w:ascii="仿宋" w:hAnsi="仿宋" w:eastAsia="仿宋" w:cs="仿宋"/>
        </w:rPr>
      </w:pPr>
      <w:r>
        <w:rPr>
          <w:rFonts w:ascii="仿宋" w:hAnsi="仿宋" w:eastAsia="仿宋" w:cs="仿宋"/>
        </w:rPr>
        <w:drawing>
          <wp:inline distT="0" distB="0" distL="0" distR="0">
            <wp:extent cx="1308100" cy="1308100"/>
            <wp:effectExtent l="0" t="0" r="6350" b="6350"/>
            <wp:docPr id="2" name="图片 1" descr="4c69e39aceb209dc78fa9aa8a4e7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c69e39aceb209dc78fa9aa8a4e7c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08100" cy="1308100"/>
                    </a:xfrm>
                    <a:prstGeom prst="rect">
                      <a:avLst/>
                    </a:prstGeom>
                    <a:noFill/>
                    <a:ln>
                      <a:noFill/>
                    </a:ln>
                  </pic:spPr>
                </pic:pic>
              </a:graphicData>
            </a:graphic>
          </wp:inline>
        </w:drawing>
      </w:r>
    </w:p>
    <w:p w14:paraId="2D3BFE69">
      <w:pPr>
        <w:pStyle w:val="30"/>
        <w:ind w:firstLine="480"/>
        <w:rPr>
          <w:color w:val="auto"/>
        </w:rPr>
      </w:pPr>
    </w:p>
    <w:sectPr>
      <w:headerReference r:id="rId4" w:type="first"/>
      <w:footerReference r:id="rId6" w:type="first"/>
      <w:headerReference r:id="rId3" w:type="default"/>
      <w:footerReference r:id="rId5" w:type="default"/>
      <w:pgSz w:w="11906" w:h="16838"/>
      <w:pgMar w:top="1304" w:right="991" w:bottom="964" w:left="1800" w:header="907"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832296"/>
      <w:docPartObj>
        <w:docPartGallery w:val="autotext"/>
      </w:docPartObj>
    </w:sdtPr>
    <w:sdtContent>
      <w:p w14:paraId="185351FF">
        <w:pPr>
          <w:pStyle w:val="19"/>
          <w:jc w:val="center"/>
        </w:pPr>
        <w:r>
          <w:fldChar w:fldCharType="begin"/>
        </w:r>
        <w:r>
          <w:instrText xml:space="preserve">PAGE   \* MERGEFORMAT</w:instrText>
        </w:r>
        <w:r>
          <w:fldChar w:fldCharType="separate"/>
        </w:r>
        <w:r>
          <w:rPr>
            <w:lang w:val="zh-CN"/>
          </w:rPr>
          <w:t>2</w:t>
        </w:r>
        <w:r>
          <w:fldChar w:fldCharType="end"/>
        </w:r>
      </w:p>
    </w:sdtContent>
  </w:sdt>
  <w:p w14:paraId="5A9418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93D0">
    <w:pPr>
      <w:pStyle w:val="19"/>
      <w:jc w:val="center"/>
    </w:pPr>
    <w:r>
      <w:t>0</w:t>
    </w:r>
  </w:p>
  <w:p w14:paraId="408FC6E4">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0EC6F">
    <w:pPr>
      <w:rPr>
        <w:sz w:val="18"/>
        <w:szCs w:val="18"/>
        <w:u w:val="single"/>
      </w:rPr>
    </w:pPr>
    <w:r>
      <w:rPr>
        <w:rFonts w:hint="eastAsia"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南通市妇幼保健院</w:t>
    </w:r>
    <w:r>
      <w:rPr>
        <w:rFonts w:hint="eastAsia" w:cs="宋体" w:asciiTheme="majorEastAsia" w:hAnsiTheme="majorEastAsia" w:eastAsiaTheme="majorEastAsia"/>
        <w:b/>
        <w:bCs/>
        <w:color w:val="0D0D0D" w:themeColor="text1" w:themeTint="F2"/>
        <w:kern w:val="0"/>
        <w:sz w:val="18"/>
        <w:szCs w:val="18"/>
        <w:u w:val="single"/>
        <w:lang w:val="en-US" w:eastAsia="zh-CN"/>
        <w14:textFill>
          <w14:solidFill>
            <w14:schemeClr w14:val="tx1">
              <w14:lumMod w14:val="95000"/>
              <w14:lumOff w14:val="5000"/>
            </w14:schemeClr>
          </w14:solidFill>
        </w14:textFill>
      </w:rPr>
      <w:t>2024年</w:t>
    </w:r>
    <w:r>
      <w:rPr>
        <w:rFonts w:hint="eastAsia"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PDA采购项目 </w:t>
    </w:r>
    <w:r>
      <w:rPr>
        <w:rFonts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kern w:val="0"/>
        <w:sz w:val="18"/>
        <w:szCs w:val="18"/>
        <w:u w:val="single"/>
        <w:lang w:val="en-US" w:eastAsia="zh-CN"/>
        <w14:textFill>
          <w14:solidFill>
            <w14:schemeClr w14:val="tx1">
              <w14:lumMod w14:val="95000"/>
              <w14:lumOff w14:val="5000"/>
            </w14:schemeClr>
          </w14:solidFill>
        </w14:textFill>
      </w:rPr>
      <w:t xml:space="preserve">                </w:t>
    </w:r>
    <w:r>
      <w:rPr>
        <w:rFonts w:cs="宋体" w:asciiTheme="majorEastAsia" w:hAnsiTheme="majorEastAsia" w:eastAsiaTheme="majorEastAsia"/>
        <w:b/>
        <w:bCs/>
        <w:color w:val="0D0D0D" w:themeColor="text1" w:themeTint="F2"/>
        <w:kern w:val="0"/>
        <w:sz w:val="18"/>
        <w:szCs w:val="18"/>
        <w:u w:val="single"/>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 w:val="18"/>
        <w:szCs w:val="18"/>
        <w:u w:val="single"/>
        <w14:textFill>
          <w14:solidFill>
            <w14:schemeClr w14:val="tx1">
              <w14:lumMod w14:val="95000"/>
              <w14:lumOff w14:val="5000"/>
            </w14:schemeClr>
          </w14:solidFill>
        </w14:textFill>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B4AD">
    <w:pPr>
      <w:pStyle w:val="21"/>
      <w:jc w:val="left"/>
    </w:pP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南通市妇幼保健院</w:t>
    </w:r>
    <w:r>
      <w:rPr>
        <w:rFonts w:hint="eastAsia" w:cs="宋体" w:asciiTheme="majorEastAsia" w:hAnsiTheme="majorEastAsia" w:eastAsiaTheme="majorEastAsia"/>
        <w:b/>
        <w:bCs/>
        <w:color w:val="0D0D0D" w:themeColor="text1" w:themeTint="F2"/>
        <w:szCs w:val="21"/>
        <w:lang w:val="en-US" w:eastAsia="zh-CN"/>
        <w14:textFill>
          <w14:solidFill>
            <w14:schemeClr w14:val="tx1">
              <w14:lumMod w14:val="95000"/>
              <w14:lumOff w14:val="5000"/>
            </w14:schemeClr>
          </w14:solidFill>
        </w14:textFill>
      </w:rPr>
      <w:t>2024年</w:t>
    </w: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PDA采购项目 </w:t>
    </w:r>
    <w:r>
      <w:rPr>
        <w:rFonts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Cs w:val="21"/>
        <w:lang w:val="en-US" w:eastAsia="zh-CN"/>
        <w14:textFill>
          <w14:solidFill>
            <w14:schemeClr w14:val="tx1">
              <w14:lumMod w14:val="95000"/>
              <w14:lumOff w14:val="5000"/>
            </w14:schemeClr>
          </w14:solidFill>
        </w14:textFill>
      </w:rPr>
      <w:t xml:space="preserve">                </w:t>
    </w:r>
    <w:r>
      <w:rPr>
        <w:rFonts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w:t>
    </w:r>
    <w:r>
      <w:rPr>
        <w:rFonts w:hint="eastAsia" w:cs="宋体" w:asciiTheme="majorEastAsia" w:hAnsiTheme="majorEastAsia" w:eastAsiaTheme="majorEastAsia"/>
        <w:b/>
        <w:bCs/>
        <w:color w:val="0D0D0D" w:themeColor="text1" w:themeTint="F2"/>
        <w:szCs w:val="21"/>
        <w14:textFill>
          <w14:solidFill>
            <w14:schemeClr w14:val="tx1">
              <w14:lumMod w14:val="95000"/>
              <w14:lumOff w14:val="5000"/>
            </w14:schemeClr>
          </w14:solidFill>
        </w14:textFill>
      </w:rPr>
      <w:t xml:space="preserve"> 磋商文件</w:t>
    </w:r>
  </w:p>
  <w:p w14:paraId="570BDF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MTNlZmFjNjZiNzFjMzFjNmM0OTU5ODZiOWVlZDkifQ=="/>
  </w:docVars>
  <w:rsids>
    <w:rsidRoot w:val="00040C5D"/>
    <w:rsid w:val="000003D9"/>
    <w:rsid w:val="000019F1"/>
    <w:rsid w:val="000044EC"/>
    <w:rsid w:val="000110A6"/>
    <w:rsid w:val="000125A1"/>
    <w:rsid w:val="000140FA"/>
    <w:rsid w:val="00014181"/>
    <w:rsid w:val="0001461E"/>
    <w:rsid w:val="0001472C"/>
    <w:rsid w:val="00014B14"/>
    <w:rsid w:val="00014C29"/>
    <w:rsid w:val="0002387A"/>
    <w:rsid w:val="0002424C"/>
    <w:rsid w:val="00024B74"/>
    <w:rsid w:val="00031186"/>
    <w:rsid w:val="00031C4E"/>
    <w:rsid w:val="00034178"/>
    <w:rsid w:val="00035F35"/>
    <w:rsid w:val="00040467"/>
    <w:rsid w:val="00040C5D"/>
    <w:rsid w:val="00041AD0"/>
    <w:rsid w:val="00041D05"/>
    <w:rsid w:val="00041DC6"/>
    <w:rsid w:val="00042C9C"/>
    <w:rsid w:val="00044B67"/>
    <w:rsid w:val="00051B32"/>
    <w:rsid w:val="00053DD0"/>
    <w:rsid w:val="000551C7"/>
    <w:rsid w:val="000551D2"/>
    <w:rsid w:val="00055229"/>
    <w:rsid w:val="0006169A"/>
    <w:rsid w:val="000629C7"/>
    <w:rsid w:val="00065D7B"/>
    <w:rsid w:val="00065F39"/>
    <w:rsid w:val="00066280"/>
    <w:rsid w:val="00067135"/>
    <w:rsid w:val="0007173F"/>
    <w:rsid w:val="000729DC"/>
    <w:rsid w:val="00073E50"/>
    <w:rsid w:val="00076AC4"/>
    <w:rsid w:val="00081C49"/>
    <w:rsid w:val="00093191"/>
    <w:rsid w:val="0009454F"/>
    <w:rsid w:val="000947D3"/>
    <w:rsid w:val="00097288"/>
    <w:rsid w:val="000A0435"/>
    <w:rsid w:val="000A177C"/>
    <w:rsid w:val="000A356F"/>
    <w:rsid w:val="000A3881"/>
    <w:rsid w:val="000A4601"/>
    <w:rsid w:val="000A5761"/>
    <w:rsid w:val="000A57E5"/>
    <w:rsid w:val="000B0B7A"/>
    <w:rsid w:val="000B1447"/>
    <w:rsid w:val="000B2803"/>
    <w:rsid w:val="000B7D0E"/>
    <w:rsid w:val="000C1101"/>
    <w:rsid w:val="000C1E9C"/>
    <w:rsid w:val="000C2328"/>
    <w:rsid w:val="000C380D"/>
    <w:rsid w:val="000C3DF2"/>
    <w:rsid w:val="000C3E68"/>
    <w:rsid w:val="000C4C4E"/>
    <w:rsid w:val="000D046A"/>
    <w:rsid w:val="000D1415"/>
    <w:rsid w:val="000D2C55"/>
    <w:rsid w:val="000D4488"/>
    <w:rsid w:val="000D4C87"/>
    <w:rsid w:val="000D5157"/>
    <w:rsid w:val="000D5F8F"/>
    <w:rsid w:val="000D6681"/>
    <w:rsid w:val="000D6C7E"/>
    <w:rsid w:val="000D7792"/>
    <w:rsid w:val="000E0665"/>
    <w:rsid w:val="000E0A0D"/>
    <w:rsid w:val="000E1CF7"/>
    <w:rsid w:val="000E1D99"/>
    <w:rsid w:val="000E429F"/>
    <w:rsid w:val="000E55F9"/>
    <w:rsid w:val="000E5706"/>
    <w:rsid w:val="000E744A"/>
    <w:rsid w:val="001023D7"/>
    <w:rsid w:val="00103DEE"/>
    <w:rsid w:val="00106431"/>
    <w:rsid w:val="00106EA6"/>
    <w:rsid w:val="001070FF"/>
    <w:rsid w:val="00112AF0"/>
    <w:rsid w:val="001132ED"/>
    <w:rsid w:val="001158DA"/>
    <w:rsid w:val="0011658A"/>
    <w:rsid w:val="00117B50"/>
    <w:rsid w:val="00121223"/>
    <w:rsid w:val="001258F1"/>
    <w:rsid w:val="00127DD8"/>
    <w:rsid w:val="00130284"/>
    <w:rsid w:val="00133C54"/>
    <w:rsid w:val="00136853"/>
    <w:rsid w:val="00140F37"/>
    <w:rsid w:val="001464C1"/>
    <w:rsid w:val="00147767"/>
    <w:rsid w:val="001506D1"/>
    <w:rsid w:val="00151D94"/>
    <w:rsid w:val="00152C2D"/>
    <w:rsid w:val="00153B87"/>
    <w:rsid w:val="001552DC"/>
    <w:rsid w:val="00156FA4"/>
    <w:rsid w:val="00157B6D"/>
    <w:rsid w:val="001628A8"/>
    <w:rsid w:val="00164CBB"/>
    <w:rsid w:val="0016662D"/>
    <w:rsid w:val="00166CEE"/>
    <w:rsid w:val="0016723F"/>
    <w:rsid w:val="00173ECC"/>
    <w:rsid w:val="00173F45"/>
    <w:rsid w:val="001748C2"/>
    <w:rsid w:val="00175904"/>
    <w:rsid w:val="00175975"/>
    <w:rsid w:val="0018199D"/>
    <w:rsid w:val="0018297D"/>
    <w:rsid w:val="00182CF1"/>
    <w:rsid w:val="00183B49"/>
    <w:rsid w:val="001876F6"/>
    <w:rsid w:val="00187747"/>
    <w:rsid w:val="00190750"/>
    <w:rsid w:val="00194916"/>
    <w:rsid w:val="001974DB"/>
    <w:rsid w:val="001A0DB6"/>
    <w:rsid w:val="001A354F"/>
    <w:rsid w:val="001A58A5"/>
    <w:rsid w:val="001B147F"/>
    <w:rsid w:val="001B18C3"/>
    <w:rsid w:val="001B3A22"/>
    <w:rsid w:val="001B4E9C"/>
    <w:rsid w:val="001C2A85"/>
    <w:rsid w:val="001C2C0E"/>
    <w:rsid w:val="001C69C3"/>
    <w:rsid w:val="001C7A4F"/>
    <w:rsid w:val="001D00E0"/>
    <w:rsid w:val="001D3661"/>
    <w:rsid w:val="001D4F6A"/>
    <w:rsid w:val="001E13B7"/>
    <w:rsid w:val="001E271F"/>
    <w:rsid w:val="001E44B2"/>
    <w:rsid w:val="001E66BA"/>
    <w:rsid w:val="001E76A6"/>
    <w:rsid w:val="001E7B2D"/>
    <w:rsid w:val="001F3AA6"/>
    <w:rsid w:val="001F4B87"/>
    <w:rsid w:val="001F5172"/>
    <w:rsid w:val="001F68F6"/>
    <w:rsid w:val="001F6B21"/>
    <w:rsid w:val="00202BEE"/>
    <w:rsid w:val="00205DCD"/>
    <w:rsid w:val="00205E4A"/>
    <w:rsid w:val="00206827"/>
    <w:rsid w:val="00207C56"/>
    <w:rsid w:val="00211B23"/>
    <w:rsid w:val="00212741"/>
    <w:rsid w:val="00212EF2"/>
    <w:rsid w:val="00213313"/>
    <w:rsid w:val="002166D6"/>
    <w:rsid w:val="0021682A"/>
    <w:rsid w:val="0021778D"/>
    <w:rsid w:val="00221480"/>
    <w:rsid w:val="0022416F"/>
    <w:rsid w:val="002267AD"/>
    <w:rsid w:val="002315B1"/>
    <w:rsid w:val="0023307F"/>
    <w:rsid w:val="002341E0"/>
    <w:rsid w:val="00234F88"/>
    <w:rsid w:val="002378DA"/>
    <w:rsid w:val="00246971"/>
    <w:rsid w:val="00250BAE"/>
    <w:rsid w:val="00250CF9"/>
    <w:rsid w:val="00251B5F"/>
    <w:rsid w:val="00251C49"/>
    <w:rsid w:val="00251D9B"/>
    <w:rsid w:val="00252214"/>
    <w:rsid w:val="00255505"/>
    <w:rsid w:val="00255C47"/>
    <w:rsid w:val="0025750D"/>
    <w:rsid w:val="00257D94"/>
    <w:rsid w:val="00263039"/>
    <w:rsid w:val="00264B78"/>
    <w:rsid w:val="00265224"/>
    <w:rsid w:val="00267445"/>
    <w:rsid w:val="00270154"/>
    <w:rsid w:val="00272A72"/>
    <w:rsid w:val="00273F33"/>
    <w:rsid w:val="0027445E"/>
    <w:rsid w:val="00277B82"/>
    <w:rsid w:val="00277CDA"/>
    <w:rsid w:val="002809F2"/>
    <w:rsid w:val="00284784"/>
    <w:rsid w:val="00284C7F"/>
    <w:rsid w:val="00285AB5"/>
    <w:rsid w:val="00286318"/>
    <w:rsid w:val="00287331"/>
    <w:rsid w:val="00290803"/>
    <w:rsid w:val="00295026"/>
    <w:rsid w:val="002950BD"/>
    <w:rsid w:val="002974B2"/>
    <w:rsid w:val="002A3D7E"/>
    <w:rsid w:val="002A54F3"/>
    <w:rsid w:val="002A5F75"/>
    <w:rsid w:val="002B067E"/>
    <w:rsid w:val="002B1913"/>
    <w:rsid w:val="002B1BA6"/>
    <w:rsid w:val="002B4B1A"/>
    <w:rsid w:val="002B62AE"/>
    <w:rsid w:val="002B6590"/>
    <w:rsid w:val="002B6AA5"/>
    <w:rsid w:val="002C466D"/>
    <w:rsid w:val="002C4CBB"/>
    <w:rsid w:val="002C6AF2"/>
    <w:rsid w:val="002D383E"/>
    <w:rsid w:val="002D7D2E"/>
    <w:rsid w:val="002E0404"/>
    <w:rsid w:val="002E3AB5"/>
    <w:rsid w:val="002E572C"/>
    <w:rsid w:val="002E65BC"/>
    <w:rsid w:val="002F0138"/>
    <w:rsid w:val="002F0495"/>
    <w:rsid w:val="002F06FE"/>
    <w:rsid w:val="002F2D76"/>
    <w:rsid w:val="00300560"/>
    <w:rsid w:val="0030067F"/>
    <w:rsid w:val="00300747"/>
    <w:rsid w:val="00301DC6"/>
    <w:rsid w:val="00304EC6"/>
    <w:rsid w:val="003125D9"/>
    <w:rsid w:val="00312D1B"/>
    <w:rsid w:val="0031484C"/>
    <w:rsid w:val="00316980"/>
    <w:rsid w:val="00316CF7"/>
    <w:rsid w:val="003177A3"/>
    <w:rsid w:val="00321246"/>
    <w:rsid w:val="00323290"/>
    <w:rsid w:val="00324158"/>
    <w:rsid w:val="00324BA8"/>
    <w:rsid w:val="0032623E"/>
    <w:rsid w:val="00327CED"/>
    <w:rsid w:val="00330471"/>
    <w:rsid w:val="00330618"/>
    <w:rsid w:val="003319CD"/>
    <w:rsid w:val="00335FED"/>
    <w:rsid w:val="00336079"/>
    <w:rsid w:val="00336B92"/>
    <w:rsid w:val="00336D8D"/>
    <w:rsid w:val="00343053"/>
    <w:rsid w:val="00345028"/>
    <w:rsid w:val="00346295"/>
    <w:rsid w:val="0034716B"/>
    <w:rsid w:val="003504EE"/>
    <w:rsid w:val="00353EF8"/>
    <w:rsid w:val="00356520"/>
    <w:rsid w:val="00356C2C"/>
    <w:rsid w:val="0036045C"/>
    <w:rsid w:val="003618DC"/>
    <w:rsid w:val="0036362A"/>
    <w:rsid w:val="00366E9E"/>
    <w:rsid w:val="003718C6"/>
    <w:rsid w:val="00373BAC"/>
    <w:rsid w:val="00373FFF"/>
    <w:rsid w:val="003745ED"/>
    <w:rsid w:val="00374E90"/>
    <w:rsid w:val="00377228"/>
    <w:rsid w:val="003803F9"/>
    <w:rsid w:val="00381BC1"/>
    <w:rsid w:val="00382B9E"/>
    <w:rsid w:val="00382EDE"/>
    <w:rsid w:val="0038375F"/>
    <w:rsid w:val="0038458E"/>
    <w:rsid w:val="00384E00"/>
    <w:rsid w:val="00391D58"/>
    <w:rsid w:val="00396860"/>
    <w:rsid w:val="003A1606"/>
    <w:rsid w:val="003A24A1"/>
    <w:rsid w:val="003A25FF"/>
    <w:rsid w:val="003A2D31"/>
    <w:rsid w:val="003A4F02"/>
    <w:rsid w:val="003A53D3"/>
    <w:rsid w:val="003A721D"/>
    <w:rsid w:val="003B16D0"/>
    <w:rsid w:val="003B1979"/>
    <w:rsid w:val="003B1DD7"/>
    <w:rsid w:val="003B3177"/>
    <w:rsid w:val="003B53EF"/>
    <w:rsid w:val="003B68BB"/>
    <w:rsid w:val="003C070E"/>
    <w:rsid w:val="003C2764"/>
    <w:rsid w:val="003C4709"/>
    <w:rsid w:val="003C47AC"/>
    <w:rsid w:val="003C52AC"/>
    <w:rsid w:val="003C7BEF"/>
    <w:rsid w:val="003D309D"/>
    <w:rsid w:val="003D4042"/>
    <w:rsid w:val="003D5B44"/>
    <w:rsid w:val="003E0272"/>
    <w:rsid w:val="003E0879"/>
    <w:rsid w:val="003E18C2"/>
    <w:rsid w:val="003E1B49"/>
    <w:rsid w:val="003E4906"/>
    <w:rsid w:val="003E599B"/>
    <w:rsid w:val="003E5E9A"/>
    <w:rsid w:val="003E6026"/>
    <w:rsid w:val="003E61C6"/>
    <w:rsid w:val="003E6EBB"/>
    <w:rsid w:val="003E7248"/>
    <w:rsid w:val="003F028A"/>
    <w:rsid w:val="003F07C4"/>
    <w:rsid w:val="003F10BB"/>
    <w:rsid w:val="003F26B5"/>
    <w:rsid w:val="003F2730"/>
    <w:rsid w:val="003F620A"/>
    <w:rsid w:val="00400D01"/>
    <w:rsid w:val="00401F35"/>
    <w:rsid w:val="004040B6"/>
    <w:rsid w:val="00404E2C"/>
    <w:rsid w:val="00407245"/>
    <w:rsid w:val="0040779F"/>
    <w:rsid w:val="00407C5C"/>
    <w:rsid w:val="00412D53"/>
    <w:rsid w:val="00413993"/>
    <w:rsid w:val="004144BB"/>
    <w:rsid w:val="0041504A"/>
    <w:rsid w:val="00415291"/>
    <w:rsid w:val="004153BD"/>
    <w:rsid w:val="004156DC"/>
    <w:rsid w:val="004178FB"/>
    <w:rsid w:val="00421508"/>
    <w:rsid w:val="00421534"/>
    <w:rsid w:val="00424110"/>
    <w:rsid w:val="00425BD4"/>
    <w:rsid w:val="00430FD9"/>
    <w:rsid w:val="00431870"/>
    <w:rsid w:val="0043392F"/>
    <w:rsid w:val="00434F70"/>
    <w:rsid w:val="00437BB0"/>
    <w:rsid w:val="00440503"/>
    <w:rsid w:val="004428DF"/>
    <w:rsid w:val="004440BC"/>
    <w:rsid w:val="00445236"/>
    <w:rsid w:val="00450E3A"/>
    <w:rsid w:val="0045327A"/>
    <w:rsid w:val="00456D18"/>
    <w:rsid w:val="00461B76"/>
    <w:rsid w:val="00464FA2"/>
    <w:rsid w:val="004653CE"/>
    <w:rsid w:val="00465798"/>
    <w:rsid w:val="00467651"/>
    <w:rsid w:val="00467BD5"/>
    <w:rsid w:val="00470DBE"/>
    <w:rsid w:val="004714F2"/>
    <w:rsid w:val="00473B03"/>
    <w:rsid w:val="00474ECA"/>
    <w:rsid w:val="0047759C"/>
    <w:rsid w:val="00477FA2"/>
    <w:rsid w:val="00481188"/>
    <w:rsid w:val="004814AA"/>
    <w:rsid w:val="00482CDD"/>
    <w:rsid w:val="00483B4F"/>
    <w:rsid w:val="00484EF2"/>
    <w:rsid w:val="00485FD0"/>
    <w:rsid w:val="004864EC"/>
    <w:rsid w:val="00490285"/>
    <w:rsid w:val="00490676"/>
    <w:rsid w:val="00490FC8"/>
    <w:rsid w:val="00491008"/>
    <w:rsid w:val="00491D99"/>
    <w:rsid w:val="00492DA5"/>
    <w:rsid w:val="00493AEC"/>
    <w:rsid w:val="004949BE"/>
    <w:rsid w:val="00495F91"/>
    <w:rsid w:val="00497D4A"/>
    <w:rsid w:val="004A0457"/>
    <w:rsid w:val="004A144C"/>
    <w:rsid w:val="004A4303"/>
    <w:rsid w:val="004A468D"/>
    <w:rsid w:val="004A49D6"/>
    <w:rsid w:val="004A5354"/>
    <w:rsid w:val="004A74D7"/>
    <w:rsid w:val="004A7FAF"/>
    <w:rsid w:val="004B0244"/>
    <w:rsid w:val="004B0D90"/>
    <w:rsid w:val="004B2E7F"/>
    <w:rsid w:val="004B3685"/>
    <w:rsid w:val="004B5B3B"/>
    <w:rsid w:val="004B6025"/>
    <w:rsid w:val="004B660F"/>
    <w:rsid w:val="004B7805"/>
    <w:rsid w:val="004B7C8A"/>
    <w:rsid w:val="004C27E9"/>
    <w:rsid w:val="004C5229"/>
    <w:rsid w:val="004D13B6"/>
    <w:rsid w:val="004D1741"/>
    <w:rsid w:val="004D4BFD"/>
    <w:rsid w:val="004D58E7"/>
    <w:rsid w:val="004D5AF7"/>
    <w:rsid w:val="004D6C8B"/>
    <w:rsid w:val="004D7D20"/>
    <w:rsid w:val="004E5775"/>
    <w:rsid w:val="004E621E"/>
    <w:rsid w:val="004E6AEF"/>
    <w:rsid w:val="004E6B8C"/>
    <w:rsid w:val="004F0991"/>
    <w:rsid w:val="004F0CA5"/>
    <w:rsid w:val="004F1836"/>
    <w:rsid w:val="004F1839"/>
    <w:rsid w:val="004F2323"/>
    <w:rsid w:val="004F3F83"/>
    <w:rsid w:val="004F6DC6"/>
    <w:rsid w:val="005007B2"/>
    <w:rsid w:val="005016F6"/>
    <w:rsid w:val="00503552"/>
    <w:rsid w:val="00503F2F"/>
    <w:rsid w:val="005041AD"/>
    <w:rsid w:val="00505794"/>
    <w:rsid w:val="00505BB6"/>
    <w:rsid w:val="00515416"/>
    <w:rsid w:val="005161B4"/>
    <w:rsid w:val="0052048C"/>
    <w:rsid w:val="005209E6"/>
    <w:rsid w:val="00522C3A"/>
    <w:rsid w:val="005243BA"/>
    <w:rsid w:val="005263A8"/>
    <w:rsid w:val="00530602"/>
    <w:rsid w:val="00533BC9"/>
    <w:rsid w:val="00534ED6"/>
    <w:rsid w:val="0053695E"/>
    <w:rsid w:val="0053720D"/>
    <w:rsid w:val="0054094F"/>
    <w:rsid w:val="005423D1"/>
    <w:rsid w:val="005454EA"/>
    <w:rsid w:val="00546202"/>
    <w:rsid w:val="00547407"/>
    <w:rsid w:val="0055034A"/>
    <w:rsid w:val="00551E3A"/>
    <w:rsid w:val="005546C1"/>
    <w:rsid w:val="00555B01"/>
    <w:rsid w:val="00555BD3"/>
    <w:rsid w:val="00555D3C"/>
    <w:rsid w:val="00556F28"/>
    <w:rsid w:val="005572B1"/>
    <w:rsid w:val="0055734A"/>
    <w:rsid w:val="00560768"/>
    <w:rsid w:val="005633F6"/>
    <w:rsid w:val="00563BE5"/>
    <w:rsid w:val="00567CF9"/>
    <w:rsid w:val="005705E7"/>
    <w:rsid w:val="00570674"/>
    <w:rsid w:val="00572D1A"/>
    <w:rsid w:val="00574669"/>
    <w:rsid w:val="00574AF7"/>
    <w:rsid w:val="00575019"/>
    <w:rsid w:val="00576965"/>
    <w:rsid w:val="00576CD5"/>
    <w:rsid w:val="00580257"/>
    <w:rsid w:val="005804D3"/>
    <w:rsid w:val="00584347"/>
    <w:rsid w:val="0058442B"/>
    <w:rsid w:val="00584559"/>
    <w:rsid w:val="00587D95"/>
    <w:rsid w:val="00590287"/>
    <w:rsid w:val="00590BE7"/>
    <w:rsid w:val="00591BE7"/>
    <w:rsid w:val="005934AD"/>
    <w:rsid w:val="00593668"/>
    <w:rsid w:val="005948CE"/>
    <w:rsid w:val="005A18C9"/>
    <w:rsid w:val="005A4452"/>
    <w:rsid w:val="005A66FC"/>
    <w:rsid w:val="005A6738"/>
    <w:rsid w:val="005A75CB"/>
    <w:rsid w:val="005A7E93"/>
    <w:rsid w:val="005B08B7"/>
    <w:rsid w:val="005B22F3"/>
    <w:rsid w:val="005B618D"/>
    <w:rsid w:val="005B7A42"/>
    <w:rsid w:val="005B7D52"/>
    <w:rsid w:val="005C4C7D"/>
    <w:rsid w:val="005C5B39"/>
    <w:rsid w:val="005C66B4"/>
    <w:rsid w:val="005C6C5C"/>
    <w:rsid w:val="005C6EC3"/>
    <w:rsid w:val="005D187C"/>
    <w:rsid w:val="005D4AD4"/>
    <w:rsid w:val="005D5CCB"/>
    <w:rsid w:val="005D60BA"/>
    <w:rsid w:val="005E3B44"/>
    <w:rsid w:val="005E49F1"/>
    <w:rsid w:val="005F2AF2"/>
    <w:rsid w:val="00600955"/>
    <w:rsid w:val="00602846"/>
    <w:rsid w:val="00605AA0"/>
    <w:rsid w:val="006070C5"/>
    <w:rsid w:val="0060762F"/>
    <w:rsid w:val="00611F50"/>
    <w:rsid w:val="00613244"/>
    <w:rsid w:val="00614FC3"/>
    <w:rsid w:val="006176A9"/>
    <w:rsid w:val="00617EB2"/>
    <w:rsid w:val="00620D86"/>
    <w:rsid w:val="006227AB"/>
    <w:rsid w:val="00622B48"/>
    <w:rsid w:val="006234E5"/>
    <w:rsid w:val="0062513E"/>
    <w:rsid w:val="0062590B"/>
    <w:rsid w:val="00626D2C"/>
    <w:rsid w:val="00627080"/>
    <w:rsid w:val="0062763A"/>
    <w:rsid w:val="00630773"/>
    <w:rsid w:val="0063102F"/>
    <w:rsid w:val="0064333A"/>
    <w:rsid w:val="006442D5"/>
    <w:rsid w:val="00646D8B"/>
    <w:rsid w:val="0064744C"/>
    <w:rsid w:val="006475A1"/>
    <w:rsid w:val="006526EC"/>
    <w:rsid w:val="0065297D"/>
    <w:rsid w:val="00655FFB"/>
    <w:rsid w:val="00656099"/>
    <w:rsid w:val="0066200A"/>
    <w:rsid w:val="006631C2"/>
    <w:rsid w:val="0066335D"/>
    <w:rsid w:val="0066414C"/>
    <w:rsid w:val="00664C12"/>
    <w:rsid w:val="00666417"/>
    <w:rsid w:val="0066708A"/>
    <w:rsid w:val="00671A6D"/>
    <w:rsid w:val="00672F26"/>
    <w:rsid w:val="0067389B"/>
    <w:rsid w:val="00673F5F"/>
    <w:rsid w:val="00676E70"/>
    <w:rsid w:val="0067732D"/>
    <w:rsid w:val="00682B31"/>
    <w:rsid w:val="006833E8"/>
    <w:rsid w:val="006834E0"/>
    <w:rsid w:val="00683C04"/>
    <w:rsid w:val="00684118"/>
    <w:rsid w:val="00684835"/>
    <w:rsid w:val="00684A7B"/>
    <w:rsid w:val="00686266"/>
    <w:rsid w:val="00686534"/>
    <w:rsid w:val="006878EC"/>
    <w:rsid w:val="00687F59"/>
    <w:rsid w:val="00690484"/>
    <w:rsid w:val="00692B96"/>
    <w:rsid w:val="0069327C"/>
    <w:rsid w:val="006938DE"/>
    <w:rsid w:val="006945B8"/>
    <w:rsid w:val="00695B34"/>
    <w:rsid w:val="006961DB"/>
    <w:rsid w:val="006966ED"/>
    <w:rsid w:val="00696C97"/>
    <w:rsid w:val="006A05CD"/>
    <w:rsid w:val="006A0632"/>
    <w:rsid w:val="006A4790"/>
    <w:rsid w:val="006A51AC"/>
    <w:rsid w:val="006A542C"/>
    <w:rsid w:val="006A58AD"/>
    <w:rsid w:val="006A594E"/>
    <w:rsid w:val="006A5A64"/>
    <w:rsid w:val="006A6942"/>
    <w:rsid w:val="006A6F02"/>
    <w:rsid w:val="006B19DD"/>
    <w:rsid w:val="006B2F35"/>
    <w:rsid w:val="006B48A1"/>
    <w:rsid w:val="006B5773"/>
    <w:rsid w:val="006B583D"/>
    <w:rsid w:val="006C5001"/>
    <w:rsid w:val="006C5DC6"/>
    <w:rsid w:val="006C7B29"/>
    <w:rsid w:val="006D0731"/>
    <w:rsid w:val="006D1016"/>
    <w:rsid w:val="006D105D"/>
    <w:rsid w:val="006D148C"/>
    <w:rsid w:val="006D1D63"/>
    <w:rsid w:val="006D2F03"/>
    <w:rsid w:val="006D5368"/>
    <w:rsid w:val="006D6EBA"/>
    <w:rsid w:val="006E0F11"/>
    <w:rsid w:val="006E3261"/>
    <w:rsid w:val="006E6BE3"/>
    <w:rsid w:val="006E72D3"/>
    <w:rsid w:val="006F21CD"/>
    <w:rsid w:val="006F323A"/>
    <w:rsid w:val="006F32EE"/>
    <w:rsid w:val="006F5DFE"/>
    <w:rsid w:val="007003B2"/>
    <w:rsid w:val="00701FF8"/>
    <w:rsid w:val="007021B9"/>
    <w:rsid w:val="00702A8A"/>
    <w:rsid w:val="007038C0"/>
    <w:rsid w:val="00703C3D"/>
    <w:rsid w:val="007069B5"/>
    <w:rsid w:val="0070740B"/>
    <w:rsid w:val="007101C1"/>
    <w:rsid w:val="007123DB"/>
    <w:rsid w:val="00713285"/>
    <w:rsid w:val="0071485A"/>
    <w:rsid w:val="00716014"/>
    <w:rsid w:val="00716D41"/>
    <w:rsid w:val="007202BD"/>
    <w:rsid w:val="0072050A"/>
    <w:rsid w:val="00720995"/>
    <w:rsid w:val="00722932"/>
    <w:rsid w:val="00722EEC"/>
    <w:rsid w:val="00723C22"/>
    <w:rsid w:val="007250AC"/>
    <w:rsid w:val="0072580F"/>
    <w:rsid w:val="00730C03"/>
    <w:rsid w:val="00731B77"/>
    <w:rsid w:val="00732F2B"/>
    <w:rsid w:val="007340C2"/>
    <w:rsid w:val="007344E2"/>
    <w:rsid w:val="007348A5"/>
    <w:rsid w:val="00735455"/>
    <w:rsid w:val="00736BD8"/>
    <w:rsid w:val="007404CE"/>
    <w:rsid w:val="00742B92"/>
    <w:rsid w:val="00742C59"/>
    <w:rsid w:val="00742D3E"/>
    <w:rsid w:val="0074512A"/>
    <w:rsid w:val="00745178"/>
    <w:rsid w:val="0074569E"/>
    <w:rsid w:val="00746759"/>
    <w:rsid w:val="007468CD"/>
    <w:rsid w:val="00746B41"/>
    <w:rsid w:val="00747B10"/>
    <w:rsid w:val="00751000"/>
    <w:rsid w:val="00751B14"/>
    <w:rsid w:val="007527D7"/>
    <w:rsid w:val="007527E8"/>
    <w:rsid w:val="00753B06"/>
    <w:rsid w:val="00754E93"/>
    <w:rsid w:val="007606F4"/>
    <w:rsid w:val="00760738"/>
    <w:rsid w:val="007620C2"/>
    <w:rsid w:val="00762215"/>
    <w:rsid w:val="00763BDE"/>
    <w:rsid w:val="00764C7F"/>
    <w:rsid w:val="00765266"/>
    <w:rsid w:val="00765FE4"/>
    <w:rsid w:val="007715DC"/>
    <w:rsid w:val="007722A9"/>
    <w:rsid w:val="00772BE4"/>
    <w:rsid w:val="00777966"/>
    <w:rsid w:val="00782537"/>
    <w:rsid w:val="00786903"/>
    <w:rsid w:val="00787FEF"/>
    <w:rsid w:val="007907C5"/>
    <w:rsid w:val="00794CF3"/>
    <w:rsid w:val="007A1385"/>
    <w:rsid w:val="007A1BC8"/>
    <w:rsid w:val="007A1C0F"/>
    <w:rsid w:val="007A2065"/>
    <w:rsid w:val="007A4455"/>
    <w:rsid w:val="007A545C"/>
    <w:rsid w:val="007A79D7"/>
    <w:rsid w:val="007B1545"/>
    <w:rsid w:val="007B2A33"/>
    <w:rsid w:val="007B37B1"/>
    <w:rsid w:val="007C1136"/>
    <w:rsid w:val="007C2005"/>
    <w:rsid w:val="007C354F"/>
    <w:rsid w:val="007C587D"/>
    <w:rsid w:val="007C6E21"/>
    <w:rsid w:val="007C6EBF"/>
    <w:rsid w:val="007C7187"/>
    <w:rsid w:val="007D0810"/>
    <w:rsid w:val="007D323B"/>
    <w:rsid w:val="007D3CEB"/>
    <w:rsid w:val="007D5270"/>
    <w:rsid w:val="007E1714"/>
    <w:rsid w:val="007E37C0"/>
    <w:rsid w:val="007E3B8D"/>
    <w:rsid w:val="007E430B"/>
    <w:rsid w:val="007E4F5F"/>
    <w:rsid w:val="007E5A18"/>
    <w:rsid w:val="007E6138"/>
    <w:rsid w:val="007E729A"/>
    <w:rsid w:val="007F0B2F"/>
    <w:rsid w:val="007F1301"/>
    <w:rsid w:val="007F1A4C"/>
    <w:rsid w:val="007F2AAF"/>
    <w:rsid w:val="007F2E6C"/>
    <w:rsid w:val="007F452B"/>
    <w:rsid w:val="007F46EB"/>
    <w:rsid w:val="007F5C92"/>
    <w:rsid w:val="007F6392"/>
    <w:rsid w:val="0080108D"/>
    <w:rsid w:val="0080176E"/>
    <w:rsid w:val="00811BB5"/>
    <w:rsid w:val="008137FF"/>
    <w:rsid w:val="0081475A"/>
    <w:rsid w:val="00824380"/>
    <w:rsid w:val="00827061"/>
    <w:rsid w:val="008333B5"/>
    <w:rsid w:val="00833BAD"/>
    <w:rsid w:val="008359F3"/>
    <w:rsid w:val="008368D6"/>
    <w:rsid w:val="00840521"/>
    <w:rsid w:val="00841F56"/>
    <w:rsid w:val="00842F21"/>
    <w:rsid w:val="00843E22"/>
    <w:rsid w:val="008472C6"/>
    <w:rsid w:val="008475A5"/>
    <w:rsid w:val="00851094"/>
    <w:rsid w:val="00853EB6"/>
    <w:rsid w:val="0085494C"/>
    <w:rsid w:val="00854ECA"/>
    <w:rsid w:val="00855445"/>
    <w:rsid w:val="00856445"/>
    <w:rsid w:val="00856992"/>
    <w:rsid w:val="008579B1"/>
    <w:rsid w:val="008605C8"/>
    <w:rsid w:val="00861E9E"/>
    <w:rsid w:val="008622D0"/>
    <w:rsid w:val="00862956"/>
    <w:rsid w:val="008650D1"/>
    <w:rsid w:val="0086582B"/>
    <w:rsid w:val="00867607"/>
    <w:rsid w:val="00867C9B"/>
    <w:rsid w:val="00870831"/>
    <w:rsid w:val="00871268"/>
    <w:rsid w:val="008724A2"/>
    <w:rsid w:val="00872603"/>
    <w:rsid w:val="00872B4B"/>
    <w:rsid w:val="00872CF4"/>
    <w:rsid w:val="00872FE7"/>
    <w:rsid w:val="00881D7B"/>
    <w:rsid w:val="0088211A"/>
    <w:rsid w:val="00884E43"/>
    <w:rsid w:val="00887175"/>
    <w:rsid w:val="00887A11"/>
    <w:rsid w:val="0089295B"/>
    <w:rsid w:val="00895040"/>
    <w:rsid w:val="008A0085"/>
    <w:rsid w:val="008A2C07"/>
    <w:rsid w:val="008A2E46"/>
    <w:rsid w:val="008A5837"/>
    <w:rsid w:val="008A748A"/>
    <w:rsid w:val="008A77C8"/>
    <w:rsid w:val="008B02B1"/>
    <w:rsid w:val="008B1EE9"/>
    <w:rsid w:val="008B2F0B"/>
    <w:rsid w:val="008B3AFF"/>
    <w:rsid w:val="008B4BAD"/>
    <w:rsid w:val="008B5077"/>
    <w:rsid w:val="008B6C2D"/>
    <w:rsid w:val="008B74CF"/>
    <w:rsid w:val="008B7DC2"/>
    <w:rsid w:val="008C0251"/>
    <w:rsid w:val="008C137A"/>
    <w:rsid w:val="008C1FC1"/>
    <w:rsid w:val="008C41A4"/>
    <w:rsid w:val="008C5162"/>
    <w:rsid w:val="008C51A3"/>
    <w:rsid w:val="008D1C88"/>
    <w:rsid w:val="008D3C74"/>
    <w:rsid w:val="008D3C87"/>
    <w:rsid w:val="008D453F"/>
    <w:rsid w:val="008D5E43"/>
    <w:rsid w:val="008D644B"/>
    <w:rsid w:val="008D6C4C"/>
    <w:rsid w:val="008E1B6B"/>
    <w:rsid w:val="008E2F5C"/>
    <w:rsid w:val="008E4884"/>
    <w:rsid w:val="008E50C0"/>
    <w:rsid w:val="008E7044"/>
    <w:rsid w:val="008F102C"/>
    <w:rsid w:val="008F1127"/>
    <w:rsid w:val="008F27DE"/>
    <w:rsid w:val="008F39F0"/>
    <w:rsid w:val="008F4FDE"/>
    <w:rsid w:val="008F7560"/>
    <w:rsid w:val="0090010C"/>
    <w:rsid w:val="00900A9A"/>
    <w:rsid w:val="009012D1"/>
    <w:rsid w:val="00902A38"/>
    <w:rsid w:val="009164A6"/>
    <w:rsid w:val="009164E5"/>
    <w:rsid w:val="00917CE1"/>
    <w:rsid w:val="00920CFA"/>
    <w:rsid w:val="00923290"/>
    <w:rsid w:val="009269A9"/>
    <w:rsid w:val="0093307A"/>
    <w:rsid w:val="00937BB3"/>
    <w:rsid w:val="00937C88"/>
    <w:rsid w:val="00940070"/>
    <w:rsid w:val="00941302"/>
    <w:rsid w:val="00941543"/>
    <w:rsid w:val="00943E89"/>
    <w:rsid w:val="0094731C"/>
    <w:rsid w:val="009501ED"/>
    <w:rsid w:val="00950307"/>
    <w:rsid w:val="009526E1"/>
    <w:rsid w:val="009529C6"/>
    <w:rsid w:val="00952DCA"/>
    <w:rsid w:val="0095349D"/>
    <w:rsid w:val="00955A15"/>
    <w:rsid w:val="00956504"/>
    <w:rsid w:val="00956595"/>
    <w:rsid w:val="00956E84"/>
    <w:rsid w:val="00957DD9"/>
    <w:rsid w:val="00960F71"/>
    <w:rsid w:val="00961602"/>
    <w:rsid w:val="00961D77"/>
    <w:rsid w:val="00961FE9"/>
    <w:rsid w:val="00962065"/>
    <w:rsid w:val="00964C00"/>
    <w:rsid w:val="009657F5"/>
    <w:rsid w:val="00965A51"/>
    <w:rsid w:val="00965F8E"/>
    <w:rsid w:val="00967ED1"/>
    <w:rsid w:val="00970554"/>
    <w:rsid w:val="00971732"/>
    <w:rsid w:val="00972C9F"/>
    <w:rsid w:val="00972EAE"/>
    <w:rsid w:val="0097308B"/>
    <w:rsid w:val="00973F85"/>
    <w:rsid w:val="00975592"/>
    <w:rsid w:val="00977CF2"/>
    <w:rsid w:val="00980AA0"/>
    <w:rsid w:val="0098598E"/>
    <w:rsid w:val="009873E3"/>
    <w:rsid w:val="009903CA"/>
    <w:rsid w:val="009931EE"/>
    <w:rsid w:val="00995A43"/>
    <w:rsid w:val="00995F19"/>
    <w:rsid w:val="0099710C"/>
    <w:rsid w:val="00997DB9"/>
    <w:rsid w:val="009A6270"/>
    <w:rsid w:val="009A6490"/>
    <w:rsid w:val="009A712D"/>
    <w:rsid w:val="009A78FB"/>
    <w:rsid w:val="009B2466"/>
    <w:rsid w:val="009B2916"/>
    <w:rsid w:val="009C0362"/>
    <w:rsid w:val="009C483C"/>
    <w:rsid w:val="009C5507"/>
    <w:rsid w:val="009C5D6E"/>
    <w:rsid w:val="009C602B"/>
    <w:rsid w:val="009D1758"/>
    <w:rsid w:val="009D1D8B"/>
    <w:rsid w:val="009D5AEA"/>
    <w:rsid w:val="009E1972"/>
    <w:rsid w:val="009E2A27"/>
    <w:rsid w:val="009E2D8B"/>
    <w:rsid w:val="009E338E"/>
    <w:rsid w:val="009E4A29"/>
    <w:rsid w:val="009E69AC"/>
    <w:rsid w:val="009E77F7"/>
    <w:rsid w:val="009F0058"/>
    <w:rsid w:val="009F15F6"/>
    <w:rsid w:val="009F2859"/>
    <w:rsid w:val="009F2EC1"/>
    <w:rsid w:val="009F33A9"/>
    <w:rsid w:val="009F4C3E"/>
    <w:rsid w:val="00A02346"/>
    <w:rsid w:val="00A03614"/>
    <w:rsid w:val="00A03DC7"/>
    <w:rsid w:val="00A05357"/>
    <w:rsid w:val="00A10EB9"/>
    <w:rsid w:val="00A12AE1"/>
    <w:rsid w:val="00A178F4"/>
    <w:rsid w:val="00A20B5F"/>
    <w:rsid w:val="00A241B5"/>
    <w:rsid w:val="00A26999"/>
    <w:rsid w:val="00A2761F"/>
    <w:rsid w:val="00A307AF"/>
    <w:rsid w:val="00A30966"/>
    <w:rsid w:val="00A31B09"/>
    <w:rsid w:val="00A3338A"/>
    <w:rsid w:val="00A333D4"/>
    <w:rsid w:val="00A33DD6"/>
    <w:rsid w:val="00A34849"/>
    <w:rsid w:val="00A35AC1"/>
    <w:rsid w:val="00A362D4"/>
    <w:rsid w:val="00A36CF8"/>
    <w:rsid w:val="00A376AA"/>
    <w:rsid w:val="00A40C8A"/>
    <w:rsid w:val="00A4127C"/>
    <w:rsid w:val="00A43549"/>
    <w:rsid w:val="00A4540A"/>
    <w:rsid w:val="00A477CC"/>
    <w:rsid w:val="00A527D1"/>
    <w:rsid w:val="00A53FDF"/>
    <w:rsid w:val="00A56F9A"/>
    <w:rsid w:val="00A57860"/>
    <w:rsid w:val="00A57DB2"/>
    <w:rsid w:val="00A60569"/>
    <w:rsid w:val="00A621C7"/>
    <w:rsid w:val="00A62817"/>
    <w:rsid w:val="00A62EAE"/>
    <w:rsid w:val="00A63A25"/>
    <w:rsid w:val="00A6589C"/>
    <w:rsid w:val="00A66861"/>
    <w:rsid w:val="00A70737"/>
    <w:rsid w:val="00A70ECD"/>
    <w:rsid w:val="00A726DE"/>
    <w:rsid w:val="00A741CD"/>
    <w:rsid w:val="00A74F5E"/>
    <w:rsid w:val="00A778A8"/>
    <w:rsid w:val="00A80DE8"/>
    <w:rsid w:val="00A8359E"/>
    <w:rsid w:val="00A84C9F"/>
    <w:rsid w:val="00A84F02"/>
    <w:rsid w:val="00A8524A"/>
    <w:rsid w:val="00A90C09"/>
    <w:rsid w:val="00A91273"/>
    <w:rsid w:val="00A916C4"/>
    <w:rsid w:val="00A91C55"/>
    <w:rsid w:val="00A92457"/>
    <w:rsid w:val="00A92E16"/>
    <w:rsid w:val="00A94A79"/>
    <w:rsid w:val="00A9502F"/>
    <w:rsid w:val="00A95078"/>
    <w:rsid w:val="00AA0302"/>
    <w:rsid w:val="00AA34D7"/>
    <w:rsid w:val="00AA36A4"/>
    <w:rsid w:val="00AA48D8"/>
    <w:rsid w:val="00AA5165"/>
    <w:rsid w:val="00AA54E0"/>
    <w:rsid w:val="00AA55E4"/>
    <w:rsid w:val="00AA5738"/>
    <w:rsid w:val="00AA5CF4"/>
    <w:rsid w:val="00AB030F"/>
    <w:rsid w:val="00AB1D63"/>
    <w:rsid w:val="00AB59F0"/>
    <w:rsid w:val="00AB6593"/>
    <w:rsid w:val="00AB78AE"/>
    <w:rsid w:val="00AC1C3F"/>
    <w:rsid w:val="00AC2FEB"/>
    <w:rsid w:val="00AC4EDC"/>
    <w:rsid w:val="00AC5111"/>
    <w:rsid w:val="00AD3CC9"/>
    <w:rsid w:val="00AD45D0"/>
    <w:rsid w:val="00AD4A44"/>
    <w:rsid w:val="00AD6829"/>
    <w:rsid w:val="00AD69CD"/>
    <w:rsid w:val="00AE0226"/>
    <w:rsid w:val="00AE14D2"/>
    <w:rsid w:val="00AE2B8D"/>
    <w:rsid w:val="00AE3736"/>
    <w:rsid w:val="00AF1FE8"/>
    <w:rsid w:val="00AF2275"/>
    <w:rsid w:val="00AF53F6"/>
    <w:rsid w:val="00AF56CE"/>
    <w:rsid w:val="00AF67B1"/>
    <w:rsid w:val="00AF74EE"/>
    <w:rsid w:val="00AF7A52"/>
    <w:rsid w:val="00B016D2"/>
    <w:rsid w:val="00B0565A"/>
    <w:rsid w:val="00B1076A"/>
    <w:rsid w:val="00B10CA7"/>
    <w:rsid w:val="00B12C00"/>
    <w:rsid w:val="00B140B2"/>
    <w:rsid w:val="00B153DA"/>
    <w:rsid w:val="00B15A10"/>
    <w:rsid w:val="00B163A3"/>
    <w:rsid w:val="00B16D0D"/>
    <w:rsid w:val="00B2068A"/>
    <w:rsid w:val="00B2637D"/>
    <w:rsid w:val="00B31671"/>
    <w:rsid w:val="00B33A30"/>
    <w:rsid w:val="00B35718"/>
    <w:rsid w:val="00B36CA0"/>
    <w:rsid w:val="00B36D1F"/>
    <w:rsid w:val="00B373CA"/>
    <w:rsid w:val="00B4304C"/>
    <w:rsid w:val="00B43DC7"/>
    <w:rsid w:val="00B44397"/>
    <w:rsid w:val="00B4464D"/>
    <w:rsid w:val="00B45805"/>
    <w:rsid w:val="00B45D81"/>
    <w:rsid w:val="00B460FB"/>
    <w:rsid w:val="00B5012B"/>
    <w:rsid w:val="00B513E2"/>
    <w:rsid w:val="00B51BC1"/>
    <w:rsid w:val="00B53C1A"/>
    <w:rsid w:val="00B54138"/>
    <w:rsid w:val="00B5556F"/>
    <w:rsid w:val="00B55711"/>
    <w:rsid w:val="00B55B38"/>
    <w:rsid w:val="00B57B91"/>
    <w:rsid w:val="00B61622"/>
    <w:rsid w:val="00B63BD0"/>
    <w:rsid w:val="00B641A7"/>
    <w:rsid w:val="00B6490F"/>
    <w:rsid w:val="00B6511A"/>
    <w:rsid w:val="00B6542E"/>
    <w:rsid w:val="00B65A63"/>
    <w:rsid w:val="00B65DD7"/>
    <w:rsid w:val="00B7318D"/>
    <w:rsid w:val="00B7322C"/>
    <w:rsid w:val="00B73759"/>
    <w:rsid w:val="00B82EB9"/>
    <w:rsid w:val="00B83904"/>
    <w:rsid w:val="00B877BE"/>
    <w:rsid w:val="00B91009"/>
    <w:rsid w:val="00B921AF"/>
    <w:rsid w:val="00B92DF7"/>
    <w:rsid w:val="00B945F5"/>
    <w:rsid w:val="00B949EF"/>
    <w:rsid w:val="00B959B7"/>
    <w:rsid w:val="00B97D46"/>
    <w:rsid w:val="00BA1198"/>
    <w:rsid w:val="00BA193B"/>
    <w:rsid w:val="00BA1B73"/>
    <w:rsid w:val="00BA4DC6"/>
    <w:rsid w:val="00BA5EFE"/>
    <w:rsid w:val="00BB0910"/>
    <w:rsid w:val="00BB1668"/>
    <w:rsid w:val="00BB24C3"/>
    <w:rsid w:val="00BB2BF9"/>
    <w:rsid w:val="00BB38FA"/>
    <w:rsid w:val="00BB391D"/>
    <w:rsid w:val="00BB5B3E"/>
    <w:rsid w:val="00BB5D56"/>
    <w:rsid w:val="00BC188C"/>
    <w:rsid w:val="00BC1AAE"/>
    <w:rsid w:val="00BC2E5F"/>
    <w:rsid w:val="00BC3564"/>
    <w:rsid w:val="00BC551E"/>
    <w:rsid w:val="00BC641A"/>
    <w:rsid w:val="00BC73FB"/>
    <w:rsid w:val="00BD38DB"/>
    <w:rsid w:val="00BD4F87"/>
    <w:rsid w:val="00BD5800"/>
    <w:rsid w:val="00BD6E78"/>
    <w:rsid w:val="00BD72ED"/>
    <w:rsid w:val="00BD7A71"/>
    <w:rsid w:val="00BE1546"/>
    <w:rsid w:val="00BE2C95"/>
    <w:rsid w:val="00BE4BA9"/>
    <w:rsid w:val="00BE5743"/>
    <w:rsid w:val="00BE5C58"/>
    <w:rsid w:val="00BF2B36"/>
    <w:rsid w:val="00BF4AFC"/>
    <w:rsid w:val="00BF6606"/>
    <w:rsid w:val="00BF66E0"/>
    <w:rsid w:val="00C00DB6"/>
    <w:rsid w:val="00C00DC9"/>
    <w:rsid w:val="00C01053"/>
    <w:rsid w:val="00C014B2"/>
    <w:rsid w:val="00C0191D"/>
    <w:rsid w:val="00C02B4E"/>
    <w:rsid w:val="00C05A64"/>
    <w:rsid w:val="00C06428"/>
    <w:rsid w:val="00C06FC2"/>
    <w:rsid w:val="00C071AB"/>
    <w:rsid w:val="00C11BF7"/>
    <w:rsid w:val="00C14A3A"/>
    <w:rsid w:val="00C200CC"/>
    <w:rsid w:val="00C22C58"/>
    <w:rsid w:val="00C231DE"/>
    <w:rsid w:val="00C247A4"/>
    <w:rsid w:val="00C30D6A"/>
    <w:rsid w:val="00C30FD7"/>
    <w:rsid w:val="00C31D85"/>
    <w:rsid w:val="00C33161"/>
    <w:rsid w:val="00C33BAF"/>
    <w:rsid w:val="00C34410"/>
    <w:rsid w:val="00C34FEA"/>
    <w:rsid w:val="00C35416"/>
    <w:rsid w:val="00C371D0"/>
    <w:rsid w:val="00C37D3D"/>
    <w:rsid w:val="00C40532"/>
    <w:rsid w:val="00C4539A"/>
    <w:rsid w:val="00C51C6C"/>
    <w:rsid w:val="00C52BA9"/>
    <w:rsid w:val="00C53DA4"/>
    <w:rsid w:val="00C551F3"/>
    <w:rsid w:val="00C5661A"/>
    <w:rsid w:val="00C56D41"/>
    <w:rsid w:val="00C56E28"/>
    <w:rsid w:val="00C56F2E"/>
    <w:rsid w:val="00C57649"/>
    <w:rsid w:val="00C635EF"/>
    <w:rsid w:val="00C637B4"/>
    <w:rsid w:val="00C64F9F"/>
    <w:rsid w:val="00C65973"/>
    <w:rsid w:val="00C66979"/>
    <w:rsid w:val="00C67468"/>
    <w:rsid w:val="00C67544"/>
    <w:rsid w:val="00C67F63"/>
    <w:rsid w:val="00C70A89"/>
    <w:rsid w:val="00C71976"/>
    <w:rsid w:val="00C73447"/>
    <w:rsid w:val="00C735E5"/>
    <w:rsid w:val="00C73A86"/>
    <w:rsid w:val="00C741B6"/>
    <w:rsid w:val="00C76122"/>
    <w:rsid w:val="00C77E84"/>
    <w:rsid w:val="00C8076C"/>
    <w:rsid w:val="00C80F97"/>
    <w:rsid w:val="00C818A0"/>
    <w:rsid w:val="00C83FD3"/>
    <w:rsid w:val="00C848F8"/>
    <w:rsid w:val="00C85AC1"/>
    <w:rsid w:val="00C862D2"/>
    <w:rsid w:val="00C873D7"/>
    <w:rsid w:val="00C90F49"/>
    <w:rsid w:val="00C90FB5"/>
    <w:rsid w:val="00C918E5"/>
    <w:rsid w:val="00C921A0"/>
    <w:rsid w:val="00C94118"/>
    <w:rsid w:val="00C9546E"/>
    <w:rsid w:val="00C9626F"/>
    <w:rsid w:val="00C967FA"/>
    <w:rsid w:val="00CA345D"/>
    <w:rsid w:val="00CA455D"/>
    <w:rsid w:val="00CA4E4D"/>
    <w:rsid w:val="00CA4E91"/>
    <w:rsid w:val="00CA7DD5"/>
    <w:rsid w:val="00CB447F"/>
    <w:rsid w:val="00CB5FB5"/>
    <w:rsid w:val="00CB74A8"/>
    <w:rsid w:val="00CB7563"/>
    <w:rsid w:val="00CB7D7F"/>
    <w:rsid w:val="00CC70DD"/>
    <w:rsid w:val="00CC7616"/>
    <w:rsid w:val="00CD00C3"/>
    <w:rsid w:val="00CD3E0B"/>
    <w:rsid w:val="00CD66EC"/>
    <w:rsid w:val="00CD7EEB"/>
    <w:rsid w:val="00CE1801"/>
    <w:rsid w:val="00CE27DF"/>
    <w:rsid w:val="00CE30C1"/>
    <w:rsid w:val="00CE4C0C"/>
    <w:rsid w:val="00CE6B8B"/>
    <w:rsid w:val="00CF041B"/>
    <w:rsid w:val="00CF1737"/>
    <w:rsid w:val="00CF27F0"/>
    <w:rsid w:val="00CF3073"/>
    <w:rsid w:val="00CF51E6"/>
    <w:rsid w:val="00CF6E7B"/>
    <w:rsid w:val="00CF73FA"/>
    <w:rsid w:val="00D00C83"/>
    <w:rsid w:val="00D043F7"/>
    <w:rsid w:val="00D05566"/>
    <w:rsid w:val="00D05AD8"/>
    <w:rsid w:val="00D05DB0"/>
    <w:rsid w:val="00D062FC"/>
    <w:rsid w:val="00D06B76"/>
    <w:rsid w:val="00D07D45"/>
    <w:rsid w:val="00D10609"/>
    <w:rsid w:val="00D12B85"/>
    <w:rsid w:val="00D143A5"/>
    <w:rsid w:val="00D1493E"/>
    <w:rsid w:val="00D15C54"/>
    <w:rsid w:val="00D20FDF"/>
    <w:rsid w:val="00D23FEE"/>
    <w:rsid w:val="00D24C33"/>
    <w:rsid w:val="00D32796"/>
    <w:rsid w:val="00D33D16"/>
    <w:rsid w:val="00D37B9A"/>
    <w:rsid w:val="00D4161F"/>
    <w:rsid w:val="00D45B17"/>
    <w:rsid w:val="00D46277"/>
    <w:rsid w:val="00D462A3"/>
    <w:rsid w:val="00D46DE5"/>
    <w:rsid w:val="00D535FE"/>
    <w:rsid w:val="00D53FA5"/>
    <w:rsid w:val="00D5473B"/>
    <w:rsid w:val="00D64084"/>
    <w:rsid w:val="00D64AD8"/>
    <w:rsid w:val="00D6650E"/>
    <w:rsid w:val="00D67440"/>
    <w:rsid w:val="00D67F32"/>
    <w:rsid w:val="00D70036"/>
    <w:rsid w:val="00D70069"/>
    <w:rsid w:val="00D7086F"/>
    <w:rsid w:val="00D7338D"/>
    <w:rsid w:val="00D75D4B"/>
    <w:rsid w:val="00D75EF5"/>
    <w:rsid w:val="00D761C6"/>
    <w:rsid w:val="00D766DB"/>
    <w:rsid w:val="00D801C6"/>
    <w:rsid w:val="00D80476"/>
    <w:rsid w:val="00D80C85"/>
    <w:rsid w:val="00D82D6B"/>
    <w:rsid w:val="00D830F0"/>
    <w:rsid w:val="00D83E36"/>
    <w:rsid w:val="00D92492"/>
    <w:rsid w:val="00D9304C"/>
    <w:rsid w:val="00D930E9"/>
    <w:rsid w:val="00D93B22"/>
    <w:rsid w:val="00D93D60"/>
    <w:rsid w:val="00D94903"/>
    <w:rsid w:val="00D9516F"/>
    <w:rsid w:val="00D96796"/>
    <w:rsid w:val="00DA2EF6"/>
    <w:rsid w:val="00DA5260"/>
    <w:rsid w:val="00DA69BA"/>
    <w:rsid w:val="00DB0577"/>
    <w:rsid w:val="00DB5EDE"/>
    <w:rsid w:val="00DB600D"/>
    <w:rsid w:val="00DC14C9"/>
    <w:rsid w:val="00DC1D70"/>
    <w:rsid w:val="00DC4144"/>
    <w:rsid w:val="00DC60D9"/>
    <w:rsid w:val="00DC7846"/>
    <w:rsid w:val="00DD0679"/>
    <w:rsid w:val="00DD0EE0"/>
    <w:rsid w:val="00DD167F"/>
    <w:rsid w:val="00DD31B8"/>
    <w:rsid w:val="00DD3672"/>
    <w:rsid w:val="00DD4113"/>
    <w:rsid w:val="00DD4420"/>
    <w:rsid w:val="00DD5FF3"/>
    <w:rsid w:val="00DD7974"/>
    <w:rsid w:val="00DE1B86"/>
    <w:rsid w:val="00DE1CD5"/>
    <w:rsid w:val="00DE24F9"/>
    <w:rsid w:val="00DE29E0"/>
    <w:rsid w:val="00DE4304"/>
    <w:rsid w:val="00DE4808"/>
    <w:rsid w:val="00DF0A81"/>
    <w:rsid w:val="00DF0B5E"/>
    <w:rsid w:val="00DF1B65"/>
    <w:rsid w:val="00DF3C08"/>
    <w:rsid w:val="00DF4FC0"/>
    <w:rsid w:val="00DF6A47"/>
    <w:rsid w:val="00DF77C5"/>
    <w:rsid w:val="00E0017D"/>
    <w:rsid w:val="00E00208"/>
    <w:rsid w:val="00E00886"/>
    <w:rsid w:val="00E04120"/>
    <w:rsid w:val="00E06227"/>
    <w:rsid w:val="00E071FF"/>
    <w:rsid w:val="00E07F98"/>
    <w:rsid w:val="00E107C3"/>
    <w:rsid w:val="00E111C1"/>
    <w:rsid w:val="00E12E51"/>
    <w:rsid w:val="00E14E0D"/>
    <w:rsid w:val="00E16040"/>
    <w:rsid w:val="00E17A31"/>
    <w:rsid w:val="00E20242"/>
    <w:rsid w:val="00E2112C"/>
    <w:rsid w:val="00E222D6"/>
    <w:rsid w:val="00E2248C"/>
    <w:rsid w:val="00E2354F"/>
    <w:rsid w:val="00E25BC9"/>
    <w:rsid w:val="00E26454"/>
    <w:rsid w:val="00E2788D"/>
    <w:rsid w:val="00E30A9D"/>
    <w:rsid w:val="00E35A0D"/>
    <w:rsid w:val="00E43D55"/>
    <w:rsid w:val="00E4544E"/>
    <w:rsid w:val="00E4621E"/>
    <w:rsid w:val="00E47FA7"/>
    <w:rsid w:val="00E60566"/>
    <w:rsid w:val="00E6296D"/>
    <w:rsid w:val="00E62B49"/>
    <w:rsid w:val="00E64B45"/>
    <w:rsid w:val="00E67746"/>
    <w:rsid w:val="00E7088C"/>
    <w:rsid w:val="00E72570"/>
    <w:rsid w:val="00E72932"/>
    <w:rsid w:val="00E7468D"/>
    <w:rsid w:val="00E75354"/>
    <w:rsid w:val="00E75785"/>
    <w:rsid w:val="00E775CE"/>
    <w:rsid w:val="00E7792B"/>
    <w:rsid w:val="00E808BC"/>
    <w:rsid w:val="00E80F0D"/>
    <w:rsid w:val="00E82067"/>
    <w:rsid w:val="00E838E5"/>
    <w:rsid w:val="00E8569C"/>
    <w:rsid w:val="00E86941"/>
    <w:rsid w:val="00E87F9E"/>
    <w:rsid w:val="00E947CA"/>
    <w:rsid w:val="00EA0720"/>
    <w:rsid w:val="00EA2081"/>
    <w:rsid w:val="00EA3F5D"/>
    <w:rsid w:val="00EA4BDF"/>
    <w:rsid w:val="00EA5BF8"/>
    <w:rsid w:val="00EA7117"/>
    <w:rsid w:val="00EB006A"/>
    <w:rsid w:val="00EC2133"/>
    <w:rsid w:val="00EC321F"/>
    <w:rsid w:val="00EC3764"/>
    <w:rsid w:val="00EC4E5D"/>
    <w:rsid w:val="00EC61AF"/>
    <w:rsid w:val="00ED0CF3"/>
    <w:rsid w:val="00ED17EE"/>
    <w:rsid w:val="00ED28E4"/>
    <w:rsid w:val="00ED3266"/>
    <w:rsid w:val="00ED4216"/>
    <w:rsid w:val="00ED6582"/>
    <w:rsid w:val="00ED76B2"/>
    <w:rsid w:val="00EE1681"/>
    <w:rsid w:val="00EE182A"/>
    <w:rsid w:val="00EE37C1"/>
    <w:rsid w:val="00EE4024"/>
    <w:rsid w:val="00EE460A"/>
    <w:rsid w:val="00EE6B54"/>
    <w:rsid w:val="00EE6FFE"/>
    <w:rsid w:val="00EE744F"/>
    <w:rsid w:val="00EF298C"/>
    <w:rsid w:val="00EF383A"/>
    <w:rsid w:val="00EF4A43"/>
    <w:rsid w:val="00EF4A74"/>
    <w:rsid w:val="00EF54D3"/>
    <w:rsid w:val="00EF64E8"/>
    <w:rsid w:val="00EF6913"/>
    <w:rsid w:val="00EF6CA3"/>
    <w:rsid w:val="00EF6D58"/>
    <w:rsid w:val="00EF7755"/>
    <w:rsid w:val="00EF7CF8"/>
    <w:rsid w:val="00EF7E80"/>
    <w:rsid w:val="00F005C9"/>
    <w:rsid w:val="00F01CD0"/>
    <w:rsid w:val="00F03BBC"/>
    <w:rsid w:val="00F03DAD"/>
    <w:rsid w:val="00F06382"/>
    <w:rsid w:val="00F067BD"/>
    <w:rsid w:val="00F1005A"/>
    <w:rsid w:val="00F1237D"/>
    <w:rsid w:val="00F15AD2"/>
    <w:rsid w:val="00F15F4E"/>
    <w:rsid w:val="00F22312"/>
    <w:rsid w:val="00F231B2"/>
    <w:rsid w:val="00F23640"/>
    <w:rsid w:val="00F23DFE"/>
    <w:rsid w:val="00F273CF"/>
    <w:rsid w:val="00F324AE"/>
    <w:rsid w:val="00F334B5"/>
    <w:rsid w:val="00F34CE4"/>
    <w:rsid w:val="00F34D8C"/>
    <w:rsid w:val="00F3671E"/>
    <w:rsid w:val="00F40C57"/>
    <w:rsid w:val="00F417A1"/>
    <w:rsid w:val="00F41B68"/>
    <w:rsid w:val="00F42143"/>
    <w:rsid w:val="00F5143A"/>
    <w:rsid w:val="00F51EF4"/>
    <w:rsid w:val="00F52A94"/>
    <w:rsid w:val="00F53E62"/>
    <w:rsid w:val="00F55C66"/>
    <w:rsid w:val="00F56BBF"/>
    <w:rsid w:val="00F62371"/>
    <w:rsid w:val="00F65811"/>
    <w:rsid w:val="00F66158"/>
    <w:rsid w:val="00F66EDA"/>
    <w:rsid w:val="00F67421"/>
    <w:rsid w:val="00F71B1A"/>
    <w:rsid w:val="00F75384"/>
    <w:rsid w:val="00F75A36"/>
    <w:rsid w:val="00F80CA1"/>
    <w:rsid w:val="00F81671"/>
    <w:rsid w:val="00F8412A"/>
    <w:rsid w:val="00F84C00"/>
    <w:rsid w:val="00F87308"/>
    <w:rsid w:val="00F91CE9"/>
    <w:rsid w:val="00F936AD"/>
    <w:rsid w:val="00F949E5"/>
    <w:rsid w:val="00F958BE"/>
    <w:rsid w:val="00F977D6"/>
    <w:rsid w:val="00FA077B"/>
    <w:rsid w:val="00FA1EF6"/>
    <w:rsid w:val="00FA34B9"/>
    <w:rsid w:val="00FA458B"/>
    <w:rsid w:val="00FA4778"/>
    <w:rsid w:val="00FA5989"/>
    <w:rsid w:val="00FA5F20"/>
    <w:rsid w:val="00FA6C6E"/>
    <w:rsid w:val="00FB28BD"/>
    <w:rsid w:val="00FB3446"/>
    <w:rsid w:val="00FB354C"/>
    <w:rsid w:val="00FB4410"/>
    <w:rsid w:val="00FB4B13"/>
    <w:rsid w:val="00FB4BE7"/>
    <w:rsid w:val="00FB4BF1"/>
    <w:rsid w:val="00FB679B"/>
    <w:rsid w:val="00FB6F38"/>
    <w:rsid w:val="00FC171F"/>
    <w:rsid w:val="00FC2450"/>
    <w:rsid w:val="00FC2AE8"/>
    <w:rsid w:val="00FC2FB6"/>
    <w:rsid w:val="00FC4382"/>
    <w:rsid w:val="00FC4BA6"/>
    <w:rsid w:val="00FC5F9F"/>
    <w:rsid w:val="00FC5FC6"/>
    <w:rsid w:val="00FC797D"/>
    <w:rsid w:val="00FC79C1"/>
    <w:rsid w:val="00FD5F80"/>
    <w:rsid w:val="00FD68CB"/>
    <w:rsid w:val="00FE0745"/>
    <w:rsid w:val="00FE0AE7"/>
    <w:rsid w:val="00FE112B"/>
    <w:rsid w:val="00FE23BC"/>
    <w:rsid w:val="00FE4A5B"/>
    <w:rsid w:val="00FE5995"/>
    <w:rsid w:val="00FF42A6"/>
    <w:rsid w:val="00FF5A0E"/>
    <w:rsid w:val="00FF5D15"/>
    <w:rsid w:val="00FF679A"/>
    <w:rsid w:val="00FF6BF4"/>
    <w:rsid w:val="022A195E"/>
    <w:rsid w:val="022A347C"/>
    <w:rsid w:val="03EB2DB2"/>
    <w:rsid w:val="059C4E2A"/>
    <w:rsid w:val="08EE0F86"/>
    <w:rsid w:val="0A4A080A"/>
    <w:rsid w:val="0AB87C0E"/>
    <w:rsid w:val="0B2D0853"/>
    <w:rsid w:val="0B8D5AFE"/>
    <w:rsid w:val="0C667968"/>
    <w:rsid w:val="0D2602B8"/>
    <w:rsid w:val="0E1E1875"/>
    <w:rsid w:val="100F54D9"/>
    <w:rsid w:val="17CC05CB"/>
    <w:rsid w:val="17EC6BB8"/>
    <w:rsid w:val="1C950EEE"/>
    <w:rsid w:val="20873E4F"/>
    <w:rsid w:val="224F734D"/>
    <w:rsid w:val="23D42CAA"/>
    <w:rsid w:val="23E920DE"/>
    <w:rsid w:val="262B4221"/>
    <w:rsid w:val="26D70286"/>
    <w:rsid w:val="289D4415"/>
    <w:rsid w:val="2E2D5EB5"/>
    <w:rsid w:val="2FC559B4"/>
    <w:rsid w:val="308A6403"/>
    <w:rsid w:val="3101031A"/>
    <w:rsid w:val="32A73901"/>
    <w:rsid w:val="365E6403"/>
    <w:rsid w:val="36FE69D9"/>
    <w:rsid w:val="37CC575E"/>
    <w:rsid w:val="37DB6DF1"/>
    <w:rsid w:val="37F0457B"/>
    <w:rsid w:val="38432FE9"/>
    <w:rsid w:val="38D92411"/>
    <w:rsid w:val="3B193279"/>
    <w:rsid w:val="3BA2711E"/>
    <w:rsid w:val="3DCC2B4B"/>
    <w:rsid w:val="3DDD2CC7"/>
    <w:rsid w:val="41546CC5"/>
    <w:rsid w:val="424E7AF4"/>
    <w:rsid w:val="436728C5"/>
    <w:rsid w:val="45D97437"/>
    <w:rsid w:val="46B85649"/>
    <w:rsid w:val="46FC148A"/>
    <w:rsid w:val="483910CC"/>
    <w:rsid w:val="49911E6B"/>
    <w:rsid w:val="4A2A24D6"/>
    <w:rsid w:val="4AEE4253"/>
    <w:rsid w:val="4EA824BA"/>
    <w:rsid w:val="516A44CE"/>
    <w:rsid w:val="53566988"/>
    <w:rsid w:val="569C0EE0"/>
    <w:rsid w:val="57C32EFC"/>
    <w:rsid w:val="588A5CAA"/>
    <w:rsid w:val="5A0F64CB"/>
    <w:rsid w:val="5A0F6C4B"/>
    <w:rsid w:val="5A7B0A67"/>
    <w:rsid w:val="5BDA62C2"/>
    <w:rsid w:val="5CEC367E"/>
    <w:rsid w:val="5D86232E"/>
    <w:rsid w:val="61FD4BCF"/>
    <w:rsid w:val="635B28DF"/>
    <w:rsid w:val="635C60B4"/>
    <w:rsid w:val="6EE75891"/>
    <w:rsid w:val="72395D87"/>
    <w:rsid w:val="756775E6"/>
    <w:rsid w:val="799817C5"/>
    <w:rsid w:val="7D9E63F3"/>
    <w:rsid w:val="7DAA07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5"/>
    <w:qFormat/>
    <w:uiPriority w:val="0"/>
    <w:pPr>
      <w:keepNext/>
      <w:keepLines/>
      <w:spacing w:before="20" w:after="20" w:line="416" w:lineRule="auto"/>
      <w:outlineLvl w:val="2"/>
    </w:pPr>
    <w:rPr>
      <w:rFonts w:eastAsia="黑体"/>
      <w:bCs/>
      <w:kern w:val="0"/>
      <w:sz w:val="24"/>
      <w:szCs w:val="32"/>
    </w:rPr>
  </w:style>
  <w:style w:type="paragraph" w:styleId="6">
    <w:name w:val="heading 4"/>
    <w:basedOn w:val="1"/>
    <w:next w:val="1"/>
    <w:link w:val="9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2"/>
    </w:rPr>
  </w:style>
  <w:style w:type="paragraph" w:styleId="9">
    <w:name w:val="heading 7"/>
    <w:basedOn w:val="1"/>
    <w:next w:val="1"/>
    <w:link w:val="98"/>
    <w:qFormat/>
    <w:uiPriority w:val="0"/>
    <w:pPr>
      <w:keepNext/>
      <w:keepLines/>
      <w:widowControl/>
      <w:tabs>
        <w:tab w:val="left" w:pos="2520"/>
      </w:tabs>
      <w:spacing w:before="240" w:after="64" w:line="320" w:lineRule="auto"/>
      <w:ind w:left="1296" w:hanging="1296"/>
      <w:jc w:val="left"/>
      <w:outlineLvl w:val="6"/>
    </w:pPr>
    <w:rPr>
      <w:rFonts w:ascii="Calibri" w:hAnsi="Calibri"/>
      <w:b/>
      <w:bCs/>
      <w:kern w:val="0"/>
      <w:sz w:val="24"/>
      <w:szCs w:val="22"/>
    </w:rPr>
  </w:style>
  <w:style w:type="paragraph" w:styleId="10">
    <w:name w:val="heading 8"/>
    <w:basedOn w:val="1"/>
    <w:next w:val="1"/>
    <w:link w:val="9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2"/>
    </w:rPr>
  </w:style>
  <w:style w:type="paragraph" w:styleId="11">
    <w:name w:val="heading 9"/>
    <w:basedOn w:val="1"/>
    <w:next w:val="1"/>
    <w:link w:val="10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Indent"/>
    <w:basedOn w:val="1"/>
    <w:link w:val="44"/>
    <w:unhideWhenUsed/>
    <w:qFormat/>
    <w:uiPriority w:val="99"/>
    <w:pPr>
      <w:spacing w:after="120"/>
      <w:ind w:left="420" w:leftChars="200"/>
    </w:pPr>
    <w:rPr>
      <w:szCs w:val="22"/>
    </w:rPr>
  </w:style>
  <w:style w:type="paragraph" w:styleId="12">
    <w:name w:val="Normal Indent"/>
    <w:basedOn w:val="1"/>
    <w:link w:val="52"/>
    <w:unhideWhenUsed/>
    <w:qFormat/>
    <w:uiPriority w:val="0"/>
    <w:pPr>
      <w:ind w:firstLine="420" w:firstLineChars="200"/>
    </w:pPr>
    <w:rPr>
      <w:szCs w:val="22"/>
    </w:rPr>
  </w:style>
  <w:style w:type="paragraph" w:styleId="13">
    <w:name w:val="annotation text"/>
    <w:basedOn w:val="1"/>
    <w:link w:val="101"/>
    <w:qFormat/>
    <w:uiPriority w:val="0"/>
    <w:pPr>
      <w:jc w:val="left"/>
    </w:pPr>
  </w:style>
  <w:style w:type="paragraph" w:styleId="14">
    <w:name w:val="Body Text"/>
    <w:basedOn w:val="1"/>
    <w:next w:val="1"/>
    <w:link w:val="55"/>
    <w:qFormat/>
    <w:uiPriority w:val="0"/>
    <w:rPr>
      <w:rFonts w:ascii="楷体_GB2312" w:hAnsi="Arial" w:eastAsia="楷体_GB2312"/>
      <w:kern w:val="0"/>
      <w:sz w:val="28"/>
      <w:szCs w:val="20"/>
    </w:rPr>
  </w:style>
  <w:style w:type="paragraph" w:styleId="15">
    <w:name w:val="toc 3"/>
    <w:basedOn w:val="1"/>
    <w:next w:val="1"/>
    <w:unhideWhenUsed/>
    <w:qFormat/>
    <w:uiPriority w:val="39"/>
    <w:pPr>
      <w:ind w:left="840" w:leftChars="400"/>
    </w:pPr>
  </w:style>
  <w:style w:type="paragraph" w:styleId="16">
    <w:name w:val="Plain Text"/>
    <w:basedOn w:val="1"/>
    <w:link w:val="60"/>
    <w:qFormat/>
    <w:uiPriority w:val="0"/>
    <w:rPr>
      <w:rFonts w:ascii="宋体" w:hAnsi="Courier New"/>
      <w:kern w:val="0"/>
      <w:sz w:val="20"/>
      <w:szCs w:val="20"/>
    </w:rPr>
  </w:style>
  <w:style w:type="paragraph" w:styleId="17">
    <w:name w:val="Date"/>
    <w:basedOn w:val="1"/>
    <w:next w:val="1"/>
    <w:link w:val="46"/>
    <w:qFormat/>
    <w:uiPriority w:val="0"/>
    <w:rPr>
      <w:kern w:val="0"/>
      <w:sz w:val="24"/>
      <w:szCs w:val="20"/>
    </w:rPr>
  </w:style>
  <w:style w:type="paragraph" w:styleId="18">
    <w:name w:val="Balloon Text"/>
    <w:basedOn w:val="1"/>
    <w:link w:val="39"/>
    <w:unhideWhenUsed/>
    <w:qFormat/>
    <w:uiPriority w:val="99"/>
    <w:rPr>
      <w:kern w:val="0"/>
      <w:sz w:val="18"/>
      <w:szCs w:val="18"/>
    </w:rPr>
  </w:style>
  <w:style w:type="paragraph" w:styleId="19">
    <w:name w:val="footer"/>
    <w:basedOn w:val="1"/>
    <w:link w:val="68"/>
    <w:unhideWhenUsed/>
    <w:qFormat/>
    <w:uiPriority w:val="99"/>
    <w:pPr>
      <w:tabs>
        <w:tab w:val="center" w:pos="4153"/>
        <w:tab w:val="right" w:pos="8306"/>
      </w:tabs>
      <w:snapToGrid w:val="0"/>
      <w:jc w:val="left"/>
    </w:pPr>
    <w:rPr>
      <w:kern w:val="0"/>
      <w:sz w:val="18"/>
      <w:szCs w:val="18"/>
    </w:rPr>
  </w:style>
  <w:style w:type="paragraph" w:styleId="20">
    <w:name w:val="envelope return"/>
    <w:basedOn w:val="1"/>
    <w:semiHidden/>
    <w:unhideWhenUsed/>
    <w:qFormat/>
    <w:uiPriority w:val="99"/>
    <w:pPr>
      <w:snapToGrid w:val="0"/>
    </w:pPr>
    <w:rPr>
      <w:rFonts w:ascii="Arial" w:hAnsi="Arial"/>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ind w:left="1260" w:leftChars="600"/>
    </w:pPr>
  </w:style>
  <w:style w:type="paragraph" w:styleId="24">
    <w:name w:val="toc 2"/>
    <w:basedOn w:val="1"/>
    <w:next w:val="1"/>
    <w:unhideWhenUsed/>
    <w:qFormat/>
    <w:uiPriority w:val="39"/>
    <w:pPr>
      <w:ind w:left="420" w:leftChars="200"/>
    </w:pPr>
  </w:style>
  <w:style w:type="paragraph" w:styleId="25">
    <w:name w:val="Body Text 2"/>
    <w:basedOn w:val="1"/>
    <w:link w:val="49"/>
    <w:unhideWhenUsed/>
    <w:qFormat/>
    <w:uiPriority w:val="99"/>
    <w:pPr>
      <w:spacing w:after="120" w:line="480" w:lineRule="auto"/>
    </w:pPr>
    <w:rPr>
      <w:szCs w:val="22"/>
    </w:rPr>
  </w:style>
  <w:style w:type="paragraph" w:styleId="26">
    <w:name w:val="HTML Preformatted"/>
    <w:basedOn w:val="1"/>
    <w:link w:val="4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link w:val="10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9">
    <w:name w:val="annotation subject"/>
    <w:basedOn w:val="13"/>
    <w:next w:val="13"/>
    <w:link w:val="67"/>
    <w:unhideWhenUsed/>
    <w:qFormat/>
    <w:uiPriority w:val="99"/>
    <w:rPr>
      <w:b/>
      <w:bCs/>
      <w:kern w:val="0"/>
      <w:sz w:val="20"/>
      <w:szCs w:val="20"/>
    </w:rPr>
  </w:style>
  <w:style w:type="paragraph" w:styleId="30">
    <w:name w:val="Body Text First Indent 2"/>
    <w:basedOn w:val="2"/>
    <w:next w:val="1"/>
    <w:link w:val="92"/>
    <w:unhideWhenUsed/>
    <w:qFormat/>
    <w:uiPriority w:val="99"/>
    <w:pPr>
      <w:spacing w:after="0" w:line="360" w:lineRule="auto"/>
      <w:ind w:left="0" w:leftChars="0" w:firstLine="420" w:firstLineChars="200"/>
    </w:pPr>
    <w:rPr>
      <w:rFonts w:ascii="宋体" w:hAnsi="宋体"/>
      <w:sz w:val="24"/>
      <w:szCs w:val="24"/>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unhideWhenUsed/>
    <w:qFormat/>
    <w:uiPriority w:val="0"/>
  </w:style>
  <w:style w:type="character" w:styleId="36">
    <w:name w:val="Hyperlink"/>
    <w:unhideWhenUsed/>
    <w:qFormat/>
    <w:uiPriority w:val="99"/>
    <w:rPr>
      <w:color w:val="0563C1"/>
      <w:u w:val="single"/>
    </w:rPr>
  </w:style>
  <w:style w:type="character" w:styleId="37">
    <w:name w:val="annotation reference"/>
    <w:qFormat/>
    <w:uiPriority w:val="0"/>
    <w:rPr>
      <w:sz w:val="21"/>
      <w:szCs w:val="21"/>
    </w:rPr>
  </w:style>
  <w:style w:type="character" w:customStyle="1" w:styleId="38">
    <w:name w:val="页眉 字符"/>
    <w:link w:val="21"/>
    <w:qFormat/>
    <w:uiPriority w:val="99"/>
    <w:rPr>
      <w:sz w:val="18"/>
      <w:szCs w:val="18"/>
    </w:rPr>
  </w:style>
  <w:style w:type="character" w:customStyle="1" w:styleId="39">
    <w:name w:val="批注框文本 字符"/>
    <w:link w:val="18"/>
    <w:semiHidden/>
    <w:qFormat/>
    <w:uiPriority w:val="99"/>
    <w:rPr>
      <w:sz w:val="18"/>
      <w:szCs w:val="18"/>
    </w:rPr>
  </w:style>
  <w:style w:type="character" w:customStyle="1" w:styleId="40">
    <w:name w:val="p0 Char"/>
    <w:link w:val="41"/>
    <w:qFormat/>
    <w:uiPriority w:val="99"/>
  </w:style>
  <w:style w:type="paragraph" w:customStyle="1" w:styleId="41">
    <w:name w:val="p0"/>
    <w:basedOn w:val="1"/>
    <w:link w:val="40"/>
    <w:qFormat/>
    <w:uiPriority w:val="0"/>
    <w:pPr>
      <w:widowControl/>
      <w:spacing w:line="365" w:lineRule="atLeast"/>
      <w:ind w:left="1"/>
      <w:textAlignment w:val="bottom"/>
    </w:pPr>
    <w:rPr>
      <w:kern w:val="0"/>
      <w:sz w:val="20"/>
      <w:szCs w:val="20"/>
    </w:rPr>
  </w:style>
  <w:style w:type="character" w:customStyle="1" w:styleId="42">
    <w:name w:val="纯文本 Char"/>
    <w:qFormat/>
    <w:uiPriority w:val="0"/>
    <w:rPr>
      <w:rFonts w:ascii="宋体" w:hAnsi="Courier New" w:eastAsia="宋体" w:cs="Times New Roman"/>
      <w:szCs w:val="20"/>
    </w:rPr>
  </w:style>
  <w:style w:type="character" w:customStyle="1" w:styleId="43">
    <w:name w:val="font21"/>
    <w:qFormat/>
    <w:uiPriority w:val="0"/>
    <w:rPr>
      <w:rFonts w:hint="eastAsia" w:ascii="黑体" w:hAnsi="宋体" w:eastAsia="黑体" w:cs="黑体"/>
      <w:color w:val="000000"/>
      <w:sz w:val="18"/>
      <w:szCs w:val="18"/>
      <w:u w:val="none"/>
    </w:rPr>
  </w:style>
  <w:style w:type="character" w:customStyle="1" w:styleId="44">
    <w:name w:val="正文文本缩进 字符"/>
    <w:link w:val="2"/>
    <w:semiHidden/>
    <w:qFormat/>
    <w:uiPriority w:val="99"/>
    <w:rPr>
      <w:kern w:val="2"/>
      <w:sz w:val="21"/>
      <w:szCs w:val="22"/>
    </w:rPr>
  </w:style>
  <w:style w:type="character" w:customStyle="1" w:styleId="45">
    <w:name w:val="HTML 预设格式 字符1"/>
    <w:link w:val="26"/>
    <w:qFormat/>
    <w:uiPriority w:val="0"/>
    <w:rPr>
      <w:rFonts w:ascii="宋体" w:hAnsi="宋体"/>
      <w:sz w:val="24"/>
      <w:szCs w:val="24"/>
    </w:rPr>
  </w:style>
  <w:style w:type="character" w:customStyle="1" w:styleId="46">
    <w:name w:val="日期 字符"/>
    <w:link w:val="17"/>
    <w:qFormat/>
    <w:uiPriority w:val="0"/>
    <w:rPr>
      <w:rFonts w:ascii="Times New Roman" w:hAnsi="Times New Roman" w:eastAsia="宋体" w:cs="Times New Roman"/>
      <w:sz w:val="24"/>
      <w:szCs w:val="20"/>
    </w:rPr>
  </w:style>
  <w:style w:type="character" w:customStyle="1" w:styleId="47">
    <w:name w:val="标题 4 Char1"/>
    <w:qFormat/>
    <w:uiPriority w:val="0"/>
    <w:rPr>
      <w:rFonts w:ascii="Arial" w:hAnsi="Arial" w:eastAsia="黑体"/>
      <w:b/>
      <w:bCs/>
      <w:kern w:val="2"/>
      <w:sz w:val="28"/>
      <w:szCs w:val="28"/>
    </w:rPr>
  </w:style>
  <w:style w:type="character" w:customStyle="1" w:styleId="48">
    <w:name w:val="标题 2 Char1"/>
    <w:qFormat/>
    <w:uiPriority w:val="99"/>
    <w:rPr>
      <w:rFonts w:ascii="Arial" w:hAnsi="Arial" w:eastAsia="黑体"/>
      <w:b/>
      <w:bCs/>
      <w:kern w:val="2"/>
      <w:sz w:val="32"/>
      <w:szCs w:val="32"/>
    </w:rPr>
  </w:style>
  <w:style w:type="character" w:customStyle="1" w:styleId="49">
    <w:name w:val="正文文本 2 字符"/>
    <w:link w:val="25"/>
    <w:semiHidden/>
    <w:qFormat/>
    <w:uiPriority w:val="99"/>
    <w:rPr>
      <w:kern w:val="2"/>
      <w:sz w:val="21"/>
      <w:szCs w:val="22"/>
    </w:rPr>
  </w:style>
  <w:style w:type="character" w:customStyle="1" w:styleId="50">
    <w:name w:val="页脚 Char"/>
    <w:qFormat/>
    <w:uiPriority w:val="99"/>
    <w:rPr>
      <w:sz w:val="18"/>
      <w:szCs w:val="18"/>
    </w:rPr>
  </w:style>
  <w:style w:type="character" w:customStyle="1" w:styleId="51">
    <w:name w:val="正文文本缩进 Char"/>
    <w:semiHidden/>
    <w:qFormat/>
    <w:uiPriority w:val="99"/>
    <w:rPr>
      <w:kern w:val="2"/>
      <w:sz w:val="21"/>
      <w:szCs w:val="22"/>
    </w:rPr>
  </w:style>
  <w:style w:type="character" w:customStyle="1" w:styleId="52">
    <w:name w:val="正文缩进 字符"/>
    <w:link w:val="12"/>
    <w:qFormat/>
    <w:uiPriority w:val="0"/>
    <w:rPr>
      <w:kern w:val="2"/>
      <w:sz w:val="21"/>
      <w:szCs w:val="22"/>
    </w:rPr>
  </w:style>
  <w:style w:type="character" w:customStyle="1" w:styleId="53">
    <w:name w:val="标题 Char1"/>
    <w:qFormat/>
    <w:uiPriority w:val="0"/>
    <w:rPr>
      <w:rFonts w:ascii="Arial" w:hAnsi="Arial"/>
      <w:b/>
      <w:sz w:val="32"/>
    </w:rPr>
  </w:style>
  <w:style w:type="character" w:customStyle="1" w:styleId="54">
    <w:name w:val="批注文字 Char1"/>
    <w:basedOn w:val="33"/>
    <w:qFormat/>
    <w:uiPriority w:val="0"/>
    <w:rPr>
      <w:kern w:val="2"/>
      <w:sz w:val="21"/>
      <w:szCs w:val="24"/>
    </w:rPr>
  </w:style>
  <w:style w:type="character" w:customStyle="1" w:styleId="55">
    <w:name w:val="正文文本 字符"/>
    <w:link w:val="14"/>
    <w:qFormat/>
    <w:uiPriority w:val="0"/>
    <w:rPr>
      <w:rFonts w:ascii="楷体_GB2312" w:hAnsi="Arial" w:eastAsia="楷体_GB2312" w:cs="Times New Roman"/>
      <w:sz w:val="28"/>
      <w:szCs w:val="20"/>
    </w:rPr>
  </w:style>
  <w:style w:type="character" w:customStyle="1" w:styleId="56">
    <w:name w:val="标题 1 Char1"/>
    <w:qFormat/>
    <w:uiPriority w:val="0"/>
    <w:rPr>
      <w:b/>
      <w:bCs/>
      <w:kern w:val="44"/>
      <w:sz w:val="44"/>
      <w:szCs w:val="44"/>
    </w:rPr>
  </w:style>
  <w:style w:type="character" w:customStyle="1" w:styleId="57">
    <w:name w:val="flName Char"/>
    <w:link w:val="58"/>
    <w:qFormat/>
    <w:uiPriority w:val="0"/>
    <w:rPr>
      <w:rFonts w:ascii="Arial" w:eastAsia="黑体"/>
      <w:sz w:val="32"/>
    </w:rPr>
  </w:style>
  <w:style w:type="paragraph" w:customStyle="1" w:styleId="58">
    <w:name w:val="flName"/>
    <w:basedOn w:val="1"/>
    <w:link w:val="57"/>
    <w:qFormat/>
    <w:uiPriority w:val="0"/>
    <w:pPr>
      <w:adjustRightInd w:val="0"/>
      <w:spacing w:before="320" w:after="160" w:line="360" w:lineRule="atLeast"/>
      <w:jc w:val="center"/>
      <w:textAlignment w:val="baseline"/>
    </w:pPr>
    <w:rPr>
      <w:rFonts w:ascii="Arial" w:eastAsia="黑体"/>
      <w:kern w:val="0"/>
      <w:sz w:val="32"/>
      <w:szCs w:val="20"/>
    </w:rPr>
  </w:style>
  <w:style w:type="character" w:customStyle="1" w:styleId="59">
    <w:name w:val="标题 5 Char1"/>
    <w:qFormat/>
    <w:uiPriority w:val="0"/>
    <w:rPr>
      <w:b/>
      <w:bCs/>
      <w:kern w:val="2"/>
      <w:sz w:val="28"/>
      <w:szCs w:val="28"/>
    </w:rPr>
  </w:style>
  <w:style w:type="character" w:customStyle="1" w:styleId="60">
    <w:name w:val="纯文本 字符"/>
    <w:link w:val="16"/>
    <w:qFormat/>
    <w:uiPriority w:val="0"/>
    <w:rPr>
      <w:rFonts w:ascii="宋体" w:hAnsi="Courier New" w:eastAsia="宋体" w:cs="Times New Roman"/>
      <w:szCs w:val="20"/>
    </w:rPr>
  </w:style>
  <w:style w:type="character" w:customStyle="1" w:styleId="61">
    <w:name w:val="标题 3 Char1"/>
    <w:qFormat/>
    <w:uiPriority w:val="0"/>
    <w:rPr>
      <w:rFonts w:eastAsia="黑体"/>
      <w:bCs/>
      <w:sz w:val="24"/>
      <w:szCs w:val="32"/>
    </w:rPr>
  </w:style>
  <w:style w:type="character" w:customStyle="1" w:styleId="62">
    <w:name w:val="无间隔 Char"/>
    <w:link w:val="63"/>
    <w:qFormat/>
    <w:uiPriority w:val="1"/>
    <w:rPr>
      <w:kern w:val="2"/>
      <w:sz w:val="21"/>
      <w:szCs w:val="24"/>
      <w:lang w:val="en-US" w:eastAsia="zh-CN" w:bidi="ar-SA"/>
    </w:rPr>
  </w:style>
  <w:style w:type="paragraph" w:customStyle="1" w:styleId="63">
    <w:name w:val="无间隔1"/>
    <w:link w:val="6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HTML 预设格式 字符"/>
    <w:qFormat/>
    <w:uiPriority w:val="0"/>
    <w:rPr>
      <w:rFonts w:ascii="Courier New" w:hAnsi="Courier New"/>
    </w:rPr>
  </w:style>
  <w:style w:type="character" w:customStyle="1" w:styleId="65">
    <w:name w:val="列出段落 Char"/>
    <w:link w:val="66"/>
    <w:qFormat/>
    <w:locked/>
    <w:uiPriority w:val="0"/>
    <w:rPr>
      <w:rFonts w:eastAsia="仿宋"/>
      <w:sz w:val="28"/>
    </w:rPr>
  </w:style>
  <w:style w:type="paragraph" w:customStyle="1" w:styleId="66">
    <w:name w:val="列出段落1"/>
    <w:basedOn w:val="1"/>
    <w:link w:val="65"/>
    <w:qFormat/>
    <w:uiPriority w:val="0"/>
    <w:pPr>
      <w:adjustRightInd w:val="0"/>
      <w:spacing w:line="360" w:lineRule="auto"/>
      <w:ind w:firstLine="420" w:firstLineChars="200"/>
      <w:textAlignment w:val="baseline"/>
    </w:pPr>
    <w:rPr>
      <w:rFonts w:eastAsia="仿宋"/>
      <w:kern w:val="0"/>
      <w:sz w:val="28"/>
      <w:szCs w:val="20"/>
    </w:rPr>
  </w:style>
  <w:style w:type="character" w:customStyle="1" w:styleId="67">
    <w:name w:val="批注主题 字符"/>
    <w:link w:val="29"/>
    <w:semiHidden/>
    <w:qFormat/>
    <w:uiPriority w:val="99"/>
    <w:rPr>
      <w:b/>
      <w:bCs/>
    </w:rPr>
  </w:style>
  <w:style w:type="character" w:customStyle="1" w:styleId="68">
    <w:name w:val="页脚 字符"/>
    <w:link w:val="19"/>
    <w:qFormat/>
    <w:uiPriority w:val="99"/>
    <w:rPr>
      <w:sz w:val="18"/>
      <w:szCs w:val="18"/>
    </w:rPr>
  </w:style>
  <w:style w:type="character" w:customStyle="1" w:styleId="69">
    <w:name w:val="文档结构图 Char1"/>
    <w:qFormat/>
    <w:uiPriority w:val="0"/>
    <w:rPr>
      <w:rFonts w:ascii="宋体"/>
      <w:kern w:val="2"/>
      <w:sz w:val="18"/>
      <w:szCs w:val="18"/>
    </w:rPr>
  </w:style>
  <w:style w:type="character" w:customStyle="1" w:styleId="70">
    <w:name w:val="标题 7 Char1"/>
    <w:qFormat/>
    <w:uiPriority w:val="0"/>
    <w:rPr>
      <w:rFonts w:ascii="Calibri" w:hAnsi="Calibri"/>
      <w:b/>
      <w:bCs/>
      <w:sz w:val="24"/>
      <w:szCs w:val="22"/>
    </w:rPr>
  </w:style>
  <w:style w:type="character" w:customStyle="1" w:styleId="71">
    <w:name w:val="HTML 预设格式 Char"/>
    <w:qFormat/>
    <w:uiPriority w:val="0"/>
    <w:rPr>
      <w:rFonts w:ascii="宋体" w:hAnsi="宋体" w:eastAsia="宋体" w:cs="宋体"/>
      <w:kern w:val="0"/>
      <w:sz w:val="24"/>
      <w:szCs w:val="24"/>
    </w:rPr>
  </w:style>
  <w:style w:type="character" w:customStyle="1" w:styleId="72">
    <w:name w:val="font11"/>
    <w:qFormat/>
    <w:uiPriority w:val="0"/>
    <w:rPr>
      <w:rFonts w:hint="eastAsia" w:ascii="黑体" w:hAnsi="宋体" w:eastAsia="黑体" w:cs="黑体"/>
      <w:color w:val="FF0000"/>
      <w:sz w:val="18"/>
      <w:szCs w:val="18"/>
      <w:u w:val="none"/>
    </w:rPr>
  </w:style>
  <w:style w:type="character" w:customStyle="1" w:styleId="73">
    <w:name w:val="页眉 Char"/>
    <w:qFormat/>
    <w:uiPriority w:val="99"/>
    <w:rPr>
      <w:sz w:val="18"/>
      <w:szCs w:val="18"/>
    </w:rPr>
  </w:style>
  <w:style w:type="character" w:customStyle="1" w:styleId="74">
    <w:name w:val="未处理的提及1"/>
    <w:unhideWhenUsed/>
    <w:qFormat/>
    <w:uiPriority w:val="99"/>
    <w:rPr>
      <w:color w:val="605E5C"/>
      <w:shd w:val="clear" w:color="auto" w:fill="E1DFDD"/>
    </w:rPr>
  </w:style>
  <w:style w:type="paragraph" w:customStyle="1" w:styleId="75">
    <w:name w:val="正文1"/>
    <w:qFormat/>
    <w:uiPriority w:val="0"/>
    <w:pPr>
      <w:widowControl w:val="0"/>
      <w:jc w:val="both"/>
    </w:pPr>
    <w:rPr>
      <w:rFonts w:ascii="Times New Roman" w:hAnsi="Times New Roman" w:eastAsia="宋体" w:cs="Times New Roman"/>
      <w:lang w:val="en-US" w:eastAsia="zh-CN" w:bidi="ar-SA"/>
    </w:rPr>
  </w:style>
  <w:style w:type="paragraph" w:customStyle="1" w:styleId="7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纯文本1"/>
    <w:basedOn w:val="1"/>
    <w:qFormat/>
    <w:uiPriority w:val="0"/>
    <w:rPr>
      <w:rFonts w:ascii="宋体" w:hAnsi="Courier New"/>
      <w:sz w:val="28"/>
    </w:rPr>
  </w:style>
  <w:style w:type="paragraph" w:customStyle="1" w:styleId="7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0">
    <w:name w:val="Char"/>
    <w:basedOn w:val="1"/>
    <w:qFormat/>
    <w:uiPriority w:val="0"/>
    <w:pPr>
      <w:tabs>
        <w:tab w:val="left" w:pos="360"/>
      </w:tabs>
    </w:pPr>
    <w:rPr>
      <w:sz w:val="24"/>
    </w:rPr>
  </w:style>
  <w:style w:type="paragraph" w:customStyle="1" w:styleId="81">
    <w:name w:val="标题1"/>
    <w:basedOn w:val="1"/>
    <w:next w:val="30"/>
    <w:qFormat/>
    <w:uiPriority w:val="0"/>
    <w:pPr>
      <w:tabs>
        <w:tab w:val="left" w:pos="9193"/>
        <w:tab w:val="left" w:pos="9827"/>
      </w:tabs>
      <w:spacing w:line="700" w:lineRule="atLeast"/>
      <w:jc w:val="center"/>
    </w:pPr>
    <w:rPr>
      <w:rFonts w:eastAsia="方正小标宋_GBK"/>
      <w:sz w:val="44"/>
    </w:rPr>
  </w:style>
  <w:style w:type="paragraph" w:customStyle="1" w:styleId="82">
    <w:name w:val="TOC 标题1"/>
    <w:basedOn w:val="3"/>
    <w:next w:val="1"/>
    <w:unhideWhenUsed/>
    <w:qFormat/>
    <w:uiPriority w:val="39"/>
    <w:pPr>
      <w:widowControl/>
      <w:spacing w:before="480" w:line="276" w:lineRule="auto"/>
      <w:jc w:val="left"/>
      <w:outlineLvl w:val="9"/>
    </w:pPr>
    <w:rPr>
      <w:rFonts w:ascii="Cambria" w:hAnsi="Cambria"/>
      <w:color w:val="2E74B5"/>
      <w:kern w:val="0"/>
      <w:szCs w:val="28"/>
    </w:rPr>
  </w:style>
  <w:style w:type="paragraph" w:customStyle="1" w:styleId="83">
    <w:name w:val="注"/>
    <w:basedOn w:val="1"/>
    <w:qFormat/>
    <w:uiPriority w:val="0"/>
    <w:pPr>
      <w:adjustRightInd w:val="0"/>
      <w:spacing w:line="360" w:lineRule="atLeast"/>
      <w:ind w:left="840" w:hanging="420"/>
      <w:textAlignment w:val="baseline"/>
    </w:pPr>
    <w:rPr>
      <w:kern w:val="0"/>
      <w:szCs w:val="20"/>
    </w:rPr>
  </w:style>
  <w:style w:type="paragraph" w:customStyle="1" w:styleId="84">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6">
    <w:name w:val="List Paragraph"/>
    <w:basedOn w:val="1"/>
    <w:qFormat/>
    <w:uiPriority w:val="99"/>
    <w:pPr>
      <w:ind w:firstLine="420" w:firstLineChars="200"/>
    </w:pPr>
  </w:style>
  <w:style w:type="table" w:customStyle="1" w:styleId="87">
    <w:name w:val="网格型8"/>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标题 6 字符"/>
    <w:link w:val="8"/>
    <w:qFormat/>
    <w:uiPriority w:val="0"/>
    <w:rPr>
      <w:rFonts w:ascii="Arial" w:hAnsi="Arial" w:eastAsia="黑体" w:cs="Times New Roman"/>
      <w:b/>
      <w:bCs/>
      <w:sz w:val="24"/>
      <w:szCs w:val="22"/>
    </w:rPr>
  </w:style>
  <w:style w:type="character" w:customStyle="1" w:styleId="89">
    <w:name w:val="NormalCharacter"/>
    <w:qFormat/>
    <w:uiPriority w:val="0"/>
  </w:style>
  <w:style w:type="character" w:customStyle="1" w:styleId="90">
    <w:name w:val="正文文本 Char"/>
    <w:qFormat/>
    <w:uiPriority w:val="0"/>
    <w:rPr>
      <w:rFonts w:ascii="楷体_GB2312" w:hAnsi="Arial" w:eastAsia="楷体_GB2312" w:cs="Times New Roman"/>
      <w:sz w:val="28"/>
      <w:szCs w:val="20"/>
    </w:rPr>
  </w:style>
  <w:style w:type="paragraph" w:customStyle="1" w:styleId="91">
    <w:name w:val="font5"/>
    <w:basedOn w:val="1"/>
    <w:qFormat/>
    <w:uiPriority w:val="0"/>
    <w:pPr>
      <w:widowControl/>
      <w:spacing w:before="100" w:beforeAutospacing="1" w:after="100" w:afterAutospacing="1"/>
      <w:jc w:val="left"/>
    </w:pPr>
    <w:rPr>
      <w:rFonts w:hint="eastAsia" w:ascii="宋体" w:hAnsi="宋体"/>
      <w:kern w:val="0"/>
      <w:sz w:val="28"/>
      <w:szCs w:val="28"/>
    </w:rPr>
  </w:style>
  <w:style w:type="character" w:customStyle="1" w:styleId="92">
    <w:name w:val="正文文本首行缩进 2 字符"/>
    <w:basedOn w:val="44"/>
    <w:link w:val="30"/>
    <w:qFormat/>
    <w:uiPriority w:val="99"/>
    <w:rPr>
      <w:rFonts w:ascii="宋体" w:hAnsi="宋体"/>
      <w:kern w:val="2"/>
      <w:sz w:val="24"/>
      <w:szCs w:val="24"/>
    </w:rPr>
  </w:style>
  <w:style w:type="character" w:customStyle="1" w:styleId="93">
    <w:name w:val="标题 1 字符"/>
    <w:link w:val="3"/>
    <w:qFormat/>
    <w:uiPriority w:val="0"/>
    <w:rPr>
      <w:b/>
      <w:bCs/>
      <w:kern w:val="44"/>
      <w:sz w:val="44"/>
      <w:szCs w:val="44"/>
    </w:rPr>
  </w:style>
  <w:style w:type="character" w:customStyle="1" w:styleId="94">
    <w:name w:val="标题 2 字符"/>
    <w:link w:val="4"/>
    <w:qFormat/>
    <w:uiPriority w:val="99"/>
    <w:rPr>
      <w:rFonts w:ascii="Arial" w:hAnsi="Arial" w:eastAsia="黑体" w:cs="Times New Roman"/>
      <w:b/>
      <w:bCs/>
      <w:kern w:val="2"/>
      <w:sz w:val="32"/>
      <w:szCs w:val="32"/>
    </w:rPr>
  </w:style>
  <w:style w:type="character" w:customStyle="1" w:styleId="95">
    <w:name w:val="标题 3 字符"/>
    <w:link w:val="5"/>
    <w:qFormat/>
    <w:uiPriority w:val="0"/>
    <w:rPr>
      <w:rFonts w:eastAsia="黑体"/>
      <w:bCs/>
      <w:sz w:val="24"/>
      <w:szCs w:val="32"/>
    </w:rPr>
  </w:style>
  <w:style w:type="character" w:customStyle="1" w:styleId="96">
    <w:name w:val="标题 4 字符"/>
    <w:link w:val="6"/>
    <w:qFormat/>
    <w:uiPriority w:val="0"/>
    <w:rPr>
      <w:rFonts w:ascii="Arial" w:hAnsi="Arial" w:eastAsia="黑体" w:cs="Times New Roman"/>
      <w:b/>
      <w:bCs/>
      <w:kern w:val="2"/>
      <w:sz w:val="28"/>
      <w:szCs w:val="28"/>
    </w:rPr>
  </w:style>
  <w:style w:type="character" w:customStyle="1" w:styleId="97">
    <w:name w:val="标题 5 字符"/>
    <w:basedOn w:val="33"/>
    <w:link w:val="7"/>
    <w:qFormat/>
    <w:uiPriority w:val="0"/>
    <w:rPr>
      <w:b/>
      <w:bCs/>
      <w:kern w:val="2"/>
      <w:sz w:val="28"/>
      <w:szCs w:val="28"/>
    </w:rPr>
  </w:style>
  <w:style w:type="character" w:customStyle="1" w:styleId="98">
    <w:name w:val="标题 7 字符"/>
    <w:link w:val="9"/>
    <w:qFormat/>
    <w:uiPriority w:val="0"/>
    <w:rPr>
      <w:rFonts w:ascii="Calibri" w:hAnsi="Calibri"/>
      <w:b/>
      <w:bCs/>
      <w:sz w:val="24"/>
      <w:szCs w:val="22"/>
    </w:rPr>
  </w:style>
  <w:style w:type="character" w:customStyle="1" w:styleId="99">
    <w:name w:val="标题 8 字符"/>
    <w:link w:val="10"/>
    <w:qFormat/>
    <w:uiPriority w:val="0"/>
    <w:rPr>
      <w:rFonts w:ascii="Arial" w:hAnsi="Arial" w:eastAsia="黑体" w:cs="Times New Roman"/>
      <w:sz w:val="24"/>
      <w:szCs w:val="22"/>
    </w:rPr>
  </w:style>
  <w:style w:type="character" w:customStyle="1" w:styleId="100">
    <w:name w:val="标题 9 字符"/>
    <w:link w:val="11"/>
    <w:qFormat/>
    <w:uiPriority w:val="0"/>
    <w:rPr>
      <w:rFonts w:ascii="Arial" w:hAnsi="Arial" w:eastAsia="黑体" w:cs="Times New Roman"/>
      <w:sz w:val="21"/>
      <w:szCs w:val="21"/>
    </w:rPr>
  </w:style>
  <w:style w:type="character" w:customStyle="1" w:styleId="101">
    <w:name w:val="批注文字 字符"/>
    <w:link w:val="13"/>
    <w:qFormat/>
    <w:uiPriority w:val="0"/>
    <w:rPr>
      <w:rFonts w:eastAsia="宋体"/>
      <w:kern w:val="2"/>
      <w:sz w:val="21"/>
      <w:szCs w:val="24"/>
      <w:lang w:val="en-US" w:eastAsia="zh-CN" w:bidi="ar-SA"/>
    </w:rPr>
  </w:style>
  <w:style w:type="character" w:customStyle="1" w:styleId="102">
    <w:name w:val="标题 字符"/>
    <w:link w:val="28"/>
    <w:qFormat/>
    <w:uiPriority w:val="0"/>
    <w:rPr>
      <w:rFonts w:ascii="Arial" w:hAnsi="Arial" w:cs="Times New Roman"/>
      <w:b/>
      <w:sz w:val="32"/>
    </w:rPr>
  </w:style>
  <w:style w:type="paragraph" w:customStyle="1" w:styleId="103">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4">
    <w:name w:val="Normal_1"/>
    <w:qFormat/>
    <w:uiPriority w:val="0"/>
    <w:rPr>
      <w:rFonts w:ascii="Times New Roman" w:hAnsi="Times New Roman" w:eastAsia="Times New Roman" w:cs="Times New Roman"/>
      <w:sz w:val="24"/>
      <w:szCs w:val="24"/>
      <w:lang w:val="en-US" w:eastAsia="zh-CN" w:bidi="ar-SA"/>
    </w:rPr>
  </w:style>
  <w:style w:type="paragraph" w:customStyle="1" w:styleId="105">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Normal_0"/>
    <w:qFormat/>
    <w:uiPriority w:val="0"/>
    <w:rPr>
      <w:rFonts w:ascii="Times New Roman" w:hAnsi="Times New Roman" w:eastAsia="Times New Roman" w:cs="Times New Roman"/>
      <w:sz w:val="24"/>
      <w:szCs w:val="24"/>
      <w:lang w:val="en-US" w:eastAsia="zh-CN" w:bidi="ar-SA"/>
    </w:rPr>
  </w:style>
  <w:style w:type="paragraph" w:customStyle="1" w:styleId="107">
    <w:name w:val="sh2"/>
    <w:basedOn w:val="28"/>
    <w:link w:val="108"/>
    <w:qFormat/>
    <w:uiPriority w:val="0"/>
  </w:style>
  <w:style w:type="character" w:customStyle="1" w:styleId="108">
    <w:name w:val="sh2 Char"/>
    <w:basedOn w:val="102"/>
    <w:link w:val="107"/>
    <w:qFormat/>
    <w:uiPriority w:val="0"/>
    <w:rPr>
      <w:rFonts w:ascii="Arial" w:hAnsi="Arial" w:cs="Times New Roman"/>
      <w:sz w:val="32"/>
    </w:rPr>
  </w:style>
  <w:style w:type="paragraph" w:customStyle="1" w:styleId="109">
    <w:name w:val="sh1"/>
    <w:basedOn w:val="28"/>
    <w:link w:val="110"/>
    <w:qFormat/>
    <w:uiPriority w:val="0"/>
    <w:pPr>
      <w:spacing w:before="0" w:line="240" w:lineRule="auto"/>
    </w:pPr>
  </w:style>
  <w:style w:type="character" w:customStyle="1" w:styleId="110">
    <w:name w:val="sh1 Char"/>
    <w:basedOn w:val="102"/>
    <w:link w:val="109"/>
    <w:qFormat/>
    <w:uiPriority w:val="0"/>
    <w:rPr>
      <w:rFonts w:ascii="Arial" w:hAnsi="Arial" w:cs="Times New Roman"/>
      <w:sz w:val="32"/>
    </w:rPr>
  </w:style>
  <w:style w:type="paragraph" w:customStyle="1" w:styleId="111">
    <w:name w:val="sh3"/>
    <w:basedOn w:val="1"/>
    <w:link w:val="112"/>
    <w:qFormat/>
    <w:uiPriority w:val="0"/>
    <w:pPr>
      <w:spacing w:line="460" w:lineRule="exact"/>
      <w:jc w:val="left"/>
    </w:pPr>
    <w:rPr>
      <w:rFonts w:ascii="宋体" w:hAnsi="宋体"/>
      <w:b/>
      <w:szCs w:val="21"/>
    </w:rPr>
  </w:style>
  <w:style w:type="character" w:customStyle="1" w:styleId="112">
    <w:name w:val="sh3 Char"/>
    <w:basedOn w:val="33"/>
    <w:link w:val="111"/>
    <w:qFormat/>
    <w:uiPriority w:val="0"/>
    <w:rPr>
      <w:rFonts w:ascii="宋体" w:hAnsi="宋体"/>
      <w:b/>
      <w:kern w:val="2"/>
      <w:sz w:val="21"/>
      <w:szCs w:val="21"/>
    </w:rPr>
  </w:style>
  <w:style w:type="paragraph" w:customStyle="1" w:styleId="113">
    <w:name w:val="sh4"/>
    <w:basedOn w:val="1"/>
    <w:link w:val="114"/>
    <w:qFormat/>
    <w:uiPriority w:val="0"/>
    <w:pPr>
      <w:spacing w:line="460" w:lineRule="exact"/>
      <w:ind w:firstLine="420" w:firstLineChars="200"/>
    </w:pPr>
    <w:rPr>
      <w:rFonts w:ascii="宋体" w:hAnsi="宋体"/>
      <w:szCs w:val="21"/>
    </w:rPr>
  </w:style>
  <w:style w:type="character" w:customStyle="1" w:styleId="114">
    <w:name w:val="sh4 Char"/>
    <w:basedOn w:val="33"/>
    <w:link w:val="113"/>
    <w:qFormat/>
    <w:uiPriority w:val="0"/>
    <w:rPr>
      <w:rFonts w:ascii="宋体" w:hAnsi="宋体"/>
      <w:kern w:val="2"/>
      <w:sz w:val="21"/>
      <w:szCs w:val="21"/>
    </w:rPr>
  </w:style>
  <w:style w:type="paragraph" w:customStyle="1" w:styleId="115">
    <w:name w:val="TOC 标题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6">
    <w:name w:val="列表段落1"/>
    <w:basedOn w:val="1"/>
    <w:qFormat/>
    <w:uiPriority w:val="34"/>
    <w:pPr>
      <w:spacing w:line="360" w:lineRule="auto"/>
      <w:ind w:firstLine="420"/>
    </w:pPr>
    <w:rPr>
      <w:rFonts w:ascii="Calibri" w:hAnsi="Calibri"/>
      <w:sz w:val="24"/>
    </w:rPr>
  </w:style>
  <w:style w:type="paragraph" w:customStyle="1" w:styleId="117">
    <w:name w:val="Indent Normal"/>
    <w:basedOn w:val="1"/>
    <w:qFormat/>
    <w:uiPriority w:val="0"/>
    <w:pPr>
      <w:spacing w:line="360" w:lineRule="auto"/>
      <w:ind w:firstLine="150" w:firstLineChars="150"/>
    </w:pPr>
    <w:rPr>
      <w:rFonts w:asciiTheme="minorHAnsi"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EE20-71B6-4CDD-BCD9-939915C96C5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20891</Words>
  <Characters>22395</Characters>
  <Lines>178</Lines>
  <Paragraphs>50</Paragraphs>
  <TotalTime>27</TotalTime>
  <ScaleCrop>false</ScaleCrop>
  <LinksUpToDate>false</LinksUpToDate>
  <CharactersWithSpaces>23217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2023-08-14T03:07:00Z</dcterms:created>
  <dc:creator>zong tony</dc:creator>
  <cp:lastModifiedBy>WPS_1722492437</cp:lastModifiedBy>
  <cp:lastPrinted>2023-09-26T08:56:00Z</cp:lastPrinted>
  <dcterms:modified xsi:type="dcterms:W3CDTF">2024-10-21T06:58:07Z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BC5C33A109394CFA909F40250428242D_13</vt:lpwstr>
  </property>
</Properties>
</file>