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0E814">
      <w:pPr>
        <w:tabs>
          <w:tab w:val="left" w:pos="6300"/>
        </w:tabs>
        <w:snapToGrid w:val="0"/>
        <w:spacing w:line="300" w:lineRule="auto"/>
        <w:jc w:val="center"/>
        <w:rPr>
          <w:rFonts w:ascii="宋体" w:hAnsi="宋体" w:eastAsia="宋体" w:cs="宋体"/>
          <w:b/>
          <w:bCs/>
          <w:sz w:val="48"/>
          <w:szCs w:val="48"/>
        </w:rPr>
      </w:pPr>
    </w:p>
    <w:p w14:paraId="741691CE">
      <w:pPr>
        <w:tabs>
          <w:tab w:val="left" w:pos="6300"/>
        </w:tabs>
        <w:snapToGrid w:val="0"/>
        <w:spacing w:line="300" w:lineRule="auto"/>
        <w:jc w:val="center"/>
        <w:rPr>
          <w:rFonts w:ascii="宋体" w:hAnsi="宋体" w:eastAsia="宋体" w:cs="宋体"/>
          <w:b/>
          <w:bCs/>
          <w:sz w:val="48"/>
          <w:szCs w:val="48"/>
        </w:rPr>
      </w:pPr>
    </w:p>
    <w:p w14:paraId="003018BA">
      <w:pPr>
        <w:jc w:val="center"/>
        <w:rPr>
          <w:rFonts w:ascii="宋体" w:hAnsi="宋体" w:eastAsia="宋体" w:cs="宋体"/>
          <w:b/>
          <w:bCs/>
          <w:sz w:val="56"/>
          <w:szCs w:val="56"/>
        </w:rPr>
      </w:pPr>
      <w:r>
        <w:rPr>
          <w:rFonts w:hint="eastAsia" w:ascii="宋体" w:hAnsi="宋体" w:eastAsia="宋体" w:cs="宋体"/>
          <w:b/>
          <w:bCs/>
          <w:sz w:val="52"/>
          <w:szCs w:val="52"/>
        </w:rPr>
        <w:t>南通市妇幼保健院消防维修保养项目</w:t>
      </w:r>
    </w:p>
    <w:p w14:paraId="5C0D2202">
      <w:pPr>
        <w:pStyle w:val="32"/>
        <w:ind w:left="520" w:firstLine="520"/>
      </w:pPr>
    </w:p>
    <w:p w14:paraId="437ED961">
      <w:pPr>
        <w:spacing w:line="1400" w:lineRule="exact"/>
        <w:jc w:val="center"/>
        <w:rPr>
          <w:rFonts w:ascii="宋体" w:hAnsi="宋体" w:eastAsia="宋体" w:cs="宋体"/>
          <w:b/>
          <w:bCs/>
          <w:sz w:val="56"/>
          <w:szCs w:val="56"/>
          <w:highlight w:val="yellow"/>
        </w:rPr>
      </w:pPr>
      <w:r>
        <w:rPr>
          <w:rFonts w:hint="eastAsia" w:ascii="宋体" w:hAnsi="宋体" w:eastAsia="宋体" w:cs="宋体"/>
          <w:b/>
          <w:bCs/>
          <w:sz w:val="56"/>
          <w:szCs w:val="56"/>
          <w:highlight w:val="yellow"/>
        </w:rPr>
        <w:t xml:space="preserve">院内采购文件 </w:t>
      </w:r>
    </w:p>
    <w:p w14:paraId="3F27C8F2">
      <w:pPr>
        <w:spacing w:line="640" w:lineRule="exact"/>
        <w:jc w:val="center"/>
        <w:rPr>
          <w:rFonts w:ascii="宋体" w:hAnsi="宋体" w:eastAsia="宋体" w:cs="宋体"/>
          <w:b/>
          <w:bCs/>
          <w:sz w:val="44"/>
          <w:szCs w:val="44"/>
        </w:rPr>
      </w:pPr>
      <w:r>
        <w:rPr>
          <w:rFonts w:hint="eastAsia" w:ascii="宋体" w:hAnsi="宋体" w:eastAsia="宋体" w:cs="宋体"/>
          <w:b/>
          <w:bCs/>
          <w:sz w:val="44"/>
          <w:szCs w:val="44"/>
        </w:rPr>
        <w:t>（资格后审）</w:t>
      </w:r>
    </w:p>
    <w:p w14:paraId="173AB5C7">
      <w:pPr>
        <w:snapToGrid w:val="0"/>
        <w:spacing w:line="640" w:lineRule="exact"/>
        <w:jc w:val="center"/>
        <w:rPr>
          <w:rFonts w:ascii="宋体" w:hAnsi="宋体" w:eastAsia="宋体" w:cs="宋体"/>
          <w:sz w:val="32"/>
          <w:szCs w:val="32"/>
        </w:rPr>
      </w:pPr>
    </w:p>
    <w:p w14:paraId="50F7164A">
      <w:pPr>
        <w:pStyle w:val="32"/>
        <w:ind w:left="520" w:firstLine="520"/>
      </w:pPr>
    </w:p>
    <w:p w14:paraId="4DA6EAE8">
      <w:pPr>
        <w:snapToGrid w:val="0"/>
        <w:spacing w:line="360" w:lineRule="auto"/>
        <w:jc w:val="center"/>
        <w:rPr>
          <w:rFonts w:ascii="宋体" w:hAnsi="宋体" w:eastAsia="宋体" w:cs="宋体"/>
          <w:b/>
          <w:bCs/>
          <w:sz w:val="36"/>
          <w:szCs w:val="36"/>
        </w:rPr>
      </w:pPr>
    </w:p>
    <w:p w14:paraId="788CD85E">
      <w:pPr>
        <w:snapToGrid w:val="0"/>
        <w:spacing w:line="360" w:lineRule="auto"/>
        <w:jc w:val="center"/>
        <w:rPr>
          <w:rFonts w:ascii="宋体" w:hAnsi="宋体" w:eastAsia="宋体" w:cs="宋体"/>
          <w:b/>
          <w:bCs/>
          <w:sz w:val="36"/>
          <w:szCs w:val="36"/>
        </w:rPr>
      </w:pPr>
    </w:p>
    <w:p w14:paraId="31300CE1">
      <w:pPr>
        <w:pStyle w:val="23"/>
        <w:ind w:left="520" w:firstLine="520"/>
      </w:pPr>
    </w:p>
    <w:p w14:paraId="583A37BC">
      <w:pPr>
        <w:snapToGrid w:val="0"/>
        <w:spacing w:line="360" w:lineRule="auto"/>
        <w:jc w:val="center"/>
        <w:rPr>
          <w:rFonts w:ascii="宋体" w:hAnsi="宋体" w:eastAsia="宋体" w:cs="宋体"/>
          <w:b/>
          <w:bCs/>
          <w:sz w:val="36"/>
          <w:szCs w:val="36"/>
        </w:rPr>
      </w:pPr>
    </w:p>
    <w:p w14:paraId="3A1E293D">
      <w:pPr>
        <w:pStyle w:val="2"/>
        <w:ind w:left="520" w:firstLine="723"/>
        <w:rPr>
          <w:rFonts w:ascii="宋体" w:hAnsi="宋体" w:eastAsia="宋体" w:cs="宋体"/>
          <w:b/>
          <w:bCs/>
          <w:sz w:val="36"/>
          <w:szCs w:val="36"/>
        </w:rPr>
      </w:pPr>
    </w:p>
    <w:p w14:paraId="62875822">
      <w:pPr>
        <w:pStyle w:val="2"/>
        <w:ind w:left="520" w:firstLine="723"/>
        <w:rPr>
          <w:rFonts w:ascii="宋体" w:hAnsi="宋体" w:eastAsia="宋体" w:cs="宋体"/>
          <w:b/>
          <w:bCs/>
          <w:sz w:val="36"/>
          <w:szCs w:val="36"/>
        </w:rPr>
      </w:pPr>
    </w:p>
    <w:p w14:paraId="05B7A333">
      <w:pPr>
        <w:snapToGrid w:val="0"/>
        <w:spacing w:line="360" w:lineRule="auto"/>
        <w:rPr>
          <w:rFonts w:ascii="宋体" w:hAnsi="宋体" w:eastAsia="宋体" w:cs="宋体"/>
          <w:b/>
          <w:bCs/>
          <w:sz w:val="36"/>
          <w:szCs w:val="36"/>
        </w:rPr>
      </w:pPr>
    </w:p>
    <w:p w14:paraId="06C6D1CD">
      <w:pPr>
        <w:adjustRightInd w:val="0"/>
        <w:snapToGrid w:val="0"/>
        <w:spacing w:line="640" w:lineRule="exact"/>
        <w:ind w:firstLine="948" w:firstLineChars="295"/>
        <w:rPr>
          <w:rFonts w:ascii="宋体" w:hAnsi="宋体" w:eastAsia="宋体" w:cs="宋体"/>
          <w:b/>
          <w:bCs/>
          <w:sz w:val="32"/>
          <w:szCs w:val="32"/>
          <w:u w:val="single"/>
        </w:rPr>
      </w:pPr>
      <w:r>
        <w:rPr>
          <w:rFonts w:hint="eastAsia" w:ascii="宋体" w:hAnsi="宋体" w:eastAsia="宋体" w:cs="宋体"/>
          <w:b/>
          <w:bCs/>
          <w:sz w:val="32"/>
          <w:szCs w:val="32"/>
        </w:rPr>
        <w:t>采 购 单 位：南通市妇幼保健院</w:t>
      </w:r>
    </w:p>
    <w:p w14:paraId="3E62B16E">
      <w:pPr>
        <w:adjustRightInd w:val="0"/>
        <w:snapToGrid w:val="0"/>
        <w:spacing w:line="640" w:lineRule="exact"/>
        <w:ind w:firstLine="948" w:firstLineChars="295"/>
        <w:rPr>
          <w:rFonts w:ascii="宋体" w:hAnsi="宋体" w:eastAsia="宋体" w:cs="宋体"/>
          <w:b/>
          <w:bCs/>
          <w:sz w:val="32"/>
          <w:szCs w:val="32"/>
          <w:highlight w:val="yellow"/>
          <w:u w:val="single"/>
        </w:rPr>
      </w:pPr>
      <w:r>
        <w:rPr>
          <w:rFonts w:hint="eastAsia" w:ascii="宋体" w:hAnsi="宋体" w:eastAsia="宋体" w:cs="宋体"/>
          <w:b/>
          <w:bCs/>
          <w:sz w:val="32"/>
          <w:szCs w:val="32"/>
        </w:rPr>
        <w:t>日       期：</w:t>
      </w:r>
      <w:r>
        <w:rPr>
          <w:rFonts w:hint="eastAsia" w:ascii="宋体" w:hAnsi="宋体" w:eastAsia="宋体" w:cs="宋体"/>
          <w:b/>
          <w:bCs/>
          <w:sz w:val="32"/>
          <w:szCs w:val="32"/>
          <w:highlight w:val="yellow"/>
        </w:rPr>
        <w:t>二〇二四年</w:t>
      </w:r>
      <w:r>
        <w:rPr>
          <w:rFonts w:hint="eastAsia" w:ascii="宋体" w:hAnsi="宋体" w:eastAsia="宋体" w:cs="宋体"/>
          <w:b/>
          <w:bCs/>
          <w:sz w:val="32"/>
          <w:szCs w:val="32"/>
          <w:highlight w:val="yellow"/>
          <w:lang w:eastAsia="zh-CN"/>
        </w:rPr>
        <w:t>九</w:t>
      </w:r>
      <w:r>
        <w:rPr>
          <w:rFonts w:hint="eastAsia" w:ascii="宋体" w:hAnsi="宋体" w:eastAsia="宋体" w:cs="宋体"/>
          <w:b/>
          <w:bCs/>
          <w:sz w:val="32"/>
          <w:szCs w:val="32"/>
          <w:highlight w:val="yellow"/>
        </w:rPr>
        <w:t>月</w:t>
      </w:r>
    </w:p>
    <w:p w14:paraId="025A529A">
      <w:pPr>
        <w:overflowPunct w:val="0"/>
        <w:rPr>
          <w:rFonts w:ascii="宋体" w:hAnsi="宋体" w:eastAsia="宋体" w:cs="宋体"/>
          <w:b/>
          <w:bCs/>
          <w:sz w:val="32"/>
          <w:szCs w:val="32"/>
          <w:highlight w:val="yellow"/>
        </w:rPr>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0"/>
          <w:cols w:space="0" w:num="1"/>
          <w:docGrid w:type="lines" w:linePitch="367" w:charSpace="0"/>
        </w:sectPr>
      </w:pPr>
    </w:p>
    <w:p w14:paraId="51B238C3">
      <w:pPr>
        <w:pStyle w:val="10"/>
        <w:overflowPunct w:val="0"/>
        <w:ind w:firstLine="0"/>
        <w:jc w:val="center"/>
        <w:rPr>
          <w:rFonts w:ascii="宋体" w:hAnsi="宋体" w:eastAsia="宋体" w:cs="宋体"/>
          <w:b/>
          <w:bCs/>
          <w:sz w:val="44"/>
          <w:szCs w:val="44"/>
        </w:rPr>
      </w:pPr>
      <w:r>
        <w:rPr>
          <w:rFonts w:hint="eastAsia" w:ascii="宋体" w:hAnsi="宋体" w:eastAsia="宋体" w:cs="宋体"/>
          <w:b/>
          <w:bCs/>
          <w:sz w:val="44"/>
          <w:szCs w:val="44"/>
        </w:rPr>
        <w:t>目  录</w:t>
      </w:r>
    </w:p>
    <w:p w14:paraId="26A8C2F7">
      <w:pPr>
        <w:pStyle w:val="10"/>
        <w:overflowPunct w:val="0"/>
        <w:ind w:firstLine="0"/>
        <w:jc w:val="center"/>
        <w:rPr>
          <w:rFonts w:ascii="宋体" w:hAnsi="宋体" w:eastAsia="宋体" w:cs="宋体"/>
          <w:sz w:val="30"/>
          <w:szCs w:val="30"/>
        </w:rPr>
      </w:pPr>
    </w:p>
    <w:p w14:paraId="2D9D6E22">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b/>
          <w:bCs/>
          <w:sz w:val="36"/>
          <w:szCs w:val="36"/>
        </w:rPr>
        <w:fldChar w:fldCharType="begin"/>
      </w:r>
      <w:r>
        <w:rPr>
          <w:rFonts w:hint="eastAsia" w:ascii="宋体" w:hAnsi="宋体" w:eastAsia="宋体" w:cs="宋体"/>
          <w:b/>
          <w:bCs/>
          <w:sz w:val="36"/>
          <w:szCs w:val="36"/>
        </w:rPr>
        <w:instrText xml:space="preserve"> TOC \o "1-1"</w:instrText>
      </w:r>
      <w:r>
        <w:rPr>
          <w:rFonts w:hint="eastAsia" w:ascii="宋体" w:hAnsi="宋体" w:eastAsia="宋体" w:cs="宋体"/>
          <w:b/>
          <w:bCs/>
          <w:sz w:val="36"/>
          <w:szCs w:val="36"/>
        </w:rPr>
        <w:fldChar w:fldCharType="separate"/>
      </w:r>
      <w:r>
        <w:rPr>
          <w:rFonts w:hint="eastAsia" w:ascii="宋体" w:hAnsi="宋体" w:eastAsia="宋体" w:cs="宋体"/>
          <w:sz w:val="28"/>
          <w:szCs w:val="28"/>
        </w:rPr>
        <w:t>第一章 采购公告</w:t>
      </w:r>
    </w:p>
    <w:p w14:paraId="585B0651">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第二章 投标人须知</w:t>
      </w:r>
    </w:p>
    <w:p w14:paraId="7902E55C">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第三章 项目需求</w:t>
      </w:r>
    </w:p>
    <w:p w14:paraId="31B52BA3">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第四章 评审方法和程序</w:t>
      </w:r>
    </w:p>
    <w:p w14:paraId="4F2B6B5D">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第五章 合同主要条款</w:t>
      </w:r>
    </w:p>
    <w:p w14:paraId="23DC2BF5">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第六章 合同授予</w:t>
      </w:r>
    </w:p>
    <w:p w14:paraId="13FE19FA">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第七章 质疑与投诉</w:t>
      </w:r>
    </w:p>
    <w:p w14:paraId="39181AA1">
      <w:pPr>
        <w:pStyle w:val="20"/>
        <w:tabs>
          <w:tab w:val="right" w:leader="dot" w:pos="9528"/>
        </w:tabs>
        <w:spacing w:line="1200" w:lineRule="exact"/>
        <w:rPr>
          <w:rFonts w:ascii="宋体" w:hAnsi="宋体" w:eastAsia="宋体" w:cs="宋体"/>
          <w:sz w:val="28"/>
          <w:szCs w:val="28"/>
        </w:rPr>
      </w:pPr>
      <w:r>
        <w:rPr>
          <w:rFonts w:hint="eastAsia" w:ascii="宋体" w:hAnsi="宋体" w:eastAsia="宋体" w:cs="宋体"/>
          <w:sz w:val="28"/>
          <w:szCs w:val="28"/>
        </w:rPr>
        <w:t>第八章 投标响应文件组成及格式</w:t>
      </w:r>
    </w:p>
    <w:p w14:paraId="679F9D52">
      <w:pPr>
        <w:spacing w:line="1200" w:lineRule="exact"/>
        <w:rPr>
          <w:rFonts w:ascii="宋体" w:hAnsi="宋体" w:eastAsia="宋体" w:cs="宋体"/>
          <w:sz w:val="36"/>
          <w:szCs w:val="36"/>
        </w:rPr>
      </w:pPr>
    </w:p>
    <w:p w14:paraId="13D7E240">
      <w:pPr>
        <w:snapToGrid w:val="0"/>
        <w:spacing w:line="500" w:lineRule="exact"/>
        <w:rPr>
          <w:rFonts w:ascii="宋体" w:hAnsi="宋体" w:eastAsia="宋体" w:cs="宋体"/>
          <w:b/>
          <w:bCs/>
          <w:sz w:val="21"/>
          <w:szCs w:val="21"/>
        </w:rPr>
      </w:pPr>
      <w:r>
        <w:rPr>
          <w:rFonts w:hint="eastAsia" w:ascii="宋体" w:hAnsi="宋体" w:eastAsia="宋体" w:cs="宋体"/>
          <w:b/>
          <w:bCs/>
          <w:sz w:val="36"/>
          <w:szCs w:val="36"/>
        </w:rPr>
        <w:fldChar w:fldCharType="end"/>
      </w:r>
    </w:p>
    <w:p w14:paraId="07DF187C">
      <w:pPr>
        <w:snapToGrid w:val="0"/>
        <w:spacing w:line="400" w:lineRule="exact"/>
        <w:ind w:firstLine="422" w:firstLineChars="200"/>
        <w:rPr>
          <w:rFonts w:ascii="宋体" w:hAnsi="宋体" w:eastAsia="宋体" w:cs="宋体"/>
          <w:b/>
          <w:bCs/>
          <w:sz w:val="21"/>
          <w:szCs w:val="21"/>
        </w:rPr>
      </w:pPr>
      <w:r>
        <w:rPr>
          <w:rFonts w:hint="eastAsia" w:ascii="宋体" w:hAnsi="宋体" w:eastAsia="宋体" w:cs="宋体"/>
          <w:b/>
          <w:bCs/>
          <w:sz w:val="21"/>
          <w:szCs w:val="21"/>
        </w:rPr>
        <w:br w:type="page"/>
      </w:r>
    </w:p>
    <w:p w14:paraId="0B48B2B5">
      <w:pPr>
        <w:tabs>
          <w:tab w:val="left" w:pos="1050"/>
          <w:tab w:val="right" w:leader="dot" w:pos="9402"/>
        </w:tabs>
        <w:spacing w:line="500" w:lineRule="exact"/>
        <w:jc w:val="center"/>
        <w:outlineLvl w:val="0"/>
        <w:rPr>
          <w:rFonts w:ascii="宋体" w:hAnsi="宋体" w:eastAsia="宋体" w:cs="宋体"/>
          <w:b/>
          <w:bCs/>
          <w:w w:val="80"/>
          <w:sz w:val="10"/>
          <w:szCs w:val="10"/>
        </w:rPr>
      </w:pPr>
      <w:bookmarkStart w:id="0" w:name="_Toc363573853"/>
    </w:p>
    <w:p w14:paraId="5202B3FC">
      <w:pPr>
        <w:tabs>
          <w:tab w:val="left" w:pos="1050"/>
          <w:tab w:val="right" w:leader="dot" w:pos="9402"/>
        </w:tabs>
        <w:spacing w:line="500" w:lineRule="exact"/>
        <w:jc w:val="center"/>
        <w:outlineLvl w:val="0"/>
        <w:rPr>
          <w:rFonts w:ascii="宋体" w:hAnsi="宋体" w:eastAsia="宋体" w:cs="宋体"/>
          <w:b/>
          <w:bCs/>
          <w:sz w:val="44"/>
          <w:szCs w:val="44"/>
        </w:rPr>
      </w:pPr>
      <w:r>
        <w:rPr>
          <w:rFonts w:hint="eastAsia" w:ascii="宋体" w:hAnsi="宋体" w:eastAsia="宋体" w:cs="宋体"/>
          <w:b/>
          <w:bCs/>
          <w:w w:val="80"/>
          <w:sz w:val="44"/>
          <w:szCs w:val="44"/>
        </w:rPr>
        <w:t xml:space="preserve">第一章  </w:t>
      </w:r>
      <w:bookmarkEnd w:id="0"/>
      <w:bookmarkStart w:id="1" w:name="_Toc363573854"/>
      <w:r>
        <w:rPr>
          <w:rFonts w:hint="eastAsia" w:ascii="宋体" w:hAnsi="宋体" w:eastAsia="宋体" w:cs="宋体"/>
          <w:b/>
          <w:bCs/>
          <w:w w:val="80"/>
          <w:sz w:val="44"/>
          <w:szCs w:val="44"/>
          <w:highlight w:val="yellow"/>
        </w:rPr>
        <w:t>采购</w:t>
      </w:r>
      <w:r>
        <w:rPr>
          <w:rFonts w:hint="eastAsia" w:ascii="宋体" w:hAnsi="宋体" w:eastAsia="宋体" w:cs="宋体"/>
          <w:b/>
          <w:bCs/>
          <w:w w:val="80"/>
          <w:sz w:val="44"/>
          <w:szCs w:val="44"/>
        </w:rPr>
        <w:t>公告</w:t>
      </w:r>
    </w:p>
    <w:p w14:paraId="3FA8BEDA">
      <w:pPr>
        <w:numPr>
          <w:ilvl w:val="0"/>
          <w:numId w:val="2"/>
        </w:numPr>
        <w:snapToGrid w:val="0"/>
        <w:spacing w:line="500" w:lineRule="exact"/>
        <w:ind w:firstLine="482" w:firstLineChars="200"/>
        <w:rPr>
          <w:rFonts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rPr>
        <w:t>南通市妇幼保健院消防维修保养项目</w:t>
      </w:r>
    </w:p>
    <w:p w14:paraId="1F796962">
      <w:pPr>
        <w:snapToGrid w:val="0"/>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二、项目预算：7.5万元/年；</w:t>
      </w:r>
      <w:r>
        <w:rPr>
          <w:rFonts w:hint="eastAsia" w:ascii="宋体" w:hAnsi="宋体" w:eastAsia="宋体" w:cs="宋体"/>
          <w:b/>
          <w:bCs/>
          <w:color w:val="FF0000"/>
          <w:sz w:val="24"/>
          <w:szCs w:val="24"/>
        </w:rPr>
        <w:t>项目服务期2年。合同1年1签。</w:t>
      </w:r>
    </w:p>
    <w:p w14:paraId="29CA6DEF">
      <w:pPr>
        <w:snapToGrid w:val="0"/>
        <w:spacing w:line="500" w:lineRule="exact"/>
        <w:ind w:firstLine="482" w:firstLineChars="200"/>
        <w:rPr>
          <w:rFonts w:ascii="宋体" w:hAnsi="宋体" w:eastAsia="宋体" w:cs="宋体"/>
          <w:sz w:val="24"/>
          <w:szCs w:val="24"/>
        </w:rPr>
      </w:pPr>
      <w:r>
        <w:rPr>
          <w:rFonts w:hint="eastAsia" w:ascii="宋体" w:hAnsi="宋体" w:eastAsia="宋体" w:cs="宋体"/>
          <w:b/>
          <w:bCs/>
          <w:sz w:val="24"/>
          <w:szCs w:val="24"/>
        </w:rPr>
        <w:t>三、项目需求：详见采购文件第三章</w:t>
      </w:r>
    </w:p>
    <w:p w14:paraId="287CD77E">
      <w:pPr>
        <w:snapToGrid w:val="0"/>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四、潜在的投标人资格</w:t>
      </w:r>
    </w:p>
    <w:p w14:paraId="10FB96A6">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1、具有良好的商业信誉和健全的财务会计制度；具有履行合同所必需的设备和专业技术能力；有依法缴纳税收和社会保障资金的良好记录；在参加此项目活动前三年内，在经营活动中没有重大违法记录。</w:t>
      </w:r>
    </w:p>
    <w:p w14:paraId="07488AAD">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2、法定代表人为同一个人的两个及两个以上法人，母公司、全资子公司及其控股公司，都不得在同一采购项目相同标段中同时参加投标，一经发现，将视同围标处理。</w:t>
      </w:r>
    </w:p>
    <w:p w14:paraId="208FA8B2">
      <w:pPr>
        <w:snapToGrid w:val="0"/>
        <w:spacing w:line="480" w:lineRule="exact"/>
        <w:ind w:firstLine="482" w:firstLineChars="200"/>
        <w:contextualSpacing/>
        <w:outlineLvl w:val="0"/>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其他资格要求：</w:t>
      </w:r>
    </w:p>
    <w:p w14:paraId="1F3A0EDD">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、投标人为具有独立法人的企业或者其他组织机构，有能力提供本次采购项目所要求的服务。</w:t>
      </w:r>
    </w:p>
    <w:p w14:paraId="11574ABF">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4、投标人具有江苏省公安厅消防局核发的消防维保资质证书。</w:t>
      </w:r>
    </w:p>
    <w:p w14:paraId="7B3AD5FC">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5、投标人法定代表人参加投标的，必须提供法定代表人身份证明及法定代表人本人身份证复印件；非法定代表人参加投标的，必须提供法定代表人签字或盖章的授权委托书及法定代表人、授权委托人的两人身份证的复印件，授权委托人为投标单位正式人员证明材料【提供①与投标人签订的有效劳动合同复印件；②</w:t>
      </w:r>
      <w:r>
        <w:rPr>
          <w:rFonts w:hint="eastAsia" w:ascii="宋体" w:hAnsi="宋体" w:eastAsia="宋体" w:cs="宋体"/>
          <w:color w:val="000000"/>
          <w:sz w:val="24"/>
          <w:szCs w:val="24"/>
          <w:highlight w:val="yellow"/>
          <w:lang w:val="zh-CN"/>
        </w:rPr>
        <w:t>提供至投标截止时间前三个月（不含投标截止时间当月）中至少一个月的社保缴纳证明</w:t>
      </w:r>
      <w:r>
        <w:rPr>
          <w:rFonts w:hint="eastAsia" w:ascii="宋体" w:hAnsi="宋体" w:eastAsia="宋体" w:cs="宋体"/>
          <w:color w:val="000000"/>
          <w:sz w:val="24"/>
          <w:szCs w:val="24"/>
          <w:lang w:val="zh-CN"/>
        </w:rPr>
        <w:t>。】。</w:t>
      </w:r>
    </w:p>
    <w:p w14:paraId="40FCD761">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6、投标人须提供参与本次项目采购活动前三年内，在经营活动中没有重大违法记录的书面《无重大违法记录声明函》。</w:t>
      </w:r>
    </w:p>
    <w:p w14:paraId="5A9C4B07">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lang w:val="zh-CN"/>
        </w:rPr>
        <w:t>7、投标人提供关于资格文件的声明函。</w:t>
      </w:r>
    </w:p>
    <w:p w14:paraId="568772C3">
      <w:pPr>
        <w:snapToGrid w:val="0"/>
        <w:spacing w:line="480" w:lineRule="exact"/>
        <w:ind w:firstLine="480" w:firstLineChars="200"/>
        <w:contextualSpacing/>
        <w:outlineLvl w:val="0"/>
        <w:rPr>
          <w:rFonts w:ascii="宋体" w:hAnsi="宋体" w:eastAsia="宋体" w:cs="宋体"/>
          <w:color w:val="000000"/>
          <w:sz w:val="24"/>
          <w:szCs w:val="24"/>
          <w:lang w:val="zh-CN"/>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val="zh-CN"/>
        </w:rPr>
        <w:t>、本项目不接受联合体投标，中标后不得分包转包。</w:t>
      </w:r>
    </w:p>
    <w:p w14:paraId="1AEFCDF7">
      <w:pPr>
        <w:autoSpaceDE w:val="0"/>
        <w:autoSpaceDN w:val="0"/>
        <w:adjustRightInd w:val="0"/>
        <w:spacing w:line="500" w:lineRule="exact"/>
        <w:rPr>
          <w:rFonts w:ascii="宋体" w:hAnsi="宋体" w:eastAsia="宋体" w:cs="宋体"/>
          <w:b/>
          <w:bCs/>
          <w:sz w:val="24"/>
          <w:szCs w:val="24"/>
        </w:rPr>
      </w:pPr>
      <w:r>
        <w:rPr>
          <w:rFonts w:hint="eastAsia" w:ascii="宋体" w:hAnsi="宋体" w:eastAsia="宋体" w:cs="宋体"/>
          <w:b/>
          <w:bCs/>
          <w:sz w:val="24"/>
          <w:szCs w:val="24"/>
        </w:rPr>
        <w:t xml:space="preserve"> 具体详见本采购文件《第八章 投标响应文件组成及格式》中的资格审查文件要求。</w:t>
      </w:r>
    </w:p>
    <w:p w14:paraId="48BAF1FE">
      <w:pPr>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color w:val="000000"/>
          <w:kern w:val="0"/>
          <w:sz w:val="24"/>
          <w:szCs w:val="24"/>
        </w:rPr>
        <w:t>请投标人认真对照资格条件，如不符合要求的，无意或故意参与投标所产生的一切后果由投标人自行承担，开标过程中，投标人提供的相关证件为虚假或伪造，或者其他人员持法定代表人或授权委托人的身份证参与投标，一经发现则取消投标人资</w:t>
      </w:r>
      <w:r>
        <w:rPr>
          <w:rFonts w:hint="eastAsia" w:ascii="宋体" w:hAnsi="宋体" w:eastAsia="宋体" w:cs="宋体"/>
          <w:b/>
          <w:bCs/>
          <w:kern w:val="0"/>
          <w:sz w:val="24"/>
          <w:szCs w:val="24"/>
        </w:rPr>
        <w:t>格，没收其投标保证金，</w:t>
      </w:r>
      <w:r>
        <w:rPr>
          <w:rFonts w:hint="eastAsia" w:ascii="宋体" w:hAnsi="宋体" w:eastAsia="宋体" w:cs="宋体"/>
          <w:b/>
          <w:color w:val="000000"/>
          <w:kern w:val="0"/>
          <w:sz w:val="24"/>
          <w:szCs w:val="24"/>
        </w:rPr>
        <w:t>该投标人将记入不良记录，视情公布在南通市公共资源交易网</w:t>
      </w:r>
      <w:r>
        <w:rPr>
          <w:rFonts w:hint="eastAsia" w:ascii="宋体" w:hAnsi="宋体" w:eastAsia="宋体" w:cs="宋体"/>
          <w:b/>
          <w:bCs/>
          <w:kern w:val="0"/>
          <w:sz w:val="24"/>
          <w:szCs w:val="24"/>
        </w:rPr>
        <w:t>。</w:t>
      </w:r>
    </w:p>
    <w:p w14:paraId="0881D7DD">
      <w:pPr>
        <w:snapToGrid w:val="0"/>
        <w:spacing w:line="420" w:lineRule="exact"/>
        <w:ind w:firstLine="491" w:firstLineChars="205"/>
        <w:rPr>
          <w:rFonts w:ascii="黑体" w:hAnsi="黑体" w:eastAsia="黑体"/>
          <w:color w:val="FF0000"/>
          <w:sz w:val="24"/>
          <w:szCs w:val="24"/>
        </w:rPr>
      </w:pPr>
      <w:r>
        <w:rPr>
          <w:rFonts w:hint="eastAsia" w:ascii="宋体" w:hAnsi="宋体" w:eastAsia="宋体" w:cs="宋体"/>
          <w:color w:val="FF0000"/>
          <w:sz w:val="24"/>
          <w:szCs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医院有权取消其中标资格，并由该投标人承担由此带来可能的一切责任和损失。</w:t>
      </w:r>
    </w:p>
    <w:p w14:paraId="0D1E7C69">
      <w:pPr>
        <w:autoSpaceDE w:val="0"/>
        <w:autoSpaceDN w:val="0"/>
        <w:adjustRightInd w:val="0"/>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五、投标</w:t>
      </w:r>
    </w:p>
    <w:p w14:paraId="34C5313B">
      <w:pPr>
        <w:spacing w:line="420" w:lineRule="exact"/>
        <w:ind w:firstLine="482" w:firstLineChars="200"/>
        <w:rPr>
          <w:rFonts w:ascii="黑体" w:hAnsi="黑体" w:eastAsia="黑体"/>
          <w:kern w:val="0"/>
          <w:sz w:val="24"/>
          <w:szCs w:val="24"/>
        </w:rPr>
      </w:pPr>
      <w:r>
        <w:rPr>
          <w:rFonts w:hint="eastAsia" w:ascii="宋体" w:hAnsi="宋体" w:eastAsia="宋体" w:cs="宋体"/>
          <w:b/>
          <w:bCs/>
          <w:sz w:val="24"/>
          <w:szCs w:val="24"/>
        </w:rPr>
        <w:t>1、投标人须认真阅读本采购文件的资格、技术、报价的各项要求条款，结合项目需求提供投标文件参与本项目的采购活动。投标文件中如有各项投标资料经查实为弄虚作假的，将被取消投标（成交）资格并不予退还投标保证金</w:t>
      </w:r>
      <w:r>
        <w:rPr>
          <w:rFonts w:hint="eastAsia" w:ascii="黑体" w:hAnsi="黑体" w:eastAsia="黑体"/>
          <w:kern w:val="0"/>
          <w:sz w:val="24"/>
          <w:szCs w:val="24"/>
        </w:rPr>
        <w:t>。</w:t>
      </w:r>
    </w:p>
    <w:p w14:paraId="0A536078">
      <w:pPr>
        <w:autoSpaceDE w:val="0"/>
        <w:autoSpaceDN w:val="0"/>
        <w:adjustRightIn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2、投标文件的递交</w:t>
      </w:r>
    </w:p>
    <w:p w14:paraId="09F8833C">
      <w:pPr>
        <w:autoSpaceDE w:val="0"/>
        <w:autoSpaceDN w:val="0"/>
        <w:adjustRightIn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（1）接收人：</w:t>
      </w:r>
      <w:r>
        <w:rPr>
          <w:rFonts w:hint="eastAsia" w:ascii="宋体" w:hAnsi="宋体" w:eastAsia="宋体" w:cs="宋体"/>
          <w:sz w:val="24"/>
          <w:szCs w:val="24"/>
          <w:highlight w:val="yellow"/>
        </w:rPr>
        <w:t>南通市妇幼保健院</w:t>
      </w:r>
    </w:p>
    <w:p w14:paraId="272A9B90">
      <w:pPr>
        <w:autoSpaceDE w:val="0"/>
        <w:autoSpaceDN w:val="0"/>
        <w:adjustRightIn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（2）文件接收截止时间：</w:t>
      </w:r>
      <w:r>
        <w:rPr>
          <w:rFonts w:hint="eastAsia" w:ascii="宋体" w:hAnsi="宋体" w:eastAsia="宋体" w:cs="宋体"/>
          <w:sz w:val="24"/>
          <w:szCs w:val="24"/>
          <w:highlight w:val="yellow"/>
        </w:rPr>
        <w:t>2024年</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19</w:t>
      </w:r>
      <w:r>
        <w:rPr>
          <w:rFonts w:hint="eastAsia" w:ascii="宋体" w:hAnsi="宋体" w:eastAsia="宋体" w:cs="宋体"/>
          <w:sz w:val="24"/>
          <w:szCs w:val="24"/>
          <w:highlight w:val="yellow"/>
        </w:rPr>
        <w:t>日</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时</w:t>
      </w:r>
      <w:r>
        <w:rPr>
          <w:rFonts w:hint="eastAsia" w:ascii="宋体" w:hAnsi="宋体" w:eastAsia="宋体" w:cs="宋体"/>
          <w:sz w:val="24"/>
          <w:szCs w:val="24"/>
          <w:highlight w:val="yellow"/>
          <w:lang w:val="en-US" w:eastAsia="zh-CN"/>
        </w:rPr>
        <w:t>30</w:t>
      </w:r>
      <w:r>
        <w:rPr>
          <w:rFonts w:hint="eastAsia" w:ascii="宋体" w:hAnsi="宋体" w:eastAsia="宋体" w:cs="宋体"/>
          <w:sz w:val="24"/>
          <w:szCs w:val="24"/>
          <w:highlight w:val="yellow"/>
        </w:rPr>
        <w:t>分</w:t>
      </w:r>
    </w:p>
    <w:p w14:paraId="63894273">
      <w:pPr>
        <w:autoSpaceDE w:val="0"/>
        <w:autoSpaceDN w:val="0"/>
        <w:adjustRightInd w:val="0"/>
        <w:spacing w:line="500" w:lineRule="exact"/>
        <w:ind w:firstLine="480" w:firstLineChars="200"/>
        <w:rPr>
          <w:rFonts w:ascii="宋体" w:hAnsi="宋体" w:eastAsia="宋体" w:cs="宋体"/>
          <w:sz w:val="24"/>
          <w:szCs w:val="24"/>
          <w:highlight w:val="yellow"/>
        </w:rPr>
      </w:pPr>
      <w:r>
        <w:rPr>
          <w:rFonts w:hint="eastAsia" w:ascii="宋体" w:hAnsi="宋体" w:eastAsia="宋体" w:cs="宋体"/>
          <w:sz w:val="24"/>
          <w:szCs w:val="24"/>
        </w:rPr>
        <w:t>（3）</w:t>
      </w:r>
      <w:r>
        <w:rPr>
          <w:rFonts w:hint="eastAsia" w:ascii="宋体" w:hAnsi="宋体" w:eastAsia="宋体" w:cs="宋体"/>
          <w:sz w:val="24"/>
          <w:szCs w:val="24"/>
          <w:highlight w:val="yellow"/>
        </w:rPr>
        <w:t>投标文件递交地址：</w:t>
      </w:r>
      <w:r>
        <w:rPr>
          <w:rFonts w:hint="eastAsia" w:ascii="宋体" w:hAnsi="宋体" w:eastAsia="宋体" w:cs="宋体"/>
          <w:kern w:val="0"/>
          <w:sz w:val="24"/>
          <w:szCs w:val="24"/>
          <w:highlight w:val="yellow"/>
          <w:lang w:eastAsia="zh-CN"/>
        </w:rPr>
        <w:t>妇幼保健院行政六楼小会议室</w:t>
      </w:r>
      <w:r>
        <w:rPr>
          <w:rFonts w:hint="eastAsia" w:ascii="宋体" w:hAnsi="宋体" w:eastAsia="宋体" w:cs="宋体"/>
          <w:sz w:val="24"/>
          <w:szCs w:val="24"/>
          <w:highlight w:val="yellow"/>
        </w:rPr>
        <w:t>。</w:t>
      </w:r>
    </w:p>
    <w:p w14:paraId="537F70F1">
      <w:pPr>
        <w:autoSpaceDE w:val="0"/>
        <w:autoSpaceDN w:val="0"/>
        <w:adjustRightInd w:val="0"/>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投标人递交投标文件时，投标人的法定代表人或其授权代理人必须携带本人身份证、法定代表人身份证明（或授权委托书）原件准时参加开标会议。否则，其投标文件不予受理。</w:t>
      </w:r>
    </w:p>
    <w:p w14:paraId="092CCEA9">
      <w:pPr>
        <w:autoSpaceDE w:val="0"/>
        <w:autoSpaceDN w:val="0"/>
        <w:adjustRightInd w:val="0"/>
        <w:spacing w:line="500" w:lineRule="exact"/>
        <w:ind w:firstLine="482" w:firstLineChars="200"/>
        <w:rPr>
          <w:rFonts w:ascii="宋体" w:hAnsi="宋体" w:eastAsia="宋体" w:cs="宋体"/>
          <w:b/>
          <w:bCs/>
          <w:color w:val="FF0000"/>
          <w:sz w:val="24"/>
          <w:szCs w:val="24"/>
        </w:rPr>
      </w:pPr>
      <w:r>
        <w:rPr>
          <w:rFonts w:hint="eastAsia" w:ascii="宋体" w:hAnsi="宋体" w:eastAsia="宋体" w:cs="宋体"/>
          <w:b/>
          <w:bCs/>
          <w:sz w:val="24"/>
          <w:szCs w:val="24"/>
        </w:rPr>
        <w:t>注：法定代表人身份证明（或授权委托书）一式二份，一份装订在资格审查文件中，另一份在投标时随身携带。</w:t>
      </w:r>
    </w:p>
    <w:p w14:paraId="338A358D">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六、开标</w:t>
      </w:r>
    </w:p>
    <w:p w14:paraId="7510BE09">
      <w:pPr>
        <w:widowControl/>
        <w:spacing w:line="500" w:lineRule="exact"/>
        <w:ind w:firstLine="480" w:firstLineChars="200"/>
        <w:jc w:val="left"/>
        <w:rPr>
          <w:rFonts w:ascii="宋体" w:hAnsi="宋体" w:eastAsia="宋体" w:cs="宋体"/>
          <w:kern w:val="0"/>
          <w:sz w:val="24"/>
          <w:szCs w:val="24"/>
          <w:highlight w:val="yellow"/>
        </w:rPr>
      </w:pPr>
      <w:r>
        <w:rPr>
          <w:rFonts w:hint="eastAsia" w:ascii="宋体" w:hAnsi="宋体" w:eastAsia="宋体" w:cs="宋体"/>
          <w:kern w:val="0"/>
          <w:sz w:val="24"/>
          <w:szCs w:val="24"/>
        </w:rPr>
        <w:t>1、</w:t>
      </w:r>
      <w:r>
        <w:rPr>
          <w:rFonts w:hint="eastAsia" w:ascii="宋体" w:hAnsi="宋体" w:eastAsia="宋体" w:cs="宋体"/>
          <w:kern w:val="0"/>
          <w:sz w:val="24"/>
          <w:szCs w:val="24"/>
          <w:highlight w:val="yellow"/>
        </w:rPr>
        <w:t>开标时间：</w:t>
      </w:r>
      <w:r>
        <w:rPr>
          <w:rFonts w:hint="eastAsia" w:ascii="宋体" w:hAnsi="宋体" w:eastAsia="宋体" w:cs="宋体"/>
          <w:sz w:val="24"/>
          <w:szCs w:val="24"/>
          <w:highlight w:val="yellow"/>
        </w:rPr>
        <w:t>2024年</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19</w:t>
      </w:r>
      <w:r>
        <w:rPr>
          <w:rFonts w:hint="eastAsia" w:ascii="宋体" w:hAnsi="宋体" w:eastAsia="宋体" w:cs="宋体"/>
          <w:sz w:val="24"/>
          <w:szCs w:val="24"/>
          <w:highlight w:val="yellow"/>
        </w:rPr>
        <w:t>日</w:t>
      </w:r>
      <w:r>
        <w:rPr>
          <w:rFonts w:hint="eastAsia" w:ascii="宋体" w:hAnsi="宋体" w:eastAsia="宋体" w:cs="宋体"/>
          <w:sz w:val="24"/>
          <w:szCs w:val="24"/>
          <w:highlight w:val="yellow"/>
          <w:lang w:val="en-US" w:eastAsia="zh-CN"/>
        </w:rPr>
        <w:t>9</w:t>
      </w:r>
      <w:r>
        <w:rPr>
          <w:rFonts w:hint="eastAsia" w:ascii="宋体" w:hAnsi="宋体" w:eastAsia="宋体" w:cs="宋体"/>
          <w:sz w:val="24"/>
          <w:szCs w:val="24"/>
          <w:highlight w:val="yellow"/>
        </w:rPr>
        <w:t>时</w:t>
      </w:r>
      <w:r>
        <w:rPr>
          <w:rFonts w:hint="eastAsia" w:ascii="宋体" w:hAnsi="宋体" w:eastAsia="宋体" w:cs="宋体"/>
          <w:sz w:val="24"/>
          <w:szCs w:val="24"/>
          <w:highlight w:val="yellow"/>
          <w:lang w:val="en-US" w:eastAsia="zh-CN"/>
        </w:rPr>
        <w:t>30</w:t>
      </w:r>
      <w:r>
        <w:rPr>
          <w:rFonts w:hint="eastAsia" w:ascii="宋体" w:hAnsi="宋体" w:eastAsia="宋体" w:cs="宋体"/>
          <w:sz w:val="24"/>
          <w:szCs w:val="24"/>
          <w:highlight w:val="yellow"/>
        </w:rPr>
        <w:t>分</w:t>
      </w:r>
    </w:p>
    <w:p w14:paraId="6FA0682E">
      <w:pPr>
        <w:widowControl/>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highlight w:val="yellow"/>
        </w:rPr>
        <w:t>开标地点：</w:t>
      </w:r>
      <w:r>
        <w:rPr>
          <w:rFonts w:hint="eastAsia" w:ascii="宋体" w:hAnsi="宋体" w:eastAsia="宋体" w:cs="宋体"/>
          <w:kern w:val="0"/>
          <w:sz w:val="24"/>
          <w:szCs w:val="24"/>
          <w:highlight w:val="yellow"/>
          <w:lang w:eastAsia="zh-CN"/>
        </w:rPr>
        <w:t>妇幼保健院行政六楼小会议室</w:t>
      </w:r>
      <w:r>
        <w:rPr>
          <w:rFonts w:hint="eastAsia" w:ascii="宋体" w:hAnsi="宋体" w:eastAsia="宋体" w:cs="宋体"/>
          <w:sz w:val="24"/>
          <w:szCs w:val="24"/>
          <w:highlight w:val="yellow"/>
        </w:rPr>
        <w:t>。</w:t>
      </w:r>
    </w:p>
    <w:p w14:paraId="16FBF187">
      <w:pPr>
        <w:widowControl/>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lang w:eastAsia="zh-CN"/>
        </w:rPr>
        <w:t>七</w:t>
      </w:r>
      <w:r>
        <w:rPr>
          <w:rFonts w:hint="eastAsia" w:ascii="宋体" w:hAnsi="宋体" w:eastAsia="宋体" w:cs="宋体"/>
          <w:b/>
          <w:bCs/>
          <w:kern w:val="0"/>
          <w:sz w:val="24"/>
          <w:szCs w:val="24"/>
        </w:rPr>
        <w:t>、履约保证金</w:t>
      </w:r>
    </w:p>
    <w:p w14:paraId="2984DE16">
      <w:pPr>
        <w:widowControl/>
        <w:spacing w:line="500" w:lineRule="exact"/>
        <w:ind w:firstLine="480" w:firstLineChars="200"/>
        <w:jc w:val="left"/>
        <w:rPr>
          <w:rFonts w:ascii="宋体" w:hAnsi="宋体" w:eastAsia="宋体" w:cs="宋体"/>
          <w:color w:val="000000"/>
          <w:sz w:val="24"/>
          <w:szCs w:val="24"/>
        </w:rPr>
      </w:pPr>
      <w:r>
        <w:rPr>
          <w:rFonts w:hint="eastAsia" w:ascii="宋体" w:hAnsi="宋体" w:eastAsia="宋体" w:cs="宋体"/>
          <w:kern w:val="0"/>
          <w:sz w:val="24"/>
          <w:szCs w:val="24"/>
        </w:rPr>
        <w:t>本项目成交后的履约保证金为中标价的</w:t>
      </w:r>
      <w:r>
        <w:rPr>
          <w:rFonts w:hint="eastAsia" w:ascii="宋体" w:hAnsi="宋体" w:eastAsia="宋体" w:cs="宋体"/>
          <w:kern w:val="0"/>
          <w:sz w:val="24"/>
          <w:szCs w:val="24"/>
          <w:highlight w:val="yellow"/>
          <w:u w:val="single"/>
        </w:rPr>
        <w:t>5%</w:t>
      </w:r>
      <w:r>
        <w:rPr>
          <w:rFonts w:hint="eastAsia" w:ascii="宋体" w:hAnsi="宋体" w:eastAsia="宋体" w:cs="宋体"/>
          <w:kern w:val="0"/>
          <w:sz w:val="24"/>
          <w:szCs w:val="24"/>
          <w:highlight w:val="yellow"/>
        </w:rPr>
        <w:t>。</w:t>
      </w:r>
    </w:p>
    <w:p w14:paraId="7118A895">
      <w:pPr>
        <w:spacing w:line="500" w:lineRule="exact"/>
        <w:ind w:firstLine="482" w:firstLineChars="200"/>
        <w:rPr>
          <w:rFonts w:ascii="宋体" w:hAnsi="宋体" w:eastAsia="宋体" w:cs="宋体"/>
          <w:color w:val="000000"/>
          <w:sz w:val="24"/>
          <w:szCs w:val="24"/>
        </w:rPr>
      </w:pPr>
      <w:r>
        <w:rPr>
          <w:rFonts w:hint="eastAsia" w:ascii="宋体" w:hAnsi="宋体" w:eastAsia="宋体" w:cs="宋体"/>
          <w:b/>
          <w:bCs/>
          <w:kern w:val="0"/>
          <w:sz w:val="24"/>
          <w:szCs w:val="24"/>
          <w:lang w:eastAsia="zh-CN"/>
        </w:rPr>
        <w:t>八</w:t>
      </w:r>
      <w:r>
        <w:rPr>
          <w:rFonts w:hint="eastAsia" w:ascii="宋体" w:hAnsi="宋体" w:eastAsia="宋体" w:cs="宋体"/>
          <w:b/>
          <w:bCs/>
          <w:kern w:val="0"/>
          <w:sz w:val="24"/>
          <w:szCs w:val="24"/>
        </w:rPr>
        <w:t>、采购公告发布媒介</w:t>
      </w:r>
      <w:bookmarkStart w:id="6" w:name="_GoBack"/>
      <w:bookmarkEnd w:id="6"/>
    </w:p>
    <w:p w14:paraId="6F6EE974">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1、本次采购的有关信息将在</w:t>
      </w:r>
      <w:r>
        <w:rPr>
          <w:rFonts w:hint="eastAsia" w:ascii="宋体" w:hAnsi="宋体" w:eastAsia="宋体" w:cs="宋体"/>
          <w:color w:val="000000"/>
          <w:sz w:val="24"/>
          <w:szCs w:val="24"/>
          <w:highlight w:val="cyan"/>
        </w:rPr>
        <w:t>“南通市妇幼保健院官网”，</w:t>
      </w:r>
      <w:r>
        <w:rPr>
          <w:rFonts w:hint="eastAsia" w:ascii="宋体" w:hAnsi="宋体" w:eastAsia="宋体" w:cs="宋体"/>
          <w:color w:val="000000"/>
          <w:sz w:val="24"/>
          <w:szCs w:val="24"/>
        </w:rPr>
        <w:t>敬请留意。</w:t>
      </w:r>
    </w:p>
    <w:p w14:paraId="06BD65A5">
      <w:pPr>
        <w:spacing w:line="480" w:lineRule="exact"/>
        <w:ind w:firstLine="480" w:firstLineChars="200"/>
        <w:rPr>
          <w:rFonts w:ascii="宋体" w:hAnsi="宋体" w:eastAsia="宋体" w:cs="宋体"/>
          <w:sz w:val="24"/>
          <w:szCs w:val="24"/>
        </w:rPr>
      </w:pPr>
      <w:r>
        <w:rPr>
          <w:rFonts w:hint="eastAsia" w:ascii="宋体" w:hAnsi="宋体" w:eastAsia="宋体" w:cs="宋体"/>
          <w:color w:val="000000"/>
          <w:sz w:val="24"/>
          <w:szCs w:val="24"/>
        </w:rPr>
        <w:t>2、潜在供应商在获取本次采购采购文件后，认真阅读各项内容。有意愿参与本项目投标响应的供应商须进行必要准备工作，按采购文件的要求详细填写和编制响应文件，并按采购文件确定的时间、地点准时参加本项目的采购采购活动。</w:t>
      </w:r>
    </w:p>
    <w:p w14:paraId="1F9D8940">
      <w:pPr>
        <w:spacing w:line="500" w:lineRule="exact"/>
        <w:ind w:firstLine="482" w:firstLineChars="200"/>
        <w:rPr>
          <w:rFonts w:ascii="宋体" w:hAnsi="宋体" w:eastAsia="宋体" w:cs="宋体"/>
          <w:b/>
          <w:bCs/>
          <w:kern w:val="0"/>
          <w:sz w:val="24"/>
          <w:szCs w:val="24"/>
        </w:rPr>
      </w:pPr>
      <w:r>
        <w:rPr>
          <w:rFonts w:hint="eastAsia" w:ascii="宋体" w:hAnsi="宋体" w:eastAsia="宋体" w:cs="宋体"/>
          <w:b/>
          <w:bCs/>
          <w:kern w:val="0"/>
          <w:sz w:val="24"/>
          <w:szCs w:val="24"/>
          <w:lang w:eastAsia="zh-CN"/>
        </w:rPr>
        <w:t>九</w:t>
      </w:r>
      <w:r>
        <w:rPr>
          <w:rFonts w:hint="eastAsia" w:ascii="宋体" w:hAnsi="宋体" w:eastAsia="宋体" w:cs="宋体"/>
          <w:b/>
          <w:bCs/>
          <w:kern w:val="0"/>
          <w:sz w:val="24"/>
          <w:szCs w:val="24"/>
        </w:rPr>
        <w:t>、联系方式</w:t>
      </w:r>
    </w:p>
    <w:p w14:paraId="557A856F">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采购单位：南通市妇幼保健院</w:t>
      </w:r>
    </w:p>
    <w:p w14:paraId="423C7922">
      <w:pPr>
        <w:spacing w:line="48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采购单位联系人：姜科长     联系电话：15371995961</w:t>
      </w:r>
    </w:p>
    <w:p w14:paraId="11F90289">
      <w:pPr>
        <w:spacing w:line="480" w:lineRule="exact"/>
        <w:ind w:firstLine="480" w:firstLineChars="200"/>
        <w:rPr>
          <w:rFonts w:ascii="宋体" w:hAnsi="宋体" w:eastAsia="宋体" w:cs="宋体"/>
          <w:color w:val="000000"/>
          <w:sz w:val="24"/>
          <w:szCs w:val="24"/>
        </w:rPr>
      </w:pPr>
    </w:p>
    <w:p w14:paraId="7F1CC004">
      <w:pPr>
        <w:spacing w:line="480" w:lineRule="exact"/>
        <w:jc w:val="center"/>
        <w:rPr>
          <w:rFonts w:ascii="宋体" w:hAnsi="宋体" w:eastAsia="宋体" w:cs="宋体"/>
          <w:b/>
          <w:bCs/>
          <w:w w:val="80"/>
          <w:kern w:val="44"/>
          <w:sz w:val="44"/>
          <w:szCs w:val="44"/>
        </w:rPr>
      </w:pPr>
      <w:r>
        <w:rPr>
          <w:rFonts w:hint="eastAsia" w:ascii="宋体" w:hAnsi="宋体"/>
          <w:color w:val="000000"/>
          <w:sz w:val="30"/>
          <w:szCs w:val="30"/>
        </w:rPr>
        <w:br w:type="page"/>
      </w:r>
      <w:r>
        <w:rPr>
          <w:rFonts w:hint="eastAsia" w:ascii="宋体" w:hAnsi="宋体" w:eastAsia="宋体" w:cs="宋体"/>
          <w:b/>
          <w:bCs/>
          <w:w w:val="80"/>
          <w:kern w:val="44"/>
          <w:sz w:val="44"/>
          <w:szCs w:val="44"/>
        </w:rPr>
        <w:t>第二章  投标人须知</w:t>
      </w:r>
      <w:bookmarkEnd w:id="1"/>
    </w:p>
    <w:p w14:paraId="09E5070A">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一、说明</w:t>
      </w:r>
    </w:p>
    <w:p w14:paraId="0CA10CAD">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1、本采购文件仅适用于</w:t>
      </w:r>
      <w:r>
        <w:rPr>
          <w:rFonts w:hint="eastAsia" w:ascii="宋体" w:hAnsi="宋体" w:eastAsia="宋体" w:cs="宋体"/>
          <w:color w:val="000000"/>
          <w:sz w:val="24"/>
          <w:szCs w:val="24"/>
        </w:rPr>
        <w:t>南通市妇幼保健院（以下称医院）</w:t>
      </w:r>
      <w:r>
        <w:rPr>
          <w:rFonts w:hint="eastAsia" w:ascii="宋体" w:hAnsi="宋体" w:eastAsia="宋体" w:cs="宋体"/>
          <w:sz w:val="24"/>
          <w:szCs w:val="24"/>
        </w:rPr>
        <w:t>组织的活动。</w:t>
      </w:r>
    </w:p>
    <w:p w14:paraId="6274A0F9">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2、本次活动及因本次采购产生的合同受中国法律制约和保护。</w:t>
      </w:r>
    </w:p>
    <w:p w14:paraId="27C27805">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3、采购文件的解释权属于</w:t>
      </w:r>
      <w:r>
        <w:rPr>
          <w:rFonts w:hint="eastAsia" w:ascii="宋体" w:hAnsi="宋体" w:eastAsia="宋体" w:cs="宋体"/>
          <w:color w:val="000000"/>
          <w:sz w:val="24"/>
          <w:szCs w:val="24"/>
        </w:rPr>
        <w:t>南通市妇幼保健院</w:t>
      </w:r>
      <w:r>
        <w:rPr>
          <w:rFonts w:hint="eastAsia" w:ascii="宋体" w:hAnsi="宋体" w:eastAsia="宋体" w:cs="宋体"/>
          <w:sz w:val="24"/>
          <w:szCs w:val="24"/>
        </w:rPr>
        <w:t>。</w:t>
      </w:r>
    </w:p>
    <w:p w14:paraId="69A8876E">
      <w:pPr>
        <w:snapToGrid w:val="0"/>
        <w:spacing w:line="500" w:lineRule="exact"/>
        <w:ind w:firstLine="480" w:firstLineChars="200"/>
        <w:rPr>
          <w:rFonts w:ascii="宋体" w:hAnsi="宋体" w:eastAsia="宋体" w:cs="宋体"/>
          <w:b/>
          <w:bCs/>
          <w:sz w:val="24"/>
          <w:szCs w:val="24"/>
        </w:rPr>
      </w:pPr>
      <w:r>
        <w:rPr>
          <w:rFonts w:hint="eastAsia" w:ascii="宋体" w:hAnsi="宋体" w:eastAsia="宋体" w:cs="宋体"/>
          <w:sz w:val="24"/>
          <w:szCs w:val="24"/>
        </w:rPr>
        <w:t>4、投标人在知道或应当知道本项目采购公告及采购文件中的所有内容：如内容或页码短缺、资格要求和技术参数出现倾向性或排他性等表述的，</w:t>
      </w:r>
      <w:r>
        <w:rPr>
          <w:rFonts w:hint="eastAsia" w:ascii="宋体" w:hAnsi="宋体" w:eastAsia="宋体" w:cs="宋体"/>
          <w:b/>
          <w:sz w:val="24"/>
          <w:szCs w:val="24"/>
        </w:rPr>
        <w:t>应在本项目采购公告及采购文件发布之日后的7日内以书面实名制形式提出质疑；未在规定期间内提出书面质疑的，视作供应商接受本项目采购公告及采购文件中的全部内容；投标人不得在采购活动期间及采购结束后针对本项目采购公告及采购文件中的所有内容提出质疑、投诉。</w:t>
      </w:r>
      <w:r>
        <w:rPr>
          <w:rFonts w:hint="eastAsia" w:ascii="宋体" w:hAnsi="宋体" w:eastAsia="宋体" w:cs="宋体"/>
          <w:b/>
          <w:bCs/>
          <w:sz w:val="24"/>
          <w:szCs w:val="24"/>
        </w:rPr>
        <w:t>非书面形式的不作为日后质疑提出的依据。</w:t>
      </w:r>
    </w:p>
    <w:p w14:paraId="6CCE04FD">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5、投标人应认真审阅采购文件中所有的事项、格式、条款和规范要求等，如果供应商没有按照采购文件要求提交响应文件，或者响应文件没有对采购文件做出实质性响应，将被拒绝参与投标。</w:t>
      </w:r>
    </w:p>
    <w:p w14:paraId="4F8647A7">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二、采购文件的补充说明、澄清、修改、答疑</w:t>
      </w:r>
    </w:p>
    <w:p w14:paraId="2545EFFC">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highlight w:val="yellow"/>
        </w:rPr>
        <w:t>医院</w:t>
      </w:r>
      <w:r>
        <w:rPr>
          <w:rFonts w:hint="eastAsia" w:ascii="宋体" w:hAnsi="宋体" w:eastAsia="宋体" w:cs="宋体"/>
          <w:sz w:val="24"/>
          <w:szCs w:val="24"/>
        </w:rPr>
        <w:t>有权对发出的采购文件进行必要的补充说明、澄清或修改。</w:t>
      </w:r>
    </w:p>
    <w:p w14:paraId="0872CD7C">
      <w:pPr>
        <w:snapToGrid w:val="0"/>
        <w:spacing w:line="48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2、采购文件的澄清、修改、补充等内容均以书面明确的形式发布，且以在“</w:t>
      </w:r>
      <w:r>
        <w:rPr>
          <w:rFonts w:hint="eastAsia" w:ascii="宋体" w:hAnsi="宋体" w:eastAsia="宋体" w:cs="宋体"/>
          <w:sz w:val="24"/>
          <w:szCs w:val="24"/>
          <w:highlight w:val="yellow"/>
        </w:rPr>
        <w:t>南通市妇幼保健院”</w:t>
      </w:r>
      <w:r>
        <w:rPr>
          <w:rFonts w:hint="eastAsia" w:ascii="宋体" w:hAnsi="宋体" w:eastAsia="宋体" w:cs="宋体"/>
          <w:sz w:val="24"/>
          <w:szCs w:val="24"/>
        </w:rPr>
        <w:t>网站上发布的信息为准。</w:t>
      </w:r>
    </w:p>
    <w:p w14:paraId="3DA68065">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highlight w:val="yellow"/>
        </w:rPr>
        <w:t>医院</w:t>
      </w:r>
      <w:r>
        <w:rPr>
          <w:rFonts w:hint="eastAsia" w:ascii="宋体" w:hAnsi="宋体" w:eastAsia="宋体" w:cs="宋体"/>
          <w:sz w:val="24"/>
          <w:szCs w:val="24"/>
        </w:rPr>
        <w:t>对采购文件的补充说明、澄清或修改，将构成采购文件的一部分，对投标人具有约束力。</w:t>
      </w:r>
    </w:p>
    <w:p w14:paraId="05EDF42C">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4、补充说明、澄清或修改的内容可能影响响应文件编制的，医院将在投标截止时间3日前，发布补充说明、澄清或修改公告，不足3日的，应当顺延提交投标文件的截止时间。</w:t>
      </w:r>
    </w:p>
    <w:p w14:paraId="0DF17EBC">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5、除非医院以书面的形式对采购文件作出澄清、修改及补充，投标人对涉及采购文件的任何推论、理解和结论所造成的结果，均由投标人自负。</w:t>
      </w:r>
    </w:p>
    <w:p w14:paraId="4139AE0F">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6、医院视情组织答疑会。如有产生答疑且对采购文件内容有修改，代理机构将按照本须知有关规定，以补充通知（公告）的方式发出。</w:t>
      </w:r>
    </w:p>
    <w:p w14:paraId="78C43A88">
      <w:pPr>
        <w:snapToGrid w:val="0"/>
        <w:spacing w:line="5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三、投标项目涉及到的现场勘察</w:t>
      </w:r>
    </w:p>
    <w:p w14:paraId="1DA07265">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1、采购文件所提供的项目相关数据仅做参考，投标人应在投标文件递交之日前对有关现场和周围环境进行勘察，以获取编制投标文件和签署合同所需的信息。勘察现场所发生的费用由投标人自己承担。</w:t>
      </w:r>
    </w:p>
    <w:p w14:paraId="3775627D">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highlight w:val="yellow"/>
        </w:rPr>
        <w:t>医院</w:t>
      </w:r>
      <w:r>
        <w:rPr>
          <w:rFonts w:hint="eastAsia" w:ascii="宋体" w:hAnsi="宋体" w:eastAsia="宋体" w:cs="宋体"/>
          <w:sz w:val="24"/>
          <w:szCs w:val="24"/>
        </w:rPr>
        <w:t>向投标人提供的有关现场的资料和数据，是采购单位现有的并认为能使投标人可利用的资料。医院对投标人由此而做出的推论、理解和结论概不负责。</w:t>
      </w:r>
    </w:p>
    <w:p w14:paraId="35844AE2">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3、经医院允许，投标人可为勘察目的进入医院的项目现场，但投标人不得因此使医院承担有关的责任和蒙受损失。投标人应承担勘察现场的责任和风险。</w:t>
      </w:r>
    </w:p>
    <w:p w14:paraId="2D416831">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投标人应认真踏勘现场。在现场勘察时，熟悉供货及安装现场、现场周围交通道路等情况，以获得一切可能影响其投标的直接资料。投标人中标后，不得以不完全了解现场情况为理由而向医院提出任何索赔的要求，对此医院不承担任何责任并将不作任何答复与考虑。</w:t>
      </w:r>
    </w:p>
    <w:p w14:paraId="2FB9953C">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四、投标文件的组成及装订</w:t>
      </w:r>
    </w:p>
    <w:p w14:paraId="5E406314">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1、投标文件由：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,1)</w:instrText>
      </w:r>
      <w:r>
        <w:rPr>
          <w:rFonts w:hint="eastAsia" w:ascii="宋体" w:hAnsi="宋体" w:eastAsia="宋体" w:cs="宋体"/>
          <w:sz w:val="24"/>
          <w:szCs w:val="24"/>
        </w:rPr>
        <w:fldChar w:fldCharType="end"/>
      </w:r>
      <w:r>
        <w:rPr>
          <w:rFonts w:hint="eastAsia" w:ascii="宋体" w:hAnsi="宋体" w:eastAsia="宋体" w:cs="宋体"/>
          <w:sz w:val="24"/>
          <w:szCs w:val="24"/>
        </w:rPr>
        <w:t>资格审查文件、</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,2)</w:instrText>
      </w:r>
      <w:r>
        <w:rPr>
          <w:rFonts w:hint="eastAsia" w:ascii="宋体" w:hAnsi="宋体" w:eastAsia="宋体" w:cs="宋体"/>
          <w:sz w:val="24"/>
          <w:szCs w:val="24"/>
        </w:rPr>
        <w:fldChar w:fldCharType="end"/>
      </w:r>
      <w:r>
        <w:rPr>
          <w:rFonts w:hint="eastAsia" w:ascii="宋体" w:hAnsi="宋体" w:eastAsia="宋体" w:cs="宋体"/>
          <w:sz w:val="24"/>
          <w:szCs w:val="24"/>
        </w:rPr>
        <w:t>技术标、</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eq \o\ac(</w:instrText>
      </w:r>
      <w:r>
        <w:rPr>
          <w:rFonts w:hint="eastAsia" w:ascii="宋体" w:hAnsi="宋体" w:eastAsia="宋体" w:cs="宋体"/>
          <w:position w:val="-4"/>
          <w:sz w:val="36"/>
          <w:szCs w:val="24"/>
        </w:rPr>
        <w:instrText xml:space="preserve">○</w:instrText>
      </w:r>
      <w:r>
        <w:rPr>
          <w:rFonts w:hint="eastAsia" w:ascii="宋体" w:hAnsi="宋体" w:eastAsia="宋体" w:cs="宋体"/>
          <w:sz w:val="24"/>
          <w:szCs w:val="24"/>
        </w:rPr>
        <w:instrText xml:space="preserve">,3)</w:instrText>
      </w:r>
      <w:r>
        <w:rPr>
          <w:rFonts w:hint="eastAsia" w:ascii="宋体" w:hAnsi="宋体" w:eastAsia="宋体" w:cs="宋体"/>
          <w:sz w:val="24"/>
          <w:szCs w:val="24"/>
        </w:rPr>
        <w:fldChar w:fldCharType="end"/>
      </w:r>
      <w:r>
        <w:rPr>
          <w:rFonts w:hint="eastAsia" w:ascii="宋体" w:hAnsi="宋体" w:eastAsia="宋体" w:cs="宋体"/>
          <w:sz w:val="24"/>
          <w:szCs w:val="24"/>
        </w:rPr>
        <w:t>价格标共三部分组成。</w:t>
      </w:r>
    </w:p>
    <w:p w14:paraId="4DC8A7AD">
      <w:pPr>
        <w:spacing w:line="500" w:lineRule="exact"/>
        <w:ind w:firstLine="484" w:firstLineChars="202"/>
        <w:rPr>
          <w:rFonts w:ascii="宋体" w:hAnsi="宋体" w:eastAsia="宋体" w:cs="宋体"/>
          <w:sz w:val="24"/>
          <w:szCs w:val="24"/>
        </w:rPr>
      </w:pPr>
      <w:r>
        <w:rPr>
          <w:rFonts w:hint="eastAsia" w:ascii="宋体" w:hAnsi="宋体" w:eastAsia="宋体" w:cs="宋体"/>
          <w:sz w:val="24"/>
          <w:szCs w:val="24"/>
        </w:rPr>
        <w:t>2、投标人按采购文件要求编写投标文件，并牢固装订成册。投标文件均需采用A4纸（图纸等除外），不允许使用活页夹、拉杆夹、文件夹、塑料方便式书脊（插入式或穿孔式）装订。投标文件不得行间插字、涂改、增删，如：修改错漏处，须经投标文件签署人签字（或盖章）并加盖公章。</w:t>
      </w:r>
    </w:p>
    <w:p w14:paraId="4A880DD6">
      <w:pPr>
        <w:spacing w:line="500" w:lineRule="exact"/>
        <w:ind w:firstLine="484" w:firstLineChars="202"/>
        <w:rPr>
          <w:rFonts w:ascii="宋体" w:hAnsi="宋体" w:eastAsia="宋体" w:cs="宋体"/>
          <w:sz w:val="24"/>
          <w:szCs w:val="24"/>
        </w:rPr>
      </w:pPr>
      <w:r>
        <w:rPr>
          <w:rFonts w:hint="eastAsia" w:ascii="宋体" w:hAnsi="宋体" w:eastAsia="宋体" w:cs="宋体"/>
          <w:sz w:val="24"/>
          <w:szCs w:val="24"/>
        </w:rPr>
        <w:t>3、投标文件的 “资格审查文件”、“技术标”、“价格标”各自装订成册。特别提示：有关报价内容不得出现在“资格审查文件”和“技术标”之中，否则作无效投标处理。</w:t>
      </w:r>
    </w:p>
    <w:p w14:paraId="6FF1F6F6">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五、投标文件的份数、签署</w:t>
      </w:r>
    </w:p>
    <w:p w14:paraId="1F509F99">
      <w:pPr>
        <w:spacing w:line="500" w:lineRule="exact"/>
        <w:ind w:firstLine="484" w:firstLineChars="202"/>
        <w:rPr>
          <w:rFonts w:ascii="宋体" w:hAnsi="宋体" w:eastAsia="宋体" w:cs="宋体"/>
          <w:sz w:val="24"/>
          <w:szCs w:val="24"/>
        </w:rPr>
      </w:pPr>
      <w:r>
        <w:rPr>
          <w:rFonts w:hint="eastAsia" w:ascii="宋体" w:hAnsi="宋体" w:eastAsia="宋体" w:cs="宋体"/>
          <w:sz w:val="24"/>
          <w:szCs w:val="24"/>
        </w:rPr>
        <w:t>1、投标人应准备</w:t>
      </w:r>
      <w:r>
        <w:rPr>
          <w:rFonts w:hint="eastAsia" w:ascii="宋体" w:hAnsi="宋体" w:eastAsia="宋体" w:cs="宋体"/>
          <w:b/>
          <w:bCs/>
          <w:sz w:val="24"/>
          <w:szCs w:val="24"/>
          <w:u w:val="single"/>
        </w:rPr>
        <w:t xml:space="preserve"> 伍 </w:t>
      </w:r>
      <w:r>
        <w:rPr>
          <w:rFonts w:hint="eastAsia" w:ascii="宋体" w:hAnsi="宋体" w:eastAsia="宋体" w:cs="宋体"/>
          <w:sz w:val="24"/>
          <w:szCs w:val="24"/>
        </w:rPr>
        <w:t>份完整的纸质投标文件，其中正本</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份，副本</w:t>
      </w:r>
      <w:r>
        <w:rPr>
          <w:rFonts w:hint="eastAsia" w:ascii="宋体" w:hAnsi="宋体" w:eastAsia="宋体" w:cs="宋体"/>
          <w:b/>
          <w:bCs/>
          <w:sz w:val="24"/>
          <w:szCs w:val="24"/>
          <w:u w:val="single"/>
        </w:rPr>
        <w:t>肆</w:t>
      </w:r>
      <w:r>
        <w:rPr>
          <w:rFonts w:hint="eastAsia" w:ascii="宋体" w:hAnsi="宋体" w:eastAsia="宋体" w:cs="宋体"/>
          <w:sz w:val="24"/>
          <w:szCs w:val="24"/>
        </w:rPr>
        <w:t>份，并标明“正本”或“副本”字样，若有差异，概以“正本”为准。</w:t>
      </w:r>
    </w:p>
    <w:p w14:paraId="05874D1C">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2、投标文件“正本”其内容须</w:t>
      </w:r>
      <w:r>
        <w:rPr>
          <w:rFonts w:hint="eastAsia" w:ascii="宋体" w:hAnsi="宋体" w:eastAsia="宋体" w:cs="宋体"/>
          <w:color w:val="000000"/>
          <w:sz w:val="24"/>
          <w:szCs w:val="24"/>
        </w:rPr>
        <w:t>按采购文件要求</w:t>
      </w:r>
      <w:r>
        <w:rPr>
          <w:rFonts w:hint="eastAsia" w:ascii="宋体" w:hAnsi="宋体" w:eastAsia="宋体" w:cs="宋体"/>
          <w:sz w:val="24"/>
          <w:szCs w:val="24"/>
        </w:rPr>
        <w:t>由法定代表人或被授权人签字（或盖章）并加盖投标人公章。“副本”可复印，但须加盖投标人公章。</w:t>
      </w:r>
    </w:p>
    <w:p w14:paraId="3A78AA45">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六、投标文件的密封及标记</w:t>
      </w:r>
    </w:p>
    <w:p w14:paraId="4DE124F3">
      <w:pPr>
        <w:snapToGrid w:val="0"/>
        <w:spacing w:line="500" w:lineRule="exact"/>
        <w:ind w:firstLine="470" w:firstLineChars="196"/>
        <w:outlineLvl w:val="1"/>
        <w:rPr>
          <w:rFonts w:ascii="宋体" w:hAnsi="宋体" w:eastAsia="宋体" w:cs="宋体"/>
          <w:sz w:val="24"/>
          <w:szCs w:val="24"/>
        </w:rPr>
      </w:pPr>
      <w:r>
        <w:rPr>
          <w:rFonts w:hint="eastAsia" w:ascii="宋体" w:hAnsi="宋体" w:eastAsia="宋体" w:cs="宋体"/>
          <w:sz w:val="24"/>
          <w:szCs w:val="24"/>
        </w:rPr>
        <w:t>1、纸质投标文件分三册密封。第一册为“资格审查文件”，第二册为“技术标”，第三册为“价格标”，三册应分别密封，并在封袋上明确标注投标项目名称、投标文件各自对应的名称（“资格审查文件”、“技术标”、“价格标”）、投标人全称及日期，同时加盖投标人公章。密封前，应在每一密封包的投标文件封面上明确标注投标项目名称、投标文件各自对应的名称、投标人全称及日期，同时加盖投标人公章。</w:t>
      </w:r>
    </w:p>
    <w:p w14:paraId="376E4D21">
      <w:pPr>
        <w:snapToGrid w:val="0"/>
        <w:spacing w:line="500" w:lineRule="exact"/>
        <w:ind w:firstLine="470" w:firstLineChars="196"/>
        <w:outlineLvl w:val="1"/>
        <w:rPr>
          <w:rFonts w:ascii="宋体" w:hAnsi="宋体" w:eastAsia="宋体" w:cs="宋体"/>
          <w:sz w:val="24"/>
          <w:szCs w:val="24"/>
        </w:rPr>
      </w:pPr>
      <w:r>
        <w:rPr>
          <w:rFonts w:hint="eastAsia" w:ascii="宋体" w:hAnsi="宋体" w:eastAsia="宋体" w:cs="宋体"/>
          <w:sz w:val="24"/>
          <w:szCs w:val="24"/>
        </w:rPr>
        <w:t>2、投标人可将投标文件正副本统一密封或分别密封，如正本和副本分别密封的，应在封袋上标明正、副本字样。</w:t>
      </w:r>
    </w:p>
    <w:p w14:paraId="2A9D6CA8">
      <w:pPr>
        <w:snapToGrid w:val="0"/>
        <w:spacing w:line="500" w:lineRule="exact"/>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七、投标文件的有效期</w:t>
      </w:r>
    </w:p>
    <w:p w14:paraId="11B65146">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1、从投标文件接收截止之日算起，</w:t>
      </w:r>
      <w:r>
        <w:rPr>
          <w:rFonts w:hint="eastAsia" w:ascii="宋体" w:hAnsi="宋体" w:eastAsia="宋体" w:cs="宋体"/>
          <w:b/>
          <w:bCs/>
          <w:sz w:val="24"/>
          <w:szCs w:val="24"/>
        </w:rPr>
        <w:t>45</w:t>
      </w:r>
      <w:r>
        <w:rPr>
          <w:rFonts w:hint="eastAsia" w:ascii="宋体" w:hAnsi="宋体" w:eastAsia="宋体" w:cs="宋体"/>
          <w:sz w:val="24"/>
          <w:szCs w:val="24"/>
        </w:rPr>
        <w:t>个“日历天”内投标书应保持有效。有效期短于这个规定期限的，投标将被拒绝。</w:t>
      </w:r>
    </w:p>
    <w:p w14:paraId="15DB3589">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在特殊情况下，采购代理机构可与投标人协商延长投标书的有效期。这种要求和答复都应以书面、传真、或电报的形式进行。同意延长有效期的投标人不能修改投标文件，按本采购文件规定的投标保证金的有效期也相应延长。拒绝接受延期要求的投标人的投标书将被拒绝，但投标保证金可退还。</w:t>
      </w:r>
    </w:p>
    <w:p w14:paraId="70D225C6">
      <w:pPr>
        <w:snapToGrid w:val="0"/>
        <w:spacing w:line="500" w:lineRule="exact"/>
        <w:ind w:firstLine="496" w:firstLineChars="206"/>
        <w:outlineLvl w:val="1"/>
        <w:rPr>
          <w:rFonts w:ascii="宋体" w:hAnsi="宋体" w:eastAsia="宋体" w:cs="宋体"/>
          <w:b/>
          <w:bCs/>
          <w:sz w:val="24"/>
          <w:szCs w:val="24"/>
        </w:rPr>
      </w:pPr>
      <w:r>
        <w:rPr>
          <w:rFonts w:hint="eastAsia" w:ascii="宋体" w:hAnsi="宋体" w:eastAsia="宋体" w:cs="宋体"/>
          <w:b/>
          <w:bCs/>
          <w:sz w:val="24"/>
          <w:szCs w:val="24"/>
        </w:rPr>
        <w:t>八、投标报价</w:t>
      </w:r>
    </w:p>
    <w:p w14:paraId="69E70DAB">
      <w:pPr>
        <w:snapToGrid w:val="0"/>
        <w:spacing w:line="50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14:paraId="60EBBD70">
      <w:pPr>
        <w:snapToGrid w:val="0"/>
        <w:spacing w:line="500" w:lineRule="exact"/>
        <w:ind w:firstLine="494" w:firstLineChars="206"/>
        <w:rPr>
          <w:rFonts w:ascii="宋体" w:hAnsi="宋体" w:eastAsia="宋体" w:cs="宋体"/>
          <w:sz w:val="24"/>
          <w:szCs w:val="24"/>
        </w:rPr>
      </w:pPr>
      <w:r>
        <w:rPr>
          <w:rFonts w:hint="eastAsia" w:ascii="宋体" w:hAnsi="宋体" w:eastAsia="宋体" w:cs="宋体"/>
          <w:sz w:val="24"/>
          <w:szCs w:val="24"/>
        </w:rPr>
        <w:t>2、投标报价均以人民币为报价的币种。</w:t>
      </w:r>
    </w:p>
    <w:p w14:paraId="04263B43">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3、报价表必须加盖投标人公章且必须经法定代表人或被授权人签字或盖章。</w:t>
      </w:r>
    </w:p>
    <w:p w14:paraId="03FE5A9B">
      <w:pPr>
        <w:snapToGrid w:val="0"/>
        <w:spacing w:line="520" w:lineRule="exact"/>
        <w:ind w:firstLine="494" w:firstLineChars="206"/>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、报价出现前后不一致的，按照下列规定修正：</w:t>
      </w:r>
    </w:p>
    <w:p w14:paraId="78EEC755">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（1）投标文件中报价总表内容与投标文件技术响应中内容明细不一致的，以报价总表为准；</w:t>
      </w:r>
    </w:p>
    <w:p w14:paraId="6479C230">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（2）投标文件中涉及大写金额和小写金额不一致的，以大写金额为准；</w:t>
      </w:r>
    </w:p>
    <w:p w14:paraId="52160449">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（3）单价金额小数点或者百分比有明显错位的，以报价总表的总价为准，并修改单价；</w:t>
      </w:r>
    </w:p>
    <w:p w14:paraId="4CA5C61E">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w:t>
      </w:r>
    </w:p>
    <w:p w14:paraId="6E54DB91">
      <w:pPr>
        <w:snapToGrid w:val="0"/>
        <w:spacing w:line="520" w:lineRule="exact"/>
        <w:ind w:firstLine="494" w:firstLineChars="206"/>
        <w:rPr>
          <w:rFonts w:ascii="宋体" w:hAnsi="宋体" w:eastAsia="宋体" w:cs="宋体"/>
          <w:sz w:val="24"/>
          <w:szCs w:val="24"/>
        </w:rPr>
      </w:pPr>
      <w:r>
        <w:rPr>
          <w:rFonts w:hint="eastAsia" w:ascii="宋体" w:hAnsi="宋体" w:eastAsia="宋体" w:cs="宋体"/>
          <w:sz w:val="24"/>
          <w:szCs w:val="24"/>
        </w:rPr>
        <w:t>同时出现两种以上不一致的，按照前款规定的顺序修正。修正后的报价应当由投标人的法定代表人或其授权的代表签字确认后产生约束力，投标人不确认的，其投标无效。</w:t>
      </w:r>
    </w:p>
    <w:p w14:paraId="573EFB79">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5、本项目采用固定总价方式报价，投标报价应包括投标人完成本项目所产生的全部费用，本采购文件中另有规定的除外。</w:t>
      </w:r>
    </w:p>
    <w:p w14:paraId="2D2C0998">
      <w:pPr>
        <w:snapToGrid w:val="0"/>
        <w:spacing w:line="500" w:lineRule="exact"/>
        <w:ind w:firstLine="494" w:firstLineChars="206"/>
        <w:rPr>
          <w:rFonts w:ascii="宋体" w:hAnsi="宋体" w:eastAsia="宋体" w:cs="宋体"/>
          <w:sz w:val="24"/>
          <w:szCs w:val="24"/>
        </w:rPr>
      </w:pPr>
      <w:r>
        <w:rPr>
          <w:rFonts w:hint="eastAsia" w:ascii="宋体" w:hAnsi="宋体" w:eastAsia="宋体" w:cs="宋体"/>
          <w:sz w:val="24"/>
          <w:szCs w:val="24"/>
        </w:rPr>
        <w:t>6、一次报定的投标报价为成交价，同时，成交供应商的成交价在合同实施期间不因市场变化因素而变动。</w:t>
      </w:r>
    </w:p>
    <w:p w14:paraId="7E1AAC3A">
      <w:pPr>
        <w:snapToGrid w:val="0"/>
        <w:spacing w:line="500" w:lineRule="exact"/>
        <w:ind w:firstLine="494" w:firstLineChars="206"/>
        <w:rPr>
          <w:rFonts w:ascii="宋体" w:hAnsi="宋体" w:eastAsia="宋体" w:cs="宋体"/>
          <w:sz w:val="24"/>
          <w:szCs w:val="24"/>
        </w:rPr>
      </w:pPr>
      <w:r>
        <w:rPr>
          <w:rFonts w:hint="eastAsia" w:ascii="宋体" w:hAnsi="宋体" w:eastAsia="宋体" w:cs="宋体"/>
          <w:sz w:val="24"/>
          <w:szCs w:val="24"/>
        </w:rPr>
        <w:t>7、投标人应详细阅读采购文件的全部内容，根据采购项目需求，准确制定相关工作方案等，必须对本采购项目全部进行报价，如有漏项，视同对本项目的优惠。不按采购文件的要求提供响应文件，导致报价无效，按无效标处理。</w:t>
      </w:r>
    </w:p>
    <w:p w14:paraId="5D4AE6BC">
      <w:pPr>
        <w:spacing w:line="480" w:lineRule="exact"/>
        <w:ind w:firstLine="480" w:firstLineChars="200"/>
        <w:rPr>
          <w:rFonts w:ascii="等线" w:hAnsi="等线" w:eastAsia="等线" w:cs="宋体"/>
          <w:sz w:val="24"/>
          <w:szCs w:val="24"/>
        </w:rPr>
      </w:pPr>
      <w:r>
        <w:rPr>
          <w:rFonts w:hint="eastAsia" w:ascii="宋体" w:hAnsi="宋体" w:eastAsia="宋体" w:cs="宋体"/>
          <w:sz w:val="24"/>
          <w:szCs w:val="24"/>
        </w:rPr>
        <w:t>（5）采购文件规定的其他情形。</w:t>
      </w:r>
    </w:p>
    <w:p w14:paraId="215A9FE8">
      <w:pPr>
        <w:snapToGrid w:val="0"/>
        <w:spacing w:line="500" w:lineRule="exact"/>
        <w:ind w:firstLine="482" w:firstLineChars="200"/>
        <w:outlineLvl w:val="1"/>
        <w:rPr>
          <w:rFonts w:ascii="宋体" w:hAnsi="宋体" w:eastAsia="宋体" w:cs="宋体"/>
          <w:b/>
          <w:bCs/>
          <w:sz w:val="24"/>
          <w:szCs w:val="24"/>
          <w:lang w:val="zh-CN"/>
        </w:rPr>
      </w:pPr>
      <w:r>
        <w:rPr>
          <w:rFonts w:hint="eastAsia" w:ascii="宋体" w:hAnsi="宋体" w:eastAsia="宋体" w:cs="宋体"/>
          <w:b/>
          <w:bCs/>
          <w:sz w:val="24"/>
          <w:szCs w:val="24"/>
          <w:lang w:val="zh-CN"/>
        </w:rPr>
        <w:t>十一、投标文件递交时间及地址</w:t>
      </w:r>
    </w:p>
    <w:p w14:paraId="63D1C026">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投标人必须在规定的时间内将投标文件送达指定地点，</w:t>
      </w:r>
      <w:r>
        <w:rPr>
          <w:rFonts w:hint="eastAsia" w:ascii="宋体" w:hAnsi="宋体" w:eastAsia="宋体" w:cs="宋体"/>
          <w:sz w:val="24"/>
          <w:szCs w:val="24"/>
          <w:highlight w:val="yellow"/>
        </w:rPr>
        <w:t>医院</w:t>
      </w:r>
      <w:r>
        <w:rPr>
          <w:rFonts w:hint="eastAsia" w:ascii="宋体" w:hAnsi="宋体" w:eastAsia="宋体" w:cs="宋体"/>
          <w:sz w:val="24"/>
          <w:szCs w:val="24"/>
        </w:rPr>
        <w:t>拒绝接收在截止时间后递交的投标文件。</w:t>
      </w:r>
    </w:p>
    <w:p w14:paraId="7A76773B">
      <w:pPr>
        <w:snapToGrid w:val="0"/>
        <w:spacing w:line="500" w:lineRule="exact"/>
        <w:ind w:firstLine="482" w:firstLineChars="200"/>
        <w:outlineLvl w:val="1"/>
        <w:rPr>
          <w:rFonts w:ascii="宋体" w:hAnsi="宋体" w:eastAsia="宋体" w:cs="宋体"/>
          <w:b/>
          <w:bCs/>
          <w:sz w:val="24"/>
          <w:szCs w:val="24"/>
          <w:lang w:val="zh-CN"/>
        </w:rPr>
      </w:pPr>
      <w:r>
        <w:rPr>
          <w:rFonts w:hint="eastAsia" w:ascii="宋体" w:hAnsi="宋体" w:eastAsia="宋体" w:cs="宋体"/>
          <w:b/>
          <w:bCs/>
          <w:sz w:val="24"/>
          <w:szCs w:val="24"/>
          <w:lang w:val="zh-CN"/>
        </w:rPr>
        <w:t>十二、履约保证金</w:t>
      </w:r>
    </w:p>
    <w:p w14:paraId="0BD49A90">
      <w:pPr>
        <w:snapToGrid w:val="0"/>
        <w:spacing w:line="480" w:lineRule="exact"/>
        <w:ind w:firstLine="494" w:firstLineChars="206"/>
        <w:outlineLvl w:val="1"/>
        <w:rPr>
          <w:rFonts w:ascii="宋体" w:hAnsi="宋体" w:eastAsia="宋体" w:cs="宋体"/>
          <w:sz w:val="24"/>
          <w:szCs w:val="24"/>
        </w:rPr>
      </w:pPr>
      <w:r>
        <w:rPr>
          <w:rFonts w:hint="eastAsia" w:ascii="宋体" w:hAnsi="宋体" w:eastAsia="宋体" w:cs="宋体"/>
          <w:sz w:val="24"/>
          <w:szCs w:val="24"/>
        </w:rPr>
        <w:t>1、本项目成交后的履约保证金为中标价的</w:t>
      </w:r>
      <w:r>
        <w:rPr>
          <w:rFonts w:hint="eastAsia" w:ascii="宋体" w:hAnsi="宋体" w:eastAsia="宋体" w:cs="宋体"/>
          <w:sz w:val="24"/>
          <w:szCs w:val="24"/>
          <w:highlight w:val="yellow"/>
          <w:u w:val="single"/>
        </w:rPr>
        <w:t xml:space="preserve"> 5% </w:t>
      </w:r>
      <w:r>
        <w:rPr>
          <w:rFonts w:hint="eastAsia" w:ascii="宋体" w:hAnsi="宋体" w:eastAsia="宋体" w:cs="宋体"/>
          <w:sz w:val="24"/>
          <w:szCs w:val="24"/>
        </w:rPr>
        <w:t>。</w:t>
      </w:r>
    </w:p>
    <w:p w14:paraId="17248F76">
      <w:pPr>
        <w:snapToGrid w:val="0"/>
        <w:spacing w:line="480" w:lineRule="exact"/>
        <w:ind w:firstLine="494" w:firstLineChars="206"/>
        <w:outlineLvl w:val="1"/>
        <w:rPr>
          <w:rFonts w:ascii="宋体" w:hAnsi="宋体" w:eastAsia="宋体" w:cs="宋体"/>
          <w:sz w:val="24"/>
          <w:szCs w:val="24"/>
        </w:rPr>
      </w:pPr>
      <w:r>
        <w:rPr>
          <w:rFonts w:hint="eastAsia" w:ascii="宋体" w:hAnsi="宋体" w:eastAsia="宋体" w:cs="宋体"/>
          <w:sz w:val="24"/>
          <w:szCs w:val="24"/>
        </w:rPr>
        <w:t>2、成交供应商在领取中标通知书后应按规定将履</w:t>
      </w:r>
      <w:r>
        <w:rPr>
          <w:rFonts w:hint="eastAsia" w:ascii="宋体" w:hAnsi="宋体" w:eastAsia="宋体" w:cs="宋体"/>
          <w:sz w:val="24"/>
          <w:szCs w:val="24"/>
          <w:highlight w:val="yellow"/>
        </w:rPr>
        <w:t>约保证金应当以支票、汇票或者金融机构、担保机构出具的保函等非现金形式提交，</w:t>
      </w:r>
      <w:r>
        <w:rPr>
          <w:rFonts w:hint="eastAsia" w:ascii="宋体" w:hAnsi="宋体" w:eastAsia="宋体" w:cs="宋体"/>
          <w:sz w:val="24"/>
          <w:szCs w:val="24"/>
        </w:rPr>
        <w:t>成交供应商凭“中标通知书”和已经汇至医院账上的“履约保证金”凭证，</w:t>
      </w:r>
      <w:r>
        <w:rPr>
          <w:rFonts w:hint="eastAsia" w:ascii="宋体" w:hAnsi="宋体" w:eastAsia="宋体" w:cs="宋体"/>
          <w:sz w:val="24"/>
          <w:szCs w:val="24"/>
          <w:highlight w:val="yellow"/>
        </w:rPr>
        <w:t>3</w:t>
      </w:r>
      <w:r>
        <w:rPr>
          <w:rFonts w:ascii="宋体" w:hAnsi="宋体" w:eastAsia="宋体" w:cs="宋体"/>
          <w:sz w:val="24"/>
          <w:szCs w:val="24"/>
          <w:highlight w:val="yellow"/>
        </w:rPr>
        <w:t>0</w:t>
      </w:r>
      <w:r>
        <w:rPr>
          <w:rFonts w:hint="eastAsia" w:ascii="宋体" w:hAnsi="宋体" w:eastAsia="宋体" w:cs="宋体"/>
          <w:sz w:val="24"/>
          <w:szCs w:val="24"/>
        </w:rPr>
        <w:t>日内与医院签订合同。超期或未有协商，则视为自动放弃成交资格。</w:t>
      </w:r>
    </w:p>
    <w:p w14:paraId="0A8D5B1B">
      <w:pPr>
        <w:snapToGrid w:val="0"/>
        <w:spacing w:line="480" w:lineRule="exact"/>
        <w:ind w:firstLine="494" w:firstLineChars="206"/>
        <w:outlineLvl w:val="1"/>
        <w:rPr>
          <w:rFonts w:ascii="宋体" w:hAnsi="宋体" w:eastAsia="宋体" w:cs="宋体"/>
          <w:sz w:val="24"/>
          <w:szCs w:val="24"/>
        </w:rPr>
      </w:pPr>
      <w:r>
        <w:rPr>
          <w:rFonts w:hint="eastAsia" w:ascii="宋体" w:hAnsi="宋体" w:eastAsia="宋体" w:cs="宋体"/>
          <w:sz w:val="24"/>
          <w:szCs w:val="24"/>
        </w:rPr>
        <w:t>3、成交供应商在按要求保质保量的完成该项目合同并通过验收后，医院凭成交供应商提交的申请，一次性无息退还该合同项目的履约保证金。</w:t>
      </w:r>
    </w:p>
    <w:p w14:paraId="3F2C25EF">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4、由于成交供应商原因，在签订合同后出现不按合同履行的情况，采购单位有权将履约保证金作为违约金，全额不予退还，同时采购单位亦有权终止合同，成交供应商还须承担相应的法律赔偿责任。</w:t>
      </w:r>
    </w:p>
    <w:p w14:paraId="34C269BD">
      <w:pPr>
        <w:snapToGrid w:val="0"/>
        <w:spacing w:line="500" w:lineRule="exact"/>
        <w:ind w:firstLine="361" w:firstLineChars="150"/>
        <w:rPr>
          <w:rFonts w:ascii="宋体" w:hAnsi="宋体" w:eastAsia="宋体" w:cs="宋体"/>
          <w:b/>
          <w:bCs/>
          <w:sz w:val="24"/>
          <w:szCs w:val="24"/>
        </w:rPr>
      </w:pPr>
      <w:r>
        <w:rPr>
          <w:rFonts w:hint="eastAsia" w:ascii="宋体" w:hAnsi="宋体" w:eastAsia="宋体" w:cs="宋体"/>
          <w:b/>
          <w:bCs/>
          <w:sz w:val="24"/>
          <w:szCs w:val="24"/>
        </w:rPr>
        <w:t>十三、未尽事宜</w:t>
      </w:r>
    </w:p>
    <w:p w14:paraId="714440B4">
      <w:pPr>
        <w:spacing w:line="500" w:lineRule="exact"/>
        <w:ind w:firstLine="360" w:firstLineChars="150"/>
        <w:rPr>
          <w:rFonts w:ascii="宋体" w:hAnsi="宋体" w:eastAsia="宋体" w:cs="宋体"/>
          <w:sz w:val="24"/>
          <w:szCs w:val="24"/>
        </w:rPr>
      </w:pPr>
      <w:r>
        <w:rPr>
          <w:rFonts w:hint="eastAsia" w:ascii="宋体" w:hAnsi="宋体" w:eastAsia="宋体" w:cs="宋体"/>
          <w:sz w:val="24"/>
          <w:szCs w:val="24"/>
        </w:rPr>
        <w:t>参照《中华人民共和国政府采购法》及其他有关的法律法规的规定执行。</w:t>
      </w:r>
    </w:p>
    <w:p w14:paraId="4CA3638E">
      <w:pPr>
        <w:snapToGrid w:val="0"/>
        <w:spacing w:line="480" w:lineRule="exact"/>
        <w:ind w:firstLine="494" w:firstLineChars="206"/>
        <w:outlineLvl w:val="1"/>
        <w:rPr>
          <w:rFonts w:ascii="宋体" w:hAnsi="宋体" w:eastAsia="宋体" w:cs="宋体"/>
          <w:sz w:val="24"/>
          <w:szCs w:val="24"/>
        </w:rPr>
      </w:pPr>
    </w:p>
    <w:p w14:paraId="0283FF3D">
      <w:pPr>
        <w:rPr>
          <w:rFonts w:ascii="宋体" w:hAnsi="宋体" w:eastAsia="宋体" w:cs="宋体"/>
          <w:sz w:val="24"/>
          <w:szCs w:val="24"/>
        </w:rPr>
      </w:pPr>
      <w:r>
        <w:rPr>
          <w:rFonts w:hint="eastAsia" w:ascii="宋体" w:hAnsi="宋体" w:eastAsia="宋体" w:cs="宋体"/>
          <w:sz w:val="24"/>
          <w:szCs w:val="24"/>
        </w:rPr>
        <w:br w:type="page"/>
      </w:r>
    </w:p>
    <w:p w14:paraId="32F964C6">
      <w:pPr>
        <w:keepNext/>
        <w:jc w:val="center"/>
        <w:outlineLvl w:val="0"/>
        <w:rPr>
          <w:rFonts w:ascii="宋体" w:hAnsi="宋体" w:eastAsia="宋体" w:cs="宋体"/>
          <w:b/>
          <w:bCs/>
          <w:w w:val="80"/>
          <w:kern w:val="44"/>
          <w:sz w:val="44"/>
          <w:szCs w:val="44"/>
        </w:rPr>
      </w:pPr>
      <w:r>
        <w:rPr>
          <w:rFonts w:hint="eastAsia" w:ascii="宋体" w:hAnsi="宋体" w:eastAsia="宋体" w:cs="宋体"/>
          <w:b/>
          <w:bCs/>
          <w:w w:val="80"/>
          <w:kern w:val="44"/>
          <w:sz w:val="44"/>
          <w:szCs w:val="44"/>
        </w:rPr>
        <w:t>第三章 项目需求</w:t>
      </w:r>
    </w:p>
    <w:p w14:paraId="0EDCEA8F">
      <w:pPr>
        <w:tabs>
          <w:tab w:val="left" w:pos="1050"/>
          <w:tab w:val="right" w:leader="dot" w:pos="9402"/>
        </w:tabs>
        <w:spacing w:line="520" w:lineRule="exact"/>
        <w:outlineLvl w:val="0"/>
        <w:rPr>
          <w:rFonts w:ascii="宋体" w:hAnsi="宋体" w:eastAsia="宋体" w:cs="宋体"/>
          <w:b/>
          <w:bCs/>
          <w:sz w:val="24"/>
          <w:szCs w:val="24"/>
        </w:rPr>
      </w:pPr>
      <w:r>
        <w:rPr>
          <w:rFonts w:hint="eastAsia" w:ascii="宋体" w:hAnsi="宋体" w:eastAsia="宋体" w:cs="宋体"/>
          <w:b/>
          <w:bCs/>
          <w:sz w:val="24"/>
          <w:szCs w:val="24"/>
        </w:rPr>
        <w:t>一、维保服务要求</w:t>
      </w:r>
    </w:p>
    <w:p w14:paraId="71C4D389">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维保方每月应对医院消防控制室、消防水泵房的运作环境及火灾报警控制主机、感烟探测器、感温探测器、火灾手动报警按钮、信号回路、电源系统、消火栓、防火卷帘门、挡烟垂臂、警铃、声光报警器、控制模块、火灾显示盘、消防泵、喷淋泵、泵控制柜、洒水喷头、阀门等所有消控设施、设备进行2次全面检查和测试，确保处于正常完好的运作状态。</w:t>
      </w:r>
      <w:r>
        <w:rPr>
          <w:rFonts w:hint="eastAsia" w:ascii="宋体" w:hAnsi="宋体" w:eastAsia="宋体" w:cs="宋体"/>
          <w:b/>
          <w:bCs/>
          <w:sz w:val="24"/>
          <w:szCs w:val="24"/>
        </w:rPr>
        <w:t>另协助医院管理部门对隔离病房消防设施设备进行日常管理，每周进行一次安全检查，并做好检查记录及问题反馈单。如隔离病房消防设施设备故障超出原施工单位维保范围外，需中标单位及时进行维修。若维修过程中出现消防设施设备更换等需要采购设备的情况，需由采购单位进行采购，或经采购单位批准同意后，由中标单位进行代购。</w:t>
      </w:r>
    </w:p>
    <w:p w14:paraId="343FA17F">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2、当相关设备设施发生故障时，维保方接到通知后应在2小时内到达现场并排除故障，一般不得超过24小时。确因配件问题不能立即排除应及时通报业主方，并在双方认可的时间内尽快完成。</w:t>
      </w:r>
    </w:p>
    <w:p w14:paraId="49EEE1CD">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在维保过程中，发现有损坏的设施、设备，维保方应尽力修复。如因设备损坏，需要整体更换或零部件更换，维保方应及时告知业主方。未经业主方审批同意即擅作主张购买更换，所更换的材料费用均由维保方自付。</w:t>
      </w:r>
    </w:p>
    <w:p w14:paraId="19F53DA3">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4、维保方负责每年不少于2次对业主方消控人员及相关管理人员进行操作维修技术及应用管理等方面知识培训，并协助业主方处理好被维保系统运行中所产生的相关技术疑难问题，对日常运行进行技术指导。</w:t>
      </w:r>
    </w:p>
    <w:p w14:paraId="66C4A453">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5、在维保范围内的系统设施和设备，特别是控制室以外的被维保消防设施与设备，任何人不得擅自移动或拆毁。若需移动或拆毁，应经双方共同确认后方可实施。</w:t>
      </w:r>
    </w:p>
    <w:p w14:paraId="3C86854E">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省市主管部门、安全部门、消防部门及相关职能部门提出的消防方面的检查和整改意见以及业主方自查、考核中发现的问题，业主方应及时反馈给维保方，维保方应及时核实并予以整改。若未及时反馈或及时整改，应由贻误方承担责任和损失。</w:t>
      </w:r>
    </w:p>
    <w:p w14:paraId="45012E9B">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7、维保方每年根据业主方安排，派人现场配合做好消防演习工作，负责系统及相关设施设备器材的准备、调试及维保(控制、复位操作由消控室负责)。</w:t>
      </w:r>
    </w:p>
    <w:p w14:paraId="4DDC2F9B">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8、每月巡视一次并作详细巡查记录，所有巡查、检测、调试、维修、保养、更换、演习，全部有规范台账资料，每年装订一套交付业主方存档。</w:t>
      </w:r>
    </w:p>
    <w:p w14:paraId="7B1BDC9E">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9、采购结束后，双方根据本要求及说明商定合同及考核细则，共同履行。</w:t>
      </w:r>
    </w:p>
    <w:p w14:paraId="612AA39D">
      <w:pPr>
        <w:tabs>
          <w:tab w:val="left" w:pos="1050"/>
          <w:tab w:val="right" w:leader="dot" w:pos="9402"/>
        </w:tabs>
        <w:spacing w:line="520" w:lineRule="exact"/>
        <w:outlineLvl w:val="0"/>
        <w:rPr>
          <w:rFonts w:ascii="宋体" w:hAnsi="宋体" w:eastAsia="宋体" w:cs="宋体"/>
          <w:b/>
          <w:bCs/>
          <w:sz w:val="24"/>
          <w:szCs w:val="24"/>
        </w:rPr>
      </w:pPr>
      <w:r>
        <w:rPr>
          <w:rFonts w:hint="eastAsia" w:ascii="宋体" w:hAnsi="宋体" w:eastAsia="宋体" w:cs="宋体"/>
          <w:b/>
          <w:bCs/>
          <w:sz w:val="24"/>
          <w:szCs w:val="24"/>
        </w:rPr>
        <w:t>二、各消防系统故障排除、定期保养工作内容及流程要求</w:t>
      </w:r>
    </w:p>
    <w:p w14:paraId="0C4479B5">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1、火灾报警系统各设施故障排除工作流程</w:t>
      </w:r>
    </w:p>
    <w:p w14:paraId="5AF08ECB">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（1）火灾报警控制主机：先进行自检、排故。报警故障原因、消音、复位、火警信号、报警记忆、备用电池等功能测试一遍，然后再检查线路或其他方面的故障原因。</w:t>
      </w:r>
    </w:p>
    <w:p w14:paraId="1C090096">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（2）探测器检查：采用专用检测仪器对探测器作模拟火灾响应试验和故障报警试验，并检查环境情况，找出病因，然后做出排故方案。</w:t>
      </w:r>
    </w:p>
    <w:p w14:paraId="540C55F8">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（3）信号回路检查：采用专用检测，对回路电压、回路运作电阻、回路对地电阻进行测试(只针对回路所控制的范围)，找出病因，然后排除故障。</w:t>
      </w:r>
    </w:p>
    <w:p w14:paraId="3DA6EFBF">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（4）手动报警按钮检查：进行模拟火灾响应试验和故障报警试验，抽检5％查看损坏或环境情况。</w:t>
      </w:r>
    </w:p>
    <w:p w14:paraId="38F0E9C1">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（5）警铃检查：进行模拟火灾响应试验和故障报警试验，抽检5％查看损坏或环境情况。保养每半年不少于1次。</w:t>
      </w:r>
    </w:p>
    <w:p w14:paraId="0901D511">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（6）线路检查维护：对管线、接线箱（盒）等线路进行检查，对故障管线及时修复。</w:t>
      </w:r>
    </w:p>
    <w:p w14:paraId="437717AA">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（7）对应清洗的探测器，及时进行清洗保养。</w:t>
      </w:r>
    </w:p>
    <w:p w14:paraId="4290A8A3">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（8）声光报警器。</w:t>
      </w:r>
    </w:p>
    <w:p w14:paraId="32A76695">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2、消火栓灭火系统</w:t>
      </w:r>
    </w:p>
    <w:p w14:paraId="59DA8BD2">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（1）每月检查消防泵房的工作环境、消防栓泵、稳压设备、消火栓泵控制柜、管网、阀门、水泵接合器、室内消火栓、储水设施等是否处于正常完好状态。</w:t>
      </w:r>
    </w:p>
    <w:p w14:paraId="4F0BB8A8">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（2）消防泵房现场手动启动、停止消火栓主、备泵及稳压泵，并在消防控制中心观察其运行、停止反馈信号，定期进行全样检测。</w:t>
      </w:r>
    </w:p>
    <w:p w14:paraId="4FD064A9">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（3）消防控制中心远程手动启动、停止消火栓主、备泵及稳压泵，并在消防控制中心观察其运行、停止反馈信号，定期进行全样检测。</w:t>
      </w:r>
    </w:p>
    <w:p w14:paraId="0B401C6F">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（4）利用消火栓箱内的消火栓按钮远程联运启动、停止消火栓主、备泵及稳压泵，并在消防控制中心观察其运行、停止反馈信号，定期进行全样检测。</w:t>
      </w:r>
    </w:p>
    <w:p w14:paraId="20967712">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（5）用最不利点消火栓放水启动消火栓稳压泵，检查管网压力和水质，定期进行全样检测。并对水质进行维护处理，确保符合要求。</w:t>
      </w:r>
    </w:p>
    <w:p w14:paraId="5652C0B5">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（6）检查室内消火栓箱及内部配件情况，每月按安装总量30％抽样，定期进行全样检测、维护、保养。</w:t>
      </w:r>
    </w:p>
    <w:p w14:paraId="64B633ED">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（7）检查室外消火栓安装、外观是否完好，定期进行全样检测。</w:t>
      </w:r>
    </w:p>
    <w:p w14:paraId="47C08499">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3、喷淋灭火系统</w:t>
      </w:r>
    </w:p>
    <w:p w14:paraId="696BDB77">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（1）每月检查消防泵房的工作环境、喷淋泵、稳压设备、喷淋泵控制柜、管网、阀门、水泵接合器、湿式报警阀、水流指示器、储水设施等是否处于正常完好状态。</w:t>
      </w:r>
    </w:p>
    <w:p w14:paraId="7AD0589B">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（2）喷淋泵房现场手动启动，停止喷淋主、备泵及稳压泵，并在消防控制中心观察其运行、停止反馈信号，定期进行全样检测。</w:t>
      </w:r>
    </w:p>
    <w:p w14:paraId="65A44D15">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（3）消防控制中心远程手动启动、停止喷淋主、备泵及稳压泵，并在消防控制中心观察其运行、停止反馈信号，定期进行全样检测。</w:t>
      </w:r>
    </w:p>
    <w:p w14:paraId="42B2C3A6">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（4）利用现场喷淋末端放水装置放水动作压力开关启动喷淋泵，检查其运行状况及管网压力和消防控制中心是否收到报警信号。</w:t>
      </w:r>
    </w:p>
    <w:p w14:paraId="03461475">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（5）用最不利点喷淋末端放水动喷淋稳压泵，检查管网压力和水质，定期进行全样检测。</w:t>
      </w:r>
    </w:p>
    <w:p w14:paraId="4F9EAA80">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（6）检查室内喷淋管网及配件情况，每月按安装总量30％抽样，定期进行全样检测。</w:t>
      </w:r>
    </w:p>
    <w:p w14:paraId="4DB2510C">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（7）对室内喷淋头、信号碟阀、水流指示器、湿式报警阀、稳压阀安装，外观、工作状况定期进行全样检测。</w:t>
      </w:r>
    </w:p>
    <w:p w14:paraId="0C5407E1">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4、消防联动控制系统</w:t>
      </w:r>
    </w:p>
    <w:p w14:paraId="3A0B4FC2">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（1）每月检查消防联动控制台上的各种控制按钮、信号灯、消防电源及切换设备是否处于正常完好状态。</w:t>
      </w:r>
    </w:p>
    <w:p w14:paraId="49A2BD0E">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（2）每月试验消防电梯的迫降功能是否正常，以及被联运的其它消防设施功能是否正常。</w:t>
      </w:r>
    </w:p>
    <w:p w14:paraId="5E4D42CB">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（3）每月试验消防电源的末端切换功能是否正常。</w:t>
      </w:r>
    </w:p>
    <w:p w14:paraId="5BFB4727">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（4）每月进行切断非消防电源切断试验。</w:t>
      </w:r>
    </w:p>
    <w:p w14:paraId="54D72D23">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5、疏散指示系统、应急照明系统</w:t>
      </w:r>
    </w:p>
    <w:p w14:paraId="4F4E045B">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（1）每月检查疏散指示灯、应急照明等的使用情况，发现问题及时处理。</w:t>
      </w:r>
    </w:p>
    <w:p w14:paraId="29054A9E">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（2）在实验紧急情况下，应急照明及疏散指示系统工作是否正常。</w:t>
      </w:r>
    </w:p>
    <w:p w14:paraId="22944E6C">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6、移动灭火设备设施</w:t>
      </w:r>
    </w:p>
    <w:p w14:paraId="22BDE911">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（1）每月检查各种移动灭火器材及其专用存储设施（含灭火器、灭火器箱、消防沙桶、消防室内配备设施）。</w:t>
      </w:r>
    </w:p>
    <w:p w14:paraId="63F0842A">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（2）在试验紧急情况下，确保各种移动灭火器材能及时有效的投入正常工作中。</w:t>
      </w:r>
    </w:p>
    <w:p w14:paraId="285D348F">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7、防排烟系统</w:t>
      </w:r>
    </w:p>
    <w:p w14:paraId="6BE4BECC">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（1）每月对排烟风机、正压风机、补风机的工作状况进行检查，对风机的控制电源进行检查。对所有进、出风口及过滤网进行防尘、保养。</w:t>
      </w:r>
    </w:p>
    <w:p w14:paraId="1D28832F">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（2）对风机现场手动和消控中心远程启、停风机测试。</w:t>
      </w:r>
    </w:p>
    <w:p w14:paraId="501BB2FE">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（3）对现场各排烟阀、正压送风阀、防火阀进行外观及状态检查，保护其手动启闭灵活，无机械损伤和遮挡。</w:t>
      </w:r>
    </w:p>
    <w:p w14:paraId="4D3B2FF6">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（4）对防排烟系统做自动联动测试及相关区域的联动动作情况进行检查。</w:t>
      </w:r>
    </w:p>
    <w:p w14:paraId="5B727D32">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8、防火分隔系统</w:t>
      </w:r>
    </w:p>
    <w:p w14:paraId="2FA712FD">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（1）对大楼各楼层或区域的防火门、防火卷帘门周围进行检查，如有障碍物应立即清理。</w:t>
      </w:r>
    </w:p>
    <w:p w14:paraId="6F0DF4F1">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（2）对大楼各楼层或区域的防火卷帘门手动或消防控制中心远程控制的方式进行测试，保证其运行正常。</w:t>
      </w:r>
    </w:p>
    <w:p w14:paraId="59D01FD5">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9、消防通讯事故广播系统</w:t>
      </w:r>
    </w:p>
    <w:p w14:paraId="133ACB31">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（1）对各层的消防插孔电话进行检查，要求安装牢固，通话清昕，对消防控制中心的广播录放盘、广播功率放大器等播音设备进行测试、维护，对各楼层的消防广播进行外观检查。</w:t>
      </w:r>
    </w:p>
    <w:p w14:paraId="042FEB6A">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（2）每月抽取不少于总数的30％的消防插孔电话、对讲电话进行功能测试，抽取不少于总数的30％的消防广播进行手动选层控制试验或自动切换功能测试。</w:t>
      </w:r>
    </w:p>
    <w:p w14:paraId="4221C14A">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10、对上述九大系统中涉及的所有水泵、闸阀、计量表具、各类接插卡口每半年至少保养一次，确保运行正常。需要年检的计量表具必须按期年检取得合格证件。</w:t>
      </w:r>
    </w:p>
    <w:p w14:paraId="589FE3C9">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11、维保方在各次巡查、检测、调试、保养中发现的所有问题，维保方必须及时予以维修解决，确保系统正常运行。</w:t>
      </w:r>
    </w:p>
    <w:p w14:paraId="44ED121D">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12、以上各项检测、修复、保养工作，在每次工作开始前要通知业主方，结束后，书面报告（表格式）业主方本次服务内容、耗材、及使用相关注忌事项。同时做好各项台账资料。</w:t>
      </w:r>
    </w:p>
    <w:p w14:paraId="4834D2E7">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3</w:t>
      </w:r>
      <w:r>
        <w:rPr>
          <w:rFonts w:hint="eastAsia" w:ascii="宋体" w:hAnsi="宋体" w:eastAsia="宋体" w:cs="宋体"/>
          <w:sz w:val="24"/>
          <w:szCs w:val="24"/>
        </w:rPr>
        <w:t>、附设备设施清单：</w:t>
      </w:r>
    </w:p>
    <w:p w14:paraId="2A504FC3">
      <w:pPr>
        <w:pStyle w:val="23"/>
        <w:spacing w:after="0"/>
        <w:ind w:left="0" w:leftChars="0" w:firstLine="0" w:firstLineChars="0"/>
        <w:rPr>
          <w:rFonts w:ascii="宋体" w:hAnsi="宋体" w:eastAsia="宋体" w:cs="宋体"/>
          <w:sz w:val="24"/>
        </w:rPr>
      </w:pPr>
    </w:p>
    <w:p w14:paraId="146D89C7">
      <w:pPr>
        <w:pStyle w:val="23"/>
        <w:spacing w:after="0"/>
        <w:ind w:left="0" w:leftChars="0" w:firstLine="0" w:firstLineChars="0"/>
        <w:jc w:val="center"/>
      </w:pPr>
      <w:r>
        <w:rPr>
          <w:rFonts w:hint="eastAsia" w:ascii="宋体" w:hAnsi="宋体" w:eastAsia="宋体" w:cs="宋体"/>
          <w:sz w:val="24"/>
        </w:rPr>
        <w:t>妇幼保健院消防设备清单</w:t>
      </w:r>
    </w:p>
    <w:tbl>
      <w:tblPr>
        <w:tblStyle w:val="2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222"/>
        <w:gridCol w:w="2540"/>
        <w:gridCol w:w="1269"/>
        <w:gridCol w:w="1427"/>
        <w:gridCol w:w="1040"/>
      </w:tblGrid>
      <w:tr w14:paraId="1CAB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A00F9C6">
            <w:pPr>
              <w:rPr>
                <w:rFonts w:ascii="宋体" w:hAnsi="宋体" w:eastAsia="宋体" w:cs="宋体"/>
                <w:sz w:val="24"/>
                <w:szCs w:val="24"/>
              </w:rPr>
            </w:pPr>
            <w:r>
              <w:rPr>
                <w:rFonts w:hint="eastAsia" w:ascii="宋体" w:hAnsi="宋体" w:eastAsia="宋体" w:cs="宋体"/>
                <w:sz w:val="24"/>
                <w:szCs w:val="24"/>
              </w:rPr>
              <w:t>序号</w:t>
            </w:r>
          </w:p>
        </w:tc>
        <w:tc>
          <w:tcPr>
            <w:tcW w:w="1196" w:type="pct"/>
          </w:tcPr>
          <w:p w14:paraId="401EFDAC">
            <w:pPr>
              <w:rPr>
                <w:rFonts w:ascii="宋体" w:hAnsi="宋体" w:eastAsia="宋体" w:cs="宋体"/>
                <w:sz w:val="24"/>
                <w:szCs w:val="24"/>
              </w:rPr>
            </w:pPr>
            <w:r>
              <w:rPr>
                <w:rFonts w:hint="eastAsia" w:ascii="宋体" w:hAnsi="宋体" w:eastAsia="宋体" w:cs="宋体"/>
                <w:sz w:val="24"/>
                <w:szCs w:val="24"/>
              </w:rPr>
              <w:t>名称</w:t>
            </w:r>
          </w:p>
        </w:tc>
        <w:tc>
          <w:tcPr>
            <w:tcW w:w="1367" w:type="pct"/>
          </w:tcPr>
          <w:p w14:paraId="19653112">
            <w:pPr>
              <w:rPr>
                <w:rFonts w:ascii="宋体" w:hAnsi="宋体" w:eastAsia="宋体" w:cs="宋体"/>
                <w:sz w:val="24"/>
                <w:szCs w:val="24"/>
              </w:rPr>
            </w:pPr>
            <w:r>
              <w:rPr>
                <w:rFonts w:hint="eastAsia" w:ascii="宋体" w:hAnsi="宋体" w:eastAsia="宋体" w:cs="宋体"/>
                <w:sz w:val="24"/>
                <w:szCs w:val="24"/>
              </w:rPr>
              <w:t>规格</w:t>
            </w:r>
          </w:p>
        </w:tc>
        <w:tc>
          <w:tcPr>
            <w:tcW w:w="683" w:type="pct"/>
          </w:tcPr>
          <w:p w14:paraId="48338F93">
            <w:pPr>
              <w:rPr>
                <w:rFonts w:ascii="宋体" w:hAnsi="宋体" w:eastAsia="宋体" w:cs="宋体"/>
                <w:sz w:val="24"/>
                <w:szCs w:val="24"/>
              </w:rPr>
            </w:pPr>
            <w:r>
              <w:rPr>
                <w:rFonts w:hint="eastAsia" w:ascii="宋体" w:hAnsi="宋体" w:eastAsia="宋体" w:cs="宋体"/>
                <w:sz w:val="24"/>
                <w:szCs w:val="24"/>
              </w:rPr>
              <w:t>单位</w:t>
            </w:r>
          </w:p>
        </w:tc>
        <w:tc>
          <w:tcPr>
            <w:tcW w:w="768" w:type="pct"/>
          </w:tcPr>
          <w:p w14:paraId="15438DC6">
            <w:pPr>
              <w:rPr>
                <w:rFonts w:ascii="宋体" w:hAnsi="宋体" w:eastAsia="宋体" w:cs="宋体"/>
                <w:sz w:val="24"/>
                <w:szCs w:val="24"/>
              </w:rPr>
            </w:pPr>
            <w:r>
              <w:rPr>
                <w:rFonts w:hint="eastAsia" w:ascii="宋体" w:hAnsi="宋体" w:eastAsia="宋体" w:cs="宋体"/>
                <w:sz w:val="24"/>
                <w:szCs w:val="24"/>
              </w:rPr>
              <w:t>数量</w:t>
            </w:r>
          </w:p>
        </w:tc>
        <w:tc>
          <w:tcPr>
            <w:tcW w:w="560" w:type="pct"/>
          </w:tcPr>
          <w:p w14:paraId="3C113E36">
            <w:pPr>
              <w:rPr>
                <w:rFonts w:ascii="宋体" w:hAnsi="宋体" w:eastAsia="宋体" w:cs="宋体"/>
                <w:sz w:val="24"/>
                <w:szCs w:val="24"/>
              </w:rPr>
            </w:pPr>
            <w:r>
              <w:rPr>
                <w:rFonts w:hint="eastAsia" w:ascii="宋体" w:hAnsi="宋体" w:eastAsia="宋体" w:cs="宋体"/>
                <w:sz w:val="24"/>
                <w:szCs w:val="24"/>
              </w:rPr>
              <w:t>备注</w:t>
            </w:r>
          </w:p>
        </w:tc>
      </w:tr>
      <w:tr w14:paraId="07F5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B68C538">
            <w:pPr>
              <w:rPr>
                <w:rFonts w:ascii="宋体" w:hAnsi="宋体" w:eastAsia="宋体" w:cs="宋体"/>
                <w:sz w:val="24"/>
                <w:szCs w:val="24"/>
              </w:rPr>
            </w:pPr>
            <w:r>
              <w:rPr>
                <w:rFonts w:hint="eastAsia" w:ascii="宋体" w:hAnsi="宋体" w:eastAsia="宋体" w:cs="宋体"/>
                <w:sz w:val="24"/>
                <w:szCs w:val="24"/>
              </w:rPr>
              <w:t>1</w:t>
            </w:r>
          </w:p>
        </w:tc>
        <w:tc>
          <w:tcPr>
            <w:tcW w:w="1196" w:type="pct"/>
          </w:tcPr>
          <w:p w14:paraId="5C5B3D59">
            <w:pPr>
              <w:rPr>
                <w:rFonts w:ascii="宋体" w:hAnsi="宋体" w:eastAsia="宋体" w:cs="宋体"/>
                <w:sz w:val="24"/>
                <w:szCs w:val="24"/>
              </w:rPr>
            </w:pPr>
            <w:r>
              <w:rPr>
                <w:rFonts w:hint="eastAsia" w:ascii="宋体" w:hAnsi="宋体" w:eastAsia="宋体" w:cs="宋体"/>
                <w:sz w:val="24"/>
                <w:szCs w:val="24"/>
              </w:rPr>
              <w:t>湿式报警阀</w:t>
            </w:r>
          </w:p>
        </w:tc>
        <w:tc>
          <w:tcPr>
            <w:tcW w:w="1367" w:type="pct"/>
          </w:tcPr>
          <w:p w14:paraId="3C7AAE12">
            <w:pPr>
              <w:rPr>
                <w:rFonts w:ascii="宋体" w:hAnsi="宋体" w:eastAsia="宋体" w:cs="宋体"/>
                <w:sz w:val="24"/>
                <w:szCs w:val="24"/>
              </w:rPr>
            </w:pPr>
            <w:r>
              <w:rPr>
                <w:rFonts w:hint="eastAsia" w:ascii="宋体" w:hAnsi="宋体" w:eastAsia="宋体" w:cs="宋体"/>
                <w:sz w:val="24"/>
                <w:szCs w:val="24"/>
              </w:rPr>
              <w:t>DN150</w:t>
            </w:r>
          </w:p>
        </w:tc>
        <w:tc>
          <w:tcPr>
            <w:tcW w:w="683" w:type="pct"/>
          </w:tcPr>
          <w:p w14:paraId="28688F08">
            <w:pPr>
              <w:rPr>
                <w:rFonts w:ascii="宋体" w:hAnsi="宋体" w:eastAsia="宋体" w:cs="宋体"/>
                <w:sz w:val="24"/>
                <w:szCs w:val="24"/>
              </w:rPr>
            </w:pPr>
            <w:r>
              <w:rPr>
                <w:rFonts w:hint="eastAsia" w:ascii="宋体" w:hAnsi="宋体" w:eastAsia="宋体" w:cs="宋体"/>
                <w:sz w:val="24"/>
                <w:szCs w:val="24"/>
              </w:rPr>
              <w:t>套</w:t>
            </w:r>
          </w:p>
        </w:tc>
        <w:tc>
          <w:tcPr>
            <w:tcW w:w="768" w:type="pct"/>
          </w:tcPr>
          <w:p w14:paraId="396CF04A">
            <w:pPr>
              <w:rPr>
                <w:rFonts w:ascii="宋体" w:hAnsi="宋体" w:eastAsia="宋体" w:cs="宋体"/>
                <w:sz w:val="24"/>
                <w:szCs w:val="24"/>
              </w:rPr>
            </w:pPr>
            <w:r>
              <w:rPr>
                <w:rFonts w:hint="eastAsia" w:ascii="宋体" w:hAnsi="宋体" w:eastAsia="宋体" w:cs="宋体"/>
                <w:sz w:val="24"/>
                <w:szCs w:val="24"/>
              </w:rPr>
              <w:t>10</w:t>
            </w:r>
          </w:p>
        </w:tc>
        <w:tc>
          <w:tcPr>
            <w:tcW w:w="560" w:type="pct"/>
          </w:tcPr>
          <w:p w14:paraId="5B59B1DD">
            <w:pPr>
              <w:rPr>
                <w:rFonts w:ascii="宋体" w:hAnsi="宋体" w:eastAsia="宋体" w:cs="宋体"/>
                <w:sz w:val="24"/>
                <w:szCs w:val="24"/>
              </w:rPr>
            </w:pPr>
          </w:p>
        </w:tc>
      </w:tr>
      <w:tr w14:paraId="0E7C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11531DB">
            <w:pPr>
              <w:rPr>
                <w:rFonts w:ascii="宋体" w:hAnsi="宋体" w:eastAsia="宋体" w:cs="宋体"/>
                <w:sz w:val="24"/>
                <w:szCs w:val="24"/>
              </w:rPr>
            </w:pPr>
            <w:r>
              <w:rPr>
                <w:rFonts w:hint="eastAsia" w:ascii="宋体" w:hAnsi="宋体" w:eastAsia="宋体" w:cs="宋体"/>
                <w:sz w:val="24"/>
                <w:szCs w:val="24"/>
              </w:rPr>
              <w:t>2</w:t>
            </w:r>
          </w:p>
        </w:tc>
        <w:tc>
          <w:tcPr>
            <w:tcW w:w="1196" w:type="pct"/>
          </w:tcPr>
          <w:p w14:paraId="3AC428B1">
            <w:pPr>
              <w:rPr>
                <w:rFonts w:ascii="宋体" w:hAnsi="宋体" w:eastAsia="宋体" w:cs="宋体"/>
                <w:sz w:val="24"/>
                <w:szCs w:val="24"/>
              </w:rPr>
            </w:pPr>
            <w:r>
              <w:rPr>
                <w:rFonts w:hint="eastAsia" w:ascii="宋体" w:hAnsi="宋体" w:eastAsia="宋体" w:cs="宋体"/>
                <w:sz w:val="24"/>
                <w:szCs w:val="24"/>
              </w:rPr>
              <w:t>减压阀</w:t>
            </w:r>
          </w:p>
        </w:tc>
        <w:tc>
          <w:tcPr>
            <w:tcW w:w="1367" w:type="pct"/>
          </w:tcPr>
          <w:p w14:paraId="596AD8C2">
            <w:pPr>
              <w:rPr>
                <w:rFonts w:ascii="宋体" w:hAnsi="宋体" w:eastAsia="宋体" w:cs="宋体"/>
                <w:sz w:val="24"/>
                <w:szCs w:val="24"/>
              </w:rPr>
            </w:pPr>
            <w:r>
              <w:rPr>
                <w:rFonts w:hint="eastAsia" w:ascii="宋体" w:hAnsi="宋体" w:eastAsia="宋体" w:cs="宋体"/>
                <w:sz w:val="24"/>
                <w:szCs w:val="24"/>
              </w:rPr>
              <w:t>DN150</w:t>
            </w:r>
          </w:p>
        </w:tc>
        <w:tc>
          <w:tcPr>
            <w:tcW w:w="683" w:type="pct"/>
          </w:tcPr>
          <w:p w14:paraId="1CB667C9">
            <w:pPr>
              <w:rPr>
                <w:rFonts w:ascii="宋体" w:hAnsi="宋体" w:eastAsia="宋体" w:cs="宋体"/>
                <w:sz w:val="24"/>
                <w:szCs w:val="24"/>
              </w:rPr>
            </w:pPr>
            <w:r>
              <w:rPr>
                <w:rFonts w:hint="eastAsia" w:ascii="宋体" w:hAnsi="宋体" w:eastAsia="宋体" w:cs="宋体"/>
                <w:sz w:val="24"/>
                <w:szCs w:val="24"/>
              </w:rPr>
              <w:t>套</w:t>
            </w:r>
          </w:p>
        </w:tc>
        <w:tc>
          <w:tcPr>
            <w:tcW w:w="768" w:type="pct"/>
          </w:tcPr>
          <w:p w14:paraId="25B9CAD9">
            <w:pPr>
              <w:rPr>
                <w:rFonts w:ascii="宋体" w:hAnsi="宋体" w:eastAsia="宋体" w:cs="宋体"/>
                <w:sz w:val="24"/>
                <w:szCs w:val="24"/>
              </w:rPr>
            </w:pPr>
            <w:r>
              <w:rPr>
                <w:rFonts w:hint="eastAsia" w:ascii="宋体" w:hAnsi="宋体" w:eastAsia="宋体" w:cs="宋体"/>
                <w:sz w:val="24"/>
                <w:szCs w:val="24"/>
              </w:rPr>
              <w:t>2</w:t>
            </w:r>
          </w:p>
        </w:tc>
        <w:tc>
          <w:tcPr>
            <w:tcW w:w="560" w:type="pct"/>
          </w:tcPr>
          <w:p w14:paraId="03F2603D">
            <w:pPr>
              <w:rPr>
                <w:rFonts w:ascii="宋体" w:hAnsi="宋体" w:eastAsia="宋体" w:cs="宋体"/>
                <w:sz w:val="24"/>
                <w:szCs w:val="24"/>
              </w:rPr>
            </w:pPr>
          </w:p>
        </w:tc>
      </w:tr>
      <w:tr w14:paraId="7B72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C4FF658">
            <w:pPr>
              <w:rPr>
                <w:rFonts w:ascii="宋体" w:hAnsi="宋体" w:eastAsia="宋体" w:cs="宋体"/>
                <w:sz w:val="24"/>
                <w:szCs w:val="24"/>
              </w:rPr>
            </w:pPr>
            <w:r>
              <w:rPr>
                <w:rFonts w:hint="eastAsia" w:ascii="宋体" w:hAnsi="宋体" w:eastAsia="宋体" w:cs="宋体"/>
                <w:sz w:val="24"/>
                <w:szCs w:val="24"/>
              </w:rPr>
              <w:t>3</w:t>
            </w:r>
          </w:p>
        </w:tc>
        <w:tc>
          <w:tcPr>
            <w:tcW w:w="1196" w:type="pct"/>
          </w:tcPr>
          <w:p w14:paraId="798ABF9F">
            <w:pPr>
              <w:rPr>
                <w:rFonts w:ascii="宋体" w:hAnsi="宋体" w:eastAsia="宋体" w:cs="宋体"/>
                <w:sz w:val="24"/>
                <w:szCs w:val="24"/>
              </w:rPr>
            </w:pPr>
            <w:r>
              <w:rPr>
                <w:rFonts w:hint="eastAsia" w:ascii="宋体" w:hAnsi="宋体" w:eastAsia="宋体" w:cs="宋体"/>
                <w:sz w:val="24"/>
                <w:szCs w:val="24"/>
              </w:rPr>
              <w:t>喷淋头</w:t>
            </w:r>
          </w:p>
        </w:tc>
        <w:tc>
          <w:tcPr>
            <w:tcW w:w="1367" w:type="pct"/>
          </w:tcPr>
          <w:p w14:paraId="68182207">
            <w:pPr>
              <w:rPr>
                <w:rFonts w:ascii="宋体" w:hAnsi="宋体" w:eastAsia="宋体" w:cs="宋体"/>
                <w:sz w:val="24"/>
                <w:szCs w:val="24"/>
              </w:rPr>
            </w:pPr>
          </w:p>
        </w:tc>
        <w:tc>
          <w:tcPr>
            <w:tcW w:w="683" w:type="pct"/>
          </w:tcPr>
          <w:p w14:paraId="31E39627">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7C989200">
            <w:pPr>
              <w:rPr>
                <w:rFonts w:ascii="宋体" w:hAnsi="宋体" w:eastAsia="宋体" w:cs="宋体"/>
                <w:sz w:val="24"/>
                <w:szCs w:val="24"/>
              </w:rPr>
            </w:pPr>
            <w:r>
              <w:rPr>
                <w:rFonts w:hint="eastAsia" w:ascii="宋体" w:hAnsi="宋体" w:eastAsia="宋体" w:cs="宋体"/>
                <w:sz w:val="24"/>
                <w:szCs w:val="24"/>
              </w:rPr>
              <w:t>6500</w:t>
            </w:r>
          </w:p>
        </w:tc>
        <w:tc>
          <w:tcPr>
            <w:tcW w:w="560" w:type="pct"/>
          </w:tcPr>
          <w:p w14:paraId="2408E414">
            <w:pPr>
              <w:rPr>
                <w:rFonts w:ascii="宋体" w:hAnsi="宋体" w:eastAsia="宋体" w:cs="宋体"/>
                <w:sz w:val="24"/>
                <w:szCs w:val="24"/>
              </w:rPr>
            </w:pPr>
          </w:p>
        </w:tc>
      </w:tr>
      <w:tr w14:paraId="1C82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0CB74E4D">
            <w:pPr>
              <w:rPr>
                <w:rFonts w:ascii="宋体" w:hAnsi="宋体" w:eastAsia="宋体" w:cs="宋体"/>
                <w:sz w:val="24"/>
                <w:szCs w:val="24"/>
              </w:rPr>
            </w:pPr>
            <w:r>
              <w:rPr>
                <w:rFonts w:hint="eastAsia" w:ascii="宋体" w:hAnsi="宋体" w:eastAsia="宋体" w:cs="宋体"/>
                <w:sz w:val="24"/>
                <w:szCs w:val="24"/>
              </w:rPr>
              <w:t>4</w:t>
            </w:r>
          </w:p>
        </w:tc>
        <w:tc>
          <w:tcPr>
            <w:tcW w:w="1196" w:type="pct"/>
          </w:tcPr>
          <w:p w14:paraId="58E7656C">
            <w:pPr>
              <w:rPr>
                <w:rFonts w:ascii="宋体" w:hAnsi="宋体" w:eastAsia="宋体" w:cs="宋体"/>
                <w:sz w:val="24"/>
                <w:szCs w:val="24"/>
              </w:rPr>
            </w:pPr>
            <w:r>
              <w:rPr>
                <w:rFonts w:hint="eastAsia" w:ascii="宋体" w:hAnsi="宋体" w:eastAsia="宋体" w:cs="宋体"/>
                <w:sz w:val="24"/>
                <w:szCs w:val="24"/>
              </w:rPr>
              <w:t>烟感</w:t>
            </w:r>
          </w:p>
        </w:tc>
        <w:tc>
          <w:tcPr>
            <w:tcW w:w="1367" w:type="pct"/>
          </w:tcPr>
          <w:p w14:paraId="6E72BBF2">
            <w:pPr>
              <w:rPr>
                <w:rFonts w:ascii="宋体" w:hAnsi="宋体" w:eastAsia="宋体" w:cs="宋体"/>
                <w:sz w:val="24"/>
                <w:szCs w:val="24"/>
              </w:rPr>
            </w:pPr>
            <w:r>
              <w:rPr>
                <w:rFonts w:hint="eastAsia" w:ascii="宋体" w:hAnsi="宋体" w:eastAsia="宋体" w:cs="宋体"/>
                <w:sz w:val="24"/>
                <w:szCs w:val="24"/>
              </w:rPr>
              <w:t>JTY-GD-JBF-3100</w:t>
            </w:r>
          </w:p>
        </w:tc>
        <w:tc>
          <w:tcPr>
            <w:tcW w:w="683" w:type="pct"/>
          </w:tcPr>
          <w:p w14:paraId="5062F689">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3B825FDA">
            <w:pPr>
              <w:rPr>
                <w:rFonts w:ascii="宋体" w:hAnsi="宋体" w:eastAsia="宋体" w:cs="宋体"/>
                <w:sz w:val="24"/>
                <w:szCs w:val="24"/>
              </w:rPr>
            </w:pPr>
            <w:r>
              <w:rPr>
                <w:rFonts w:hint="eastAsia" w:ascii="宋体" w:hAnsi="宋体" w:eastAsia="宋体" w:cs="宋体"/>
                <w:sz w:val="24"/>
                <w:szCs w:val="24"/>
              </w:rPr>
              <w:t>2302</w:t>
            </w:r>
          </w:p>
        </w:tc>
        <w:tc>
          <w:tcPr>
            <w:tcW w:w="560" w:type="pct"/>
          </w:tcPr>
          <w:p w14:paraId="63CE0D9D">
            <w:pPr>
              <w:rPr>
                <w:rFonts w:ascii="宋体" w:hAnsi="宋体" w:eastAsia="宋体" w:cs="宋体"/>
                <w:sz w:val="24"/>
                <w:szCs w:val="24"/>
              </w:rPr>
            </w:pPr>
          </w:p>
        </w:tc>
      </w:tr>
      <w:tr w14:paraId="2912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75151C5">
            <w:pPr>
              <w:rPr>
                <w:rFonts w:ascii="宋体" w:hAnsi="宋体" w:eastAsia="宋体" w:cs="宋体"/>
                <w:sz w:val="24"/>
                <w:szCs w:val="24"/>
              </w:rPr>
            </w:pPr>
            <w:r>
              <w:rPr>
                <w:rFonts w:hint="eastAsia" w:ascii="宋体" w:hAnsi="宋体" w:eastAsia="宋体" w:cs="宋体"/>
                <w:sz w:val="24"/>
                <w:szCs w:val="24"/>
              </w:rPr>
              <w:t>5</w:t>
            </w:r>
          </w:p>
        </w:tc>
        <w:tc>
          <w:tcPr>
            <w:tcW w:w="1196" w:type="pct"/>
          </w:tcPr>
          <w:p w14:paraId="500F6A25">
            <w:pPr>
              <w:rPr>
                <w:rFonts w:ascii="宋体" w:hAnsi="宋体" w:eastAsia="宋体" w:cs="宋体"/>
                <w:sz w:val="24"/>
                <w:szCs w:val="24"/>
              </w:rPr>
            </w:pPr>
            <w:r>
              <w:rPr>
                <w:rFonts w:hint="eastAsia" w:ascii="宋体" w:hAnsi="宋体" w:eastAsia="宋体" w:cs="宋体"/>
                <w:sz w:val="24"/>
                <w:szCs w:val="24"/>
              </w:rPr>
              <w:t>温感</w:t>
            </w:r>
          </w:p>
        </w:tc>
        <w:tc>
          <w:tcPr>
            <w:tcW w:w="1367" w:type="pct"/>
          </w:tcPr>
          <w:p w14:paraId="7C704CBE">
            <w:pPr>
              <w:rPr>
                <w:rFonts w:ascii="宋体" w:hAnsi="宋体" w:eastAsia="宋体" w:cs="宋体"/>
                <w:sz w:val="24"/>
                <w:szCs w:val="24"/>
              </w:rPr>
            </w:pPr>
            <w:r>
              <w:rPr>
                <w:rFonts w:hint="eastAsia" w:ascii="宋体" w:hAnsi="宋体" w:eastAsia="宋体" w:cs="宋体"/>
                <w:sz w:val="24"/>
                <w:szCs w:val="24"/>
              </w:rPr>
              <w:t>JTY-ZD-JBF-4110</w:t>
            </w:r>
          </w:p>
        </w:tc>
        <w:tc>
          <w:tcPr>
            <w:tcW w:w="683" w:type="pct"/>
          </w:tcPr>
          <w:p w14:paraId="7A16305C">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596D2685">
            <w:pPr>
              <w:rPr>
                <w:rFonts w:ascii="宋体" w:hAnsi="宋体" w:eastAsia="宋体" w:cs="宋体"/>
                <w:sz w:val="24"/>
                <w:szCs w:val="24"/>
              </w:rPr>
            </w:pPr>
            <w:r>
              <w:rPr>
                <w:rFonts w:hint="eastAsia" w:ascii="宋体" w:hAnsi="宋体" w:eastAsia="宋体" w:cs="宋体"/>
                <w:sz w:val="24"/>
                <w:szCs w:val="24"/>
              </w:rPr>
              <w:t>39</w:t>
            </w:r>
          </w:p>
        </w:tc>
        <w:tc>
          <w:tcPr>
            <w:tcW w:w="560" w:type="pct"/>
          </w:tcPr>
          <w:p w14:paraId="3557D065">
            <w:pPr>
              <w:rPr>
                <w:rFonts w:ascii="宋体" w:hAnsi="宋体" w:eastAsia="宋体" w:cs="宋体"/>
                <w:sz w:val="24"/>
                <w:szCs w:val="24"/>
              </w:rPr>
            </w:pPr>
          </w:p>
        </w:tc>
      </w:tr>
      <w:tr w14:paraId="0F4F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2E57C01">
            <w:pPr>
              <w:rPr>
                <w:rFonts w:ascii="宋体" w:hAnsi="宋体" w:eastAsia="宋体" w:cs="宋体"/>
                <w:sz w:val="24"/>
                <w:szCs w:val="24"/>
              </w:rPr>
            </w:pPr>
            <w:r>
              <w:rPr>
                <w:rFonts w:hint="eastAsia" w:ascii="宋体" w:hAnsi="宋体" w:eastAsia="宋体" w:cs="宋体"/>
                <w:sz w:val="24"/>
                <w:szCs w:val="24"/>
              </w:rPr>
              <w:t>6</w:t>
            </w:r>
          </w:p>
        </w:tc>
        <w:tc>
          <w:tcPr>
            <w:tcW w:w="1196" w:type="pct"/>
          </w:tcPr>
          <w:p w14:paraId="37974D9C">
            <w:pPr>
              <w:rPr>
                <w:rFonts w:ascii="宋体" w:hAnsi="宋体" w:eastAsia="宋体" w:cs="宋体"/>
                <w:sz w:val="24"/>
                <w:szCs w:val="24"/>
              </w:rPr>
            </w:pPr>
            <w:r>
              <w:rPr>
                <w:rFonts w:hint="eastAsia" w:ascii="宋体" w:hAnsi="宋体" w:eastAsia="宋体" w:cs="宋体"/>
                <w:sz w:val="24"/>
                <w:szCs w:val="24"/>
              </w:rPr>
              <w:t>手报</w:t>
            </w:r>
          </w:p>
        </w:tc>
        <w:tc>
          <w:tcPr>
            <w:tcW w:w="1367" w:type="pct"/>
          </w:tcPr>
          <w:p w14:paraId="5AE9E9FB">
            <w:pPr>
              <w:rPr>
                <w:rFonts w:ascii="宋体" w:hAnsi="宋体" w:eastAsia="宋体" w:cs="宋体"/>
                <w:sz w:val="24"/>
                <w:szCs w:val="24"/>
              </w:rPr>
            </w:pPr>
            <w:r>
              <w:rPr>
                <w:rFonts w:hint="eastAsia" w:ascii="宋体" w:hAnsi="宋体" w:eastAsia="宋体" w:cs="宋体"/>
                <w:sz w:val="24"/>
                <w:szCs w:val="24"/>
              </w:rPr>
              <w:t>J-SAP-JBF-301</w:t>
            </w:r>
          </w:p>
        </w:tc>
        <w:tc>
          <w:tcPr>
            <w:tcW w:w="683" w:type="pct"/>
          </w:tcPr>
          <w:p w14:paraId="7B18BE27">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2DB1C5B3">
            <w:pPr>
              <w:rPr>
                <w:rFonts w:ascii="宋体" w:hAnsi="宋体" w:eastAsia="宋体" w:cs="宋体"/>
                <w:sz w:val="24"/>
                <w:szCs w:val="24"/>
              </w:rPr>
            </w:pPr>
            <w:r>
              <w:rPr>
                <w:rFonts w:hint="eastAsia" w:ascii="宋体" w:hAnsi="宋体" w:eastAsia="宋体" w:cs="宋体"/>
                <w:sz w:val="24"/>
                <w:szCs w:val="24"/>
              </w:rPr>
              <w:t>127</w:t>
            </w:r>
          </w:p>
        </w:tc>
        <w:tc>
          <w:tcPr>
            <w:tcW w:w="560" w:type="pct"/>
          </w:tcPr>
          <w:p w14:paraId="19025133">
            <w:pPr>
              <w:rPr>
                <w:rFonts w:ascii="宋体" w:hAnsi="宋体" w:eastAsia="宋体" w:cs="宋体"/>
                <w:sz w:val="24"/>
                <w:szCs w:val="24"/>
              </w:rPr>
            </w:pPr>
          </w:p>
        </w:tc>
      </w:tr>
      <w:tr w14:paraId="40A3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3DCEC5F5">
            <w:pPr>
              <w:rPr>
                <w:rFonts w:ascii="宋体" w:hAnsi="宋体" w:eastAsia="宋体" w:cs="宋体"/>
                <w:sz w:val="24"/>
                <w:szCs w:val="24"/>
              </w:rPr>
            </w:pPr>
            <w:r>
              <w:rPr>
                <w:rFonts w:hint="eastAsia" w:ascii="宋体" w:hAnsi="宋体" w:eastAsia="宋体" w:cs="宋体"/>
                <w:sz w:val="24"/>
                <w:szCs w:val="24"/>
              </w:rPr>
              <w:t>7</w:t>
            </w:r>
          </w:p>
        </w:tc>
        <w:tc>
          <w:tcPr>
            <w:tcW w:w="1196" w:type="pct"/>
          </w:tcPr>
          <w:p w14:paraId="5106FD05">
            <w:pPr>
              <w:rPr>
                <w:rFonts w:ascii="宋体" w:hAnsi="宋体" w:eastAsia="宋体" w:cs="宋体"/>
                <w:sz w:val="24"/>
                <w:szCs w:val="24"/>
              </w:rPr>
            </w:pPr>
            <w:r>
              <w:rPr>
                <w:rFonts w:hint="eastAsia" w:ascii="宋体" w:hAnsi="宋体" w:eastAsia="宋体" w:cs="宋体"/>
                <w:sz w:val="24"/>
                <w:szCs w:val="24"/>
              </w:rPr>
              <w:t>消火栓按钮</w:t>
            </w:r>
          </w:p>
        </w:tc>
        <w:tc>
          <w:tcPr>
            <w:tcW w:w="1367" w:type="pct"/>
          </w:tcPr>
          <w:p w14:paraId="4B6276A1">
            <w:pPr>
              <w:rPr>
                <w:rFonts w:ascii="宋体" w:hAnsi="宋体" w:eastAsia="宋体" w:cs="宋体"/>
                <w:sz w:val="24"/>
                <w:szCs w:val="24"/>
              </w:rPr>
            </w:pPr>
          </w:p>
        </w:tc>
        <w:tc>
          <w:tcPr>
            <w:tcW w:w="683" w:type="pct"/>
          </w:tcPr>
          <w:p w14:paraId="5EA7B7DD">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3CF6FCA4">
            <w:pPr>
              <w:rPr>
                <w:rFonts w:ascii="宋体" w:hAnsi="宋体" w:eastAsia="宋体" w:cs="宋体"/>
                <w:sz w:val="24"/>
                <w:szCs w:val="24"/>
              </w:rPr>
            </w:pPr>
            <w:r>
              <w:rPr>
                <w:rFonts w:hint="eastAsia" w:ascii="宋体" w:hAnsi="宋体" w:eastAsia="宋体" w:cs="宋体"/>
                <w:sz w:val="24"/>
                <w:szCs w:val="24"/>
              </w:rPr>
              <w:t>344</w:t>
            </w:r>
          </w:p>
        </w:tc>
        <w:tc>
          <w:tcPr>
            <w:tcW w:w="560" w:type="pct"/>
          </w:tcPr>
          <w:p w14:paraId="2EF9959B">
            <w:pPr>
              <w:rPr>
                <w:rFonts w:ascii="宋体" w:hAnsi="宋体" w:eastAsia="宋体" w:cs="宋体"/>
                <w:sz w:val="24"/>
                <w:szCs w:val="24"/>
              </w:rPr>
            </w:pPr>
          </w:p>
        </w:tc>
      </w:tr>
      <w:tr w14:paraId="2B11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F12B8AB">
            <w:pPr>
              <w:rPr>
                <w:rFonts w:ascii="宋体" w:hAnsi="宋体" w:eastAsia="宋体" w:cs="宋体"/>
                <w:sz w:val="24"/>
                <w:szCs w:val="24"/>
              </w:rPr>
            </w:pPr>
            <w:r>
              <w:rPr>
                <w:rFonts w:hint="eastAsia" w:ascii="宋体" w:hAnsi="宋体" w:eastAsia="宋体" w:cs="宋体"/>
                <w:sz w:val="24"/>
                <w:szCs w:val="24"/>
              </w:rPr>
              <w:t>8</w:t>
            </w:r>
          </w:p>
        </w:tc>
        <w:tc>
          <w:tcPr>
            <w:tcW w:w="1196" w:type="pct"/>
          </w:tcPr>
          <w:p w14:paraId="621A1846">
            <w:pPr>
              <w:rPr>
                <w:rFonts w:ascii="宋体" w:hAnsi="宋体" w:eastAsia="宋体" w:cs="宋体"/>
                <w:sz w:val="24"/>
                <w:szCs w:val="24"/>
              </w:rPr>
            </w:pPr>
            <w:r>
              <w:rPr>
                <w:rFonts w:hint="eastAsia" w:ascii="宋体" w:hAnsi="宋体" w:eastAsia="宋体" w:cs="宋体"/>
                <w:sz w:val="24"/>
                <w:szCs w:val="24"/>
              </w:rPr>
              <w:t>输入模块</w:t>
            </w:r>
          </w:p>
        </w:tc>
        <w:tc>
          <w:tcPr>
            <w:tcW w:w="1367" w:type="pct"/>
          </w:tcPr>
          <w:p w14:paraId="67C01A0E">
            <w:pPr>
              <w:rPr>
                <w:rFonts w:ascii="宋体" w:hAnsi="宋体" w:eastAsia="宋体" w:cs="宋体"/>
                <w:sz w:val="24"/>
                <w:szCs w:val="24"/>
              </w:rPr>
            </w:pPr>
            <w:r>
              <w:rPr>
                <w:rFonts w:hint="eastAsia" w:ascii="宋体" w:hAnsi="宋体" w:eastAsia="宋体" w:cs="宋体"/>
                <w:sz w:val="24"/>
                <w:szCs w:val="24"/>
              </w:rPr>
              <w:t>JBF-3131</w:t>
            </w:r>
          </w:p>
        </w:tc>
        <w:tc>
          <w:tcPr>
            <w:tcW w:w="683" w:type="pct"/>
          </w:tcPr>
          <w:p w14:paraId="13D35D65">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6358E553">
            <w:pPr>
              <w:rPr>
                <w:rFonts w:ascii="宋体" w:hAnsi="宋体" w:eastAsia="宋体" w:cs="宋体"/>
                <w:sz w:val="24"/>
                <w:szCs w:val="24"/>
              </w:rPr>
            </w:pPr>
            <w:r>
              <w:rPr>
                <w:rFonts w:hint="eastAsia" w:ascii="宋体" w:hAnsi="宋体" w:eastAsia="宋体" w:cs="宋体"/>
                <w:sz w:val="24"/>
                <w:szCs w:val="24"/>
              </w:rPr>
              <w:t>194</w:t>
            </w:r>
          </w:p>
        </w:tc>
        <w:tc>
          <w:tcPr>
            <w:tcW w:w="560" w:type="pct"/>
          </w:tcPr>
          <w:p w14:paraId="62DB5580">
            <w:pPr>
              <w:rPr>
                <w:rFonts w:ascii="宋体" w:hAnsi="宋体" w:eastAsia="宋体" w:cs="宋体"/>
                <w:sz w:val="24"/>
                <w:szCs w:val="24"/>
              </w:rPr>
            </w:pPr>
          </w:p>
        </w:tc>
      </w:tr>
      <w:tr w14:paraId="2F38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11365ECF">
            <w:pPr>
              <w:rPr>
                <w:rFonts w:ascii="宋体" w:hAnsi="宋体" w:eastAsia="宋体" w:cs="宋体"/>
                <w:sz w:val="24"/>
                <w:szCs w:val="24"/>
              </w:rPr>
            </w:pPr>
            <w:r>
              <w:rPr>
                <w:rFonts w:hint="eastAsia" w:ascii="宋体" w:hAnsi="宋体" w:eastAsia="宋体" w:cs="宋体"/>
                <w:sz w:val="24"/>
                <w:szCs w:val="24"/>
              </w:rPr>
              <w:t>9</w:t>
            </w:r>
          </w:p>
        </w:tc>
        <w:tc>
          <w:tcPr>
            <w:tcW w:w="1196" w:type="pct"/>
          </w:tcPr>
          <w:p w14:paraId="06FE9E6D">
            <w:pPr>
              <w:rPr>
                <w:rFonts w:ascii="宋体" w:hAnsi="宋体" w:eastAsia="宋体" w:cs="宋体"/>
                <w:sz w:val="24"/>
                <w:szCs w:val="24"/>
              </w:rPr>
            </w:pPr>
            <w:r>
              <w:rPr>
                <w:rFonts w:hint="eastAsia" w:ascii="宋体" w:hAnsi="宋体" w:eastAsia="宋体" w:cs="宋体"/>
                <w:sz w:val="24"/>
                <w:szCs w:val="24"/>
              </w:rPr>
              <w:t>控制模块</w:t>
            </w:r>
          </w:p>
        </w:tc>
        <w:tc>
          <w:tcPr>
            <w:tcW w:w="1367" w:type="pct"/>
          </w:tcPr>
          <w:p w14:paraId="63E45F50">
            <w:pPr>
              <w:rPr>
                <w:rFonts w:ascii="宋体" w:hAnsi="宋体" w:eastAsia="宋体" w:cs="宋体"/>
                <w:sz w:val="24"/>
                <w:szCs w:val="24"/>
              </w:rPr>
            </w:pPr>
            <w:r>
              <w:rPr>
                <w:rFonts w:hint="eastAsia" w:ascii="宋体" w:hAnsi="宋体" w:eastAsia="宋体" w:cs="宋体"/>
                <w:sz w:val="24"/>
                <w:szCs w:val="24"/>
              </w:rPr>
              <w:t>JBF-4131</w:t>
            </w:r>
          </w:p>
        </w:tc>
        <w:tc>
          <w:tcPr>
            <w:tcW w:w="683" w:type="pct"/>
          </w:tcPr>
          <w:p w14:paraId="6AE21403">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264E32B3">
            <w:pPr>
              <w:rPr>
                <w:rFonts w:ascii="宋体" w:hAnsi="宋体" w:eastAsia="宋体" w:cs="宋体"/>
                <w:sz w:val="24"/>
                <w:szCs w:val="24"/>
              </w:rPr>
            </w:pPr>
            <w:r>
              <w:rPr>
                <w:rFonts w:hint="eastAsia" w:ascii="宋体" w:hAnsi="宋体" w:eastAsia="宋体" w:cs="宋体"/>
                <w:sz w:val="24"/>
                <w:szCs w:val="24"/>
              </w:rPr>
              <w:t>324</w:t>
            </w:r>
          </w:p>
        </w:tc>
        <w:tc>
          <w:tcPr>
            <w:tcW w:w="560" w:type="pct"/>
          </w:tcPr>
          <w:p w14:paraId="4C0152C8">
            <w:pPr>
              <w:rPr>
                <w:rFonts w:ascii="宋体" w:hAnsi="宋体" w:eastAsia="宋体" w:cs="宋体"/>
                <w:sz w:val="24"/>
                <w:szCs w:val="24"/>
              </w:rPr>
            </w:pPr>
          </w:p>
        </w:tc>
      </w:tr>
      <w:tr w14:paraId="1653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EB13FC7">
            <w:pPr>
              <w:rPr>
                <w:rFonts w:ascii="宋体" w:hAnsi="宋体" w:eastAsia="宋体" w:cs="宋体"/>
                <w:sz w:val="24"/>
                <w:szCs w:val="24"/>
              </w:rPr>
            </w:pPr>
            <w:r>
              <w:rPr>
                <w:rFonts w:hint="eastAsia" w:ascii="宋体" w:hAnsi="宋体" w:eastAsia="宋体" w:cs="宋体"/>
                <w:sz w:val="24"/>
                <w:szCs w:val="24"/>
              </w:rPr>
              <w:t>10</w:t>
            </w:r>
          </w:p>
        </w:tc>
        <w:tc>
          <w:tcPr>
            <w:tcW w:w="1196" w:type="pct"/>
          </w:tcPr>
          <w:p w14:paraId="59060C1B">
            <w:pPr>
              <w:rPr>
                <w:rFonts w:ascii="宋体" w:hAnsi="宋体" w:eastAsia="宋体" w:cs="宋体"/>
                <w:sz w:val="24"/>
                <w:szCs w:val="24"/>
              </w:rPr>
            </w:pPr>
            <w:r>
              <w:rPr>
                <w:rFonts w:hint="eastAsia" w:ascii="宋体" w:hAnsi="宋体" w:eastAsia="宋体" w:cs="宋体"/>
                <w:sz w:val="24"/>
                <w:szCs w:val="24"/>
              </w:rPr>
              <w:t>层显</w:t>
            </w:r>
          </w:p>
        </w:tc>
        <w:tc>
          <w:tcPr>
            <w:tcW w:w="1367" w:type="pct"/>
          </w:tcPr>
          <w:p w14:paraId="45EAB659">
            <w:pPr>
              <w:rPr>
                <w:rFonts w:ascii="宋体" w:hAnsi="宋体" w:eastAsia="宋体" w:cs="宋体"/>
                <w:sz w:val="24"/>
                <w:szCs w:val="24"/>
              </w:rPr>
            </w:pPr>
          </w:p>
        </w:tc>
        <w:tc>
          <w:tcPr>
            <w:tcW w:w="683" w:type="pct"/>
          </w:tcPr>
          <w:p w14:paraId="71266674">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2D3D27F3">
            <w:pPr>
              <w:rPr>
                <w:rFonts w:ascii="宋体" w:hAnsi="宋体" w:eastAsia="宋体" w:cs="宋体"/>
                <w:sz w:val="24"/>
                <w:szCs w:val="24"/>
              </w:rPr>
            </w:pPr>
            <w:r>
              <w:rPr>
                <w:rFonts w:hint="eastAsia" w:ascii="宋体" w:hAnsi="宋体" w:eastAsia="宋体" w:cs="宋体"/>
                <w:sz w:val="24"/>
                <w:szCs w:val="24"/>
              </w:rPr>
              <w:t>40</w:t>
            </w:r>
          </w:p>
        </w:tc>
        <w:tc>
          <w:tcPr>
            <w:tcW w:w="560" w:type="pct"/>
          </w:tcPr>
          <w:p w14:paraId="337B192E">
            <w:pPr>
              <w:rPr>
                <w:rFonts w:ascii="宋体" w:hAnsi="宋体" w:eastAsia="宋体" w:cs="宋体"/>
                <w:sz w:val="24"/>
                <w:szCs w:val="24"/>
              </w:rPr>
            </w:pPr>
          </w:p>
        </w:tc>
      </w:tr>
      <w:tr w14:paraId="64AD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14C77B53">
            <w:pPr>
              <w:rPr>
                <w:rFonts w:ascii="宋体" w:hAnsi="宋体" w:eastAsia="宋体" w:cs="宋体"/>
                <w:sz w:val="24"/>
                <w:szCs w:val="24"/>
              </w:rPr>
            </w:pPr>
            <w:r>
              <w:rPr>
                <w:rFonts w:hint="eastAsia" w:ascii="宋体" w:hAnsi="宋体" w:eastAsia="宋体" w:cs="宋体"/>
                <w:sz w:val="24"/>
                <w:szCs w:val="24"/>
              </w:rPr>
              <w:t>11</w:t>
            </w:r>
          </w:p>
        </w:tc>
        <w:tc>
          <w:tcPr>
            <w:tcW w:w="1196" w:type="pct"/>
          </w:tcPr>
          <w:p w14:paraId="59B98DFF">
            <w:pPr>
              <w:rPr>
                <w:rFonts w:ascii="宋体" w:hAnsi="宋体" w:eastAsia="宋体" w:cs="宋体"/>
                <w:sz w:val="24"/>
                <w:szCs w:val="24"/>
              </w:rPr>
            </w:pPr>
            <w:r>
              <w:rPr>
                <w:rFonts w:hint="eastAsia" w:ascii="宋体" w:hAnsi="宋体" w:eastAsia="宋体" w:cs="宋体"/>
                <w:sz w:val="24"/>
                <w:szCs w:val="24"/>
              </w:rPr>
              <w:t>火灾报警控制器</w:t>
            </w:r>
          </w:p>
        </w:tc>
        <w:tc>
          <w:tcPr>
            <w:tcW w:w="1367" w:type="pct"/>
          </w:tcPr>
          <w:p w14:paraId="5C3F3B82">
            <w:pPr>
              <w:rPr>
                <w:rFonts w:ascii="宋体" w:hAnsi="宋体" w:eastAsia="宋体" w:cs="宋体"/>
                <w:sz w:val="24"/>
                <w:szCs w:val="24"/>
              </w:rPr>
            </w:pPr>
          </w:p>
        </w:tc>
        <w:tc>
          <w:tcPr>
            <w:tcW w:w="683" w:type="pct"/>
          </w:tcPr>
          <w:p w14:paraId="65CE78A2">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43D8DC68">
            <w:pPr>
              <w:rPr>
                <w:rFonts w:ascii="宋体" w:hAnsi="宋体" w:eastAsia="宋体" w:cs="宋体"/>
                <w:sz w:val="24"/>
                <w:szCs w:val="24"/>
              </w:rPr>
            </w:pPr>
            <w:r>
              <w:rPr>
                <w:rFonts w:hint="eastAsia" w:ascii="宋体" w:hAnsi="宋体" w:eastAsia="宋体" w:cs="宋体"/>
                <w:sz w:val="24"/>
                <w:szCs w:val="24"/>
              </w:rPr>
              <w:t>1</w:t>
            </w:r>
          </w:p>
        </w:tc>
        <w:tc>
          <w:tcPr>
            <w:tcW w:w="560" w:type="pct"/>
          </w:tcPr>
          <w:p w14:paraId="1A07217D">
            <w:pPr>
              <w:rPr>
                <w:rFonts w:ascii="宋体" w:hAnsi="宋体" w:eastAsia="宋体" w:cs="宋体"/>
                <w:sz w:val="24"/>
                <w:szCs w:val="24"/>
              </w:rPr>
            </w:pPr>
          </w:p>
        </w:tc>
      </w:tr>
      <w:tr w14:paraId="45E3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F532150">
            <w:pPr>
              <w:rPr>
                <w:rFonts w:ascii="宋体" w:hAnsi="宋体" w:eastAsia="宋体" w:cs="宋体"/>
                <w:sz w:val="24"/>
                <w:szCs w:val="24"/>
              </w:rPr>
            </w:pPr>
            <w:r>
              <w:rPr>
                <w:rFonts w:hint="eastAsia" w:ascii="宋体" w:hAnsi="宋体" w:eastAsia="宋体" w:cs="宋体"/>
                <w:sz w:val="24"/>
                <w:szCs w:val="24"/>
              </w:rPr>
              <w:t>12</w:t>
            </w:r>
          </w:p>
        </w:tc>
        <w:tc>
          <w:tcPr>
            <w:tcW w:w="1196" w:type="pct"/>
          </w:tcPr>
          <w:p w14:paraId="649F274D">
            <w:pPr>
              <w:rPr>
                <w:rFonts w:ascii="宋体" w:hAnsi="宋体" w:eastAsia="宋体" w:cs="宋体"/>
                <w:sz w:val="24"/>
                <w:szCs w:val="24"/>
              </w:rPr>
            </w:pPr>
            <w:r>
              <w:rPr>
                <w:rFonts w:hint="eastAsia" w:ascii="宋体" w:hAnsi="宋体" w:eastAsia="宋体" w:cs="宋体"/>
                <w:sz w:val="24"/>
                <w:szCs w:val="24"/>
              </w:rPr>
              <w:t>消防电话主机</w:t>
            </w:r>
          </w:p>
        </w:tc>
        <w:tc>
          <w:tcPr>
            <w:tcW w:w="1367" w:type="pct"/>
          </w:tcPr>
          <w:p w14:paraId="4B690A4C">
            <w:pPr>
              <w:rPr>
                <w:rFonts w:ascii="宋体" w:hAnsi="宋体" w:eastAsia="宋体" w:cs="宋体"/>
                <w:sz w:val="24"/>
                <w:szCs w:val="24"/>
              </w:rPr>
            </w:pPr>
          </w:p>
        </w:tc>
        <w:tc>
          <w:tcPr>
            <w:tcW w:w="683" w:type="pct"/>
          </w:tcPr>
          <w:p w14:paraId="1E9F6820">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039ADCBC">
            <w:pPr>
              <w:rPr>
                <w:rFonts w:ascii="宋体" w:hAnsi="宋体" w:eastAsia="宋体" w:cs="宋体"/>
                <w:sz w:val="24"/>
                <w:szCs w:val="24"/>
              </w:rPr>
            </w:pPr>
            <w:r>
              <w:rPr>
                <w:rFonts w:hint="eastAsia" w:ascii="宋体" w:hAnsi="宋体" w:eastAsia="宋体" w:cs="宋体"/>
                <w:sz w:val="24"/>
                <w:szCs w:val="24"/>
              </w:rPr>
              <w:t>1</w:t>
            </w:r>
          </w:p>
        </w:tc>
        <w:tc>
          <w:tcPr>
            <w:tcW w:w="560" w:type="pct"/>
          </w:tcPr>
          <w:p w14:paraId="49A4DD95">
            <w:pPr>
              <w:rPr>
                <w:rFonts w:ascii="宋体" w:hAnsi="宋体" w:eastAsia="宋体" w:cs="宋体"/>
                <w:sz w:val="24"/>
                <w:szCs w:val="24"/>
              </w:rPr>
            </w:pPr>
          </w:p>
        </w:tc>
      </w:tr>
      <w:tr w14:paraId="3E3E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B207CE2">
            <w:pPr>
              <w:rPr>
                <w:rFonts w:ascii="宋体" w:hAnsi="宋体" w:eastAsia="宋体" w:cs="宋体"/>
                <w:sz w:val="24"/>
                <w:szCs w:val="24"/>
              </w:rPr>
            </w:pPr>
            <w:r>
              <w:rPr>
                <w:rFonts w:hint="eastAsia" w:ascii="宋体" w:hAnsi="宋体" w:eastAsia="宋体" w:cs="宋体"/>
                <w:sz w:val="24"/>
                <w:szCs w:val="24"/>
              </w:rPr>
              <w:t>13</w:t>
            </w:r>
          </w:p>
        </w:tc>
        <w:tc>
          <w:tcPr>
            <w:tcW w:w="1196" w:type="pct"/>
          </w:tcPr>
          <w:p w14:paraId="62ED4176">
            <w:pPr>
              <w:rPr>
                <w:rFonts w:ascii="宋体" w:hAnsi="宋体" w:eastAsia="宋体" w:cs="宋体"/>
                <w:sz w:val="24"/>
                <w:szCs w:val="24"/>
              </w:rPr>
            </w:pPr>
            <w:r>
              <w:rPr>
                <w:rFonts w:hint="eastAsia" w:ascii="宋体" w:hAnsi="宋体" w:eastAsia="宋体" w:cs="宋体"/>
                <w:sz w:val="24"/>
                <w:szCs w:val="24"/>
              </w:rPr>
              <w:t>消防电话分机</w:t>
            </w:r>
          </w:p>
        </w:tc>
        <w:tc>
          <w:tcPr>
            <w:tcW w:w="1367" w:type="pct"/>
          </w:tcPr>
          <w:p w14:paraId="4A8F3FD6">
            <w:pPr>
              <w:rPr>
                <w:rFonts w:ascii="宋体" w:hAnsi="宋体" w:eastAsia="宋体" w:cs="宋体"/>
                <w:sz w:val="24"/>
                <w:szCs w:val="24"/>
              </w:rPr>
            </w:pPr>
          </w:p>
        </w:tc>
        <w:tc>
          <w:tcPr>
            <w:tcW w:w="683" w:type="pct"/>
          </w:tcPr>
          <w:p w14:paraId="31730FAE">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5BE8DD07">
            <w:pPr>
              <w:rPr>
                <w:rFonts w:ascii="宋体" w:hAnsi="宋体" w:eastAsia="宋体" w:cs="宋体"/>
                <w:sz w:val="24"/>
                <w:szCs w:val="24"/>
              </w:rPr>
            </w:pPr>
            <w:r>
              <w:rPr>
                <w:rFonts w:hint="eastAsia" w:ascii="宋体" w:hAnsi="宋体" w:eastAsia="宋体" w:cs="宋体"/>
                <w:sz w:val="24"/>
                <w:szCs w:val="24"/>
              </w:rPr>
              <w:t>39</w:t>
            </w:r>
          </w:p>
        </w:tc>
        <w:tc>
          <w:tcPr>
            <w:tcW w:w="560" w:type="pct"/>
          </w:tcPr>
          <w:p w14:paraId="0B9DC4DF">
            <w:pPr>
              <w:rPr>
                <w:rFonts w:ascii="宋体" w:hAnsi="宋体" w:eastAsia="宋体" w:cs="宋体"/>
                <w:sz w:val="24"/>
                <w:szCs w:val="24"/>
              </w:rPr>
            </w:pPr>
          </w:p>
        </w:tc>
      </w:tr>
      <w:tr w14:paraId="561D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B4DB9A4">
            <w:pPr>
              <w:rPr>
                <w:rFonts w:ascii="宋体" w:hAnsi="宋体" w:eastAsia="宋体" w:cs="宋体"/>
                <w:sz w:val="24"/>
                <w:szCs w:val="24"/>
              </w:rPr>
            </w:pPr>
            <w:r>
              <w:rPr>
                <w:rFonts w:hint="eastAsia" w:ascii="宋体" w:hAnsi="宋体" w:eastAsia="宋体" w:cs="宋体"/>
                <w:sz w:val="24"/>
                <w:szCs w:val="24"/>
              </w:rPr>
              <w:t>14</w:t>
            </w:r>
          </w:p>
        </w:tc>
        <w:tc>
          <w:tcPr>
            <w:tcW w:w="1196" w:type="pct"/>
          </w:tcPr>
          <w:p w14:paraId="6C44F019">
            <w:pPr>
              <w:rPr>
                <w:rFonts w:ascii="宋体" w:hAnsi="宋体" w:eastAsia="宋体" w:cs="宋体"/>
                <w:sz w:val="24"/>
                <w:szCs w:val="24"/>
              </w:rPr>
            </w:pPr>
            <w:r>
              <w:rPr>
                <w:rFonts w:hint="eastAsia" w:ascii="宋体" w:hAnsi="宋体" w:eastAsia="宋体" w:cs="宋体"/>
                <w:sz w:val="24"/>
                <w:szCs w:val="24"/>
              </w:rPr>
              <w:t>消防广播控制器</w:t>
            </w:r>
          </w:p>
        </w:tc>
        <w:tc>
          <w:tcPr>
            <w:tcW w:w="1367" w:type="pct"/>
          </w:tcPr>
          <w:p w14:paraId="26F30ADA">
            <w:pPr>
              <w:rPr>
                <w:rFonts w:ascii="宋体" w:hAnsi="宋体" w:eastAsia="宋体" w:cs="宋体"/>
                <w:sz w:val="24"/>
                <w:szCs w:val="24"/>
              </w:rPr>
            </w:pPr>
          </w:p>
        </w:tc>
        <w:tc>
          <w:tcPr>
            <w:tcW w:w="683" w:type="pct"/>
          </w:tcPr>
          <w:p w14:paraId="4AF5402D">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08082ED0">
            <w:pPr>
              <w:rPr>
                <w:rFonts w:ascii="宋体" w:hAnsi="宋体" w:eastAsia="宋体" w:cs="宋体"/>
                <w:sz w:val="24"/>
                <w:szCs w:val="24"/>
              </w:rPr>
            </w:pPr>
            <w:r>
              <w:rPr>
                <w:rFonts w:hint="eastAsia" w:ascii="宋体" w:hAnsi="宋体" w:eastAsia="宋体" w:cs="宋体"/>
                <w:sz w:val="24"/>
                <w:szCs w:val="24"/>
              </w:rPr>
              <w:t>1</w:t>
            </w:r>
          </w:p>
        </w:tc>
        <w:tc>
          <w:tcPr>
            <w:tcW w:w="560" w:type="pct"/>
          </w:tcPr>
          <w:p w14:paraId="53FDD4F7">
            <w:pPr>
              <w:rPr>
                <w:rFonts w:ascii="宋体" w:hAnsi="宋体" w:eastAsia="宋体" w:cs="宋体"/>
                <w:sz w:val="24"/>
                <w:szCs w:val="24"/>
              </w:rPr>
            </w:pPr>
          </w:p>
        </w:tc>
      </w:tr>
      <w:tr w14:paraId="68CF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4168C96">
            <w:pPr>
              <w:rPr>
                <w:rFonts w:ascii="宋体" w:hAnsi="宋体" w:eastAsia="宋体" w:cs="宋体"/>
                <w:sz w:val="24"/>
                <w:szCs w:val="24"/>
              </w:rPr>
            </w:pPr>
            <w:r>
              <w:rPr>
                <w:rFonts w:hint="eastAsia" w:ascii="宋体" w:hAnsi="宋体" w:eastAsia="宋体" w:cs="宋体"/>
                <w:sz w:val="24"/>
                <w:szCs w:val="24"/>
              </w:rPr>
              <w:t>15</w:t>
            </w:r>
          </w:p>
        </w:tc>
        <w:tc>
          <w:tcPr>
            <w:tcW w:w="1196" w:type="pct"/>
          </w:tcPr>
          <w:p w14:paraId="052B1269">
            <w:pPr>
              <w:rPr>
                <w:rFonts w:ascii="宋体" w:hAnsi="宋体" w:eastAsia="宋体" w:cs="宋体"/>
                <w:sz w:val="24"/>
                <w:szCs w:val="24"/>
              </w:rPr>
            </w:pPr>
            <w:r>
              <w:rPr>
                <w:rFonts w:hint="eastAsia" w:ascii="宋体" w:hAnsi="宋体" w:eastAsia="宋体" w:cs="宋体"/>
                <w:sz w:val="24"/>
                <w:szCs w:val="24"/>
              </w:rPr>
              <w:t>消防功放</w:t>
            </w:r>
          </w:p>
        </w:tc>
        <w:tc>
          <w:tcPr>
            <w:tcW w:w="1367" w:type="pct"/>
          </w:tcPr>
          <w:p w14:paraId="4996E55D">
            <w:pPr>
              <w:rPr>
                <w:rFonts w:ascii="宋体" w:hAnsi="宋体" w:eastAsia="宋体" w:cs="宋体"/>
                <w:sz w:val="24"/>
                <w:szCs w:val="24"/>
              </w:rPr>
            </w:pPr>
          </w:p>
        </w:tc>
        <w:tc>
          <w:tcPr>
            <w:tcW w:w="683" w:type="pct"/>
          </w:tcPr>
          <w:p w14:paraId="326BA066">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01E03F8E">
            <w:pPr>
              <w:rPr>
                <w:rFonts w:ascii="宋体" w:hAnsi="宋体" w:eastAsia="宋体" w:cs="宋体"/>
                <w:sz w:val="24"/>
                <w:szCs w:val="24"/>
              </w:rPr>
            </w:pPr>
            <w:r>
              <w:rPr>
                <w:rFonts w:hint="eastAsia" w:ascii="宋体" w:hAnsi="宋体" w:eastAsia="宋体" w:cs="宋体"/>
                <w:sz w:val="24"/>
                <w:szCs w:val="24"/>
              </w:rPr>
              <w:t>1</w:t>
            </w:r>
          </w:p>
        </w:tc>
        <w:tc>
          <w:tcPr>
            <w:tcW w:w="560" w:type="pct"/>
          </w:tcPr>
          <w:p w14:paraId="0E072832">
            <w:pPr>
              <w:rPr>
                <w:rFonts w:ascii="宋体" w:hAnsi="宋体" w:eastAsia="宋体" w:cs="宋体"/>
                <w:sz w:val="24"/>
                <w:szCs w:val="24"/>
              </w:rPr>
            </w:pPr>
          </w:p>
        </w:tc>
      </w:tr>
      <w:tr w14:paraId="26195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22E450F7">
            <w:pPr>
              <w:rPr>
                <w:rFonts w:ascii="宋体" w:hAnsi="宋体" w:eastAsia="宋体" w:cs="宋体"/>
                <w:sz w:val="24"/>
                <w:szCs w:val="24"/>
              </w:rPr>
            </w:pPr>
            <w:r>
              <w:rPr>
                <w:rFonts w:hint="eastAsia" w:ascii="宋体" w:hAnsi="宋体" w:eastAsia="宋体" w:cs="宋体"/>
                <w:sz w:val="24"/>
                <w:szCs w:val="24"/>
              </w:rPr>
              <w:t>16</w:t>
            </w:r>
          </w:p>
        </w:tc>
        <w:tc>
          <w:tcPr>
            <w:tcW w:w="1196" w:type="pct"/>
          </w:tcPr>
          <w:p w14:paraId="4960A73E">
            <w:pPr>
              <w:rPr>
                <w:rFonts w:ascii="宋体" w:hAnsi="宋体" w:eastAsia="宋体" w:cs="宋体"/>
                <w:sz w:val="24"/>
                <w:szCs w:val="24"/>
              </w:rPr>
            </w:pPr>
            <w:r>
              <w:rPr>
                <w:rFonts w:hint="eastAsia" w:ascii="宋体" w:hAnsi="宋体" w:eastAsia="宋体" w:cs="宋体"/>
                <w:sz w:val="24"/>
                <w:szCs w:val="24"/>
              </w:rPr>
              <w:t>声光报警器</w:t>
            </w:r>
          </w:p>
        </w:tc>
        <w:tc>
          <w:tcPr>
            <w:tcW w:w="1367" w:type="pct"/>
          </w:tcPr>
          <w:p w14:paraId="2EDAB9BF">
            <w:pPr>
              <w:rPr>
                <w:rFonts w:ascii="宋体" w:hAnsi="宋体" w:eastAsia="宋体" w:cs="宋体"/>
                <w:sz w:val="24"/>
                <w:szCs w:val="24"/>
              </w:rPr>
            </w:pPr>
          </w:p>
        </w:tc>
        <w:tc>
          <w:tcPr>
            <w:tcW w:w="683" w:type="pct"/>
          </w:tcPr>
          <w:p w14:paraId="2A84E9D4">
            <w:pPr>
              <w:rPr>
                <w:rFonts w:ascii="宋体" w:hAnsi="宋体" w:eastAsia="宋体" w:cs="宋体"/>
                <w:sz w:val="24"/>
                <w:szCs w:val="24"/>
              </w:rPr>
            </w:pPr>
            <w:r>
              <w:rPr>
                <w:rFonts w:hint="eastAsia" w:ascii="宋体" w:hAnsi="宋体" w:eastAsia="宋体" w:cs="宋体"/>
                <w:sz w:val="24"/>
                <w:szCs w:val="24"/>
              </w:rPr>
              <w:t>套</w:t>
            </w:r>
          </w:p>
        </w:tc>
        <w:tc>
          <w:tcPr>
            <w:tcW w:w="768" w:type="pct"/>
          </w:tcPr>
          <w:p w14:paraId="66912718">
            <w:pPr>
              <w:rPr>
                <w:rFonts w:ascii="宋体" w:hAnsi="宋体" w:eastAsia="宋体" w:cs="宋体"/>
                <w:sz w:val="24"/>
                <w:szCs w:val="24"/>
              </w:rPr>
            </w:pPr>
            <w:r>
              <w:rPr>
                <w:rFonts w:hint="eastAsia" w:ascii="宋体" w:hAnsi="宋体" w:eastAsia="宋体" w:cs="宋体"/>
                <w:sz w:val="24"/>
                <w:szCs w:val="24"/>
              </w:rPr>
              <w:t>127</w:t>
            </w:r>
          </w:p>
        </w:tc>
        <w:tc>
          <w:tcPr>
            <w:tcW w:w="560" w:type="pct"/>
          </w:tcPr>
          <w:p w14:paraId="0A0EB054">
            <w:pPr>
              <w:rPr>
                <w:rFonts w:ascii="宋体" w:hAnsi="宋体" w:eastAsia="宋体" w:cs="宋体"/>
                <w:sz w:val="24"/>
                <w:szCs w:val="24"/>
              </w:rPr>
            </w:pPr>
          </w:p>
        </w:tc>
      </w:tr>
      <w:tr w14:paraId="2205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5808122">
            <w:pPr>
              <w:rPr>
                <w:rFonts w:ascii="宋体" w:hAnsi="宋体" w:eastAsia="宋体" w:cs="宋体"/>
                <w:sz w:val="24"/>
                <w:szCs w:val="24"/>
              </w:rPr>
            </w:pPr>
            <w:r>
              <w:rPr>
                <w:rFonts w:hint="eastAsia" w:ascii="宋体" w:hAnsi="宋体" w:eastAsia="宋体" w:cs="宋体"/>
                <w:sz w:val="24"/>
                <w:szCs w:val="24"/>
              </w:rPr>
              <w:t>17</w:t>
            </w:r>
          </w:p>
        </w:tc>
        <w:tc>
          <w:tcPr>
            <w:tcW w:w="1196" w:type="pct"/>
          </w:tcPr>
          <w:p w14:paraId="4C2A4C48">
            <w:pPr>
              <w:rPr>
                <w:rFonts w:ascii="宋体" w:hAnsi="宋体" w:eastAsia="宋体" w:cs="宋体"/>
                <w:sz w:val="24"/>
                <w:szCs w:val="24"/>
              </w:rPr>
            </w:pPr>
            <w:r>
              <w:rPr>
                <w:rFonts w:hint="eastAsia" w:ascii="宋体" w:hAnsi="宋体" w:eastAsia="宋体" w:cs="宋体"/>
                <w:sz w:val="24"/>
                <w:szCs w:val="24"/>
              </w:rPr>
              <w:t>电气火灾主机</w:t>
            </w:r>
          </w:p>
        </w:tc>
        <w:tc>
          <w:tcPr>
            <w:tcW w:w="1367" w:type="pct"/>
          </w:tcPr>
          <w:p w14:paraId="53E598F7">
            <w:pPr>
              <w:rPr>
                <w:rFonts w:ascii="宋体" w:hAnsi="宋体" w:eastAsia="宋体" w:cs="宋体"/>
                <w:sz w:val="24"/>
                <w:szCs w:val="24"/>
              </w:rPr>
            </w:pPr>
          </w:p>
        </w:tc>
        <w:tc>
          <w:tcPr>
            <w:tcW w:w="683" w:type="pct"/>
          </w:tcPr>
          <w:p w14:paraId="58FF086A">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13CD4814">
            <w:pPr>
              <w:rPr>
                <w:rFonts w:ascii="宋体" w:hAnsi="宋体" w:eastAsia="宋体" w:cs="宋体"/>
                <w:sz w:val="24"/>
                <w:szCs w:val="24"/>
              </w:rPr>
            </w:pPr>
            <w:r>
              <w:rPr>
                <w:rFonts w:hint="eastAsia" w:ascii="宋体" w:hAnsi="宋体" w:eastAsia="宋体" w:cs="宋体"/>
                <w:sz w:val="24"/>
                <w:szCs w:val="24"/>
              </w:rPr>
              <w:t>1</w:t>
            </w:r>
          </w:p>
        </w:tc>
        <w:tc>
          <w:tcPr>
            <w:tcW w:w="560" w:type="pct"/>
          </w:tcPr>
          <w:p w14:paraId="2F3D18EB">
            <w:pPr>
              <w:rPr>
                <w:rFonts w:ascii="宋体" w:hAnsi="宋体" w:eastAsia="宋体" w:cs="宋体"/>
                <w:sz w:val="24"/>
                <w:szCs w:val="24"/>
              </w:rPr>
            </w:pPr>
          </w:p>
        </w:tc>
      </w:tr>
      <w:tr w14:paraId="7429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247E3BB">
            <w:pPr>
              <w:rPr>
                <w:rFonts w:ascii="宋体" w:hAnsi="宋体" w:eastAsia="宋体" w:cs="宋体"/>
                <w:sz w:val="24"/>
                <w:szCs w:val="24"/>
              </w:rPr>
            </w:pPr>
            <w:r>
              <w:rPr>
                <w:rFonts w:hint="eastAsia" w:ascii="宋体" w:hAnsi="宋体" w:eastAsia="宋体" w:cs="宋体"/>
                <w:sz w:val="24"/>
                <w:szCs w:val="24"/>
              </w:rPr>
              <w:t>18</w:t>
            </w:r>
          </w:p>
        </w:tc>
        <w:tc>
          <w:tcPr>
            <w:tcW w:w="1196" w:type="pct"/>
          </w:tcPr>
          <w:p w14:paraId="07DF90D2">
            <w:pPr>
              <w:rPr>
                <w:rFonts w:ascii="宋体" w:hAnsi="宋体" w:eastAsia="宋体" w:cs="宋体"/>
                <w:sz w:val="24"/>
                <w:szCs w:val="24"/>
              </w:rPr>
            </w:pPr>
            <w:r>
              <w:rPr>
                <w:rFonts w:hint="eastAsia" w:ascii="宋体" w:hAnsi="宋体" w:eastAsia="宋体" w:cs="宋体"/>
                <w:sz w:val="24"/>
                <w:szCs w:val="24"/>
              </w:rPr>
              <w:t>电气监控模块</w:t>
            </w:r>
          </w:p>
        </w:tc>
        <w:tc>
          <w:tcPr>
            <w:tcW w:w="1367" w:type="pct"/>
          </w:tcPr>
          <w:p w14:paraId="13220514">
            <w:pPr>
              <w:rPr>
                <w:rFonts w:ascii="宋体" w:hAnsi="宋体" w:eastAsia="宋体" w:cs="宋体"/>
                <w:sz w:val="24"/>
                <w:szCs w:val="24"/>
              </w:rPr>
            </w:pPr>
          </w:p>
        </w:tc>
        <w:tc>
          <w:tcPr>
            <w:tcW w:w="683" w:type="pct"/>
          </w:tcPr>
          <w:p w14:paraId="315B38C8">
            <w:pPr>
              <w:rPr>
                <w:rFonts w:ascii="宋体" w:hAnsi="宋体" w:eastAsia="宋体" w:cs="宋体"/>
                <w:sz w:val="24"/>
                <w:szCs w:val="24"/>
              </w:rPr>
            </w:pPr>
            <w:r>
              <w:rPr>
                <w:rFonts w:hint="eastAsia" w:ascii="宋体" w:hAnsi="宋体" w:eastAsia="宋体" w:cs="宋体"/>
                <w:sz w:val="24"/>
                <w:szCs w:val="24"/>
              </w:rPr>
              <w:t>套</w:t>
            </w:r>
          </w:p>
        </w:tc>
        <w:tc>
          <w:tcPr>
            <w:tcW w:w="768" w:type="pct"/>
          </w:tcPr>
          <w:p w14:paraId="6D591CBA">
            <w:pPr>
              <w:rPr>
                <w:rFonts w:ascii="宋体" w:hAnsi="宋体" w:eastAsia="宋体" w:cs="宋体"/>
                <w:sz w:val="24"/>
                <w:szCs w:val="24"/>
              </w:rPr>
            </w:pPr>
            <w:r>
              <w:rPr>
                <w:rFonts w:hint="eastAsia" w:ascii="宋体" w:hAnsi="宋体" w:eastAsia="宋体" w:cs="宋体"/>
                <w:sz w:val="24"/>
                <w:szCs w:val="24"/>
              </w:rPr>
              <w:t>136</w:t>
            </w:r>
          </w:p>
        </w:tc>
        <w:tc>
          <w:tcPr>
            <w:tcW w:w="560" w:type="pct"/>
          </w:tcPr>
          <w:p w14:paraId="40E45EC4">
            <w:pPr>
              <w:rPr>
                <w:rFonts w:ascii="宋体" w:hAnsi="宋体" w:eastAsia="宋体" w:cs="宋体"/>
                <w:sz w:val="24"/>
                <w:szCs w:val="24"/>
              </w:rPr>
            </w:pPr>
          </w:p>
        </w:tc>
      </w:tr>
      <w:tr w14:paraId="4149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ECF7DAB">
            <w:pPr>
              <w:rPr>
                <w:rFonts w:ascii="宋体" w:hAnsi="宋体" w:eastAsia="宋体" w:cs="宋体"/>
                <w:sz w:val="24"/>
                <w:szCs w:val="24"/>
              </w:rPr>
            </w:pPr>
            <w:r>
              <w:rPr>
                <w:rFonts w:hint="eastAsia" w:ascii="宋体" w:hAnsi="宋体" w:eastAsia="宋体" w:cs="宋体"/>
                <w:sz w:val="24"/>
                <w:szCs w:val="24"/>
              </w:rPr>
              <w:t>19</w:t>
            </w:r>
          </w:p>
        </w:tc>
        <w:tc>
          <w:tcPr>
            <w:tcW w:w="1196" w:type="pct"/>
          </w:tcPr>
          <w:p w14:paraId="7F6A3EAB">
            <w:pPr>
              <w:rPr>
                <w:rFonts w:ascii="宋体" w:hAnsi="宋体" w:eastAsia="宋体" w:cs="宋体"/>
                <w:sz w:val="24"/>
                <w:szCs w:val="24"/>
              </w:rPr>
            </w:pPr>
            <w:r>
              <w:rPr>
                <w:rFonts w:hint="eastAsia" w:ascii="宋体" w:hAnsi="宋体" w:eastAsia="宋体" w:cs="宋体"/>
                <w:sz w:val="24"/>
                <w:szCs w:val="24"/>
              </w:rPr>
              <w:t>气体灭火控制器</w:t>
            </w:r>
          </w:p>
        </w:tc>
        <w:tc>
          <w:tcPr>
            <w:tcW w:w="1367" w:type="pct"/>
          </w:tcPr>
          <w:p w14:paraId="739FE0C1">
            <w:pPr>
              <w:rPr>
                <w:rFonts w:ascii="宋体" w:hAnsi="宋体" w:eastAsia="宋体" w:cs="宋体"/>
                <w:sz w:val="24"/>
                <w:szCs w:val="24"/>
              </w:rPr>
            </w:pPr>
          </w:p>
        </w:tc>
        <w:tc>
          <w:tcPr>
            <w:tcW w:w="683" w:type="pct"/>
          </w:tcPr>
          <w:p w14:paraId="0294EE10">
            <w:pPr>
              <w:rPr>
                <w:rFonts w:ascii="宋体" w:hAnsi="宋体" w:eastAsia="宋体" w:cs="宋体"/>
                <w:sz w:val="24"/>
                <w:szCs w:val="24"/>
              </w:rPr>
            </w:pPr>
            <w:r>
              <w:rPr>
                <w:rFonts w:hint="eastAsia" w:ascii="宋体" w:hAnsi="宋体" w:eastAsia="宋体" w:cs="宋体"/>
                <w:sz w:val="24"/>
                <w:szCs w:val="24"/>
              </w:rPr>
              <w:t>套</w:t>
            </w:r>
          </w:p>
        </w:tc>
        <w:tc>
          <w:tcPr>
            <w:tcW w:w="768" w:type="pct"/>
          </w:tcPr>
          <w:p w14:paraId="720B4FFA">
            <w:pPr>
              <w:rPr>
                <w:rFonts w:ascii="宋体" w:hAnsi="宋体" w:eastAsia="宋体" w:cs="宋体"/>
                <w:sz w:val="24"/>
                <w:szCs w:val="24"/>
              </w:rPr>
            </w:pPr>
            <w:r>
              <w:rPr>
                <w:rFonts w:hint="eastAsia" w:ascii="宋体" w:hAnsi="宋体" w:eastAsia="宋体" w:cs="宋体"/>
                <w:sz w:val="24"/>
                <w:szCs w:val="24"/>
              </w:rPr>
              <w:t>2</w:t>
            </w:r>
          </w:p>
        </w:tc>
        <w:tc>
          <w:tcPr>
            <w:tcW w:w="560" w:type="pct"/>
          </w:tcPr>
          <w:p w14:paraId="49040BB5">
            <w:pPr>
              <w:rPr>
                <w:rFonts w:ascii="宋体" w:hAnsi="宋体" w:eastAsia="宋体" w:cs="宋体"/>
                <w:sz w:val="24"/>
                <w:szCs w:val="24"/>
              </w:rPr>
            </w:pPr>
          </w:p>
        </w:tc>
      </w:tr>
      <w:tr w14:paraId="07DF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5CC86D74">
            <w:pPr>
              <w:rPr>
                <w:rFonts w:ascii="宋体" w:hAnsi="宋体" w:eastAsia="宋体" w:cs="宋体"/>
                <w:sz w:val="24"/>
                <w:szCs w:val="24"/>
              </w:rPr>
            </w:pPr>
            <w:r>
              <w:rPr>
                <w:rFonts w:hint="eastAsia" w:ascii="宋体" w:hAnsi="宋体" w:eastAsia="宋体" w:cs="宋体"/>
                <w:sz w:val="24"/>
                <w:szCs w:val="24"/>
              </w:rPr>
              <w:t>20</w:t>
            </w:r>
          </w:p>
        </w:tc>
        <w:tc>
          <w:tcPr>
            <w:tcW w:w="1196" w:type="pct"/>
          </w:tcPr>
          <w:p w14:paraId="07E0BF45">
            <w:pPr>
              <w:rPr>
                <w:rFonts w:ascii="宋体" w:hAnsi="宋体" w:eastAsia="宋体" w:cs="宋体"/>
                <w:sz w:val="24"/>
                <w:szCs w:val="24"/>
              </w:rPr>
            </w:pPr>
            <w:r>
              <w:rPr>
                <w:rFonts w:hint="eastAsia" w:ascii="宋体" w:hAnsi="宋体" w:eastAsia="宋体" w:cs="宋体"/>
                <w:sz w:val="24"/>
                <w:szCs w:val="24"/>
              </w:rPr>
              <w:t>紧急停止按钮</w:t>
            </w:r>
          </w:p>
        </w:tc>
        <w:tc>
          <w:tcPr>
            <w:tcW w:w="1367" w:type="pct"/>
          </w:tcPr>
          <w:p w14:paraId="1B5870AB">
            <w:pPr>
              <w:rPr>
                <w:rFonts w:ascii="宋体" w:hAnsi="宋体" w:eastAsia="宋体" w:cs="宋体"/>
                <w:sz w:val="24"/>
                <w:szCs w:val="24"/>
              </w:rPr>
            </w:pPr>
          </w:p>
        </w:tc>
        <w:tc>
          <w:tcPr>
            <w:tcW w:w="683" w:type="pct"/>
          </w:tcPr>
          <w:p w14:paraId="1C50387D">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29501EC3">
            <w:pPr>
              <w:rPr>
                <w:rFonts w:ascii="宋体" w:hAnsi="宋体" w:eastAsia="宋体" w:cs="宋体"/>
                <w:sz w:val="24"/>
                <w:szCs w:val="24"/>
              </w:rPr>
            </w:pPr>
            <w:r>
              <w:rPr>
                <w:rFonts w:hint="eastAsia" w:ascii="宋体" w:hAnsi="宋体" w:eastAsia="宋体" w:cs="宋体"/>
                <w:sz w:val="24"/>
                <w:szCs w:val="24"/>
              </w:rPr>
              <w:t>4</w:t>
            </w:r>
          </w:p>
        </w:tc>
        <w:tc>
          <w:tcPr>
            <w:tcW w:w="560" w:type="pct"/>
          </w:tcPr>
          <w:p w14:paraId="09B1B6A6">
            <w:pPr>
              <w:rPr>
                <w:rFonts w:ascii="宋体" w:hAnsi="宋体" w:eastAsia="宋体" w:cs="宋体"/>
                <w:sz w:val="24"/>
                <w:szCs w:val="24"/>
              </w:rPr>
            </w:pPr>
          </w:p>
        </w:tc>
      </w:tr>
      <w:tr w14:paraId="3331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01F15879">
            <w:pPr>
              <w:rPr>
                <w:rFonts w:ascii="宋体" w:hAnsi="宋体" w:eastAsia="宋体" w:cs="宋体"/>
                <w:sz w:val="24"/>
                <w:szCs w:val="24"/>
              </w:rPr>
            </w:pPr>
            <w:r>
              <w:rPr>
                <w:rFonts w:hint="eastAsia" w:ascii="宋体" w:hAnsi="宋体" w:eastAsia="宋体" w:cs="宋体"/>
                <w:sz w:val="24"/>
                <w:szCs w:val="24"/>
              </w:rPr>
              <w:t>21</w:t>
            </w:r>
          </w:p>
        </w:tc>
        <w:tc>
          <w:tcPr>
            <w:tcW w:w="1196" w:type="pct"/>
          </w:tcPr>
          <w:p w14:paraId="103F0741">
            <w:pPr>
              <w:rPr>
                <w:rFonts w:ascii="宋体" w:hAnsi="宋体" w:eastAsia="宋体" w:cs="宋体"/>
                <w:sz w:val="24"/>
                <w:szCs w:val="24"/>
              </w:rPr>
            </w:pPr>
            <w:r>
              <w:rPr>
                <w:rFonts w:hint="eastAsia" w:ascii="宋体" w:hAnsi="宋体" w:eastAsia="宋体" w:cs="宋体"/>
                <w:sz w:val="24"/>
                <w:szCs w:val="24"/>
              </w:rPr>
              <w:t>气体声光报警器</w:t>
            </w:r>
          </w:p>
        </w:tc>
        <w:tc>
          <w:tcPr>
            <w:tcW w:w="1367" w:type="pct"/>
          </w:tcPr>
          <w:p w14:paraId="166CD943">
            <w:pPr>
              <w:rPr>
                <w:rFonts w:ascii="宋体" w:hAnsi="宋体" w:eastAsia="宋体" w:cs="宋体"/>
                <w:sz w:val="24"/>
                <w:szCs w:val="24"/>
              </w:rPr>
            </w:pPr>
          </w:p>
        </w:tc>
        <w:tc>
          <w:tcPr>
            <w:tcW w:w="683" w:type="pct"/>
          </w:tcPr>
          <w:p w14:paraId="163B70F9">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4B92C6BE">
            <w:pPr>
              <w:rPr>
                <w:rFonts w:ascii="宋体" w:hAnsi="宋体" w:eastAsia="宋体" w:cs="宋体"/>
                <w:sz w:val="24"/>
                <w:szCs w:val="24"/>
              </w:rPr>
            </w:pPr>
            <w:r>
              <w:rPr>
                <w:rFonts w:hint="eastAsia" w:ascii="宋体" w:hAnsi="宋体" w:eastAsia="宋体" w:cs="宋体"/>
                <w:sz w:val="24"/>
                <w:szCs w:val="24"/>
              </w:rPr>
              <w:t>4</w:t>
            </w:r>
          </w:p>
        </w:tc>
        <w:tc>
          <w:tcPr>
            <w:tcW w:w="560" w:type="pct"/>
          </w:tcPr>
          <w:p w14:paraId="6DCA6C1E">
            <w:pPr>
              <w:rPr>
                <w:rFonts w:ascii="宋体" w:hAnsi="宋体" w:eastAsia="宋体" w:cs="宋体"/>
                <w:sz w:val="24"/>
                <w:szCs w:val="24"/>
              </w:rPr>
            </w:pPr>
          </w:p>
        </w:tc>
      </w:tr>
      <w:tr w14:paraId="5BCF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FD7AF14">
            <w:pPr>
              <w:rPr>
                <w:rFonts w:ascii="宋体" w:hAnsi="宋体" w:eastAsia="宋体" w:cs="宋体"/>
                <w:sz w:val="24"/>
                <w:szCs w:val="24"/>
              </w:rPr>
            </w:pPr>
            <w:r>
              <w:rPr>
                <w:rFonts w:hint="eastAsia" w:ascii="宋体" w:hAnsi="宋体" w:eastAsia="宋体" w:cs="宋体"/>
                <w:sz w:val="24"/>
                <w:szCs w:val="24"/>
              </w:rPr>
              <w:t>22</w:t>
            </w:r>
          </w:p>
        </w:tc>
        <w:tc>
          <w:tcPr>
            <w:tcW w:w="1196" w:type="pct"/>
          </w:tcPr>
          <w:p w14:paraId="1D1A4664">
            <w:pPr>
              <w:rPr>
                <w:rFonts w:ascii="宋体" w:hAnsi="宋体" w:eastAsia="宋体" w:cs="宋体"/>
                <w:sz w:val="24"/>
                <w:szCs w:val="24"/>
              </w:rPr>
            </w:pPr>
            <w:r>
              <w:rPr>
                <w:rFonts w:hint="eastAsia" w:ascii="宋体" w:hAnsi="宋体" w:eastAsia="宋体" w:cs="宋体"/>
                <w:sz w:val="24"/>
                <w:szCs w:val="24"/>
              </w:rPr>
              <w:t>警铃</w:t>
            </w:r>
          </w:p>
        </w:tc>
        <w:tc>
          <w:tcPr>
            <w:tcW w:w="1367" w:type="pct"/>
          </w:tcPr>
          <w:p w14:paraId="426C7120">
            <w:pPr>
              <w:rPr>
                <w:rFonts w:ascii="宋体" w:hAnsi="宋体" w:eastAsia="宋体" w:cs="宋体"/>
                <w:sz w:val="24"/>
                <w:szCs w:val="24"/>
              </w:rPr>
            </w:pPr>
          </w:p>
        </w:tc>
        <w:tc>
          <w:tcPr>
            <w:tcW w:w="683" w:type="pct"/>
          </w:tcPr>
          <w:p w14:paraId="2EE170A0">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23FF92C8">
            <w:pPr>
              <w:rPr>
                <w:rFonts w:ascii="宋体" w:hAnsi="宋体" w:eastAsia="宋体" w:cs="宋体"/>
                <w:sz w:val="24"/>
                <w:szCs w:val="24"/>
              </w:rPr>
            </w:pPr>
            <w:r>
              <w:rPr>
                <w:rFonts w:hint="eastAsia" w:ascii="宋体" w:hAnsi="宋体" w:eastAsia="宋体" w:cs="宋体"/>
                <w:sz w:val="24"/>
                <w:szCs w:val="24"/>
              </w:rPr>
              <w:t>4</w:t>
            </w:r>
          </w:p>
        </w:tc>
        <w:tc>
          <w:tcPr>
            <w:tcW w:w="560" w:type="pct"/>
          </w:tcPr>
          <w:p w14:paraId="771F774F">
            <w:pPr>
              <w:rPr>
                <w:rFonts w:ascii="宋体" w:hAnsi="宋体" w:eastAsia="宋体" w:cs="宋体"/>
                <w:sz w:val="24"/>
                <w:szCs w:val="24"/>
              </w:rPr>
            </w:pPr>
          </w:p>
        </w:tc>
      </w:tr>
      <w:tr w14:paraId="6336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3BECD97F">
            <w:pPr>
              <w:rPr>
                <w:rFonts w:ascii="宋体" w:hAnsi="宋体" w:eastAsia="宋体" w:cs="宋体"/>
                <w:sz w:val="24"/>
                <w:szCs w:val="24"/>
              </w:rPr>
            </w:pPr>
            <w:r>
              <w:rPr>
                <w:rFonts w:hint="eastAsia" w:ascii="宋体" w:hAnsi="宋体" w:eastAsia="宋体" w:cs="宋体"/>
                <w:sz w:val="24"/>
                <w:szCs w:val="24"/>
              </w:rPr>
              <w:t>23</w:t>
            </w:r>
          </w:p>
        </w:tc>
        <w:tc>
          <w:tcPr>
            <w:tcW w:w="1196" w:type="pct"/>
          </w:tcPr>
          <w:p w14:paraId="5FF90F2F">
            <w:pPr>
              <w:rPr>
                <w:rFonts w:ascii="宋体" w:hAnsi="宋体" w:eastAsia="宋体" w:cs="宋体"/>
                <w:sz w:val="24"/>
                <w:szCs w:val="24"/>
              </w:rPr>
            </w:pPr>
            <w:r>
              <w:rPr>
                <w:rFonts w:hint="eastAsia" w:ascii="宋体" w:hAnsi="宋体" w:eastAsia="宋体" w:cs="宋体"/>
                <w:sz w:val="24"/>
                <w:szCs w:val="24"/>
              </w:rPr>
              <w:t>放气指示灯</w:t>
            </w:r>
          </w:p>
        </w:tc>
        <w:tc>
          <w:tcPr>
            <w:tcW w:w="1367" w:type="pct"/>
          </w:tcPr>
          <w:p w14:paraId="61CB103D">
            <w:pPr>
              <w:rPr>
                <w:rFonts w:ascii="宋体" w:hAnsi="宋体" w:eastAsia="宋体" w:cs="宋体"/>
                <w:sz w:val="24"/>
                <w:szCs w:val="24"/>
              </w:rPr>
            </w:pPr>
          </w:p>
        </w:tc>
        <w:tc>
          <w:tcPr>
            <w:tcW w:w="683" w:type="pct"/>
          </w:tcPr>
          <w:p w14:paraId="21358BF7">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0A874C8A">
            <w:pPr>
              <w:rPr>
                <w:rFonts w:ascii="宋体" w:hAnsi="宋体" w:eastAsia="宋体" w:cs="宋体"/>
                <w:sz w:val="24"/>
                <w:szCs w:val="24"/>
              </w:rPr>
            </w:pPr>
            <w:r>
              <w:rPr>
                <w:rFonts w:hint="eastAsia" w:ascii="宋体" w:hAnsi="宋体" w:eastAsia="宋体" w:cs="宋体"/>
                <w:sz w:val="24"/>
                <w:szCs w:val="24"/>
              </w:rPr>
              <w:t>4</w:t>
            </w:r>
          </w:p>
        </w:tc>
        <w:tc>
          <w:tcPr>
            <w:tcW w:w="560" w:type="pct"/>
          </w:tcPr>
          <w:p w14:paraId="45310504">
            <w:pPr>
              <w:rPr>
                <w:rFonts w:ascii="宋体" w:hAnsi="宋体" w:eastAsia="宋体" w:cs="宋体"/>
                <w:sz w:val="24"/>
                <w:szCs w:val="24"/>
              </w:rPr>
            </w:pPr>
          </w:p>
        </w:tc>
      </w:tr>
      <w:tr w14:paraId="6E1E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370DAC03">
            <w:pPr>
              <w:rPr>
                <w:rFonts w:ascii="宋体" w:hAnsi="宋体" w:eastAsia="宋体" w:cs="宋体"/>
                <w:sz w:val="24"/>
                <w:szCs w:val="24"/>
              </w:rPr>
            </w:pPr>
            <w:r>
              <w:rPr>
                <w:rFonts w:hint="eastAsia" w:ascii="宋体" w:hAnsi="宋体" w:eastAsia="宋体" w:cs="宋体"/>
                <w:sz w:val="24"/>
                <w:szCs w:val="24"/>
              </w:rPr>
              <w:t>24</w:t>
            </w:r>
          </w:p>
        </w:tc>
        <w:tc>
          <w:tcPr>
            <w:tcW w:w="1196" w:type="pct"/>
          </w:tcPr>
          <w:p w14:paraId="177AE3A6">
            <w:pPr>
              <w:rPr>
                <w:rFonts w:ascii="宋体" w:hAnsi="宋体" w:eastAsia="宋体" w:cs="宋体"/>
                <w:sz w:val="24"/>
                <w:szCs w:val="24"/>
              </w:rPr>
            </w:pPr>
            <w:r>
              <w:rPr>
                <w:rFonts w:hint="eastAsia" w:ascii="宋体" w:hAnsi="宋体" w:eastAsia="宋体" w:cs="宋体"/>
                <w:sz w:val="24"/>
                <w:szCs w:val="24"/>
              </w:rPr>
              <w:t>EPS应急电源</w:t>
            </w:r>
          </w:p>
        </w:tc>
        <w:tc>
          <w:tcPr>
            <w:tcW w:w="1367" w:type="pct"/>
          </w:tcPr>
          <w:p w14:paraId="23C3271A">
            <w:pPr>
              <w:rPr>
                <w:rFonts w:ascii="宋体" w:hAnsi="宋体" w:eastAsia="宋体" w:cs="宋体"/>
                <w:sz w:val="24"/>
                <w:szCs w:val="24"/>
              </w:rPr>
            </w:pPr>
            <w:r>
              <w:rPr>
                <w:rFonts w:hint="eastAsia" w:ascii="宋体" w:hAnsi="宋体" w:eastAsia="宋体" w:cs="宋体"/>
                <w:sz w:val="24"/>
                <w:szCs w:val="24"/>
              </w:rPr>
              <w:t>3KW</w:t>
            </w:r>
          </w:p>
        </w:tc>
        <w:tc>
          <w:tcPr>
            <w:tcW w:w="683" w:type="pct"/>
          </w:tcPr>
          <w:p w14:paraId="26FFA6DB">
            <w:pPr>
              <w:rPr>
                <w:rFonts w:ascii="宋体" w:hAnsi="宋体" w:eastAsia="宋体" w:cs="宋体"/>
                <w:sz w:val="24"/>
                <w:szCs w:val="24"/>
              </w:rPr>
            </w:pPr>
            <w:r>
              <w:rPr>
                <w:rFonts w:hint="eastAsia" w:ascii="宋体" w:hAnsi="宋体" w:eastAsia="宋体" w:cs="宋体"/>
                <w:sz w:val="24"/>
                <w:szCs w:val="24"/>
              </w:rPr>
              <w:t>套</w:t>
            </w:r>
          </w:p>
        </w:tc>
        <w:tc>
          <w:tcPr>
            <w:tcW w:w="768" w:type="pct"/>
          </w:tcPr>
          <w:p w14:paraId="00A4FBCB">
            <w:pPr>
              <w:rPr>
                <w:rFonts w:ascii="宋体" w:hAnsi="宋体" w:eastAsia="宋体" w:cs="宋体"/>
                <w:sz w:val="24"/>
                <w:szCs w:val="24"/>
              </w:rPr>
            </w:pPr>
            <w:r>
              <w:rPr>
                <w:rFonts w:hint="eastAsia" w:ascii="宋体" w:hAnsi="宋体" w:eastAsia="宋体" w:cs="宋体"/>
                <w:sz w:val="24"/>
                <w:szCs w:val="24"/>
              </w:rPr>
              <w:t>26</w:t>
            </w:r>
          </w:p>
        </w:tc>
        <w:tc>
          <w:tcPr>
            <w:tcW w:w="560" w:type="pct"/>
          </w:tcPr>
          <w:p w14:paraId="3D870250">
            <w:pPr>
              <w:rPr>
                <w:rFonts w:ascii="宋体" w:hAnsi="宋体" w:eastAsia="宋体" w:cs="宋体"/>
                <w:sz w:val="24"/>
                <w:szCs w:val="24"/>
              </w:rPr>
            </w:pPr>
          </w:p>
        </w:tc>
      </w:tr>
      <w:tr w14:paraId="2237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47832BFD">
            <w:pPr>
              <w:rPr>
                <w:rFonts w:ascii="宋体" w:hAnsi="宋体" w:eastAsia="宋体" w:cs="宋体"/>
                <w:sz w:val="24"/>
                <w:szCs w:val="24"/>
              </w:rPr>
            </w:pPr>
            <w:r>
              <w:rPr>
                <w:rFonts w:hint="eastAsia" w:ascii="宋体" w:hAnsi="宋体" w:eastAsia="宋体" w:cs="宋体"/>
                <w:sz w:val="24"/>
                <w:szCs w:val="24"/>
              </w:rPr>
              <w:t>25</w:t>
            </w:r>
          </w:p>
        </w:tc>
        <w:tc>
          <w:tcPr>
            <w:tcW w:w="1196" w:type="pct"/>
          </w:tcPr>
          <w:p w14:paraId="3DCF66D5">
            <w:pPr>
              <w:rPr>
                <w:rFonts w:ascii="宋体" w:hAnsi="宋体" w:eastAsia="宋体" w:cs="宋体"/>
                <w:sz w:val="24"/>
                <w:szCs w:val="24"/>
              </w:rPr>
            </w:pPr>
            <w:r>
              <w:rPr>
                <w:rFonts w:hint="eastAsia" w:ascii="宋体" w:hAnsi="宋体" w:eastAsia="宋体" w:cs="宋体"/>
                <w:sz w:val="24"/>
                <w:szCs w:val="24"/>
              </w:rPr>
              <w:t>疏散指示灯</w:t>
            </w:r>
          </w:p>
        </w:tc>
        <w:tc>
          <w:tcPr>
            <w:tcW w:w="1367" w:type="pct"/>
          </w:tcPr>
          <w:p w14:paraId="70F23C6D">
            <w:pPr>
              <w:rPr>
                <w:rFonts w:ascii="宋体" w:hAnsi="宋体" w:eastAsia="宋体" w:cs="宋体"/>
                <w:sz w:val="24"/>
                <w:szCs w:val="24"/>
              </w:rPr>
            </w:pPr>
          </w:p>
        </w:tc>
        <w:tc>
          <w:tcPr>
            <w:tcW w:w="683" w:type="pct"/>
          </w:tcPr>
          <w:p w14:paraId="3BE88A51">
            <w:pPr>
              <w:rPr>
                <w:rFonts w:ascii="宋体" w:hAnsi="宋体" w:eastAsia="宋体" w:cs="宋体"/>
                <w:sz w:val="24"/>
                <w:szCs w:val="24"/>
              </w:rPr>
            </w:pPr>
            <w:r>
              <w:rPr>
                <w:rFonts w:hint="eastAsia" w:ascii="宋体" w:hAnsi="宋体" w:eastAsia="宋体" w:cs="宋体"/>
                <w:sz w:val="24"/>
                <w:szCs w:val="24"/>
              </w:rPr>
              <w:t>套</w:t>
            </w:r>
          </w:p>
        </w:tc>
        <w:tc>
          <w:tcPr>
            <w:tcW w:w="768" w:type="pct"/>
          </w:tcPr>
          <w:p w14:paraId="599CA64F">
            <w:pPr>
              <w:rPr>
                <w:rFonts w:ascii="宋体" w:hAnsi="宋体" w:eastAsia="宋体" w:cs="宋体"/>
                <w:sz w:val="24"/>
                <w:szCs w:val="24"/>
              </w:rPr>
            </w:pPr>
            <w:r>
              <w:rPr>
                <w:rFonts w:hint="eastAsia" w:ascii="宋体" w:hAnsi="宋体" w:eastAsia="宋体" w:cs="宋体"/>
                <w:sz w:val="24"/>
                <w:szCs w:val="24"/>
              </w:rPr>
              <w:t>1575</w:t>
            </w:r>
          </w:p>
        </w:tc>
        <w:tc>
          <w:tcPr>
            <w:tcW w:w="560" w:type="pct"/>
          </w:tcPr>
          <w:p w14:paraId="4E494562">
            <w:pPr>
              <w:rPr>
                <w:rFonts w:ascii="宋体" w:hAnsi="宋体" w:eastAsia="宋体" w:cs="宋体"/>
                <w:sz w:val="24"/>
                <w:szCs w:val="24"/>
              </w:rPr>
            </w:pPr>
          </w:p>
        </w:tc>
      </w:tr>
      <w:tr w14:paraId="1B93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7950D866">
            <w:pPr>
              <w:rPr>
                <w:rFonts w:ascii="宋体" w:hAnsi="宋体" w:eastAsia="宋体" w:cs="宋体"/>
                <w:sz w:val="24"/>
                <w:szCs w:val="24"/>
              </w:rPr>
            </w:pPr>
            <w:r>
              <w:rPr>
                <w:rFonts w:hint="eastAsia" w:ascii="宋体" w:hAnsi="宋体" w:eastAsia="宋体" w:cs="宋体"/>
                <w:sz w:val="24"/>
                <w:szCs w:val="24"/>
              </w:rPr>
              <w:t>26</w:t>
            </w:r>
          </w:p>
        </w:tc>
        <w:tc>
          <w:tcPr>
            <w:tcW w:w="1196" w:type="pct"/>
          </w:tcPr>
          <w:p w14:paraId="7FDED57B">
            <w:pPr>
              <w:rPr>
                <w:rFonts w:ascii="宋体" w:hAnsi="宋体" w:eastAsia="宋体" w:cs="宋体"/>
                <w:sz w:val="24"/>
                <w:szCs w:val="24"/>
              </w:rPr>
            </w:pPr>
            <w:r>
              <w:rPr>
                <w:rFonts w:hint="eastAsia" w:ascii="宋体" w:hAnsi="宋体" w:eastAsia="宋体" w:cs="宋体"/>
                <w:sz w:val="24"/>
                <w:szCs w:val="24"/>
              </w:rPr>
              <w:t>防火卷控制器</w:t>
            </w:r>
          </w:p>
        </w:tc>
        <w:tc>
          <w:tcPr>
            <w:tcW w:w="1367" w:type="pct"/>
          </w:tcPr>
          <w:p w14:paraId="2416E277">
            <w:pPr>
              <w:rPr>
                <w:rFonts w:ascii="宋体" w:hAnsi="宋体" w:eastAsia="宋体" w:cs="宋体"/>
                <w:sz w:val="24"/>
                <w:szCs w:val="24"/>
              </w:rPr>
            </w:pPr>
          </w:p>
        </w:tc>
        <w:tc>
          <w:tcPr>
            <w:tcW w:w="683" w:type="pct"/>
          </w:tcPr>
          <w:p w14:paraId="156E71BE">
            <w:pPr>
              <w:rPr>
                <w:rFonts w:ascii="宋体" w:hAnsi="宋体" w:eastAsia="宋体" w:cs="宋体"/>
                <w:sz w:val="24"/>
                <w:szCs w:val="24"/>
              </w:rPr>
            </w:pPr>
            <w:r>
              <w:rPr>
                <w:rFonts w:hint="eastAsia" w:ascii="宋体" w:hAnsi="宋体" w:eastAsia="宋体" w:cs="宋体"/>
                <w:sz w:val="24"/>
                <w:szCs w:val="24"/>
              </w:rPr>
              <w:t>套</w:t>
            </w:r>
          </w:p>
        </w:tc>
        <w:tc>
          <w:tcPr>
            <w:tcW w:w="768" w:type="pct"/>
          </w:tcPr>
          <w:p w14:paraId="6F0B3F42">
            <w:pPr>
              <w:rPr>
                <w:rFonts w:ascii="宋体" w:hAnsi="宋体" w:eastAsia="宋体" w:cs="宋体"/>
                <w:sz w:val="24"/>
                <w:szCs w:val="24"/>
              </w:rPr>
            </w:pPr>
            <w:r>
              <w:rPr>
                <w:rFonts w:hint="eastAsia" w:ascii="宋体" w:hAnsi="宋体" w:eastAsia="宋体" w:cs="宋体"/>
                <w:sz w:val="24"/>
                <w:szCs w:val="24"/>
              </w:rPr>
              <w:t>82</w:t>
            </w:r>
          </w:p>
        </w:tc>
        <w:tc>
          <w:tcPr>
            <w:tcW w:w="560" w:type="pct"/>
          </w:tcPr>
          <w:p w14:paraId="4B9358D7">
            <w:pPr>
              <w:rPr>
                <w:rFonts w:ascii="宋体" w:hAnsi="宋体" w:eastAsia="宋体" w:cs="宋体"/>
                <w:sz w:val="24"/>
                <w:szCs w:val="24"/>
              </w:rPr>
            </w:pPr>
          </w:p>
        </w:tc>
      </w:tr>
      <w:tr w14:paraId="09AD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7A4608D5">
            <w:pPr>
              <w:rPr>
                <w:rFonts w:ascii="宋体" w:hAnsi="宋体" w:eastAsia="宋体" w:cs="宋体"/>
                <w:sz w:val="24"/>
                <w:szCs w:val="24"/>
              </w:rPr>
            </w:pPr>
            <w:r>
              <w:rPr>
                <w:rFonts w:hint="eastAsia" w:ascii="宋体" w:hAnsi="宋体" w:eastAsia="宋体" w:cs="宋体"/>
                <w:sz w:val="24"/>
                <w:szCs w:val="24"/>
              </w:rPr>
              <w:t>27</w:t>
            </w:r>
          </w:p>
        </w:tc>
        <w:tc>
          <w:tcPr>
            <w:tcW w:w="1196" w:type="pct"/>
          </w:tcPr>
          <w:p w14:paraId="7965526F">
            <w:pPr>
              <w:rPr>
                <w:rFonts w:ascii="宋体" w:hAnsi="宋体" w:eastAsia="宋体" w:cs="宋体"/>
                <w:sz w:val="24"/>
                <w:szCs w:val="24"/>
              </w:rPr>
            </w:pPr>
            <w:r>
              <w:rPr>
                <w:rFonts w:hint="eastAsia" w:ascii="宋体" w:hAnsi="宋体" w:eastAsia="宋体" w:cs="宋体"/>
                <w:sz w:val="24"/>
                <w:szCs w:val="24"/>
              </w:rPr>
              <w:t>正压送风机</w:t>
            </w:r>
          </w:p>
        </w:tc>
        <w:tc>
          <w:tcPr>
            <w:tcW w:w="1367" w:type="pct"/>
          </w:tcPr>
          <w:p w14:paraId="0BAC2070">
            <w:pPr>
              <w:rPr>
                <w:rFonts w:ascii="宋体" w:hAnsi="宋体" w:eastAsia="宋体" w:cs="宋体"/>
                <w:sz w:val="24"/>
                <w:szCs w:val="24"/>
              </w:rPr>
            </w:pPr>
          </w:p>
        </w:tc>
        <w:tc>
          <w:tcPr>
            <w:tcW w:w="683" w:type="pct"/>
          </w:tcPr>
          <w:p w14:paraId="62F5B3D1">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7E2D6604">
            <w:pPr>
              <w:rPr>
                <w:rFonts w:ascii="宋体" w:hAnsi="宋体" w:eastAsia="宋体" w:cs="宋体"/>
                <w:sz w:val="24"/>
                <w:szCs w:val="24"/>
              </w:rPr>
            </w:pPr>
            <w:r>
              <w:rPr>
                <w:rFonts w:hint="eastAsia" w:ascii="宋体" w:hAnsi="宋体" w:eastAsia="宋体" w:cs="宋体"/>
                <w:sz w:val="24"/>
                <w:szCs w:val="24"/>
              </w:rPr>
              <w:t>5</w:t>
            </w:r>
          </w:p>
        </w:tc>
        <w:tc>
          <w:tcPr>
            <w:tcW w:w="560" w:type="pct"/>
          </w:tcPr>
          <w:p w14:paraId="1A523487">
            <w:pPr>
              <w:rPr>
                <w:rFonts w:ascii="宋体" w:hAnsi="宋体" w:eastAsia="宋体" w:cs="宋体"/>
                <w:sz w:val="24"/>
                <w:szCs w:val="24"/>
              </w:rPr>
            </w:pPr>
          </w:p>
        </w:tc>
      </w:tr>
      <w:tr w14:paraId="5121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744337C6">
            <w:pPr>
              <w:rPr>
                <w:rFonts w:ascii="宋体" w:hAnsi="宋体" w:eastAsia="宋体" w:cs="宋体"/>
                <w:sz w:val="24"/>
                <w:szCs w:val="24"/>
              </w:rPr>
            </w:pPr>
            <w:r>
              <w:rPr>
                <w:rFonts w:hint="eastAsia" w:ascii="宋体" w:hAnsi="宋体" w:eastAsia="宋体" w:cs="宋体"/>
                <w:sz w:val="24"/>
                <w:szCs w:val="24"/>
              </w:rPr>
              <w:t>28</w:t>
            </w:r>
          </w:p>
        </w:tc>
        <w:tc>
          <w:tcPr>
            <w:tcW w:w="1196" w:type="pct"/>
          </w:tcPr>
          <w:p w14:paraId="3EE91DF8">
            <w:pPr>
              <w:rPr>
                <w:rFonts w:ascii="宋体" w:hAnsi="宋体" w:eastAsia="宋体" w:cs="宋体"/>
                <w:sz w:val="24"/>
                <w:szCs w:val="24"/>
              </w:rPr>
            </w:pPr>
            <w:r>
              <w:rPr>
                <w:rFonts w:hint="eastAsia" w:ascii="宋体" w:hAnsi="宋体" w:eastAsia="宋体" w:cs="宋体"/>
                <w:sz w:val="24"/>
                <w:szCs w:val="24"/>
              </w:rPr>
              <w:t>排烟风机</w:t>
            </w:r>
          </w:p>
        </w:tc>
        <w:tc>
          <w:tcPr>
            <w:tcW w:w="1367" w:type="pct"/>
          </w:tcPr>
          <w:p w14:paraId="5C517E6F">
            <w:pPr>
              <w:rPr>
                <w:rFonts w:ascii="宋体" w:hAnsi="宋体" w:eastAsia="宋体" w:cs="宋体"/>
                <w:sz w:val="24"/>
                <w:szCs w:val="24"/>
              </w:rPr>
            </w:pPr>
          </w:p>
        </w:tc>
        <w:tc>
          <w:tcPr>
            <w:tcW w:w="683" w:type="pct"/>
          </w:tcPr>
          <w:p w14:paraId="35565EAE">
            <w:pPr>
              <w:rPr>
                <w:rFonts w:ascii="宋体" w:hAnsi="宋体" w:eastAsia="宋体" w:cs="宋体"/>
                <w:sz w:val="24"/>
                <w:szCs w:val="24"/>
              </w:rPr>
            </w:pPr>
            <w:r>
              <w:rPr>
                <w:rFonts w:hint="eastAsia" w:ascii="宋体" w:hAnsi="宋体" w:eastAsia="宋体" w:cs="宋体"/>
                <w:sz w:val="24"/>
                <w:szCs w:val="24"/>
              </w:rPr>
              <w:t>台</w:t>
            </w:r>
          </w:p>
        </w:tc>
        <w:tc>
          <w:tcPr>
            <w:tcW w:w="768" w:type="pct"/>
          </w:tcPr>
          <w:p w14:paraId="03E0A7E6">
            <w:pPr>
              <w:rPr>
                <w:rFonts w:ascii="宋体" w:hAnsi="宋体" w:eastAsia="宋体" w:cs="宋体"/>
                <w:sz w:val="24"/>
                <w:szCs w:val="24"/>
              </w:rPr>
            </w:pPr>
            <w:r>
              <w:rPr>
                <w:rFonts w:hint="eastAsia" w:ascii="宋体" w:hAnsi="宋体" w:eastAsia="宋体" w:cs="宋体"/>
                <w:sz w:val="24"/>
                <w:szCs w:val="24"/>
              </w:rPr>
              <w:t>12</w:t>
            </w:r>
          </w:p>
        </w:tc>
        <w:tc>
          <w:tcPr>
            <w:tcW w:w="560" w:type="pct"/>
          </w:tcPr>
          <w:p w14:paraId="427C9469">
            <w:pPr>
              <w:rPr>
                <w:rFonts w:ascii="宋体" w:hAnsi="宋体" w:eastAsia="宋体" w:cs="宋体"/>
                <w:sz w:val="24"/>
                <w:szCs w:val="24"/>
              </w:rPr>
            </w:pPr>
          </w:p>
        </w:tc>
      </w:tr>
      <w:tr w14:paraId="29390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tcPr>
          <w:p w14:paraId="6C234723">
            <w:pPr>
              <w:rPr>
                <w:rFonts w:ascii="宋体" w:hAnsi="宋体" w:eastAsia="宋体" w:cs="宋体"/>
                <w:sz w:val="24"/>
                <w:szCs w:val="24"/>
              </w:rPr>
            </w:pPr>
            <w:r>
              <w:rPr>
                <w:rFonts w:hint="eastAsia" w:ascii="宋体" w:hAnsi="宋体" w:eastAsia="宋体" w:cs="宋体"/>
                <w:sz w:val="24"/>
                <w:szCs w:val="24"/>
              </w:rPr>
              <w:t>29</w:t>
            </w:r>
          </w:p>
        </w:tc>
        <w:tc>
          <w:tcPr>
            <w:tcW w:w="1196" w:type="pct"/>
          </w:tcPr>
          <w:p w14:paraId="1440B727">
            <w:pPr>
              <w:rPr>
                <w:rFonts w:ascii="宋体" w:hAnsi="宋体" w:eastAsia="宋体" w:cs="宋体"/>
                <w:sz w:val="24"/>
                <w:szCs w:val="24"/>
              </w:rPr>
            </w:pPr>
            <w:r>
              <w:rPr>
                <w:rFonts w:hint="eastAsia" w:ascii="宋体" w:hAnsi="宋体" w:eastAsia="宋体" w:cs="宋体"/>
                <w:sz w:val="24"/>
                <w:szCs w:val="24"/>
              </w:rPr>
              <w:t>IG541气瓶</w:t>
            </w:r>
          </w:p>
        </w:tc>
        <w:tc>
          <w:tcPr>
            <w:tcW w:w="1367" w:type="pct"/>
          </w:tcPr>
          <w:p w14:paraId="4695EE22">
            <w:pPr>
              <w:rPr>
                <w:rFonts w:ascii="宋体" w:hAnsi="宋体" w:eastAsia="宋体" w:cs="宋体"/>
                <w:sz w:val="24"/>
                <w:szCs w:val="24"/>
              </w:rPr>
            </w:pPr>
            <w:r>
              <w:rPr>
                <w:rFonts w:hint="eastAsia" w:ascii="宋体" w:hAnsi="宋体" w:eastAsia="宋体" w:cs="宋体"/>
                <w:sz w:val="24"/>
                <w:szCs w:val="24"/>
              </w:rPr>
              <w:t>90L</w:t>
            </w:r>
          </w:p>
        </w:tc>
        <w:tc>
          <w:tcPr>
            <w:tcW w:w="683" w:type="pct"/>
          </w:tcPr>
          <w:p w14:paraId="102388F3">
            <w:pPr>
              <w:rPr>
                <w:rFonts w:ascii="宋体" w:hAnsi="宋体" w:eastAsia="宋体" w:cs="宋体"/>
                <w:sz w:val="24"/>
                <w:szCs w:val="24"/>
              </w:rPr>
            </w:pPr>
            <w:r>
              <w:rPr>
                <w:rFonts w:hint="eastAsia" w:ascii="宋体" w:hAnsi="宋体" w:eastAsia="宋体" w:cs="宋体"/>
                <w:sz w:val="24"/>
                <w:szCs w:val="24"/>
              </w:rPr>
              <w:t>只</w:t>
            </w:r>
          </w:p>
        </w:tc>
        <w:tc>
          <w:tcPr>
            <w:tcW w:w="768" w:type="pct"/>
          </w:tcPr>
          <w:p w14:paraId="6D47E0D3">
            <w:pPr>
              <w:rPr>
                <w:rFonts w:ascii="宋体" w:hAnsi="宋体" w:eastAsia="宋体" w:cs="宋体"/>
                <w:sz w:val="24"/>
                <w:szCs w:val="24"/>
              </w:rPr>
            </w:pPr>
            <w:r>
              <w:rPr>
                <w:rFonts w:hint="eastAsia" w:ascii="宋体" w:hAnsi="宋体" w:eastAsia="宋体" w:cs="宋体"/>
                <w:sz w:val="24"/>
                <w:szCs w:val="24"/>
              </w:rPr>
              <w:t>41</w:t>
            </w:r>
          </w:p>
        </w:tc>
        <w:tc>
          <w:tcPr>
            <w:tcW w:w="560" w:type="pct"/>
          </w:tcPr>
          <w:p w14:paraId="12FAFD10">
            <w:pPr>
              <w:rPr>
                <w:rFonts w:ascii="宋体" w:hAnsi="宋体" w:eastAsia="宋体" w:cs="宋体"/>
                <w:sz w:val="24"/>
                <w:szCs w:val="24"/>
              </w:rPr>
            </w:pPr>
          </w:p>
        </w:tc>
      </w:tr>
    </w:tbl>
    <w:p w14:paraId="03159527">
      <w:pPr>
        <w:tabs>
          <w:tab w:val="left" w:pos="1050"/>
          <w:tab w:val="right" w:leader="dot" w:pos="9402"/>
        </w:tabs>
        <w:spacing w:line="520" w:lineRule="exact"/>
        <w:ind w:firstLine="482" w:firstLineChars="200"/>
        <w:outlineLvl w:val="0"/>
        <w:rPr>
          <w:rFonts w:ascii="宋体" w:hAnsi="宋体" w:eastAsia="宋体" w:cs="宋体"/>
          <w:b/>
          <w:bCs/>
          <w:sz w:val="24"/>
          <w:szCs w:val="24"/>
        </w:rPr>
      </w:pPr>
      <w:r>
        <w:rPr>
          <w:rFonts w:hint="eastAsia" w:ascii="宋体" w:hAnsi="宋体" w:eastAsia="宋体" w:cs="宋体"/>
          <w:b/>
          <w:bCs/>
          <w:sz w:val="24"/>
          <w:szCs w:val="24"/>
        </w:rPr>
        <w:t>三、其他要求</w:t>
      </w:r>
    </w:p>
    <w:p w14:paraId="67B58AC3">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1、本次采购为医院消防维保及应急医院原消防施工单位维保范围外的维保项目。</w:t>
      </w:r>
    </w:p>
    <w:p w14:paraId="2308DD87">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2、协助医院管理部门对应急医院消防设施设备进行日常管理，每周进行一次安全检查，并做好检查记录及问题反馈单，检查记录参照医院规范标准。</w:t>
      </w:r>
    </w:p>
    <w:p w14:paraId="7F129A5B">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3、每月中标单位需对本月的消防维保情况进行汇报，供医院审批留档。</w:t>
      </w:r>
    </w:p>
    <w:p w14:paraId="6CF5A2E7">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4、应急医院原施工单位消防维保范围外的维修项目，需及时进行维修。若维修过程中出现消防设施设备更换等需要采购设备的情况，需由采购单位进行采购，或经采购单位批准同意后，由中标单位进行代购。</w:t>
      </w:r>
    </w:p>
    <w:p w14:paraId="1BB5EE14">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5、当相关设备设施发生故障时，维保方接到通知后应在2小时内到达现场并排除故障，一般不得超过24小时。</w:t>
      </w:r>
    </w:p>
    <w:p w14:paraId="74181028">
      <w:pPr>
        <w:tabs>
          <w:tab w:val="left" w:pos="1050"/>
          <w:tab w:val="right" w:leader="dot" w:pos="9402"/>
        </w:tabs>
        <w:spacing w:line="520" w:lineRule="exact"/>
        <w:ind w:firstLine="480" w:firstLineChars="200"/>
        <w:outlineLvl w:val="0"/>
        <w:rPr>
          <w:rFonts w:ascii="宋体" w:hAnsi="宋体" w:eastAsia="宋体" w:cs="宋体"/>
          <w:sz w:val="24"/>
          <w:szCs w:val="24"/>
          <w:lang w:val="zh-CN"/>
        </w:rPr>
      </w:pPr>
      <w:r>
        <w:rPr>
          <w:rFonts w:hint="eastAsia" w:ascii="宋体" w:hAnsi="宋体" w:eastAsia="宋体" w:cs="宋体"/>
          <w:sz w:val="24"/>
          <w:szCs w:val="24"/>
        </w:rPr>
        <w:t>6</w:t>
      </w:r>
      <w:r>
        <w:rPr>
          <w:rFonts w:hint="eastAsia" w:ascii="宋体" w:hAnsi="宋体" w:eastAsia="宋体" w:cs="宋体"/>
          <w:sz w:val="24"/>
          <w:szCs w:val="24"/>
          <w:lang w:val="zh-CN"/>
        </w:rPr>
        <w:t>、合同正式签订生效起</w:t>
      </w:r>
      <w:r>
        <w:rPr>
          <w:rFonts w:hint="eastAsia" w:ascii="宋体" w:hAnsi="宋体" w:eastAsia="宋体" w:cs="宋体"/>
          <w:sz w:val="24"/>
          <w:szCs w:val="24"/>
        </w:rPr>
        <w:t>2年，一年一签，第二年合同的签署根据前一年服务情况而定</w:t>
      </w:r>
      <w:r>
        <w:rPr>
          <w:rFonts w:hint="eastAsia" w:ascii="宋体" w:hAnsi="宋体" w:eastAsia="宋体" w:cs="宋体"/>
          <w:sz w:val="24"/>
          <w:szCs w:val="24"/>
          <w:lang w:val="zh-CN"/>
        </w:rPr>
        <w:t>。</w:t>
      </w:r>
    </w:p>
    <w:p w14:paraId="7CD3325C">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lang w:val="zh-CN"/>
        </w:rPr>
        <w:t>服务期结束前30天如双方无异议，且医院对供应商的服务评价满意的，服务期可续签壹年。合同期内医院将每季度对服务提供方进行考核，如供应商连续两个季度考核不合格，医院有权要求供应商进行整改，如整改后仍无法达到要求，医院有权终止合同。</w:t>
      </w:r>
    </w:p>
    <w:p w14:paraId="2CE4F0F3">
      <w:pPr>
        <w:rPr>
          <w:rFonts w:ascii="宋体" w:hAnsi="宋体" w:eastAsia="宋体" w:cs="宋体"/>
          <w:b/>
          <w:bCs/>
          <w:w w:val="80"/>
          <w:sz w:val="44"/>
          <w:szCs w:val="44"/>
        </w:rPr>
      </w:pPr>
      <w:r>
        <w:rPr>
          <w:rFonts w:hint="eastAsia" w:ascii="宋体" w:hAnsi="宋体" w:eastAsia="宋体" w:cs="宋体"/>
          <w:b/>
          <w:bCs/>
          <w:w w:val="80"/>
          <w:sz w:val="44"/>
          <w:szCs w:val="44"/>
        </w:rPr>
        <w:br w:type="page"/>
      </w:r>
    </w:p>
    <w:p w14:paraId="67786900">
      <w:pPr>
        <w:tabs>
          <w:tab w:val="left" w:pos="420"/>
          <w:tab w:val="left" w:pos="1155"/>
        </w:tabs>
        <w:spacing w:line="360" w:lineRule="auto"/>
        <w:ind w:firstLine="768" w:firstLineChars="217"/>
        <w:jc w:val="center"/>
        <w:rPr>
          <w:rFonts w:ascii="宋体" w:hAnsi="宋体" w:eastAsia="宋体" w:cs="宋体"/>
          <w:b/>
          <w:bCs/>
          <w:w w:val="80"/>
          <w:sz w:val="44"/>
          <w:szCs w:val="44"/>
          <w:highlight w:val="yellow"/>
        </w:rPr>
      </w:pPr>
      <w:r>
        <w:rPr>
          <w:rFonts w:hint="eastAsia" w:ascii="宋体" w:hAnsi="宋体" w:eastAsia="宋体" w:cs="宋体"/>
          <w:b/>
          <w:bCs/>
          <w:w w:val="80"/>
          <w:sz w:val="44"/>
          <w:szCs w:val="44"/>
          <w:highlight w:val="yellow"/>
        </w:rPr>
        <w:t xml:space="preserve">第四章  </w:t>
      </w:r>
      <w:bookmarkStart w:id="2" w:name="_Toc182848996"/>
      <w:r>
        <w:rPr>
          <w:rFonts w:hint="eastAsia" w:ascii="宋体" w:hAnsi="宋体" w:eastAsia="宋体" w:cs="宋体"/>
          <w:b/>
          <w:bCs/>
          <w:w w:val="80"/>
          <w:sz w:val="44"/>
          <w:szCs w:val="44"/>
          <w:highlight w:val="yellow"/>
        </w:rPr>
        <w:t>评审方法和程序</w:t>
      </w:r>
    </w:p>
    <w:p w14:paraId="440224D7">
      <w:pPr>
        <w:spacing w:line="360" w:lineRule="auto"/>
        <w:ind w:firstLine="480" w:firstLineChars="200"/>
        <w:rPr>
          <w:rFonts w:ascii="宋体" w:hAnsi="宋体" w:eastAsia="宋体" w:cs="宋体"/>
          <w:sz w:val="24"/>
          <w:szCs w:val="24"/>
          <w:highlight w:val="yellow"/>
        </w:rPr>
      </w:pPr>
    </w:p>
    <w:p w14:paraId="0A74C68B">
      <w:pPr>
        <w:tabs>
          <w:tab w:val="left" w:pos="1050"/>
          <w:tab w:val="right" w:leader="dot" w:pos="9402"/>
        </w:tabs>
        <w:spacing w:line="520" w:lineRule="exact"/>
        <w:ind w:firstLine="480" w:firstLineChars="200"/>
        <w:outlineLvl w:val="0"/>
        <w:rPr>
          <w:rFonts w:ascii="宋体" w:hAnsi="宋体" w:eastAsia="宋体" w:cs="宋体"/>
          <w:sz w:val="24"/>
          <w:szCs w:val="24"/>
          <w:highlight w:val="yellow"/>
        </w:rPr>
      </w:pPr>
      <w:r>
        <w:rPr>
          <w:rFonts w:hint="eastAsia" w:ascii="宋体" w:hAnsi="宋体" w:eastAsia="宋体" w:cs="宋体"/>
          <w:sz w:val="24"/>
          <w:szCs w:val="24"/>
          <w:highlight w:val="yellow"/>
        </w:rPr>
        <w:t>本项目采用综合评分法，采购小组会严格按照招标文件规定的评分标准和要求，对各投标文件进行综合评审，按评审后得分由高到低顺序对投标人进行排序。得分相同的，按投标报价由低到高顺序排序。得分且投标报价相同的并列。</w:t>
      </w:r>
    </w:p>
    <w:p w14:paraId="70B98F2F">
      <w:pPr>
        <w:tabs>
          <w:tab w:val="left" w:pos="1050"/>
          <w:tab w:val="right" w:leader="dot" w:pos="9402"/>
        </w:tabs>
        <w:spacing w:line="520" w:lineRule="exact"/>
        <w:ind w:firstLine="480" w:firstLineChars="200"/>
        <w:outlineLvl w:val="0"/>
        <w:rPr>
          <w:rFonts w:ascii="宋体" w:hAnsi="宋体" w:eastAsia="宋体" w:cs="宋体"/>
          <w:sz w:val="24"/>
          <w:szCs w:val="24"/>
          <w:highlight w:val="yellow"/>
        </w:rPr>
      </w:pPr>
      <w:r>
        <w:rPr>
          <w:rFonts w:hint="eastAsia" w:ascii="宋体" w:hAnsi="宋体" w:eastAsia="宋体" w:cs="宋体"/>
          <w:sz w:val="24"/>
          <w:szCs w:val="24"/>
          <w:highlight w:val="yellow"/>
        </w:rPr>
        <w:t>采购小组会根据评审后投标人排序推荐中标候选人。投标文件满足采购文件全部实质性要求，且评审后排序第一的投标人为第一中标候选人，依次类推。</w:t>
      </w:r>
    </w:p>
    <w:p w14:paraId="65CC08BC">
      <w:pPr>
        <w:tabs>
          <w:tab w:val="left" w:pos="1050"/>
          <w:tab w:val="right" w:leader="dot" w:pos="9402"/>
        </w:tabs>
        <w:spacing w:line="520" w:lineRule="exact"/>
        <w:ind w:firstLine="480" w:firstLineChars="200"/>
        <w:outlineLvl w:val="0"/>
        <w:rPr>
          <w:rFonts w:ascii="宋体" w:hAnsi="宋体" w:eastAsia="宋体" w:cs="宋体"/>
          <w:sz w:val="24"/>
          <w:szCs w:val="24"/>
          <w:highlight w:val="yellow"/>
        </w:rPr>
      </w:pPr>
      <w:r>
        <w:rPr>
          <w:rFonts w:hint="eastAsia" w:ascii="宋体" w:hAnsi="宋体" w:eastAsia="宋体" w:cs="宋体"/>
          <w:sz w:val="24"/>
          <w:szCs w:val="24"/>
          <w:highlight w:val="yellow"/>
        </w:rPr>
        <w:t xml:space="preserve">综合评分保留至小数点后两位。 </w:t>
      </w:r>
    </w:p>
    <w:p w14:paraId="4A6658FA">
      <w:pPr>
        <w:tabs>
          <w:tab w:val="left" w:pos="1050"/>
          <w:tab w:val="right" w:leader="dot" w:pos="9402"/>
        </w:tabs>
        <w:spacing w:line="520" w:lineRule="exact"/>
        <w:ind w:firstLine="480" w:firstLineChars="200"/>
        <w:outlineLvl w:val="0"/>
        <w:rPr>
          <w:rFonts w:ascii="宋体" w:hAnsi="宋体" w:eastAsia="宋体" w:cs="宋体"/>
          <w:sz w:val="24"/>
          <w:szCs w:val="24"/>
          <w:highlight w:val="yellow"/>
        </w:rPr>
      </w:pPr>
      <w:r>
        <w:rPr>
          <w:rFonts w:hint="eastAsia" w:ascii="宋体" w:hAnsi="宋体" w:eastAsia="宋体" w:cs="宋体"/>
          <w:sz w:val="24"/>
          <w:szCs w:val="24"/>
          <w:highlight w:val="yellow"/>
        </w:rPr>
        <w:t>采购评审时，评委对评审的细则若有争议，由采购小组集体讨论确定，并对未尽情况有最终解释权。对落标的供应商不做落标原因的解释。</w:t>
      </w:r>
    </w:p>
    <w:p w14:paraId="7459033E">
      <w:pPr>
        <w:snapToGrid w:val="0"/>
        <w:spacing w:line="360" w:lineRule="auto"/>
        <w:ind w:firstLine="487" w:firstLineChars="202"/>
        <w:outlineLvl w:val="1"/>
        <w:rPr>
          <w:rFonts w:ascii="宋体" w:hAnsi="宋体" w:eastAsia="宋体" w:cs="宋体"/>
          <w:b/>
          <w:bCs/>
          <w:sz w:val="24"/>
          <w:szCs w:val="24"/>
        </w:rPr>
      </w:pPr>
      <w:r>
        <w:rPr>
          <w:rFonts w:hint="eastAsia" w:ascii="宋体" w:hAnsi="宋体" w:eastAsia="宋体" w:cs="宋体"/>
          <w:b/>
          <w:bCs/>
          <w:sz w:val="24"/>
          <w:szCs w:val="24"/>
        </w:rPr>
        <w:t xml:space="preserve">三、评审评分项 </w:t>
      </w:r>
    </w:p>
    <w:p w14:paraId="4F0DF4EF">
      <w:pPr>
        <w:tabs>
          <w:tab w:val="left" w:pos="1050"/>
          <w:tab w:val="right" w:leader="dot" w:pos="9402"/>
        </w:tabs>
        <w:spacing w:line="520" w:lineRule="exact"/>
        <w:ind w:firstLine="480" w:firstLineChars="200"/>
        <w:outlineLvl w:val="0"/>
        <w:rPr>
          <w:rFonts w:ascii="宋体" w:hAnsi="宋体" w:eastAsia="宋体" w:cs="宋体"/>
          <w:sz w:val="24"/>
          <w:szCs w:val="24"/>
        </w:rPr>
      </w:pPr>
      <w:r>
        <w:rPr>
          <w:rFonts w:hint="eastAsia" w:ascii="宋体" w:hAnsi="宋体" w:eastAsia="宋体" w:cs="宋体"/>
          <w:sz w:val="24"/>
          <w:szCs w:val="24"/>
        </w:rPr>
        <w:t>（一）技术采购响应评审：（70分）</w:t>
      </w:r>
    </w:p>
    <w:bookmarkEnd w:id="2"/>
    <w:tbl>
      <w:tblPr>
        <w:tblStyle w:val="24"/>
        <w:tblW w:w="9931" w:type="dxa"/>
        <w:tblInd w:w="-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64"/>
        <w:gridCol w:w="7627"/>
      </w:tblGrid>
      <w:tr w14:paraId="68D2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40" w:type="dxa"/>
          </w:tcPr>
          <w:p w14:paraId="32E299AA">
            <w:pPr>
              <w:spacing w:line="480" w:lineRule="exact"/>
              <w:jc w:val="center"/>
              <w:rPr>
                <w:rFonts w:ascii="宋体" w:hAnsi="宋体" w:eastAsia="宋体" w:cs="宋体"/>
                <w:color w:val="000000"/>
                <w:sz w:val="24"/>
                <w:szCs w:val="24"/>
              </w:rPr>
            </w:pPr>
            <w:r>
              <w:rPr>
                <w:rFonts w:hint="eastAsia" w:ascii="宋体" w:hAnsi="宋体" w:eastAsia="宋体" w:cs="宋体"/>
                <w:b/>
                <w:color w:val="000000"/>
                <w:sz w:val="24"/>
                <w:szCs w:val="24"/>
              </w:rPr>
              <w:t>序号</w:t>
            </w:r>
          </w:p>
        </w:tc>
        <w:tc>
          <w:tcPr>
            <w:tcW w:w="1464" w:type="dxa"/>
          </w:tcPr>
          <w:p w14:paraId="7979E283">
            <w:pPr>
              <w:spacing w:line="480" w:lineRule="exact"/>
              <w:jc w:val="center"/>
              <w:rPr>
                <w:rFonts w:ascii="宋体" w:hAnsi="宋体" w:eastAsia="宋体" w:cs="宋体"/>
                <w:color w:val="000000"/>
                <w:sz w:val="24"/>
                <w:szCs w:val="24"/>
              </w:rPr>
            </w:pPr>
            <w:r>
              <w:rPr>
                <w:rFonts w:hint="eastAsia" w:ascii="宋体" w:hAnsi="宋体" w:eastAsia="宋体" w:cs="宋体"/>
                <w:b/>
                <w:color w:val="000000"/>
                <w:sz w:val="24"/>
                <w:szCs w:val="24"/>
              </w:rPr>
              <w:t>评审要素</w:t>
            </w:r>
          </w:p>
        </w:tc>
        <w:tc>
          <w:tcPr>
            <w:tcW w:w="7627" w:type="dxa"/>
          </w:tcPr>
          <w:p w14:paraId="102CA0C6">
            <w:pPr>
              <w:spacing w:line="480" w:lineRule="exact"/>
              <w:jc w:val="center"/>
              <w:rPr>
                <w:rFonts w:ascii="宋体" w:hAnsi="宋体" w:eastAsia="宋体" w:cs="宋体"/>
                <w:color w:val="000000"/>
                <w:sz w:val="24"/>
                <w:szCs w:val="24"/>
              </w:rPr>
            </w:pPr>
            <w:r>
              <w:rPr>
                <w:rFonts w:hint="eastAsia" w:ascii="宋体" w:hAnsi="宋体" w:eastAsia="宋体" w:cs="宋体"/>
                <w:b/>
                <w:color w:val="000000"/>
                <w:sz w:val="24"/>
                <w:szCs w:val="24"/>
              </w:rPr>
              <w:t>评分细则</w:t>
            </w:r>
          </w:p>
        </w:tc>
      </w:tr>
      <w:tr w14:paraId="0CF6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0" w:type="dxa"/>
            <w:vAlign w:val="center"/>
          </w:tcPr>
          <w:p w14:paraId="0FA4AE03">
            <w:pPr>
              <w:spacing w:line="480" w:lineRule="exact"/>
              <w:jc w:val="center"/>
              <w:rPr>
                <w:rFonts w:ascii="宋体" w:hAnsi="宋体" w:eastAsia="宋体" w:cs="宋体"/>
                <w:color w:val="000000"/>
                <w:sz w:val="24"/>
                <w:szCs w:val="24"/>
              </w:rPr>
            </w:pPr>
            <w:r>
              <w:rPr>
                <w:rFonts w:hint="eastAsia" w:ascii="宋体" w:hAnsi="宋体" w:eastAsia="宋体" w:cs="宋体"/>
                <w:b/>
                <w:color w:val="000000"/>
                <w:sz w:val="24"/>
                <w:szCs w:val="24"/>
              </w:rPr>
              <w:t>一</w:t>
            </w:r>
          </w:p>
        </w:tc>
        <w:tc>
          <w:tcPr>
            <w:tcW w:w="1464" w:type="dxa"/>
            <w:vAlign w:val="center"/>
          </w:tcPr>
          <w:p w14:paraId="4D7E441A">
            <w:pPr>
              <w:spacing w:line="480" w:lineRule="exact"/>
              <w:jc w:val="center"/>
              <w:rPr>
                <w:rFonts w:ascii="宋体" w:hAnsi="宋体" w:eastAsia="宋体" w:cs="宋体"/>
                <w:b/>
                <w:bCs/>
                <w:sz w:val="24"/>
                <w:szCs w:val="24"/>
              </w:rPr>
            </w:pPr>
            <w:r>
              <w:rPr>
                <w:rFonts w:hint="eastAsia" w:ascii="宋体" w:hAnsi="宋体" w:eastAsia="宋体" w:cs="宋体"/>
                <w:b/>
                <w:bCs/>
                <w:sz w:val="24"/>
                <w:szCs w:val="24"/>
              </w:rPr>
              <w:t>公司实力</w:t>
            </w:r>
          </w:p>
          <w:p w14:paraId="567581A9">
            <w:pPr>
              <w:pStyle w:val="13"/>
              <w:jc w:val="center"/>
              <w:rPr>
                <w:rFonts w:ascii="宋体" w:hAnsi="宋体" w:cs="宋体"/>
                <w:color w:val="000000"/>
                <w:sz w:val="24"/>
              </w:rPr>
            </w:pPr>
            <w:r>
              <w:rPr>
                <w:rFonts w:hint="eastAsia" w:ascii="宋体" w:hAnsi="宋体" w:cs="宋体"/>
                <w:b/>
                <w:bCs/>
                <w:color w:val="000000"/>
                <w:sz w:val="24"/>
              </w:rPr>
              <w:t>（4分）</w:t>
            </w:r>
          </w:p>
        </w:tc>
        <w:tc>
          <w:tcPr>
            <w:tcW w:w="7627" w:type="dxa"/>
            <w:vAlign w:val="center"/>
          </w:tcPr>
          <w:p w14:paraId="1371DDD1">
            <w:pPr>
              <w:ind w:firstLine="240" w:firstLineChars="100"/>
              <w:rPr>
                <w:rFonts w:ascii="宋体" w:hAnsi="宋体" w:eastAsia="宋体" w:cs="宋体"/>
                <w:sz w:val="24"/>
                <w:szCs w:val="24"/>
              </w:rPr>
            </w:pPr>
            <w:r>
              <w:rPr>
                <w:rFonts w:hint="eastAsia" w:ascii="宋体" w:hAnsi="宋体" w:eastAsia="宋体" w:cs="宋体"/>
                <w:sz w:val="24"/>
                <w:szCs w:val="24"/>
              </w:rPr>
              <w:t>1、投标人具有有效期内的ISO9001质量管理体系认证证书、ISO14001环境管理体系认证证书、ISO45001职业健康安全管理体系认证证书，每有一个得1分，最多得3分。提供相关证书复印件并加盖投标单位公章。</w:t>
            </w:r>
          </w:p>
          <w:p w14:paraId="6E084936">
            <w:pPr>
              <w:pStyle w:val="13"/>
              <w:spacing w:after="0"/>
              <w:rPr>
                <w:rFonts w:ascii="宋体" w:hAnsi="宋体" w:cs="宋体"/>
                <w:color w:val="000000"/>
                <w:sz w:val="24"/>
              </w:rPr>
            </w:pPr>
            <w:r>
              <w:rPr>
                <w:rFonts w:hint="eastAsia" w:ascii="宋体" w:hAnsi="宋体" w:cs="宋体"/>
                <w:sz w:val="24"/>
              </w:rPr>
              <w:t>2、投标人具有经过权威的信用评定机构评定的企业信用等级证书，3A级得1分，其余不得分，最高得1分。 提供证书复印件加盖投标单位公章，不提供不得分。</w:t>
            </w:r>
          </w:p>
        </w:tc>
      </w:tr>
      <w:tr w14:paraId="17CA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840" w:type="dxa"/>
            <w:vAlign w:val="center"/>
          </w:tcPr>
          <w:p w14:paraId="5104C42C">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二</w:t>
            </w:r>
          </w:p>
        </w:tc>
        <w:tc>
          <w:tcPr>
            <w:tcW w:w="1464" w:type="dxa"/>
            <w:vAlign w:val="center"/>
          </w:tcPr>
          <w:p w14:paraId="5C1AF0B6">
            <w:pPr>
              <w:spacing w:line="36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案例业绩</w:t>
            </w:r>
          </w:p>
          <w:p w14:paraId="469C0473">
            <w:pPr>
              <w:spacing w:line="360" w:lineRule="exact"/>
              <w:jc w:val="center"/>
              <w:rPr>
                <w:rFonts w:ascii="宋体" w:hAnsi="宋体" w:eastAsia="宋体" w:cs="宋体"/>
                <w:sz w:val="24"/>
                <w:szCs w:val="24"/>
              </w:rPr>
            </w:pPr>
            <w:r>
              <w:rPr>
                <w:rFonts w:hint="eastAsia" w:ascii="宋体" w:hAnsi="宋体" w:eastAsia="宋体" w:cs="宋体"/>
                <w:b/>
                <w:color w:val="000000"/>
                <w:sz w:val="24"/>
                <w:szCs w:val="24"/>
              </w:rPr>
              <w:t>（25分）</w:t>
            </w:r>
          </w:p>
          <w:p w14:paraId="7A1E4F7C">
            <w:pPr>
              <w:spacing w:line="360" w:lineRule="exact"/>
              <w:jc w:val="center"/>
              <w:rPr>
                <w:rFonts w:ascii="宋体" w:hAnsi="宋体" w:eastAsia="宋体" w:cs="宋体"/>
                <w:color w:val="000000"/>
                <w:sz w:val="24"/>
                <w:szCs w:val="24"/>
              </w:rPr>
            </w:pPr>
          </w:p>
        </w:tc>
        <w:tc>
          <w:tcPr>
            <w:tcW w:w="7627" w:type="dxa"/>
            <w:vAlign w:val="center"/>
          </w:tcPr>
          <w:p w14:paraId="2A9D369B">
            <w:pPr>
              <w:widowControl/>
              <w:snapToGrid w:val="0"/>
              <w:jc w:val="left"/>
              <w:textAlignment w:val="baseline"/>
              <w:outlineLvl w:val="1"/>
              <w:rPr>
                <w:rFonts w:ascii="宋体" w:hAnsi="宋体" w:eastAsia="宋体" w:cs="宋体"/>
                <w:sz w:val="24"/>
                <w:szCs w:val="24"/>
              </w:rPr>
            </w:pPr>
            <w:r>
              <w:rPr>
                <w:rFonts w:hint="eastAsia" w:ascii="宋体" w:hAnsi="宋体" w:eastAsia="宋体" w:cs="宋体"/>
                <w:sz w:val="24"/>
                <w:szCs w:val="24"/>
              </w:rPr>
              <w:t>投标人在2021年1月1日以来（时间以合同签订时间为准），承担过类似的三甲医院消防维保项目，每个项目得5分，最高25分。同一业主不同项目不重复得分。</w:t>
            </w:r>
          </w:p>
          <w:p w14:paraId="0D5267B1">
            <w:pPr>
              <w:widowControl/>
              <w:snapToGrid w:val="0"/>
              <w:jc w:val="left"/>
              <w:textAlignment w:val="baseline"/>
              <w:outlineLvl w:val="1"/>
              <w:rPr>
                <w:rFonts w:ascii="宋体" w:hAnsi="宋体" w:eastAsia="宋体" w:cs="宋体"/>
                <w:color w:val="000000"/>
                <w:sz w:val="24"/>
                <w:szCs w:val="24"/>
              </w:rPr>
            </w:pPr>
            <w:r>
              <w:rPr>
                <w:rFonts w:hint="eastAsia" w:ascii="宋体" w:hAnsi="宋体" w:eastAsia="宋体" w:cs="宋体"/>
                <w:sz w:val="24"/>
                <w:szCs w:val="24"/>
              </w:rPr>
              <w:t>注：提供完整合同的复印件。不提供不得分。</w:t>
            </w:r>
          </w:p>
        </w:tc>
      </w:tr>
      <w:tr w14:paraId="2637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840" w:type="dxa"/>
            <w:vAlign w:val="center"/>
          </w:tcPr>
          <w:p w14:paraId="57A3B47D">
            <w:pPr>
              <w:spacing w:line="480" w:lineRule="exact"/>
              <w:jc w:val="center"/>
              <w:rPr>
                <w:rFonts w:ascii="宋体" w:hAnsi="宋体" w:eastAsia="宋体" w:cs="宋体"/>
                <w:sz w:val="24"/>
                <w:szCs w:val="24"/>
              </w:rPr>
            </w:pPr>
            <w:r>
              <w:rPr>
                <w:rFonts w:hint="eastAsia" w:ascii="宋体" w:hAnsi="宋体" w:eastAsia="宋体" w:cs="宋体"/>
                <w:sz w:val="24"/>
                <w:szCs w:val="24"/>
              </w:rPr>
              <w:t>三</w:t>
            </w:r>
          </w:p>
        </w:tc>
        <w:tc>
          <w:tcPr>
            <w:tcW w:w="1464" w:type="dxa"/>
            <w:vAlign w:val="center"/>
          </w:tcPr>
          <w:p w14:paraId="6F5D68E3">
            <w:pPr>
              <w:spacing w:line="360" w:lineRule="exact"/>
              <w:jc w:val="center"/>
              <w:rPr>
                <w:rFonts w:ascii="宋体" w:hAnsi="宋体" w:eastAsia="宋体" w:cs="宋体"/>
                <w:color w:val="000000"/>
                <w:sz w:val="24"/>
                <w:szCs w:val="24"/>
              </w:rPr>
            </w:pPr>
            <w:r>
              <w:rPr>
                <w:rFonts w:hint="eastAsia" w:ascii="宋体" w:hAnsi="宋体" w:eastAsia="宋体" w:cs="宋体"/>
                <w:b/>
                <w:bCs/>
                <w:color w:val="000000"/>
                <w:sz w:val="24"/>
                <w:szCs w:val="24"/>
              </w:rPr>
              <w:t>维保技术力量（11分）</w:t>
            </w:r>
          </w:p>
        </w:tc>
        <w:tc>
          <w:tcPr>
            <w:tcW w:w="7627" w:type="dxa"/>
            <w:vAlign w:val="center"/>
          </w:tcPr>
          <w:p w14:paraId="267381BA">
            <w:pPr>
              <w:widowControl/>
              <w:snapToGrid w:val="0"/>
              <w:jc w:val="left"/>
              <w:textAlignment w:val="baseline"/>
              <w:outlineLvl w:val="1"/>
              <w:rPr>
                <w:rFonts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sz w:val="24"/>
                <w:szCs w:val="24"/>
              </w:rPr>
              <w:t>项目负责人：拟派项目负责人持有一级消防工程师证书同时具有</w:t>
            </w:r>
            <w:r>
              <w:rPr>
                <w:rFonts w:hint="eastAsia" w:ascii="宋体" w:hAnsi="宋体" w:eastAsia="宋体" w:cs="宋体"/>
                <w:color w:val="000000"/>
                <w:sz w:val="24"/>
                <w:szCs w:val="24"/>
              </w:rPr>
              <w:t>大专以上学历，且为消防管理或消防工程专业的，得5分，学历及专业不符合要求不得分，需提供毕业证书复印件且学信网可查。</w:t>
            </w:r>
          </w:p>
          <w:p w14:paraId="30316BB5">
            <w:pPr>
              <w:pStyle w:val="6"/>
              <w:rPr>
                <w:rFonts w:eastAsia="宋体" w:cs="宋体"/>
                <w:b w:val="0"/>
                <w:sz w:val="24"/>
                <w:szCs w:val="24"/>
              </w:rPr>
            </w:pPr>
            <w:r>
              <w:rPr>
                <w:rFonts w:hint="eastAsia" w:eastAsia="宋体" w:cs="宋体"/>
                <w:b w:val="0"/>
                <w:sz w:val="24"/>
                <w:szCs w:val="24"/>
              </w:rPr>
              <w:t>2、维保操作员：拟派维保操作员持有消防设施操作员中级及以上证书的得每个得2分，最高6分。</w:t>
            </w:r>
          </w:p>
          <w:p w14:paraId="16A3BF9B">
            <w:r>
              <w:rPr>
                <w:rFonts w:hint="eastAsia" w:ascii="宋体" w:hAnsi="宋体" w:eastAsia="宋体" w:cs="宋体"/>
                <w:sz w:val="24"/>
                <w:szCs w:val="24"/>
              </w:rPr>
              <w:t>以上人员需提供供应商为其缴纳的2023年7月-2024年7月的社保记录证明，相关资质证书、学历证书复印件（原件备查）。</w:t>
            </w:r>
          </w:p>
        </w:tc>
      </w:tr>
      <w:tr w14:paraId="711F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840" w:type="dxa"/>
            <w:vMerge w:val="restart"/>
            <w:vAlign w:val="center"/>
          </w:tcPr>
          <w:p w14:paraId="0D32135D">
            <w:pPr>
              <w:spacing w:line="480" w:lineRule="exact"/>
              <w:jc w:val="center"/>
              <w:rPr>
                <w:rFonts w:ascii="宋体" w:hAnsi="宋体" w:eastAsia="宋体" w:cs="宋体"/>
                <w:color w:val="000000"/>
                <w:sz w:val="24"/>
                <w:szCs w:val="24"/>
              </w:rPr>
            </w:pPr>
            <w:r>
              <w:rPr>
                <w:rFonts w:hint="eastAsia" w:ascii="宋体" w:hAnsi="宋体" w:eastAsia="宋体" w:cs="宋体"/>
                <w:sz w:val="24"/>
                <w:szCs w:val="24"/>
              </w:rPr>
              <w:t>四</w:t>
            </w:r>
          </w:p>
        </w:tc>
        <w:tc>
          <w:tcPr>
            <w:tcW w:w="1464" w:type="dxa"/>
            <w:vMerge w:val="restart"/>
            <w:vAlign w:val="center"/>
          </w:tcPr>
          <w:p w14:paraId="0F75CAE6">
            <w:pPr>
              <w:spacing w:line="360" w:lineRule="exact"/>
              <w:jc w:val="center"/>
              <w:rPr>
                <w:rFonts w:ascii="宋体" w:hAnsi="宋体" w:eastAsia="宋体" w:cs="宋体"/>
                <w:sz w:val="24"/>
                <w:szCs w:val="24"/>
              </w:rPr>
            </w:pPr>
            <w:r>
              <w:rPr>
                <w:rFonts w:hint="eastAsia" w:ascii="宋体" w:hAnsi="宋体" w:eastAsia="宋体" w:cs="宋体"/>
                <w:b/>
                <w:bCs/>
                <w:sz w:val="24"/>
                <w:szCs w:val="24"/>
              </w:rPr>
              <w:t>消防维保服务方案（30分）</w:t>
            </w:r>
          </w:p>
          <w:p w14:paraId="3F41D15C">
            <w:pPr>
              <w:spacing w:line="360" w:lineRule="exact"/>
              <w:jc w:val="center"/>
              <w:rPr>
                <w:rFonts w:ascii="宋体" w:hAnsi="宋体" w:eastAsia="宋体" w:cs="宋体"/>
                <w:color w:val="000000"/>
                <w:sz w:val="24"/>
                <w:szCs w:val="24"/>
              </w:rPr>
            </w:pPr>
          </w:p>
        </w:tc>
        <w:tc>
          <w:tcPr>
            <w:tcW w:w="7627" w:type="dxa"/>
            <w:vAlign w:val="center"/>
          </w:tcPr>
          <w:p w14:paraId="60279B9E">
            <w:pPr>
              <w:spacing w:line="276" w:lineRule="auto"/>
              <w:jc w:val="left"/>
              <w:rPr>
                <w:rFonts w:ascii="宋体" w:hAnsi="宋体" w:eastAsia="宋体" w:cs="宋体"/>
                <w:bCs/>
                <w:sz w:val="24"/>
                <w:szCs w:val="24"/>
              </w:rPr>
            </w:pPr>
            <w:r>
              <w:rPr>
                <w:rFonts w:hint="eastAsia" w:ascii="宋体" w:hAnsi="宋体" w:eastAsia="宋体" w:cs="宋体"/>
                <w:bCs/>
                <w:sz w:val="24"/>
                <w:szCs w:val="24"/>
              </w:rPr>
              <w:t>1、消防维保方案：主要是指提供相关的维保方案，考虑消防维保方案的合理性、可行性、完整性。（10分）</w:t>
            </w:r>
          </w:p>
          <w:p w14:paraId="321ADD50">
            <w:pPr>
              <w:widowControl/>
              <w:snapToGrid w:val="0"/>
              <w:jc w:val="left"/>
              <w:textAlignment w:val="baseline"/>
              <w:outlineLvl w:val="1"/>
              <w:rPr>
                <w:rFonts w:ascii="宋体" w:hAnsi="宋体" w:eastAsia="宋体" w:cs="宋体"/>
                <w:color w:val="000000"/>
                <w:sz w:val="24"/>
                <w:szCs w:val="24"/>
              </w:rPr>
            </w:pPr>
            <w:r>
              <w:rPr>
                <w:rFonts w:hint="eastAsia" w:ascii="宋体" w:hAnsi="宋体" w:eastAsia="宋体" w:cs="宋体"/>
                <w:bCs/>
                <w:sz w:val="24"/>
                <w:szCs w:val="24"/>
              </w:rPr>
              <w:t>方案合理性、可行性、完整性较好10-6分，方案合理性、可行性、完整性一般6-3分，方案合理性、可行性、完整性较差3-1分，未提供不得分。</w:t>
            </w:r>
          </w:p>
        </w:tc>
      </w:tr>
      <w:tr w14:paraId="23CE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40" w:type="dxa"/>
            <w:vMerge w:val="continue"/>
            <w:vAlign w:val="center"/>
          </w:tcPr>
          <w:p w14:paraId="27A17B5E">
            <w:pPr>
              <w:spacing w:line="480" w:lineRule="exact"/>
              <w:jc w:val="center"/>
              <w:rPr>
                <w:rFonts w:ascii="宋体" w:hAnsi="宋体" w:eastAsia="宋体" w:cs="宋体"/>
                <w:sz w:val="24"/>
                <w:szCs w:val="24"/>
              </w:rPr>
            </w:pPr>
          </w:p>
        </w:tc>
        <w:tc>
          <w:tcPr>
            <w:tcW w:w="1464" w:type="dxa"/>
            <w:vMerge w:val="continue"/>
            <w:vAlign w:val="center"/>
          </w:tcPr>
          <w:p w14:paraId="3A100053">
            <w:pPr>
              <w:spacing w:line="360" w:lineRule="exact"/>
              <w:jc w:val="center"/>
              <w:rPr>
                <w:rFonts w:ascii="宋体" w:hAnsi="宋体" w:eastAsia="宋体" w:cs="宋体"/>
                <w:color w:val="000000"/>
                <w:sz w:val="24"/>
                <w:szCs w:val="24"/>
              </w:rPr>
            </w:pPr>
          </w:p>
        </w:tc>
        <w:tc>
          <w:tcPr>
            <w:tcW w:w="7627" w:type="dxa"/>
            <w:vAlign w:val="center"/>
          </w:tcPr>
          <w:p w14:paraId="4CD36801">
            <w:pPr>
              <w:widowControl/>
              <w:numPr>
                <w:ilvl w:val="0"/>
                <w:numId w:val="3"/>
              </w:numPr>
              <w:snapToGrid w:val="0"/>
              <w:jc w:val="left"/>
              <w:textAlignment w:val="baseline"/>
              <w:outlineLvl w:val="1"/>
              <w:rPr>
                <w:rFonts w:ascii="宋体" w:hAnsi="宋体" w:eastAsia="宋体" w:cs="宋体"/>
                <w:sz w:val="24"/>
                <w:szCs w:val="24"/>
              </w:rPr>
            </w:pPr>
            <w:r>
              <w:rPr>
                <w:rFonts w:hint="eastAsia" w:ascii="宋体" w:hAnsi="宋体" w:eastAsia="宋体" w:cs="宋体"/>
                <w:sz w:val="24"/>
                <w:szCs w:val="24"/>
              </w:rPr>
              <w:t>服务响应方案：主要是指提供相关的服务方案，考虑供应商服务方案的合理性、可行性、完整性。（10分）</w:t>
            </w:r>
          </w:p>
          <w:p w14:paraId="00D214E1">
            <w:pPr>
              <w:widowControl/>
              <w:snapToGrid w:val="0"/>
              <w:jc w:val="left"/>
              <w:textAlignment w:val="baseline"/>
              <w:outlineLvl w:val="1"/>
            </w:pPr>
            <w:r>
              <w:rPr>
                <w:rFonts w:hint="eastAsia" w:ascii="宋体" w:hAnsi="宋体" w:eastAsia="宋体" w:cs="宋体"/>
                <w:sz w:val="24"/>
                <w:szCs w:val="24"/>
              </w:rPr>
              <w:t>方案合理性、可行性、完整性较好10-6分，方案合理性、可行性、完整性一般6-3分，方案合理性、可行性、完整性较差3-1分，未提供不得分。</w:t>
            </w:r>
          </w:p>
        </w:tc>
      </w:tr>
      <w:tr w14:paraId="6CAE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40" w:type="dxa"/>
            <w:vMerge w:val="continue"/>
            <w:vAlign w:val="center"/>
          </w:tcPr>
          <w:p w14:paraId="26A43EF9">
            <w:pPr>
              <w:widowControl/>
              <w:jc w:val="left"/>
              <w:rPr>
                <w:rFonts w:ascii="宋体" w:hAnsi="宋体" w:eastAsia="宋体" w:cs="宋体"/>
                <w:color w:val="000000"/>
                <w:sz w:val="24"/>
                <w:szCs w:val="24"/>
              </w:rPr>
            </w:pPr>
          </w:p>
        </w:tc>
        <w:tc>
          <w:tcPr>
            <w:tcW w:w="1464" w:type="dxa"/>
            <w:vMerge w:val="continue"/>
            <w:vAlign w:val="center"/>
          </w:tcPr>
          <w:p w14:paraId="5AC4C1ED">
            <w:pPr>
              <w:widowControl/>
              <w:jc w:val="left"/>
              <w:rPr>
                <w:rFonts w:ascii="宋体" w:hAnsi="宋体" w:eastAsia="宋体" w:cs="宋体"/>
                <w:color w:val="000000"/>
                <w:sz w:val="24"/>
                <w:szCs w:val="24"/>
              </w:rPr>
            </w:pPr>
          </w:p>
        </w:tc>
        <w:tc>
          <w:tcPr>
            <w:tcW w:w="7627" w:type="dxa"/>
            <w:vAlign w:val="center"/>
          </w:tcPr>
          <w:p w14:paraId="32AE75EA">
            <w:pPr>
              <w:spacing w:line="276" w:lineRule="auto"/>
              <w:jc w:val="left"/>
              <w:rPr>
                <w:rFonts w:ascii="宋体" w:hAnsi="宋体" w:eastAsia="宋体" w:cs="宋体"/>
                <w:bCs/>
                <w:sz w:val="24"/>
                <w:szCs w:val="24"/>
              </w:rPr>
            </w:pPr>
            <w:r>
              <w:rPr>
                <w:rFonts w:hint="eastAsia" w:ascii="宋体" w:hAnsi="宋体" w:eastAsia="宋体" w:cs="宋体"/>
                <w:sz w:val="24"/>
                <w:szCs w:val="24"/>
              </w:rPr>
              <w:t>3、</w:t>
            </w:r>
            <w:r>
              <w:rPr>
                <w:rFonts w:hint="eastAsia" w:ascii="宋体" w:hAnsi="宋体" w:eastAsia="宋体" w:cs="宋体"/>
                <w:bCs/>
                <w:sz w:val="24"/>
                <w:szCs w:val="24"/>
              </w:rPr>
              <w:t xml:space="preserve">投标单位的管理制度、应急方案与措施、服务响应措施、安全和文明服务措施方案；（10分） </w:t>
            </w:r>
          </w:p>
          <w:p w14:paraId="1F3434D4">
            <w:pPr>
              <w:pStyle w:val="13"/>
              <w:rPr>
                <w:rFonts w:ascii="宋体" w:hAnsi="宋体" w:cs="宋体"/>
                <w:color w:val="000000"/>
                <w:sz w:val="24"/>
              </w:rPr>
            </w:pPr>
            <w:r>
              <w:rPr>
                <w:rFonts w:hint="eastAsia" w:ascii="宋体" w:hAnsi="宋体" w:cs="宋体"/>
                <w:bCs/>
                <w:sz w:val="24"/>
              </w:rPr>
              <w:t>方案合理性、可行性、完整性较好10-6分，方案合理性、可行性、完整性一般6-3分，方案合理性、可行性、完整性较差3-1分，未提供不得分。</w:t>
            </w:r>
          </w:p>
        </w:tc>
      </w:tr>
    </w:tbl>
    <w:p w14:paraId="58A7CA1B">
      <w:pPr>
        <w:snapToGrid w:val="0"/>
        <w:spacing w:line="360" w:lineRule="auto"/>
        <w:ind w:firstLine="562"/>
        <w:outlineLvl w:val="1"/>
        <w:rPr>
          <w:rFonts w:ascii="宋体" w:hAnsi="宋体" w:eastAsia="宋体" w:cs="宋体"/>
          <w:b/>
          <w:bCs/>
          <w:sz w:val="24"/>
          <w:szCs w:val="24"/>
        </w:rPr>
      </w:pPr>
    </w:p>
    <w:p w14:paraId="5864417C"/>
    <w:p w14:paraId="02BE68B5">
      <w:pPr>
        <w:snapToGrid w:val="0"/>
        <w:spacing w:line="360" w:lineRule="auto"/>
        <w:ind w:firstLine="480" w:firstLineChars="200"/>
      </w:pPr>
      <w:r>
        <w:rPr>
          <w:rFonts w:hint="eastAsia" w:ascii="宋体" w:hAnsi="宋体" w:eastAsia="宋体" w:cs="宋体"/>
          <w:sz w:val="24"/>
          <w:szCs w:val="24"/>
        </w:rPr>
        <w:t>（二）价格标评分：</w:t>
      </w:r>
      <w:r>
        <w:rPr>
          <w:rFonts w:hint="eastAsia" w:ascii="宋体" w:hAnsi="宋体" w:eastAsia="宋体" w:cs="宋体"/>
          <w:sz w:val="24"/>
          <w:szCs w:val="24"/>
          <w:highlight w:val="cyan"/>
        </w:rPr>
        <w:t>（30</w:t>
      </w:r>
      <w:r>
        <w:rPr>
          <w:rFonts w:ascii="宋体" w:hAnsi="宋体" w:eastAsia="宋体" w:cs="宋体"/>
          <w:sz w:val="24"/>
          <w:szCs w:val="24"/>
          <w:highlight w:val="cyan"/>
        </w:rPr>
        <w:t>分）</w:t>
      </w:r>
    </w:p>
    <w:p w14:paraId="6043A235">
      <w:pPr>
        <w:snapToGrid w:val="0"/>
        <w:spacing w:line="360" w:lineRule="auto"/>
        <w:ind w:firstLine="570"/>
        <w:rPr>
          <w:rFonts w:ascii="宋体" w:hAnsi="宋体" w:eastAsia="宋体" w:cs="宋体"/>
          <w:sz w:val="24"/>
          <w:szCs w:val="24"/>
        </w:rPr>
      </w:pPr>
      <w:r>
        <w:rPr>
          <w:rFonts w:hint="eastAsia" w:ascii="宋体" w:hAnsi="宋体" w:eastAsia="宋体" w:cs="宋体"/>
          <w:sz w:val="24"/>
          <w:szCs w:val="24"/>
        </w:rPr>
        <w:t>1、本项目最高限价为7.5万元/年，投标人的报价不得超过相应限价，否则作无效标处理。</w:t>
      </w:r>
    </w:p>
    <w:p w14:paraId="24BD5ACB">
      <w:pPr>
        <w:snapToGrid w:val="0"/>
        <w:spacing w:line="360" w:lineRule="auto"/>
        <w:ind w:firstLine="570"/>
        <w:rPr>
          <w:rFonts w:ascii="宋体" w:hAnsi="宋体" w:eastAsia="宋体" w:cs="宋体"/>
          <w:sz w:val="24"/>
          <w:szCs w:val="24"/>
          <w:highlight w:val="yellow"/>
        </w:rPr>
      </w:pPr>
      <w:r>
        <w:rPr>
          <w:rFonts w:hint="eastAsia" w:ascii="宋体" w:hAnsi="宋体" w:eastAsia="宋体" w:cs="宋体"/>
          <w:sz w:val="24"/>
          <w:szCs w:val="24"/>
          <w:highlight w:val="yellow"/>
        </w:rPr>
        <w:t>2、满足采购文件要求且投标报价最低的报价为评标基准价，其价格标得分为满分40分。</w:t>
      </w:r>
    </w:p>
    <w:p w14:paraId="449B8E3F">
      <w:pPr>
        <w:snapToGrid w:val="0"/>
        <w:spacing w:line="360" w:lineRule="auto"/>
        <w:ind w:firstLine="570"/>
        <w:rPr>
          <w:rFonts w:ascii="宋体" w:hAnsi="宋体" w:eastAsia="宋体" w:cs="宋体"/>
          <w:sz w:val="24"/>
          <w:szCs w:val="24"/>
          <w:highlight w:val="yellow"/>
        </w:rPr>
      </w:pPr>
      <w:r>
        <w:rPr>
          <w:rFonts w:hint="eastAsia" w:ascii="宋体" w:hAnsi="宋体" w:eastAsia="宋体" w:cs="宋体"/>
          <w:sz w:val="24"/>
          <w:szCs w:val="24"/>
          <w:highlight w:val="yellow"/>
        </w:rPr>
        <w:t>3、其他投标人的价格标得分按照下列公式计算：</w:t>
      </w:r>
    </w:p>
    <w:p w14:paraId="6893FD01">
      <w:pPr>
        <w:snapToGrid w:val="0"/>
        <w:spacing w:line="360" w:lineRule="auto"/>
        <w:ind w:firstLine="570"/>
        <w:rPr>
          <w:rFonts w:ascii="宋体" w:hAnsi="宋体" w:eastAsia="宋体" w:cs="宋体"/>
          <w:sz w:val="24"/>
          <w:szCs w:val="24"/>
          <w:highlight w:val="yellow"/>
        </w:rPr>
      </w:pPr>
      <w:r>
        <w:rPr>
          <w:rFonts w:hint="eastAsia" w:ascii="宋体" w:hAnsi="宋体" w:eastAsia="宋体" w:cs="宋体"/>
          <w:sz w:val="24"/>
          <w:szCs w:val="24"/>
          <w:highlight w:val="yellow"/>
        </w:rPr>
        <w:t xml:space="preserve">   价格标得分 =（评标基准价/投标报价）×30%×100</w:t>
      </w:r>
    </w:p>
    <w:p w14:paraId="15C976A8">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五、出现下列情形之一的，作无效投标处理：</w:t>
      </w:r>
    </w:p>
    <w:p w14:paraId="1A5705F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1、投标文件未按采购文件要求签署、盖章的；</w:t>
      </w:r>
    </w:p>
    <w:p w14:paraId="2521B8C4">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2、不具备采购文件中规定的资格要求的；</w:t>
      </w:r>
    </w:p>
    <w:p w14:paraId="38465B3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3、报价超过采购文件中规定的预算金额或者最高限价的；</w:t>
      </w:r>
    </w:p>
    <w:p w14:paraId="44C3A29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4、投标文件含有医院不能接受的附加条件的；</w:t>
      </w:r>
    </w:p>
    <w:p w14:paraId="607D834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5、法律、法规和采购文件规定的其他无效情形。</w:t>
      </w:r>
    </w:p>
    <w:p w14:paraId="7A2F67BA">
      <w:pPr>
        <w:snapToGrid w:val="0"/>
        <w:spacing w:line="360" w:lineRule="auto"/>
        <w:ind w:firstLine="482" w:firstLineChars="200"/>
        <w:outlineLvl w:val="1"/>
        <w:rPr>
          <w:rFonts w:ascii="宋体" w:hAnsi="宋体" w:eastAsia="宋体" w:cs="宋体"/>
          <w:sz w:val="24"/>
          <w:szCs w:val="24"/>
        </w:rPr>
      </w:pPr>
      <w:r>
        <w:rPr>
          <w:rFonts w:hint="eastAsia" w:ascii="宋体" w:hAnsi="宋体" w:eastAsia="宋体" w:cs="宋体"/>
          <w:b/>
          <w:sz w:val="24"/>
          <w:szCs w:val="24"/>
        </w:rPr>
        <w:t>六、有下列情形之一的，视为投标人串通投标，其投标无效：</w:t>
      </w:r>
    </w:p>
    <w:p w14:paraId="1404AAB5">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1、不同投标人的投标文件由同一单位或者个人编制；</w:t>
      </w:r>
    </w:p>
    <w:p w14:paraId="1554E48D">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2、不同投标人委托同一单位或者个人办理投标事宜；</w:t>
      </w:r>
    </w:p>
    <w:p w14:paraId="231F9759">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3、不同投标人的投标文件载明的项目管理成员或者联系人员为同一人；</w:t>
      </w:r>
    </w:p>
    <w:p w14:paraId="2CD683C7">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4、不同投标人的投标文件异常一致或者投标报价呈规律性差异；</w:t>
      </w:r>
    </w:p>
    <w:p w14:paraId="034AAEB5">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5、不同投标人的投标文件相互混装；</w:t>
      </w:r>
    </w:p>
    <w:p w14:paraId="304DEBBF">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6、不同投标人的投标保证金从同一单位或者个人的账户转出。</w:t>
      </w:r>
    </w:p>
    <w:p w14:paraId="387BC997">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七、出现下列情形之一的，作废标处理：</w:t>
      </w:r>
    </w:p>
    <w:p w14:paraId="4BA8C35F">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1、出现影响采购公正的违法违规行为的；</w:t>
      </w:r>
    </w:p>
    <w:p w14:paraId="56149208">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2、所有投标人报价超出最高限价的；</w:t>
      </w:r>
    </w:p>
    <w:p w14:paraId="75009493">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3、因重大变故，采购任务被取消的；</w:t>
      </w:r>
    </w:p>
    <w:p w14:paraId="1DA2341D">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4、评标委员会依据法律法规可以认定为废标的其他情况。</w:t>
      </w:r>
    </w:p>
    <w:p w14:paraId="4821036D">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八、中标通知</w:t>
      </w:r>
    </w:p>
    <w:p w14:paraId="1496A2FC">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1、开标结束后，采购采购单位自成交人确定之日起2个工作日内在指定媒体上公告中标结果。</w:t>
      </w:r>
    </w:p>
    <w:p w14:paraId="5098AB8E">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2、中标公告期限为1个工作日，期限结束后向中标人发出《中标通知书》。</w:t>
      </w:r>
    </w:p>
    <w:p w14:paraId="534B6A4F">
      <w:pPr>
        <w:snapToGrid w:val="0"/>
        <w:spacing w:line="360" w:lineRule="auto"/>
        <w:ind w:firstLine="480" w:firstLineChars="200"/>
        <w:rPr>
          <w:rFonts w:ascii="宋体" w:hAnsi="宋体" w:eastAsia="宋体" w:cs="宋体"/>
          <w:spacing w:val="-6"/>
          <w:sz w:val="24"/>
          <w:szCs w:val="24"/>
        </w:rPr>
      </w:pPr>
      <w:r>
        <w:rPr>
          <w:rFonts w:hint="eastAsia" w:ascii="宋体" w:hAnsi="宋体" w:eastAsia="宋体" w:cs="宋体"/>
          <w:sz w:val="24"/>
          <w:szCs w:val="24"/>
        </w:rPr>
        <w:t>3、《中标通知书》一经发出，即具有法律效力。医院、成交人依法承担法律责任。</w:t>
      </w:r>
    </w:p>
    <w:p w14:paraId="7FFD02DD">
      <w:pPr>
        <w:pStyle w:val="14"/>
        <w:tabs>
          <w:tab w:val="left" w:pos="1050"/>
          <w:tab w:val="right" w:leader="dot" w:pos="9402"/>
        </w:tabs>
        <w:spacing w:afterLines="100" w:line="360" w:lineRule="auto"/>
        <w:ind w:left="0" w:leftChars="0"/>
        <w:jc w:val="center"/>
        <w:outlineLvl w:val="0"/>
        <w:rPr>
          <w:rFonts w:ascii="宋体" w:hAnsi="宋体" w:eastAsia="宋体" w:cs="宋体"/>
          <w:b/>
          <w:bCs/>
          <w:sz w:val="24"/>
          <w:szCs w:val="24"/>
        </w:rPr>
      </w:pPr>
      <w:r>
        <w:rPr>
          <w:rFonts w:ascii="宋体" w:hAnsi="宋体" w:eastAsia="宋体" w:cs="宋体"/>
          <w:b/>
          <w:bCs/>
          <w:w w:val="80"/>
          <w:sz w:val="24"/>
          <w:szCs w:val="24"/>
        </w:rPr>
        <w:br w:type="page"/>
      </w:r>
      <w:r>
        <w:rPr>
          <w:rFonts w:hint="eastAsia" w:ascii="宋体" w:hAnsi="宋体" w:eastAsia="宋体" w:cs="宋体"/>
          <w:b/>
          <w:bCs/>
          <w:w w:val="80"/>
          <w:sz w:val="44"/>
          <w:szCs w:val="44"/>
        </w:rPr>
        <w:t>第五章 合同主要条款</w:t>
      </w:r>
      <w:bookmarkStart w:id="3" w:name="_Toc363573857"/>
    </w:p>
    <w:p w14:paraId="0E2E50A6">
      <w:pPr>
        <w:spacing w:line="480" w:lineRule="exact"/>
        <w:rPr>
          <w:rFonts w:ascii="宋体" w:hAnsi="宋体" w:eastAsia="宋体" w:cs="宋体"/>
          <w:sz w:val="24"/>
          <w:szCs w:val="24"/>
          <w:u w:val="single"/>
        </w:rPr>
      </w:pPr>
      <w:r>
        <w:rPr>
          <w:rFonts w:hint="eastAsia" w:ascii="宋体" w:hAnsi="宋体" w:eastAsia="宋体" w:cs="宋体"/>
          <w:b/>
          <w:sz w:val="24"/>
          <w:szCs w:val="24"/>
        </w:rPr>
        <w:t>甲方（全称）：</w:t>
      </w:r>
      <w:r>
        <w:rPr>
          <w:rFonts w:hint="eastAsia" w:ascii="宋体" w:hAnsi="宋体" w:eastAsia="宋体" w:cs="宋体"/>
          <w:sz w:val="24"/>
          <w:szCs w:val="24"/>
          <w:u w:val="single"/>
        </w:rPr>
        <w:t></w:t>
      </w:r>
      <w:r>
        <w:rPr>
          <w:rFonts w:hint="eastAsia" w:ascii="宋体" w:hAnsi="宋体" w:eastAsia="宋体" w:cs="宋体"/>
          <w:bCs/>
          <w:kern w:val="0"/>
          <w:sz w:val="24"/>
          <w:szCs w:val="24"/>
          <w:u w:val="single"/>
        </w:rPr>
        <w:t xml:space="preserve">    </w:t>
      </w:r>
      <w:r>
        <w:rPr>
          <w:rFonts w:hint="eastAsia" w:ascii="宋体" w:hAnsi="宋体" w:eastAsia="宋体" w:cs="宋体"/>
          <w:sz w:val="24"/>
          <w:szCs w:val="24"/>
          <w:u w:val="single"/>
        </w:rPr>
        <w:t xml:space="preserve">                                   </w:t>
      </w:r>
    </w:p>
    <w:p w14:paraId="44AE9EB3">
      <w:pPr>
        <w:spacing w:line="480" w:lineRule="exact"/>
        <w:rPr>
          <w:rFonts w:ascii="宋体" w:hAnsi="宋体" w:eastAsia="宋体" w:cs="宋体"/>
          <w:sz w:val="24"/>
          <w:szCs w:val="24"/>
          <w:u w:val="single"/>
        </w:rPr>
      </w:pPr>
      <w:r>
        <w:rPr>
          <w:rFonts w:hint="eastAsia" w:ascii="宋体" w:hAnsi="宋体" w:eastAsia="宋体" w:cs="宋体"/>
          <w:b/>
          <w:sz w:val="24"/>
          <w:szCs w:val="24"/>
        </w:rPr>
        <w:t>乙方（全称）：</w:t>
      </w:r>
      <w:r>
        <w:rPr>
          <w:rFonts w:hint="eastAsia" w:ascii="宋体" w:hAnsi="宋体" w:eastAsia="宋体" w:cs="宋体"/>
          <w:sz w:val="24"/>
          <w:szCs w:val="24"/>
          <w:u w:val="single"/>
        </w:rPr>
        <w:t xml:space="preserve">                                           </w:t>
      </w:r>
    </w:p>
    <w:p w14:paraId="11E20B95">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根据《中华人民共和国民法典》及有关法律规定，遵循平等、自愿、公平和诚实信用的原则，双方就 </w:t>
      </w:r>
      <w:r>
        <w:rPr>
          <w:rFonts w:hint="eastAsia" w:ascii="宋体" w:hAnsi="宋体" w:eastAsia="宋体" w:cs="宋体"/>
          <w:b/>
          <w:sz w:val="24"/>
          <w:szCs w:val="24"/>
          <w:u w:val="single"/>
        </w:rPr>
        <w:t>南通市妇幼保健院消防维修保养项目</w:t>
      </w:r>
      <w:r>
        <w:rPr>
          <w:rFonts w:hint="eastAsia" w:ascii="宋体" w:hAnsi="宋体" w:eastAsia="宋体" w:cs="宋体"/>
          <w:sz w:val="24"/>
          <w:szCs w:val="24"/>
        </w:rPr>
        <w:t xml:space="preserve">及有关事项协商一致，共同达成如下协议：  </w:t>
      </w:r>
    </w:p>
    <w:p w14:paraId="176CC6FA">
      <w:pPr>
        <w:spacing w:line="480" w:lineRule="exact"/>
        <w:rPr>
          <w:rFonts w:ascii="宋体" w:hAnsi="宋体" w:eastAsia="宋体" w:cs="宋体"/>
          <w:sz w:val="24"/>
          <w:szCs w:val="24"/>
        </w:rPr>
      </w:pPr>
      <w:r>
        <w:rPr>
          <w:rFonts w:hint="eastAsia" w:ascii="宋体" w:hAnsi="宋体" w:eastAsia="宋体" w:cs="宋体"/>
          <w:b/>
          <w:sz w:val="24"/>
          <w:szCs w:val="24"/>
        </w:rPr>
        <w:t>一、项目概况</w:t>
      </w:r>
    </w:p>
    <w:p w14:paraId="3272B765">
      <w:pPr>
        <w:spacing w:line="480" w:lineRule="exact"/>
        <w:ind w:firstLine="470" w:firstLineChars="196"/>
        <w:rPr>
          <w:rFonts w:ascii="宋体" w:hAnsi="宋体" w:eastAsia="宋体" w:cs="宋体"/>
          <w:sz w:val="24"/>
          <w:szCs w:val="24"/>
          <w:u w:val="single"/>
        </w:rPr>
      </w:pPr>
      <w:r>
        <w:rPr>
          <w:rFonts w:hint="eastAsia" w:ascii="宋体" w:hAnsi="宋体" w:eastAsia="宋体" w:cs="宋体"/>
          <w:bCs/>
          <w:sz w:val="24"/>
          <w:szCs w:val="24"/>
        </w:rPr>
        <w:t>1.项目名称</w:t>
      </w:r>
      <w:r>
        <w:rPr>
          <w:rFonts w:hint="eastAsia" w:ascii="宋体" w:hAnsi="宋体" w:eastAsia="宋体" w:cs="宋体"/>
          <w:sz w:val="24"/>
          <w:szCs w:val="24"/>
        </w:rPr>
        <w:t>：</w:t>
      </w:r>
      <w:r>
        <w:rPr>
          <w:rFonts w:hint="eastAsia" w:ascii="宋体" w:hAnsi="宋体" w:eastAsia="宋体" w:cs="宋体"/>
          <w:sz w:val="24"/>
          <w:szCs w:val="24"/>
          <w:u w:val="single"/>
        </w:rPr>
        <w:t xml:space="preserve">南通市妇幼保健院消防维修保养项目  </w:t>
      </w:r>
    </w:p>
    <w:p w14:paraId="49F99C79">
      <w:pPr>
        <w:spacing w:line="480" w:lineRule="exact"/>
        <w:ind w:firstLine="470" w:firstLineChars="196"/>
        <w:rPr>
          <w:rFonts w:ascii="宋体" w:hAnsi="宋体" w:eastAsia="宋体" w:cs="宋体"/>
          <w:bCs/>
          <w:sz w:val="24"/>
          <w:szCs w:val="24"/>
        </w:rPr>
      </w:pPr>
      <w:r>
        <w:rPr>
          <w:rFonts w:hint="eastAsia" w:ascii="宋体" w:hAnsi="宋体" w:eastAsia="宋体" w:cs="宋体"/>
          <w:bCs/>
          <w:sz w:val="24"/>
          <w:szCs w:val="24"/>
        </w:rPr>
        <w:t>2.项目地点：</w:t>
      </w:r>
      <w:r>
        <w:rPr>
          <w:rFonts w:hint="eastAsia" w:ascii="宋体" w:hAnsi="宋体" w:eastAsia="宋体" w:cs="宋体"/>
          <w:sz w:val="24"/>
          <w:szCs w:val="24"/>
          <w:u w:val="single"/>
        </w:rPr>
        <w:t xml:space="preserve">南通市妇幼保健院             </w:t>
      </w:r>
    </w:p>
    <w:p w14:paraId="7F5E4B99">
      <w:pPr>
        <w:spacing w:line="480" w:lineRule="exact"/>
        <w:ind w:firstLine="470" w:firstLineChars="196"/>
        <w:rPr>
          <w:rFonts w:ascii="宋体" w:hAnsi="宋体" w:eastAsia="宋体" w:cs="宋体"/>
          <w:bCs/>
          <w:sz w:val="24"/>
          <w:szCs w:val="24"/>
          <w:highlight w:val="cyan"/>
        </w:rPr>
      </w:pPr>
      <w:r>
        <w:rPr>
          <w:rFonts w:hint="eastAsia" w:ascii="宋体" w:hAnsi="宋体" w:eastAsia="宋体" w:cs="宋体"/>
          <w:bCs/>
          <w:sz w:val="24"/>
          <w:szCs w:val="24"/>
          <w:highlight w:val="cyan"/>
        </w:rPr>
        <w:t>3.项目维保范围：</w:t>
      </w:r>
      <w:r>
        <w:rPr>
          <w:rFonts w:hint="eastAsia" w:ascii="宋体" w:hAnsi="宋体" w:eastAsia="宋体" w:cs="宋体"/>
          <w:sz w:val="24"/>
          <w:szCs w:val="24"/>
          <w:highlight w:val="cyan"/>
          <w:u w:val="single"/>
        </w:rPr>
        <w:t>乙方负责下列第1、2、3、4、5、6、7、8、9、10、11、12、13、16、17、项建筑消防设施的维修保养技术服务。</w:t>
      </w:r>
    </w:p>
    <w:p w14:paraId="5C56E304">
      <w:pPr>
        <w:spacing w:line="560" w:lineRule="exact"/>
        <w:ind w:firstLine="480" w:firstLineChars="200"/>
        <w:rPr>
          <w:rFonts w:ascii="宋体" w:hAnsi="宋体" w:eastAsia="宋体" w:cs="宋体"/>
          <w:sz w:val="24"/>
          <w:szCs w:val="24"/>
          <w:u w:val="single"/>
        </w:rPr>
      </w:pP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、消防供配电设施；</w:t>
      </w:r>
      <w:r>
        <w:rPr>
          <w:rFonts w:ascii="宋体" w:hAnsi="宋体" w:eastAsia="宋体" w:cs="宋体"/>
          <w:sz w:val="24"/>
          <w:szCs w:val="24"/>
          <w:highlight w:val="cyan"/>
          <w:u w:val="single"/>
        </w:rPr>
        <w:t>2</w:t>
      </w:r>
      <w:r>
        <w:rPr>
          <w:rFonts w:hint="eastAsia" w:ascii="宋体" w:hAnsi="宋体" w:eastAsia="宋体" w:cs="宋体"/>
          <w:sz w:val="24"/>
          <w:szCs w:val="24"/>
          <w:highlight w:val="cyan"/>
          <w:u w:val="single"/>
        </w:rPr>
        <w:t>、火灾自动报警系统；</w:t>
      </w:r>
      <w:r>
        <w:rPr>
          <w:rFonts w:ascii="宋体" w:hAnsi="宋体" w:eastAsia="宋体" w:cs="宋体"/>
          <w:sz w:val="24"/>
          <w:szCs w:val="24"/>
          <w:highlight w:val="cyan"/>
          <w:u w:val="single"/>
        </w:rPr>
        <w:t>3</w:t>
      </w:r>
      <w:r>
        <w:rPr>
          <w:rFonts w:hint="eastAsia" w:ascii="宋体" w:hAnsi="宋体" w:eastAsia="宋体" w:cs="宋体"/>
          <w:sz w:val="24"/>
          <w:szCs w:val="24"/>
          <w:highlight w:val="cyan"/>
          <w:u w:val="single"/>
        </w:rPr>
        <w:t>、消防供水设施；</w:t>
      </w:r>
      <w:r>
        <w:rPr>
          <w:rFonts w:ascii="宋体" w:hAnsi="宋体" w:eastAsia="宋体" w:cs="宋体"/>
          <w:sz w:val="24"/>
          <w:szCs w:val="24"/>
          <w:highlight w:val="cyan"/>
          <w:u w:val="single"/>
        </w:rPr>
        <w:t>4</w:t>
      </w:r>
      <w:r>
        <w:rPr>
          <w:rFonts w:hint="eastAsia" w:ascii="宋体" w:hAnsi="宋体" w:eastAsia="宋体" w:cs="宋体"/>
          <w:sz w:val="24"/>
          <w:szCs w:val="24"/>
          <w:highlight w:val="cyan"/>
          <w:u w:val="single"/>
        </w:rPr>
        <w:t>、消火栓（消防炮）灭火系统；</w:t>
      </w:r>
      <w:r>
        <w:rPr>
          <w:rFonts w:ascii="宋体" w:hAnsi="宋体" w:eastAsia="宋体" w:cs="宋体"/>
          <w:sz w:val="24"/>
          <w:szCs w:val="24"/>
          <w:highlight w:val="cyan"/>
          <w:u w:val="single"/>
        </w:rPr>
        <w:t>5</w:t>
      </w:r>
      <w:r>
        <w:rPr>
          <w:rFonts w:hint="eastAsia" w:ascii="宋体" w:hAnsi="宋体" w:eastAsia="宋体" w:cs="宋体"/>
          <w:sz w:val="24"/>
          <w:szCs w:val="24"/>
          <w:highlight w:val="cyan"/>
          <w:u w:val="single"/>
        </w:rPr>
        <w:t>、自动喷水灭火系统；6、气体灭火系统；7、防排烟系统；8、火灾应急照明和疏散指示标志；9、应急广播系统；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0、消防专用电话；11、防火分隔设施；</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2、消防电梯；</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3、细水雾灭火系统；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4、干粉灭火系统；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5、电气火灾监控系统；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6、可燃气体探测报警系统；</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7、灭火器；</w:t>
      </w:r>
      <w:r>
        <w:rPr>
          <w:rFonts w:ascii="宋体" w:hAnsi="宋体" w:eastAsia="宋体" w:cs="宋体"/>
          <w:sz w:val="24"/>
          <w:szCs w:val="24"/>
          <w:highlight w:val="cyan"/>
          <w:u w:val="single"/>
        </w:rPr>
        <w:t>1</w:t>
      </w:r>
      <w:r>
        <w:rPr>
          <w:rFonts w:hint="eastAsia" w:ascii="宋体" w:hAnsi="宋体" w:eastAsia="宋体" w:cs="宋体"/>
          <w:sz w:val="24"/>
          <w:szCs w:val="24"/>
          <w:highlight w:val="cyan"/>
          <w:u w:val="single"/>
        </w:rPr>
        <w:t>8、其他建筑消防设施：。</w:t>
      </w:r>
    </w:p>
    <w:p w14:paraId="63E55569">
      <w:pPr>
        <w:pStyle w:val="8"/>
        <w:keepLines w:val="0"/>
        <w:spacing w:before="0" w:after="0" w:line="480" w:lineRule="exact"/>
        <w:rPr>
          <w:rFonts w:hint="default" w:ascii="宋体" w:hAnsi="宋体" w:eastAsia="宋体" w:cs="宋体"/>
          <w:sz w:val="24"/>
          <w:szCs w:val="24"/>
        </w:rPr>
      </w:pPr>
      <w:r>
        <w:rPr>
          <w:rFonts w:ascii="宋体" w:hAnsi="宋体" w:eastAsia="宋体" w:cs="宋体"/>
          <w:sz w:val="24"/>
          <w:szCs w:val="24"/>
        </w:rPr>
        <w:t>二、维保工期</w:t>
      </w:r>
    </w:p>
    <w:p w14:paraId="2E763B63">
      <w:pPr>
        <w:spacing w:line="480" w:lineRule="exact"/>
        <w:ind w:firstLine="459"/>
        <w:rPr>
          <w:rFonts w:ascii="宋体" w:hAnsi="宋体" w:eastAsia="宋体" w:cs="宋体"/>
          <w:sz w:val="24"/>
          <w:szCs w:val="24"/>
        </w:rPr>
      </w:pPr>
      <w:r>
        <w:rPr>
          <w:rFonts w:hint="eastAsia" w:ascii="宋体" w:hAnsi="宋体" w:eastAsia="宋体" w:cs="宋体"/>
          <w:sz w:val="24"/>
          <w:szCs w:val="24"/>
        </w:rPr>
        <w:t>计划开始日期：</w:t>
      </w:r>
      <w:r>
        <w:rPr>
          <w:rFonts w:hint="eastAsia" w:ascii="宋体" w:hAnsi="宋体" w:eastAsia="宋体" w:cs="宋体"/>
          <w:sz w:val="24"/>
          <w:szCs w:val="24"/>
          <w:u w:val="single"/>
        </w:rPr>
        <w:t xml:space="preserve"> 2024     </w:t>
      </w:r>
      <w:r>
        <w:rPr>
          <w:rFonts w:hint="eastAsia" w:ascii="宋体" w:hAnsi="宋体" w:eastAsia="宋体" w:cs="宋体"/>
          <w:sz w:val="24"/>
          <w:szCs w:val="24"/>
        </w:rPr>
        <w:t>年</w:t>
      </w:r>
      <w:r>
        <w:rPr>
          <w:rFonts w:hint="eastAsia" w:ascii="宋体" w:hAnsi="宋体" w:eastAsia="宋体" w:cs="宋体"/>
          <w:sz w:val="24"/>
          <w:szCs w:val="24"/>
          <w:u w:val="single"/>
        </w:rPr>
        <w:t xml:space="preserve">   9  </w:t>
      </w:r>
      <w:r>
        <w:rPr>
          <w:rFonts w:hint="eastAsia" w:ascii="宋体" w:hAnsi="宋体" w:eastAsia="宋体" w:cs="宋体"/>
          <w:sz w:val="24"/>
          <w:szCs w:val="24"/>
        </w:rPr>
        <w:t>月</w:t>
      </w:r>
      <w:r>
        <w:rPr>
          <w:rFonts w:hint="eastAsia" w:ascii="宋体" w:hAnsi="宋体" w:eastAsia="宋体" w:cs="宋体"/>
          <w:sz w:val="24"/>
          <w:szCs w:val="24"/>
          <w:u w:val="single"/>
        </w:rPr>
        <w:t xml:space="preserve">   20 </w:t>
      </w:r>
      <w:r>
        <w:rPr>
          <w:rFonts w:hint="eastAsia" w:ascii="宋体" w:hAnsi="宋体" w:eastAsia="宋体" w:cs="宋体"/>
          <w:sz w:val="24"/>
          <w:szCs w:val="24"/>
        </w:rPr>
        <w:t>日。</w:t>
      </w:r>
    </w:p>
    <w:p w14:paraId="0ED1FFA2">
      <w:pPr>
        <w:spacing w:line="480" w:lineRule="exact"/>
        <w:ind w:firstLine="459"/>
        <w:rPr>
          <w:rFonts w:ascii="宋体" w:hAnsi="宋体" w:eastAsia="宋体" w:cs="宋体"/>
          <w:sz w:val="24"/>
          <w:szCs w:val="24"/>
        </w:rPr>
      </w:pPr>
      <w:r>
        <w:rPr>
          <w:rFonts w:hint="eastAsia" w:ascii="宋体" w:hAnsi="宋体" w:eastAsia="宋体" w:cs="宋体"/>
          <w:sz w:val="24"/>
          <w:szCs w:val="24"/>
        </w:rPr>
        <w:t>计划结束日期：</w:t>
      </w:r>
      <w:r>
        <w:rPr>
          <w:rFonts w:hint="eastAsia" w:ascii="宋体" w:hAnsi="宋体" w:eastAsia="宋体" w:cs="宋体"/>
          <w:sz w:val="24"/>
          <w:szCs w:val="24"/>
          <w:u w:val="single"/>
        </w:rPr>
        <w:t xml:space="preserve"> 2025     </w:t>
      </w:r>
      <w:r>
        <w:rPr>
          <w:rFonts w:hint="eastAsia" w:ascii="宋体" w:hAnsi="宋体" w:eastAsia="宋体" w:cs="宋体"/>
          <w:sz w:val="24"/>
          <w:szCs w:val="24"/>
        </w:rPr>
        <w:t>年</w:t>
      </w:r>
      <w:r>
        <w:rPr>
          <w:rFonts w:hint="eastAsia" w:ascii="宋体" w:hAnsi="宋体" w:eastAsia="宋体" w:cs="宋体"/>
          <w:sz w:val="24"/>
          <w:szCs w:val="24"/>
          <w:u w:val="single"/>
        </w:rPr>
        <w:t xml:space="preserve"> 9  </w:t>
      </w:r>
      <w:r>
        <w:rPr>
          <w:rFonts w:hint="eastAsia" w:ascii="宋体" w:hAnsi="宋体" w:eastAsia="宋体" w:cs="宋体"/>
          <w:sz w:val="24"/>
          <w:szCs w:val="24"/>
        </w:rPr>
        <w:t>月</w:t>
      </w:r>
      <w:r>
        <w:rPr>
          <w:rFonts w:hint="eastAsia" w:ascii="宋体" w:hAnsi="宋体" w:eastAsia="宋体" w:cs="宋体"/>
          <w:sz w:val="24"/>
          <w:szCs w:val="24"/>
          <w:u w:val="single"/>
        </w:rPr>
        <w:t xml:space="preserve">   19 </w:t>
      </w:r>
      <w:r>
        <w:rPr>
          <w:rFonts w:hint="eastAsia" w:ascii="宋体" w:hAnsi="宋体" w:eastAsia="宋体" w:cs="宋体"/>
          <w:sz w:val="24"/>
          <w:szCs w:val="24"/>
        </w:rPr>
        <w:t>日。</w:t>
      </w:r>
    </w:p>
    <w:p w14:paraId="4249AC8B">
      <w:pPr>
        <w:spacing w:line="480" w:lineRule="exact"/>
        <w:jc w:val="left"/>
        <w:rPr>
          <w:rFonts w:ascii="宋体" w:hAnsi="宋体" w:eastAsia="宋体" w:cs="宋体"/>
          <w:b/>
          <w:sz w:val="24"/>
          <w:szCs w:val="24"/>
          <w:highlight w:val="cyan"/>
        </w:rPr>
      </w:pPr>
      <w:r>
        <w:rPr>
          <w:rFonts w:hint="eastAsia" w:ascii="宋体" w:hAnsi="宋体" w:eastAsia="宋体" w:cs="宋体"/>
          <w:b/>
          <w:sz w:val="24"/>
          <w:szCs w:val="24"/>
          <w:highlight w:val="cyan"/>
        </w:rPr>
        <w:t>三、甲方的权利、义务：</w:t>
      </w:r>
    </w:p>
    <w:p w14:paraId="6E91774F">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1</w:t>
      </w:r>
      <w:r>
        <w:rPr>
          <w:rFonts w:hint="eastAsia" w:ascii="宋体" w:hAnsi="宋体" w:eastAsia="宋体" w:cs="宋体"/>
          <w:sz w:val="24"/>
          <w:szCs w:val="24"/>
          <w:highlight w:val="cyan"/>
        </w:rPr>
        <w:t>、有权核查乙方维修保养机构资质证书和现场维修保养人员执业资格证书。</w:t>
      </w:r>
    </w:p>
    <w:p w14:paraId="6F62720D">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2</w:t>
      </w:r>
      <w:r>
        <w:rPr>
          <w:rFonts w:hint="eastAsia" w:ascii="宋体" w:hAnsi="宋体" w:eastAsia="宋体" w:cs="宋体"/>
          <w:sz w:val="24"/>
          <w:szCs w:val="24"/>
          <w:highlight w:val="cyan"/>
        </w:rPr>
        <w:t>、按规定配备值班和管理人员，落实值班和管理措施。</w:t>
      </w:r>
    </w:p>
    <w:p w14:paraId="708974C1">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3</w:t>
      </w:r>
      <w:r>
        <w:rPr>
          <w:rFonts w:hint="eastAsia" w:ascii="宋体" w:hAnsi="宋体" w:eastAsia="宋体" w:cs="宋体"/>
          <w:sz w:val="24"/>
          <w:szCs w:val="24"/>
          <w:highlight w:val="cyan"/>
        </w:rPr>
        <w:t>、掌握建筑消防设施的使用、操作规程，发现消防设施存在问题和故障并及时通知乙方修复。</w:t>
      </w:r>
    </w:p>
    <w:p w14:paraId="393C3342">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4</w:t>
      </w:r>
      <w:r>
        <w:rPr>
          <w:rFonts w:hint="eastAsia" w:ascii="宋体" w:hAnsi="宋体" w:eastAsia="宋体" w:cs="宋体"/>
          <w:sz w:val="24"/>
          <w:szCs w:val="24"/>
          <w:highlight w:val="cyan"/>
        </w:rPr>
        <w:t>、根据需要及时组织更换建筑消防设施配件，承担建筑消防设施换件和安装、维修费用。</w:t>
      </w:r>
    </w:p>
    <w:p w14:paraId="4FC16241">
      <w:pPr>
        <w:spacing w:line="480" w:lineRule="exact"/>
        <w:jc w:val="left"/>
        <w:rPr>
          <w:rFonts w:ascii="宋体" w:hAnsi="宋体" w:eastAsia="宋体" w:cs="宋体"/>
          <w:b/>
          <w:sz w:val="24"/>
          <w:szCs w:val="24"/>
          <w:highlight w:val="cyan"/>
        </w:rPr>
      </w:pPr>
      <w:r>
        <w:rPr>
          <w:rFonts w:hint="eastAsia" w:ascii="宋体" w:hAnsi="宋体" w:eastAsia="宋体" w:cs="宋体"/>
          <w:b/>
          <w:sz w:val="24"/>
          <w:szCs w:val="24"/>
          <w:highlight w:val="cyan"/>
        </w:rPr>
        <w:t>四、乙方的权利、义务：</w:t>
      </w:r>
    </w:p>
    <w:p w14:paraId="3AFC3D87">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1</w:t>
      </w:r>
      <w:r>
        <w:rPr>
          <w:rFonts w:hint="eastAsia" w:ascii="宋体" w:hAnsi="宋体" w:eastAsia="宋体" w:cs="宋体"/>
          <w:sz w:val="24"/>
          <w:szCs w:val="24"/>
          <w:highlight w:val="cyan"/>
        </w:rPr>
        <w:t>、具备消防设施维修保养的相应资质、资格，依照法律法规、技术标准和执业准则，开展建筑消防设施维修保养技术服务活动，对维修保养质量负责。</w:t>
      </w:r>
    </w:p>
    <w:p w14:paraId="29FF094D">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2</w:t>
      </w:r>
      <w:r>
        <w:rPr>
          <w:rFonts w:hint="eastAsia" w:ascii="宋体" w:hAnsi="宋体" w:eastAsia="宋体" w:cs="宋体"/>
          <w:sz w:val="24"/>
          <w:szCs w:val="24"/>
          <w:highlight w:val="cyan"/>
        </w:rPr>
        <w:t>、根据维修保养对象的具体情况，拟定具体的维修保养方案，明确项目负责人，至少指定</w:t>
      </w:r>
      <w:r>
        <w:rPr>
          <w:rFonts w:ascii="宋体" w:hAnsi="宋体" w:eastAsia="宋体" w:cs="宋体"/>
          <w:sz w:val="24"/>
          <w:szCs w:val="24"/>
          <w:highlight w:val="cyan"/>
        </w:rPr>
        <w:t>2</w:t>
      </w:r>
      <w:r>
        <w:rPr>
          <w:rFonts w:hint="eastAsia" w:ascii="宋体" w:hAnsi="宋体" w:eastAsia="宋体" w:cs="宋体"/>
          <w:sz w:val="24"/>
          <w:szCs w:val="24"/>
          <w:highlight w:val="cyan"/>
        </w:rPr>
        <w:t>名以上执业人员负责实施。执业人员维修保养时应当认真如实填写维修保养记录。</w:t>
      </w:r>
    </w:p>
    <w:p w14:paraId="0474DC9D">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3</w:t>
      </w:r>
      <w:r>
        <w:rPr>
          <w:rFonts w:hint="eastAsia" w:ascii="宋体" w:hAnsi="宋体" w:eastAsia="宋体" w:cs="宋体"/>
          <w:sz w:val="24"/>
          <w:szCs w:val="24"/>
          <w:highlight w:val="cyan"/>
        </w:rPr>
        <w:t>、按照《建筑消防设施的维护管理》（</w:t>
      </w:r>
      <w:r>
        <w:rPr>
          <w:rFonts w:ascii="宋体" w:hAnsi="宋体" w:eastAsia="宋体" w:cs="宋体"/>
          <w:sz w:val="24"/>
          <w:szCs w:val="24"/>
          <w:highlight w:val="cyan"/>
        </w:rPr>
        <w:t>GB25201</w:t>
      </w:r>
      <w:r>
        <w:rPr>
          <w:rFonts w:hint="eastAsia" w:ascii="宋体" w:hAnsi="宋体" w:eastAsia="宋体" w:cs="宋体"/>
          <w:sz w:val="24"/>
          <w:szCs w:val="24"/>
          <w:highlight w:val="cyan"/>
        </w:rPr>
        <w:t>）等消防技术标准规定的内容、程序、周期等要求，对合同约定范围内的建筑消防设施开展检查、维修、保养、测试等技术服务。</w:t>
      </w:r>
    </w:p>
    <w:p w14:paraId="06682E3E">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4</w:t>
      </w:r>
      <w:r>
        <w:rPr>
          <w:rFonts w:hint="eastAsia" w:ascii="宋体" w:hAnsi="宋体" w:eastAsia="宋体" w:cs="宋体"/>
          <w:sz w:val="24"/>
          <w:szCs w:val="24"/>
          <w:highlight w:val="cyan"/>
        </w:rPr>
        <w:t>、每年对承担维修保养的建筑消防设施至少进行</w:t>
      </w:r>
      <w:r>
        <w:rPr>
          <w:rFonts w:ascii="宋体" w:hAnsi="宋体" w:eastAsia="宋体" w:cs="宋体"/>
          <w:sz w:val="24"/>
          <w:szCs w:val="24"/>
          <w:highlight w:val="cyan"/>
        </w:rPr>
        <w:t>1</w:t>
      </w:r>
      <w:r>
        <w:rPr>
          <w:rFonts w:hint="eastAsia" w:ascii="宋体" w:hAnsi="宋体" w:eastAsia="宋体" w:cs="宋体"/>
          <w:sz w:val="24"/>
          <w:szCs w:val="24"/>
          <w:highlight w:val="cyan"/>
        </w:rPr>
        <w:t>次全面检查测试。年度检查测试报告应当按规定送达甲方。</w:t>
      </w:r>
    </w:p>
    <w:p w14:paraId="657FB726">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5</w:t>
      </w:r>
      <w:r>
        <w:rPr>
          <w:rFonts w:hint="eastAsia" w:ascii="宋体" w:hAnsi="宋体" w:eastAsia="宋体" w:cs="宋体"/>
          <w:sz w:val="24"/>
          <w:szCs w:val="24"/>
          <w:highlight w:val="cyan"/>
        </w:rPr>
        <w:t>、在巡查、巡检中发现建筑消防设施存在问题、故障，或接到甲方通知要求维修的，能够当场修复的应当立即修复解决；没有条件立即修复解决的，应当在</w:t>
      </w:r>
      <w:r>
        <w:rPr>
          <w:rFonts w:ascii="宋体" w:hAnsi="宋体" w:eastAsia="宋体" w:cs="宋体"/>
          <w:sz w:val="24"/>
          <w:szCs w:val="24"/>
          <w:highlight w:val="cyan"/>
        </w:rPr>
        <w:t>24</w:t>
      </w:r>
      <w:r>
        <w:rPr>
          <w:rFonts w:hint="eastAsia" w:ascii="宋体" w:hAnsi="宋体" w:eastAsia="宋体" w:cs="宋体"/>
          <w:sz w:val="24"/>
          <w:szCs w:val="24"/>
          <w:highlight w:val="cyan"/>
        </w:rPr>
        <w:t>小时内组织维修，尽快排除故障。</w:t>
      </w:r>
    </w:p>
    <w:p w14:paraId="33E8E6D3">
      <w:pPr>
        <w:spacing w:line="480" w:lineRule="exact"/>
        <w:ind w:firstLine="480" w:firstLineChars="200"/>
        <w:jc w:val="left"/>
        <w:rPr>
          <w:rFonts w:ascii="宋体" w:hAnsi="宋体" w:eastAsia="宋体" w:cs="宋体"/>
          <w:sz w:val="24"/>
          <w:szCs w:val="24"/>
          <w:highlight w:val="cyan"/>
        </w:rPr>
      </w:pPr>
      <w:r>
        <w:rPr>
          <w:rFonts w:ascii="宋体" w:hAnsi="宋体" w:eastAsia="宋体" w:cs="宋体"/>
          <w:sz w:val="24"/>
          <w:szCs w:val="24"/>
          <w:highlight w:val="cyan"/>
        </w:rPr>
        <w:t>6</w:t>
      </w:r>
      <w:r>
        <w:rPr>
          <w:rFonts w:hint="eastAsia" w:ascii="宋体" w:hAnsi="宋体" w:eastAsia="宋体" w:cs="宋体"/>
          <w:sz w:val="24"/>
          <w:szCs w:val="24"/>
          <w:highlight w:val="cyan"/>
        </w:rPr>
        <w:t>、对故障零部件提供临时备件，保障消防设施能够在紧急状态下发挥作用；对故障零部件确需更换的，向甲方提出建议，并出示更换部件报废证明。</w:t>
      </w:r>
    </w:p>
    <w:p w14:paraId="4D1512FE">
      <w:pPr>
        <w:spacing w:line="480" w:lineRule="exact"/>
        <w:rPr>
          <w:rFonts w:ascii="宋体" w:hAnsi="宋体" w:eastAsia="宋体" w:cs="宋体"/>
          <w:sz w:val="24"/>
          <w:szCs w:val="24"/>
        </w:rPr>
      </w:pPr>
      <w:r>
        <w:rPr>
          <w:rFonts w:ascii="宋体" w:hAnsi="宋体" w:eastAsia="宋体" w:cs="宋体"/>
          <w:sz w:val="24"/>
          <w:szCs w:val="24"/>
          <w:highlight w:val="cyan"/>
        </w:rPr>
        <w:t>7</w:t>
      </w:r>
      <w:r>
        <w:rPr>
          <w:rFonts w:hint="eastAsia" w:ascii="宋体" w:hAnsi="宋体" w:eastAsia="宋体" w:cs="宋体"/>
          <w:sz w:val="24"/>
          <w:szCs w:val="24"/>
          <w:highlight w:val="cyan"/>
        </w:rPr>
        <w:t>、对甲方值班或者管理人员进行专业技术指导。</w:t>
      </w:r>
    </w:p>
    <w:p w14:paraId="73B5AC11">
      <w:pPr>
        <w:spacing w:line="480" w:lineRule="exact"/>
        <w:rPr>
          <w:rFonts w:ascii="宋体" w:hAnsi="宋体" w:eastAsia="宋体" w:cs="宋体"/>
          <w:b/>
          <w:sz w:val="24"/>
          <w:szCs w:val="24"/>
        </w:rPr>
      </w:pPr>
      <w:r>
        <w:rPr>
          <w:rFonts w:hint="eastAsia" w:ascii="宋体" w:hAnsi="宋体" w:eastAsia="宋体" w:cs="宋体"/>
          <w:b/>
          <w:sz w:val="24"/>
          <w:szCs w:val="24"/>
        </w:rPr>
        <w:t>五、安全生产</w:t>
      </w:r>
    </w:p>
    <w:p w14:paraId="7CACC631">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1、乙方参与合同执行的所有员工应遵守买方有关安全生产的规章制度，服从甲方的安全管理。如有违章行为，甲方有权要求乙方停止运行，因违章造成的后果由乙方自行承担。</w:t>
      </w:r>
    </w:p>
    <w:p w14:paraId="68237240">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2、合同履行期间，由于乙方过错导致发生的任何运输车辆违章、安全事故，致使人员伤亡、财产遭受损失，由乙方承担全部责任并负责自行处理，甲方不承担任何连带责任</w:t>
      </w:r>
    </w:p>
    <w:p w14:paraId="07D7B64D">
      <w:pPr>
        <w:spacing w:line="480" w:lineRule="exact"/>
        <w:jc w:val="left"/>
        <w:rPr>
          <w:rFonts w:ascii="宋体" w:hAnsi="宋体" w:eastAsia="宋体" w:cs="宋体"/>
          <w:sz w:val="24"/>
          <w:szCs w:val="24"/>
        </w:rPr>
      </w:pPr>
    </w:p>
    <w:p w14:paraId="2735D263">
      <w:pPr>
        <w:spacing w:line="480" w:lineRule="exact"/>
        <w:jc w:val="left"/>
        <w:rPr>
          <w:rFonts w:ascii="宋体" w:hAnsi="宋体" w:eastAsia="宋体" w:cs="宋体"/>
          <w:b/>
          <w:sz w:val="24"/>
          <w:szCs w:val="24"/>
        </w:rPr>
      </w:pPr>
      <w:r>
        <w:rPr>
          <w:rFonts w:hint="eastAsia" w:ascii="宋体" w:hAnsi="宋体" w:eastAsia="宋体" w:cs="宋体"/>
          <w:b/>
          <w:sz w:val="24"/>
          <w:szCs w:val="24"/>
        </w:rPr>
        <w:t>六、合同金额：</w:t>
      </w:r>
      <w:r>
        <w:rPr>
          <w:rFonts w:hint="eastAsia" w:ascii="宋体" w:hAnsi="宋体" w:eastAsia="宋体" w:cs="宋体"/>
          <w:sz w:val="24"/>
          <w:szCs w:val="24"/>
        </w:rPr>
        <w:t>1.签约合同价为中标价：人民币（大写）(¥元)。</w:t>
      </w:r>
    </w:p>
    <w:p w14:paraId="0E6D3177">
      <w:pPr>
        <w:spacing w:line="480" w:lineRule="exact"/>
        <w:rPr>
          <w:rFonts w:ascii="宋体" w:hAnsi="宋体" w:eastAsia="宋体" w:cs="宋体"/>
          <w:b/>
          <w:sz w:val="24"/>
          <w:szCs w:val="24"/>
          <w:highlight w:val="cyan"/>
        </w:rPr>
      </w:pPr>
      <w:r>
        <w:rPr>
          <w:rFonts w:hint="eastAsia" w:ascii="宋体" w:hAnsi="宋体" w:eastAsia="宋体" w:cs="宋体"/>
          <w:b/>
          <w:sz w:val="24"/>
          <w:szCs w:val="24"/>
          <w:highlight w:val="cyan"/>
        </w:rPr>
        <w:t>七、支付方式</w:t>
      </w:r>
    </w:p>
    <w:p w14:paraId="2DF609E1">
      <w:pPr>
        <w:spacing w:line="560" w:lineRule="exact"/>
        <w:ind w:firstLine="480" w:firstLineChars="200"/>
        <w:rPr>
          <w:rFonts w:ascii="宋体" w:hAnsi="宋体" w:eastAsia="宋体" w:cs="宋体"/>
          <w:sz w:val="24"/>
          <w:szCs w:val="24"/>
          <w:highlight w:val="cyan"/>
        </w:rPr>
      </w:pPr>
      <w:r>
        <w:rPr>
          <w:rFonts w:hint="eastAsia" w:ascii="宋体" w:hAnsi="宋体" w:eastAsia="宋体" w:cs="宋体"/>
          <w:sz w:val="24"/>
          <w:szCs w:val="24"/>
          <w:highlight w:val="cyan"/>
        </w:rPr>
        <w:t>合同期</w:t>
      </w:r>
      <w:r>
        <w:rPr>
          <w:rFonts w:hint="eastAsia" w:ascii="宋体" w:hAnsi="宋体" w:eastAsia="宋体" w:cs="宋体"/>
          <w:sz w:val="24"/>
          <w:szCs w:val="24"/>
          <w:highlight w:val="cyan"/>
          <w:u w:val="single"/>
        </w:rPr>
        <w:t>二</w:t>
      </w:r>
      <w:r>
        <w:rPr>
          <w:rFonts w:hint="eastAsia" w:ascii="宋体" w:hAnsi="宋体" w:eastAsia="宋体" w:cs="宋体"/>
          <w:sz w:val="24"/>
          <w:szCs w:val="24"/>
          <w:highlight w:val="cyan"/>
        </w:rPr>
        <w:t>年，合同一年一签，服务期满一年后的第一个月，确认费用后由维保方出具税务部门的正式有效发票、年度检查测试合格报告作付款依据，一次性结清该服务期费用。</w:t>
      </w:r>
    </w:p>
    <w:p w14:paraId="4E5BD3E7">
      <w:pPr>
        <w:spacing w:line="560" w:lineRule="exact"/>
        <w:jc w:val="left"/>
        <w:rPr>
          <w:rFonts w:ascii="宋体" w:hAnsi="宋体" w:eastAsia="宋体" w:cs="宋体"/>
          <w:b/>
          <w:sz w:val="24"/>
          <w:szCs w:val="24"/>
          <w:highlight w:val="cyan"/>
        </w:rPr>
      </w:pPr>
      <w:r>
        <w:rPr>
          <w:rFonts w:hint="eastAsia" w:ascii="宋体" w:hAnsi="宋体" w:eastAsia="宋体" w:cs="宋体"/>
          <w:b/>
          <w:sz w:val="24"/>
          <w:szCs w:val="24"/>
          <w:highlight w:val="cyan"/>
        </w:rPr>
        <w:t>八、违约责任</w:t>
      </w:r>
    </w:p>
    <w:p w14:paraId="01D14D98">
      <w:pPr>
        <w:spacing w:line="560" w:lineRule="exact"/>
        <w:ind w:firstLine="480" w:firstLineChars="200"/>
        <w:rPr>
          <w:rFonts w:ascii="宋体" w:hAnsi="宋体" w:eastAsia="宋体" w:cs="宋体"/>
          <w:sz w:val="24"/>
          <w:szCs w:val="24"/>
          <w:highlight w:val="cyan"/>
        </w:rPr>
      </w:pPr>
      <w:r>
        <w:rPr>
          <w:rFonts w:ascii="宋体" w:hAnsi="宋体" w:eastAsia="宋体" w:cs="宋体"/>
          <w:sz w:val="24"/>
          <w:szCs w:val="24"/>
          <w:highlight w:val="cyan"/>
        </w:rPr>
        <w:t>1</w:t>
      </w:r>
      <w:r>
        <w:rPr>
          <w:rFonts w:hint="eastAsia" w:ascii="宋体" w:hAnsi="宋体" w:eastAsia="宋体" w:cs="宋体"/>
          <w:sz w:val="24"/>
          <w:szCs w:val="24"/>
          <w:highlight w:val="cyan"/>
        </w:rPr>
        <w:t>、甲方未按规定落实值班和管理措施，导致未发现设施问题，或发现问题未及时通知乙方修复，擅自违规操作造成故障的，应当承担相应责任。</w:t>
      </w:r>
    </w:p>
    <w:p w14:paraId="4F3E8851">
      <w:pPr>
        <w:spacing w:line="560" w:lineRule="exact"/>
        <w:ind w:firstLine="480" w:firstLineChars="200"/>
        <w:rPr>
          <w:rFonts w:ascii="宋体" w:hAnsi="宋体" w:eastAsia="宋体" w:cs="宋体"/>
          <w:sz w:val="24"/>
          <w:szCs w:val="24"/>
          <w:highlight w:val="cyan"/>
        </w:rPr>
      </w:pPr>
      <w:r>
        <w:rPr>
          <w:rFonts w:ascii="宋体" w:hAnsi="宋体" w:eastAsia="宋体" w:cs="宋体"/>
          <w:sz w:val="24"/>
          <w:szCs w:val="24"/>
          <w:highlight w:val="cyan"/>
        </w:rPr>
        <w:t>2</w:t>
      </w:r>
      <w:r>
        <w:rPr>
          <w:rFonts w:hint="eastAsia" w:ascii="宋体" w:hAnsi="宋体" w:eastAsia="宋体" w:cs="宋体"/>
          <w:sz w:val="24"/>
          <w:szCs w:val="24"/>
          <w:highlight w:val="cyan"/>
        </w:rPr>
        <w:t>、甲方不按时支付维保费用，乙方有权解除合同。</w:t>
      </w:r>
    </w:p>
    <w:p w14:paraId="21B33DA9">
      <w:pPr>
        <w:spacing w:line="560" w:lineRule="exact"/>
        <w:ind w:firstLine="480" w:firstLineChars="200"/>
        <w:rPr>
          <w:rFonts w:ascii="宋体" w:hAnsi="宋体" w:eastAsia="宋体" w:cs="宋体"/>
          <w:sz w:val="24"/>
          <w:szCs w:val="24"/>
          <w:highlight w:val="cyan"/>
        </w:rPr>
      </w:pPr>
      <w:r>
        <w:rPr>
          <w:rFonts w:ascii="宋体" w:hAnsi="宋体" w:eastAsia="宋体" w:cs="宋体"/>
          <w:sz w:val="24"/>
          <w:szCs w:val="24"/>
          <w:highlight w:val="cyan"/>
        </w:rPr>
        <w:t>3</w:t>
      </w:r>
      <w:r>
        <w:rPr>
          <w:rFonts w:hint="eastAsia" w:ascii="宋体" w:hAnsi="宋体" w:eastAsia="宋体" w:cs="宋体"/>
          <w:sz w:val="24"/>
          <w:szCs w:val="24"/>
          <w:highlight w:val="cyan"/>
        </w:rPr>
        <w:t>、乙方不按规定和本合同约定履行职责、义务，造成甲方损失的，应当承担赔偿责任。</w:t>
      </w:r>
    </w:p>
    <w:p w14:paraId="7B581E84">
      <w:pPr>
        <w:spacing w:line="560" w:lineRule="exact"/>
        <w:ind w:firstLine="480" w:firstLineChars="200"/>
        <w:rPr>
          <w:rFonts w:ascii="宋体" w:hAnsi="宋体" w:eastAsia="宋体" w:cs="宋体"/>
          <w:sz w:val="24"/>
          <w:szCs w:val="24"/>
        </w:rPr>
      </w:pPr>
      <w:r>
        <w:rPr>
          <w:rFonts w:ascii="宋体" w:hAnsi="宋体" w:eastAsia="宋体" w:cs="宋体"/>
          <w:sz w:val="24"/>
          <w:szCs w:val="24"/>
          <w:highlight w:val="cyan"/>
        </w:rPr>
        <w:t>4</w:t>
      </w:r>
      <w:r>
        <w:rPr>
          <w:rFonts w:hint="eastAsia" w:ascii="宋体" w:hAnsi="宋体" w:eastAsia="宋体" w:cs="宋体"/>
          <w:sz w:val="24"/>
          <w:szCs w:val="24"/>
          <w:highlight w:val="cyan"/>
        </w:rPr>
        <w:t>、乙方在维修保养、检查测试中弄虚作假或严重不负责任的，甲方有权解除维修保养合同。</w:t>
      </w:r>
    </w:p>
    <w:p w14:paraId="525A686B">
      <w:pPr>
        <w:spacing w:line="480" w:lineRule="exact"/>
        <w:rPr>
          <w:rFonts w:ascii="宋体" w:hAnsi="宋体" w:eastAsia="宋体" w:cs="宋体"/>
          <w:b/>
          <w:sz w:val="24"/>
          <w:szCs w:val="24"/>
        </w:rPr>
      </w:pPr>
      <w:r>
        <w:rPr>
          <w:rFonts w:hint="eastAsia" w:ascii="宋体" w:hAnsi="宋体" w:eastAsia="宋体" w:cs="宋体"/>
          <w:b/>
          <w:sz w:val="24"/>
          <w:szCs w:val="24"/>
        </w:rPr>
        <w:t>九、争议解决</w:t>
      </w:r>
    </w:p>
    <w:p w14:paraId="64BA58E0">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双方在本合同履历中发生的任何争议，应尽可能先协商解决；如协商不成，双方同意将争议提交南通仲裁委员会进行仲裁。</w:t>
      </w:r>
    </w:p>
    <w:p w14:paraId="21492F0D">
      <w:pPr>
        <w:spacing w:line="480" w:lineRule="exact"/>
        <w:rPr>
          <w:rFonts w:ascii="宋体" w:hAnsi="宋体" w:eastAsia="宋体" w:cs="宋体"/>
          <w:sz w:val="24"/>
          <w:szCs w:val="24"/>
        </w:rPr>
      </w:pPr>
      <w:r>
        <w:rPr>
          <w:rFonts w:hint="eastAsia" w:ascii="宋体" w:hAnsi="宋体" w:eastAsia="宋体" w:cs="宋体"/>
          <w:b/>
          <w:sz w:val="24"/>
          <w:szCs w:val="24"/>
        </w:rPr>
        <w:t>十、其它约定：</w:t>
      </w:r>
      <w:r>
        <w:rPr>
          <w:rFonts w:hint="eastAsia" w:ascii="宋体" w:hAnsi="宋体" w:eastAsia="宋体" w:cs="宋体"/>
          <w:sz w:val="24"/>
          <w:szCs w:val="24"/>
        </w:rPr>
        <w:t>本合同未尽事宜，双方可另行协商，订立书面补充协议。</w:t>
      </w:r>
    </w:p>
    <w:p w14:paraId="03D5D034">
      <w:pPr>
        <w:spacing w:line="480" w:lineRule="exact"/>
        <w:ind w:left="241" w:hanging="241" w:hangingChars="100"/>
        <w:rPr>
          <w:rFonts w:ascii="宋体" w:hAnsi="宋体" w:eastAsia="宋体" w:cs="宋体"/>
          <w:sz w:val="24"/>
          <w:szCs w:val="24"/>
        </w:rPr>
      </w:pPr>
      <w:r>
        <w:rPr>
          <w:rFonts w:hint="eastAsia" w:ascii="宋体" w:hAnsi="宋体" w:eastAsia="宋体" w:cs="宋体"/>
          <w:b/>
          <w:sz w:val="24"/>
          <w:szCs w:val="24"/>
        </w:rPr>
        <w:t>十一、合同份数：</w:t>
      </w:r>
      <w:r>
        <w:rPr>
          <w:rFonts w:hint="eastAsia" w:ascii="宋体" w:hAnsi="宋体" w:eastAsia="宋体" w:cs="宋体"/>
          <w:sz w:val="24"/>
          <w:szCs w:val="24"/>
        </w:rPr>
        <w:t>本合同壹式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w:t>
      </w:r>
      <w:r>
        <w:rPr>
          <w:rFonts w:hint="eastAsia" w:ascii="宋体" w:hAnsi="宋体" w:eastAsia="宋体" w:cs="宋体"/>
          <w:bCs/>
          <w:sz w:val="24"/>
          <w:szCs w:val="24"/>
        </w:rPr>
        <w:t>经甲乙双方盖章生效，甲方执</w:t>
      </w:r>
      <w:r>
        <w:rPr>
          <w:rFonts w:hint="eastAsia" w:ascii="宋体" w:hAnsi="宋体" w:eastAsia="宋体" w:cs="宋体"/>
          <w:b/>
          <w:sz w:val="24"/>
          <w:szCs w:val="24"/>
          <w:u w:val="single"/>
        </w:rPr>
        <w:t>叁</w:t>
      </w:r>
      <w:r>
        <w:rPr>
          <w:rFonts w:hint="eastAsia" w:ascii="宋体" w:hAnsi="宋体" w:eastAsia="宋体" w:cs="宋体"/>
          <w:bCs/>
          <w:sz w:val="24"/>
          <w:szCs w:val="24"/>
        </w:rPr>
        <w:t>份，乙方执</w:t>
      </w:r>
      <w:r>
        <w:rPr>
          <w:rFonts w:hint="eastAsia" w:ascii="宋体" w:hAnsi="宋体" w:eastAsia="宋体" w:cs="宋体"/>
          <w:b/>
          <w:sz w:val="24"/>
          <w:szCs w:val="24"/>
          <w:u w:val="single"/>
        </w:rPr>
        <w:t>壹</w:t>
      </w:r>
      <w:r>
        <w:rPr>
          <w:rFonts w:hint="eastAsia" w:ascii="宋体" w:hAnsi="宋体" w:eastAsia="宋体" w:cs="宋体"/>
          <w:bCs/>
          <w:sz w:val="24"/>
          <w:szCs w:val="24"/>
        </w:rPr>
        <w:t>份。</w:t>
      </w:r>
    </w:p>
    <w:p w14:paraId="76DDCF58">
      <w:pPr>
        <w:spacing w:line="480" w:lineRule="exact"/>
        <w:rPr>
          <w:rFonts w:ascii="宋体" w:hAnsi="宋体" w:eastAsia="宋体" w:cs="宋体"/>
          <w:sz w:val="24"/>
          <w:szCs w:val="24"/>
        </w:rPr>
      </w:pPr>
    </w:p>
    <w:p w14:paraId="06B28228">
      <w:pPr>
        <w:spacing w:line="480" w:lineRule="exact"/>
        <w:rPr>
          <w:rFonts w:ascii="宋体" w:hAnsi="宋体" w:eastAsia="宋体" w:cs="宋体"/>
          <w:sz w:val="24"/>
          <w:szCs w:val="24"/>
        </w:rPr>
      </w:pPr>
    </w:p>
    <w:p w14:paraId="6449F4F4">
      <w:pPr>
        <w:spacing w:line="480" w:lineRule="exact"/>
        <w:rPr>
          <w:rFonts w:ascii="宋体" w:hAnsi="宋体" w:eastAsia="宋体" w:cs="宋体"/>
          <w:sz w:val="24"/>
          <w:szCs w:val="24"/>
        </w:rPr>
      </w:pPr>
      <w:r>
        <w:rPr>
          <w:rFonts w:hint="eastAsia" w:ascii="宋体" w:hAnsi="宋体" w:eastAsia="宋体" w:cs="宋体"/>
          <w:sz w:val="24"/>
          <w:szCs w:val="24"/>
        </w:rPr>
        <w:t>甲方：  (公章)                         乙方：  (公章)</w:t>
      </w:r>
    </w:p>
    <w:p w14:paraId="0E56A711">
      <w:pPr>
        <w:spacing w:line="480" w:lineRule="exact"/>
        <w:rPr>
          <w:rFonts w:ascii="宋体" w:hAnsi="宋体" w:eastAsia="宋体" w:cs="宋体"/>
          <w:sz w:val="24"/>
          <w:szCs w:val="24"/>
        </w:rPr>
      </w:pPr>
      <w:r>
        <w:rPr>
          <w:rFonts w:hint="eastAsia" w:ascii="宋体" w:hAnsi="宋体" w:eastAsia="宋体" w:cs="宋体"/>
          <w:sz w:val="24"/>
          <w:szCs w:val="24"/>
        </w:rPr>
        <w:t>法定代表人或其委托代理人：             法定代表人或其委托代理人：</w:t>
      </w:r>
    </w:p>
    <w:p w14:paraId="0CB98280">
      <w:pPr>
        <w:spacing w:line="480" w:lineRule="exact"/>
        <w:rPr>
          <w:rFonts w:ascii="宋体" w:hAnsi="宋体" w:eastAsia="宋体" w:cs="宋体"/>
          <w:sz w:val="24"/>
          <w:szCs w:val="24"/>
        </w:rPr>
      </w:pPr>
      <w:r>
        <w:rPr>
          <w:rFonts w:hint="eastAsia" w:ascii="宋体" w:hAnsi="宋体" w:eastAsia="宋体" w:cs="宋体"/>
          <w:sz w:val="24"/>
          <w:szCs w:val="24"/>
        </w:rPr>
        <w:t>（签字）                               （签字）</w:t>
      </w:r>
    </w:p>
    <w:p w14:paraId="31C10B67">
      <w:pPr>
        <w:spacing w:line="480" w:lineRule="exact"/>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地  址：</w:t>
      </w:r>
      <w:r>
        <w:rPr>
          <w:rFonts w:hint="eastAsia" w:ascii="宋体" w:hAnsi="宋体" w:eastAsia="宋体" w:cs="宋体"/>
          <w:sz w:val="24"/>
          <w:szCs w:val="24"/>
          <w:u w:val="single"/>
        </w:rPr>
        <w:t xml:space="preserve">        </w:t>
      </w:r>
    </w:p>
    <w:p w14:paraId="59B68B3D">
      <w:pPr>
        <w:spacing w:line="480" w:lineRule="exact"/>
        <w:rPr>
          <w:rFonts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  话：</w:t>
      </w:r>
      <w:r>
        <w:rPr>
          <w:rFonts w:hint="eastAsia" w:ascii="宋体" w:hAnsi="宋体" w:eastAsia="宋体" w:cs="宋体"/>
          <w:sz w:val="24"/>
          <w:szCs w:val="24"/>
          <w:u w:val="single"/>
        </w:rPr>
        <w:t xml:space="preserve">     </w:t>
      </w:r>
    </w:p>
    <w:p w14:paraId="0FE50619">
      <w:pPr>
        <w:spacing w:line="480" w:lineRule="exact"/>
        <w:rPr>
          <w:rFonts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14:paraId="7AED8E85">
      <w:pPr>
        <w:spacing w:line="480" w:lineRule="exact"/>
        <w:rPr>
          <w:rFonts w:ascii="宋体" w:hAnsi="宋体" w:eastAsia="宋体" w:cs="宋体"/>
          <w:sz w:val="24"/>
          <w:szCs w:val="24"/>
          <w:u w:val="single"/>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      </w:t>
      </w:r>
      <w:r>
        <w:rPr>
          <w:rFonts w:hint="eastAsia" w:ascii="宋体" w:hAnsi="宋体" w:eastAsia="宋体" w:cs="宋体"/>
          <w:sz w:val="24"/>
          <w:szCs w:val="24"/>
        </w:rPr>
        <w:t xml:space="preserve">            账  号：</w:t>
      </w:r>
      <w:r>
        <w:rPr>
          <w:rFonts w:hint="eastAsia" w:ascii="宋体" w:hAnsi="宋体" w:eastAsia="宋体" w:cs="宋体"/>
          <w:sz w:val="24"/>
          <w:szCs w:val="24"/>
          <w:u w:val="single"/>
        </w:rPr>
        <w:t xml:space="preserve">     </w:t>
      </w:r>
    </w:p>
    <w:p w14:paraId="30FD5497">
      <w:pPr>
        <w:spacing w:line="480" w:lineRule="exact"/>
        <w:rPr>
          <w:rFonts w:ascii="宋体" w:hAnsi="宋体" w:eastAsia="宋体" w:cs="宋体"/>
          <w:sz w:val="24"/>
          <w:szCs w:val="24"/>
          <w:u w:val="single"/>
        </w:rPr>
      </w:pPr>
    </w:p>
    <w:p w14:paraId="666119F9">
      <w:pPr>
        <w:spacing w:line="480" w:lineRule="exact"/>
        <w:rPr>
          <w:rFonts w:ascii="宋体" w:hAnsi="宋体" w:eastAsia="宋体" w:cs="宋体"/>
          <w:sz w:val="24"/>
          <w:szCs w:val="24"/>
        </w:rPr>
      </w:pPr>
    </w:p>
    <w:p w14:paraId="39F9A36D">
      <w:pPr>
        <w:spacing w:line="480" w:lineRule="exact"/>
        <w:ind w:firstLine="4680" w:firstLineChars="1950"/>
        <w:rPr>
          <w:rFonts w:ascii="宋体" w:hAnsi="宋体" w:eastAsia="宋体" w:cs="宋体"/>
          <w:sz w:val="24"/>
          <w:szCs w:val="24"/>
        </w:rPr>
      </w:pPr>
      <w:r>
        <w:rPr>
          <w:rFonts w:hint="eastAsia" w:ascii="宋体" w:hAnsi="宋体" w:eastAsia="宋体" w:cs="宋体"/>
          <w:sz w:val="24"/>
          <w:szCs w:val="24"/>
        </w:rPr>
        <w:t>合同订立日期：     年   月   日</w:t>
      </w:r>
    </w:p>
    <w:p w14:paraId="44CAF09A">
      <w:pPr>
        <w:adjustRightInd w:val="0"/>
        <w:snapToGrid w:val="0"/>
        <w:jc w:val="left"/>
        <w:rPr>
          <w:rFonts w:ascii="宋体" w:hAnsi="宋体" w:eastAsia="宋体" w:cs="宋体"/>
          <w:color w:val="000000"/>
          <w:sz w:val="24"/>
          <w:szCs w:val="24"/>
        </w:rPr>
      </w:pPr>
    </w:p>
    <w:p w14:paraId="38BE2945">
      <w:pPr>
        <w:adjustRightInd w:val="0"/>
        <w:snapToGrid w:val="0"/>
        <w:jc w:val="left"/>
        <w:rPr>
          <w:rFonts w:ascii="宋体" w:hAnsi="宋体" w:eastAsia="宋体" w:cs="宋体"/>
          <w:color w:val="000000"/>
          <w:sz w:val="24"/>
          <w:szCs w:val="24"/>
        </w:rPr>
      </w:pPr>
    </w:p>
    <w:p w14:paraId="7865A159">
      <w:pPr>
        <w:adjustRightInd w:val="0"/>
        <w:snapToGrid w:val="0"/>
        <w:jc w:val="left"/>
        <w:rPr>
          <w:rFonts w:ascii="宋体" w:hAnsi="宋体" w:eastAsia="宋体" w:cs="宋体"/>
          <w:color w:val="000000"/>
          <w:sz w:val="24"/>
          <w:szCs w:val="24"/>
        </w:rPr>
      </w:pPr>
    </w:p>
    <w:p w14:paraId="5EDD04A9">
      <w:pPr>
        <w:rPr>
          <w:rFonts w:ascii="宋体" w:hAnsi="宋体" w:eastAsia="宋体" w:cs="宋体"/>
          <w:b/>
          <w:bCs/>
          <w:w w:val="80"/>
          <w:kern w:val="44"/>
          <w:sz w:val="44"/>
          <w:szCs w:val="44"/>
        </w:rPr>
      </w:pPr>
      <w:r>
        <w:rPr>
          <w:rFonts w:hint="eastAsia" w:ascii="宋体" w:hAnsi="宋体" w:eastAsia="宋体" w:cs="宋体"/>
          <w:b/>
          <w:bCs/>
          <w:w w:val="80"/>
          <w:kern w:val="44"/>
          <w:sz w:val="44"/>
          <w:szCs w:val="44"/>
        </w:rPr>
        <w:br w:type="page"/>
      </w:r>
    </w:p>
    <w:p w14:paraId="4174CA26">
      <w:pPr>
        <w:snapToGrid w:val="0"/>
        <w:spacing w:afterLines="50" w:line="520" w:lineRule="exact"/>
        <w:jc w:val="center"/>
        <w:rPr>
          <w:rFonts w:ascii="宋体" w:hAnsi="宋体" w:eastAsia="宋体" w:cs="宋体"/>
          <w:sz w:val="28"/>
          <w:szCs w:val="28"/>
        </w:rPr>
      </w:pPr>
      <w:r>
        <w:rPr>
          <w:rFonts w:hint="eastAsia" w:ascii="宋体" w:hAnsi="宋体" w:eastAsia="宋体" w:cs="宋体"/>
          <w:b/>
          <w:bCs/>
          <w:w w:val="80"/>
          <w:kern w:val="44"/>
          <w:sz w:val="44"/>
          <w:szCs w:val="44"/>
        </w:rPr>
        <w:t>第六章  合同授予</w:t>
      </w:r>
      <w:bookmarkEnd w:id="3"/>
    </w:p>
    <w:p w14:paraId="06865675">
      <w:pPr>
        <w:spacing w:line="360" w:lineRule="auto"/>
        <w:ind w:firstLine="484" w:firstLineChars="202"/>
        <w:rPr>
          <w:rFonts w:ascii="宋体" w:hAnsi="宋体" w:eastAsia="宋体" w:cs="宋体"/>
          <w:sz w:val="24"/>
          <w:szCs w:val="24"/>
        </w:rPr>
      </w:pPr>
      <w:bookmarkStart w:id="4" w:name="_Toc363573859"/>
      <w:r>
        <w:rPr>
          <w:rFonts w:hint="eastAsia" w:ascii="宋体" w:hAnsi="宋体" w:eastAsia="宋体" w:cs="宋体"/>
          <w:sz w:val="24"/>
          <w:szCs w:val="24"/>
        </w:rPr>
        <w:t>一、成交供应商凭中标通知书及履约保证金缴费证明</w:t>
      </w:r>
      <w:r>
        <w:rPr>
          <w:rFonts w:ascii="宋体" w:hAnsi="宋体" w:eastAsia="宋体" w:cs="宋体"/>
          <w:sz w:val="24"/>
          <w:szCs w:val="24"/>
        </w:rPr>
        <w:t>10</w:t>
      </w:r>
      <w:r>
        <w:rPr>
          <w:rFonts w:hint="eastAsia" w:ascii="宋体" w:hAnsi="宋体" w:eastAsia="宋体" w:cs="宋体"/>
          <w:sz w:val="24"/>
          <w:szCs w:val="24"/>
        </w:rPr>
        <w:t>日内与医院签订合同。合同一式四份，</w:t>
      </w:r>
      <w:r>
        <w:rPr>
          <w:rFonts w:hint="eastAsia" w:ascii="宋体" w:hAnsi="宋体" w:eastAsia="宋体" w:cs="宋体"/>
          <w:sz w:val="24"/>
        </w:rPr>
        <w:t>医院三份、供应商一份</w:t>
      </w:r>
      <w:r>
        <w:rPr>
          <w:rFonts w:hint="eastAsia" w:ascii="宋体" w:hAnsi="宋体" w:eastAsia="宋体" w:cs="宋体"/>
          <w:sz w:val="24"/>
          <w:szCs w:val="24"/>
        </w:rPr>
        <w:t>。所签合同不得对采购文件作实质性修改。医院不得向成交供应商提出不合理的要求作为签订合同的条件，不得与成交供应商私下订立背离采购文件实质性内容的协议。</w:t>
      </w:r>
    </w:p>
    <w:p w14:paraId="68B5D1B0">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医院按合同约定积极配合成交供应商履约，成交供应商履约到位后，请以书面形式向医院提出验收申请，医院接到申请后原则上在5个工作日内及时组织相关专业技术人员，必要时邀请质检等部门共同参与验收，并出具验收报告，验收合格的原则上5个工作日内支付相应款项。</w:t>
      </w:r>
    </w:p>
    <w:p w14:paraId="7940EA2F">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医院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14:paraId="558A43D4">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四、成交供应商出现违约情形，应当及时纠正或补偿；造成损失的，按合同约定追究违约责任；发现有假冒、伪劣、走私产品、商业贿赂等违法情形的，应由医院移交工商、质监、公安等行政执法部门依法查处。</w:t>
      </w:r>
    </w:p>
    <w:p w14:paraId="3121F063">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五、不响应付款方式的，视同响应文件无效，按无效响应文件处理。</w:t>
      </w:r>
    </w:p>
    <w:p w14:paraId="7D29BBFB">
      <w:pPr>
        <w:adjustRightInd w:val="0"/>
        <w:snapToGrid w:val="0"/>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六、付款方式详见采购文件项目需求，以上项目款的支付均不计息。</w:t>
      </w:r>
    </w:p>
    <w:p w14:paraId="452CE7F3">
      <w:pPr>
        <w:adjustRightInd w:val="0"/>
        <w:snapToGrid w:val="0"/>
        <w:spacing w:line="520" w:lineRule="exact"/>
        <w:rPr>
          <w:rFonts w:ascii="宋体" w:hAnsi="宋体" w:eastAsia="宋体" w:cs="宋体"/>
          <w:sz w:val="24"/>
          <w:szCs w:val="24"/>
        </w:rPr>
      </w:pPr>
    </w:p>
    <w:p w14:paraId="551A7A4C">
      <w:pPr>
        <w:adjustRightInd w:val="0"/>
        <w:snapToGrid w:val="0"/>
        <w:spacing w:line="520" w:lineRule="exact"/>
        <w:jc w:val="center"/>
        <w:textAlignment w:val="baseline"/>
        <w:outlineLvl w:val="0"/>
        <w:rPr>
          <w:rFonts w:ascii="宋体" w:hAnsi="宋体" w:eastAsia="宋体" w:cs="宋体"/>
          <w:b/>
          <w:bCs/>
          <w:w w:val="80"/>
          <w:kern w:val="44"/>
          <w:sz w:val="44"/>
          <w:szCs w:val="44"/>
        </w:rPr>
      </w:pPr>
      <w:r>
        <w:rPr>
          <w:rFonts w:hint="eastAsia" w:ascii="宋体" w:hAnsi="宋体" w:eastAsia="宋体" w:cs="宋体"/>
          <w:b/>
          <w:bCs/>
          <w:w w:val="80"/>
          <w:kern w:val="44"/>
          <w:sz w:val="24"/>
          <w:szCs w:val="24"/>
        </w:rPr>
        <w:br w:type="page"/>
      </w:r>
      <w:r>
        <w:rPr>
          <w:rFonts w:hint="eastAsia" w:ascii="宋体" w:hAnsi="宋体" w:eastAsia="宋体" w:cs="宋体"/>
          <w:b/>
          <w:bCs/>
          <w:w w:val="80"/>
          <w:kern w:val="44"/>
          <w:sz w:val="44"/>
          <w:szCs w:val="44"/>
        </w:rPr>
        <w:t>第七章  质疑与投诉</w:t>
      </w:r>
      <w:bookmarkEnd w:id="4"/>
    </w:p>
    <w:p w14:paraId="46EA248A">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一、质疑的提出</w:t>
      </w:r>
    </w:p>
    <w:p w14:paraId="19C4B6E4">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1、质疑人必须是直接参加本次投标活动的当事人。</w:t>
      </w:r>
    </w:p>
    <w:p w14:paraId="4F7BADF8">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下载采购文件的供应商应根据第二章“投标人须知”中第一条第4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14:paraId="5F790412">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医院或代理机构。医院或代理机构不具有法定调查、认定权限。</w:t>
      </w:r>
    </w:p>
    <w:p w14:paraId="65174009">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对本次采购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对不能提供相关佐证材料的、涉及商业秘密的、非书面形式的、非送达的、匿名的《质疑函》将不予受理。相关佐证材料要具备客观性、关联性、合法性，无法查实的（如宣传册、媒体报道、猜测、推理等）不能作为佐证材料。医院或代理机构不负责搜集相关佐证材料等工作。</w:t>
      </w:r>
    </w:p>
    <w:p w14:paraId="22B4EFF7">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二、《质疑函》的受理和回复</w:t>
      </w:r>
    </w:p>
    <w:p w14:paraId="2A236095">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highlight w:val="cyan"/>
        </w:rPr>
        <w:t>1、质疑人认为采购文件、采购过程、中标或者成交结果使自己权益受到损害的，可以在知道或者应知其权益受到损害之日起7个工作日内，以书面形式向医院、提出质疑。医院、采购代理机构不得拒收质疑质疑人在法定质疑期内发出的质疑函，应当在受到质疑函后7个工作日内作出答复，并以书面形式通知质疑供应商和其他有关供应商。</w:t>
      </w:r>
    </w:p>
    <w:p w14:paraId="74F0CAEA">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2、《质疑函》须由质疑人的法定代表人或参加本次投标授权人送达医院和代理机构。</w:t>
      </w:r>
    </w:p>
    <w:p w14:paraId="1BF2273D">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对符合提出质疑要求的，医院、代理机构签收并出具《质疑受理通知书》。在处理过程中，发现需要质疑人进一步补充相关佐证材料的，请质疑人在规定的时间内提供，质疑回复时间相应顺延。质疑人不能按时提供相关佐证材料的，视同放弃质疑。</w:t>
      </w:r>
    </w:p>
    <w:p w14:paraId="52EA0A72">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4、对不符合提出质疑要求的，出具《质疑退回通知书》并提出相关补充材料要求，质疑人未在规定的时间内提供补充佐证材料的，视同放弃质疑。</w:t>
      </w:r>
    </w:p>
    <w:p w14:paraId="27EB0281">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5、采购单位、代理机构负责将质疑人提出的质疑相关材料提供给相关专家或评标小组审核，并将审核意见回复质疑人。</w:t>
      </w:r>
    </w:p>
    <w:p w14:paraId="0BC58B83">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14:paraId="05C07969">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6、因质疑情况复杂，组织论证或审查时间较长的，采购单位、代理机构以书面形式通知质疑人，可适当延长质疑回复处理时间。</w:t>
      </w:r>
    </w:p>
    <w:p w14:paraId="4E2243CD">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三、质疑处理</w:t>
      </w:r>
    </w:p>
    <w:p w14:paraId="7719C4FC">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1、质疑成立的处理。采购单位或代理机构终止采购，并建议有关部门给相关当事人予以处理。</w:t>
      </w:r>
    </w:p>
    <w:p w14:paraId="1789C802">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2、质疑不成立的处理。</w:t>
      </w:r>
    </w:p>
    <w:p w14:paraId="62014B4F">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1）质疑人书面《申请撤回质疑函》的，不作违约处理。</w:t>
      </w:r>
    </w:p>
    <w:p w14:paraId="5CD34BD3">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2）质疑人在规定的时间内不配合进行质疑调查处理的，按自动撤回《质疑函》处理。</w:t>
      </w:r>
    </w:p>
    <w:p w14:paraId="0CB54196">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3）质疑人不按《质疑函》格式就提出质疑的，作违约处理。同时，视情列入不良供应商名单。</w:t>
      </w:r>
    </w:p>
    <w:p w14:paraId="0DF56862">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4）质疑人虽提供了相关佐证材料，但不能证明其质疑成立的，采购单位或代理机构请质疑人补充相关佐证材料，仍不能证明其质疑成立的，作违约处理。并将其列入不良供应商名单。</w:t>
      </w:r>
    </w:p>
    <w:p w14:paraId="738D110F">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5）质疑人不能提供相关佐证材料的，采购单位、代理机构已指出，质疑人仍然坚持提出质疑的，作违约处理。同时，列入不良供应商名单。</w:t>
      </w:r>
    </w:p>
    <w:p w14:paraId="4ABA98EF">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6）对明显有违事实的、经相关专家或评标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14:paraId="7539BDB4">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7）质疑人承担使用虚假材料或恶意方式质疑的法律责任。</w:t>
      </w:r>
    </w:p>
    <w:p w14:paraId="010ABB53">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医院组织的政府采购活动的违约处理。</w:t>
      </w:r>
    </w:p>
    <w:p w14:paraId="4E611F92">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五、投诉不成立的作违约处理。供应商进行质疑后，医院回复质疑不成立，供应商仍进行投诉的，并最终投诉不成立的，作违约处理。医院有权对其在1至3年内禁入由医院组织的政府采购活动的违约处理。</w:t>
      </w:r>
    </w:p>
    <w:p w14:paraId="5C96079C">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14:paraId="62EDD83C">
      <w:pPr>
        <w:adjustRightInd w:val="0"/>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七、质疑供应商对医院或代理机构的答复不满意或者医院或代理机构未在规定的时间内作出答复的，可以在答复期满后15个工作日内向相关主管部门投诉。</w:t>
      </w:r>
    </w:p>
    <w:p w14:paraId="6EDDFFBA">
      <w:pPr>
        <w:adjustRightInd w:val="0"/>
        <w:snapToGrid w:val="0"/>
        <w:spacing w:line="520" w:lineRule="exact"/>
        <w:rPr>
          <w:rFonts w:ascii="宋体" w:hAnsi="宋体" w:eastAsia="宋体" w:cs="宋体"/>
          <w:sz w:val="24"/>
          <w:szCs w:val="24"/>
        </w:rPr>
      </w:pPr>
    </w:p>
    <w:p w14:paraId="1A21CAFA">
      <w:pPr>
        <w:adjustRightInd w:val="0"/>
        <w:snapToGrid w:val="0"/>
        <w:spacing w:afterLines="50" w:line="520" w:lineRule="exact"/>
        <w:jc w:val="center"/>
        <w:textAlignment w:val="baseline"/>
        <w:outlineLvl w:val="0"/>
        <w:rPr>
          <w:rFonts w:ascii="宋体" w:hAnsi="宋体" w:eastAsia="宋体" w:cs="宋体"/>
          <w:b/>
          <w:bCs/>
          <w:kern w:val="44"/>
          <w:sz w:val="44"/>
          <w:szCs w:val="44"/>
        </w:rPr>
      </w:pPr>
      <w:bookmarkStart w:id="5" w:name="_Toc363573860"/>
      <w:r>
        <w:rPr>
          <w:rFonts w:hint="eastAsia" w:ascii="宋体" w:hAnsi="宋体" w:eastAsia="宋体" w:cs="宋体"/>
          <w:b/>
          <w:bCs/>
          <w:w w:val="80"/>
          <w:kern w:val="44"/>
          <w:sz w:val="44"/>
          <w:szCs w:val="44"/>
        </w:rPr>
        <w:br w:type="page"/>
      </w:r>
      <w:r>
        <w:rPr>
          <w:rFonts w:hint="eastAsia" w:ascii="宋体" w:hAnsi="宋体" w:eastAsia="宋体" w:cs="宋体"/>
          <w:b/>
          <w:bCs/>
          <w:w w:val="80"/>
          <w:kern w:val="44"/>
          <w:sz w:val="44"/>
          <w:szCs w:val="44"/>
        </w:rPr>
        <w:t>第八章投标响应文件组成及格式</w:t>
      </w:r>
      <w:bookmarkEnd w:id="5"/>
    </w:p>
    <w:p w14:paraId="77CA88E5">
      <w:pPr>
        <w:adjustRightInd w:val="0"/>
        <w:snapToGrid w:val="0"/>
        <w:spacing w:line="520" w:lineRule="exact"/>
        <w:ind w:firstLine="480" w:firstLineChars="200"/>
        <w:jc w:val="left"/>
        <w:rPr>
          <w:rFonts w:ascii="宋体" w:hAnsi="宋体" w:eastAsia="宋体" w:cs="宋体"/>
          <w:color w:val="FF0000"/>
          <w:sz w:val="24"/>
          <w:szCs w:val="24"/>
        </w:rPr>
      </w:pPr>
      <w:r>
        <w:rPr>
          <w:rFonts w:hint="eastAsia" w:ascii="宋体" w:hAnsi="宋体" w:eastAsia="宋体" w:cs="宋体"/>
          <w:sz w:val="24"/>
          <w:szCs w:val="24"/>
        </w:rPr>
        <w:t>投标响应文件由资格审查文件、技术标、价格标三部分组成。本次采购采用资格后审方式，投标人须将资格审查文件作为响应文件组成部分，按采购文件要求装订密封后一起递交。</w:t>
      </w:r>
    </w:p>
    <w:p w14:paraId="2D1AF9AA">
      <w:pPr>
        <w:adjustRightInd w:val="0"/>
        <w:snapToGrid w:val="0"/>
        <w:spacing w:line="520" w:lineRule="exact"/>
        <w:jc w:val="left"/>
        <w:rPr>
          <w:rFonts w:ascii="宋体" w:hAnsi="宋体" w:eastAsia="宋体" w:cs="宋体"/>
          <w:sz w:val="24"/>
          <w:szCs w:val="24"/>
        </w:rPr>
      </w:pPr>
      <w:r>
        <w:rPr>
          <w:rFonts w:hint="eastAsia" w:ascii="宋体" w:hAnsi="宋体" w:eastAsia="宋体" w:cs="宋体"/>
          <w:sz w:val="24"/>
          <w:szCs w:val="24"/>
        </w:rPr>
        <w:t xml:space="preserve">    一、资格审查文件（单独装订密封）</w:t>
      </w:r>
    </w:p>
    <w:p w14:paraId="60A21BD4">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1、提供企业法人或者其他组织的营业执照等证明文件。</w:t>
      </w:r>
    </w:p>
    <w:p w14:paraId="2E2E45BF">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2、提供上一年度的财务状况报告（成立不满一年不需提供）。</w:t>
      </w:r>
    </w:p>
    <w:p w14:paraId="52AF06AA">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3、依法缴纳税收和社会保障资金的相关证明材料。</w:t>
      </w:r>
    </w:p>
    <w:p w14:paraId="5A81A02D">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4、提供江苏省公安厅消防局核发的消防维保资质证书。</w:t>
      </w:r>
    </w:p>
    <w:p w14:paraId="0C3698CD">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5、投标人法定代表人参加投标的，必须提供法定代表人身份证明（格式参见附件）及法定代表人本人身份证复印件；非法定代表人参加投标的，必须提供法定代表人签字或盖章的授权委托书（格式参见附件）及法定代表人、授权委托人的两人身份证的复印件，授权委托人为投标单位正式人员证明材料【提供①与投标人签订的有效劳动合同复印件；②</w:t>
      </w:r>
      <w:r>
        <w:rPr>
          <w:rFonts w:hint="eastAsia" w:ascii="宋体" w:hAnsi="宋体" w:eastAsia="宋体" w:cs="宋体"/>
          <w:color w:val="000000"/>
          <w:sz w:val="24"/>
          <w:szCs w:val="24"/>
          <w:highlight w:val="yellow"/>
          <w:lang w:val="zh-CN"/>
        </w:rPr>
        <w:t>提供至投标截止时间前三个月（不含投标截止时间当月）中至少一个月的社保缴纳证明</w:t>
      </w:r>
      <w:r>
        <w:rPr>
          <w:rFonts w:hint="eastAsia" w:ascii="宋体" w:hAnsi="宋体" w:eastAsia="宋体" w:cs="宋体"/>
          <w:color w:val="000000"/>
          <w:sz w:val="24"/>
          <w:szCs w:val="24"/>
        </w:rPr>
        <w:t>。】。</w:t>
      </w:r>
    </w:p>
    <w:p w14:paraId="61B9E04E">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6、投标人须提供参与本次项目采购活动前三年内，在经营活动中没有重大违法记录的书面《无重大违法记录声明函》（格式参见附件）。</w:t>
      </w:r>
    </w:p>
    <w:p w14:paraId="51B2EF1D">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7、关于资格文件的声明函（格式参见附件）。</w:t>
      </w:r>
    </w:p>
    <w:p w14:paraId="1509C30E">
      <w:pPr>
        <w:snapToGrid w:val="0"/>
        <w:spacing w:line="480" w:lineRule="exact"/>
        <w:ind w:firstLine="482" w:firstLineChars="200"/>
        <w:contextualSpacing/>
        <w:outlineLvl w:val="0"/>
        <w:rPr>
          <w:rFonts w:ascii="宋体" w:hAnsi="宋体" w:eastAsia="宋体" w:cs="宋体"/>
          <w:b/>
          <w:bCs/>
          <w:sz w:val="24"/>
          <w:szCs w:val="24"/>
        </w:rPr>
      </w:pPr>
      <w:r>
        <w:rPr>
          <w:rFonts w:hint="eastAsia" w:ascii="宋体" w:hAnsi="宋体" w:eastAsia="宋体" w:cs="宋体"/>
          <w:b/>
          <w:bCs/>
          <w:sz w:val="24"/>
          <w:szCs w:val="24"/>
        </w:rPr>
        <w:t>注：以上证明材料如提供复印件均需加盖投标单位公章，原件带开标现场备查。</w:t>
      </w:r>
    </w:p>
    <w:p w14:paraId="5123650D">
      <w:pPr>
        <w:adjustRightInd w:val="0"/>
        <w:snapToGrid w:val="0"/>
        <w:spacing w:line="520" w:lineRule="exact"/>
        <w:jc w:val="left"/>
        <w:rPr>
          <w:rFonts w:ascii="宋体" w:hAnsi="宋体" w:eastAsia="宋体" w:cs="宋体"/>
          <w:sz w:val="24"/>
          <w:szCs w:val="24"/>
        </w:rPr>
      </w:pPr>
      <w:r>
        <w:rPr>
          <w:rFonts w:hint="eastAsia" w:ascii="宋体" w:hAnsi="宋体" w:eastAsia="宋体" w:cs="宋体"/>
          <w:sz w:val="24"/>
          <w:szCs w:val="24"/>
        </w:rPr>
        <w:t xml:space="preserve">    二、技术标（单独装订密封）</w:t>
      </w:r>
    </w:p>
    <w:p w14:paraId="206E8700">
      <w:pPr>
        <w:snapToGrid w:val="0"/>
        <w:spacing w:line="480" w:lineRule="exact"/>
        <w:ind w:firstLine="480" w:firstLineChars="200"/>
        <w:contextualSpacing/>
        <w:outlineLvl w:val="0"/>
        <w:rPr>
          <w:rFonts w:ascii="宋体" w:hAnsi="宋体" w:eastAsia="宋体" w:cs="宋体"/>
          <w:color w:val="000000"/>
          <w:sz w:val="24"/>
          <w:szCs w:val="24"/>
        </w:rPr>
      </w:pPr>
      <w:r>
        <w:rPr>
          <w:rFonts w:hint="eastAsia" w:ascii="宋体" w:hAnsi="宋体" w:eastAsia="宋体" w:cs="宋体"/>
          <w:color w:val="000000"/>
          <w:sz w:val="24"/>
          <w:szCs w:val="24"/>
        </w:rPr>
        <w:t>【特别提醒】投标人应根据采购文件第三章“项目需求”所列的服务要求标准等，仔细阅读并在理解的基础上结合第四章“技术标评分标准”内的评审细则，编制技术标响应文件，不得有缺项或漏项，否则可能直接影响技术标评审的得分。投标人递交投标文件即表示默认采购文件“项目需求”中各项规定与要求。</w:t>
      </w:r>
    </w:p>
    <w:p w14:paraId="7CF84AE6">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1、技术标评标办法中要求提供的全部材料。</w:t>
      </w:r>
    </w:p>
    <w:p w14:paraId="42FF32D4">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2、投标人认为需要提交的其他材料。</w:t>
      </w:r>
    </w:p>
    <w:p w14:paraId="690033C9">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注：为方便评委评审，请投标人按评分标准中所涉及的事项顺序进行编制，可以补充相关材料。</w:t>
      </w:r>
    </w:p>
    <w:p w14:paraId="4429047A">
      <w:pPr>
        <w:adjustRightInd w:val="0"/>
        <w:snapToGrid w:val="0"/>
        <w:spacing w:line="520" w:lineRule="exact"/>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特别提醒：“资格审查文件”、“技术标”所须提供的材料（须加盖投标人公章）按采购文件要求装订，密封，递交。“资格审查文件、“技术标”涉及的相关原件请带至开标现场备查（递交投标文件时可不提交，随身携带）。未携带原件或因携带原件不全所引起的后果由投标人自行承担。</w:t>
      </w:r>
    </w:p>
    <w:p w14:paraId="55C99716">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三、价格标（单独装订密封）。</w:t>
      </w:r>
    </w:p>
    <w:p w14:paraId="17E31CEE">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1、投标响应函（格式参见附件）。</w:t>
      </w:r>
    </w:p>
    <w:p w14:paraId="63628FB6">
      <w:pPr>
        <w:adjustRightInd w:val="0"/>
        <w:snapToGrid w:val="0"/>
        <w:spacing w:line="52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2、投标响应报价一览表（格式参见附件）。</w:t>
      </w:r>
    </w:p>
    <w:p w14:paraId="18E57907">
      <w:pPr>
        <w:adjustRightInd w:val="0"/>
        <w:snapToGrid w:val="0"/>
        <w:spacing w:line="520" w:lineRule="exact"/>
        <w:ind w:firstLine="480" w:firstLineChars="200"/>
        <w:jc w:val="left"/>
        <w:rPr>
          <w:rFonts w:ascii="宋体" w:hAnsi="宋体" w:eastAsia="宋体" w:cs="宋体"/>
          <w:sz w:val="24"/>
          <w:szCs w:val="24"/>
        </w:rPr>
      </w:pPr>
    </w:p>
    <w:p w14:paraId="4EC2906C">
      <w:pPr>
        <w:adjustRightInd w:val="0"/>
        <w:snapToGrid w:val="0"/>
        <w:spacing w:line="520" w:lineRule="exact"/>
        <w:jc w:val="left"/>
        <w:outlineLvl w:val="1"/>
        <w:rPr>
          <w:rFonts w:ascii="宋体" w:hAnsi="宋体" w:eastAsia="宋体" w:cs="宋体"/>
          <w:b/>
          <w:bCs/>
          <w:sz w:val="28"/>
          <w:szCs w:val="28"/>
        </w:rPr>
      </w:pPr>
      <w:r>
        <w:rPr>
          <w:rFonts w:hint="eastAsia" w:ascii="宋体" w:hAnsi="宋体" w:eastAsia="宋体" w:cs="宋体"/>
          <w:b/>
          <w:bCs/>
          <w:sz w:val="24"/>
          <w:szCs w:val="24"/>
        </w:rPr>
        <w:br w:type="page"/>
      </w:r>
      <w:r>
        <w:rPr>
          <w:rFonts w:hint="eastAsia" w:ascii="宋体" w:hAnsi="宋体" w:eastAsia="宋体" w:cs="宋体"/>
          <w:b/>
          <w:bCs/>
          <w:sz w:val="28"/>
          <w:szCs w:val="28"/>
        </w:rPr>
        <w:t>附件：</w:t>
      </w:r>
    </w:p>
    <w:p w14:paraId="3CE54E5D">
      <w:pPr>
        <w:adjustRightInd w:val="0"/>
        <w:snapToGrid w:val="0"/>
        <w:spacing w:line="520" w:lineRule="exact"/>
        <w:outlineLvl w:val="1"/>
        <w:rPr>
          <w:rFonts w:ascii="宋体" w:hAnsi="宋体" w:eastAsia="宋体" w:cs="宋体"/>
          <w:b/>
          <w:bCs/>
          <w:sz w:val="28"/>
          <w:szCs w:val="28"/>
        </w:rPr>
      </w:pPr>
      <w:r>
        <w:rPr>
          <w:rFonts w:hint="eastAsia" w:ascii="宋体" w:hAnsi="宋体" w:eastAsia="宋体" w:cs="宋体"/>
          <w:b/>
          <w:bCs/>
          <w:sz w:val="28"/>
          <w:szCs w:val="28"/>
        </w:rPr>
        <w:t>一、资格审查文件相关的格式文件及表格（单独密封）</w:t>
      </w:r>
    </w:p>
    <w:p w14:paraId="7CDB7B10">
      <w:pPr>
        <w:snapToGrid w:val="0"/>
        <w:spacing w:line="520" w:lineRule="exact"/>
        <w:jc w:val="center"/>
        <w:rPr>
          <w:rFonts w:ascii="宋体" w:hAnsi="宋体" w:eastAsia="宋体" w:cs="宋体"/>
          <w:b/>
          <w:bCs/>
          <w:sz w:val="28"/>
          <w:szCs w:val="28"/>
        </w:rPr>
      </w:pPr>
    </w:p>
    <w:p w14:paraId="22E7E410">
      <w:pPr>
        <w:snapToGrid w:val="0"/>
        <w:spacing w:line="520" w:lineRule="exact"/>
        <w:jc w:val="center"/>
        <w:outlineLvl w:val="4"/>
        <w:rPr>
          <w:rFonts w:ascii="宋体" w:hAnsi="宋体" w:eastAsia="宋体" w:cs="宋体"/>
          <w:b/>
          <w:bCs/>
          <w:sz w:val="28"/>
          <w:szCs w:val="28"/>
        </w:rPr>
      </w:pPr>
      <w:r>
        <w:rPr>
          <w:rFonts w:hint="eastAsia" w:ascii="宋体" w:hAnsi="宋体" w:eastAsia="宋体" w:cs="宋体"/>
          <w:b/>
          <w:bCs/>
          <w:sz w:val="28"/>
          <w:szCs w:val="28"/>
        </w:rPr>
        <w:t>法定代表人身份证明</w:t>
      </w:r>
    </w:p>
    <w:p w14:paraId="17379C6F">
      <w:pPr>
        <w:snapToGrid w:val="0"/>
        <w:spacing w:line="520" w:lineRule="exact"/>
        <w:jc w:val="center"/>
        <w:rPr>
          <w:rFonts w:ascii="宋体" w:hAnsi="宋体" w:eastAsia="宋体" w:cs="宋体"/>
          <w:sz w:val="28"/>
          <w:szCs w:val="28"/>
          <w:u w:val="single"/>
        </w:rPr>
      </w:pPr>
      <w:r>
        <w:rPr>
          <w:rFonts w:hint="eastAsia" w:ascii="宋体" w:hAnsi="宋体" w:eastAsia="宋体" w:cs="宋体"/>
          <w:sz w:val="28"/>
          <w:szCs w:val="28"/>
          <w:u w:val="single"/>
        </w:rPr>
        <w:t>（法定代表人参加投标时，须出示此证明）</w:t>
      </w:r>
    </w:p>
    <w:p w14:paraId="388E7476">
      <w:pPr>
        <w:snapToGrid w:val="0"/>
        <w:spacing w:line="520" w:lineRule="exact"/>
        <w:jc w:val="center"/>
        <w:rPr>
          <w:rFonts w:ascii="宋体" w:hAnsi="宋体" w:eastAsia="宋体" w:cs="宋体"/>
          <w:sz w:val="28"/>
          <w:szCs w:val="28"/>
        </w:rPr>
      </w:pPr>
    </w:p>
    <w:p w14:paraId="6AC1E8E9">
      <w:pPr>
        <w:snapToGrid w:val="0"/>
        <w:spacing w:line="520" w:lineRule="exact"/>
        <w:rPr>
          <w:rFonts w:ascii="宋体" w:hAnsi="宋体" w:eastAsia="宋体" w:cs="宋体"/>
          <w:sz w:val="24"/>
          <w:szCs w:val="24"/>
        </w:rPr>
      </w:pPr>
      <w:r>
        <w:rPr>
          <w:rFonts w:hint="eastAsia" w:ascii="宋体" w:hAnsi="宋体" w:eastAsia="宋体" w:cs="宋体"/>
          <w:sz w:val="24"/>
          <w:szCs w:val="24"/>
          <w:u w:val="single"/>
        </w:rPr>
        <w:t xml:space="preserve"> 南通市妇幼保健院  </w:t>
      </w:r>
      <w:r>
        <w:rPr>
          <w:rFonts w:hint="eastAsia" w:ascii="宋体" w:hAnsi="宋体" w:eastAsia="宋体" w:cs="宋体"/>
          <w:sz w:val="24"/>
          <w:szCs w:val="24"/>
        </w:rPr>
        <w:t>：</w:t>
      </w:r>
    </w:p>
    <w:p w14:paraId="14D86EDD">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参加贵单位组织的（采购项目名称)的项目投标活动，全权代表我公司处理投标的有关事宜。</w:t>
      </w:r>
    </w:p>
    <w:p w14:paraId="3E1EEB64">
      <w:pPr>
        <w:snapToGrid w:val="0"/>
        <w:spacing w:line="520" w:lineRule="exact"/>
        <w:rPr>
          <w:rFonts w:ascii="宋体" w:hAnsi="宋体" w:eastAsia="宋体" w:cs="宋体"/>
          <w:sz w:val="24"/>
          <w:szCs w:val="24"/>
        </w:rPr>
      </w:pPr>
    </w:p>
    <w:p w14:paraId="1CAF54D7">
      <w:pPr>
        <w:snapToGrid w:val="0"/>
        <w:spacing w:line="520" w:lineRule="exact"/>
        <w:ind w:firstLine="484" w:firstLineChars="202"/>
        <w:rPr>
          <w:rFonts w:ascii="宋体" w:hAnsi="宋体" w:eastAsia="宋体" w:cs="宋体"/>
          <w:sz w:val="24"/>
          <w:szCs w:val="24"/>
        </w:rPr>
      </w:pPr>
      <w:r>
        <w:rPr>
          <w:rFonts w:hint="eastAsia" w:ascii="宋体" w:hAnsi="宋体" w:eastAsia="宋体" w:cs="宋体"/>
          <w:sz w:val="24"/>
          <w:szCs w:val="24"/>
        </w:rPr>
        <w:t>附：法定代表人情况：</w:t>
      </w:r>
    </w:p>
    <w:p w14:paraId="40651331">
      <w:pPr>
        <w:snapToGrid w:val="0"/>
        <w:spacing w:line="520" w:lineRule="exact"/>
        <w:ind w:firstLine="484" w:firstLineChars="202"/>
        <w:rPr>
          <w:rFonts w:ascii="宋体" w:hAnsi="宋体" w:eastAsia="宋体" w:cs="宋体"/>
          <w:sz w:val="24"/>
          <w:szCs w:val="24"/>
          <w:u w:val="single"/>
        </w:rPr>
      </w:pPr>
      <w:r>
        <w:rPr>
          <w:rFonts w:hint="eastAsia" w:ascii="宋体" w:hAnsi="宋体" w:eastAsia="宋体" w:cs="宋体"/>
          <w:sz w:val="24"/>
          <w:szCs w:val="24"/>
        </w:rPr>
        <w:t>姓名：性别：年龄：职务：</w:t>
      </w:r>
    </w:p>
    <w:p w14:paraId="479BB04F">
      <w:pPr>
        <w:snapToGrid w:val="0"/>
        <w:spacing w:line="520" w:lineRule="exact"/>
        <w:ind w:firstLine="484" w:firstLineChars="202"/>
        <w:rPr>
          <w:rFonts w:ascii="宋体" w:hAnsi="宋体" w:eastAsia="宋体" w:cs="宋体"/>
          <w:sz w:val="24"/>
          <w:szCs w:val="24"/>
        </w:rPr>
      </w:pPr>
      <w:r>
        <w:rPr>
          <w:rFonts w:hint="eastAsia" w:ascii="宋体" w:hAnsi="宋体" w:eastAsia="宋体" w:cs="宋体"/>
          <w:sz w:val="24"/>
          <w:szCs w:val="24"/>
        </w:rPr>
        <w:t>身份证号码：</w:t>
      </w:r>
    </w:p>
    <w:p w14:paraId="798F1EB3">
      <w:pPr>
        <w:snapToGrid w:val="0"/>
        <w:spacing w:line="520" w:lineRule="exact"/>
        <w:ind w:firstLine="484" w:firstLineChars="202"/>
        <w:rPr>
          <w:rFonts w:ascii="宋体" w:hAnsi="宋体" w:eastAsia="宋体" w:cs="宋体"/>
          <w:sz w:val="24"/>
          <w:szCs w:val="24"/>
        </w:rPr>
      </w:pPr>
      <w:r>
        <w:rPr>
          <w:rFonts w:hint="eastAsia" w:ascii="宋体" w:hAnsi="宋体" w:eastAsia="宋体" w:cs="宋体"/>
          <w:sz w:val="24"/>
          <w:szCs w:val="24"/>
        </w:rPr>
        <w:t>手机：传真：</w:t>
      </w:r>
    </w:p>
    <w:p w14:paraId="42FE7E55">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14:paraId="2FE5FEDA">
      <w:pPr>
        <w:snapToGrid w:val="0"/>
        <w:spacing w:line="520" w:lineRule="exact"/>
        <w:rPr>
          <w:rFonts w:ascii="宋体" w:hAnsi="宋体" w:eastAsia="宋体" w:cs="宋体"/>
          <w:sz w:val="24"/>
          <w:szCs w:val="24"/>
        </w:rPr>
      </w:pPr>
    </w:p>
    <w:p w14:paraId="68DEA894">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14:paraId="37705284">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14:paraId="4B8592F5">
      <w:pPr>
        <w:snapToGrid w:val="0"/>
        <w:spacing w:line="520" w:lineRule="exact"/>
        <w:rPr>
          <w:rFonts w:ascii="宋体" w:hAnsi="宋体" w:eastAsia="宋体" w:cs="宋体"/>
          <w:sz w:val="24"/>
          <w:szCs w:val="24"/>
        </w:rPr>
      </w:pPr>
    </w:p>
    <w:p w14:paraId="36D26EB1">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14:paraId="3FD56926">
      <w:pPr>
        <w:snapToGrid w:val="0"/>
        <w:spacing w:line="520" w:lineRule="exact"/>
        <w:rPr>
          <w:rFonts w:ascii="宋体" w:hAnsi="宋体" w:eastAsia="宋体" w:cs="宋体"/>
          <w:sz w:val="24"/>
          <w:szCs w:val="24"/>
        </w:rPr>
      </w:pPr>
    </w:p>
    <w:p w14:paraId="6C45C9E6">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14:paraId="3FCE9E54">
      <w:pPr>
        <w:snapToGrid w:val="0"/>
        <w:spacing w:line="520" w:lineRule="exact"/>
        <w:ind w:firstLine="2280" w:firstLineChars="950"/>
        <w:rPr>
          <w:rFonts w:ascii="宋体" w:hAnsi="宋体" w:eastAsia="宋体" w:cs="宋体"/>
          <w:sz w:val="24"/>
          <w:szCs w:val="24"/>
        </w:rPr>
      </w:pPr>
    </w:p>
    <w:p w14:paraId="3B225544">
      <w:pPr>
        <w:snapToGrid w:val="0"/>
        <w:spacing w:line="520" w:lineRule="exact"/>
        <w:rPr>
          <w:rFonts w:ascii="宋体" w:hAnsi="宋体" w:eastAsia="宋体" w:cs="宋体"/>
          <w:b/>
          <w:bCs/>
          <w:sz w:val="24"/>
          <w:szCs w:val="24"/>
        </w:rPr>
      </w:pPr>
    </w:p>
    <w:p w14:paraId="707AA347">
      <w:pPr>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如为法定代表人参加投标时，须将身份证原件带至开标现场备查。</w:t>
      </w:r>
    </w:p>
    <w:p w14:paraId="4FC00580">
      <w:pPr>
        <w:snapToGrid w:val="0"/>
        <w:spacing w:line="520" w:lineRule="exact"/>
        <w:jc w:val="center"/>
        <w:outlineLvl w:val="4"/>
        <w:rPr>
          <w:rFonts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授权委托书</w:t>
      </w:r>
    </w:p>
    <w:p w14:paraId="113776DF">
      <w:pPr>
        <w:snapToGrid w:val="0"/>
        <w:spacing w:line="520" w:lineRule="exact"/>
        <w:jc w:val="center"/>
        <w:rPr>
          <w:rFonts w:ascii="宋体" w:hAnsi="宋体" w:eastAsia="宋体" w:cs="宋体"/>
          <w:sz w:val="28"/>
          <w:szCs w:val="28"/>
          <w:u w:val="single"/>
        </w:rPr>
      </w:pPr>
      <w:r>
        <w:rPr>
          <w:rFonts w:hint="eastAsia" w:ascii="宋体" w:hAnsi="宋体" w:eastAsia="宋体" w:cs="宋体"/>
          <w:sz w:val="28"/>
          <w:szCs w:val="28"/>
          <w:u w:val="single"/>
        </w:rPr>
        <w:t>（被授权人参加投标时，须出示此证明）</w:t>
      </w:r>
    </w:p>
    <w:p w14:paraId="0E9E5F61">
      <w:pPr>
        <w:snapToGrid w:val="0"/>
        <w:spacing w:line="520" w:lineRule="exact"/>
        <w:rPr>
          <w:rFonts w:ascii="宋体" w:hAnsi="宋体" w:eastAsia="宋体" w:cs="宋体"/>
          <w:sz w:val="24"/>
          <w:szCs w:val="24"/>
        </w:rPr>
      </w:pPr>
      <w:r>
        <w:rPr>
          <w:rFonts w:hint="eastAsia" w:ascii="宋体" w:hAnsi="宋体" w:eastAsia="宋体" w:cs="宋体"/>
          <w:sz w:val="24"/>
          <w:szCs w:val="24"/>
          <w:u w:val="single"/>
        </w:rPr>
        <w:t xml:space="preserve">  南通市妇幼保健院  </w:t>
      </w:r>
      <w:r>
        <w:rPr>
          <w:rFonts w:hint="eastAsia" w:ascii="宋体" w:hAnsi="宋体" w:eastAsia="宋体" w:cs="宋体"/>
          <w:sz w:val="24"/>
          <w:szCs w:val="24"/>
        </w:rPr>
        <w:t>：</w:t>
      </w:r>
    </w:p>
    <w:p w14:paraId="46D07373">
      <w:pPr>
        <w:snapToGrid w:val="0"/>
        <w:spacing w:line="520" w:lineRule="exact"/>
        <w:ind w:left="1"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被授权人的姓名）代表我公司参加（采购项目名称)项目的投标活动，全权处理一切与该项目投标有关的事务。其在办理上述事宜过程中所签署的所有文件我公司均予以承认。</w:t>
      </w:r>
    </w:p>
    <w:p w14:paraId="7266BA1B">
      <w:pPr>
        <w:snapToGrid w:val="0"/>
        <w:spacing w:line="520" w:lineRule="exact"/>
        <w:ind w:left="1" w:firstLine="480" w:firstLineChars="200"/>
        <w:rPr>
          <w:rFonts w:ascii="宋体" w:hAnsi="宋体" w:eastAsia="宋体" w:cs="宋体"/>
          <w:sz w:val="24"/>
          <w:szCs w:val="24"/>
        </w:rPr>
      </w:pPr>
      <w:r>
        <w:rPr>
          <w:rFonts w:hint="eastAsia" w:ascii="宋体" w:hAnsi="宋体" w:eastAsia="宋体" w:cs="宋体"/>
          <w:sz w:val="24"/>
          <w:szCs w:val="24"/>
        </w:rPr>
        <w:t>被授权人无转委托权。特此委托。</w:t>
      </w:r>
    </w:p>
    <w:p w14:paraId="613B5036">
      <w:pPr>
        <w:snapToGrid w:val="0"/>
        <w:spacing w:line="520" w:lineRule="exact"/>
        <w:rPr>
          <w:rFonts w:ascii="宋体" w:hAnsi="宋体" w:eastAsia="宋体" w:cs="宋体"/>
          <w:sz w:val="24"/>
          <w:szCs w:val="24"/>
        </w:rPr>
      </w:pPr>
    </w:p>
    <w:p w14:paraId="17DC6D77">
      <w:pPr>
        <w:snapToGrid w:val="0"/>
        <w:spacing w:line="520" w:lineRule="exact"/>
        <w:rPr>
          <w:rFonts w:ascii="宋体" w:hAnsi="宋体" w:eastAsia="宋体" w:cs="宋体"/>
          <w:sz w:val="24"/>
          <w:szCs w:val="24"/>
        </w:rPr>
      </w:pPr>
      <w:r>
        <w:rPr>
          <w:rFonts w:hint="eastAsia" w:ascii="宋体" w:hAnsi="宋体" w:eastAsia="宋体" w:cs="宋体"/>
          <w:sz w:val="24"/>
          <w:szCs w:val="24"/>
        </w:rPr>
        <w:t>附：被授权人情况：</w:t>
      </w:r>
    </w:p>
    <w:p w14:paraId="301A04FB">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 xml:space="preserve">姓名：性别：年龄：职务：  </w:t>
      </w:r>
    </w:p>
    <w:p w14:paraId="010D5D89">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p>
    <w:p w14:paraId="18684FF4">
      <w:pPr>
        <w:snapToGrid w:val="0"/>
        <w:spacing w:line="520" w:lineRule="exact"/>
        <w:rPr>
          <w:rFonts w:ascii="宋体" w:hAnsi="宋体" w:eastAsia="宋体" w:cs="宋体"/>
          <w:sz w:val="24"/>
          <w:szCs w:val="24"/>
        </w:rPr>
      </w:pPr>
      <w:r>
        <w:rPr>
          <w:rFonts w:hint="eastAsia" w:ascii="宋体" w:hAnsi="宋体" w:eastAsia="宋体" w:cs="宋体"/>
          <w:sz w:val="24"/>
          <w:szCs w:val="24"/>
        </w:rPr>
        <w:t>手机：传真：</w:t>
      </w:r>
    </w:p>
    <w:p w14:paraId="287E4EF8">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14:paraId="4EF6D81A">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14:paraId="46B7D194">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年   月   日                        年   月   日</w:t>
      </w:r>
    </w:p>
    <w:p w14:paraId="1F6E40AA">
      <w:pPr>
        <w:snapToGrid w:val="0"/>
        <w:spacing w:line="520" w:lineRule="exact"/>
        <w:rPr>
          <w:rFonts w:ascii="宋体" w:hAnsi="宋体" w:eastAsia="宋体" w:cs="宋体"/>
          <w:sz w:val="24"/>
          <w:szCs w:val="24"/>
        </w:rPr>
      </w:pPr>
    </w:p>
    <w:p w14:paraId="4E08019C">
      <w:pPr>
        <w:adjustRightInd w:val="0"/>
        <w:snapToGrid w:val="0"/>
        <w:spacing w:line="240" w:lineRule="atLeast"/>
        <w:jc w:val="center"/>
        <w:rPr>
          <w:rFonts w:ascii="宋体" w:hAnsi="宋体" w:eastAsia="宋体" w:cs="宋体"/>
          <w:sz w:val="24"/>
          <w:szCs w:val="24"/>
        </w:rPr>
      </w:pPr>
      <w:r>
        <w:rPr>
          <w:rFonts w:hint="eastAsia" w:ascii="宋体" w:hAnsi="宋体" w:eastAsia="宋体" w:cs="宋体"/>
          <w:sz w:val="24"/>
          <w:szCs w:val="24"/>
        </w:rPr>
        <w:t>法定代表人身份证复印件</w:t>
      </w:r>
    </w:p>
    <w:p w14:paraId="1A6DD18A">
      <w:pPr>
        <w:adjustRightInd w:val="0"/>
        <w:snapToGrid w:val="0"/>
        <w:spacing w:line="240" w:lineRule="atLeast"/>
        <w:jc w:val="center"/>
        <w:rPr>
          <w:rFonts w:ascii="宋体" w:hAnsi="宋体" w:eastAsia="宋体" w:cs="宋体"/>
          <w:sz w:val="24"/>
          <w:szCs w:val="24"/>
        </w:rPr>
      </w:pPr>
    </w:p>
    <w:p w14:paraId="6B04050B">
      <w:pPr>
        <w:adjustRightInd w:val="0"/>
        <w:snapToGrid w:val="0"/>
        <w:spacing w:line="240" w:lineRule="atLeast"/>
        <w:jc w:val="center"/>
        <w:rPr>
          <w:rFonts w:ascii="宋体" w:hAnsi="宋体" w:eastAsia="宋体" w:cs="宋体"/>
          <w:sz w:val="24"/>
          <w:szCs w:val="24"/>
        </w:rPr>
      </w:pPr>
      <w:r>
        <w:rPr>
          <w:rFonts w:hint="eastAsia" w:ascii="宋体" w:hAnsi="宋体" w:eastAsia="宋体" w:cs="宋体"/>
          <w:sz w:val="24"/>
          <w:szCs w:val="24"/>
        </w:rPr>
        <w:t>（粘贴此处）</w:t>
      </w:r>
    </w:p>
    <w:p w14:paraId="026C075B">
      <w:pPr>
        <w:adjustRightInd w:val="0"/>
        <w:snapToGrid w:val="0"/>
        <w:spacing w:line="240" w:lineRule="atLeast"/>
        <w:jc w:val="center"/>
        <w:rPr>
          <w:rFonts w:ascii="宋体" w:hAnsi="宋体" w:eastAsia="宋体" w:cs="宋体"/>
          <w:sz w:val="24"/>
          <w:szCs w:val="24"/>
        </w:rPr>
      </w:pPr>
    </w:p>
    <w:p w14:paraId="1DF22BF5">
      <w:pPr>
        <w:adjustRightInd w:val="0"/>
        <w:snapToGrid w:val="0"/>
        <w:spacing w:line="240" w:lineRule="atLeast"/>
        <w:jc w:val="center"/>
        <w:rPr>
          <w:rFonts w:ascii="宋体" w:hAnsi="宋体" w:eastAsia="宋体" w:cs="宋体"/>
          <w:sz w:val="24"/>
          <w:szCs w:val="24"/>
        </w:rPr>
      </w:pPr>
    </w:p>
    <w:p w14:paraId="1E0314D5">
      <w:pPr>
        <w:adjustRightInd w:val="0"/>
        <w:snapToGrid w:val="0"/>
        <w:spacing w:line="240" w:lineRule="atLeast"/>
        <w:jc w:val="center"/>
        <w:rPr>
          <w:rFonts w:ascii="宋体" w:hAnsi="宋体" w:eastAsia="宋体" w:cs="宋体"/>
          <w:sz w:val="24"/>
          <w:szCs w:val="24"/>
        </w:rPr>
      </w:pPr>
      <w:r>
        <w:rPr>
          <w:rFonts w:hint="eastAsia" w:ascii="宋体" w:hAnsi="宋体" w:eastAsia="宋体" w:cs="宋体"/>
          <w:sz w:val="24"/>
          <w:szCs w:val="24"/>
        </w:rPr>
        <w:t>被授权人身份证复印件</w:t>
      </w:r>
    </w:p>
    <w:p w14:paraId="31E4D506">
      <w:pPr>
        <w:adjustRightInd w:val="0"/>
        <w:snapToGrid w:val="0"/>
        <w:spacing w:line="240" w:lineRule="atLeast"/>
        <w:jc w:val="center"/>
        <w:rPr>
          <w:rFonts w:ascii="宋体" w:hAnsi="宋体" w:eastAsia="宋体" w:cs="宋体"/>
          <w:sz w:val="24"/>
          <w:szCs w:val="24"/>
        </w:rPr>
      </w:pPr>
    </w:p>
    <w:p w14:paraId="35B6D93A">
      <w:pPr>
        <w:adjustRightInd w:val="0"/>
        <w:snapToGrid w:val="0"/>
        <w:spacing w:line="240" w:lineRule="atLeast"/>
        <w:jc w:val="center"/>
        <w:rPr>
          <w:rFonts w:ascii="宋体" w:hAnsi="宋体" w:eastAsia="宋体" w:cs="宋体"/>
          <w:sz w:val="24"/>
          <w:szCs w:val="24"/>
        </w:rPr>
      </w:pPr>
      <w:r>
        <w:rPr>
          <w:rFonts w:hint="eastAsia" w:ascii="宋体" w:hAnsi="宋体" w:eastAsia="宋体" w:cs="宋体"/>
          <w:sz w:val="24"/>
          <w:szCs w:val="24"/>
        </w:rPr>
        <w:t>（粘贴此处）</w:t>
      </w:r>
    </w:p>
    <w:p w14:paraId="672A4A9D">
      <w:pPr>
        <w:snapToGrid w:val="0"/>
        <w:spacing w:line="520" w:lineRule="exact"/>
        <w:ind w:firstLine="482" w:firstLineChars="200"/>
        <w:rPr>
          <w:rFonts w:ascii="宋体" w:hAnsi="宋体" w:eastAsia="宋体" w:cs="宋体"/>
          <w:b/>
          <w:bCs/>
          <w:sz w:val="24"/>
          <w:szCs w:val="24"/>
        </w:rPr>
      </w:pPr>
    </w:p>
    <w:p w14:paraId="7B0AACE5">
      <w:pPr>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如为被授权人参加投标时，须将身份证原件带至开标现场备查。</w:t>
      </w:r>
    </w:p>
    <w:p w14:paraId="7CB8C7B7">
      <w:pPr>
        <w:spacing w:line="360" w:lineRule="auto"/>
        <w:rPr>
          <w:rFonts w:ascii="宋体" w:hAnsi="宋体" w:eastAsia="宋体" w:cs="宋体"/>
          <w:sz w:val="24"/>
          <w:szCs w:val="24"/>
        </w:rPr>
      </w:pPr>
      <w:r>
        <w:rPr>
          <w:rFonts w:hint="eastAsia" w:ascii="宋体" w:hAnsi="宋体" w:eastAsia="宋体" w:cs="宋体"/>
          <w:b/>
          <w:bCs/>
          <w:sz w:val="28"/>
          <w:szCs w:val="28"/>
        </w:rPr>
        <w:br w:type="page"/>
      </w:r>
    </w:p>
    <w:p w14:paraId="1D3A6D4C">
      <w:pPr>
        <w:overflowPunct w:val="0"/>
        <w:adjustRightInd w:val="0"/>
        <w:spacing w:afterLines="100" w:line="700" w:lineRule="exact"/>
        <w:ind w:firstLine="420"/>
        <w:jc w:val="center"/>
        <w:textAlignment w:val="baseline"/>
        <w:rPr>
          <w:rFonts w:ascii="宋体" w:hAnsi="宋体" w:eastAsia="宋体" w:cs="宋体"/>
          <w:b/>
          <w:bCs/>
          <w:sz w:val="28"/>
          <w:szCs w:val="28"/>
        </w:rPr>
      </w:pPr>
      <w:r>
        <w:rPr>
          <w:rFonts w:hint="eastAsia" w:ascii="宋体" w:hAnsi="宋体" w:eastAsia="宋体" w:cs="宋体"/>
          <w:b/>
          <w:bCs/>
          <w:sz w:val="28"/>
          <w:szCs w:val="28"/>
        </w:rPr>
        <w:t>无重大违法记录声明</w:t>
      </w:r>
    </w:p>
    <w:p w14:paraId="43292CF3">
      <w:pPr>
        <w:snapToGrid w:val="0"/>
        <w:spacing w:line="360" w:lineRule="auto"/>
        <w:rPr>
          <w:rFonts w:ascii="宋体" w:hAnsi="宋体" w:eastAsia="宋体" w:cs="宋体"/>
          <w:bCs/>
          <w:sz w:val="24"/>
          <w:szCs w:val="24"/>
        </w:rPr>
      </w:pPr>
      <w:r>
        <w:rPr>
          <w:rFonts w:hint="eastAsia" w:ascii="宋体" w:hAnsi="宋体" w:eastAsia="宋体" w:cs="宋体"/>
          <w:szCs w:val="24"/>
          <w:u w:val="single"/>
        </w:rPr>
        <w:t>南通市妇幼保健院</w:t>
      </w:r>
      <w:r>
        <w:rPr>
          <w:rFonts w:hint="eastAsia" w:ascii="宋体" w:hAnsi="宋体" w:eastAsia="宋体" w:cs="宋体"/>
          <w:bCs/>
          <w:sz w:val="24"/>
          <w:szCs w:val="24"/>
        </w:rPr>
        <w:t>：</w:t>
      </w:r>
    </w:p>
    <w:p w14:paraId="756E7B96">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我单位（供应商名称）郑重声明：</w:t>
      </w:r>
    </w:p>
    <w:p w14:paraId="5A379205">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参加本项目采购活动前3年内在经营活动中（在下划线上如实填写：有或没有）重大违法记录。</w:t>
      </w:r>
    </w:p>
    <w:p w14:paraId="26B8D67C">
      <w:pPr>
        <w:spacing w:line="360" w:lineRule="auto"/>
        <w:ind w:firstLine="480"/>
        <w:rPr>
          <w:rFonts w:ascii="宋体" w:hAnsi="宋体" w:eastAsia="宋体" w:cs="宋体"/>
          <w:color w:val="000000"/>
          <w:sz w:val="24"/>
          <w:szCs w:val="24"/>
        </w:rPr>
      </w:pPr>
      <w:r>
        <w:rPr>
          <w:rFonts w:hint="eastAsia" w:ascii="宋体" w:hAnsi="宋体" w:eastAsia="宋体" w:cs="宋体"/>
          <w:color w:val="000000"/>
          <w:sz w:val="24"/>
          <w:szCs w:val="24"/>
        </w:rPr>
        <w:t>（说明：政府采购法第二十二条第一款第五项所称重大违法记录，是指供应商因违法经营受到刑事处罚或者责令停产停业、吊销许可证或者执照、较大数额罚款等行政处罚。）</w:t>
      </w:r>
    </w:p>
    <w:p w14:paraId="699AD46C">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声明人：（公章）</w:t>
      </w:r>
    </w:p>
    <w:p w14:paraId="7669D97B">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年     月    日</w:t>
      </w:r>
    </w:p>
    <w:p w14:paraId="60DDD069">
      <w:pPr>
        <w:snapToGrid w:val="0"/>
        <w:spacing w:line="360" w:lineRule="auto"/>
        <w:jc w:val="center"/>
        <w:outlineLvl w:val="4"/>
        <w:rPr>
          <w:rFonts w:ascii="宋体" w:hAnsi="宋体" w:eastAsia="宋体" w:cs="宋体"/>
          <w:b/>
          <w:bCs/>
          <w:sz w:val="28"/>
          <w:szCs w:val="28"/>
        </w:rPr>
      </w:pPr>
    </w:p>
    <w:p w14:paraId="1F2C34CC">
      <w:pPr>
        <w:snapToGrid w:val="0"/>
        <w:spacing w:line="520" w:lineRule="exact"/>
        <w:jc w:val="center"/>
        <w:outlineLvl w:val="4"/>
        <w:rPr>
          <w:rFonts w:ascii="宋体" w:hAnsi="宋体" w:eastAsia="宋体" w:cs="宋体"/>
          <w:b/>
          <w:bCs/>
          <w:sz w:val="28"/>
          <w:szCs w:val="28"/>
        </w:rPr>
      </w:pPr>
      <w:r>
        <w:rPr>
          <w:rFonts w:ascii="宋体" w:hAnsi="宋体" w:eastAsia="宋体" w:cs="宋体"/>
          <w:b/>
          <w:bCs/>
          <w:sz w:val="28"/>
          <w:szCs w:val="28"/>
        </w:rPr>
        <w:br w:type="page"/>
      </w:r>
      <w:r>
        <w:rPr>
          <w:rFonts w:hint="eastAsia" w:ascii="宋体" w:hAnsi="宋体" w:eastAsia="宋体" w:cs="宋体"/>
          <w:b/>
          <w:bCs/>
          <w:sz w:val="28"/>
          <w:szCs w:val="28"/>
        </w:rPr>
        <w:t>关于资格文件的声明函</w:t>
      </w:r>
    </w:p>
    <w:p w14:paraId="6BBF2FF8">
      <w:pPr>
        <w:pStyle w:val="10"/>
        <w:overflowPunct w:val="0"/>
        <w:spacing w:line="520" w:lineRule="exact"/>
        <w:jc w:val="center"/>
        <w:rPr>
          <w:rFonts w:ascii="宋体" w:hAnsi="宋体" w:eastAsia="宋体" w:cs="宋体"/>
          <w:sz w:val="28"/>
          <w:szCs w:val="28"/>
        </w:rPr>
      </w:pPr>
    </w:p>
    <w:p w14:paraId="1C1A24D3">
      <w:pPr>
        <w:pStyle w:val="10"/>
        <w:overflowPunct w:val="0"/>
        <w:spacing w:line="520" w:lineRule="exact"/>
        <w:ind w:firstLine="0"/>
        <w:rPr>
          <w:rFonts w:ascii="宋体" w:hAnsi="宋体" w:eastAsia="宋体" w:cs="宋体"/>
          <w:szCs w:val="24"/>
        </w:rPr>
      </w:pPr>
      <w:r>
        <w:rPr>
          <w:rFonts w:hint="eastAsia" w:ascii="宋体" w:hAnsi="宋体" w:eastAsia="宋体" w:cs="宋体"/>
          <w:szCs w:val="24"/>
          <w:u w:val="single"/>
        </w:rPr>
        <w:t>南通市妇幼保健院</w:t>
      </w:r>
      <w:r>
        <w:rPr>
          <w:rFonts w:hint="eastAsia" w:ascii="宋体" w:hAnsi="宋体" w:eastAsia="宋体" w:cs="宋体"/>
          <w:szCs w:val="24"/>
        </w:rPr>
        <w:t>：</w:t>
      </w:r>
    </w:p>
    <w:p w14:paraId="007D0162">
      <w:pPr>
        <w:pStyle w:val="10"/>
        <w:overflowPunct w:val="0"/>
        <w:spacing w:line="520" w:lineRule="exact"/>
        <w:ind w:firstLine="660"/>
        <w:rPr>
          <w:rFonts w:ascii="宋体" w:hAnsi="宋体" w:eastAsia="宋体" w:cs="宋体"/>
          <w:szCs w:val="24"/>
        </w:rPr>
      </w:pPr>
      <w:r>
        <w:rPr>
          <w:rFonts w:hint="eastAsia" w:ascii="宋体" w:hAnsi="宋体" w:eastAsia="宋体" w:cs="宋体"/>
          <w:szCs w:val="24"/>
        </w:rPr>
        <w:t>本公司愿就由贵单位组织实施的（采购项目名称)采购活动进行投标。本公司所提交的投标文件中所有关于投标资格的文件、证明和陈述均是真实的、准确的。若与真实情况不符，本公司愿意承担由此而产生的一切后果。</w:t>
      </w:r>
    </w:p>
    <w:p w14:paraId="206303F2">
      <w:pPr>
        <w:pStyle w:val="10"/>
        <w:overflowPunct w:val="0"/>
        <w:spacing w:line="520" w:lineRule="exact"/>
        <w:rPr>
          <w:rFonts w:ascii="宋体" w:hAnsi="宋体" w:eastAsia="宋体" w:cs="宋体"/>
          <w:szCs w:val="24"/>
        </w:rPr>
      </w:pPr>
    </w:p>
    <w:p w14:paraId="1DD523EA">
      <w:pPr>
        <w:pStyle w:val="10"/>
        <w:overflowPunct w:val="0"/>
        <w:spacing w:line="520" w:lineRule="exact"/>
        <w:rPr>
          <w:rFonts w:ascii="宋体" w:hAnsi="宋体" w:eastAsia="宋体" w:cs="宋体"/>
          <w:szCs w:val="24"/>
        </w:rPr>
      </w:pPr>
    </w:p>
    <w:p w14:paraId="6FC602F8">
      <w:pPr>
        <w:pStyle w:val="10"/>
        <w:overflowPunct w:val="0"/>
        <w:spacing w:line="520" w:lineRule="exact"/>
        <w:rPr>
          <w:rFonts w:ascii="宋体" w:hAnsi="宋体" w:eastAsia="宋体" w:cs="宋体"/>
          <w:szCs w:val="24"/>
        </w:rPr>
      </w:pPr>
    </w:p>
    <w:p w14:paraId="412E8F30">
      <w:pPr>
        <w:pStyle w:val="10"/>
        <w:overflowPunct w:val="0"/>
        <w:spacing w:line="520" w:lineRule="exact"/>
        <w:rPr>
          <w:rFonts w:ascii="宋体" w:hAnsi="宋体" w:eastAsia="宋体" w:cs="宋体"/>
          <w:szCs w:val="24"/>
        </w:rPr>
      </w:pP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ab/>
      </w:r>
      <w:r>
        <w:rPr>
          <w:rFonts w:hint="eastAsia" w:ascii="宋体" w:hAnsi="宋体" w:eastAsia="宋体" w:cs="宋体"/>
          <w:szCs w:val="24"/>
        </w:rPr>
        <w:t xml:space="preserve">        （投标人）法定代表人（签字或盖章）：</w:t>
      </w:r>
    </w:p>
    <w:p w14:paraId="61AA1D03">
      <w:pPr>
        <w:pStyle w:val="10"/>
        <w:overflowPunct w:val="0"/>
        <w:spacing w:line="520" w:lineRule="exact"/>
        <w:ind w:left="1700" w:firstLine="425"/>
        <w:rPr>
          <w:rFonts w:ascii="宋体" w:hAnsi="宋体" w:eastAsia="宋体" w:cs="宋体"/>
          <w:szCs w:val="24"/>
        </w:rPr>
      </w:pPr>
    </w:p>
    <w:p w14:paraId="069F3294">
      <w:pPr>
        <w:pStyle w:val="10"/>
        <w:overflowPunct w:val="0"/>
        <w:spacing w:line="520" w:lineRule="exact"/>
        <w:ind w:left="1700" w:firstLine="425"/>
        <w:rPr>
          <w:rFonts w:ascii="宋体" w:hAnsi="宋体" w:eastAsia="宋体" w:cs="宋体"/>
          <w:szCs w:val="24"/>
        </w:rPr>
      </w:pPr>
      <w:r>
        <w:rPr>
          <w:rFonts w:hint="eastAsia" w:ascii="宋体" w:hAnsi="宋体" w:eastAsia="宋体" w:cs="宋体"/>
          <w:szCs w:val="24"/>
        </w:rPr>
        <w:t xml:space="preserve">        （投标人）公章：</w:t>
      </w:r>
    </w:p>
    <w:p w14:paraId="16CEA77B">
      <w:pPr>
        <w:pStyle w:val="10"/>
        <w:overflowPunct w:val="0"/>
        <w:spacing w:line="520" w:lineRule="exact"/>
        <w:rPr>
          <w:rFonts w:ascii="宋体" w:hAnsi="宋体" w:eastAsia="宋体" w:cs="宋体"/>
          <w:szCs w:val="24"/>
        </w:rPr>
      </w:pPr>
    </w:p>
    <w:p w14:paraId="404B2697">
      <w:pPr>
        <w:pStyle w:val="10"/>
        <w:overflowPunct w:val="0"/>
        <w:spacing w:line="520" w:lineRule="exact"/>
        <w:ind w:right="560"/>
        <w:rPr>
          <w:rFonts w:ascii="宋体" w:hAnsi="宋体" w:eastAsia="宋体" w:cs="宋体"/>
          <w:szCs w:val="24"/>
        </w:rPr>
      </w:pPr>
      <w:r>
        <w:rPr>
          <w:rFonts w:hint="eastAsia" w:ascii="宋体" w:hAnsi="宋体" w:eastAsia="宋体" w:cs="宋体"/>
          <w:szCs w:val="24"/>
        </w:rPr>
        <w:t xml:space="preserve">                                       年</w:t>
      </w:r>
      <w:r>
        <w:rPr>
          <w:rFonts w:hint="eastAsia" w:ascii="宋体" w:hAnsi="宋体" w:eastAsia="宋体" w:cs="宋体"/>
          <w:szCs w:val="24"/>
        </w:rPr>
        <w:tab/>
      </w:r>
      <w:r>
        <w:rPr>
          <w:rFonts w:hint="eastAsia" w:ascii="宋体" w:hAnsi="宋体" w:eastAsia="宋体" w:cs="宋体"/>
          <w:szCs w:val="24"/>
        </w:rPr>
        <w:t xml:space="preserve">  月 </w:t>
      </w:r>
      <w:r>
        <w:rPr>
          <w:rFonts w:hint="eastAsia" w:ascii="宋体" w:hAnsi="宋体" w:eastAsia="宋体" w:cs="宋体"/>
          <w:szCs w:val="24"/>
        </w:rPr>
        <w:tab/>
      </w:r>
      <w:r>
        <w:rPr>
          <w:rFonts w:hint="eastAsia" w:ascii="宋体" w:hAnsi="宋体" w:eastAsia="宋体" w:cs="宋体"/>
          <w:szCs w:val="24"/>
        </w:rPr>
        <w:t>日</w:t>
      </w:r>
    </w:p>
    <w:p w14:paraId="2A97614F">
      <w:pPr>
        <w:jc w:val="center"/>
        <w:rPr>
          <w:rFonts w:ascii="宋体" w:hAnsi="宋体" w:eastAsia="宋体" w:cs="宋体"/>
          <w:b/>
          <w:bCs/>
          <w:sz w:val="28"/>
          <w:szCs w:val="28"/>
        </w:rPr>
      </w:pPr>
      <w:r>
        <w:rPr>
          <w:rFonts w:hint="eastAsia" w:ascii="宋体" w:hAnsi="宋体" w:eastAsia="宋体" w:cs="宋体"/>
          <w:szCs w:val="24"/>
        </w:rPr>
        <w:br w:type="page"/>
      </w:r>
      <w:r>
        <w:rPr>
          <w:rFonts w:hint="eastAsia" w:ascii="宋体" w:hAnsi="宋体" w:eastAsia="宋体" w:cs="宋体"/>
          <w:b/>
          <w:bCs/>
          <w:sz w:val="28"/>
          <w:szCs w:val="28"/>
        </w:rPr>
        <w:t>供应商情况一览表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431"/>
        <w:gridCol w:w="862"/>
        <w:gridCol w:w="372"/>
        <w:gridCol w:w="1064"/>
        <w:gridCol w:w="574"/>
        <w:gridCol w:w="960"/>
        <w:gridCol w:w="1432"/>
        <w:gridCol w:w="1200"/>
        <w:gridCol w:w="1565"/>
      </w:tblGrid>
      <w:tr w14:paraId="646C3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gridSpan w:val="2"/>
            <w:tcBorders>
              <w:top w:val="double" w:color="auto" w:sz="4" w:space="0"/>
              <w:left w:val="double" w:color="auto" w:sz="4" w:space="0"/>
            </w:tcBorders>
            <w:vAlign w:val="center"/>
          </w:tcPr>
          <w:p w14:paraId="0DBE2A27">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4322" w:type="pct"/>
            <w:gridSpan w:val="8"/>
            <w:tcBorders>
              <w:top w:val="double" w:color="auto" w:sz="4" w:space="0"/>
              <w:right w:val="double" w:color="auto" w:sz="4" w:space="0"/>
            </w:tcBorders>
            <w:vAlign w:val="center"/>
          </w:tcPr>
          <w:p w14:paraId="41EBC552">
            <w:pPr>
              <w:tabs>
                <w:tab w:val="left" w:pos="4320"/>
              </w:tabs>
              <w:rPr>
                <w:rFonts w:ascii="宋体" w:hAnsi="宋体" w:eastAsia="宋体"/>
                <w:sz w:val="24"/>
                <w:szCs w:val="24"/>
              </w:rPr>
            </w:pPr>
          </w:p>
        </w:tc>
      </w:tr>
      <w:tr w14:paraId="3CF1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pct"/>
            <w:gridSpan w:val="3"/>
            <w:tcBorders>
              <w:left w:val="double" w:color="auto" w:sz="4" w:space="0"/>
              <w:right w:val="single" w:color="auto" w:sz="4" w:space="0"/>
            </w:tcBorders>
            <w:vAlign w:val="center"/>
          </w:tcPr>
          <w:p w14:paraId="32945E53">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3858" w:type="pct"/>
            <w:gridSpan w:val="7"/>
            <w:tcBorders>
              <w:left w:val="single" w:color="auto" w:sz="4" w:space="0"/>
              <w:right w:val="double" w:color="auto" w:sz="4" w:space="0"/>
            </w:tcBorders>
            <w:vAlign w:val="center"/>
          </w:tcPr>
          <w:p w14:paraId="5FA2E957">
            <w:pPr>
              <w:tabs>
                <w:tab w:val="left" w:pos="4320"/>
              </w:tabs>
              <w:rPr>
                <w:rFonts w:ascii="宋体" w:hAnsi="宋体" w:eastAsia="宋体"/>
                <w:sz w:val="24"/>
                <w:szCs w:val="24"/>
              </w:rPr>
            </w:pPr>
          </w:p>
        </w:tc>
      </w:tr>
      <w:tr w14:paraId="62AC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14:paraId="27EC49B2">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14:paraId="70A71E80">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696" w:type="pct"/>
            <w:gridSpan w:val="2"/>
            <w:vAlign w:val="center"/>
          </w:tcPr>
          <w:p w14:paraId="23924755">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773" w:type="pct"/>
            <w:gridSpan w:val="2"/>
            <w:vAlign w:val="center"/>
          </w:tcPr>
          <w:p w14:paraId="590D973D">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309" w:type="pct"/>
            <w:vMerge w:val="restart"/>
            <w:vAlign w:val="center"/>
          </w:tcPr>
          <w:p w14:paraId="6B3CDEEB">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516" w:type="pct"/>
            <w:vAlign w:val="center"/>
          </w:tcPr>
          <w:p w14:paraId="55905A75">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771" w:type="pct"/>
            <w:vAlign w:val="center"/>
          </w:tcPr>
          <w:p w14:paraId="6FF53283">
            <w:pPr>
              <w:tabs>
                <w:tab w:val="left" w:pos="4320"/>
              </w:tabs>
              <w:rPr>
                <w:rFonts w:ascii="宋体" w:hAnsi="宋体" w:eastAsia="宋体"/>
                <w:sz w:val="24"/>
                <w:szCs w:val="24"/>
              </w:rPr>
            </w:pPr>
          </w:p>
        </w:tc>
        <w:tc>
          <w:tcPr>
            <w:tcW w:w="646" w:type="pct"/>
            <w:vAlign w:val="center"/>
          </w:tcPr>
          <w:p w14:paraId="18CDE4D7">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842" w:type="pct"/>
            <w:tcBorders>
              <w:right w:val="double" w:color="auto" w:sz="4" w:space="0"/>
            </w:tcBorders>
            <w:vAlign w:val="center"/>
          </w:tcPr>
          <w:p w14:paraId="5C646E5F">
            <w:pPr>
              <w:tabs>
                <w:tab w:val="left" w:pos="4320"/>
              </w:tabs>
              <w:rPr>
                <w:rFonts w:ascii="宋体" w:hAnsi="宋体" w:eastAsia="宋体"/>
                <w:sz w:val="24"/>
                <w:szCs w:val="24"/>
              </w:rPr>
            </w:pPr>
          </w:p>
        </w:tc>
      </w:tr>
      <w:tr w14:paraId="7220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14:paraId="4E42892C">
            <w:pPr>
              <w:tabs>
                <w:tab w:val="left" w:pos="4320"/>
              </w:tabs>
              <w:ind w:left="266" w:hanging="266" w:hangingChars="111"/>
              <w:rPr>
                <w:rFonts w:ascii="宋体" w:hAnsi="宋体" w:eastAsia="宋体"/>
                <w:sz w:val="24"/>
                <w:szCs w:val="24"/>
              </w:rPr>
            </w:pPr>
          </w:p>
        </w:tc>
        <w:tc>
          <w:tcPr>
            <w:tcW w:w="696" w:type="pct"/>
            <w:gridSpan w:val="2"/>
            <w:vAlign w:val="center"/>
          </w:tcPr>
          <w:p w14:paraId="299F3357">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773" w:type="pct"/>
            <w:gridSpan w:val="2"/>
            <w:vAlign w:val="center"/>
          </w:tcPr>
          <w:p w14:paraId="4DD69304">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309" w:type="pct"/>
            <w:vMerge w:val="continue"/>
            <w:vAlign w:val="center"/>
          </w:tcPr>
          <w:p w14:paraId="7A4210A1">
            <w:pPr>
              <w:tabs>
                <w:tab w:val="left" w:pos="4320"/>
              </w:tabs>
              <w:rPr>
                <w:rFonts w:ascii="宋体" w:hAnsi="宋体" w:eastAsia="宋体"/>
                <w:sz w:val="24"/>
                <w:szCs w:val="24"/>
              </w:rPr>
            </w:pPr>
          </w:p>
        </w:tc>
        <w:tc>
          <w:tcPr>
            <w:tcW w:w="516" w:type="pct"/>
            <w:vMerge w:val="restart"/>
            <w:vAlign w:val="center"/>
          </w:tcPr>
          <w:p w14:paraId="7674A9C7">
            <w:pPr>
              <w:tabs>
                <w:tab w:val="left" w:pos="4320"/>
              </w:tabs>
              <w:jc w:val="center"/>
              <w:rPr>
                <w:rFonts w:ascii="宋体" w:hAnsi="宋体" w:eastAsia="宋体"/>
                <w:sz w:val="24"/>
                <w:szCs w:val="24"/>
              </w:rPr>
            </w:pPr>
            <w:r>
              <w:rPr>
                <w:rFonts w:hint="eastAsia" w:ascii="宋体" w:hAnsi="宋体" w:eastAsia="宋体"/>
                <w:sz w:val="24"/>
                <w:szCs w:val="24"/>
              </w:rPr>
              <w:t>主要</w:t>
            </w:r>
          </w:p>
          <w:p w14:paraId="15BD166A">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2260" w:type="pct"/>
            <w:gridSpan w:val="3"/>
            <w:tcBorders>
              <w:right w:val="double" w:color="auto" w:sz="4" w:space="0"/>
            </w:tcBorders>
            <w:vAlign w:val="center"/>
          </w:tcPr>
          <w:p w14:paraId="19FDDD3F">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14:paraId="2763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46" w:type="pct"/>
            <w:vMerge w:val="continue"/>
            <w:tcBorders>
              <w:left w:val="double" w:color="auto" w:sz="4" w:space="0"/>
            </w:tcBorders>
            <w:vAlign w:val="center"/>
          </w:tcPr>
          <w:p w14:paraId="478ADBB0">
            <w:pPr>
              <w:tabs>
                <w:tab w:val="left" w:pos="4320"/>
              </w:tabs>
              <w:ind w:left="266" w:hanging="266" w:hangingChars="111"/>
              <w:rPr>
                <w:rFonts w:ascii="宋体" w:hAnsi="宋体" w:eastAsia="宋体"/>
                <w:sz w:val="24"/>
                <w:szCs w:val="24"/>
              </w:rPr>
            </w:pPr>
          </w:p>
        </w:tc>
        <w:tc>
          <w:tcPr>
            <w:tcW w:w="696" w:type="pct"/>
            <w:gridSpan w:val="2"/>
            <w:vAlign w:val="center"/>
          </w:tcPr>
          <w:p w14:paraId="26D9FCA9">
            <w:pPr>
              <w:tabs>
                <w:tab w:val="left" w:pos="4320"/>
              </w:tabs>
              <w:jc w:val="center"/>
              <w:rPr>
                <w:rFonts w:ascii="宋体" w:hAnsi="宋体" w:eastAsia="宋体"/>
                <w:sz w:val="24"/>
                <w:szCs w:val="24"/>
              </w:rPr>
            </w:pPr>
            <w:r>
              <w:rPr>
                <w:rFonts w:hint="eastAsia" w:ascii="宋体" w:hAnsi="宋体" w:eastAsia="宋体"/>
                <w:sz w:val="24"/>
                <w:szCs w:val="24"/>
              </w:rPr>
              <w:t>固定资产</w:t>
            </w:r>
          </w:p>
          <w:p w14:paraId="013ED9E2">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773" w:type="pct"/>
            <w:gridSpan w:val="2"/>
            <w:vAlign w:val="center"/>
          </w:tcPr>
          <w:p w14:paraId="137DE65B">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14:paraId="03D0A1E1">
            <w:pPr>
              <w:tabs>
                <w:tab w:val="left" w:pos="-48"/>
                <w:tab w:val="left" w:pos="4320"/>
              </w:tabs>
              <w:ind w:hanging="48"/>
              <w:jc w:val="right"/>
              <w:rPr>
                <w:rFonts w:ascii="宋体" w:hAnsi="宋体" w:eastAsia="宋体"/>
                <w:sz w:val="24"/>
                <w:szCs w:val="24"/>
              </w:rPr>
            </w:pPr>
          </w:p>
          <w:p w14:paraId="688EF70F">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14:paraId="4A9A5D30">
            <w:pPr>
              <w:tabs>
                <w:tab w:val="left" w:pos="-48"/>
                <w:tab w:val="left" w:pos="4320"/>
              </w:tabs>
              <w:ind w:hanging="48"/>
              <w:jc w:val="right"/>
              <w:rPr>
                <w:rFonts w:ascii="宋体" w:hAnsi="宋体" w:eastAsia="宋体"/>
                <w:sz w:val="24"/>
                <w:szCs w:val="24"/>
              </w:rPr>
            </w:pPr>
          </w:p>
        </w:tc>
        <w:tc>
          <w:tcPr>
            <w:tcW w:w="309" w:type="pct"/>
            <w:vMerge w:val="continue"/>
            <w:vAlign w:val="center"/>
          </w:tcPr>
          <w:p w14:paraId="23F776D2">
            <w:pPr>
              <w:tabs>
                <w:tab w:val="left" w:pos="4320"/>
              </w:tabs>
              <w:rPr>
                <w:rFonts w:ascii="宋体" w:hAnsi="宋体" w:eastAsia="宋体"/>
                <w:sz w:val="24"/>
                <w:szCs w:val="24"/>
              </w:rPr>
            </w:pPr>
          </w:p>
        </w:tc>
        <w:tc>
          <w:tcPr>
            <w:tcW w:w="516" w:type="pct"/>
            <w:vMerge w:val="continue"/>
            <w:vAlign w:val="center"/>
          </w:tcPr>
          <w:p w14:paraId="7C923A2F">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14:paraId="25B1E3E9">
            <w:pPr>
              <w:tabs>
                <w:tab w:val="left" w:pos="4320"/>
              </w:tabs>
              <w:rPr>
                <w:rFonts w:ascii="宋体" w:hAnsi="宋体" w:eastAsia="宋体"/>
                <w:sz w:val="24"/>
                <w:szCs w:val="24"/>
              </w:rPr>
            </w:pPr>
            <w:r>
              <w:rPr>
                <w:rFonts w:hint="eastAsia" w:ascii="宋体" w:hAnsi="宋体" w:eastAsia="宋体"/>
                <w:sz w:val="24"/>
                <w:szCs w:val="24"/>
              </w:rPr>
              <w:t>2.</w:t>
            </w:r>
          </w:p>
        </w:tc>
      </w:tr>
      <w:tr w14:paraId="1BD45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14:paraId="336CAF7F">
            <w:pPr>
              <w:tabs>
                <w:tab w:val="left" w:pos="4320"/>
              </w:tabs>
              <w:ind w:left="266" w:hanging="266" w:hangingChars="111"/>
              <w:rPr>
                <w:rFonts w:ascii="宋体" w:hAnsi="宋体" w:eastAsia="宋体"/>
                <w:sz w:val="24"/>
                <w:szCs w:val="24"/>
              </w:rPr>
            </w:pPr>
          </w:p>
        </w:tc>
        <w:tc>
          <w:tcPr>
            <w:tcW w:w="696" w:type="pct"/>
            <w:gridSpan w:val="2"/>
            <w:vAlign w:val="center"/>
          </w:tcPr>
          <w:p w14:paraId="2B52A83A">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773" w:type="pct"/>
            <w:gridSpan w:val="2"/>
            <w:vAlign w:val="center"/>
          </w:tcPr>
          <w:p w14:paraId="1E591881">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309" w:type="pct"/>
            <w:vMerge w:val="continue"/>
            <w:vAlign w:val="center"/>
          </w:tcPr>
          <w:p w14:paraId="4593FD5E">
            <w:pPr>
              <w:tabs>
                <w:tab w:val="left" w:pos="4320"/>
              </w:tabs>
              <w:rPr>
                <w:rFonts w:ascii="宋体" w:hAnsi="宋体" w:eastAsia="宋体"/>
                <w:sz w:val="24"/>
                <w:szCs w:val="24"/>
              </w:rPr>
            </w:pPr>
          </w:p>
        </w:tc>
        <w:tc>
          <w:tcPr>
            <w:tcW w:w="516" w:type="pct"/>
            <w:vMerge w:val="continue"/>
            <w:vAlign w:val="center"/>
          </w:tcPr>
          <w:p w14:paraId="40CA1DC1">
            <w:pPr>
              <w:tabs>
                <w:tab w:val="left" w:pos="4320"/>
              </w:tabs>
              <w:jc w:val="center"/>
              <w:rPr>
                <w:rFonts w:ascii="宋体" w:hAnsi="宋体" w:eastAsia="宋体"/>
                <w:sz w:val="24"/>
                <w:szCs w:val="24"/>
              </w:rPr>
            </w:pPr>
          </w:p>
        </w:tc>
        <w:tc>
          <w:tcPr>
            <w:tcW w:w="2260" w:type="pct"/>
            <w:gridSpan w:val="3"/>
            <w:tcBorders>
              <w:right w:val="double" w:color="auto" w:sz="4" w:space="0"/>
            </w:tcBorders>
            <w:vAlign w:val="center"/>
          </w:tcPr>
          <w:p w14:paraId="3C762822">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14:paraId="63D6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14:paraId="657725B7">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14:paraId="197324C4">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14:paraId="7A249D15">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14:paraId="07DA2CFB">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896" w:type="pct"/>
            <w:gridSpan w:val="3"/>
            <w:vAlign w:val="center"/>
          </w:tcPr>
          <w:p w14:paraId="51D7B09E">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882" w:type="pct"/>
            <w:gridSpan w:val="2"/>
            <w:vAlign w:val="center"/>
          </w:tcPr>
          <w:p w14:paraId="11688188">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516" w:type="pct"/>
            <w:vAlign w:val="center"/>
          </w:tcPr>
          <w:p w14:paraId="09F60816">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2260" w:type="pct"/>
            <w:gridSpan w:val="3"/>
            <w:tcBorders>
              <w:right w:val="double" w:color="auto" w:sz="4" w:space="0"/>
            </w:tcBorders>
            <w:vAlign w:val="center"/>
          </w:tcPr>
          <w:p w14:paraId="28B96806">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14:paraId="6CB42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14:paraId="67A60E53">
            <w:pPr>
              <w:tabs>
                <w:tab w:val="left" w:pos="4320"/>
              </w:tabs>
              <w:rPr>
                <w:rFonts w:ascii="宋体" w:hAnsi="宋体" w:eastAsia="宋体"/>
                <w:sz w:val="24"/>
                <w:szCs w:val="24"/>
              </w:rPr>
            </w:pPr>
          </w:p>
        </w:tc>
        <w:tc>
          <w:tcPr>
            <w:tcW w:w="896" w:type="pct"/>
            <w:gridSpan w:val="3"/>
            <w:vAlign w:val="center"/>
          </w:tcPr>
          <w:p w14:paraId="3813998D">
            <w:pPr>
              <w:tabs>
                <w:tab w:val="left" w:pos="4320"/>
              </w:tabs>
              <w:rPr>
                <w:rFonts w:ascii="宋体" w:hAnsi="宋体" w:eastAsia="宋体"/>
                <w:sz w:val="24"/>
                <w:szCs w:val="24"/>
              </w:rPr>
            </w:pPr>
          </w:p>
        </w:tc>
        <w:tc>
          <w:tcPr>
            <w:tcW w:w="882" w:type="pct"/>
            <w:gridSpan w:val="2"/>
            <w:vAlign w:val="center"/>
          </w:tcPr>
          <w:p w14:paraId="579CBB6B">
            <w:pPr>
              <w:tabs>
                <w:tab w:val="left" w:pos="4320"/>
              </w:tabs>
              <w:rPr>
                <w:rFonts w:ascii="宋体" w:hAnsi="宋体" w:eastAsia="宋体"/>
                <w:sz w:val="24"/>
                <w:szCs w:val="24"/>
              </w:rPr>
            </w:pPr>
          </w:p>
        </w:tc>
        <w:tc>
          <w:tcPr>
            <w:tcW w:w="516" w:type="pct"/>
            <w:vAlign w:val="center"/>
          </w:tcPr>
          <w:p w14:paraId="77433496">
            <w:pPr>
              <w:tabs>
                <w:tab w:val="left" w:pos="4320"/>
              </w:tabs>
              <w:rPr>
                <w:rFonts w:ascii="宋体" w:hAnsi="宋体" w:eastAsia="宋体"/>
                <w:sz w:val="24"/>
                <w:szCs w:val="24"/>
              </w:rPr>
            </w:pPr>
          </w:p>
        </w:tc>
        <w:tc>
          <w:tcPr>
            <w:tcW w:w="2260" w:type="pct"/>
            <w:gridSpan w:val="3"/>
            <w:tcBorders>
              <w:right w:val="double" w:color="auto" w:sz="4" w:space="0"/>
            </w:tcBorders>
            <w:vAlign w:val="center"/>
          </w:tcPr>
          <w:p w14:paraId="3C598BD6">
            <w:pPr>
              <w:tabs>
                <w:tab w:val="left" w:pos="4320"/>
              </w:tabs>
              <w:rPr>
                <w:rFonts w:ascii="宋体" w:hAnsi="宋体" w:eastAsia="宋体"/>
                <w:sz w:val="24"/>
                <w:szCs w:val="24"/>
              </w:rPr>
            </w:pPr>
          </w:p>
        </w:tc>
      </w:tr>
      <w:tr w14:paraId="0E2F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14:paraId="7DD28609">
            <w:pPr>
              <w:tabs>
                <w:tab w:val="left" w:pos="4320"/>
              </w:tabs>
              <w:rPr>
                <w:rFonts w:ascii="宋体" w:hAnsi="宋体" w:eastAsia="宋体"/>
                <w:sz w:val="24"/>
                <w:szCs w:val="24"/>
              </w:rPr>
            </w:pPr>
          </w:p>
        </w:tc>
        <w:tc>
          <w:tcPr>
            <w:tcW w:w="896" w:type="pct"/>
            <w:gridSpan w:val="3"/>
            <w:vAlign w:val="center"/>
          </w:tcPr>
          <w:p w14:paraId="70247F73">
            <w:pPr>
              <w:tabs>
                <w:tab w:val="left" w:pos="4320"/>
              </w:tabs>
              <w:rPr>
                <w:rFonts w:ascii="宋体" w:hAnsi="宋体" w:eastAsia="宋体"/>
                <w:sz w:val="24"/>
                <w:szCs w:val="24"/>
              </w:rPr>
            </w:pPr>
          </w:p>
        </w:tc>
        <w:tc>
          <w:tcPr>
            <w:tcW w:w="882" w:type="pct"/>
            <w:gridSpan w:val="2"/>
            <w:vAlign w:val="center"/>
          </w:tcPr>
          <w:p w14:paraId="2AD2335F">
            <w:pPr>
              <w:tabs>
                <w:tab w:val="left" w:pos="4320"/>
              </w:tabs>
              <w:rPr>
                <w:rFonts w:ascii="宋体" w:hAnsi="宋体" w:eastAsia="宋体"/>
                <w:sz w:val="24"/>
                <w:szCs w:val="24"/>
              </w:rPr>
            </w:pPr>
          </w:p>
        </w:tc>
        <w:tc>
          <w:tcPr>
            <w:tcW w:w="516" w:type="pct"/>
            <w:vAlign w:val="center"/>
          </w:tcPr>
          <w:p w14:paraId="7BC507EB">
            <w:pPr>
              <w:tabs>
                <w:tab w:val="left" w:pos="4320"/>
              </w:tabs>
              <w:rPr>
                <w:rFonts w:ascii="宋体" w:hAnsi="宋体" w:eastAsia="宋体"/>
                <w:sz w:val="24"/>
                <w:szCs w:val="24"/>
              </w:rPr>
            </w:pPr>
          </w:p>
        </w:tc>
        <w:tc>
          <w:tcPr>
            <w:tcW w:w="2260" w:type="pct"/>
            <w:gridSpan w:val="3"/>
            <w:tcBorders>
              <w:right w:val="double" w:color="auto" w:sz="4" w:space="0"/>
            </w:tcBorders>
            <w:vAlign w:val="center"/>
          </w:tcPr>
          <w:p w14:paraId="73FDF077">
            <w:pPr>
              <w:tabs>
                <w:tab w:val="left" w:pos="4320"/>
              </w:tabs>
              <w:rPr>
                <w:rFonts w:ascii="宋体" w:hAnsi="宋体" w:eastAsia="宋体"/>
                <w:sz w:val="24"/>
                <w:szCs w:val="24"/>
              </w:rPr>
            </w:pPr>
          </w:p>
        </w:tc>
      </w:tr>
      <w:tr w14:paraId="1DE0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14:paraId="38BA333F">
            <w:pPr>
              <w:tabs>
                <w:tab w:val="left" w:pos="4320"/>
              </w:tabs>
              <w:rPr>
                <w:rFonts w:ascii="宋体" w:hAnsi="宋体" w:eastAsia="宋体"/>
                <w:sz w:val="24"/>
                <w:szCs w:val="24"/>
              </w:rPr>
            </w:pPr>
          </w:p>
        </w:tc>
        <w:tc>
          <w:tcPr>
            <w:tcW w:w="896" w:type="pct"/>
            <w:gridSpan w:val="3"/>
            <w:vAlign w:val="center"/>
          </w:tcPr>
          <w:p w14:paraId="2FF291ED">
            <w:pPr>
              <w:tabs>
                <w:tab w:val="left" w:pos="4320"/>
              </w:tabs>
              <w:rPr>
                <w:rFonts w:ascii="宋体" w:hAnsi="宋体" w:eastAsia="宋体"/>
                <w:sz w:val="24"/>
                <w:szCs w:val="24"/>
              </w:rPr>
            </w:pPr>
          </w:p>
        </w:tc>
        <w:tc>
          <w:tcPr>
            <w:tcW w:w="882" w:type="pct"/>
            <w:gridSpan w:val="2"/>
            <w:vAlign w:val="center"/>
          </w:tcPr>
          <w:p w14:paraId="12197955">
            <w:pPr>
              <w:tabs>
                <w:tab w:val="left" w:pos="4320"/>
              </w:tabs>
              <w:rPr>
                <w:rFonts w:ascii="宋体" w:hAnsi="宋体" w:eastAsia="宋体"/>
                <w:sz w:val="24"/>
                <w:szCs w:val="24"/>
              </w:rPr>
            </w:pPr>
          </w:p>
        </w:tc>
        <w:tc>
          <w:tcPr>
            <w:tcW w:w="516" w:type="pct"/>
            <w:vAlign w:val="center"/>
          </w:tcPr>
          <w:p w14:paraId="063C9EFA">
            <w:pPr>
              <w:tabs>
                <w:tab w:val="left" w:pos="4320"/>
              </w:tabs>
              <w:rPr>
                <w:rFonts w:ascii="宋体" w:hAnsi="宋体" w:eastAsia="宋体"/>
                <w:sz w:val="24"/>
                <w:szCs w:val="24"/>
              </w:rPr>
            </w:pPr>
          </w:p>
        </w:tc>
        <w:tc>
          <w:tcPr>
            <w:tcW w:w="2260" w:type="pct"/>
            <w:gridSpan w:val="3"/>
            <w:tcBorders>
              <w:right w:val="double" w:color="auto" w:sz="4" w:space="0"/>
            </w:tcBorders>
            <w:vAlign w:val="center"/>
          </w:tcPr>
          <w:p w14:paraId="41FF6B60">
            <w:pPr>
              <w:tabs>
                <w:tab w:val="left" w:pos="4320"/>
              </w:tabs>
              <w:rPr>
                <w:rFonts w:ascii="宋体" w:hAnsi="宋体" w:eastAsia="宋体"/>
                <w:sz w:val="24"/>
                <w:szCs w:val="24"/>
              </w:rPr>
            </w:pPr>
          </w:p>
        </w:tc>
      </w:tr>
      <w:tr w14:paraId="33A5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14:paraId="40B67C9B">
            <w:pPr>
              <w:tabs>
                <w:tab w:val="left" w:pos="4320"/>
              </w:tabs>
              <w:rPr>
                <w:rFonts w:ascii="宋体" w:hAnsi="宋体" w:eastAsia="宋体"/>
                <w:sz w:val="24"/>
                <w:szCs w:val="24"/>
              </w:rPr>
            </w:pPr>
          </w:p>
        </w:tc>
        <w:tc>
          <w:tcPr>
            <w:tcW w:w="896" w:type="pct"/>
            <w:gridSpan w:val="3"/>
            <w:vAlign w:val="center"/>
          </w:tcPr>
          <w:p w14:paraId="6BBBC0B7">
            <w:pPr>
              <w:tabs>
                <w:tab w:val="left" w:pos="4320"/>
              </w:tabs>
              <w:rPr>
                <w:rFonts w:ascii="宋体" w:hAnsi="宋体" w:eastAsia="宋体"/>
                <w:sz w:val="24"/>
                <w:szCs w:val="24"/>
              </w:rPr>
            </w:pPr>
          </w:p>
        </w:tc>
        <w:tc>
          <w:tcPr>
            <w:tcW w:w="882" w:type="pct"/>
            <w:gridSpan w:val="2"/>
            <w:vAlign w:val="center"/>
          </w:tcPr>
          <w:p w14:paraId="6A02084A">
            <w:pPr>
              <w:tabs>
                <w:tab w:val="left" w:pos="4320"/>
              </w:tabs>
              <w:rPr>
                <w:rFonts w:ascii="宋体" w:hAnsi="宋体" w:eastAsia="宋体"/>
                <w:sz w:val="24"/>
                <w:szCs w:val="24"/>
              </w:rPr>
            </w:pPr>
          </w:p>
        </w:tc>
        <w:tc>
          <w:tcPr>
            <w:tcW w:w="516" w:type="pct"/>
            <w:vAlign w:val="center"/>
          </w:tcPr>
          <w:p w14:paraId="6A6FC4C4">
            <w:pPr>
              <w:tabs>
                <w:tab w:val="left" w:pos="4320"/>
              </w:tabs>
              <w:rPr>
                <w:rFonts w:ascii="宋体" w:hAnsi="宋体" w:eastAsia="宋体"/>
                <w:sz w:val="24"/>
                <w:szCs w:val="24"/>
              </w:rPr>
            </w:pPr>
          </w:p>
        </w:tc>
        <w:tc>
          <w:tcPr>
            <w:tcW w:w="2260" w:type="pct"/>
            <w:gridSpan w:val="3"/>
            <w:tcBorders>
              <w:right w:val="double" w:color="auto" w:sz="4" w:space="0"/>
            </w:tcBorders>
            <w:vAlign w:val="center"/>
          </w:tcPr>
          <w:p w14:paraId="5EBB0721">
            <w:pPr>
              <w:tabs>
                <w:tab w:val="left" w:pos="4320"/>
              </w:tabs>
              <w:rPr>
                <w:rFonts w:ascii="宋体" w:hAnsi="宋体" w:eastAsia="宋体"/>
                <w:sz w:val="24"/>
                <w:szCs w:val="24"/>
              </w:rPr>
            </w:pPr>
          </w:p>
        </w:tc>
      </w:tr>
      <w:tr w14:paraId="4E48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14:paraId="57222D2F">
            <w:pPr>
              <w:tabs>
                <w:tab w:val="left" w:pos="4320"/>
              </w:tabs>
              <w:rPr>
                <w:rFonts w:ascii="宋体" w:hAnsi="宋体" w:eastAsia="宋体"/>
                <w:sz w:val="24"/>
                <w:szCs w:val="24"/>
              </w:rPr>
            </w:pPr>
            <w:r>
              <w:rPr>
                <w:rFonts w:hint="eastAsia" w:ascii="宋体" w:hAnsi="宋体" w:eastAsia="宋体"/>
                <w:sz w:val="24"/>
                <w:szCs w:val="24"/>
              </w:rPr>
              <w:t>其它</w:t>
            </w:r>
          </w:p>
        </w:tc>
        <w:tc>
          <w:tcPr>
            <w:tcW w:w="2295" w:type="pct"/>
            <w:gridSpan w:val="6"/>
            <w:vAlign w:val="center"/>
          </w:tcPr>
          <w:p w14:paraId="6C997EA6">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医院或采购代理机构发现，或被它人举证成立，其投标资格将被取消）。</w:t>
            </w:r>
          </w:p>
        </w:tc>
        <w:tc>
          <w:tcPr>
            <w:tcW w:w="2260" w:type="pct"/>
            <w:gridSpan w:val="3"/>
            <w:tcBorders>
              <w:right w:val="double" w:color="auto" w:sz="4" w:space="0"/>
            </w:tcBorders>
            <w:vAlign w:val="center"/>
          </w:tcPr>
          <w:p w14:paraId="201EE9EE">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14:paraId="2D26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446" w:type="pct"/>
            <w:vMerge w:val="continue"/>
            <w:tcBorders>
              <w:left w:val="double" w:color="auto" w:sz="4" w:space="0"/>
              <w:bottom w:val="double" w:color="auto" w:sz="4" w:space="0"/>
            </w:tcBorders>
            <w:vAlign w:val="center"/>
          </w:tcPr>
          <w:p w14:paraId="50D4C142">
            <w:pPr>
              <w:tabs>
                <w:tab w:val="left" w:pos="4320"/>
              </w:tabs>
              <w:rPr>
                <w:rFonts w:ascii="宋体" w:hAnsi="宋体" w:eastAsia="宋体"/>
                <w:sz w:val="24"/>
                <w:szCs w:val="24"/>
              </w:rPr>
            </w:pPr>
          </w:p>
        </w:tc>
        <w:tc>
          <w:tcPr>
            <w:tcW w:w="2295" w:type="pct"/>
            <w:gridSpan w:val="6"/>
            <w:tcBorders>
              <w:bottom w:val="double" w:color="auto" w:sz="4" w:space="0"/>
            </w:tcBorders>
            <w:vAlign w:val="center"/>
          </w:tcPr>
          <w:p w14:paraId="5DF09543">
            <w:pPr>
              <w:tabs>
                <w:tab w:val="left" w:pos="4320"/>
              </w:tabs>
              <w:rPr>
                <w:rFonts w:ascii="宋体" w:hAnsi="宋体" w:eastAsia="宋体"/>
                <w:sz w:val="24"/>
                <w:szCs w:val="24"/>
              </w:rPr>
            </w:pPr>
          </w:p>
        </w:tc>
        <w:tc>
          <w:tcPr>
            <w:tcW w:w="2260" w:type="pct"/>
            <w:gridSpan w:val="3"/>
            <w:tcBorders>
              <w:bottom w:val="double" w:color="auto" w:sz="4" w:space="0"/>
              <w:right w:val="double" w:color="auto" w:sz="4" w:space="0"/>
            </w:tcBorders>
            <w:vAlign w:val="center"/>
          </w:tcPr>
          <w:p w14:paraId="1A9045CA">
            <w:pPr>
              <w:tabs>
                <w:tab w:val="left" w:pos="4320"/>
              </w:tabs>
              <w:rPr>
                <w:rFonts w:ascii="宋体" w:hAnsi="宋体" w:eastAsia="宋体"/>
                <w:sz w:val="24"/>
                <w:szCs w:val="24"/>
              </w:rPr>
            </w:pPr>
          </w:p>
        </w:tc>
      </w:tr>
    </w:tbl>
    <w:p w14:paraId="799435E7">
      <w:pPr>
        <w:pStyle w:val="2"/>
        <w:ind w:left="520" w:firstLine="520"/>
      </w:pPr>
    </w:p>
    <w:p w14:paraId="1C7A4024">
      <w:pPr>
        <w:rPr>
          <w:rFonts w:ascii="宋体" w:hAnsi="宋体" w:eastAsia="宋体" w:cs="宋体"/>
          <w:b/>
          <w:bCs/>
          <w:sz w:val="28"/>
          <w:szCs w:val="28"/>
        </w:rPr>
      </w:pPr>
      <w:r>
        <w:rPr>
          <w:rFonts w:ascii="宋体" w:hAnsi="宋体" w:eastAsia="宋体" w:cs="宋体"/>
          <w:szCs w:val="24"/>
        </w:rPr>
        <w:br w:type="page"/>
      </w:r>
    </w:p>
    <w:p w14:paraId="662D0A97">
      <w:pPr>
        <w:pStyle w:val="10"/>
        <w:overflowPunct w:val="0"/>
        <w:spacing w:line="520" w:lineRule="exact"/>
        <w:ind w:right="560" w:firstLine="0"/>
        <w:jc w:val="center"/>
        <w:rPr>
          <w:rFonts w:ascii="宋体" w:hAnsi="宋体" w:eastAsia="宋体" w:cs="宋体"/>
          <w:szCs w:val="24"/>
        </w:rPr>
      </w:pPr>
      <w:r>
        <w:rPr>
          <w:rFonts w:hint="eastAsia" w:ascii="宋体" w:hAnsi="宋体" w:eastAsia="宋体" w:cs="宋体"/>
          <w:b/>
          <w:bCs/>
          <w:sz w:val="28"/>
          <w:szCs w:val="28"/>
        </w:rPr>
        <w:t>需提供的其他资格审查响应文件</w:t>
      </w:r>
    </w:p>
    <w:p w14:paraId="44EEFF20">
      <w:pPr>
        <w:snapToGrid w:val="0"/>
        <w:spacing w:line="520" w:lineRule="exact"/>
        <w:outlineLvl w:val="2"/>
        <w:rPr>
          <w:rFonts w:ascii="宋体" w:hAnsi="宋体" w:eastAsia="宋体" w:cs="宋体"/>
          <w:b/>
          <w:bCs/>
          <w:sz w:val="28"/>
          <w:szCs w:val="28"/>
        </w:rPr>
      </w:pPr>
      <w:r>
        <w:rPr>
          <w:rFonts w:hint="eastAsia" w:ascii="宋体" w:hAnsi="宋体" w:eastAsia="宋体" w:cs="宋体"/>
          <w:b/>
          <w:bCs/>
          <w:sz w:val="28"/>
          <w:szCs w:val="28"/>
        </w:rPr>
        <w:br w:type="page"/>
      </w:r>
      <w:r>
        <w:rPr>
          <w:rFonts w:hint="eastAsia" w:ascii="宋体" w:hAnsi="宋体" w:eastAsia="宋体" w:cs="宋体"/>
          <w:b/>
          <w:bCs/>
          <w:sz w:val="28"/>
          <w:szCs w:val="28"/>
        </w:rPr>
        <w:t>二、技术标（单独密封）</w:t>
      </w:r>
    </w:p>
    <w:p w14:paraId="458BD416">
      <w:pPr>
        <w:spacing w:afterLines="100"/>
        <w:jc w:val="center"/>
        <w:rPr>
          <w:rFonts w:ascii="宋体" w:hAnsi="宋体" w:eastAsia="宋体" w:cs="宋体"/>
          <w:b/>
          <w:bCs/>
          <w:sz w:val="28"/>
          <w:szCs w:val="28"/>
        </w:rPr>
      </w:pPr>
    </w:p>
    <w:p w14:paraId="3B276FE1">
      <w:pPr>
        <w:spacing w:afterLines="100"/>
        <w:jc w:val="center"/>
        <w:rPr>
          <w:rFonts w:ascii="宋体" w:hAnsi="宋体" w:eastAsia="宋体" w:cs="宋体"/>
          <w:b/>
          <w:bCs/>
          <w:sz w:val="28"/>
          <w:szCs w:val="28"/>
        </w:rPr>
      </w:pPr>
      <w:r>
        <w:rPr>
          <w:rFonts w:hint="eastAsia" w:ascii="宋体" w:hAnsi="宋体" w:eastAsia="宋体" w:cs="宋体"/>
          <w:b/>
          <w:bCs/>
          <w:sz w:val="28"/>
          <w:szCs w:val="28"/>
        </w:rPr>
        <w:t>技术标评标办法中要求提供的全部材料</w:t>
      </w:r>
    </w:p>
    <w:p w14:paraId="33031BE8">
      <w:pPr>
        <w:spacing w:afterLines="100"/>
        <w:jc w:val="center"/>
        <w:rPr>
          <w:rFonts w:ascii="宋体" w:hAnsi="宋体" w:eastAsia="宋体" w:cs="宋体"/>
          <w:b/>
          <w:bCs/>
          <w:sz w:val="28"/>
          <w:szCs w:val="28"/>
        </w:rPr>
      </w:pPr>
      <w:r>
        <w:rPr>
          <w:rFonts w:hint="eastAsia" w:ascii="宋体" w:hAnsi="宋体" w:eastAsia="宋体" w:cs="宋体"/>
          <w:b/>
          <w:bCs/>
          <w:sz w:val="28"/>
          <w:szCs w:val="28"/>
        </w:rPr>
        <w:t>投标人认为需要提交的其他材料</w:t>
      </w:r>
    </w:p>
    <w:p w14:paraId="5D01E5D9">
      <w:pPr>
        <w:jc w:val="center"/>
        <w:rPr>
          <w:rFonts w:ascii="宋体" w:hAnsi="宋体" w:eastAsia="宋体" w:cs="宋体"/>
          <w:sz w:val="24"/>
          <w:szCs w:val="24"/>
        </w:rPr>
      </w:pPr>
      <w:r>
        <w:rPr>
          <w:rFonts w:hint="eastAsia" w:ascii="宋体" w:hAnsi="宋体" w:eastAsia="宋体" w:cs="宋体"/>
          <w:sz w:val="24"/>
          <w:szCs w:val="24"/>
        </w:rPr>
        <w:t>注：为方便评委评审，请投标人按评分标准中所涉及的事项顺序进行编制。</w:t>
      </w:r>
    </w:p>
    <w:p w14:paraId="7AA3E79B">
      <w:pPr>
        <w:jc w:val="center"/>
        <w:rPr>
          <w:rFonts w:ascii="宋体" w:hAnsi="宋体" w:eastAsia="宋体" w:cs="宋体"/>
          <w:b/>
          <w:bCs/>
          <w:sz w:val="28"/>
          <w:szCs w:val="28"/>
        </w:rPr>
      </w:pPr>
    </w:p>
    <w:p w14:paraId="4CD89DA5">
      <w:pPr>
        <w:rPr>
          <w:rFonts w:ascii="宋体" w:hAnsi="宋体" w:eastAsia="宋体" w:cs="宋体"/>
          <w:b/>
          <w:bCs/>
          <w:sz w:val="28"/>
          <w:szCs w:val="28"/>
        </w:rPr>
      </w:pPr>
      <w:r>
        <w:rPr>
          <w:rFonts w:hint="eastAsia" w:ascii="宋体" w:hAnsi="宋体" w:eastAsia="宋体" w:cs="宋体"/>
          <w:b/>
          <w:bCs/>
          <w:sz w:val="28"/>
          <w:szCs w:val="28"/>
        </w:rPr>
        <w:br w:type="page"/>
      </w:r>
    </w:p>
    <w:p w14:paraId="759897A5">
      <w:pPr>
        <w:snapToGrid w:val="0"/>
        <w:spacing w:line="520" w:lineRule="exact"/>
        <w:outlineLvl w:val="2"/>
        <w:rPr>
          <w:rFonts w:ascii="宋体" w:hAnsi="宋体" w:eastAsia="宋体" w:cs="宋体"/>
          <w:b/>
          <w:bCs/>
          <w:sz w:val="28"/>
          <w:szCs w:val="28"/>
        </w:rPr>
      </w:pPr>
      <w:r>
        <w:rPr>
          <w:rFonts w:hint="eastAsia" w:ascii="宋体" w:hAnsi="宋体" w:eastAsia="宋体" w:cs="宋体"/>
          <w:b/>
          <w:bCs/>
          <w:sz w:val="28"/>
          <w:szCs w:val="28"/>
        </w:rPr>
        <w:t>三、价格标（单独密封）</w:t>
      </w:r>
    </w:p>
    <w:p w14:paraId="23175C5F">
      <w:pPr>
        <w:snapToGrid w:val="0"/>
        <w:spacing w:beforeLines="100" w:afterLines="50" w:line="520" w:lineRule="exact"/>
        <w:jc w:val="center"/>
        <w:outlineLvl w:val="3"/>
        <w:rPr>
          <w:rFonts w:ascii="宋体" w:hAnsi="宋体" w:eastAsia="宋体" w:cs="宋体"/>
          <w:b/>
          <w:bCs/>
          <w:sz w:val="28"/>
          <w:szCs w:val="28"/>
        </w:rPr>
      </w:pPr>
      <w:r>
        <w:rPr>
          <w:rFonts w:hint="eastAsia" w:ascii="宋体" w:hAnsi="宋体" w:eastAsia="宋体" w:cs="宋体"/>
          <w:b/>
          <w:bCs/>
          <w:sz w:val="28"/>
          <w:szCs w:val="28"/>
        </w:rPr>
        <w:t>1、投标响应函（</w:t>
      </w:r>
      <w:r>
        <w:rPr>
          <w:rFonts w:hint="eastAsia" w:ascii="宋体" w:hAnsi="宋体" w:eastAsia="宋体" w:cs="宋体"/>
          <w:b/>
          <w:bCs/>
          <w:sz w:val="28"/>
          <w:szCs w:val="28"/>
          <w:u w:val="single"/>
        </w:rPr>
        <w:t>格式不得变动</w:t>
      </w:r>
      <w:r>
        <w:rPr>
          <w:rFonts w:hint="eastAsia" w:ascii="宋体" w:hAnsi="宋体" w:eastAsia="宋体" w:cs="宋体"/>
          <w:b/>
          <w:bCs/>
          <w:sz w:val="28"/>
          <w:szCs w:val="28"/>
        </w:rPr>
        <w:t>）</w:t>
      </w:r>
    </w:p>
    <w:p w14:paraId="336976C0">
      <w:pPr>
        <w:pStyle w:val="10"/>
        <w:overflowPunct w:val="0"/>
        <w:spacing w:line="440" w:lineRule="exact"/>
        <w:ind w:firstLine="0"/>
        <w:rPr>
          <w:rFonts w:ascii="宋体" w:hAnsi="宋体" w:eastAsia="宋体" w:cs="宋体"/>
          <w:szCs w:val="24"/>
        </w:rPr>
      </w:pPr>
      <w:r>
        <w:rPr>
          <w:rFonts w:hint="eastAsia" w:ascii="宋体" w:hAnsi="宋体" w:eastAsia="宋体" w:cs="宋体"/>
          <w:szCs w:val="24"/>
          <w:u w:val="single"/>
        </w:rPr>
        <w:t xml:space="preserve"> 南通市妇幼保健院 </w:t>
      </w:r>
      <w:r>
        <w:rPr>
          <w:rFonts w:hint="eastAsia" w:ascii="宋体" w:hAnsi="宋体" w:eastAsia="宋体" w:cs="宋体"/>
          <w:szCs w:val="24"/>
        </w:rPr>
        <w:t>：</w:t>
      </w:r>
    </w:p>
    <w:p w14:paraId="42F29498">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依据贵单位（采购项目名称)项目公开采购采购的邀请，我方授权（姓名）（职务）为全权代表参加该项目的投标工作，全权处理本次投标的有关事宜。同时，我公司声明如下：</w:t>
      </w:r>
    </w:p>
    <w:p w14:paraId="27A04A83">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1、我方愿意按照采购文件的一切要求，提供完成该项目的全部内容，我方的投标报价包含完成本次项目所发生的全部费用以及企业利润、税金和政策性文件规定及合同包含的所有风险、责任等各项应有费用。</w:t>
      </w:r>
    </w:p>
    <w:p w14:paraId="0F55902B">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2、我方已经详细审查了全部采购文件，我方已完全清晰理解采购文件的要求，不存在任何含糊不清和误解之处，同意放弃对这些文件所提出的异议和质疑的权利。</w:t>
      </w:r>
    </w:p>
    <w:p w14:paraId="2138C483">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3、我方愿意提供医院在采购文件中要求的所有资料。</w:t>
      </w:r>
    </w:p>
    <w:p w14:paraId="0D44243D">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4、我方承诺在本次采购响应中提供的一切文件，无论是原件还是复印件均真实有效，绝无任何虚假、伪造和夸大的成份。否则，愿承担相应的后果和法律责任。</w:t>
      </w:r>
    </w:p>
    <w:p w14:paraId="6FBFE496">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5、我方尊重评标小组所作的评定结果，同时也清楚理解到投标报价最低并非意味着必定获得中标资格。</w:t>
      </w:r>
    </w:p>
    <w:p w14:paraId="137DB10C">
      <w:pPr>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6、我方愿意按采购文件的规定交纳投标保证金，并同意采购文件中关于没收投标保证金的规定。</w:t>
      </w:r>
    </w:p>
    <w:p w14:paraId="5267FDD4">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7、一旦我方成交，我方将根据采购文件的规定，严格履行采购文件中规定的每一项要求，按期、按质、按量履行合同的义务。</w:t>
      </w:r>
    </w:p>
    <w:p w14:paraId="73DE5908">
      <w:pPr>
        <w:snapToGrid w:val="0"/>
        <w:spacing w:line="440" w:lineRule="exact"/>
        <w:ind w:firstLine="480" w:firstLineChars="200"/>
        <w:rPr>
          <w:rFonts w:ascii="宋体" w:hAnsi="宋体" w:eastAsia="宋体" w:cs="宋体"/>
          <w:sz w:val="24"/>
          <w:szCs w:val="24"/>
        </w:rPr>
      </w:pPr>
    </w:p>
    <w:p w14:paraId="78737FDF">
      <w:pPr>
        <w:snapToGrid w:val="0"/>
        <w:spacing w:line="440" w:lineRule="exact"/>
        <w:ind w:firstLine="480" w:firstLineChars="200"/>
        <w:rPr>
          <w:rFonts w:ascii="宋体" w:hAnsi="宋体" w:eastAsia="宋体" w:cs="宋体"/>
          <w:sz w:val="24"/>
          <w:szCs w:val="24"/>
        </w:rPr>
      </w:pPr>
    </w:p>
    <w:p w14:paraId="74BFE7B5">
      <w:pPr>
        <w:snapToGrid w:val="0"/>
        <w:spacing w:line="440" w:lineRule="exact"/>
        <w:rPr>
          <w:rFonts w:ascii="宋体" w:hAnsi="宋体" w:eastAsia="宋体" w:cs="宋体"/>
          <w:sz w:val="24"/>
          <w:szCs w:val="24"/>
        </w:rPr>
      </w:pPr>
      <w:r>
        <w:rPr>
          <w:rFonts w:hint="eastAsia" w:ascii="宋体" w:hAnsi="宋体" w:eastAsia="宋体" w:cs="宋体"/>
          <w:sz w:val="24"/>
          <w:szCs w:val="24"/>
        </w:rPr>
        <w:t>投标人：（加盖公章）</w:t>
      </w:r>
    </w:p>
    <w:p w14:paraId="3A65C969">
      <w:pPr>
        <w:snapToGrid w:val="0"/>
        <w:spacing w:line="440" w:lineRule="exact"/>
        <w:jc w:val="left"/>
        <w:rPr>
          <w:rFonts w:ascii="宋体" w:hAnsi="宋体" w:eastAsia="宋体" w:cs="宋体"/>
          <w:sz w:val="24"/>
          <w:szCs w:val="24"/>
        </w:rPr>
      </w:pPr>
      <w:r>
        <w:rPr>
          <w:rFonts w:hint="eastAsia" w:ascii="宋体" w:hAnsi="宋体" w:eastAsia="宋体" w:cs="宋体"/>
          <w:sz w:val="24"/>
          <w:szCs w:val="24"/>
        </w:rPr>
        <w:t>法定代表人或被授权人：（签字或盖章）</w:t>
      </w:r>
    </w:p>
    <w:p w14:paraId="7C5AA922">
      <w:pPr>
        <w:pStyle w:val="2"/>
        <w:ind w:left="0" w:leftChars="0" w:firstLine="0" w:firstLineChars="0"/>
      </w:pPr>
      <w:r>
        <w:rPr>
          <w:rFonts w:hint="eastAsia" w:ascii="宋体" w:hAnsi="宋体" w:eastAsia="宋体" w:cs="宋体"/>
          <w:sz w:val="24"/>
          <w:szCs w:val="24"/>
        </w:rPr>
        <w:t>日期：</w:t>
      </w:r>
    </w:p>
    <w:p w14:paraId="2580D595">
      <w:pPr>
        <w:pStyle w:val="2"/>
        <w:ind w:left="0" w:leftChars="0" w:firstLine="0" w:firstLineChars="0"/>
      </w:pPr>
    </w:p>
    <w:p w14:paraId="326E72F5">
      <w:pPr>
        <w:rPr>
          <w:rFonts w:ascii="宋体" w:hAnsi="宋体" w:eastAsia="宋体" w:cs="宋体"/>
          <w:b/>
          <w:bCs/>
          <w:sz w:val="24"/>
          <w:szCs w:val="24"/>
        </w:rPr>
      </w:pPr>
    </w:p>
    <w:p w14:paraId="0D48676A">
      <w:pPr>
        <w:rPr>
          <w:rFonts w:ascii="宋体" w:hAnsi="宋体" w:eastAsia="宋体" w:cs="宋体"/>
          <w:b/>
          <w:bCs/>
          <w:sz w:val="28"/>
          <w:szCs w:val="28"/>
        </w:rPr>
      </w:pPr>
      <w:r>
        <w:rPr>
          <w:rFonts w:hint="eastAsia" w:ascii="宋体" w:hAnsi="宋体" w:eastAsia="宋体" w:cs="宋体"/>
          <w:b/>
          <w:bCs/>
          <w:sz w:val="28"/>
          <w:szCs w:val="28"/>
        </w:rPr>
        <w:br w:type="page"/>
      </w:r>
    </w:p>
    <w:p w14:paraId="600A8DEE">
      <w:pPr>
        <w:snapToGrid w:val="0"/>
        <w:spacing w:line="520" w:lineRule="exact"/>
        <w:jc w:val="center"/>
        <w:rPr>
          <w:rFonts w:ascii="宋体" w:hAnsi="宋体" w:eastAsia="宋体" w:cs="宋体"/>
          <w:b/>
          <w:bCs/>
          <w:sz w:val="24"/>
          <w:szCs w:val="24"/>
        </w:rPr>
      </w:pPr>
      <w:r>
        <w:rPr>
          <w:rFonts w:hint="eastAsia" w:ascii="宋体" w:hAnsi="宋体" w:eastAsia="宋体" w:cs="宋体"/>
          <w:b/>
          <w:bCs/>
          <w:sz w:val="28"/>
          <w:szCs w:val="28"/>
        </w:rPr>
        <w:t>2、投标响应报价一览表</w:t>
      </w:r>
    </w:p>
    <w:p w14:paraId="65A23E1D">
      <w:pPr>
        <w:pStyle w:val="2"/>
        <w:ind w:left="0" w:leftChars="0" w:firstLine="0" w:firstLineChars="0"/>
      </w:pPr>
    </w:p>
    <w:tbl>
      <w:tblPr>
        <w:tblStyle w:val="2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843"/>
      </w:tblGrid>
      <w:tr w14:paraId="5837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14:paraId="7D471672">
            <w:pPr>
              <w:spacing w:line="480" w:lineRule="exact"/>
              <w:jc w:val="center"/>
              <w:rPr>
                <w:rFonts w:ascii="宋体" w:hAnsi="宋体" w:eastAsia="宋体" w:cs="宋体"/>
                <w:sz w:val="24"/>
                <w:szCs w:val="24"/>
                <w:highlight w:val="yellow"/>
              </w:rPr>
            </w:pPr>
            <w:r>
              <w:rPr>
                <w:rFonts w:hint="eastAsia" w:ascii="宋体" w:hAnsi="宋体" w:eastAsia="宋体" w:cs="宋体"/>
                <w:sz w:val="24"/>
                <w:szCs w:val="24"/>
                <w:highlight w:val="yellow"/>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14:paraId="37197794">
            <w:pPr>
              <w:spacing w:line="480" w:lineRule="exact"/>
              <w:jc w:val="center"/>
              <w:rPr>
                <w:rFonts w:ascii="宋体" w:hAnsi="宋体" w:eastAsia="宋体" w:cs="宋体"/>
                <w:sz w:val="24"/>
                <w:szCs w:val="24"/>
                <w:highlight w:val="yellow"/>
              </w:rPr>
            </w:pPr>
            <w:r>
              <w:rPr>
                <w:rFonts w:hint="eastAsia" w:ascii="宋体" w:hAnsi="宋体" w:eastAsia="宋体" w:cs="宋体"/>
                <w:sz w:val="24"/>
                <w:szCs w:val="24"/>
                <w:highlight w:val="yellow"/>
              </w:rPr>
              <w:t>南通市妇幼保健院消防维修保养项目</w:t>
            </w:r>
          </w:p>
        </w:tc>
      </w:tr>
      <w:tr w14:paraId="3047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14:paraId="39BF04F7">
            <w:pPr>
              <w:spacing w:line="360" w:lineRule="exact"/>
              <w:jc w:val="center"/>
              <w:rPr>
                <w:rFonts w:ascii="宋体" w:hAnsi="宋体" w:eastAsia="宋体" w:cs="宋体"/>
                <w:sz w:val="24"/>
                <w:szCs w:val="24"/>
                <w:highlight w:val="yellow"/>
              </w:rPr>
            </w:pPr>
            <w:r>
              <w:rPr>
                <w:rFonts w:hint="eastAsia" w:ascii="宋体" w:hAnsi="宋体" w:eastAsia="宋体" w:cs="宋体"/>
                <w:sz w:val="24"/>
                <w:szCs w:val="24"/>
                <w:highlight w:val="yellow"/>
              </w:rPr>
              <w:t>投标报价（每年）</w:t>
            </w:r>
          </w:p>
        </w:tc>
        <w:tc>
          <w:tcPr>
            <w:tcW w:w="6843" w:type="dxa"/>
            <w:tcBorders>
              <w:top w:val="single" w:color="auto" w:sz="4" w:space="0"/>
              <w:left w:val="single" w:color="auto" w:sz="4" w:space="0"/>
              <w:bottom w:val="single" w:color="auto" w:sz="4" w:space="0"/>
              <w:right w:val="single" w:color="auto" w:sz="4" w:space="0"/>
            </w:tcBorders>
            <w:vAlign w:val="center"/>
          </w:tcPr>
          <w:p w14:paraId="69930DE5">
            <w:pPr>
              <w:spacing w:line="480" w:lineRule="exact"/>
              <w:rPr>
                <w:rFonts w:ascii="宋体" w:hAnsi="宋体" w:eastAsia="宋体" w:cs="宋体"/>
                <w:sz w:val="24"/>
                <w:szCs w:val="24"/>
                <w:highlight w:val="yellow"/>
              </w:rPr>
            </w:pPr>
            <w:r>
              <w:rPr>
                <w:rFonts w:hint="eastAsia" w:ascii="宋体" w:hAnsi="宋体" w:eastAsia="宋体" w:cs="宋体"/>
                <w:sz w:val="24"/>
                <w:szCs w:val="24"/>
                <w:highlight w:val="yellow"/>
              </w:rPr>
              <w:t>大写：人民币，(小写：￥)。</w:t>
            </w:r>
          </w:p>
        </w:tc>
      </w:tr>
    </w:tbl>
    <w:p w14:paraId="6654B5E8">
      <w:pPr>
        <w:kinsoku w:val="0"/>
        <w:topLinePunct/>
        <w:snapToGrid w:val="0"/>
        <w:spacing w:line="520" w:lineRule="exact"/>
        <w:rPr>
          <w:rFonts w:ascii="宋体" w:hAnsi="宋体" w:eastAsia="宋体" w:cs="宋体"/>
          <w:sz w:val="24"/>
          <w:szCs w:val="24"/>
        </w:rPr>
      </w:pPr>
    </w:p>
    <w:p w14:paraId="0CAA5B8C">
      <w:pPr>
        <w:pStyle w:val="2"/>
        <w:ind w:left="520" w:firstLine="520"/>
      </w:pPr>
    </w:p>
    <w:p w14:paraId="6507AB8D">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投标人：（盖章）             </w:t>
      </w:r>
    </w:p>
    <w:p w14:paraId="1C79B7EA">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14:paraId="06B13C66">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14:paraId="790B0289">
      <w:pPr>
        <w:snapToGrid w:val="0"/>
        <w:spacing w:line="520" w:lineRule="exact"/>
        <w:rPr>
          <w:rFonts w:ascii="宋体" w:hAnsi="宋体" w:eastAsia="宋体" w:cs="宋体"/>
          <w:b/>
          <w:bCs/>
          <w:sz w:val="24"/>
          <w:szCs w:val="24"/>
        </w:rPr>
      </w:pPr>
    </w:p>
    <w:p w14:paraId="703BAC63">
      <w:pPr>
        <w:snapToGrid w:val="0"/>
        <w:spacing w:line="480" w:lineRule="exact"/>
        <w:rPr>
          <w:rFonts w:ascii="宋体" w:hAnsi="宋体" w:eastAsia="宋体" w:cs="宋体"/>
          <w:sz w:val="24"/>
          <w:szCs w:val="24"/>
        </w:rPr>
      </w:pPr>
      <w:r>
        <w:rPr>
          <w:rFonts w:hint="eastAsia" w:ascii="宋体" w:hAnsi="宋体" w:eastAsia="宋体" w:cs="宋体"/>
          <w:b/>
          <w:bCs/>
          <w:sz w:val="24"/>
          <w:szCs w:val="24"/>
        </w:rPr>
        <w:t>注：</w:t>
      </w:r>
      <w:r>
        <w:rPr>
          <w:rFonts w:hint="eastAsia" w:ascii="宋体" w:hAnsi="宋体" w:eastAsia="宋体" w:cs="宋体"/>
          <w:sz w:val="24"/>
          <w:szCs w:val="24"/>
        </w:rPr>
        <w:t>（1）本表为格式表，不得自行改动，必须提供。</w:t>
      </w:r>
    </w:p>
    <w:p w14:paraId="75CF4855">
      <w:pPr>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（2）投标报价应包括采购项目服务期内的所有费用，即包含采购文件采购要求的所有费用。</w:t>
      </w:r>
    </w:p>
    <w:p w14:paraId="1A5F3F38"/>
    <w:sectPr>
      <w:headerReference r:id="rId9" w:type="default"/>
      <w:footerReference r:id="rId10" w:type="default"/>
      <w:pgSz w:w="11906" w:h="16838"/>
      <w:pgMar w:top="1440" w:right="1417" w:bottom="1440" w:left="1417" w:header="851" w:footer="992" w:gutter="0"/>
      <w:cols w:space="0" w:num="1"/>
      <w:docGrid w:type="lines" w:linePitch="36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53043">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6F2B">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2EBA">
    <w:pPr>
      <w:pStyle w:val="18"/>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EEE81">
    <w:pPr>
      <w:pStyle w:val="18"/>
      <w:ind w:firstLine="360"/>
    </w:pPr>
    <w:r>
      <w:pict>
        <v:shape id="Text Box 1" o:spid="_x0000_s409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PlfknQAAAAAwEAAA8AAAAAAAAAAQAgAAAAIgAAAGRycy9kb3ducmV2LnhtbFBLAQIUABQA&#10;AAAIAIdO4kA6zH7A+AEAAAEEAAAOAAAAAAAAAAEAIAAAAB8BAABkcnMvZTJvRG9jLnhtbFBLBQYA&#10;AAAABgAGAFkBAACJBQAAAAA=&#10;">
          <v:path/>
          <v:fill on="f" focussize="0,0"/>
          <v:stroke on="f" joinstyle="miter"/>
          <v:imagedata o:title=""/>
          <o:lock v:ext="edit"/>
          <v:textbox inset="0mm,0mm,0mm,0mm" style="mso-fit-shape-to-text:t;">
            <w:txbxContent>
              <w:p w14:paraId="681DCA88">
                <w:pPr>
                  <w:pStyle w:val="18"/>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C7D25">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8252E">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E8C02">
    <w:pPr>
      <w:pStyle w:val="19"/>
      <w:pBdr>
        <w:bottom w:val="none" w:color="auto" w:sz="0" w:space="1"/>
      </w:pBdr>
      <w:jc w:val="both"/>
      <w:rPr>
        <w:b/>
        <w:bCs/>
        <w:color w:val="FF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B337">
    <w:pPr>
      <w:pStyle w:val="1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97563E"/>
    <w:multiLevelType w:val="singleLevel"/>
    <w:tmpl w:val="CF97563E"/>
    <w:lvl w:ilvl="0" w:tentative="0">
      <w:start w:val="1"/>
      <w:numFmt w:val="chineseCounting"/>
      <w:suff w:val="nothing"/>
      <w:lvlText w:val="%1、"/>
      <w:lvlJc w:val="left"/>
      <w:rPr>
        <w:rFonts w:hint="eastAsia"/>
      </w:rPr>
    </w:lvl>
  </w:abstractNum>
  <w:abstractNum w:abstractNumId="1">
    <w:nsid w:val="D33A745F"/>
    <w:multiLevelType w:val="singleLevel"/>
    <w:tmpl w:val="D33A745F"/>
    <w:lvl w:ilvl="0" w:tentative="0">
      <w:start w:val="2"/>
      <w:numFmt w:val="decimal"/>
      <w:suff w:val="nothing"/>
      <w:lvlText w:val="%1、"/>
      <w:lvlJc w:val="left"/>
    </w:lvl>
  </w:abstractNum>
  <w:abstractNum w:abstractNumId="2">
    <w:nsid w:val="00000013"/>
    <w:multiLevelType w:val="multilevel"/>
    <w:tmpl w:val="0000001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260"/>
  <w:drawingGridVerticalSpacing w:val="184"/>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2ZjE0MzVhMjk4YjRjYjQxNmNmMTY2ZmMxMzUxODMifQ=="/>
  </w:docVars>
  <w:rsids>
    <w:rsidRoot w:val="00870FC3"/>
    <w:rsid w:val="00001437"/>
    <w:rsid w:val="00002E89"/>
    <w:rsid w:val="00003620"/>
    <w:rsid w:val="00004850"/>
    <w:rsid w:val="00005F59"/>
    <w:rsid w:val="00007654"/>
    <w:rsid w:val="00011405"/>
    <w:rsid w:val="00013292"/>
    <w:rsid w:val="00015889"/>
    <w:rsid w:val="000173F7"/>
    <w:rsid w:val="00017691"/>
    <w:rsid w:val="000208F7"/>
    <w:rsid w:val="00022B09"/>
    <w:rsid w:val="000246A2"/>
    <w:rsid w:val="00026863"/>
    <w:rsid w:val="00026B6D"/>
    <w:rsid w:val="0003007C"/>
    <w:rsid w:val="00031E34"/>
    <w:rsid w:val="00034985"/>
    <w:rsid w:val="00034A9F"/>
    <w:rsid w:val="00034B0F"/>
    <w:rsid w:val="00035209"/>
    <w:rsid w:val="00044135"/>
    <w:rsid w:val="000442C5"/>
    <w:rsid w:val="000453E3"/>
    <w:rsid w:val="000468B2"/>
    <w:rsid w:val="00050199"/>
    <w:rsid w:val="00053B3F"/>
    <w:rsid w:val="00055146"/>
    <w:rsid w:val="00057028"/>
    <w:rsid w:val="000606E4"/>
    <w:rsid w:val="00062C7C"/>
    <w:rsid w:val="000718BE"/>
    <w:rsid w:val="00072D36"/>
    <w:rsid w:val="00076F73"/>
    <w:rsid w:val="000772D9"/>
    <w:rsid w:val="00083CE3"/>
    <w:rsid w:val="00091EF4"/>
    <w:rsid w:val="000955BF"/>
    <w:rsid w:val="00095B03"/>
    <w:rsid w:val="0009719F"/>
    <w:rsid w:val="000A0803"/>
    <w:rsid w:val="000A0BCC"/>
    <w:rsid w:val="000A0C67"/>
    <w:rsid w:val="000A3868"/>
    <w:rsid w:val="000A39C5"/>
    <w:rsid w:val="000A3FD0"/>
    <w:rsid w:val="000B16C8"/>
    <w:rsid w:val="000B5D6B"/>
    <w:rsid w:val="000C0542"/>
    <w:rsid w:val="000C1CA4"/>
    <w:rsid w:val="000C3A8C"/>
    <w:rsid w:val="000C64EC"/>
    <w:rsid w:val="000C6B62"/>
    <w:rsid w:val="000D116F"/>
    <w:rsid w:val="000D1ABE"/>
    <w:rsid w:val="000D1F9C"/>
    <w:rsid w:val="000D3082"/>
    <w:rsid w:val="000D7C0A"/>
    <w:rsid w:val="000E1DC2"/>
    <w:rsid w:val="000E2123"/>
    <w:rsid w:val="000E2159"/>
    <w:rsid w:val="000E5858"/>
    <w:rsid w:val="000F0604"/>
    <w:rsid w:val="000F07B9"/>
    <w:rsid w:val="000F1467"/>
    <w:rsid w:val="000F26A8"/>
    <w:rsid w:val="001002F5"/>
    <w:rsid w:val="00104C7A"/>
    <w:rsid w:val="001058DF"/>
    <w:rsid w:val="0010630F"/>
    <w:rsid w:val="00106CA1"/>
    <w:rsid w:val="00107228"/>
    <w:rsid w:val="00107702"/>
    <w:rsid w:val="00112AAC"/>
    <w:rsid w:val="0011336C"/>
    <w:rsid w:val="001150D4"/>
    <w:rsid w:val="00115912"/>
    <w:rsid w:val="00115933"/>
    <w:rsid w:val="0011717B"/>
    <w:rsid w:val="00117DC1"/>
    <w:rsid w:val="00121BF6"/>
    <w:rsid w:val="00122ABA"/>
    <w:rsid w:val="00124008"/>
    <w:rsid w:val="00125253"/>
    <w:rsid w:val="00127598"/>
    <w:rsid w:val="00130F6D"/>
    <w:rsid w:val="0013548C"/>
    <w:rsid w:val="001360DD"/>
    <w:rsid w:val="00136B74"/>
    <w:rsid w:val="00140AF5"/>
    <w:rsid w:val="00140D41"/>
    <w:rsid w:val="0014130B"/>
    <w:rsid w:val="00145AD2"/>
    <w:rsid w:val="00147B3A"/>
    <w:rsid w:val="00150EB9"/>
    <w:rsid w:val="001547E9"/>
    <w:rsid w:val="00155A53"/>
    <w:rsid w:val="00155C4F"/>
    <w:rsid w:val="00157464"/>
    <w:rsid w:val="001604D5"/>
    <w:rsid w:val="00161FA7"/>
    <w:rsid w:val="0016465C"/>
    <w:rsid w:val="00166189"/>
    <w:rsid w:val="00166353"/>
    <w:rsid w:val="001669D4"/>
    <w:rsid w:val="00166A6B"/>
    <w:rsid w:val="00167B68"/>
    <w:rsid w:val="001707B8"/>
    <w:rsid w:val="0017147C"/>
    <w:rsid w:val="00173591"/>
    <w:rsid w:val="001736FC"/>
    <w:rsid w:val="001737DE"/>
    <w:rsid w:val="0017732F"/>
    <w:rsid w:val="00177FAE"/>
    <w:rsid w:val="00181AEE"/>
    <w:rsid w:val="00183641"/>
    <w:rsid w:val="00183A8C"/>
    <w:rsid w:val="0018579C"/>
    <w:rsid w:val="00186F80"/>
    <w:rsid w:val="00191580"/>
    <w:rsid w:val="00192312"/>
    <w:rsid w:val="001923EE"/>
    <w:rsid w:val="0019251A"/>
    <w:rsid w:val="001A0F53"/>
    <w:rsid w:val="001A2A20"/>
    <w:rsid w:val="001A3F1E"/>
    <w:rsid w:val="001B1A8E"/>
    <w:rsid w:val="001B2FB8"/>
    <w:rsid w:val="001B45EA"/>
    <w:rsid w:val="001B5694"/>
    <w:rsid w:val="001B60E9"/>
    <w:rsid w:val="001C0605"/>
    <w:rsid w:val="001C0718"/>
    <w:rsid w:val="001C3A28"/>
    <w:rsid w:val="001C55C9"/>
    <w:rsid w:val="001C62E6"/>
    <w:rsid w:val="001D325A"/>
    <w:rsid w:val="001D603D"/>
    <w:rsid w:val="001D7752"/>
    <w:rsid w:val="001E1979"/>
    <w:rsid w:val="001E6992"/>
    <w:rsid w:val="001E6D67"/>
    <w:rsid w:val="001F330D"/>
    <w:rsid w:val="001F3BCC"/>
    <w:rsid w:val="001F4995"/>
    <w:rsid w:val="002002FF"/>
    <w:rsid w:val="002020E2"/>
    <w:rsid w:val="002023ED"/>
    <w:rsid w:val="002026EF"/>
    <w:rsid w:val="00202758"/>
    <w:rsid w:val="00204DE3"/>
    <w:rsid w:val="0021414A"/>
    <w:rsid w:val="002163F8"/>
    <w:rsid w:val="00221A52"/>
    <w:rsid w:val="0022699F"/>
    <w:rsid w:val="00230805"/>
    <w:rsid w:val="002312C1"/>
    <w:rsid w:val="00233AE3"/>
    <w:rsid w:val="00233CDB"/>
    <w:rsid w:val="00235874"/>
    <w:rsid w:val="00236133"/>
    <w:rsid w:val="0023647C"/>
    <w:rsid w:val="002421B7"/>
    <w:rsid w:val="00250D96"/>
    <w:rsid w:val="0025375D"/>
    <w:rsid w:val="0025389B"/>
    <w:rsid w:val="0026354D"/>
    <w:rsid w:val="00267522"/>
    <w:rsid w:val="002702AE"/>
    <w:rsid w:val="00273512"/>
    <w:rsid w:val="00276BEC"/>
    <w:rsid w:val="00280E1E"/>
    <w:rsid w:val="00282B73"/>
    <w:rsid w:val="002837AA"/>
    <w:rsid w:val="00284DE0"/>
    <w:rsid w:val="00287F8F"/>
    <w:rsid w:val="002934FE"/>
    <w:rsid w:val="002A29E1"/>
    <w:rsid w:val="002A4C68"/>
    <w:rsid w:val="002A5E8C"/>
    <w:rsid w:val="002A6014"/>
    <w:rsid w:val="002A73AF"/>
    <w:rsid w:val="002B1A10"/>
    <w:rsid w:val="002B3421"/>
    <w:rsid w:val="002B365D"/>
    <w:rsid w:val="002B5ED6"/>
    <w:rsid w:val="002B65F7"/>
    <w:rsid w:val="002C09C4"/>
    <w:rsid w:val="002C2CF7"/>
    <w:rsid w:val="002C3056"/>
    <w:rsid w:val="002C799F"/>
    <w:rsid w:val="002D245D"/>
    <w:rsid w:val="002D27B0"/>
    <w:rsid w:val="002D4C15"/>
    <w:rsid w:val="002E0194"/>
    <w:rsid w:val="002E0E2F"/>
    <w:rsid w:val="002E246B"/>
    <w:rsid w:val="002E2D4E"/>
    <w:rsid w:val="002F0A31"/>
    <w:rsid w:val="002F0D27"/>
    <w:rsid w:val="002F48A4"/>
    <w:rsid w:val="002F4A85"/>
    <w:rsid w:val="002F5160"/>
    <w:rsid w:val="002F5872"/>
    <w:rsid w:val="00300ED3"/>
    <w:rsid w:val="00302AAB"/>
    <w:rsid w:val="00304968"/>
    <w:rsid w:val="00304C75"/>
    <w:rsid w:val="00306FE4"/>
    <w:rsid w:val="00311FB2"/>
    <w:rsid w:val="00313976"/>
    <w:rsid w:val="00315F11"/>
    <w:rsid w:val="00316ED8"/>
    <w:rsid w:val="003174F7"/>
    <w:rsid w:val="003178E6"/>
    <w:rsid w:val="0032056E"/>
    <w:rsid w:val="003206FD"/>
    <w:rsid w:val="00321A86"/>
    <w:rsid w:val="00322414"/>
    <w:rsid w:val="00323972"/>
    <w:rsid w:val="00325087"/>
    <w:rsid w:val="00334074"/>
    <w:rsid w:val="0033640F"/>
    <w:rsid w:val="0033735D"/>
    <w:rsid w:val="003373F3"/>
    <w:rsid w:val="003426FA"/>
    <w:rsid w:val="00342826"/>
    <w:rsid w:val="003455D8"/>
    <w:rsid w:val="00346471"/>
    <w:rsid w:val="00351522"/>
    <w:rsid w:val="00352FB4"/>
    <w:rsid w:val="00353185"/>
    <w:rsid w:val="00354C8C"/>
    <w:rsid w:val="00354D5F"/>
    <w:rsid w:val="00362921"/>
    <w:rsid w:val="00363FF7"/>
    <w:rsid w:val="00364DC8"/>
    <w:rsid w:val="0037200E"/>
    <w:rsid w:val="003758BB"/>
    <w:rsid w:val="003763A4"/>
    <w:rsid w:val="00377415"/>
    <w:rsid w:val="003774FB"/>
    <w:rsid w:val="003817F8"/>
    <w:rsid w:val="003842C0"/>
    <w:rsid w:val="00385736"/>
    <w:rsid w:val="003859B6"/>
    <w:rsid w:val="00386D0F"/>
    <w:rsid w:val="003904BF"/>
    <w:rsid w:val="00390D89"/>
    <w:rsid w:val="00391AB8"/>
    <w:rsid w:val="003922D0"/>
    <w:rsid w:val="00392D2E"/>
    <w:rsid w:val="0039301E"/>
    <w:rsid w:val="003941B3"/>
    <w:rsid w:val="003958F8"/>
    <w:rsid w:val="003A107B"/>
    <w:rsid w:val="003A15CC"/>
    <w:rsid w:val="003A1A88"/>
    <w:rsid w:val="003A6FEC"/>
    <w:rsid w:val="003B015C"/>
    <w:rsid w:val="003B064E"/>
    <w:rsid w:val="003B36E0"/>
    <w:rsid w:val="003B608E"/>
    <w:rsid w:val="003B79BD"/>
    <w:rsid w:val="003C4F04"/>
    <w:rsid w:val="003C550A"/>
    <w:rsid w:val="003D12C1"/>
    <w:rsid w:val="003D1C9D"/>
    <w:rsid w:val="003D2EB9"/>
    <w:rsid w:val="003D5775"/>
    <w:rsid w:val="003D6123"/>
    <w:rsid w:val="003E17F8"/>
    <w:rsid w:val="003E272A"/>
    <w:rsid w:val="003E491D"/>
    <w:rsid w:val="003F09F8"/>
    <w:rsid w:val="003F1BBF"/>
    <w:rsid w:val="003F2860"/>
    <w:rsid w:val="003F313A"/>
    <w:rsid w:val="003F31C2"/>
    <w:rsid w:val="004022C6"/>
    <w:rsid w:val="00404299"/>
    <w:rsid w:val="0040439E"/>
    <w:rsid w:val="0040539B"/>
    <w:rsid w:val="00406163"/>
    <w:rsid w:val="00407B0C"/>
    <w:rsid w:val="00410086"/>
    <w:rsid w:val="004128DD"/>
    <w:rsid w:val="00417460"/>
    <w:rsid w:val="00420662"/>
    <w:rsid w:val="004227E1"/>
    <w:rsid w:val="00426481"/>
    <w:rsid w:val="00427D44"/>
    <w:rsid w:val="00427D83"/>
    <w:rsid w:val="00431D49"/>
    <w:rsid w:val="00432C3C"/>
    <w:rsid w:val="00434FBF"/>
    <w:rsid w:val="0044226F"/>
    <w:rsid w:val="0044293C"/>
    <w:rsid w:val="00442BAF"/>
    <w:rsid w:val="004470E8"/>
    <w:rsid w:val="00451510"/>
    <w:rsid w:val="004534B8"/>
    <w:rsid w:val="004559F8"/>
    <w:rsid w:val="00455E20"/>
    <w:rsid w:val="00457F5C"/>
    <w:rsid w:val="004678D6"/>
    <w:rsid w:val="00467D53"/>
    <w:rsid w:val="004707B9"/>
    <w:rsid w:val="004719E2"/>
    <w:rsid w:val="00472436"/>
    <w:rsid w:val="0047308B"/>
    <w:rsid w:val="0047797A"/>
    <w:rsid w:val="004807C0"/>
    <w:rsid w:val="00482675"/>
    <w:rsid w:val="00482C6B"/>
    <w:rsid w:val="00485A6D"/>
    <w:rsid w:val="00490126"/>
    <w:rsid w:val="00490D78"/>
    <w:rsid w:val="00490FB6"/>
    <w:rsid w:val="00492C7F"/>
    <w:rsid w:val="00497FC6"/>
    <w:rsid w:val="004A2363"/>
    <w:rsid w:val="004A39D0"/>
    <w:rsid w:val="004A45E3"/>
    <w:rsid w:val="004B2350"/>
    <w:rsid w:val="004B4762"/>
    <w:rsid w:val="004C18A8"/>
    <w:rsid w:val="004C404D"/>
    <w:rsid w:val="004C4D9D"/>
    <w:rsid w:val="004C6009"/>
    <w:rsid w:val="004C6129"/>
    <w:rsid w:val="004D3529"/>
    <w:rsid w:val="004D38A2"/>
    <w:rsid w:val="004E7E8A"/>
    <w:rsid w:val="004F443B"/>
    <w:rsid w:val="004F4C04"/>
    <w:rsid w:val="004F51C6"/>
    <w:rsid w:val="005013E6"/>
    <w:rsid w:val="005072A6"/>
    <w:rsid w:val="00507DB2"/>
    <w:rsid w:val="00510D55"/>
    <w:rsid w:val="00511CEB"/>
    <w:rsid w:val="00511DAA"/>
    <w:rsid w:val="00512253"/>
    <w:rsid w:val="00513DDD"/>
    <w:rsid w:val="005143B1"/>
    <w:rsid w:val="0051606A"/>
    <w:rsid w:val="00516480"/>
    <w:rsid w:val="00521C06"/>
    <w:rsid w:val="00526424"/>
    <w:rsid w:val="00526723"/>
    <w:rsid w:val="0052674B"/>
    <w:rsid w:val="00532404"/>
    <w:rsid w:val="005353F3"/>
    <w:rsid w:val="005362DB"/>
    <w:rsid w:val="005424D6"/>
    <w:rsid w:val="00544FC2"/>
    <w:rsid w:val="00546592"/>
    <w:rsid w:val="0055099B"/>
    <w:rsid w:val="00551439"/>
    <w:rsid w:val="00554699"/>
    <w:rsid w:val="005563EC"/>
    <w:rsid w:val="005610FC"/>
    <w:rsid w:val="005632EF"/>
    <w:rsid w:val="005651D2"/>
    <w:rsid w:val="00566BB5"/>
    <w:rsid w:val="00567B12"/>
    <w:rsid w:val="0057028A"/>
    <w:rsid w:val="00570B8F"/>
    <w:rsid w:val="005712B2"/>
    <w:rsid w:val="005724F8"/>
    <w:rsid w:val="00572DB4"/>
    <w:rsid w:val="005739E5"/>
    <w:rsid w:val="00573BAD"/>
    <w:rsid w:val="00577930"/>
    <w:rsid w:val="005805DF"/>
    <w:rsid w:val="0059456D"/>
    <w:rsid w:val="0059576A"/>
    <w:rsid w:val="005A1C16"/>
    <w:rsid w:val="005A7D67"/>
    <w:rsid w:val="005B1671"/>
    <w:rsid w:val="005B6342"/>
    <w:rsid w:val="005B6ED7"/>
    <w:rsid w:val="005B7E42"/>
    <w:rsid w:val="005C370D"/>
    <w:rsid w:val="005C411D"/>
    <w:rsid w:val="005C4125"/>
    <w:rsid w:val="005C46BE"/>
    <w:rsid w:val="005C5F78"/>
    <w:rsid w:val="005C6E9A"/>
    <w:rsid w:val="005D0F28"/>
    <w:rsid w:val="005D1A1A"/>
    <w:rsid w:val="005D4851"/>
    <w:rsid w:val="005E2D38"/>
    <w:rsid w:val="005E3E27"/>
    <w:rsid w:val="005E7D6F"/>
    <w:rsid w:val="00603160"/>
    <w:rsid w:val="00607BC5"/>
    <w:rsid w:val="006129A1"/>
    <w:rsid w:val="00615679"/>
    <w:rsid w:val="00616DC6"/>
    <w:rsid w:val="00622C86"/>
    <w:rsid w:val="00624294"/>
    <w:rsid w:val="00626394"/>
    <w:rsid w:val="006267EE"/>
    <w:rsid w:val="00634C3C"/>
    <w:rsid w:val="00640429"/>
    <w:rsid w:val="00640B1E"/>
    <w:rsid w:val="00641B24"/>
    <w:rsid w:val="006427D8"/>
    <w:rsid w:val="00661E90"/>
    <w:rsid w:val="0066267E"/>
    <w:rsid w:val="00664203"/>
    <w:rsid w:val="0066429E"/>
    <w:rsid w:val="00665322"/>
    <w:rsid w:val="00666808"/>
    <w:rsid w:val="00672C0B"/>
    <w:rsid w:val="00673A7E"/>
    <w:rsid w:val="00673C95"/>
    <w:rsid w:val="006751B6"/>
    <w:rsid w:val="006753DA"/>
    <w:rsid w:val="00677DB9"/>
    <w:rsid w:val="00681600"/>
    <w:rsid w:val="006824F3"/>
    <w:rsid w:val="006833B2"/>
    <w:rsid w:val="00684478"/>
    <w:rsid w:val="00693D31"/>
    <w:rsid w:val="006A0898"/>
    <w:rsid w:val="006A1887"/>
    <w:rsid w:val="006A50B4"/>
    <w:rsid w:val="006B048A"/>
    <w:rsid w:val="006B0585"/>
    <w:rsid w:val="006B0F54"/>
    <w:rsid w:val="006B3679"/>
    <w:rsid w:val="006B43C9"/>
    <w:rsid w:val="006B58CF"/>
    <w:rsid w:val="006B787F"/>
    <w:rsid w:val="006C2AB4"/>
    <w:rsid w:val="006C422C"/>
    <w:rsid w:val="006C42C3"/>
    <w:rsid w:val="006C479D"/>
    <w:rsid w:val="006D224C"/>
    <w:rsid w:val="006D655C"/>
    <w:rsid w:val="006E3518"/>
    <w:rsid w:val="006E3871"/>
    <w:rsid w:val="006F2C1A"/>
    <w:rsid w:val="006F5F4C"/>
    <w:rsid w:val="006F7C4F"/>
    <w:rsid w:val="00701C0D"/>
    <w:rsid w:val="00703555"/>
    <w:rsid w:val="007039CF"/>
    <w:rsid w:val="0070750F"/>
    <w:rsid w:val="00710D4C"/>
    <w:rsid w:val="007114C2"/>
    <w:rsid w:val="007115AD"/>
    <w:rsid w:val="007150B8"/>
    <w:rsid w:val="00725DD8"/>
    <w:rsid w:val="00727548"/>
    <w:rsid w:val="00731F17"/>
    <w:rsid w:val="00735BD2"/>
    <w:rsid w:val="00735EEE"/>
    <w:rsid w:val="00736097"/>
    <w:rsid w:val="00737E46"/>
    <w:rsid w:val="00740FDD"/>
    <w:rsid w:val="007411E2"/>
    <w:rsid w:val="00741ECC"/>
    <w:rsid w:val="00742170"/>
    <w:rsid w:val="00744631"/>
    <w:rsid w:val="00750CEF"/>
    <w:rsid w:val="00751F1E"/>
    <w:rsid w:val="00752E4C"/>
    <w:rsid w:val="00760DBB"/>
    <w:rsid w:val="007624A0"/>
    <w:rsid w:val="00765B3F"/>
    <w:rsid w:val="00770D4F"/>
    <w:rsid w:val="007732ED"/>
    <w:rsid w:val="00773659"/>
    <w:rsid w:val="0077440F"/>
    <w:rsid w:val="00774AE0"/>
    <w:rsid w:val="007754A4"/>
    <w:rsid w:val="00777E94"/>
    <w:rsid w:val="00781434"/>
    <w:rsid w:val="00784590"/>
    <w:rsid w:val="007852CB"/>
    <w:rsid w:val="007919B7"/>
    <w:rsid w:val="00792991"/>
    <w:rsid w:val="00796362"/>
    <w:rsid w:val="007A11EC"/>
    <w:rsid w:val="007A3FE2"/>
    <w:rsid w:val="007A5558"/>
    <w:rsid w:val="007A6176"/>
    <w:rsid w:val="007A65BA"/>
    <w:rsid w:val="007A6A93"/>
    <w:rsid w:val="007A754F"/>
    <w:rsid w:val="007A7FA0"/>
    <w:rsid w:val="007B116C"/>
    <w:rsid w:val="007B3240"/>
    <w:rsid w:val="007B4273"/>
    <w:rsid w:val="007C2710"/>
    <w:rsid w:val="007C6C1D"/>
    <w:rsid w:val="007C6C88"/>
    <w:rsid w:val="007C6EE2"/>
    <w:rsid w:val="007C7B31"/>
    <w:rsid w:val="007D05D6"/>
    <w:rsid w:val="007D1398"/>
    <w:rsid w:val="007D1A42"/>
    <w:rsid w:val="007D4558"/>
    <w:rsid w:val="007D6137"/>
    <w:rsid w:val="007E09E6"/>
    <w:rsid w:val="007E0BA5"/>
    <w:rsid w:val="007E1198"/>
    <w:rsid w:val="007E1E30"/>
    <w:rsid w:val="007E2EA8"/>
    <w:rsid w:val="007E5B06"/>
    <w:rsid w:val="007F787E"/>
    <w:rsid w:val="00801E18"/>
    <w:rsid w:val="00802644"/>
    <w:rsid w:val="0080528D"/>
    <w:rsid w:val="00805C49"/>
    <w:rsid w:val="00805CF6"/>
    <w:rsid w:val="008106C0"/>
    <w:rsid w:val="00811841"/>
    <w:rsid w:val="00812F20"/>
    <w:rsid w:val="00815BF8"/>
    <w:rsid w:val="008166F5"/>
    <w:rsid w:val="00817317"/>
    <w:rsid w:val="008203A0"/>
    <w:rsid w:val="00825123"/>
    <w:rsid w:val="00827211"/>
    <w:rsid w:val="00830107"/>
    <w:rsid w:val="00830230"/>
    <w:rsid w:val="0083404C"/>
    <w:rsid w:val="00834958"/>
    <w:rsid w:val="00843E56"/>
    <w:rsid w:val="008465FD"/>
    <w:rsid w:val="008511C9"/>
    <w:rsid w:val="00853D86"/>
    <w:rsid w:val="00854746"/>
    <w:rsid w:val="00855CB4"/>
    <w:rsid w:val="00857A78"/>
    <w:rsid w:val="00860880"/>
    <w:rsid w:val="00861AC3"/>
    <w:rsid w:val="00862684"/>
    <w:rsid w:val="00865B79"/>
    <w:rsid w:val="008670FD"/>
    <w:rsid w:val="00870FC3"/>
    <w:rsid w:val="00871ECD"/>
    <w:rsid w:val="00874973"/>
    <w:rsid w:val="00877A55"/>
    <w:rsid w:val="00880CFD"/>
    <w:rsid w:val="00884455"/>
    <w:rsid w:val="00884A3D"/>
    <w:rsid w:val="008850E6"/>
    <w:rsid w:val="00891806"/>
    <w:rsid w:val="00894BA7"/>
    <w:rsid w:val="00894CAD"/>
    <w:rsid w:val="0089543B"/>
    <w:rsid w:val="00897300"/>
    <w:rsid w:val="008A1D50"/>
    <w:rsid w:val="008A4251"/>
    <w:rsid w:val="008A6AA5"/>
    <w:rsid w:val="008B0E5E"/>
    <w:rsid w:val="008B5808"/>
    <w:rsid w:val="008C03A7"/>
    <w:rsid w:val="008C0C0A"/>
    <w:rsid w:val="008C1E60"/>
    <w:rsid w:val="008C2E31"/>
    <w:rsid w:val="008C39FF"/>
    <w:rsid w:val="008C3F8F"/>
    <w:rsid w:val="008C69A1"/>
    <w:rsid w:val="008C6BEC"/>
    <w:rsid w:val="008C768A"/>
    <w:rsid w:val="008D2B62"/>
    <w:rsid w:val="008D3349"/>
    <w:rsid w:val="008E65FB"/>
    <w:rsid w:val="008E73F4"/>
    <w:rsid w:val="008F161A"/>
    <w:rsid w:val="008F544D"/>
    <w:rsid w:val="00900776"/>
    <w:rsid w:val="009023A1"/>
    <w:rsid w:val="00902675"/>
    <w:rsid w:val="009027BD"/>
    <w:rsid w:val="00903080"/>
    <w:rsid w:val="0090672A"/>
    <w:rsid w:val="0090724B"/>
    <w:rsid w:val="009155B7"/>
    <w:rsid w:val="009178C1"/>
    <w:rsid w:val="00920D01"/>
    <w:rsid w:val="00935193"/>
    <w:rsid w:val="00935919"/>
    <w:rsid w:val="00937263"/>
    <w:rsid w:val="00937C02"/>
    <w:rsid w:val="00940537"/>
    <w:rsid w:val="00940730"/>
    <w:rsid w:val="009422E3"/>
    <w:rsid w:val="00942389"/>
    <w:rsid w:val="00946655"/>
    <w:rsid w:val="0094717C"/>
    <w:rsid w:val="00947A4C"/>
    <w:rsid w:val="009512B7"/>
    <w:rsid w:val="00952AC2"/>
    <w:rsid w:val="00953F09"/>
    <w:rsid w:val="00954348"/>
    <w:rsid w:val="0095597B"/>
    <w:rsid w:val="00955DF8"/>
    <w:rsid w:val="0095601E"/>
    <w:rsid w:val="00956858"/>
    <w:rsid w:val="00956FB0"/>
    <w:rsid w:val="009579B7"/>
    <w:rsid w:val="00957E27"/>
    <w:rsid w:val="00961EE5"/>
    <w:rsid w:val="00965967"/>
    <w:rsid w:val="00966865"/>
    <w:rsid w:val="00967E57"/>
    <w:rsid w:val="0097046C"/>
    <w:rsid w:val="009705DE"/>
    <w:rsid w:val="00972654"/>
    <w:rsid w:val="0097296A"/>
    <w:rsid w:val="00983185"/>
    <w:rsid w:val="009861EC"/>
    <w:rsid w:val="0098726D"/>
    <w:rsid w:val="009877A3"/>
    <w:rsid w:val="00990216"/>
    <w:rsid w:val="00996288"/>
    <w:rsid w:val="009977C3"/>
    <w:rsid w:val="009A07FA"/>
    <w:rsid w:val="009A3C2B"/>
    <w:rsid w:val="009A3D29"/>
    <w:rsid w:val="009B1B0F"/>
    <w:rsid w:val="009B5500"/>
    <w:rsid w:val="009B7473"/>
    <w:rsid w:val="009C3D37"/>
    <w:rsid w:val="009C476F"/>
    <w:rsid w:val="009C558C"/>
    <w:rsid w:val="009C5733"/>
    <w:rsid w:val="009C6551"/>
    <w:rsid w:val="009D550F"/>
    <w:rsid w:val="009D56D8"/>
    <w:rsid w:val="009E5498"/>
    <w:rsid w:val="009E59B3"/>
    <w:rsid w:val="009E7225"/>
    <w:rsid w:val="009F1E63"/>
    <w:rsid w:val="009F2204"/>
    <w:rsid w:val="009F7279"/>
    <w:rsid w:val="00A0713C"/>
    <w:rsid w:val="00A07FD9"/>
    <w:rsid w:val="00A11353"/>
    <w:rsid w:val="00A11DF9"/>
    <w:rsid w:val="00A13B46"/>
    <w:rsid w:val="00A15B42"/>
    <w:rsid w:val="00A205E5"/>
    <w:rsid w:val="00A211BF"/>
    <w:rsid w:val="00A21B3E"/>
    <w:rsid w:val="00A2435C"/>
    <w:rsid w:val="00A2525D"/>
    <w:rsid w:val="00A268F2"/>
    <w:rsid w:val="00A26CAB"/>
    <w:rsid w:val="00A311C2"/>
    <w:rsid w:val="00A35555"/>
    <w:rsid w:val="00A35B00"/>
    <w:rsid w:val="00A41248"/>
    <w:rsid w:val="00A44E82"/>
    <w:rsid w:val="00A45685"/>
    <w:rsid w:val="00A45D70"/>
    <w:rsid w:val="00A46D12"/>
    <w:rsid w:val="00A46D7D"/>
    <w:rsid w:val="00A51A17"/>
    <w:rsid w:val="00A5246F"/>
    <w:rsid w:val="00A52C39"/>
    <w:rsid w:val="00A66A36"/>
    <w:rsid w:val="00A66AFD"/>
    <w:rsid w:val="00A7007C"/>
    <w:rsid w:val="00A70A51"/>
    <w:rsid w:val="00A7511D"/>
    <w:rsid w:val="00A80A3C"/>
    <w:rsid w:val="00A81B8E"/>
    <w:rsid w:val="00A9096B"/>
    <w:rsid w:val="00A90AE6"/>
    <w:rsid w:val="00A926D1"/>
    <w:rsid w:val="00A93C3C"/>
    <w:rsid w:val="00A94893"/>
    <w:rsid w:val="00A971A2"/>
    <w:rsid w:val="00AA1CE3"/>
    <w:rsid w:val="00AA4EE8"/>
    <w:rsid w:val="00AA535A"/>
    <w:rsid w:val="00AA7D9B"/>
    <w:rsid w:val="00AB504B"/>
    <w:rsid w:val="00AB5FB2"/>
    <w:rsid w:val="00AB6F18"/>
    <w:rsid w:val="00AC0791"/>
    <w:rsid w:val="00AC3873"/>
    <w:rsid w:val="00AC483C"/>
    <w:rsid w:val="00AC4A84"/>
    <w:rsid w:val="00AC77F9"/>
    <w:rsid w:val="00AD0BAF"/>
    <w:rsid w:val="00AD52A1"/>
    <w:rsid w:val="00AD5725"/>
    <w:rsid w:val="00AD61ED"/>
    <w:rsid w:val="00AE0B2D"/>
    <w:rsid w:val="00AE3A60"/>
    <w:rsid w:val="00AE3C36"/>
    <w:rsid w:val="00AE6BF1"/>
    <w:rsid w:val="00AF0F0F"/>
    <w:rsid w:val="00AF1C62"/>
    <w:rsid w:val="00AF1E8B"/>
    <w:rsid w:val="00AF3659"/>
    <w:rsid w:val="00AF38ED"/>
    <w:rsid w:val="00AF5278"/>
    <w:rsid w:val="00AF543C"/>
    <w:rsid w:val="00AF7AEE"/>
    <w:rsid w:val="00B01708"/>
    <w:rsid w:val="00B031CD"/>
    <w:rsid w:val="00B038DA"/>
    <w:rsid w:val="00B03C87"/>
    <w:rsid w:val="00B04E3A"/>
    <w:rsid w:val="00B05061"/>
    <w:rsid w:val="00B05FAE"/>
    <w:rsid w:val="00B06EFC"/>
    <w:rsid w:val="00B07D66"/>
    <w:rsid w:val="00B1011D"/>
    <w:rsid w:val="00B11052"/>
    <w:rsid w:val="00B11E76"/>
    <w:rsid w:val="00B14460"/>
    <w:rsid w:val="00B16634"/>
    <w:rsid w:val="00B16E30"/>
    <w:rsid w:val="00B171F9"/>
    <w:rsid w:val="00B209BD"/>
    <w:rsid w:val="00B21E13"/>
    <w:rsid w:val="00B2476E"/>
    <w:rsid w:val="00B25800"/>
    <w:rsid w:val="00B2590E"/>
    <w:rsid w:val="00B2684E"/>
    <w:rsid w:val="00B27597"/>
    <w:rsid w:val="00B302A8"/>
    <w:rsid w:val="00B33243"/>
    <w:rsid w:val="00B33441"/>
    <w:rsid w:val="00B352F4"/>
    <w:rsid w:val="00B3532C"/>
    <w:rsid w:val="00B36FD4"/>
    <w:rsid w:val="00B40073"/>
    <w:rsid w:val="00B41275"/>
    <w:rsid w:val="00B420E0"/>
    <w:rsid w:val="00B4215D"/>
    <w:rsid w:val="00B43A24"/>
    <w:rsid w:val="00B43FE3"/>
    <w:rsid w:val="00B45498"/>
    <w:rsid w:val="00B47F4F"/>
    <w:rsid w:val="00B51F50"/>
    <w:rsid w:val="00B53C17"/>
    <w:rsid w:val="00B54299"/>
    <w:rsid w:val="00B572CF"/>
    <w:rsid w:val="00B57383"/>
    <w:rsid w:val="00B6047E"/>
    <w:rsid w:val="00B62170"/>
    <w:rsid w:val="00B64D5D"/>
    <w:rsid w:val="00B65CD7"/>
    <w:rsid w:val="00B66BE4"/>
    <w:rsid w:val="00B66E98"/>
    <w:rsid w:val="00B70BE9"/>
    <w:rsid w:val="00B74877"/>
    <w:rsid w:val="00B76C6F"/>
    <w:rsid w:val="00B7799C"/>
    <w:rsid w:val="00B80C2F"/>
    <w:rsid w:val="00B8300D"/>
    <w:rsid w:val="00B85E29"/>
    <w:rsid w:val="00B92250"/>
    <w:rsid w:val="00B968A2"/>
    <w:rsid w:val="00B96A1D"/>
    <w:rsid w:val="00B975B2"/>
    <w:rsid w:val="00BA1C86"/>
    <w:rsid w:val="00BA1FD4"/>
    <w:rsid w:val="00BA72D1"/>
    <w:rsid w:val="00BA7998"/>
    <w:rsid w:val="00BB08E3"/>
    <w:rsid w:val="00BB2D1F"/>
    <w:rsid w:val="00BB2DF5"/>
    <w:rsid w:val="00BB5190"/>
    <w:rsid w:val="00BB52D8"/>
    <w:rsid w:val="00BB60AB"/>
    <w:rsid w:val="00BC7A9F"/>
    <w:rsid w:val="00BE0757"/>
    <w:rsid w:val="00BE0C52"/>
    <w:rsid w:val="00BE5497"/>
    <w:rsid w:val="00BF0220"/>
    <w:rsid w:val="00C013EA"/>
    <w:rsid w:val="00C0254D"/>
    <w:rsid w:val="00C03F83"/>
    <w:rsid w:val="00C047C0"/>
    <w:rsid w:val="00C060F3"/>
    <w:rsid w:val="00C07E4F"/>
    <w:rsid w:val="00C14707"/>
    <w:rsid w:val="00C1630B"/>
    <w:rsid w:val="00C22498"/>
    <w:rsid w:val="00C248B3"/>
    <w:rsid w:val="00C26B30"/>
    <w:rsid w:val="00C27699"/>
    <w:rsid w:val="00C32FED"/>
    <w:rsid w:val="00C330B7"/>
    <w:rsid w:val="00C3311B"/>
    <w:rsid w:val="00C3594E"/>
    <w:rsid w:val="00C4040F"/>
    <w:rsid w:val="00C4202B"/>
    <w:rsid w:val="00C45170"/>
    <w:rsid w:val="00C50E2F"/>
    <w:rsid w:val="00C5282E"/>
    <w:rsid w:val="00C54E1C"/>
    <w:rsid w:val="00C629B3"/>
    <w:rsid w:val="00C6564F"/>
    <w:rsid w:val="00C6627F"/>
    <w:rsid w:val="00C66FE7"/>
    <w:rsid w:val="00C707A6"/>
    <w:rsid w:val="00C715E8"/>
    <w:rsid w:val="00C7443D"/>
    <w:rsid w:val="00C74B9B"/>
    <w:rsid w:val="00C77E46"/>
    <w:rsid w:val="00C80D33"/>
    <w:rsid w:val="00C82005"/>
    <w:rsid w:val="00C82717"/>
    <w:rsid w:val="00C83D5D"/>
    <w:rsid w:val="00C85EB6"/>
    <w:rsid w:val="00C877C9"/>
    <w:rsid w:val="00C90744"/>
    <w:rsid w:val="00C90B14"/>
    <w:rsid w:val="00C9101C"/>
    <w:rsid w:val="00C9150C"/>
    <w:rsid w:val="00C9273E"/>
    <w:rsid w:val="00C944E8"/>
    <w:rsid w:val="00C954BC"/>
    <w:rsid w:val="00C976D5"/>
    <w:rsid w:val="00CA4326"/>
    <w:rsid w:val="00CA521E"/>
    <w:rsid w:val="00CA5E73"/>
    <w:rsid w:val="00CA5EFF"/>
    <w:rsid w:val="00CA7518"/>
    <w:rsid w:val="00CB0AB7"/>
    <w:rsid w:val="00CB13A4"/>
    <w:rsid w:val="00CC2E94"/>
    <w:rsid w:val="00CC3C15"/>
    <w:rsid w:val="00CC7CC3"/>
    <w:rsid w:val="00CD3602"/>
    <w:rsid w:val="00CD48E4"/>
    <w:rsid w:val="00CD545A"/>
    <w:rsid w:val="00CD589D"/>
    <w:rsid w:val="00CD5944"/>
    <w:rsid w:val="00CD7BA8"/>
    <w:rsid w:val="00CE1499"/>
    <w:rsid w:val="00CE18CA"/>
    <w:rsid w:val="00CE4CCE"/>
    <w:rsid w:val="00CE772D"/>
    <w:rsid w:val="00CF2D15"/>
    <w:rsid w:val="00CF7C31"/>
    <w:rsid w:val="00CF7E74"/>
    <w:rsid w:val="00D0134E"/>
    <w:rsid w:val="00D0693D"/>
    <w:rsid w:val="00D076B9"/>
    <w:rsid w:val="00D128CF"/>
    <w:rsid w:val="00D1402E"/>
    <w:rsid w:val="00D154BF"/>
    <w:rsid w:val="00D1660B"/>
    <w:rsid w:val="00D20207"/>
    <w:rsid w:val="00D21109"/>
    <w:rsid w:val="00D2264D"/>
    <w:rsid w:val="00D22E57"/>
    <w:rsid w:val="00D23E53"/>
    <w:rsid w:val="00D2675B"/>
    <w:rsid w:val="00D3467A"/>
    <w:rsid w:val="00D4258E"/>
    <w:rsid w:val="00D42EFB"/>
    <w:rsid w:val="00D44F09"/>
    <w:rsid w:val="00D525EE"/>
    <w:rsid w:val="00D613B2"/>
    <w:rsid w:val="00D627B3"/>
    <w:rsid w:val="00D62E30"/>
    <w:rsid w:val="00D64A22"/>
    <w:rsid w:val="00D67BDE"/>
    <w:rsid w:val="00D67E17"/>
    <w:rsid w:val="00D712AF"/>
    <w:rsid w:val="00D71C2D"/>
    <w:rsid w:val="00D71EF9"/>
    <w:rsid w:val="00D75306"/>
    <w:rsid w:val="00D834F2"/>
    <w:rsid w:val="00DA27F9"/>
    <w:rsid w:val="00DA4021"/>
    <w:rsid w:val="00DA4138"/>
    <w:rsid w:val="00DB0054"/>
    <w:rsid w:val="00DB20AE"/>
    <w:rsid w:val="00DB248E"/>
    <w:rsid w:val="00DB4ED6"/>
    <w:rsid w:val="00DC1B7C"/>
    <w:rsid w:val="00DC7D4E"/>
    <w:rsid w:val="00DD1947"/>
    <w:rsid w:val="00DD2135"/>
    <w:rsid w:val="00DD2979"/>
    <w:rsid w:val="00DD2E17"/>
    <w:rsid w:val="00DD697F"/>
    <w:rsid w:val="00DE14A6"/>
    <w:rsid w:val="00DE1C01"/>
    <w:rsid w:val="00DE57BA"/>
    <w:rsid w:val="00DE6A2F"/>
    <w:rsid w:val="00DE762B"/>
    <w:rsid w:val="00DF14A0"/>
    <w:rsid w:val="00DF62CF"/>
    <w:rsid w:val="00DF6D21"/>
    <w:rsid w:val="00DF6F68"/>
    <w:rsid w:val="00E015C3"/>
    <w:rsid w:val="00E0327B"/>
    <w:rsid w:val="00E0546F"/>
    <w:rsid w:val="00E07DD7"/>
    <w:rsid w:val="00E117A7"/>
    <w:rsid w:val="00E12980"/>
    <w:rsid w:val="00E1350A"/>
    <w:rsid w:val="00E17D7C"/>
    <w:rsid w:val="00E2275F"/>
    <w:rsid w:val="00E24C80"/>
    <w:rsid w:val="00E30AC2"/>
    <w:rsid w:val="00E33ED5"/>
    <w:rsid w:val="00E34032"/>
    <w:rsid w:val="00E36932"/>
    <w:rsid w:val="00E36CBB"/>
    <w:rsid w:val="00E41D07"/>
    <w:rsid w:val="00E42F6C"/>
    <w:rsid w:val="00E458FE"/>
    <w:rsid w:val="00E47728"/>
    <w:rsid w:val="00E47CEE"/>
    <w:rsid w:val="00E5162C"/>
    <w:rsid w:val="00E51743"/>
    <w:rsid w:val="00E5229E"/>
    <w:rsid w:val="00E53963"/>
    <w:rsid w:val="00E550E5"/>
    <w:rsid w:val="00E57639"/>
    <w:rsid w:val="00E57BAB"/>
    <w:rsid w:val="00E63726"/>
    <w:rsid w:val="00E65615"/>
    <w:rsid w:val="00E65EC2"/>
    <w:rsid w:val="00E66798"/>
    <w:rsid w:val="00E71A9C"/>
    <w:rsid w:val="00E73235"/>
    <w:rsid w:val="00E757D4"/>
    <w:rsid w:val="00E80534"/>
    <w:rsid w:val="00E80B73"/>
    <w:rsid w:val="00E817F4"/>
    <w:rsid w:val="00E82353"/>
    <w:rsid w:val="00E82728"/>
    <w:rsid w:val="00E82DFA"/>
    <w:rsid w:val="00E835EE"/>
    <w:rsid w:val="00E9142E"/>
    <w:rsid w:val="00E91CBA"/>
    <w:rsid w:val="00E92A20"/>
    <w:rsid w:val="00E93938"/>
    <w:rsid w:val="00E96982"/>
    <w:rsid w:val="00E97656"/>
    <w:rsid w:val="00EA17BD"/>
    <w:rsid w:val="00EA3D82"/>
    <w:rsid w:val="00EA49D8"/>
    <w:rsid w:val="00EA693E"/>
    <w:rsid w:val="00EA6A71"/>
    <w:rsid w:val="00EB042B"/>
    <w:rsid w:val="00EB2776"/>
    <w:rsid w:val="00EB299E"/>
    <w:rsid w:val="00EB2BA0"/>
    <w:rsid w:val="00EB2BC5"/>
    <w:rsid w:val="00EB322F"/>
    <w:rsid w:val="00EB4A32"/>
    <w:rsid w:val="00EB7634"/>
    <w:rsid w:val="00EC0C16"/>
    <w:rsid w:val="00EC0FE2"/>
    <w:rsid w:val="00EC1062"/>
    <w:rsid w:val="00EC1BA2"/>
    <w:rsid w:val="00ED11F0"/>
    <w:rsid w:val="00ED5F45"/>
    <w:rsid w:val="00ED71B0"/>
    <w:rsid w:val="00EE01E3"/>
    <w:rsid w:val="00EE2AFC"/>
    <w:rsid w:val="00EE352E"/>
    <w:rsid w:val="00EE5FAE"/>
    <w:rsid w:val="00EE6D25"/>
    <w:rsid w:val="00EE719A"/>
    <w:rsid w:val="00EF04B5"/>
    <w:rsid w:val="00EF0C48"/>
    <w:rsid w:val="00EF3329"/>
    <w:rsid w:val="00EF37FD"/>
    <w:rsid w:val="00F01FED"/>
    <w:rsid w:val="00F024CA"/>
    <w:rsid w:val="00F028A9"/>
    <w:rsid w:val="00F10488"/>
    <w:rsid w:val="00F12AA1"/>
    <w:rsid w:val="00F137C9"/>
    <w:rsid w:val="00F147DE"/>
    <w:rsid w:val="00F1646F"/>
    <w:rsid w:val="00F17586"/>
    <w:rsid w:val="00F22AA6"/>
    <w:rsid w:val="00F24F0C"/>
    <w:rsid w:val="00F24F33"/>
    <w:rsid w:val="00F24FAA"/>
    <w:rsid w:val="00F27CED"/>
    <w:rsid w:val="00F30902"/>
    <w:rsid w:val="00F31D8B"/>
    <w:rsid w:val="00F32558"/>
    <w:rsid w:val="00F32D26"/>
    <w:rsid w:val="00F342C7"/>
    <w:rsid w:val="00F34C72"/>
    <w:rsid w:val="00F35868"/>
    <w:rsid w:val="00F361F3"/>
    <w:rsid w:val="00F43406"/>
    <w:rsid w:val="00F45F72"/>
    <w:rsid w:val="00F46038"/>
    <w:rsid w:val="00F540F8"/>
    <w:rsid w:val="00F57C2F"/>
    <w:rsid w:val="00F65AD1"/>
    <w:rsid w:val="00F6797C"/>
    <w:rsid w:val="00F67F7C"/>
    <w:rsid w:val="00F703FC"/>
    <w:rsid w:val="00F70A8C"/>
    <w:rsid w:val="00F72F51"/>
    <w:rsid w:val="00F7593A"/>
    <w:rsid w:val="00F82DF4"/>
    <w:rsid w:val="00F836BD"/>
    <w:rsid w:val="00F83DBA"/>
    <w:rsid w:val="00F85494"/>
    <w:rsid w:val="00F9021F"/>
    <w:rsid w:val="00F9122F"/>
    <w:rsid w:val="00F95BF0"/>
    <w:rsid w:val="00F96435"/>
    <w:rsid w:val="00F9684F"/>
    <w:rsid w:val="00F97787"/>
    <w:rsid w:val="00FA0185"/>
    <w:rsid w:val="00FA27B5"/>
    <w:rsid w:val="00FA68A2"/>
    <w:rsid w:val="00FB1F63"/>
    <w:rsid w:val="00FB2909"/>
    <w:rsid w:val="00FB3C8D"/>
    <w:rsid w:val="00FB3E1E"/>
    <w:rsid w:val="00FC0F99"/>
    <w:rsid w:val="00FC1AF0"/>
    <w:rsid w:val="00FC5C93"/>
    <w:rsid w:val="00FD0EC9"/>
    <w:rsid w:val="00FD1226"/>
    <w:rsid w:val="00FD4886"/>
    <w:rsid w:val="00FD4FD0"/>
    <w:rsid w:val="00FD60B8"/>
    <w:rsid w:val="00FD79E5"/>
    <w:rsid w:val="00FE0490"/>
    <w:rsid w:val="00FE0B9C"/>
    <w:rsid w:val="00FE1AD6"/>
    <w:rsid w:val="00FE5462"/>
    <w:rsid w:val="00FF1317"/>
    <w:rsid w:val="00FF2017"/>
    <w:rsid w:val="00FF4EA8"/>
    <w:rsid w:val="00FF5AD1"/>
    <w:rsid w:val="00FF7FC7"/>
    <w:rsid w:val="010F4A0D"/>
    <w:rsid w:val="01383226"/>
    <w:rsid w:val="01400B74"/>
    <w:rsid w:val="01697660"/>
    <w:rsid w:val="01A162AE"/>
    <w:rsid w:val="01F713CC"/>
    <w:rsid w:val="01F92149"/>
    <w:rsid w:val="01FB5CED"/>
    <w:rsid w:val="02035B27"/>
    <w:rsid w:val="028225AA"/>
    <w:rsid w:val="028252CF"/>
    <w:rsid w:val="02AF61ED"/>
    <w:rsid w:val="03416EBC"/>
    <w:rsid w:val="039B1A57"/>
    <w:rsid w:val="03B53D03"/>
    <w:rsid w:val="04174CE7"/>
    <w:rsid w:val="04581E66"/>
    <w:rsid w:val="04A836CA"/>
    <w:rsid w:val="04E07226"/>
    <w:rsid w:val="05B24682"/>
    <w:rsid w:val="071A103D"/>
    <w:rsid w:val="08170B90"/>
    <w:rsid w:val="084B3925"/>
    <w:rsid w:val="08612E0C"/>
    <w:rsid w:val="091F4FF4"/>
    <w:rsid w:val="09655945"/>
    <w:rsid w:val="098159DE"/>
    <w:rsid w:val="098E2536"/>
    <w:rsid w:val="09D35CA1"/>
    <w:rsid w:val="09DB49FA"/>
    <w:rsid w:val="0A354A5B"/>
    <w:rsid w:val="0A6F6D9D"/>
    <w:rsid w:val="0A77661D"/>
    <w:rsid w:val="0AB81CD0"/>
    <w:rsid w:val="0B1A7360"/>
    <w:rsid w:val="0B374EF2"/>
    <w:rsid w:val="0B7F00FD"/>
    <w:rsid w:val="0C010D9F"/>
    <w:rsid w:val="0C12799C"/>
    <w:rsid w:val="0C476219"/>
    <w:rsid w:val="0C864428"/>
    <w:rsid w:val="0C91631B"/>
    <w:rsid w:val="0CE05BC5"/>
    <w:rsid w:val="0D154CC9"/>
    <w:rsid w:val="0D3E2196"/>
    <w:rsid w:val="0D4D3F73"/>
    <w:rsid w:val="0D9D25A0"/>
    <w:rsid w:val="0DAC4BB0"/>
    <w:rsid w:val="0EF65C51"/>
    <w:rsid w:val="0F9A5DF8"/>
    <w:rsid w:val="103375D1"/>
    <w:rsid w:val="10A45323"/>
    <w:rsid w:val="11112F5D"/>
    <w:rsid w:val="11631488"/>
    <w:rsid w:val="116A07F8"/>
    <w:rsid w:val="118D2D1F"/>
    <w:rsid w:val="11F8308E"/>
    <w:rsid w:val="1235100E"/>
    <w:rsid w:val="12CF29A2"/>
    <w:rsid w:val="12D57F40"/>
    <w:rsid w:val="12D93012"/>
    <w:rsid w:val="13512F7E"/>
    <w:rsid w:val="1368616F"/>
    <w:rsid w:val="13C346EE"/>
    <w:rsid w:val="14B24D78"/>
    <w:rsid w:val="14BD46A8"/>
    <w:rsid w:val="1514088E"/>
    <w:rsid w:val="15287B5B"/>
    <w:rsid w:val="15742705"/>
    <w:rsid w:val="157532B1"/>
    <w:rsid w:val="15DB03B0"/>
    <w:rsid w:val="15F909E0"/>
    <w:rsid w:val="16AD2CF9"/>
    <w:rsid w:val="176D0270"/>
    <w:rsid w:val="17E60374"/>
    <w:rsid w:val="18234015"/>
    <w:rsid w:val="183E6411"/>
    <w:rsid w:val="1851041B"/>
    <w:rsid w:val="185C6092"/>
    <w:rsid w:val="18847556"/>
    <w:rsid w:val="1896306D"/>
    <w:rsid w:val="18C91ACE"/>
    <w:rsid w:val="18CE2F65"/>
    <w:rsid w:val="19BC2448"/>
    <w:rsid w:val="1A5437FE"/>
    <w:rsid w:val="1A854A8D"/>
    <w:rsid w:val="1A9839F7"/>
    <w:rsid w:val="1AA75EB9"/>
    <w:rsid w:val="1AEC104D"/>
    <w:rsid w:val="1B3042AB"/>
    <w:rsid w:val="1B4E50F4"/>
    <w:rsid w:val="1B643BEA"/>
    <w:rsid w:val="1BFD2B7C"/>
    <w:rsid w:val="1C8E0A7A"/>
    <w:rsid w:val="1CBA1A3C"/>
    <w:rsid w:val="1CC64148"/>
    <w:rsid w:val="1D0C69E7"/>
    <w:rsid w:val="1D2E46D1"/>
    <w:rsid w:val="1D682F47"/>
    <w:rsid w:val="1D7C02A2"/>
    <w:rsid w:val="1DAE5DE4"/>
    <w:rsid w:val="1DB0418E"/>
    <w:rsid w:val="1DB1780F"/>
    <w:rsid w:val="1DDB6104"/>
    <w:rsid w:val="1E2E18B0"/>
    <w:rsid w:val="1E4452E4"/>
    <w:rsid w:val="1EBD5D58"/>
    <w:rsid w:val="1EC8054B"/>
    <w:rsid w:val="1EDD4408"/>
    <w:rsid w:val="1EEE4CE1"/>
    <w:rsid w:val="1F0A4ECD"/>
    <w:rsid w:val="1F14017F"/>
    <w:rsid w:val="200421ED"/>
    <w:rsid w:val="204B2F76"/>
    <w:rsid w:val="20772A16"/>
    <w:rsid w:val="207A62E5"/>
    <w:rsid w:val="20835DE6"/>
    <w:rsid w:val="20D601F7"/>
    <w:rsid w:val="216E0696"/>
    <w:rsid w:val="219031D7"/>
    <w:rsid w:val="219051CD"/>
    <w:rsid w:val="219E21A1"/>
    <w:rsid w:val="21DB51B7"/>
    <w:rsid w:val="220339BD"/>
    <w:rsid w:val="222333C5"/>
    <w:rsid w:val="22FF7030"/>
    <w:rsid w:val="230115E1"/>
    <w:rsid w:val="23572296"/>
    <w:rsid w:val="23715F05"/>
    <w:rsid w:val="23A65384"/>
    <w:rsid w:val="23B34B7D"/>
    <w:rsid w:val="23B963C5"/>
    <w:rsid w:val="242D2C56"/>
    <w:rsid w:val="24535FED"/>
    <w:rsid w:val="245F3A34"/>
    <w:rsid w:val="24731B66"/>
    <w:rsid w:val="25072EB6"/>
    <w:rsid w:val="25303BD9"/>
    <w:rsid w:val="253B22B0"/>
    <w:rsid w:val="254323B2"/>
    <w:rsid w:val="25497180"/>
    <w:rsid w:val="25846E7D"/>
    <w:rsid w:val="25AC3F3D"/>
    <w:rsid w:val="25CA0211"/>
    <w:rsid w:val="26035FA5"/>
    <w:rsid w:val="2618212C"/>
    <w:rsid w:val="26427EC9"/>
    <w:rsid w:val="264E2DBE"/>
    <w:rsid w:val="276B5500"/>
    <w:rsid w:val="282160DF"/>
    <w:rsid w:val="282236C0"/>
    <w:rsid w:val="28534F91"/>
    <w:rsid w:val="2897445C"/>
    <w:rsid w:val="289E1188"/>
    <w:rsid w:val="28B71728"/>
    <w:rsid w:val="29615C2E"/>
    <w:rsid w:val="29C053B0"/>
    <w:rsid w:val="2A0322EA"/>
    <w:rsid w:val="2A0E7C02"/>
    <w:rsid w:val="2A303ABE"/>
    <w:rsid w:val="2A6F2E23"/>
    <w:rsid w:val="2A895E7D"/>
    <w:rsid w:val="2AB8007F"/>
    <w:rsid w:val="2AC618E7"/>
    <w:rsid w:val="2B125B9D"/>
    <w:rsid w:val="2B186E2E"/>
    <w:rsid w:val="2B1D3C7F"/>
    <w:rsid w:val="2B97430D"/>
    <w:rsid w:val="2C113E39"/>
    <w:rsid w:val="2C2C7A6F"/>
    <w:rsid w:val="2C52318D"/>
    <w:rsid w:val="2C92229D"/>
    <w:rsid w:val="2C972021"/>
    <w:rsid w:val="2CCE10E4"/>
    <w:rsid w:val="2D2077F6"/>
    <w:rsid w:val="2D304562"/>
    <w:rsid w:val="2D4D4896"/>
    <w:rsid w:val="2DC33794"/>
    <w:rsid w:val="2DCD3160"/>
    <w:rsid w:val="2E380744"/>
    <w:rsid w:val="2E4F65C2"/>
    <w:rsid w:val="2E7A4901"/>
    <w:rsid w:val="2E832749"/>
    <w:rsid w:val="2F133AE3"/>
    <w:rsid w:val="2F260FDF"/>
    <w:rsid w:val="2F34696E"/>
    <w:rsid w:val="2F3C11BA"/>
    <w:rsid w:val="2FAC1450"/>
    <w:rsid w:val="2FC61BEE"/>
    <w:rsid w:val="2FE96AC8"/>
    <w:rsid w:val="2FEE530B"/>
    <w:rsid w:val="300B251C"/>
    <w:rsid w:val="301D4C92"/>
    <w:rsid w:val="30825B5B"/>
    <w:rsid w:val="30971783"/>
    <w:rsid w:val="30C002E9"/>
    <w:rsid w:val="30DC72B2"/>
    <w:rsid w:val="312161B6"/>
    <w:rsid w:val="31791510"/>
    <w:rsid w:val="318679DD"/>
    <w:rsid w:val="318E0D7D"/>
    <w:rsid w:val="31917FC6"/>
    <w:rsid w:val="320121EC"/>
    <w:rsid w:val="32084E0A"/>
    <w:rsid w:val="32352E82"/>
    <w:rsid w:val="32367872"/>
    <w:rsid w:val="3280016A"/>
    <w:rsid w:val="338E1961"/>
    <w:rsid w:val="33E33933"/>
    <w:rsid w:val="33E46A9F"/>
    <w:rsid w:val="34A42EC5"/>
    <w:rsid w:val="34B238FE"/>
    <w:rsid w:val="34C35ABB"/>
    <w:rsid w:val="34CC3021"/>
    <w:rsid w:val="34F30C13"/>
    <w:rsid w:val="350477D8"/>
    <w:rsid w:val="35075017"/>
    <w:rsid w:val="351805EA"/>
    <w:rsid w:val="35385669"/>
    <w:rsid w:val="358B5FFD"/>
    <w:rsid w:val="35954F0D"/>
    <w:rsid w:val="35A163F9"/>
    <w:rsid w:val="35D04A10"/>
    <w:rsid w:val="35D96D2C"/>
    <w:rsid w:val="35E1179A"/>
    <w:rsid w:val="35F35A2F"/>
    <w:rsid w:val="361845C5"/>
    <w:rsid w:val="36640C34"/>
    <w:rsid w:val="36650897"/>
    <w:rsid w:val="370A26EA"/>
    <w:rsid w:val="374956B5"/>
    <w:rsid w:val="375E10CF"/>
    <w:rsid w:val="37814C0B"/>
    <w:rsid w:val="3819279D"/>
    <w:rsid w:val="384B3241"/>
    <w:rsid w:val="38B1580F"/>
    <w:rsid w:val="38D1324E"/>
    <w:rsid w:val="38E01BCD"/>
    <w:rsid w:val="39C24B12"/>
    <w:rsid w:val="39E32A6A"/>
    <w:rsid w:val="39EE1860"/>
    <w:rsid w:val="39F81180"/>
    <w:rsid w:val="3A541BC9"/>
    <w:rsid w:val="3A7E7A93"/>
    <w:rsid w:val="3B884C09"/>
    <w:rsid w:val="3B9C56F1"/>
    <w:rsid w:val="3BA0679E"/>
    <w:rsid w:val="3BA612E1"/>
    <w:rsid w:val="3BAF4226"/>
    <w:rsid w:val="3C4843A7"/>
    <w:rsid w:val="3C486D95"/>
    <w:rsid w:val="3C4B0667"/>
    <w:rsid w:val="3D1368B7"/>
    <w:rsid w:val="3D284F81"/>
    <w:rsid w:val="3D3038B1"/>
    <w:rsid w:val="3DE45407"/>
    <w:rsid w:val="3E52242B"/>
    <w:rsid w:val="3E7C3936"/>
    <w:rsid w:val="3EA77905"/>
    <w:rsid w:val="3F1A75B3"/>
    <w:rsid w:val="3F1D4CD6"/>
    <w:rsid w:val="3F1F3661"/>
    <w:rsid w:val="3F3D14E8"/>
    <w:rsid w:val="3F6E35CA"/>
    <w:rsid w:val="3F9A77FD"/>
    <w:rsid w:val="3FBC3223"/>
    <w:rsid w:val="3FCC27C6"/>
    <w:rsid w:val="3FDB398D"/>
    <w:rsid w:val="408A231A"/>
    <w:rsid w:val="40A1341B"/>
    <w:rsid w:val="40AE7B9B"/>
    <w:rsid w:val="40C81AB9"/>
    <w:rsid w:val="40ED67E2"/>
    <w:rsid w:val="41010C29"/>
    <w:rsid w:val="41420102"/>
    <w:rsid w:val="417C0CAE"/>
    <w:rsid w:val="41C56230"/>
    <w:rsid w:val="41D24314"/>
    <w:rsid w:val="41E53C9C"/>
    <w:rsid w:val="41EB15F1"/>
    <w:rsid w:val="41F43010"/>
    <w:rsid w:val="423D7815"/>
    <w:rsid w:val="42460ECC"/>
    <w:rsid w:val="425A0FC8"/>
    <w:rsid w:val="427A45D3"/>
    <w:rsid w:val="429F7150"/>
    <w:rsid w:val="4346281F"/>
    <w:rsid w:val="43794FC9"/>
    <w:rsid w:val="43C02C6A"/>
    <w:rsid w:val="43C72D34"/>
    <w:rsid w:val="44162EA6"/>
    <w:rsid w:val="445D2485"/>
    <w:rsid w:val="44A52346"/>
    <w:rsid w:val="44B60D5F"/>
    <w:rsid w:val="44C0784E"/>
    <w:rsid w:val="44C20F74"/>
    <w:rsid w:val="44FC44C0"/>
    <w:rsid w:val="452551E1"/>
    <w:rsid w:val="455866A3"/>
    <w:rsid w:val="46155B4A"/>
    <w:rsid w:val="463127BE"/>
    <w:rsid w:val="46323DF8"/>
    <w:rsid w:val="46415252"/>
    <w:rsid w:val="46915B41"/>
    <w:rsid w:val="469771AE"/>
    <w:rsid w:val="46A64D6B"/>
    <w:rsid w:val="47EE1107"/>
    <w:rsid w:val="47FB0CB4"/>
    <w:rsid w:val="484051B4"/>
    <w:rsid w:val="48DE28E6"/>
    <w:rsid w:val="48F30BBF"/>
    <w:rsid w:val="49B9049F"/>
    <w:rsid w:val="4A6E65A1"/>
    <w:rsid w:val="4A6F0C69"/>
    <w:rsid w:val="4AA76EF0"/>
    <w:rsid w:val="4AB0790C"/>
    <w:rsid w:val="4ABD72AC"/>
    <w:rsid w:val="4B515193"/>
    <w:rsid w:val="4C375182"/>
    <w:rsid w:val="4C537200"/>
    <w:rsid w:val="4C61461F"/>
    <w:rsid w:val="4C8C0DE5"/>
    <w:rsid w:val="4CA16CE7"/>
    <w:rsid w:val="4CB0358B"/>
    <w:rsid w:val="4CDE1AAF"/>
    <w:rsid w:val="4CFC11F6"/>
    <w:rsid w:val="4D463308"/>
    <w:rsid w:val="4D4D21DE"/>
    <w:rsid w:val="4D570019"/>
    <w:rsid w:val="4D6C0CEC"/>
    <w:rsid w:val="4D8443F1"/>
    <w:rsid w:val="4D8D28FE"/>
    <w:rsid w:val="4DC7252A"/>
    <w:rsid w:val="4E1613EF"/>
    <w:rsid w:val="4E3D01FB"/>
    <w:rsid w:val="4E477318"/>
    <w:rsid w:val="4E82320D"/>
    <w:rsid w:val="4E96525F"/>
    <w:rsid w:val="4FC4245B"/>
    <w:rsid w:val="501B737E"/>
    <w:rsid w:val="502C76B8"/>
    <w:rsid w:val="50443FC3"/>
    <w:rsid w:val="50B92707"/>
    <w:rsid w:val="50E52E49"/>
    <w:rsid w:val="50F07C31"/>
    <w:rsid w:val="515D7476"/>
    <w:rsid w:val="51946D08"/>
    <w:rsid w:val="51AE72C9"/>
    <w:rsid w:val="521E6F64"/>
    <w:rsid w:val="52FE35F6"/>
    <w:rsid w:val="531049FF"/>
    <w:rsid w:val="534A0E3B"/>
    <w:rsid w:val="53E42598"/>
    <w:rsid w:val="53EB7EDA"/>
    <w:rsid w:val="54107234"/>
    <w:rsid w:val="544B4683"/>
    <w:rsid w:val="5457508D"/>
    <w:rsid w:val="54C75ECE"/>
    <w:rsid w:val="550C3D1E"/>
    <w:rsid w:val="556E63B2"/>
    <w:rsid w:val="55947CAB"/>
    <w:rsid w:val="55A41D6D"/>
    <w:rsid w:val="55F1632C"/>
    <w:rsid w:val="565E76A8"/>
    <w:rsid w:val="566E1382"/>
    <w:rsid w:val="56C403FA"/>
    <w:rsid w:val="56F30113"/>
    <w:rsid w:val="57685589"/>
    <w:rsid w:val="57796D56"/>
    <w:rsid w:val="57C53F0A"/>
    <w:rsid w:val="58AA2A48"/>
    <w:rsid w:val="58E10956"/>
    <w:rsid w:val="59674B0A"/>
    <w:rsid w:val="59885748"/>
    <w:rsid w:val="5A7D2DE7"/>
    <w:rsid w:val="5A863A9F"/>
    <w:rsid w:val="5A976691"/>
    <w:rsid w:val="5AAD7461"/>
    <w:rsid w:val="5AE710EC"/>
    <w:rsid w:val="5B6C649C"/>
    <w:rsid w:val="5B6D4427"/>
    <w:rsid w:val="5B915E82"/>
    <w:rsid w:val="5BB31F9D"/>
    <w:rsid w:val="5BD8491E"/>
    <w:rsid w:val="5C200061"/>
    <w:rsid w:val="5C425BD1"/>
    <w:rsid w:val="5C8B2849"/>
    <w:rsid w:val="5D237D7E"/>
    <w:rsid w:val="5D267C49"/>
    <w:rsid w:val="5D65713A"/>
    <w:rsid w:val="5D8F45AE"/>
    <w:rsid w:val="5D922CEC"/>
    <w:rsid w:val="5DCB398B"/>
    <w:rsid w:val="5EB46DD0"/>
    <w:rsid w:val="5FEC322E"/>
    <w:rsid w:val="5FF6423C"/>
    <w:rsid w:val="6021447A"/>
    <w:rsid w:val="604E12EE"/>
    <w:rsid w:val="60646B3A"/>
    <w:rsid w:val="606D57C3"/>
    <w:rsid w:val="60FD7308"/>
    <w:rsid w:val="611A33F2"/>
    <w:rsid w:val="611F75ED"/>
    <w:rsid w:val="62430D39"/>
    <w:rsid w:val="62C42B68"/>
    <w:rsid w:val="634A2689"/>
    <w:rsid w:val="636B2786"/>
    <w:rsid w:val="63E46820"/>
    <w:rsid w:val="63ED0895"/>
    <w:rsid w:val="64062331"/>
    <w:rsid w:val="64A24F77"/>
    <w:rsid w:val="650723BE"/>
    <w:rsid w:val="66675547"/>
    <w:rsid w:val="66754E85"/>
    <w:rsid w:val="6686221C"/>
    <w:rsid w:val="66D23EC3"/>
    <w:rsid w:val="67126680"/>
    <w:rsid w:val="675B7A46"/>
    <w:rsid w:val="67876CB8"/>
    <w:rsid w:val="67B07DBC"/>
    <w:rsid w:val="67BF4A1D"/>
    <w:rsid w:val="67C3368A"/>
    <w:rsid w:val="6810794E"/>
    <w:rsid w:val="6815107E"/>
    <w:rsid w:val="68713487"/>
    <w:rsid w:val="689D2F5E"/>
    <w:rsid w:val="68A036A5"/>
    <w:rsid w:val="68C05C69"/>
    <w:rsid w:val="69277D5B"/>
    <w:rsid w:val="69795392"/>
    <w:rsid w:val="6A5A6504"/>
    <w:rsid w:val="6A94164D"/>
    <w:rsid w:val="6AA22745"/>
    <w:rsid w:val="6AED2123"/>
    <w:rsid w:val="6B9F4604"/>
    <w:rsid w:val="6C3A7249"/>
    <w:rsid w:val="6C7E0384"/>
    <w:rsid w:val="6CCC10AB"/>
    <w:rsid w:val="6D2E6C8C"/>
    <w:rsid w:val="6D4122F8"/>
    <w:rsid w:val="6D86169D"/>
    <w:rsid w:val="6DA05A4A"/>
    <w:rsid w:val="6DD9658D"/>
    <w:rsid w:val="6E186A09"/>
    <w:rsid w:val="6EA80DA9"/>
    <w:rsid w:val="6EB54A1B"/>
    <w:rsid w:val="6EC37B2C"/>
    <w:rsid w:val="6ED62534"/>
    <w:rsid w:val="6F5D65D4"/>
    <w:rsid w:val="6F627490"/>
    <w:rsid w:val="6F6F4A62"/>
    <w:rsid w:val="6FFB33DC"/>
    <w:rsid w:val="70232788"/>
    <w:rsid w:val="704E56E7"/>
    <w:rsid w:val="71063079"/>
    <w:rsid w:val="71AF3699"/>
    <w:rsid w:val="71BF7B77"/>
    <w:rsid w:val="71D30417"/>
    <w:rsid w:val="72031D1E"/>
    <w:rsid w:val="72490AC7"/>
    <w:rsid w:val="724F6C13"/>
    <w:rsid w:val="725C7675"/>
    <w:rsid w:val="72C21CA0"/>
    <w:rsid w:val="732338D8"/>
    <w:rsid w:val="736562E2"/>
    <w:rsid w:val="73C003D0"/>
    <w:rsid w:val="741778FA"/>
    <w:rsid w:val="748D750B"/>
    <w:rsid w:val="749964E2"/>
    <w:rsid w:val="74E91141"/>
    <w:rsid w:val="752B23D5"/>
    <w:rsid w:val="754154B5"/>
    <w:rsid w:val="75BE1CE3"/>
    <w:rsid w:val="75FC16F2"/>
    <w:rsid w:val="760C02DF"/>
    <w:rsid w:val="760D3967"/>
    <w:rsid w:val="760D7B29"/>
    <w:rsid w:val="767A2B54"/>
    <w:rsid w:val="76B34DDC"/>
    <w:rsid w:val="76D5112E"/>
    <w:rsid w:val="76D64807"/>
    <w:rsid w:val="76F422C2"/>
    <w:rsid w:val="77BD5309"/>
    <w:rsid w:val="77E668AE"/>
    <w:rsid w:val="78443C53"/>
    <w:rsid w:val="78CD72D0"/>
    <w:rsid w:val="796A5FED"/>
    <w:rsid w:val="79AE0298"/>
    <w:rsid w:val="79DE2967"/>
    <w:rsid w:val="79FB6D53"/>
    <w:rsid w:val="7A103BF6"/>
    <w:rsid w:val="7A551056"/>
    <w:rsid w:val="7B1F0E31"/>
    <w:rsid w:val="7B4B6D1C"/>
    <w:rsid w:val="7BB52862"/>
    <w:rsid w:val="7C1934A2"/>
    <w:rsid w:val="7CBA0784"/>
    <w:rsid w:val="7D082829"/>
    <w:rsid w:val="7D7D78A3"/>
    <w:rsid w:val="7DA11EBF"/>
    <w:rsid w:val="7DA86C57"/>
    <w:rsid w:val="7E5D56C0"/>
    <w:rsid w:val="7E7F42D9"/>
    <w:rsid w:val="7EB359E6"/>
    <w:rsid w:val="7EB4547E"/>
    <w:rsid w:val="7EF47CB9"/>
    <w:rsid w:val="7F040324"/>
    <w:rsid w:val="7F4B3B7B"/>
    <w:rsid w:val="7FE335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szCs w:val="26"/>
      <w:lang w:val="en-US" w:eastAsia="zh-CN" w:bidi="ar-SA"/>
    </w:rPr>
  </w:style>
  <w:style w:type="paragraph" w:styleId="5">
    <w:name w:val="heading 1"/>
    <w:basedOn w:val="1"/>
    <w:next w:val="1"/>
    <w:qFormat/>
    <w:uiPriority w:val="0"/>
    <w:pPr>
      <w:keepNext/>
      <w:keepLines/>
      <w:spacing w:before="340" w:after="330" w:line="578" w:lineRule="auto"/>
      <w:outlineLvl w:val="0"/>
    </w:pPr>
    <w:rPr>
      <w:rFonts w:eastAsia="宋体"/>
      <w:b/>
      <w:kern w:val="44"/>
      <w:sz w:val="44"/>
    </w:rPr>
  </w:style>
  <w:style w:type="paragraph" w:styleId="6">
    <w:name w:val="heading 2"/>
    <w:basedOn w:val="1"/>
    <w:next w:val="1"/>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qFormat/>
    <w:uiPriority w:val="0"/>
    <w:pPr>
      <w:keepNext/>
      <w:keepLines/>
      <w:adjustRightInd w:val="0"/>
      <w:jc w:val="left"/>
      <w:textAlignment w:val="baseline"/>
      <w:outlineLvl w:val="2"/>
    </w:pPr>
    <w:rPr>
      <w:rFonts w:eastAsia="宋体"/>
      <w:b/>
    </w:rPr>
  </w:style>
  <w:style w:type="paragraph" w:styleId="8">
    <w:name w:val="heading 4"/>
    <w:basedOn w:val="1"/>
    <w:next w:val="1"/>
    <w:qFormat/>
    <w:uiPriority w:val="99"/>
    <w:pPr>
      <w:keepNext/>
      <w:keepLines/>
      <w:spacing w:before="280" w:after="290" w:line="374" w:lineRule="auto"/>
      <w:outlineLvl w:val="3"/>
    </w:pPr>
    <w:rPr>
      <w:rFonts w:hint="eastAsia" w:ascii="Cambria" w:hAnsi="Cambria"/>
      <w:b/>
      <w:sz w:val="28"/>
      <w:szCs w:val="20"/>
    </w:rPr>
  </w:style>
  <w:style w:type="paragraph" w:styleId="9">
    <w:name w:val="heading 7"/>
    <w:basedOn w:val="1"/>
    <w:next w:val="1"/>
    <w:qFormat/>
    <w:uiPriority w:val="0"/>
    <w:pPr>
      <w:keepNext/>
      <w:keepLines/>
      <w:numPr>
        <w:ilvl w:val="6"/>
        <w:numId w:val="1"/>
      </w:numPr>
      <w:spacing w:before="240" w:after="64" w:line="320" w:lineRule="auto"/>
      <w:outlineLvl w:val="6"/>
    </w:pPr>
    <w:rPr>
      <w:rFonts w:ascii="宋体" w:eastAsia="宋体"/>
      <w:b/>
      <w:spacing w:val="-2"/>
      <w:position w:val="-6"/>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unhideWhenUsed/>
    <w:qFormat/>
    <w:uiPriority w:val="99"/>
    <w:pPr>
      <w:ind w:firstLine="420" w:firstLineChars="200"/>
    </w:pPr>
    <w:rPr>
      <w:rFonts w:ascii="Calibri" w:hAnsi="Calibri"/>
      <w:szCs w:val="26"/>
    </w:rPr>
  </w:style>
  <w:style w:type="paragraph" w:styleId="3">
    <w:name w:val="Body Text Indent"/>
    <w:basedOn w:val="1"/>
    <w:next w:val="4"/>
    <w:qFormat/>
    <w:uiPriority w:val="0"/>
    <w:pPr>
      <w:spacing w:after="120"/>
      <w:ind w:left="420" w:leftChars="200"/>
    </w:pPr>
    <w:rPr>
      <w:szCs w:val="24"/>
    </w:rPr>
  </w:style>
  <w:style w:type="paragraph" w:styleId="4">
    <w:name w:val="envelope return"/>
    <w:basedOn w:val="1"/>
    <w:unhideWhenUsed/>
    <w:qFormat/>
    <w:uiPriority w:val="99"/>
    <w:pPr>
      <w:snapToGrid w:val="0"/>
    </w:pPr>
    <w:rPr>
      <w:rFonts w:ascii="Arial" w:hAnsi="Arial"/>
    </w:rPr>
  </w:style>
  <w:style w:type="paragraph" w:styleId="10">
    <w:name w:val="Normal Indent"/>
    <w:basedOn w:val="1"/>
    <w:qFormat/>
    <w:uiPriority w:val="0"/>
    <w:pPr>
      <w:adjustRightInd w:val="0"/>
      <w:ind w:firstLine="420"/>
      <w:jc w:val="left"/>
      <w:textAlignment w:val="baseline"/>
    </w:pPr>
    <w:rPr>
      <w:sz w:val="24"/>
      <w:szCs w:val="20"/>
    </w:rPr>
  </w:style>
  <w:style w:type="paragraph" w:styleId="11">
    <w:name w:val="Document Map"/>
    <w:basedOn w:val="1"/>
    <w:link w:val="34"/>
    <w:qFormat/>
    <w:uiPriority w:val="0"/>
    <w:rPr>
      <w:rFonts w:ascii="宋体" w:eastAsia="宋体"/>
      <w:sz w:val="18"/>
      <w:szCs w:val="18"/>
    </w:rPr>
  </w:style>
  <w:style w:type="paragraph" w:styleId="12">
    <w:name w:val="annotation text"/>
    <w:basedOn w:val="1"/>
    <w:qFormat/>
    <w:uiPriority w:val="0"/>
    <w:pPr>
      <w:jc w:val="left"/>
    </w:pPr>
  </w:style>
  <w:style w:type="paragraph" w:styleId="13">
    <w:name w:val="Body Text"/>
    <w:basedOn w:val="1"/>
    <w:link w:val="45"/>
    <w:unhideWhenUsed/>
    <w:qFormat/>
    <w:uiPriority w:val="99"/>
    <w:pPr>
      <w:spacing w:after="120"/>
    </w:pPr>
    <w:rPr>
      <w:rFonts w:eastAsia="宋体"/>
      <w:sz w:val="21"/>
      <w:szCs w:val="24"/>
    </w:rPr>
  </w:style>
  <w:style w:type="paragraph" w:styleId="14">
    <w:name w:val="toc 3"/>
    <w:basedOn w:val="1"/>
    <w:next w:val="1"/>
    <w:qFormat/>
    <w:uiPriority w:val="0"/>
    <w:pPr>
      <w:ind w:left="840" w:leftChars="400"/>
    </w:pPr>
  </w:style>
  <w:style w:type="paragraph" w:styleId="15">
    <w:name w:val="Plain Text"/>
    <w:basedOn w:val="1"/>
    <w:qFormat/>
    <w:uiPriority w:val="0"/>
    <w:rPr>
      <w:rFonts w:ascii="宋体" w:hAnsi="Courier New"/>
    </w:rPr>
  </w:style>
  <w:style w:type="paragraph" w:styleId="16">
    <w:name w:val="Date"/>
    <w:basedOn w:val="1"/>
    <w:next w:val="1"/>
    <w:qFormat/>
    <w:uiPriority w:val="0"/>
    <w:rPr>
      <w:sz w:val="28"/>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adjustRightInd w:val="0"/>
      <w:jc w:val="left"/>
      <w:textAlignment w:val="baseline"/>
    </w:pPr>
    <w:rPr>
      <w:sz w:val="24"/>
      <w:szCs w:val="24"/>
    </w:rPr>
  </w:style>
  <w:style w:type="paragraph" w:styleId="21">
    <w:name w:val="Normal (Web)"/>
    <w:basedOn w:val="1"/>
    <w:qFormat/>
    <w:uiPriority w:val="0"/>
    <w:rPr>
      <w:sz w:val="24"/>
      <w:szCs w:val="24"/>
    </w:rPr>
  </w:style>
  <w:style w:type="paragraph" w:styleId="22">
    <w:name w:val="annotation subject"/>
    <w:basedOn w:val="12"/>
    <w:next w:val="12"/>
    <w:semiHidden/>
    <w:qFormat/>
    <w:uiPriority w:val="0"/>
    <w:rPr>
      <w:b/>
      <w:bCs/>
    </w:rPr>
  </w:style>
  <w:style w:type="paragraph" w:styleId="23">
    <w:name w:val="Body Text First Indent 2"/>
    <w:basedOn w:val="3"/>
    <w:unhideWhenUsed/>
    <w:qFormat/>
    <w:uiPriority w:val="99"/>
    <w:pPr>
      <w:ind w:firstLine="420" w:firstLineChars="2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qFormat/>
    <w:uiPriority w:val="0"/>
    <w:rPr>
      <w:rFonts w:cs="Times New Roman"/>
    </w:rPr>
  </w:style>
  <w:style w:type="character" w:styleId="29">
    <w:name w:val="FollowedHyperlink"/>
    <w:qFormat/>
    <w:uiPriority w:val="99"/>
    <w:rPr>
      <w:color w:val="333333"/>
      <w:u w:val="none"/>
    </w:rPr>
  </w:style>
  <w:style w:type="character" w:styleId="30">
    <w:name w:val="Hyperlink"/>
    <w:qFormat/>
    <w:uiPriority w:val="99"/>
    <w:rPr>
      <w:rFonts w:cs="Times New Roman"/>
      <w:color w:val="auto"/>
      <w:u w:val="none"/>
    </w:rPr>
  </w:style>
  <w:style w:type="character" w:styleId="31">
    <w:name w:val="annotation reference"/>
    <w:qFormat/>
    <w:uiPriority w:val="0"/>
    <w:rPr>
      <w:rFonts w:cs="Times New Roman"/>
      <w:sz w:val="21"/>
      <w:szCs w:val="21"/>
    </w:rPr>
  </w:style>
  <w:style w:type="paragraph" w:customStyle="1" w:styleId="32">
    <w:name w:val="正文文本首行缩进 21"/>
    <w:basedOn w:val="3"/>
    <w:unhideWhenUsed/>
    <w:qFormat/>
    <w:uiPriority w:val="99"/>
    <w:pPr>
      <w:ind w:firstLine="420" w:firstLineChars="200"/>
    </w:pPr>
    <w:rPr>
      <w:rFonts w:ascii="Calibri" w:hAnsi="Calibri"/>
    </w:rPr>
  </w:style>
  <w:style w:type="character" w:customStyle="1" w:styleId="33">
    <w:name w:val="font71"/>
    <w:qFormat/>
    <w:uiPriority w:val="0"/>
    <w:rPr>
      <w:rFonts w:hint="eastAsia" w:ascii="宋体" w:hAnsi="宋体" w:eastAsia="宋体" w:cs="宋体"/>
      <w:color w:val="000000"/>
      <w:sz w:val="20"/>
      <w:szCs w:val="20"/>
      <w:u w:val="none"/>
      <w:vertAlign w:val="superscript"/>
    </w:rPr>
  </w:style>
  <w:style w:type="character" w:customStyle="1" w:styleId="34">
    <w:name w:val="文档结构图 Char"/>
    <w:link w:val="11"/>
    <w:qFormat/>
    <w:uiPriority w:val="0"/>
    <w:rPr>
      <w:rFonts w:ascii="宋体"/>
      <w:kern w:val="2"/>
      <w:sz w:val="18"/>
      <w:szCs w:val="18"/>
    </w:rPr>
  </w:style>
  <w:style w:type="character" w:customStyle="1" w:styleId="35">
    <w:name w:val="列表段落 字符"/>
    <w:link w:val="36"/>
    <w:qFormat/>
    <w:uiPriority w:val="0"/>
    <w:rPr>
      <w:kern w:val="2"/>
      <w:sz w:val="26"/>
      <w:szCs w:val="26"/>
    </w:rPr>
  </w:style>
  <w:style w:type="paragraph" w:customStyle="1" w:styleId="36">
    <w:name w:val="列表段落"/>
    <w:basedOn w:val="1"/>
    <w:link w:val="35"/>
    <w:qFormat/>
    <w:uiPriority w:val="0"/>
    <w:pPr>
      <w:ind w:firstLine="420" w:firstLineChars="200"/>
    </w:pPr>
    <w:rPr>
      <w:rFonts w:eastAsia="宋体"/>
    </w:rPr>
  </w:style>
  <w:style w:type="character" w:customStyle="1" w:styleId="37">
    <w:name w:val="font41"/>
    <w:qFormat/>
    <w:uiPriority w:val="0"/>
    <w:rPr>
      <w:rFonts w:hint="eastAsia" w:ascii="宋体" w:hAnsi="宋体" w:eastAsia="宋体" w:cs="宋体"/>
      <w:color w:val="000000"/>
      <w:sz w:val="20"/>
      <w:szCs w:val="20"/>
      <w:u w:val="none"/>
    </w:rPr>
  </w:style>
  <w:style w:type="character" w:customStyle="1" w:styleId="38">
    <w:name w:val="font101"/>
    <w:qFormat/>
    <w:uiPriority w:val="0"/>
    <w:rPr>
      <w:rFonts w:hint="eastAsia" w:ascii="微软雅黑" w:hAnsi="微软雅黑" w:eastAsia="微软雅黑" w:cs="微软雅黑"/>
      <w:color w:val="000000"/>
      <w:sz w:val="20"/>
      <w:szCs w:val="20"/>
      <w:u w:val="none"/>
      <w:vertAlign w:val="superscript"/>
    </w:rPr>
  </w:style>
  <w:style w:type="character" w:customStyle="1" w:styleId="39">
    <w:name w:val="font61"/>
    <w:qFormat/>
    <w:uiPriority w:val="0"/>
    <w:rPr>
      <w:rFonts w:ascii="宋体" w:hAnsi="宋体" w:eastAsia="宋体" w:cs="宋体"/>
      <w:color w:val="0000FF"/>
      <w:sz w:val="21"/>
      <w:szCs w:val="21"/>
    </w:rPr>
  </w:style>
  <w:style w:type="character" w:customStyle="1" w:styleId="40">
    <w:name w:val="font21"/>
    <w:qFormat/>
    <w:uiPriority w:val="0"/>
    <w:rPr>
      <w:rFonts w:hint="eastAsia" w:ascii="宋体" w:hAnsi="宋体" w:eastAsia="宋体" w:cs="宋体"/>
      <w:b/>
      <w:color w:val="000000"/>
      <w:sz w:val="20"/>
      <w:szCs w:val="20"/>
      <w:u w:val="none"/>
    </w:rPr>
  </w:style>
  <w:style w:type="character" w:customStyle="1" w:styleId="41">
    <w:name w:val="font51"/>
    <w:qFormat/>
    <w:uiPriority w:val="0"/>
    <w:rPr>
      <w:rFonts w:ascii="font-weight : 400" w:hAnsi="font-weight : 400" w:eastAsia="font-weight : 400" w:cs="font-weight : 400"/>
      <w:color w:val="000000"/>
      <w:sz w:val="20"/>
      <w:szCs w:val="20"/>
      <w:u w:val="none"/>
    </w:rPr>
  </w:style>
  <w:style w:type="paragraph" w:customStyle="1" w:styleId="42">
    <w:name w:val="_Style 7"/>
    <w:basedOn w:val="1"/>
    <w:qFormat/>
    <w:uiPriority w:val="0"/>
    <w:pPr>
      <w:ind w:firstLine="420" w:firstLineChars="200"/>
    </w:pPr>
    <w:rPr>
      <w:rFonts w:eastAsia="宋体"/>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4">
    <w:name w:val="列出段落1"/>
    <w:basedOn w:val="1"/>
    <w:qFormat/>
    <w:uiPriority w:val="34"/>
    <w:pPr>
      <w:ind w:firstLine="420" w:firstLineChars="200"/>
    </w:pPr>
    <w:rPr>
      <w:rFonts w:ascii="Calibri" w:hAnsi="Calibri" w:eastAsia="宋体"/>
    </w:rPr>
  </w:style>
  <w:style w:type="character" w:customStyle="1" w:styleId="45">
    <w:name w:val="正文文本 Char"/>
    <w:basedOn w:val="26"/>
    <w:link w:val="13"/>
    <w:qFormat/>
    <w:uiPriority w:val="99"/>
    <w:rPr>
      <w:kern w:val="2"/>
      <w:sz w:val="21"/>
      <w:szCs w:val="24"/>
    </w:rPr>
  </w:style>
  <w:style w:type="paragraph" w:styleId="46">
    <w:name w:val="List Paragraph"/>
    <w:basedOn w:val="1"/>
    <w:unhideWhenUsed/>
    <w:qFormat/>
    <w:uiPriority w:val="99"/>
    <w:pPr>
      <w:ind w:firstLine="420" w:firstLineChars="200"/>
    </w:pPr>
  </w:style>
  <w:style w:type="paragraph" w:customStyle="1" w:styleId="47">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48">
    <w:name w:val="No Spacing"/>
    <w:qFormat/>
    <w:uiPriority w:val="1"/>
    <w:pPr>
      <w:widowControl w:val="0"/>
    </w:pPr>
    <w:rPr>
      <w:rFonts w:eastAsia="仿宋" w:asciiTheme="minorHAnsi" w:hAnsiTheme="minorHAnsi"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17050</Words>
  <Characters>17318</Characters>
  <Lines>134</Lines>
  <Paragraphs>37</Paragraphs>
  <TotalTime>0</TotalTime>
  <ScaleCrop>false</ScaleCrop>
  <LinksUpToDate>false</LinksUpToDate>
  <CharactersWithSpaces>18045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2024-08-05T00:53:00Z</dcterms:created>
  <dc:creator>asus</dc:creator>
  <cp:lastModifiedBy>Ichimaru_Gin</cp:lastModifiedBy>
  <cp:lastPrinted>2021-08-11T00:58:00Z</cp:lastPrinted>
  <dcterms:modified xsi:type="dcterms:W3CDTF">2024-09-07T00:31:53Z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E16D653F4CA4441BB32D60A9ACAABB4D</vt:lpwstr>
  </property>
</Properties>
</file>