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评分细则：</w:t>
      </w:r>
    </w:p>
    <w:p>
      <w:pPr>
        <w:adjustRightInd w:val="0"/>
        <w:snapToGrid w:val="0"/>
        <w:spacing w:line="500" w:lineRule="exact"/>
        <w:jc w:val="left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ascii="宋体" w:hAnsi="宋体"/>
          <w:b/>
          <w:sz w:val="28"/>
          <w:szCs w:val="28"/>
          <w:lang w:val="zh-CN"/>
        </w:rPr>
        <w:t>商务技术分</w:t>
      </w:r>
      <w:r>
        <w:rPr>
          <w:rFonts w:ascii="宋体" w:hAnsi="宋体"/>
          <w:sz w:val="28"/>
          <w:szCs w:val="28"/>
          <w:lang w:val="zh-CN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75</w:t>
      </w:r>
      <w:r>
        <w:rPr>
          <w:rFonts w:ascii="宋体" w:hAnsi="宋体"/>
          <w:sz w:val="28"/>
          <w:szCs w:val="28"/>
          <w:lang w:val="zh-CN"/>
        </w:rPr>
        <w:t>分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各供应商得分为磋商小组成员评分的算术平均分，分值保留小数点后两位。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850"/>
        <w:gridCol w:w="470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评审标准说明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类似业绩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供应商承接过公共建筑室内装饰工程施工业绩的，有1个得2分，最多得6分。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每个业绩须同时提供：成交通知书、合同、竣工验收证明、招标（采购）单位对履约情况的正面评价，上述四项材料缺一不可，且复印件或扫描打印件均须加盖供应商公章。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施工管理及人员配置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（1）拟派项目负责人（项目经理）具有工程类中级职称的，得3分；具有高级职称的，得5分。本项最多得5分。</w:t>
            </w:r>
          </w:p>
          <w:p>
            <w:pPr>
              <w:pStyle w:val="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须提供：职称证书的复印件或扫描打印件，并加盖供应商公章。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提供拟派项目负责人（项目经理）全程现场跟班作业的承诺书，得3分。</w:t>
            </w:r>
          </w:p>
          <w:p>
            <w:pPr>
              <w:pStyle w:val="8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须提供：加盖供应商公章的承诺书原件（副本中可以为复印件）。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安全员跟班作业承诺函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提供本项目安全员的安全考核C证及现场安全员跟班作业的承诺书。符合上述要求的得3分。</w:t>
            </w:r>
          </w:p>
          <w:p>
            <w:pPr>
              <w:pStyle w:val="8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须同时提供：安全员的安全考核C证的复印件或扫描打印件，并加盖供应商公章；加盖供应商公章的承诺书原件（副本中可以为复印件）；社保机构出具并盖章的供应商为其连续交纳的近1个月（至少缴纳至2024年6月）的养老保险缴费清单（可提供官网打印的具有二维码或验证码的缴费清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展示柜（候诊区）深化设计</w:t>
            </w:r>
          </w:p>
        </w:tc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展示柜（候诊区）须由供应商进行二次深化设计，根据各供应商提供的设计成果（含彩色平面效果图）进行评分。采购单位对未成交的设计成果不予任何补偿。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（1）构思新颖，主题突出，富有创造力，材质、色调和谐统一，的，得10分；构思一般，但不新颖，创造力不强的，得6分；构思一般，或者材质、色调不和谐的，得2分；未提供或提供不全的，不得分。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2）提供“成交后，若采购单位对成交设计方案有局部调整要求，供应商须无条件在规定时间内完成，且不增加任何费用（含方案优化调整费用及造价调整费用）”的承诺书，得3分。正本中必须为原件，副本中可以为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服务窗口柜台深化设计</w:t>
            </w:r>
          </w:p>
        </w:tc>
        <w:tc>
          <w:tcPr>
            <w:tcW w:w="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服务窗口柜台须由供应商进行二次深化设计，根据各供应商提供的设计成果（含彩色平面效果图）进行评分。采购单位对未成交的设计成果不予任何补偿。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（1）构思新颖，主题突出，富有创造力，材质、色调和谐统一，的，得10分；构思一般，但不新颖，创造力不强的，得6分；构思一般，或者材质、色调不和谐的，得2分；未提供或提供不全的，不得分。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2）提供“成交后，若采购单位对成交设计方案有局部调整要求，供应商须无条件在规定时间内完成，且不增加任何费用（含方案优化调整费用及造价调整费用）”的承诺书，得3分。正本中必须为原件，副本中可以为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工程概况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对工程特点、施工条件、合同工期作简要概述。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施工部署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明确项目总体布置、施工组织结构、工程项目内容及分工、项目施工顺序等。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施工总平面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布置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包括建筑物所处的周围的坐标，施工保护措施的搭设，材料堆放，水、电、路、主要施工机械布置，排水系统等。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施工计划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提供施工网络计划图或施工进度横道图。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主要施工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方法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包括关键工序、特殊过程的确认及施工方法、技术要求。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工期保证措施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工期目标及工期保证措施。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质量保证措施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质量目标，结合本项目特点，制定具体项目中的质量保证措施。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文明施工</w:t>
            </w:r>
          </w:p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文明施工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目标，结合本项目特点，制定具体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安全文明施工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措施专篇。内容全面科学、措施得当，具有针对性得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分；内容较全面、措施较合理，具有一定的针对性得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分；内容粗略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 w:bidi="ar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针对性有所欠缺得1分；缺项得0分。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服务响应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</w:rPr>
              <w:t>保障措施</w:t>
            </w:r>
          </w:p>
        </w:tc>
        <w:tc>
          <w:tcPr>
            <w:tcW w:w="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供应商有“2年免费质保期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（有防水要求的为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内，供应商须提供7*24小时电话响应服务，6小时内到达现场响应服务和12小时内免费修复服务完成”的承诺，同时具有保障措施的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得</w:t>
            </w:r>
            <w:r>
              <w:rPr>
                <w:rFonts w:hint="eastAsia" w:ascii="宋体" w:hAnsi="宋体"/>
                <w:sz w:val="24"/>
                <w:lang w:eastAsia="zh-CN"/>
              </w:rPr>
              <w:t>基本分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，在此基础上，若保障措施可行的加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3分，最多得6分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供应商有“2年免费质保期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（有防水要求的为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5年免费质保期</w:t>
            </w:r>
            <w:r>
              <w:rPr>
                <w:rFonts w:hint="eastAsia" w:ascii="宋体" w:hAnsi="宋体"/>
                <w:sz w:val="24"/>
                <w:lang w:eastAsia="zh-CN"/>
              </w:rPr>
              <w:t>）内</w:t>
            </w:r>
            <w:r>
              <w:rPr>
                <w:rFonts w:hint="eastAsia" w:ascii="宋体" w:hAnsi="宋体"/>
                <w:sz w:val="24"/>
              </w:rPr>
              <w:t>，供应商须提供7*24小时电话响应服务，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小时内到达现场响应服务和8小时内免费修复服务完成”的承诺，同时具有保障措施的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得</w:t>
            </w:r>
            <w:r>
              <w:rPr>
                <w:rFonts w:hint="eastAsia" w:ascii="宋体" w:hAnsi="宋体"/>
                <w:sz w:val="24"/>
                <w:lang w:eastAsia="zh-CN"/>
              </w:rPr>
              <w:t>基本分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eastAsia="zh-CN"/>
              </w:rPr>
              <w:t>，在此基础上，若保障措施可行的加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3分，此项最多得8分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sz w:val="24"/>
              </w:rPr>
              <w:t>仅提供承诺函未提供保障措施的，得</w:t>
            </w:r>
            <w:r>
              <w:rPr>
                <w:rFonts w:hint="eastAsia" w:ascii="宋体" w:hAnsi="宋体"/>
                <w:sz w:val="24"/>
                <w:lang w:eastAsia="zh-CN"/>
              </w:rPr>
              <w:t>相应基本分的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1/2分；</w:t>
            </w:r>
            <w:r>
              <w:rPr>
                <w:rFonts w:hint="eastAsia" w:ascii="宋体" w:hAnsi="宋体"/>
                <w:sz w:val="24"/>
              </w:rPr>
              <w:t>供应商</w:t>
            </w:r>
            <w:r>
              <w:rPr>
                <w:rFonts w:hint="eastAsia" w:ascii="宋体" w:hAnsi="宋体"/>
                <w:sz w:val="24"/>
                <w:lang w:eastAsia="zh-CN"/>
              </w:rPr>
              <w:t>未</w:t>
            </w:r>
            <w:r>
              <w:rPr>
                <w:rFonts w:hint="eastAsia" w:ascii="宋体" w:hAnsi="宋体"/>
                <w:sz w:val="24"/>
              </w:rPr>
              <w:t>承诺的，视为响应磋商文件的基本要求，不得分。</w:t>
            </w:r>
          </w:p>
        </w:tc>
      </w:tr>
    </w:tbl>
    <w:p>
      <w:pPr>
        <w:widowControl/>
        <w:adjustRightInd w:val="0"/>
        <w:snapToGrid w:val="0"/>
        <w:spacing w:line="500" w:lineRule="exact"/>
        <w:textAlignment w:val="baseline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备注：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供应商的商务技术得分小于3</w:t>
      </w:r>
      <w:r>
        <w:rPr>
          <w:rFonts w:hint="eastAsia" w:ascii="宋体" w:hAnsi="宋体"/>
          <w:kern w:val="0"/>
          <w:sz w:val="28"/>
          <w:szCs w:val="28"/>
          <w:highlight w:val="yellow"/>
          <w:lang w:val="en-US" w:eastAsia="zh-CN"/>
        </w:rPr>
        <w:t>7.5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分时，</w:t>
      </w:r>
      <w:r>
        <w:rPr>
          <w:rFonts w:ascii="宋体" w:hAnsi="宋体"/>
          <w:kern w:val="0"/>
          <w:sz w:val="28"/>
          <w:szCs w:val="28"/>
          <w:highlight w:val="yellow"/>
        </w:rPr>
        <w:t>视为未实质性响应采购文件要求，作为无效</w:t>
      </w:r>
      <w:r>
        <w:rPr>
          <w:rFonts w:hint="eastAsia" w:ascii="宋体" w:hAnsi="宋体"/>
          <w:kern w:val="0"/>
          <w:sz w:val="28"/>
          <w:szCs w:val="28"/>
          <w:highlight w:val="yellow"/>
        </w:rPr>
        <w:t>响应</w:t>
      </w:r>
      <w:r>
        <w:rPr>
          <w:rFonts w:ascii="宋体" w:hAnsi="宋体"/>
          <w:kern w:val="0"/>
          <w:sz w:val="28"/>
          <w:szCs w:val="28"/>
          <w:highlight w:val="yellow"/>
        </w:rPr>
        <w:t>处理。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</w:rPr>
        <w:t>报价</w:t>
      </w:r>
      <w:r>
        <w:rPr>
          <w:rFonts w:ascii="宋体" w:hAnsi="宋体"/>
          <w:b/>
          <w:sz w:val="28"/>
          <w:szCs w:val="28"/>
          <w:lang w:val="zh-CN"/>
        </w:rPr>
        <w:t>分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ascii="宋体" w:hAnsi="宋体"/>
          <w:sz w:val="28"/>
          <w:szCs w:val="28"/>
          <w:lang w:val="zh-CN"/>
        </w:rPr>
        <w:t>分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</w:t>
      </w:r>
      <w:r>
        <w:rPr>
          <w:rFonts w:ascii="宋体" w:hAnsi="宋体"/>
          <w:sz w:val="28"/>
          <w:szCs w:val="28"/>
        </w:rPr>
        <w:t>分统一采用低价优先法计算，即满足磋商文件要求且最后报价最低的供应商的价格为磋商基准价，其价格分为满分。其他供应商的价格分统一按照下列公式计算：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/>
        </w:rPr>
      </w:pPr>
      <w:r>
        <w:rPr>
          <w:rFonts w:ascii="宋体" w:hAnsi="宋体"/>
          <w:sz w:val="28"/>
          <w:szCs w:val="28"/>
        </w:rPr>
        <w:t>磋商报价得分=（磋商基准价/最后磋商报价）×价格权值×100</w:t>
      </w:r>
    </w:p>
    <w:p/>
    <w:sectPr>
      <w:pgSz w:w="11906" w:h="16838"/>
      <w:pgMar w:top="1440" w:right="1066" w:bottom="8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C3F09"/>
    <w:multiLevelType w:val="singleLevel"/>
    <w:tmpl w:val="3D0C3F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58C52108"/>
    <w:rsid w:val="231D1DE6"/>
    <w:rsid w:val="42295A25"/>
    <w:rsid w:val="58C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Arial"/>
      <w:snapToGrid/>
      <w:kern w:val="2"/>
    </w:rPr>
  </w:style>
  <w:style w:type="paragraph" w:styleId="5">
    <w:name w:val="Body Text Indent 3"/>
    <w:basedOn w:val="1"/>
    <w:next w:val="6"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snapToGrid/>
      <w:sz w:val="36"/>
      <w:szCs w:val="20"/>
    </w:rPr>
  </w:style>
  <w:style w:type="paragraph" w:styleId="7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/>
      <w:snapToGrid/>
      <w:kern w:val="2"/>
    </w:rPr>
  </w:style>
  <w:style w:type="paragraph" w:styleId="8">
    <w:name w:val="footnote text"/>
    <w:basedOn w:val="1"/>
    <w:next w:val="7"/>
    <w:qFormat/>
    <w:uiPriority w:val="0"/>
    <w:pPr>
      <w:adjustRightInd w:val="0"/>
      <w:spacing w:line="312" w:lineRule="atLeast"/>
      <w:jc w:val="left"/>
      <w:textAlignment w:val="baseline"/>
    </w:pPr>
    <w:rPr>
      <w:rFonts w:ascii="Times New Roman" w:hAnsi="Times New Roman" w:eastAsia="宋体"/>
      <w:snapToGrid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4704</Words>
  <Characters>4962</Characters>
  <Lines>0</Lines>
  <Paragraphs>0</Paragraphs>
  <TotalTime>0</TotalTime>
  <ScaleCrop>false</ScaleCrop>
  <LinksUpToDate>false</LinksUpToDate>
  <CharactersWithSpaces>5008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2024-07-09T10:39:00Z</dcterms:created>
  <dc:creator>wlgc-chenjuan</dc:creator>
  <cp:lastModifiedBy>wlgc-chenjuan</cp:lastModifiedBy>
  <dcterms:modified xsi:type="dcterms:W3CDTF">2024-07-09T10:46:18Z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C5C99FB01DE34CB2A55AE57E55A7638F_11</vt:lpwstr>
  </property>
</Properties>
</file>