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南通市托育综合服务指导中心改造、南通市妇幼保健院皮肤诊疗美容中心及中医馆改造工程监理</w:t>
      </w:r>
    </w:p>
    <w:p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ascii="仿宋" w:hAnsi="仿宋" w:eastAsia="仿宋" w:cs="宋体"/>
          <w:b/>
          <w:bCs/>
          <w:sz w:val="24"/>
          <w:szCs w:val="24"/>
        </w:rPr>
        <w:t>WLDL20240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6082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2024年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13913F79"/>
    <w:rsid w:val="174971E5"/>
    <w:rsid w:val="25237319"/>
    <w:rsid w:val="2A0F00F5"/>
    <w:rsid w:val="35F61951"/>
    <w:rsid w:val="422C6754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325</Words>
  <Characters>356</Characters>
  <Lines>4</Lines>
  <Paragraphs>1</Paragraphs>
  <TotalTime>16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2024-06-20T08:57:56Z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090966D426F54491B0E101D4C329395B</vt:lpwstr>
  </property>
</Properties>
</file>