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spacing w:line="360" w:lineRule="auto"/>
        <w:ind w:left="3855" w:hanging="3855" w:hangingChars="800"/>
        <w:rPr>
          <w:rFonts w:hint="eastAsia" w:ascii="宋体" w:hAnsi="宋体" w:cs="宋体"/>
          <w:b/>
          <w:bCs/>
          <w:sz w:val="48"/>
          <w:szCs w:val="48"/>
          <w:lang w:eastAsia="zh-CN"/>
        </w:rPr>
      </w:pPr>
    </w:p>
    <w:p>
      <w:pPr>
        <w:rPr>
          <w:rFonts w:hint="eastAsia"/>
        </w:rPr>
      </w:pPr>
      <w:r>
        <w:rPr>
          <w:rFonts w:hint="eastAsia" w:ascii="宋体" w:hAnsi="宋体" w:cs="宋体"/>
          <w:b/>
          <w:bCs/>
          <w:sz w:val="48"/>
          <w:szCs w:val="48"/>
          <w:lang w:eastAsia="zh-CN"/>
        </w:rPr>
        <w:t>南通市妇幼保健院中央空调水处理服务项目</w:t>
      </w:r>
    </w:p>
    <w:p>
      <w:pPr>
        <w:pStyle w:val="2"/>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rPr>
          <w:rFonts w:hint="eastAsia"/>
        </w:rPr>
      </w:pPr>
    </w:p>
    <w:p>
      <w:pPr>
        <w:rPr>
          <w:rFonts w:hint="eastAsia"/>
        </w:rPr>
      </w:pPr>
    </w:p>
    <w:p>
      <w:pPr>
        <w:rPr>
          <w:rFonts w:hint="eastAsia"/>
        </w:rPr>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pStyle w:val="2"/>
        <w:rPr>
          <w:rFonts w:hint="eastAsia"/>
        </w:rPr>
      </w:pPr>
    </w:p>
    <w:p>
      <w:pPr>
        <w:pStyle w:val="20"/>
      </w:pPr>
    </w:p>
    <w:p/>
    <w:p>
      <w:pPr>
        <w:snapToGrid w:val="0"/>
        <w:spacing w:line="360" w:lineRule="auto"/>
        <w:jc w:val="center"/>
        <w:rPr>
          <w:sz w:val="32"/>
          <w:szCs w:val="32"/>
        </w:rPr>
      </w:pPr>
    </w:p>
    <w:p>
      <w:pPr>
        <w:spacing w:line="360" w:lineRule="auto"/>
        <w:jc w:val="center"/>
        <w:rPr>
          <w:rFonts w:ascii="宋体"/>
          <w:b/>
          <w:bCs/>
          <w:sz w:val="44"/>
          <w:szCs w:val="44"/>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rPr>
          <w:rFonts w:hint="eastAsia"/>
        </w:rPr>
      </w:pPr>
    </w:p>
    <w:p>
      <w:pPr>
        <w:adjustRightInd w:val="0"/>
        <w:snapToGrid w:val="0"/>
        <w:spacing w:line="360" w:lineRule="auto"/>
        <w:ind w:firstLine="1205" w:firstLineChars="400"/>
        <w:jc w:val="left"/>
        <w:rPr>
          <w:rFonts w:hint="eastAsia" w:ascii="宋体" w:hAnsi="宋体" w:cs="宋体"/>
          <w:b/>
          <w:bCs/>
          <w:sz w:val="30"/>
          <w:szCs w:val="30"/>
        </w:rPr>
      </w:pPr>
      <w:bookmarkStart w:id="0" w:name="_Toc94585339"/>
      <w:bookmarkStart w:id="1" w:name="_Toc12670502"/>
      <w:bookmarkStart w:id="2" w:name="_Toc8895738"/>
      <w:bookmarkStart w:id="3" w:name="_Toc11500279"/>
      <w:bookmarkStart w:id="4" w:name="_Toc521203417"/>
      <w:bookmarkStart w:id="5" w:name="_Toc94544743"/>
      <w:bookmarkStart w:id="6" w:name="_Toc11554638"/>
      <w:bookmarkStart w:id="7" w:name="_Toc11499583"/>
      <w:bookmarkStart w:id="8" w:name="_Toc521201596"/>
      <w:bookmarkStart w:id="9" w:name="_Toc94544827"/>
      <w:r>
        <w:rPr>
          <w:rFonts w:hint="eastAsia" w:ascii="宋体" w:hAnsi="宋体" w:cs="宋体"/>
          <w:b/>
          <w:bCs/>
          <w:sz w:val="30"/>
          <w:szCs w:val="30"/>
        </w:rPr>
        <w:t>采购单位：南通市妇幼保健院</w:t>
      </w:r>
    </w:p>
    <w:p>
      <w:pPr>
        <w:adjustRightInd w:val="0"/>
        <w:snapToGrid w:val="0"/>
        <w:spacing w:line="360" w:lineRule="auto"/>
        <w:ind w:firstLine="1205" w:firstLineChars="400"/>
        <w:jc w:val="left"/>
        <w:rPr>
          <w:rFonts w:hint="eastAsia" w:ascii="宋体" w:hAnsi="宋体" w:eastAsia="宋体" w:cs="宋体"/>
          <w:b/>
          <w:bCs/>
          <w:sz w:val="30"/>
          <w:szCs w:val="30"/>
          <w:lang w:eastAsia="zh-CN"/>
        </w:rPr>
      </w:pPr>
      <w:r>
        <w:rPr>
          <w:rFonts w:hint="eastAsia" w:ascii="宋体" w:hAnsi="宋体" w:cs="宋体"/>
          <w:b/>
          <w:bCs/>
          <w:sz w:val="30"/>
          <w:szCs w:val="30"/>
        </w:rPr>
        <w:t>代理机构：</w:t>
      </w:r>
      <w:r>
        <w:rPr>
          <w:rFonts w:hint="eastAsia" w:ascii="宋体" w:hAnsi="宋体" w:cs="宋体"/>
          <w:b/>
          <w:bCs/>
          <w:sz w:val="30"/>
          <w:szCs w:val="30"/>
          <w:lang w:eastAsia="zh-CN"/>
        </w:rPr>
        <w:t>中证房地产评估造价集团有限公司</w:t>
      </w:r>
    </w:p>
    <w:p>
      <w:pPr>
        <w:adjustRightInd w:val="0"/>
        <w:snapToGrid w:val="0"/>
        <w:spacing w:line="360" w:lineRule="auto"/>
        <w:jc w:val="center"/>
        <w:rPr>
          <w:rFonts w:ascii="宋体" w:hAnsi="宋体" w:cs="宋体"/>
          <w:b/>
          <w:bCs/>
          <w:w w:val="80"/>
          <w:sz w:val="52"/>
          <w:szCs w:val="52"/>
        </w:rPr>
      </w:pPr>
      <w:r>
        <w:rPr>
          <w:rFonts w:hint="eastAsia" w:ascii="宋体" w:hAnsi="宋体" w:cs="宋体"/>
          <w:b/>
          <w:bCs/>
          <w:sz w:val="30"/>
          <w:szCs w:val="30"/>
        </w:rPr>
        <w:t>二〇二</w:t>
      </w:r>
      <w:r>
        <w:rPr>
          <w:rFonts w:hint="eastAsia" w:ascii="宋体" w:hAnsi="宋体" w:cs="宋体"/>
          <w:b/>
          <w:bCs/>
          <w:sz w:val="30"/>
          <w:szCs w:val="30"/>
          <w:lang w:eastAsia="zh-CN"/>
        </w:rPr>
        <w:t>四</w:t>
      </w:r>
      <w:r>
        <w:rPr>
          <w:rFonts w:hint="eastAsia" w:ascii="宋体" w:hAnsi="宋体" w:cs="宋体"/>
          <w:b/>
          <w:bCs/>
          <w:sz w:val="30"/>
          <w:szCs w:val="30"/>
        </w:rPr>
        <w:t>年</w:t>
      </w:r>
      <w:r>
        <w:rPr>
          <w:rFonts w:hint="eastAsia" w:ascii="宋体" w:hAnsi="宋体" w:cs="宋体"/>
          <w:b/>
          <w:bCs/>
          <w:sz w:val="30"/>
          <w:szCs w:val="30"/>
          <w:lang w:eastAsia="zh-CN"/>
        </w:rPr>
        <w:t>五月</w:t>
      </w:r>
      <w:r>
        <w:rPr>
          <w:rFonts w:hint="eastAsia" w:ascii="宋体" w:hAnsi="宋体" w:cs="宋体"/>
          <w:b/>
          <w:bCs/>
          <w:sz w:val="30"/>
          <w:szCs w:val="30"/>
          <w:lang w:val="en-US" w:eastAsia="zh-CN"/>
        </w:rPr>
        <w:t>九</w:t>
      </w:r>
      <w:r>
        <w:rPr>
          <w:rFonts w:hint="eastAsia" w:ascii="宋体" w:hAnsi="宋体" w:cs="宋体"/>
          <w:b/>
          <w:bCs/>
          <w:sz w:val="30"/>
          <w:szCs w:val="30"/>
          <w:lang w:eastAsia="zh-CN"/>
        </w:rPr>
        <w:t>日</w:t>
      </w:r>
      <w:r>
        <w:rPr>
          <w:rFonts w:hint="eastAsia" w:ascii="宋体" w:hAnsi="宋体" w:cs="宋体"/>
          <w:b/>
          <w:bCs/>
          <w:sz w:val="30"/>
          <w:szCs w:val="30"/>
        </w:rPr>
        <w:t xml:space="preserve">  </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w:t>
      </w:r>
      <w:r>
        <w:rPr>
          <w:rFonts w:ascii="宋体" w:hAnsi="宋体" w:cs="宋体"/>
          <w:b/>
          <w:bCs/>
          <w:w w:val="80"/>
          <w:sz w:val="52"/>
          <w:szCs w:val="52"/>
        </w:rPr>
        <w:t xml:space="preserve"> </w:t>
      </w:r>
      <w:r>
        <w:rPr>
          <w:rFonts w:hint="eastAsia" w:ascii="宋体" w:hAnsi="宋体" w:cs="宋体"/>
          <w:b/>
          <w:bCs/>
          <w:w w:val="80"/>
          <w:sz w:val="52"/>
          <w:szCs w:val="52"/>
        </w:rPr>
        <w:t xml:space="preserve"> 录</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w:t>
      </w:r>
      <w:r>
        <w:rPr>
          <w:rFonts w:ascii="宋体" w:cs="宋体"/>
          <w:caps w:val="0"/>
          <w:w w:val="100"/>
          <w:sz w:val="32"/>
          <w:szCs w:val="32"/>
        </w:rPr>
        <w:t xml:space="preserve"> </w:t>
      </w:r>
      <w:r>
        <w:rPr>
          <w:rFonts w:hint="eastAsia" w:ascii="宋体" w:cs="宋体"/>
          <w:caps w:val="0"/>
          <w:w w:val="100"/>
          <w:sz w:val="32"/>
          <w:szCs w:val="32"/>
        </w:rPr>
        <w:t>竞争性磋商公告</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w:t>
      </w:r>
      <w:r>
        <w:rPr>
          <w:rFonts w:ascii="宋体" w:cs="宋体"/>
          <w:caps w:val="0"/>
          <w:w w:val="100"/>
          <w:sz w:val="32"/>
          <w:szCs w:val="32"/>
        </w:rPr>
        <w:t xml:space="preserve"> </w:t>
      </w:r>
      <w:r>
        <w:rPr>
          <w:rFonts w:hint="eastAsia" w:ascii="宋体" w:cs="宋体"/>
          <w:caps w:val="0"/>
          <w:w w:val="100"/>
          <w:sz w:val="32"/>
          <w:szCs w:val="32"/>
        </w:rPr>
        <w:t>磋商供应商须知</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w:t>
      </w:r>
      <w:r>
        <w:rPr>
          <w:rFonts w:ascii="宋体" w:cs="宋体"/>
          <w:caps w:val="0"/>
          <w:w w:val="100"/>
          <w:sz w:val="32"/>
          <w:szCs w:val="32"/>
        </w:rPr>
        <w:t xml:space="preserve"> </w:t>
      </w:r>
      <w:r>
        <w:rPr>
          <w:rFonts w:hint="eastAsia" w:ascii="宋体" w:cs="宋体"/>
          <w:caps w:val="0"/>
          <w:w w:val="100"/>
          <w:sz w:val="32"/>
          <w:szCs w:val="32"/>
        </w:rPr>
        <w:t>项目需求</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w:t>
      </w:r>
      <w:r>
        <w:rPr>
          <w:rFonts w:ascii="宋体" w:cs="宋体"/>
          <w:caps w:val="0"/>
          <w:w w:val="100"/>
          <w:sz w:val="32"/>
          <w:szCs w:val="32"/>
        </w:rPr>
        <w:t xml:space="preserve"> </w:t>
      </w:r>
      <w:r>
        <w:rPr>
          <w:rFonts w:hint="eastAsia" w:ascii="宋体" w:cs="宋体"/>
          <w:caps w:val="0"/>
          <w:w w:val="100"/>
          <w:sz w:val="32"/>
          <w:szCs w:val="32"/>
        </w:rPr>
        <w:t>评审方法和程序</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w:t>
      </w:r>
      <w:r>
        <w:rPr>
          <w:rFonts w:ascii="宋体" w:cs="宋体"/>
          <w:caps w:val="0"/>
          <w:w w:val="100"/>
          <w:sz w:val="32"/>
          <w:szCs w:val="32"/>
        </w:rPr>
        <w:t xml:space="preserve"> </w:t>
      </w:r>
      <w:r>
        <w:rPr>
          <w:rFonts w:hint="eastAsia" w:ascii="宋体" w:cs="宋体"/>
          <w:caps w:val="0"/>
          <w:w w:val="100"/>
          <w:sz w:val="32"/>
          <w:szCs w:val="32"/>
        </w:rPr>
        <w:t>合同主要条款</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w:t>
      </w:r>
      <w:r>
        <w:rPr>
          <w:rFonts w:ascii="宋体" w:cs="宋体"/>
          <w:caps w:val="0"/>
          <w:w w:val="100"/>
          <w:sz w:val="32"/>
          <w:szCs w:val="32"/>
        </w:rPr>
        <w:t xml:space="preserve"> </w:t>
      </w:r>
      <w:r>
        <w:rPr>
          <w:rFonts w:hint="eastAsia" w:ascii="宋体" w:cs="宋体"/>
          <w:caps w:val="0"/>
          <w:w w:val="100"/>
          <w:sz w:val="32"/>
          <w:szCs w:val="32"/>
        </w:rPr>
        <w:t>合同授予</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w:t>
      </w:r>
      <w:r>
        <w:rPr>
          <w:rFonts w:ascii="宋体" w:cs="宋体"/>
          <w:caps w:val="0"/>
          <w:w w:val="100"/>
          <w:sz w:val="32"/>
          <w:szCs w:val="32"/>
        </w:rPr>
        <w:t xml:space="preserve"> </w:t>
      </w:r>
      <w:r>
        <w:rPr>
          <w:rFonts w:hint="eastAsia" w:ascii="宋体" w:cs="宋体"/>
          <w:caps w:val="0"/>
          <w:w w:val="100"/>
          <w:sz w:val="32"/>
          <w:szCs w:val="32"/>
        </w:rPr>
        <w:t>质疑提出和处理</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w:t>
      </w:r>
      <w:r>
        <w:rPr>
          <w:rFonts w:ascii="宋体" w:cs="宋体"/>
          <w:caps w:val="0"/>
          <w:w w:val="100"/>
          <w:sz w:val="32"/>
          <w:szCs w:val="32"/>
        </w:rPr>
        <w:t xml:space="preserve"> </w:t>
      </w:r>
      <w:r>
        <w:rPr>
          <w:rFonts w:hint="eastAsia" w:ascii="宋体" w:cs="宋体"/>
          <w:caps w:val="0"/>
          <w:w w:val="100"/>
          <w:sz w:val="32"/>
          <w:szCs w:val="32"/>
        </w:rPr>
        <w:t>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25"/>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项目概况</w:t>
      </w:r>
    </w:p>
    <w:p>
      <w:pPr>
        <w:widowControl/>
        <w:snapToGrid w:val="0"/>
        <w:spacing w:line="360" w:lineRule="auto"/>
        <w:ind w:firstLine="470" w:firstLineChars="196"/>
        <w:jc w:val="left"/>
      </w:pPr>
      <w:r>
        <w:rPr>
          <w:rFonts w:hint="eastAsia" w:ascii="宋体" w:hAnsi="宋体" w:cs="宋体"/>
          <w:bCs/>
          <w:sz w:val="24"/>
          <w:szCs w:val="24"/>
          <w:u w:val="single" w:color="000000"/>
          <w:lang w:eastAsia="zh-CN"/>
        </w:rPr>
        <w:t>南通市妇幼保健院中央空调水处理服务项目</w:t>
      </w:r>
      <w:r>
        <w:rPr>
          <w:rFonts w:hint="eastAsia" w:ascii="宋体" w:hAnsi="宋体" w:cs="宋体"/>
          <w:sz w:val="24"/>
          <w:szCs w:val="24"/>
        </w:rPr>
        <w:t>的潜在供应商应在</w:t>
      </w:r>
      <w:r>
        <w:rPr>
          <w:rFonts w:hint="eastAsia" w:ascii="宋体" w:hAnsi="宋体" w:cs="宋体"/>
          <w:sz w:val="24"/>
          <w:szCs w:val="24"/>
          <w:u w:val="single"/>
        </w:rPr>
        <w:t>南通市卫生健康委员会官网（http://wjw.nantong.gov.cn）和南通市妇幼保健院官网（http://www.ntfybj.com）</w:t>
      </w:r>
      <w:r>
        <w:rPr>
          <w:rFonts w:hint="eastAsia" w:ascii="宋体" w:hAnsi="宋体" w:cs="宋体"/>
          <w:sz w:val="24"/>
          <w:szCs w:val="24"/>
        </w:rPr>
        <w:t>获取采购文件，并于</w:t>
      </w:r>
      <w:r>
        <w:rPr>
          <w:rFonts w:hint="eastAsia" w:ascii="宋体" w:hAnsi="宋体" w:cs="宋体"/>
          <w:b/>
          <w:bCs/>
          <w:color w:val="auto"/>
          <w:sz w:val="24"/>
          <w:szCs w:val="24"/>
          <w:u w:val="single" w:color="000000"/>
        </w:rPr>
        <w:t xml:space="preserve"> </w:t>
      </w:r>
      <w:r>
        <w:rPr>
          <w:rFonts w:hint="eastAsia" w:ascii="宋体" w:hAnsi="宋体" w:cs="宋体"/>
          <w:b/>
          <w:bCs/>
          <w:color w:val="auto"/>
          <w:sz w:val="24"/>
          <w:szCs w:val="24"/>
          <w:u w:val="single" w:color="000000"/>
          <w:lang w:eastAsia="zh-CN"/>
        </w:rPr>
        <w:t>202</w:t>
      </w:r>
      <w:r>
        <w:rPr>
          <w:rFonts w:hint="eastAsia" w:ascii="宋体" w:hAnsi="宋体" w:cs="宋体"/>
          <w:b/>
          <w:bCs/>
          <w:color w:val="auto"/>
          <w:sz w:val="24"/>
          <w:szCs w:val="24"/>
          <w:u w:val="single" w:color="000000"/>
          <w:lang w:val="en-US" w:eastAsia="zh-CN"/>
        </w:rPr>
        <w:t>4</w:t>
      </w:r>
      <w:r>
        <w:rPr>
          <w:rFonts w:hint="eastAsia" w:ascii="宋体" w:hAnsi="宋体" w:cs="宋体"/>
          <w:b/>
          <w:bCs/>
          <w:color w:val="auto"/>
          <w:sz w:val="24"/>
          <w:szCs w:val="24"/>
          <w:u w:val="single" w:color="000000"/>
          <w:lang w:eastAsia="zh-CN"/>
        </w:rPr>
        <w:t>年</w:t>
      </w:r>
      <w:r>
        <w:rPr>
          <w:rFonts w:hint="eastAsia" w:ascii="宋体" w:hAnsi="宋体" w:cs="宋体"/>
          <w:b/>
          <w:bCs/>
          <w:color w:val="auto"/>
          <w:sz w:val="24"/>
          <w:szCs w:val="24"/>
          <w:u w:val="single" w:color="000000"/>
          <w:lang w:val="en-US" w:eastAsia="zh-CN"/>
        </w:rPr>
        <w:t>5</w:t>
      </w:r>
      <w:r>
        <w:rPr>
          <w:rFonts w:hint="eastAsia" w:ascii="宋体" w:hAnsi="宋体" w:cs="宋体"/>
          <w:b/>
          <w:bCs/>
          <w:color w:val="auto"/>
          <w:sz w:val="24"/>
          <w:szCs w:val="24"/>
          <w:u w:val="single" w:color="000000"/>
          <w:lang w:eastAsia="zh-CN"/>
        </w:rPr>
        <w:t>月</w:t>
      </w:r>
      <w:r>
        <w:rPr>
          <w:rFonts w:hint="eastAsia" w:ascii="宋体" w:hAnsi="宋体" w:cs="宋体"/>
          <w:b/>
          <w:bCs/>
          <w:color w:val="auto"/>
          <w:sz w:val="24"/>
          <w:szCs w:val="24"/>
          <w:u w:val="single" w:color="000000"/>
          <w:lang w:val="en-US" w:eastAsia="zh-CN"/>
        </w:rPr>
        <w:t>20</w:t>
      </w:r>
      <w:r>
        <w:rPr>
          <w:rFonts w:hint="eastAsia" w:ascii="宋体" w:hAnsi="宋体" w:cs="宋体"/>
          <w:b/>
          <w:bCs/>
          <w:color w:val="auto"/>
          <w:sz w:val="24"/>
          <w:szCs w:val="24"/>
          <w:u w:val="single" w:color="000000"/>
          <w:lang w:eastAsia="zh-CN"/>
        </w:rPr>
        <w:t>日14点30分</w:t>
      </w:r>
      <w:r>
        <w:rPr>
          <w:rFonts w:hint="eastAsia" w:ascii="宋体" w:hAnsi="宋体" w:cs="宋体"/>
          <w:bCs/>
          <w:color w:val="auto"/>
          <w:sz w:val="24"/>
          <w:szCs w:val="24"/>
        </w:rPr>
        <w:t>（北京</w:t>
      </w:r>
      <w:r>
        <w:rPr>
          <w:rFonts w:hint="eastAsia" w:ascii="宋体" w:hAnsi="宋体" w:cs="宋体"/>
          <w:bCs/>
          <w:sz w:val="24"/>
          <w:szCs w:val="24"/>
        </w:rPr>
        <w:t>时间）前提交响应文件</w:t>
      </w:r>
      <w:r>
        <w:rPr>
          <w:rFonts w:hint="eastAsia" w:ascii="宋体" w:hAnsi="宋体" w:cs="宋体"/>
          <w:sz w:val="24"/>
          <w:szCs w:val="24"/>
        </w:rPr>
        <w:t>。</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南通市妇幼保健院中央空调水处理服务项目</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cs="宋体"/>
          <w:sz w:val="24"/>
          <w:szCs w:val="24"/>
        </w:rPr>
        <w:t>预算金额</w:t>
      </w:r>
      <w:r>
        <w:rPr>
          <w:rFonts w:hint="eastAsia" w:ascii="宋体" w:hAnsi="宋体" w:cs="宋体"/>
          <w:color w:val="auto"/>
          <w:sz w:val="24"/>
          <w:szCs w:val="24"/>
        </w:rPr>
        <w:t>：</w:t>
      </w:r>
      <w:r>
        <w:rPr>
          <w:rFonts w:hint="eastAsia" w:ascii="宋体" w:hAnsi="宋体" w:eastAsia="宋体" w:cs="宋体"/>
          <w:color w:val="auto"/>
          <w:sz w:val="24"/>
          <w:szCs w:val="24"/>
        </w:rPr>
        <w:t>人民币</w:t>
      </w:r>
      <w:r>
        <w:rPr>
          <w:rFonts w:hint="eastAsia" w:ascii="宋体" w:hAnsi="宋体" w:cs="宋体"/>
          <w:color w:val="auto"/>
          <w:sz w:val="24"/>
          <w:szCs w:val="24"/>
          <w:lang w:val="en-US" w:eastAsia="zh-CN"/>
        </w:rPr>
        <w:t>15万元/年</w:t>
      </w:r>
    </w:p>
    <w:p>
      <w:pPr>
        <w:snapToGrid w:val="0"/>
        <w:spacing w:line="360" w:lineRule="auto"/>
        <w:ind w:firstLine="480" w:firstLineChars="200"/>
        <w:textAlignment w:val="baseline"/>
        <w:rPr>
          <w:rFonts w:hint="eastAsia" w:ascii="宋体" w:hAnsi="宋体" w:cs="宋体"/>
          <w:color w:val="auto"/>
          <w:sz w:val="24"/>
          <w:szCs w:val="24"/>
          <w:u w:val="single"/>
        </w:rPr>
      </w:pPr>
      <w:r>
        <w:rPr>
          <w:rFonts w:hint="eastAsia" w:ascii="宋体" w:hAnsi="宋体" w:cs="宋体"/>
          <w:color w:val="auto"/>
          <w:sz w:val="24"/>
          <w:szCs w:val="24"/>
        </w:rPr>
        <w:t>采购需求：详见第三章项目需求</w:t>
      </w: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合同履行期限：本项目合同服务期暂定三年，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预计自2024年 6月至2027年 5月</w:t>
      </w:r>
      <w:r>
        <w:rPr>
          <w:rFonts w:hint="eastAsia" w:ascii="宋体" w:hAnsi="宋体" w:cs="宋体"/>
          <w:color w:val="auto"/>
          <w:sz w:val="24"/>
          <w:szCs w:val="24"/>
          <w:lang w:eastAsia="zh-CN"/>
        </w:rPr>
        <w:t>）</w:t>
      </w:r>
      <w:r>
        <w:rPr>
          <w:rFonts w:hint="eastAsia" w:ascii="宋体" w:hAnsi="宋体" w:cs="宋体"/>
          <w:color w:val="auto"/>
          <w:sz w:val="24"/>
          <w:szCs w:val="24"/>
        </w:rPr>
        <w:t>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w:t>
      </w:r>
      <w:r>
        <w:rPr>
          <w:rFonts w:hint="eastAsia" w:ascii="宋体" w:hAnsi="宋体" w:cs="宋体"/>
          <w:color w:val="auto"/>
          <w:sz w:val="24"/>
          <w:lang w:val="en-US" w:eastAsia="zh-CN"/>
        </w:rPr>
        <w:t>分</w:t>
      </w:r>
      <w:r>
        <w:rPr>
          <w:rFonts w:hint="eastAsia" w:ascii="宋体" w:hAnsi="宋体" w:cs="宋体"/>
          <w:color w:val="auto"/>
          <w:sz w:val="24"/>
          <w:szCs w:val="24"/>
        </w:rPr>
        <w:t>，则采购人不再与成交供应商续签合同。</w:t>
      </w:r>
    </w:p>
    <w:p>
      <w:pPr>
        <w:snapToGrid w:val="0"/>
        <w:spacing w:line="360" w:lineRule="auto"/>
        <w:ind w:firstLine="508" w:firstLineChars="200"/>
        <w:textAlignment w:val="baseline"/>
        <w:rPr>
          <w:rFonts w:hint="eastAsia" w:ascii="宋体" w:hAnsi="宋体" w:cs="宋体"/>
          <w:color w:val="auto"/>
          <w:sz w:val="24"/>
          <w:szCs w:val="24"/>
        </w:rPr>
      </w:pPr>
      <w:r>
        <w:rPr>
          <w:rFonts w:hint="eastAsia" w:ascii="宋体" w:hAnsi="宋体" w:cs="宋体"/>
          <w:color w:val="auto"/>
          <w:spacing w:val="7"/>
          <w:sz w:val="24"/>
          <w:szCs w:val="24"/>
          <w:shd w:val="clear" w:color="auto" w:fill="FFFFFF"/>
        </w:rPr>
        <w:t>本项目不接受联合体。</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rPr>
          <w:rFonts w:hint="eastAsia"/>
        </w:rPr>
      </w:pPr>
      <w:r>
        <w:rPr>
          <w:rFonts w:hint="eastAsia" w:ascii="宋体" w:hAnsi="宋体" w:cs="宋体"/>
          <w:sz w:val="24"/>
          <w:szCs w:val="24"/>
        </w:rPr>
        <w:t>其他资格要求：</w:t>
      </w:r>
    </w:p>
    <w:p>
      <w:pPr>
        <w:snapToGrid w:val="0"/>
        <w:spacing w:line="360" w:lineRule="auto"/>
        <w:ind w:firstLine="480" w:firstLineChars="200"/>
        <w:textAlignment w:val="baseline"/>
        <w:rPr>
          <w:rFonts w:hint="eastAsia"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1、供应商必须有能力按本磋商文件规定的要求提供相关服务，须提供有效的三证合一的企业法人营业执照复印件或扫描件。</w:t>
      </w:r>
    </w:p>
    <w:p>
      <w:pPr>
        <w:snapToGrid w:val="0"/>
        <w:spacing w:line="360" w:lineRule="auto"/>
        <w:ind w:left="8"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、提供供应商的法定代表人或负责人身份证明及身份证原件的复印件或扫描件（须加盖供应商公章，格式参见竞争性磋商文件第八章）。</w:t>
      </w:r>
    </w:p>
    <w:p>
      <w:pPr>
        <w:snapToGrid w:val="0"/>
        <w:spacing w:line="360" w:lineRule="auto"/>
        <w:ind w:firstLine="559" w:firstLineChars="233"/>
        <w:textAlignment w:val="baseline"/>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、关于资格文件的声明函（格式参见竞争性磋商文件第八章）。</w:t>
      </w:r>
    </w:p>
    <w:p>
      <w:pPr>
        <w:snapToGrid w:val="0"/>
        <w:spacing w:line="360" w:lineRule="auto"/>
        <w:ind w:firstLine="482" w:firstLineChars="200"/>
        <w:textAlignment w:val="baseline"/>
        <w:rPr>
          <w:rFonts w:hint="eastAsia" w:ascii="宋体" w:hAnsi="宋体" w:eastAsia="宋体" w:cs="宋体"/>
          <w:b/>
          <w:bCs/>
          <w:sz w:val="24"/>
          <w:szCs w:val="24"/>
          <w:lang w:eastAsia="zh-CN"/>
        </w:rPr>
      </w:pPr>
      <w:r>
        <w:rPr>
          <w:rFonts w:hint="eastAsia" w:ascii="宋体" w:hAnsi="宋体" w:cs="宋体"/>
          <w:b/>
          <w:bCs/>
          <w:sz w:val="24"/>
          <w:szCs w:val="24"/>
        </w:rPr>
        <w:t>（二）本项目的特定资格要求：</w:t>
      </w:r>
      <w:r>
        <w:rPr>
          <w:rFonts w:hint="eastAsia" w:ascii="宋体" w:hAnsi="宋体" w:cs="宋体"/>
          <w:b/>
          <w:bCs/>
          <w:sz w:val="24"/>
          <w:szCs w:val="24"/>
          <w:lang w:eastAsia="zh-CN"/>
        </w:rPr>
        <w:t>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（三）落实政府采购政策需满足的资格要求：无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特别提醒】请各供应商认真对照资格要求，如不符合要求，无意或故意参与磋商的，所产生的一切后果由供应商承担。若供应商提供的相关材料为虚假或伪造，将作无效响应处理，并报财政部门将其列入政府采购黑名单。</w:t>
      </w:r>
    </w:p>
    <w:p>
      <w:pPr>
        <w:pStyle w:val="2"/>
        <w:snapToGrid w:val="0"/>
        <w:spacing w:after="0" w:line="360" w:lineRule="auto"/>
        <w:ind w:firstLine="482"/>
        <w:textAlignment w:val="baseline"/>
        <w:rPr>
          <w:rFonts w:hint="eastAsia"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2"/>
        <w:snapToGrid w:val="0"/>
        <w:spacing w:after="0" w:line="360" w:lineRule="auto"/>
        <w:ind w:firstLine="482"/>
        <w:textAlignment w:val="baseline"/>
        <w:rPr>
          <w:rFonts w:hint="eastAsia" w:ascii="宋体" w:hAnsi="宋体" w:cs="宋体"/>
          <w:b/>
          <w:bCs/>
          <w:sz w:val="24"/>
          <w:szCs w:val="24"/>
        </w:rPr>
      </w:pPr>
      <w:r>
        <w:rPr>
          <w:rFonts w:hint="eastAsia" w:ascii="宋体" w:hAnsi="宋体" w:eastAsia="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w:t>
      </w:r>
      <w:r>
        <w:rPr>
          <w:rFonts w:hint="eastAsia" w:ascii="宋体" w:hAnsi="宋体" w:cs="宋体"/>
          <w:b/>
          <w:bCs/>
          <w:color w:val="333333"/>
          <w:kern w:val="0"/>
          <w:sz w:val="24"/>
          <w:szCs w:val="24"/>
        </w:rPr>
        <w:t>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hint="eastAsia" w:ascii="宋体" w:hAnsi="宋体" w:cs="宋体"/>
          <w:b/>
          <w:bCs/>
          <w:color w:val="auto"/>
          <w:sz w:val="24"/>
          <w:szCs w:val="24"/>
        </w:rPr>
      </w:pPr>
      <w:r>
        <w:rPr>
          <w:rFonts w:hint="eastAsia" w:ascii="宋体" w:hAnsi="宋体" w:cs="宋体"/>
          <w:b/>
          <w:bCs/>
          <w:color w:val="auto"/>
          <w:sz w:val="24"/>
          <w:szCs w:val="24"/>
        </w:rPr>
        <w:t>时  间：</w:t>
      </w:r>
      <w:r>
        <w:rPr>
          <w:rFonts w:hint="eastAsia" w:ascii="宋体" w:hAnsi="宋体" w:cs="宋体"/>
          <w:b/>
          <w:bCs/>
          <w:color w:val="auto"/>
          <w:sz w:val="24"/>
          <w:szCs w:val="24"/>
          <w:u w:val="single"/>
        </w:rPr>
        <w:t>自公告发布之日起</w:t>
      </w:r>
      <w:r>
        <w:rPr>
          <w:rFonts w:hint="eastAsia" w:ascii="宋体" w:hAnsi="宋体" w:cs="宋体"/>
          <w:b/>
          <w:bCs/>
          <w:color w:val="auto"/>
          <w:sz w:val="24"/>
          <w:szCs w:val="24"/>
        </w:rPr>
        <w:t>至</w:t>
      </w:r>
      <w:r>
        <w:rPr>
          <w:rFonts w:hint="eastAsia" w:ascii="宋体" w:hAnsi="宋体" w:cs="宋体"/>
          <w:b/>
          <w:bCs/>
          <w:color w:val="auto"/>
          <w:sz w:val="24"/>
          <w:szCs w:val="24"/>
          <w:u w:val="single" w:color="000000"/>
        </w:rPr>
        <w:t xml:space="preserve"> 202</w:t>
      </w:r>
      <w:r>
        <w:rPr>
          <w:rFonts w:hint="eastAsia" w:ascii="宋体" w:hAnsi="宋体" w:cs="宋体"/>
          <w:b/>
          <w:bCs/>
          <w:color w:val="auto"/>
          <w:sz w:val="24"/>
          <w:szCs w:val="24"/>
          <w:u w:val="single" w:color="000000"/>
          <w:lang w:val="en-US" w:eastAsia="zh-CN"/>
        </w:rPr>
        <w:t>4</w:t>
      </w:r>
      <w:r>
        <w:rPr>
          <w:rFonts w:hint="eastAsia" w:ascii="宋体" w:hAnsi="宋体" w:cs="宋体"/>
          <w:b/>
          <w:bCs/>
          <w:color w:val="auto"/>
          <w:sz w:val="24"/>
          <w:szCs w:val="24"/>
          <w:u w:val="single" w:color="000000"/>
        </w:rPr>
        <w:t>年</w:t>
      </w:r>
      <w:r>
        <w:rPr>
          <w:rFonts w:hint="eastAsia" w:ascii="宋体" w:hAnsi="宋体" w:cs="宋体"/>
          <w:b/>
          <w:bCs/>
          <w:color w:val="auto"/>
          <w:sz w:val="24"/>
          <w:szCs w:val="24"/>
          <w:u w:val="single" w:color="000000"/>
          <w:lang w:val="en-US" w:eastAsia="zh-CN"/>
        </w:rPr>
        <w:t>5</w:t>
      </w:r>
      <w:r>
        <w:rPr>
          <w:rFonts w:hint="eastAsia" w:ascii="宋体" w:hAnsi="宋体" w:cs="宋体"/>
          <w:b/>
          <w:bCs/>
          <w:color w:val="auto"/>
          <w:sz w:val="24"/>
          <w:szCs w:val="24"/>
          <w:u w:val="single" w:color="000000"/>
        </w:rPr>
        <w:t>月</w:t>
      </w:r>
      <w:r>
        <w:rPr>
          <w:rFonts w:hint="eastAsia" w:ascii="宋体" w:hAnsi="宋体" w:cs="宋体"/>
          <w:b/>
          <w:bCs/>
          <w:color w:val="auto"/>
          <w:sz w:val="24"/>
          <w:szCs w:val="24"/>
          <w:u w:val="single" w:color="000000"/>
          <w:lang w:val="en-US" w:eastAsia="zh-CN"/>
        </w:rPr>
        <w:t>20</w:t>
      </w:r>
      <w:r>
        <w:rPr>
          <w:rFonts w:hint="eastAsia" w:ascii="宋体" w:hAnsi="宋体" w:cs="宋体"/>
          <w:b/>
          <w:bCs/>
          <w:color w:val="auto"/>
          <w:sz w:val="24"/>
          <w:szCs w:val="24"/>
          <w:u w:val="single" w:color="000000"/>
        </w:rPr>
        <w:t>日</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地  点：南通市卫生健康委员会官网（http://wjw.nantong.gov.cn）和南通市妇幼保健院官网（http://www.ntfybj.com）。</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售  价：每套300元，在递交磋商响应文件的同时提交给招标代理机构。</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截止时间： </w:t>
      </w:r>
      <w:r>
        <w:rPr>
          <w:rFonts w:hint="eastAsia" w:ascii="宋体" w:hAnsi="宋体" w:cs="宋体"/>
          <w:b/>
          <w:bCs/>
          <w:color w:val="auto"/>
          <w:sz w:val="24"/>
          <w:szCs w:val="24"/>
          <w:u w:val="single" w:color="000000"/>
        </w:rPr>
        <w:t>202</w:t>
      </w:r>
      <w:r>
        <w:rPr>
          <w:rFonts w:hint="eastAsia" w:ascii="宋体" w:hAnsi="宋体" w:cs="宋体"/>
          <w:b/>
          <w:bCs/>
          <w:color w:val="auto"/>
          <w:sz w:val="24"/>
          <w:szCs w:val="24"/>
          <w:u w:val="single" w:color="000000"/>
          <w:lang w:val="en-US" w:eastAsia="zh-CN"/>
        </w:rPr>
        <w:t>4</w:t>
      </w:r>
      <w:r>
        <w:rPr>
          <w:rFonts w:hint="eastAsia" w:ascii="宋体" w:hAnsi="宋体" w:cs="宋体"/>
          <w:b/>
          <w:bCs/>
          <w:color w:val="auto"/>
          <w:sz w:val="24"/>
          <w:szCs w:val="24"/>
          <w:u w:val="single" w:color="000000"/>
        </w:rPr>
        <w:t>年</w:t>
      </w:r>
      <w:r>
        <w:rPr>
          <w:rFonts w:hint="eastAsia" w:ascii="宋体" w:hAnsi="宋体" w:cs="宋体"/>
          <w:b/>
          <w:bCs/>
          <w:color w:val="auto"/>
          <w:sz w:val="24"/>
          <w:szCs w:val="24"/>
          <w:u w:val="single" w:color="000000"/>
          <w:lang w:val="en-US" w:eastAsia="zh-CN"/>
        </w:rPr>
        <w:t>5</w:t>
      </w:r>
      <w:r>
        <w:rPr>
          <w:rFonts w:hint="eastAsia" w:ascii="宋体" w:hAnsi="宋体" w:cs="宋体"/>
          <w:b/>
          <w:bCs/>
          <w:color w:val="auto"/>
          <w:sz w:val="24"/>
          <w:szCs w:val="24"/>
          <w:u w:val="single" w:color="000000"/>
        </w:rPr>
        <w:t>月</w:t>
      </w:r>
      <w:r>
        <w:rPr>
          <w:rFonts w:hint="eastAsia" w:ascii="宋体" w:hAnsi="宋体" w:cs="宋体"/>
          <w:b/>
          <w:bCs/>
          <w:color w:val="auto"/>
          <w:sz w:val="24"/>
          <w:szCs w:val="24"/>
          <w:u w:val="single" w:color="000000"/>
          <w:lang w:val="en-US" w:eastAsia="zh-CN"/>
        </w:rPr>
        <w:t>20</w:t>
      </w:r>
      <w:r>
        <w:rPr>
          <w:rFonts w:hint="eastAsia" w:ascii="宋体" w:hAnsi="宋体" w:cs="宋体"/>
          <w:b/>
          <w:bCs/>
          <w:color w:val="auto"/>
          <w:sz w:val="24"/>
          <w:szCs w:val="24"/>
          <w:u w:val="single" w:color="000000"/>
        </w:rPr>
        <w:t>日</w:t>
      </w:r>
      <w:r>
        <w:rPr>
          <w:rFonts w:hint="eastAsia" w:ascii="宋体" w:hAnsi="宋体" w:cs="宋体"/>
          <w:b/>
          <w:bCs/>
          <w:color w:val="auto"/>
          <w:sz w:val="24"/>
          <w:szCs w:val="24"/>
          <w:u w:val="single" w:color="000000"/>
          <w:lang w:eastAsia="zh-CN"/>
        </w:rPr>
        <w:t>14点30分</w:t>
      </w:r>
      <w:r>
        <w:rPr>
          <w:rFonts w:hint="eastAsia" w:ascii="宋体" w:hAnsi="宋体" w:cs="宋体"/>
          <w:b/>
          <w:bCs/>
          <w:color w:val="auto"/>
          <w:sz w:val="24"/>
          <w:szCs w:val="24"/>
        </w:rPr>
        <w:t>（北京时间）</w:t>
      </w:r>
    </w:p>
    <w:p>
      <w:pPr>
        <w:snapToGrid w:val="0"/>
        <w:spacing w:line="360" w:lineRule="auto"/>
        <w:ind w:firstLine="482" w:firstLineChars="200"/>
        <w:textAlignment w:val="baseline"/>
        <w:rPr>
          <w:rFonts w:hint="eastAsia" w:ascii="宋体" w:hAnsi="宋体" w:cs="宋体"/>
          <w:color w:val="auto"/>
          <w:sz w:val="24"/>
          <w:szCs w:val="24"/>
          <w:u w:val="single"/>
        </w:rPr>
      </w:pPr>
      <w:r>
        <w:rPr>
          <w:rFonts w:hint="eastAsia" w:ascii="宋体" w:hAnsi="宋体" w:cs="宋体"/>
          <w:b/>
          <w:bCs/>
          <w:color w:val="auto"/>
          <w:sz w:val="24"/>
          <w:szCs w:val="24"/>
        </w:rPr>
        <w:t xml:space="preserve">地    点： </w:t>
      </w:r>
      <w:r>
        <w:rPr>
          <w:rFonts w:hint="eastAsia" w:ascii="宋体" w:hAnsi="宋体" w:cs="宋体"/>
          <w:b/>
          <w:bCs/>
          <w:color w:val="auto"/>
          <w:sz w:val="24"/>
          <w:szCs w:val="24"/>
          <w:u w:val="single"/>
          <w:lang w:eastAsia="zh-CN"/>
        </w:rPr>
        <w:t>南通市崇川区工农路358号12层中证开标室（浙商银行楼上</w:t>
      </w:r>
      <w:r>
        <w:rPr>
          <w:rFonts w:hint="eastAsia" w:ascii="宋体" w:hAnsi="宋体" w:cs="宋体"/>
          <w:color w:val="auto"/>
          <w:sz w:val="24"/>
          <w:szCs w:val="24"/>
          <w:u w:val="single"/>
          <w:lang w:eastAsia="zh-CN"/>
        </w:rPr>
        <w:t>）</w:t>
      </w:r>
    </w:p>
    <w:p>
      <w:pPr>
        <w:pStyle w:val="7"/>
        <w:snapToGrid w:val="0"/>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五、响应文件的开启</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时  间： </w:t>
      </w:r>
      <w:r>
        <w:rPr>
          <w:rFonts w:hint="eastAsia" w:ascii="宋体" w:hAnsi="宋体" w:cs="宋体"/>
          <w:b/>
          <w:bCs/>
          <w:color w:val="auto"/>
          <w:sz w:val="24"/>
          <w:szCs w:val="24"/>
          <w:u w:val="single" w:color="000000"/>
        </w:rPr>
        <w:t>202</w:t>
      </w:r>
      <w:r>
        <w:rPr>
          <w:rFonts w:hint="eastAsia" w:ascii="宋体" w:hAnsi="宋体" w:cs="宋体"/>
          <w:b/>
          <w:bCs/>
          <w:color w:val="auto"/>
          <w:sz w:val="24"/>
          <w:szCs w:val="24"/>
          <w:u w:val="single" w:color="000000"/>
          <w:lang w:val="en-US" w:eastAsia="zh-CN"/>
        </w:rPr>
        <w:t>4</w:t>
      </w:r>
      <w:r>
        <w:rPr>
          <w:rFonts w:hint="eastAsia" w:ascii="宋体" w:hAnsi="宋体" w:cs="宋体"/>
          <w:b/>
          <w:bCs/>
          <w:color w:val="auto"/>
          <w:sz w:val="24"/>
          <w:szCs w:val="24"/>
          <w:u w:val="single" w:color="000000"/>
        </w:rPr>
        <w:t>年</w:t>
      </w:r>
      <w:r>
        <w:rPr>
          <w:rFonts w:hint="eastAsia" w:ascii="宋体" w:hAnsi="宋体" w:cs="宋体"/>
          <w:b/>
          <w:bCs/>
          <w:color w:val="auto"/>
          <w:sz w:val="24"/>
          <w:szCs w:val="24"/>
          <w:u w:val="single" w:color="000000"/>
          <w:lang w:val="en-US" w:eastAsia="zh-CN"/>
        </w:rPr>
        <w:t>5</w:t>
      </w:r>
      <w:r>
        <w:rPr>
          <w:rFonts w:hint="eastAsia" w:ascii="宋体" w:hAnsi="宋体" w:cs="宋体"/>
          <w:b/>
          <w:bCs/>
          <w:color w:val="auto"/>
          <w:sz w:val="24"/>
          <w:szCs w:val="24"/>
          <w:u w:val="single" w:color="000000"/>
        </w:rPr>
        <w:t>月</w:t>
      </w:r>
      <w:r>
        <w:rPr>
          <w:rFonts w:hint="eastAsia" w:ascii="宋体" w:hAnsi="宋体" w:cs="宋体"/>
          <w:b/>
          <w:bCs/>
          <w:color w:val="auto"/>
          <w:sz w:val="24"/>
          <w:szCs w:val="24"/>
          <w:u w:val="single" w:color="000000"/>
          <w:lang w:val="en-US" w:eastAsia="zh-CN"/>
        </w:rPr>
        <w:t>20</w:t>
      </w:r>
      <w:r>
        <w:rPr>
          <w:rFonts w:hint="eastAsia" w:ascii="宋体" w:hAnsi="宋体" w:cs="宋体"/>
          <w:b/>
          <w:bCs/>
          <w:color w:val="auto"/>
          <w:sz w:val="24"/>
          <w:szCs w:val="24"/>
          <w:u w:val="single" w:color="000000"/>
        </w:rPr>
        <w:t>日</w:t>
      </w:r>
      <w:r>
        <w:rPr>
          <w:rFonts w:hint="eastAsia" w:ascii="宋体" w:hAnsi="宋体" w:cs="宋体"/>
          <w:b/>
          <w:bCs/>
          <w:color w:val="auto"/>
          <w:sz w:val="24"/>
          <w:szCs w:val="24"/>
          <w:u w:val="single" w:color="000000"/>
          <w:lang w:eastAsia="zh-CN"/>
        </w:rPr>
        <w:t>14点30分</w:t>
      </w:r>
      <w:r>
        <w:rPr>
          <w:rFonts w:hint="eastAsia" w:ascii="宋体" w:hAnsi="宋体" w:cs="宋体"/>
          <w:b/>
          <w:bCs/>
          <w:color w:val="auto"/>
          <w:sz w:val="24"/>
          <w:szCs w:val="24"/>
        </w:rPr>
        <w:t>（北京时间）</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地  点： </w:t>
      </w:r>
      <w:r>
        <w:rPr>
          <w:rFonts w:hint="eastAsia" w:ascii="宋体" w:hAnsi="宋体" w:cs="宋体"/>
          <w:b/>
          <w:bCs/>
          <w:color w:val="auto"/>
          <w:sz w:val="24"/>
          <w:szCs w:val="24"/>
          <w:u w:val="single"/>
          <w:lang w:eastAsia="zh-CN"/>
        </w:rPr>
        <w:t>南通市崇川区工农路358号12层中证开标室（浙商银行楼上）</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六、公告期限</w:t>
      </w:r>
    </w:p>
    <w:p>
      <w:p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自本公告发布之日起3个工作日。</w:t>
      </w:r>
    </w:p>
    <w:p>
      <w:pPr>
        <w:pStyle w:val="7"/>
        <w:numPr>
          <w:ilvl w:val="0"/>
          <w:numId w:val="2"/>
        </w:num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其他补充事宜：</w:t>
      </w:r>
    </w:p>
    <w:p>
      <w:pPr>
        <w:numPr>
          <w:ilvl w:val="0"/>
          <w:numId w:val="3"/>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3"/>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3"/>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numPr>
          <w:ilvl w:val="0"/>
          <w:numId w:val="2"/>
        </w:numPr>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4"/>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采购人信息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地    址： 南通市崇川区世纪大道399号</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eastAsia="zh-CN"/>
        </w:rPr>
        <w:t>联系人：崔先生</w:t>
      </w:r>
      <w:r>
        <w:rPr>
          <w:rFonts w:hint="eastAsia" w:ascii="宋体" w:hAnsi="宋体" w:cs="宋体"/>
          <w:sz w:val="24"/>
          <w:szCs w:val="24"/>
          <w:lang w:val="en-US" w:eastAsia="zh-CN"/>
        </w:rPr>
        <w:t xml:space="preserve">  </w:t>
      </w:r>
      <w:r>
        <w:rPr>
          <w:rFonts w:hint="eastAsia" w:ascii="宋体" w:hAnsi="宋体" w:cs="宋体"/>
          <w:sz w:val="24"/>
          <w:szCs w:val="24"/>
        </w:rPr>
        <w:t>联系方式：</w:t>
      </w:r>
      <w:r>
        <w:rPr>
          <w:rFonts w:hint="eastAsia" w:cs="宋体" w:asciiTheme="majorEastAsia" w:hAnsiTheme="majorEastAsia" w:eastAsiaTheme="majorEastAsia"/>
          <w:sz w:val="24"/>
          <w:szCs w:val="24"/>
        </w:rPr>
        <w:t>18014062980</w:t>
      </w:r>
      <w:r>
        <w:rPr>
          <w:rFonts w:hint="eastAsia" w:ascii="宋体" w:hAnsi="宋体" w:cs="宋体"/>
          <w:sz w:val="24"/>
          <w:szCs w:val="24"/>
        </w:rPr>
        <w:t xml:space="preserve">   </w:t>
      </w:r>
    </w:p>
    <w:p>
      <w:pPr>
        <w:numPr>
          <w:ilvl w:val="0"/>
          <w:numId w:val="5"/>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中证房地产评估造价集团有限公司</w:t>
      </w:r>
    </w:p>
    <w:p>
      <w:pPr>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南通市崇川区工农路358号12层</w:t>
      </w:r>
    </w:p>
    <w:p>
      <w:pPr>
        <w:snapToGrid w:val="0"/>
        <w:spacing w:line="360" w:lineRule="auto"/>
        <w:ind w:firstLine="480" w:firstLineChars="200"/>
        <w:textAlignment w:val="baseline"/>
        <w:rPr>
          <w:rFonts w:hint="eastAsia"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eastAsia="zh-CN"/>
        </w:rPr>
        <w:t>张林丽</w:t>
      </w:r>
      <w:r>
        <w:rPr>
          <w:rFonts w:hint="eastAsia" w:ascii="宋体" w:hAnsi="宋体" w:cs="宋体"/>
          <w:sz w:val="24"/>
          <w:szCs w:val="24"/>
          <w:lang w:val="en-US" w:eastAsia="zh-CN"/>
        </w:rPr>
        <w:t xml:space="preserve">    13646287155</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hint="default" w:ascii="宋体" w:hAnsi="宋体" w:eastAsia="宋体"/>
          <w:sz w:val="24"/>
          <w:szCs w:val="24"/>
          <w:lang w:val="en-US" w:eastAsia="zh-CN"/>
        </w:rPr>
      </w:pPr>
      <w:r>
        <w:rPr>
          <w:rFonts w:hint="eastAsia" w:ascii="宋体" w:hAnsi="宋体" w:cs="宋体"/>
          <w:sz w:val="24"/>
          <w:szCs w:val="24"/>
        </w:rPr>
        <w:t>项目联系人：</w:t>
      </w:r>
      <w:r>
        <w:rPr>
          <w:rFonts w:hint="eastAsia" w:cs="宋体"/>
          <w:sz w:val="24"/>
          <w:szCs w:val="24"/>
          <w:lang w:eastAsia="zh-CN"/>
        </w:rPr>
        <w:t>张林丽</w:t>
      </w:r>
      <w:r>
        <w:rPr>
          <w:rFonts w:hint="eastAsia" w:ascii="宋体" w:hAnsi="宋体" w:cs="宋体"/>
          <w:sz w:val="24"/>
          <w:szCs w:val="24"/>
        </w:rPr>
        <w:t xml:space="preserve">            电      话：</w:t>
      </w:r>
      <w:r>
        <w:rPr>
          <w:rFonts w:hint="eastAsia" w:ascii="宋体" w:hAnsi="宋体" w:cs="宋体"/>
          <w:sz w:val="24"/>
          <w:szCs w:val="24"/>
          <w:lang w:val="en-US" w:eastAsia="zh-CN"/>
        </w:rPr>
        <w:t>13646287155</w:t>
      </w:r>
    </w:p>
    <w:p>
      <w:pPr>
        <w:snapToGrid w:val="0"/>
        <w:spacing w:line="360" w:lineRule="auto"/>
        <w:ind w:firstLine="420" w:firstLineChars="200"/>
        <w:rPr>
          <w:rFonts w:hint="eastAsia" w:ascii="宋体" w:hAnsi="宋体" w:cs="宋体"/>
          <w:sz w:val="24"/>
          <w:szCs w:val="24"/>
        </w:rPr>
      </w:pPr>
      <w:r>
        <w:rPr>
          <w:rFonts w:hint="eastAsia" w:ascii="宋体" w:hAnsi="宋体" w:cs="宋体"/>
          <w:szCs w:val="24"/>
        </w:rPr>
        <w:t xml:space="preserve">                                         </w:t>
      </w:r>
      <w:r>
        <w:rPr>
          <w:rFonts w:hint="eastAsia" w:ascii="宋体" w:hAnsi="宋体" w:cs="宋体"/>
          <w:color w:val="auto"/>
          <w:szCs w:val="24"/>
        </w:rPr>
        <w:t xml:space="preserve">             </w:t>
      </w:r>
      <w:r>
        <w:rPr>
          <w:rFonts w:hint="eastAsia" w:ascii="宋体" w:hAnsi="宋体" w:cs="宋体"/>
          <w:color w:val="auto"/>
          <w:sz w:val="24"/>
          <w:szCs w:val="24"/>
        </w:rPr>
        <w:t>二0二</w:t>
      </w:r>
      <w:r>
        <w:rPr>
          <w:rFonts w:hint="eastAsia" w:ascii="宋体" w:hAnsi="宋体" w:cs="宋体"/>
          <w:color w:val="auto"/>
          <w:sz w:val="24"/>
          <w:szCs w:val="24"/>
          <w:lang w:eastAsia="zh-CN"/>
        </w:rPr>
        <w:t>四</w:t>
      </w:r>
      <w:r>
        <w:rPr>
          <w:rFonts w:hint="eastAsia" w:ascii="宋体" w:hAnsi="宋体" w:cs="宋体"/>
          <w:color w:val="auto"/>
          <w:sz w:val="24"/>
          <w:szCs w:val="24"/>
        </w:rPr>
        <w:t>年</w:t>
      </w:r>
      <w:r>
        <w:rPr>
          <w:rFonts w:hint="eastAsia" w:ascii="宋体" w:hAnsi="宋体" w:cs="宋体"/>
          <w:color w:val="auto"/>
          <w:sz w:val="24"/>
          <w:szCs w:val="24"/>
          <w:lang w:val="en-US" w:eastAsia="zh-CN"/>
        </w:rPr>
        <w:t>五</w:t>
      </w:r>
      <w:r>
        <w:rPr>
          <w:rFonts w:hint="eastAsia" w:ascii="宋体" w:hAnsi="宋体" w:cs="宋体"/>
          <w:color w:val="auto"/>
          <w:sz w:val="24"/>
          <w:szCs w:val="24"/>
        </w:rPr>
        <w:t>月</w:t>
      </w:r>
      <w:r>
        <w:rPr>
          <w:rFonts w:hint="eastAsia" w:ascii="宋体" w:hAnsi="宋体" w:cs="宋体"/>
          <w:color w:val="auto"/>
          <w:sz w:val="24"/>
          <w:szCs w:val="24"/>
          <w:lang w:val="en-US" w:eastAsia="zh-CN"/>
        </w:rPr>
        <w:t>九</w:t>
      </w:r>
      <w:r>
        <w:rPr>
          <w:rFonts w:hint="eastAsia" w:ascii="宋体" w:hAnsi="宋体" w:cs="宋体"/>
          <w:color w:val="auto"/>
          <w:sz w:val="24"/>
          <w:szCs w:val="24"/>
        </w:rPr>
        <w:t>日</w:t>
      </w:r>
    </w:p>
    <w:p>
      <w:pPr>
        <w:spacing w:line="360" w:lineRule="auto"/>
        <w:ind w:firstLine="707" w:firstLineChars="200"/>
        <w:jc w:val="center"/>
        <w:rPr>
          <w:rFonts w:hint="eastAsia" w:ascii="宋体" w:hAnsi="宋体" w:cs="宋体"/>
          <w:b/>
          <w:bCs/>
          <w:w w:val="80"/>
          <w:sz w:val="44"/>
          <w:szCs w:val="44"/>
        </w:rPr>
      </w:pPr>
      <w:bookmarkStart w:id="11" w:name="_Toc11500280"/>
      <w:bookmarkStart w:id="12" w:name="_Toc521201597"/>
      <w:bookmarkStart w:id="13" w:name="_Toc94544744"/>
      <w:bookmarkStart w:id="14" w:name="_Toc11499584"/>
      <w:bookmarkStart w:id="15" w:name="_Toc94544828"/>
      <w:bookmarkStart w:id="16" w:name="_Toc94585340"/>
      <w:bookmarkStart w:id="17" w:name="_Toc11554639"/>
      <w:bookmarkStart w:id="18" w:name="_Toc12670503"/>
      <w:bookmarkStart w:id="19" w:name="_Toc8895739"/>
      <w:bookmarkStart w:id="20" w:name="_Toc521203418"/>
      <w:bookmarkStart w:id="21" w:name="_Toc363573854"/>
    </w:p>
    <w:p>
      <w:pPr>
        <w:spacing w:line="360" w:lineRule="auto"/>
        <w:ind w:firstLine="707" w:firstLineChars="200"/>
        <w:jc w:val="center"/>
        <w:rPr>
          <w:rFonts w:hint="eastAsia" w:ascii="宋体" w:hAnsi="宋体" w:cs="宋体"/>
          <w:b/>
          <w:bCs/>
          <w:w w:val="80"/>
          <w:sz w:val="44"/>
          <w:szCs w:val="44"/>
        </w:rPr>
      </w:pPr>
    </w:p>
    <w:p>
      <w:pPr>
        <w:spacing w:line="360" w:lineRule="auto"/>
        <w:ind w:firstLine="707" w:firstLineChars="200"/>
        <w:jc w:val="center"/>
        <w:rPr>
          <w:rFonts w:ascii="宋体"/>
          <w:w w:val="80"/>
        </w:rPr>
      </w:pPr>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94544871"/>
      <w:bookmarkStart w:id="23" w:name="_Toc11500281"/>
      <w:bookmarkStart w:id="24" w:name="_Toc94544745"/>
      <w:bookmarkStart w:id="25" w:name="_Toc11499585"/>
      <w:bookmarkStart w:id="26" w:name="_Toc11554640"/>
      <w:bookmarkStart w:id="27" w:name="_Toc12670504"/>
      <w:bookmarkStart w:id="28" w:name="_Toc94585341"/>
      <w:bookmarkStart w:id="29" w:name="_Toc521201598"/>
      <w:bookmarkStart w:id="30" w:name="_Toc521203419"/>
      <w:bookmarkStart w:id="31" w:name="_Toc8895740"/>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w:t>
      </w:r>
      <w:r>
        <w:rPr>
          <w:rFonts w:hint="eastAsia" w:ascii="宋体" w:hAnsi="宋体" w:cs="宋体"/>
          <w:sz w:val="24"/>
          <w:szCs w:val="24"/>
          <w:lang w:eastAsia="zh-CN"/>
        </w:rPr>
        <w:t>中证房地产评估造价集团有限公司</w:t>
      </w:r>
      <w:r>
        <w:rPr>
          <w:rFonts w:hint="eastAsia" w:ascii="宋体" w:hAnsi="宋体" w:cs="宋体"/>
          <w:sz w:val="24"/>
          <w:szCs w:val="24"/>
        </w:rPr>
        <w:t>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hint="eastAsia"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rPr>
          <w:rFonts w:hint="eastAsia"/>
        </w:rPr>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、磋商文件的澄清、修改、补充等内容均以书面明确的形式发布，并以南通市卫生健康委员会官网（http://wjw.nantong.gov.cn）和南通市妇幼保健院官网（http://www.ntfybj.com）发布的信息为准。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pPr>
        <w:snapToGrid w:val="0"/>
        <w:spacing w:line="360" w:lineRule="auto"/>
        <w:ind w:firstLine="484" w:firstLineChars="202"/>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pStyle w:val="2"/>
        <w:ind w:firstLine="482"/>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现场踏勘联系人：</w:t>
      </w:r>
      <w:r>
        <w:rPr>
          <w:rFonts w:hint="eastAsia" w:ascii="宋体" w:hAnsi="宋体" w:cs="宋体"/>
          <w:b/>
          <w:bCs/>
          <w:color w:val="000000"/>
          <w:sz w:val="24"/>
          <w:szCs w:val="24"/>
          <w:lang w:eastAsia="zh-CN"/>
        </w:rPr>
        <w:t>崔先生</w:t>
      </w:r>
      <w:r>
        <w:rPr>
          <w:rFonts w:hint="eastAsia" w:ascii="宋体" w:hAnsi="宋体" w:cs="宋体"/>
          <w:b/>
          <w:bCs/>
          <w:color w:val="000000"/>
          <w:sz w:val="24"/>
          <w:szCs w:val="24"/>
        </w:rPr>
        <w:t xml:space="preserve">      联系电话：18014062980</w:t>
      </w:r>
    </w:p>
    <w:p>
      <w:pPr>
        <w:snapToGrid w:val="0"/>
        <w:spacing w:line="360" w:lineRule="auto"/>
        <w:ind w:firstLine="482" w:firstLineChars="200"/>
        <w:outlineLvl w:val="1"/>
        <w:rPr>
          <w:rFonts w:hint="eastAsia" w:ascii="宋体" w:eastAsia="宋体"/>
          <w:b/>
          <w:bCs/>
          <w:sz w:val="24"/>
          <w:szCs w:val="24"/>
          <w:lang w:val="en-US" w:eastAsia="zh-CN"/>
        </w:rPr>
      </w:pPr>
      <w:r>
        <w:rPr>
          <w:rFonts w:hint="eastAsia" w:ascii="宋体" w:hAnsi="宋体" w:cs="宋体"/>
          <w:b/>
          <w:bCs/>
          <w:sz w:val="24"/>
          <w:szCs w:val="24"/>
        </w:rPr>
        <w:t>四、响应文件的编制及装订</w:t>
      </w:r>
      <w:r>
        <w:rPr>
          <w:rFonts w:hint="eastAsia" w:ascii="宋体" w:hAnsi="宋体" w:cs="宋体"/>
          <w:b/>
          <w:bCs/>
          <w:sz w:val="24"/>
          <w:szCs w:val="24"/>
          <w:lang w:val="en-US" w:eastAsia="zh-CN"/>
        </w:rPr>
        <w:t xml:space="preserve"> </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hint="eastAsia" w:ascii="宋体" w:hAnsi="宋体" w:eastAsia="宋体" w:cs="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、磋商报价表必须加盖单位公章且必须经法定代表人或被授权人签字或 盖章。</w:t>
      </w:r>
      <w:r>
        <w:rPr>
          <w:rFonts w:hint="eastAsia" w:ascii="宋体" w:hAnsi="宋体" w:eastAsia="宋体" w:cs="宋体"/>
          <w:snapToGrid/>
          <w:kern w:val="2"/>
          <w:sz w:val="24"/>
          <w:lang w:val="en-US" w:eastAsia="zh-CN"/>
        </w:rPr>
        <w:t>报价</w:t>
      </w:r>
      <w:r>
        <w:rPr>
          <w:rFonts w:hint="eastAsia" w:ascii="宋体" w:hAnsi="宋体" w:eastAsia="宋体" w:cs="宋体"/>
          <w:snapToGrid/>
          <w:kern w:val="2"/>
          <w:sz w:val="24"/>
        </w:rPr>
        <w:t>表中的报价出现前后不一致的，将执行财政部第 87 号令《政府采购货物和服务招标投标管理办法》第 59 条的规定修正: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3.1开标一览表(报价表)内容与投标文件中相应内容不一致的，以开标一览表(报价表)为准;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80" w:firstLineChars="200"/>
        <w:rPr>
          <w:rFonts w:hint="eastAsia" w:ascii="宋体" w:hAnsi="宋体" w:eastAsia="宋体" w:cs="宋体"/>
          <w:snapToGrid/>
          <w:kern w:val="2"/>
          <w:sz w:val="24"/>
          <w:lang w:val="en-US" w:eastAsia="zh-CN"/>
        </w:rPr>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时出现两种以上不一至致的，按照前款规定的顺序修正。修正后的报价按照本办法第五十一条第二款的规定经供应商确认后产生约束力，供应商不确认的，其响应无效。</w:t>
      </w:r>
      <w:r>
        <w:rPr>
          <w:rFonts w:hint="eastAsia" w:ascii="宋体" w:hAnsi="宋体" w:eastAsia="宋体" w:cs="宋体"/>
          <w:snapToGrid/>
          <w:kern w:val="2"/>
          <w:sz w:val="24"/>
          <w:lang w:val="en-US" w:eastAsia="zh-CN"/>
        </w:rPr>
        <w:t xml:space="preserve"> </w:t>
      </w:r>
    </w:p>
    <w:p>
      <w:pPr>
        <w:snapToGrid w:val="0"/>
        <w:spacing w:line="360" w:lineRule="auto"/>
        <w:ind w:firstLine="480" w:firstLineChars="200"/>
        <w:rPr>
          <w:rFonts w:hint="eastAsia" w:ascii="宋体" w:hAnsi="宋体" w:eastAsia="宋体" w:cs="宋体"/>
          <w:sz w:val="24"/>
          <w:szCs w:val="24"/>
          <w:lang w:eastAsia="zh-CN"/>
        </w:rPr>
      </w:pPr>
      <w:r>
        <w:rPr>
          <w:rFonts w:ascii="宋体" w:hAnsi="宋体" w:cs="宋体"/>
          <w:sz w:val="24"/>
          <w:szCs w:val="24"/>
        </w:rPr>
        <w:t>4</w:t>
      </w:r>
      <w:r>
        <w:rPr>
          <w:rFonts w:hint="eastAsia" w:ascii="宋体" w:hAnsi="宋体" w:cs="宋体"/>
          <w:sz w:val="24"/>
          <w:szCs w:val="24"/>
        </w:rPr>
        <w:t>、</w:t>
      </w:r>
      <w:r>
        <w:rPr>
          <w:rFonts w:hint="eastAsia" w:ascii="宋体" w:hAnsi="宋体" w:eastAsia="宋体" w:cs="宋体"/>
          <w:bCs/>
          <w:color w:val="000000"/>
          <w:sz w:val="24"/>
          <w:highlight w:val="none"/>
        </w:rPr>
        <w:t>本项目</w:t>
      </w:r>
      <w:r>
        <w:rPr>
          <w:rFonts w:hint="eastAsia" w:ascii="宋体" w:hAnsi="宋体" w:eastAsia="宋体" w:cs="宋体"/>
          <w:sz w:val="24"/>
          <w:highlight w:val="none"/>
        </w:rPr>
        <w:t>磋商报价</w:t>
      </w:r>
      <w:r>
        <w:rPr>
          <w:rFonts w:hint="eastAsia" w:ascii="宋体" w:hAnsi="宋体" w:eastAsia="宋体" w:cs="宋体"/>
          <w:bCs/>
          <w:color w:val="000000"/>
          <w:sz w:val="24"/>
          <w:highlight w:val="none"/>
        </w:rPr>
        <w:t>为</w:t>
      </w:r>
      <w:r>
        <w:rPr>
          <w:rFonts w:hint="eastAsia" w:ascii="宋体" w:hAnsi="宋体" w:eastAsia="宋体" w:cs="宋体"/>
          <w:bCs/>
          <w:color w:val="000000"/>
          <w:sz w:val="24"/>
          <w:highlight w:val="none"/>
          <w:lang w:val="zh-CN"/>
        </w:rPr>
        <w:t>固定总价报价</w:t>
      </w:r>
      <w:r>
        <w:rPr>
          <w:rFonts w:hint="eastAsia" w:ascii="宋体" w:hAnsi="宋体" w:eastAsia="宋体" w:cs="宋体"/>
          <w:sz w:val="24"/>
          <w:highlight w:val="none"/>
        </w:rPr>
        <w:t>，该价格一次性包定</w:t>
      </w:r>
      <w:r>
        <w:rPr>
          <w:rFonts w:hint="eastAsia" w:ascii="宋体" w:hAnsi="宋体" w:cs="宋体"/>
          <w:sz w:val="24"/>
          <w:szCs w:val="24"/>
        </w:rPr>
        <w:t>，</w:t>
      </w:r>
      <w:r>
        <w:rPr>
          <w:rFonts w:hint="eastAsia" w:ascii="宋体" w:hAnsi="宋体" w:cs="宋体"/>
          <w:sz w:val="24"/>
          <w:szCs w:val="24"/>
          <w:lang w:val="en-US" w:eastAsia="zh-CN"/>
        </w:rPr>
        <w:t>成交供应商须考虑</w:t>
      </w:r>
      <w:r>
        <w:rPr>
          <w:rFonts w:hint="eastAsia" w:ascii="宋体" w:hAnsi="宋体" w:cs="宋体"/>
          <w:sz w:val="24"/>
          <w:szCs w:val="24"/>
        </w:rPr>
        <w:t>合同期内最低工资标准上涨</w:t>
      </w:r>
      <w:r>
        <w:rPr>
          <w:rFonts w:hint="eastAsia" w:ascii="宋体" w:hAnsi="宋体" w:cs="宋体"/>
          <w:sz w:val="24"/>
          <w:szCs w:val="24"/>
          <w:lang w:eastAsia="zh-CN"/>
        </w:rPr>
        <w:t>、</w:t>
      </w:r>
      <w:r>
        <w:rPr>
          <w:rFonts w:hint="eastAsia" w:ascii="宋体" w:hAnsi="宋体" w:cs="宋体"/>
          <w:sz w:val="24"/>
          <w:szCs w:val="24"/>
          <w:lang w:val="en-US" w:eastAsia="zh-CN"/>
        </w:rPr>
        <w:t>加班费等费用</w:t>
      </w:r>
      <w:r>
        <w:rPr>
          <w:rFonts w:hint="eastAsia" w:ascii="宋体" w:hAnsi="宋体" w:cs="宋体"/>
          <w:sz w:val="24"/>
          <w:szCs w:val="24"/>
        </w:rPr>
        <w:t>，</w:t>
      </w:r>
      <w:r>
        <w:rPr>
          <w:rFonts w:hint="eastAsia" w:ascii="宋体" w:hAnsi="宋体" w:cs="宋体"/>
          <w:sz w:val="24"/>
          <w:szCs w:val="24"/>
          <w:lang w:val="en-US" w:eastAsia="zh-CN"/>
        </w:rPr>
        <w:t>服务期内</w:t>
      </w:r>
      <w:r>
        <w:rPr>
          <w:rFonts w:hint="eastAsia" w:ascii="宋体" w:hAnsi="宋体" w:cs="宋体"/>
          <w:sz w:val="24"/>
          <w:szCs w:val="24"/>
        </w:rPr>
        <w:t>合同价不调整</w:t>
      </w:r>
      <w:r>
        <w:rPr>
          <w:rFonts w:hint="eastAsia" w:ascii="宋体" w:hAnsi="宋体" w:cs="宋体"/>
          <w:sz w:val="24"/>
          <w:szCs w:val="24"/>
          <w:lang w:eastAsia="zh-CN"/>
        </w:rPr>
        <w:t>。</w:t>
      </w:r>
    </w:p>
    <w:p>
      <w:pPr>
        <w:snapToGrid w:val="0"/>
        <w:spacing w:line="360" w:lineRule="auto"/>
        <w:ind w:firstLine="472" w:firstLineChars="196"/>
        <w:outlineLvl w:val="1"/>
        <w:rPr>
          <w:rFonts w:hint="eastAsia" w:ascii="宋体" w:hAns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响应报价（以人民币计价）应包含在服务期内完成服务内容所需要的一切费用，包括但不限于材料费、药剂费、设备费、设备维修或更换费、检测费、上门服务费（含业主临时或应急要求）、人工费、管理费、利润、税金、政策性文件规定及为达到采购人要求所包含的所有风险、责任等各项费用。各投标供应商应根据磋商文件要求，并充分考虑市场因素，自行核算成本报价。如有漏项，视同已包含在其总项目中，即项目履行到项目执行结束的过程中所发生的一切费用及响应采购文件要求的所有费用。</w:t>
      </w:r>
    </w:p>
    <w:p>
      <w:pPr>
        <w:snapToGrid w:val="0"/>
        <w:spacing w:line="360" w:lineRule="auto"/>
        <w:ind w:left="0" w:leftChars="0" w:firstLine="468" w:firstLineChars="195"/>
        <w:outlineLvl w:val="1"/>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bCs/>
          <w:sz w:val="24"/>
        </w:rPr>
        <w:t>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pPr>
        <w:snapToGrid w:val="0"/>
        <w:spacing w:line="360" w:lineRule="auto"/>
        <w:ind w:left="0" w:leftChars="0" w:firstLine="468" w:firstLineChars="195"/>
        <w:outlineLvl w:val="1"/>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、本项目竞争性</w:t>
      </w:r>
      <w:r>
        <w:rPr>
          <w:rFonts w:hint="eastAsia" w:ascii="宋体" w:hAnsi="宋体" w:eastAsia="宋体" w:cs="宋体"/>
          <w:sz w:val="24"/>
          <w:szCs w:val="24"/>
        </w:rPr>
        <w:t>磋商的最终报价作为成交价。同时，供应商的最终成交价在合同实施期间不因市场变化因素而变动。</w:t>
      </w:r>
    </w:p>
    <w:p>
      <w:pPr>
        <w:snapToGrid w:val="0"/>
        <w:spacing w:line="360" w:lineRule="auto"/>
        <w:ind w:firstLine="470" w:firstLineChars="196"/>
        <w:outlineLvl w:val="1"/>
        <w:rPr>
          <w:rFonts w:ascii="宋体"/>
          <w:sz w:val="24"/>
          <w:szCs w:val="24"/>
        </w:rPr>
      </w:pPr>
      <w:r>
        <w:rPr>
          <w:rFonts w:hint="eastAsia" w:ascii="宋体" w:hAnsi="宋体" w:cs="宋体"/>
          <w:sz w:val="24"/>
          <w:szCs w:val="24"/>
          <w:lang w:val="en-US" w:eastAsia="zh-CN"/>
        </w:rPr>
        <w:t>9</w:t>
      </w:r>
      <w:r>
        <w:rPr>
          <w:rFonts w:hint="eastAsia" w:ascii="宋体" w:hAnsi="宋体" w:cs="宋体"/>
          <w:sz w:val="24"/>
          <w:szCs w:val="24"/>
        </w:rPr>
        <w:t>、最低的磋商总价报价是成交的重要条件，但不是成交的唯一条件。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ascii="Times New Roman" w:hAnsi="Times New Roman" w:eastAsia="宋体" w:cs="宋体"/>
          <w:sz w:val="24"/>
          <w:szCs w:val="24"/>
        </w:rPr>
        <w:t>1、从磋商响应</w:t>
      </w:r>
      <w:r>
        <w:rPr>
          <w:rFonts w:hint="eastAsia" w:cs="宋体"/>
          <w:sz w:val="24"/>
          <w:szCs w:val="24"/>
        </w:rPr>
        <w:t>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napToGrid w:val="0"/>
        <w:spacing w:line="360" w:lineRule="auto"/>
        <w:ind w:firstLine="480" w:firstLineChars="200"/>
        <w:rPr>
          <w:rFonts w:hint="eastAsia" w:cs="宋体"/>
          <w:color w:val="auto"/>
          <w:sz w:val="24"/>
          <w:szCs w:val="24"/>
        </w:rPr>
      </w:pPr>
      <w:r>
        <w:rPr>
          <w:rFonts w:hint="eastAsia" w:cs="宋体"/>
          <w:sz w:val="24"/>
          <w:szCs w:val="24"/>
        </w:rPr>
        <w:t>1</w:t>
      </w:r>
      <w:r>
        <w:rPr>
          <w:rFonts w:hint="eastAsia" w:cs="宋体"/>
          <w:sz w:val="24"/>
          <w:szCs w:val="24"/>
          <w:lang w:eastAsia="zh-CN"/>
        </w:rPr>
        <w:t>、</w:t>
      </w:r>
      <w:r>
        <w:rPr>
          <w:rFonts w:hint="eastAsia" w:cs="宋体"/>
          <w:sz w:val="24"/>
          <w:szCs w:val="24"/>
        </w:rPr>
        <w:t>各投标供应商须在递交磋商响应文件的同时缴纳磋商文件资料费300元。无论是否成交，该费用不予退还。</w:t>
      </w:r>
    </w:p>
    <w:p>
      <w:pPr>
        <w:snapToGrid w:val="0"/>
        <w:spacing w:line="360" w:lineRule="auto"/>
        <w:ind w:firstLine="480" w:firstLineChars="200"/>
        <w:rPr>
          <w:rFonts w:hint="eastAsia" w:cs="宋体"/>
          <w:sz w:val="24"/>
          <w:szCs w:val="24"/>
        </w:rPr>
      </w:pPr>
      <w:r>
        <w:rPr>
          <w:rFonts w:hint="eastAsia" w:cs="宋体"/>
          <w:color w:val="auto"/>
          <w:sz w:val="24"/>
          <w:szCs w:val="24"/>
        </w:rPr>
        <w:t>2、本项目采购代理费</w:t>
      </w:r>
      <w:r>
        <w:rPr>
          <w:rFonts w:hint="eastAsia" w:cs="宋体"/>
          <w:color w:val="auto"/>
          <w:sz w:val="24"/>
          <w:szCs w:val="24"/>
          <w:lang w:eastAsia="zh-CN"/>
        </w:rPr>
        <w:t>（</w:t>
      </w:r>
      <w:r>
        <w:rPr>
          <w:rFonts w:hint="eastAsia" w:cs="宋体"/>
          <w:color w:val="auto"/>
          <w:sz w:val="24"/>
          <w:szCs w:val="24"/>
          <w:lang w:val="en-US" w:eastAsia="zh-CN"/>
        </w:rPr>
        <w:t>按照国家计委[2002]1980号、发改价格[2011]534号的规定标准的40%收取，不满1200元按1200元收取）</w:t>
      </w:r>
      <w:r>
        <w:rPr>
          <w:rFonts w:hint="eastAsia" w:cs="宋体"/>
          <w:color w:val="auto"/>
          <w:sz w:val="24"/>
          <w:szCs w:val="24"/>
        </w:rPr>
        <w:t>由成交供应商承担，请参加磋商的投标供应商在成本中自行考虑。上述费用领取成交通知书前，向代理公司一次性</w:t>
      </w:r>
      <w:r>
        <w:rPr>
          <w:rFonts w:hint="eastAsia" w:cs="宋体"/>
          <w:sz w:val="24"/>
          <w:szCs w:val="24"/>
        </w:rPr>
        <w:t>缴清。</w:t>
      </w:r>
    </w:p>
    <w:p>
      <w:pPr>
        <w:snapToGrid w:val="0"/>
        <w:spacing w:line="360" w:lineRule="auto"/>
        <w:ind w:firstLine="480" w:firstLineChars="200"/>
        <w:rPr>
          <w:rFonts w:hint="eastAsia" w:cs="宋体"/>
          <w:sz w:val="24"/>
          <w:szCs w:val="24"/>
        </w:rPr>
      </w:pPr>
      <w:r>
        <w:rPr>
          <w:rFonts w:hint="eastAsia" w:cs="宋体"/>
          <w:sz w:val="24"/>
          <w:szCs w:val="24"/>
          <w:lang w:val="en-US" w:eastAsia="zh-CN"/>
        </w:rPr>
        <w:t>3</w:t>
      </w:r>
      <w:r>
        <w:rPr>
          <w:rFonts w:hint="eastAsia" w:cs="宋体"/>
          <w:sz w:val="24"/>
          <w:szCs w:val="24"/>
        </w:rPr>
        <w:t>、磋商程序顺利进行后，除供应商的原件可退回外，其余所有的响应文件都将作为档案保存，不论成交与否，代理机构均不退回（未拆封的除外）。</w:t>
      </w:r>
    </w:p>
    <w:p>
      <w:pPr>
        <w:snapToGrid w:val="0"/>
        <w:spacing w:line="360" w:lineRule="auto"/>
        <w:ind w:firstLine="480" w:firstLineChars="200"/>
        <w:rPr>
          <w:rFonts w:hint="eastAsia" w:cs="宋体"/>
          <w:sz w:val="24"/>
          <w:szCs w:val="24"/>
        </w:rPr>
      </w:pPr>
      <w:r>
        <w:rPr>
          <w:rFonts w:hint="eastAsia" w:cs="宋体"/>
          <w:sz w:val="24"/>
          <w:szCs w:val="24"/>
          <w:lang w:val="en-US" w:eastAsia="zh-CN"/>
        </w:rPr>
        <w:t>4</w:t>
      </w:r>
      <w:r>
        <w:rPr>
          <w:rFonts w:hint="eastAsia" w:cs="宋体"/>
          <w:sz w:val="24"/>
          <w:szCs w:val="24"/>
        </w:rPr>
        <w:t>、无论磋商过程和结果如何，参加项目磋商的供应商自行承担与本次项目磋商有关的全部费用。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、本项目成交后的履约保证金为项目中标价的</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2.中标人可以选择以 </w:t>
      </w:r>
      <w:r>
        <w:rPr>
          <w:rFonts w:hint="eastAsia" w:ascii="宋体" w:hAnsi="宋体" w:cs="宋体"/>
          <w:sz w:val="24"/>
          <w:szCs w:val="24"/>
          <w:u w:val="single"/>
          <w:lang w:val="zh-CN"/>
        </w:rPr>
        <w:t>数字人民币、支票、汇票或者金融机构、担保机构出具的保函等形式提交</w:t>
      </w:r>
      <w:r>
        <w:rPr>
          <w:rFonts w:hint="eastAsia" w:ascii="宋体" w:hAnsi="宋体" w:cs="宋体"/>
          <w:sz w:val="24"/>
          <w:szCs w:val="24"/>
          <w:u w:val="single"/>
        </w:rPr>
        <w:t xml:space="preserve">  </w:t>
      </w:r>
      <w:r>
        <w:rPr>
          <w:rFonts w:hint="eastAsia" w:ascii="宋体" w:hAnsi="宋体" w:cs="宋体"/>
          <w:sz w:val="24"/>
          <w:szCs w:val="24"/>
        </w:rPr>
        <w:t xml:space="preserve"> 履约保证金。</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3.中标人在中标通知书发出之日起30日内，凭中标通知书和履约保证金的缴纳凭证，与招标人签订合同，超期或未有协商，则视为自动放弃中标资格。</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4.中标人在按要求保质保量的完成该项目合同服务内容，招标人凭中标人提交的申请，一次性无息退还该合同项目的履约保证金。</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5.由于中标人原因，在签订合同后出现不按合同履行的情况，招标人有权将履约保证金作为违约金，全额不予退还，同时招标人亦有权终止合同，中标人还须承担相应的法律赔偿责任。</w:t>
      </w:r>
    </w:p>
    <w:p>
      <w:pPr>
        <w:snapToGrid w:val="0"/>
        <w:spacing w:line="360" w:lineRule="auto"/>
        <w:ind w:firstLine="496" w:firstLineChars="206"/>
        <w:textAlignment w:val="baseline"/>
        <w:rPr>
          <w:rFonts w:hint="eastAsia" w:ascii="宋体" w:hAnsi="宋体" w:cs="宋体"/>
          <w:b/>
          <w:color w:val="000000"/>
          <w:sz w:val="24"/>
          <w:szCs w:val="24"/>
        </w:rPr>
      </w:pPr>
      <w:r>
        <w:rPr>
          <w:rFonts w:hint="eastAsia" w:ascii="宋体" w:hAnsi="宋体" w:cs="宋体"/>
          <w:b/>
          <w:color w:val="000000"/>
          <w:sz w:val="24"/>
          <w:szCs w:val="24"/>
        </w:rPr>
        <w:t>十二、付款方式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lang w:eastAsia="zh-CN"/>
        </w:rPr>
        <w:t>服务期限三年，合同一年一签；</w:t>
      </w:r>
      <w:r>
        <w:rPr>
          <w:rFonts w:hint="eastAsia" w:ascii="宋体" w:hAnsi="宋体" w:cs="宋体"/>
          <w:color w:val="auto"/>
          <w:sz w:val="24"/>
          <w:lang w:val="en-US" w:eastAsia="zh-CN"/>
        </w:rPr>
        <w:t>货到付合同价的50%，服务期内经验收合格</w:t>
      </w:r>
      <w:r>
        <w:rPr>
          <w:rFonts w:hint="eastAsia" w:ascii="宋体" w:hAnsi="宋体" w:cs="宋体"/>
          <w:color w:val="auto"/>
          <w:sz w:val="24"/>
          <w:szCs w:val="24"/>
          <w:highlight w:val="none"/>
        </w:rPr>
        <w:t>采购人</w:t>
      </w:r>
      <w:r>
        <w:rPr>
          <w:rFonts w:hint="eastAsia" w:ascii="宋体" w:hAnsi="宋体" w:cs="宋体"/>
          <w:color w:val="auto"/>
          <w:sz w:val="24"/>
          <w:szCs w:val="24"/>
          <w:highlight w:val="none"/>
          <w:lang w:val="en-US" w:eastAsia="zh-CN"/>
        </w:rPr>
        <w:t>每年</w:t>
      </w:r>
      <w:r>
        <w:rPr>
          <w:rFonts w:hint="eastAsia" w:ascii="宋体" w:hAnsi="宋体" w:cs="宋体"/>
          <w:color w:val="auto"/>
          <w:sz w:val="24"/>
          <w:szCs w:val="24"/>
          <w:highlight w:val="none"/>
        </w:rPr>
        <w:t>进行一次考核，考核分大于90分（含90分）的，则全额支付</w:t>
      </w:r>
      <w:r>
        <w:rPr>
          <w:rFonts w:hint="eastAsia" w:ascii="宋体" w:hAnsi="宋体" w:cs="宋体"/>
          <w:color w:val="auto"/>
          <w:sz w:val="24"/>
          <w:szCs w:val="24"/>
          <w:highlight w:val="none"/>
          <w:lang w:val="en-US" w:eastAsia="zh-CN"/>
        </w:rPr>
        <w:t>年度合同价的50%</w:t>
      </w:r>
      <w:r>
        <w:rPr>
          <w:rFonts w:hint="eastAsia" w:ascii="宋体" w:hAnsi="宋体" w:cs="宋体"/>
          <w:color w:val="auto"/>
          <w:sz w:val="24"/>
          <w:szCs w:val="24"/>
          <w:highlight w:val="none"/>
        </w:rPr>
        <w:t>，</w:t>
      </w:r>
      <w:r>
        <w:rPr>
          <w:rFonts w:hint="eastAsia" w:ascii="宋体" w:hAnsi="宋体" w:eastAsia="宋体" w:cs="宋体"/>
          <w:b w:val="0"/>
          <w:bCs/>
          <w:color w:val="auto"/>
          <w:sz w:val="24"/>
          <w:szCs w:val="24"/>
          <w:highlight w:val="none"/>
          <w:lang w:val="en-US" w:eastAsia="zh-CN"/>
        </w:rPr>
        <w:t>低于90分的，每低1分扣相应支付</w:t>
      </w:r>
      <w:r>
        <w:rPr>
          <w:rFonts w:hint="eastAsia" w:ascii="宋体" w:hAnsi="宋体" w:cs="宋体"/>
          <w:b w:val="0"/>
          <w:bCs/>
          <w:color w:val="auto"/>
          <w:sz w:val="24"/>
          <w:szCs w:val="24"/>
          <w:highlight w:val="none"/>
          <w:lang w:val="en-US" w:eastAsia="zh-CN"/>
        </w:rPr>
        <w:t>合同</w:t>
      </w:r>
      <w:r>
        <w:rPr>
          <w:rFonts w:hint="eastAsia" w:ascii="宋体" w:hAnsi="宋体" w:eastAsia="宋体" w:cs="宋体"/>
          <w:b w:val="0"/>
          <w:bCs/>
          <w:color w:val="auto"/>
          <w:sz w:val="24"/>
          <w:szCs w:val="24"/>
          <w:highlight w:val="none"/>
          <w:lang w:val="en-US" w:eastAsia="zh-CN"/>
        </w:rPr>
        <w:t>总额的1%</w:t>
      </w:r>
      <w:r>
        <w:rPr>
          <w:rFonts w:hint="eastAsia" w:ascii="宋体" w:hAnsi="宋体" w:cs="宋体"/>
          <w:color w:val="auto"/>
          <w:sz w:val="24"/>
          <w:szCs w:val="24"/>
          <w:highlight w:val="none"/>
        </w:rPr>
        <w:t>。</w:t>
      </w:r>
    </w:p>
    <w:p>
      <w:pPr>
        <w:snapToGrid w:val="0"/>
        <w:spacing w:line="360" w:lineRule="auto"/>
        <w:ind w:firstLine="496" w:firstLineChars="206"/>
        <w:outlineLvl w:val="1"/>
        <w:rPr>
          <w:rFonts w:ascii="宋体" w:hAnsi="宋体" w:cs="宋体"/>
          <w:b/>
          <w:color w:val="auto"/>
          <w:sz w:val="24"/>
          <w:szCs w:val="24"/>
        </w:rPr>
      </w:pPr>
      <w:r>
        <w:rPr>
          <w:rFonts w:hint="eastAsia" w:ascii="宋体" w:hAnsi="宋体" w:cs="宋体"/>
          <w:b/>
          <w:bCs/>
          <w:color w:val="auto"/>
          <w:sz w:val="24"/>
          <w:szCs w:val="24"/>
        </w:rPr>
        <w:t>十三、</w:t>
      </w:r>
      <w:r>
        <w:rPr>
          <w:rFonts w:hint="eastAsia" w:ascii="宋体" w:hAnsi="宋体" w:cs="宋体"/>
          <w:b/>
          <w:color w:val="auto"/>
          <w:sz w:val="24"/>
          <w:szCs w:val="24"/>
        </w:rPr>
        <w:t>未尽事宜</w:t>
      </w:r>
    </w:p>
    <w:p>
      <w:pPr>
        <w:snapToGrid w:val="0"/>
        <w:spacing w:line="360" w:lineRule="auto"/>
        <w:ind w:firstLine="470" w:firstLineChars="196"/>
        <w:outlineLvl w:val="1"/>
        <w:rPr>
          <w:rFonts w:ascii="宋体" w:hAnsi="宋体" w:cs="宋体"/>
          <w:color w:val="auto"/>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color w:val="auto"/>
          <w:sz w:val="24"/>
          <w:szCs w:val="24"/>
        </w:rPr>
        <w:t>按《中华人民共和国政府采购法》、《政府采</w:t>
      </w:r>
      <w:bookmarkStart w:id="32" w:name="_Toc363573855"/>
      <w:r>
        <w:rPr>
          <w:rFonts w:hint="eastAsia" w:ascii="宋体" w:hAnsi="宋体" w:cs="宋体"/>
          <w:color w:val="auto"/>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ascii="宋体" w:hAnsi="宋体" w:cs="宋体"/>
          <w:b/>
          <w:bCs/>
          <w:w w:val="80"/>
          <w:sz w:val="44"/>
          <w:szCs w:val="44"/>
        </w:rPr>
      </w:pPr>
      <w:bookmarkStart w:id="33" w:name="_Toc94544872"/>
      <w:bookmarkStart w:id="34" w:name="_Toc94585342"/>
      <w:bookmarkStart w:id="35" w:name="_Toc11499586"/>
      <w:bookmarkStart w:id="36" w:name="_Toc11500282"/>
      <w:bookmarkStart w:id="37" w:name="_Toc521203420"/>
      <w:bookmarkStart w:id="38" w:name="_Toc11554641"/>
      <w:bookmarkStart w:id="39" w:name="_Toc8895741"/>
      <w:bookmarkStart w:id="40" w:name="_Toc12670505"/>
      <w:bookmarkStart w:id="41" w:name="_Toc13803483"/>
      <w:bookmarkStart w:id="42" w:name="_Toc521201599"/>
      <w:bookmarkStart w:id="43" w:name="_Toc94544746"/>
      <w:bookmarkStart w:id="44" w:name="_Toc363573856"/>
      <w:r>
        <w:rPr>
          <w:rFonts w:hint="eastAsia" w:ascii="宋体" w:hAnsi="宋体" w:cs="宋体"/>
          <w:b/>
          <w:bCs/>
          <w:w w:val="80"/>
          <w:sz w:val="44"/>
          <w:szCs w:val="44"/>
        </w:rPr>
        <w:t>第三章  项目需求</w:t>
      </w:r>
    </w:p>
    <w:p>
      <w:pPr>
        <w:pStyle w:val="20"/>
      </w:pPr>
    </w:p>
    <w:p>
      <w:pPr>
        <w:pStyle w:val="116"/>
        <w:snapToGrid w:val="0"/>
        <w:spacing w:line="360" w:lineRule="auto"/>
        <w:ind w:firstLine="482"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kern w:val="0"/>
          <w:sz w:val="24"/>
          <w:szCs w:val="24"/>
          <w:lang w:val="zh-CN"/>
        </w:rPr>
        <w:t>请供应商在制作响应文件时仔细研究项目需求说明。</w:t>
      </w:r>
      <w:r>
        <w:rPr>
          <w:rFonts w:hint="eastAsia" w:asciiTheme="minorEastAsia" w:hAnsiTheme="minorEastAsia" w:eastAsiaTheme="minorEastAsia" w:cstheme="minorEastAsia"/>
          <w:kern w:val="0"/>
          <w:sz w:val="24"/>
          <w:szCs w:val="24"/>
          <w:lang w:val="zh-CN"/>
        </w:rPr>
        <w:t>供应商不能简单照搬照抄采购单位项目需求说明中的服务、商务要求，必须作实事求是的响应。如照搬照抄项目需求说明中的服务、商务要求的，成交后供应商在同采购人签订合同和履约环节中不得提出异议，一切后果和损失由成交供应商承担。如供应商提供的服务同采购人提出的项目需求说明中的服务、商务要求不同的，必须在《商</w:t>
      </w:r>
      <w:r>
        <w:rPr>
          <w:rFonts w:hint="eastAsia" w:asciiTheme="minorEastAsia" w:hAnsiTheme="minorEastAsia" w:eastAsiaTheme="minorEastAsia" w:cstheme="minorEastAsia"/>
          <w:sz w:val="24"/>
          <w:szCs w:val="24"/>
        </w:rPr>
        <w:t>务部分正负偏离表》和《技术部分正负偏离表》上明示，如不明示的视同完全响应</w:t>
      </w:r>
      <w:r>
        <w:rPr>
          <w:rFonts w:hint="eastAsia" w:asciiTheme="minorEastAsia" w:hAnsiTheme="minorEastAsia" w:eastAsiaTheme="minorEastAsia" w:cstheme="minorEastAsia"/>
          <w:kern w:val="0"/>
          <w:sz w:val="24"/>
          <w:szCs w:val="24"/>
          <w:lang w:val="zh-CN"/>
        </w:rPr>
        <w:t>。</w:t>
      </w:r>
    </w:p>
    <w:p>
      <w:pPr>
        <w:adjustRightInd w:val="0"/>
        <w:snapToGrid w:val="0"/>
        <w:spacing w:line="460" w:lineRule="exact"/>
        <w:ind w:firstLine="482" w:firstLineChars="200"/>
        <w:rPr>
          <w:rFonts w:ascii="宋体" w:hAnsi="宋体"/>
          <w:b/>
          <w:sz w:val="24"/>
        </w:rPr>
      </w:pPr>
      <w:r>
        <w:rPr>
          <w:rFonts w:hint="eastAsia" w:ascii="宋体" w:hAnsi="宋体"/>
          <w:b/>
          <w:sz w:val="24"/>
        </w:rPr>
        <w:t>一、有关要求说明</w:t>
      </w:r>
    </w:p>
    <w:p>
      <w:pPr>
        <w:tabs>
          <w:tab w:val="left" w:pos="1710"/>
        </w:tabs>
        <w:adjustRightInd w:val="0"/>
        <w:snapToGrid w:val="0"/>
        <w:spacing w:line="460" w:lineRule="exact"/>
        <w:ind w:firstLine="482" w:firstLineChars="200"/>
        <w:rPr>
          <w:rFonts w:hint="eastAsia" w:ascii="宋体" w:hAnsi="宋体" w:eastAsia="宋体" w:cs="仿宋_GB2312"/>
          <w:b/>
          <w:sz w:val="24"/>
          <w:lang w:val="zh-CN" w:eastAsia="zh-CN"/>
        </w:rPr>
      </w:pPr>
      <w:r>
        <w:rPr>
          <w:rFonts w:hint="eastAsia" w:ascii="宋体" w:hAnsi="宋体"/>
          <w:b/>
          <w:sz w:val="24"/>
        </w:rPr>
        <w:t>1、</w:t>
      </w:r>
      <w:r>
        <w:rPr>
          <w:rFonts w:hint="eastAsia" w:ascii="宋体" w:hAnsi="宋体" w:cs="仿宋_GB2312"/>
          <w:b/>
          <w:sz w:val="24"/>
          <w:lang w:val="zh-CN"/>
        </w:rPr>
        <w:t>主要技术参数：</w:t>
      </w:r>
    </w:p>
    <w:p>
      <w:pPr>
        <w:tabs>
          <w:tab w:val="left" w:pos="1710"/>
        </w:tabs>
        <w:adjustRightInd w:val="0"/>
        <w:snapToGrid w:val="0"/>
        <w:spacing w:line="460" w:lineRule="exact"/>
        <w:ind w:firstLine="480" w:firstLineChars="200"/>
        <w:rPr>
          <w:rFonts w:ascii="宋体" w:hAnsi="宋体" w:cs="仿宋_GB2312"/>
          <w:b/>
          <w:sz w:val="24"/>
          <w:lang w:val="zh-CN"/>
        </w:rPr>
      </w:pPr>
      <w:r>
        <w:rPr>
          <w:rFonts w:hint="eastAsia" w:ascii="宋体" w:hAnsi="宋体" w:cs="宋体"/>
          <w:color w:val="000000"/>
          <w:sz w:val="24"/>
          <w:shd w:val="clear" w:color="auto" w:fill="FFFFFF"/>
        </w:rPr>
        <w:t xml:space="preserve">    清洗预膜方案需根据下述国家标准及行业标准进行：</w:t>
      </w:r>
    </w:p>
    <w:p>
      <w:pPr>
        <w:tabs>
          <w:tab w:val="left" w:pos="1710"/>
        </w:tabs>
        <w:adjustRightInd w:val="0"/>
        <w:snapToGrid w:val="0"/>
        <w:spacing w:line="46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①HG/T3778—2005《冷却水系统化学清洗、预膜处理技术规则》</w:t>
      </w:r>
    </w:p>
    <w:p>
      <w:pPr>
        <w:tabs>
          <w:tab w:val="left" w:pos="1710"/>
        </w:tabs>
        <w:adjustRightInd w:val="0"/>
        <w:snapToGrid w:val="0"/>
        <w:spacing w:line="460" w:lineRule="exact"/>
        <w:ind w:firstLine="480" w:firstLineChars="200"/>
        <w:rPr>
          <w:rFonts w:hint="eastAsia" w:ascii="宋体" w:hAnsi="宋体" w:eastAsia="宋体" w:cs="宋体"/>
          <w:color w:val="000000"/>
          <w:sz w:val="24"/>
          <w:shd w:val="clear" w:color="auto" w:fill="FFFFFF"/>
          <w:lang w:eastAsia="zh-CN"/>
        </w:rPr>
      </w:pPr>
      <w:r>
        <w:rPr>
          <w:rFonts w:hint="eastAsia" w:ascii="宋体" w:hAnsi="宋体" w:cs="宋体"/>
          <w:color w:val="000000"/>
          <w:sz w:val="24"/>
          <w:shd w:val="clear" w:color="auto" w:fill="FFFFFF"/>
        </w:rPr>
        <w:t>②CECS103:99《循环冷却水系统不停车化学清洗和热态预膜工艺技术规程》</w:t>
      </w:r>
    </w:p>
    <w:p>
      <w:pPr>
        <w:tabs>
          <w:tab w:val="left" w:pos="1710"/>
        </w:tabs>
        <w:adjustRightInd w:val="0"/>
        <w:snapToGrid w:val="0"/>
        <w:spacing w:line="46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③</w:t>
      </w:r>
      <w:r>
        <w:rPr>
          <w:rFonts w:hint="eastAsia" w:ascii="宋体" w:hAnsi="宋体" w:cs="宋体"/>
          <w:sz w:val="24"/>
          <w:szCs w:val="24"/>
        </w:rPr>
        <w:t>HG/T2387-2007《工业设备化学清洗质量标准》</w:t>
      </w:r>
      <w:r>
        <w:rPr>
          <w:rFonts w:hint="eastAsia" w:ascii="宋体" w:hAnsi="宋体" w:cs="宋体"/>
          <w:color w:val="000000"/>
          <w:sz w:val="24"/>
          <w:shd w:val="clear" w:color="auto" w:fill="FFFFFF"/>
        </w:rPr>
        <w:t xml:space="preserve"> </w:t>
      </w:r>
    </w:p>
    <w:p>
      <w:pPr>
        <w:tabs>
          <w:tab w:val="left" w:pos="1710"/>
        </w:tabs>
        <w:adjustRightInd w:val="0"/>
        <w:snapToGrid w:val="0"/>
        <w:spacing w:line="460" w:lineRule="exact"/>
        <w:ind w:firstLine="480" w:firstLineChars="200"/>
        <w:rPr>
          <w:rFonts w:hint="eastAsia" w:ascii="宋体" w:hAnsi="宋体" w:eastAsia="宋体" w:cs="宋体"/>
          <w:color w:val="000000"/>
          <w:sz w:val="24"/>
          <w:shd w:val="clear" w:color="auto" w:fill="FFFFFF"/>
          <w:lang w:eastAsia="zh-CN"/>
        </w:rPr>
      </w:pPr>
      <w:r>
        <w:rPr>
          <w:rFonts w:hint="eastAsia" w:ascii="宋体" w:hAnsi="宋体" w:cs="宋体"/>
          <w:color w:val="000000"/>
          <w:sz w:val="24"/>
          <w:shd w:val="clear" w:color="auto" w:fill="FFFFFF"/>
        </w:rPr>
        <w:t>④GB50050—2017《工业循环冷却水处理设计规范》</w:t>
      </w:r>
    </w:p>
    <w:p>
      <w:pPr>
        <w:tabs>
          <w:tab w:val="left" w:pos="1710"/>
        </w:tabs>
        <w:adjustRightInd w:val="0"/>
        <w:snapToGrid w:val="0"/>
        <w:spacing w:line="46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⑤GB8978-2002《污水综合排放标准》</w:t>
      </w:r>
    </w:p>
    <w:p>
      <w:pPr>
        <w:spacing w:line="480" w:lineRule="exact"/>
        <w:ind w:firstLine="482" w:firstLineChars="200"/>
        <w:rPr>
          <w:lang w:val="zh-CN"/>
        </w:rPr>
      </w:pPr>
      <w:r>
        <w:rPr>
          <w:rFonts w:hint="eastAsia" w:ascii="宋体" w:hAnsi="宋体" w:eastAsia="宋体" w:cs="仿宋_GB2312"/>
          <w:b/>
          <w:sz w:val="24"/>
          <w:lang w:val="en-US" w:eastAsia="zh-CN"/>
        </w:rPr>
        <w:t>2、拟派专业水处理人员：</w:t>
      </w:r>
      <w:r>
        <w:rPr>
          <w:rFonts w:hint="eastAsia" w:ascii="宋体" w:hAnsi="宋体" w:cs="宋体"/>
          <w:kern w:val="0"/>
          <w:sz w:val="24"/>
        </w:rPr>
        <w:t>投标供应商拟派</w:t>
      </w:r>
      <w:r>
        <w:rPr>
          <w:rFonts w:hint="eastAsia" w:ascii="宋体" w:hAnsi="宋体" w:cs="宋体"/>
          <w:kern w:val="0"/>
          <w:sz w:val="24"/>
          <w:lang w:val="en-US" w:eastAsia="zh-CN"/>
        </w:rPr>
        <w:t>1</w:t>
      </w:r>
      <w:r>
        <w:rPr>
          <w:rFonts w:hint="eastAsia" w:ascii="Times New Roman" w:hAnsi="Times New Roman"/>
          <w:sz w:val="24"/>
        </w:rPr>
        <w:t>名及以上电工人员、1名及以上高空作业人员、1名安全员、1名及以上制冷与空调作业人员（提供①人员对应岗位证书（电工证、高空作业证、安全员证、制冷与空调作业证）；②与投标供应商签订的有效劳动合同；③须提供社保机构出具的投标企业为其缴纳的近三个月任意一个月的社保缴费证明或有效证</w:t>
      </w:r>
      <w:r>
        <w:rPr>
          <w:rFonts w:hint="eastAsia" w:ascii="宋体" w:hAnsi="宋体" w:cs="宋体"/>
          <w:kern w:val="0"/>
          <w:sz w:val="24"/>
        </w:rPr>
        <w:t>明。）</w:t>
      </w:r>
    </w:p>
    <w:p>
      <w:pPr>
        <w:numPr>
          <w:ilvl w:val="0"/>
          <w:numId w:val="0"/>
        </w:numPr>
        <w:spacing w:line="460" w:lineRule="exact"/>
        <w:ind w:firstLine="482" w:firstLineChars="200"/>
        <w:rPr>
          <w:rFonts w:hint="eastAsia" w:eastAsia="宋体"/>
          <w:lang w:val="en-US" w:eastAsia="zh-CN"/>
        </w:rPr>
      </w:pPr>
      <w:r>
        <w:rPr>
          <w:rFonts w:hint="eastAsia" w:ascii="宋体" w:hAnsi="宋体" w:eastAsia="宋体" w:cs="宋体"/>
          <w:b/>
          <w:kern w:val="0"/>
          <w:sz w:val="24"/>
          <w:lang w:val="en-US" w:eastAsia="zh-CN"/>
        </w:rPr>
        <w:t>3、</w:t>
      </w:r>
      <w:r>
        <w:rPr>
          <w:rFonts w:hint="eastAsia" w:ascii="宋体" w:hAnsi="宋体" w:eastAsia="宋体" w:cs="宋体"/>
          <w:b/>
          <w:kern w:val="0"/>
          <w:sz w:val="24"/>
          <w:lang w:val="zh-CN"/>
        </w:rPr>
        <w:t>产品要求：</w:t>
      </w:r>
      <w:r>
        <w:rPr>
          <w:rFonts w:hint="eastAsia" w:ascii="宋体" w:hAnsi="宋体" w:cs="宋体"/>
          <w:kern w:val="0"/>
          <w:sz w:val="24"/>
          <w:lang w:val="zh-CN"/>
        </w:rPr>
        <w:t>产品必须是全新、未使用过的原装合格正品，完全符合采购文件规定的质量、规格和性能的要求；</w:t>
      </w:r>
      <w:r>
        <w:rPr>
          <w:rFonts w:hint="eastAsia" w:ascii="宋体" w:hAnsi="宋体" w:cs="宋体"/>
          <w:b/>
          <w:bCs/>
          <w:kern w:val="0"/>
          <w:sz w:val="24"/>
          <w:lang w:val="en-US" w:eastAsia="zh-CN"/>
        </w:rPr>
        <w:t>产品必须是无磷配方，</w:t>
      </w:r>
      <w:r>
        <w:rPr>
          <w:rFonts w:hint="eastAsia" w:ascii="宋体" w:hAnsi="宋体" w:cs="宋体"/>
          <w:b/>
          <w:bCs/>
          <w:kern w:val="0"/>
          <w:sz w:val="24"/>
          <w:lang w:val="zh-CN"/>
        </w:rPr>
        <w:t>达到国家规定的</w:t>
      </w:r>
      <w:r>
        <w:rPr>
          <w:rFonts w:hint="eastAsia" w:ascii="宋体" w:hAnsi="宋体" w:cs="宋体"/>
          <w:b/>
          <w:bCs/>
          <w:kern w:val="0"/>
          <w:sz w:val="24"/>
          <w:lang w:val="en-US" w:eastAsia="zh-CN"/>
        </w:rPr>
        <w:t>排放</w:t>
      </w:r>
      <w:r>
        <w:rPr>
          <w:rFonts w:hint="eastAsia" w:ascii="宋体" w:hAnsi="宋体" w:cs="宋体"/>
          <w:b/>
          <w:bCs/>
          <w:kern w:val="0"/>
          <w:sz w:val="24"/>
          <w:lang w:val="zh-CN"/>
        </w:rPr>
        <w:t>标准。</w:t>
      </w:r>
      <w:r>
        <w:rPr>
          <w:rFonts w:hint="eastAsia" w:ascii="宋体" w:hAnsi="宋体" w:cs="宋体"/>
          <w:b/>
          <w:bCs/>
          <w:kern w:val="0"/>
          <w:sz w:val="24"/>
          <w:lang w:val="en-US" w:eastAsia="zh-CN"/>
        </w:rPr>
        <w:t>(</w:t>
      </w:r>
      <w:r>
        <w:rPr>
          <w:rFonts w:hint="eastAsia" w:ascii="宋体" w:hAnsi="宋体" w:cs="宋体"/>
          <w:b/>
          <w:bCs/>
          <w:kern w:val="0"/>
          <w:sz w:val="24"/>
          <w:lang w:val="zh-CN"/>
        </w:rPr>
        <w:t>中标后需提供省级以上权威部门出具的第三方检测报告，如无法提供将取消其中标资格。</w:t>
      </w:r>
      <w:r>
        <w:rPr>
          <w:rFonts w:hint="eastAsia" w:ascii="宋体" w:hAnsi="宋体" w:cs="宋体"/>
          <w:b/>
          <w:bCs/>
          <w:kern w:val="0"/>
          <w:sz w:val="24"/>
          <w:lang w:val="en-US" w:eastAsia="zh-CN"/>
        </w:rPr>
        <w:t>)</w:t>
      </w:r>
    </w:p>
    <w:p>
      <w:pPr>
        <w:adjustRightInd w:val="0"/>
        <w:snapToGrid w:val="0"/>
        <w:spacing w:line="460" w:lineRule="exact"/>
        <w:ind w:firstLine="482" w:firstLineChars="200"/>
        <w:rPr>
          <w:rFonts w:ascii="宋体" w:hAnsi="宋体"/>
          <w:b/>
          <w:sz w:val="24"/>
        </w:rPr>
      </w:pPr>
      <w:r>
        <w:rPr>
          <w:rFonts w:hint="eastAsia" w:ascii="宋体" w:hAnsi="宋体"/>
          <w:b/>
          <w:sz w:val="24"/>
        </w:rPr>
        <w:t>二、项目具体需求说明</w:t>
      </w:r>
    </w:p>
    <w:p>
      <w:pPr>
        <w:spacing w:line="480" w:lineRule="exact"/>
        <w:ind w:firstLine="482" w:firstLineChars="200"/>
        <w:rPr>
          <w:rFonts w:hint="eastAsia" w:ascii="Times New Roman" w:hAnsi="Times New Roman"/>
          <w:sz w:val="24"/>
        </w:rPr>
      </w:pPr>
      <w:r>
        <w:rPr>
          <w:rFonts w:hint="eastAsia" w:ascii="Times New Roman" w:hAnsi="Times New Roman"/>
          <w:b/>
          <w:bCs/>
          <w:sz w:val="24"/>
        </w:rPr>
        <w:t>1、签订合同：</w:t>
      </w:r>
      <w:r>
        <w:rPr>
          <w:rFonts w:hint="eastAsia" w:ascii="Times New Roman" w:hAnsi="Times New Roman"/>
          <w:sz w:val="24"/>
        </w:rPr>
        <w:t>自中标通知书发出之日起</w:t>
      </w:r>
      <w:r>
        <w:rPr>
          <w:rFonts w:hint="eastAsia"/>
          <w:sz w:val="24"/>
          <w:lang w:val="en-US" w:eastAsia="zh-CN"/>
        </w:rPr>
        <w:t>30</w:t>
      </w:r>
      <w:r>
        <w:rPr>
          <w:rFonts w:hint="eastAsia" w:ascii="Times New Roman" w:hAnsi="Times New Roman"/>
          <w:sz w:val="24"/>
        </w:rPr>
        <w:t>日内按时签约。</w:t>
      </w:r>
    </w:p>
    <w:p>
      <w:pPr>
        <w:spacing w:line="480" w:lineRule="exact"/>
        <w:ind w:firstLine="482" w:firstLineChars="200"/>
        <w:rPr>
          <w:rFonts w:hint="default" w:ascii="Times New Roman" w:hAnsi="Times New Roman" w:eastAsia="宋体"/>
          <w:sz w:val="24"/>
          <w:lang w:val="en-US" w:eastAsia="zh-CN"/>
        </w:rPr>
      </w:pPr>
      <w:r>
        <w:rPr>
          <w:rFonts w:hint="eastAsia" w:ascii="Times New Roman" w:hAnsi="Times New Roman"/>
          <w:b/>
          <w:bCs/>
          <w:sz w:val="24"/>
        </w:rPr>
        <w:t>2、工期要求：</w:t>
      </w:r>
      <w:r>
        <w:rPr>
          <w:rFonts w:hint="eastAsia" w:ascii="Times New Roman" w:hAnsi="Times New Roman"/>
          <w:sz w:val="24"/>
        </w:rPr>
        <w:t>自合同签订生效之日</w:t>
      </w:r>
      <w:r>
        <w:rPr>
          <w:rFonts w:hint="eastAsia"/>
          <w:sz w:val="24"/>
          <w:lang w:eastAsia="zh-CN"/>
        </w:rPr>
        <w:t>，</w:t>
      </w:r>
      <w:r>
        <w:rPr>
          <w:rFonts w:hint="eastAsia"/>
          <w:sz w:val="24"/>
          <w:lang w:val="en-US" w:eastAsia="zh-CN"/>
        </w:rPr>
        <w:t>空调开启前一周进场。</w:t>
      </w:r>
    </w:p>
    <w:p>
      <w:pPr>
        <w:spacing w:line="480" w:lineRule="exact"/>
        <w:ind w:firstLine="482" w:firstLineChars="200"/>
        <w:rPr>
          <w:rFonts w:hint="eastAsia" w:ascii="Times New Roman" w:hAnsi="Times New Roman" w:eastAsia="宋体"/>
          <w:sz w:val="24"/>
          <w:highlight w:val="none"/>
          <w:lang w:val="en-US" w:eastAsia="zh-CN"/>
        </w:rPr>
      </w:pPr>
      <w:r>
        <w:rPr>
          <w:rFonts w:hint="eastAsia" w:ascii="Times New Roman" w:hAnsi="Times New Roman"/>
          <w:b/>
          <w:bCs/>
          <w:sz w:val="24"/>
        </w:rPr>
        <w:t>3、服务地点：</w:t>
      </w:r>
      <w:r>
        <w:rPr>
          <w:rFonts w:hint="eastAsia" w:ascii="Times New Roman" w:hAnsi="Times New Roman"/>
          <w:sz w:val="24"/>
        </w:rPr>
        <w:t>南通市妇幼保健院</w:t>
      </w:r>
      <w:r>
        <w:rPr>
          <w:rFonts w:hint="eastAsia"/>
          <w:sz w:val="24"/>
          <w:lang w:val="en-US" w:eastAsia="zh-CN"/>
        </w:rPr>
        <w:t>院内</w:t>
      </w:r>
    </w:p>
    <w:p>
      <w:pPr>
        <w:spacing w:line="480" w:lineRule="exact"/>
        <w:ind w:firstLine="482" w:firstLineChars="200"/>
        <w:rPr>
          <w:rFonts w:hint="eastAsia" w:ascii="Times New Roman" w:hAnsi="Times New Roman"/>
          <w:sz w:val="24"/>
          <w:lang w:val="zh-CN"/>
        </w:rPr>
      </w:pPr>
      <w:r>
        <w:rPr>
          <w:rFonts w:hint="eastAsia" w:ascii="Times New Roman" w:hAnsi="Times New Roman"/>
          <w:b/>
          <w:bCs/>
          <w:sz w:val="24"/>
        </w:rPr>
        <w:t>4、</w:t>
      </w:r>
      <w:r>
        <w:rPr>
          <w:rFonts w:hint="eastAsia" w:ascii="Times New Roman" w:hAnsi="Times New Roman"/>
          <w:b/>
          <w:bCs/>
          <w:sz w:val="24"/>
          <w:lang w:val="zh-CN"/>
        </w:rPr>
        <w:t>服务期限：</w:t>
      </w:r>
      <w:r>
        <w:rPr>
          <w:rFonts w:hint="eastAsia" w:ascii="Times New Roman" w:hAnsi="Times New Roman"/>
          <w:sz w:val="24"/>
        </w:rPr>
        <w:t>本项目服务期为3年，合同1年1签。如中标人合同期内履约情况良好（即年度综合考核得分≥90分），则在第一年合同期满后，供应商承诺不增加服务费用，且在合同双方自愿的前提下，采购人、供应商双方可续签下一年度合同，但最多续签2次。</w:t>
      </w:r>
    </w:p>
    <w:p>
      <w:pPr>
        <w:tabs>
          <w:tab w:val="left" w:pos="5325"/>
        </w:tabs>
        <w:adjustRightInd w:val="0"/>
        <w:snapToGrid w:val="0"/>
        <w:spacing w:line="460" w:lineRule="exact"/>
        <w:ind w:firstLine="482" w:firstLineChars="200"/>
        <w:rPr>
          <w:rFonts w:ascii="宋体" w:hAnsi="宋体"/>
          <w:b/>
          <w:sz w:val="24"/>
          <w:highlight w:val="none"/>
        </w:rPr>
      </w:pPr>
      <w:r>
        <w:rPr>
          <w:rFonts w:hint="eastAsia" w:ascii="宋体" w:hAnsi="宋体"/>
          <w:b/>
          <w:sz w:val="24"/>
        </w:rPr>
        <w:t>5、验收方案：</w:t>
      </w:r>
      <w:r>
        <w:rPr>
          <w:rFonts w:hint="eastAsia" w:ascii="宋体" w:hAnsi="宋体"/>
          <w:b w:val="0"/>
          <w:bCs/>
          <w:sz w:val="24"/>
          <w:lang w:val="en-US" w:eastAsia="zh-CN"/>
        </w:rPr>
        <w:t>年度</w:t>
      </w:r>
      <w:r>
        <w:rPr>
          <w:rFonts w:hint="eastAsia" w:ascii="宋体" w:hAnsi="宋体"/>
          <w:b w:val="0"/>
          <w:bCs/>
          <w:sz w:val="24"/>
          <w:highlight w:val="none"/>
          <w:lang w:val="en-US" w:eastAsia="zh-CN"/>
        </w:rPr>
        <w:t>服务周期结束，</w:t>
      </w:r>
      <w:r>
        <w:rPr>
          <w:rFonts w:hint="eastAsia" w:ascii="宋体" w:hAnsi="宋体"/>
          <w:sz w:val="24"/>
          <w:highlight w:val="none"/>
        </w:rPr>
        <w:t>在接到供应商以书面形式提出验收申请后，5个工作日内及时组织相关专业技术人员共同参与验收，并出具验收报告，作为支付货款的依据。</w:t>
      </w:r>
    </w:p>
    <w:p>
      <w:pPr>
        <w:adjustRightInd w:val="0"/>
        <w:snapToGrid w:val="0"/>
        <w:spacing w:line="460" w:lineRule="exact"/>
        <w:ind w:firstLine="482" w:firstLineChars="200"/>
        <w:rPr>
          <w:rFonts w:ascii="宋体" w:hAnsi="宋体"/>
          <w:b/>
          <w:sz w:val="24"/>
        </w:rPr>
      </w:pPr>
      <w:r>
        <w:rPr>
          <w:rFonts w:hint="eastAsia" w:ascii="宋体" w:hAnsi="宋体"/>
          <w:b/>
          <w:sz w:val="24"/>
        </w:rPr>
        <w:t>6、安全生产：</w:t>
      </w:r>
    </w:p>
    <w:p>
      <w:pPr>
        <w:adjustRightInd w:val="0"/>
        <w:snapToGrid w:val="0"/>
        <w:spacing w:line="460" w:lineRule="exact"/>
        <w:ind w:firstLine="480" w:firstLineChars="200"/>
        <w:rPr>
          <w:rFonts w:ascii="宋体" w:hAnsi="宋体" w:cs="宋体"/>
          <w:bCs/>
          <w:kern w:val="0"/>
          <w:sz w:val="24"/>
        </w:rPr>
      </w:pPr>
      <w:r>
        <w:rPr>
          <w:rFonts w:hint="eastAsia" w:ascii="宋体" w:hAnsi="宋体" w:cs="宋体"/>
          <w:bCs/>
          <w:kern w:val="0"/>
          <w:sz w:val="24"/>
        </w:rPr>
        <w:t>（1）中标供应商应严格按照工程建设安全生产的有关管理规定，设置安全措施文明施工。</w:t>
      </w:r>
    </w:p>
    <w:p>
      <w:pPr>
        <w:adjustRightInd w:val="0"/>
        <w:snapToGrid w:val="0"/>
        <w:spacing w:line="460" w:lineRule="exact"/>
        <w:ind w:firstLine="480" w:firstLineChars="200"/>
        <w:rPr>
          <w:rFonts w:ascii="宋体" w:hAnsi="宋体" w:cs="宋体"/>
          <w:bCs/>
          <w:kern w:val="0"/>
          <w:sz w:val="24"/>
        </w:rPr>
      </w:pPr>
      <w:r>
        <w:rPr>
          <w:rFonts w:hint="eastAsia" w:ascii="宋体" w:hAnsi="宋体" w:cs="宋体"/>
          <w:bCs/>
          <w:kern w:val="0"/>
          <w:sz w:val="24"/>
        </w:rPr>
        <w:t>（2）特种设备人员必须持证上岗，高空作业必须做好正规施工方案，并到相关部门进行备案。</w:t>
      </w:r>
    </w:p>
    <w:p>
      <w:pPr>
        <w:adjustRightInd w:val="0"/>
        <w:snapToGrid w:val="0"/>
        <w:spacing w:line="460" w:lineRule="exact"/>
        <w:ind w:firstLine="480" w:firstLineChars="200"/>
        <w:rPr>
          <w:rFonts w:ascii="宋体" w:hAnsi="宋体" w:cs="宋体"/>
          <w:bCs/>
          <w:kern w:val="0"/>
          <w:sz w:val="24"/>
        </w:rPr>
      </w:pPr>
      <w:r>
        <w:rPr>
          <w:rFonts w:hint="eastAsia" w:ascii="宋体" w:hAnsi="宋体" w:cs="宋体"/>
          <w:bCs/>
          <w:kern w:val="0"/>
          <w:sz w:val="24"/>
        </w:rPr>
        <w:t>（3）若发生安全生产事故或对非现场施工的第三方人员造成伤害，造成的相关损失，均由中标供应商承担。</w:t>
      </w:r>
    </w:p>
    <w:p>
      <w:pPr>
        <w:adjustRightInd w:val="0"/>
        <w:snapToGrid w:val="0"/>
        <w:spacing w:line="460" w:lineRule="exact"/>
        <w:ind w:firstLine="482" w:firstLineChars="200"/>
        <w:rPr>
          <w:rFonts w:ascii="宋体" w:hAnsi="宋体"/>
          <w:b/>
          <w:sz w:val="24"/>
        </w:rPr>
      </w:pPr>
      <w:r>
        <w:rPr>
          <w:rFonts w:hint="eastAsia" w:ascii="宋体" w:hAnsi="宋体"/>
          <w:b/>
          <w:sz w:val="24"/>
        </w:rPr>
        <w:t>7、廉政责任：</w:t>
      </w:r>
    </w:p>
    <w:p>
      <w:pPr>
        <w:adjustRightInd w:val="0"/>
        <w:snapToGrid w:val="0"/>
        <w:spacing w:line="460" w:lineRule="exact"/>
        <w:ind w:firstLine="480" w:firstLineChars="200"/>
        <w:rPr>
          <w:rFonts w:ascii="宋体" w:hAnsi="宋体"/>
          <w:sz w:val="24"/>
        </w:rPr>
      </w:pPr>
      <w:r>
        <w:rPr>
          <w:rFonts w:hint="eastAsia" w:ascii="宋体" w:hAnsi="宋体"/>
          <w:sz w:val="24"/>
        </w:rPr>
        <w:t>双方必须严格执行相关廉政要求，做到不行贿不受贿，认真负责完成合同相关约定。</w:t>
      </w:r>
    </w:p>
    <w:p>
      <w:pPr>
        <w:adjustRightInd w:val="0"/>
        <w:snapToGrid w:val="0"/>
        <w:spacing w:line="460" w:lineRule="exact"/>
        <w:ind w:firstLine="482" w:firstLineChars="200"/>
        <w:rPr>
          <w:rFonts w:ascii="宋体" w:hAnsi="宋体"/>
          <w:b/>
          <w:sz w:val="24"/>
        </w:rPr>
      </w:pPr>
      <w:r>
        <w:rPr>
          <w:rFonts w:hint="eastAsia" w:ascii="宋体" w:hAnsi="宋体"/>
          <w:b/>
          <w:sz w:val="24"/>
        </w:rPr>
        <w:t>8、售后服务：</w:t>
      </w:r>
    </w:p>
    <w:p>
      <w:pPr>
        <w:adjustRightInd w:val="0"/>
        <w:snapToGrid w:val="0"/>
        <w:spacing w:line="460" w:lineRule="exact"/>
        <w:ind w:firstLine="480" w:firstLineChars="200"/>
        <w:rPr>
          <w:rFonts w:ascii="宋体" w:hAnsi="宋体"/>
          <w:sz w:val="24"/>
        </w:rPr>
      </w:pPr>
      <w:r>
        <w:rPr>
          <w:rFonts w:hint="eastAsia" w:ascii="宋体" w:hAnsi="宋体"/>
          <w:sz w:val="24"/>
        </w:rPr>
        <w:t>中标供应商接到维修通知后不能在规定时间内保证系统正常运行的，采购人有权自行处理，所需费用在中标人的维保费用中扣除，并保留追究相应合同违约责任的权利。</w:t>
      </w:r>
    </w:p>
    <w:p>
      <w:pPr>
        <w:tabs>
          <w:tab w:val="left" w:pos="5325"/>
        </w:tabs>
        <w:adjustRightInd w:val="0"/>
        <w:snapToGrid w:val="0"/>
        <w:spacing w:line="460" w:lineRule="exact"/>
        <w:ind w:firstLine="482" w:firstLineChars="200"/>
        <w:rPr>
          <w:rFonts w:ascii="宋体" w:hAnsi="宋体"/>
          <w:b/>
          <w:sz w:val="24"/>
          <w:lang w:val="zh-CN"/>
        </w:rPr>
      </w:pPr>
      <w:r>
        <w:rPr>
          <w:rFonts w:hint="eastAsia" w:ascii="宋体" w:hAnsi="宋体"/>
          <w:b/>
          <w:sz w:val="24"/>
        </w:rPr>
        <w:t>三、</w:t>
      </w:r>
      <w:r>
        <w:rPr>
          <w:rFonts w:hint="eastAsia" w:ascii="宋体" w:hAnsi="宋体"/>
          <w:b/>
          <w:sz w:val="24"/>
          <w:lang w:val="zh-CN"/>
        </w:rPr>
        <w:t>技术条件：</w:t>
      </w:r>
    </w:p>
    <w:p>
      <w:pPr>
        <w:tabs>
          <w:tab w:val="left" w:pos="5325"/>
        </w:tabs>
        <w:adjustRightInd w:val="0"/>
        <w:snapToGrid w:val="0"/>
        <w:spacing w:line="460" w:lineRule="exact"/>
        <w:ind w:firstLine="482" w:firstLineChars="200"/>
        <w:rPr>
          <w:rFonts w:ascii="宋体" w:hAnsi="宋体"/>
          <w:b/>
          <w:sz w:val="24"/>
        </w:rPr>
      </w:pPr>
      <w:r>
        <w:rPr>
          <w:rFonts w:hint="eastAsia" w:ascii="宋体" w:hAnsi="宋体"/>
          <w:b/>
          <w:sz w:val="24"/>
        </w:rPr>
        <w:t>（一）设备清单：</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 xml:space="preserve">1. </w:t>
      </w:r>
      <w:r>
        <w:rPr>
          <w:rFonts w:hint="eastAsia" w:ascii="宋体" w:hAnsi="宋体" w:cs="宋体"/>
          <w:kern w:val="0"/>
          <w:sz w:val="24"/>
          <w:lang w:val="en-US" w:eastAsia="zh-CN"/>
        </w:rPr>
        <w:t>妇幼保健院及儿童医院两栋</w:t>
      </w:r>
      <w:r>
        <w:rPr>
          <w:rFonts w:hint="eastAsia" w:ascii="宋体" w:hAnsi="宋体" w:cs="宋体"/>
          <w:kern w:val="0"/>
          <w:sz w:val="24"/>
        </w:rPr>
        <w:t>大楼的冷冻水系统；</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 xml:space="preserve">2. </w:t>
      </w:r>
      <w:r>
        <w:rPr>
          <w:rFonts w:hint="eastAsia" w:ascii="宋体" w:hAnsi="宋体" w:cs="宋体"/>
          <w:kern w:val="0"/>
          <w:sz w:val="24"/>
          <w:lang w:val="en-US" w:eastAsia="zh-CN"/>
        </w:rPr>
        <w:t>妇幼保健院</w:t>
      </w:r>
      <w:r>
        <w:rPr>
          <w:rFonts w:hint="eastAsia" w:ascii="宋体" w:hAnsi="宋体" w:cs="宋体"/>
          <w:kern w:val="0"/>
          <w:sz w:val="24"/>
        </w:rPr>
        <w:t>净化机组的冷冻水系统；</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 xml:space="preserve">. </w:t>
      </w:r>
      <w:r>
        <w:rPr>
          <w:rFonts w:hint="eastAsia" w:ascii="宋体" w:hAnsi="宋体" w:cs="宋体"/>
          <w:kern w:val="0"/>
          <w:sz w:val="24"/>
          <w:lang w:val="en-US" w:eastAsia="zh-CN"/>
        </w:rPr>
        <w:t>妇幼保健院及儿童医院两栋</w:t>
      </w:r>
      <w:r>
        <w:rPr>
          <w:rFonts w:hint="eastAsia" w:ascii="宋体" w:hAnsi="宋体" w:cs="宋体"/>
          <w:kern w:val="0"/>
          <w:sz w:val="24"/>
        </w:rPr>
        <w:t>大楼的冷却水系统；</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 xml:space="preserve">. </w:t>
      </w:r>
      <w:r>
        <w:rPr>
          <w:rFonts w:hint="eastAsia" w:ascii="宋体" w:hAnsi="宋体" w:cs="宋体"/>
          <w:kern w:val="0"/>
          <w:sz w:val="24"/>
          <w:lang w:val="en-US" w:eastAsia="zh-CN"/>
        </w:rPr>
        <w:t>妇幼保健院</w:t>
      </w:r>
      <w:r>
        <w:rPr>
          <w:rFonts w:hint="eastAsia" w:ascii="宋体" w:hAnsi="宋体" w:cs="宋体"/>
          <w:kern w:val="0"/>
          <w:sz w:val="24"/>
        </w:rPr>
        <w:t>主管道过滤器及末端水过滤器清洗；</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 xml:space="preserve">. </w:t>
      </w:r>
      <w:r>
        <w:rPr>
          <w:rFonts w:hint="eastAsia" w:ascii="宋体" w:hAnsi="宋体" w:cs="宋体"/>
          <w:kern w:val="0"/>
          <w:sz w:val="24"/>
          <w:lang w:val="en-US" w:eastAsia="zh-CN"/>
        </w:rPr>
        <w:t>妇幼保健院及儿童医院两栋</w:t>
      </w:r>
      <w:r>
        <w:rPr>
          <w:rFonts w:hint="eastAsia" w:ascii="宋体" w:hAnsi="宋体" w:cs="宋体"/>
          <w:kern w:val="0"/>
          <w:sz w:val="24"/>
        </w:rPr>
        <w:t>大楼的冷却塔主体。</w:t>
      </w:r>
    </w:p>
    <w:p>
      <w:pPr>
        <w:tabs>
          <w:tab w:val="left" w:pos="5325"/>
        </w:tabs>
        <w:adjustRightInd w:val="0"/>
        <w:snapToGrid w:val="0"/>
        <w:spacing w:line="460" w:lineRule="exact"/>
        <w:ind w:firstLine="482" w:firstLineChars="200"/>
        <w:rPr>
          <w:rFonts w:hint="eastAsia" w:ascii="宋体" w:hAnsi="宋体"/>
          <w:b/>
          <w:sz w:val="24"/>
        </w:rPr>
      </w:pPr>
      <w:r>
        <w:rPr>
          <w:rFonts w:hint="eastAsia" w:ascii="宋体" w:hAnsi="宋体"/>
          <w:b/>
          <w:sz w:val="24"/>
        </w:rPr>
        <w:t>（二）维保要求：</w:t>
      </w:r>
    </w:p>
    <w:p>
      <w:pPr>
        <w:adjustRightInd w:val="0"/>
        <w:snapToGrid w:val="0"/>
        <w:spacing w:line="460" w:lineRule="exact"/>
        <w:ind w:firstLine="480" w:firstLineChars="200"/>
        <w:rPr>
          <w:rFonts w:ascii="宋体" w:hAnsi="宋体"/>
          <w:b w:val="0"/>
          <w:bCs/>
          <w:sz w:val="24"/>
        </w:rPr>
      </w:pPr>
      <w:r>
        <w:rPr>
          <w:rFonts w:hint="eastAsia" w:ascii="宋体" w:hAnsi="宋体"/>
          <w:b w:val="0"/>
          <w:bCs/>
          <w:sz w:val="24"/>
        </w:rPr>
        <w:t>1</w:t>
      </w:r>
      <w:r>
        <w:rPr>
          <w:rFonts w:hint="eastAsia" w:ascii="宋体" w:hAnsi="宋体" w:cs="宋体"/>
          <w:b w:val="0"/>
          <w:bCs/>
          <w:sz w:val="24"/>
        </w:rPr>
        <w:t>、</w:t>
      </w:r>
      <w:r>
        <w:rPr>
          <w:rFonts w:hint="eastAsia" w:ascii="宋体" w:hAnsi="宋体" w:cs="宋体"/>
          <w:b w:val="0"/>
          <w:bCs/>
          <w:color w:val="000000"/>
          <w:sz w:val="24"/>
          <w:shd w:val="clear" w:color="auto" w:fill="FFFFFF"/>
        </w:rPr>
        <w:t>为保证循环冷却水水质稳定，必须使用自动加药装置投加缓蚀阻垢和杀菌灭藻药剂；</w:t>
      </w:r>
    </w:p>
    <w:p>
      <w:pPr>
        <w:adjustRightInd w:val="0"/>
        <w:snapToGrid w:val="0"/>
        <w:spacing w:line="460" w:lineRule="exact"/>
        <w:ind w:firstLine="480" w:firstLineChars="200"/>
        <w:rPr>
          <w:rFonts w:hint="eastAsia" w:ascii="宋体" w:hAnsi="宋体" w:cs="宋体"/>
          <w:color w:val="000000"/>
          <w:sz w:val="24"/>
          <w:highlight w:val="none"/>
          <w:shd w:val="clear" w:color="auto" w:fill="FFFFFF"/>
        </w:rPr>
      </w:pPr>
      <w:r>
        <w:rPr>
          <w:rFonts w:hint="eastAsia" w:ascii="宋体" w:hAnsi="宋体" w:cs="宋体"/>
          <w:color w:val="000000"/>
          <w:sz w:val="24"/>
          <w:shd w:val="clear" w:color="auto" w:fill="FFFFFF"/>
        </w:rPr>
        <w:t>2、</w:t>
      </w:r>
      <w:r>
        <w:rPr>
          <w:rFonts w:hint="eastAsia" w:ascii="宋体" w:hAnsi="宋体" w:cs="宋体"/>
          <w:color w:val="000000"/>
          <w:sz w:val="24"/>
          <w:highlight w:val="none"/>
          <w:shd w:val="clear" w:color="auto" w:fill="FFFFFF"/>
        </w:rPr>
        <w:t>冷却水开机时期提供每周1次定期的现场技术服务，冷却水停机后一月一次提取水样，进行现场检测；</w:t>
      </w:r>
    </w:p>
    <w:p>
      <w:pPr>
        <w:adjustRightInd w:val="0"/>
        <w:snapToGrid w:val="0"/>
        <w:spacing w:line="460" w:lineRule="exact"/>
        <w:ind w:firstLine="480" w:firstLineChars="200"/>
        <w:rPr>
          <w:rFonts w:ascii="宋体" w:hAnsi="宋体"/>
          <w:bCs/>
          <w:sz w:val="24"/>
          <w:highlight w:val="none"/>
        </w:rPr>
      </w:pPr>
      <w:r>
        <w:rPr>
          <w:rFonts w:hint="eastAsia" w:ascii="宋体" w:hAnsi="宋体" w:cs="宋体"/>
          <w:color w:val="000000"/>
          <w:sz w:val="24"/>
          <w:highlight w:val="none"/>
          <w:shd w:val="clear" w:color="auto" w:fill="FFFFFF"/>
        </w:rPr>
        <w:t>3、每月提供1次水质分析测试报告；</w:t>
      </w:r>
    </w:p>
    <w:p>
      <w:pPr>
        <w:adjustRightInd w:val="0"/>
        <w:snapToGrid w:val="0"/>
        <w:spacing w:line="460" w:lineRule="exact"/>
        <w:ind w:firstLine="480" w:firstLineChars="200"/>
        <w:rPr>
          <w:rFonts w:hint="eastAsia" w:ascii="宋体" w:hAnsi="宋体" w:cs="宋体"/>
          <w:color w:val="auto"/>
          <w:sz w:val="24"/>
          <w:shd w:val="clear" w:color="auto" w:fill="FFFFFF"/>
        </w:rPr>
      </w:pPr>
      <w:r>
        <w:rPr>
          <w:rFonts w:hint="eastAsia" w:ascii="宋体" w:hAnsi="宋体"/>
          <w:color w:val="auto"/>
          <w:sz w:val="24"/>
        </w:rPr>
        <w:t>4、</w:t>
      </w:r>
      <w:r>
        <w:rPr>
          <w:rFonts w:hint="eastAsia" w:ascii="宋体" w:hAnsi="宋体" w:cs="宋体"/>
          <w:color w:val="auto"/>
          <w:sz w:val="24"/>
          <w:shd w:val="clear" w:color="auto" w:fill="FFFFFF"/>
        </w:rPr>
        <w:t>一般故障应在</w:t>
      </w:r>
      <w:r>
        <w:rPr>
          <w:rFonts w:hint="eastAsia" w:ascii="宋体" w:hAnsi="宋体" w:cs="宋体"/>
          <w:color w:val="auto"/>
          <w:sz w:val="24"/>
          <w:shd w:val="clear" w:color="auto" w:fill="FFFFFF"/>
          <w:lang w:val="en-US" w:eastAsia="zh-CN"/>
        </w:rPr>
        <w:t>2</w:t>
      </w:r>
      <w:r>
        <w:rPr>
          <w:rFonts w:hint="eastAsia" w:ascii="宋体" w:hAnsi="宋体" w:cs="宋体"/>
          <w:color w:val="auto"/>
          <w:sz w:val="24"/>
          <w:shd w:val="clear" w:color="auto" w:fill="FFFFFF"/>
        </w:rPr>
        <w:t>小时内解决，重大故障应在</w:t>
      </w:r>
      <w:r>
        <w:rPr>
          <w:rFonts w:hint="eastAsia" w:ascii="宋体" w:hAnsi="宋体" w:cs="宋体"/>
          <w:color w:val="auto"/>
          <w:sz w:val="24"/>
          <w:shd w:val="clear" w:color="auto" w:fill="FFFFFF"/>
          <w:lang w:val="en-US" w:eastAsia="zh-CN"/>
        </w:rPr>
        <w:t>24</w:t>
      </w:r>
      <w:r>
        <w:rPr>
          <w:rFonts w:hint="eastAsia" w:ascii="宋体" w:hAnsi="宋体" w:cs="宋体"/>
          <w:color w:val="auto"/>
          <w:sz w:val="24"/>
          <w:shd w:val="clear" w:color="auto" w:fill="FFFFFF"/>
        </w:rPr>
        <w:t>小时内解决，特殊故障解决期限双方协商确定。如遇故障时成交供应商无法按需提供服务，采购人将有权临时请第三方技术人员上门维护，费用由成交供应商承担。</w:t>
      </w:r>
    </w:p>
    <w:p>
      <w:pPr>
        <w:adjustRightInd w:val="0"/>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5、维护分为月、季和年度保养（所有指标都必须满足日常运行标准）；</w:t>
      </w:r>
      <w:r>
        <w:rPr>
          <w:rFonts w:hint="eastAsia" w:ascii="宋体" w:hAnsi="宋体" w:cs="宋体"/>
          <w:color w:val="auto"/>
          <w:sz w:val="24"/>
          <w:highlight w:val="none"/>
          <w:shd w:val="clear" w:color="auto" w:fill="FFFFFF"/>
        </w:rPr>
        <w:t>在采购方人员参与下，成交供应商每月至少对维保范围内的所有空调系统进行二次全面巡查，每季对所有系统进行一次全面维护检测和常规保养，对故障进行原因排查与解决处理。</w:t>
      </w:r>
    </w:p>
    <w:p>
      <w:pPr>
        <w:adjustRightInd w:val="0"/>
        <w:snapToGrid w:val="0"/>
        <w:spacing w:line="460" w:lineRule="exact"/>
        <w:ind w:firstLine="482" w:firstLineChars="200"/>
        <w:rPr>
          <w:rFonts w:ascii="宋体" w:hAnsi="宋体"/>
          <w:b/>
          <w:sz w:val="24"/>
        </w:rPr>
      </w:pPr>
      <w:r>
        <w:rPr>
          <w:rFonts w:hint="eastAsia" w:ascii="宋体" w:hAnsi="宋体"/>
          <w:b/>
          <w:sz w:val="24"/>
        </w:rPr>
        <w:t>（三）中央空调水系统维保内容：</w:t>
      </w:r>
    </w:p>
    <w:p>
      <w:pPr>
        <w:adjustRightInd w:val="0"/>
        <w:snapToGrid w:val="0"/>
        <w:spacing w:line="460" w:lineRule="exact"/>
        <w:ind w:firstLine="480" w:firstLineChars="200"/>
        <w:rPr>
          <w:rFonts w:hint="eastAsia" w:ascii="宋体" w:hAnsi="宋体"/>
          <w:sz w:val="24"/>
        </w:rPr>
      </w:pPr>
      <w:r>
        <w:rPr>
          <w:rFonts w:hint="eastAsia" w:ascii="宋体" w:hAnsi="宋体"/>
          <w:sz w:val="24"/>
        </w:rPr>
        <w:t>1、</w:t>
      </w:r>
      <w:r>
        <w:rPr>
          <w:rFonts w:hint="eastAsia" w:ascii="宋体" w:hAnsi="宋体"/>
          <w:bCs/>
          <w:sz w:val="24"/>
        </w:rPr>
        <w:t>水系统管路</w:t>
      </w:r>
      <w:r>
        <w:rPr>
          <w:rFonts w:hint="eastAsia" w:ascii="宋体" w:hAnsi="宋体"/>
          <w:sz w:val="24"/>
        </w:rPr>
        <w:t>化学药剂清洗、祛腐、除锈、</w:t>
      </w:r>
      <w:r>
        <w:rPr>
          <w:rFonts w:hint="eastAsia" w:ascii="宋体" w:hAnsi="宋体" w:cs="宋体"/>
          <w:sz w:val="24"/>
        </w:rPr>
        <w:t>钝化预膜</w:t>
      </w:r>
      <w:r>
        <w:rPr>
          <w:rFonts w:hint="eastAsia" w:ascii="宋体" w:hAnsi="宋体"/>
          <w:sz w:val="24"/>
        </w:rPr>
        <w:t>、防锈防蚀、清理污垢、清理过滤器、清洗冷却塔填料等；循环冷却、冷媒水系统杀菌灭藻、缓释阻垢、检测维护和更换循环水等。</w:t>
      </w:r>
    </w:p>
    <w:p>
      <w:pPr>
        <w:adjustRightInd w:val="0"/>
        <w:snapToGrid w:val="0"/>
        <w:spacing w:line="460" w:lineRule="exact"/>
        <w:ind w:firstLine="480" w:firstLineChars="200"/>
        <w:rPr>
          <w:rFonts w:hint="eastAsia" w:ascii="宋体" w:hAnsi="宋体"/>
          <w:sz w:val="24"/>
        </w:rPr>
      </w:pPr>
      <w:r>
        <w:rPr>
          <w:rFonts w:hint="eastAsia" w:ascii="宋体" w:hAnsi="宋体"/>
          <w:sz w:val="24"/>
        </w:rPr>
        <w:t>1.1前期清洗：杀菌、去垢、除锈、清洗、中和钝化镀膜。</w:t>
      </w:r>
    </w:p>
    <w:p>
      <w:pPr>
        <w:adjustRightInd w:val="0"/>
        <w:snapToGrid w:val="0"/>
        <w:spacing w:line="460" w:lineRule="exact"/>
        <w:ind w:firstLine="480" w:firstLineChars="200"/>
        <w:rPr>
          <w:rFonts w:hint="eastAsia" w:ascii="宋体" w:hAnsi="宋体"/>
          <w:sz w:val="24"/>
        </w:rPr>
      </w:pPr>
      <w:r>
        <w:rPr>
          <w:rFonts w:hint="eastAsia" w:ascii="宋体" w:hAnsi="宋体"/>
          <w:sz w:val="24"/>
        </w:rPr>
        <w:t>1.2空调水系统进行管道清洗与水处理后，各项指标应或优于国家相关标准，达到水质保养的性能指标。提供水处理后水样检测报告。</w:t>
      </w:r>
    </w:p>
    <w:p>
      <w:pPr>
        <w:adjustRightInd w:val="0"/>
        <w:snapToGrid w:val="0"/>
        <w:spacing w:line="460" w:lineRule="exact"/>
        <w:ind w:firstLine="480" w:firstLineChars="200"/>
        <w:rPr>
          <w:rFonts w:hint="eastAsia" w:ascii="宋体" w:hAnsi="宋体"/>
          <w:sz w:val="24"/>
        </w:rPr>
      </w:pPr>
      <w:r>
        <w:rPr>
          <w:rFonts w:hint="eastAsia" w:ascii="宋体" w:hAnsi="宋体"/>
          <w:sz w:val="24"/>
        </w:rPr>
        <w:t>1.3定期到现场进行技术服务，检查系统运行情况、水系统各项参数，做好详细记录。</w:t>
      </w:r>
    </w:p>
    <w:p>
      <w:pPr>
        <w:adjustRightInd w:val="0"/>
        <w:snapToGrid w:val="0"/>
        <w:spacing w:line="460" w:lineRule="exact"/>
        <w:ind w:firstLine="480" w:firstLineChars="200"/>
        <w:rPr>
          <w:rFonts w:hint="eastAsia" w:ascii="宋体" w:hAnsi="宋体"/>
          <w:sz w:val="24"/>
        </w:rPr>
      </w:pPr>
      <w:r>
        <w:rPr>
          <w:rFonts w:hint="eastAsia" w:ascii="宋体" w:hAnsi="宋体"/>
          <w:sz w:val="24"/>
        </w:rPr>
        <w:t>1.4杀菌灭藻：通过加入杀菌药剂，清除循环水中的各种细菌和藻类。</w:t>
      </w:r>
    </w:p>
    <w:p>
      <w:pPr>
        <w:adjustRightInd w:val="0"/>
        <w:snapToGrid w:val="0"/>
        <w:spacing w:line="460" w:lineRule="exact"/>
        <w:ind w:firstLine="480" w:firstLineChars="200"/>
        <w:rPr>
          <w:rFonts w:hint="eastAsia" w:ascii="宋体" w:hAnsi="宋体"/>
          <w:sz w:val="24"/>
        </w:rPr>
      </w:pPr>
      <w:r>
        <w:rPr>
          <w:rFonts w:hint="eastAsia" w:ascii="宋体" w:hAnsi="宋体"/>
          <w:sz w:val="24"/>
        </w:rPr>
        <w:t>1.5生物剥离：将管道内的生物粘泥剥离，通过循环将粘泥清洗出来。</w:t>
      </w:r>
    </w:p>
    <w:p>
      <w:pPr>
        <w:adjustRightInd w:val="0"/>
        <w:snapToGrid w:val="0"/>
        <w:spacing w:line="460" w:lineRule="exact"/>
        <w:ind w:firstLine="480" w:firstLineChars="200"/>
        <w:rPr>
          <w:rFonts w:hint="eastAsia" w:ascii="宋体" w:hAnsi="宋体"/>
          <w:sz w:val="24"/>
        </w:rPr>
      </w:pPr>
      <w:r>
        <w:rPr>
          <w:rFonts w:hint="eastAsia" w:ascii="宋体" w:hAnsi="宋体"/>
          <w:sz w:val="24"/>
        </w:rPr>
        <w:t>1.6化学清洗：加入综合性化学清洗剂。此种清洗剂具有缓蚀、分散、除垢的作用，对水的循环系统进行处理。这种处理方法，既能将管道内的锈、垢、油污清洗后分散排除，又可防止清洗剂对系统装置和管路的危害，提供一个清 洁的金属表面。</w:t>
      </w:r>
    </w:p>
    <w:p>
      <w:pPr>
        <w:adjustRightInd w:val="0"/>
        <w:snapToGrid w:val="0"/>
        <w:spacing w:line="460" w:lineRule="exact"/>
        <w:ind w:firstLine="480" w:firstLineChars="200"/>
        <w:rPr>
          <w:rFonts w:hint="eastAsia" w:ascii="宋体" w:hAnsi="宋体"/>
          <w:sz w:val="24"/>
        </w:rPr>
      </w:pPr>
      <w:r>
        <w:rPr>
          <w:rFonts w:hint="eastAsia" w:ascii="宋体" w:hAnsi="宋体"/>
          <w:sz w:val="24"/>
        </w:rPr>
        <w:t>1.7表面预膜：投入预膜药剂，在金属表面形成致密的聚合高分子保护膜，以起到防腐蚀保护作用。</w:t>
      </w:r>
    </w:p>
    <w:p>
      <w:pPr>
        <w:adjustRightInd w:val="0"/>
        <w:snapToGrid w:val="0"/>
        <w:spacing w:line="460" w:lineRule="exact"/>
        <w:ind w:firstLine="480" w:firstLineChars="200"/>
        <w:rPr>
          <w:rFonts w:hint="eastAsia" w:ascii="宋体" w:hAnsi="宋体"/>
          <w:sz w:val="24"/>
        </w:rPr>
      </w:pPr>
      <w:r>
        <w:rPr>
          <w:rFonts w:hint="eastAsia" w:ascii="宋体" w:hAnsi="宋体"/>
          <w:sz w:val="24"/>
        </w:rPr>
        <w:t>1.8日常养护：加入综合性的日常养护处理剂，具有缓蚀、避免金属生锈的作用。日常养护处理剂中含有高分子络合阻垢剂，通过络合作用，防止钙镁离子结晶沉淀，延长机组的使用寿命，节水、省电，可提高制冷效率。</w:t>
      </w:r>
    </w:p>
    <w:p>
      <w:pPr>
        <w:adjustRightInd w:val="0"/>
        <w:snapToGrid w:val="0"/>
        <w:spacing w:line="460" w:lineRule="exact"/>
        <w:ind w:firstLine="480" w:firstLineChars="200"/>
        <w:rPr>
          <w:rFonts w:hint="eastAsia" w:ascii="宋体" w:hAnsi="宋体"/>
          <w:sz w:val="24"/>
        </w:rPr>
      </w:pPr>
      <w:r>
        <w:rPr>
          <w:rFonts w:hint="eastAsia" w:ascii="宋体" w:hAnsi="宋体"/>
          <w:sz w:val="24"/>
        </w:rPr>
        <w:t xml:space="preserve">1.9水处理所用药剂必须提供产品合格证并负责对剩余的药剂进行无害处理。  </w:t>
      </w:r>
    </w:p>
    <w:p>
      <w:pPr>
        <w:adjustRightInd w:val="0"/>
        <w:snapToGrid w:val="0"/>
        <w:spacing w:line="460" w:lineRule="exact"/>
        <w:ind w:firstLine="480" w:firstLineChars="200"/>
        <w:rPr>
          <w:rFonts w:hint="eastAsia" w:ascii="宋体" w:hAnsi="宋体"/>
          <w:sz w:val="24"/>
        </w:rPr>
      </w:pPr>
      <w:r>
        <w:rPr>
          <w:rFonts w:hint="eastAsia" w:ascii="宋体" w:hAnsi="宋体"/>
          <w:sz w:val="24"/>
        </w:rPr>
        <w:t>1.10若因水处理造成的系统零部件损坏，责任由施工方承担。</w:t>
      </w:r>
    </w:p>
    <w:p>
      <w:pPr>
        <w:adjustRightInd w:val="0"/>
        <w:snapToGrid w:val="0"/>
        <w:spacing w:line="460" w:lineRule="exact"/>
        <w:ind w:firstLine="480" w:firstLineChars="200"/>
        <w:rPr>
          <w:rFonts w:ascii="宋体" w:hAnsi="宋体"/>
          <w:sz w:val="24"/>
        </w:rPr>
      </w:pPr>
      <w:r>
        <w:rPr>
          <w:rFonts w:hint="eastAsia" w:ascii="宋体" w:hAnsi="宋体"/>
          <w:bCs/>
          <w:sz w:val="24"/>
        </w:rPr>
        <w:t>2、</w:t>
      </w:r>
      <w:r>
        <w:rPr>
          <w:rFonts w:hint="eastAsia" w:ascii="宋体" w:hAnsi="宋体"/>
          <w:sz w:val="24"/>
        </w:rPr>
        <w:t>检查阀门、水流开关、排气阀、补水阀和</w:t>
      </w:r>
      <w:r>
        <w:rPr>
          <w:rFonts w:hint="eastAsia" w:ascii="宋体" w:hAnsi="宋体"/>
          <w:sz w:val="24"/>
          <w:lang w:val="en-US" w:eastAsia="zh-CN"/>
        </w:rPr>
        <w:t>分水槽</w:t>
      </w:r>
      <w:r>
        <w:rPr>
          <w:rFonts w:hint="eastAsia" w:ascii="宋体" w:hAnsi="宋体"/>
          <w:sz w:val="24"/>
        </w:rPr>
        <w:t>进出水等。设备除锈加润滑油等保养。</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3、末端水过滤器清洗</w:t>
      </w:r>
      <w:r>
        <w:rPr>
          <w:rFonts w:hint="eastAsia" w:ascii="宋体" w:hAnsi="宋体"/>
          <w:sz w:val="24"/>
          <w:lang w:eastAsia="zh-CN"/>
        </w:rPr>
        <w:t>。</w:t>
      </w:r>
    </w:p>
    <w:p>
      <w:pPr>
        <w:adjustRightInd w:val="0"/>
        <w:snapToGrid w:val="0"/>
        <w:spacing w:line="460" w:lineRule="exact"/>
        <w:ind w:firstLine="480" w:firstLineChars="200"/>
        <w:rPr>
          <w:rFonts w:ascii="宋体" w:hAnsi="宋体"/>
          <w:sz w:val="24"/>
        </w:rPr>
      </w:pPr>
      <w:r>
        <w:rPr>
          <w:rFonts w:hint="eastAsia" w:ascii="宋体" w:hAnsi="宋体"/>
          <w:bCs/>
          <w:sz w:val="24"/>
        </w:rPr>
        <w:t>4、</w:t>
      </w:r>
      <w:r>
        <w:rPr>
          <w:rFonts w:hint="eastAsia" w:ascii="宋体" w:hAnsi="宋体"/>
          <w:sz w:val="24"/>
        </w:rPr>
        <w:t>施工结束必须对现场进行清扫，保证现场整洁干净。</w:t>
      </w:r>
    </w:p>
    <w:p>
      <w:pPr>
        <w:adjustRightInd w:val="0"/>
        <w:snapToGrid w:val="0"/>
        <w:spacing w:line="460" w:lineRule="exact"/>
        <w:ind w:firstLine="482" w:firstLineChars="200"/>
        <w:rPr>
          <w:rFonts w:ascii="宋体" w:hAnsi="宋体"/>
          <w:b/>
          <w:sz w:val="24"/>
        </w:rPr>
      </w:pPr>
      <w:r>
        <w:rPr>
          <w:rFonts w:hint="eastAsia" w:ascii="宋体" w:hAnsi="宋体"/>
          <w:b/>
          <w:sz w:val="24"/>
        </w:rPr>
        <w:t>（四）维保标准</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1、日常运行时循环冷却水应控制在以下范围内:</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pH,at 25℃ 8.0～9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电导率，μs/cm &lt;</w:t>
      </w:r>
      <w:r>
        <w:rPr>
          <w:rFonts w:hint="eastAsia" w:ascii="宋体" w:hAnsi="宋体"/>
          <w:sz w:val="24"/>
          <w:lang w:val="en-US" w:eastAsia="zh-CN"/>
        </w:rPr>
        <w:t>15</w:t>
      </w:r>
      <w:r>
        <w:rPr>
          <w:rFonts w:hint="eastAsia" w:ascii="宋体" w:hAnsi="宋体"/>
          <w:sz w:val="24"/>
        </w:rPr>
        <w:t>00   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总碱度，ppm（以CaCO3计） 100~</w:t>
      </w:r>
      <w:r>
        <w:rPr>
          <w:rFonts w:hint="eastAsia" w:ascii="宋体" w:hAnsi="宋体"/>
          <w:sz w:val="24"/>
          <w:lang w:val="en-US" w:eastAsia="zh-CN"/>
        </w:rPr>
        <w:t>45</w:t>
      </w:r>
      <w:r>
        <w:rPr>
          <w:rFonts w:hint="eastAsia" w:ascii="宋体" w:hAnsi="宋体"/>
          <w:sz w:val="24"/>
        </w:rPr>
        <w:t>0   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总硬度，ppm（以CaCO3计） 100~</w:t>
      </w:r>
      <w:r>
        <w:rPr>
          <w:rFonts w:hint="eastAsia" w:ascii="宋体" w:hAnsi="宋体"/>
          <w:sz w:val="24"/>
          <w:lang w:val="en-US" w:eastAsia="zh-CN"/>
        </w:rPr>
        <w:t>10</w:t>
      </w:r>
      <w:r>
        <w:rPr>
          <w:rFonts w:hint="eastAsia" w:ascii="宋体" w:hAnsi="宋体"/>
          <w:sz w:val="24"/>
        </w:rPr>
        <w:t>00   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钙硬度，ppm（以CaCO3计） 100~</w:t>
      </w:r>
      <w:r>
        <w:rPr>
          <w:rFonts w:hint="eastAsia" w:ascii="宋体" w:hAnsi="宋体"/>
          <w:sz w:val="24"/>
          <w:lang w:val="en-US" w:eastAsia="zh-CN"/>
        </w:rPr>
        <w:t>45</w:t>
      </w:r>
      <w:r>
        <w:rPr>
          <w:rFonts w:hint="eastAsia" w:ascii="宋体" w:hAnsi="宋体"/>
          <w:sz w:val="24"/>
        </w:rPr>
        <w:t>0   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氯化物，ppm &lt;</w:t>
      </w:r>
      <w:r>
        <w:rPr>
          <w:rFonts w:hint="eastAsia" w:ascii="宋体" w:hAnsi="宋体"/>
          <w:sz w:val="24"/>
          <w:lang w:val="en-US" w:eastAsia="zh-CN"/>
        </w:rPr>
        <w:t>3</w:t>
      </w:r>
      <w:r>
        <w:rPr>
          <w:rFonts w:hint="eastAsia" w:ascii="宋体" w:hAnsi="宋体"/>
          <w:sz w:val="24"/>
        </w:rPr>
        <w:t>00   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硫酸盐，ppm &lt;1500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总铁，ppm &lt;1.0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残余卤素，ppm 0.2～0.5   </w:t>
      </w:r>
    </w:p>
    <w:p>
      <w:pPr>
        <w:adjustRightInd w:val="0"/>
        <w:snapToGrid w:val="0"/>
        <w:spacing w:line="460" w:lineRule="exact"/>
        <w:ind w:firstLine="480" w:firstLineChars="200"/>
        <w:rPr>
          <w:rFonts w:hint="eastAsia" w:ascii="宋体" w:hAnsi="宋体"/>
          <w:sz w:val="24"/>
        </w:rPr>
      </w:pPr>
      <w:r>
        <w:rPr>
          <w:rFonts w:hint="eastAsia" w:ascii="宋体" w:hAnsi="宋体"/>
          <w:sz w:val="24"/>
        </w:rPr>
        <w:t xml:space="preserve">    浊度，NTU &lt;20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2、日常运行时密闭水时应控制在以下范围内: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pH,at 25℃ </w:t>
      </w:r>
      <w:r>
        <w:rPr>
          <w:rFonts w:hint="eastAsia" w:ascii="宋体" w:hAnsi="宋体"/>
          <w:sz w:val="24"/>
          <w:lang w:val="en-US" w:eastAsia="zh-CN"/>
        </w:rPr>
        <w:t>7</w:t>
      </w:r>
      <w:r>
        <w:rPr>
          <w:rFonts w:hint="eastAsia" w:ascii="宋体" w:hAnsi="宋体"/>
          <w:sz w:val="24"/>
        </w:rPr>
        <w:t>-1</w:t>
      </w:r>
      <w:r>
        <w:rPr>
          <w:rFonts w:hint="eastAsia" w:ascii="宋体" w:hAnsi="宋体"/>
          <w:sz w:val="24"/>
          <w:lang w:val="en-US" w:eastAsia="zh-CN"/>
        </w:rPr>
        <w:t>0</w:t>
      </w:r>
      <w:r>
        <w:rPr>
          <w:rFonts w:hint="eastAsia" w:ascii="宋体" w:hAnsi="宋体"/>
          <w:sz w:val="24"/>
        </w:rPr>
        <w:t>   </w:t>
      </w:r>
    </w:p>
    <w:p>
      <w:pPr>
        <w:adjustRightInd w:val="0"/>
        <w:snapToGrid w:val="0"/>
        <w:spacing w:line="460" w:lineRule="exact"/>
        <w:ind w:firstLine="480" w:firstLineChars="200"/>
        <w:rPr>
          <w:rFonts w:hint="eastAsia" w:ascii="宋体" w:hAnsi="宋体"/>
          <w:sz w:val="24"/>
        </w:rPr>
      </w:pPr>
      <w:r>
        <w:rPr>
          <w:rFonts w:hint="eastAsia" w:ascii="宋体" w:hAnsi="宋体"/>
          <w:sz w:val="24"/>
        </w:rPr>
        <w:t xml:space="preserve">    电导率，μs/cm &lt;</w:t>
      </w:r>
      <w:r>
        <w:rPr>
          <w:rFonts w:hint="eastAsia" w:ascii="宋体" w:hAnsi="宋体"/>
          <w:sz w:val="24"/>
          <w:lang w:val="en-US" w:eastAsia="zh-CN"/>
        </w:rPr>
        <w:t>1</w:t>
      </w:r>
      <w:r>
        <w:rPr>
          <w:rFonts w:hint="eastAsia" w:ascii="宋体" w:hAnsi="宋体"/>
          <w:sz w:val="24"/>
        </w:rPr>
        <w:t>500 </w:t>
      </w:r>
    </w:p>
    <w:p>
      <w:pPr>
        <w:adjustRightInd w:val="0"/>
        <w:snapToGrid w:val="0"/>
        <w:spacing w:line="460" w:lineRule="exact"/>
        <w:ind w:firstLine="480" w:firstLineChars="200"/>
        <w:rPr>
          <w:rFonts w:hint="eastAsia" w:ascii="宋体" w:hAnsi="宋体"/>
          <w:sz w:val="24"/>
          <w:lang w:val="en-US" w:eastAsia="zh-CN"/>
        </w:rPr>
      </w:pPr>
      <w:r>
        <w:rPr>
          <w:rFonts w:hint="eastAsia" w:ascii="宋体" w:hAnsi="宋体"/>
          <w:sz w:val="24"/>
        </w:rPr>
        <w:t>总碱度，ppm（以CaCO3计） 100~</w:t>
      </w:r>
      <w:r>
        <w:rPr>
          <w:rFonts w:hint="eastAsia" w:ascii="宋体" w:hAnsi="宋体"/>
          <w:sz w:val="24"/>
          <w:lang w:val="en-US" w:eastAsia="zh-CN"/>
        </w:rPr>
        <w:t>5</w:t>
      </w:r>
      <w:r>
        <w:rPr>
          <w:rFonts w:hint="eastAsia" w:ascii="宋体" w:hAnsi="宋体"/>
          <w:sz w:val="24"/>
        </w:rPr>
        <w:t>0</w:t>
      </w:r>
      <w:r>
        <w:rPr>
          <w:rFonts w:hint="eastAsia" w:ascii="宋体" w:hAnsi="宋体"/>
          <w:sz w:val="24"/>
          <w:lang w:val="en-US" w:eastAsia="zh-CN"/>
        </w:rPr>
        <w:t>0</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钙硬度，ppm（以CaCO3计） 100~</w:t>
      </w:r>
      <w:r>
        <w:rPr>
          <w:rFonts w:hint="eastAsia" w:ascii="宋体" w:hAnsi="宋体"/>
          <w:sz w:val="24"/>
          <w:lang w:val="en-US" w:eastAsia="zh-CN"/>
        </w:rPr>
        <w:t>45</w:t>
      </w:r>
      <w:r>
        <w:rPr>
          <w:rFonts w:hint="eastAsia" w:ascii="宋体" w:hAnsi="宋体"/>
          <w:sz w:val="24"/>
        </w:rPr>
        <w:t>0  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氯化物，ppm &lt;</w:t>
      </w:r>
      <w:r>
        <w:rPr>
          <w:rFonts w:hint="eastAsia" w:ascii="宋体" w:hAnsi="宋体"/>
          <w:sz w:val="24"/>
          <w:lang w:val="en-US" w:eastAsia="zh-CN"/>
        </w:rPr>
        <w:t>3</w:t>
      </w:r>
      <w:r>
        <w:rPr>
          <w:rFonts w:hint="eastAsia" w:ascii="宋体" w:hAnsi="宋体"/>
          <w:sz w:val="24"/>
        </w:rPr>
        <w:t>00   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w:t>
      </w:r>
      <w:r>
        <w:rPr>
          <w:rFonts w:hint="eastAsia" w:ascii="宋体" w:hAnsi="宋体"/>
          <w:sz w:val="24"/>
          <w:lang w:val="en-US" w:eastAsia="zh-CN"/>
        </w:rPr>
        <w:t>总</w:t>
      </w:r>
      <w:r>
        <w:rPr>
          <w:rFonts w:hint="eastAsia" w:ascii="宋体" w:hAnsi="宋体"/>
          <w:sz w:val="24"/>
        </w:rPr>
        <w:t>铁，ppm &lt;1.0     </w:t>
      </w:r>
    </w:p>
    <w:p>
      <w:pPr>
        <w:adjustRightInd w:val="0"/>
        <w:snapToGrid w:val="0"/>
        <w:spacing w:line="460" w:lineRule="exact"/>
        <w:ind w:firstLine="480" w:firstLineChars="200"/>
        <w:rPr>
          <w:rFonts w:hint="eastAsia" w:ascii="宋体" w:hAnsi="宋体"/>
          <w:sz w:val="24"/>
        </w:rPr>
      </w:pPr>
      <w:r>
        <w:rPr>
          <w:rFonts w:hint="eastAsia" w:ascii="宋体" w:hAnsi="宋体"/>
          <w:sz w:val="24"/>
        </w:rPr>
        <w:t xml:space="preserve">    浊度，NTU &lt;</w:t>
      </w:r>
      <w:r>
        <w:rPr>
          <w:rFonts w:hint="eastAsia" w:ascii="宋体" w:hAnsi="宋体"/>
          <w:sz w:val="24"/>
          <w:lang w:val="en-US" w:eastAsia="zh-CN"/>
        </w:rPr>
        <w:t>2</w:t>
      </w:r>
      <w:r>
        <w:rPr>
          <w:rFonts w:hint="eastAsia" w:ascii="宋体" w:hAnsi="宋体"/>
          <w:sz w:val="24"/>
        </w:rPr>
        <w:t>0 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3、其他控制指标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腐蚀速率 碳钢 mpy ＜3(国标)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铜及铜合金 mpy ＜0.2(国标)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不锈钢 mpy ＜0.2(国标)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细菌数 异氧细菌总数 个/ml ＜1x105 (国标) </w:t>
      </w:r>
    </w:p>
    <w:p>
      <w:pPr>
        <w:adjustRightInd w:val="0"/>
        <w:snapToGrid w:val="0"/>
        <w:spacing w:line="460" w:lineRule="exact"/>
        <w:ind w:firstLine="480" w:firstLineChars="200"/>
        <w:rPr>
          <w:rFonts w:hint="eastAsia" w:ascii="宋体" w:hAnsi="宋体"/>
          <w:sz w:val="24"/>
          <w:lang w:eastAsia="zh-CN"/>
        </w:rPr>
      </w:pPr>
      <w:r>
        <w:rPr>
          <w:rFonts w:hint="eastAsia" w:ascii="宋体" w:hAnsi="宋体"/>
          <w:sz w:val="24"/>
        </w:rPr>
        <w:t xml:space="preserve">    军团菌 不得检出 </w:t>
      </w:r>
    </w:p>
    <w:p>
      <w:pPr>
        <w:adjustRightInd w:val="0"/>
        <w:snapToGrid w:val="0"/>
        <w:spacing w:line="460" w:lineRule="exact"/>
        <w:ind w:firstLine="480" w:firstLineChars="200"/>
        <w:rPr>
          <w:rFonts w:hint="eastAsia" w:ascii="宋体" w:hAnsi="宋体"/>
          <w:sz w:val="24"/>
        </w:rPr>
      </w:pPr>
      <w:r>
        <w:rPr>
          <w:rFonts w:hint="eastAsia" w:ascii="宋体" w:hAnsi="宋体"/>
          <w:sz w:val="24"/>
        </w:rPr>
        <w:t xml:space="preserve">    污垢热阻 m2.h.℃/kcal   1.72×10-4～3.44×10-4(国标)</w:t>
      </w:r>
    </w:p>
    <w:p>
      <w:pPr>
        <w:spacing w:line="460" w:lineRule="exact"/>
        <w:ind w:firstLine="482" w:firstLineChars="200"/>
        <w:rPr>
          <w:rFonts w:hint="eastAsia" w:ascii="宋体" w:hAnsi="宋体" w:cs="宋体"/>
          <w:b/>
          <w:kern w:val="0"/>
          <w:sz w:val="24"/>
        </w:rPr>
      </w:pPr>
      <w:r>
        <w:rPr>
          <w:rFonts w:hint="eastAsia" w:ascii="宋体" w:hAnsi="宋体" w:cs="宋体"/>
          <w:b/>
          <w:kern w:val="0"/>
          <w:sz w:val="24"/>
        </w:rPr>
        <w:t>（五）保养期间注意事项</w:t>
      </w:r>
    </w:p>
    <w:p>
      <w:pPr>
        <w:adjustRightInd w:val="0"/>
        <w:snapToGrid w:val="0"/>
        <w:spacing w:line="460" w:lineRule="exact"/>
        <w:ind w:firstLine="480" w:firstLineChars="200"/>
        <w:rPr>
          <w:rFonts w:ascii="宋体" w:hAnsi="宋体"/>
          <w:sz w:val="24"/>
        </w:rPr>
      </w:pPr>
      <w:r>
        <w:rPr>
          <w:rFonts w:hint="eastAsia" w:ascii="宋体" w:hAnsi="宋体"/>
          <w:sz w:val="24"/>
        </w:rPr>
        <w:t>1、必须按照方案规定的时间进行清洗、维保，禁止以任何借口进行事后补做。</w:t>
      </w:r>
    </w:p>
    <w:p>
      <w:pPr>
        <w:adjustRightInd w:val="0"/>
        <w:snapToGrid w:val="0"/>
        <w:spacing w:line="460" w:lineRule="exact"/>
        <w:ind w:firstLine="480" w:firstLineChars="200"/>
        <w:rPr>
          <w:rFonts w:ascii="宋体" w:hAnsi="宋体"/>
          <w:sz w:val="24"/>
        </w:rPr>
      </w:pPr>
      <w:r>
        <w:rPr>
          <w:rFonts w:hint="eastAsia" w:ascii="宋体" w:hAnsi="宋体"/>
          <w:sz w:val="24"/>
        </w:rPr>
        <w:t>2、每次维保时应向采购人提交施工方案和施工时间表，便于采购人安排、监督。维保工作结束后要出具影像资料、记录表、汇总报告报送采购人签字确认。</w:t>
      </w:r>
    </w:p>
    <w:p>
      <w:pPr>
        <w:adjustRightInd w:val="0"/>
        <w:snapToGrid w:val="0"/>
        <w:spacing w:line="460" w:lineRule="exact"/>
        <w:ind w:firstLine="480" w:firstLineChars="200"/>
        <w:rPr>
          <w:rFonts w:ascii="宋体" w:hAnsi="宋体"/>
          <w:sz w:val="24"/>
        </w:rPr>
      </w:pPr>
      <w:r>
        <w:rPr>
          <w:rFonts w:hint="eastAsia" w:ascii="宋体" w:hAnsi="宋体"/>
          <w:sz w:val="24"/>
        </w:rPr>
        <w:t>3、对于因故障原因要求更换零件的，要求先对故障进行分析，向采购人提交分析报告，提出修理建议，修理完成后需要经采购人验收确认、签证，并提交更换下来的旧的零部件。</w:t>
      </w:r>
    </w:p>
    <w:p>
      <w:pPr>
        <w:adjustRightInd w:val="0"/>
        <w:snapToGrid w:val="0"/>
        <w:spacing w:line="460" w:lineRule="exact"/>
        <w:ind w:firstLine="480" w:firstLineChars="200"/>
        <w:rPr>
          <w:rFonts w:ascii="宋体" w:hAnsi="宋体"/>
          <w:sz w:val="24"/>
        </w:rPr>
      </w:pPr>
      <w:r>
        <w:rPr>
          <w:rFonts w:hint="eastAsia" w:ascii="宋体" w:hAnsi="宋体"/>
          <w:sz w:val="24"/>
        </w:rPr>
        <w:t>4、因维修不当或不慎造成损坏，应及时赔偿、修复并承担由此造成的损失。</w:t>
      </w:r>
    </w:p>
    <w:p>
      <w:pPr>
        <w:spacing w:line="460" w:lineRule="exact"/>
        <w:ind w:firstLine="480" w:firstLineChars="200"/>
        <w:rPr>
          <w:rFonts w:hint="eastAsia" w:ascii="宋体" w:hAnsi="宋体"/>
          <w:sz w:val="24"/>
        </w:rPr>
      </w:pPr>
      <w:r>
        <w:rPr>
          <w:rFonts w:hint="eastAsia" w:ascii="宋体" w:hAnsi="宋体"/>
          <w:sz w:val="24"/>
        </w:rPr>
        <w:t>5、每次保养和维修必须有工作单，并报采购人技术中心确认；有完整的实际的保养记录本，每季度提交采购人审核，年底提交采购人审核存档。</w:t>
      </w:r>
    </w:p>
    <w:p>
      <w:pPr>
        <w:spacing w:line="460" w:lineRule="exact"/>
        <w:ind w:firstLine="482" w:firstLineChars="200"/>
        <w:rPr>
          <w:rFonts w:hint="eastAsia" w:ascii="宋体" w:hAnsi="宋体" w:cs="宋体"/>
          <w:b/>
          <w:kern w:val="0"/>
          <w:sz w:val="24"/>
        </w:rPr>
      </w:pPr>
      <w:r>
        <w:rPr>
          <w:rFonts w:hint="eastAsia" w:ascii="宋体" w:hAnsi="宋体" w:cs="宋体"/>
          <w:b/>
          <w:kern w:val="0"/>
          <w:sz w:val="24"/>
        </w:rPr>
        <w:t>（六）材料清单</w:t>
      </w:r>
    </w:p>
    <w:p>
      <w:pPr>
        <w:spacing w:line="460" w:lineRule="exact"/>
        <w:ind w:firstLine="720" w:firstLineChars="300"/>
        <w:rPr>
          <w:rFonts w:hint="eastAsia" w:ascii="宋体" w:hAnsi="宋体" w:cs="宋体"/>
          <w:kern w:val="0"/>
          <w:sz w:val="24"/>
        </w:rPr>
      </w:pPr>
      <w:r>
        <w:rPr>
          <w:rFonts w:hint="eastAsia" w:ascii="宋体" w:hAnsi="宋体" w:cs="宋体"/>
          <w:kern w:val="0"/>
          <w:sz w:val="24"/>
        </w:rPr>
        <w:t>材料清单</w:t>
      </w:r>
    </w:p>
    <w:tbl>
      <w:tblPr>
        <w:tblStyle w:val="51"/>
        <w:tblW w:w="8414" w:type="dxa"/>
        <w:jc w:val="center"/>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Layout w:type="fixed"/>
        <w:tblCellMar>
          <w:top w:w="0" w:type="dxa"/>
          <w:left w:w="108" w:type="dxa"/>
          <w:bottom w:w="0" w:type="dxa"/>
          <w:right w:w="108" w:type="dxa"/>
        </w:tblCellMar>
      </w:tblPr>
      <w:tblGrid>
        <w:gridCol w:w="688"/>
        <w:gridCol w:w="2226"/>
        <w:gridCol w:w="1062"/>
        <w:gridCol w:w="3304"/>
        <w:gridCol w:w="1134"/>
      </w:tblGrid>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序号</w:t>
            </w:r>
          </w:p>
        </w:tc>
        <w:tc>
          <w:tcPr>
            <w:tcW w:w="2226" w:type="dxa"/>
            <w:noWrap w:val="0"/>
            <w:vAlign w:val="center"/>
          </w:tcPr>
          <w:p>
            <w:pPr>
              <w:spacing w:line="300" w:lineRule="auto"/>
              <w:jc w:val="center"/>
              <w:rPr>
                <w:rFonts w:ascii="宋体" w:hAnsi="宋体"/>
                <w:sz w:val="24"/>
                <w:szCs w:val="24"/>
              </w:rPr>
            </w:pPr>
            <w:r>
              <w:rPr>
                <w:rFonts w:hint="eastAsia" w:ascii="宋体" w:hAnsi="宋体"/>
                <w:sz w:val="24"/>
                <w:szCs w:val="24"/>
              </w:rPr>
              <w:t>物料名称</w:t>
            </w:r>
          </w:p>
        </w:tc>
        <w:tc>
          <w:tcPr>
            <w:tcW w:w="1062" w:type="dxa"/>
            <w:noWrap w:val="0"/>
            <w:vAlign w:val="center"/>
          </w:tcPr>
          <w:p>
            <w:pPr>
              <w:spacing w:line="300" w:lineRule="auto"/>
              <w:jc w:val="center"/>
              <w:rPr>
                <w:rFonts w:ascii="宋体" w:hAnsi="宋体"/>
                <w:sz w:val="24"/>
                <w:szCs w:val="24"/>
              </w:rPr>
            </w:pPr>
            <w:r>
              <w:rPr>
                <w:rFonts w:hint="eastAsia" w:ascii="宋体" w:hAnsi="宋体"/>
                <w:sz w:val="24"/>
                <w:szCs w:val="24"/>
              </w:rPr>
              <w:t>品  牌</w:t>
            </w:r>
          </w:p>
        </w:tc>
        <w:tc>
          <w:tcPr>
            <w:tcW w:w="3304" w:type="dxa"/>
            <w:tcBorders>
              <w:right w:val="single" w:color="auto" w:sz="4" w:space="0"/>
            </w:tcBorders>
            <w:noWrap w:val="0"/>
            <w:vAlign w:val="center"/>
          </w:tcPr>
          <w:p>
            <w:pPr>
              <w:spacing w:line="300" w:lineRule="auto"/>
              <w:jc w:val="center"/>
              <w:rPr>
                <w:rFonts w:ascii="宋体" w:hAnsi="宋体"/>
                <w:sz w:val="24"/>
                <w:szCs w:val="24"/>
              </w:rPr>
            </w:pPr>
            <w:r>
              <w:rPr>
                <w:rFonts w:hint="eastAsia" w:ascii="宋体" w:hAnsi="宋体"/>
                <w:sz w:val="24"/>
                <w:szCs w:val="24"/>
              </w:rPr>
              <w:t>材料作用说明</w:t>
            </w:r>
          </w:p>
        </w:tc>
        <w:tc>
          <w:tcPr>
            <w:tcW w:w="1134" w:type="dxa"/>
            <w:tcBorders>
              <w:left w:val="single" w:color="auto" w:sz="4" w:space="0"/>
            </w:tcBorders>
            <w:noWrap w:val="0"/>
            <w:vAlign w:val="center"/>
          </w:tcPr>
          <w:p>
            <w:pPr>
              <w:spacing w:line="300" w:lineRule="auto"/>
              <w:jc w:val="center"/>
              <w:rPr>
                <w:rFonts w:ascii="宋体" w:hAnsi="宋体"/>
                <w:sz w:val="24"/>
                <w:szCs w:val="24"/>
              </w:rPr>
            </w:pPr>
            <w:r>
              <w:rPr>
                <w:rFonts w:hint="eastAsia" w:ascii="宋体" w:hAnsi="宋体"/>
                <w:sz w:val="24"/>
                <w:szCs w:val="24"/>
              </w:rPr>
              <w:t>使用数量（KG）</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8414" w:type="dxa"/>
            <w:gridSpan w:val="5"/>
            <w:noWrap w:val="0"/>
            <w:vAlign w:val="center"/>
          </w:tcPr>
          <w:p>
            <w:pPr>
              <w:rPr>
                <w:rFonts w:ascii="宋体" w:hAnsi="宋体"/>
                <w:sz w:val="24"/>
                <w:szCs w:val="24"/>
              </w:rPr>
            </w:pPr>
            <w:r>
              <w:rPr>
                <w:rFonts w:hint="eastAsia" w:ascii="宋体" w:hAnsi="宋体"/>
                <w:sz w:val="24"/>
                <w:szCs w:val="24"/>
              </w:rPr>
              <w:t>一、冷媒水清洗材料</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冷媒水系统防腐剂</w:t>
            </w:r>
          </w:p>
        </w:tc>
        <w:tc>
          <w:tcPr>
            <w:tcW w:w="1062" w:type="dxa"/>
            <w:noWrap w:val="0"/>
            <w:vAlign w:val="center"/>
          </w:tcPr>
          <w:p>
            <w:pPr>
              <w:jc w:val="center"/>
              <w:rPr>
                <w:rFonts w:ascii="宋体" w:hAnsi="宋体"/>
                <w:sz w:val="24"/>
                <w:szCs w:val="24"/>
              </w:rPr>
            </w:pPr>
          </w:p>
        </w:tc>
        <w:tc>
          <w:tcPr>
            <w:tcW w:w="3304"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防止锈垢大块脱落而堵塞风盘滤网</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80/年</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冷媒水系统杀菌剂</w:t>
            </w:r>
          </w:p>
        </w:tc>
        <w:tc>
          <w:tcPr>
            <w:tcW w:w="1062" w:type="dxa"/>
            <w:noWrap w:val="0"/>
            <w:vAlign w:val="center"/>
          </w:tcPr>
          <w:p>
            <w:pPr>
              <w:jc w:val="center"/>
              <w:rPr>
                <w:rFonts w:ascii="宋体" w:hAnsi="宋体"/>
                <w:sz w:val="24"/>
                <w:szCs w:val="24"/>
              </w:rPr>
            </w:pPr>
          </w:p>
        </w:tc>
        <w:tc>
          <w:tcPr>
            <w:tcW w:w="3304"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杀灭厌氧微生物</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lang w:val="en-US" w:eastAsia="zh-CN"/>
              </w:rPr>
              <w:t>20</w:t>
            </w:r>
            <w:r>
              <w:rPr>
                <w:rFonts w:hint="eastAsia" w:ascii="宋体" w:hAnsi="宋体"/>
                <w:sz w:val="24"/>
                <w:szCs w:val="24"/>
              </w:rPr>
              <w:t>0/年</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消泡剂</w:t>
            </w:r>
          </w:p>
        </w:tc>
        <w:tc>
          <w:tcPr>
            <w:tcW w:w="1062" w:type="dxa"/>
            <w:noWrap w:val="0"/>
            <w:vAlign w:val="center"/>
          </w:tcPr>
          <w:p>
            <w:pPr>
              <w:jc w:val="center"/>
              <w:rPr>
                <w:rFonts w:ascii="宋体" w:hAnsi="宋体"/>
                <w:sz w:val="24"/>
                <w:szCs w:val="24"/>
              </w:rPr>
            </w:pPr>
          </w:p>
        </w:tc>
        <w:tc>
          <w:tcPr>
            <w:tcW w:w="3304"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清洗助剂</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0/年</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8414" w:type="dxa"/>
            <w:gridSpan w:val="5"/>
            <w:noWrap w:val="0"/>
            <w:vAlign w:val="center"/>
          </w:tcPr>
          <w:p>
            <w:pPr>
              <w:rPr>
                <w:rFonts w:ascii="宋体" w:hAnsi="宋体"/>
                <w:sz w:val="24"/>
                <w:szCs w:val="24"/>
              </w:rPr>
            </w:pPr>
            <w:r>
              <w:rPr>
                <w:rFonts w:hint="eastAsia" w:ascii="宋体" w:hAnsi="宋体"/>
                <w:sz w:val="24"/>
                <w:szCs w:val="24"/>
              </w:rPr>
              <w:t>二、冷却水清洗材料</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1</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消泡剂</w:t>
            </w:r>
          </w:p>
        </w:tc>
        <w:tc>
          <w:tcPr>
            <w:tcW w:w="1062" w:type="dxa"/>
            <w:noWrap w:val="0"/>
            <w:vAlign w:val="center"/>
          </w:tcPr>
          <w:p>
            <w:pPr>
              <w:jc w:val="center"/>
              <w:rPr>
                <w:rFonts w:ascii="宋体" w:hAnsi="宋体"/>
                <w:sz w:val="24"/>
                <w:szCs w:val="24"/>
              </w:rPr>
            </w:pPr>
          </w:p>
        </w:tc>
        <w:tc>
          <w:tcPr>
            <w:tcW w:w="3304"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清洗助剂</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0/年</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2</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冷却水系统杀菌剂</w:t>
            </w:r>
          </w:p>
        </w:tc>
        <w:tc>
          <w:tcPr>
            <w:tcW w:w="1062" w:type="dxa"/>
            <w:noWrap w:val="0"/>
            <w:vAlign w:val="center"/>
          </w:tcPr>
          <w:p>
            <w:pPr>
              <w:jc w:val="center"/>
              <w:rPr>
                <w:rFonts w:ascii="宋体" w:hAnsi="宋体"/>
                <w:sz w:val="24"/>
                <w:szCs w:val="24"/>
              </w:rPr>
            </w:pPr>
          </w:p>
        </w:tc>
        <w:tc>
          <w:tcPr>
            <w:tcW w:w="3304"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杀灭微生物和藻类</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lang w:val="en-US" w:eastAsia="zh-CN"/>
              </w:rPr>
              <w:t>96</w:t>
            </w:r>
            <w:r>
              <w:rPr>
                <w:rFonts w:hint="eastAsia" w:ascii="宋体" w:hAnsi="宋体"/>
                <w:sz w:val="24"/>
                <w:szCs w:val="24"/>
              </w:rPr>
              <w:t>0/年</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冷却水系统粘泥剥离剂</w:t>
            </w:r>
          </w:p>
        </w:tc>
        <w:tc>
          <w:tcPr>
            <w:tcW w:w="1062" w:type="dxa"/>
            <w:noWrap w:val="0"/>
            <w:vAlign w:val="center"/>
          </w:tcPr>
          <w:p>
            <w:pPr>
              <w:jc w:val="center"/>
              <w:rPr>
                <w:rFonts w:ascii="宋体" w:hAnsi="宋体"/>
                <w:sz w:val="24"/>
                <w:szCs w:val="24"/>
              </w:rPr>
            </w:pPr>
          </w:p>
        </w:tc>
        <w:tc>
          <w:tcPr>
            <w:tcW w:w="3304"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剥离系统内生物粘泥</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6</w:t>
            </w:r>
            <w:r>
              <w:rPr>
                <w:rFonts w:hint="eastAsia" w:ascii="宋体" w:hAnsi="宋体"/>
                <w:sz w:val="24"/>
                <w:szCs w:val="24"/>
                <w:lang w:val="en-US" w:eastAsia="zh-CN"/>
              </w:rPr>
              <w:t>2</w:t>
            </w:r>
            <w:r>
              <w:rPr>
                <w:rFonts w:hint="eastAsia" w:ascii="宋体" w:hAnsi="宋体"/>
                <w:sz w:val="24"/>
                <w:szCs w:val="24"/>
              </w:rPr>
              <w:t>0/年</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冷却水系统防腐租垢剂</w:t>
            </w:r>
          </w:p>
        </w:tc>
        <w:tc>
          <w:tcPr>
            <w:tcW w:w="1062" w:type="dxa"/>
            <w:noWrap w:val="0"/>
            <w:vAlign w:val="center"/>
          </w:tcPr>
          <w:p>
            <w:pPr>
              <w:jc w:val="center"/>
              <w:rPr>
                <w:rFonts w:ascii="宋体" w:hAnsi="宋体"/>
                <w:sz w:val="24"/>
                <w:szCs w:val="24"/>
              </w:rPr>
            </w:pPr>
          </w:p>
        </w:tc>
        <w:tc>
          <w:tcPr>
            <w:tcW w:w="3304"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 xml:space="preserve">对清洗后的金属表面进行预膜，使之形成良好钝化膜，防止后续运行过程中的各种腐蚀。液态药剂，溶解性更好 </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lang w:val="en-US" w:eastAsia="zh-CN"/>
              </w:rPr>
              <w:t>158</w:t>
            </w:r>
            <w:r>
              <w:rPr>
                <w:rFonts w:hint="eastAsia" w:ascii="宋体" w:hAnsi="宋体"/>
                <w:sz w:val="24"/>
                <w:szCs w:val="24"/>
              </w:rPr>
              <w:t>0/年</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三</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技术服务费</w:t>
            </w:r>
          </w:p>
        </w:tc>
        <w:tc>
          <w:tcPr>
            <w:tcW w:w="1062" w:type="dxa"/>
            <w:noWrap w:val="0"/>
            <w:vAlign w:val="center"/>
          </w:tcPr>
          <w:p>
            <w:pPr>
              <w:spacing w:line="300" w:lineRule="auto"/>
              <w:jc w:val="center"/>
              <w:rPr>
                <w:rFonts w:ascii="宋体" w:hAnsi="宋体"/>
                <w:sz w:val="24"/>
                <w:szCs w:val="24"/>
              </w:rPr>
            </w:pPr>
            <w:r>
              <w:rPr>
                <w:rFonts w:hint="eastAsia" w:ascii="宋体" w:hAnsi="宋体"/>
                <w:sz w:val="24"/>
                <w:szCs w:val="24"/>
              </w:rPr>
              <w:t>项</w:t>
            </w:r>
          </w:p>
        </w:tc>
        <w:tc>
          <w:tcPr>
            <w:tcW w:w="3304"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主管道过滤器及1376台末端水过滤器清洗、驻院技师服务费</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1</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四</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水质监测费</w:t>
            </w:r>
          </w:p>
        </w:tc>
        <w:tc>
          <w:tcPr>
            <w:tcW w:w="1062" w:type="dxa"/>
            <w:noWrap w:val="0"/>
            <w:vAlign w:val="center"/>
          </w:tcPr>
          <w:p>
            <w:pPr>
              <w:spacing w:line="300" w:lineRule="auto"/>
              <w:jc w:val="center"/>
              <w:rPr>
                <w:rFonts w:ascii="宋体" w:hAnsi="宋体"/>
                <w:sz w:val="24"/>
                <w:szCs w:val="24"/>
              </w:rPr>
            </w:pPr>
            <w:r>
              <w:rPr>
                <w:rFonts w:hint="eastAsia" w:ascii="宋体" w:hAnsi="宋体"/>
                <w:sz w:val="24"/>
                <w:szCs w:val="24"/>
              </w:rPr>
              <w:t>次</w:t>
            </w:r>
          </w:p>
        </w:tc>
        <w:tc>
          <w:tcPr>
            <w:tcW w:w="3304" w:type="dxa"/>
            <w:tcBorders>
              <w:right w:val="single" w:color="auto" w:sz="4" w:space="0"/>
            </w:tcBorders>
            <w:noWrap w:val="0"/>
            <w:vAlign w:val="center"/>
          </w:tcPr>
          <w:p>
            <w:pPr>
              <w:rPr>
                <w:rFonts w:ascii="宋体" w:hAnsi="宋体"/>
                <w:sz w:val="24"/>
                <w:szCs w:val="24"/>
              </w:rPr>
            </w:pPr>
            <w:r>
              <w:rPr>
                <w:rFonts w:hint="eastAsia" w:ascii="宋体" w:hAnsi="宋体" w:cs="宋体"/>
                <w:sz w:val="24"/>
                <w:shd w:val="clear" w:color="auto" w:fill="FFFFFF"/>
              </w:rPr>
              <w:t>每月提供1次水质分析测试报告</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12</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五</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自动加药设备</w:t>
            </w:r>
          </w:p>
        </w:tc>
        <w:tc>
          <w:tcPr>
            <w:tcW w:w="1062" w:type="dxa"/>
            <w:noWrap w:val="0"/>
            <w:vAlign w:val="center"/>
          </w:tcPr>
          <w:p>
            <w:pPr>
              <w:spacing w:line="300" w:lineRule="auto"/>
              <w:jc w:val="center"/>
              <w:rPr>
                <w:rFonts w:hint="eastAsia" w:ascii="宋体" w:hAnsi="宋体" w:eastAsia="宋体"/>
                <w:sz w:val="24"/>
                <w:szCs w:val="24"/>
                <w:lang w:val="en-US" w:eastAsia="zh-CN"/>
              </w:rPr>
            </w:pPr>
            <w:r>
              <w:rPr>
                <w:rFonts w:hint="eastAsia" w:ascii="宋体" w:hAnsi="宋体"/>
                <w:sz w:val="24"/>
                <w:szCs w:val="24"/>
                <w:lang w:val="en-US" w:eastAsia="zh-CN"/>
              </w:rPr>
              <w:t>套</w:t>
            </w:r>
          </w:p>
        </w:tc>
        <w:tc>
          <w:tcPr>
            <w:tcW w:w="3304" w:type="dxa"/>
            <w:tcBorders>
              <w:right w:val="single" w:color="auto" w:sz="4" w:space="0"/>
            </w:tcBorders>
            <w:noWrap w:val="0"/>
            <w:vAlign w:val="center"/>
          </w:tcPr>
          <w:p>
            <w:pPr>
              <w:rPr>
                <w:rFonts w:ascii="宋体" w:hAnsi="宋体" w:cs="宋体"/>
                <w:sz w:val="24"/>
                <w:shd w:val="clear" w:color="auto" w:fill="FFFFFF"/>
              </w:rPr>
            </w:pPr>
            <w:r>
              <w:rPr>
                <w:rFonts w:hint="eastAsia" w:ascii="宋体" w:hAnsi="宋体" w:cs="宋体"/>
                <w:sz w:val="24"/>
                <w:shd w:val="clear" w:color="auto" w:fill="FFFFFF"/>
              </w:rPr>
              <w:t>双系统：杀菌灭藻；防腐阻垢</w:t>
            </w:r>
          </w:p>
        </w:tc>
        <w:tc>
          <w:tcPr>
            <w:tcW w:w="1134" w:type="dxa"/>
            <w:tcBorders>
              <w:left w:val="single" w:color="auto" w:sz="4" w:space="0"/>
            </w:tcBorders>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r>
    </w:tbl>
    <w:p>
      <w:pPr>
        <w:widowControl/>
        <w:spacing w:line="360" w:lineRule="auto"/>
        <w:ind w:firstLine="482" w:firstLineChars="200"/>
        <w:textAlignment w:val="baseline"/>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四</w:t>
      </w:r>
      <w:r>
        <w:rPr>
          <w:rFonts w:hint="eastAsia" w:asciiTheme="minorEastAsia" w:hAnsiTheme="minorEastAsia" w:eastAsiaTheme="minorEastAsia" w:cstheme="minorEastAsia"/>
          <w:b/>
          <w:bCs/>
          <w:kern w:val="0"/>
          <w:sz w:val="24"/>
          <w:szCs w:val="24"/>
        </w:rPr>
        <w:t>、考核标准与办法：</w:t>
      </w:r>
    </w:p>
    <w:p>
      <w:pPr>
        <w:widowControl/>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考核标准详见《</w:t>
      </w:r>
      <w:r>
        <w:rPr>
          <w:rFonts w:hint="eastAsia" w:asciiTheme="minorEastAsia" w:hAnsiTheme="minorEastAsia" w:eastAsiaTheme="minorEastAsia" w:cstheme="minorEastAsia"/>
          <w:kern w:val="0"/>
          <w:sz w:val="24"/>
          <w:szCs w:val="24"/>
          <w:lang w:eastAsia="zh-CN"/>
        </w:rPr>
        <w:t>南通市妇幼保健院</w:t>
      </w:r>
      <w:r>
        <w:rPr>
          <w:rFonts w:hint="eastAsia" w:asciiTheme="minorEastAsia" w:hAnsiTheme="minorEastAsia" w:eastAsiaTheme="minorEastAsia" w:cstheme="minorEastAsia"/>
          <w:kern w:val="0"/>
          <w:sz w:val="24"/>
          <w:szCs w:val="24"/>
        </w:rPr>
        <w:t>污水处理运维考核表》。</w:t>
      </w:r>
    </w:p>
    <w:p>
      <w:pPr>
        <w:widowControl/>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1、考核原则</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工作人员遵守医院和公司规章制度，履行工作职责，按规范进行操作。院考核小组定期及不定期抽查考核。</w:t>
      </w:r>
    </w:p>
    <w:p>
      <w:pPr>
        <w:widowControl/>
        <w:numPr>
          <w:ilvl w:val="0"/>
          <w:numId w:val="6"/>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44"/>
          <w:sz w:val="24"/>
          <w:szCs w:val="24"/>
        </w:rPr>
        <w:t xml:space="preserve"> </w:t>
      </w:r>
      <w:r>
        <w:rPr>
          <w:rFonts w:hint="eastAsia" w:asciiTheme="minorEastAsia" w:hAnsiTheme="minorEastAsia" w:eastAsiaTheme="minorEastAsia" w:cstheme="minorEastAsia"/>
          <w:sz w:val="24"/>
          <w:szCs w:val="24"/>
        </w:rPr>
        <w:t xml:space="preserve">考核办法 </w:t>
      </w:r>
    </w:p>
    <w:p>
      <w:pPr>
        <w:snapToGrid w:val="0"/>
        <w:spacing w:line="360" w:lineRule="auto"/>
        <w:ind w:firstLine="480" w:firstLineChars="200"/>
        <w:rPr>
          <w:rFonts w:hint="eastAsia" w:ascii="宋体" w:hAnsi="宋体" w:cs="宋体"/>
          <w:color w:val="auto"/>
          <w:sz w:val="24"/>
        </w:rPr>
      </w:pPr>
      <w:r>
        <w:rPr>
          <w:rFonts w:hint="eastAsia" w:asciiTheme="minorEastAsia" w:hAnsiTheme="minorEastAsia" w:eastAsiaTheme="minorEastAsia" w:cstheme="minorEastAsia"/>
          <w:bCs/>
          <w:color w:val="auto"/>
          <w:sz w:val="24"/>
          <w:szCs w:val="24"/>
        </w:rPr>
        <w:t>（1）</w:t>
      </w:r>
      <w:r>
        <w:rPr>
          <w:rFonts w:hint="eastAsia" w:ascii="宋体" w:hAnsi="宋体" w:cs="宋体"/>
          <w:color w:val="auto"/>
          <w:sz w:val="24"/>
          <w:szCs w:val="24"/>
        </w:rPr>
        <w:t>采购人每</w:t>
      </w:r>
      <w:r>
        <w:rPr>
          <w:rFonts w:hint="eastAsia" w:ascii="宋体" w:hAnsi="宋体" w:cs="宋体"/>
          <w:color w:val="auto"/>
          <w:sz w:val="24"/>
          <w:szCs w:val="24"/>
          <w:lang w:eastAsia="zh-CN"/>
        </w:rPr>
        <w:t>年</w:t>
      </w:r>
      <w:r>
        <w:rPr>
          <w:rFonts w:hint="eastAsia" w:ascii="宋体" w:hAnsi="宋体" w:cs="宋体"/>
          <w:color w:val="auto"/>
          <w:sz w:val="24"/>
          <w:szCs w:val="24"/>
        </w:rPr>
        <w:t>进行一次考核，考核分大于90分（含90分）的，则全额支付</w:t>
      </w:r>
      <w:r>
        <w:rPr>
          <w:rFonts w:hint="eastAsia" w:ascii="宋体" w:hAnsi="宋体" w:cs="宋体"/>
          <w:color w:val="auto"/>
          <w:sz w:val="24"/>
          <w:szCs w:val="24"/>
          <w:lang w:eastAsia="zh-CN"/>
        </w:rPr>
        <w:t>年合同</w:t>
      </w:r>
      <w:r>
        <w:rPr>
          <w:rFonts w:hint="eastAsia" w:ascii="宋体" w:hAnsi="宋体" w:cs="宋体"/>
          <w:color w:val="auto"/>
          <w:sz w:val="24"/>
          <w:szCs w:val="24"/>
        </w:rPr>
        <w:t>费用，</w:t>
      </w:r>
      <w:r>
        <w:rPr>
          <w:rFonts w:hint="eastAsia" w:ascii="宋体" w:hAnsi="宋体" w:eastAsia="宋体" w:cs="宋体"/>
          <w:b w:val="0"/>
          <w:bCs/>
          <w:color w:val="auto"/>
          <w:sz w:val="24"/>
          <w:szCs w:val="24"/>
          <w:highlight w:val="none"/>
          <w:lang w:val="en-US" w:eastAsia="zh-CN"/>
        </w:rPr>
        <w:t>低于90分的，每低1分扣相应支付费用总额的1%</w:t>
      </w:r>
      <w:r>
        <w:rPr>
          <w:rFonts w:hint="eastAsia" w:ascii="宋体" w:hAnsi="宋体" w:cs="宋体"/>
          <w:color w:val="auto"/>
          <w:sz w:val="24"/>
          <w:szCs w:val="24"/>
        </w:rPr>
        <w:t>。</w:t>
      </w:r>
    </w:p>
    <w:p>
      <w:pPr>
        <w:snapToGri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）上级部门检查不合格，因运维责任而导致的事故除扣除相应罚款外，甲方有权解除合同并保留追究责任权利，乙方不得有异议。</w:t>
      </w:r>
    </w:p>
    <w:p>
      <w:pPr>
        <w:snapToGrid w:val="0"/>
        <w:spacing w:line="360" w:lineRule="auto"/>
        <w:ind w:firstLine="480" w:firstLineChars="200"/>
        <w:rPr>
          <w:rFonts w:hint="eastAsia" w:asciiTheme="minorEastAsia" w:hAnsiTheme="minorEastAsia" w:eastAsiaTheme="minorEastAsia" w:cstheme="minorEastAsia"/>
          <w:bCs/>
          <w:color w:val="auto"/>
          <w:sz w:val="24"/>
          <w:szCs w:val="24"/>
        </w:rPr>
      </w:pPr>
    </w:p>
    <w:p>
      <w:pPr>
        <w:pStyle w:val="5"/>
        <w:rPr>
          <w:rFonts w:hint="eastAsia" w:asciiTheme="minorEastAsia" w:hAnsiTheme="minorEastAsia" w:eastAsiaTheme="minorEastAsia" w:cstheme="minorEastAsia"/>
          <w:b w:val="0"/>
          <w:bCs/>
          <w:sz w:val="24"/>
          <w:szCs w:val="24"/>
        </w:rPr>
      </w:pPr>
    </w:p>
    <w:p>
      <w:pPr>
        <w:pStyle w:val="5"/>
        <w:rPr>
          <w:rFonts w:hint="eastAsia" w:asciiTheme="minorEastAsia" w:hAnsiTheme="minorEastAsia" w:eastAsiaTheme="minorEastAsia" w:cstheme="minorEastAsia"/>
          <w:b w:val="0"/>
          <w:bCs/>
          <w:sz w:val="24"/>
          <w:szCs w:val="24"/>
        </w:rPr>
      </w:pPr>
    </w:p>
    <w:p>
      <w:pPr>
        <w:pStyle w:val="5"/>
        <w:rPr>
          <w:rFonts w:hint="eastAsia" w:asciiTheme="minorEastAsia" w:hAnsiTheme="minorEastAsia" w:eastAsiaTheme="minorEastAsia" w:cstheme="minorEastAsia"/>
          <w:b w:val="0"/>
          <w:bCs/>
          <w:sz w:val="24"/>
          <w:szCs w:val="24"/>
        </w:rPr>
      </w:pPr>
    </w:p>
    <w:p>
      <w:pPr>
        <w:pStyle w:val="5"/>
        <w:rPr>
          <w:rFonts w:hint="eastAsia" w:asciiTheme="minorEastAsia" w:hAnsiTheme="minorEastAsia" w:eastAsiaTheme="minorEastAsia" w:cstheme="minorEastAsia"/>
          <w:b w:val="0"/>
          <w:bCs/>
          <w:sz w:val="24"/>
          <w:szCs w:val="24"/>
        </w:rPr>
      </w:pPr>
    </w:p>
    <w:p>
      <w:pPr>
        <w:pStyle w:val="5"/>
        <w:rPr>
          <w:rFonts w:hint="eastAsia" w:asciiTheme="minorEastAsia" w:hAnsiTheme="minorEastAsia" w:eastAsiaTheme="minorEastAsia" w:cstheme="minorEastAsia"/>
          <w:b w:val="0"/>
          <w:bCs/>
          <w:sz w:val="24"/>
          <w:szCs w:val="24"/>
        </w:rPr>
      </w:pPr>
    </w:p>
    <w:p>
      <w:pPr>
        <w:pStyle w:val="5"/>
        <w:rPr>
          <w:rFonts w:hint="eastAsia" w:asciiTheme="minorEastAsia" w:hAnsiTheme="minorEastAsia" w:eastAsiaTheme="minorEastAsia" w:cstheme="minorEastAsia"/>
          <w:b w:val="0"/>
          <w:bCs/>
          <w:sz w:val="24"/>
          <w:szCs w:val="24"/>
        </w:rPr>
      </w:pPr>
    </w:p>
    <w:p>
      <w:pPr>
        <w:pStyle w:val="5"/>
        <w:rPr>
          <w:rFonts w:hint="eastAsia" w:asciiTheme="minorEastAsia" w:hAnsiTheme="minorEastAsia" w:eastAsiaTheme="minorEastAsia" w:cstheme="minorEastAsia"/>
          <w:b w:val="0"/>
          <w:bCs/>
          <w:sz w:val="24"/>
          <w:szCs w:val="24"/>
        </w:rPr>
      </w:pPr>
    </w:p>
    <w:p>
      <w:pPr>
        <w:pStyle w:val="5"/>
        <w:rPr>
          <w:rFonts w:hint="eastAsia" w:asciiTheme="minorEastAsia" w:hAnsiTheme="minorEastAsia" w:eastAsiaTheme="minorEastAsia" w:cstheme="minorEastAsia"/>
          <w:b w:val="0"/>
          <w:bCs/>
          <w:sz w:val="24"/>
          <w:szCs w:val="24"/>
        </w:rPr>
      </w:pPr>
    </w:p>
    <w:p>
      <w:pPr>
        <w:pStyle w:val="5"/>
        <w:rPr>
          <w:rFonts w:hint="eastAsia" w:asciiTheme="minorEastAsia" w:hAnsiTheme="minorEastAsia" w:eastAsiaTheme="minorEastAsia" w:cstheme="minorEastAsia"/>
          <w:b w:val="0"/>
          <w:bCs/>
          <w:sz w:val="24"/>
          <w:szCs w:val="24"/>
        </w:rPr>
      </w:pPr>
    </w:p>
    <w:p>
      <w:pPr>
        <w:pStyle w:val="5"/>
        <w:rPr>
          <w:rFonts w:hint="eastAsia" w:asciiTheme="minorEastAsia" w:hAnsiTheme="minorEastAsia" w:eastAsiaTheme="minorEastAsia" w:cstheme="minorEastAsia"/>
          <w:b w:val="0"/>
          <w:bCs/>
          <w:sz w:val="24"/>
          <w:szCs w:val="24"/>
        </w:rPr>
      </w:pPr>
    </w:p>
    <w:p>
      <w:pPr>
        <w:pStyle w:val="5"/>
        <w:rPr>
          <w:rFonts w:hint="eastAsia" w:asciiTheme="minorEastAsia" w:hAnsiTheme="minorEastAsia" w:eastAsiaTheme="minorEastAsia" w:cstheme="minorEastAsia"/>
          <w:b w:val="0"/>
          <w:bCs/>
          <w:sz w:val="24"/>
          <w:szCs w:val="24"/>
        </w:rPr>
      </w:pPr>
    </w:p>
    <w:p>
      <w:pPr>
        <w:pStyle w:val="5"/>
        <w:rPr>
          <w:rFonts w:hint="eastAsia" w:asciiTheme="minorEastAsia" w:hAnsiTheme="minorEastAsia" w:eastAsiaTheme="minorEastAsia" w:cstheme="minorEastAsia"/>
          <w:b w:val="0"/>
          <w:bCs/>
          <w:sz w:val="24"/>
          <w:szCs w:val="24"/>
        </w:rPr>
      </w:pPr>
    </w:p>
    <w:p>
      <w:pPr>
        <w:pStyle w:val="5"/>
        <w:rPr>
          <w:rFonts w:hint="eastAsia" w:asciiTheme="minorEastAsia" w:hAnsiTheme="minorEastAsia" w:eastAsiaTheme="minorEastAsia" w:cstheme="minorEastAsia"/>
          <w:b w:val="0"/>
          <w:bCs/>
          <w:sz w:val="24"/>
          <w:szCs w:val="24"/>
        </w:rPr>
      </w:pPr>
    </w:p>
    <w:p>
      <w:pPr>
        <w:pStyle w:val="5"/>
        <w:rPr>
          <w:rFonts w:hint="eastAsia" w:asciiTheme="minorEastAsia" w:hAnsiTheme="minorEastAsia" w:eastAsiaTheme="minorEastAsia" w:cstheme="minorEastAsia"/>
          <w:b w:val="0"/>
          <w:bCs/>
          <w:sz w:val="24"/>
          <w:szCs w:val="24"/>
        </w:rPr>
      </w:pPr>
    </w:p>
    <w:p>
      <w:pPr>
        <w:pStyle w:val="5"/>
        <w:ind w:left="0" w:leftChars="0" w:firstLine="0" w:firstLineChars="0"/>
        <w:rPr>
          <w:rFonts w:hint="eastAsia" w:asciiTheme="minorEastAsia" w:hAnsiTheme="minorEastAsia" w:eastAsiaTheme="minorEastAsia" w:cstheme="minorEastAsia"/>
          <w:b w:val="0"/>
          <w:bCs/>
          <w:sz w:val="24"/>
          <w:szCs w:val="24"/>
        </w:rPr>
      </w:pPr>
    </w:p>
    <w:tbl>
      <w:tblPr>
        <w:tblStyle w:val="51"/>
        <w:tblpPr w:leftFromText="180" w:rightFromText="180" w:vertAnchor="text" w:tblpX="392"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267"/>
        <w:gridCol w:w="601"/>
        <w:gridCol w:w="822"/>
        <w:gridCol w:w="1025"/>
        <w:gridCol w:w="1090"/>
        <w:gridCol w:w="758"/>
        <w:gridCol w:w="844"/>
        <w:gridCol w:w="1087"/>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Pr>
        <w:tc>
          <w:tcPr>
            <w:tcW w:w="9033" w:type="dxa"/>
            <w:gridSpan w:val="9"/>
            <w:tcBorders>
              <w:top w:val="nil"/>
              <w:left w:val="nil"/>
              <w:bottom w:val="single" w:color="auto" w:sz="4" w:space="0"/>
              <w:right w:val="nil"/>
            </w:tcBorders>
            <w:shd w:val="clear" w:color="auto" w:fill="auto"/>
            <w:noWrap w:val="0"/>
            <w:vAlign w:val="top"/>
          </w:tcPr>
          <w:p>
            <w:pPr>
              <w:pStyle w:val="2"/>
              <w:ind w:firstLine="0" w:firstLineChars="0"/>
              <w:rPr>
                <w:rFonts w:hint="eastAsia"/>
                <w:b/>
                <w:sz w:val="40"/>
              </w:rPr>
            </w:pPr>
            <w:r>
              <w:rPr>
                <w:rFonts w:hint="eastAsia"/>
                <w:b/>
                <w:sz w:val="36"/>
              </w:rPr>
              <w:t>南通妇幼保健院中央空调水处理维保服务</w:t>
            </w:r>
            <w:r>
              <w:rPr>
                <w:rFonts w:hint="eastAsia"/>
                <w:b/>
                <w:sz w:val="36"/>
                <w:lang w:eastAsia="zh-CN"/>
              </w:rPr>
              <w:t>考核</w:t>
            </w:r>
            <w:r>
              <w:rPr>
                <w:rFonts w:hint="eastAsia"/>
                <w:b/>
                <w:sz w:val="36"/>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4" w:type="dxa"/>
            <w:gridSpan w:val="3"/>
            <w:tcBorders>
              <w:top w:val="single" w:color="auto" w:sz="4" w:space="0"/>
            </w:tcBorders>
            <w:shd w:val="clear" w:color="auto" w:fill="auto"/>
            <w:noWrap w:val="0"/>
            <w:vAlign w:val="top"/>
          </w:tcPr>
          <w:p>
            <w:pPr>
              <w:pStyle w:val="2"/>
              <w:ind w:firstLine="0" w:firstLineChars="0"/>
              <w:rPr>
                <w:rFonts w:hint="eastAsia"/>
              </w:rPr>
            </w:pPr>
            <w:r>
              <w:rPr>
                <w:rFonts w:hint="eastAsia"/>
              </w:rPr>
              <w:t>供应商：</w:t>
            </w:r>
          </w:p>
        </w:tc>
        <w:tc>
          <w:tcPr>
            <w:tcW w:w="3846" w:type="dxa"/>
            <w:gridSpan w:val="4"/>
            <w:tcBorders>
              <w:top w:val="single" w:color="auto" w:sz="4" w:space="0"/>
            </w:tcBorders>
            <w:shd w:val="clear" w:color="auto" w:fill="auto"/>
            <w:noWrap w:val="0"/>
            <w:vAlign w:val="top"/>
          </w:tcPr>
          <w:p>
            <w:pPr>
              <w:pStyle w:val="2"/>
              <w:ind w:firstLine="0" w:firstLineChars="0"/>
              <w:rPr>
                <w:rFonts w:hint="eastAsia"/>
              </w:rPr>
            </w:pPr>
            <w:r>
              <w:rPr>
                <w:rFonts w:hint="eastAsia"/>
              </w:rPr>
              <w:t>联系人：</w:t>
            </w:r>
          </w:p>
        </w:tc>
        <w:tc>
          <w:tcPr>
            <w:tcW w:w="868" w:type="dxa"/>
            <w:vMerge w:val="restart"/>
            <w:tcBorders>
              <w:top w:val="single" w:color="auto" w:sz="4" w:space="0"/>
            </w:tcBorders>
            <w:shd w:val="clear" w:color="auto" w:fill="auto"/>
            <w:noWrap w:val="0"/>
            <w:vAlign w:val="center"/>
          </w:tcPr>
          <w:p>
            <w:pPr>
              <w:pStyle w:val="2"/>
              <w:ind w:firstLine="0" w:firstLineChars="0"/>
              <w:jc w:val="center"/>
              <w:rPr>
                <w:rFonts w:hint="eastAsia"/>
              </w:rPr>
            </w:pPr>
            <w:r>
              <w:rPr>
                <w:rFonts w:hint="eastAsia"/>
              </w:rPr>
              <w:t>得分</w:t>
            </w:r>
          </w:p>
        </w:tc>
        <w:tc>
          <w:tcPr>
            <w:tcW w:w="1152" w:type="dxa"/>
            <w:gridSpan w:val="2"/>
            <w:vMerge w:val="restart"/>
            <w:tcBorders>
              <w:top w:val="single" w:color="auto" w:sz="4" w:space="0"/>
            </w:tcBorders>
            <w:shd w:val="clear" w:color="auto" w:fill="auto"/>
            <w:noWrap w:val="0"/>
            <w:vAlign w:val="center"/>
          </w:tcPr>
          <w:p>
            <w:pPr>
              <w:pStyle w:val="2"/>
              <w:ind w:firstLine="0" w:firstLineChars="0"/>
              <w:jc w:val="center"/>
              <w:rPr>
                <w:rFonts w:hint="eastAsia"/>
              </w:rPr>
            </w:pPr>
            <w:r>
              <w:rPr>
                <w:rFonts w:hint="eastAsia"/>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0" w:type="dxa"/>
            <w:gridSpan w:val="7"/>
            <w:shd w:val="clear" w:color="auto" w:fill="auto"/>
            <w:noWrap w:val="0"/>
            <w:vAlign w:val="top"/>
          </w:tcPr>
          <w:p>
            <w:pPr>
              <w:pStyle w:val="2"/>
              <w:ind w:firstLine="0" w:firstLineChars="0"/>
              <w:rPr>
                <w:rFonts w:hint="eastAsia"/>
              </w:rPr>
            </w:pPr>
            <w:r>
              <w:rPr>
                <w:rFonts w:hint="eastAsia"/>
              </w:rPr>
              <w:t>考核</w:t>
            </w:r>
            <w:r>
              <w:rPr>
                <w:rFonts w:hint="eastAsia"/>
                <w:lang w:val="en-US" w:eastAsia="zh-CN"/>
              </w:rPr>
              <w:t>年度</w:t>
            </w:r>
            <w:r>
              <w:rPr>
                <w:rFonts w:hint="eastAsia"/>
              </w:rPr>
              <w:t>：</w:t>
            </w:r>
          </w:p>
        </w:tc>
        <w:tc>
          <w:tcPr>
            <w:tcW w:w="868" w:type="dxa"/>
            <w:vMerge w:val="continue"/>
            <w:shd w:val="clear" w:color="auto" w:fill="auto"/>
            <w:noWrap w:val="0"/>
            <w:vAlign w:val="top"/>
          </w:tcPr>
          <w:p>
            <w:pPr>
              <w:pStyle w:val="2"/>
              <w:ind w:firstLine="0" w:firstLineChars="0"/>
              <w:rPr>
                <w:rFonts w:hint="eastAsia"/>
              </w:rPr>
            </w:pPr>
          </w:p>
        </w:tc>
        <w:tc>
          <w:tcPr>
            <w:tcW w:w="1152" w:type="dxa"/>
            <w:gridSpan w:val="2"/>
            <w:vMerge w:val="continue"/>
            <w:shd w:val="clear" w:color="auto" w:fill="auto"/>
            <w:noWrap w:val="0"/>
            <w:vAlign w:val="top"/>
          </w:tcPr>
          <w:p>
            <w:pPr>
              <w:pStyle w:val="2"/>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81" w:type="dxa"/>
            <w:shd w:val="clear" w:color="auto" w:fill="auto"/>
            <w:noWrap w:val="0"/>
            <w:vAlign w:val="center"/>
          </w:tcPr>
          <w:p>
            <w:pPr>
              <w:widowControl/>
              <w:jc w:val="center"/>
              <w:rPr>
                <w:rFonts w:hint="eastAsia" w:ascii="宋体" w:hAnsi="宋体" w:cs="宋体"/>
                <w:color w:val="000000"/>
                <w:kern w:val="0"/>
                <w:lang w:bidi="ar"/>
              </w:rPr>
            </w:pPr>
            <w:r>
              <w:rPr>
                <w:rFonts w:hint="eastAsia" w:ascii="宋体" w:hAnsi="宋体" w:cs="宋体"/>
                <w:color w:val="000000"/>
                <w:kern w:val="0"/>
                <w:lang w:bidi="ar"/>
              </w:rPr>
              <w:t>项  目</w:t>
            </w:r>
          </w:p>
        </w:tc>
        <w:tc>
          <w:tcPr>
            <w:tcW w:w="3854" w:type="dxa"/>
            <w:gridSpan w:val="4"/>
            <w:shd w:val="clear" w:color="auto" w:fill="auto"/>
            <w:noWrap w:val="0"/>
            <w:vAlign w:val="center"/>
          </w:tcPr>
          <w:p>
            <w:pPr>
              <w:widowControl/>
              <w:jc w:val="center"/>
              <w:rPr>
                <w:rFonts w:hint="eastAsia" w:ascii="宋体" w:hAnsi="宋体" w:cs="宋体"/>
                <w:color w:val="000000"/>
                <w:kern w:val="0"/>
                <w:lang w:bidi="ar"/>
              </w:rPr>
            </w:pPr>
            <w:r>
              <w:rPr>
                <w:rFonts w:hint="eastAsia" w:ascii="宋体" w:hAnsi="宋体" w:cs="宋体"/>
                <w:color w:val="000000"/>
                <w:kern w:val="0"/>
                <w:lang w:bidi="ar"/>
              </w:rPr>
              <w:t>考核内容</w:t>
            </w:r>
          </w:p>
        </w:tc>
        <w:tc>
          <w:tcPr>
            <w:tcW w:w="1128" w:type="dxa"/>
            <w:shd w:val="clear" w:color="auto" w:fill="auto"/>
            <w:noWrap w:val="0"/>
            <w:vAlign w:val="center"/>
          </w:tcPr>
          <w:p>
            <w:pPr>
              <w:widowControl/>
              <w:jc w:val="center"/>
              <w:rPr>
                <w:rFonts w:hint="eastAsia" w:ascii="宋体" w:hAnsi="宋体" w:cs="宋体"/>
                <w:color w:val="000000"/>
                <w:kern w:val="0"/>
                <w:lang w:bidi="ar"/>
              </w:rPr>
            </w:pPr>
            <w:r>
              <w:rPr>
                <w:rFonts w:hint="eastAsia" w:ascii="宋体" w:hAnsi="宋体" w:cs="宋体"/>
                <w:color w:val="000000"/>
                <w:kern w:val="0"/>
                <w:lang w:bidi="ar"/>
              </w:rPr>
              <w:t>检测情况</w:t>
            </w:r>
          </w:p>
        </w:tc>
        <w:tc>
          <w:tcPr>
            <w:tcW w:w="777" w:type="dxa"/>
            <w:shd w:val="clear" w:color="auto" w:fill="auto"/>
            <w:noWrap w:val="0"/>
            <w:vAlign w:val="center"/>
          </w:tcPr>
          <w:p>
            <w:pPr>
              <w:widowControl/>
              <w:jc w:val="center"/>
              <w:rPr>
                <w:rFonts w:hint="eastAsia" w:ascii="宋体" w:hAnsi="宋体" w:cs="宋体"/>
                <w:color w:val="000000"/>
                <w:kern w:val="0"/>
                <w:lang w:bidi="ar"/>
              </w:rPr>
            </w:pPr>
            <w:r>
              <w:rPr>
                <w:rFonts w:hint="eastAsia" w:ascii="宋体" w:hAnsi="宋体" w:cs="宋体"/>
                <w:color w:val="000000"/>
                <w:kern w:val="0"/>
                <w:lang w:bidi="ar"/>
              </w:rPr>
              <w:t>分值</w:t>
            </w:r>
          </w:p>
        </w:tc>
        <w:tc>
          <w:tcPr>
            <w:tcW w:w="868" w:type="dxa"/>
            <w:shd w:val="clear" w:color="auto" w:fill="auto"/>
            <w:noWrap w:val="0"/>
            <w:vAlign w:val="center"/>
          </w:tcPr>
          <w:p>
            <w:pPr>
              <w:widowControl/>
              <w:jc w:val="center"/>
              <w:rPr>
                <w:rFonts w:hint="eastAsia" w:ascii="宋体" w:hAnsi="宋体" w:cs="宋体"/>
                <w:color w:val="000000"/>
                <w:kern w:val="0"/>
                <w:lang w:bidi="ar"/>
              </w:rPr>
            </w:pPr>
          </w:p>
        </w:tc>
        <w:tc>
          <w:tcPr>
            <w:tcW w:w="1152" w:type="dxa"/>
            <w:gridSpan w:val="2"/>
            <w:shd w:val="clear" w:color="auto" w:fill="auto"/>
            <w:noWrap w:val="0"/>
            <w:vAlign w:val="center"/>
          </w:tcPr>
          <w:p>
            <w:pPr>
              <w:widowControl/>
              <w:jc w:val="center"/>
              <w:rPr>
                <w:rFonts w:hint="eastAsia" w:ascii="宋体" w:hAnsi="宋体" w:cs="宋体"/>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281"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加药情况</w:t>
            </w:r>
          </w:p>
        </w:tc>
        <w:tc>
          <w:tcPr>
            <w:tcW w:w="3854" w:type="dxa"/>
            <w:gridSpan w:val="4"/>
            <w:shd w:val="clear" w:color="auto" w:fill="auto"/>
            <w:noWrap w:val="0"/>
            <w:vAlign w:val="center"/>
          </w:tcPr>
          <w:p>
            <w:pPr>
              <w:widowControl/>
              <w:jc w:val="left"/>
              <w:rPr>
                <w:rFonts w:hint="eastAsia" w:ascii="宋体" w:hAnsi="宋体" w:cs="宋体"/>
                <w:color w:val="000000"/>
                <w:kern w:val="0"/>
                <w:lang w:bidi="ar"/>
              </w:rPr>
            </w:pPr>
            <w:r>
              <w:rPr>
                <w:rFonts w:hint="eastAsia" w:ascii="宋体" w:hAnsi="宋体" w:cs="宋体"/>
                <w:color w:val="000000"/>
                <w:kern w:val="0"/>
                <w:lang w:bidi="ar"/>
              </w:rPr>
              <w:t>按计划加药，每少一次扣2分，因加药不符合要求导致冷却塔出现青苔，管道铁垢，每次扣0.5分，工作人员必须穿工作服，戴工作卡，如未按要求每发现一次扣0.5分。</w:t>
            </w:r>
          </w:p>
        </w:tc>
        <w:tc>
          <w:tcPr>
            <w:tcW w:w="1128" w:type="dxa"/>
            <w:shd w:val="clear" w:color="auto" w:fill="auto"/>
            <w:noWrap w:val="0"/>
            <w:vAlign w:val="top"/>
          </w:tcPr>
          <w:p>
            <w:pPr>
              <w:pStyle w:val="2"/>
              <w:ind w:firstLine="0" w:firstLineChars="0"/>
              <w:rPr>
                <w:rFonts w:hint="eastAsia" w:ascii="宋体" w:hAnsi="宋体"/>
              </w:rPr>
            </w:pPr>
          </w:p>
        </w:tc>
        <w:tc>
          <w:tcPr>
            <w:tcW w:w="777"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25</w:t>
            </w:r>
          </w:p>
        </w:tc>
        <w:tc>
          <w:tcPr>
            <w:tcW w:w="868" w:type="dxa"/>
            <w:shd w:val="clear" w:color="auto" w:fill="auto"/>
            <w:noWrap w:val="0"/>
            <w:vAlign w:val="top"/>
          </w:tcPr>
          <w:p>
            <w:pPr>
              <w:pStyle w:val="2"/>
              <w:ind w:firstLine="0" w:firstLineChars="0"/>
              <w:rPr>
                <w:rFonts w:hint="eastAsia" w:ascii="宋体" w:hAnsi="宋体"/>
              </w:rPr>
            </w:pPr>
          </w:p>
        </w:tc>
        <w:tc>
          <w:tcPr>
            <w:tcW w:w="1152" w:type="dxa"/>
            <w:gridSpan w:val="2"/>
            <w:shd w:val="clear" w:color="auto" w:fill="auto"/>
            <w:noWrap w:val="0"/>
            <w:vAlign w:val="top"/>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81"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水质检查</w:t>
            </w:r>
          </w:p>
        </w:tc>
        <w:tc>
          <w:tcPr>
            <w:tcW w:w="3854" w:type="dxa"/>
            <w:gridSpan w:val="4"/>
            <w:shd w:val="clear" w:color="auto" w:fill="auto"/>
            <w:noWrap w:val="0"/>
            <w:vAlign w:val="center"/>
          </w:tcPr>
          <w:p>
            <w:pPr>
              <w:widowControl/>
              <w:jc w:val="left"/>
              <w:rPr>
                <w:rFonts w:hint="eastAsia" w:ascii="宋体" w:hAnsi="宋体" w:cs="宋体"/>
                <w:color w:val="000000"/>
                <w:kern w:val="0"/>
                <w:lang w:bidi="ar"/>
              </w:rPr>
            </w:pPr>
            <w:r>
              <w:rPr>
                <w:rFonts w:hint="eastAsia" w:ascii="宋体" w:hAnsi="宋体" w:cs="宋体"/>
                <w:color w:val="000000"/>
                <w:kern w:val="0"/>
                <w:lang w:bidi="ar"/>
              </w:rPr>
              <w:t>水质取样检验，少一次扣1分，水质参数每有一条不符合标准要求扣0.5分。</w:t>
            </w:r>
          </w:p>
        </w:tc>
        <w:tc>
          <w:tcPr>
            <w:tcW w:w="1128" w:type="dxa"/>
            <w:shd w:val="clear" w:color="auto" w:fill="auto"/>
            <w:noWrap w:val="0"/>
            <w:vAlign w:val="top"/>
          </w:tcPr>
          <w:p>
            <w:pPr>
              <w:pStyle w:val="2"/>
              <w:ind w:firstLine="0" w:firstLineChars="0"/>
              <w:rPr>
                <w:rFonts w:hint="eastAsia" w:ascii="宋体" w:hAnsi="宋体"/>
              </w:rPr>
            </w:pPr>
          </w:p>
        </w:tc>
        <w:tc>
          <w:tcPr>
            <w:tcW w:w="777"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20</w:t>
            </w:r>
          </w:p>
        </w:tc>
        <w:tc>
          <w:tcPr>
            <w:tcW w:w="868" w:type="dxa"/>
            <w:shd w:val="clear" w:color="auto" w:fill="auto"/>
            <w:noWrap w:val="0"/>
            <w:vAlign w:val="top"/>
          </w:tcPr>
          <w:p>
            <w:pPr>
              <w:pStyle w:val="2"/>
              <w:ind w:firstLine="0" w:firstLineChars="0"/>
              <w:rPr>
                <w:rFonts w:hint="eastAsia" w:ascii="宋体" w:hAnsi="宋体"/>
              </w:rPr>
            </w:pPr>
          </w:p>
        </w:tc>
        <w:tc>
          <w:tcPr>
            <w:tcW w:w="1152" w:type="dxa"/>
            <w:gridSpan w:val="2"/>
            <w:shd w:val="clear" w:color="auto" w:fill="auto"/>
            <w:noWrap w:val="0"/>
            <w:vAlign w:val="top"/>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81"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保养情况</w:t>
            </w:r>
          </w:p>
        </w:tc>
        <w:tc>
          <w:tcPr>
            <w:tcW w:w="3854" w:type="dxa"/>
            <w:gridSpan w:val="4"/>
            <w:shd w:val="clear" w:color="auto" w:fill="auto"/>
            <w:noWrap w:val="0"/>
            <w:vAlign w:val="center"/>
          </w:tcPr>
          <w:p>
            <w:pPr>
              <w:widowControl/>
              <w:jc w:val="left"/>
              <w:rPr>
                <w:rFonts w:hint="eastAsia" w:ascii="宋体" w:hAnsi="宋体" w:cs="宋体"/>
                <w:color w:val="000000"/>
                <w:kern w:val="0"/>
                <w:lang w:bidi="ar"/>
              </w:rPr>
            </w:pPr>
            <w:r>
              <w:rPr>
                <w:rFonts w:hint="eastAsia" w:ascii="宋体" w:hAnsi="宋体" w:cs="宋体"/>
                <w:color w:val="000000"/>
                <w:kern w:val="0"/>
                <w:lang w:bidi="ar"/>
              </w:rPr>
              <w:t>按计划对冷却塔管道过滤网、冷凝器清洗，对设备除锈加润滑油，少一项扣0.5分。</w:t>
            </w:r>
          </w:p>
        </w:tc>
        <w:tc>
          <w:tcPr>
            <w:tcW w:w="1128" w:type="dxa"/>
            <w:shd w:val="clear" w:color="auto" w:fill="auto"/>
            <w:noWrap w:val="0"/>
            <w:vAlign w:val="top"/>
          </w:tcPr>
          <w:p>
            <w:pPr>
              <w:pStyle w:val="2"/>
              <w:ind w:firstLine="0" w:firstLineChars="0"/>
              <w:rPr>
                <w:rFonts w:hint="eastAsia" w:ascii="宋体" w:hAnsi="宋体"/>
              </w:rPr>
            </w:pPr>
          </w:p>
        </w:tc>
        <w:tc>
          <w:tcPr>
            <w:tcW w:w="777"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15</w:t>
            </w:r>
          </w:p>
        </w:tc>
        <w:tc>
          <w:tcPr>
            <w:tcW w:w="868" w:type="dxa"/>
            <w:shd w:val="clear" w:color="auto" w:fill="auto"/>
            <w:noWrap w:val="0"/>
            <w:vAlign w:val="top"/>
          </w:tcPr>
          <w:p>
            <w:pPr>
              <w:pStyle w:val="2"/>
              <w:ind w:firstLine="0" w:firstLineChars="0"/>
              <w:rPr>
                <w:rFonts w:hint="eastAsia" w:ascii="宋体" w:hAnsi="宋体"/>
              </w:rPr>
            </w:pPr>
          </w:p>
        </w:tc>
        <w:tc>
          <w:tcPr>
            <w:tcW w:w="1152" w:type="dxa"/>
            <w:gridSpan w:val="2"/>
            <w:shd w:val="clear" w:color="auto" w:fill="auto"/>
            <w:noWrap w:val="0"/>
            <w:vAlign w:val="top"/>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281"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巡检与维修</w:t>
            </w:r>
          </w:p>
        </w:tc>
        <w:tc>
          <w:tcPr>
            <w:tcW w:w="3854" w:type="dxa"/>
            <w:gridSpan w:val="4"/>
            <w:shd w:val="clear" w:color="auto" w:fill="auto"/>
            <w:noWrap w:val="0"/>
            <w:vAlign w:val="center"/>
          </w:tcPr>
          <w:p>
            <w:pPr>
              <w:widowControl/>
              <w:jc w:val="left"/>
              <w:rPr>
                <w:rFonts w:hint="eastAsia" w:ascii="宋体" w:hAnsi="宋体" w:cs="宋体"/>
                <w:color w:val="000000"/>
                <w:kern w:val="0"/>
                <w:lang w:bidi="ar"/>
              </w:rPr>
            </w:pPr>
            <w:r>
              <w:rPr>
                <w:rFonts w:hint="eastAsia" w:ascii="宋体" w:hAnsi="宋体" w:cs="宋体"/>
                <w:color w:val="000000"/>
                <w:kern w:val="0"/>
                <w:lang w:bidi="ar"/>
              </w:rPr>
              <w:t>巡检和维修工作，如未联系到相应工作人员，每有一次扣1分。对水系统的跑、冒、滴、漏进行及时处理，如未按合同要求完成修理，每有1次扣1分。</w:t>
            </w:r>
          </w:p>
        </w:tc>
        <w:tc>
          <w:tcPr>
            <w:tcW w:w="1128" w:type="dxa"/>
            <w:shd w:val="clear" w:color="auto" w:fill="auto"/>
            <w:noWrap w:val="0"/>
            <w:vAlign w:val="top"/>
          </w:tcPr>
          <w:p>
            <w:pPr>
              <w:pStyle w:val="2"/>
              <w:ind w:firstLine="0" w:firstLineChars="0"/>
              <w:rPr>
                <w:rFonts w:hint="eastAsia" w:ascii="宋体" w:hAnsi="宋体"/>
              </w:rPr>
            </w:pPr>
          </w:p>
        </w:tc>
        <w:tc>
          <w:tcPr>
            <w:tcW w:w="777"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10</w:t>
            </w:r>
          </w:p>
        </w:tc>
        <w:tc>
          <w:tcPr>
            <w:tcW w:w="868" w:type="dxa"/>
            <w:shd w:val="clear" w:color="auto" w:fill="auto"/>
            <w:noWrap w:val="0"/>
            <w:vAlign w:val="top"/>
          </w:tcPr>
          <w:p>
            <w:pPr>
              <w:pStyle w:val="2"/>
              <w:ind w:firstLine="0" w:firstLineChars="0"/>
              <w:rPr>
                <w:rFonts w:hint="eastAsia" w:ascii="宋体" w:hAnsi="宋体"/>
              </w:rPr>
            </w:pPr>
          </w:p>
        </w:tc>
        <w:tc>
          <w:tcPr>
            <w:tcW w:w="1152" w:type="dxa"/>
            <w:gridSpan w:val="2"/>
            <w:shd w:val="clear" w:color="auto" w:fill="auto"/>
            <w:noWrap w:val="0"/>
            <w:vAlign w:val="top"/>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81"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记录情况</w:t>
            </w:r>
          </w:p>
        </w:tc>
        <w:tc>
          <w:tcPr>
            <w:tcW w:w="3854" w:type="dxa"/>
            <w:gridSpan w:val="4"/>
            <w:shd w:val="clear" w:color="auto" w:fill="auto"/>
            <w:noWrap w:val="0"/>
            <w:vAlign w:val="center"/>
          </w:tcPr>
          <w:p>
            <w:pPr>
              <w:widowControl/>
              <w:jc w:val="left"/>
              <w:rPr>
                <w:rFonts w:hint="eastAsia" w:ascii="宋体" w:hAnsi="宋体" w:cs="宋体"/>
                <w:color w:val="000000"/>
                <w:kern w:val="0"/>
                <w:lang w:bidi="ar"/>
              </w:rPr>
            </w:pPr>
            <w:r>
              <w:rPr>
                <w:rFonts w:hint="eastAsia" w:ascii="宋体" w:hAnsi="宋体" w:cs="宋体"/>
                <w:color w:val="000000"/>
                <w:kern w:val="0"/>
                <w:lang w:bidi="ar"/>
              </w:rPr>
              <w:t>保养工作不按规定记录并与实际不符的，每发现一次扣0.5分。</w:t>
            </w:r>
          </w:p>
        </w:tc>
        <w:tc>
          <w:tcPr>
            <w:tcW w:w="1128" w:type="dxa"/>
            <w:shd w:val="clear" w:color="auto" w:fill="auto"/>
            <w:noWrap w:val="0"/>
            <w:vAlign w:val="top"/>
          </w:tcPr>
          <w:p>
            <w:pPr>
              <w:pStyle w:val="2"/>
              <w:ind w:firstLine="0" w:firstLineChars="0"/>
              <w:rPr>
                <w:rFonts w:hint="eastAsia" w:ascii="宋体" w:hAnsi="宋体"/>
              </w:rPr>
            </w:pPr>
          </w:p>
        </w:tc>
        <w:tc>
          <w:tcPr>
            <w:tcW w:w="777"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10</w:t>
            </w:r>
          </w:p>
        </w:tc>
        <w:tc>
          <w:tcPr>
            <w:tcW w:w="868" w:type="dxa"/>
            <w:shd w:val="clear" w:color="auto" w:fill="auto"/>
            <w:noWrap w:val="0"/>
            <w:vAlign w:val="top"/>
          </w:tcPr>
          <w:p>
            <w:pPr>
              <w:pStyle w:val="2"/>
              <w:ind w:firstLine="0" w:firstLineChars="0"/>
              <w:rPr>
                <w:rFonts w:hint="eastAsia" w:ascii="宋体" w:hAnsi="宋体"/>
              </w:rPr>
            </w:pPr>
          </w:p>
        </w:tc>
        <w:tc>
          <w:tcPr>
            <w:tcW w:w="1152" w:type="dxa"/>
            <w:gridSpan w:val="2"/>
            <w:shd w:val="clear" w:color="auto" w:fill="auto"/>
            <w:noWrap w:val="0"/>
            <w:vAlign w:val="top"/>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81" w:type="dxa"/>
            <w:tcBorders>
              <w:bottom w:val="single" w:color="auto" w:sz="4" w:space="0"/>
            </w:tcBorders>
            <w:shd w:val="clear" w:color="auto" w:fill="auto"/>
            <w:noWrap w:val="0"/>
            <w:vAlign w:val="center"/>
          </w:tcPr>
          <w:p>
            <w:pPr>
              <w:pStyle w:val="2"/>
              <w:ind w:firstLine="0" w:firstLineChars="0"/>
              <w:jc w:val="center"/>
              <w:rPr>
                <w:rFonts w:hint="eastAsia" w:ascii="宋体" w:hAnsi="宋体"/>
              </w:rPr>
            </w:pPr>
            <w:r>
              <w:rPr>
                <w:rFonts w:hint="eastAsia" w:ascii="宋体" w:hAnsi="宋体"/>
              </w:rPr>
              <w:t>环境卫生</w:t>
            </w:r>
          </w:p>
        </w:tc>
        <w:tc>
          <w:tcPr>
            <w:tcW w:w="3854" w:type="dxa"/>
            <w:gridSpan w:val="4"/>
            <w:tcBorders>
              <w:bottom w:val="single" w:color="auto" w:sz="4" w:space="0"/>
            </w:tcBorders>
            <w:shd w:val="clear" w:color="auto" w:fill="auto"/>
            <w:noWrap w:val="0"/>
            <w:vAlign w:val="center"/>
          </w:tcPr>
          <w:p>
            <w:pPr>
              <w:widowControl/>
              <w:jc w:val="left"/>
              <w:rPr>
                <w:rFonts w:hint="eastAsia" w:ascii="宋体" w:hAnsi="宋体" w:cs="宋体"/>
                <w:color w:val="000000"/>
                <w:kern w:val="0"/>
                <w:lang w:bidi="ar"/>
              </w:rPr>
            </w:pPr>
            <w:r>
              <w:rPr>
                <w:rFonts w:hint="eastAsia" w:ascii="宋体" w:hAnsi="宋体" w:cs="宋体"/>
                <w:color w:val="000000"/>
                <w:kern w:val="0"/>
                <w:lang w:bidi="ar"/>
              </w:rPr>
              <w:t>冷却塔，工作场地发现一处不清洁扣0.5分。</w:t>
            </w:r>
          </w:p>
        </w:tc>
        <w:tc>
          <w:tcPr>
            <w:tcW w:w="1128" w:type="dxa"/>
            <w:tcBorders>
              <w:bottom w:val="single" w:color="auto" w:sz="4" w:space="0"/>
            </w:tcBorders>
            <w:shd w:val="clear" w:color="auto" w:fill="auto"/>
            <w:noWrap w:val="0"/>
            <w:vAlign w:val="top"/>
          </w:tcPr>
          <w:p>
            <w:pPr>
              <w:pStyle w:val="2"/>
              <w:ind w:firstLine="0" w:firstLineChars="0"/>
              <w:rPr>
                <w:rFonts w:hint="eastAsia" w:ascii="宋体" w:hAnsi="宋体"/>
              </w:rPr>
            </w:pPr>
          </w:p>
        </w:tc>
        <w:tc>
          <w:tcPr>
            <w:tcW w:w="777" w:type="dxa"/>
            <w:tcBorders>
              <w:bottom w:val="single" w:color="auto" w:sz="4" w:space="0"/>
            </w:tcBorders>
            <w:shd w:val="clear" w:color="auto" w:fill="auto"/>
            <w:noWrap w:val="0"/>
            <w:vAlign w:val="center"/>
          </w:tcPr>
          <w:p>
            <w:pPr>
              <w:pStyle w:val="2"/>
              <w:ind w:firstLine="0" w:firstLineChars="0"/>
              <w:jc w:val="center"/>
              <w:rPr>
                <w:rFonts w:hint="eastAsia" w:ascii="宋体" w:hAnsi="宋体"/>
              </w:rPr>
            </w:pPr>
            <w:r>
              <w:rPr>
                <w:rFonts w:hint="eastAsia" w:ascii="宋体" w:hAnsi="宋体"/>
              </w:rPr>
              <w:t>10</w:t>
            </w:r>
          </w:p>
        </w:tc>
        <w:tc>
          <w:tcPr>
            <w:tcW w:w="868" w:type="dxa"/>
            <w:tcBorders>
              <w:bottom w:val="single" w:color="auto" w:sz="4" w:space="0"/>
            </w:tcBorders>
            <w:shd w:val="clear" w:color="auto" w:fill="auto"/>
            <w:noWrap w:val="0"/>
            <w:vAlign w:val="top"/>
          </w:tcPr>
          <w:p>
            <w:pPr>
              <w:pStyle w:val="2"/>
              <w:ind w:firstLine="0" w:firstLineChars="0"/>
              <w:rPr>
                <w:rFonts w:hint="eastAsia" w:ascii="宋体" w:hAnsi="宋体"/>
              </w:rPr>
            </w:pPr>
          </w:p>
        </w:tc>
        <w:tc>
          <w:tcPr>
            <w:tcW w:w="1152" w:type="dxa"/>
            <w:gridSpan w:val="2"/>
            <w:tcBorders>
              <w:bottom w:val="single" w:color="auto" w:sz="4" w:space="0"/>
            </w:tcBorders>
            <w:shd w:val="clear" w:color="auto" w:fill="auto"/>
            <w:noWrap w:val="0"/>
            <w:vAlign w:val="top"/>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ind w:firstLine="0" w:firstLineChars="0"/>
              <w:jc w:val="center"/>
              <w:rPr>
                <w:rFonts w:hint="eastAsia" w:ascii="宋体" w:hAnsi="宋体"/>
              </w:rPr>
            </w:pPr>
            <w:r>
              <w:rPr>
                <w:rFonts w:hint="eastAsia" w:ascii="宋体" w:hAnsi="宋体"/>
              </w:rPr>
              <w:t>服务质量</w:t>
            </w:r>
          </w:p>
        </w:tc>
        <w:tc>
          <w:tcPr>
            <w:tcW w:w="385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lang w:bidi="ar"/>
              </w:rPr>
            </w:pPr>
            <w:r>
              <w:rPr>
                <w:rFonts w:hint="eastAsia" w:ascii="宋体" w:hAnsi="宋体" w:cs="宋体"/>
                <w:color w:val="000000"/>
                <w:kern w:val="0"/>
                <w:lang w:bidi="ar"/>
              </w:rPr>
              <w:t>服务态度不满每次扣0.5分，不配合管理处维修保养工作，服务不到位每次扣0.5分。</w:t>
            </w:r>
          </w:p>
        </w:tc>
        <w:tc>
          <w:tcPr>
            <w:tcW w:w="11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2"/>
              <w:ind w:firstLine="0" w:firstLineChars="0"/>
              <w:rPr>
                <w:rFonts w:hint="eastAsia" w:ascii="宋体" w:hAnsi="宋体"/>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ind w:firstLine="0" w:firstLineChars="0"/>
              <w:jc w:val="center"/>
              <w:rPr>
                <w:rFonts w:hint="eastAsia" w:ascii="宋体" w:hAnsi="宋体"/>
              </w:rPr>
            </w:pPr>
            <w:r>
              <w:rPr>
                <w:rFonts w:hint="eastAsia" w:ascii="宋体" w:hAnsi="宋体"/>
              </w:rPr>
              <w:t>10</w:t>
            </w:r>
          </w:p>
        </w:tc>
        <w:tc>
          <w:tcPr>
            <w:tcW w:w="86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2"/>
              <w:ind w:firstLine="0" w:firstLineChars="0"/>
              <w:rPr>
                <w:rFonts w:hint="eastAsia" w:ascii="宋体" w:hAnsi="宋体"/>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总得分：</w:t>
            </w:r>
          </w:p>
        </w:tc>
        <w:tc>
          <w:tcPr>
            <w:tcW w:w="7779"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等级：</w:t>
            </w:r>
          </w:p>
        </w:tc>
        <w:tc>
          <w:tcPr>
            <w:tcW w:w="7779"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lang w:bidi="ar"/>
              </w:rPr>
            </w:pPr>
            <w:r>
              <w:rPr>
                <w:rFonts w:hint="eastAsia" w:ascii="宋体" w:hAnsi="宋体" w:cs="宋体"/>
                <w:color w:val="000000"/>
                <w:kern w:val="0"/>
              </w:rPr>
              <w:t>等级</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得分范围</w:t>
            </w:r>
          </w:p>
        </w:tc>
        <w:tc>
          <w:tcPr>
            <w:tcW w:w="14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评价</w:t>
            </w:r>
          </w:p>
        </w:tc>
        <w:tc>
          <w:tcPr>
            <w:tcW w:w="500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A</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90-100</w:t>
            </w:r>
          </w:p>
        </w:tc>
        <w:tc>
          <w:tcPr>
            <w:tcW w:w="14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优秀</w:t>
            </w:r>
          </w:p>
        </w:tc>
        <w:tc>
          <w:tcPr>
            <w:tcW w:w="500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可靠的供应商来往，继续建立合作伙伴关系。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B</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80-89</w:t>
            </w:r>
          </w:p>
        </w:tc>
        <w:tc>
          <w:tcPr>
            <w:tcW w:w="14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良好</w:t>
            </w:r>
          </w:p>
        </w:tc>
        <w:tc>
          <w:tcPr>
            <w:tcW w:w="500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合格供应商，需针对“主要问题”一周内做出改善措施并书面回复采购人。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C</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70-79</w:t>
            </w:r>
          </w:p>
        </w:tc>
        <w:tc>
          <w:tcPr>
            <w:tcW w:w="14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及格</w:t>
            </w:r>
          </w:p>
        </w:tc>
        <w:tc>
          <w:tcPr>
            <w:tcW w:w="500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合格服供应商，但扣除服务费的10%，需针对“主要问题”一周内做出改善措施并书面回复采购人。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D</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69及以下</w:t>
            </w:r>
          </w:p>
        </w:tc>
        <w:tc>
          <w:tcPr>
            <w:tcW w:w="14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不及格</w:t>
            </w:r>
          </w:p>
        </w:tc>
        <w:tc>
          <w:tcPr>
            <w:tcW w:w="500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lang w:bidi="ar"/>
              </w:rPr>
            </w:pPr>
            <w:r>
              <w:rPr>
                <w:rFonts w:hint="eastAsia" w:ascii="宋体" w:hAnsi="宋体" w:cs="宋体"/>
                <w:color w:val="000000"/>
                <w:kern w:val="0"/>
                <w:lang w:bidi="ar"/>
              </w:rPr>
              <w:t>不合格供应商，履约保证金不与退还，服务费不支付。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lang w:eastAsia="zh-CN"/>
              </w:rPr>
            </w:pPr>
            <w:r>
              <w:rPr>
                <w:rFonts w:hint="eastAsia"/>
              </w:rPr>
              <w:t>说明：</w:t>
            </w:r>
          </w:p>
          <w:p>
            <w:pPr>
              <w:widowControl/>
              <w:jc w:val="left"/>
              <w:rPr>
                <w:rFonts w:hint="eastAsia" w:ascii="宋体" w:hAnsi="宋体" w:cs="宋体"/>
                <w:color w:val="000000"/>
                <w:kern w:val="0"/>
                <w:lang w:bidi="ar"/>
              </w:rPr>
            </w:pPr>
            <w:r>
              <w:rPr>
                <w:rFonts w:hint="eastAsia"/>
              </w:rPr>
              <w:t>使用的药剂原则上符合当地的法律法规。</w:t>
            </w:r>
          </w:p>
        </w:tc>
      </w:tr>
    </w:tbl>
    <w:p>
      <w:pPr>
        <w:jc w:val="center"/>
        <w:rPr>
          <w:rFonts w:hint="eastAsia" w:ascii="Calibri" w:hAnsi="Calibri" w:cs="宋体"/>
          <w:b/>
          <w:sz w:val="32"/>
          <w:szCs w:val="32"/>
          <w:lang w:bidi="ar"/>
        </w:rPr>
      </w:pPr>
    </w:p>
    <w:p>
      <w:pPr>
        <w:jc w:val="center"/>
        <w:rPr>
          <w:b/>
          <w:sz w:val="32"/>
          <w:szCs w:val="32"/>
        </w:rPr>
      </w:pPr>
      <w:r>
        <w:rPr>
          <w:rFonts w:hint="eastAsia" w:ascii="Calibri" w:hAnsi="Calibri" w:cs="宋体"/>
          <w:b/>
          <w:sz w:val="32"/>
          <w:szCs w:val="32"/>
          <w:lang w:bidi="ar"/>
        </w:rPr>
        <w:t>缓蚀阻垢和杀菌灭藻药剂加药记录</w:t>
      </w:r>
    </w:p>
    <w:tbl>
      <w:tblPr>
        <w:tblStyle w:val="51"/>
        <w:tblpPr w:leftFromText="180" w:rightFromText="180" w:vertAnchor="text" w:horzAnchor="page" w:tblpX="1657" w:tblpY="7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560"/>
        <w:gridCol w:w="1779"/>
        <w:gridCol w:w="1879"/>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ascii="Calibri" w:hAnsi="Calibri" w:cs="宋体"/>
                <w:sz w:val="24"/>
                <w:szCs w:val="24"/>
                <w:lang w:bidi="ar"/>
              </w:rPr>
              <w:t>加药日期</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ascii="Calibri" w:hAnsi="Calibri" w:cs="宋体"/>
                <w:sz w:val="24"/>
                <w:szCs w:val="24"/>
                <w:lang w:bidi="ar"/>
              </w:rPr>
              <w:t>药剂种类</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ascii="Calibri" w:hAnsi="Calibri" w:cs="宋体"/>
                <w:sz w:val="24"/>
                <w:szCs w:val="24"/>
                <w:lang w:bidi="ar"/>
              </w:rPr>
              <w:t>药剂用量（</w:t>
            </w:r>
            <w:r>
              <w:rPr>
                <w:rFonts w:ascii="Calibri" w:hAnsi="Calibri"/>
                <w:sz w:val="24"/>
                <w:szCs w:val="24"/>
                <w:lang w:bidi="ar"/>
              </w:rPr>
              <w:t>kg</w:t>
            </w:r>
            <w:r>
              <w:rPr>
                <w:rFonts w:hint="eastAsia" w:ascii="Calibri" w:hAnsi="Calibri" w:cs="宋体"/>
                <w:sz w:val="24"/>
                <w:szCs w:val="24"/>
                <w:lang w:bidi="ar"/>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ascii="Calibri" w:hAnsi="Calibri" w:cs="宋体"/>
                <w:sz w:val="24"/>
                <w:szCs w:val="24"/>
                <w:lang w:bidi="ar"/>
              </w:rPr>
              <w:t>操作人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ascii="Calibri" w:hAnsi="Calibri" w:cs="宋体"/>
                <w:sz w:val="24"/>
                <w:szCs w:val="24"/>
                <w:lang w:bidi="ar"/>
              </w:rPr>
              <w:t>确认人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bl>
    <w:p>
      <w:pPr>
        <w:spacing w:line="460" w:lineRule="exact"/>
        <w:jc w:val="both"/>
        <w:rPr>
          <w:rFonts w:hint="eastAsia" w:ascii="宋体" w:hAnsi="宋体" w:cs="宋体"/>
          <w:b/>
          <w:bCs/>
          <w:w w:val="80"/>
          <w:sz w:val="44"/>
          <w:szCs w:val="44"/>
        </w:rPr>
      </w:pPr>
      <w:r>
        <w:rPr>
          <w:rFonts w:ascii="Calibri" w:hAnsi="Calibri"/>
          <w:szCs w:val="22"/>
          <w:lang w:bidi="ar"/>
        </w:rPr>
        <w:br w:type="page"/>
      </w:r>
    </w:p>
    <w:p>
      <w:pPr>
        <w:spacing w:line="460" w:lineRule="exact"/>
        <w:jc w:val="center"/>
        <w:rPr>
          <w:rFonts w:ascii="宋体"/>
          <w:kern w:val="0"/>
          <w:sz w:val="32"/>
          <w:szCs w:val="32"/>
        </w:rPr>
      </w:pP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5" w:name="_Toc85627670"/>
      <w:bookmarkStart w:id="46" w:name="_Toc182848996"/>
      <w:bookmarkStart w:id="47" w:name="_Toc43217893"/>
      <w:bookmarkStart w:id="48" w:name="_Toc37322565"/>
      <w:bookmarkStart w:id="49" w:name="_Toc38121794"/>
      <w:bookmarkStart w:id="50" w:name="_Toc94544873"/>
      <w:bookmarkStart w:id="51" w:name="_Toc94544747"/>
      <w:bookmarkStart w:id="52" w:name="_Toc13803484"/>
      <w:bookmarkStart w:id="53" w:name="_Toc11554642"/>
      <w:bookmarkStart w:id="54" w:name="_Toc12670506"/>
      <w:bookmarkStart w:id="55" w:name="_Toc8895742"/>
      <w:bookmarkStart w:id="56" w:name="_Toc11499587"/>
      <w:bookmarkStart w:id="57" w:name="_Toc11500283"/>
      <w:r>
        <w:rPr>
          <w:rFonts w:hint="eastAsia" w:ascii="宋体" w:hAnsi="宋体" w:cs="宋体"/>
          <w:b/>
          <w:bCs/>
          <w:w w:val="80"/>
          <w:sz w:val="44"/>
          <w:szCs w:val="44"/>
        </w:rPr>
        <w:t xml:space="preserve">  评审方法和程序</w:t>
      </w:r>
      <w:bookmarkEnd w:id="44"/>
    </w:p>
    <w:bookmarkEnd w:id="45"/>
    <w:bookmarkEnd w:id="46"/>
    <w:bookmarkEnd w:id="47"/>
    <w:bookmarkEnd w:id="48"/>
    <w:bookmarkEnd w:id="49"/>
    <w:p>
      <w:pPr>
        <w:snapToGrid w:val="0"/>
        <w:spacing w:line="480" w:lineRule="exact"/>
        <w:ind w:firstLine="482" w:firstLineChars="200"/>
        <w:outlineLvl w:val="1"/>
        <w:rPr>
          <w:rFonts w:ascii="宋体"/>
          <w:b/>
          <w:bCs/>
          <w:sz w:val="24"/>
          <w:szCs w:val="24"/>
        </w:rPr>
      </w:pPr>
      <w:bookmarkStart w:id="58" w:name="_Toc363573857"/>
      <w:bookmarkEnd w:id="58"/>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hint="eastAsia"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hint="eastAsia" w:ascii="宋体" w:hAnsi="宋体" w:cs="宋体"/>
          <w:b/>
          <w:bCs/>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、评审步骤规定：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snapToGrid w:val="0"/>
        <w:spacing w:line="360" w:lineRule="auto"/>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四、磋商评定结果的方法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hint="eastAsia" w:ascii="宋体" w:hAnsi="宋体" w:cs="宋体"/>
          <w:kern w:val="0"/>
          <w:sz w:val="24"/>
          <w:szCs w:val="24"/>
          <w:u w:val="single"/>
          <w:lang w:val="en-US" w:eastAsia="zh-CN"/>
        </w:rPr>
        <w:t>70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30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360" w:lineRule="auto"/>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60" w:firstLineChars="192"/>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snapToGrid w:val="0"/>
        <w:spacing w:line="360" w:lineRule="auto"/>
        <w:ind w:firstLine="460" w:firstLineChars="192"/>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五、综合评分评审标准</w:t>
      </w:r>
    </w:p>
    <w:p>
      <w:pPr>
        <w:adjustRightInd w:val="0"/>
        <w:snapToGrid w:val="0"/>
        <w:spacing w:line="360" w:lineRule="auto"/>
        <w:ind w:firstLine="480" w:firstLineChars="200"/>
        <w:outlineLvl w:val="3"/>
        <w:rPr>
          <w:rFonts w:ascii="宋体"/>
          <w:sz w:val="24"/>
          <w:szCs w:val="24"/>
        </w:rPr>
      </w:pPr>
      <w:r>
        <w:rPr>
          <w:rFonts w:hint="eastAsia" w:ascii="宋体" w:hAnsi="宋体" w:cs="宋体"/>
          <w:sz w:val="24"/>
          <w:szCs w:val="24"/>
        </w:rPr>
        <w:t>（一）技术磋商响应评审：（</w:t>
      </w:r>
      <w:r>
        <w:rPr>
          <w:rFonts w:hint="eastAsia" w:ascii="宋体" w:hAnsi="宋体" w:cs="宋体"/>
          <w:sz w:val="24"/>
          <w:szCs w:val="24"/>
          <w:lang w:val="en-US" w:eastAsia="zh-CN"/>
        </w:rPr>
        <w:t>70</w:t>
      </w:r>
      <w:r>
        <w:rPr>
          <w:rFonts w:hint="eastAsia" w:ascii="宋体" w:hAnsi="宋体" w:cs="宋体"/>
          <w:sz w:val="24"/>
          <w:szCs w:val="24"/>
        </w:rPr>
        <w:t>分）</w:t>
      </w:r>
    </w:p>
    <w:tbl>
      <w:tblPr>
        <w:tblStyle w:val="51"/>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470"/>
        <w:gridCol w:w="5804"/>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blHeader/>
          <w:jc w:val="center"/>
        </w:trPr>
        <w:tc>
          <w:tcPr>
            <w:tcW w:w="447" w:type="dxa"/>
            <w:noWrap w:val="0"/>
            <w:vAlign w:val="center"/>
          </w:tcPr>
          <w:p>
            <w:pPr>
              <w:tabs>
                <w:tab w:val="left" w:pos="10546"/>
              </w:tabs>
              <w:snapToGrid w:val="0"/>
              <w:spacing w:line="360" w:lineRule="auto"/>
              <w:jc w:val="center"/>
              <w:rPr>
                <w:rFonts w:ascii="宋体"/>
                <w:b/>
                <w:bCs/>
                <w:sz w:val="21"/>
                <w:szCs w:val="21"/>
              </w:rPr>
            </w:pPr>
            <w:r>
              <w:rPr>
                <w:rFonts w:hint="eastAsia" w:ascii="宋体" w:hAnsi="宋体" w:cs="宋体"/>
                <w:b/>
                <w:bCs/>
                <w:sz w:val="21"/>
                <w:szCs w:val="21"/>
              </w:rPr>
              <w:t>序号</w:t>
            </w:r>
          </w:p>
        </w:tc>
        <w:tc>
          <w:tcPr>
            <w:tcW w:w="1470" w:type="dxa"/>
            <w:noWrap w:val="0"/>
            <w:vAlign w:val="center"/>
          </w:tcPr>
          <w:p>
            <w:pPr>
              <w:snapToGrid w:val="0"/>
              <w:spacing w:line="360" w:lineRule="auto"/>
              <w:jc w:val="center"/>
              <w:outlineLvl w:val="1"/>
              <w:rPr>
                <w:rFonts w:ascii="宋体"/>
                <w:b/>
                <w:bCs/>
                <w:sz w:val="21"/>
                <w:szCs w:val="21"/>
              </w:rPr>
            </w:pPr>
            <w:r>
              <w:rPr>
                <w:rFonts w:hint="eastAsia" w:ascii="宋体" w:hAnsi="宋体" w:cs="宋体"/>
                <w:b/>
                <w:bCs/>
                <w:sz w:val="21"/>
                <w:szCs w:val="21"/>
              </w:rPr>
              <w:t>评分因素</w:t>
            </w:r>
          </w:p>
        </w:tc>
        <w:tc>
          <w:tcPr>
            <w:tcW w:w="5804" w:type="dxa"/>
            <w:noWrap w:val="0"/>
            <w:vAlign w:val="center"/>
          </w:tcPr>
          <w:p>
            <w:pPr>
              <w:snapToGrid w:val="0"/>
              <w:spacing w:line="360" w:lineRule="auto"/>
              <w:jc w:val="center"/>
              <w:outlineLvl w:val="1"/>
              <w:rPr>
                <w:rFonts w:ascii="宋体"/>
                <w:b/>
                <w:bCs/>
                <w:sz w:val="21"/>
                <w:szCs w:val="21"/>
              </w:rPr>
            </w:pPr>
            <w:r>
              <w:rPr>
                <w:rFonts w:hint="eastAsia" w:ascii="宋体" w:hAnsi="宋体" w:cs="宋体"/>
                <w:b/>
                <w:bCs/>
                <w:sz w:val="21"/>
                <w:szCs w:val="21"/>
              </w:rPr>
              <w:t>评分标准</w:t>
            </w:r>
          </w:p>
        </w:tc>
        <w:tc>
          <w:tcPr>
            <w:tcW w:w="1321" w:type="dxa"/>
            <w:noWrap w:val="0"/>
            <w:vAlign w:val="center"/>
          </w:tcPr>
          <w:p>
            <w:pPr>
              <w:snapToGrid w:val="0"/>
              <w:spacing w:line="360" w:lineRule="auto"/>
              <w:jc w:val="center"/>
              <w:outlineLvl w:val="1"/>
              <w:rPr>
                <w:rFonts w:hint="eastAsia" w:ascii="宋体"/>
                <w:b/>
                <w:bCs/>
                <w:sz w:val="21"/>
                <w:szCs w:val="21"/>
              </w:rPr>
            </w:pPr>
            <w:r>
              <w:rPr>
                <w:rFonts w:hint="eastAsia" w:ascii="宋体"/>
                <w:b/>
                <w:bCs/>
                <w:sz w:val="21"/>
                <w:szCs w:val="21"/>
              </w:rPr>
              <w:t>满分</w:t>
            </w:r>
          </w:p>
          <w:p>
            <w:pPr>
              <w:snapToGrid w:val="0"/>
              <w:spacing w:line="360" w:lineRule="auto"/>
              <w:jc w:val="center"/>
              <w:outlineLvl w:val="1"/>
              <w:rPr>
                <w:rFonts w:hint="eastAsia" w:ascii="宋体"/>
                <w:b/>
                <w:bCs/>
                <w:sz w:val="21"/>
                <w:szCs w:val="21"/>
              </w:rPr>
            </w:pPr>
            <w:r>
              <w:rPr>
                <w:rFonts w:hint="eastAsia" w:ascii="宋体"/>
                <w:b/>
                <w:bCs/>
                <w:sz w:val="21"/>
                <w:szCs w:val="21"/>
              </w:rPr>
              <w:t>分值</w:t>
            </w:r>
          </w:p>
          <w:p>
            <w:pPr>
              <w:pStyle w:val="2"/>
              <w:snapToGrid w:val="0"/>
              <w:spacing w:after="0" w:line="360" w:lineRule="auto"/>
              <w:ind w:firstLine="0" w:firstLineChars="0"/>
              <w:jc w:val="center"/>
              <w:rPr>
                <w:rFonts w:ascii="宋体"/>
                <w:b/>
                <w:bCs/>
                <w:sz w:val="21"/>
                <w:szCs w:val="21"/>
              </w:rPr>
            </w:pPr>
            <w:r>
              <w:rPr>
                <w:rFonts w:hint="eastAsia" w:ascii="宋体"/>
                <w:b/>
                <w:bCs/>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7" w:type="dxa"/>
            <w:vMerge w:val="restart"/>
            <w:noWrap w:val="0"/>
            <w:vAlign w:val="center"/>
          </w:tcPr>
          <w:p>
            <w:pPr>
              <w:tabs>
                <w:tab w:val="left" w:pos="10546"/>
              </w:tabs>
              <w:spacing w:line="360" w:lineRule="auto"/>
              <w:jc w:val="center"/>
              <w:rPr>
                <w:rFonts w:hint="eastAsia" w:ascii="宋体" w:eastAsia="宋体"/>
                <w:sz w:val="21"/>
                <w:szCs w:val="21"/>
                <w:lang w:eastAsia="zh-CN"/>
              </w:rPr>
            </w:pPr>
            <w:r>
              <w:rPr>
                <w:rFonts w:hint="eastAsia" w:ascii="宋体"/>
                <w:sz w:val="21"/>
                <w:szCs w:val="21"/>
                <w:lang w:val="en-US" w:eastAsia="zh-CN"/>
              </w:rPr>
              <w:t>1</w:t>
            </w:r>
          </w:p>
        </w:tc>
        <w:tc>
          <w:tcPr>
            <w:tcW w:w="1470" w:type="dxa"/>
            <w:vMerge w:val="restart"/>
            <w:noWrap w:val="0"/>
            <w:vAlign w:val="center"/>
          </w:tcPr>
          <w:p>
            <w:pPr>
              <w:widowControl/>
              <w:spacing w:line="360" w:lineRule="auto"/>
              <w:jc w:val="center"/>
              <w:rPr>
                <w:rFonts w:ascii="宋体" w:hAnsi="宋体" w:cs="宋体"/>
                <w:b/>
                <w:bCs/>
                <w:color w:val="auto"/>
                <w:sz w:val="21"/>
                <w:szCs w:val="21"/>
              </w:rPr>
            </w:pPr>
            <w:r>
              <w:rPr>
                <w:rFonts w:hint="eastAsia" w:ascii="宋体" w:hAnsi="宋体" w:cs="宋体"/>
                <w:b/>
                <w:bCs/>
                <w:color w:val="auto"/>
                <w:sz w:val="21"/>
                <w:szCs w:val="21"/>
              </w:rPr>
              <w:t>行业资质</w:t>
            </w:r>
          </w:p>
          <w:p>
            <w:pPr>
              <w:pStyle w:val="89"/>
              <w:spacing w:line="360" w:lineRule="auto"/>
              <w:jc w:val="center"/>
              <w:rPr>
                <w:rFonts w:ascii="宋体" w:hAnsi="宋体"/>
                <w:color w:val="auto"/>
                <w:sz w:val="21"/>
                <w:szCs w:val="21"/>
                <w:lang w:eastAsia="zh-CN"/>
              </w:rPr>
            </w:pPr>
            <w:r>
              <w:rPr>
                <w:rFonts w:hint="eastAsia" w:ascii="宋体" w:hAnsi="宋体" w:cs="宋体"/>
                <w:b/>
                <w:bCs/>
                <w:color w:val="auto"/>
                <w:sz w:val="21"/>
                <w:szCs w:val="21"/>
                <w:lang w:eastAsia="zh-CN"/>
              </w:rPr>
              <w:t>（10分）</w:t>
            </w:r>
          </w:p>
        </w:tc>
        <w:tc>
          <w:tcPr>
            <w:tcW w:w="5804" w:type="dxa"/>
            <w:noWrap w:val="0"/>
            <w:vAlign w:val="center"/>
          </w:tcPr>
          <w:p>
            <w:pPr>
              <w:snapToGrid w:val="0"/>
              <w:spacing w:line="360" w:lineRule="auto"/>
              <w:rPr>
                <w:rFonts w:hint="eastAsia"/>
                <w:color w:val="auto"/>
              </w:rPr>
            </w:pPr>
            <w:r>
              <w:rPr>
                <w:rFonts w:hint="eastAsia"/>
                <w:color w:val="auto"/>
              </w:rPr>
              <w:t>供应商具有有效的建筑机电安装工程专业承包资质证书</w:t>
            </w:r>
          </w:p>
          <w:p>
            <w:pPr>
              <w:snapToGrid w:val="0"/>
              <w:spacing w:line="360" w:lineRule="auto"/>
              <w:rPr>
                <w:rFonts w:hint="eastAsia"/>
                <w:color w:val="auto"/>
              </w:rPr>
            </w:pPr>
            <w:r>
              <w:rPr>
                <w:rFonts w:hint="eastAsia"/>
                <w:color w:val="auto"/>
              </w:rPr>
              <w:t>一级的，得</w:t>
            </w:r>
            <w:r>
              <w:rPr>
                <w:rFonts w:hint="eastAsia"/>
                <w:color w:val="auto"/>
                <w:lang w:val="en-US" w:eastAsia="zh-CN"/>
              </w:rPr>
              <w:t>3</w:t>
            </w:r>
            <w:r>
              <w:rPr>
                <w:rFonts w:hint="eastAsia"/>
                <w:color w:val="auto"/>
              </w:rPr>
              <w:t>分;二级的，得2分;三级的，得1分。</w:t>
            </w:r>
          </w:p>
          <w:p>
            <w:pPr>
              <w:snapToGrid w:val="0"/>
              <w:spacing w:line="360" w:lineRule="auto"/>
              <w:rPr>
                <w:rFonts w:hint="eastAsia"/>
                <w:color w:val="auto"/>
              </w:rPr>
            </w:pPr>
            <w:r>
              <w:rPr>
                <w:rFonts w:hint="eastAsia"/>
                <w:color w:val="auto"/>
              </w:rPr>
              <w:t>供应商具有有效的安全施工许可证的，得</w:t>
            </w:r>
            <w:r>
              <w:rPr>
                <w:rFonts w:hint="eastAsia"/>
                <w:color w:val="auto"/>
                <w:lang w:val="en-US" w:eastAsia="zh-CN"/>
              </w:rPr>
              <w:t>2</w:t>
            </w:r>
            <w:r>
              <w:rPr>
                <w:rFonts w:hint="eastAsia"/>
                <w:color w:val="auto"/>
              </w:rPr>
              <w:t>分;没有不得分。</w:t>
            </w:r>
          </w:p>
          <w:p>
            <w:pPr>
              <w:pStyle w:val="2"/>
              <w:ind w:left="0" w:leftChars="0" w:firstLine="0" w:firstLineChars="0"/>
              <w:rPr>
                <w:color w:val="auto"/>
              </w:rPr>
            </w:pPr>
            <w:r>
              <w:rPr>
                <w:rFonts w:hint="eastAsia" w:ascii="宋体" w:hAnsi="宋体" w:cs="宋体"/>
                <w:color w:val="auto"/>
                <w:kern w:val="0"/>
                <w:sz w:val="21"/>
                <w:szCs w:val="21"/>
              </w:rPr>
              <w:t>提供：证书扫描件或复印件，并加盖供应商公章。</w:t>
            </w:r>
          </w:p>
        </w:tc>
        <w:tc>
          <w:tcPr>
            <w:tcW w:w="1321" w:type="dxa"/>
            <w:noWrap w:val="0"/>
            <w:vAlign w:val="center"/>
          </w:tcPr>
          <w:p>
            <w:pPr>
              <w:tabs>
                <w:tab w:val="left" w:pos="10546"/>
              </w:tabs>
              <w:spacing w:line="360" w:lineRule="auto"/>
              <w:jc w:val="center"/>
              <w:rPr>
                <w:rFonts w:hint="eastAsia" w:ascii="宋体" w:hAnsi="宋体"/>
                <w:color w:val="auto"/>
                <w:sz w:val="21"/>
                <w:szCs w:val="21"/>
              </w:rPr>
            </w:pPr>
            <w:r>
              <w:rPr>
                <w:rFonts w:hint="eastAsia" w:ascii="宋体" w:hAnsi="宋体"/>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447" w:type="dxa"/>
            <w:vMerge w:val="continue"/>
            <w:noWrap w:val="0"/>
            <w:vAlign w:val="center"/>
          </w:tcPr>
          <w:p>
            <w:pPr>
              <w:tabs>
                <w:tab w:val="left" w:pos="10546"/>
              </w:tabs>
              <w:spacing w:line="360" w:lineRule="auto"/>
              <w:jc w:val="center"/>
              <w:rPr>
                <w:rFonts w:hint="eastAsia" w:ascii="宋体"/>
                <w:sz w:val="21"/>
                <w:szCs w:val="21"/>
              </w:rPr>
            </w:pPr>
          </w:p>
        </w:tc>
        <w:tc>
          <w:tcPr>
            <w:tcW w:w="1470" w:type="dxa"/>
            <w:vMerge w:val="continue"/>
            <w:noWrap w:val="0"/>
            <w:vAlign w:val="center"/>
          </w:tcPr>
          <w:p>
            <w:pPr>
              <w:widowControl/>
              <w:spacing w:line="360" w:lineRule="auto"/>
              <w:jc w:val="center"/>
              <w:rPr>
                <w:rFonts w:hint="eastAsia" w:ascii="宋体" w:hAnsi="宋体" w:cs="宋体"/>
                <w:b/>
                <w:bCs/>
                <w:sz w:val="21"/>
                <w:szCs w:val="21"/>
              </w:rPr>
            </w:pPr>
          </w:p>
        </w:tc>
        <w:tc>
          <w:tcPr>
            <w:tcW w:w="5804" w:type="dxa"/>
            <w:noWrap w:val="0"/>
            <w:vAlign w:val="center"/>
          </w:tcPr>
          <w:p>
            <w:pPr>
              <w:snapToGrid w:val="0"/>
              <w:spacing w:line="360" w:lineRule="auto"/>
              <w:rPr>
                <w:rFonts w:hint="eastAsia"/>
                <w:sz w:val="21"/>
                <w:szCs w:val="21"/>
              </w:rPr>
            </w:pPr>
            <w:r>
              <w:rPr>
                <w:rFonts w:hint="eastAsia" w:ascii="宋体" w:hAnsi="宋体" w:cs="宋体"/>
                <w:color w:val="000000"/>
                <w:kern w:val="0"/>
                <w:sz w:val="21"/>
                <w:szCs w:val="21"/>
              </w:rPr>
              <w:t>投标供应商具有中国制冷空调设备维修安装服务企业资质国家一级的得5分，国家二级的得3分，国家三级的得1分，没有不得分。提供：证书扫描件或复印件，并加盖供应商公章。</w:t>
            </w:r>
          </w:p>
        </w:tc>
        <w:tc>
          <w:tcPr>
            <w:tcW w:w="1321" w:type="dxa"/>
            <w:noWrap w:val="0"/>
            <w:vAlign w:val="center"/>
          </w:tcPr>
          <w:p>
            <w:pPr>
              <w:tabs>
                <w:tab w:val="left" w:pos="10546"/>
              </w:tabs>
              <w:spacing w:line="360" w:lineRule="auto"/>
              <w:jc w:val="center"/>
              <w:rPr>
                <w:rFonts w:hint="eastAsia" w:ascii="宋体" w:hAnsi="宋体"/>
                <w:sz w:val="21"/>
                <w:szCs w:val="21"/>
              </w:rPr>
            </w:pPr>
            <w:r>
              <w:rPr>
                <w:rFonts w:hint="eastAsia" w:ascii="宋体" w:hAnsi="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447" w:type="dxa"/>
            <w:noWrap w:val="0"/>
            <w:vAlign w:val="center"/>
          </w:tcPr>
          <w:p>
            <w:pPr>
              <w:tabs>
                <w:tab w:val="left" w:pos="10546"/>
              </w:tabs>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1470" w:type="dxa"/>
            <w:noWrap w:val="0"/>
            <w:vAlign w:val="center"/>
          </w:tcPr>
          <w:p>
            <w:pPr>
              <w:widowControl/>
              <w:spacing w:line="360" w:lineRule="auto"/>
              <w:jc w:val="center"/>
              <w:rPr>
                <w:rFonts w:hint="eastAsia" w:ascii="宋体" w:hAnsi="宋体" w:cs="宋体"/>
                <w:b/>
                <w:bCs/>
                <w:sz w:val="21"/>
                <w:szCs w:val="21"/>
              </w:rPr>
            </w:pPr>
            <w:r>
              <w:rPr>
                <w:rFonts w:hint="eastAsia" w:ascii="宋体" w:hAnsi="宋体" w:cs="宋体"/>
                <w:b/>
                <w:bCs/>
                <w:sz w:val="21"/>
                <w:szCs w:val="21"/>
              </w:rPr>
              <w:t>拟派专业水处理人员</w:t>
            </w:r>
          </w:p>
          <w:p>
            <w:pPr>
              <w:widowControl/>
              <w:spacing w:line="360" w:lineRule="auto"/>
              <w:jc w:val="center"/>
              <w:rPr>
                <w:rFonts w:ascii="宋体" w:hAnsi="宋体" w:cs="宋体"/>
                <w:b/>
                <w:sz w:val="21"/>
                <w:szCs w:val="21"/>
              </w:rPr>
            </w:pPr>
            <w:r>
              <w:rPr>
                <w:rFonts w:hint="eastAsia" w:ascii="宋体" w:hAnsi="宋体" w:cs="宋体"/>
                <w:b/>
                <w:bCs/>
                <w:sz w:val="21"/>
                <w:szCs w:val="21"/>
              </w:rPr>
              <w:t>（</w:t>
            </w:r>
            <w:r>
              <w:rPr>
                <w:rFonts w:hint="eastAsia" w:ascii="宋体" w:hAnsi="宋体" w:cs="宋体"/>
                <w:b/>
                <w:bCs/>
                <w:color w:val="auto"/>
                <w:sz w:val="21"/>
                <w:szCs w:val="21"/>
                <w:lang w:val="en-US" w:eastAsia="zh-CN"/>
              </w:rPr>
              <w:t>8</w:t>
            </w:r>
            <w:r>
              <w:rPr>
                <w:rFonts w:hint="eastAsia" w:ascii="宋体" w:hAnsi="宋体" w:cs="宋体"/>
                <w:b/>
                <w:bCs/>
                <w:sz w:val="21"/>
                <w:szCs w:val="21"/>
              </w:rPr>
              <w:t>分）</w:t>
            </w:r>
          </w:p>
        </w:tc>
        <w:tc>
          <w:tcPr>
            <w:tcW w:w="5804" w:type="dxa"/>
            <w:noWrap w:val="0"/>
            <w:vAlign w:val="center"/>
          </w:tcPr>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拟派专业水处理人员中：</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具有制冷与空调作业证，每有1人得1分，最多得2分；</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具有</w:t>
            </w:r>
            <w:r>
              <w:rPr>
                <w:rFonts w:hint="eastAsia" w:ascii="Times New Roman" w:hAnsi="Times New Roman"/>
                <w:sz w:val="21"/>
                <w:szCs w:val="21"/>
              </w:rPr>
              <w:t>高空作业</w:t>
            </w:r>
            <w:r>
              <w:rPr>
                <w:rFonts w:hint="eastAsia" w:ascii="宋体" w:hAnsi="宋体" w:cs="宋体"/>
                <w:color w:val="000000"/>
                <w:kern w:val="0"/>
                <w:sz w:val="21"/>
                <w:szCs w:val="21"/>
              </w:rPr>
              <w:t>证，每有1人得1分，最多得2分；</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具有电工特种作业操作证，每有1人得1分，最多得2分。</w:t>
            </w:r>
          </w:p>
          <w:p>
            <w:pPr>
              <w:pStyle w:val="2"/>
              <w:spacing w:line="360" w:lineRule="auto"/>
              <w:ind w:left="0" w:leftChars="0" w:firstLine="0" w:firstLineChars="0"/>
              <w:rPr>
                <w:rFonts w:hint="eastAsia" w:ascii="宋体" w:hAnsi="宋体" w:cs="宋体"/>
                <w:color w:val="000000"/>
                <w:kern w:val="0"/>
                <w:sz w:val="21"/>
                <w:szCs w:val="21"/>
                <w:lang w:eastAsia="zh-CN"/>
              </w:rPr>
            </w:pPr>
            <w:r>
              <w:rPr>
                <w:rFonts w:hint="eastAsia" w:ascii="宋体" w:hAnsi="宋体" w:cs="宋体"/>
                <w:color w:val="000000"/>
                <w:kern w:val="0"/>
                <w:sz w:val="21"/>
                <w:szCs w:val="21"/>
              </w:rPr>
              <w:t>具有</w:t>
            </w:r>
            <w:r>
              <w:rPr>
                <w:rFonts w:hint="eastAsia" w:ascii="Times New Roman" w:hAnsi="Times New Roman"/>
                <w:sz w:val="21"/>
                <w:szCs w:val="21"/>
              </w:rPr>
              <w:t>安全员</w:t>
            </w:r>
            <w:r>
              <w:rPr>
                <w:rFonts w:hint="eastAsia" w:ascii="宋体" w:hAnsi="宋体" w:cs="宋体"/>
                <w:color w:val="000000"/>
                <w:kern w:val="0"/>
                <w:sz w:val="21"/>
                <w:szCs w:val="21"/>
              </w:rPr>
              <w:t>证，每有1人得1分，最多得2分</w:t>
            </w:r>
            <w:r>
              <w:rPr>
                <w:rFonts w:hint="eastAsia" w:ascii="宋体" w:hAnsi="宋体" w:cs="宋体"/>
                <w:color w:val="000000"/>
                <w:kern w:val="0"/>
                <w:sz w:val="21"/>
                <w:szCs w:val="21"/>
                <w:lang w:eastAsia="zh-CN"/>
              </w:rPr>
              <w:t>；</w:t>
            </w:r>
          </w:p>
          <w:p>
            <w:pPr>
              <w:pStyle w:val="2"/>
              <w:spacing w:line="360" w:lineRule="auto"/>
              <w:ind w:left="0" w:leftChars="0" w:firstLine="0" w:firstLineChars="0"/>
              <w:rPr>
                <w:rFonts w:hint="eastAsia" w:ascii="宋体" w:hAnsi="宋体" w:cs="宋体"/>
                <w:color w:val="000000"/>
                <w:kern w:val="0"/>
                <w:sz w:val="21"/>
                <w:szCs w:val="21"/>
              </w:rPr>
            </w:pPr>
            <w:r>
              <w:rPr>
                <w:rFonts w:hint="eastAsia" w:ascii="宋体" w:hAnsi="宋体" w:cs="宋体"/>
                <w:color w:val="000000"/>
                <w:kern w:val="0"/>
                <w:sz w:val="21"/>
                <w:szCs w:val="21"/>
              </w:rPr>
              <w:t>本项最多得</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分。同一人只可得1次分。</w:t>
            </w:r>
          </w:p>
          <w:p>
            <w:pPr>
              <w:spacing w:line="360" w:lineRule="auto"/>
              <w:rPr>
                <w:rFonts w:ascii="宋体" w:hAnsi="宋体" w:cs="宋体"/>
                <w:b/>
                <w:sz w:val="21"/>
                <w:szCs w:val="21"/>
              </w:rPr>
            </w:pPr>
            <w:r>
              <w:rPr>
                <w:rFonts w:hint="eastAsia" w:ascii="宋体" w:hAnsi="宋体" w:cs="宋体"/>
                <w:color w:val="000000"/>
                <w:kern w:val="0"/>
                <w:sz w:val="21"/>
                <w:szCs w:val="21"/>
              </w:rPr>
              <w:t>提供：（提供①人员对应岗位证书（电工证、高空作业证、安全员证、制冷与空调作业证）；②与投标供应商签订的有效劳动合同；③须提供社保机构出具的投标企业为其缴纳的近三个月任意一个月的社保缴费证明或有效证明。）</w:t>
            </w:r>
          </w:p>
        </w:tc>
        <w:tc>
          <w:tcPr>
            <w:tcW w:w="1321" w:type="dxa"/>
            <w:noWrap w:val="0"/>
            <w:vAlign w:val="center"/>
          </w:tcPr>
          <w:p>
            <w:pPr>
              <w:tabs>
                <w:tab w:val="left" w:pos="10546"/>
              </w:tabs>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47" w:type="dxa"/>
            <w:noWrap w:val="0"/>
            <w:vAlign w:val="center"/>
          </w:tcPr>
          <w:p>
            <w:pPr>
              <w:tabs>
                <w:tab w:val="left" w:pos="10546"/>
              </w:tabs>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1470" w:type="dxa"/>
            <w:noWrap w:val="0"/>
            <w:vAlign w:val="center"/>
          </w:tcPr>
          <w:p>
            <w:pPr>
              <w:widowControl/>
              <w:spacing w:line="360" w:lineRule="auto"/>
              <w:jc w:val="center"/>
              <w:rPr>
                <w:rFonts w:hint="eastAsia" w:ascii="宋体" w:hAnsi="宋体" w:cs="宋体"/>
                <w:b/>
                <w:bCs/>
                <w:sz w:val="21"/>
                <w:szCs w:val="21"/>
              </w:rPr>
            </w:pPr>
            <w:r>
              <w:rPr>
                <w:rFonts w:hint="eastAsia" w:ascii="宋体" w:hAnsi="宋体" w:cs="宋体"/>
                <w:b/>
                <w:bCs/>
                <w:sz w:val="21"/>
                <w:szCs w:val="21"/>
              </w:rPr>
              <w:t>管理制度与考核依据</w:t>
            </w:r>
          </w:p>
          <w:p>
            <w:pPr>
              <w:widowControl/>
              <w:spacing w:line="360" w:lineRule="auto"/>
              <w:jc w:val="center"/>
              <w:rPr>
                <w:rFonts w:ascii="宋体" w:hAnsi="宋体" w:cs="宋体"/>
                <w:b/>
                <w:sz w:val="21"/>
                <w:szCs w:val="21"/>
              </w:rPr>
            </w:pPr>
            <w:r>
              <w:rPr>
                <w:rFonts w:hint="eastAsia" w:ascii="宋体" w:hAnsi="宋体" w:cs="宋体"/>
                <w:b/>
                <w:bCs/>
                <w:sz w:val="21"/>
                <w:szCs w:val="21"/>
              </w:rPr>
              <w:t>（6分）</w:t>
            </w:r>
          </w:p>
        </w:tc>
        <w:tc>
          <w:tcPr>
            <w:tcW w:w="5804" w:type="dxa"/>
            <w:noWrap w:val="0"/>
            <w:vAlign w:val="center"/>
          </w:tcPr>
          <w:p>
            <w:pPr>
              <w:spacing w:line="360" w:lineRule="auto"/>
              <w:rPr>
                <w:rFonts w:ascii="宋体" w:hAnsi="宋体" w:cs="宋体"/>
                <w:color w:val="000000"/>
                <w:kern w:val="0"/>
                <w:sz w:val="21"/>
                <w:szCs w:val="21"/>
              </w:rPr>
            </w:pPr>
            <w:r>
              <w:rPr>
                <w:rFonts w:hint="eastAsia" w:ascii="宋体" w:hAnsi="宋体"/>
                <w:sz w:val="21"/>
                <w:szCs w:val="21"/>
              </w:rPr>
              <w:t>由评委对各供应商提供的企业管理制度与考核依据的完善性进行横向比较后打分，优秀得6分，良好得4分，一般得2分，没有不得分。</w:t>
            </w:r>
          </w:p>
        </w:tc>
        <w:tc>
          <w:tcPr>
            <w:tcW w:w="1321" w:type="dxa"/>
            <w:noWrap w:val="0"/>
            <w:vAlign w:val="center"/>
          </w:tcPr>
          <w:p>
            <w:pPr>
              <w:tabs>
                <w:tab w:val="left" w:pos="10546"/>
              </w:tabs>
              <w:spacing w:line="360" w:lineRule="auto"/>
              <w:jc w:val="center"/>
              <w:rPr>
                <w:rFonts w:hint="eastAsia" w:ascii="宋体" w:hAnsi="宋体"/>
                <w:sz w:val="21"/>
                <w:szCs w:val="21"/>
              </w:rPr>
            </w:pPr>
            <w:r>
              <w:rPr>
                <w:rFonts w:hint="eastAsia" w:ascii="宋体" w:hAnsi="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447" w:type="dxa"/>
            <w:noWrap w:val="0"/>
            <w:vAlign w:val="center"/>
          </w:tcPr>
          <w:p>
            <w:pPr>
              <w:tabs>
                <w:tab w:val="left" w:pos="10546"/>
              </w:tabs>
              <w:spacing w:line="360" w:lineRule="auto"/>
              <w:jc w:val="center"/>
              <w:rPr>
                <w:rFonts w:hint="eastAsia" w:ascii="宋体" w:eastAsia="宋体"/>
                <w:sz w:val="21"/>
                <w:szCs w:val="21"/>
                <w:lang w:eastAsia="zh-CN"/>
              </w:rPr>
            </w:pPr>
            <w:r>
              <w:rPr>
                <w:rFonts w:hint="eastAsia" w:ascii="宋体"/>
                <w:sz w:val="21"/>
                <w:szCs w:val="21"/>
                <w:lang w:val="en-US" w:eastAsia="zh-CN"/>
              </w:rPr>
              <w:t>4</w:t>
            </w:r>
          </w:p>
        </w:tc>
        <w:tc>
          <w:tcPr>
            <w:tcW w:w="1470" w:type="dxa"/>
            <w:noWrap w:val="0"/>
            <w:vAlign w:val="center"/>
          </w:tcPr>
          <w:p>
            <w:pPr>
              <w:widowControl/>
              <w:spacing w:line="360" w:lineRule="auto"/>
              <w:jc w:val="center"/>
              <w:rPr>
                <w:rFonts w:hint="eastAsia" w:ascii="宋体" w:hAnsi="宋体" w:cs="宋体"/>
                <w:b/>
                <w:bCs/>
                <w:sz w:val="21"/>
                <w:szCs w:val="21"/>
              </w:rPr>
            </w:pPr>
            <w:r>
              <w:rPr>
                <w:rFonts w:hint="eastAsia" w:ascii="宋体" w:hAnsi="宋体" w:cs="宋体"/>
                <w:b/>
                <w:bCs/>
                <w:sz w:val="21"/>
                <w:szCs w:val="21"/>
              </w:rPr>
              <w:t>维保方案</w:t>
            </w:r>
          </w:p>
          <w:p>
            <w:pPr>
              <w:widowControl/>
              <w:spacing w:line="360" w:lineRule="auto"/>
              <w:jc w:val="center"/>
              <w:rPr>
                <w:rFonts w:ascii="宋体" w:hAnsi="宋体" w:cs="宋体"/>
                <w:b/>
                <w:bCs/>
                <w:sz w:val="21"/>
                <w:szCs w:val="21"/>
              </w:rPr>
            </w:pPr>
            <w:r>
              <w:rPr>
                <w:rFonts w:hint="eastAsia" w:ascii="宋体" w:hAnsi="宋体" w:cs="宋体"/>
                <w:b/>
                <w:bCs/>
                <w:sz w:val="21"/>
                <w:szCs w:val="21"/>
              </w:rPr>
              <w:t>（2</w:t>
            </w:r>
            <w:r>
              <w:rPr>
                <w:rFonts w:hint="eastAsia" w:ascii="宋体" w:hAnsi="宋体" w:cs="宋体"/>
                <w:b/>
                <w:bCs/>
                <w:sz w:val="21"/>
                <w:szCs w:val="21"/>
                <w:lang w:val="en-US" w:eastAsia="zh-CN"/>
              </w:rPr>
              <w:t>2</w:t>
            </w:r>
            <w:r>
              <w:rPr>
                <w:rFonts w:hint="eastAsia" w:ascii="宋体" w:hAnsi="宋体" w:cs="宋体"/>
                <w:b/>
                <w:bCs/>
                <w:sz w:val="21"/>
                <w:szCs w:val="21"/>
              </w:rPr>
              <w:t>分）</w:t>
            </w:r>
          </w:p>
        </w:tc>
        <w:tc>
          <w:tcPr>
            <w:tcW w:w="5804" w:type="dxa"/>
            <w:noWrap w:val="0"/>
            <w:vAlign w:val="center"/>
          </w:tcPr>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由评委对各供应商提供的维保方案是否符合医院的实际需要及方案的规范性、针对性、实用性、可行性和服务定位是否明确进行横向比较后进行打分，优秀得12分，良好得7分，一般得3分，没有不得分；</w:t>
            </w:r>
          </w:p>
          <w:p>
            <w:pPr>
              <w:spacing w:line="360" w:lineRule="auto"/>
              <w:rPr>
                <w:rFonts w:ascii="宋体" w:hAnsi="宋体" w:cs="宋体"/>
                <w:color w:val="000000"/>
                <w:kern w:val="0"/>
                <w:sz w:val="21"/>
                <w:szCs w:val="21"/>
              </w:rPr>
            </w:pPr>
            <w:r>
              <w:rPr>
                <w:rFonts w:hint="eastAsia" w:ascii="宋体" w:hAnsi="宋体" w:cs="宋体"/>
                <w:color w:val="000000"/>
                <w:kern w:val="0"/>
                <w:sz w:val="21"/>
                <w:szCs w:val="21"/>
              </w:rPr>
              <w:t>由评委对各供应商提供的各项维保、维修、服务、管理内容的具体性进行横向比较后打分，优秀得</w:t>
            </w: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分，良好得5分，一般得2分，没有不得分。</w:t>
            </w:r>
          </w:p>
        </w:tc>
        <w:tc>
          <w:tcPr>
            <w:tcW w:w="1321" w:type="dxa"/>
            <w:noWrap w:val="0"/>
            <w:vAlign w:val="center"/>
          </w:tcPr>
          <w:p>
            <w:pPr>
              <w:tabs>
                <w:tab w:val="left" w:pos="10546"/>
              </w:tabs>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47" w:type="dxa"/>
            <w:noWrap w:val="0"/>
            <w:vAlign w:val="center"/>
          </w:tcPr>
          <w:p>
            <w:pPr>
              <w:tabs>
                <w:tab w:val="left" w:pos="10546"/>
              </w:tabs>
              <w:spacing w:line="360" w:lineRule="auto"/>
              <w:jc w:val="center"/>
              <w:rPr>
                <w:rFonts w:hint="eastAsia" w:ascii="宋体" w:eastAsia="宋体"/>
                <w:sz w:val="21"/>
                <w:szCs w:val="21"/>
                <w:lang w:eastAsia="zh-CN"/>
              </w:rPr>
            </w:pPr>
            <w:r>
              <w:rPr>
                <w:rFonts w:hint="eastAsia" w:ascii="宋体"/>
                <w:sz w:val="21"/>
                <w:szCs w:val="21"/>
                <w:lang w:val="en-US" w:eastAsia="zh-CN"/>
              </w:rPr>
              <w:t>5</w:t>
            </w:r>
          </w:p>
        </w:tc>
        <w:tc>
          <w:tcPr>
            <w:tcW w:w="1470" w:type="dxa"/>
            <w:noWrap w:val="0"/>
            <w:vAlign w:val="center"/>
          </w:tcPr>
          <w:p>
            <w:pPr>
              <w:spacing w:line="360" w:lineRule="auto"/>
              <w:jc w:val="center"/>
              <w:rPr>
                <w:rFonts w:ascii="宋体" w:hAnsi="宋体" w:cs="宋体"/>
                <w:b/>
                <w:sz w:val="21"/>
                <w:szCs w:val="21"/>
              </w:rPr>
            </w:pPr>
            <w:r>
              <w:rPr>
                <w:rFonts w:hint="eastAsia" w:ascii="宋体" w:hAnsi="宋体" w:cs="宋体"/>
                <w:b/>
                <w:sz w:val="21"/>
                <w:szCs w:val="21"/>
              </w:rPr>
              <w:t>服务措施与承诺</w:t>
            </w:r>
          </w:p>
          <w:p>
            <w:pPr>
              <w:spacing w:line="360" w:lineRule="auto"/>
              <w:jc w:val="center"/>
              <w:rPr>
                <w:rFonts w:ascii="宋体" w:hAnsi="宋体" w:cs="宋体"/>
                <w:b/>
                <w:sz w:val="21"/>
                <w:szCs w:val="21"/>
              </w:rPr>
            </w:pPr>
            <w:r>
              <w:rPr>
                <w:rFonts w:hint="eastAsia" w:ascii="宋体" w:hAnsi="宋体" w:cs="宋体"/>
                <w:b/>
                <w:sz w:val="21"/>
                <w:szCs w:val="21"/>
              </w:rPr>
              <w:t>（</w:t>
            </w:r>
            <w:r>
              <w:rPr>
                <w:rFonts w:hint="eastAsia" w:ascii="宋体" w:hAnsi="宋体" w:cs="宋体"/>
                <w:b/>
                <w:sz w:val="21"/>
                <w:szCs w:val="21"/>
                <w:lang w:val="en-US" w:eastAsia="zh-CN"/>
              </w:rPr>
              <w:t>16</w:t>
            </w:r>
            <w:r>
              <w:rPr>
                <w:rFonts w:hint="eastAsia" w:ascii="宋体" w:hAnsi="宋体" w:cs="宋体"/>
                <w:b/>
                <w:sz w:val="21"/>
                <w:szCs w:val="21"/>
              </w:rPr>
              <w:t>分）</w:t>
            </w:r>
          </w:p>
        </w:tc>
        <w:tc>
          <w:tcPr>
            <w:tcW w:w="5804" w:type="dxa"/>
            <w:noWrap w:val="0"/>
            <w:vAlign w:val="center"/>
          </w:tcPr>
          <w:p>
            <w:pPr>
              <w:spacing w:line="360" w:lineRule="auto"/>
              <w:rPr>
                <w:rFonts w:ascii="宋体" w:hAnsi="宋体" w:cs="宋体"/>
                <w:color w:val="000000"/>
                <w:kern w:val="0"/>
                <w:sz w:val="21"/>
                <w:szCs w:val="21"/>
              </w:rPr>
            </w:pPr>
            <w:r>
              <w:rPr>
                <w:rFonts w:hint="eastAsia" w:ascii="宋体" w:hAnsi="宋体"/>
                <w:sz w:val="21"/>
                <w:szCs w:val="21"/>
              </w:rPr>
              <w:t>由评委对各供应商提供的实现各项指标措施的完善性、服务内容的明确性、应急抢修预案的健全规范性和操作性进行横向比较后打分，优秀得</w:t>
            </w:r>
            <w:r>
              <w:rPr>
                <w:rFonts w:hint="eastAsia" w:ascii="宋体" w:hAnsi="宋体"/>
                <w:sz w:val="21"/>
                <w:szCs w:val="21"/>
                <w:lang w:val="en-US" w:eastAsia="zh-CN"/>
              </w:rPr>
              <w:t>16</w:t>
            </w:r>
            <w:r>
              <w:rPr>
                <w:rFonts w:hint="eastAsia" w:ascii="宋体" w:hAnsi="宋体"/>
                <w:sz w:val="21"/>
                <w:szCs w:val="21"/>
              </w:rPr>
              <w:t>分，良好得</w:t>
            </w:r>
            <w:r>
              <w:rPr>
                <w:rFonts w:hint="eastAsia" w:ascii="宋体" w:hAnsi="宋体"/>
                <w:sz w:val="21"/>
                <w:szCs w:val="21"/>
                <w:lang w:val="en-US" w:eastAsia="zh-CN"/>
              </w:rPr>
              <w:t>10</w:t>
            </w:r>
            <w:r>
              <w:rPr>
                <w:rFonts w:hint="eastAsia" w:ascii="宋体" w:hAnsi="宋体"/>
                <w:sz w:val="21"/>
                <w:szCs w:val="21"/>
              </w:rPr>
              <w:t>分，一般得</w:t>
            </w:r>
            <w:r>
              <w:rPr>
                <w:rFonts w:hint="eastAsia" w:ascii="宋体" w:hAnsi="宋体"/>
                <w:sz w:val="21"/>
                <w:szCs w:val="21"/>
                <w:lang w:val="en-US" w:eastAsia="zh-CN"/>
              </w:rPr>
              <w:t>5</w:t>
            </w:r>
            <w:r>
              <w:rPr>
                <w:rFonts w:hint="eastAsia" w:ascii="宋体" w:hAnsi="宋体"/>
                <w:sz w:val="21"/>
                <w:szCs w:val="21"/>
              </w:rPr>
              <w:t>分，没有不得分。</w:t>
            </w:r>
          </w:p>
        </w:tc>
        <w:tc>
          <w:tcPr>
            <w:tcW w:w="1321" w:type="dxa"/>
            <w:noWrap w:val="0"/>
            <w:vAlign w:val="center"/>
          </w:tcPr>
          <w:p>
            <w:pPr>
              <w:tabs>
                <w:tab w:val="left" w:pos="10546"/>
              </w:tabs>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47" w:type="dxa"/>
            <w:noWrap w:val="0"/>
            <w:vAlign w:val="center"/>
          </w:tcPr>
          <w:p>
            <w:pPr>
              <w:tabs>
                <w:tab w:val="left" w:pos="10546"/>
              </w:tabs>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1470" w:type="dxa"/>
            <w:noWrap w:val="0"/>
            <w:vAlign w:val="center"/>
          </w:tcPr>
          <w:p>
            <w:pPr>
              <w:spacing w:line="360" w:lineRule="auto"/>
              <w:jc w:val="center"/>
              <w:rPr>
                <w:rFonts w:ascii="宋体" w:hAnsi="宋体" w:cs="宋体"/>
                <w:b/>
                <w:sz w:val="21"/>
                <w:szCs w:val="21"/>
              </w:rPr>
            </w:pPr>
            <w:r>
              <w:rPr>
                <w:rFonts w:hint="eastAsia" w:ascii="宋体" w:hAnsi="宋体" w:cs="宋体"/>
                <w:b/>
                <w:sz w:val="21"/>
                <w:szCs w:val="21"/>
              </w:rPr>
              <w:t>业绩</w:t>
            </w:r>
          </w:p>
          <w:p>
            <w:pPr>
              <w:spacing w:line="360" w:lineRule="auto"/>
              <w:jc w:val="center"/>
              <w:rPr>
                <w:rFonts w:ascii="宋体" w:hAnsi="宋体" w:cs="宋体"/>
                <w:b/>
                <w:sz w:val="21"/>
                <w:szCs w:val="21"/>
              </w:rPr>
            </w:pPr>
            <w:r>
              <w:rPr>
                <w:rFonts w:hint="eastAsia" w:ascii="宋体" w:hAnsi="宋体" w:cs="宋体"/>
                <w:b/>
                <w:sz w:val="21"/>
                <w:szCs w:val="21"/>
              </w:rPr>
              <w:t>（</w:t>
            </w:r>
            <w:r>
              <w:rPr>
                <w:rFonts w:hint="eastAsia" w:ascii="宋体" w:hAnsi="宋体" w:cs="宋体"/>
                <w:b/>
                <w:sz w:val="21"/>
                <w:szCs w:val="21"/>
                <w:lang w:val="en-US" w:eastAsia="zh-CN"/>
              </w:rPr>
              <w:t>8</w:t>
            </w:r>
            <w:r>
              <w:rPr>
                <w:rFonts w:hint="eastAsia" w:ascii="宋体" w:hAnsi="宋体" w:cs="宋体"/>
                <w:b/>
                <w:sz w:val="21"/>
                <w:szCs w:val="21"/>
              </w:rPr>
              <w:t>分）</w:t>
            </w:r>
          </w:p>
        </w:tc>
        <w:tc>
          <w:tcPr>
            <w:tcW w:w="5804" w:type="dxa"/>
            <w:noWrap w:val="0"/>
            <w:vAlign w:val="center"/>
          </w:tcPr>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自20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年1月1日（以合同签订时间为准）以来，承担过</w:t>
            </w:r>
            <w:r>
              <w:rPr>
                <w:rFonts w:hint="eastAsia" w:ascii="宋体" w:hAnsi="宋体" w:cs="宋体"/>
                <w:color w:val="000000"/>
                <w:kern w:val="0"/>
                <w:sz w:val="21"/>
                <w:szCs w:val="21"/>
                <w:highlight w:val="none"/>
              </w:rPr>
              <w:t>类似项目维保服务的</w:t>
            </w:r>
            <w:r>
              <w:rPr>
                <w:rFonts w:hint="eastAsia" w:ascii="宋体" w:hAnsi="宋体" w:cs="宋体"/>
                <w:color w:val="000000"/>
                <w:kern w:val="0"/>
                <w:sz w:val="21"/>
                <w:szCs w:val="21"/>
              </w:rPr>
              <w:t>，有一个得2分，最多得</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分。</w:t>
            </w:r>
          </w:p>
          <w:p>
            <w:pPr>
              <w:spacing w:line="360" w:lineRule="auto"/>
              <w:rPr>
                <w:rFonts w:ascii="宋体" w:hAnsi="宋体" w:cs="宋体"/>
                <w:color w:val="000000"/>
                <w:kern w:val="0"/>
                <w:sz w:val="21"/>
                <w:szCs w:val="21"/>
              </w:rPr>
            </w:pPr>
            <w:r>
              <w:rPr>
                <w:rFonts w:hint="eastAsia" w:ascii="宋体" w:hAnsi="宋体" w:cs="宋体"/>
                <w:color w:val="000000"/>
                <w:kern w:val="0"/>
                <w:sz w:val="21"/>
                <w:szCs w:val="21"/>
              </w:rPr>
              <w:t>须提供：合同原件的复印件或扫描件，并加盖供应商公章。</w:t>
            </w:r>
          </w:p>
        </w:tc>
        <w:tc>
          <w:tcPr>
            <w:tcW w:w="1321" w:type="dxa"/>
            <w:noWrap w:val="0"/>
            <w:vAlign w:val="center"/>
          </w:tcPr>
          <w:p>
            <w:pPr>
              <w:tabs>
                <w:tab w:val="left" w:pos="10546"/>
              </w:tabs>
              <w:spacing w:line="360" w:lineRule="auto"/>
              <w:jc w:val="center"/>
              <w:rPr>
                <w:rFonts w:hint="eastAsia" w:ascii="宋体" w:hAnsi="宋体" w:eastAsia="宋体"/>
                <w:sz w:val="21"/>
                <w:szCs w:val="21"/>
                <w:lang w:val="en-US" w:eastAsia="zh-CN"/>
              </w:rPr>
            </w:pPr>
            <w:r>
              <w:rPr>
                <w:rFonts w:hint="eastAsia" w:ascii="宋体" w:hAnsi="宋体"/>
                <w:sz w:val="21"/>
                <w:szCs w:val="21"/>
                <w:lang w:val="en-US" w:eastAsia="zh-CN"/>
              </w:rPr>
              <w:t>8</w:t>
            </w:r>
          </w:p>
        </w:tc>
      </w:tr>
    </w:tbl>
    <w:p>
      <w:pPr>
        <w:snapToGrid w:val="0"/>
        <w:spacing w:line="440" w:lineRule="exact"/>
        <w:ind w:firstLine="480" w:firstLineChars="200"/>
        <w:outlineLvl w:val="1"/>
        <w:rPr>
          <w:rFonts w:ascii="宋体"/>
          <w:b/>
          <w:bCs/>
          <w:sz w:val="24"/>
          <w:szCs w:val="24"/>
        </w:rPr>
      </w:pPr>
      <w:r>
        <w:rPr>
          <w:rFonts w:hint="eastAsia" w:ascii="宋体" w:hAnsi="宋体" w:cs="宋体"/>
          <w:sz w:val="24"/>
          <w:szCs w:val="24"/>
        </w:rPr>
        <w:t>注：以上打分项设得分上限，评委依据磋商文件载明的方法评分，评分四舍五入精确到小数点后两位。</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特别提醒：技术标评分中所涉及相关资料等证明材料均须提供原件的复印件加盖公章，并将原件带至开标现场备查，未携带原件或因携带原件不全所引起的后果由投标人自行承担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w:t>
      </w:r>
      <w:r>
        <w:rPr>
          <w:rFonts w:hint="eastAsia" w:ascii="宋体" w:hAnsi="宋体" w:cs="宋体"/>
          <w:sz w:val="24"/>
          <w:szCs w:val="24"/>
          <w:lang w:val="en-US" w:eastAsia="zh-CN"/>
        </w:rPr>
        <w:t>30</w:t>
      </w:r>
      <w:r>
        <w:rPr>
          <w:rFonts w:hint="eastAsia" w:ascii="宋体" w:hAnsi="宋体" w:cs="宋体"/>
          <w:sz w:val="24"/>
          <w:szCs w:val="24"/>
        </w:rPr>
        <w:t>分）</w:t>
      </w:r>
    </w:p>
    <w:p>
      <w:pPr>
        <w:snapToGrid w:val="0"/>
        <w:spacing w:line="360" w:lineRule="auto"/>
        <w:ind w:firstLine="482" w:firstLineChars="200"/>
        <w:textAlignment w:val="baseline"/>
        <w:rPr>
          <w:rFonts w:ascii="宋体" w:hAnsi="宋体" w:cs="宋体"/>
          <w:b/>
          <w:color w:val="auto"/>
          <w:sz w:val="24"/>
          <w:szCs w:val="24"/>
        </w:rPr>
      </w:pPr>
      <w:r>
        <w:rPr>
          <w:rFonts w:hint="eastAsia" w:ascii="宋体" w:hAnsi="宋体" w:cs="宋体"/>
          <w:b/>
          <w:sz w:val="24"/>
          <w:szCs w:val="24"/>
        </w:rPr>
        <w:t>1、本次项目最高限价为</w:t>
      </w:r>
      <w:r>
        <w:rPr>
          <w:rFonts w:hint="eastAsia" w:ascii="宋体" w:hAnsi="宋体" w:cs="宋体"/>
          <w:b/>
          <w:sz w:val="24"/>
          <w:szCs w:val="24"/>
          <w:highlight w:val="none"/>
        </w:rPr>
        <w:t>人</w:t>
      </w:r>
      <w:r>
        <w:rPr>
          <w:rFonts w:hint="eastAsia" w:ascii="宋体" w:hAnsi="宋体" w:cs="宋体"/>
          <w:b/>
          <w:color w:val="auto"/>
          <w:sz w:val="24"/>
          <w:szCs w:val="24"/>
          <w:highlight w:val="none"/>
        </w:rPr>
        <w:t>民币</w:t>
      </w:r>
      <w:r>
        <w:rPr>
          <w:rFonts w:hint="eastAsia" w:ascii="宋体" w:hAnsi="宋体" w:cs="宋体"/>
          <w:b/>
          <w:color w:val="auto"/>
          <w:sz w:val="24"/>
          <w:szCs w:val="24"/>
          <w:highlight w:val="none"/>
          <w:lang w:val="en-US" w:eastAsia="zh-CN"/>
        </w:rPr>
        <w:t>150000.00</w:t>
      </w:r>
      <w:r>
        <w:rPr>
          <w:rFonts w:hint="eastAsia" w:ascii="宋体" w:hAnsi="宋体" w:cs="宋体"/>
          <w:b/>
          <w:color w:val="auto"/>
          <w:sz w:val="24"/>
          <w:szCs w:val="24"/>
          <w:highlight w:val="none"/>
        </w:rPr>
        <w:t>元/年</w:t>
      </w:r>
      <w:r>
        <w:rPr>
          <w:rFonts w:hint="eastAsia" w:ascii="宋体" w:hAnsi="宋体" w:cs="宋体"/>
          <w:b/>
          <w:color w:val="auto"/>
          <w:sz w:val="24"/>
          <w:szCs w:val="24"/>
        </w:rPr>
        <w:t>，报价不得超过限价，否则做无效投标处理。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w:t>
      </w:r>
      <w:r>
        <w:rPr>
          <w:rFonts w:hint="eastAsia" w:ascii="宋体" w:hAnsi="宋体" w:cs="宋体"/>
          <w:b/>
          <w:sz w:val="24"/>
          <w:szCs w:val="24"/>
          <w:lang w:val="en-US" w:eastAsia="zh-CN"/>
        </w:rPr>
        <w:t>30</w:t>
      </w:r>
      <w:r>
        <w:rPr>
          <w:rFonts w:hint="eastAsia" w:ascii="宋体" w:hAnsi="宋体" w:cs="宋体"/>
          <w:b/>
          <w:sz w:val="24"/>
          <w:szCs w:val="24"/>
        </w:rPr>
        <w:t>%×100</w:t>
      </w:r>
    </w:p>
    <w:bookmarkEnd w:id="50"/>
    <w:bookmarkEnd w:id="51"/>
    <w:bookmarkEnd w:id="52"/>
    <w:bookmarkEnd w:id="53"/>
    <w:bookmarkEnd w:id="54"/>
    <w:bookmarkEnd w:id="55"/>
    <w:bookmarkEnd w:id="56"/>
    <w:bookmarkEnd w:id="57"/>
    <w:p>
      <w:pPr>
        <w:snapToGrid w:val="0"/>
        <w:spacing w:line="360" w:lineRule="auto"/>
        <w:ind w:firstLine="487" w:firstLineChars="202"/>
        <w:rPr>
          <w:rFonts w:hint="eastAsia" w:ascii="宋体" w:hAnsi="宋体" w:cs="宋体"/>
          <w:b/>
          <w:bCs/>
          <w:color w:val="auto"/>
          <w:sz w:val="24"/>
          <w:szCs w:val="24"/>
        </w:rPr>
      </w:pPr>
      <w:bookmarkStart w:id="59" w:name="_Hlk67169510"/>
      <w:bookmarkStart w:id="60" w:name="_Toc94585343"/>
      <w:bookmarkStart w:id="61" w:name="_Toc363573858"/>
      <w:r>
        <w:rPr>
          <w:rFonts w:hint="eastAsia" w:ascii="宋体" w:hAnsi="宋体" w:cs="宋体"/>
          <w:b/>
          <w:bCs/>
          <w:color w:val="auto"/>
          <w:sz w:val="24"/>
          <w:szCs w:val="24"/>
        </w:rPr>
        <w:t>4、关于落实政府采购政策的中小微企业价格评审</w:t>
      </w:r>
      <w:bookmarkEnd w:id="59"/>
    </w:p>
    <w:p>
      <w:pPr>
        <w:snapToGrid w:val="0"/>
        <w:spacing w:line="360" w:lineRule="auto"/>
        <w:ind w:firstLine="484" w:firstLineChars="202"/>
        <w:rPr>
          <w:rFonts w:hint="eastAsia" w:ascii="宋体" w:hAnsi="宋体" w:cs="宋体"/>
          <w:color w:val="auto"/>
          <w:sz w:val="24"/>
          <w:szCs w:val="24"/>
        </w:rPr>
      </w:pPr>
      <w:bookmarkStart w:id="62" w:name="_Hlk67609383"/>
      <w:r>
        <w:rPr>
          <w:rFonts w:hint="eastAsia" w:ascii="宋体" w:hAnsi="宋体" w:cs="宋体"/>
          <w:color w:val="auto"/>
          <w:sz w:val="24"/>
          <w:szCs w:val="24"/>
        </w:rPr>
        <w:t>（1）根据《政府采购促进中小企业发展管理办法》（财库﹝2020﹞46 号）的第四条，</w:t>
      </w:r>
      <w:r>
        <w:rPr>
          <w:rFonts w:hint="eastAsia" w:ascii="宋体" w:hAnsi="宋体" w:cs="宋体"/>
          <w:b/>
          <w:bCs/>
          <w:color w:val="auto"/>
          <w:sz w:val="24"/>
          <w:szCs w:val="24"/>
        </w:rPr>
        <w:t>本次采购的项目，其响应供应商提供的</w:t>
      </w:r>
      <w:r>
        <w:rPr>
          <w:rFonts w:hint="eastAsia" w:ascii="宋体" w:hAnsi="宋体" w:cs="宋体"/>
          <w:b/>
          <w:bCs/>
          <w:color w:val="auto"/>
          <w:sz w:val="24"/>
          <w:szCs w:val="24"/>
          <w:u w:val="thick" w:color="FF0000"/>
        </w:rPr>
        <w:t xml:space="preserve"> 服务 </w:t>
      </w:r>
      <w:r>
        <w:rPr>
          <w:rFonts w:hint="eastAsia" w:ascii="宋体" w:hAnsi="宋体" w:cs="宋体"/>
          <w:b/>
          <w:bCs/>
          <w:color w:val="auto"/>
          <w:sz w:val="24"/>
          <w:szCs w:val="24"/>
        </w:rPr>
        <w:t>符合：工信部联企业〔2011〕300号《关于印发中小企业划型标准规定的通知》中的</w:t>
      </w:r>
      <w:bookmarkStart w:id="63" w:name="_Hlk62787617"/>
      <w:r>
        <w:rPr>
          <w:rFonts w:hint="eastAsia" w:ascii="宋体" w:hAnsi="宋体" w:cs="宋体"/>
          <w:b/>
          <w:bCs/>
          <w:color w:val="auto"/>
          <w:sz w:val="24"/>
          <w:szCs w:val="24"/>
        </w:rPr>
        <w:t>中小企业</w:t>
      </w:r>
      <w:bookmarkStart w:id="64" w:name="_Hlk67153790"/>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w:t>
      </w:r>
      <w:bookmarkEnd w:id="64"/>
      <w:r>
        <w:rPr>
          <w:rFonts w:hint="eastAsia" w:ascii="宋体" w:hAnsi="宋体" w:cs="宋体"/>
          <w:b/>
          <w:bCs/>
          <w:color w:val="auto"/>
          <w:sz w:val="24"/>
          <w:szCs w:val="24"/>
        </w:rPr>
        <w:t>的划型标准规定</w:t>
      </w:r>
      <w:bookmarkEnd w:id="63"/>
      <w:r>
        <w:rPr>
          <w:rFonts w:hint="eastAsia" w:ascii="宋体" w:hAnsi="宋体" w:cs="宋体"/>
          <w:b/>
          <w:bCs/>
          <w:color w:val="auto"/>
          <w:sz w:val="24"/>
          <w:szCs w:val="24"/>
        </w:rPr>
        <w:t>的，将享受中小企业扶持政策。</w:t>
      </w:r>
    </w:p>
    <w:p>
      <w:pPr>
        <w:snapToGrid w:val="0"/>
        <w:spacing w:line="360" w:lineRule="auto"/>
        <w:ind w:firstLine="487" w:firstLineChars="202"/>
        <w:rPr>
          <w:rFonts w:hint="eastAsia"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”类中小企业划型标准</w:t>
      </w:r>
      <w:r>
        <w:rPr>
          <w:rFonts w:hint="eastAsia" w:ascii="宋体" w:hAnsi="宋体" w:cs="宋体"/>
          <w:color w:val="auto"/>
          <w:sz w:val="24"/>
          <w:szCs w:val="24"/>
        </w:rPr>
        <w:t>：</w:t>
      </w:r>
      <w:r>
        <w:rPr>
          <w:rFonts w:hint="eastAsia" w:ascii="宋体" w:hAnsi="宋体" w:cs="宋体"/>
          <w:color w:val="auto"/>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hint="eastAsia" w:ascii="宋体" w:hAnsi="宋体" w:cs="宋体"/>
          <w:color w:val="auto"/>
          <w:sz w:val="24"/>
          <w:szCs w:val="24"/>
        </w:rPr>
      </w:pPr>
      <w:r>
        <w:rPr>
          <w:rFonts w:hint="eastAsia" w:ascii="宋体" w:hAnsi="宋体" w:cs="宋体"/>
          <w:color w:val="auto"/>
          <w:sz w:val="24"/>
          <w:szCs w:val="24"/>
        </w:rPr>
        <w:t>（2）</w:t>
      </w:r>
      <w:bookmarkStart w:id="65" w:name="_Hlk67155978"/>
      <w:r>
        <w:rPr>
          <w:rFonts w:hint="eastAsia" w:ascii="宋体" w:hAnsi="宋体" w:cs="宋体"/>
          <w:color w:val="auto"/>
          <w:sz w:val="24"/>
          <w:szCs w:val="24"/>
        </w:rPr>
        <w:t>根据</w:t>
      </w:r>
      <w:bookmarkStart w:id="66" w:name="_Hlk67155505"/>
      <w:r>
        <w:rPr>
          <w:rFonts w:hint="eastAsia" w:ascii="宋体" w:hAnsi="宋体" w:cs="宋体"/>
          <w:color w:val="auto"/>
          <w:sz w:val="24"/>
          <w:szCs w:val="24"/>
        </w:rPr>
        <w:t>《政府采购促进中小企业发展管理办法》（财库﹝2020﹞46 号）</w:t>
      </w:r>
      <w:bookmarkEnd w:id="66"/>
      <w:r>
        <w:rPr>
          <w:rFonts w:hint="eastAsia" w:ascii="宋体" w:hAnsi="宋体" w:cs="宋体"/>
          <w:color w:val="auto"/>
          <w:sz w:val="24"/>
          <w:szCs w:val="24"/>
        </w:rPr>
        <w:t>的第九条规定</w:t>
      </w:r>
      <w:bookmarkEnd w:id="65"/>
      <w:r>
        <w:rPr>
          <w:rFonts w:hint="eastAsia" w:ascii="宋体" w:hAnsi="宋体" w:cs="宋体"/>
          <w:color w:val="auto"/>
          <w:sz w:val="24"/>
          <w:szCs w:val="24"/>
        </w:rPr>
        <w:t>，</w:t>
      </w:r>
      <w:bookmarkStart w:id="67" w:name="_Hlk67154819"/>
      <w:r>
        <w:rPr>
          <w:rFonts w:hint="eastAsia" w:ascii="宋体" w:hAnsi="宋体" w:cs="宋体"/>
          <w:b/>
          <w:bCs/>
          <w:color w:val="auto"/>
          <w:sz w:val="24"/>
          <w:szCs w:val="24"/>
          <w:u w:val="thick" w:color="FF0000"/>
        </w:rPr>
        <w:t>磋商供应商响应的服务是由</w:t>
      </w:r>
      <w:bookmarkStart w:id="68" w:name="_Hlk62900373"/>
      <w:r>
        <w:rPr>
          <w:rFonts w:hint="eastAsia" w:ascii="宋体" w:hAnsi="宋体" w:cs="宋体"/>
          <w:b/>
          <w:bCs/>
          <w:color w:val="auto"/>
          <w:sz w:val="24"/>
          <w:szCs w:val="24"/>
          <w:u w:val="thick" w:color="FF0000"/>
        </w:rPr>
        <w:t>小型、微型企业</w:t>
      </w:r>
      <w:bookmarkEnd w:id="67"/>
      <w:bookmarkEnd w:id="68"/>
      <w:r>
        <w:rPr>
          <w:rFonts w:hint="eastAsia" w:ascii="宋体" w:hAnsi="宋体" w:cs="宋体"/>
          <w:b/>
          <w:bCs/>
          <w:color w:val="auto"/>
          <w:sz w:val="24"/>
          <w:szCs w:val="24"/>
          <w:u w:val="thick" w:color="FF0000"/>
        </w:rPr>
        <w:t>提供</w:t>
      </w:r>
      <w:r>
        <w:rPr>
          <w:rFonts w:hint="eastAsia" w:ascii="宋体" w:hAnsi="宋体" w:cs="宋体"/>
          <w:color w:val="auto"/>
          <w:sz w:val="24"/>
          <w:szCs w:val="24"/>
        </w:rPr>
        <w:t>，该磋商供应商的报价将给予评审价格调整，具体方法如下：</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hint="eastAsia" w:ascii="宋体" w:hAnsi="宋体" w:cs="宋体"/>
          <w:color w:val="auto"/>
          <w:sz w:val="24"/>
          <w:szCs w:val="24"/>
        </w:rPr>
      </w:pPr>
      <w:bookmarkStart w:id="69" w:name="_Hlk67486828"/>
      <w:r>
        <w:rPr>
          <w:rFonts w:hint="eastAsia" w:ascii="宋体" w:hAnsi="宋体" w:cs="宋体"/>
          <w:color w:val="auto"/>
          <w:sz w:val="24"/>
          <w:szCs w:val="24"/>
        </w:rPr>
        <w:t xml:space="preserve">② </w:t>
      </w:r>
      <w:bookmarkStart w:id="70" w:name="_Hlk62901453"/>
      <w:bookmarkStart w:id="71" w:name="_Hlk62788551"/>
      <w:r>
        <w:rPr>
          <w:rFonts w:hint="eastAsia" w:ascii="宋体" w:hAnsi="宋体" w:cs="宋体"/>
          <w:color w:val="auto"/>
          <w:sz w:val="24"/>
          <w:szCs w:val="24"/>
        </w:rPr>
        <w:t>参加本次政府采购活动，符合要求的磋商供应商须严格按《政府采购促进中小企业发展管理办法》（财库﹝2020﹞46 号）的文件要求，出具填报“</w:t>
      </w:r>
      <w:bookmarkStart w:id="72" w:name="_Hlk67171734"/>
      <w:r>
        <w:rPr>
          <w:rFonts w:hint="eastAsia" w:ascii="宋体" w:hAnsi="宋体" w:cs="宋体"/>
          <w:color w:val="auto"/>
          <w:sz w:val="24"/>
          <w:szCs w:val="24"/>
        </w:rPr>
        <w:t>中小企业声明函</w:t>
      </w:r>
      <w:bookmarkEnd w:id="72"/>
      <w:r>
        <w:rPr>
          <w:rFonts w:hint="eastAsia" w:ascii="宋体" w:hAnsi="宋体" w:cs="宋体"/>
          <w:color w:val="auto"/>
          <w:sz w:val="24"/>
          <w:szCs w:val="24"/>
        </w:rPr>
        <w:t>”</w:t>
      </w:r>
      <w:r>
        <w:rPr>
          <w:rFonts w:hint="eastAsia" w:ascii="宋体" w:hAnsi="宋体" w:cs="宋体"/>
          <w:b/>
          <w:bCs/>
          <w:color w:val="auto"/>
          <w:sz w:val="24"/>
          <w:szCs w:val="24"/>
        </w:rPr>
        <w:t>（格式见第八章）</w:t>
      </w:r>
      <w:r>
        <w:rPr>
          <w:rFonts w:hint="eastAsia" w:ascii="宋体" w:hAnsi="宋体" w:cs="宋体"/>
          <w:color w:val="auto"/>
          <w:sz w:val="24"/>
          <w:szCs w:val="24"/>
        </w:rPr>
        <w:t>；</w:t>
      </w:r>
      <w:bookmarkEnd w:id="70"/>
    </w:p>
    <w:bookmarkEnd w:id="71"/>
    <w:p>
      <w:pPr>
        <w:snapToGrid w:val="0"/>
        <w:spacing w:line="360" w:lineRule="auto"/>
        <w:ind w:firstLine="560"/>
        <w:rPr>
          <w:rFonts w:hint="eastAsia" w:ascii="宋体" w:hAnsi="宋体" w:cs="宋体"/>
          <w:color w:val="auto"/>
          <w:sz w:val="24"/>
          <w:szCs w:val="24"/>
        </w:rPr>
      </w:pPr>
      <w:r>
        <w:rPr>
          <w:rFonts w:hint="eastAsia" w:ascii="宋体" w:hAnsi="宋体" w:cs="宋体"/>
          <w:color w:val="auto"/>
          <w:sz w:val="24"/>
          <w:szCs w:val="24"/>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④ 若磋商供应商</w:t>
      </w:r>
      <w:bookmarkStart w:id="73" w:name="_Hlk67172184"/>
      <w:r>
        <w:rPr>
          <w:rFonts w:hint="eastAsia" w:ascii="宋体" w:hAnsi="宋体" w:cs="宋体"/>
          <w:color w:val="auto"/>
          <w:sz w:val="24"/>
          <w:szCs w:val="24"/>
        </w:rPr>
        <w:t>提供的 “中小企业声明函”内容不实</w:t>
      </w:r>
      <w:bookmarkEnd w:id="73"/>
      <w:r>
        <w:rPr>
          <w:rFonts w:hint="eastAsia" w:ascii="宋体" w:hAnsi="宋体" w:cs="宋体"/>
          <w:color w:val="auto"/>
          <w:sz w:val="24"/>
          <w:szCs w:val="24"/>
        </w:rPr>
        <w:t>的，属于提供虚假材料谋取成交；磋商供应商的该行为将报请政府采购监管的财政部门参照《中华人民共和国政府采购法》第七十七条的规定处理并给予行政处罚。</w:t>
      </w:r>
    </w:p>
    <w:bookmarkEnd w:id="69"/>
    <w:p>
      <w:pPr>
        <w:snapToGrid w:val="0"/>
        <w:spacing w:line="360" w:lineRule="auto"/>
        <w:ind w:firstLine="480" w:firstLineChars="200"/>
        <w:rPr>
          <w:rFonts w:ascii="宋体"/>
          <w:color w:val="auto"/>
          <w:sz w:val="24"/>
          <w:szCs w:val="24"/>
        </w:rPr>
      </w:pPr>
      <w:r>
        <w:rPr>
          <w:rFonts w:hint="eastAsia" w:ascii="宋体" w:hAnsi="宋体" w:cs="宋体"/>
          <w:color w:val="auto"/>
          <w:sz w:val="24"/>
          <w:szCs w:val="24"/>
        </w:rPr>
        <w:t>（3）</w:t>
      </w:r>
      <w:bookmarkStart w:id="74" w:name="_Hlk67486961"/>
      <w:r>
        <w:rPr>
          <w:rFonts w:hint="eastAsia" w:ascii="宋体" w:hAnsi="宋体" w:cs="宋体"/>
          <w:b/>
          <w:bCs/>
          <w:color w:val="auto"/>
          <w:sz w:val="24"/>
          <w:szCs w:val="24"/>
          <w:u w:val="thick" w:color="FF0000"/>
        </w:rPr>
        <w:t>不符合上述要求的磋商供应商，无须提供“中小企业声明函”</w:t>
      </w:r>
      <w:r>
        <w:rPr>
          <w:rFonts w:hint="eastAsia" w:ascii="宋体" w:hAnsi="宋体" w:cs="宋体"/>
          <w:color w:val="auto"/>
          <w:sz w:val="24"/>
          <w:szCs w:val="24"/>
        </w:rPr>
        <w:t>。</w:t>
      </w:r>
      <w:bookmarkEnd w:id="62"/>
      <w:bookmarkEnd w:id="74"/>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hint="eastAsia" w:cs="宋体"/>
          <w:kern w:val="0"/>
          <w:sz w:val="24"/>
          <w:szCs w:val="24"/>
        </w:rPr>
      </w:pPr>
      <w:r>
        <w:rPr>
          <w:rFonts w:hint="eastAsia" w:cs="宋体"/>
          <w:kern w:val="0"/>
          <w:sz w:val="24"/>
          <w:szCs w:val="24"/>
        </w:rPr>
        <w:t>成交结果在</w:t>
      </w:r>
      <w:r>
        <w:rPr>
          <w:rFonts w:hint="eastAsia" w:ascii="宋体" w:hAnsi="宋体" w:cs="宋体"/>
          <w:sz w:val="24"/>
          <w:szCs w:val="24"/>
        </w:rPr>
        <w:t>南通市卫生健康委员会官网（http://wjw.nantong.gov.cn）和南通市妇幼保健院官网（http://www.ntfybj.com）公示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snapToGrid w:val="0"/>
        <w:spacing w:line="480" w:lineRule="exact"/>
        <w:ind w:firstLine="477" w:firstLineChars="198"/>
        <w:rPr>
          <w:rFonts w:hint="eastAsia" w:ascii="宋体" w:hAnsi="宋体"/>
          <w:b/>
          <w:sz w:val="24"/>
        </w:rPr>
      </w:pPr>
      <w:r>
        <w:rPr>
          <w:rFonts w:hint="eastAsia" w:ascii="宋体" w:hAnsi="宋体"/>
          <w:b/>
          <w:sz w:val="24"/>
          <w:lang w:val="en-US" w:eastAsia="zh-CN"/>
        </w:rPr>
        <w:t>九</w:t>
      </w:r>
      <w:r>
        <w:rPr>
          <w:rFonts w:hint="eastAsia" w:ascii="宋体" w:hAnsi="宋体"/>
          <w:b/>
          <w:sz w:val="24"/>
        </w:rPr>
        <w:t>、其他注意事项</w:t>
      </w:r>
    </w:p>
    <w:p>
      <w:pPr>
        <w:snapToGrid w:val="0"/>
        <w:spacing w:line="480" w:lineRule="exact"/>
        <w:ind w:firstLine="570"/>
        <w:rPr>
          <w:sz w:val="24"/>
        </w:rPr>
      </w:pPr>
      <w:r>
        <w:rPr>
          <w:sz w:val="24"/>
        </w:rPr>
        <w:t>1、在</w:t>
      </w:r>
      <w:r>
        <w:rPr>
          <w:rFonts w:hint="eastAsia"/>
          <w:sz w:val="24"/>
          <w:lang w:val="en-US" w:eastAsia="zh-CN"/>
        </w:rPr>
        <w:t>磋商响应</w:t>
      </w:r>
      <w:r>
        <w:rPr>
          <w:rFonts w:hint="eastAsia" w:ascii="宋体" w:hAnsi="宋体" w:eastAsia="宋体" w:cs="宋体"/>
          <w:sz w:val="24"/>
          <w:lang w:val="en-US" w:eastAsia="zh-CN"/>
        </w:rPr>
        <w:t>﹑</w:t>
      </w:r>
      <w:r>
        <w:rPr>
          <w:sz w:val="24"/>
        </w:rPr>
        <w:t>开标时间，</w:t>
      </w:r>
      <w:r>
        <w:rPr>
          <w:rFonts w:hint="eastAsia"/>
          <w:sz w:val="24"/>
          <w:lang w:val="en-US" w:eastAsia="zh-CN"/>
        </w:rPr>
        <w:t>供应商</w:t>
      </w:r>
      <w:r>
        <w:rPr>
          <w:sz w:val="24"/>
        </w:rPr>
        <w:t>不得向评委询问情况，不得进行旨在影响评标结果的活动。</w:t>
      </w:r>
    </w:p>
    <w:p>
      <w:pPr>
        <w:snapToGrid w:val="0"/>
        <w:spacing w:line="480" w:lineRule="exact"/>
        <w:ind w:firstLine="570"/>
        <w:rPr>
          <w:sz w:val="24"/>
        </w:rPr>
      </w:pPr>
      <w:r>
        <w:rPr>
          <w:sz w:val="24"/>
        </w:rPr>
        <w:t>2、评委会不得向</w:t>
      </w:r>
      <w:r>
        <w:rPr>
          <w:rFonts w:hint="eastAsia"/>
          <w:sz w:val="24"/>
          <w:lang w:val="en-US" w:eastAsia="zh-CN"/>
        </w:rPr>
        <w:t>供应商</w:t>
      </w:r>
      <w:r>
        <w:rPr>
          <w:sz w:val="24"/>
        </w:rPr>
        <w:t>解释落标原因。</w:t>
      </w:r>
    </w:p>
    <w:p>
      <w:pPr>
        <w:snapToGrid w:val="0"/>
        <w:spacing w:line="480" w:lineRule="exact"/>
        <w:ind w:firstLine="570"/>
        <w:rPr>
          <w:sz w:val="24"/>
        </w:rPr>
      </w:pPr>
      <w:r>
        <w:rPr>
          <w:sz w:val="24"/>
        </w:rPr>
        <w:t>3、在</w:t>
      </w:r>
      <w:r>
        <w:rPr>
          <w:rFonts w:hint="eastAsia"/>
          <w:sz w:val="24"/>
          <w:lang w:val="en-US" w:eastAsia="zh-CN"/>
        </w:rPr>
        <w:t>磋商响应</w:t>
      </w:r>
      <w:r>
        <w:rPr>
          <w:rFonts w:hint="eastAsia" w:ascii="宋体" w:hAnsi="宋体" w:eastAsia="宋体" w:cs="宋体"/>
          <w:sz w:val="24"/>
          <w:lang w:val="en-US" w:eastAsia="zh-CN"/>
        </w:rPr>
        <w:t>﹑</w:t>
      </w:r>
      <w:r>
        <w:rPr>
          <w:sz w:val="24"/>
        </w:rPr>
        <w:t>评标过程中，如果</w:t>
      </w:r>
      <w:r>
        <w:rPr>
          <w:rFonts w:hint="eastAsia"/>
          <w:sz w:val="24"/>
          <w:lang w:val="en-US" w:eastAsia="zh-CN"/>
        </w:rPr>
        <w:t>供应商</w:t>
      </w:r>
      <w:r>
        <w:rPr>
          <w:sz w:val="24"/>
        </w:rPr>
        <w:t>联合故意抬高报价或出现其他不正当行为，采购人有权中止</w:t>
      </w:r>
      <w:r>
        <w:rPr>
          <w:rFonts w:hint="eastAsia"/>
          <w:sz w:val="24"/>
          <w:lang w:val="en-US" w:eastAsia="zh-CN"/>
        </w:rPr>
        <w:t>磋商响应</w:t>
      </w:r>
      <w:r>
        <w:rPr>
          <w:sz w:val="24"/>
        </w:rPr>
        <w:t>或评标。</w:t>
      </w:r>
    </w:p>
    <w:p>
      <w:pPr>
        <w:snapToGrid w:val="0"/>
        <w:spacing w:line="480" w:lineRule="exact"/>
        <w:ind w:firstLine="570"/>
        <w:rPr>
          <w:sz w:val="24"/>
        </w:rPr>
      </w:pPr>
      <w:r>
        <w:rPr>
          <w:sz w:val="24"/>
        </w:rPr>
        <w:t>4、凡在投</w:t>
      </w:r>
      <w:r>
        <w:rPr>
          <w:rFonts w:hint="eastAsia"/>
          <w:sz w:val="24"/>
          <w:lang w:val="en-US" w:eastAsia="zh-CN"/>
        </w:rPr>
        <w:t>磋商响应</w:t>
      </w:r>
      <w:r>
        <w:rPr>
          <w:sz w:val="24"/>
        </w:rPr>
        <w:t>、开标过程中，已提示是否异议的事项，</w:t>
      </w:r>
      <w:r>
        <w:rPr>
          <w:rFonts w:hint="eastAsia"/>
          <w:sz w:val="24"/>
          <w:lang w:val="en-US" w:eastAsia="zh-CN"/>
        </w:rPr>
        <w:t>供应商</w:t>
      </w:r>
      <w:r>
        <w:rPr>
          <w:sz w:val="24"/>
        </w:rPr>
        <w:t>当时没有提出异议的，事后不得针对上述事项提出质疑。</w:t>
      </w:r>
    </w:p>
    <w:p>
      <w:pPr>
        <w:snapToGrid w:val="0"/>
        <w:spacing w:line="480" w:lineRule="exact"/>
        <w:ind w:firstLine="482" w:firstLineChars="200"/>
        <w:rPr>
          <w:b/>
          <w:sz w:val="24"/>
        </w:rPr>
      </w:pPr>
      <w:r>
        <w:rPr>
          <w:rFonts w:hint="eastAsia"/>
          <w:b/>
          <w:sz w:val="24"/>
          <w:lang w:val="en-US" w:eastAsia="zh-CN"/>
        </w:rPr>
        <w:t>十</w:t>
      </w:r>
      <w:r>
        <w:rPr>
          <w:b/>
          <w:sz w:val="24"/>
        </w:rPr>
        <w:t>、变更为其他方式采购的情形</w:t>
      </w:r>
    </w:p>
    <w:p>
      <w:pPr>
        <w:autoSpaceDE w:val="0"/>
        <w:autoSpaceDN w:val="0"/>
        <w:adjustRightInd w:val="0"/>
        <w:snapToGrid w:val="0"/>
        <w:spacing w:line="480" w:lineRule="exact"/>
        <w:ind w:firstLine="480" w:firstLineChars="200"/>
        <w:rPr>
          <w:sz w:val="24"/>
          <w:lang w:val="zh-CN"/>
        </w:rPr>
      </w:pPr>
      <w:r>
        <w:rPr>
          <w:sz w:val="24"/>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sz w:val="24"/>
          <w:lang w:val="zh-CN"/>
        </w:rPr>
        <w:t>磋商文件中对供应商资质、技术等要求，将作为</w:t>
      </w:r>
      <w:r>
        <w:rPr>
          <w:sz w:val="24"/>
        </w:rPr>
        <w:t>其他</w:t>
      </w:r>
      <w:r>
        <w:rPr>
          <w:sz w:val="24"/>
          <w:lang w:val="zh-CN"/>
        </w:rPr>
        <w:t>方式采购的基本要求和依据。原已经参加磋商并符合要求的供应商，根据自愿原则，参加</w:t>
      </w:r>
      <w:r>
        <w:rPr>
          <w:sz w:val="24"/>
        </w:rPr>
        <w:t>其他</w:t>
      </w:r>
      <w:r>
        <w:rPr>
          <w:sz w:val="24"/>
          <w:lang w:val="zh-CN"/>
        </w:rPr>
        <w:t>方式采购。</w:t>
      </w:r>
    </w:p>
    <w:p>
      <w:pPr>
        <w:pStyle w:val="116"/>
        <w:snapToGrid w:val="0"/>
        <w:spacing w:line="480" w:lineRule="exact"/>
        <w:ind w:firstLine="496"/>
        <w:contextualSpacing/>
        <w:rPr>
          <w:rFonts w:ascii="Times New Roman" w:hAnsi="Times New Roman" w:eastAsia="宋体"/>
          <w:sz w:val="24"/>
          <w:szCs w:val="24"/>
        </w:rPr>
      </w:pPr>
      <w:r>
        <w:rPr>
          <w:rFonts w:hint="eastAsia" w:ascii="Times New Roman" w:hAnsi="Times New Roman" w:eastAsia="宋体"/>
          <w:b/>
          <w:sz w:val="24"/>
          <w:szCs w:val="24"/>
          <w:lang w:val="en-US" w:eastAsia="zh-CN"/>
        </w:rPr>
        <w:t>十一</w:t>
      </w:r>
      <w:r>
        <w:rPr>
          <w:rFonts w:ascii="Times New Roman" w:hAnsi="Times New Roman" w:eastAsia="宋体"/>
          <w:b/>
          <w:sz w:val="24"/>
          <w:szCs w:val="24"/>
        </w:rPr>
        <w:t>、出现下列情形之一的，竞争性磋商采购活动终止，发布项目终止公告并说明原因，重新开展采购活动：</w:t>
      </w:r>
    </w:p>
    <w:p>
      <w:pPr>
        <w:pStyle w:val="11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pPr>
        <w:pStyle w:val="11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116"/>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（三）在采购过程中符合要求的供应商或者报价未超过采购预算的供应商不足3家的（市场竞争不充分的科研项目，以及需要扶持的科技成果转化项目除外）。</w:t>
      </w:r>
    </w:p>
    <w:p>
      <w:pPr>
        <w:pStyle w:val="2"/>
      </w:pPr>
    </w:p>
    <w:p>
      <w:pPr>
        <w:pStyle w:val="6"/>
        <w:keepNext w:val="0"/>
        <w:keepLines w:val="0"/>
        <w:numPr>
          <w:ilvl w:val="0"/>
          <w:numId w:val="0"/>
        </w:numPr>
        <w:snapToGrid w:val="0"/>
        <w:spacing w:before="0" w:after="0" w:line="360" w:lineRule="auto"/>
        <w:jc w:val="center"/>
        <w:rPr>
          <w:rFonts w:ascii="宋体" w:hAnsi="宋体"/>
          <w:sz w:val="24"/>
          <w:szCs w:val="24"/>
        </w:rPr>
      </w:pPr>
      <w:r>
        <w:rPr>
          <w:rFonts w:ascii="宋体"/>
          <w:w w:val="80"/>
        </w:rPr>
        <w:br w:type="page"/>
      </w:r>
      <w:bookmarkEnd w:id="60"/>
      <w:bookmarkEnd w:id="61"/>
      <w:r>
        <w:rPr>
          <w:rFonts w:hint="eastAsia" w:ascii="宋体" w:hAnsi="宋体" w:cs="宋体"/>
          <w:w w:val="80"/>
        </w:rPr>
        <w:t>第五章  合同主要条款</w:t>
      </w:r>
      <w:bookmarkStart w:id="75" w:name="_Toc20744795"/>
      <w:bookmarkStart w:id="76" w:name="_Toc20744258"/>
      <w:bookmarkStart w:id="77" w:name="_Toc39047827"/>
    </w:p>
    <w:bookmarkEnd w:id="75"/>
    <w:bookmarkEnd w:id="76"/>
    <w:bookmarkEnd w:id="77"/>
    <w:p>
      <w:pPr>
        <w:adjustRightInd w:val="0"/>
        <w:snapToGrid w:val="0"/>
        <w:spacing w:line="360" w:lineRule="auto"/>
        <w:jc w:val="center"/>
        <w:rPr>
          <w:rFonts w:ascii="宋体"/>
          <w:b/>
          <w:bCs/>
          <w:w w:val="80"/>
          <w:kern w:val="44"/>
          <w:sz w:val="36"/>
          <w:szCs w:val="36"/>
        </w:rPr>
      </w:pPr>
      <w:r>
        <w:rPr>
          <w:rFonts w:hint="eastAsia" w:ascii="宋体" w:hAnsi="宋体" w:cs="宋体"/>
          <w:b/>
          <w:bCs/>
          <w:w w:val="80"/>
          <w:kern w:val="44"/>
          <w:sz w:val="36"/>
          <w:szCs w:val="36"/>
        </w:rPr>
        <w:t>政府采购项目</w:t>
      </w:r>
    </w:p>
    <w:p>
      <w:pPr>
        <w:spacing w:line="400" w:lineRule="exact"/>
        <w:jc w:val="center"/>
        <w:rPr>
          <w:rFonts w:ascii="宋体"/>
          <w:b/>
          <w:bCs/>
          <w:sz w:val="36"/>
          <w:szCs w:val="36"/>
        </w:rPr>
      </w:pPr>
      <w:bookmarkStart w:id="78" w:name="_Toc434462225"/>
      <w:bookmarkStart w:id="79" w:name="_Toc451315989"/>
      <w:bookmarkStart w:id="80" w:name="_Toc434897340"/>
      <w:bookmarkStart w:id="81" w:name="_Toc451315906"/>
      <w:bookmarkStart w:id="82" w:name="_Ref451243616"/>
      <w:bookmarkStart w:id="83" w:name="_Toc451664164"/>
      <w:bookmarkStart w:id="84" w:name="_Toc434462836"/>
      <w:bookmarkStart w:id="85" w:name="_Toc434460932"/>
      <w:bookmarkStart w:id="86" w:name="_Ref451313954"/>
      <w:r>
        <w:rPr>
          <w:rFonts w:hint="eastAsia" w:ascii="宋体" w:hAnsi="宋体" w:cs="宋体"/>
          <w:b/>
          <w:bCs/>
          <w:w w:val="80"/>
          <w:kern w:val="44"/>
          <w:sz w:val="36"/>
          <w:szCs w:val="36"/>
        </w:rPr>
        <w:t>合同书</w:t>
      </w:r>
      <w:bookmarkEnd w:id="78"/>
      <w:bookmarkEnd w:id="79"/>
      <w:bookmarkEnd w:id="80"/>
      <w:bookmarkEnd w:id="81"/>
      <w:bookmarkEnd w:id="82"/>
      <w:bookmarkEnd w:id="83"/>
      <w:bookmarkEnd w:id="84"/>
      <w:bookmarkEnd w:id="85"/>
      <w:bookmarkEnd w:id="86"/>
    </w:p>
    <w:p>
      <w:pPr>
        <w:spacing w:line="440" w:lineRule="exact"/>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为保障南通市妇幼保健院正常运营，有效控制虫害对病人及医护人员的影响，营造良好的工作生活环境，甲乙双方就甲方规定区域内虫害控制服务，本着平等、自愿、公平、诚信、互利互惠的原则，经协商一致，签订本合同。</w:t>
      </w:r>
    </w:p>
    <w:p>
      <w:pPr>
        <w:spacing w:line="360" w:lineRule="auto"/>
        <w:ind w:firstLine="480" w:firstLineChars="200"/>
        <w:rPr>
          <w:rFonts w:ascii="宋体" w:hAnsi="宋体"/>
          <w:sz w:val="24"/>
          <w:szCs w:val="24"/>
        </w:rPr>
      </w:pPr>
      <w:r>
        <w:rPr>
          <w:rFonts w:hint="eastAsia" w:ascii="宋体" w:hAnsi="宋体"/>
          <w:sz w:val="24"/>
          <w:szCs w:val="24"/>
        </w:rPr>
        <w:t xml:space="preserve">甲方:  </w:t>
      </w:r>
      <w:r>
        <w:rPr>
          <w:rFonts w:hint="eastAsia" w:ascii="宋体" w:hAnsi="宋体"/>
          <w:sz w:val="24"/>
          <w:szCs w:val="24"/>
          <w:u w:val="single"/>
        </w:rPr>
        <w:t>南通市妇幼保健院</w:t>
      </w:r>
      <w:r>
        <w:rPr>
          <w:rFonts w:hint="eastAsia"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 xml:space="preserve">地址: </w:t>
      </w:r>
      <w:r>
        <w:rPr>
          <w:rFonts w:hint="eastAsia" w:ascii="宋体" w:hAnsi="宋体"/>
          <w:sz w:val="24"/>
          <w:szCs w:val="24"/>
          <w:u w:val="single"/>
        </w:rPr>
        <w:t xml:space="preserve"> 江苏省南通市崇川区世纪大道399号</w:t>
      </w:r>
      <w:r>
        <w:rPr>
          <w:rFonts w:hint="eastAsia"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 xml:space="preserve">乙方:  </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 xml:space="preserve">地址:  </w:t>
      </w:r>
      <w:r>
        <w:rPr>
          <w:rFonts w:hint="eastAsia" w:ascii="宋体" w:hAnsi="宋体"/>
          <w:sz w:val="24"/>
          <w:szCs w:val="24"/>
          <w:u w:val="single"/>
        </w:rPr>
        <w:t xml:space="preserve">                                </w:t>
      </w:r>
    </w:p>
    <w:p>
      <w:pPr>
        <w:snapToGrid w:val="0"/>
        <w:spacing w:line="360" w:lineRule="auto"/>
        <w:ind w:firstLine="482" w:firstLineChars="200"/>
        <w:rPr>
          <w:rFonts w:ascii="宋体" w:hAnsi="宋体"/>
          <w:b/>
          <w:sz w:val="24"/>
          <w:szCs w:val="24"/>
        </w:rPr>
      </w:pPr>
      <w:r>
        <w:rPr>
          <w:rFonts w:hint="eastAsia" w:ascii="宋体" w:hAnsi="宋体"/>
          <w:b/>
          <w:sz w:val="24"/>
          <w:szCs w:val="24"/>
        </w:rPr>
        <w:t>一、合作流程、合同金额及付款方式：</w:t>
      </w:r>
    </w:p>
    <w:p>
      <w:pPr>
        <w:snapToGrid w:val="0"/>
        <w:spacing w:line="360" w:lineRule="auto"/>
        <w:ind w:firstLine="480" w:firstLineChars="200"/>
        <w:rPr>
          <w:rFonts w:hint="eastAsia" w:ascii="宋体" w:hAnsi="宋体" w:eastAsia="宋体"/>
          <w:b/>
          <w:sz w:val="24"/>
          <w:szCs w:val="24"/>
          <w:highlight w:val="none"/>
          <w:lang w:val="en-US" w:eastAsia="zh-CN"/>
        </w:rPr>
      </w:pPr>
      <w:r>
        <w:rPr>
          <w:rFonts w:hint="eastAsia" w:ascii="宋体" w:hAnsi="宋体"/>
          <w:sz w:val="24"/>
          <w:szCs w:val="24"/>
        </w:rPr>
        <w:t>1、受甲方委托，乙方为甲方</w:t>
      </w:r>
      <w:r>
        <w:rPr>
          <w:rFonts w:hint="eastAsia" w:ascii="宋体" w:hAnsi="宋体" w:cs="宋体"/>
          <w:bCs/>
          <w:sz w:val="24"/>
          <w:szCs w:val="24"/>
        </w:rPr>
        <w:t>提供</w:t>
      </w:r>
      <w:r>
        <w:rPr>
          <w:rFonts w:hint="eastAsia" w:ascii="宋体" w:hAnsi="宋体"/>
          <w:sz w:val="24"/>
          <w:szCs w:val="24"/>
          <w:highlight w:val="none"/>
        </w:rPr>
        <w:t>南通市妇幼保健院</w:t>
      </w:r>
      <w:r>
        <w:rPr>
          <w:rFonts w:hint="eastAsia" w:ascii="宋体" w:hAnsi="宋体"/>
          <w:sz w:val="24"/>
          <w:szCs w:val="24"/>
          <w:highlight w:val="none"/>
          <w:lang w:val="en-US" w:eastAsia="zh-CN"/>
        </w:rPr>
        <w:t>院内</w:t>
      </w:r>
    </w:p>
    <w:p>
      <w:pPr>
        <w:snapToGrid w:val="0"/>
        <w:spacing w:line="360" w:lineRule="auto"/>
        <w:ind w:firstLine="470" w:firstLineChars="196"/>
        <w:outlineLvl w:val="1"/>
        <w:rPr>
          <w:rFonts w:ascii="宋体" w:hAnsi="宋体" w:cs="宋体"/>
          <w:b/>
          <w:bCs/>
          <w:sz w:val="24"/>
          <w:szCs w:val="24"/>
        </w:rPr>
      </w:pPr>
      <w:r>
        <w:rPr>
          <w:rFonts w:hint="eastAsia" w:ascii="宋体" w:hAnsi="宋体"/>
          <w:sz w:val="24"/>
          <w:szCs w:val="24"/>
        </w:rPr>
        <w:t>2、本项目合同金额为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年服务费人民币</w:t>
      </w:r>
      <w:r>
        <w:rPr>
          <w:rFonts w:hint="eastAsia" w:ascii="宋体" w:hAnsi="宋体"/>
          <w:sz w:val="24"/>
          <w:szCs w:val="24"/>
          <w:u w:val="single"/>
        </w:rPr>
        <w:t xml:space="preserve">              </w:t>
      </w:r>
      <w:r>
        <w:rPr>
          <w:rFonts w:hint="eastAsia" w:ascii="宋体" w:hAnsi="宋体"/>
          <w:sz w:val="24"/>
          <w:szCs w:val="24"/>
        </w:rPr>
        <w:t>（RMB</w:t>
      </w:r>
      <w:r>
        <w:rPr>
          <w:rFonts w:hint="eastAsia" w:ascii="宋体" w:hAnsi="宋体"/>
          <w:sz w:val="24"/>
          <w:szCs w:val="24"/>
          <w:u w:val="single"/>
        </w:rPr>
        <w:t xml:space="preserve">     </w:t>
      </w:r>
      <w:r>
        <w:rPr>
          <w:rFonts w:hint="eastAsia" w:ascii="宋体" w:hAnsi="宋体"/>
          <w:sz w:val="24"/>
          <w:szCs w:val="24"/>
        </w:rPr>
        <w:t>元）。合同价</w:t>
      </w:r>
      <w:r>
        <w:rPr>
          <w:rFonts w:hint="eastAsia" w:ascii="宋体" w:hAnsi="宋体" w:cs="宋体"/>
          <w:sz w:val="24"/>
          <w:szCs w:val="24"/>
        </w:rPr>
        <w:t>应包含但不限于下列费用：</w:t>
      </w:r>
      <w:r>
        <w:rPr>
          <w:rFonts w:hint="eastAsia" w:ascii="宋体" w:hAnsi="宋体" w:cs="宋体"/>
          <w:b/>
          <w:bCs/>
          <w:sz w:val="24"/>
          <w:szCs w:val="24"/>
        </w:rPr>
        <w:t>材料费、药剂费、设备费、设备维修或更换费、检测费、上门服务费（含业主临时或应急要求）、人工费、管理费、利润、税金、政策性文件规定及为达到采购人要求所包含的所有风险、责任等各项费用。各投标供应商应根据磋商文件要求，并充分考虑市场因素，自行核算成本报价。</w:t>
      </w:r>
    </w:p>
    <w:p>
      <w:pPr>
        <w:pStyle w:val="20"/>
        <w:snapToGrid w:val="0"/>
        <w:spacing w:line="360" w:lineRule="auto"/>
        <w:ind w:firstLine="480" w:firstLineChars="200"/>
        <w:rPr>
          <w:rFonts w:ascii="宋体" w:hAnsi="宋体" w:cs="宋体"/>
          <w:sz w:val="24"/>
          <w:szCs w:val="24"/>
        </w:rPr>
      </w:pPr>
      <w:r>
        <w:rPr>
          <w:rFonts w:hint="eastAsia" w:ascii="宋体" w:hAnsi="宋体" w:cs="宋体"/>
          <w:sz w:val="24"/>
          <w:szCs w:val="24"/>
        </w:rPr>
        <w:t>3、结算方式：</w:t>
      </w:r>
    </w:p>
    <w:p>
      <w:pPr>
        <w:snapToGrid w:val="0"/>
        <w:spacing w:line="360" w:lineRule="auto"/>
        <w:ind w:firstLine="480" w:firstLineChars="200"/>
        <w:rPr>
          <w:rFonts w:ascii="宋体" w:hAnsi="宋体" w:cs="宋体"/>
          <w:b/>
          <w:bCs/>
          <w:color w:val="auto"/>
          <w:sz w:val="24"/>
          <w:szCs w:val="24"/>
        </w:rPr>
      </w:pPr>
      <w:r>
        <w:rPr>
          <w:rFonts w:hint="eastAsia" w:ascii="宋体" w:hAnsi="宋体" w:cs="宋体"/>
          <w:color w:val="auto"/>
          <w:sz w:val="24"/>
          <w:lang w:eastAsia="zh-CN"/>
        </w:rPr>
        <w:t>服务期限三年，合同一年一签；</w:t>
      </w:r>
      <w:r>
        <w:rPr>
          <w:rFonts w:hint="eastAsia" w:ascii="宋体" w:hAnsi="宋体" w:cs="宋体"/>
          <w:color w:val="auto"/>
          <w:sz w:val="24"/>
          <w:lang w:val="en-US" w:eastAsia="zh-CN"/>
        </w:rPr>
        <w:t>货到付合同价的50%，服务期内经验收合格，由</w:t>
      </w:r>
      <w:r>
        <w:rPr>
          <w:rFonts w:hint="eastAsia" w:ascii="宋体" w:hAnsi="宋体" w:cs="宋体"/>
          <w:color w:val="auto"/>
          <w:sz w:val="24"/>
          <w:szCs w:val="24"/>
          <w:highlight w:val="none"/>
        </w:rPr>
        <w:t>采购人</w:t>
      </w:r>
      <w:r>
        <w:rPr>
          <w:rFonts w:hint="eastAsia" w:ascii="宋体" w:hAnsi="宋体" w:cs="宋体"/>
          <w:color w:val="auto"/>
          <w:sz w:val="24"/>
          <w:szCs w:val="24"/>
          <w:highlight w:val="none"/>
          <w:lang w:val="en-US" w:eastAsia="zh-CN"/>
        </w:rPr>
        <w:t>每年</w:t>
      </w:r>
      <w:r>
        <w:rPr>
          <w:rFonts w:hint="eastAsia" w:ascii="宋体" w:hAnsi="宋体" w:cs="宋体"/>
          <w:color w:val="auto"/>
          <w:sz w:val="24"/>
          <w:szCs w:val="24"/>
          <w:highlight w:val="none"/>
        </w:rPr>
        <w:t>进行一次考核，考核分大于90分（含90分）的，则全额支付</w:t>
      </w:r>
      <w:r>
        <w:rPr>
          <w:rFonts w:hint="eastAsia" w:ascii="宋体" w:hAnsi="宋体" w:cs="宋体"/>
          <w:color w:val="auto"/>
          <w:sz w:val="24"/>
          <w:szCs w:val="24"/>
          <w:highlight w:val="none"/>
          <w:lang w:val="en-US" w:eastAsia="zh-CN"/>
        </w:rPr>
        <w:t>年度合同价的50%</w:t>
      </w:r>
      <w:r>
        <w:rPr>
          <w:rFonts w:hint="eastAsia" w:ascii="宋体" w:hAnsi="宋体" w:cs="宋体"/>
          <w:color w:val="auto"/>
          <w:sz w:val="24"/>
          <w:szCs w:val="24"/>
          <w:highlight w:val="none"/>
        </w:rPr>
        <w:t>，</w:t>
      </w:r>
      <w:r>
        <w:rPr>
          <w:rFonts w:hint="eastAsia" w:ascii="宋体" w:hAnsi="宋体" w:eastAsia="宋体" w:cs="宋体"/>
          <w:b w:val="0"/>
          <w:bCs/>
          <w:color w:val="auto"/>
          <w:sz w:val="24"/>
          <w:szCs w:val="24"/>
          <w:highlight w:val="none"/>
          <w:lang w:val="en-US" w:eastAsia="zh-CN"/>
        </w:rPr>
        <w:t>低于90分的，每低1分扣相应支付</w:t>
      </w:r>
      <w:r>
        <w:rPr>
          <w:rFonts w:hint="eastAsia" w:ascii="宋体" w:hAnsi="宋体" w:cs="宋体"/>
          <w:b w:val="0"/>
          <w:bCs/>
          <w:color w:val="auto"/>
          <w:sz w:val="24"/>
          <w:szCs w:val="24"/>
          <w:highlight w:val="none"/>
          <w:lang w:val="en-US" w:eastAsia="zh-CN"/>
        </w:rPr>
        <w:t>合同</w:t>
      </w:r>
      <w:r>
        <w:rPr>
          <w:rFonts w:hint="eastAsia" w:ascii="宋体" w:hAnsi="宋体" w:eastAsia="宋体" w:cs="宋体"/>
          <w:b w:val="0"/>
          <w:bCs/>
          <w:color w:val="auto"/>
          <w:sz w:val="24"/>
          <w:szCs w:val="24"/>
          <w:highlight w:val="none"/>
          <w:lang w:val="en-US" w:eastAsia="zh-CN"/>
        </w:rPr>
        <w:t>总额的1%</w:t>
      </w:r>
      <w:r>
        <w:rPr>
          <w:rFonts w:hint="eastAsia" w:ascii="宋体" w:hAnsi="宋体" w:cs="宋体"/>
          <w:color w:val="auto"/>
          <w:sz w:val="24"/>
          <w:szCs w:val="24"/>
          <w:highlight w:val="none"/>
        </w:rPr>
        <w:t>。</w:t>
      </w:r>
      <w:r>
        <w:rPr>
          <w:rFonts w:hint="eastAsia" w:ascii="宋体" w:hAnsi="宋体" w:cs="宋体"/>
          <w:color w:val="auto"/>
          <w:sz w:val="24"/>
          <w:szCs w:val="24"/>
        </w:rPr>
        <w:t>成交人在申请服务费支付前，须提供相应金额的税务发票。付款形式为银行转账。</w:t>
      </w:r>
    </w:p>
    <w:p>
      <w:pPr>
        <w:pStyle w:val="20"/>
        <w:numPr>
          <w:ilvl w:val="0"/>
          <w:numId w:val="7"/>
        </w:num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合同期限：</w:t>
      </w:r>
    </w:p>
    <w:p>
      <w:pPr>
        <w:snapToGrid w:val="0"/>
        <w:spacing w:line="360" w:lineRule="auto"/>
        <w:ind w:firstLine="480" w:firstLineChars="200"/>
        <w:rPr>
          <w:rFonts w:ascii="宋体" w:hAnsi="宋体"/>
          <w:sz w:val="24"/>
          <w:szCs w:val="24"/>
        </w:rPr>
      </w:pPr>
      <w:r>
        <w:rPr>
          <w:rFonts w:hint="eastAsia" w:ascii="宋体" w:hAnsi="宋体"/>
          <w:sz w:val="24"/>
          <w:szCs w:val="24"/>
        </w:rPr>
        <w:t>本项目养护服务期为叁年，合同一年一签。合同起效日期：202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rPr>
        <w:t>月</w:t>
      </w:r>
      <w:r>
        <w:rPr>
          <w:rFonts w:hint="eastAsia" w:ascii="宋体" w:hAnsi="宋体"/>
          <w:sz w:val="24"/>
          <w:szCs w:val="24"/>
          <w:u w:val="single"/>
          <w:lang w:val="en-US" w:eastAsia="zh-CN"/>
        </w:rPr>
        <w:t xml:space="preserve">   </w:t>
      </w:r>
      <w:r>
        <w:rPr>
          <w:rFonts w:hint="eastAsia" w:ascii="宋体" w:hAnsi="宋体"/>
          <w:sz w:val="24"/>
          <w:szCs w:val="24"/>
        </w:rPr>
        <w:t>日—202</w:t>
      </w:r>
      <w:r>
        <w:rPr>
          <w:rFonts w:hint="eastAsia" w:ascii="宋体" w:hAnsi="宋体"/>
          <w:sz w:val="24"/>
          <w:szCs w:val="24"/>
          <w:lang w:val="en-US" w:eastAsia="zh-CN"/>
        </w:rPr>
        <w:t>7</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rPr>
        <w:t>日。</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如乙方合同期内履约情况良好（即年度综合考核得分≥90分），则在第一年合同期满后，乙方承诺不增加服务费用，且在合同双方自愿的前提下，甲、乙双方可续签下一年度合同，但最多续签2次。</w:t>
      </w:r>
    </w:p>
    <w:p>
      <w:pPr>
        <w:pStyle w:val="20"/>
        <w:snapToGrid w:val="0"/>
        <w:spacing w:line="360" w:lineRule="auto"/>
        <w:ind w:firstLine="482" w:firstLineChars="200"/>
      </w:pPr>
      <w:r>
        <w:rPr>
          <w:rFonts w:hint="eastAsia" w:ascii="宋体" w:hAnsi="宋体" w:cs="宋体"/>
          <w:b/>
          <w:sz w:val="24"/>
          <w:szCs w:val="24"/>
        </w:rPr>
        <w:t>三、工作要求、工作内容及细则如下：</w:t>
      </w:r>
    </w:p>
    <w:p>
      <w:pPr>
        <w:tabs>
          <w:tab w:val="left" w:pos="5325"/>
        </w:tabs>
        <w:adjustRightInd w:val="0"/>
        <w:snapToGrid w:val="0"/>
        <w:spacing w:line="460" w:lineRule="exact"/>
        <w:ind w:firstLine="482" w:firstLineChars="200"/>
        <w:rPr>
          <w:rFonts w:ascii="宋体" w:hAnsi="宋体"/>
          <w:b/>
          <w:sz w:val="24"/>
        </w:rPr>
      </w:pPr>
      <w:r>
        <w:rPr>
          <w:rFonts w:hint="eastAsia" w:ascii="宋体" w:hAnsi="宋体"/>
          <w:b/>
          <w:sz w:val="24"/>
        </w:rPr>
        <w:t>（一）设备清单：</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1. 主大楼的冷冻水系统；</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2. 净化机组的冷冻水系统；</w:t>
      </w:r>
      <w:bookmarkStart w:id="88" w:name="_GoBack"/>
      <w:bookmarkEnd w:id="88"/>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3. 地下室除湿机的冷冻水系统；</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4. 主大楼的冷却水系统；</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5. 地下室除湿机的冷却水系统；</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6. 主管道过滤器及1376台末端水过滤器清洗；</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7. 冷却塔主体。</w:t>
      </w:r>
    </w:p>
    <w:p>
      <w:pPr>
        <w:tabs>
          <w:tab w:val="left" w:pos="5325"/>
        </w:tabs>
        <w:adjustRightInd w:val="0"/>
        <w:snapToGrid w:val="0"/>
        <w:spacing w:line="460" w:lineRule="exact"/>
        <w:ind w:firstLine="482" w:firstLineChars="200"/>
        <w:rPr>
          <w:rFonts w:hint="eastAsia" w:ascii="宋体" w:hAnsi="宋体"/>
          <w:b/>
          <w:sz w:val="24"/>
        </w:rPr>
      </w:pPr>
      <w:r>
        <w:rPr>
          <w:rFonts w:hint="eastAsia" w:ascii="宋体" w:hAnsi="宋体"/>
          <w:b/>
          <w:sz w:val="24"/>
        </w:rPr>
        <w:t>（二）维保要求：</w:t>
      </w:r>
    </w:p>
    <w:p>
      <w:pPr>
        <w:adjustRightInd w:val="0"/>
        <w:snapToGrid w:val="0"/>
        <w:spacing w:line="460" w:lineRule="exact"/>
        <w:ind w:firstLine="480" w:firstLineChars="200"/>
        <w:rPr>
          <w:rFonts w:ascii="宋体" w:hAnsi="宋体"/>
          <w:bCs/>
          <w:sz w:val="24"/>
        </w:rPr>
      </w:pPr>
      <w:r>
        <w:rPr>
          <w:rFonts w:hint="eastAsia" w:ascii="宋体" w:hAnsi="宋体"/>
          <w:bCs/>
          <w:sz w:val="24"/>
        </w:rPr>
        <w:t>1</w:t>
      </w:r>
      <w:r>
        <w:rPr>
          <w:rFonts w:hint="eastAsia" w:ascii="宋体" w:hAnsi="宋体" w:cs="宋体"/>
          <w:bCs/>
          <w:sz w:val="24"/>
        </w:rPr>
        <w:t>、</w:t>
      </w:r>
      <w:r>
        <w:rPr>
          <w:rFonts w:hint="eastAsia" w:ascii="宋体" w:hAnsi="宋体" w:cs="宋体"/>
          <w:color w:val="000000"/>
          <w:sz w:val="24"/>
          <w:shd w:val="clear" w:color="auto" w:fill="FFFFFF"/>
        </w:rPr>
        <w:t>为保证循环冷却水水质稳定，乙方必须使用自动加药装置投加缓蚀阻垢和杀菌灭藻药剂；</w:t>
      </w:r>
    </w:p>
    <w:p>
      <w:pPr>
        <w:adjustRightInd w:val="0"/>
        <w:snapToGrid w:val="0"/>
        <w:spacing w:line="46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2、冷却水开机时期乙方提供每周1次定期的现场技术服务，冷却水停机后一月一次提取水样，进行现场检测；</w:t>
      </w:r>
    </w:p>
    <w:p>
      <w:pPr>
        <w:adjustRightInd w:val="0"/>
        <w:snapToGrid w:val="0"/>
        <w:spacing w:line="460" w:lineRule="exact"/>
        <w:ind w:firstLine="480" w:firstLineChars="200"/>
        <w:rPr>
          <w:rFonts w:ascii="宋体" w:hAnsi="宋体"/>
          <w:bCs/>
          <w:sz w:val="24"/>
        </w:rPr>
      </w:pPr>
      <w:r>
        <w:rPr>
          <w:rFonts w:hint="eastAsia" w:ascii="宋体" w:hAnsi="宋体" w:cs="宋体"/>
          <w:color w:val="000000"/>
          <w:sz w:val="24"/>
          <w:shd w:val="clear" w:color="auto" w:fill="FFFFFF"/>
        </w:rPr>
        <w:t>3、乙方每月提供1次水质分析测试报告；</w:t>
      </w:r>
    </w:p>
    <w:p>
      <w:pPr>
        <w:adjustRightInd w:val="0"/>
        <w:snapToGrid w:val="0"/>
        <w:spacing w:line="460" w:lineRule="exact"/>
        <w:ind w:firstLine="480" w:firstLineChars="200"/>
        <w:rPr>
          <w:rFonts w:hint="eastAsia" w:ascii="宋体" w:hAnsi="宋体" w:cs="宋体"/>
          <w:color w:val="000000"/>
          <w:sz w:val="24"/>
          <w:shd w:val="clear" w:color="auto" w:fill="FFFFFF"/>
        </w:rPr>
      </w:pPr>
      <w:r>
        <w:rPr>
          <w:rFonts w:hint="eastAsia" w:ascii="宋体" w:hAnsi="宋体"/>
          <w:sz w:val="24"/>
        </w:rPr>
        <w:t>4、每年夏冬季（7-9月、12-2月）白天必须至少常驻一人在医院（夏季工作时间为24小时），完成每日巡检和维修工作，对水系统的跑、冒、滴、漏进行及时处理。</w:t>
      </w:r>
      <w:r>
        <w:rPr>
          <w:rFonts w:hint="eastAsia" w:ascii="宋体" w:hAnsi="宋体" w:cs="宋体"/>
          <w:color w:val="000000"/>
          <w:sz w:val="24"/>
          <w:shd w:val="clear" w:color="auto" w:fill="FFFFFF"/>
        </w:rPr>
        <w:t>接到报修通知后，必须半小时内响应，半小时内到达现场并提供不间断服务，尽快解决问题，修理或直接免费更换，满足甲方的正常使用要求。一般故障应在4小时内解决，重大故障应在48小时内解决，特殊故障解决期限双方协商确定。如遇故障时乙方无法按需提供服务，甲方将有权临时请第三方技术人员上门维护，费用由乙方承担。</w:t>
      </w:r>
    </w:p>
    <w:p>
      <w:pPr>
        <w:adjustRightInd w:val="0"/>
        <w:snapToGrid w:val="0"/>
        <w:spacing w:line="460" w:lineRule="exact"/>
        <w:ind w:firstLine="480" w:firstLineChars="200"/>
        <w:rPr>
          <w:rFonts w:ascii="宋体" w:hAnsi="宋体"/>
          <w:sz w:val="24"/>
        </w:rPr>
      </w:pPr>
      <w:r>
        <w:rPr>
          <w:rFonts w:hint="eastAsia" w:ascii="宋体" w:hAnsi="宋体"/>
          <w:sz w:val="24"/>
        </w:rPr>
        <w:t>5、维护分为月、季和年度保养（所有指标都必须满足日常运行标准）；</w:t>
      </w:r>
      <w:r>
        <w:rPr>
          <w:rFonts w:hint="eastAsia" w:ascii="宋体" w:hAnsi="宋体" w:cs="宋体"/>
          <w:color w:val="000000"/>
          <w:sz w:val="24"/>
          <w:shd w:val="clear" w:color="auto" w:fill="FFFFFF"/>
        </w:rPr>
        <w:t>在甲方人员参与下，乙方每月至少对维保范围内的所有空调系统进行二次全面巡查，每季对所有系统进行一次全面维护检测和常规保养，对故障进行原因排查与解决处理。</w:t>
      </w:r>
      <w:r>
        <w:rPr>
          <w:rFonts w:hint="eastAsia" w:ascii="宋体" w:hAnsi="宋体"/>
          <w:sz w:val="24"/>
        </w:rPr>
        <w:t>年度全面保养在春、秋两季（4月、10月），要求不影响医院正常工作。</w:t>
      </w:r>
      <w:r>
        <w:rPr>
          <w:rFonts w:hint="eastAsia" w:ascii="宋体" w:hAnsi="宋体" w:cs="宋体"/>
          <w:color w:val="000000"/>
          <w:sz w:val="24"/>
          <w:shd w:val="clear" w:color="auto" w:fill="FFFFFF"/>
        </w:rPr>
        <w:t>除了按要求成上述的全面巡查、全面维护检测和常规保养工作，还需按要求做好日常维保检测和常规保养工作。</w:t>
      </w:r>
    </w:p>
    <w:p>
      <w:pPr>
        <w:adjustRightInd w:val="0"/>
        <w:snapToGrid w:val="0"/>
        <w:spacing w:line="460" w:lineRule="exact"/>
        <w:ind w:firstLine="482" w:firstLineChars="200"/>
        <w:rPr>
          <w:rFonts w:ascii="宋体" w:hAnsi="宋体"/>
          <w:b/>
          <w:sz w:val="24"/>
        </w:rPr>
      </w:pPr>
      <w:r>
        <w:rPr>
          <w:rFonts w:hint="eastAsia" w:ascii="宋体" w:hAnsi="宋体"/>
          <w:b/>
          <w:sz w:val="24"/>
        </w:rPr>
        <w:t>（三）中央空调水系统维保内容：</w:t>
      </w:r>
    </w:p>
    <w:p>
      <w:pPr>
        <w:adjustRightInd w:val="0"/>
        <w:snapToGrid w:val="0"/>
        <w:spacing w:line="460" w:lineRule="exact"/>
        <w:ind w:firstLine="480" w:firstLineChars="200"/>
        <w:rPr>
          <w:rFonts w:hint="eastAsia" w:ascii="宋体" w:hAnsi="宋体"/>
          <w:sz w:val="24"/>
        </w:rPr>
      </w:pPr>
      <w:r>
        <w:rPr>
          <w:rFonts w:hint="eastAsia" w:ascii="宋体" w:hAnsi="宋体"/>
          <w:sz w:val="24"/>
        </w:rPr>
        <w:t>1、乙方须对</w:t>
      </w:r>
      <w:r>
        <w:rPr>
          <w:rFonts w:hint="eastAsia" w:ascii="宋体" w:hAnsi="宋体"/>
          <w:bCs/>
          <w:sz w:val="24"/>
        </w:rPr>
        <w:t>水系统管路进行</w:t>
      </w:r>
      <w:r>
        <w:rPr>
          <w:rFonts w:hint="eastAsia" w:ascii="宋体" w:hAnsi="宋体"/>
          <w:sz w:val="24"/>
        </w:rPr>
        <w:t>化学药剂清洗、祛腐、除锈、</w:t>
      </w:r>
      <w:r>
        <w:rPr>
          <w:rFonts w:hint="eastAsia" w:ascii="宋体" w:hAnsi="宋体" w:cs="宋体"/>
          <w:sz w:val="24"/>
        </w:rPr>
        <w:t>钝化预膜</w:t>
      </w:r>
      <w:r>
        <w:rPr>
          <w:rFonts w:hint="eastAsia" w:ascii="宋体" w:hAnsi="宋体"/>
          <w:sz w:val="24"/>
        </w:rPr>
        <w:t>、防锈防蚀、清理污垢、清理过滤器、清洗冷却塔填料等；循环冷却、冷媒水系统杀菌灭藻、缓释阻垢、检测维护和更换循环水等。</w:t>
      </w:r>
    </w:p>
    <w:p>
      <w:pPr>
        <w:adjustRightInd w:val="0"/>
        <w:snapToGrid w:val="0"/>
        <w:spacing w:line="460" w:lineRule="exact"/>
        <w:ind w:firstLine="480" w:firstLineChars="200"/>
        <w:rPr>
          <w:rFonts w:hint="eastAsia" w:ascii="宋体" w:hAnsi="宋体"/>
          <w:sz w:val="24"/>
        </w:rPr>
      </w:pPr>
      <w:r>
        <w:rPr>
          <w:rFonts w:hint="eastAsia" w:ascii="宋体" w:hAnsi="宋体"/>
          <w:sz w:val="24"/>
        </w:rPr>
        <w:t>1.1前期清洗：杀菌、去垢、除锈、清洗、中和钝化镀膜。</w:t>
      </w:r>
    </w:p>
    <w:p>
      <w:pPr>
        <w:adjustRightInd w:val="0"/>
        <w:snapToGrid w:val="0"/>
        <w:spacing w:line="460" w:lineRule="exact"/>
        <w:ind w:firstLine="480" w:firstLineChars="200"/>
        <w:rPr>
          <w:rFonts w:hint="eastAsia" w:ascii="宋体" w:hAnsi="宋体"/>
          <w:sz w:val="24"/>
        </w:rPr>
      </w:pPr>
      <w:r>
        <w:rPr>
          <w:rFonts w:hint="eastAsia" w:ascii="宋体" w:hAnsi="宋体"/>
          <w:sz w:val="24"/>
        </w:rPr>
        <w:t>1.2空调水系统进行管道清洗与水处理后，各项指标应或优于国家相关标准，达到水质保养的性能指标。提供水处理后水样检测报告。</w:t>
      </w:r>
    </w:p>
    <w:p>
      <w:pPr>
        <w:adjustRightInd w:val="0"/>
        <w:snapToGrid w:val="0"/>
        <w:spacing w:line="460" w:lineRule="exact"/>
        <w:ind w:firstLine="480" w:firstLineChars="200"/>
        <w:rPr>
          <w:rFonts w:hint="eastAsia" w:ascii="宋体" w:hAnsi="宋体"/>
          <w:sz w:val="24"/>
        </w:rPr>
      </w:pPr>
      <w:r>
        <w:rPr>
          <w:rFonts w:hint="eastAsia" w:ascii="宋体" w:hAnsi="宋体"/>
          <w:sz w:val="24"/>
        </w:rPr>
        <w:t>1.3定期到现场进行技术服务，检查系统运行情况、水系统各项参数，做好详细记录。</w:t>
      </w:r>
    </w:p>
    <w:p>
      <w:pPr>
        <w:adjustRightInd w:val="0"/>
        <w:snapToGrid w:val="0"/>
        <w:spacing w:line="460" w:lineRule="exact"/>
        <w:ind w:firstLine="480" w:firstLineChars="200"/>
        <w:rPr>
          <w:rFonts w:hint="eastAsia" w:ascii="宋体" w:hAnsi="宋体"/>
          <w:sz w:val="24"/>
        </w:rPr>
      </w:pPr>
      <w:r>
        <w:rPr>
          <w:rFonts w:hint="eastAsia" w:ascii="宋体" w:hAnsi="宋体"/>
          <w:sz w:val="24"/>
        </w:rPr>
        <w:t>1.4杀菌灭藻：通过加入杀菌药剂，清除循环水中的各种细菌和藻类。</w:t>
      </w:r>
    </w:p>
    <w:p>
      <w:pPr>
        <w:adjustRightInd w:val="0"/>
        <w:snapToGrid w:val="0"/>
        <w:spacing w:line="460" w:lineRule="exact"/>
        <w:ind w:firstLine="480" w:firstLineChars="200"/>
        <w:rPr>
          <w:rFonts w:hint="eastAsia" w:ascii="宋体" w:hAnsi="宋体"/>
          <w:sz w:val="24"/>
        </w:rPr>
      </w:pPr>
      <w:r>
        <w:rPr>
          <w:rFonts w:hint="eastAsia" w:ascii="宋体" w:hAnsi="宋体"/>
          <w:sz w:val="24"/>
        </w:rPr>
        <w:t>1.5生物剥离：将管道内的生物粘泥剥离，通过循环将粘泥清洗出来。</w:t>
      </w:r>
    </w:p>
    <w:p>
      <w:pPr>
        <w:adjustRightInd w:val="0"/>
        <w:snapToGrid w:val="0"/>
        <w:spacing w:line="460" w:lineRule="exact"/>
        <w:ind w:firstLine="480" w:firstLineChars="200"/>
        <w:rPr>
          <w:rFonts w:hint="eastAsia" w:ascii="宋体" w:hAnsi="宋体"/>
          <w:sz w:val="24"/>
        </w:rPr>
      </w:pPr>
      <w:r>
        <w:rPr>
          <w:rFonts w:hint="eastAsia" w:ascii="宋体" w:hAnsi="宋体"/>
          <w:sz w:val="24"/>
        </w:rPr>
        <w:t>1.6化学清洗：加入综合性化学清洗剂。此种清洗剂具有缓蚀、分散、除垢的作用，对水的循环系统进行处理。这种处理方法，既能将管道内的锈、垢、油污清洗后分散排除，又可防止清洗剂对系统装置和管路的危害，提供一个清 洁的金属表面。</w:t>
      </w:r>
    </w:p>
    <w:p>
      <w:pPr>
        <w:adjustRightInd w:val="0"/>
        <w:snapToGrid w:val="0"/>
        <w:spacing w:line="460" w:lineRule="exact"/>
        <w:ind w:firstLine="480" w:firstLineChars="200"/>
        <w:rPr>
          <w:rFonts w:hint="eastAsia" w:ascii="宋体" w:hAnsi="宋体"/>
          <w:sz w:val="24"/>
        </w:rPr>
      </w:pPr>
      <w:r>
        <w:rPr>
          <w:rFonts w:hint="eastAsia" w:ascii="宋体" w:hAnsi="宋体"/>
          <w:sz w:val="24"/>
        </w:rPr>
        <w:t>1.7表面预膜：投入预膜药剂，在金属表面形成致密的聚合高分子保护膜，以起到防腐蚀保护作用。</w:t>
      </w:r>
    </w:p>
    <w:p>
      <w:pPr>
        <w:adjustRightInd w:val="0"/>
        <w:snapToGrid w:val="0"/>
        <w:spacing w:line="460" w:lineRule="exact"/>
        <w:ind w:firstLine="480" w:firstLineChars="200"/>
        <w:rPr>
          <w:rFonts w:hint="eastAsia" w:ascii="宋体" w:hAnsi="宋体"/>
          <w:sz w:val="24"/>
        </w:rPr>
      </w:pPr>
      <w:r>
        <w:rPr>
          <w:rFonts w:hint="eastAsia" w:ascii="宋体" w:hAnsi="宋体"/>
          <w:sz w:val="24"/>
        </w:rPr>
        <w:t>1.8日常养护：加入综合性的日常养护处理剂，具有缓蚀、避免金属生锈的作用。日常养护处理剂中含有高分子络合阻垢剂，通过络合作用，防止钙镁离子结晶沉淀，延长机组的使用寿命，节水、省电，可提高制冷效率。</w:t>
      </w:r>
    </w:p>
    <w:p>
      <w:pPr>
        <w:adjustRightInd w:val="0"/>
        <w:snapToGrid w:val="0"/>
        <w:spacing w:line="460" w:lineRule="exact"/>
        <w:ind w:firstLine="480" w:firstLineChars="200"/>
        <w:rPr>
          <w:rFonts w:hint="eastAsia" w:ascii="宋体" w:hAnsi="宋体"/>
          <w:sz w:val="24"/>
        </w:rPr>
      </w:pPr>
      <w:r>
        <w:rPr>
          <w:rFonts w:hint="eastAsia" w:ascii="宋体" w:hAnsi="宋体"/>
          <w:sz w:val="24"/>
        </w:rPr>
        <w:t xml:space="preserve">1.9水处理所用药剂必须提供产品合格证并负责对剩余的药剂进行无害处理。  </w:t>
      </w:r>
    </w:p>
    <w:p>
      <w:pPr>
        <w:adjustRightInd w:val="0"/>
        <w:snapToGrid w:val="0"/>
        <w:spacing w:line="460" w:lineRule="exact"/>
        <w:ind w:firstLine="480" w:firstLineChars="200"/>
        <w:rPr>
          <w:rFonts w:hint="eastAsia" w:ascii="宋体" w:hAnsi="宋体"/>
          <w:sz w:val="24"/>
        </w:rPr>
      </w:pPr>
      <w:r>
        <w:rPr>
          <w:rFonts w:hint="eastAsia" w:ascii="宋体" w:hAnsi="宋体"/>
          <w:sz w:val="24"/>
        </w:rPr>
        <w:t>1.10若因水处理造成的系统零部件损坏，责任由乙方承担。</w:t>
      </w:r>
    </w:p>
    <w:p>
      <w:pPr>
        <w:adjustRightInd w:val="0"/>
        <w:snapToGrid w:val="0"/>
        <w:spacing w:line="460" w:lineRule="exact"/>
        <w:ind w:firstLine="480" w:firstLineChars="200"/>
        <w:rPr>
          <w:rFonts w:ascii="宋体" w:hAnsi="宋体"/>
          <w:sz w:val="24"/>
        </w:rPr>
      </w:pPr>
      <w:r>
        <w:rPr>
          <w:rFonts w:hint="eastAsia" w:ascii="宋体" w:hAnsi="宋体"/>
          <w:bCs/>
          <w:sz w:val="24"/>
        </w:rPr>
        <w:t>2、</w:t>
      </w:r>
      <w:r>
        <w:rPr>
          <w:rFonts w:hint="eastAsia" w:ascii="宋体" w:hAnsi="宋体"/>
          <w:sz w:val="24"/>
        </w:rPr>
        <w:t>检查阀门、水流开关、排气阀、补水阀和蒸发器进出水等。设备除锈加润滑油等保养。</w:t>
      </w:r>
    </w:p>
    <w:p>
      <w:pPr>
        <w:adjustRightInd w:val="0"/>
        <w:snapToGrid w:val="0"/>
        <w:spacing w:line="460" w:lineRule="exact"/>
        <w:ind w:firstLine="480" w:firstLineChars="200"/>
        <w:rPr>
          <w:rFonts w:ascii="宋体" w:hAnsi="宋体"/>
          <w:sz w:val="24"/>
        </w:rPr>
      </w:pPr>
      <w:r>
        <w:rPr>
          <w:rFonts w:hint="eastAsia" w:ascii="宋体" w:hAnsi="宋体"/>
          <w:sz w:val="24"/>
        </w:rPr>
        <w:t>3、空调末端系统杀菌、消毒、水过滤器清洗，去除微生物滋生，消灭细菌根源，使风机所送调节风符合空气卫生标准。</w:t>
      </w:r>
    </w:p>
    <w:p>
      <w:pPr>
        <w:adjustRightInd w:val="0"/>
        <w:snapToGrid w:val="0"/>
        <w:spacing w:line="460" w:lineRule="exact"/>
        <w:ind w:firstLine="480" w:firstLineChars="200"/>
        <w:rPr>
          <w:rFonts w:ascii="宋体" w:hAnsi="宋体"/>
          <w:sz w:val="24"/>
        </w:rPr>
      </w:pPr>
      <w:r>
        <w:rPr>
          <w:rFonts w:hint="eastAsia" w:ascii="宋体" w:hAnsi="宋体"/>
          <w:bCs/>
          <w:sz w:val="24"/>
        </w:rPr>
        <w:t>4、</w:t>
      </w:r>
      <w:r>
        <w:rPr>
          <w:rFonts w:hint="eastAsia" w:ascii="宋体" w:hAnsi="宋体"/>
          <w:sz w:val="24"/>
        </w:rPr>
        <w:t>乙方施工结束必须对现场进行清扫，保证现场整洁干净。</w:t>
      </w:r>
    </w:p>
    <w:p>
      <w:pPr>
        <w:adjustRightInd w:val="0"/>
        <w:snapToGrid w:val="0"/>
        <w:spacing w:line="460" w:lineRule="exact"/>
        <w:ind w:firstLine="482" w:firstLineChars="200"/>
        <w:rPr>
          <w:rFonts w:ascii="宋体" w:hAnsi="宋体"/>
          <w:b/>
          <w:sz w:val="24"/>
        </w:rPr>
      </w:pPr>
      <w:r>
        <w:rPr>
          <w:rFonts w:hint="eastAsia" w:ascii="宋体" w:hAnsi="宋体"/>
          <w:b/>
          <w:sz w:val="24"/>
        </w:rPr>
        <w:t>（四）维保标准</w:t>
      </w:r>
    </w:p>
    <w:p>
      <w:pPr>
        <w:spacing w:line="360" w:lineRule="auto"/>
        <w:ind w:firstLine="480" w:firstLineChars="200"/>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rPr>
        <w:t>1、日常运行时循环冷却水应控制在以下范围内:</w:t>
      </w:r>
    </w:p>
    <w:p>
      <w:pPr>
        <w:spacing w:line="360" w:lineRule="auto"/>
        <w:ind w:firstLine="480" w:firstLineChars="200"/>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rPr>
        <w:t xml:space="preserve">    pH,at 25℃ 8.0～9   </w:t>
      </w:r>
    </w:p>
    <w:p>
      <w:pPr>
        <w:spacing w:line="360" w:lineRule="auto"/>
        <w:ind w:firstLine="480" w:firstLineChars="200"/>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rPr>
        <w:t xml:space="preserve">    电导率，μs/cm &lt;3000   </w:t>
      </w:r>
    </w:p>
    <w:p>
      <w:pPr>
        <w:spacing w:line="360" w:lineRule="auto"/>
        <w:ind w:firstLine="480" w:firstLineChars="200"/>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rPr>
        <w:t xml:space="preserve">    总碱度，ppm（以CaCO3计） 100～600   </w:t>
      </w:r>
    </w:p>
    <w:p>
      <w:pPr>
        <w:spacing w:line="360" w:lineRule="auto"/>
        <w:ind w:firstLine="480" w:firstLineChars="200"/>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rPr>
        <w:t xml:space="preserve">    总硬度，ppm（以CaCO3计） 100～800   </w:t>
      </w:r>
    </w:p>
    <w:p>
      <w:pPr>
        <w:spacing w:line="360" w:lineRule="auto"/>
        <w:ind w:firstLine="480" w:firstLineChars="200"/>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rPr>
        <w:t xml:space="preserve">    钙硬度，ppm（以CaCO3计） 100～600   </w:t>
      </w:r>
    </w:p>
    <w:p>
      <w:pPr>
        <w:spacing w:line="360" w:lineRule="auto"/>
        <w:ind w:firstLine="480" w:firstLineChars="200"/>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rPr>
        <w:t xml:space="preserve">    氯化物，ppm &lt;1000   </w:t>
      </w:r>
    </w:p>
    <w:p>
      <w:pPr>
        <w:spacing w:line="360" w:lineRule="auto"/>
        <w:ind w:firstLine="480" w:firstLineChars="200"/>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rPr>
        <w:t xml:space="preserve">    硫酸盐，ppm &lt;1500   </w:t>
      </w:r>
    </w:p>
    <w:p>
      <w:pPr>
        <w:spacing w:line="360" w:lineRule="auto"/>
        <w:ind w:firstLine="480" w:firstLineChars="200"/>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rPr>
        <w:t xml:space="preserve">    总铁，ppm &lt;1.0   </w:t>
      </w:r>
    </w:p>
    <w:p>
      <w:pPr>
        <w:spacing w:line="360" w:lineRule="auto"/>
        <w:ind w:firstLine="480" w:firstLineChars="200"/>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rPr>
        <w:t xml:space="preserve">    铜离子，ppm &lt;0.2   </w:t>
      </w:r>
    </w:p>
    <w:p>
      <w:pPr>
        <w:spacing w:line="360" w:lineRule="auto"/>
        <w:ind w:firstLine="480" w:firstLineChars="200"/>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rPr>
        <w:t xml:space="preserve">    残余卤素，ppm 0.2～0.5   </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    浊度，NTU &lt;20 </w:t>
      </w:r>
    </w:p>
    <w:p>
      <w:pPr>
        <w:spacing w:line="360" w:lineRule="auto"/>
        <w:ind w:firstLine="480" w:firstLineChars="200"/>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rPr>
        <w:t>2、日常运行时密闭水时应控制在以下范围内: </w:t>
      </w:r>
    </w:p>
    <w:p>
      <w:pPr>
        <w:spacing w:line="360" w:lineRule="auto"/>
        <w:ind w:firstLine="480" w:firstLineChars="200"/>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rPr>
        <w:t xml:space="preserve">    pH,at 25℃ 8.5-12   </w:t>
      </w:r>
    </w:p>
    <w:p>
      <w:pPr>
        <w:spacing w:line="360" w:lineRule="auto"/>
        <w:ind w:firstLine="480" w:firstLineChars="200"/>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rPr>
        <w:t xml:space="preserve">    电导率，μs/cm &lt;2500   </w:t>
      </w:r>
    </w:p>
    <w:p>
      <w:pPr>
        <w:spacing w:line="360" w:lineRule="auto"/>
        <w:ind w:firstLine="480" w:firstLineChars="200"/>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rPr>
        <w:t xml:space="preserve">    亚硝酸盐，ppm &gt;200   </w:t>
      </w:r>
    </w:p>
    <w:p>
      <w:pPr>
        <w:spacing w:line="360" w:lineRule="auto"/>
        <w:ind w:firstLine="480" w:firstLineChars="200"/>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rPr>
        <w:t xml:space="preserve">    铁，ppm &lt;1.0   </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 xml:space="preserve">    铜，ppm &lt;0.2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浊度，NTU &lt;40 </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3、其他控制指标 </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 xml:space="preserve">    腐蚀速率 碳钢 mpy ＜3(国标) </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 xml:space="preserve">    铜及铜合金 mpy ＜0.2(国标) </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 xml:space="preserve">    不锈钢 mpy ＜0.2(国标) </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 xml:space="preserve">    细菌数 异氧细菌总数 个/ml ＜1x105 (国标) </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 xml:space="preserve">    军团菌 不得检出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污垢热阻 m2.h.℃/kcal   1.72×10-4～3.44×10-4(国标)</w:t>
      </w:r>
    </w:p>
    <w:p>
      <w:pPr>
        <w:spacing w:line="460" w:lineRule="exact"/>
        <w:ind w:firstLine="482" w:firstLineChars="200"/>
        <w:rPr>
          <w:rFonts w:hint="eastAsia" w:ascii="宋体" w:hAnsi="宋体" w:cs="宋体"/>
          <w:b/>
          <w:kern w:val="0"/>
          <w:sz w:val="24"/>
        </w:rPr>
      </w:pPr>
      <w:r>
        <w:rPr>
          <w:rFonts w:hint="eastAsia" w:ascii="宋体" w:hAnsi="宋体" w:cs="宋体"/>
          <w:b/>
          <w:kern w:val="0"/>
          <w:sz w:val="24"/>
        </w:rPr>
        <w:t>（五）材料清单</w:t>
      </w:r>
    </w:p>
    <w:tbl>
      <w:tblPr>
        <w:tblStyle w:val="51"/>
        <w:tblW w:w="8414" w:type="dxa"/>
        <w:jc w:val="center"/>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Layout w:type="fixed"/>
        <w:tblCellMar>
          <w:top w:w="0" w:type="dxa"/>
          <w:left w:w="108" w:type="dxa"/>
          <w:bottom w:w="0" w:type="dxa"/>
          <w:right w:w="108" w:type="dxa"/>
        </w:tblCellMar>
      </w:tblPr>
      <w:tblGrid>
        <w:gridCol w:w="688"/>
        <w:gridCol w:w="2226"/>
        <w:gridCol w:w="1248"/>
        <w:gridCol w:w="3118"/>
        <w:gridCol w:w="1134"/>
      </w:tblGrid>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序号</w:t>
            </w:r>
          </w:p>
        </w:tc>
        <w:tc>
          <w:tcPr>
            <w:tcW w:w="2226" w:type="dxa"/>
            <w:noWrap w:val="0"/>
            <w:vAlign w:val="center"/>
          </w:tcPr>
          <w:p>
            <w:pPr>
              <w:spacing w:line="300" w:lineRule="auto"/>
              <w:jc w:val="center"/>
              <w:rPr>
                <w:rFonts w:ascii="宋体" w:hAnsi="宋体"/>
                <w:sz w:val="24"/>
                <w:szCs w:val="24"/>
              </w:rPr>
            </w:pPr>
            <w:r>
              <w:rPr>
                <w:rFonts w:hint="eastAsia" w:ascii="宋体" w:hAnsi="宋体"/>
                <w:sz w:val="24"/>
                <w:szCs w:val="24"/>
              </w:rPr>
              <w:t>物料名称</w:t>
            </w:r>
          </w:p>
        </w:tc>
        <w:tc>
          <w:tcPr>
            <w:tcW w:w="1248" w:type="dxa"/>
            <w:noWrap w:val="0"/>
            <w:vAlign w:val="center"/>
          </w:tcPr>
          <w:p>
            <w:pPr>
              <w:spacing w:line="300" w:lineRule="auto"/>
              <w:jc w:val="center"/>
              <w:rPr>
                <w:rFonts w:ascii="宋体" w:hAnsi="宋体"/>
                <w:sz w:val="24"/>
                <w:szCs w:val="24"/>
              </w:rPr>
            </w:pPr>
            <w:r>
              <w:rPr>
                <w:rFonts w:hint="eastAsia" w:ascii="宋体" w:hAnsi="宋体"/>
                <w:sz w:val="24"/>
                <w:szCs w:val="24"/>
              </w:rPr>
              <w:t>品  牌</w:t>
            </w:r>
          </w:p>
        </w:tc>
        <w:tc>
          <w:tcPr>
            <w:tcW w:w="3118" w:type="dxa"/>
            <w:tcBorders>
              <w:right w:val="single" w:color="auto" w:sz="4" w:space="0"/>
            </w:tcBorders>
            <w:noWrap w:val="0"/>
            <w:vAlign w:val="center"/>
          </w:tcPr>
          <w:p>
            <w:pPr>
              <w:spacing w:line="300" w:lineRule="auto"/>
              <w:jc w:val="center"/>
              <w:rPr>
                <w:rFonts w:ascii="宋体" w:hAnsi="宋体"/>
                <w:sz w:val="24"/>
                <w:szCs w:val="24"/>
              </w:rPr>
            </w:pPr>
            <w:r>
              <w:rPr>
                <w:rFonts w:hint="eastAsia" w:ascii="宋体" w:hAnsi="宋体"/>
                <w:sz w:val="24"/>
                <w:szCs w:val="24"/>
              </w:rPr>
              <w:t>材料作用说明</w:t>
            </w:r>
          </w:p>
        </w:tc>
        <w:tc>
          <w:tcPr>
            <w:tcW w:w="1134" w:type="dxa"/>
            <w:tcBorders>
              <w:left w:val="single" w:color="auto" w:sz="4" w:space="0"/>
            </w:tcBorders>
            <w:noWrap w:val="0"/>
            <w:vAlign w:val="center"/>
          </w:tcPr>
          <w:p>
            <w:pPr>
              <w:spacing w:line="300" w:lineRule="auto"/>
              <w:jc w:val="center"/>
              <w:rPr>
                <w:rFonts w:ascii="宋体" w:hAnsi="宋体"/>
                <w:sz w:val="24"/>
                <w:szCs w:val="24"/>
              </w:rPr>
            </w:pPr>
            <w:r>
              <w:rPr>
                <w:rFonts w:hint="eastAsia" w:ascii="宋体" w:hAnsi="宋体"/>
                <w:sz w:val="24"/>
                <w:szCs w:val="24"/>
              </w:rPr>
              <w:t>使用数量（KG）</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8414" w:type="dxa"/>
            <w:gridSpan w:val="5"/>
            <w:noWrap w:val="0"/>
            <w:vAlign w:val="center"/>
          </w:tcPr>
          <w:p>
            <w:pPr>
              <w:rPr>
                <w:rFonts w:ascii="宋体" w:hAnsi="宋体"/>
                <w:sz w:val="24"/>
                <w:szCs w:val="24"/>
              </w:rPr>
            </w:pPr>
            <w:r>
              <w:rPr>
                <w:rFonts w:hint="eastAsia" w:ascii="宋体" w:hAnsi="宋体"/>
                <w:sz w:val="24"/>
                <w:szCs w:val="24"/>
              </w:rPr>
              <w:t>一、冷媒水清洗材料</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1</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冷媒水系统粘泥剥离剂</w:t>
            </w:r>
          </w:p>
        </w:tc>
        <w:tc>
          <w:tcPr>
            <w:tcW w:w="1248" w:type="dxa"/>
            <w:noWrap w:val="0"/>
            <w:vAlign w:val="center"/>
          </w:tcPr>
          <w:p>
            <w:pPr>
              <w:spacing w:line="300" w:lineRule="auto"/>
              <w:jc w:val="center"/>
              <w:rPr>
                <w:rFonts w:ascii="宋体" w:hAnsi="宋体"/>
                <w:sz w:val="24"/>
                <w:szCs w:val="24"/>
              </w:rPr>
            </w:pPr>
          </w:p>
        </w:tc>
        <w:tc>
          <w:tcPr>
            <w:tcW w:w="3118"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剥落生物粘泥</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60/年</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2</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冷媒水系统防腐剂</w:t>
            </w:r>
          </w:p>
        </w:tc>
        <w:tc>
          <w:tcPr>
            <w:tcW w:w="1248" w:type="dxa"/>
            <w:noWrap w:val="0"/>
            <w:vAlign w:val="center"/>
          </w:tcPr>
          <w:p>
            <w:pPr>
              <w:jc w:val="center"/>
              <w:rPr>
                <w:rFonts w:ascii="宋体" w:hAnsi="宋体"/>
                <w:sz w:val="24"/>
                <w:szCs w:val="24"/>
              </w:rPr>
            </w:pPr>
          </w:p>
        </w:tc>
        <w:tc>
          <w:tcPr>
            <w:tcW w:w="3118"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防止锈垢大块脱落而堵塞风盘滤网</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80/年</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3</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冷媒水系统杀菌剂</w:t>
            </w:r>
          </w:p>
        </w:tc>
        <w:tc>
          <w:tcPr>
            <w:tcW w:w="1248" w:type="dxa"/>
            <w:noWrap w:val="0"/>
            <w:vAlign w:val="center"/>
          </w:tcPr>
          <w:p>
            <w:pPr>
              <w:jc w:val="center"/>
              <w:rPr>
                <w:rFonts w:ascii="宋体" w:hAnsi="宋体"/>
                <w:sz w:val="24"/>
                <w:szCs w:val="24"/>
              </w:rPr>
            </w:pPr>
          </w:p>
        </w:tc>
        <w:tc>
          <w:tcPr>
            <w:tcW w:w="3118"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杀灭厌氧微生物</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40/年</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4</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消泡剂</w:t>
            </w:r>
          </w:p>
        </w:tc>
        <w:tc>
          <w:tcPr>
            <w:tcW w:w="1248" w:type="dxa"/>
            <w:noWrap w:val="0"/>
            <w:vAlign w:val="center"/>
          </w:tcPr>
          <w:p>
            <w:pPr>
              <w:jc w:val="center"/>
              <w:rPr>
                <w:rFonts w:ascii="宋体" w:hAnsi="宋体"/>
                <w:sz w:val="24"/>
                <w:szCs w:val="24"/>
              </w:rPr>
            </w:pPr>
          </w:p>
        </w:tc>
        <w:tc>
          <w:tcPr>
            <w:tcW w:w="3118"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清洗助剂</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20/年</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8414" w:type="dxa"/>
            <w:gridSpan w:val="5"/>
            <w:noWrap w:val="0"/>
            <w:vAlign w:val="center"/>
          </w:tcPr>
          <w:p>
            <w:pPr>
              <w:rPr>
                <w:rFonts w:ascii="宋体" w:hAnsi="宋体"/>
                <w:sz w:val="24"/>
                <w:szCs w:val="24"/>
              </w:rPr>
            </w:pPr>
            <w:r>
              <w:rPr>
                <w:rFonts w:hint="eastAsia" w:ascii="宋体" w:hAnsi="宋体"/>
                <w:sz w:val="24"/>
                <w:szCs w:val="24"/>
              </w:rPr>
              <w:t>二、冷却水清洗材料</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1</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消泡剂</w:t>
            </w:r>
          </w:p>
        </w:tc>
        <w:tc>
          <w:tcPr>
            <w:tcW w:w="1248" w:type="dxa"/>
            <w:noWrap w:val="0"/>
            <w:vAlign w:val="center"/>
          </w:tcPr>
          <w:p>
            <w:pPr>
              <w:jc w:val="center"/>
              <w:rPr>
                <w:rFonts w:ascii="宋体" w:hAnsi="宋体"/>
                <w:sz w:val="24"/>
                <w:szCs w:val="24"/>
              </w:rPr>
            </w:pPr>
          </w:p>
        </w:tc>
        <w:tc>
          <w:tcPr>
            <w:tcW w:w="3118"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清洗助剂</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40/年</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2</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冷却水系统杀菌剂</w:t>
            </w:r>
          </w:p>
        </w:tc>
        <w:tc>
          <w:tcPr>
            <w:tcW w:w="1248" w:type="dxa"/>
            <w:noWrap w:val="0"/>
            <w:vAlign w:val="center"/>
          </w:tcPr>
          <w:p>
            <w:pPr>
              <w:jc w:val="center"/>
              <w:rPr>
                <w:rFonts w:ascii="宋体" w:hAnsi="宋体"/>
                <w:sz w:val="24"/>
                <w:szCs w:val="24"/>
              </w:rPr>
            </w:pPr>
          </w:p>
        </w:tc>
        <w:tc>
          <w:tcPr>
            <w:tcW w:w="3118"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杀灭微生物和藻类</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2700/年</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3</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冷却水系统辅助杀菌剂</w:t>
            </w:r>
          </w:p>
        </w:tc>
        <w:tc>
          <w:tcPr>
            <w:tcW w:w="1248" w:type="dxa"/>
            <w:noWrap w:val="0"/>
            <w:vAlign w:val="center"/>
          </w:tcPr>
          <w:p>
            <w:pPr>
              <w:jc w:val="center"/>
              <w:rPr>
                <w:rFonts w:ascii="宋体" w:hAnsi="宋体"/>
                <w:sz w:val="24"/>
                <w:szCs w:val="24"/>
              </w:rPr>
            </w:pPr>
          </w:p>
        </w:tc>
        <w:tc>
          <w:tcPr>
            <w:tcW w:w="3118"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杀灭微生物和藻类</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100/年</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4</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冷却水系统粘泥剥离剂</w:t>
            </w:r>
          </w:p>
        </w:tc>
        <w:tc>
          <w:tcPr>
            <w:tcW w:w="1248" w:type="dxa"/>
            <w:noWrap w:val="0"/>
            <w:vAlign w:val="center"/>
          </w:tcPr>
          <w:p>
            <w:pPr>
              <w:jc w:val="center"/>
              <w:rPr>
                <w:rFonts w:ascii="宋体" w:hAnsi="宋体"/>
                <w:sz w:val="24"/>
                <w:szCs w:val="24"/>
              </w:rPr>
            </w:pPr>
          </w:p>
        </w:tc>
        <w:tc>
          <w:tcPr>
            <w:tcW w:w="3118"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剥离系统内生物粘泥</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60/年</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5</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冷却水系统防腐租垢剂</w:t>
            </w:r>
          </w:p>
        </w:tc>
        <w:tc>
          <w:tcPr>
            <w:tcW w:w="1248" w:type="dxa"/>
            <w:noWrap w:val="0"/>
            <w:vAlign w:val="center"/>
          </w:tcPr>
          <w:p>
            <w:pPr>
              <w:jc w:val="center"/>
              <w:rPr>
                <w:rFonts w:ascii="宋体" w:hAnsi="宋体"/>
                <w:sz w:val="24"/>
                <w:szCs w:val="24"/>
              </w:rPr>
            </w:pPr>
          </w:p>
        </w:tc>
        <w:tc>
          <w:tcPr>
            <w:tcW w:w="3118"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 xml:space="preserve">对清洗后的金属表面进行预膜，使之形成良好钝化膜，防止后续运行过程中的各种腐蚀。液态药剂，溶解性更好 </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640/年</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三</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技术服务费</w:t>
            </w:r>
          </w:p>
        </w:tc>
        <w:tc>
          <w:tcPr>
            <w:tcW w:w="1248" w:type="dxa"/>
            <w:noWrap w:val="0"/>
            <w:vAlign w:val="center"/>
          </w:tcPr>
          <w:p>
            <w:pPr>
              <w:spacing w:line="300" w:lineRule="auto"/>
              <w:jc w:val="center"/>
              <w:rPr>
                <w:rFonts w:ascii="宋体" w:hAnsi="宋体"/>
                <w:sz w:val="24"/>
                <w:szCs w:val="24"/>
              </w:rPr>
            </w:pPr>
            <w:r>
              <w:rPr>
                <w:rFonts w:hint="eastAsia" w:ascii="宋体" w:hAnsi="宋体"/>
                <w:sz w:val="24"/>
                <w:szCs w:val="24"/>
              </w:rPr>
              <w:t>项</w:t>
            </w:r>
          </w:p>
        </w:tc>
        <w:tc>
          <w:tcPr>
            <w:tcW w:w="3118" w:type="dxa"/>
            <w:tcBorders>
              <w:right w:val="single" w:color="auto" w:sz="4" w:space="0"/>
            </w:tcBorders>
            <w:noWrap w:val="0"/>
            <w:vAlign w:val="center"/>
          </w:tcPr>
          <w:p>
            <w:pPr>
              <w:rPr>
                <w:rFonts w:ascii="宋体" w:hAnsi="宋体"/>
                <w:sz w:val="24"/>
                <w:szCs w:val="24"/>
              </w:rPr>
            </w:pPr>
            <w:r>
              <w:rPr>
                <w:rFonts w:hint="eastAsia" w:ascii="宋体" w:hAnsi="宋体"/>
                <w:sz w:val="24"/>
                <w:szCs w:val="24"/>
              </w:rPr>
              <w:t>主管道过滤器及1376台末端水过滤器清洗、驻院技师服务费</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1</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四</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水质监测费</w:t>
            </w:r>
          </w:p>
        </w:tc>
        <w:tc>
          <w:tcPr>
            <w:tcW w:w="1248" w:type="dxa"/>
            <w:noWrap w:val="0"/>
            <w:vAlign w:val="center"/>
          </w:tcPr>
          <w:p>
            <w:pPr>
              <w:spacing w:line="300" w:lineRule="auto"/>
              <w:jc w:val="center"/>
              <w:rPr>
                <w:rFonts w:ascii="宋体" w:hAnsi="宋体"/>
                <w:sz w:val="24"/>
                <w:szCs w:val="24"/>
              </w:rPr>
            </w:pPr>
            <w:r>
              <w:rPr>
                <w:rFonts w:hint="eastAsia" w:ascii="宋体" w:hAnsi="宋体"/>
                <w:sz w:val="24"/>
                <w:szCs w:val="24"/>
              </w:rPr>
              <w:t>次</w:t>
            </w:r>
          </w:p>
        </w:tc>
        <w:tc>
          <w:tcPr>
            <w:tcW w:w="3118" w:type="dxa"/>
            <w:tcBorders>
              <w:right w:val="single" w:color="auto" w:sz="4" w:space="0"/>
            </w:tcBorders>
            <w:noWrap w:val="0"/>
            <w:vAlign w:val="center"/>
          </w:tcPr>
          <w:p>
            <w:pPr>
              <w:rPr>
                <w:rFonts w:ascii="宋体" w:hAnsi="宋体"/>
                <w:sz w:val="24"/>
                <w:szCs w:val="24"/>
              </w:rPr>
            </w:pPr>
            <w:r>
              <w:rPr>
                <w:rFonts w:hint="eastAsia" w:ascii="宋体" w:hAnsi="宋体" w:cs="宋体"/>
                <w:sz w:val="24"/>
                <w:shd w:val="clear" w:color="auto" w:fill="FFFFFF"/>
              </w:rPr>
              <w:t>每月提供1次水质分析测试报告</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12</w:t>
            </w:r>
          </w:p>
        </w:tc>
      </w:tr>
      <w:tr>
        <w:tblPrEx>
          <w:tblBorders>
            <w:top w:val="single" w:color="000080" w:sz="12" w:space="0"/>
            <w:left w:val="single" w:color="000080" w:sz="12" w:space="0"/>
            <w:bottom w:val="single" w:color="000080" w:sz="12" w:space="0"/>
            <w:right w:val="single" w:color="000080" w:sz="12" w:space="0"/>
            <w:insideH w:val="single" w:color="000080" w:sz="2" w:space="0"/>
            <w:insideV w:val="single" w:color="000080" w:sz="2" w:space="0"/>
          </w:tblBorders>
          <w:tblCellMar>
            <w:top w:w="0" w:type="dxa"/>
            <w:left w:w="108" w:type="dxa"/>
            <w:bottom w:w="0" w:type="dxa"/>
            <w:right w:w="108" w:type="dxa"/>
          </w:tblCellMar>
        </w:tblPrEx>
        <w:trPr>
          <w:trHeight w:val="567" w:hRule="atLeast"/>
          <w:jc w:val="center"/>
        </w:trPr>
        <w:tc>
          <w:tcPr>
            <w:tcW w:w="688" w:type="dxa"/>
            <w:noWrap w:val="0"/>
            <w:vAlign w:val="center"/>
          </w:tcPr>
          <w:p>
            <w:pPr>
              <w:spacing w:line="300" w:lineRule="auto"/>
              <w:jc w:val="center"/>
              <w:rPr>
                <w:rFonts w:ascii="宋体" w:hAnsi="宋体"/>
                <w:sz w:val="24"/>
                <w:szCs w:val="24"/>
              </w:rPr>
            </w:pPr>
            <w:r>
              <w:rPr>
                <w:rFonts w:hint="eastAsia" w:ascii="宋体" w:hAnsi="宋体"/>
                <w:sz w:val="24"/>
                <w:szCs w:val="24"/>
              </w:rPr>
              <w:t>五</w:t>
            </w:r>
          </w:p>
        </w:tc>
        <w:tc>
          <w:tcPr>
            <w:tcW w:w="2226" w:type="dxa"/>
            <w:noWrap w:val="0"/>
            <w:vAlign w:val="center"/>
          </w:tcPr>
          <w:p>
            <w:pPr>
              <w:spacing w:line="300" w:lineRule="auto"/>
              <w:rPr>
                <w:rFonts w:ascii="宋体" w:hAnsi="宋体"/>
                <w:sz w:val="24"/>
                <w:szCs w:val="24"/>
              </w:rPr>
            </w:pPr>
            <w:r>
              <w:rPr>
                <w:rFonts w:hint="eastAsia" w:ascii="宋体" w:hAnsi="宋体"/>
                <w:sz w:val="24"/>
                <w:szCs w:val="24"/>
              </w:rPr>
              <w:t>自动加药设备</w:t>
            </w:r>
          </w:p>
        </w:tc>
        <w:tc>
          <w:tcPr>
            <w:tcW w:w="1248" w:type="dxa"/>
            <w:noWrap w:val="0"/>
            <w:vAlign w:val="center"/>
          </w:tcPr>
          <w:p>
            <w:pPr>
              <w:spacing w:line="300" w:lineRule="auto"/>
              <w:jc w:val="center"/>
              <w:rPr>
                <w:rFonts w:ascii="宋体" w:hAnsi="宋体"/>
                <w:sz w:val="24"/>
                <w:szCs w:val="24"/>
              </w:rPr>
            </w:pPr>
            <w:r>
              <w:rPr>
                <w:rFonts w:hint="eastAsia" w:ascii="宋体" w:hAnsi="宋体"/>
                <w:sz w:val="24"/>
                <w:szCs w:val="24"/>
              </w:rPr>
              <w:t>台</w:t>
            </w:r>
          </w:p>
        </w:tc>
        <w:tc>
          <w:tcPr>
            <w:tcW w:w="3118" w:type="dxa"/>
            <w:tcBorders>
              <w:right w:val="single" w:color="auto" w:sz="4" w:space="0"/>
            </w:tcBorders>
            <w:noWrap w:val="0"/>
            <w:vAlign w:val="center"/>
          </w:tcPr>
          <w:p>
            <w:pPr>
              <w:rPr>
                <w:rFonts w:ascii="宋体" w:hAnsi="宋体" w:cs="宋体"/>
                <w:sz w:val="24"/>
                <w:shd w:val="clear" w:color="auto" w:fill="FFFFFF"/>
              </w:rPr>
            </w:pPr>
            <w:r>
              <w:rPr>
                <w:rFonts w:hint="eastAsia" w:ascii="宋体" w:hAnsi="宋体" w:cs="宋体"/>
                <w:sz w:val="24"/>
                <w:shd w:val="clear" w:color="auto" w:fill="FFFFFF"/>
              </w:rPr>
              <w:t>双系统：杀菌灭藻；防腐阻垢</w:t>
            </w:r>
          </w:p>
        </w:tc>
        <w:tc>
          <w:tcPr>
            <w:tcW w:w="1134" w:type="dxa"/>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1</w:t>
            </w:r>
          </w:p>
        </w:tc>
      </w:tr>
    </w:tbl>
    <w:p>
      <w:pPr>
        <w:pStyle w:val="2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如在合同履行期间，政府或有关部门有新的规范、标准和要求发布，则须按最新的规范、标准和要求进行作业和服务，且合同价不予调整。</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四、其他约定事项：</w:t>
      </w:r>
    </w:p>
    <w:p>
      <w:pPr>
        <w:spacing w:line="360" w:lineRule="auto"/>
        <w:ind w:firstLine="480" w:firstLineChars="200"/>
        <w:rPr>
          <w:rFonts w:ascii="宋体" w:hAnsi="宋体" w:cs="宋体"/>
          <w:sz w:val="24"/>
          <w:szCs w:val="24"/>
        </w:rPr>
      </w:pPr>
      <w:r>
        <w:rPr>
          <w:rFonts w:hint="eastAsia" w:ascii="宋体" w:hAnsi="宋体" w:cs="宋体"/>
          <w:sz w:val="24"/>
          <w:szCs w:val="24"/>
        </w:rPr>
        <w:t>1、乙方必须按照法律、法规及劳动法的有关规定为服务人员办理相关手续，合法经营。</w:t>
      </w:r>
    </w:p>
    <w:p>
      <w:pPr>
        <w:spacing w:line="360" w:lineRule="auto"/>
        <w:ind w:firstLine="480" w:firstLineChars="200"/>
        <w:rPr>
          <w:rFonts w:ascii="宋体" w:hAnsi="宋体" w:cs="宋体"/>
          <w:sz w:val="24"/>
          <w:szCs w:val="24"/>
        </w:rPr>
      </w:pPr>
      <w:r>
        <w:rPr>
          <w:rFonts w:hint="eastAsia" w:ascii="宋体" w:hAnsi="宋体" w:cs="宋体"/>
          <w:sz w:val="24"/>
          <w:szCs w:val="24"/>
        </w:rPr>
        <w:t>2、乙方为甲方提供的服务人员在合同期内如发生因工伤、致残、疾病、死亡等各类劳动仲裁、诉讼等事宜均与甲方无关。</w:t>
      </w:r>
    </w:p>
    <w:p>
      <w:pPr>
        <w:spacing w:line="360" w:lineRule="auto"/>
        <w:ind w:firstLine="480" w:firstLineChars="200"/>
        <w:rPr>
          <w:rFonts w:ascii="宋体" w:hAnsi="宋体" w:cs="宋体"/>
          <w:sz w:val="24"/>
          <w:szCs w:val="24"/>
        </w:rPr>
      </w:pPr>
      <w:r>
        <w:rPr>
          <w:rFonts w:hint="eastAsia" w:ascii="宋体" w:hAnsi="宋体" w:cs="宋体"/>
          <w:sz w:val="24"/>
          <w:szCs w:val="24"/>
        </w:rPr>
        <w:t>3、工作过程中因乙方责任所造成的经济损失由乙方按实际额赔偿。因不可抗力因素造成增加的费用或造成采购方提供的设施损失，双方共同协商解决。</w:t>
      </w:r>
    </w:p>
    <w:p>
      <w:pPr>
        <w:pStyle w:val="20"/>
        <w:spacing w:line="360" w:lineRule="auto"/>
        <w:ind w:firstLine="480" w:firstLineChars="200"/>
        <w:rPr>
          <w:rFonts w:ascii="宋体" w:hAnsi="宋体" w:cs="宋体"/>
          <w:sz w:val="24"/>
          <w:szCs w:val="24"/>
        </w:rPr>
      </w:pPr>
      <w:r>
        <w:rPr>
          <w:rFonts w:hint="eastAsia" w:ascii="宋体" w:hAnsi="宋体" w:cs="宋体"/>
          <w:sz w:val="24"/>
          <w:szCs w:val="24"/>
        </w:rPr>
        <w:t>4、合同届满时，乙方必须做好一切交接手续，确保甲方工作的正常进行，否则视为乙方违约，造成损失的应予赔偿。如甲方因特殊原因需延期的，乙方应配合完成。</w:t>
      </w:r>
    </w:p>
    <w:p>
      <w:pPr>
        <w:adjustRightInd w:val="0"/>
        <w:snapToGrid w:val="0"/>
        <w:spacing w:line="360" w:lineRule="auto"/>
        <w:ind w:firstLine="480" w:firstLineChars="200"/>
        <w:rPr>
          <w:rFonts w:ascii="宋体" w:hAnsi="宋体"/>
          <w:sz w:val="24"/>
        </w:rPr>
      </w:pPr>
      <w:r>
        <w:rPr>
          <w:rFonts w:hint="eastAsia" w:ascii="宋体" w:hAnsi="宋体"/>
          <w:sz w:val="24"/>
        </w:rPr>
        <w:t>5、安全生产：</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（1）乙方应严格按照工程建设安全生产的有关管理规定，设置安全措施文明施工。</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（2）特种设备人员必须持证上岗，高空作业必须做好正规施工方案，并到相关部门进行备案。</w:t>
      </w:r>
    </w:p>
    <w:p>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（3）若发生安全生产事故或对非现场施工的第三方人员造成伤害，造成的相关损失，均由乙方承担。</w:t>
      </w:r>
    </w:p>
    <w:p>
      <w:pPr>
        <w:adjustRightInd w:val="0"/>
        <w:snapToGrid w:val="0"/>
        <w:spacing w:line="360" w:lineRule="auto"/>
        <w:ind w:firstLine="480" w:firstLineChars="200"/>
        <w:rPr>
          <w:rFonts w:hint="eastAsia" w:ascii="宋体" w:hAnsi="宋体"/>
          <w:sz w:val="24"/>
        </w:rPr>
      </w:pPr>
      <w:r>
        <w:rPr>
          <w:rFonts w:hint="eastAsia" w:ascii="宋体" w:hAnsi="宋体"/>
          <w:sz w:val="24"/>
        </w:rPr>
        <w:t>6、乙方责任：</w:t>
      </w:r>
    </w:p>
    <w:p>
      <w:pPr>
        <w:adjustRightInd w:val="0"/>
        <w:snapToGrid w:val="0"/>
        <w:spacing w:line="360" w:lineRule="auto"/>
        <w:ind w:firstLine="480" w:firstLineChars="200"/>
        <w:rPr>
          <w:rFonts w:ascii="宋体" w:hAnsi="宋体"/>
          <w:sz w:val="24"/>
        </w:rPr>
      </w:pPr>
      <w:r>
        <w:rPr>
          <w:rFonts w:hint="eastAsia" w:ascii="宋体" w:hAnsi="宋体"/>
          <w:sz w:val="24"/>
        </w:rPr>
        <w:t xml:space="preserve">6.1  </w:t>
      </w:r>
      <w:r>
        <w:rPr>
          <w:rFonts w:hint="eastAsia" w:ascii="宋体" w:hAnsi="宋体" w:cs="宋体"/>
          <w:color w:val="000000"/>
          <w:sz w:val="24"/>
          <w:shd w:val="clear" w:color="auto" w:fill="FFFFFF"/>
        </w:rPr>
        <w:t>乙方</w:t>
      </w:r>
      <w:r>
        <w:rPr>
          <w:rFonts w:hint="eastAsia" w:ascii="宋体" w:hAnsi="宋体"/>
          <w:sz w:val="24"/>
        </w:rPr>
        <w:t>必须按照方案规定的时间进行清洗、维保，禁止以任何借口进行事后补做。</w:t>
      </w:r>
    </w:p>
    <w:p>
      <w:pPr>
        <w:adjustRightInd w:val="0"/>
        <w:snapToGrid w:val="0"/>
        <w:spacing w:line="360" w:lineRule="auto"/>
        <w:ind w:firstLine="480" w:firstLineChars="200"/>
        <w:rPr>
          <w:rFonts w:ascii="宋体" w:hAnsi="宋体"/>
          <w:sz w:val="24"/>
        </w:rPr>
      </w:pPr>
      <w:r>
        <w:rPr>
          <w:rFonts w:hint="eastAsia" w:ascii="宋体" w:hAnsi="宋体"/>
          <w:sz w:val="24"/>
        </w:rPr>
        <w:t xml:space="preserve">6.2 </w:t>
      </w:r>
      <w:r>
        <w:rPr>
          <w:rFonts w:hint="eastAsia" w:ascii="宋体" w:hAnsi="宋体" w:cs="宋体"/>
          <w:color w:val="000000"/>
          <w:sz w:val="24"/>
          <w:shd w:val="clear" w:color="auto" w:fill="FFFFFF"/>
        </w:rPr>
        <w:t>乙方</w:t>
      </w:r>
      <w:r>
        <w:rPr>
          <w:rFonts w:hint="eastAsia" w:ascii="宋体" w:hAnsi="宋体"/>
          <w:sz w:val="24"/>
        </w:rPr>
        <w:t>每次维保时应向甲方提交施工方案和施工时间表，便于甲方安排、监督。维保工作结束后要出具影像资料、记录表、汇总报告报送甲方签字确认。</w:t>
      </w:r>
    </w:p>
    <w:p>
      <w:pPr>
        <w:adjustRightInd w:val="0"/>
        <w:snapToGrid w:val="0"/>
        <w:spacing w:line="360" w:lineRule="auto"/>
        <w:ind w:firstLine="480" w:firstLineChars="200"/>
        <w:rPr>
          <w:rFonts w:ascii="宋体" w:hAnsi="宋体"/>
          <w:sz w:val="24"/>
        </w:rPr>
      </w:pPr>
      <w:r>
        <w:rPr>
          <w:rFonts w:hint="eastAsia" w:ascii="宋体" w:hAnsi="宋体"/>
          <w:sz w:val="24"/>
        </w:rPr>
        <w:t>6.3 对于因故障原因要求更换零件的，要求先对故障进行分析，向甲方提交分析报告，提出修理建议，修理完成后需要经甲方验收确认、签证，并提交更换下来的旧的零部件。</w:t>
      </w:r>
    </w:p>
    <w:p>
      <w:pPr>
        <w:adjustRightInd w:val="0"/>
        <w:snapToGrid w:val="0"/>
        <w:spacing w:line="360" w:lineRule="auto"/>
        <w:ind w:firstLine="480" w:firstLineChars="200"/>
        <w:rPr>
          <w:rFonts w:ascii="宋体" w:hAnsi="宋体"/>
          <w:sz w:val="24"/>
        </w:rPr>
      </w:pPr>
      <w:r>
        <w:rPr>
          <w:rFonts w:hint="eastAsia" w:ascii="宋体" w:hAnsi="宋体"/>
          <w:sz w:val="24"/>
        </w:rPr>
        <w:t>6.4 乙方因维修不当或不慎造成损坏，应及时赔偿、修复并承担由此造成的损失。</w:t>
      </w:r>
    </w:p>
    <w:p>
      <w:pPr>
        <w:snapToGrid w:val="0"/>
        <w:spacing w:line="360" w:lineRule="auto"/>
        <w:ind w:firstLine="480" w:firstLineChars="200"/>
        <w:rPr>
          <w:rFonts w:hint="eastAsia" w:ascii="宋体" w:hAnsi="宋体"/>
          <w:sz w:val="24"/>
          <w:szCs w:val="24"/>
          <w:highlight w:val="yellow"/>
        </w:rPr>
      </w:pPr>
      <w:r>
        <w:rPr>
          <w:rFonts w:hint="eastAsia" w:ascii="宋体" w:hAnsi="宋体"/>
          <w:sz w:val="24"/>
        </w:rPr>
        <w:t xml:space="preserve">6.5 </w:t>
      </w:r>
      <w:r>
        <w:rPr>
          <w:rFonts w:hint="eastAsia" w:ascii="宋体" w:hAnsi="宋体" w:cs="宋体"/>
          <w:sz w:val="24"/>
          <w:szCs w:val="24"/>
        </w:rPr>
        <w:t>乙方</w:t>
      </w:r>
      <w:r>
        <w:rPr>
          <w:rFonts w:hint="eastAsia" w:ascii="宋体" w:hAnsi="宋体"/>
          <w:sz w:val="24"/>
        </w:rPr>
        <w:t>每次保养和维修必须有工作单，并报甲方技术中心确认；有完整的实际的保养记录本，每季度提交甲方审核，年底提交甲方审核存档。</w:t>
      </w:r>
    </w:p>
    <w:p>
      <w:pPr>
        <w:snapToGrid w:val="0"/>
        <w:spacing w:line="360" w:lineRule="auto"/>
        <w:ind w:firstLine="480" w:firstLineChars="200"/>
        <w:rPr>
          <w:rFonts w:ascii="宋体" w:hAnsi="宋体"/>
          <w:sz w:val="24"/>
          <w:szCs w:val="24"/>
        </w:rPr>
      </w:pPr>
      <w:r>
        <w:rPr>
          <w:rFonts w:hint="eastAsia" w:ascii="宋体" w:hAnsi="宋体"/>
          <w:sz w:val="24"/>
          <w:szCs w:val="24"/>
        </w:rPr>
        <w:t>7、甲方责任：</w:t>
      </w:r>
    </w:p>
    <w:p>
      <w:pPr>
        <w:snapToGrid w:val="0"/>
        <w:spacing w:line="360" w:lineRule="auto"/>
        <w:ind w:firstLine="480" w:firstLineChars="200"/>
        <w:rPr>
          <w:rFonts w:ascii="宋体" w:hAnsi="宋体"/>
          <w:sz w:val="24"/>
          <w:szCs w:val="24"/>
        </w:rPr>
      </w:pPr>
      <w:r>
        <w:rPr>
          <w:rFonts w:hint="eastAsia" w:ascii="宋体" w:hAnsi="宋体"/>
          <w:sz w:val="24"/>
          <w:szCs w:val="24"/>
        </w:rPr>
        <w:t>7.1 甲方指派专人与乙方协作、配合工作，提供工作便利，对乙方的维保服务进行监督管理。乙方每次服务之后甲方应当在乙方的工作记录上签字确认。</w:t>
      </w:r>
    </w:p>
    <w:p>
      <w:pPr>
        <w:snapToGrid w:val="0"/>
        <w:spacing w:line="360" w:lineRule="auto"/>
        <w:ind w:firstLine="480" w:firstLineChars="200"/>
        <w:rPr>
          <w:rFonts w:ascii="宋体" w:hAnsi="宋体"/>
          <w:sz w:val="24"/>
          <w:szCs w:val="24"/>
        </w:rPr>
      </w:pPr>
      <w:r>
        <w:rPr>
          <w:rFonts w:hint="eastAsia" w:ascii="宋体" w:hAnsi="宋体"/>
          <w:sz w:val="24"/>
          <w:szCs w:val="24"/>
        </w:rPr>
        <w:t>7.2 按照乙方提出的专业建议结合甲方实际情况进行实施整改。按照乙方要求结合甲方实际情况提供维保服务。</w:t>
      </w:r>
    </w:p>
    <w:p>
      <w:pPr>
        <w:snapToGrid w:val="0"/>
        <w:spacing w:line="360" w:lineRule="auto"/>
        <w:ind w:firstLine="480" w:firstLineChars="200"/>
        <w:rPr>
          <w:rFonts w:ascii="宋体" w:hAnsi="宋体"/>
          <w:sz w:val="24"/>
          <w:szCs w:val="24"/>
        </w:rPr>
      </w:pPr>
      <w:r>
        <w:rPr>
          <w:rFonts w:hint="eastAsia" w:ascii="宋体" w:hAnsi="宋体"/>
          <w:sz w:val="24"/>
          <w:szCs w:val="24"/>
        </w:rPr>
        <w:t>7.3 按约定时间付清服务费。</w:t>
      </w:r>
    </w:p>
    <w:p>
      <w:pPr>
        <w:snapToGrid w:val="0"/>
        <w:spacing w:line="360" w:lineRule="auto"/>
        <w:ind w:firstLine="480" w:firstLineChars="200"/>
        <w:rPr>
          <w:rFonts w:hint="eastAsia" w:ascii="宋体" w:hAnsi="宋体"/>
          <w:sz w:val="24"/>
          <w:szCs w:val="24"/>
        </w:rPr>
      </w:pPr>
      <w:r>
        <w:rPr>
          <w:rFonts w:hint="eastAsia" w:ascii="宋体" w:hAnsi="宋体"/>
          <w:sz w:val="24"/>
          <w:szCs w:val="24"/>
        </w:rPr>
        <w:t>7.4 乙方承诺在中央空调水处理维保服务项目范围内，不再收取甲方任何其他关于维保的费用。如果需要增加合同约定以外的服务，应经双方协商，并增付相应费用。</w:t>
      </w:r>
    </w:p>
    <w:p>
      <w:pPr>
        <w:adjustRightInd w:val="0"/>
        <w:snapToGrid w:val="0"/>
        <w:spacing w:line="360" w:lineRule="auto"/>
        <w:ind w:firstLine="480" w:firstLineChars="200"/>
        <w:rPr>
          <w:rFonts w:ascii="宋体" w:hAnsi="宋体"/>
          <w:sz w:val="24"/>
        </w:rPr>
      </w:pPr>
      <w:r>
        <w:rPr>
          <w:rFonts w:hint="eastAsia" w:ascii="宋体" w:hAnsi="宋体"/>
          <w:sz w:val="24"/>
        </w:rPr>
        <w:t>7.5 乙方接到维修通知后不能在规定时间内保证系统正常运行的，甲方有权自行处理，所需费用在乙方的维保费用中扣除，并保留追究相应合同违约责任的权利。</w:t>
      </w:r>
    </w:p>
    <w:p>
      <w:pPr>
        <w:snapToGrid w:val="0"/>
        <w:spacing w:line="360" w:lineRule="auto"/>
        <w:ind w:firstLine="480" w:firstLineChars="200"/>
        <w:rPr>
          <w:rFonts w:ascii="宋体" w:hAnsi="宋体"/>
          <w:sz w:val="24"/>
          <w:szCs w:val="24"/>
        </w:rPr>
      </w:pPr>
      <w:r>
        <w:rPr>
          <w:rFonts w:hint="eastAsia" w:ascii="宋体" w:hAnsi="宋体"/>
          <w:sz w:val="24"/>
          <w:szCs w:val="24"/>
        </w:rPr>
        <w:t>8、违约处理:</w:t>
      </w:r>
    </w:p>
    <w:p>
      <w:pPr>
        <w:snapToGrid w:val="0"/>
        <w:spacing w:line="360" w:lineRule="auto"/>
        <w:ind w:firstLine="480" w:firstLineChars="200"/>
        <w:rPr>
          <w:rFonts w:ascii="宋体" w:hAnsi="宋体"/>
          <w:sz w:val="24"/>
          <w:szCs w:val="24"/>
        </w:rPr>
      </w:pPr>
      <w:r>
        <w:rPr>
          <w:rFonts w:hint="eastAsia" w:ascii="宋体" w:hAnsi="宋体"/>
          <w:sz w:val="24"/>
          <w:szCs w:val="24"/>
        </w:rPr>
        <w:t>未经双方共同同意，本合同不得随意终止，但若乙方服务质量年度考核等级为D，甲方可终止合同，且服务费不再支付，乙方的履约保证金不予退还。违约条款第2条，如乙方月度考核等级为C，需针对“主要问题”一周内做出改善措施，并书面回复甲方，年度内任意3个月为C等级，则年度考核结果为C，且扣除服务费的10%。</w:t>
      </w:r>
    </w:p>
    <w:p>
      <w:pPr>
        <w:snapToGrid w:val="0"/>
        <w:spacing w:line="360" w:lineRule="auto"/>
        <w:ind w:firstLine="480" w:firstLineChars="200"/>
        <w:rPr>
          <w:rFonts w:ascii="宋体" w:hAnsi="宋体"/>
          <w:sz w:val="24"/>
          <w:szCs w:val="24"/>
        </w:rPr>
      </w:pPr>
      <w:r>
        <w:rPr>
          <w:rFonts w:hint="eastAsia" w:ascii="宋体" w:hAnsi="宋体"/>
          <w:sz w:val="24"/>
          <w:szCs w:val="24"/>
        </w:rPr>
        <w:t>9、如遇不可抗力造成的损失或合同终止，双方均不承担责任。</w:t>
      </w:r>
    </w:p>
    <w:p>
      <w:pPr>
        <w:snapToGrid w:val="0"/>
        <w:spacing w:line="360" w:lineRule="auto"/>
        <w:ind w:firstLine="480" w:firstLineChars="200"/>
        <w:rPr>
          <w:rFonts w:ascii="宋体" w:hAnsi="宋体"/>
          <w:sz w:val="24"/>
          <w:szCs w:val="24"/>
        </w:rPr>
      </w:pPr>
      <w:r>
        <w:rPr>
          <w:rFonts w:hint="eastAsia" w:ascii="宋体" w:hAnsi="宋体"/>
          <w:sz w:val="24"/>
          <w:szCs w:val="24"/>
        </w:rPr>
        <w:t>10、如遇本合同或磋商文件未提及事项，由双方友好协商处理。协商不成，可向合同履行所在地人民法院提起诉讼。</w:t>
      </w:r>
    </w:p>
    <w:p>
      <w:pPr>
        <w:snapToGrid w:val="0"/>
        <w:spacing w:line="360" w:lineRule="auto"/>
        <w:ind w:firstLine="480" w:firstLineChars="200"/>
        <w:rPr>
          <w:rFonts w:ascii="宋体" w:hAnsi="宋体"/>
          <w:sz w:val="24"/>
          <w:szCs w:val="24"/>
        </w:rPr>
      </w:pPr>
      <w:r>
        <w:rPr>
          <w:rFonts w:hint="eastAsia" w:ascii="宋体" w:hAnsi="宋体"/>
          <w:sz w:val="24"/>
          <w:szCs w:val="24"/>
        </w:rPr>
        <w:t>11、本合同壹式伍份，甲方执肆份，乙方执壹份。乙方缴纳履约保证金、且双方签字、盖章确认后，本合同生效。</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甲方（盖章）:                             乙方（盖章）</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授权代表签字:</w:t>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授权代表签字:</w:t>
      </w:r>
      <w:r>
        <w:rPr>
          <w:rFonts w:hint="eastAsia" w:ascii="宋体" w:hAnsi="宋体"/>
          <w:sz w:val="24"/>
          <w:szCs w:val="24"/>
        </w:rPr>
        <w:tab/>
      </w:r>
    </w:p>
    <w:p>
      <w:pPr>
        <w:spacing w:line="360" w:lineRule="auto"/>
        <w:ind w:firstLine="480" w:firstLineChars="200"/>
        <w:rPr>
          <w:rFonts w:ascii="宋体" w:hAnsi="宋体"/>
          <w:sz w:val="24"/>
          <w:szCs w:val="24"/>
        </w:rPr>
      </w:pPr>
    </w:p>
    <w:p>
      <w:pPr>
        <w:spacing w:line="360" w:lineRule="auto"/>
        <w:ind w:firstLine="480" w:firstLineChars="200"/>
        <w:rPr>
          <w:rFonts w:hint="eastAsia" w:ascii="宋体" w:hAnsi="宋体"/>
          <w:sz w:val="24"/>
          <w:szCs w:val="24"/>
          <w:lang w:eastAsia="zh-CN"/>
        </w:rPr>
      </w:pPr>
      <w:r>
        <w:rPr>
          <w:rFonts w:hint="eastAsia" w:ascii="宋体" w:hAnsi="宋体"/>
          <w:sz w:val="24"/>
          <w:szCs w:val="24"/>
        </w:rPr>
        <w:t xml:space="preserve">日期：  年   月   日                      日期:      年   月   </w:t>
      </w:r>
      <w:r>
        <w:rPr>
          <w:rFonts w:hint="eastAsia" w:ascii="宋体" w:hAnsi="宋体"/>
          <w:sz w:val="24"/>
          <w:szCs w:val="24"/>
          <w:lang w:eastAsia="zh-CN"/>
        </w:rPr>
        <w:t>日</w:t>
      </w:r>
    </w:p>
    <w:p>
      <w:pPr>
        <w:pStyle w:val="2"/>
        <w:rPr>
          <w:rFonts w:hint="eastAsia" w:ascii="宋体" w:hAnsi="宋体"/>
          <w:sz w:val="24"/>
          <w:szCs w:val="24"/>
          <w:lang w:eastAsia="zh-CN"/>
        </w:rPr>
      </w:pPr>
    </w:p>
    <w:p>
      <w:pPr>
        <w:pStyle w:val="5"/>
        <w:rPr>
          <w:rFonts w:hint="eastAsia" w:ascii="宋体" w:hAnsi="宋体"/>
          <w:sz w:val="24"/>
          <w:szCs w:val="24"/>
          <w:lang w:eastAsia="zh-CN"/>
        </w:rPr>
      </w:pPr>
    </w:p>
    <w:p>
      <w:pPr>
        <w:pStyle w:val="5"/>
        <w:rPr>
          <w:rFonts w:hint="eastAsia" w:ascii="宋体" w:hAnsi="宋体"/>
          <w:sz w:val="24"/>
          <w:szCs w:val="24"/>
          <w:lang w:eastAsia="zh-CN"/>
        </w:rPr>
      </w:pPr>
    </w:p>
    <w:p>
      <w:pPr>
        <w:pStyle w:val="5"/>
        <w:rPr>
          <w:rFonts w:hint="eastAsia" w:ascii="宋体" w:hAnsi="宋体"/>
          <w:sz w:val="24"/>
          <w:szCs w:val="24"/>
          <w:lang w:eastAsia="zh-CN"/>
        </w:rPr>
      </w:pPr>
    </w:p>
    <w:p>
      <w:pPr>
        <w:pStyle w:val="5"/>
        <w:rPr>
          <w:rFonts w:hint="eastAsia" w:ascii="宋体" w:hAnsi="宋体"/>
          <w:sz w:val="24"/>
          <w:szCs w:val="24"/>
          <w:lang w:eastAsia="zh-CN"/>
        </w:rPr>
      </w:pPr>
    </w:p>
    <w:p>
      <w:pPr>
        <w:pStyle w:val="5"/>
        <w:rPr>
          <w:rFonts w:hint="eastAsia" w:ascii="宋体" w:hAnsi="宋体"/>
          <w:sz w:val="24"/>
          <w:szCs w:val="24"/>
          <w:lang w:eastAsia="zh-CN"/>
        </w:rPr>
      </w:pPr>
    </w:p>
    <w:p>
      <w:pPr>
        <w:pStyle w:val="5"/>
        <w:rPr>
          <w:rFonts w:hint="eastAsia" w:ascii="宋体" w:hAnsi="宋体"/>
          <w:sz w:val="24"/>
          <w:szCs w:val="24"/>
          <w:lang w:eastAsia="zh-CN"/>
        </w:rPr>
      </w:pPr>
    </w:p>
    <w:p>
      <w:pPr>
        <w:pStyle w:val="5"/>
        <w:rPr>
          <w:rFonts w:hint="eastAsia" w:ascii="宋体" w:hAnsi="宋体"/>
          <w:sz w:val="24"/>
          <w:szCs w:val="24"/>
          <w:lang w:eastAsia="zh-CN"/>
        </w:rPr>
      </w:pPr>
    </w:p>
    <w:p>
      <w:pPr>
        <w:pStyle w:val="5"/>
        <w:rPr>
          <w:rFonts w:hint="eastAsia" w:ascii="宋体" w:hAnsi="宋体"/>
          <w:sz w:val="24"/>
          <w:szCs w:val="24"/>
          <w:lang w:eastAsia="zh-CN"/>
        </w:rPr>
      </w:pPr>
    </w:p>
    <w:p>
      <w:pPr>
        <w:pStyle w:val="5"/>
        <w:rPr>
          <w:rFonts w:hint="eastAsia" w:ascii="宋体" w:hAnsi="宋体"/>
          <w:sz w:val="24"/>
          <w:szCs w:val="24"/>
          <w:lang w:eastAsia="zh-CN"/>
        </w:rPr>
      </w:pPr>
    </w:p>
    <w:p>
      <w:pPr>
        <w:pStyle w:val="5"/>
        <w:rPr>
          <w:rFonts w:hint="eastAsia" w:ascii="宋体" w:hAnsi="宋体"/>
          <w:sz w:val="24"/>
          <w:szCs w:val="24"/>
          <w:lang w:eastAsia="zh-CN"/>
        </w:rPr>
      </w:pPr>
    </w:p>
    <w:p>
      <w:pPr>
        <w:pStyle w:val="5"/>
        <w:rPr>
          <w:rFonts w:hint="eastAsia" w:ascii="宋体" w:hAnsi="宋体"/>
          <w:sz w:val="24"/>
          <w:szCs w:val="24"/>
          <w:lang w:eastAsia="zh-CN"/>
        </w:rPr>
      </w:pPr>
    </w:p>
    <w:p>
      <w:pPr>
        <w:pStyle w:val="5"/>
        <w:rPr>
          <w:rFonts w:hint="eastAsia" w:ascii="宋体" w:hAnsi="宋体"/>
          <w:sz w:val="24"/>
          <w:szCs w:val="24"/>
          <w:lang w:eastAsia="zh-CN"/>
        </w:rPr>
      </w:pPr>
    </w:p>
    <w:p>
      <w:pPr>
        <w:pStyle w:val="5"/>
        <w:ind w:left="0" w:leftChars="0" w:firstLine="0" w:firstLineChars="0"/>
        <w:rPr>
          <w:rFonts w:hint="eastAsia" w:ascii="宋体" w:hAnsi="宋体"/>
          <w:sz w:val="24"/>
          <w:szCs w:val="24"/>
          <w:lang w:eastAsia="zh-CN"/>
        </w:rPr>
      </w:pPr>
    </w:p>
    <w:tbl>
      <w:tblPr>
        <w:tblStyle w:val="51"/>
        <w:tblpPr w:leftFromText="180" w:rightFromText="180" w:vertAnchor="text" w:tblpX="392"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267"/>
        <w:gridCol w:w="601"/>
        <w:gridCol w:w="822"/>
        <w:gridCol w:w="1025"/>
        <w:gridCol w:w="1090"/>
        <w:gridCol w:w="758"/>
        <w:gridCol w:w="844"/>
        <w:gridCol w:w="1087"/>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Pr>
        <w:tc>
          <w:tcPr>
            <w:tcW w:w="9033" w:type="dxa"/>
            <w:gridSpan w:val="9"/>
            <w:tcBorders>
              <w:top w:val="nil"/>
              <w:left w:val="nil"/>
              <w:bottom w:val="single" w:color="auto" w:sz="4" w:space="0"/>
              <w:right w:val="nil"/>
            </w:tcBorders>
            <w:shd w:val="clear" w:color="auto" w:fill="auto"/>
            <w:noWrap w:val="0"/>
            <w:vAlign w:val="top"/>
          </w:tcPr>
          <w:p>
            <w:pPr>
              <w:pStyle w:val="2"/>
              <w:ind w:firstLine="0" w:firstLineChars="0"/>
              <w:rPr>
                <w:rFonts w:hint="eastAsia"/>
                <w:b/>
                <w:sz w:val="40"/>
              </w:rPr>
            </w:pPr>
            <w:r>
              <w:rPr>
                <w:rFonts w:hint="eastAsia"/>
                <w:b/>
                <w:sz w:val="36"/>
              </w:rPr>
              <w:t>南通妇幼保健院中央空调水处理维保服务</w:t>
            </w:r>
            <w:r>
              <w:rPr>
                <w:rFonts w:hint="eastAsia"/>
                <w:b/>
                <w:sz w:val="36"/>
                <w:lang w:eastAsia="zh-CN"/>
              </w:rPr>
              <w:t>考核</w:t>
            </w:r>
            <w:r>
              <w:rPr>
                <w:rFonts w:hint="eastAsia"/>
                <w:b/>
                <w:sz w:val="36"/>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4" w:type="dxa"/>
            <w:gridSpan w:val="3"/>
            <w:tcBorders>
              <w:top w:val="single" w:color="auto" w:sz="4" w:space="0"/>
            </w:tcBorders>
            <w:shd w:val="clear" w:color="auto" w:fill="auto"/>
            <w:noWrap w:val="0"/>
            <w:vAlign w:val="top"/>
          </w:tcPr>
          <w:p>
            <w:pPr>
              <w:pStyle w:val="2"/>
              <w:ind w:firstLine="0" w:firstLineChars="0"/>
              <w:rPr>
                <w:rFonts w:hint="eastAsia"/>
              </w:rPr>
            </w:pPr>
            <w:r>
              <w:rPr>
                <w:rFonts w:hint="eastAsia"/>
              </w:rPr>
              <w:t>供应商：</w:t>
            </w:r>
          </w:p>
        </w:tc>
        <w:tc>
          <w:tcPr>
            <w:tcW w:w="3846" w:type="dxa"/>
            <w:gridSpan w:val="4"/>
            <w:tcBorders>
              <w:top w:val="single" w:color="auto" w:sz="4" w:space="0"/>
            </w:tcBorders>
            <w:shd w:val="clear" w:color="auto" w:fill="auto"/>
            <w:noWrap w:val="0"/>
            <w:vAlign w:val="top"/>
          </w:tcPr>
          <w:p>
            <w:pPr>
              <w:pStyle w:val="2"/>
              <w:ind w:firstLine="0" w:firstLineChars="0"/>
              <w:rPr>
                <w:rFonts w:hint="eastAsia"/>
              </w:rPr>
            </w:pPr>
            <w:r>
              <w:rPr>
                <w:rFonts w:hint="eastAsia"/>
              </w:rPr>
              <w:t>联系人：</w:t>
            </w:r>
          </w:p>
        </w:tc>
        <w:tc>
          <w:tcPr>
            <w:tcW w:w="868" w:type="dxa"/>
            <w:vMerge w:val="restart"/>
            <w:tcBorders>
              <w:top w:val="single" w:color="auto" w:sz="4" w:space="0"/>
            </w:tcBorders>
            <w:shd w:val="clear" w:color="auto" w:fill="auto"/>
            <w:noWrap w:val="0"/>
            <w:vAlign w:val="center"/>
          </w:tcPr>
          <w:p>
            <w:pPr>
              <w:pStyle w:val="2"/>
              <w:ind w:firstLine="0" w:firstLineChars="0"/>
              <w:jc w:val="center"/>
              <w:rPr>
                <w:rFonts w:hint="eastAsia"/>
              </w:rPr>
            </w:pPr>
            <w:r>
              <w:rPr>
                <w:rFonts w:hint="eastAsia"/>
              </w:rPr>
              <w:t>得分</w:t>
            </w:r>
          </w:p>
        </w:tc>
        <w:tc>
          <w:tcPr>
            <w:tcW w:w="1152" w:type="dxa"/>
            <w:gridSpan w:val="2"/>
            <w:vMerge w:val="restart"/>
            <w:tcBorders>
              <w:top w:val="single" w:color="auto" w:sz="4" w:space="0"/>
            </w:tcBorders>
            <w:shd w:val="clear" w:color="auto" w:fill="auto"/>
            <w:noWrap w:val="0"/>
            <w:vAlign w:val="center"/>
          </w:tcPr>
          <w:p>
            <w:pPr>
              <w:pStyle w:val="2"/>
              <w:ind w:firstLine="0" w:firstLineChars="0"/>
              <w:jc w:val="center"/>
              <w:rPr>
                <w:rFonts w:hint="eastAsia"/>
              </w:rPr>
            </w:pPr>
            <w:r>
              <w:rPr>
                <w:rFonts w:hint="eastAsia"/>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0" w:type="dxa"/>
            <w:gridSpan w:val="7"/>
            <w:shd w:val="clear" w:color="auto" w:fill="auto"/>
            <w:noWrap w:val="0"/>
            <w:vAlign w:val="top"/>
          </w:tcPr>
          <w:p>
            <w:pPr>
              <w:pStyle w:val="2"/>
              <w:ind w:firstLine="0" w:firstLineChars="0"/>
              <w:rPr>
                <w:rFonts w:hint="eastAsia"/>
              </w:rPr>
            </w:pPr>
            <w:r>
              <w:rPr>
                <w:rFonts w:hint="eastAsia"/>
              </w:rPr>
              <w:t>考核</w:t>
            </w:r>
            <w:r>
              <w:rPr>
                <w:rFonts w:hint="eastAsia"/>
                <w:lang w:val="en-US" w:eastAsia="zh-CN"/>
              </w:rPr>
              <w:t>年度</w:t>
            </w:r>
            <w:r>
              <w:rPr>
                <w:rFonts w:hint="eastAsia"/>
              </w:rPr>
              <w:t>：</w:t>
            </w:r>
          </w:p>
        </w:tc>
        <w:tc>
          <w:tcPr>
            <w:tcW w:w="868" w:type="dxa"/>
            <w:vMerge w:val="continue"/>
            <w:shd w:val="clear" w:color="auto" w:fill="auto"/>
            <w:noWrap w:val="0"/>
            <w:vAlign w:val="top"/>
          </w:tcPr>
          <w:p>
            <w:pPr>
              <w:pStyle w:val="2"/>
              <w:ind w:firstLine="0" w:firstLineChars="0"/>
              <w:rPr>
                <w:rFonts w:hint="eastAsia"/>
              </w:rPr>
            </w:pPr>
          </w:p>
        </w:tc>
        <w:tc>
          <w:tcPr>
            <w:tcW w:w="1152" w:type="dxa"/>
            <w:gridSpan w:val="2"/>
            <w:vMerge w:val="continue"/>
            <w:shd w:val="clear" w:color="auto" w:fill="auto"/>
            <w:noWrap w:val="0"/>
            <w:vAlign w:val="top"/>
          </w:tcPr>
          <w:p>
            <w:pPr>
              <w:pStyle w:val="2"/>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81" w:type="dxa"/>
            <w:shd w:val="clear" w:color="auto" w:fill="auto"/>
            <w:noWrap w:val="0"/>
            <w:vAlign w:val="center"/>
          </w:tcPr>
          <w:p>
            <w:pPr>
              <w:widowControl/>
              <w:jc w:val="center"/>
              <w:rPr>
                <w:rFonts w:hint="eastAsia" w:ascii="宋体" w:hAnsi="宋体" w:cs="宋体"/>
                <w:color w:val="000000"/>
                <w:kern w:val="0"/>
                <w:lang w:bidi="ar"/>
              </w:rPr>
            </w:pPr>
            <w:r>
              <w:rPr>
                <w:rFonts w:hint="eastAsia" w:ascii="宋体" w:hAnsi="宋体" w:cs="宋体"/>
                <w:color w:val="000000"/>
                <w:kern w:val="0"/>
                <w:lang w:bidi="ar"/>
              </w:rPr>
              <w:t>项  目</w:t>
            </w:r>
          </w:p>
        </w:tc>
        <w:tc>
          <w:tcPr>
            <w:tcW w:w="3854" w:type="dxa"/>
            <w:gridSpan w:val="4"/>
            <w:shd w:val="clear" w:color="auto" w:fill="auto"/>
            <w:noWrap w:val="0"/>
            <w:vAlign w:val="center"/>
          </w:tcPr>
          <w:p>
            <w:pPr>
              <w:widowControl/>
              <w:jc w:val="center"/>
              <w:rPr>
                <w:rFonts w:hint="eastAsia" w:ascii="宋体" w:hAnsi="宋体" w:cs="宋体"/>
                <w:color w:val="000000"/>
                <w:kern w:val="0"/>
                <w:lang w:bidi="ar"/>
              </w:rPr>
            </w:pPr>
            <w:r>
              <w:rPr>
                <w:rFonts w:hint="eastAsia" w:ascii="宋体" w:hAnsi="宋体" w:cs="宋体"/>
                <w:color w:val="000000"/>
                <w:kern w:val="0"/>
                <w:lang w:bidi="ar"/>
              </w:rPr>
              <w:t>考核内容</w:t>
            </w:r>
          </w:p>
        </w:tc>
        <w:tc>
          <w:tcPr>
            <w:tcW w:w="1128" w:type="dxa"/>
            <w:shd w:val="clear" w:color="auto" w:fill="auto"/>
            <w:noWrap w:val="0"/>
            <w:vAlign w:val="center"/>
          </w:tcPr>
          <w:p>
            <w:pPr>
              <w:widowControl/>
              <w:jc w:val="center"/>
              <w:rPr>
                <w:rFonts w:hint="eastAsia" w:ascii="宋体" w:hAnsi="宋体" w:cs="宋体"/>
                <w:color w:val="000000"/>
                <w:kern w:val="0"/>
                <w:lang w:bidi="ar"/>
              </w:rPr>
            </w:pPr>
            <w:r>
              <w:rPr>
                <w:rFonts w:hint="eastAsia" w:ascii="宋体" w:hAnsi="宋体" w:cs="宋体"/>
                <w:color w:val="000000"/>
                <w:kern w:val="0"/>
                <w:lang w:bidi="ar"/>
              </w:rPr>
              <w:t>检测情况</w:t>
            </w:r>
          </w:p>
        </w:tc>
        <w:tc>
          <w:tcPr>
            <w:tcW w:w="777" w:type="dxa"/>
            <w:shd w:val="clear" w:color="auto" w:fill="auto"/>
            <w:noWrap w:val="0"/>
            <w:vAlign w:val="center"/>
          </w:tcPr>
          <w:p>
            <w:pPr>
              <w:widowControl/>
              <w:jc w:val="center"/>
              <w:rPr>
                <w:rFonts w:hint="eastAsia" w:ascii="宋体" w:hAnsi="宋体" w:cs="宋体"/>
                <w:color w:val="000000"/>
                <w:kern w:val="0"/>
                <w:lang w:bidi="ar"/>
              </w:rPr>
            </w:pPr>
            <w:r>
              <w:rPr>
                <w:rFonts w:hint="eastAsia" w:ascii="宋体" w:hAnsi="宋体" w:cs="宋体"/>
                <w:color w:val="000000"/>
                <w:kern w:val="0"/>
                <w:lang w:bidi="ar"/>
              </w:rPr>
              <w:t>分值</w:t>
            </w:r>
          </w:p>
        </w:tc>
        <w:tc>
          <w:tcPr>
            <w:tcW w:w="868" w:type="dxa"/>
            <w:shd w:val="clear" w:color="auto" w:fill="auto"/>
            <w:noWrap w:val="0"/>
            <w:vAlign w:val="center"/>
          </w:tcPr>
          <w:p>
            <w:pPr>
              <w:widowControl/>
              <w:jc w:val="center"/>
              <w:rPr>
                <w:rFonts w:hint="eastAsia" w:ascii="宋体" w:hAnsi="宋体" w:cs="宋体"/>
                <w:color w:val="000000"/>
                <w:kern w:val="0"/>
                <w:lang w:bidi="ar"/>
              </w:rPr>
            </w:pPr>
          </w:p>
        </w:tc>
        <w:tc>
          <w:tcPr>
            <w:tcW w:w="1152" w:type="dxa"/>
            <w:gridSpan w:val="2"/>
            <w:shd w:val="clear" w:color="auto" w:fill="auto"/>
            <w:noWrap w:val="0"/>
            <w:vAlign w:val="center"/>
          </w:tcPr>
          <w:p>
            <w:pPr>
              <w:widowControl/>
              <w:jc w:val="center"/>
              <w:rPr>
                <w:rFonts w:hint="eastAsia" w:ascii="宋体" w:hAnsi="宋体" w:cs="宋体"/>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281"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加药情况</w:t>
            </w:r>
          </w:p>
        </w:tc>
        <w:tc>
          <w:tcPr>
            <w:tcW w:w="3854" w:type="dxa"/>
            <w:gridSpan w:val="4"/>
            <w:shd w:val="clear" w:color="auto" w:fill="auto"/>
            <w:noWrap w:val="0"/>
            <w:vAlign w:val="center"/>
          </w:tcPr>
          <w:p>
            <w:pPr>
              <w:widowControl/>
              <w:jc w:val="left"/>
              <w:rPr>
                <w:rFonts w:hint="eastAsia" w:ascii="宋体" w:hAnsi="宋体" w:cs="宋体"/>
                <w:color w:val="000000"/>
                <w:kern w:val="0"/>
                <w:lang w:bidi="ar"/>
              </w:rPr>
            </w:pPr>
            <w:r>
              <w:rPr>
                <w:rFonts w:hint="eastAsia" w:ascii="宋体" w:hAnsi="宋体" w:cs="宋体"/>
                <w:color w:val="000000"/>
                <w:kern w:val="0"/>
                <w:lang w:bidi="ar"/>
              </w:rPr>
              <w:t>按计划加药，每少一次扣2分，因加药不符合要求导致冷却塔出现青苔，管道铁垢，每次扣0.5分，工作人员必须穿工作服，戴工作卡，如未按要求每发现一次扣0.5分。</w:t>
            </w:r>
          </w:p>
        </w:tc>
        <w:tc>
          <w:tcPr>
            <w:tcW w:w="1128" w:type="dxa"/>
            <w:shd w:val="clear" w:color="auto" w:fill="auto"/>
            <w:noWrap w:val="0"/>
            <w:vAlign w:val="top"/>
          </w:tcPr>
          <w:p>
            <w:pPr>
              <w:pStyle w:val="2"/>
              <w:ind w:firstLine="0" w:firstLineChars="0"/>
              <w:rPr>
                <w:rFonts w:hint="eastAsia" w:ascii="宋体" w:hAnsi="宋体"/>
              </w:rPr>
            </w:pPr>
          </w:p>
        </w:tc>
        <w:tc>
          <w:tcPr>
            <w:tcW w:w="777"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25</w:t>
            </w:r>
          </w:p>
        </w:tc>
        <w:tc>
          <w:tcPr>
            <w:tcW w:w="868" w:type="dxa"/>
            <w:shd w:val="clear" w:color="auto" w:fill="auto"/>
            <w:noWrap w:val="0"/>
            <w:vAlign w:val="top"/>
          </w:tcPr>
          <w:p>
            <w:pPr>
              <w:pStyle w:val="2"/>
              <w:ind w:firstLine="0" w:firstLineChars="0"/>
              <w:rPr>
                <w:rFonts w:hint="eastAsia" w:ascii="宋体" w:hAnsi="宋体"/>
              </w:rPr>
            </w:pPr>
          </w:p>
        </w:tc>
        <w:tc>
          <w:tcPr>
            <w:tcW w:w="1152" w:type="dxa"/>
            <w:gridSpan w:val="2"/>
            <w:shd w:val="clear" w:color="auto" w:fill="auto"/>
            <w:noWrap w:val="0"/>
            <w:vAlign w:val="top"/>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81"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水质检查</w:t>
            </w:r>
          </w:p>
        </w:tc>
        <w:tc>
          <w:tcPr>
            <w:tcW w:w="3854" w:type="dxa"/>
            <w:gridSpan w:val="4"/>
            <w:shd w:val="clear" w:color="auto" w:fill="auto"/>
            <w:noWrap w:val="0"/>
            <w:vAlign w:val="center"/>
          </w:tcPr>
          <w:p>
            <w:pPr>
              <w:widowControl/>
              <w:jc w:val="left"/>
              <w:rPr>
                <w:rFonts w:hint="eastAsia" w:ascii="宋体" w:hAnsi="宋体" w:cs="宋体"/>
                <w:color w:val="000000"/>
                <w:kern w:val="0"/>
                <w:lang w:bidi="ar"/>
              </w:rPr>
            </w:pPr>
            <w:r>
              <w:rPr>
                <w:rFonts w:hint="eastAsia" w:ascii="宋体" w:hAnsi="宋体" w:cs="宋体"/>
                <w:color w:val="000000"/>
                <w:kern w:val="0"/>
                <w:lang w:bidi="ar"/>
              </w:rPr>
              <w:t>水质取样检验，少一次扣1分，水质参数每有一条不符合标准要求扣0.5分。</w:t>
            </w:r>
          </w:p>
        </w:tc>
        <w:tc>
          <w:tcPr>
            <w:tcW w:w="1128" w:type="dxa"/>
            <w:shd w:val="clear" w:color="auto" w:fill="auto"/>
            <w:noWrap w:val="0"/>
            <w:vAlign w:val="top"/>
          </w:tcPr>
          <w:p>
            <w:pPr>
              <w:pStyle w:val="2"/>
              <w:ind w:firstLine="0" w:firstLineChars="0"/>
              <w:rPr>
                <w:rFonts w:hint="eastAsia" w:ascii="宋体" w:hAnsi="宋体"/>
              </w:rPr>
            </w:pPr>
          </w:p>
        </w:tc>
        <w:tc>
          <w:tcPr>
            <w:tcW w:w="777"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20</w:t>
            </w:r>
          </w:p>
        </w:tc>
        <w:tc>
          <w:tcPr>
            <w:tcW w:w="868" w:type="dxa"/>
            <w:shd w:val="clear" w:color="auto" w:fill="auto"/>
            <w:noWrap w:val="0"/>
            <w:vAlign w:val="top"/>
          </w:tcPr>
          <w:p>
            <w:pPr>
              <w:pStyle w:val="2"/>
              <w:ind w:firstLine="0" w:firstLineChars="0"/>
              <w:rPr>
                <w:rFonts w:hint="eastAsia" w:ascii="宋体" w:hAnsi="宋体"/>
              </w:rPr>
            </w:pPr>
          </w:p>
        </w:tc>
        <w:tc>
          <w:tcPr>
            <w:tcW w:w="1152" w:type="dxa"/>
            <w:gridSpan w:val="2"/>
            <w:shd w:val="clear" w:color="auto" w:fill="auto"/>
            <w:noWrap w:val="0"/>
            <w:vAlign w:val="top"/>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81"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保养情况</w:t>
            </w:r>
          </w:p>
        </w:tc>
        <w:tc>
          <w:tcPr>
            <w:tcW w:w="3854" w:type="dxa"/>
            <w:gridSpan w:val="4"/>
            <w:shd w:val="clear" w:color="auto" w:fill="auto"/>
            <w:noWrap w:val="0"/>
            <w:vAlign w:val="center"/>
          </w:tcPr>
          <w:p>
            <w:pPr>
              <w:widowControl/>
              <w:jc w:val="left"/>
              <w:rPr>
                <w:rFonts w:hint="eastAsia" w:ascii="宋体" w:hAnsi="宋体" w:cs="宋体"/>
                <w:color w:val="000000"/>
                <w:kern w:val="0"/>
                <w:lang w:bidi="ar"/>
              </w:rPr>
            </w:pPr>
            <w:r>
              <w:rPr>
                <w:rFonts w:hint="eastAsia" w:ascii="宋体" w:hAnsi="宋体" w:cs="宋体"/>
                <w:color w:val="000000"/>
                <w:kern w:val="0"/>
                <w:lang w:bidi="ar"/>
              </w:rPr>
              <w:t>按计划对冷却塔管道过滤网、冷凝器清洗，对设备除锈加润滑油，少一项扣0.5分。</w:t>
            </w:r>
          </w:p>
        </w:tc>
        <w:tc>
          <w:tcPr>
            <w:tcW w:w="1128" w:type="dxa"/>
            <w:shd w:val="clear" w:color="auto" w:fill="auto"/>
            <w:noWrap w:val="0"/>
            <w:vAlign w:val="top"/>
          </w:tcPr>
          <w:p>
            <w:pPr>
              <w:pStyle w:val="2"/>
              <w:ind w:firstLine="0" w:firstLineChars="0"/>
              <w:rPr>
                <w:rFonts w:hint="eastAsia" w:ascii="宋体" w:hAnsi="宋体"/>
              </w:rPr>
            </w:pPr>
          </w:p>
        </w:tc>
        <w:tc>
          <w:tcPr>
            <w:tcW w:w="777"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15</w:t>
            </w:r>
          </w:p>
        </w:tc>
        <w:tc>
          <w:tcPr>
            <w:tcW w:w="868" w:type="dxa"/>
            <w:shd w:val="clear" w:color="auto" w:fill="auto"/>
            <w:noWrap w:val="0"/>
            <w:vAlign w:val="top"/>
          </w:tcPr>
          <w:p>
            <w:pPr>
              <w:pStyle w:val="2"/>
              <w:ind w:firstLine="0" w:firstLineChars="0"/>
              <w:rPr>
                <w:rFonts w:hint="eastAsia" w:ascii="宋体" w:hAnsi="宋体"/>
              </w:rPr>
            </w:pPr>
          </w:p>
        </w:tc>
        <w:tc>
          <w:tcPr>
            <w:tcW w:w="1152" w:type="dxa"/>
            <w:gridSpan w:val="2"/>
            <w:shd w:val="clear" w:color="auto" w:fill="auto"/>
            <w:noWrap w:val="0"/>
            <w:vAlign w:val="top"/>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281"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巡检与维修</w:t>
            </w:r>
          </w:p>
        </w:tc>
        <w:tc>
          <w:tcPr>
            <w:tcW w:w="3854" w:type="dxa"/>
            <w:gridSpan w:val="4"/>
            <w:shd w:val="clear" w:color="auto" w:fill="auto"/>
            <w:noWrap w:val="0"/>
            <w:vAlign w:val="center"/>
          </w:tcPr>
          <w:p>
            <w:pPr>
              <w:widowControl/>
              <w:jc w:val="left"/>
              <w:rPr>
                <w:rFonts w:hint="eastAsia" w:ascii="宋体" w:hAnsi="宋体" w:cs="宋体"/>
                <w:color w:val="000000"/>
                <w:kern w:val="0"/>
                <w:lang w:bidi="ar"/>
              </w:rPr>
            </w:pPr>
            <w:r>
              <w:rPr>
                <w:rFonts w:hint="eastAsia" w:ascii="宋体" w:hAnsi="宋体" w:cs="宋体"/>
                <w:color w:val="000000"/>
                <w:kern w:val="0"/>
                <w:lang w:bidi="ar"/>
              </w:rPr>
              <w:t>巡检和维修工作，如未联系到相应工作人员，每有一次扣1分。对水系统的跑、冒、滴、漏进行及时处理，如未按合同要求完成修理，每有1次扣1分。</w:t>
            </w:r>
          </w:p>
        </w:tc>
        <w:tc>
          <w:tcPr>
            <w:tcW w:w="1128" w:type="dxa"/>
            <w:shd w:val="clear" w:color="auto" w:fill="auto"/>
            <w:noWrap w:val="0"/>
            <w:vAlign w:val="top"/>
          </w:tcPr>
          <w:p>
            <w:pPr>
              <w:pStyle w:val="2"/>
              <w:ind w:firstLine="0" w:firstLineChars="0"/>
              <w:rPr>
                <w:rFonts w:hint="eastAsia" w:ascii="宋体" w:hAnsi="宋体"/>
              </w:rPr>
            </w:pPr>
          </w:p>
        </w:tc>
        <w:tc>
          <w:tcPr>
            <w:tcW w:w="777"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10</w:t>
            </w:r>
          </w:p>
        </w:tc>
        <w:tc>
          <w:tcPr>
            <w:tcW w:w="868" w:type="dxa"/>
            <w:shd w:val="clear" w:color="auto" w:fill="auto"/>
            <w:noWrap w:val="0"/>
            <w:vAlign w:val="top"/>
          </w:tcPr>
          <w:p>
            <w:pPr>
              <w:pStyle w:val="2"/>
              <w:ind w:firstLine="0" w:firstLineChars="0"/>
              <w:rPr>
                <w:rFonts w:hint="eastAsia" w:ascii="宋体" w:hAnsi="宋体"/>
              </w:rPr>
            </w:pPr>
          </w:p>
        </w:tc>
        <w:tc>
          <w:tcPr>
            <w:tcW w:w="1152" w:type="dxa"/>
            <w:gridSpan w:val="2"/>
            <w:shd w:val="clear" w:color="auto" w:fill="auto"/>
            <w:noWrap w:val="0"/>
            <w:vAlign w:val="top"/>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81"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记录情况</w:t>
            </w:r>
          </w:p>
        </w:tc>
        <w:tc>
          <w:tcPr>
            <w:tcW w:w="3854" w:type="dxa"/>
            <w:gridSpan w:val="4"/>
            <w:shd w:val="clear" w:color="auto" w:fill="auto"/>
            <w:noWrap w:val="0"/>
            <w:vAlign w:val="center"/>
          </w:tcPr>
          <w:p>
            <w:pPr>
              <w:widowControl/>
              <w:jc w:val="left"/>
              <w:rPr>
                <w:rFonts w:hint="eastAsia" w:ascii="宋体" w:hAnsi="宋体" w:cs="宋体"/>
                <w:color w:val="000000"/>
                <w:kern w:val="0"/>
                <w:lang w:bidi="ar"/>
              </w:rPr>
            </w:pPr>
            <w:r>
              <w:rPr>
                <w:rFonts w:hint="eastAsia" w:ascii="宋体" w:hAnsi="宋体" w:cs="宋体"/>
                <w:color w:val="000000"/>
                <w:kern w:val="0"/>
                <w:lang w:bidi="ar"/>
              </w:rPr>
              <w:t>保养工作不按规定记录并与实际不符的，每发现一次扣0.5分。</w:t>
            </w:r>
          </w:p>
        </w:tc>
        <w:tc>
          <w:tcPr>
            <w:tcW w:w="1128" w:type="dxa"/>
            <w:shd w:val="clear" w:color="auto" w:fill="auto"/>
            <w:noWrap w:val="0"/>
            <w:vAlign w:val="top"/>
          </w:tcPr>
          <w:p>
            <w:pPr>
              <w:pStyle w:val="2"/>
              <w:ind w:firstLine="0" w:firstLineChars="0"/>
              <w:rPr>
                <w:rFonts w:hint="eastAsia" w:ascii="宋体" w:hAnsi="宋体"/>
              </w:rPr>
            </w:pPr>
          </w:p>
        </w:tc>
        <w:tc>
          <w:tcPr>
            <w:tcW w:w="777" w:type="dxa"/>
            <w:shd w:val="clear" w:color="auto" w:fill="auto"/>
            <w:noWrap w:val="0"/>
            <w:vAlign w:val="center"/>
          </w:tcPr>
          <w:p>
            <w:pPr>
              <w:pStyle w:val="2"/>
              <w:ind w:firstLine="0" w:firstLineChars="0"/>
              <w:jc w:val="center"/>
              <w:rPr>
                <w:rFonts w:hint="eastAsia" w:ascii="宋体" w:hAnsi="宋体"/>
              </w:rPr>
            </w:pPr>
            <w:r>
              <w:rPr>
                <w:rFonts w:hint="eastAsia" w:ascii="宋体" w:hAnsi="宋体"/>
              </w:rPr>
              <w:t>10</w:t>
            </w:r>
          </w:p>
        </w:tc>
        <w:tc>
          <w:tcPr>
            <w:tcW w:w="868" w:type="dxa"/>
            <w:shd w:val="clear" w:color="auto" w:fill="auto"/>
            <w:noWrap w:val="0"/>
            <w:vAlign w:val="top"/>
          </w:tcPr>
          <w:p>
            <w:pPr>
              <w:pStyle w:val="2"/>
              <w:ind w:firstLine="0" w:firstLineChars="0"/>
              <w:rPr>
                <w:rFonts w:hint="eastAsia" w:ascii="宋体" w:hAnsi="宋体"/>
              </w:rPr>
            </w:pPr>
          </w:p>
        </w:tc>
        <w:tc>
          <w:tcPr>
            <w:tcW w:w="1152" w:type="dxa"/>
            <w:gridSpan w:val="2"/>
            <w:shd w:val="clear" w:color="auto" w:fill="auto"/>
            <w:noWrap w:val="0"/>
            <w:vAlign w:val="top"/>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81" w:type="dxa"/>
            <w:tcBorders>
              <w:bottom w:val="single" w:color="auto" w:sz="4" w:space="0"/>
            </w:tcBorders>
            <w:shd w:val="clear" w:color="auto" w:fill="auto"/>
            <w:noWrap w:val="0"/>
            <w:vAlign w:val="center"/>
          </w:tcPr>
          <w:p>
            <w:pPr>
              <w:pStyle w:val="2"/>
              <w:ind w:firstLine="0" w:firstLineChars="0"/>
              <w:jc w:val="center"/>
              <w:rPr>
                <w:rFonts w:hint="eastAsia" w:ascii="宋体" w:hAnsi="宋体"/>
              </w:rPr>
            </w:pPr>
            <w:r>
              <w:rPr>
                <w:rFonts w:hint="eastAsia" w:ascii="宋体" w:hAnsi="宋体"/>
              </w:rPr>
              <w:t>环境卫生</w:t>
            </w:r>
          </w:p>
        </w:tc>
        <w:tc>
          <w:tcPr>
            <w:tcW w:w="3854" w:type="dxa"/>
            <w:gridSpan w:val="4"/>
            <w:tcBorders>
              <w:bottom w:val="single" w:color="auto" w:sz="4" w:space="0"/>
            </w:tcBorders>
            <w:shd w:val="clear" w:color="auto" w:fill="auto"/>
            <w:noWrap w:val="0"/>
            <w:vAlign w:val="center"/>
          </w:tcPr>
          <w:p>
            <w:pPr>
              <w:widowControl/>
              <w:jc w:val="left"/>
              <w:rPr>
                <w:rFonts w:hint="eastAsia" w:ascii="宋体" w:hAnsi="宋体" w:cs="宋体"/>
                <w:color w:val="000000"/>
                <w:kern w:val="0"/>
                <w:lang w:bidi="ar"/>
              </w:rPr>
            </w:pPr>
            <w:r>
              <w:rPr>
                <w:rFonts w:hint="eastAsia" w:ascii="宋体" w:hAnsi="宋体" w:cs="宋体"/>
                <w:color w:val="000000"/>
                <w:kern w:val="0"/>
                <w:lang w:bidi="ar"/>
              </w:rPr>
              <w:t>冷却塔，工作场地发现一处不清洁扣0.5分。</w:t>
            </w:r>
          </w:p>
        </w:tc>
        <w:tc>
          <w:tcPr>
            <w:tcW w:w="1128" w:type="dxa"/>
            <w:tcBorders>
              <w:bottom w:val="single" w:color="auto" w:sz="4" w:space="0"/>
            </w:tcBorders>
            <w:shd w:val="clear" w:color="auto" w:fill="auto"/>
            <w:noWrap w:val="0"/>
            <w:vAlign w:val="top"/>
          </w:tcPr>
          <w:p>
            <w:pPr>
              <w:pStyle w:val="2"/>
              <w:ind w:firstLine="0" w:firstLineChars="0"/>
              <w:rPr>
                <w:rFonts w:hint="eastAsia" w:ascii="宋体" w:hAnsi="宋体"/>
              </w:rPr>
            </w:pPr>
          </w:p>
        </w:tc>
        <w:tc>
          <w:tcPr>
            <w:tcW w:w="777" w:type="dxa"/>
            <w:tcBorders>
              <w:bottom w:val="single" w:color="auto" w:sz="4" w:space="0"/>
            </w:tcBorders>
            <w:shd w:val="clear" w:color="auto" w:fill="auto"/>
            <w:noWrap w:val="0"/>
            <w:vAlign w:val="center"/>
          </w:tcPr>
          <w:p>
            <w:pPr>
              <w:pStyle w:val="2"/>
              <w:ind w:firstLine="0" w:firstLineChars="0"/>
              <w:jc w:val="center"/>
              <w:rPr>
                <w:rFonts w:hint="eastAsia" w:ascii="宋体" w:hAnsi="宋体"/>
              </w:rPr>
            </w:pPr>
            <w:r>
              <w:rPr>
                <w:rFonts w:hint="eastAsia" w:ascii="宋体" w:hAnsi="宋体"/>
              </w:rPr>
              <w:t>10</w:t>
            </w:r>
          </w:p>
        </w:tc>
        <w:tc>
          <w:tcPr>
            <w:tcW w:w="868" w:type="dxa"/>
            <w:tcBorders>
              <w:bottom w:val="single" w:color="auto" w:sz="4" w:space="0"/>
            </w:tcBorders>
            <w:shd w:val="clear" w:color="auto" w:fill="auto"/>
            <w:noWrap w:val="0"/>
            <w:vAlign w:val="top"/>
          </w:tcPr>
          <w:p>
            <w:pPr>
              <w:pStyle w:val="2"/>
              <w:ind w:firstLine="0" w:firstLineChars="0"/>
              <w:rPr>
                <w:rFonts w:hint="eastAsia" w:ascii="宋体" w:hAnsi="宋体"/>
              </w:rPr>
            </w:pPr>
          </w:p>
        </w:tc>
        <w:tc>
          <w:tcPr>
            <w:tcW w:w="1152" w:type="dxa"/>
            <w:gridSpan w:val="2"/>
            <w:tcBorders>
              <w:bottom w:val="single" w:color="auto" w:sz="4" w:space="0"/>
            </w:tcBorders>
            <w:shd w:val="clear" w:color="auto" w:fill="auto"/>
            <w:noWrap w:val="0"/>
            <w:vAlign w:val="top"/>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ind w:firstLine="0" w:firstLineChars="0"/>
              <w:jc w:val="center"/>
              <w:rPr>
                <w:rFonts w:hint="eastAsia" w:ascii="宋体" w:hAnsi="宋体"/>
              </w:rPr>
            </w:pPr>
            <w:r>
              <w:rPr>
                <w:rFonts w:hint="eastAsia" w:ascii="宋体" w:hAnsi="宋体"/>
              </w:rPr>
              <w:t>服务质量</w:t>
            </w:r>
          </w:p>
        </w:tc>
        <w:tc>
          <w:tcPr>
            <w:tcW w:w="385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lang w:bidi="ar"/>
              </w:rPr>
            </w:pPr>
            <w:r>
              <w:rPr>
                <w:rFonts w:hint="eastAsia" w:ascii="宋体" w:hAnsi="宋体" w:cs="宋体"/>
                <w:color w:val="000000"/>
                <w:kern w:val="0"/>
                <w:lang w:bidi="ar"/>
              </w:rPr>
              <w:t>服务态度不满每次扣0.5分，不配合管理处维修保养工作，服务不到位每次扣0.5分。</w:t>
            </w:r>
          </w:p>
        </w:tc>
        <w:tc>
          <w:tcPr>
            <w:tcW w:w="11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2"/>
              <w:ind w:firstLine="0" w:firstLineChars="0"/>
              <w:rPr>
                <w:rFonts w:hint="eastAsia" w:ascii="宋体" w:hAnsi="宋体"/>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ind w:firstLine="0" w:firstLineChars="0"/>
              <w:jc w:val="center"/>
              <w:rPr>
                <w:rFonts w:hint="eastAsia" w:ascii="宋体" w:hAnsi="宋体"/>
              </w:rPr>
            </w:pPr>
            <w:r>
              <w:rPr>
                <w:rFonts w:hint="eastAsia" w:ascii="宋体" w:hAnsi="宋体"/>
              </w:rPr>
              <w:t>10</w:t>
            </w:r>
          </w:p>
        </w:tc>
        <w:tc>
          <w:tcPr>
            <w:tcW w:w="86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2"/>
              <w:ind w:firstLine="0" w:firstLineChars="0"/>
              <w:rPr>
                <w:rFonts w:hint="eastAsia" w:ascii="宋体" w:hAnsi="宋体"/>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总得分：</w:t>
            </w:r>
          </w:p>
        </w:tc>
        <w:tc>
          <w:tcPr>
            <w:tcW w:w="7779"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等级：</w:t>
            </w:r>
          </w:p>
        </w:tc>
        <w:tc>
          <w:tcPr>
            <w:tcW w:w="7779"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lang w:bidi="ar"/>
              </w:rPr>
            </w:pPr>
            <w:r>
              <w:rPr>
                <w:rFonts w:hint="eastAsia" w:ascii="宋体" w:hAnsi="宋体" w:cs="宋体"/>
                <w:color w:val="000000"/>
                <w:kern w:val="0"/>
              </w:rPr>
              <w:t>等级</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得分范围</w:t>
            </w:r>
          </w:p>
        </w:tc>
        <w:tc>
          <w:tcPr>
            <w:tcW w:w="14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评价</w:t>
            </w:r>
          </w:p>
        </w:tc>
        <w:tc>
          <w:tcPr>
            <w:tcW w:w="500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A</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90-100</w:t>
            </w:r>
          </w:p>
        </w:tc>
        <w:tc>
          <w:tcPr>
            <w:tcW w:w="14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优秀</w:t>
            </w:r>
          </w:p>
        </w:tc>
        <w:tc>
          <w:tcPr>
            <w:tcW w:w="500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可靠的供应商来往，继续建立合作伙伴关系。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B</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80-89</w:t>
            </w:r>
          </w:p>
        </w:tc>
        <w:tc>
          <w:tcPr>
            <w:tcW w:w="14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良好</w:t>
            </w:r>
          </w:p>
        </w:tc>
        <w:tc>
          <w:tcPr>
            <w:tcW w:w="500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合格供应商，需针对“主要问题”一周内做出改善措施并书面回复采购人。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C</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70-79</w:t>
            </w:r>
          </w:p>
        </w:tc>
        <w:tc>
          <w:tcPr>
            <w:tcW w:w="14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及格</w:t>
            </w:r>
          </w:p>
        </w:tc>
        <w:tc>
          <w:tcPr>
            <w:tcW w:w="500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合格服供应商，但扣除服务费的10%，需针对“主要问题”一周内做出改善措施并书面回复采购人。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D</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69及以下</w:t>
            </w:r>
          </w:p>
        </w:tc>
        <w:tc>
          <w:tcPr>
            <w:tcW w:w="14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不及格</w:t>
            </w:r>
          </w:p>
        </w:tc>
        <w:tc>
          <w:tcPr>
            <w:tcW w:w="500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lang w:bidi="ar"/>
              </w:rPr>
            </w:pPr>
            <w:r>
              <w:rPr>
                <w:rFonts w:hint="eastAsia" w:ascii="宋体" w:hAnsi="宋体" w:cs="宋体"/>
                <w:color w:val="000000"/>
                <w:kern w:val="0"/>
                <w:lang w:bidi="ar"/>
              </w:rPr>
              <w:t>不合格供应商，履约保证金不与退还，服务费不支付。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lang w:eastAsia="zh-CN"/>
              </w:rPr>
            </w:pPr>
            <w:r>
              <w:rPr>
                <w:rFonts w:hint="eastAsia"/>
              </w:rPr>
              <w:t>说明：</w:t>
            </w:r>
          </w:p>
          <w:p>
            <w:pPr>
              <w:widowControl/>
              <w:jc w:val="left"/>
              <w:rPr>
                <w:rFonts w:hint="eastAsia" w:eastAsia="宋体"/>
                <w:lang w:eastAsia="zh-CN"/>
              </w:rPr>
            </w:pPr>
            <w:r>
              <w:rPr>
                <w:rFonts w:hint="eastAsia"/>
              </w:rPr>
              <w:t>1、使用的药剂原则上符合当地的法律法规。</w:t>
            </w:r>
          </w:p>
          <w:p>
            <w:pPr>
              <w:widowControl/>
              <w:jc w:val="left"/>
              <w:rPr>
                <w:rFonts w:hint="eastAsia" w:ascii="宋体" w:hAnsi="宋体" w:cs="宋体"/>
                <w:color w:val="000000"/>
                <w:kern w:val="0"/>
                <w:lang w:bidi="ar"/>
              </w:rPr>
            </w:pPr>
            <w:r>
              <w:rPr>
                <w:rFonts w:hint="eastAsia" w:ascii="宋体" w:hAnsi="宋体" w:cs="宋体"/>
                <w:color w:val="000000"/>
                <w:lang w:bidi="ar"/>
              </w:rPr>
              <w:t>2、</w:t>
            </w:r>
            <w:r>
              <w:rPr>
                <w:rFonts w:hint="eastAsia" w:ascii="宋体" w:hAnsi="宋体" w:cs="宋体"/>
                <w:color w:val="000000"/>
                <w:lang w:eastAsia="zh-CN" w:bidi="ar"/>
              </w:rPr>
              <w:t>年度</w:t>
            </w:r>
            <w:r>
              <w:rPr>
                <w:rFonts w:hint="eastAsia" w:ascii="宋体" w:hAnsi="宋体" w:cs="宋体"/>
                <w:color w:val="000000"/>
                <w:lang w:bidi="ar"/>
              </w:rPr>
              <w:t>得分以每月考核的平均分计算成考核等级，但若其中一个月考核等级为D，则年度考核等级结果为D；年度内任意3个月考核等级为C，则年度考核等级结果为C。</w:t>
            </w:r>
          </w:p>
        </w:tc>
      </w:tr>
    </w:tbl>
    <w:p>
      <w:pPr>
        <w:pStyle w:val="5"/>
        <w:rPr>
          <w:rFonts w:hint="eastAsia" w:ascii="宋体" w:hAnsi="宋体"/>
          <w:sz w:val="24"/>
          <w:szCs w:val="24"/>
          <w:lang w:eastAsia="zh-CN"/>
        </w:rPr>
      </w:pPr>
    </w:p>
    <w:p>
      <w:pPr>
        <w:jc w:val="center"/>
        <w:rPr>
          <w:b/>
          <w:sz w:val="32"/>
          <w:szCs w:val="32"/>
        </w:rPr>
      </w:pPr>
      <w:r>
        <w:rPr>
          <w:rFonts w:hint="eastAsia" w:ascii="Calibri" w:hAnsi="Calibri" w:cs="宋体"/>
          <w:b/>
          <w:sz w:val="32"/>
          <w:szCs w:val="32"/>
          <w:lang w:bidi="ar"/>
        </w:rPr>
        <w:t>缓蚀阻垢和杀菌灭藻药剂加药记录</w:t>
      </w:r>
    </w:p>
    <w:tbl>
      <w:tblPr>
        <w:tblStyle w:val="51"/>
        <w:tblpPr w:leftFromText="180" w:rightFromText="180" w:vertAnchor="text" w:horzAnchor="page" w:tblpX="1657" w:tblpY="7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560"/>
        <w:gridCol w:w="1779"/>
        <w:gridCol w:w="1879"/>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ascii="Calibri" w:hAnsi="Calibri" w:cs="宋体"/>
                <w:sz w:val="24"/>
                <w:szCs w:val="24"/>
                <w:lang w:bidi="ar"/>
              </w:rPr>
              <w:t>加药日期</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ascii="Calibri" w:hAnsi="Calibri" w:cs="宋体"/>
                <w:sz w:val="24"/>
                <w:szCs w:val="24"/>
                <w:lang w:bidi="ar"/>
              </w:rPr>
              <w:t>药剂种类</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ascii="Calibri" w:hAnsi="Calibri" w:cs="宋体"/>
                <w:sz w:val="24"/>
                <w:szCs w:val="24"/>
                <w:lang w:bidi="ar"/>
              </w:rPr>
              <w:t>药剂用量（</w:t>
            </w:r>
            <w:r>
              <w:rPr>
                <w:rFonts w:ascii="Calibri" w:hAnsi="Calibri"/>
                <w:sz w:val="24"/>
                <w:szCs w:val="24"/>
                <w:lang w:bidi="ar"/>
              </w:rPr>
              <w:t>kg</w:t>
            </w:r>
            <w:r>
              <w:rPr>
                <w:rFonts w:hint="eastAsia" w:ascii="Calibri" w:hAnsi="Calibri" w:cs="宋体"/>
                <w:sz w:val="24"/>
                <w:szCs w:val="24"/>
                <w:lang w:bidi="ar"/>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ascii="Calibri" w:hAnsi="Calibri" w:cs="宋体"/>
                <w:sz w:val="24"/>
                <w:szCs w:val="24"/>
                <w:lang w:bidi="ar"/>
              </w:rPr>
              <w:t>操作人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ascii="Calibri" w:hAnsi="Calibri" w:cs="宋体"/>
                <w:sz w:val="24"/>
                <w:szCs w:val="24"/>
                <w:lang w:bidi="ar"/>
              </w:rPr>
              <w:t>确认人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18" w:type="dxa"/>
            <w:tcBorders>
              <w:top w:val="single" w:color="auto" w:sz="4" w:space="0"/>
              <w:left w:val="single" w:color="auto" w:sz="4" w:space="0"/>
              <w:bottom w:val="single" w:color="auto" w:sz="4" w:space="0"/>
              <w:right w:val="single" w:color="auto" w:sz="4" w:space="0"/>
            </w:tcBorders>
            <w:noWrap w:val="0"/>
            <w:vAlign w:val="top"/>
          </w:tcPr>
          <w:p/>
        </w:tc>
        <w:tc>
          <w:tcPr>
            <w:tcW w:w="1642" w:type="dxa"/>
            <w:tcBorders>
              <w:top w:val="single" w:color="auto" w:sz="4" w:space="0"/>
              <w:left w:val="single" w:color="auto" w:sz="4" w:space="0"/>
              <w:bottom w:val="single" w:color="auto" w:sz="4" w:space="0"/>
              <w:right w:val="single" w:color="auto" w:sz="4" w:space="0"/>
            </w:tcBorders>
            <w:noWrap w:val="0"/>
            <w:vAlign w:val="top"/>
          </w:tcPr>
          <w:p/>
        </w:tc>
        <w:tc>
          <w:tcPr>
            <w:tcW w:w="1843" w:type="dxa"/>
            <w:tcBorders>
              <w:top w:val="single" w:color="auto" w:sz="4" w:space="0"/>
              <w:left w:val="single" w:color="auto" w:sz="4" w:space="0"/>
              <w:bottom w:val="single" w:color="auto" w:sz="4" w:space="0"/>
              <w:right w:val="single" w:color="auto" w:sz="4" w:space="0"/>
            </w:tcBorders>
            <w:noWrap w:val="0"/>
            <w:vAlign w:val="top"/>
          </w:tcPr>
          <w:p/>
        </w:tc>
        <w:tc>
          <w:tcPr>
            <w:tcW w:w="1984" w:type="dxa"/>
            <w:tcBorders>
              <w:top w:val="single" w:color="auto" w:sz="4" w:space="0"/>
              <w:left w:val="single" w:color="auto" w:sz="4" w:space="0"/>
              <w:bottom w:val="single" w:color="auto" w:sz="4" w:space="0"/>
              <w:right w:val="single" w:color="auto" w:sz="4" w:space="0"/>
            </w:tcBorders>
            <w:noWrap w:val="0"/>
            <w:vAlign w:val="top"/>
          </w:tcPr>
          <w:p/>
        </w:tc>
        <w:tc>
          <w:tcPr>
            <w:tcW w:w="2126" w:type="dxa"/>
            <w:tcBorders>
              <w:top w:val="single" w:color="auto" w:sz="4" w:space="0"/>
              <w:left w:val="single" w:color="auto" w:sz="4" w:space="0"/>
              <w:bottom w:val="single" w:color="auto" w:sz="4" w:space="0"/>
              <w:right w:val="single" w:color="auto" w:sz="4" w:space="0"/>
            </w:tcBorders>
            <w:noWrap w:val="0"/>
            <w:vAlign w:val="top"/>
          </w:tcPr>
          <w:p/>
        </w:tc>
      </w:tr>
    </w:tbl>
    <w:p>
      <w:pPr>
        <w:spacing w:line="460" w:lineRule="exact"/>
        <w:jc w:val="both"/>
        <w:rPr>
          <w:rFonts w:hint="eastAsia" w:ascii="宋体" w:hAnsi="宋体" w:cs="宋体"/>
          <w:b/>
          <w:bCs/>
          <w:w w:val="80"/>
          <w:sz w:val="44"/>
          <w:szCs w:val="44"/>
        </w:rPr>
      </w:pPr>
      <w:r>
        <w:rPr>
          <w:rFonts w:ascii="Calibri" w:hAnsi="Calibri"/>
          <w:szCs w:val="22"/>
          <w:lang w:bidi="ar"/>
        </w:rPr>
        <w:br w:type="page"/>
      </w:r>
    </w:p>
    <w:p>
      <w:pPr>
        <w:pStyle w:val="5"/>
        <w:rPr>
          <w:rFonts w:hint="eastAsia" w:ascii="宋体" w:hAnsi="宋体"/>
          <w:sz w:val="24"/>
          <w:szCs w:val="24"/>
          <w:lang w:eastAsia="zh-CN"/>
        </w:rPr>
        <w:sectPr>
          <w:headerReference r:id="rId6" w:type="default"/>
          <w:pgSz w:w="11906" w:h="16838"/>
          <w:pgMar w:top="1440" w:right="1558" w:bottom="1440" w:left="1797" w:header="851" w:footer="992" w:gutter="0"/>
          <w:cols w:space="720" w:num="1"/>
          <w:docGrid w:type="lines" w:linePitch="312" w:charSpace="0"/>
        </w:sectPr>
      </w:pPr>
    </w:p>
    <w:p>
      <w:pPr>
        <w:rPr>
          <w:rFonts w:hint="eastAsia"/>
          <w:lang w:val="en-US" w:eastAsia="zh-CN"/>
        </w:rPr>
      </w:pPr>
    </w:p>
    <w:p>
      <w:pPr>
        <w:pStyle w:val="2"/>
        <w:numPr>
          <w:ilvl w:val="0"/>
          <w:numId w:val="0"/>
        </w:numPr>
        <w:ind w:leftChars="0"/>
        <w:jc w:val="both"/>
        <w:rPr>
          <w:rFonts w:ascii="宋体" w:hAnsi="宋体" w:cs="宋体"/>
          <w:color w:val="000000"/>
          <w:sz w:val="24"/>
          <w:szCs w:val="24"/>
        </w:rPr>
      </w:pPr>
      <w:r>
        <w:rPr>
          <w:rFonts w:hint="eastAsia" w:ascii="宋体" w:hAnsi="宋体" w:cs="宋体"/>
          <w:b/>
          <w:color w:val="000000"/>
          <w:w w:val="80"/>
          <w:sz w:val="44"/>
          <w:szCs w:val="44"/>
          <w:lang w:val="en-US" w:eastAsia="zh-CN"/>
        </w:rPr>
        <w:t xml:space="preserve">                  </w:t>
      </w: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w:t>
      </w:r>
      <w:r>
        <w:rPr>
          <w:rFonts w:hint="eastAsia" w:ascii="宋体" w:hAnsi="宋体" w:cs="宋体"/>
          <w:color w:val="000000"/>
          <w:sz w:val="24"/>
          <w:szCs w:val="24"/>
          <w:lang w:val="en-US" w:eastAsia="zh-CN"/>
        </w:rPr>
        <w:t>30</w:t>
      </w:r>
      <w:r>
        <w:rPr>
          <w:rFonts w:hint="eastAsia" w:ascii="宋体" w:hAnsi="宋体" w:cs="宋体"/>
          <w:color w:val="000000"/>
          <w:sz w:val="24"/>
          <w:szCs w:val="24"/>
        </w:rPr>
        <w:t>日内必须按照磋商文件确定的事项签订采购合同。</w:t>
      </w:r>
      <w:r>
        <w:rPr>
          <w:rFonts w:hint="eastAsia" w:ascii="宋体" w:hAnsi="宋体"/>
          <w:sz w:val="24"/>
          <w:szCs w:val="24"/>
        </w:rPr>
        <w:t>壹式伍份，甲方执肆份，乙方执壹份</w:t>
      </w:r>
      <w:r>
        <w:rPr>
          <w:rFonts w:hint="eastAsia" w:ascii="宋体" w:hAnsi="宋体"/>
          <w:color w:val="auto"/>
          <w:sz w:val="24"/>
          <w:szCs w:val="24"/>
        </w:rPr>
        <w:t>，其他存</w:t>
      </w:r>
      <w:r>
        <w:rPr>
          <w:rFonts w:hint="eastAsia" w:ascii="宋体" w:hAnsi="宋体"/>
          <w:sz w:val="24"/>
          <w:szCs w:val="24"/>
        </w:rPr>
        <w:t>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w:t>
      </w:r>
      <w:r>
        <w:rPr>
          <w:rFonts w:ascii="宋体" w:hAnsi="宋体" w:cs="宋体"/>
          <w:b/>
          <w:bCs/>
          <w:kern w:val="44"/>
          <w:sz w:val="44"/>
          <w:szCs w:val="44"/>
        </w:rPr>
        <w:t xml:space="preserve"> </w:t>
      </w:r>
      <w:r>
        <w:rPr>
          <w:rFonts w:hint="eastAsia" w:ascii="宋体" w:hAnsi="宋体" w:cs="宋体"/>
          <w:b/>
          <w:bCs/>
          <w:kern w:val="44"/>
          <w:sz w:val="44"/>
          <w:szCs w:val="44"/>
        </w:rPr>
        <w:t>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6"/>
        <w:keepNext w:val="0"/>
        <w:keepLines w:val="0"/>
        <w:numPr>
          <w:ilvl w:val="0"/>
          <w:numId w:val="0"/>
        </w:numPr>
        <w:snapToGrid w:val="0"/>
        <w:spacing w:before="0" w:after="156" w:afterLines="50" w:line="520" w:lineRule="exact"/>
        <w:ind w:left="420"/>
        <w:jc w:val="center"/>
        <w:rPr>
          <w:rFonts w:ascii="宋体"/>
        </w:rPr>
      </w:pPr>
      <w:bookmarkStart w:id="87" w:name="_Toc363573860"/>
      <w:r>
        <w:rPr>
          <w:rFonts w:ascii="宋体"/>
          <w:w w:val="80"/>
          <w:sz w:val="24"/>
          <w:szCs w:val="24"/>
        </w:rPr>
        <w:br w:type="page"/>
      </w:r>
      <w:r>
        <w:rPr>
          <w:rFonts w:hint="eastAsia" w:ascii="宋体" w:hAnsi="宋体" w:cs="宋体"/>
          <w:w w:val="80"/>
        </w:rPr>
        <w:t>第八章</w:t>
      </w:r>
      <w:r>
        <w:rPr>
          <w:rFonts w:hint="eastAsia" w:ascii="宋体" w:hAnsi="宋体" w:cs="宋体"/>
          <w:w w:val="80"/>
          <w:lang w:val="en-US" w:eastAsia="zh-CN"/>
        </w:rPr>
        <w:t xml:space="preserve"> </w:t>
      </w:r>
      <w:r>
        <w:rPr>
          <w:rFonts w:hint="eastAsia" w:ascii="宋体" w:hAnsi="宋体" w:cs="宋体"/>
          <w:w w:val="80"/>
        </w:rPr>
        <w:t>响应文件组成及格式</w:t>
      </w:r>
      <w:bookmarkEnd w:id="87"/>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8"/>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numPr>
          <w:ilvl w:val="0"/>
          <w:numId w:val="9"/>
        </w:numPr>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供应商必须有能力按本磋商文件规定的要求提供相关服务，须提供有效的三证合一的企业法人营业执照复印件或扫描件。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2、 提供供应商的法定代表人或负责人身份证明及身份证原件的复印件或扫描件（须加盖供应商公章，格式参见竞争性磋商文件第八章）；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pStyle w:val="2"/>
        <w:snapToGrid w:val="0"/>
        <w:spacing w:after="0" w:line="360" w:lineRule="auto"/>
        <w:ind w:firstLine="480"/>
        <w:rPr>
          <w:rFonts w:hint="eastAsia" w:ascii="宋体" w:hAnsi="宋体" w:cs="宋体"/>
          <w:bCs/>
          <w:color w:val="000000"/>
          <w:sz w:val="24"/>
          <w:szCs w:val="24"/>
        </w:rPr>
      </w:pPr>
      <w:r>
        <w:rPr>
          <w:rFonts w:hint="eastAsia" w:ascii="宋体" w:hAnsi="宋体" w:cs="宋体"/>
          <w:bCs/>
          <w:color w:val="000000"/>
          <w:sz w:val="24"/>
          <w:szCs w:val="24"/>
        </w:rPr>
        <w:t>5、供应商一般情况表（格式参见第八章）；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供应商具有履行合同所必需的设备和专业技术能力的书面声明（格式参见第八章）；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widowControl/>
        <w:snapToGrid w:val="0"/>
        <w:spacing w:line="360" w:lineRule="auto"/>
        <w:ind w:firstLine="470" w:firstLineChars="196"/>
        <w:jc w:val="left"/>
        <w:textAlignment w:val="baseline"/>
      </w:pPr>
      <w:r>
        <w:rPr>
          <w:rFonts w:hint="eastAsia" w:ascii="宋体" w:hAnsi="宋体" w:cs="宋体"/>
          <w:sz w:val="24"/>
          <w:szCs w:val="24"/>
          <w:lang w:val="en-US" w:eastAsia="zh-CN"/>
        </w:rPr>
        <w:t>8</w:t>
      </w:r>
      <w:r>
        <w:rPr>
          <w:rFonts w:hint="eastAsia" w:ascii="宋体" w:hAnsi="宋体" w:cs="宋体"/>
          <w:sz w:val="24"/>
          <w:szCs w:val="24"/>
        </w:rPr>
        <w:t>、关于资格文件的声明函（格式参见竞争性磋商文件第八章）。</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sz w:val="24"/>
          <w:szCs w:val="24"/>
        </w:rPr>
        <w:t>2、</w:t>
      </w:r>
      <w:r>
        <w:rPr>
          <w:rFonts w:hint="eastAsia" w:ascii="宋体" w:hAnsi="宋体" w:cs="宋体"/>
          <w:sz w:val="24"/>
          <w:szCs w:val="24"/>
        </w:rPr>
        <w:t>评标办法和项目需求中所涉及的事项需提供的所有资料；</w:t>
      </w:r>
    </w:p>
    <w:p>
      <w:pPr>
        <w:snapToGrid w:val="0"/>
        <w:spacing w:line="360" w:lineRule="auto"/>
        <w:ind w:firstLine="480" w:firstLineChars="200"/>
        <w:jc w:val="left"/>
        <w:textAlignment w:val="baseline"/>
        <w:rPr>
          <w:sz w:val="24"/>
          <w:szCs w:val="24"/>
        </w:rPr>
      </w:pPr>
      <w:r>
        <w:rPr>
          <w:rFonts w:hint="eastAsia" w:ascii="宋体" w:hAnsi="宋体" w:cs="宋体"/>
          <w:sz w:val="24"/>
          <w:szCs w:val="24"/>
          <w:lang w:val="en-US" w:eastAsia="zh-CN"/>
        </w:rPr>
        <w:t>3</w:t>
      </w:r>
      <w:r>
        <w:rPr>
          <w:rFonts w:hint="eastAsia" w:ascii="宋体" w:hAnsi="宋体" w:cs="宋体"/>
          <w:sz w:val="24"/>
          <w:szCs w:val="24"/>
        </w:rPr>
        <w:t>、评标办法和项目需求中未涉及的事项，供应商认为需要提交的其他资料。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rPr>
          <w:rFonts w:ascii="宋体"/>
          <w:sz w:val="24"/>
          <w:szCs w:val="24"/>
          <w:u w:val="single"/>
        </w:rPr>
      </w:pPr>
      <w:r>
        <w:rPr>
          <w:rFonts w:hint="eastAsia" w:ascii="宋体" w:hAnsi="宋体" w:cs="宋体"/>
          <w:sz w:val="24"/>
          <w:szCs w:val="24"/>
          <w:u w:val="single"/>
        </w:rPr>
        <w:t>南通市妇幼保健院：</w:t>
      </w:r>
      <w:r>
        <w:rPr>
          <w:rFonts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cs="宋体"/>
          <w:sz w:val="24"/>
          <w:szCs w:val="24"/>
        </w:rPr>
        <w:t xml:space="preserve">                      </w:t>
      </w: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6" w:hRule="atLeast"/>
        </w:trPr>
        <w:tc>
          <w:tcPr>
            <w:tcW w:w="7848"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20"/>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hint="eastAsia"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val="0"/>
            <w:vAlign w:val="top"/>
          </w:tcPr>
          <w:p>
            <w:pPr>
              <w:spacing w:line="520" w:lineRule="exact"/>
              <w:ind w:firstLine="484" w:firstLineChars="202"/>
              <w:rPr>
                <w:rFonts w:ascii="宋体" w:hAnsi="宋体" w:cs="宋体"/>
                <w:color w:val="000000"/>
                <w:sz w:val="24"/>
                <w:szCs w:val="24"/>
              </w:rPr>
            </w:pPr>
          </w:p>
        </w:tc>
        <w:tc>
          <w:tcPr>
            <w:tcW w:w="1417" w:type="dxa"/>
            <w:gridSpan w:val="2"/>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val="0"/>
            <w:vAlign w:val="top"/>
          </w:tcPr>
          <w:p>
            <w:pPr>
              <w:spacing w:line="520" w:lineRule="exact"/>
              <w:ind w:firstLine="484" w:firstLineChars="202"/>
              <w:rPr>
                <w:rFonts w:ascii="宋体" w:hAnsi="宋体" w:cs="宋体"/>
                <w:color w:val="000000"/>
                <w:sz w:val="24"/>
                <w:szCs w:val="24"/>
              </w:rPr>
            </w:pPr>
          </w:p>
        </w:tc>
        <w:tc>
          <w:tcPr>
            <w:tcW w:w="1320" w:type="dxa"/>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val="0"/>
            <w:vAlign w:val="top"/>
          </w:tcPr>
          <w:p>
            <w:pPr>
              <w:spacing w:line="520" w:lineRule="exact"/>
              <w:ind w:firstLine="484" w:firstLineChars="202"/>
              <w:rPr>
                <w:rFonts w:ascii="宋体" w:hAnsi="宋体" w:cs="宋体"/>
                <w:color w:val="000000"/>
                <w:sz w:val="24"/>
                <w:szCs w:val="24"/>
              </w:rPr>
            </w:pPr>
          </w:p>
        </w:tc>
        <w:tc>
          <w:tcPr>
            <w:tcW w:w="1466" w:type="dxa"/>
            <w:gridSpan w:val="2"/>
            <w:noWrap w:val="0"/>
            <w:vAlign w:val="top"/>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ascii="宋体" w:hAnsi="宋体" w:cs="宋体"/>
          <w:color w:val="000000"/>
          <w:sz w:val="24"/>
          <w:szCs w:val="24"/>
        </w:rPr>
        <w:t xml:space="preserve">            </w:t>
      </w:r>
    </w:p>
    <w:p>
      <w:pPr>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hint="eastAsia"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hint="eastAsia"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hint="eastAsia" w:ascii="宋体" w:hAnsi="宋体"/>
          <w:color w:val="000000"/>
          <w:sz w:val="24"/>
          <w:szCs w:val="24"/>
          <w:lang w:val="zh-CN"/>
        </w:rPr>
      </w:pPr>
      <w:r>
        <w:rPr>
          <w:rFonts w:hint="eastAsia" w:ascii="宋体" w:hAnsi="宋体"/>
          <w:color w:val="000000"/>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zh-CN"/>
        </w:rPr>
        <w:t>日期：</w:t>
      </w:r>
      <w:r>
        <w:rPr>
          <w:rFonts w:hint="eastAsia" w:ascii="宋体" w:hAnsi="宋体"/>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p>
    <w:p>
      <w:pPr>
        <w:spacing w:line="360" w:lineRule="auto"/>
        <w:jc w:val="center"/>
        <w:rPr>
          <w:rFonts w:ascii="宋体"/>
          <w:b/>
          <w:bCs/>
          <w:sz w:val="28"/>
          <w:szCs w:val="28"/>
        </w:rPr>
      </w:pPr>
      <w:r>
        <w:br w:type="page"/>
      </w:r>
      <w:r>
        <w:rPr>
          <w:rFonts w:hint="eastAsia" w:ascii="宋体" w:hAnsi="宋体" w:cs="宋体"/>
          <w:b/>
          <w:bCs/>
          <w:sz w:val="28"/>
          <w:szCs w:val="28"/>
          <w:lang w:val="en-US" w:eastAsia="zh-CN"/>
        </w:rPr>
        <w:t>5</w:t>
      </w:r>
      <w:r>
        <w:rPr>
          <w:rFonts w:hint="eastAsia" w:ascii="宋体" w:hAnsi="宋体" w:cs="宋体"/>
          <w:b/>
          <w:bCs/>
          <w:sz w:val="28"/>
          <w:szCs w:val="28"/>
        </w:rPr>
        <w:t>、无重大违法记录声明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我单位</w:t>
      </w:r>
      <w:r>
        <w:rPr>
          <w:rFonts w:ascii="宋体" w:hAnsi="宋体" w:cs="宋体"/>
          <w:sz w:val="24"/>
          <w:szCs w:val="24"/>
          <w:u w:val="single"/>
        </w:rPr>
        <w:t xml:space="preserve">               </w:t>
      </w:r>
      <w:r>
        <w:rPr>
          <w:rFonts w:hint="eastAsia" w:ascii="宋体" w:hAnsi="宋体" w:cs="宋体"/>
          <w:sz w:val="24"/>
          <w:szCs w:val="24"/>
        </w:rPr>
        <w:t>（供应商名称）郑重声明：</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r>
        <w:rPr>
          <w:rFonts w:ascii="宋体" w:hAnsi="宋体" w:cs="宋体"/>
          <w:sz w:val="24"/>
          <w:szCs w:val="24"/>
        </w:rPr>
        <w:t xml:space="preserve">                                                       </w:t>
      </w:r>
    </w:p>
    <w:p>
      <w:pPr>
        <w:spacing w:line="420" w:lineRule="exact"/>
        <w:ind w:firstLine="6360" w:firstLineChars="2650"/>
        <w:rPr>
          <w:rFonts w:ascii="宋体"/>
          <w:sz w:val="24"/>
          <w:szCs w:val="24"/>
        </w:rPr>
      </w:pPr>
      <w:r>
        <w:rPr>
          <w:rFonts w:ascii="宋体" w:hAnsi="宋体" w:cs="宋体"/>
          <w:sz w:val="24"/>
          <w:szCs w:val="24"/>
        </w:rPr>
        <w:t xml:space="preserve"> </w:t>
      </w:r>
      <w:r>
        <w:rPr>
          <w:rFonts w:hint="eastAsia" w:ascii="宋体" w:hAnsi="宋体" w:cs="宋体"/>
          <w:sz w:val="24"/>
          <w:szCs w:val="24"/>
        </w:rPr>
        <w:t>声明人：（公章）</w:t>
      </w:r>
    </w:p>
    <w:p>
      <w:pPr>
        <w:spacing w:line="4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lang w:val="en-US" w:eastAsia="zh-CN"/>
        </w:rPr>
        <w:t>6</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ascii="宋体" w:hAnsi="宋体" w:cs="宋体"/>
          <w:sz w:val="24"/>
          <w:szCs w:val="24"/>
          <w:u w:val="single"/>
        </w:rPr>
        <w:t xml:space="preserve">                        </w:t>
      </w:r>
      <w:r>
        <w:rPr>
          <w:rFonts w:hint="eastAsia" w:ascii="宋体" w:hAnsi="宋体" w:cs="宋体"/>
          <w:sz w:val="24"/>
          <w:szCs w:val="24"/>
        </w:rPr>
        <w:t>（项目名称</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lang w:val="en-US" w:eastAsia="zh-CN"/>
        </w:rPr>
        <w:t>7</w:t>
      </w:r>
      <w:r>
        <w:rPr>
          <w:rFonts w:hint="eastAsia" w:ascii="宋体" w:hAnsi="宋体" w:cs="宋体"/>
          <w:b/>
          <w:bCs/>
          <w:sz w:val="28"/>
          <w:szCs w:val="28"/>
        </w:rPr>
        <w:t>、竞争性磋商响应函（格式不得变动）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（磋商项目名称</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widowControl/>
        <w:snapToGrid w:val="0"/>
        <w:jc w:val="center"/>
        <w:textAlignment w:val="baseline"/>
        <w:rPr>
          <w:rFonts w:hint="eastAsia" w:ascii="宋体" w:hAnsi="宋体" w:cs="宋体"/>
          <w:b/>
          <w:bCs/>
          <w:sz w:val="28"/>
          <w:szCs w:val="28"/>
        </w:rPr>
      </w:pPr>
      <w:r>
        <w:rPr>
          <w:rFonts w:ascii="宋体"/>
          <w:b/>
          <w:bCs/>
          <w:sz w:val="28"/>
          <w:szCs w:val="28"/>
        </w:rPr>
        <w:br w:type="page"/>
      </w:r>
      <w:r>
        <w:rPr>
          <w:rFonts w:hint="eastAsia" w:ascii="宋体" w:hAnsi="宋体" w:cs="宋体"/>
          <w:b/>
          <w:bCs/>
          <w:sz w:val="28"/>
          <w:szCs w:val="28"/>
          <w:lang w:val="en-US" w:eastAsia="zh-CN"/>
        </w:rPr>
        <w:t>8</w:t>
      </w:r>
      <w:r>
        <w:rPr>
          <w:rFonts w:hint="eastAsia" w:ascii="宋体" w:hAnsi="宋体" w:cs="宋体"/>
          <w:b/>
          <w:bCs/>
          <w:sz w:val="28"/>
          <w:szCs w:val="28"/>
        </w:rPr>
        <w:t>、磋商响应报价总表</w:t>
      </w:r>
    </w:p>
    <w:p>
      <w:pPr>
        <w:pStyle w:val="20"/>
        <w:snapToGrid w:val="0"/>
        <w:textAlignment w:val="baseline"/>
      </w:pPr>
    </w:p>
    <w:tbl>
      <w:tblPr>
        <w:tblStyle w:val="5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南通市妇幼保健院中央空调水处理服务项目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cs="宋体"/>
                <w:sz w:val="24"/>
                <w:szCs w:val="24"/>
              </w:rPr>
              <w:t xml:space="preserve"> </w:t>
            </w:r>
          </w:p>
          <w:p>
            <w:pPr>
              <w:snapToGrid w:val="0"/>
              <w:spacing w:line="420" w:lineRule="exact"/>
              <w:ind w:left="1130" w:hanging="1130" w:hangingChars="471"/>
              <w:textAlignment w:val="baseline"/>
              <w:rPr>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磋商总价报价</w:t>
            </w:r>
          </w:p>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第二次</w:t>
            </w:r>
            <w:r>
              <w:rPr>
                <w:rFonts w:hint="eastAsia" w:ascii="宋体" w:hAnsi="宋体" w:cs="宋体"/>
                <w:sz w:val="24"/>
                <w:szCs w:val="24"/>
              </w:rPr>
              <w:t>）</w:t>
            </w:r>
          </w:p>
          <w:p>
            <w:pPr>
              <w:snapToGrid w:val="0"/>
              <w:spacing w:line="480" w:lineRule="exact"/>
              <w:jc w:val="center"/>
              <w:textAlignment w:val="baseline"/>
              <w:rPr>
                <w:sz w:val="20"/>
                <w:szCs w:val="22"/>
              </w:rPr>
            </w:pPr>
            <w:r>
              <w:rPr>
                <w:rFonts w:hint="eastAsia" w:ascii="宋体" w:hAnsi="宋体" w:cs="宋体"/>
                <w:b/>
                <w:bCs/>
                <w:sz w:val="24"/>
                <w:szCs w:val="24"/>
                <w:highlight w:val="none"/>
                <w:u w:val="single" w:color="000000"/>
              </w:rPr>
              <w:t>（磋商现场填写）</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ascii="宋体" w:hAnsi="宋体" w:cs="宋体"/>
                <w:snapToGrid w:val="0"/>
                <w:sz w:val="24"/>
                <w:szCs w:val="24"/>
              </w:rPr>
              <w:t>。</w:t>
            </w:r>
            <w:r>
              <w:rPr>
                <w:rFonts w:hint="eastAsia" w:cs="宋体"/>
                <w:sz w:val="24"/>
                <w:szCs w:val="24"/>
              </w:rPr>
              <w:t xml:space="preserve"> </w:t>
            </w:r>
          </w:p>
          <w:p>
            <w:pPr>
              <w:snapToGrid w:val="0"/>
              <w:spacing w:line="420" w:lineRule="exact"/>
              <w:ind w:left="1130" w:hanging="1130" w:hangingChars="471"/>
              <w:textAlignment w:val="baseline"/>
              <w:rPr>
                <w:rFonts w:cs="宋体"/>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付款条件</w:t>
            </w:r>
          </w:p>
        </w:tc>
        <w:tc>
          <w:tcPr>
            <w:tcW w:w="7564"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完全接受并响应本项目磋商文件的要求。</w:t>
            </w:r>
          </w:p>
        </w:tc>
      </w:tr>
    </w:tbl>
    <w:p>
      <w:pPr>
        <w:pStyle w:val="2"/>
        <w:snapToGrid w:val="0"/>
        <w:ind w:firstLine="0" w:firstLineChars="0"/>
        <w:textAlignment w:val="baseline"/>
        <w:rPr>
          <w:szCs w:val="24"/>
        </w:rPr>
      </w:pPr>
    </w:p>
    <w:p>
      <w:pPr>
        <w:pStyle w:val="113"/>
        <w:snapToGrid w:val="0"/>
        <w:spacing w:line="360" w:lineRule="auto"/>
        <w:ind w:firstLine="241" w:firstLineChars="100"/>
        <w:textAlignment w:val="baseline"/>
        <w:rPr>
          <w:rFonts w:ascii="Times New Roman" w:hAnsi="宋体"/>
          <w:b/>
          <w:sz w:val="24"/>
        </w:rPr>
      </w:pPr>
      <w:r>
        <w:rPr>
          <w:rFonts w:hint="eastAsia" w:ascii="Times New Roman" w:hAnsi="宋体"/>
          <w:b/>
          <w:sz w:val="24"/>
        </w:rPr>
        <w:t>注：1、最终总价报价将在磋商现场填写，响应文件密封提交时只需填写首次磋商总价报价。2、本表式不得自行改动。</w:t>
      </w:r>
    </w:p>
    <w:p>
      <w:pPr>
        <w:snapToGrid w:val="0"/>
        <w:spacing w:line="360" w:lineRule="auto"/>
        <w:ind w:firstLine="472" w:firstLineChars="196"/>
        <w:outlineLvl w:val="1"/>
        <w:rPr>
          <w:rFonts w:hint="eastAsia" w:ascii="宋体" w:hAnsi="宋体" w:cs="宋体"/>
          <w:b/>
          <w:bCs/>
          <w:sz w:val="24"/>
          <w:szCs w:val="24"/>
        </w:rPr>
      </w:pPr>
      <w:r>
        <w:rPr>
          <w:rFonts w:hint="eastAsia" w:hAnsi="宋体" w:cs="宋体"/>
          <w:b/>
          <w:sz w:val="24"/>
        </w:rPr>
        <w:t>3</w:t>
      </w:r>
      <w:r>
        <w:rPr>
          <w:rFonts w:hint="eastAsia" w:ascii="宋体" w:hAnsi="宋体" w:cs="宋体"/>
          <w:b/>
          <w:bCs/>
          <w:sz w:val="24"/>
          <w:szCs w:val="24"/>
        </w:rPr>
        <w:t>、包括但不限于材料费、药剂费、设备费、设备维修或更换费、检测费、上门服务费（含业主临时或应急要求）、人工费、管理费、利润、税金、政策性文件规定及为达到采购人要求所包含的所有风险、责任等各项费用。各投标供应商应根据磋商文件要求，并充分考虑市场因素，自行核算成本报价。如有漏项，视同已包含在其总项目中，即项目履行到项目执行结束的过程中所发生的一切费用及响应采购文件要求的所有费用。</w:t>
      </w: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3"/>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3"/>
        <w:tabs>
          <w:tab w:val="left" w:pos="5665"/>
          <w:tab w:val="right" w:pos="8360"/>
        </w:tabs>
        <w:snapToGrid w:val="0"/>
        <w:spacing w:line="360" w:lineRule="auto"/>
        <w:ind w:right="42"/>
        <w:textAlignment w:val="baseline"/>
        <w:rPr>
          <w:rFonts w:hint="eastAsia" w:hAnsi="宋体"/>
          <w:color w:val="000000"/>
          <w:sz w:val="24"/>
          <w:lang w:val="zh-CN"/>
        </w:rPr>
      </w:pPr>
      <w:r>
        <w:rPr>
          <w:rFonts w:hint="eastAsia" w:hAnsi="宋体"/>
          <w:color w:val="000000"/>
          <w:sz w:val="24"/>
          <w:lang w:val="zh-CN"/>
        </w:rPr>
        <w:t>日期：</w:t>
      </w:r>
      <w:r>
        <w:rPr>
          <w:rFonts w:hint="eastAsia"/>
          <w:color w:val="000000"/>
          <w:sz w:val="24"/>
        </w:rPr>
        <w:t xml:space="preserve">  </w:t>
      </w:r>
      <w:r>
        <w:rPr>
          <w:rFonts w:hint="eastAsia" w:hAnsi="宋体"/>
          <w:color w:val="000000"/>
          <w:sz w:val="24"/>
          <w:lang w:val="zh-CN"/>
        </w:rPr>
        <w:t>年</w:t>
      </w:r>
      <w:r>
        <w:rPr>
          <w:rFonts w:hint="eastAsia"/>
          <w:color w:val="000000"/>
          <w:sz w:val="24"/>
        </w:rPr>
        <w:t xml:space="preserve">   </w:t>
      </w:r>
      <w:r>
        <w:rPr>
          <w:rFonts w:hint="eastAsia" w:hAnsi="宋体"/>
          <w:color w:val="000000"/>
          <w:sz w:val="24"/>
          <w:lang w:val="zh-CN"/>
        </w:rPr>
        <w:t>月</w:t>
      </w:r>
      <w:r>
        <w:rPr>
          <w:rFonts w:hint="eastAsia"/>
          <w:color w:val="000000"/>
          <w:sz w:val="24"/>
        </w:rPr>
        <w:t xml:space="preserve">   </w:t>
      </w:r>
      <w:r>
        <w:rPr>
          <w:rFonts w:hint="eastAsia" w:hAnsi="宋体"/>
          <w:color w:val="000000"/>
          <w:sz w:val="24"/>
          <w:lang w:val="zh-CN"/>
        </w:rPr>
        <w:t>日</w:t>
      </w:r>
    </w:p>
    <w:p>
      <w:pPr>
        <w:pStyle w:val="113"/>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hAnsi="宋体"/>
          <w:b/>
          <w:bCs/>
          <w:sz w:val="24"/>
          <w:szCs w:val="24"/>
          <w:lang w:val="en-US" w:eastAsia="zh-CN"/>
        </w:rPr>
        <w:t>9</w:t>
      </w:r>
      <w:r>
        <w:rPr>
          <w:rFonts w:hint="eastAsia" w:hAnsi="宋体"/>
          <w:b/>
          <w:bCs/>
          <w:sz w:val="24"/>
          <w:szCs w:val="24"/>
        </w:rPr>
        <w:t>、中小企业声明函（格式）</w:t>
      </w:r>
    </w:p>
    <w:p>
      <w:pPr>
        <w:pStyle w:val="2"/>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南通市妇幼保健院中央空调水处理服务项目</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hint="eastAsia" w:ascii="宋体" w:hAnsi="宋体" w:cs="宋体"/>
          <w:sz w:val="24"/>
          <w:szCs w:val="24"/>
          <w:u w:val="single"/>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zh-CN"/>
        </w:rPr>
        <w:t>南通市妇幼保健院中央空调水处理服务项目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pStyle w:val="20"/>
        <w:snapToGrid w:val="0"/>
        <w:spacing w:line="360" w:lineRule="auto"/>
        <w:ind w:right="415" w:firstLine="640"/>
        <w:textAlignment w:val="baseline"/>
        <w:rPr>
          <w:rFonts w:hint="eastAsia" w:ascii="宋体" w:hAnsi="宋体" w:cs="宋体"/>
          <w:szCs w:val="24"/>
        </w:rPr>
      </w:pPr>
      <w:r>
        <w:rPr>
          <w:rFonts w:hint="eastAsia" w:ascii="宋体" w:hAnsi="宋体" w:cs="宋体"/>
          <w:szCs w:val="24"/>
        </w:rPr>
        <w:t>本企业对上述声明内容的真实性负责。如有虚假，将依法承担相应责任。</w:t>
      </w:r>
    </w:p>
    <w:p>
      <w:pPr>
        <w:pStyle w:val="90"/>
        <w:rPr>
          <w:rFonts w:hint="eastAsia" w:ascii="宋体" w:eastAsia="宋体" w:cs="宋体"/>
          <w:sz w:val="24"/>
          <w:szCs w:val="24"/>
        </w:rPr>
      </w:pPr>
    </w:p>
    <w:p>
      <w:pPr>
        <w:pStyle w:val="92"/>
        <w:ind w:firstLine="420"/>
      </w:pPr>
    </w:p>
    <w:p>
      <w:pPr>
        <w:snapToGrid w:val="0"/>
        <w:spacing w:line="480" w:lineRule="auto"/>
        <w:ind w:right="79" w:firstLine="4800" w:firstLineChars="2000"/>
        <w:textAlignment w:val="baseline"/>
        <w:rPr>
          <w:rFonts w:ascii="宋体" w:hAnsi="宋体" w:cs="宋体"/>
          <w:color w:val="000000"/>
          <w:sz w:val="24"/>
          <w:szCs w:val="24"/>
        </w:rPr>
      </w:pPr>
    </w:p>
    <w:p>
      <w:pPr>
        <w:pStyle w:val="20"/>
        <w:snapToGrid w:val="0"/>
        <w:spacing w:line="360" w:lineRule="auto"/>
        <w:ind w:right="415" w:firstLine="640"/>
        <w:textAlignment w:val="baseline"/>
        <w:rPr>
          <w:rFonts w:ascii="宋体" w:hAnsi="宋体" w:cs="宋体"/>
          <w:szCs w:val="24"/>
          <w:lang w:val="zh-CN"/>
        </w:rPr>
      </w:pPr>
      <w:r>
        <w:rPr>
          <w:rFonts w:hint="eastAsia" w:ascii="宋体" w:hAnsi="宋体" w:cs="宋体"/>
          <w:color w:val="000000"/>
          <w:szCs w:val="24"/>
        </w:rPr>
        <w:t>竞争性磋商响应</w:t>
      </w:r>
      <w:r>
        <w:rPr>
          <w:rFonts w:hint="eastAsia" w:ascii="宋体" w:hAnsi="宋体" w:cs="宋体"/>
          <w:szCs w:val="24"/>
        </w:rPr>
        <w:t>供应商：（单位盖章）</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法定代表人或被委托授权人：（签字或盖章）</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rPr>
          <w:b/>
          <w:bCs/>
        </w:rPr>
      </w:pPr>
      <w:r>
        <w:rPr>
          <w:b/>
          <w:bCs/>
        </w:rPr>
        <w:t>……</w:t>
      </w:r>
      <w:r>
        <w:rPr>
          <w:rFonts w:hint="eastAsia" w:cs="宋体"/>
          <w:b/>
          <w:bCs/>
        </w:rPr>
        <w:t>全文结束</w:t>
      </w:r>
      <w:r>
        <w:rPr>
          <w:b/>
          <w:bCs/>
        </w:rPr>
        <w:t>……</w:t>
      </w:r>
    </w:p>
    <w:p>
      <w:pPr>
        <w:pStyle w:val="2"/>
        <w:rPr>
          <w:b/>
          <w:bCs/>
        </w:rPr>
      </w:pPr>
    </w:p>
    <w:p>
      <w:pPr>
        <w:pStyle w:val="2"/>
        <w:rPr>
          <w:b/>
          <w:bCs/>
        </w:rPr>
      </w:pPr>
    </w:p>
    <w:p>
      <w:pPr>
        <w:pStyle w:val="2"/>
        <w:ind w:left="0" w:leftChars="0" w:firstLine="0" w:firstLineChars="0"/>
        <w:rPr>
          <w:b/>
          <w:bCs/>
        </w:rPr>
      </w:pPr>
    </w:p>
    <w:sectPr>
      <w:headerReference r:id="rId7" w:type="default"/>
      <w:footerReference r:id="rId8" w:type="default"/>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2"/>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2"/>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14 -</w:t>
    </w:r>
    <w:r>
      <w:fldChar w:fldCharType="end"/>
    </w:r>
  </w:p>
  <w:p>
    <w:pPr>
      <w:pStyle w:val="3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jc w:val="both"/>
    </w:pPr>
    <w:r>
      <w:rPr>
        <w:rFonts w:hint="eastAsia"/>
        <w:sz w:val="18"/>
        <w:szCs w:val="18"/>
        <w:u w:val="single"/>
        <w:lang w:eastAsia="zh-CN"/>
      </w:rPr>
      <w:t>南通市妇幼保健院中央空调水处理服务项目</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jc w:val="both"/>
    </w:pPr>
    <w:r>
      <w:rPr>
        <w:rFonts w:hint="eastAsia"/>
        <w:sz w:val="18"/>
        <w:szCs w:val="18"/>
        <w:u w:val="single"/>
        <w:lang w:eastAsia="zh-CN"/>
      </w:rPr>
      <w:t>南通市妇幼保健院中央空调水处理服务项目</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jc w:val="both"/>
    </w:pPr>
    <w:r>
      <w:rPr>
        <w:rFonts w:hint="eastAsia"/>
        <w:sz w:val="18"/>
        <w:szCs w:val="18"/>
        <w:u w:val="single"/>
        <w:lang w:eastAsia="zh-CN"/>
      </w:rPr>
      <w:t>南通市妇幼保健院中央空调水处理服务项目</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7E0F1"/>
    <w:multiLevelType w:val="singleLevel"/>
    <w:tmpl w:val="F987E0F1"/>
    <w:lvl w:ilvl="0" w:tentative="0">
      <w:start w:val="1"/>
      <w:numFmt w:val="decimal"/>
      <w:suff w:val="nothing"/>
      <w:lvlText w:val="%1、"/>
      <w:lvlJc w:val="left"/>
    </w:lvl>
  </w:abstractNum>
  <w:abstractNum w:abstractNumId="1">
    <w:nsid w:val="0000003D"/>
    <w:multiLevelType w:val="multilevel"/>
    <w:tmpl w:val="0000003D"/>
    <w:lvl w:ilvl="0" w:tentative="0">
      <w:start w:val="1"/>
      <w:numFmt w:val="chineseCountingThousand"/>
      <w:pStyle w:val="6"/>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2">
    <w:nsid w:val="0FDD1752"/>
    <w:multiLevelType w:val="singleLevel"/>
    <w:tmpl w:val="0FDD1752"/>
    <w:lvl w:ilvl="0" w:tentative="0">
      <w:start w:val="2"/>
      <w:numFmt w:val="chineseCounting"/>
      <w:suff w:val="nothing"/>
      <w:lvlText w:val="%1、"/>
      <w:lvlJc w:val="left"/>
      <w:rPr>
        <w:rFonts w:hint="eastAsia"/>
      </w:rPr>
    </w:lvl>
  </w:abstractNum>
  <w:abstractNum w:abstractNumId="3">
    <w:nsid w:val="1655D05D"/>
    <w:multiLevelType w:val="singleLevel"/>
    <w:tmpl w:val="1655D05D"/>
    <w:lvl w:ilvl="0" w:tentative="0">
      <w:start w:val="2"/>
      <w:numFmt w:val="decimal"/>
      <w:suff w:val="nothing"/>
      <w:lvlText w:val="%1、"/>
      <w:lvlJc w:val="left"/>
    </w:lvl>
  </w:abstractNum>
  <w:abstractNum w:abstractNumId="4">
    <w:nsid w:val="2C0DFDC2"/>
    <w:multiLevelType w:val="singleLevel"/>
    <w:tmpl w:val="2C0DFDC2"/>
    <w:lvl w:ilvl="0" w:tentative="0">
      <w:start w:val="1"/>
      <w:numFmt w:val="decimal"/>
      <w:suff w:val="nothing"/>
      <w:lvlText w:val="%1、"/>
      <w:lvlJc w:val="left"/>
    </w:lvl>
  </w:abstractNum>
  <w:abstractNum w:abstractNumId="5">
    <w:nsid w:val="3252E996"/>
    <w:multiLevelType w:val="singleLevel"/>
    <w:tmpl w:val="3252E996"/>
    <w:lvl w:ilvl="0" w:tentative="0">
      <w:start w:val="2"/>
      <w:numFmt w:val="decimal"/>
      <w:suff w:val="nothing"/>
      <w:lvlText w:val="%1、"/>
      <w:lvlJc w:val="left"/>
      <w:pPr>
        <w:textAlignment w:val="baseline"/>
      </w:pPr>
    </w:lvl>
  </w:abstractNum>
  <w:abstractNum w:abstractNumId="6">
    <w:nsid w:val="358A0AB6"/>
    <w:multiLevelType w:val="singleLevel"/>
    <w:tmpl w:val="358A0AB6"/>
    <w:lvl w:ilvl="0" w:tentative="0">
      <w:start w:val="7"/>
      <w:numFmt w:val="chineseCounting"/>
      <w:suff w:val="nothing"/>
      <w:lvlText w:val="%1、"/>
      <w:lvlJc w:val="left"/>
      <w:rPr>
        <w:rFonts w:hint="eastAsia"/>
      </w:rPr>
    </w:lvl>
  </w:abstractNum>
  <w:abstractNum w:abstractNumId="7">
    <w:nsid w:val="5A0F3AED"/>
    <w:multiLevelType w:val="singleLevel"/>
    <w:tmpl w:val="5A0F3AED"/>
    <w:lvl w:ilvl="0" w:tentative="0">
      <w:start w:val="1"/>
      <w:numFmt w:val="decimal"/>
      <w:suff w:val="nothing"/>
      <w:lvlText w:val="%1、"/>
      <w:lvlJc w:val="left"/>
    </w:lvl>
  </w:abstractNum>
  <w:abstractNum w:abstractNumId="8">
    <w:nsid w:val="6F1A29ED"/>
    <w:multiLevelType w:val="singleLevel"/>
    <w:tmpl w:val="6F1A29ED"/>
    <w:lvl w:ilvl="0" w:tentative="0">
      <w:start w:val="1"/>
      <w:numFmt w:val="chineseCounting"/>
      <w:suff w:val="nothing"/>
      <w:lvlText w:val="%1、"/>
      <w:lvlJc w:val="left"/>
      <w:rPr>
        <w:rFonts w:hint="eastAsia"/>
      </w:rPr>
    </w:lvl>
  </w:abstractNum>
  <w:num w:numId="1">
    <w:abstractNumId w:val="1"/>
  </w:num>
  <w:num w:numId="2">
    <w:abstractNumId w:val="6"/>
  </w:num>
  <w:num w:numId="3">
    <w:abstractNumId w:val="7"/>
  </w:num>
  <w:num w:numId="4">
    <w:abstractNumId w:val="4"/>
  </w:num>
  <w:num w:numId="5">
    <w:abstractNumId w:val="3"/>
  </w:num>
  <w:num w:numId="6">
    <w:abstractNumId w:val="5"/>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4"/>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NTllNzI5ZTUwNTgzNTg5MjY0ZjU0YjZiMjBlODY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26242"/>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6C2D4F"/>
    <w:rsid w:val="0190158D"/>
    <w:rsid w:val="01B77047"/>
    <w:rsid w:val="0203063D"/>
    <w:rsid w:val="02043122"/>
    <w:rsid w:val="02055635"/>
    <w:rsid w:val="02117D9A"/>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63B5D"/>
    <w:rsid w:val="052C29BF"/>
    <w:rsid w:val="05337A63"/>
    <w:rsid w:val="055C5785"/>
    <w:rsid w:val="05913412"/>
    <w:rsid w:val="05F06637"/>
    <w:rsid w:val="062C7228"/>
    <w:rsid w:val="06517EE9"/>
    <w:rsid w:val="06631EC2"/>
    <w:rsid w:val="06C55EEB"/>
    <w:rsid w:val="06C56AD4"/>
    <w:rsid w:val="06CE6EF4"/>
    <w:rsid w:val="06DF4707"/>
    <w:rsid w:val="07004918"/>
    <w:rsid w:val="070B6221"/>
    <w:rsid w:val="07654B87"/>
    <w:rsid w:val="07866B35"/>
    <w:rsid w:val="07BA720E"/>
    <w:rsid w:val="07CB7156"/>
    <w:rsid w:val="07E13B30"/>
    <w:rsid w:val="07EE2CA7"/>
    <w:rsid w:val="07EF709A"/>
    <w:rsid w:val="081F2D4C"/>
    <w:rsid w:val="084E2ACF"/>
    <w:rsid w:val="084F19C0"/>
    <w:rsid w:val="08635040"/>
    <w:rsid w:val="08A83B98"/>
    <w:rsid w:val="08B2562B"/>
    <w:rsid w:val="08B5584D"/>
    <w:rsid w:val="08BC41C1"/>
    <w:rsid w:val="08D84987"/>
    <w:rsid w:val="08F85810"/>
    <w:rsid w:val="09190838"/>
    <w:rsid w:val="095C7B83"/>
    <w:rsid w:val="098F731B"/>
    <w:rsid w:val="0996625D"/>
    <w:rsid w:val="09DE2A70"/>
    <w:rsid w:val="0A1F4EA7"/>
    <w:rsid w:val="0A8F047A"/>
    <w:rsid w:val="0AB51489"/>
    <w:rsid w:val="0ABF0DA2"/>
    <w:rsid w:val="0ACE0B6C"/>
    <w:rsid w:val="0AEE6792"/>
    <w:rsid w:val="0B33524B"/>
    <w:rsid w:val="0BB73761"/>
    <w:rsid w:val="0BD17250"/>
    <w:rsid w:val="0BE64801"/>
    <w:rsid w:val="0C5B747C"/>
    <w:rsid w:val="0C7965AF"/>
    <w:rsid w:val="0C8E3524"/>
    <w:rsid w:val="0C95751F"/>
    <w:rsid w:val="0CBE378C"/>
    <w:rsid w:val="0CD426C0"/>
    <w:rsid w:val="0D63355E"/>
    <w:rsid w:val="0D6402AD"/>
    <w:rsid w:val="0D6E00F5"/>
    <w:rsid w:val="0D775AA1"/>
    <w:rsid w:val="0DE27351"/>
    <w:rsid w:val="0DF5231E"/>
    <w:rsid w:val="0E133FA6"/>
    <w:rsid w:val="0E195228"/>
    <w:rsid w:val="0E2217A8"/>
    <w:rsid w:val="0E925E78"/>
    <w:rsid w:val="0EA20C5D"/>
    <w:rsid w:val="0EA54211"/>
    <w:rsid w:val="0EAB227A"/>
    <w:rsid w:val="0EAD5EAE"/>
    <w:rsid w:val="0EB36468"/>
    <w:rsid w:val="0EDB1EAC"/>
    <w:rsid w:val="0EDB759D"/>
    <w:rsid w:val="0F361774"/>
    <w:rsid w:val="0F3B7D92"/>
    <w:rsid w:val="0F587009"/>
    <w:rsid w:val="0F66630C"/>
    <w:rsid w:val="0F760781"/>
    <w:rsid w:val="0FCB5DCA"/>
    <w:rsid w:val="0FF066A8"/>
    <w:rsid w:val="0FF10449"/>
    <w:rsid w:val="10485433"/>
    <w:rsid w:val="104C2911"/>
    <w:rsid w:val="107B6F12"/>
    <w:rsid w:val="10997FD1"/>
    <w:rsid w:val="11053C87"/>
    <w:rsid w:val="110F7B9B"/>
    <w:rsid w:val="11316C22"/>
    <w:rsid w:val="11604A5C"/>
    <w:rsid w:val="1176169D"/>
    <w:rsid w:val="117C68E7"/>
    <w:rsid w:val="118263A1"/>
    <w:rsid w:val="119603EC"/>
    <w:rsid w:val="11A331FA"/>
    <w:rsid w:val="11A87B15"/>
    <w:rsid w:val="11C224F8"/>
    <w:rsid w:val="11DA3D05"/>
    <w:rsid w:val="11DD1A47"/>
    <w:rsid w:val="120038A1"/>
    <w:rsid w:val="121A67F7"/>
    <w:rsid w:val="121E029E"/>
    <w:rsid w:val="122338FE"/>
    <w:rsid w:val="124D4083"/>
    <w:rsid w:val="12701BF6"/>
    <w:rsid w:val="1287461C"/>
    <w:rsid w:val="12D777F2"/>
    <w:rsid w:val="12DE47E6"/>
    <w:rsid w:val="12F639E2"/>
    <w:rsid w:val="133D1517"/>
    <w:rsid w:val="136532E8"/>
    <w:rsid w:val="13CC1FE7"/>
    <w:rsid w:val="141407F8"/>
    <w:rsid w:val="14747306"/>
    <w:rsid w:val="14953687"/>
    <w:rsid w:val="14D251DA"/>
    <w:rsid w:val="155913AC"/>
    <w:rsid w:val="15BC3411"/>
    <w:rsid w:val="1614567C"/>
    <w:rsid w:val="16271ECD"/>
    <w:rsid w:val="162D1A17"/>
    <w:rsid w:val="16A76302"/>
    <w:rsid w:val="16C521B5"/>
    <w:rsid w:val="16F3593D"/>
    <w:rsid w:val="173A3666"/>
    <w:rsid w:val="17405D8B"/>
    <w:rsid w:val="17482177"/>
    <w:rsid w:val="174A79F8"/>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302BE8"/>
    <w:rsid w:val="1B63274F"/>
    <w:rsid w:val="1B751D18"/>
    <w:rsid w:val="1B837689"/>
    <w:rsid w:val="1BA35581"/>
    <w:rsid w:val="1BBC1B6B"/>
    <w:rsid w:val="1BE1312F"/>
    <w:rsid w:val="1BE54206"/>
    <w:rsid w:val="1BFD0B5F"/>
    <w:rsid w:val="1C1224F7"/>
    <w:rsid w:val="1C211FCC"/>
    <w:rsid w:val="1C215860"/>
    <w:rsid w:val="1C3B088A"/>
    <w:rsid w:val="1CD120FF"/>
    <w:rsid w:val="1CDF6B41"/>
    <w:rsid w:val="1CED6CF9"/>
    <w:rsid w:val="1D28626C"/>
    <w:rsid w:val="1D2F3F5E"/>
    <w:rsid w:val="1D3121A1"/>
    <w:rsid w:val="1D3C1D18"/>
    <w:rsid w:val="1D52110B"/>
    <w:rsid w:val="1D567D06"/>
    <w:rsid w:val="1D5E5041"/>
    <w:rsid w:val="1D6920D8"/>
    <w:rsid w:val="1D6D01C0"/>
    <w:rsid w:val="1DF127C5"/>
    <w:rsid w:val="1E994839"/>
    <w:rsid w:val="1EA43D4B"/>
    <w:rsid w:val="1ECB6CF3"/>
    <w:rsid w:val="1ED63936"/>
    <w:rsid w:val="1EE82E44"/>
    <w:rsid w:val="1F095BCD"/>
    <w:rsid w:val="1F324176"/>
    <w:rsid w:val="1F3839D1"/>
    <w:rsid w:val="1F980D5B"/>
    <w:rsid w:val="1FB35C2A"/>
    <w:rsid w:val="1FB7392F"/>
    <w:rsid w:val="1FD83FC9"/>
    <w:rsid w:val="200A7C06"/>
    <w:rsid w:val="20443B05"/>
    <w:rsid w:val="20540405"/>
    <w:rsid w:val="2056015F"/>
    <w:rsid w:val="20AB7349"/>
    <w:rsid w:val="20AC2D10"/>
    <w:rsid w:val="20B11C5C"/>
    <w:rsid w:val="20BE2EDB"/>
    <w:rsid w:val="20CF18B8"/>
    <w:rsid w:val="20DC1B4D"/>
    <w:rsid w:val="20E75FEA"/>
    <w:rsid w:val="211B0EE6"/>
    <w:rsid w:val="21386BBD"/>
    <w:rsid w:val="219A49A8"/>
    <w:rsid w:val="21BE7C5E"/>
    <w:rsid w:val="21C77D00"/>
    <w:rsid w:val="21CA74E9"/>
    <w:rsid w:val="21DE261D"/>
    <w:rsid w:val="21EC2BAB"/>
    <w:rsid w:val="21F22C88"/>
    <w:rsid w:val="220D46BA"/>
    <w:rsid w:val="22A60EB5"/>
    <w:rsid w:val="22D23494"/>
    <w:rsid w:val="22D81D21"/>
    <w:rsid w:val="230F0A4B"/>
    <w:rsid w:val="23165F69"/>
    <w:rsid w:val="232B1CE8"/>
    <w:rsid w:val="232F19D7"/>
    <w:rsid w:val="238263F4"/>
    <w:rsid w:val="23AF4937"/>
    <w:rsid w:val="23D64254"/>
    <w:rsid w:val="24011960"/>
    <w:rsid w:val="24054A11"/>
    <w:rsid w:val="241137D9"/>
    <w:rsid w:val="242A0B1C"/>
    <w:rsid w:val="245A05CA"/>
    <w:rsid w:val="247B4D12"/>
    <w:rsid w:val="24895FF2"/>
    <w:rsid w:val="24A96DC1"/>
    <w:rsid w:val="24B66F7B"/>
    <w:rsid w:val="24B95CB1"/>
    <w:rsid w:val="24D24319"/>
    <w:rsid w:val="24FD1D8D"/>
    <w:rsid w:val="25101C98"/>
    <w:rsid w:val="2549427F"/>
    <w:rsid w:val="25974A42"/>
    <w:rsid w:val="25E037D0"/>
    <w:rsid w:val="2614749F"/>
    <w:rsid w:val="262E41C8"/>
    <w:rsid w:val="268C368D"/>
    <w:rsid w:val="26B92AA7"/>
    <w:rsid w:val="26F23C5A"/>
    <w:rsid w:val="27251824"/>
    <w:rsid w:val="273F2C97"/>
    <w:rsid w:val="2750534C"/>
    <w:rsid w:val="276D2FA1"/>
    <w:rsid w:val="277838F6"/>
    <w:rsid w:val="279F2C36"/>
    <w:rsid w:val="283C7C55"/>
    <w:rsid w:val="28453812"/>
    <w:rsid w:val="28A65873"/>
    <w:rsid w:val="28A91911"/>
    <w:rsid w:val="28EC1885"/>
    <w:rsid w:val="29161CF1"/>
    <w:rsid w:val="291F27EC"/>
    <w:rsid w:val="29212C84"/>
    <w:rsid w:val="2933177B"/>
    <w:rsid w:val="29394C50"/>
    <w:rsid w:val="2974095E"/>
    <w:rsid w:val="29927401"/>
    <w:rsid w:val="299608E4"/>
    <w:rsid w:val="299B6946"/>
    <w:rsid w:val="29B80978"/>
    <w:rsid w:val="29C04EC5"/>
    <w:rsid w:val="29D34CE3"/>
    <w:rsid w:val="29DE1E4D"/>
    <w:rsid w:val="2A0A7696"/>
    <w:rsid w:val="2A0D0F0C"/>
    <w:rsid w:val="2A176C00"/>
    <w:rsid w:val="2A6B1D80"/>
    <w:rsid w:val="2ADB6EB7"/>
    <w:rsid w:val="2AF7102C"/>
    <w:rsid w:val="2AFB54C5"/>
    <w:rsid w:val="2B055F8A"/>
    <w:rsid w:val="2B0C03A4"/>
    <w:rsid w:val="2B200651"/>
    <w:rsid w:val="2B3841A3"/>
    <w:rsid w:val="2B6F658C"/>
    <w:rsid w:val="2BA33DC6"/>
    <w:rsid w:val="2BF16B92"/>
    <w:rsid w:val="2D511017"/>
    <w:rsid w:val="2DA67B66"/>
    <w:rsid w:val="2DF81306"/>
    <w:rsid w:val="2DFD7CDE"/>
    <w:rsid w:val="2E8818C4"/>
    <w:rsid w:val="2E922D73"/>
    <w:rsid w:val="2EB45BB2"/>
    <w:rsid w:val="2EBA1864"/>
    <w:rsid w:val="2EC85D5E"/>
    <w:rsid w:val="2ED50D09"/>
    <w:rsid w:val="2EF22E53"/>
    <w:rsid w:val="2EF51D26"/>
    <w:rsid w:val="2F0748E7"/>
    <w:rsid w:val="2F0A6734"/>
    <w:rsid w:val="2F3D79D9"/>
    <w:rsid w:val="2F4219B8"/>
    <w:rsid w:val="2F9C54E2"/>
    <w:rsid w:val="2FC36919"/>
    <w:rsid w:val="2FC935F5"/>
    <w:rsid w:val="3014598E"/>
    <w:rsid w:val="3019494D"/>
    <w:rsid w:val="301B4DB2"/>
    <w:rsid w:val="302F5F5A"/>
    <w:rsid w:val="305C6B22"/>
    <w:rsid w:val="30B27717"/>
    <w:rsid w:val="30DB42DF"/>
    <w:rsid w:val="30E74DA6"/>
    <w:rsid w:val="30EC34E0"/>
    <w:rsid w:val="31172A76"/>
    <w:rsid w:val="3140197F"/>
    <w:rsid w:val="31841167"/>
    <w:rsid w:val="31962F66"/>
    <w:rsid w:val="31C81974"/>
    <w:rsid w:val="31F6203D"/>
    <w:rsid w:val="32476D3D"/>
    <w:rsid w:val="32484C4E"/>
    <w:rsid w:val="32605D06"/>
    <w:rsid w:val="32E90B44"/>
    <w:rsid w:val="33A43C30"/>
    <w:rsid w:val="33CE2C57"/>
    <w:rsid w:val="33DE6B77"/>
    <w:rsid w:val="33EC512B"/>
    <w:rsid w:val="341C101E"/>
    <w:rsid w:val="346F43F1"/>
    <w:rsid w:val="347D281C"/>
    <w:rsid w:val="349B3370"/>
    <w:rsid w:val="34FA467B"/>
    <w:rsid w:val="35441A8C"/>
    <w:rsid w:val="35484BCD"/>
    <w:rsid w:val="355A3D41"/>
    <w:rsid w:val="35691819"/>
    <w:rsid w:val="35A238E7"/>
    <w:rsid w:val="35A304A9"/>
    <w:rsid w:val="35D573AE"/>
    <w:rsid w:val="364D7488"/>
    <w:rsid w:val="365A6926"/>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95E18"/>
    <w:rsid w:val="389B0595"/>
    <w:rsid w:val="38A47140"/>
    <w:rsid w:val="38F80946"/>
    <w:rsid w:val="39197560"/>
    <w:rsid w:val="39275FEC"/>
    <w:rsid w:val="393153A6"/>
    <w:rsid w:val="3939253C"/>
    <w:rsid w:val="39875A90"/>
    <w:rsid w:val="39A53523"/>
    <w:rsid w:val="39A75360"/>
    <w:rsid w:val="39C661B5"/>
    <w:rsid w:val="3A24180E"/>
    <w:rsid w:val="3A3D44A3"/>
    <w:rsid w:val="3A6570A1"/>
    <w:rsid w:val="3A883352"/>
    <w:rsid w:val="3A98285C"/>
    <w:rsid w:val="3AA7541F"/>
    <w:rsid w:val="3AB16AFD"/>
    <w:rsid w:val="3AB46F3A"/>
    <w:rsid w:val="3ABD3CF2"/>
    <w:rsid w:val="3AD23706"/>
    <w:rsid w:val="3AD54D74"/>
    <w:rsid w:val="3ADF1772"/>
    <w:rsid w:val="3AE83617"/>
    <w:rsid w:val="3AFC44E4"/>
    <w:rsid w:val="3B377223"/>
    <w:rsid w:val="3C200787"/>
    <w:rsid w:val="3CBF4F2E"/>
    <w:rsid w:val="3CE43D58"/>
    <w:rsid w:val="3D056DE5"/>
    <w:rsid w:val="3D150381"/>
    <w:rsid w:val="3D242DC0"/>
    <w:rsid w:val="3D3357D0"/>
    <w:rsid w:val="3D3861CD"/>
    <w:rsid w:val="3D444D9B"/>
    <w:rsid w:val="3D603B0C"/>
    <w:rsid w:val="3D9A53D2"/>
    <w:rsid w:val="3DA82763"/>
    <w:rsid w:val="3E860BED"/>
    <w:rsid w:val="3EB24A80"/>
    <w:rsid w:val="3EF344A0"/>
    <w:rsid w:val="3F0C5499"/>
    <w:rsid w:val="3F106D4D"/>
    <w:rsid w:val="3F266B61"/>
    <w:rsid w:val="3F271710"/>
    <w:rsid w:val="3F564F2E"/>
    <w:rsid w:val="3F5A618E"/>
    <w:rsid w:val="3FAA7756"/>
    <w:rsid w:val="403C0BE5"/>
    <w:rsid w:val="406311E6"/>
    <w:rsid w:val="406538E2"/>
    <w:rsid w:val="40AE2408"/>
    <w:rsid w:val="40D61F9F"/>
    <w:rsid w:val="40E6513A"/>
    <w:rsid w:val="41207F0A"/>
    <w:rsid w:val="41277CAD"/>
    <w:rsid w:val="415E7BFF"/>
    <w:rsid w:val="417254CB"/>
    <w:rsid w:val="418A329E"/>
    <w:rsid w:val="41DE7B28"/>
    <w:rsid w:val="421C406A"/>
    <w:rsid w:val="421C69ED"/>
    <w:rsid w:val="423D3A47"/>
    <w:rsid w:val="423F7E57"/>
    <w:rsid w:val="428B61F9"/>
    <w:rsid w:val="433112AC"/>
    <w:rsid w:val="43313437"/>
    <w:rsid w:val="433238B4"/>
    <w:rsid w:val="434E0C0A"/>
    <w:rsid w:val="438D6152"/>
    <w:rsid w:val="43C54EEF"/>
    <w:rsid w:val="43E02C27"/>
    <w:rsid w:val="441375B4"/>
    <w:rsid w:val="443B1E1A"/>
    <w:rsid w:val="444875EB"/>
    <w:rsid w:val="44535F71"/>
    <w:rsid w:val="44A17A7E"/>
    <w:rsid w:val="44EE06E7"/>
    <w:rsid w:val="452B7DF8"/>
    <w:rsid w:val="453C2484"/>
    <w:rsid w:val="453D6989"/>
    <w:rsid w:val="453F4987"/>
    <w:rsid w:val="454E29B2"/>
    <w:rsid w:val="45617CBE"/>
    <w:rsid w:val="456E21D5"/>
    <w:rsid w:val="45BA70B1"/>
    <w:rsid w:val="45D61449"/>
    <w:rsid w:val="45EA2CE8"/>
    <w:rsid w:val="45F74EDF"/>
    <w:rsid w:val="4600059B"/>
    <w:rsid w:val="46160E93"/>
    <w:rsid w:val="462D006C"/>
    <w:rsid w:val="46342EDD"/>
    <w:rsid w:val="464E252C"/>
    <w:rsid w:val="466B0DF4"/>
    <w:rsid w:val="46AB5174"/>
    <w:rsid w:val="46B700F8"/>
    <w:rsid w:val="46BB44BC"/>
    <w:rsid w:val="46D272F4"/>
    <w:rsid w:val="4700042C"/>
    <w:rsid w:val="473A4BD7"/>
    <w:rsid w:val="47510996"/>
    <w:rsid w:val="47570AD2"/>
    <w:rsid w:val="47580314"/>
    <w:rsid w:val="47B34831"/>
    <w:rsid w:val="47EB41FA"/>
    <w:rsid w:val="47EF7803"/>
    <w:rsid w:val="4804144A"/>
    <w:rsid w:val="48070487"/>
    <w:rsid w:val="48126BC6"/>
    <w:rsid w:val="48501411"/>
    <w:rsid w:val="48695334"/>
    <w:rsid w:val="486A7361"/>
    <w:rsid w:val="48890152"/>
    <w:rsid w:val="48C05E0B"/>
    <w:rsid w:val="48C93CA5"/>
    <w:rsid w:val="48F87457"/>
    <w:rsid w:val="490671E3"/>
    <w:rsid w:val="490E1280"/>
    <w:rsid w:val="4922407A"/>
    <w:rsid w:val="497A63F6"/>
    <w:rsid w:val="497B7D9F"/>
    <w:rsid w:val="498E6CD6"/>
    <w:rsid w:val="49BD25AC"/>
    <w:rsid w:val="49C93F25"/>
    <w:rsid w:val="49D14B65"/>
    <w:rsid w:val="4A7B0E59"/>
    <w:rsid w:val="4A803067"/>
    <w:rsid w:val="4AB74840"/>
    <w:rsid w:val="4AC65755"/>
    <w:rsid w:val="4AD728D0"/>
    <w:rsid w:val="4ADF597A"/>
    <w:rsid w:val="4AE30D8B"/>
    <w:rsid w:val="4B2D7D43"/>
    <w:rsid w:val="4B91508D"/>
    <w:rsid w:val="4B937275"/>
    <w:rsid w:val="4BB90631"/>
    <w:rsid w:val="4C450FB8"/>
    <w:rsid w:val="4C747E14"/>
    <w:rsid w:val="4CA84AAD"/>
    <w:rsid w:val="4CAC0E3F"/>
    <w:rsid w:val="4CEA5082"/>
    <w:rsid w:val="4D2B53D3"/>
    <w:rsid w:val="4D421E62"/>
    <w:rsid w:val="4D662315"/>
    <w:rsid w:val="4D807BBE"/>
    <w:rsid w:val="4E01515D"/>
    <w:rsid w:val="4E405991"/>
    <w:rsid w:val="4E644A95"/>
    <w:rsid w:val="4E656BC0"/>
    <w:rsid w:val="4E65774D"/>
    <w:rsid w:val="4F0023CD"/>
    <w:rsid w:val="4F056DE1"/>
    <w:rsid w:val="4F15353E"/>
    <w:rsid w:val="4F19757E"/>
    <w:rsid w:val="4F223D03"/>
    <w:rsid w:val="4F6701AB"/>
    <w:rsid w:val="4F7757FD"/>
    <w:rsid w:val="4F9E5377"/>
    <w:rsid w:val="4FCB101C"/>
    <w:rsid w:val="4FE6405E"/>
    <w:rsid w:val="50540AFB"/>
    <w:rsid w:val="50602A1B"/>
    <w:rsid w:val="50612797"/>
    <w:rsid w:val="50BB53A5"/>
    <w:rsid w:val="50DC73F1"/>
    <w:rsid w:val="50FB1272"/>
    <w:rsid w:val="51174AAA"/>
    <w:rsid w:val="51B70EA1"/>
    <w:rsid w:val="51C54E50"/>
    <w:rsid w:val="51DE290C"/>
    <w:rsid w:val="51E311A7"/>
    <w:rsid w:val="521356D1"/>
    <w:rsid w:val="529D10AF"/>
    <w:rsid w:val="53494392"/>
    <w:rsid w:val="535809C3"/>
    <w:rsid w:val="53E76275"/>
    <w:rsid w:val="54372316"/>
    <w:rsid w:val="547B4505"/>
    <w:rsid w:val="548E6390"/>
    <w:rsid w:val="54936CA6"/>
    <w:rsid w:val="549E4993"/>
    <w:rsid w:val="54C51393"/>
    <w:rsid w:val="54D9333A"/>
    <w:rsid w:val="54ED6EEB"/>
    <w:rsid w:val="55966BD2"/>
    <w:rsid w:val="55D07DDD"/>
    <w:rsid w:val="562E0040"/>
    <w:rsid w:val="566E223B"/>
    <w:rsid w:val="56B23CA6"/>
    <w:rsid w:val="570755A7"/>
    <w:rsid w:val="573072C4"/>
    <w:rsid w:val="57471187"/>
    <w:rsid w:val="576F023D"/>
    <w:rsid w:val="577B6EE4"/>
    <w:rsid w:val="57AC5A21"/>
    <w:rsid w:val="57D2146B"/>
    <w:rsid w:val="57EA080C"/>
    <w:rsid w:val="57EF1F3E"/>
    <w:rsid w:val="580A1AEF"/>
    <w:rsid w:val="581C0CA5"/>
    <w:rsid w:val="5828202C"/>
    <w:rsid w:val="584E2F27"/>
    <w:rsid w:val="5886355F"/>
    <w:rsid w:val="58891F15"/>
    <w:rsid w:val="58913390"/>
    <w:rsid w:val="58A35601"/>
    <w:rsid w:val="58BA7B88"/>
    <w:rsid w:val="58E46A61"/>
    <w:rsid w:val="591C62AA"/>
    <w:rsid w:val="593C1AF7"/>
    <w:rsid w:val="597E34F4"/>
    <w:rsid w:val="59DD23FD"/>
    <w:rsid w:val="59E24A9F"/>
    <w:rsid w:val="59E56973"/>
    <w:rsid w:val="5A737CDB"/>
    <w:rsid w:val="5AAB0E70"/>
    <w:rsid w:val="5B761405"/>
    <w:rsid w:val="5BEC19E4"/>
    <w:rsid w:val="5BF8521E"/>
    <w:rsid w:val="5C0A7D4F"/>
    <w:rsid w:val="5C1B1303"/>
    <w:rsid w:val="5C241BA9"/>
    <w:rsid w:val="5C2453F7"/>
    <w:rsid w:val="5C4D09E5"/>
    <w:rsid w:val="5D0852CE"/>
    <w:rsid w:val="5D2928D3"/>
    <w:rsid w:val="5D2F26AA"/>
    <w:rsid w:val="5D433B15"/>
    <w:rsid w:val="5D502207"/>
    <w:rsid w:val="5DBD180F"/>
    <w:rsid w:val="5E0369A2"/>
    <w:rsid w:val="5E1C522E"/>
    <w:rsid w:val="5E3B5015"/>
    <w:rsid w:val="5E820631"/>
    <w:rsid w:val="5E822C00"/>
    <w:rsid w:val="5ECD71E6"/>
    <w:rsid w:val="5ECF201B"/>
    <w:rsid w:val="5EDA7CAB"/>
    <w:rsid w:val="5EE501EE"/>
    <w:rsid w:val="5F332FFE"/>
    <w:rsid w:val="5F4315E3"/>
    <w:rsid w:val="5FDE769B"/>
    <w:rsid w:val="5FFB11ED"/>
    <w:rsid w:val="60136665"/>
    <w:rsid w:val="602350BD"/>
    <w:rsid w:val="60380678"/>
    <w:rsid w:val="605D60B2"/>
    <w:rsid w:val="60604FB9"/>
    <w:rsid w:val="609540A8"/>
    <w:rsid w:val="60B33EB4"/>
    <w:rsid w:val="60BB530A"/>
    <w:rsid w:val="611A1018"/>
    <w:rsid w:val="611A335C"/>
    <w:rsid w:val="61216701"/>
    <w:rsid w:val="612B1527"/>
    <w:rsid w:val="626B5F89"/>
    <w:rsid w:val="627B32D8"/>
    <w:rsid w:val="62971E0C"/>
    <w:rsid w:val="62B90CFD"/>
    <w:rsid w:val="62FF6042"/>
    <w:rsid w:val="631F3899"/>
    <w:rsid w:val="63226337"/>
    <w:rsid w:val="632C14B3"/>
    <w:rsid w:val="632D650D"/>
    <w:rsid w:val="63382CE9"/>
    <w:rsid w:val="63863E37"/>
    <w:rsid w:val="63DC4A37"/>
    <w:rsid w:val="643709EB"/>
    <w:rsid w:val="64C753D2"/>
    <w:rsid w:val="64E82635"/>
    <w:rsid w:val="64F168C1"/>
    <w:rsid w:val="64F459D0"/>
    <w:rsid w:val="6553668F"/>
    <w:rsid w:val="65555035"/>
    <w:rsid w:val="65647826"/>
    <w:rsid w:val="656872F4"/>
    <w:rsid w:val="6582338C"/>
    <w:rsid w:val="65B22786"/>
    <w:rsid w:val="65CF7848"/>
    <w:rsid w:val="65E531E0"/>
    <w:rsid w:val="65F6754E"/>
    <w:rsid w:val="661735C0"/>
    <w:rsid w:val="66692167"/>
    <w:rsid w:val="66872C44"/>
    <w:rsid w:val="669E19F6"/>
    <w:rsid w:val="66A4324F"/>
    <w:rsid w:val="66DD6DB6"/>
    <w:rsid w:val="677D58AE"/>
    <w:rsid w:val="67902011"/>
    <w:rsid w:val="67C03DCB"/>
    <w:rsid w:val="67EE62F1"/>
    <w:rsid w:val="67FE0ABC"/>
    <w:rsid w:val="68272B8D"/>
    <w:rsid w:val="682B4CB5"/>
    <w:rsid w:val="684A0973"/>
    <w:rsid w:val="685C088A"/>
    <w:rsid w:val="688D6550"/>
    <w:rsid w:val="68A36922"/>
    <w:rsid w:val="68A638C2"/>
    <w:rsid w:val="68C1245B"/>
    <w:rsid w:val="68CF44E4"/>
    <w:rsid w:val="68D474B9"/>
    <w:rsid w:val="68D9247A"/>
    <w:rsid w:val="692837A3"/>
    <w:rsid w:val="69520021"/>
    <w:rsid w:val="696E18C3"/>
    <w:rsid w:val="69774602"/>
    <w:rsid w:val="698D01CC"/>
    <w:rsid w:val="699A4315"/>
    <w:rsid w:val="699A7243"/>
    <w:rsid w:val="69B50573"/>
    <w:rsid w:val="69BE7D9A"/>
    <w:rsid w:val="6A2D2B79"/>
    <w:rsid w:val="6A3376F7"/>
    <w:rsid w:val="6A4533FD"/>
    <w:rsid w:val="6A477F04"/>
    <w:rsid w:val="6A496835"/>
    <w:rsid w:val="6A8E7740"/>
    <w:rsid w:val="6AB14C46"/>
    <w:rsid w:val="6AD5648B"/>
    <w:rsid w:val="6AE90C42"/>
    <w:rsid w:val="6B122298"/>
    <w:rsid w:val="6B44347E"/>
    <w:rsid w:val="6B4B7148"/>
    <w:rsid w:val="6B7409C3"/>
    <w:rsid w:val="6BC55102"/>
    <w:rsid w:val="6C026F3C"/>
    <w:rsid w:val="6C1769F6"/>
    <w:rsid w:val="6C19025F"/>
    <w:rsid w:val="6C2C4F32"/>
    <w:rsid w:val="6C396029"/>
    <w:rsid w:val="6C3B64A7"/>
    <w:rsid w:val="6CD83A9C"/>
    <w:rsid w:val="6D220952"/>
    <w:rsid w:val="6D256766"/>
    <w:rsid w:val="6D6830E8"/>
    <w:rsid w:val="6D7F405A"/>
    <w:rsid w:val="6DB9174A"/>
    <w:rsid w:val="6DC248E6"/>
    <w:rsid w:val="6DC54E3E"/>
    <w:rsid w:val="6DEF09BC"/>
    <w:rsid w:val="6E1F0E23"/>
    <w:rsid w:val="6E8A1B32"/>
    <w:rsid w:val="6FA6229E"/>
    <w:rsid w:val="6FA8216E"/>
    <w:rsid w:val="6FB96E19"/>
    <w:rsid w:val="6FCA266F"/>
    <w:rsid w:val="6FF900E7"/>
    <w:rsid w:val="70294286"/>
    <w:rsid w:val="707C740E"/>
    <w:rsid w:val="708C7ADE"/>
    <w:rsid w:val="70C96F94"/>
    <w:rsid w:val="70D05D03"/>
    <w:rsid w:val="70F93881"/>
    <w:rsid w:val="711575EE"/>
    <w:rsid w:val="715349F8"/>
    <w:rsid w:val="71945E92"/>
    <w:rsid w:val="71946BA2"/>
    <w:rsid w:val="71BF1449"/>
    <w:rsid w:val="71DF3747"/>
    <w:rsid w:val="721A1FF2"/>
    <w:rsid w:val="72356C20"/>
    <w:rsid w:val="72382AB4"/>
    <w:rsid w:val="723E4008"/>
    <w:rsid w:val="725929D4"/>
    <w:rsid w:val="72A4317D"/>
    <w:rsid w:val="72AC1216"/>
    <w:rsid w:val="72B00049"/>
    <w:rsid w:val="72B70F99"/>
    <w:rsid w:val="73192710"/>
    <w:rsid w:val="732D44FD"/>
    <w:rsid w:val="73673736"/>
    <w:rsid w:val="73981574"/>
    <w:rsid w:val="73A03AE9"/>
    <w:rsid w:val="73B92936"/>
    <w:rsid w:val="73FB49FD"/>
    <w:rsid w:val="74376D48"/>
    <w:rsid w:val="74446098"/>
    <w:rsid w:val="746B414F"/>
    <w:rsid w:val="7472539D"/>
    <w:rsid w:val="747678BB"/>
    <w:rsid w:val="749036DA"/>
    <w:rsid w:val="74A13F3D"/>
    <w:rsid w:val="74DC45A8"/>
    <w:rsid w:val="750227FB"/>
    <w:rsid w:val="75693A34"/>
    <w:rsid w:val="759C3169"/>
    <w:rsid w:val="75B770CD"/>
    <w:rsid w:val="75CD34AB"/>
    <w:rsid w:val="75CF7ADF"/>
    <w:rsid w:val="764B4F25"/>
    <w:rsid w:val="76686C67"/>
    <w:rsid w:val="766C48DD"/>
    <w:rsid w:val="76A35191"/>
    <w:rsid w:val="76CE603E"/>
    <w:rsid w:val="77040325"/>
    <w:rsid w:val="77162A8D"/>
    <w:rsid w:val="774025C7"/>
    <w:rsid w:val="77853713"/>
    <w:rsid w:val="77894212"/>
    <w:rsid w:val="7800271B"/>
    <w:rsid w:val="782E08A0"/>
    <w:rsid w:val="78440AB3"/>
    <w:rsid w:val="785B79C8"/>
    <w:rsid w:val="78751BD5"/>
    <w:rsid w:val="787A7054"/>
    <w:rsid w:val="788F0084"/>
    <w:rsid w:val="78A73067"/>
    <w:rsid w:val="78A9768A"/>
    <w:rsid w:val="78AA4077"/>
    <w:rsid w:val="78CA0ADB"/>
    <w:rsid w:val="78D85865"/>
    <w:rsid w:val="792C66E3"/>
    <w:rsid w:val="79947274"/>
    <w:rsid w:val="79FE73E8"/>
    <w:rsid w:val="7A237A12"/>
    <w:rsid w:val="7A6054E2"/>
    <w:rsid w:val="7A8B7D4E"/>
    <w:rsid w:val="7A98230D"/>
    <w:rsid w:val="7B4269B8"/>
    <w:rsid w:val="7B590514"/>
    <w:rsid w:val="7B60499C"/>
    <w:rsid w:val="7B6276D7"/>
    <w:rsid w:val="7BBF0CBF"/>
    <w:rsid w:val="7BCD0EC9"/>
    <w:rsid w:val="7C0C430A"/>
    <w:rsid w:val="7C361D53"/>
    <w:rsid w:val="7C515A2B"/>
    <w:rsid w:val="7CBF1AA2"/>
    <w:rsid w:val="7CEE34AC"/>
    <w:rsid w:val="7CF92CB6"/>
    <w:rsid w:val="7D841C93"/>
    <w:rsid w:val="7D9C12B8"/>
    <w:rsid w:val="7DA92046"/>
    <w:rsid w:val="7DDF015B"/>
    <w:rsid w:val="7DEE0A06"/>
    <w:rsid w:val="7E745C2A"/>
    <w:rsid w:val="7E953F59"/>
    <w:rsid w:val="7EA95F25"/>
    <w:rsid w:val="7EBF6D37"/>
    <w:rsid w:val="7ED31DC1"/>
    <w:rsid w:val="7EF47C86"/>
    <w:rsid w:val="7F3B5B00"/>
    <w:rsid w:val="7F3C785D"/>
    <w:rsid w:val="7F510FB4"/>
    <w:rsid w:val="7FB64C5D"/>
    <w:rsid w:val="7FCB0BE9"/>
    <w:rsid w:val="7FE147D1"/>
    <w:rsid w:val="7FEB6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3"/>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7">
    <w:name w:val="heading 2"/>
    <w:basedOn w:val="1"/>
    <w:next w:val="1"/>
    <w:link w:val="64"/>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8">
    <w:name w:val="heading 3"/>
    <w:basedOn w:val="1"/>
    <w:next w:val="9"/>
    <w:link w:val="65"/>
    <w:qFormat/>
    <w:uiPriority w:val="99"/>
    <w:pPr>
      <w:keepNext/>
      <w:keepLines/>
      <w:adjustRightInd w:val="0"/>
      <w:spacing w:before="260" w:after="260" w:line="416" w:lineRule="atLeast"/>
      <w:textAlignment w:val="baseline"/>
      <w:outlineLvl w:val="2"/>
    </w:pPr>
    <w:rPr>
      <w:b/>
      <w:bCs/>
      <w:kern w:val="0"/>
      <w:sz w:val="32"/>
      <w:szCs w:val="32"/>
    </w:rPr>
  </w:style>
  <w:style w:type="paragraph" w:styleId="10">
    <w:name w:val="heading 4"/>
    <w:basedOn w:val="1"/>
    <w:next w:val="1"/>
    <w:link w:val="66"/>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11">
    <w:name w:val="heading 5"/>
    <w:basedOn w:val="1"/>
    <w:next w:val="1"/>
    <w:link w:val="67"/>
    <w:qFormat/>
    <w:uiPriority w:val="99"/>
    <w:pPr>
      <w:keepNext/>
      <w:keepLines/>
      <w:adjustRightInd w:val="0"/>
      <w:spacing w:before="280" w:after="290" w:line="376" w:lineRule="atLeast"/>
      <w:textAlignment w:val="baseline"/>
      <w:outlineLvl w:val="4"/>
    </w:pPr>
    <w:rPr>
      <w:b/>
      <w:bCs/>
      <w:kern w:val="0"/>
      <w:sz w:val="28"/>
      <w:szCs w:val="28"/>
    </w:rPr>
  </w:style>
  <w:style w:type="paragraph" w:styleId="12">
    <w:name w:val="heading 6"/>
    <w:basedOn w:val="1"/>
    <w:next w:val="1"/>
    <w:link w:val="68"/>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3">
    <w:name w:val="heading 7"/>
    <w:basedOn w:val="1"/>
    <w:next w:val="1"/>
    <w:link w:val="69"/>
    <w:qFormat/>
    <w:uiPriority w:val="99"/>
    <w:pPr>
      <w:keepNext/>
      <w:keepLines/>
      <w:adjustRightInd w:val="0"/>
      <w:spacing w:before="240" w:after="64" w:line="320" w:lineRule="atLeast"/>
      <w:textAlignment w:val="baseline"/>
      <w:outlineLvl w:val="6"/>
    </w:pPr>
    <w:rPr>
      <w:b/>
      <w:bCs/>
      <w:kern w:val="0"/>
      <w:sz w:val="24"/>
      <w:szCs w:val="24"/>
    </w:rPr>
  </w:style>
  <w:style w:type="paragraph" w:styleId="14">
    <w:name w:val="heading 8"/>
    <w:basedOn w:val="1"/>
    <w:next w:val="1"/>
    <w:link w:val="70"/>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5">
    <w:name w:val="heading 9"/>
    <w:basedOn w:val="1"/>
    <w:next w:val="1"/>
    <w:link w:val="71"/>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link w:val="88"/>
    <w:qFormat/>
    <w:locked/>
    <w:uiPriority w:val="99"/>
    <w:pPr>
      <w:ind w:firstLine="420" w:firstLineChars="200"/>
    </w:pPr>
    <w:rPr>
      <w:sz w:val="21"/>
      <w:szCs w:val="21"/>
    </w:rPr>
  </w:style>
  <w:style w:type="paragraph" w:styleId="3">
    <w:name w:val="Body Text Indent"/>
    <w:basedOn w:val="1"/>
    <w:next w:val="4"/>
    <w:link w:val="75"/>
    <w:qFormat/>
    <w:uiPriority w:val="99"/>
    <w:pPr>
      <w:spacing w:after="156"/>
      <w:ind w:firstLine="480"/>
    </w:pPr>
    <w:rPr>
      <w:sz w:val="24"/>
      <w:szCs w:val="24"/>
    </w:rPr>
  </w:style>
  <w:style w:type="paragraph" w:styleId="4">
    <w:name w:val="envelope return"/>
    <w:basedOn w:val="1"/>
    <w:qFormat/>
    <w:locked/>
    <w:uiPriority w:val="99"/>
    <w:pPr>
      <w:snapToGrid w:val="0"/>
    </w:pPr>
    <w:rPr>
      <w:rFonts w:ascii="Arial" w:hAnsi="Arial" w:cs="Arial"/>
    </w:rPr>
  </w:style>
  <w:style w:type="paragraph" w:styleId="5">
    <w:name w:val="Body Text Indent 3"/>
    <w:basedOn w:val="1"/>
    <w:link w:val="83"/>
    <w:qFormat/>
    <w:uiPriority w:val="99"/>
    <w:pPr>
      <w:spacing w:after="120"/>
      <w:ind w:left="420" w:leftChars="200"/>
    </w:pPr>
    <w:rPr>
      <w:kern w:val="0"/>
      <w:sz w:val="16"/>
      <w:szCs w:val="16"/>
    </w:rPr>
  </w:style>
  <w:style w:type="paragraph" w:styleId="9">
    <w:name w:val="Normal Indent"/>
    <w:basedOn w:val="1"/>
    <w:link w:val="72"/>
    <w:qFormat/>
    <w:uiPriority w:val="99"/>
    <w:pPr>
      <w:ind w:firstLine="420"/>
    </w:pPr>
  </w:style>
  <w:style w:type="paragraph" w:styleId="16">
    <w:name w:val="List 3"/>
    <w:basedOn w:val="1"/>
    <w:qFormat/>
    <w:uiPriority w:val="99"/>
    <w:pPr>
      <w:ind w:left="100" w:leftChars="400" w:hanging="200" w:hangingChars="200"/>
    </w:pPr>
  </w:style>
  <w:style w:type="paragraph" w:styleId="17">
    <w:name w:val="toc 7"/>
    <w:basedOn w:val="1"/>
    <w:next w:val="1"/>
    <w:semiHidden/>
    <w:qFormat/>
    <w:uiPriority w:val="99"/>
    <w:pPr>
      <w:ind w:left="1260"/>
      <w:jc w:val="left"/>
    </w:pPr>
    <w:rPr>
      <w:sz w:val="18"/>
      <w:szCs w:val="18"/>
    </w:rPr>
  </w:style>
  <w:style w:type="paragraph" w:styleId="18">
    <w:name w:val="Document Map"/>
    <w:basedOn w:val="1"/>
    <w:link w:val="73"/>
    <w:semiHidden/>
    <w:qFormat/>
    <w:uiPriority w:val="99"/>
    <w:pPr>
      <w:shd w:val="clear" w:color="auto" w:fill="000080"/>
    </w:pPr>
    <w:rPr>
      <w:kern w:val="0"/>
      <w:sz w:val="2"/>
      <w:szCs w:val="2"/>
    </w:rPr>
  </w:style>
  <w:style w:type="paragraph" w:styleId="19">
    <w:name w:val="annotation text"/>
    <w:basedOn w:val="1"/>
    <w:link w:val="74"/>
    <w:semiHidden/>
    <w:qFormat/>
    <w:uiPriority w:val="99"/>
    <w:pPr>
      <w:jc w:val="left"/>
    </w:pPr>
  </w:style>
  <w:style w:type="paragraph" w:styleId="20">
    <w:name w:val="Body Text"/>
    <w:basedOn w:val="1"/>
    <w:next w:val="1"/>
    <w:link w:val="62"/>
    <w:qFormat/>
    <w:uiPriority w:val="99"/>
    <w:rPr>
      <w:kern w:val="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spacing w:after="120"/>
      <w:ind w:left="420" w:leftChars="200"/>
    </w:pPr>
  </w:style>
  <w:style w:type="paragraph" w:styleId="23">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4">
    <w:name w:val="toc 5"/>
    <w:basedOn w:val="1"/>
    <w:next w:val="1"/>
    <w:semiHidden/>
    <w:qFormat/>
    <w:uiPriority w:val="99"/>
    <w:pPr>
      <w:ind w:left="840"/>
      <w:jc w:val="left"/>
    </w:pPr>
    <w:rPr>
      <w:sz w:val="18"/>
      <w:szCs w:val="18"/>
    </w:rPr>
  </w:style>
  <w:style w:type="paragraph" w:styleId="25">
    <w:name w:val="toc 3"/>
    <w:basedOn w:val="1"/>
    <w:next w:val="1"/>
    <w:semiHidden/>
    <w:qFormat/>
    <w:uiPriority w:val="99"/>
    <w:pPr>
      <w:ind w:left="420"/>
      <w:jc w:val="left"/>
    </w:pPr>
    <w:rPr>
      <w:i/>
      <w:iCs/>
      <w:sz w:val="20"/>
      <w:szCs w:val="20"/>
    </w:rPr>
  </w:style>
  <w:style w:type="paragraph" w:styleId="26">
    <w:name w:val="Plain Text"/>
    <w:basedOn w:val="1"/>
    <w:link w:val="76"/>
    <w:qFormat/>
    <w:uiPriority w:val="99"/>
    <w:rPr>
      <w:rFonts w:ascii="宋体" w:hAnsi="Courier New"/>
      <w:kern w:val="0"/>
    </w:rPr>
  </w:style>
  <w:style w:type="paragraph" w:styleId="27">
    <w:name w:val="toc 8"/>
    <w:basedOn w:val="1"/>
    <w:next w:val="1"/>
    <w:semiHidden/>
    <w:qFormat/>
    <w:uiPriority w:val="99"/>
    <w:pPr>
      <w:ind w:left="1470"/>
      <w:jc w:val="left"/>
    </w:pPr>
    <w:rPr>
      <w:sz w:val="18"/>
      <w:szCs w:val="18"/>
    </w:rPr>
  </w:style>
  <w:style w:type="paragraph" w:styleId="28">
    <w:name w:val="Date"/>
    <w:basedOn w:val="1"/>
    <w:next w:val="1"/>
    <w:link w:val="77"/>
    <w:qFormat/>
    <w:uiPriority w:val="99"/>
    <w:pPr>
      <w:widowControl/>
      <w:ind w:left="100"/>
      <w:jc w:val="left"/>
    </w:pPr>
    <w:rPr>
      <w:kern w:val="0"/>
    </w:rPr>
  </w:style>
  <w:style w:type="paragraph" w:styleId="29">
    <w:name w:val="Body Text Indent 2"/>
    <w:basedOn w:val="1"/>
    <w:link w:val="78"/>
    <w:qFormat/>
    <w:uiPriority w:val="99"/>
    <w:pPr>
      <w:ind w:left="1436" w:leftChars="684"/>
    </w:pPr>
    <w:rPr>
      <w:kern w:val="0"/>
    </w:rPr>
  </w:style>
  <w:style w:type="paragraph" w:styleId="30">
    <w:name w:val="List Continue 5"/>
    <w:basedOn w:val="1"/>
    <w:qFormat/>
    <w:uiPriority w:val="99"/>
    <w:pPr>
      <w:spacing w:after="120"/>
      <w:ind w:left="2100" w:leftChars="1000"/>
    </w:pPr>
  </w:style>
  <w:style w:type="paragraph" w:styleId="31">
    <w:name w:val="Balloon Text"/>
    <w:basedOn w:val="1"/>
    <w:link w:val="79"/>
    <w:semiHidden/>
    <w:qFormat/>
    <w:uiPriority w:val="99"/>
    <w:rPr>
      <w:sz w:val="18"/>
      <w:szCs w:val="18"/>
    </w:rPr>
  </w:style>
  <w:style w:type="paragraph" w:styleId="32">
    <w:name w:val="footer"/>
    <w:basedOn w:val="1"/>
    <w:link w:val="80"/>
    <w:qFormat/>
    <w:uiPriority w:val="99"/>
    <w:pPr>
      <w:tabs>
        <w:tab w:val="center" w:pos="4153"/>
        <w:tab w:val="right" w:pos="8306"/>
      </w:tabs>
      <w:snapToGrid w:val="0"/>
      <w:jc w:val="left"/>
    </w:pPr>
    <w:rPr>
      <w:sz w:val="18"/>
      <w:szCs w:val="18"/>
    </w:rPr>
  </w:style>
  <w:style w:type="paragraph" w:styleId="33">
    <w:name w:val="header"/>
    <w:basedOn w:val="1"/>
    <w:link w:val="81"/>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5">
    <w:name w:val="List Continue 4"/>
    <w:basedOn w:val="1"/>
    <w:qFormat/>
    <w:uiPriority w:val="99"/>
    <w:pPr>
      <w:spacing w:after="120"/>
      <w:ind w:left="1680" w:leftChars="800"/>
    </w:pPr>
  </w:style>
  <w:style w:type="paragraph" w:styleId="36">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7">
    <w:name w:val="List"/>
    <w:basedOn w:val="1"/>
    <w:qFormat/>
    <w:uiPriority w:val="99"/>
    <w:pPr>
      <w:ind w:left="200" w:hanging="200" w:hangingChars="200"/>
    </w:pPr>
  </w:style>
  <w:style w:type="paragraph" w:styleId="38">
    <w:name w:val="footnote text"/>
    <w:basedOn w:val="1"/>
    <w:link w:val="82"/>
    <w:semiHidden/>
    <w:qFormat/>
    <w:uiPriority w:val="99"/>
    <w:pPr>
      <w:snapToGrid w:val="0"/>
      <w:jc w:val="left"/>
    </w:pPr>
    <w:rPr>
      <w:kern w:val="0"/>
      <w:sz w:val="18"/>
      <w:szCs w:val="18"/>
    </w:rPr>
  </w:style>
  <w:style w:type="paragraph" w:styleId="39">
    <w:name w:val="toc 6"/>
    <w:basedOn w:val="1"/>
    <w:next w:val="1"/>
    <w:semiHidden/>
    <w:qFormat/>
    <w:uiPriority w:val="99"/>
    <w:pPr>
      <w:ind w:left="1050"/>
      <w:jc w:val="left"/>
    </w:pPr>
    <w:rPr>
      <w:sz w:val="18"/>
      <w:szCs w:val="18"/>
    </w:rPr>
  </w:style>
  <w:style w:type="paragraph" w:styleId="40">
    <w:name w:val="List 5"/>
    <w:basedOn w:val="1"/>
    <w:qFormat/>
    <w:uiPriority w:val="99"/>
    <w:pPr>
      <w:ind w:left="100" w:leftChars="800" w:hanging="200" w:hangingChars="200"/>
    </w:p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4"/>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5"/>
    <w:qFormat/>
    <w:uiPriority w:val="99"/>
    <w:rPr>
      <w:rFonts w:ascii="Courier New" w:hAnsi="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9"/>
    <w:next w:val="19"/>
    <w:link w:val="86"/>
    <w:semiHidden/>
    <w:qFormat/>
    <w:uiPriority w:val="99"/>
    <w:rPr>
      <w:b/>
      <w:bCs/>
    </w:rPr>
  </w:style>
  <w:style w:type="paragraph" w:styleId="50">
    <w:name w:val="Body Text First Indent"/>
    <w:basedOn w:val="20"/>
    <w:link w:val="87"/>
    <w:qFormat/>
    <w:uiPriority w:val="99"/>
    <w:pPr>
      <w:spacing w:line="360" w:lineRule="auto"/>
      <w:ind w:firstLine="482"/>
    </w:p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locked/>
    <w:uiPriority w:val="22"/>
    <w:rPr>
      <w:b/>
      <w:bCs/>
    </w:rPr>
  </w:style>
  <w:style w:type="character" w:styleId="55">
    <w:name w:val="page number"/>
    <w:qFormat/>
    <w:uiPriority w:val="99"/>
  </w:style>
  <w:style w:type="character" w:styleId="56">
    <w:name w:val="FollowedHyperlink"/>
    <w:qFormat/>
    <w:locked/>
    <w:uiPriority w:val="99"/>
    <w:rPr>
      <w:color w:val="auto"/>
      <w:u w:val="none"/>
    </w:rPr>
  </w:style>
  <w:style w:type="character" w:styleId="57">
    <w:name w:val="Hyperlink"/>
    <w:qFormat/>
    <w:uiPriority w:val="99"/>
    <w:rPr>
      <w:color w:val="auto"/>
      <w:u w:val="none"/>
    </w:rPr>
  </w:style>
  <w:style w:type="character" w:styleId="58">
    <w:name w:val="annotation reference"/>
    <w:semiHidden/>
    <w:qFormat/>
    <w:uiPriority w:val="99"/>
    <w:rPr>
      <w:sz w:val="21"/>
      <w:szCs w:val="21"/>
    </w:rPr>
  </w:style>
  <w:style w:type="character" w:styleId="59">
    <w:name w:val="footnote reference"/>
    <w:semiHidden/>
    <w:qFormat/>
    <w:uiPriority w:val="99"/>
    <w:rPr>
      <w:vertAlign w:val="superscript"/>
    </w:rPr>
  </w:style>
  <w:style w:type="paragraph" w:customStyle="1" w:styleId="60">
    <w:name w:val="正文缩进1"/>
    <w:basedOn w:val="1"/>
    <w:qFormat/>
    <w:uiPriority w:val="0"/>
    <w:pPr>
      <w:widowControl/>
      <w:ind w:firstLine="420"/>
      <w:jc w:val="left"/>
    </w:pPr>
    <w:rPr>
      <w:kern w:val="0"/>
    </w:rPr>
  </w:style>
  <w:style w:type="paragraph" w:customStyle="1" w:styleId="61">
    <w:name w:val=" Char"/>
    <w:basedOn w:val="1"/>
    <w:qFormat/>
    <w:uiPriority w:val="0"/>
    <w:pPr>
      <w:widowControl/>
      <w:spacing w:after="160" w:afterLines="0" w:line="240" w:lineRule="exact"/>
      <w:jc w:val="left"/>
    </w:pPr>
    <w:rPr>
      <w:rFonts w:ascii="Verdana" w:hAnsi="Verdana" w:eastAsia="宋体"/>
      <w:kern w:val="0"/>
      <w:sz w:val="21"/>
      <w:lang w:eastAsia="en-US"/>
    </w:rPr>
  </w:style>
  <w:style w:type="character" w:customStyle="1" w:styleId="62">
    <w:name w:val="正文文本 Char"/>
    <w:link w:val="20"/>
    <w:semiHidden/>
    <w:qFormat/>
    <w:locked/>
    <w:uiPriority w:val="99"/>
    <w:rPr>
      <w:rFonts w:ascii="Times New Roman" w:hAnsi="Times New Roman" w:cs="Times New Roman"/>
      <w:sz w:val="21"/>
      <w:szCs w:val="21"/>
    </w:rPr>
  </w:style>
  <w:style w:type="character" w:customStyle="1" w:styleId="63">
    <w:name w:val="标题 1 Char"/>
    <w:link w:val="6"/>
    <w:qFormat/>
    <w:locked/>
    <w:uiPriority w:val="99"/>
    <w:rPr>
      <w:b/>
      <w:bCs/>
      <w:kern w:val="44"/>
      <w:sz w:val="44"/>
      <w:szCs w:val="44"/>
    </w:rPr>
  </w:style>
  <w:style w:type="character" w:customStyle="1" w:styleId="64">
    <w:name w:val="标题 2 Char"/>
    <w:link w:val="7"/>
    <w:qFormat/>
    <w:locked/>
    <w:uiPriority w:val="99"/>
    <w:rPr>
      <w:rFonts w:ascii="Arial" w:hAnsi="Arial" w:eastAsia="黑体" w:cs="Arial"/>
      <w:b/>
      <w:bCs/>
      <w:sz w:val="32"/>
      <w:szCs w:val="32"/>
    </w:rPr>
  </w:style>
  <w:style w:type="character" w:customStyle="1" w:styleId="65">
    <w:name w:val="标题 3 Char"/>
    <w:link w:val="8"/>
    <w:semiHidden/>
    <w:qFormat/>
    <w:locked/>
    <w:uiPriority w:val="99"/>
    <w:rPr>
      <w:rFonts w:ascii="Times New Roman" w:hAnsi="Times New Roman" w:cs="Times New Roman"/>
      <w:b/>
      <w:bCs/>
      <w:sz w:val="32"/>
      <w:szCs w:val="32"/>
    </w:rPr>
  </w:style>
  <w:style w:type="character" w:customStyle="1" w:styleId="66">
    <w:name w:val="标题 4 Char"/>
    <w:link w:val="10"/>
    <w:qFormat/>
    <w:locked/>
    <w:uiPriority w:val="99"/>
    <w:rPr>
      <w:rFonts w:ascii="Arial" w:hAnsi="Arial" w:eastAsia="黑体" w:cs="Arial"/>
      <w:b/>
      <w:bCs/>
      <w:kern w:val="2"/>
      <w:sz w:val="28"/>
      <w:szCs w:val="28"/>
      <w:lang w:val="en-US" w:eastAsia="zh-CN"/>
    </w:rPr>
  </w:style>
  <w:style w:type="character" w:customStyle="1" w:styleId="67">
    <w:name w:val="标题 5 Char"/>
    <w:link w:val="11"/>
    <w:semiHidden/>
    <w:qFormat/>
    <w:locked/>
    <w:uiPriority w:val="99"/>
    <w:rPr>
      <w:rFonts w:ascii="Times New Roman" w:hAnsi="Times New Roman" w:cs="Times New Roman"/>
      <w:b/>
      <w:bCs/>
      <w:sz w:val="28"/>
      <w:szCs w:val="28"/>
    </w:rPr>
  </w:style>
  <w:style w:type="character" w:customStyle="1" w:styleId="68">
    <w:name w:val="标题 6 Char"/>
    <w:link w:val="12"/>
    <w:semiHidden/>
    <w:qFormat/>
    <w:locked/>
    <w:uiPriority w:val="99"/>
    <w:rPr>
      <w:rFonts w:ascii="Cambria" w:hAnsi="Cambria" w:eastAsia="宋体" w:cs="Cambria"/>
      <w:b/>
      <w:bCs/>
      <w:sz w:val="24"/>
      <w:szCs w:val="24"/>
    </w:rPr>
  </w:style>
  <w:style w:type="character" w:customStyle="1" w:styleId="69">
    <w:name w:val="标题 7 Char"/>
    <w:link w:val="13"/>
    <w:semiHidden/>
    <w:qFormat/>
    <w:locked/>
    <w:uiPriority w:val="99"/>
    <w:rPr>
      <w:rFonts w:ascii="Times New Roman" w:hAnsi="Times New Roman" w:cs="Times New Roman"/>
      <w:b/>
      <w:bCs/>
      <w:sz w:val="24"/>
      <w:szCs w:val="24"/>
    </w:rPr>
  </w:style>
  <w:style w:type="character" w:customStyle="1" w:styleId="70">
    <w:name w:val="标题 8 Char"/>
    <w:link w:val="14"/>
    <w:semiHidden/>
    <w:qFormat/>
    <w:locked/>
    <w:uiPriority w:val="99"/>
    <w:rPr>
      <w:rFonts w:ascii="Cambria" w:hAnsi="Cambria" w:eastAsia="宋体" w:cs="Cambria"/>
      <w:sz w:val="24"/>
      <w:szCs w:val="24"/>
    </w:rPr>
  </w:style>
  <w:style w:type="character" w:customStyle="1" w:styleId="71">
    <w:name w:val="标题 9 Char"/>
    <w:link w:val="15"/>
    <w:semiHidden/>
    <w:qFormat/>
    <w:locked/>
    <w:uiPriority w:val="99"/>
    <w:rPr>
      <w:rFonts w:ascii="Cambria" w:hAnsi="Cambria" w:eastAsia="宋体" w:cs="Cambria"/>
      <w:sz w:val="21"/>
      <w:szCs w:val="21"/>
    </w:rPr>
  </w:style>
  <w:style w:type="character" w:customStyle="1" w:styleId="72">
    <w:name w:val="正文缩进 Char"/>
    <w:link w:val="9"/>
    <w:qFormat/>
    <w:locked/>
    <w:uiPriority w:val="99"/>
    <w:rPr>
      <w:kern w:val="2"/>
      <w:sz w:val="21"/>
      <w:szCs w:val="21"/>
    </w:rPr>
  </w:style>
  <w:style w:type="character" w:customStyle="1" w:styleId="73">
    <w:name w:val="文档结构图 Char"/>
    <w:link w:val="18"/>
    <w:semiHidden/>
    <w:qFormat/>
    <w:locked/>
    <w:uiPriority w:val="99"/>
    <w:rPr>
      <w:rFonts w:ascii="Times New Roman" w:hAnsi="Times New Roman" w:cs="Times New Roman"/>
      <w:sz w:val="2"/>
      <w:szCs w:val="2"/>
    </w:rPr>
  </w:style>
  <w:style w:type="character" w:customStyle="1" w:styleId="74">
    <w:name w:val="批注文字 Char"/>
    <w:link w:val="19"/>
    <w:qFormat/>
    <w:locked/>
    <w:uiPriority w:val="99"/>
    <w:rPr>
      <w:kern w:val="2"/>
      <w:sz w:val="21"/>
      <w:szCs w:val="21"/>
    </w:rPr>
  </w:style>
  <w:style w:type="character" w:customStyle="1" w:styleId="75">
    <w:name w:val="正文文本缩进 Char"/>
    <w:link w:val="3"/>
    <w:qFormat/>
    <w:locked/>
    <w:uiPriority w:val="99"/>
    <w:rPr>
      <w:kern w:val="2"/>
      <w:sz w:val="24"/>
      <w:szCs w:val="24"/>
    </w:rPr>
  </w:style>
  <w:style w:type="character" w:customStyle="1" w:styleId="76">
    <w:name w:val="纯文本 Char"/>
    <w:link w:val="26"/>
    <w:semiHidden/>
    <w:qFormat/>
    <w:locked/>
    <w:uiPriority w:val="99"/>
    <w:rPr>
      <w:rFonts w:ascii="宋体" w:hAnsi="Courier New" w:cs="宋体"/>
      <w:sz w:val="21"/>
      <w:szCs w:val="21"/>
    </w:rPr>
  </w:style>
  <w:style w:type="character" w:customStyle="1" w:styleId="77">
    <w:name w:val="日期 Char"/>
    <w:link w:val="28"/>
    <w:semiHidden/>
    <w:qFormat/>
    <w:locked/>
    <w:uiPriority w:val="99"/>
    <w:rPr>
      <w:rFonts w:ascii="Times New Roman" w:hAnsi="Times New Roman" w:cs="Times New Roman"/>
      <w:sz w:val="21"/>
      <w:szCs w:val="21"/>
    </w:rPr>
  </w:style>
  <w:style w:type="character" w:customStyle="1" w:styleId="78">
    <w:name w:val="正文文本缩进 2 Char"/>
    <w:link w:val="29"/>
    <w:semiHidden/>
    <w:qFormat/>
    <w:locked/>
    <w:uiPriority w:val="99"/>
    <w:rPr>
      <w:rFonts w:ascii="Times New Roman" w:hAnsi="Times New Roman" w:cs="Times New Roman"/>
      <w:sz w:val="21"/>
      <w:szCs w:val="21"/>
    </w:rPr>
  </w:style>
  <w:style w:type="character" w:customStyle="1" w:styleId="79">
    <w:name w:val="批注框文本 Char"/>
    <w:link w:val="31"/>
    <w:qFormat/>
    <w:locked/>
    <w:uiPriority w:val="99"/>
    <w:rPr>
      <w:rFonts w:eastAsia="宋体"/>
      <w:kern w:val="2"/>
      <w:sz w:val="18"/>
      <w:szCs w:val="18"/>
      <w:lang w:val="en-US" w:eastAsia="zh-CN"/>
    </w:rPr>
  </w:style>
  <w:style w:type="character" w:customStyle="1" w:styleId="80">
    <w:name w:val="页脚 Char"/>
    <w:link w:val="32"/>
    <w:qFormat/>
    <w:locked/>
    <w:uiPriority w:val="99"/>
    <w:rPr>
      <w:kern w:val="2"/>
      <w:sz w:val="18"/>
      <w:szCs w:val="18"/>
    </w:rPr>
  </w:style>
  <w:style w:type="character" w:customStyle="1" w:styleId="81">
    <w:name w:val="页眉 Char"/>
    <w:link w:val="33"/>
    <w:semiHidden/>
    <w:qFormat/>
    <w:locked/>
    <w:uiPriority w:val="99"/>
    <w:rPr>
      <w:rFonts w:ascii="Times New Roman" w:hAnsi="Times New Roman" w:cs="Times New Roman"/>
      <w:sz w:val="18"/>
      <w:szCs w:val="18"/>
    </w:rPr>
  </w:style>
  <w:style w:type="character" w:customStyle="1" w:styleId="82">
    <w:name w:val="脚注文本 Char"/>
    <w:link w:val="38"/>
    <w:semiHidden/>
    <w:qFormat/>
    <w:locked/>
    <w:uiPriority w:val="99"/>
    <w:rPr>
      <w:rFonts w:ascii="Times New Roman" w:hAnsi="Times New Roman" w:cs="Times New Roman"/>
      <w:sz w:val="18"/>
      <w:szCs w:val="18"/>
    </w:rPr>
  </w:style>
  <w:style w:type="character" w:customStyle="1" w:styleId="83">
    <w:name w:val="正文文本缩进 3 Char"/>
    <w:link w:val="5"/>
    <w:semiHidden/>
    <w:qFormat/>
    <w:locked/>
    <w:uiPriority w:val="99"/>
    <w:rPr>
      <w:rFonts w:ascii="Times New Roman" w:hAnsi="Times New Roman" w:cs="Times New Roman"/>
      <w:sz w:val="16"/>
      <w:szCs w:val="16"/>
    </w:rPr>
  </w:style>
  <w:style w:type="character" w:customStyle="1" w:styleId="84">
    <w:name w:val="正文文本 2 Char"/>
    <w:link w:val="43"/>
    <w:semiHidden/>
    <w:qFormat/>
    <w:locked/>
    <w:uiPriority w:val="99"/>
    <w:rPr>
      <w:rFonts w:ascii="Times New Roman" w:hAnsi="Times New Roman" w:cs="Times New Roman"/>
      <w:sz w:val="21"/>
      <w:szCs w:val="21"/>
    </w:rPr>
  </w:style>
  <w:style w:type="character" w:customStyle="1" w:styleId="85">
    <w:name w:val="HTML 预设格式 Char"/>
    <w:link w:val="46"/>
    <w:qFormat/>
    <w:locked/>
    <w:uiPriority w:val="99"/>
    <w:rPr>
      <w:rFonts w:ascii="Courier New" w:hAnsi="Courier New" w:cs="Courier New"/>
      <w:kern w:val="2"/>
    </w:rPr>
  </w:style>
  <w:style w:type="character" w:customStyle="1" w:styleId="86">
    <w:name w:val="批注主题 Char"/>
    <w:link w:val="49"/>
    <w:semiHidden/>
    <w:qFormat/>
    <w:locked/>
    <w:uiPriority w:val="99"/>
    <w:rPr>
      <w:rFonts w:ascii="Times New Roman" w:hAnsi="Times New Roman" w:cs="Times New Roman"/>
      <w:b/>
      <w:bCs/>
      <w:kern w:val="2"/>
      <w:sz w:val="21"/>
      <w:szCs w:val="21"/>
    </w:rPr>
  </w:style>
  <w:style w:type="character" w:customStyle="1" w:styleId="87">
    <w:name w:val="正文首行缩进 Char"/>
    <w:link w:val="50"/>
    <w:semiHidden/>
    <w:qFormat/>
    <w:locked/>
    <w:uiPriority w:val="99"/>
    <w:rPr>
      <w:rFonts w:ascii="Times New Roman" w:hAnsi="Times New Roman" w:cs="Times New Roman"/>
      <w:sz w:val="21"/>
      <w:szCs w:val="21"/>
    </w:rPr>
  </w:style>
  <w:style w:type="character" w:customStyle="1" w:styleId="88">
    <w:name w:val="正文首行缩进 2 Char"/>
    <w:link w:val="2"/>
    <w:qFormat/>
    <w:locked/>
    <w:uiPriority w:val="99"/>
    <w:rPr>
      <w:rFonts w:ascii="Times New Roman" w:hAnsi="Times New Roman" w:cs="Times New Roman"/>
      <w:kern w:val="2"/>
      <w:sz w:val="21"/>
      <w:szCs w:val="21"/>
    </w:rPr>
  </w:style>
  <w:style w:type="paragraph" w:customStyle="1" w:styleId="89">
    <w:name w:val="无间隔1"/>
    <w:qFormat/>
    <w:uiPriority w:val="0"/>
    <w:rPr>
      <w:rFonts w:ascii="Times New Roman" w:hAnsi="Times New Roman" w:eastAsia="宋体" w:cs="Times New Roman"/>
      <w:sz w:val="22"/>
      <w:szCs w:val="22"/>
      <w:lang w:val="en-US" w:eastAsia="en-US" w:bidi="en-US"/>
    </w:rPr>
  </w:style>
  <w:style w:type="paragraph" w:customStyle="1" w:styleId="90">
    <w:name w:val="一级条标题"/>
    <w:basedOn w:val="91"/>
    <w:next w:val="92"/>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1">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2">
    <w:name w:val="段"/>
    <w:basedOn w:val="1"/>
    <w:next w:val="1"/>
    <w:qFormat/>
    <w:uiPriority w:val="0"/>
    <w:pPr>
      <w:widowControl/>
      <w:autoSpaceDE w:val="0"/>
      <w:autoSpaceDN w:val="0"/>
      <w:ind w:firstLine="200" w:firstLineChars="200"/>
    </w:pPr>
    <w:rPr>
      <w:rFonts w:hint="eastAsia" w:ascii="宋体"/>
      <w:kern w:val="0"/>
    </w:rPr>
  </w:style>
  <w:style w:type="character" w:customStyle="1" w:styleId="93">
    <w:name w:val="font31"/>
    <w:qFormat/>
    <w:uiPriority w:val="99"/>
    <w:rPr>
      <w:rFonts w:ascii="仿宋" w:hAnsi="仿宋" w:eastAsia="仿宋" w:cs="仿宋"/>
      <w:color w:val="000000"/>
      <w:sz w:val="20"/>
      <w:szCs w:val="20"/>
      <w:u w:val="none"/>
    </w:rPr>
  </w:style>
  <w:style w:type="character" w:customStyle="1" w:styleId="94">
    <w:name w:val="font51"/>
    <w:qFormat/>
    <w:uiPriority w:val="99"/>
    <w:rPr>
      <w:rFonts w:ascii="宋体" w:hAnsi="宋体" w:eastAsia="宋体" w:cs="宋体"/>
      <w:color w:val="000000"/>
      <w:sz w:val="24"/>
      <w:szCs w:val="24"/>
      <w:u w:val="none"/>
    </w:rPr>
  </w:style>
  <w:style w:type="character" w:customStyle="1" w:styleId="95">
    <w:name w:val="font101"/>
    <w:qFormat/>
    <w:uiPriority w:val="99"/>
    <w:rPr>
      <w:rFonts w:ascii="仿宋" w:hAnsi="仿宋" w:eastAsia="仿宋" w:cs="仿宋"/>
      <w:color w:val="000000"/>
      <w:sz w:val="20"/>
      <w:szCs w:val="20"/>
      <w:u w:val="none"/>
    </w:rPr>
  </w:style>
  <w:style w:type="character" w:customStyle="1" w:styleId="96">
    <w:name w:val="font111"/>
    <w:qFormat/>
    <w:uiPriority w:val="99"/>
    <w:rPr>
      <w:rFonts w:ascii="宋体" w:hAnsi="宋体" w:eastAsia="宋体" w:cs="宋体"/>
      <w:color w:val="000000"/>
      <w:sz w:val="20"/>
      <w:szCs w:val="20"/>
      <w:u w:val="none"/>
    </w:rPr>
  </w:style>
  <w:style w:type="character" w:customStyle="1" w:styleId="97">
    <w:name w:val="font81"/>
    <w:qFormat/>
    <w:uiPriority w:val="99"/>
    <w:rPr>
      <w:rFonts w:ascii="Arial" w:hAnsi="Arial" w:cs="Arial"/>
      <w:color w:val="000000"/>
      <w:sz w:val="20"/>
      <w:szCs w:val="20"/>
      <w:u w:val="none"/>
    </w:rPr>
  </w:style>
  <w:style w:type="character" w:customStyle="1" w:styleId="98">
    <w:name w:val="style1"/>
    <w:qFormat/>
    <w:uiPriority w:val="99"/>
  </w:style>
  <w:style w:type="character" w:customStyle="1" w:styleId="99">
    <w:name w:val="font71"/>
    <w:qFormat/>
    <w:uiPriority w:val="99"/>
    <w:rPr>
      <w:rFonts w:ascii="Wingdings 2" w:hAnsi="Wingdings 2" w:cs="Wingdings 2"/>
      <w:color w:val="000000"/>
      <w:sz w:val="20"/>
      <w:szCs w:val="20"/>
      <w:u w:val="none"/>
    </w:rPr>
  </w:style>
  <w:style w:type="character" w:customStyle="1" w:styleId="100">
    <w:name w:val="font91"/>
    <w:qFormat/>
    <w:uiPriority w:val="99"/>
    <w:rPr>
      <w:rFonts w:ascii="宋体" w:hAnsi="宋体" w:eastAsia="宋体" w:cs="宋体"/>
      <w:color w:val="000000"/>
      <w:sz w:val="20"/>
      <w:szCs w:val="20"/>
      <w:u w:val="none"/>
    </w:rPr>
  </w:style>
  <w:style w:type="character" w:customStyle="1" w:styleId="101">
    <w:name w:val="font01"/>
    <w:qFormat/>
    <w:uiPriority w:val="99"/>
    <w:rPr>
      <w:rFonts w:ascii="宋体" w:hAnsi="宋体" w:eastAsia="宋体" w:cs="宋体"/>
      <w:color w:val="FF0000"/>
      <w:sz w:val="24"/>
      <w:szCs w:val="24"/>
      <w:u w:val="none"/>
    </w:rPr>
  </w:style>
  <w:style w:type="character" w:customStyle="1" w:styleId="102">
    <w:name w:val="标题 1 Char Char"/>
    <w:qFormat/>
    <w:uiPriority w:val="99"/>
    <w:rPr>
      <w:rFonts w:ascii="宋体" w:hAnsi="宋体" w:eastAsia="宋体" w:cs="宋体"/>
      <w:b/>
      <w:bCs/>
      <w:spacing w:val="-2"/>
      <w:sz w:val="24"/>
      <w:szCs w:val="24"/>
      <w:lang w:val="en-US" w:eastAsia="zh-CN"/>
    </w:rPr>
  </w:style>
  <w:style w:type="character" w:customStyle="1" w:styleId="103">
    <w:name w:val="纯文本 Char_0_0"/>
    <w:link w:val="104"/>
    <w:qFormat/>
    <w:locked/>
    <w:uiPriority w:val="99"/>
    <w:rPr>
      <w:rFonts w:ascii="宋体" w:hAnsi="Courier New" w:cs="宋体"/>
      <w:kern w:val="2"/>
      <w:sz w:val="21"/>
      <w:szCs w:val="21"/>
    </w:rPr>
  </w:style>
  <w:style w:type="paragraph" w:customStyle="1" w:styleId="104">
    <w:name w:val="纯文本_0_0"/>
    <w:basedOn w:val="105"/>
    <w:link w:val="103"/>
    <w:qFormat/>
    <w:uiPriority w:val="99"/>
    <w:rPr>
      <w:rFonts w:ascii="宋体" w:hAnsi="Courier New" w:cs="Times New Roman"/>
    </w:rPr>
  </w:style>
  <w:style w:type="paragraph" w:customStyle="1" w:styleId="105">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6">
    <w:name w:val="Style Heading 3 + Char"/>
    <w:link w:val="107"/>
    <w:qFormat/>
    <w:locked/>
    <w:uiPriority w:val="99"/>
    <w:rPr>
      <w:rFonts w:eastAsia="宋体"/>
      <w:b/>
      <w:bCs/>
      <w:kern w:val="2"/>
      <w:sz w:val="28"/>
      <w:szCs w:val="28"/>
      <w:lang w:val="en-US" w:eastAsia="zh-CN"/>
    </w:rPr>
  </w:style>
  <w:style w:type="paragraph" w:customStyle="1" w:styleId="107">
    <w:name w:val="Style Heading 3 +"/>
    <w:basedOn w:val="8"/>
    <w:link w:val="106"/>
    <w:qFormat/>
    <w:uiPriority w:val="99"/>
    <w:pPr>
      <w:adjustRightInd/>
      <w:spacing w:before="120" w:after="120" w:line="120" w:lineRule="atLeast"/>
      <w:textAlignment w:val="auto"/>
    </w:pPr>
    <w:rPr>
      <w:kern w:val="2"/>
      <w:sz w:val="28"/>
      <w:szCs w:val="28"/>
      <w:lang w:val="en-US" w:eastAsia="zh-CN"/>
    </w:rPr>
  </w:style>
  <w:style w:type="character" w:customStyle="1" w:styleId="108">
    <w:name w:val="font11"/>
    <w:qFormat/>
    <w:uiPriority w:val="99"/>
    <w:rPr>
      <w:rFonts w:ascii="宋体" w:hAnsi="宋体" w:eastAsia="宋体" w:cs="宋体"/>
      <w:color w:val="000000"/>
      <w:sz w:val="24"/>
      <w:szCs w:val="24"/>
      <w:u w:val="none"/>
    </w:rPr>
  </w:style>
  <w:style w:type="character" w:customStyle="1" w:styleId="109">
    <w:name w:val="font21"/>
    <w:qFormat/>
    <w:uiPriority w:val="99"/>
    <w:rPr>
      <w:rFonts w:ascii="楷体_GB2312" w:eastAsia="楷体_GB2312" w:cs="楷体_GB2312"/>
      <w:color w:val="000000"/>
      <w:sz w:val="24"/>
      <w:szCs w:val="24"/>
      <w:u w:val="none"/>
    </w:rPr>
  </w:style>
  <w:style w:type="character" w:customStyle="1" w:styleId="110">
    <w:name w:val="font41"/>
    <w:qFormat/>
    <w:uiPriority w:val="99"/>
    <w:rPr>
      <w:rFonts w:ascii="仿宋" w:hAnsi="仿宋" w:eastAsia="仿宋" w:cs="仿宋"/>
      <w:color w:val="000000"/>
      <w:sz w:val="20"/>
      <w:szCs w:val="20"/>
      <w:u w:val="none"/>
    </w:rPr>
  </w:style>
  <w:style w:type="paragraph" w:customStyle="1" w:styleId="111">
    <w:name w:val="Char Char Char1 Char"/>
    <w:basedOn w:val="1"/>
    <w:qFormat/>
    <w:uiPriority w:val="99"/>
  </w:style>
  <w:style w:type="paragraph" w:customStyle="1" w:styleId="112">
    <w:name w:val="标题 41"/>
    <w:qFormat/>
    <w:uiPriority w:val="0"/>
    <w:pPr>
      <w:widowControl w:val="0"/>
      <w:jc w:val="both"/>
    </w:pPr>
    <w:rPr>
      <w:rFonts w:ascii="Times New Roman" w:hAnsi="Arial Unicode MS" w:eastAsia="Arial Unicode MS" w:cs="Arial Unicode MS"/>
      <w:color w:val="000000"/>
      <w:u w:val="none" w:color="000000"/>
      <w:lang w:val="en-US" w:eastAsia="zh-CN" w:bidi="ar-SA"/>
    </w:rPr>
  </w:style>
  <w:style w:type="paragraph" w:customStyle="1" w:styleId="113">
    <w:name w:val="纯文本2"/>
    <w:basedOn w:val="1"/>
    <w:qFormat/>
    <w:uiPriority w:val="99"/>
    <w:rPr>
      <w:rFonts w:ascii="宋体" w:hAnsi="Courier New" w:cs="宋体"/>
      <w:sz w:val="28"/>
      <w:szCs w:val="28"/>
    </w:rPr>
  </w:style>
  <w:style w:type="paragraph" w:customStyle="1" w:styleId="114">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5">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6">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7">
    <w:name w:val="1"/>
    <w:basedOn w:val="1"/>
    <w:next w:val="26"/>
    <w:qFormat/>
    <w:uiPriority w:val="99"/>
    <w:rPr>
      <w:rFonts w:ascii="宋体" w:hAnsi="Courier New" w:cs="宋体"/>
    </w:rPr>
  </w:style>
  <w:style w:type="paragraph" w:customStyle="1" w:styleId="118">
    <w:name w:val="Normal_12_0"/>
    <w:qFormat/>
    <w:uiPriority w:val="99"/>
    <w:rPr>
      <w:rFonts w:ascii="黑体" w:hAnsi="黑体" w:eastAsia="黑体" w:cs="黑体"/>
      <w:b/>
      <w:bCs/>
      <w:sz w:val="32"/>
      <w:szCs w:val="32"/>
      <w:lang w:val="en-US" w:eastAsia="zh-CN" w:bidi="ar-SA"/>
    </w:rPr>
  </w:style>
  <w:style w:type="paragraph" w:customStyle="1" w:styleId="119">
    <w:name w:val="p0"/>
    <w:basedOn w:val="1"/>
    <w:qFormat/>
    <w:uiPriority w:val="99"/>
    <w:pPr>
      <w:widowControl/>
    </w:pPr>
    <w:rPr>
      <w:kern w:val="0"/>
    </w:rPr>
  </w:style>
  <w:style w:type="paragraph" w:customStyle="1" w:styleId="120">
    <w:name w:val="列出段落1"/>
    <w:basedOn w:val="1"/>
    <w:qFormat/>
    <w:uiPriority w:val="99"/>
    <w:pPr>
      <w:ind w:firstLine="420" w:firstLineChars="200"/>
    </w:pPr>
  </w:style>
  <w:style w:type="paragraph" w:customStyle="1" w:styleId="121">
    <w:name w:val="样式 标题 1 + 宋体 段前: 0 磅 段后: 0 磅 行距: 单倍行距"/>
    <w:basedOn w:val="6"/>
    <w:next w:val="1"/>
    <w:qFormat/>
    <w:uiPriority w:val="99"/>
    <w:pPr>
      <w:spacing w:beforeLines="100" w:afterLines="100"/>
    </w:pPr>
    <w:rPr>
      <w:rFonts w:ascii="仿宋_GB2312" w:hAnsi="宋体" w:cs="仿宋_GB2312"/>
    </w:rPr>
  </w:style>
  <w:style w:type="paragraph" w:customStyle="1" w:styleId="122">
    <w:name w:val="图文"/>
    <w:basedOn w:val="1"/>
    <w:qFormat/>
    <w:uiPriority w:val="99"/>
    <w:pPr>
      <w:adjustRightInd w:val="0"/>
      <w:snapToGrid w:val="0"/>
      <w:spacing w:after="50" w:line="360" w:lineRule="auto"/>
    </w:pPr>
    <w:rPr>
      <w:sz w:val="24"/>
      <w:szCs w:val="24"/>
    </w:rPr>
  </w:style>
  <w:style w:type="paragraph" w:customStyle="1" w:styleId="123">
    <w:name w:val="列出段落11"/>
    <w:basedOn w:val="1"/>
    <w:qFormat/>
    <w:uiPriority w:val="99"/>
    <w:pPr>
      <w:ind w:firstLine="200" w:firstLineChars="200"/>
    </w:pPr>
    <w:rPr>
      <w:rFonts w:ascii="Calibri" w:hAnsi="Calibri" w:cs="Calibri"/>
    </w:rPr>
  </w:style>
  <w:style w:type="paragraph" w:styleId="124">
    <w:name w:val="List Paragraph"/>
    <w:basedOn w:val="1"/>
    <w:qFormat/>
    <w:uiPriority w:val="99"/>
    <w:pPr>
      <w:ind w:firstLine="420" w:firstLineChars="200"/>
    </w:pPr>
  </w:style>
  <w:style w:type="paragraph" w:customStyle="1" w:styleId="125">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默认段落字体 Para Char Char Char Char"/>
    <w:basedOn w:val="1"/>
    <w:qFormat/>
    <w:uiPriority w:val="99"/>
  </w:style>
  <w:style w:type="paragraph" w:customStyle="1" w:styleId="127">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8">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9">
    <w:name w:val="简单回函地址"/>
    <w:basedOn w:val="1"/>
    <w:qFormat/>
    <w:uiPriority w:val="99"/>
  </w:style>
  <w:style w:type="paragraph" w:customStyle="1" w:styleId="130">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31">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2">
    <w:name w:val="样式 标题 2 + 黑色 行距: 1.5 倍行距"/>
    <w:basedOn w:val="7"/>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3">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4">
    <w:name w:val="正文_0"/>
    <w:qFormat/>
    <w:uiPriority w:val="99"/>
    <w:rPr>
      <w:rFonts w:ascii="Times New Roman" w:hAnsi="Times New Roman" w:eastAsia="宋体" w:cs="Times New Roman"/>
      <w:sz w:val="21"/>
      <w:szCs w:val="21"/>
      <w:lang w:val="en-US" w:eastAsia="zh-CN" w:bidi="ar-SA"/>
    </w:rPr>
  </w:style>
  <w:style w:type="paragraph" w:customStyle="1" w:styleId="135">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6">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7">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8">
    <w:name w:val="Body text|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 w:type="paragraph" w:customStyle="1" w:styleId="139">
    <w:name w:val="_Style 17"/>
    <w:basedOn w:val="1"/>
    <w:next w:val="124"/>
    <w:qFormat/>
    <w:uiPriority w:val="99"/>
    <w:pPr>
      <w:spacing w:line="240" w:lineRule="auto"/>
      <w:ind w:firstLine="420" w:firstLineChars="200"/>
    </w:pPr>
    <w:rPr>
      <w:rFonts w:ascii="Calibri" w:hAnsi="Calibri" w:eastAsia="宋体" w:cs="Times New Roman"/>
      <w:sz w:val="21"/>
    </w:rPr>
  </w:style>
  <w:style w:type="paragraph" w:customStyle="1" w:styleId="14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23554</Words>
  <Characters>24127</Characters>
  <Lines>207</Lines>
  <Paragraphs>58</Paragraphs>
  <TotalTime>34</TotalTime>
  <ScaleCrop>false</ScaleCrop>
  <LinksUpToDate>false</LinksUpToDate>
  <CharactersWithSpaces>25429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张小林</cp:lastModifiedBy>
  <cp:lastPrinted>2022-10-18T07:21:00Z</cp:lastPrinted>
  <dcterms:modified xsi:type="dcterms:W3CDTF">2024-05-09T01:02:06Z</dcterms:modified>
  <dc:title>崇川区闸管所2020年闸（站）液压式启闭机维修保养项目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224C5B032DEB49C3B5B14C630AF9D5A7</vt:lpwstr>
  </property>
</Properties>
</file>