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43" w:rsidRPr="00DA75A3" w:rsidRDefault="00B13A43" w:rsidP="00DA75A3">
      <w:pPr>
        <w:spacing w:after="240"/>
        <w:jc w:val="center"/>
        <w:rPr>
          <w:rFonts w:ascii="仿宋" w:eastAsia="仿宋" w:hAnsi="仿宋" w:cs="Times New Roman"/>
          <w:b/>
          <w:bCs/>
          <w:kern w:val="0"/>
          <w:sz w:val="32"/>
          <w:szCs w:val="28"/>
        </w:rPr>
      </w:pPr>
      <w:r w:rsidRPr="00DA75A3">
        <w:rPr>
          <w:rFonts w:ascii="仿宋" w:eastAsia="仿宋" w:hAnsi="仿宋" w:cs="Times New Roman" w:hint="eastAsia"/>
          <w:b/>
          <w:bCs/>
          <w:kern w:val="0"/>
          <w:sz w:val="32"/>
          <w:szCs w:val="28"/>
        </w:rPr>
        <w:t>医保月度对账平台项目</w:t>
      </w:r>
      <w:r w:rsidRPr="00DA75A3">
        <w:rPr>
          <w:rFonts w:ascii="仿宋" w:eastAsia="仿宋" w:hAnsi="仿宋" w:cs="Times New Roman"/>
          <w:b/>
          <w:bCs/>
          <w:kern w:val="0"/>
          <w:sz w:val="32"/>
          <w:szCs w:val="28"/>
        </w:rPr>
        <w:t>需求</w:t>
      </w:r>
    </w:p>
    <w:p w:rsidR="00117AB6" w:rsidRPr="00117AB6" w:rsidRDefault="00117AB6" w:rsidP="00117AB6">
      <w:pPr>
        <w:snapToGrid w:val="0"/>
        <w:spacing w:line="360" w:lineRule="auto"/>
        <w:contextualSpacing/>
        <w:jc w:val="left"/>
        <w:rPr>
          <w:rFonts w:ascii="仿宋" w:eastAsia="仿宋" w:hAnsi="仿宋" w:cs="仿宋"/>
          <w:color w:val="555555"/>
          <w:sz w:val="28"/>
          <w:szCs w:val="28"/>
          <w:shd w:val="clear" w:color="auto" w:fill="FFFFFF"/>
          <w:lang w:val="zh-CN"/>
        </w:rPr>
      </w:pPr>
      <w:r w:rsidRPr="00117AB6">
        <w:rPr>
          <w:rFonts w:ascii="仿宋" w:eastAsia="仿宋" w:hAnsi="仿宋" w:cs="Times New Roman" w:hint="eastAsia"/>
          <w:b/>
          <w:sz w:val="28"/>
          <w:szCs w:val="28"/>
          <w:lang w:val="zh-CN"/>
        </w:rPr>
        <w:t>（一）采购标的需实现的功能或者目标,以及为落实政府采购政策需满足的要求</w:t>
      </w:r>
    </w:p>
    <w:p w:rsidR="00117AB6" w:rsidRPr="0046612B" w:rsidRDefault="00117AB6" w:rsidP="00117AB6">
      <w:pPr>
        <w:spacing w:beforeLines="50" w:before="156" w:afterLines="50" w:after="156"/>
        <w:ind w:firstLineChars="200" w:firstLine="560"/>
        <w:rPr>
          <w:rFonts w:ascii="仿宋" w:eastAsia="仿宋" w:hAnsi="仿宋" w:cs="Times New Roman"/>
          <w:b/>
          <w:bCs/>
          <w:kern w:val="0"/>
          <w:sz w:val="28"/>
          <w:szCs w:val="28"/>
        </w:rPr>
      </w:pPr>
      <w:r w:rsidRPr="0046612B">
        <w:rPr>
          <w:rFonts w:ascii="仿宋" w:eastAsia="仿宋" w:hAnsi="仿宋" w:cs="Times New Roman" w:hint="eastAsia"/>
          <w:sz w:val="28"/>
          <w:szCs w:val="28"/>
        </w:rPr>
        <w:t>根据《关于推进定点端医保相关功能应用的通知》（通医保办发</w:t>
      </w:r>
      <w:r w:rsidRPr="0046612B">
        <w:rPr>
          <w:rFonts w:ascii="仿宋" w:eastAsia="仿宋" w:hAnsi="仿宋" w:hint="eastAsia"/>
          <w:sz w:val="28"/>
          <w:szCs w:val="28"/>
        </w:rPr>
        <w:t>〔2023〕</w:t>
      </w:r>
      <w:r w:rsidRPr="0046612B">
        <w:rPr>
          <w:rFonts w:ascii="仿宋" w:eastAsia="仿宋" w:hAnsi="仿宋"/>
          <w:sz w:val="28"/>
          <w:szCs w:val="28"/>
        </w:rPr>
        <w:t>29</w:t>
      </w:r>
      <w:r w:rsidRPr="0046612B">
        <w:rPr>
          <w:rFonts w:ascii="仿宋" w:eastAsia="仿宋" w:hAnsi="仿宋" w:hint="eastAsia"/>
          <w:sz w:val="28"/>
          <w:szCs w:val="28"/>
        </w:rPr>
        <w:t>号</w:t>
      </w:r>
      <w:r w:rsidR="00040735">
        <w:rPr>
          <w:rFonts w:ascii="仿宋" w:eastAsia="仿宋" w:hAnsi="仿宋" w:cs="Times New Roman" w:hint="eastAsia"/>
          <w:sz w:val="28"/>
          <w:szCs w:val="28"/>
        </w:rPr>
        <w:t>）文件要求，各定点医疗机构应</w:t>
      </w:r>
      <w:r w:rsidRPr="0046612B">
        <w:rPr>
          <w:rFonts w:ascii="仿宋" w:eastAsia="仿宋" w:hAnsi="仿宋" w:cs="Times New Roman" w:hint="eastAsia"/>
          <w:sz w:val="28"/>
          <w:szCs w:val="28"/>
        </w:rPr>
        <w:t>在信息系统中实现事前事中监控、医保对账等功能</w:t>
      </w:r>
      <w:r w:rsidRPr="00B13A43">
        <w:rPr>
          <w:rFonts w:ascii="仿宋" w:eastAsia="仿宋" w:hAnsi="仿宋" w:cs="Times New Roman" w:hint="eastAsia"/>
          <w:sz w:val="28"/>
          <w:szCs w:val="28"/>
        </w:rPr>
        <w:t>要求，</w:t>
      </w:r>
      <w:r w:rsidRPr="0046612B">
        <w:rPr>
          <w:rFonts w:ascii="仿宋" w:eastAsia="仿宋" w:hAnsi="仿宋" w:cs="Times New Roman" w:hint="eastAsia"/>
          <w:sz w:val="28"/>
          <w:szCs w:val="28"/>
        </w:rPr>
        <w:t>我院现需采购医保月度对账平台，</w:t>
      </w:r>
      <w:r w:rsidRPr="00B13A43">
        <w:rPr>
          <w:rFonts w:ascii="仿宋" w:eastAsia="仿宋" w:hAnsi="仿宋" w:cs="Times New Roman" w:hint="eastAsia"/>
          <w:sz w:val="28"/>
          <w:szCs w:val="28"/>
        </w:rPr>
        <w:t>协助医院做好医保对账工作</w:t>
      </w:r>
      <w:r w:rsidRPr="0046612B">
        <w:rPr>
          <w:rFonts w:ascii="仿宋" w:eastAsia="仿宋" w:hAnsi="仿宋" w:cs="Times New Roman" w:hint="eastAsia"/>
          <w:sz w:val="28"/>
          <w:szCs w:val="28"/>
        </w:rPr>
        <w:t>。</w:t>
      </w:r>
    </w:p>
    <w:p w:rsidR="00B13A43" w:rsidRDefault="00B13A43" w:rsidP="00117AB6">
      <w:pPr>
        <w:spacing w:beforeLines="50" w:before="156" w:afterLines="50" w:after="156"/>
        <w:rPr>
          <w:rFonts w:ascii="仿宋" w:eastAsia="仿宋" w:hAnsi="仿宋" w:cs="Times New Roman"/>
          <w:b/>
          <w:bCs/>
          <w:kern w:val="0"/>
          <w:sz w:val="28"/>
          <w:szCs w:val="28"/>
        </w:rPr>
      </w:pPr>
      <w:r w:rsidRPr="0046612B">
        <w:rPr>
          <w:rFonts w:ascii="仿宋" w:eastAsia="仿宋" w:hAnsi="仿宋" w:cs="Times New Roman" w:hint="eastAsia"/>
          <w:b/>
          <w:bCs/>
          <w:kern w:val="0"/>
          <w:sz w:val="28"/>
          <w:szCs w:val="28"/>
        </w:rPr>
        <w:t>一</w:t>
      </w:r>
      <w:r w:rsidR="00117AB6" w:rsidRPr="0046612B">
        <w:rPr>
          <w:rFonts w:ascii="仿宋" w:eastAsia="仿宋" w:hAnsi="仿宋" w:cs="Times New Roman" w:hint="eastAsia"/>
          <w:b/>
          <w:bCs/>
          <w:kern w:val="0"/>
          <w:sz w:val="28"/>
          <w:szCs w:val="28"/>
        </w:rPr>
        <w:t>、项目建设内容</w:t>
      </w:r>
    </w:p>
    <w:tbl>
      <w:tblPr>
        <w:tblStyle w:val="a7"/>
        <w:tblW w:w="0" w:type="auto"/>
        <w:tblLook w:val="04A0" w:firstRow="1" w:lastRow="0" w:firstColumn="1" w:lastColumn="0" w:noHBand="0" w:noVBand="1"/>
      </w:tblPr>
      <w:tblGrid>
        <w:gridCol w:w="1271"/>
        <w:gridCol w:w="2410"/>
        <w:gridCol w:w="5039"/>
      </w:tblGrid>
      <w:tr w:rsidR="009F4EE1" w:rsidRPr="00CF5654" w:rsidTr="00140EA9">
        <w:trPr>
          <w:trHeight w:val="403"/>
        </w:trPr>
        <w:tc>
          <w:tcPr>
            <w:tcW w:w="1271" w:type="dxa"/>
            <w:vMerge w:val="restart"/>
            <w:vAlign w:val="center"/>
          </w:tcPr>
          <w:p w:rsidR="009F4EE1" w:rsidRPr="00605338" w:rsidRDefault="009F4EE1" w:rsidP="00140EA9">
            <w:pPr>
              <w:spacing w:beforeLines="50" w:before="156" w:afterLines="50" w:after="156"/>
              <w:jc w:val="center"/>
              <w:rPr>
                <w:rFonts w:ascii="仿宋" w:eastAsia="仿宋" w:hAnsi="仿宋" w:cs="Times New Roman" w:hint="eastAsia"/>
                <w:b/>
                <w:szCs w:val="21"/>
              </w:rPr>
            </w:pPr>
            <w:r w:rsidRPr="00605338">
              <w:rPr>
                <w:rFonts w:ascii="仿宋" w:eastAsia="仿宋" w:hAnsi="仿宋" w:cs="Times New Roman" w:hint="eastAsia"/>
                <w:b/>
                <w:szCs w:val="21"/>
              </w:rPr>
              <w:t>核心对账工具模块</w:t>
            </w:r>
          </w:p>
        </w:tc>
        <w:tc>
          <w:tcPr>
            <w:tcW w:w="2410" w:type="dxa"/>
            <w:vAlign w:val="center"/>
          </w:tcPr>
          <w:p w:rsidR="009F4EE1" w:rsidRPr="00CF5654" w:rsidRDefault="009F4EE1" w:rsidP="00140EA9">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首页</w:t>
            </w:r>
          </w:p>
        </w:tc>
        <w:tc>
          <w:tcPr>
            <w:tcW w:w="5039" w:type="dxa"/>
            <w:vAlign w:val="center"/>
          </w:tcPr>
          <w:p w:rsidR="009F4EE1" w:rsidRPr="00CF5654" w:rsidRDefault="009F4EE1" w:rsidP="00140EA9">
            <w:pPr>
              <w:spacing w:beforeLines="50" w:before="156" w:afterLines="50" w:after="156"/>
              <w:rPr>
                <w:rFonts w:ascii="仿宋" w:eastAsia="仿宋" w:hAnsi="仿宋" w:cs="Times New Roman" w:hint="eastAsia"/>
                <w:szCs w:val="21"/>
              </w:rPr>
            </w:pPr>
            <w:r w:rsidRPr="00CF5654">
              <w:rPr>
                <w:rFonts w:ascii="仿宋" w:eastAsia="仿宋" w:hAnsi="仿宋" w:cs="Times New Roman" w:hint="eastAsia"/>
                <w:szCs w:val="21"/>
              </w:rPr>
              <w:t>包含功能介绍与页面索引；</w:t>
            </w:r>
          </w:p>
        </w:tc>
      </w:tr>
      <w:tr w:rsidR="009F4EE1" w:rsidRPr="00CF5654" w:rsidTr="00CF5654">
        <w:trPr>
          <w:trHeight w:val="341"/>
        </w:trPr>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月对账</w:t>
            </w:r>
          </w:p>
        </w:tc>
        <w:tc>
          <w:tcPr>
            <w:tcW w:w="5039" w:type="dxa"/>
            <w:vAlign w:val="center"/>
          </w:tcPr>
          <w:p w:rsidR="009F4EE1" w:rsidRPr="00CF5654" w:rsidRDefault="009F4EE1" w:rsidP="009F4EE1">
            <w:pPr>
              <w:widowControl/>
              <w:jc w:val="left"/>
              <w:textAlignment w:val="center"/>
              <w:rPr>
                <w:rFonts w:ascii="仿宋" w:eastAsia="仿宋" w:hAnsi="仿宋" w:cs="宋体"/>
                <w:color w:val="000000"/>
                <w:szCs w:val="21"/>
              </w:rPr>
            </w:pPr>
            <w:r w:rsidRPr="00CF5654">
              <w:rPr>
                <w:rFonts w:ascii="仿宋" w:eastAsia="仿宋" w:hAnsi="仿宋" w:cs="宋体" w:hint="eastAsia"/>
                <w:color w:val="000000"/>
                <w:kern w:val="0"/>
                <w:szCs w:val="21"/>
                <w:lang w:bidi="ar"/>
              </w:rPr>
              <w:t>核心对账中月对账功能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日对账</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核心对账中日对账</w:t>
            </w:r>
            <w:r w:rsidRPr="00CF5654">
              <w:rPr>
                <w:rFonts w:ascii="仿宋" w:eastAsia="仿宋" w:hAnsi="仿宋" w:cs="宋体" w:hint="eastAsia"/>
                <w:color w:val="000000"/>
                <w:kern w:val="0"/>
                <w:szCs w:val="21"/>
                <w:lang w:bidi="ar"/>
              </w:rPr>
              <w:t>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明细对账</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核心对账中明细对账</w:t>
            </w:r>
            <w:r w:rsidRPr="00CF5654">
              <w:rPr>
                <w:rFonts w:ascii="仿宋" w:eastAsia="仿宋" w:hAnsi="仿宋" w:cs="宋体" w:hint="eastAsia"/>
                <w:color w:val="000000"/>
                <w:kern w:val="0"/>
                <w:szCs w:val="21"/>
                <w:lang w:bidi="ar"/>
              </w:rPr>
              <w:t>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对账结果查询</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核心对账中中心对账结果查询</w:t>
            </w:r>
            <w:r w:rsidRPr="00CF5654">
              <w:rPr>
                <w:rFonts w:ascii="仿宋" w:eastAsia="仿宋" w:hAnsi="仿宋" w:cs="宋体" w:hint="eastAsia"/>
                <w:color w:val="000000"/>
                <w:kern w:val="0"/>
                <w:szCs w:val="21"/>
                <w:lang w:bidi="ar"/>
              </w:rPr>
              <w:t>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对账记录查询</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核心对账中对账记录查询</w:t>
            </w:r>
            <w:r w:rsidRPr="00CF5654">
              <w:rPr>
                <w:rFonts w:ascii="仿宋" w:eastAsia="仿宋" w:hAnsi="仿宋" w:cs="宋体" w:hint="eastAsia"/>
                <w:color w:val="000000"/>
                <w:kern w:val="0"/>
                <w:szCs w:val="21"/>
                <w:lang w:bidi="ar"/>
              </w:rPr>
              <w:t>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对账不平处理</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核心对账中对账不平处理功能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月结申报</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对账月结申报功能</w:t>
            </w:r>
          </w:p>
        </w:tc>
      </w:tr>
      <w:tr w:rsidR="009F4EE1" w:rsidRPr="00CF5654" w:rsidTr="00CF5654">
        <w:tc>
          <w:tcPr>
            <w:tcW w:w="1271" w:type="dxa"/>
            <w:vMerge/>
          </w:tcPr>
          <w:p w:rsidR="009F4EE1" w:rsidRPr="00CF5654" w:rsidRDefault="009F4EE1" w:rsidP="009F4EE1">
            <w:pPr>
              <w:spacing w:beforeLines="50" w:before="156" w:afterLines="50" w:after="156"/>
              <w:rPr>
                <w:rFonts w:ascii="仿宋" w:eastAsia="仿宋" w:hAnsi="仿宋" w:cs="Times New Roman" w:hint="eastAsia"/>
                <w:szCs w:val="21"/>
              </w:rPr>
            </w:pP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结付信息查询</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对账结付信息查询功能</w:t>
            </w:r>
          </w:p>
        </w:tc>
      </w:tr>
      <w:tr w:rsidR="009F4EE1" w:rsidRPr="00CF5654" w:rsidTr="00605338">
        <w:tc>
          <w:tcPr>
            <w:tcW w:w="1271" w:type="dxa"/>
            <w:vAlign w:val="center"/>
          </w:tcPr>
          <w:p w:rsidR="009F4EE1" w:rsidRPr="00CF5654" w:rsidRDefault="009F4EE1" w:rsidP="00605338">
            <w:pPr>
              <w:spacing w:beforeLines="50" w:before="156" w:afterLines="50" w:after="156"/>
              <w:jc w:val="center"/>
              <w:rPr>
                <w:rFonts w:ascii="仿宋" w:eastAsia="仿宋" w:hAnsi="仿宋" w:cs="Times New Roman" w:hint="eastAsia"/>
                <w:szCs w:val="21"/>
              </w:rPr>
            </w:pPr>
            <w:r w:rsidRPr="00605338">
              <w:rPr>
                <w:rFonts w:ascii="仿宋" w:eastAsia="仿宋" w:hAnsi="仿宋" w:cs="Times New Roman" w:hint="eastAsia"/>
                <w:b/>
                <w:szCs w:val="21"/>
              </w:rPr>
              <w:t>结算数据维护模块</w:t>
            </w:r>
          </w:p>
        </w:tc>
        <w:tc>
          <w:tcPr>
            <w:tcW w:w="2410" w:type="dxa"/>
            <w:vAlign w:val="center"/>
          </w:tcPr>
          <w:p w:rsidR="009F4EE1" w:rsidRPr="00CF5654" w:rsidRDefault="009F4EE1"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结算数据维护</w:t>
            </w:r>
          </w:p>
        </w:tc>
        <w:tc>
          <w:tcPr>
            <w:tcW w:w="5039" w:type="dxa"/>
            <w:vAlign w:val="center"/>
          </w:tcPr>
          <w:p w:rsidR="009F4EE1" w:rsidRPr="00CF5654" w:rsidRDefault="009F4EE1" w:rsidP="009F4EE1">
            <w:pPr>
              <w:spacing w:beforeLines="50" w:before="156" w:afterLines="50" w:after="156"/>
              <w:rPr>
                <w:rFonts w:ascii="仿宋" w:eastAsia="仿宋" w:hAnsi="仿宋" w:cs="Times New Roman" w:hint="eastAsia"/>
                <w:szCs w:val="21"/>
              </w:rPr>
            </w:pPr>
            <w:r w:rsidRPr="00CF5654">
              <w:rPr>
                <w:rFonts w:ascii="仿宋" w:eastAsia="仿宋" w:hAnsi="仿宋" w:cs="Times New Roman" w:hint="eastAsia"/>
                <w:szCs w:val="21"/>
              </w:rPr>
              <w:t>支持多种方式维护his的结算数据与结算基金数据。包含数据的上传及修改删除操作。</w:t>
            </w:r>
          </w:p>
        </w:tc>
      </w:tr>
      <w:tr w:rsidR="00CF5654" w:rsidRPr="00CF5654" w:rsidTr="00605338">
        <w:tc>
          <w:tcPr>
            <w:tcW w:w="1271" w:type="dxa"/>
            <w:vMerge w:val="restart"/>
            <w:vAlign w:val="center"/>
          </w:tcPr>
          <w:p w:rsidR="00CF5654" w:rsidRPr="00605338" w:rsidRDefault="00CF5654" w:rsidP="00605338">
            <w:pPr>
              <w:spacing w:beforeLines="50" w:before="156" w:afterLines="50" w:after="156"/>
              <w:jc w:val="center"/>
              <w:rPr>
                <w:rFonts w:ascii="仿宋" w:eastAsia="仿宋" w:hAnsi="仿宋" w:cs="Times New Roman" w:hint="eastAsia"/>
                <w:b/>
                <w:szCs w:val="21"/>
              </w:rPr>
            </w:pPr>
            <w:r w:rsidRPr="00605338">
              <w:rPr>
                <w:rFonts w:ascii="仿宋" w:eastAsia="仿宋" w:hAnsi="仿宋" w:cs="Times New Roman"/>
                <w:b/>
                <w:szCs w:val="21"/>
              </w:rPr>
              <w:t>his结算数据抽取工具</w:t>
            </w: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月结算数据抽取</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从his抽取对应的结算数据；支持定时或手动抽取his结算数据；支持单条结算ID或指定结算日期区间抽取数据；支持分开抽取结算数据与基金数据。</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日结算数据抽取</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从his抽取对应的结算数据；支持定时或手动抽取his结算数据；支持单条结算ID或指定结算日期区间抽取数据。</w:t>
            </w:r>
          </w:p>
        </w:tc>
      </w:tr>
      <w:tr w:rsidR="00CF5654" w:rsidRPr="00CF5654" w:rsidTr="00CB1FF4">
        <w:trPr>
          <w:trHeight w:val="583"/>
        </w:trPr>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明细结算数据抽取</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从his抽取对应的结算数据</w:t>
            </w:r>
            <w:r>
              <w:rPr>
                <w:rFonts w:ascii="仿宋" w:eastAsia="仿宋" w:hAnsi="仿宋" w:cs="Times New Roman" w:hint="eastAsia"/>
                <w:szCs w:val="21"/>
              </w:rPr>
              <w:t>，</w:t>
            </w:r>
            <w:r w:rsidRPr="00CF5654">
              <w:rPr>
                <w:rFonts w:ascii="仿宋" w:eastAsia="仿宋" w:hAnsi="仿宋" w:cs="Times New Roman" w:hint="eastAsia"/>
                <w:szCs w:val="21"/>
              </w:rPr>
              <w:t>支持单条结算ID抽取数据。</w:t>
            </w:r>
          </w:p>
        </w:tc>
      </w:tr>
      <w:tr w:rsidR="00CF5654" w:rsidRPr="00CF5654" w:rsidTr="00605338">
        <w:tc>
          <w:tcPr>
            <w:tcW w:w="1271" w:type="dxa"/>
            <w:vMerge w:val="restart"/>
            <w:vAlign w:val="center"/>
          </w:tcPr>
          <w:p w:rsidR="00CF5654" w:rsidRPr="00CF5654" w:rsidRDefault="00CF5654" w:rsidP="00605338">
            <w:pPr>
              <w:spacing w:beforeLines="50" w:before="156" w:afterLines="50" w:after="156"/>
              <w:jc w:val="center"/>
              <w:rPr>
                <w:rFonts w:ascii="仿宋" w:eastAsia="仿宋" w:hAnsi="仿宋" w:cs="Times New Roman" w:hint="eastAsia"/>
                <w:szCs w:val="21"/>
              </w:rPr>
            </w:pPr>
            <w:r w:rsidRPr="00605338">
              <w:rPr>
                <w:rFonts w:ascii="仿宋" w:eastAsia="仿宋" w:hAnsi="仿宋" w:cs="Times New Roman" w:hint="eastAsia"/>
                <w:b/>
                <w:szCs w:val="21"/>
              </w:rPr>
              <w:t>接口</w:t>
            </w: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对账权限查询</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通过此交易查询医药机构是否具有自动对账权限。</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月度对账状态查询</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通过此交易查询医药机构月度对账情况并解析展示。</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月度结算信息上传</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通过此交易将医药机构月度结算汇总数据上传。</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月度结算信息查询</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通过此交易查询医药机构已上传月度结算汇总数据。</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月度结算信息删除</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通过此交易删除待确认的月度结算数据。</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月度结算信息上传确认</w:t>
            </w:r>
          </w:p>
        </w:tc>
        <w:tc>
          <w:tcPr>
            <w:tcW w:w="5039"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通过此交易确认医药机构已上传月度结算数据。</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月度结算信息对账</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医药机构发起月度结算数据对账。</w:t>
            </w:r>
          </w:p>
        </w:tc>
      </w:tr>
      <w:tr w:rsidR="00CF5654" w:rsidRPr="00CF5654" w:rsidTr="00CF5654">
        <w:tc>
          <w:tcPr>
            <w:tcW w:w="1271" w:type="dxa"/>
            <w:vMerge/>
          </w:tcPr>
          <w:p w:rsidR="00CF5654" w:rsidRPr="00CF5654" w:rsidRDefault="00CF5654" w:rsidP="009F4EE1">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9F4EE1">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月度对账信息查询</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通过此交易查询月度结算对账结果。</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日结算信息上传</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通过此交易将医药机构日结算汇总数据上传。</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日结算信息查询</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通过此交易查询医药机构已上传日结算汇总数据。</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日结算信息删除</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通过此交易删除待确认的日结算数据。</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日结算信息上传确认</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通过此交易确认医药机构已上传日结算数据。</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日结算信息对账</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医药机构发起日结算数据对账。</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日对账信息查询</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通过此交易查询日结算结果。</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结算信息明细对账</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hint="eastAsia"/>
                <w:szCs w:val="21"/>
              </w:rPr>
            </w:pPr>
            <w:r w:rsidRPr="00CF5654">
              <w:rPr>
                <w:rFonts w:ascii="仿宋" w:eastAsia="仿宋" w:hAnsi="仿宋" w:cs="Times New Roman" w:hint="eastAsia"/>
                <w:szCs w:val="21"/>
              </w:rPr>
              <w:t>医药机构发起明细对账。</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结算费用申报</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通过此交易进行结算费用申报。</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结算费用撤销</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通过此交易撤销结算费用申报。</w:t>
            </w:r>
          </w:p>
        </w:tc>
      </w:tr>
      <w:tr w:rsidR="00CF5654" w:rsidRPr="00CF5654" w:rsidTr="00CF5654">
        <w:tc>
          <w:tcPr>
            <w:tcW w:w="1271" w:type="dxa"/>
            <w:vMerge/>
          </w:tcPr>
          <w:p w:rsidR="00CF5654" w:rsidRPr="00CF5654" w:rsidRDefault="00CF5654" w:rsidP="00CF5654">
            <w:pPr>
              <w:spacing w:beforeLines="50" w:before="156" w:afterLines="50" w:after="156"/>
              <w:rPr>
                <w:rFonts w:ascii="仿宋" w:eastAsia="仿宋" w:hAnsi="仿宋" w:cs="Times New Roman" w:hint="eastAsia"/>
                <w:szCs w:val="21"/>
              </w:rPr>
            </w:pPr>
          </w:p>
        </w:tc>
        <w:tc>
          <w:tcPr>
            <w:tcW w:w="2410"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结付信息查询</w:t>
            </w:r>
          </w:p>
        </w:tc>
        <w:tc>
          <w:tcPr>
            <w:tcW w:w="5039" w:type="dxa"/>
            <w:vAlign w:val="center"/>
          </w:tcPr>
          <w:p w:rsidR="00CF5654" w:rsidRPr="00CF5654" w:rsidRDefault="00CF5654" w:rsidP="00CF5654">
            <w:pPr>
              <w:spacing w:beforeLines="50" w:before="156" w:afterLines="50" w:after="156"/>
              <w:rPr>
                <w:rFonts w:ascii="仿宋" w:eastAsia="仿宋" w:hAnsi="仿宋" w:cs="Times New Roman"/>
                <w:szCs w:val="21"/>
              </w:rPr>
            </w:pPr>
            <w:r w:rsidRPr="00CF5654">
              <w:rPr>
                <w:rFonts w:ascii="仿宋" w:eastAsia="仿宋" w:hAnsi="仿宋" w:cs="Times New Roman" w:hint="eastAsia"/>
                <w:szCs w:val="21"/>
              </w:rPr>
              <w:t>通过此交易查询医药机构实际结付数据。</w:t>
            </w:r>
          </w:p>
        </w:tc>
      </w:tr>
    </w:tbl>
    <w:p w:rsidR="00CB1FF4" w:rsidRDefault="00CB1FF4" w:rsidP="00117AB6">
      <w:pPr>
        <w:snapToGrid w:val="0"/>
        <w:spacing w:beforeLines="50" w:before="156" w:line="360" w:lineRule="auto"/>
        <w:contextualSpacing/>
        <w:jc w:val="left"/>
        <w:rPr>
          <w:rFonts w:ascii="仿宋" w:eastAsia="仿宋" w:hAnsi="仿宋" w:cs="Times New Roman"/>
          <w:b/>
          <w:sz w:val="28"/>
          <w:szCs w:val="28"/>
          <w:lang w:val="zh-CN"/>
        </w:rPr>
      </w:pP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lastRenderedPageBreak/>
        <w:t>（二）采购标的需执行的国家相关标准、行业标准、地方标准或者其他标准、规范</w:t>
      </w:r>
    </w:p>
    <w:p w:rsidR="00117AB6" w:rsidRPr="00117AB6" w:rsidRDefault="00117AB6" w:rsidP="00745B63">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产品的技术标准按国家标准执行，无国家标准的，按行业标准执行，无国家和行业标准的，按企业标准执行；但在磋商文件中有特别要求的，按磋商文件中规定的要求执行，并且符合相关法律、法规规定的要求。</w:t>
      </w: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（三）采购标的需满足的质量、安全、技术规格、物理特性等要求</w:t>
      </w:r>
    </w:p>
    <w:p w:rsidR="00117AB6" w:rsidRP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投标人应保证提供的产品不得侵犯第三方专利权、商标权和设计权、版权等。否则，投标人应负全部责任，并承担由此引起的一切后果。</w:t>
      </w:r>
    </w:p>
    <w:p w:rsidR="00117AB6" w:rsidRP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对知识产权的要求：投标人承诺全部承担今后凡因本项目相关部件知识产权方面可能产生的任何问题、纠纷乃至赔偿等。项目中涉及的已注册应用软件产品，其知识产权归原厂商所有。</w:t>
      </w:r>
    </w:p>
    <w:p w:rsidR="00117AB6" w:rsidRP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（四）采购标的数量、采购项目交付或者实施的时间和地点</w:t>
      </w:r>
    </w:p>
    <w:tbl>
      <w:tblPr>
        <w:tblW w:w="82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38"/>
        <w:gridCol w:w="2863"/>
        <w:gridCol w:w="2420"/>
        <w:gridCol w:w="1701"/>
      </w:tblGrid>
      <w:tr w:rsidR="00117AB6" w:rsidRPr="00117AB6" w:rsidTr="00664F08">
        <w:trPr>
          <w:trHeight w:val="688"/>
          <w:jc w:val="center"/>
        </w:trPr>
        <w:tc>
          <w:tcPr>
            <w:tcW w:w="12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b/>
                <w:bCs/>
                <w:kern w:val="0"/>
                <w:sz w:val="28"/>
                <w:szCs w:val="28"/>
              </w:rPr>
              <w:t>序号</w:t>
            </w:r>
          </w:p>
        </w:tc>
        <w:tc>
          <w:tcPr>
            <w:tcW w:w="2863" w:type="dxa"/>
            <w:tcBorders>
              <w:top w:val="single" w:sz="8" w:space="0" w:color="auto"/>
              <w:left w:val="nil"/>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b/>
                <w:bCs/>
                <w:kern w:val="0"/>
                <w:sz w:val="28"/>
                <w:szCs w:val="28"/>
              </w:rPr>
              <w:t>产品名称</w:t>
            </w:r>
          </w:p>
        </w:tc>
        <w:tc>
          <w:tcPr>
            <w:tcW w:w="2420" w:type="dxa"/>
            <w:tcBorders>
              <w:top w:val="single" w:sz="8" w:space="0" w:color="auto"/>
              <w:left w:val="nil"/>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b/>
                <w:bCs/>
                <w:kern w:val="0"/>
                <w:sz w:val="28"/>
                <w:szCs w:val="28"/>
              </w:rPr>
              <w:t>规格、配置参数</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b/>
                <w:bCs/>
                <w:kern w:val="0"/>
                <w:sz w:val="28"/>
                <w:szCs w:val="28"/>
              </w:rPr>
              <w:t>数量</w:t>
            </w:r>
          </w:p>
        </w:tc>
      </w:tr>
      <w:tr w:rsidR="00117AB6" w:rsidRPr="00117AB6" w:rsidTr="00664F08">
        <w:trPr>
          <w:trHeight w:val="753"/>
          <w:jc w:val="center"/>
        </w:trPr>
        <w:tc>
          <w:tcPr>
            <w:tcW w:w="1238" w:type="dxa"/>
            <w:tcBorders>
              <w:top w:val="nil"/>
              <w:left w:val="single" w:sz="8" w:space="0" w:color="auto"/>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kern w:val="0"/>
                <w:sz w:val="28"/>
                <w:szCs w:val="28"/>
              </w:rPr>
              <w:t>1</w:t>
            </w:r>
          </w:p>
        </w:tc>
        <w:tc>
          <w:tcPr>
            <w:tcW w:w="2863" w:type="dxa"/>
            <w:tcBorders>
              <w:top w:val="nil"/>
              <w:left w:val="nil"/>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46612B">
              <w:rPr>
                <w:rFonts w:ascii="仿宋" w:eastAsia="仿宋" w:hAnsi="仿宋" w:cs="宋体" w:hint="eastAsia"/>
                <w:kern w:val="0"/>
                <w:sz w:val="28"/>
                <w:szCs w:val="28"/>
              </w:rPr>
              <w:t>医保月度对账平台</w:t>
            </w:r>
          </w:p>
        </w:tc>
        <w:tc>
          <w:tcPr>
            <w:tcW w:w="2420" w:type="dxa"/>
            <w:tcBorders>
              <w:top w:val="nil"/>
              <w:left w:val="nil"/>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kern w:val="0"/>
                <w:sz w:val="28"/>
                <w:szCs w:val="28"/>
              </w:rPr>
              <w:t>详见需求</w:t>
            </w:r>
          </w:p>
        </w:tc>
        <w:tc>
          <w:tcPr>
            <w:tcW w:w="1701" w:type="dxa"/>
            <w:tcBorders>
              <w:top w:val="nil"/>
              <w:left w:val="nil"/>
              <w:bottom w:val="single" w:sz="8" w:space="0" w:color="auto"/>
              <w:right w:val="single" w:sz="8" w:space="0" w:color="auto"/>
            </w:tcBorders>
            <w:tcMar>
              <w:left w:w="108" w:type="dxa"/>
              <w:right w:w="108" w:type="dxa"/>
            </w:tcMar>
            <w:vAlign w:val="center"/>
          </w:tcPr>
          <w:p w:rsidR="00117AB6" w:rsidRPr="00117AB6" w:rsidRDefault="00117AB6" w:rsidP="00117AB6">
            <w:pPr>
              <w:widowControl/>
              <w:spacing w:before="78" w:after="78"/>
              <w:jc w:val="center"/>
              <w:rPr>
                <w:rFonts w:ascii="仿宋" w:eastAsia="仿宋" w:hAnsi="仿宋" w:cs="宋体"/>
                <w:kern w:val="0"/>
                <w:sz w:val="28"/>
                <w:szCs w:val="28"/>
              </w:rPr>
            </w:pPr>
            <w:r w:rsidRPr="00117AB6">
              <w:rPr>
                <w:rFonts w:ascii="仿宋" w:eastAsia="仿宋" w:hAnsi="仿宋" w:cs="宋体"/>
                <w:kern w:val="0"/>
                <w:sz w:val="28"/>
                <w:szCs w:val="28"/>
              </w:rPr>
              <w:t>1</w:t>
            </w:r>
            <w:r w:rsidR="009A54FD" w:rsidRPr="0046612B">
              <w:rPr>
                <w:rFonts w:ascii="仿宋" w:eastAsia="仿宋" w:hAnsi="仿宋" w:cs="宋体" w:hint="eastAsia"/>
                <w:kern w:val="0"/>
                <w:sz w:val="28"/>
                <w:szCs w:val="28"/>
              </w:rPr>
              <w:t>套</w:t>
            </w:r>
          </w:p>
        </w:tc>
      </w:tr>
    </w:tbl>
    <w:p w:rsidR="00117AB6" w:rsidRPr="00117AB6" w:rsidRDefault="00117AB6" w:rsidP="00A45249">
      <w:pPr>
        <w:snapToGrid w:val="0"/>
        <w:spacing w:beforeLines="50" w:before="156" w:after="240" w:line="360" w:lineRule="auto"/>
        <w:ind w:firstLineChars="200" w:firstLine="562"/>
        <w:contextualSpacing/>
        <w:jc w:val="left"/>
        <w:rPr>
          <w:rFonts w:ascii="仿宋" w:eastAsia="仿宋" w:hAnsi="仿宋" w:cs="Times New Roman"/>
          <w:b/>
          <w:bCs/>
          <w:sz w:val="28"/>
          <w:szCs w:val="28"/>
        </w:rPr>
      </w:pPr>
      <w:r w:rsidRPr="00117AB6">
        <w:rPr>
          <w:rFonts w:ascii="仿宋" w:eastAsia="仿宋" w:hAnsi="仿宋" w:cs="Times New Roman" w:hint="eastAsia"/>
          <w:b/>
          <w:bCs/>
          <w:sz w:val="28"/>
          <w:szCs w:val="28"/>
        </w:rPr>
        <w:t>产品交付时间：自合同签订之日起</w:t>
      </w:r>
      <w:r w:rsidR="009A54FD" w:rsidRPr="0046612B">
        <w:rPr>
          <w:rFonts w:ascii="仿宋" w:eastAsia="仿宋" w:hAnsi="仿宋" w:cs="Times New Roman" w:hint="eastAsia"/>
          <w:b/>
          <w:bCs/>
          <w:sz w:val="28"/>
          <w:szCs w:val="28"/>
        </w:rPr>
        <w:t>1</w:t>
      </w:r>
      <w:r w:rsidRPr="00117AB6">
        <w:rPr>
          <w:rFonts w:ascii="仿宋" w:eastAsia="仿宋" w:hAnsi="仿宋" w:cs="Times New Roman" w:hint="eastAsia"/>
          <w:b/>
          <w:bCs/>
          <w:sz w:val="28"/>
          <w:szCs w:val="28"/>
        </w:rPr>
        <w:t>个月。</w:t>
      </w:r>
    </w:p>
    <w:p w:rsidR="00117AB6" w:rsidRPr="00117AB6" w:rsidRDefault="00117AB6" w:rsidP="00664F08">
      <w:pPr>
        <w:snapToGrid w:val="0"/>
        <w:spacing w:beforeLines="50" w:before="156" w:line="360" w:lineRule="auto"/>
        <w:ind w:firstLineChars="200" w:firstLine="562"/>
        <w:contextualSpacing/>
        <w:jc w:val="left"/>
        <w:rPr>
          <w:rFonts w:ascii="仿宋" w:eastAsia="仿宋" w:hAnsi="仿宋" w:cs="Times New Roman"/>
          <w:sz w:val="28"/>
          <w:szCs w:val="28"/>
        </w:rPr>
      </w:pPr>
      <w:r w:rsidRPr="00117AB6">
        <w:rPr>
          <w:rFonts w:ascii="仿宋" w:eastAsia="仿宋" w:hAnsi="仿宋" w:cs="Times New Roman" w:hint="eastAsia"/>
          <w:b/>
          <w:bCs/>
          <w:sz w:val="28"/>
          <w:szCs w:val="28"/>
        </w:rPr>
        <w:t>服务地点</w:t>
      </w:r>
      <w:r w:rsidRPr="00117AB6">
        <w:rPr>
          <w:rFonts w:ascii="仿宋" w:eastAsia="仿宋" w:hAnsi="仿宋" w:cs="Times New Roman" w:hint="eastAsia"/>
          <w:sz w:val="28"/>
          <w:szCs w:val="28"/>
        </w:rPr>
        <w:t>：南通市妇幼保健院指定地点。</w:t>
      </w: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（五）采购标的需满足的服务标准、期限、效率等要求</w:t>
      </w:r>
    </w:p>
    <w:p w:rsidR="00117AB6" w:rsidRPr="00117AB6" w:rsidRDefault="00117AB6" w:rsidP="00117AB6">
      <w:pPr>
        <w:snapToGrid w:val="0"/>
        <w:spacing w:line="360" w:lineRule="auto"/>
        <w:ind w:firstLineChars="200" w:firstLine="562"/>
        <w:contextualSpacing/>
        <w:jc w:val="left"/>
        <w:rPr>
          <w:rFonts w:ascii="仿宋" w:eastAsia="仿宋" w:hAnsi="仿宋" w:cs="Times New Roman"/>
          <w:sz w:val="28"/>
          <w:szCs w:val="28"/>
        </w:rPr>
      </w:pPr>
      <w:r w:rsidRPr="00117AB6">
        <w:rPr>
          <w:rFonts w:ascii="仿宋" w:eastAsia="仿宋" w:hAnsi="仿宋" w:cs="Times New Roman"/>
          <w:b/>
          <w:bCs/>
          <w:sz w:val="28"/>
          <w:szCs w:val="28"/>
        </w:rPr>
        <w:t>1、项目预算：</w:t>
      </w:r>
      <w:r w:rsidR="00354086" w:rsidRPr="0046612B">
        <w:rPr>
          <w:rFonts w:ascii="仿宋" w:eastAsia="仿宋" w:hAnsi="仿宋" w:cs="Times New Roman"/>
          <w:sz w:val="28"/>
          <w:szCs w:val="28"/>
        </w:rPr>
        <w:t>5</w:t>
      </w:r>
      <w:r w:rsidRPr="00117AB6">
        <w:rPr>
          <w:rFonts w:ascii="仿宋" w:eastAsia="仿宋" w:hAnsi="仿宋" w:cs="Times New Roman"/>
          <w:sz w:val="28"/>
          <w:szCs w:val="28"/>
        </w:rPr>
        <w:t>万元。</w:t>
      </w:r>
    </w:p>
    <w:p w:rsidR="00117AB6" w:rsidRPr="00117AB6" w:rsidRDefault="00117AB6" w:rsidP="00117AB6">
      <w:pPr>
        <w:snapToGrid w:val="0"/>
        <w:spacing w:line="360" w:lineRule="auto"/>
        <w:ind w:firstLineChars="200" w:firstLine="562"/>
        <w:contextualSpacing/>
        <w:jc w:val="left"/>
        <w:rPr>
          <w:rFonts w:ascii="仿宋" w:eastAsia="仿宋" w:hAnsi="仿宋" w:cs="Times New Roman"/>
          <w:b/>
          <w:bCs/>
          <w:sz w:val="28"/>
          <w:szCs w:val="28"/>
        </w:rPr>
      </w:pPr>
      <w:r w:rsidRPr="00117AB6">
        <w:rPr>
          <w:rFonts w:ascii="仿宋" w:eastAsia="仿宋" w:hAnsi="仿宋" w:cs="Times New Roman"/>
          <w:b/>
          <w:bCs/>
          <w:sz w:val="28"/>
          <w:szCs w:val="28"/>
        </w:rPr>
        <w:t>2、售后服务：</w:t>
      </w:r>
    </w:p>
    <w:p w:rsidR="00117AB6" w:rsidRPr="00A420D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A420D6">
        <w:rPr>
          <w:rFonts w:ascii="仿宋" w:eastAsia="仿宋" w:hAnsi="仿宋" w:cs="Times New Roman"/>
          <w:sz w:val="28"/>
          <w:szCs w:val="28"/>
        </w:rPr>
        <w:lastRenderedPageBreak/>
        <w:t>（1）投标人应充分考虑满足投标项目的建设要求，提出项目实施、项目培训、售后服务方案。</w:t>
      </w:r>
    </w:p>
    <w:p w:rsidR="00117AB6" w:rsidRPr="00117AB6" w:rsidRDefault="00117AB6" w:rsidP="00117AB6">
      <w:pPr>
        <w:snapToGrid w:val="0"/>
        <w:spacing w:line="360" w:lineRule="auto"/>
        <w:ind w:firstLineChars="200" w:firstLine="560"/>
        <w:contextualSpacing/>
        <w:jc w:val="left"/>
        <w:rPr>
          <w:rFonts w:ascii="仿宋" w:eastAsia="仿宋" w:hAnsi="仿宋" w:cs="Times New Roman"/>
          <w:sz w:val="28"/>
          <w:szCs w:val="28"/>
        </w:rPr>
      </w:pPr>
      <w:r w:rsidRPr="00CB1FF4">
        <w:rPr>
          <w:rFonts w:ascii="仿宋" w:eastAsia="仿宋" w:hAnsi="仿宋" w:cs="Times New Roman"/>
          <w:sz w:val="28"/>
          <w:szCs w:val="28"/>
        </w:rPr>
        <w:t>（2）投标人需提供不少于</w:t>
      </w:r>
      <w:r w:rsidR="006D5F46" w:rsidRPr="00CB1FF4">
        <w:rPr>
          <w:rFonts w:ascii="仿宋" w:eastAsia="仿宋" w:hAnsi="仿宋" w:cs="Times New Roman"/>
          <w:sz w:val="28"/>
          <w:szCs w:val="28"/>
        </w:rPr>
        <w:t>1</w:t>
      </w:r>
      <w:r w:rsidRPr="00CB1FF4">
        <w:rPr>
          <w:rFonts w:ascii="仿宋" w:eastAsia="仿宋" w:hAnsi="仿宋" w:cs="Times New Roman"/>
          <w:sz w:val="28"/>
          <w:szCs w:val="28"/>
        </w:rPr>
        <w:t>年的软件系统免费维护期，免费维护期从系统验收通过之日起计算。</w:t>
      </w:r>
      <w:r w:rsidR="00556A3D" w:rsidRPr="00CB1FF4">
        <w:rPr>
          <w:rFonts w:ascii="仿宋" w:eastAsia="仿宋" w:hAnsi="仿宋" w:cs="Times New Roman" w:hint="eastAsia"/>
          <w:sz w:val="28"/>
          <w:szCs w:val="28"/>
        </w:rPr>
        <w:t>免费维护期满后，维护</w:t>
      </w:r>
      <w:r w:rsidR="00956EB6" w:rsidRPr="00CB1FF4">
        <w:rPr>
          <w:rFonts w:ascii="仿宋" w:eastAsia="仿宋" w:hAnsi="仿宋" w:cs="Times New Roman" w:hint="eastAsia"/>
          <w:sz w:val="28"/>
          <w:szCs w:val="28"/>
        </w:rPr>
        <w:t>服务另行协商。</w:t>
      </w: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（六）采购标的验收标准</w:t>
      </w:r>
    </w:p>
    <w:p w:rsidR="00117AB6" w:rsidRPr="00117AB6" w:rsidRDefault="00B04064" w:rsidP="00117AB6">
      <w:pPr>
        <w:snapToGrid w:val="0"/>
        <w:spacing w:line="360" w:lineRule="auto"/>
        <w:ind w:firstLineChars="200" w:firstLine="560"/>
        <w:contextualSpacing/>
        <w:jc w:val="left"/>
        <w:rPr>
          <w:rFonts w:ascii="仿宋" w:eastAsia="仿宋" w:hAnsi="仿宋" w:cs="Times New Roman"/>
          <w:sz w:val="28"/>
          <w:szCs w:val="28"/>
        </w:rPr>
      </w:pPr>
      <w:r w:rsidRPr="0046612B">
        <w:rPr>
          <w:rFonts w:ascii="仿宋" w:eastAsia="仿宋" w:hAnsi="仿宋" w:cs="Times New Roman" w:hint="eastAsia"/>
          <w:sz w:val="28"/>
          <w:szCs w:val="28"/>
        </w:rPr>
        <w:t>在项目内容安装调试完成后，使用科室进行功能确认</w:t>
      </w:r>
      <w:r w:rsidR="00117AB6" w:rsidRPr="00117AB6">
        <w:rPr>
          <w:rFonts w:ascii="仿宋" w:eastAsia="仿宋" w:hAnsi="仿宋" w:cs="Times New Roman" w:hint="eastAsia"/>
          <w:sz w:val="28"/>
          <w:szCs w:val="28"/>
        </w:rPr>
        <w:t>验收，</w:t>
      </w:r>
      <w:r w:rsidR="00715CD1" w:rsidRPr="0046612B">
        <w:rPr>
          <w:rFonts w:ascii="仿宋" w:eastAsia="仿宋" w:hAnsi="仿宋" w:cs="Times New Roman" w:hint="eastAsia"/>
          <w:sz w:val="28"/>
          <w:szCs w:val="28"/>
        </w:rPr>
        <w:t>验收合格后出具验收单</w:t>
      </w:r>
      <w:r w:rsidR="00117AB6" w:rsidRPr="00117AB6">
        <w:rPr>
          <w:rFonts w:ascii="仿宋" w:eastAsia="仿宋" w:hAnsi="仿宋" w:cs="Times New Roman" w:hint="eastAsia"/>
          <w:sz w:val="28"/>
          <w:szCs w:val="28"/>
        </w:rPr>
        <w:t>，并作为支付货款的依据。</w:t>
      </w: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（七）采购标的其他技术、服务等要求</w:t>
      </w:r>
    </w:p>
    <w:p w:rsidR="00B04064" w:rsidRPr="00B13A43" w:rsidRDefault="00B04064" w:rsidP="00B04064">
      <w:pPr>
        <w:snapToGrid w:val="0"/>
        <w:spacing w:line="360" w:lineRule="auto"/>
        <w:ind w:firstLineChars="200" w:firstLine="560"/>
        <w:contextualSpacing/>
        <w:jc w:val="left"/>
        <w:rPr>
          <w:rFonts w:ascii="仿宋" w:eastAsia="仿宋" w:hAnsi="仿宋" w:cs="Times New Roman"/>
          <w:sz w:val="28"/>
          <w:szCs w:val="28"/>
        </w:rPr>
      </w:pPr>
      <w:r w:rsidRPr="0046612B">
        <w:rPr>
          <w:rFonts w:ascii="仿宋" w:eastAsia="仿宋" w:hAnsi="仿宋" w:cs="Times New Roman" w:hint="eastAsia"/>
          <w:sz w:val="28"/>
          <w:szCs w:val="28"/>
        </w:rPr>
        <w:t>（1</w:t>
      </w:r>
      <w:r w:rsidR="005E158D">
        <w:rPr>
          <w:rFonts w:ascii="仿宋" w:eastAsia="仿宋" w:hAnsi="仿宋" w:cs="Times New Roman" w:hint="eastAsia"/>
          <w:sz w:val="28"/>
          <w:szCs w:val="28"/>
        </w:rPr>
        <w:t>）项目成交公告结束</w:t>
      </w:r>
      <w:r w:rsidRPr="0046612B">
        <w:rPr>
          <w:rFonts w:ascii="仿宋" w:eastAsia="仿宋" w:hAnsi="仿宋" w:cs="Times New Roman" w:hint="eastAsia"/>
          <w:sz w:val="28"/>
          <w:szCs w:val="28"/>
        </w:rPr>
        <w:t>后</w:t>
      </w:r>
      <w:r w:rsidRPr="0046612B">
        <w:rPr>
          <w:rFonts w:ascii="仿宋" w:eastAsia="仿宋" w:hAnsi="仿宋" w:cs="Times New Roman"/>
          <w:sz w:val="28"/>
          <w:szCs w:val="28"/>
        </w:rPr>
        <w:t>3</w:t>
      </w:r>
      <w:r w:rsidRPr="00B13A43">
        <w:rPr>
          <w:rFonts w:ascii="仿宋" w:eastAsia="仿宋" w:hAnsi="仿宋" w:cs="Times New Roman" w:hint="eastAsia"/>
          <w:sz w:val="28"/>
          <w:szCs w:val="28"/>
        </w:rPr>
        <w:t>0日内签订合同。</w:t>
      </w:r>
    </w:p>
    <w:p w:rsidR="00117AB6" w:rsidRPr="00117AB6" w:rsidRDefault="00B04064" w:rsidP="00117AB6">
      <w:pPr>
        <w:snapToGrid w:val="0"/>
        <w:spacing w:line="360" w:lineRule="auto"/>
        <w:ind w:firstLineChars="200" w:firstLine="560"/>
        <w:contextualSpacing/>
        <w:jc w:val="left"/>
        <w:rPr>
          <w:rFonts w:ascii="仿宋" w:eastAsia="仿宋" w:hAnsi="仿宋" w:cs="Times New Roman"/>
          <w:sz w:val="28"/>
          <w:szCs w:val="28"/>
        </w:rPr>
      </w:pPr>
      <w:r w:rsidRPr="0046612B">
        <w:rPr>
          <w:rFonts w:ascii="仿宋" w:eastAsia="仿宋" w:hAnsi="仿宋" w:cs="Times New Roman" w:hint="eastAsia"/>
          <w:sz w:val="28"/>
          <w:szCs w:val="28"/>
        </w:rPr>
        <w:t>（2）</w:t>
      </w:r>
      <w:r w:rsidR="00117AB6" w:rsidRPr="00117AB6">
        <w:rPr>
          <w:rFonts w:ascii="仿宋" w:eastAsia="仿宋" w:hAnsi="仿宋" w:cs="Times New Roman" w:hint="eastAsia"/>
          <w:sz w:val="28"/>
          <w:szCs w:val="28"/>
        </w:rPr>
        <w:t>以上条款的内容如果需要修改或者有其他未涉及的事项，由双方协商解决。</w:t>
      </w:r>
    </w:p>
    <w:p w:rsidR="00117AB6" w:rsidRPr="00117AB6" w:rsidRDefault="00117AB6" w:rsidP="00117AB6">
      <w:pPr>
        <w:snapToGrid w:val="0"/>
        <w:spacing w:beforeLines="50" w:before="156" w:line="360" w:lineRule="auto"/>
        <w:contextualSpacing/>
        <w:jc w:val="left"/>
        <w:rPr>
          <w:rFonts w:ascii="仿宋" w:eastAsia="仿宋" w:hAnsi="仿宋" w:cs="Times New Roman"/>
          <w:sz w:val="28"/>
          <w:szCs w:val="28"/>
        </w:rPr>
      </w:pPr>
      <w:r w:rsidRPr="00117AB6">
        <w:rPr>
          <w:rFonts w:ascii="仿宋" w:eastAsia="仿宋" w:hAnsi="仿宋" w:cs="Times New Roman" w:hint="eastAsia"/>
          <w:b/>
          <w:sz w:val="28"/>
          <w:szCs w:val="28"/>
          <w:lang w:val="zh-CN"/>
        </w:rPr>
        <w:t>（八）付款方式</w:t>
      </w:r>
    </w:p>
    <w:p w:rsidR="00B13A43" w:rsidRPr="0046612B" w:rsidRDefault="00117AB6" w:rsidP="00B04064">
      <w:pPr>
        <w:snapToGrid w:val="0"/>
        <w:spacing w:line="360" w:lineRule="auto"/>
        <w:ind w:firstLineChars="200" w:firstLine="560"/>
        <w:contextualSpacing/>
        <w:jc w:val="left"/>
        <w:rPr>
          <w:rFonts w:ascii="仿宋" w:eastAsia="仿宋" w:hAnsi="仿宋" w:cs="Times New Roman"/>
          <w:sz w:val="28"/>
          <w:szCs w:val="28"/>
        </w:rPr>
      </w:pPr>
      <w:r w:rsidRPr="00117AB6">
        <w:rPr>
          <w:rFonts w:ascii="仿宋" w:eastAsia="仿宋" w:hAnsi="仿宋" w:cs="Times New Roman" w:hint="eastAsia"/>
          <w:sz w:val="28"/>
          <w:szCs w:val="28"/>
        </w:rPr>
        <w:t>验收合格后</w:t>
      </w:r>
      <w:r w:rsidR="00B04064" w:rsidRPr="0046612B">
        <w:rPr>
          <w:rFonts w:ascii="仿宋" w:eastAsia="仿宋" w:hAnsi="仿宋" w:cs="Times New Roman"/>
          <w:sz w:val="28"/>
          <w:szCs w:val="28"/>
        </w:rPr>
        <w:t>30</w:t>
      </w:r>
      <w:r w:rsidRPr="00117AB6">
        <w:rPr>
          <w:rFonts w:ascii="仿宋" w:eastAsia="仿宋" w:hAnsi="仿宋" w:cs="Times New Roman" w:hint="eastAsia"/>
          <w:sz w:val="28"/>
          <w:szCs w:val="28"/>
        </w:rPr>
        <w:t>天内支付全款的</w:t>
      </w:r>
      <w:r w:rsidR="00B04064" w:rsidRPr="0046612B">
        <w:rPr>
          <w:rFonts w:ascii="仿宋" w:eastAsia="仿宋" w:hAnsi="仿宋" w:cs="Times New Roman"/>
          <w:sz w:val="28"/>
          <w:szCs w:val="28"/>
        </w:rPr>
        <w:t>9</w:t>
      </w:r>
      <w:r w:rsidRPr="00117AB6">
        <w:rPr>
          <w:rFonts w:ascii="仿宋" w:eastAsia="仿宋" w:hAnsi="仿宋" w:cs="Times New Roman" w:hint="eastAsia"/>
          <w:sz w:val="28"/>
          <w:szCs w:val="28"/>
        </w:rPr>
        <w:t>0%，</w:t>
      </w:r>
      <w:r w:rsidR="00371514">
        <w:rPr>
          <w:rFonts w:ascii="仿宋" w:eastAsia="仿宋" w:hAnsi="仿宋" w:cs="Times New Roman" w:hint="eastAsia"/>
          <w:sz w:val="28"/>
          <w:szCs w:val="28"/>
        </w:rPr>
        <w:t>免费维护</w:t>
      </w:r>
      <w:bookmarkStart w:id="0" w:name="_GoBack"/>
      <w:bookmarkEnd w:id="0"/>
      <w:r w:rsidR="001508AC">
        <w:rPr>
          <w:rFonts w:ascii="仿宋" w:eastAsia="仿宋" w:hAnsi="仿宋" w:cs="Times New Roman" w:hint="eastAsia"/>
          <w:sz w:val="28"/>
          <w:szCs w:val="28"/>
        </w:rPr>
        <w:t>期结束后</w:t>
      </w:r>
      <w:r w:rsidRPr="00117AB6">
        <w:rPr>
          <w:rFonts w:ascii="仿宋" w:eastAsia="仿宋" w:hAnsi="仿宋" w:cs="Times New Roman" w:hint="eastAsia"/>
          <w:sz w:val="28"/>
          <w:szCs w:val="28"/>
        </w:rPr>
        <w:t>支付全款的10%。每次付款前乙方需开具有效的增值税发票。</w:t>
      </w:r>
    </w:p>
    <w:p w:rsidR="00A37F29" w:rsidRPr="0046612B" w:rsidRDefault="00A765B6" w:rsidP="00A765B6">
      <w:pPr>
        <w:snapToGrid w:val="0"/>
        <w:spacing w:beforeLines="50" w:before="156" w:line="360" w:lineRule="auto"/>
        <w:contextualSpacing/>
        <w:jc w:val="left"/>
        <w:rPr>
          <w:rFonts w:ascii="仿宋" w:eastAsia="仿宋" w:hAnsi="仿宋" w:cs="Times New Roman"/>
          <w:b/>
          <w:sz w:val="28"/>
          <w:szCs w:val="28"/>
          <w:lang w:val="zh-CN"/>
        </w:rPr>
      </w:pPr>
      <w:r w:rsidRPr="00117AB6">
        <w:rPr>
          <w:rFonts w:ascii="仿宋" w:eastAsia="仿宋" w:hAnsi="仿宋" w:cs="Times New Roman" w:hint="eastAsia"/>
          <w:b/>
          <w:sz w:val="28"/>
          <w:szCs w:val="28"/>
          <w:lang w:val="zh-CN"/>
        </w:rPr>
        <w:t>（</w:t>
      </w:r>
      <w:r w:rsidRPr="0046612B">
        <w:rPr>
          <w:rFonts w:ascii="仿宋" w:eastAsia="仿宋" w:hAnsi="仿宋" w:cs="Times New Roman" w:hint="eastAsia"/>
          <w:b/>
          <w:sz w:val="28"/>
          <w:szCs w:val="28"/>
          <w:lang w:val="zh-CN"/>
        </w:rPr>
        <w:t>九）评分标准</w:t>
      </w:r>
    </w:p>
    <w:tbl>
      <w:tblPr>
        <w:tblStyle w:val="a7"/>
        <w:tblW w:w="8784" w:type="dxa"/>
        <w:tblLook w:val="04A0" w:firstRow="1" w:lastRow="0" w:firstColumn="1" w:lastColumn="0" w:noHBand="0" w:noVBand="1"/>
      </w:tblPr>
      <w:tblGrid>
        <w:gridCol w:w="846"/>
        <w:gridCol w:w="1417"/>
        <w:gridCol w:w="5670"/>
        <w:gridCol w:w="851"/>
      </w:tblGrid>
      <w:tr w:rsidR="00A765B6" w:rsidRPr="00541E13" w:rsidTr="009D0AA8">
        <w:tc>
          <w:tcPr>
            <w:tcW w:w="846" w:type="dxa"/>
            <w:vAlign w:val="center"/>
          </w:tcPr>
          <w:p w:rsidR="00D0263A" w:rsidRPr="00541E13" w:rsidRDefault="00A765B6" w:rsidP="009309E4">
            <w:pPr>
              <w:snapToGrid w:val="0"/>
              <w:spacing w:beforeLines="50" w:before="156"/>
              <w:contextualSpacing/>
              <w:jc w:val="center"/>
              <w:rPr>
                <w:rFonts w:ascii="仿宋" w:eastAsia="仿宋" w:hAnsi="仿宋" w:cs="Times New Roman"/>
                <w:b/>
                <w:sz w:val="24"/>
                <w:szCs w:val="28"/>
              </w:rPr>
            </w:pPr>
            <w:r w:rsidRPr="00541E13">
              <w:rPr>
                <w:rFonts w:ascii="仿宋" w:eastAsia="仿宋" w:hAnsi="仿宋" w:cs="Times New Roman" w:hint="eastAsia"/>
                <w:b/>
                <w:sz w:val="24"/>
                <w:szCs w:val="28"/>
              </w:rPr>
              <w:t>评分</w:t>
            </w:r>
          </w:p>
          <w:p w:rsidR="00A765B6" w:rsidRPr="00541E13" w:rsidRDefault="00A765B6" w:rsidP="009309E4">
            <w:pPr>
              <w:snapToGrid w:val="0"/>
              <w:spacing w:beforeLines="50" w:before="156"/>
              <w:contextualSpacing/>
              <w:jc w:val="center"/>
              <w:rPr>
                <w:rFonts w:ascii="仿宋" w:eastAsia="仿宋" w:hAnsi="仿宋" w:cs="Times New Roman"/>
                <w:b/>
                <w:sz w:val="24"/>
                <w:szCs w:val="28"/>
              </w:rPr>
            </w:pPr>
            <w:r w:rsidRPr="00541E13">
              <w:rPr>
                <w:rFonts w:ascii="仿宋" w:eastAsia="仿宋" w:hAnsi="仿宋" w:cs="Times New Roman" w:hint="eastAsia"/>
                <w:b/>
                <w:sz w:val="24"/>
                <w:szCs w:val="28"/>
              </w:rPr>
              <w:t>项目</w:t>
            </w:r>
          </w:p>
        </w:tc>
        <w:tc>
          <w:tcPr>
            <w:tcW w:w="1417" w:type="dxa"/>
            <w:vAlign w:val="center"/>
          </w:tcPr>
          <w:p w:rsidR="00A765B6" w:rsidRPr="00541E13" w:rsidRDefault="00A765B6" w:rsidP="009309E4">
            <w:pPr>
              <w:snapToGrid w:val="0"/>
              <w:spacing w:beforeLines="50" w:before="156"/>
              <w:contextualSpacing/>
              <w:jc w:val="center"/>
              <w:rPr>
                <w:rFonts w:ascii="仿宋" w:eastAsia="仿宋" w:hAnsi="仿宋" w:cs="Times New Roman"/>
                <w:b/>
                <w:sz w:val="24"/>
                <w:szCs w:val="28"/>
              </w:rPr>
            </w:pPr>
            <w:r w:rsidRPr="00541E13">
              <w:rPr>
                <w:rFonts w:ascii="仿宋" w:eastAsia="仿宋" w:hAnsi="仿宋" w:cs="Times New Roman" w:hint="eastAsia"/>
                <w:b/>
                <w:sz w:val="24"/>
                <w:szCs w:val="28"/>
              </w:rPr>
              <w:t>评分内容</w:t>
            </w:r>
          </w:p>
        </w:tc>
        <w:tc>
          <w:tcPr>
            <w:tcW w:w="5670" w:type="dxa"/>
            <w:vAlign w:val="center"/>
          </w:tcPr>
          <w:p w:rsidR="00A765B6" w:rsidRPr="00541E13" w:rsidRDefault="00A765B6" w:rsidP="009309E4">
            <w:pPr>
              <w:snapToGrid w:val="0"/>
              <w:spacing w:beforeLines="50" w:before="156"/>
              <w:contextualSpacing/>
              <w:jc w:val="center"/>
              <w:rPr>
                <w:rFonts w:ascii="仿宋" w:eastAsia="仿宋" w:hAnsi="仿宋" w:cs="Times New Roman"/>
                <w:b/>
                <w:sz w:val="24"/>
                <w:szCs w:val="28"/>
              </w:rPr>
            </w:pPr>
            <w:r w:rsidRPr="00541E13">
              <w:rPr>
                <w:rFonts w:ascii="仿宋" w:eastAsia="仿宋" w:hAnsi="仿宋" w:cs="Times New Roman" w:hint="eastAsia"/>
                <w:b/>
                <w:sz w:val="24"/>
                <w:szCs w:val="28"/>
              </w:rPr>
              <w:t>评标标准</w:t>
            </w:r>
          </w:p>
        </w:tc>
        <w:tc>
          <w:tcPr>
            <w:tcW w:w="851" w:type="dxa"/>
            <w:vAlign w:val="center"/>
          </w:tcPr>
          <w:p w:rsidR="00D0263A" w:rsidRPr="00541E13" w:rsidRDefault="00A765B6" w:rsidP="009309E4">
            <w:pPr>
              <w:snapToGrid w:val="0"/>
              <w:spacing w:beforeLines="50" w:before="156"/>
              <w:contextualSpacing/>
              <w:jc w:val="center"/>
              <w:rPr>
                <w:rFonts w:ascii="仿宋" w:eastAsia="仿宋" w:hAnsi="仿宋" w:cs="Times New Roman"/>
                <w:b/>
                <w:sz w:val="24"/>
                <w:szCs w:val="28"/>
              </w:rPr>
            </w:pPr>
            <w:r w:rsidRPr="00541E13">
              <w:rPr>
                <w:rFonts w:ascii="仿宋" w:eastAsia="仿宋" w:hAnsi="仿宋" w:cs="Times New Roman" w:hint="eastAsia"/>
                <w:b/>
                <w:sz w:val="24"/>
                <w:szCs w:val="28"/>
              </w:rPr>
              <w:t>权重</w:t>
            </w:r>
          </w:p>
          <w:p w:rsidR="00A765B6" w:rsidRPr="00541E13" w:rsidRDefault="00A765B6" w:rsidP="009309E4">
            <w:pPr>
              <w:snapToGrid w:val="0"/>
              <w:spacing w:beforeLines="50" w:before="156"/>
              <w:contextualSpacing/>
              <w:jc w:val="center"/>
              <w:rPr>
                <w:rFonts w:ascii="仿宋" w:eastAsia="仿宋" w:hAnsi="仿宋" w:cs="Times New Roman"/>
                <w:b/>
                <w:sz w:val="24"/>
                <w:szCs w:val="28"/>
              </w:rPr>
            </w:pPr>
            <w:r w:rsidRPr="00541E13">
              <w:rPr>
                <w:rFonts w:ascii="仿宋" w:eastAsia="仿宋" w:hAnsi="仿宋" w:cs="Times New Roman" w:hint="eastAsia"/>
                <w:b/>
                <w:sz w:val="24"/>
                <w:szCs w:val="28"/>
              </w:rPr>
              <w:t>分值</w:t>
            </w:r>
          </w:p>
        </w:tc>
      </w:tr>
      <w:tr w:rsidR="00A765B6" w:rsidRPr="00541E13" w:rsidTr="00BF2C0B">
        <w:trPr>
          <w:trHeight w:val="1258"/>
        </w:trPr>
        <w:tc>
          <w:tcPr>
            <w:tcW w:w="846" w:type="dxa"/>
            <w:vMerge w:val="restart"/>
            <w:vAlign w:val="center"/>
          </w:tcPr>
          <w:p w:rsidR="00A765B6" w:rsidRPr="00541E13" w:rsidRDefault="00A765B6"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商务部分（30分）</w:t>
            </w:r>
          </w:p>
        </w:tc>
        <w:tc>
          <w:tcPr>
            <w:tcW w:w="1417" w:type="dxa"/>
            <w:vMerge w:val="restart"/>
            <w:vAlign w:val="center"/>
          </w:tcPr>
          <w:p w:rsidR="00A765B6" w:rsidRPr="00541E13" w:rsidRDefault="00A765B6"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价格（30分）</w:t>
            </w:r>
          </w:p>
        </w:tc>
        <w:tc>
          <w:tcPr>
            <w:tcW w:w="5670" w:type="dxa"/>
            <w:vAlign w:val="center"/>
          </w:tcPr>
          <w:p w:rsidR="00A765B6" w:rsidRPr="00541E13" w:rsidRDefault="00A765B6"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t>满足招标文件要求且投标总价最低的有效投标的投标总价为评标基准价，其价格分为满分。其它有效合格投标的报价得分按照下列公式计算：</w:t>
            </w:r>
          </w:p>
        </w:tc>
        <w:tc>
          <w:tcPr>
            <w:tcW w:w="851" w:type="dxa"/>
            <w:vMerge w:val="restart"/>
            <w:vAlign w:val="center"/>
          </w:tcPr>
          <w:p w:rsidR="00A765B6" w:rsidRPr="00541E13" w:rsidRDefault="00A765B6"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30分</w:t>
            </w:r>
          </w:p>
        </w:tc>
      </w:tr>
      <w:tr w:rsidR="00A765B6" w:rsidRPr="00541E13" w:rsidTr="009D0AA8">
        <w:trPr>
          <w:trHeight w:val="465"/>
        </w:trPr>
        <w:tc>
          <w:tcPr>
            <w:tcW w:w="846" w:type="dxa"/>
            <w:vMerge/>
            <w:vAlign w:val="center"/>
          </w:tcPr>
          <w:p w:rsidR="00A765B6" w:rsidRPr="00541E13" w:rsidRDefault="00A765B6" w:rsidP="00541E13">
            <w:pPr>
              <w:snapToGrid w:val="0"/>
              <w:spacing w:beforeLines="50" w:before="156" w:line="360" w:lineRule="auto"/>
              <w:contextualSpacing/>
              <w:jc w:val="center"/>
              <w:rPr>
                <w:rFonts w:ascii="仿宋" w:eastAsia="仿宋" w:hAnsi="仿宋" w:cs="Times New Roman"/>
                <w:sz w:val="24"/>
                <w:szCs w:val="28"/>
              </w:rPr>
            </w:pPr>
          </w:p>
        </w:tc>
        <w:tc>
          <w:tcPr>
            <w:tcW w:w="1417" w:type="dxa"/>
            <w:vMerge/>
            <w:vAlign w:val="center"/>
          </w:tcPr>
          <w:p w:rsidR="00A765B6" w:rsidRPr="00541E13" w:rsidRDefault="00A765B6" w:rsidP="00541E13">
            <w:pPr>
              <w:snapToGrid w:val="0"/>
              <w:spacing w:beforeLines="50" w:before="156" w:line="360" w:lineRule="auto"/>
              <w:contextualSpacing/>
              <w:jc w:val="center"/>
              <w:rPr>
                <w:rFonts w:ascii="仿宋" w:eastAsia="仿宋" w:hAnsi="仿宋" w:cs="Times New Roman"/>
                <w:sz w:val="24"/>
                <w:szCs w:val="28"/>
              </w:rPr>
            </w:pPr>
          </w:p>
        </w:tc>
        <w:tc>
          <w:tcPr>
            <w:tcW w:w="5670" w:type="dxa"/>
            <w:vAlign w:val="center"/>
          </w:tcPr>
          <w:p w:rsidR="00A765B6" w:rsidRPr="00541E13" w:rsidRDefault="00A765B6"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t>投标报价得分=(评标基准价/投标总价)×10分</w:t>
            </w:r>
          </w:p>
        </w:tc>
        <w:tc>
          <w:tcPr>
            <w:tcW w:w="851" w:type="dxa"/>
            <w:vMerge/>
            <w:vAlign w:val="center"/>
          </w:tcPr>
          <w:p w:rsidR="00A765B6" w:rsidRPr="00541E13" w:rsidRDefault="00A765B6" w:rsidP="00541E13">
            <w:pPr>
              <w:snapToGrid w:val="0"/>
              <w:spacing w:beforeLines="50" w:before="156" w:line="360" w:lineRule="auto"/>
              <w:contextualSpacing/>
              <w:jc w:val="center"/>
              <w:rPr>
                <w:rFonts w:ascii="仿宋" w:eastAsia="仿宋" w:hAnsi="仿宋" w:cs="Times New Roman"/>
                <w:sz w:val="24"/>
                <w:szCs w:val="28"/>
              </w:rPr>
            </w:pPr>
          </w:p>
        </w:tc>
      </w:tr>
      <w:tr w:rsidR="0046612B" w:rsidRPr="00541E13" w:rsidTr="00936984">
        <w:trPr>
          <w:trHeight w:val="1189"/>
        </w:trPr>
        <w:tc>
          <w:tcPr>
            <w:tcW w:w="846" w:type="dxa"/>
            <w:vMerge w:val="restart"/>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技术部分（70分）</w:t>
            </w:r>
          </w:p>
        </w:tc>
        <w:tc>
          <w:tcPr>
            <w:tcW w:w="1417" w:type="dxa"/>
            <w:vAlign w:val="center"/>
          </w:tcPr>
          <w:p w:rsidR="0046612B" w:rsidRPr="00541E13" w:rsidRDefault="0046612B" w:rsidP="001709C2">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业绩及研发经验（20分）</w:t>
            </w:r>
          </w:p>
        </w:tc>
        <w:tc>
          <w:tcPr>
            <w:tcW w:w="5670" w:type="dxa"/>
            <w:vAlign w:val="center"/>
          </w:tcPr>
          <w:p w:rsidR="0046612B" w:rsidRPr="00541E13" w:rsidRDefault="0046612B" w:rsidP="00936984">
            <w:pPr>
              <w:snapToGrid w:val="0"/>
              <w:spacing w:beforeLines="50" w:before="156"/>
              <w:contextualSpacing/>
              <w:rPr>
                <w:rFonts w:ascii="仿宋" w:eastAsia="仿宋" w:hAnsi="仿宋" w:cs="Times New Roman"/>
                <w:sz w:val="24"/>
                <w:szCs w:val="28"/>
              </w:rPr>
            </w:pPr>
            <w:r w:rsidRPr="00541E13">
              <w:rPr>
                <w:rFonts w:ascii="仿宋" w:eastAsia="仿宋" w:hAnsi="仿宋" w:cs="Times New Roman" w:hint="eastAsia"/>
                <w:sz w:val="24"/>
                <w:szCs w:val="28"/>
              </w:rPr>
              <w:t>投标人具有签订医院端医保对账系统相关案例，每个得5分，满分20分。（需附合同关键页复印件或中标通知书复印件并加盖投标人公章。）</w:t>
            </w:r>
          </w:p>
        </w:tc>
        <w:tc>
          <w:tcPr>
            <w:tcW w:w="851" w:type="dxa"/>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sz w:val="24"/>
                <w:szCs w:val="28"/>
              </w:rPr>
              <w:t>20</w:t>
            </w:r>
            <w:r w:rsidRPr="00541E13">
              <w:rPr>
                <w:rFonts w:ascii="仿宋" w:eastAsia="仿宋" w:hAnsi="仿宋" w:cs="Times New Roman" w:hint="eastAsia"/>
                <w:sz w:val="24"/>
                <w:szCs w:val="28"/>
              </w:rPr>
              <w:t>分</w:t>
            </w:r>
          </w:p>
        </w:tc>
      </w:tr>
      <w:tr w:rsidR="0046612B" w:rsidRPr="00541E13" w:rsidTr="00040735">
        <w:trPr>
          <w:trHeight w:val="1159"/>
        </w:trPr>
        <w:tc>
          <w:tcPr>
            <w:tcW w:w="846" w:type="dxa"/>
            <w:vMerge/>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p>
        </w:tc>
        <w:tc>
          <w:tcPr>
            <w:tcW w:w="1417" w:type="dxa"/>
            <w:vAlign w:val="center"/>
          </w:tcPr>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技术参数</w:t>
            </w:r>
          </w:p>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（20分）</w:t>
            </w:r>
          </w:p>
        </w:tc>
        <w:tc>
          <w:tcPr>
            <w:tcW w:w="5670" w:type="dxa"/>
            <w:vAlign w:val="center"/>
          </w:tcPr>
          <w:p w:rsidR="0046612B" w:rsidRPr="00541E13" w:rsidRDefault="0046612B"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t>1、满足所有软件功能得基础分20分；</w:t>
            </w:r>
          </w:p>
          <w:p w:rsidR="0046612B" w:rsidRPr="00541E13" w:rsidRDefault="00040735" w:rsidP="00936984">
            <w:pPr>
              <w:snapToGrid w:val="0"/>
              <w:spacing w:beforeLines="50" w:before="156"/>
              <w:contextualSpacing/>
              <w:jc w:val="left"/>
              <w:rPr>
                <w:rFonts w:ascii="仿宋" w:eastAsia="仿宋" w:hAnsi="仿宋" w:cs="Times New Roman"/>
                <w:sz w:val="24"/>
                <w:szCs w:val="28"/>
              </w:rPr>
            </w:pPr>
            <w:r>
              <w:rPr>
                <w:rFonts w:ascii="仿宋" w:eastAsia="仿宋" w:hAnsi="仿宋" w:cs="Times New Roman"/>
                <w:sz w:val="24"/>
                <w:szCs w:val="28"/>
              </w:rPr>
              <w:t>2</w:t>
            </w:r>
            <w:r w:rsidR="0046612B" w:rsidRPr="00541E13">
              <w:rPr>
                <w:rFonts w:ascii="仿宋" w:eastAsia="仿宋" w:hAnsi="仿宋" w:cs="Times New Roman" w:hint="eastAsia"/>
                <w:sz w:val="24"/>
                <w:szCs w:val="28"/>
              </w:rPr>
              <w:t>、软件功能每有1项不满足招标要求的，扣2分，最多扣20分。</w:t>
            </w:r>
          </w:p>
        </w:tc>
        <w:tc>
          <w:tcPr>
            <w:tcW w:w="851" w:type="dxa"/>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20分</w:t>
            </w:r>
          </w:p>
        </w:tc>
      </w:tr>
      <w:tr w:rsidR="0046612B" w:rsidRPr="00541E13" w:rsidTr="00040735">
        <w:trPr>
          <w:trHeight w:val="835"/>
        </w:trPr>
        <w:tc>
          <w:tcPr>
            <w:tcW w:w="846" w:type="dxa"/>
            <w:vMerge/>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p>
        </w:tc>
        <w:tc>
          <w:tcPr>
            <w:tcW w:w="1417" w:type="dxa"/>
            <w:vAlign w:val="center"/>
          </w:tcPr>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项目实施方案（10</w:t>
            </w:r>
            <w:r w:rsidRPr="00541E13">
              <w:rPr>
                <w:rFonts w:ascii="仿宋" w:eastAsia="仿宋" w:hAnsi="仿宋" w:cs="Times New Roman" w:hint="eastAsia"/>
                <w:sz w:val="24"/>
                <w:szCs w:val="28"/>
              </w:rPr>
              <w:lastRenderedPageBreak/>
              <w:t>分）</w:t>
            </w:r>
          </w:p>
        </w:tc>
        <w:tc>
          <w:tcPr>
            <w:tcW w:w="5670" w:type="dxa"/>
            <w:vAlign w:val="center"/>
          </w:tcPr>
          <w:p w:rsidR="0046612B" w:rsidRPr="00541E13" w:rsidRDefault="0046612B"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lastRenderedPageBreak/>
              <w:t>提出较完善风险控制、应急处理预案。并提出服务实施主要风险和降低风险措施和策略，以及项目实</w:t>
            </w:r>
            <w:r w:rsidRPr="00541E13">
              <w:rPr>
                <w:rFonts w:ascii="仿宋" w:eastAsia="仿宋" w:hAnsi="仿宋" w:cs="Times New Roman" w:hint="eastAsia"/>
                <w:sz w:val="24"/>
                <w:szCs w:val="28"/>
              </w:rPr>
              <w:lastRenderedPageBreak/>
              <w:t>施周期、计划方案。提供方案内容全面、完整得10分，部分响应得5分，未提供响应内容，不得分</w:t>
            </w:r>
          </w:p>
        </w:tc>
        <w:tc>
          <w:tcPr>
            <w:tcW w:w="851" w:type="dxa"/>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lastRenderedPageBreak/>
              <w:t>10分</w:t>
            </w:r>
          </w:p>
        </w:tc>
      </w:tr>
      <w:tr w:rsidR="0046612B" w:rsidRPr="00541E13" w:rsidTr="00936984">
        <w:trPr>
          <w:trHeight w:val="1845"/>
        </w:trPr>
        <w:tc>
          <w:tcPr>
            <w:tcW w:w="846" w:type="dxa"/>
            <w:vMerge/>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p>
        </w:tc>
        <w:tc>
          <w:tcPr>
            <w:tcW w:w="1417" w:type="dxa"/>
            <w:vAlign w:val="center"/>
          </w:tcPr>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项目管理方案（6分）</w:t>
            </w:r>
          </w:p>
        </w:tc>
        <w:tc>
          <w:tcPr>
            <w:tcW w:w="5670" w:type="dxa"/>
            <w:vAlign w:val="center"/>
          </w:tcPr>
          <w:p w:rsidR="0046612B" w:rsidRPr="00541E13" w:rsidRDefault="0046612B"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t>根据供应商对本项目建设内容，结合实际情况编制项目沟通管理、项目文档管理、项目质量管理、验收管理以及项目风险管理方案。提供方案内容全面、完整得6分，部分响应得3分，未提供响应内容，不得分</w:t>
            </w:r>
          </w:p>
        </w:tc>
        <w:tc>
          <w:tcPr>
            <w:tcW w:w="851" w:type="dxa"/>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6分</w:t>
            </w:r>
          </w:p>
        </w:tc>
      </w:tr>
      <w:tr w:rsidR="0046612B" w:rsidRPr="00541E13" w:rsidTr="00936984">
        <w:trPr>
          <w:trHeight w:val="1558"/>
        </w:trPr>
        <w:tc>
          <w:tcPr>
            <w:tcW w:w="846" w:type="dxa"/>
            <w:vMerge/>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p>
        </w:tc>
        <w:tc>
          <w:tcPr>
            <w:tcW w:w="1417" w:type="dxa"/>
            <w:vAlign w:val="center"/>
          </w:tcPr>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售后服务方案（8分）</w:t>
            </w:r>
          </w:p>
        </w:tc>
        <w:tc>
          <w:tcPr>
            <w:tcW w:w="5670" w:type="dxa"/>
            <w:vAlign w:val="center"/>
          </w:tcPr>
          <w:p w:rsidR="0046612B" w:rsidRPr="00541E13" w:rsidRDefault="0046612B"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t>售后服务方案：投标人提供包含售后服务流程、售后服务内容、响应时间、人员安排等方面的售后服务保障措施。优秀得8分，一般的得4分，不阐述的不得分。</w:t>
            </w:r>
          </w:p>
        </w:tc>
        <w:tc>
          <w:tcPr>
            <w:tcW w:w="851" w:type="dxa"/>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8分</w:t>
            </w:r>
          </w:p>
        </w:tc>
      </w:tr>
      <w:tr w:rsidR="0046612B" w:rsidRPr="00541E13" w:rsidTr="00936984">
        <w:trPr>
          <w:trHeight w:val="2105"/>
        </w:trPr>
        <w:tc>
          <w:tcPr>
            <w:tcW w:w="846" w:type="dxa"/>
            <w:vMerge/>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p>
        </w:tc>
        <w:tc>
          <w:tcPr>
            <w:tcW w:w="1417" w:type="dxa"/>
            <w:vAlign w:val="center"/>
          </w:tcPr>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培训方案</w:t>
            </w:r>
          </w:p>
          <w:p w:rsidR="0046612B" w:rsidRPr="00541E13" w:rsidRDefault="0046612B" w:rsidP="00936984">
            <w:pPr>
              <w:snapToGrid w:val="0"/>
              <w:spacing w:beforeLines="50" w:before="156"/>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（6分）</w:t>
            </w:r>
          </w:p>
        </w:tc>
        <w:tc>
          <w:tcPr>
            <w:tcW w:w="5670" w:type="dxa"/>
            <w:vAlign w:val="center"/>
          </w:tcPr>
          <w:p w:rsidR="0046612B" w:rsidRPr="00541E13" w:rsidRDefault="0046612B" w:rsidP="00936984">
            <w:pPr>
              <w:snapToGrid w:val="0"/>
              <w:spacing w:beforeLines="50" w:before="156"/>
              <w:contextualSpacing/>
              <w:jc w:val="left"/>
              <w:rPr>
                <w:rFonts w:ascii="仿宋" w:eastAsia="仿宋" w:hAnsi="仿宋" w:cs="Times New Roman"/>
                <w:sz w:val="24"/>
                <w:szCs w:val="28"/>
              </w:rPr>
            </w:pPr>
            <w:r w:rsidRPr="00541E13">
              <w:rPr>
                <w:rFonts w:ascii="仿宋" w:eastAsia="仿宋" w:hAnsi="仿宋" w:cs="Times New Roman" w:hint="eastAsia"/>
                <w:sz w:val="24"/>
                <w:szCs w:val="28"/>
              </w:rPr>
              <w:t>根据投标人提供的培训方案进行评审，内容应包括：培训目标、培训内容、培训规划、培训服务流程、培训服务保障措施等，培训方案对采购文件所提培训需求能逐条响应。提供方案内容全面、完整得6分，部分响应得3分，未提供响应内容，不得分。</w:t>
            </w:r>
          </w:p>
        </w:tc>
        <w:tc>
          <w:tcPr>
            <w:tcW w:w="851" w:type="dxa"/>
            <w:vAlign w:val="center"/>
          </w:tcPr>
          <w:p w:rsidR="0046612B" w:rsidRPr="00541E13" w:rsidRDefault="0046612B" w:rsidP="00541E13">
            <w:pPr>
              <w:snapToGrid w:val="0"/>
              <w:spacing w:beforeLines="50" w:before="156" w:line="360" w:lineRule="auto"/>
              <w:contextualSpacing/>
              <w:jc w:val="center"/>
              <w:rPr>
                <w:rFonts w:ascii="仿宋" w:eastAsia="仿宋" w:hAnsi="仿宋" w:cs="Times New Roman"/>
                <w:sz w:val="24"/>
                <w:szCs w:val="28"/>
              </w:rPr>
            </w:pPr>
            <w:r w:rsidRPr="00541E13">
              <w:rPr>
                <w:rFonts w:ascii="仿宋" w:eastAsia="仿宋" w:hAnsi="仿宋" w:cs="Times New Roman" w:hint="eastAsia"/>
                <w:sz w:val="24"/>
                <w:szCs w:val="28"/>
              </w:rPr>
              <w:t>6分</w:t>
            </w:r>
          </w:p>
        </w:tc>
      </w:tr>
    </w:tbl>
    <w:p w:rsidR="00A765B6" w:rsidRPr="0046612B" w:rsidRDefault="00A765B6" w:rsidP="00A765B6">
      <w:pPr>
        <w:snapToGrid w:val="0"/>
        <w:spacing w:beforeLines="50" w:before="156" w:line="360" w:lineRule="auto"/>
        <w:contextualSpacing/>
        <w:jc w:val="left"/>
        <w:rPr>
          <w:rFonts w:ascii="仿宋" w:eastAsia="仿宋" w:hAnsi="仿宋" w:cs="Times New Roman"/>
          <w:sz w:val="28"/>
          <w:szCs w:val="28"/>
        </w:rPr>
      </w:pPr>
    </w:p>
    <w:sectPr w:rsidR="00A765B6" w:rsidRPr="0046612B" w:rsidSect="00DA75A3">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D3" w:rsidRDefault="000031D3" w:rsidP="00B13A43">
      <w:r>
        <w:separator/>
      </w:r>
    </w:p>
  </w:endnote>
  <w:endnote w:type="continuationSeparator" w:id="0">
    <w:p w:rsidR="000031D3" w:rsidRDefault="000031D3" w:rsidP="00B1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D3" w:rsidRDefault="000031D3" w:rsidP="00B13A43">
      <w:r>
        <w:separator/>
      </w:r>
    </w:p>
  </w:footnote>
  <w:footnote w:type="continuationSeparator" w:id="0">
    <w:p w:rsidR="000031D3" w:rsidRDefault="000031D3" w:rsidP="00B13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3771"/>
    <w:multiLevelType w:val="multilevel"/>
    <w:tmpl w:val="245A3771"/>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DC"/>
    <w:rsid w:val="000031D3"/>
    <w:rsid w:val="00022DEC"/>
    <w:rsid w:val="00035492"/>
    <w:rsid w:val="00040735"/>
    <w:rsid w:val="000F5CDC"/>
    <w:rsid w:val="00117AB6"/>
    <w:rsid w:val="00140EA9"/>
    <w:rsid w:val="001508AC"/>
    <w:rsid w:val="001709C2"/>
    <w:rsid w:val="002B451E"/>
    <w:rsid w:val="0034068E"/>
    <w:rsid w:val="00354086"/>
    <w:rsid w:val="00371514"/>
    <w:rsid w:val="003D5088"/>
    <w:rsid w:val="00406795"/>
    <w:rsid w:val="0046612B"/>
    <w:rsid w:val="00491984"/>
    <w:rsid w:val="004E33AE"/>
    <w:rsid w:val="00522227"/>
    <w:rsid w:val="00541E13"/>
    <w:rsid w:val="00556A3D"/>
    <w:rsid w:val="005E158D"/>
    <w:rsid w:val="00605338"/>
    <w:rsid w:val="00664F08"/>
    <w:rsid w:val="006D5F46"/>
    <w:rsid w:val="00715CD1"/>
    <w:rsid w:val="00726D78"/>
    <w:rsid w:val="00745B63"/>
    <w:rsid w:val="007965D7"/>
    <w:rsid w:val="009309E4"/>
    <w:rsid w:val="00936984"/>
    <w:rsid w:val="00956EB6"/>
    <w:rsid w:val="00981EEB"/>
    <w:rsid w:val="009A54FD"/>
    <w:rsid w:val="009B28E4"/>
    <w:rsid w:val="009B5CDF"/>
    <w:rsid w:val="009D0AA8"/>
    <w:rsid w:val="009F4EE1"/>
    <w:rsid w:val="00A420D6"/>
    <w:rsid w:val="00A45249"/>
    <w:rsid w:val="00A765B6"/>
    <w:rsid w:val="00B04064"/>
    <w:rsid w:val="00B04CBD"/>
    <w:rsid w:val="00B13A43"/>
    <w:rsid w:val="00BF2C0B"/>
    <w:rsid w:val="00C81CC3"/>
    <w:rsid w:val="00C85FEB"/>
    <w:rsid w:val="00CB1FF4"/>
    <w:rsid w:val="00CF5654"/>
    <w:rsid w:val="00D0263A"/>
    <w:rsid w:val="00D92AAE"/>
    <w:rsid w:val="00DA75A3"/>
    <w:rsid w:val="00DD4276"/>
    <w:rsid w:val="00E07A7E"/>
    <w:rsid w:val="00E20023"/>
    <w:rsid w:val="00E225F5"/>
    <w:rsid w:val="00F5063F"/>
    <w:rsid w:val="00F64532"/>
    <w:rsid w:val="00F6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85CB2"/>
  <w15:chartTrackingRefBased/>
  <w15:docId w15:val="{2E6E75FB-FD79-443D-9DA9-1A7DEDE7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A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3A43"/>
    <w:rPr>
      <w:sz w:val="18"/>
      <w:szCs w:val="18"/>
    </w:rPr>
  </w:style>
  <w:style w:type="paragraph" w:styleId="a5">
    <w:name w:val="footer"/>
    <w:basedOn w:val="a"/>
    <w:link w:val="a6"/>
    <w:uiPriority w:val="99"/>
    <w:unhideWhenUsed/>
    <w:rsid w:val="00B13A43"/>
    <w:pPr>
      <w:tabs>
        <w:tab w:val="center" w:pos="4153"/>
        <w:tab w:val="right" w:pos="8306"/>
      </w:tabs>
      <w:snapToGrid w:val="0"/>
      <w:jc w:val="left"/>
    </w:pPr>
    <w:rPr>
      <w:sz w:val="18"/>
      <w:szCs w:val="18"/>
    </w:rPr>
  </w:style>
  <w:style w:type="character" w:customStyle="1" w:styleId="a6">
    <w:name w:val="页脚 字符"/>
    <w:basedOn w:val="a0"/>
    <w:link w:val="a5"/>
    <w:uiPriority w:val="99"/>
    <w:rsid w:val="00B13A43"/>
    <w:rPr>
      <w:sz w:val="18"/>
      <w:szCs w:val="18"/>
    </w:rPr>
  </w:style>
  <w:style w:type="table" w:styleId="a7">
    <w:name w:val="Table Grid"/>
    <w:basedOn w:val="a1"/>
    <w:uiPriority w:val="39"/>
    <w:rsid w:val="00A7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407</Words>
  <Characters>2326</Characters>
  <Application>Microsoft Office Word</Application>
  <DocSecurity>0</DocSecurity>
  <Lines>19</Lines>
  <Paragraphs>5</Paragraphs>
  <ScaleCrop>false</ScaleCrop>
  <Company>HP Inc.</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2024-02-21T02:05:00Z</dcterms:created>
  <dcterms:modified xsi:type="dcterms:W3CDTF">2024-02-22T01:07:00Z</dcterms:modified>
</cp:coreProperties>
</file>