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jc w:val="center"/>
        <w:rPr>
          <w:rFonts w:ascii="宋体"/>
          <w:b/>
          <w:bCs/>
          <w:sz w:val="44"/>
          <w:szCs w:val="44"/>
        </w:rPr>
      </w:pPr>
    </w:p>
    <w:p>
      <w:pPr>
        <w:ind w:firstLine="522" w:firstLineChars="100"/>
        <w:rPr>
          <w:color w:val="auto"/>
        </w:rPr>
      </w:pPr>
      <w:r>
        <w:rPr>
          <w:rFonts w:hint="eastAsia" w:ascii="宋体" w:hAnsi="宋体" w:cs="宋体"/>
          <w:b/>
          <w:bCs/>
          <w:color w:val="auto"/>
          <w:sz w:val="52"/>
          <w:szCs w:val="52"/>
          <w:lang w:eastAsia="zh-CN"/>
        </w:rPr>
        <w:t>南通市妇幼保健院医用气体采购项目</w:t>
      </w:r>
    </w:p>
    <w:p>
      <w:pPr>
        <w:pStyle w:val="52"/>
        <w:rPr>
          <w:color w:val="auto"/>
        </w:rPr>
      </w:pPr>
    </w:p>
    <w:p>
      <w:pPr>
        <w:rPr>
          <w:color w:val="auto"/>
        </w:rPr>
      </w:pPr>
    </w:p>
    <w:p>
      <w:pPr>
        <w:rPr>
          <w:color w:val="auto"/>
        </w:rPr>
      </w:pPr>
    </w:p>
    <w:p>
      <w:pPr>
        <w:rPr>
          <w:color w:val="auto"/>
        </w:rPr>
      </w:pPr>
    </w:p>
    <w:p>
      <w:pPr>
        <w:pStyle w:val="52"/>
        <w:rPr>
          <w:color w:val="auto"/>
        </w:rPr>
      </w:pPr>
    </w:p>
    <w:p>
      <w:pPr>
        <w:pStyle w:val="41"/>
        <w:rPr>
          <w:color w:val="auto"/>
        </w:rPr>
      </w:pPr>
    </w:p>
    <w:p>
      <w:pPr>
        <w:pStyle w:val="41"/>
        <w:rPr>
          <w:color w:val="auto"/>
        </w:rPr>
      </w:pPr>
    </w:p>
    <w:p>
      <w:pPr>
        <w:pStyle w:val="41"/>
        <w:rPr>
          <w:color w:val="auto"/>
        </w:rPr>
      </w:pPr>
    </w:p>
    <w:p>
      <w:pPr>
        <w:pStyle w:val="41"/>
        <w:rPr>
          <w:color w:val="auto"/>
        </w:rPr>
      </w:pPr>
    </w:p>
    <w:p>
      <w:pPr>
        <w:pStyle w:val="41"/>
        <w:rPr>
          <w:color w:val="auto"/>
        </w:rPr>
      </w:pPr>
    </w:p>
    <w:p>
      <w:pPr>
        <w:tabs>
          <w:tab w:val="left" w:pos="6300"/>
        </w:tabs>
        <w:snapToGrid w:val="0"/>
        <w:spacing w:line="300" w:lineRule="auto"/>
        <w:jc w:val="center"/>
        <w:rPr>
          <w:rFonts w:ascii="宋体"/>
          <w:b/>
          <w:bCs/>
          <w:color w:val="auto"/>
          <w:w w:val="80"/>
          <w:sz w:val="96"/>
          <w:szCs w:val="96"/>
        </w:rPr>
      </w:pPr>
      <w:r>
        <w:rPr>
          <w:rFonts w:hint="eastAsia" w:ascii="宋体" w:hAnsi="宋体" w:cs="宋体"/>
          <w:b/>
          <w:bCs/>
          <w:color w:val="auto"/>
          <w:w w:val="80"/>
          <w:sz w:val="96"/>
          <w:szCs w:val="96"/>
        </w:rPr>
        <w:t>竞争性磋商文件</w:t>
      </w:r>
    </w:p>
    <w:p>
      <w:pPr>
        <w:jc w:val="center"/>
        <w:rPr>
          <w:rFonts w:ascii="宋体"/>
          <w:b/>
          <w:bCs/>
          <w:color w:val="auto"/>
          <w:sz w:val="44"/>
          <w:szCs w:val="44"/>
        </w:rPr>
      </w:pPr>
    </w:p>
    <w:p>
      <w:pPr>
        <w:pStyle w:val="52"/>
        <w:rPr>
          <w:color w:val="auto"/>
        </w:rPr>
      </w:pPr>
    </w:p>
    <w:p>
      <w:pPr>
        <w:pStyle w:val="2"/>
        <w:rPr>
          <w:color w:val="auto"/>
        </w:rPr>
      </w:pPr>
    </w:p>
    <w:p>
      <w:pPr>
        <w:rPr>
          <w:color w:val="auto"/>
        </w:rPr>
      </w:pPr>
    </w:p>
    <w:p>
      <w:pPr>
        <w:snapToGrid w:val="0"/>
        <w:spacing w:line="360" w:lineRule="auto"/>
        <w:jc w:val="center"/>
        <w:rPr>
          <w:color w:val="auto"/>
          <w:sz w:val="32"/>
          <w:szCs w:val="32"/>
        </w:rPr>
      </w:pPr>
    </w:p>
    <w:p>
      <w:pPr>
        <w:spacing w:line="360" w:lineRule="auto"/>
        <w:jc w:val="center"/>
        <w:rPr>
          <w:rFonts w:ascii="宋体"/>
          <w:b/>
          <w:bCs/>
          <w:color w:val="auto"/>
          <w:sz w:val="44"/>
          <w:szCs w:val="44"/>
        </w:rPr>
      </w:pPr>
    </w:p>
    <w:p>
      <w:pPr>
        <w:pStyle w:val="52"/>
        <w:ind w:firstLine="0" w:firstLineChars="0"/>
        <w:rPr>
          <w:color w:val="auto"/>
        </w:rPr>
      </w:pPr>
    </w:p>
    <w:p>
      <w:pPr>
        <w:pStyle w:val="52"/>
        <w:ind w:firstLine="0" w:firstLineChars="0"/>
        <w:rPr>
          <w:color w:val="auto"/>
        </w:rPr>
      </w:pPr>
    </w:p>
    <w:p>
      <w:pPr>
        <w:pStyle w:val="52"/>
        <w:ind w:firstLine="0" w:firstLineChars="0"/>
        <w:rPr>
          <w:color w:val="auto"/>
        </w:rPr>
      </w:pPr>
    </w:p>
    <w:p>
      <w:pPr>
        <w:pStyle w:val="52"/>
        <w:ind w:firstLine="0" w:firstLineChars="0"/>
        <w:rPr>
          <w:color w:val="auto"/>
        </w:rPr>
      </w:pPr>
    </w:p>
    <w:p>
      <w:pPr>
        <w:pStyle w:val="52"/>
        <w:rPr>
          <w:color w:val="auto"/>
        </w:rPr>
      </w:pPr>
    </w:p>
    <w:p>
      <w:pPr>
        <w:adjustRightInd w:val="0"/>
        <w:snapToGrid w:val="0"/>
        <w:spacing w:line="360" w:lineRule="auto"/>
        <w:ind w:firstLine="1807" w:firstLineChars="600"/>
        <w:jc w:val="left"/>
        <w:rPr>
          <w:rFonts w:ascii="宋体" w:hAnsi="宋体" w:cs="宋体"/>
          <w:b/>
          <w:bCs/>
          <w:color w:val="auto"/>
          <w:sz w:val="30"/>
          <w:szCs w:val="30"/>
        </w:rPr>
      </w:pPr>
      <w:bookmarkStart w:id="0" w:name="_Toc12670502"/>
      <w:bookmarkStart w:id="1" w:name="_Toc94544743"/>
      <w:bookmarkStart w:id="2" w:name="_Toc11500279"/>
      <w:bookmarkStart w:id="3" w:name="_Toc521201596"/>
      <w:bookmarkStart w:id="4" w:name="_Toc11499583"/>
      <w:bookmarkStart w:id="5" w:name="_Toc521203417"/>
      <w:bookmarkStart w:id="6" w:name="_Toc94544827"/>
      <w:bookmarkStart w:id="7" w:name="_Toc8895738"/>
      <w:bookmarkStart w:id="8" w:name="_Toc94585339"/>
      <w:bookmarkStart w:id="9" w:name="_Toc11554638"/>
      <w:r>
        <w:rPr>
          <w:rFonts w:hint="eastAsia" w:ascii="宋体" w:hAnsi="宋体" w:cs="宋体"/>
          <w:b/>
          <w:bCs/>
          <w:color w:val="auto"/>
          <w:sz w:val="30"/>
          <w:szCs w:val="30"/>
        </w:rPr>
        <w:t>采购单位：南通市妇幼保健院</w:t>
      </w:r>
    </w:p>
    <w:p>
      <w:pPr>
        <w:adjustRightInd w:val="0"/>
        <w:snapToGrid w:val="0"/>
        <w:spacing w:line="360" w:lineRule="auto"/>
        <w:ind w:firstLine="1807" w:firstLineChars="600"/>
        <w:jc w:val="left"/>
        <w:rPr>
          <w:rFonts w:hint="eastAsia" w:ascii="宋体" w:hAnsi="宋体" w:cs="宋体"/>
          <w:b/>
          <w:bCs/>
          <w:color w:val="auto"/>
          <w:sz w:val="30"/>
          <w:szCs w:val="30"/>
        </w:rPr>
      </w:pPr>
      <w:r>
        <w:rPr>
          <w:rFonts w:hint="eastAsia" w:ascii="宋体" w:hAnsi="宋体" w:cs="宋体"/>
          <w:b/>
          <w:bCs/>
          <w:color w:val="auto"/>
          <w:sz w:val="30"/>
          <w:szCs w:val="30"/>
        </w:rPr>
        <w:t>代理机构：中证房地产评估造价集团有限公司</w:t>
      </w:r>
    </w:p>
    <w:p>
      <w:pPr>
        <w:adjustRightInd w:val="0"/>
        <w:snapToGrid w:val="0"/>
        <w:spacing w:line="360" w:lineRule="auto"/>
        <w:ind w:firstLine="1807" w:firstLineChars="600"/>
        <w:jc w:val="left"/>
        <w:rPr>
          <w:rFonts w:ascii="宋体" w:hAnsi="宋体" w:cs="宋体"/>
          <w:b/>
          <w:bCs/>
          <w:color w:val="auto"/>
          <w:w w:val="80"/>
          <w:sz w:val="52"/>
          <w:szCs w:val="52"/>
        </w:rPr>
      </w:pPr>
      <w:r>
        <w:rPr>
          <w:rFonts w:hint="eastAsia" w:ascii="宋体" w:hAnsi="宋体" w:cs="宋体"/>
          <w:b/>
          <w:bCs/>
          <w:color w:val="auto"/>
          <w:sz w:val="30"/>
          <w:szCs w:val="30"/>
          <w:lang w:eastAsia="zh-CN"/>
        </w:rPr>
        <w:t>日</w:t>
      </w:r>
      <w:r>
        <w:rPr>
          <w:rFonts w:hint="eastAsia" w:ascii="宋体" w:hAnsi="宋体" w:cs="宋体"/>
          <w:b/>
          <w:bCs/>
          <w:color w:val="auto"/>
          <w:sz w:val="30"/>
          <w:szCs w:val="30"/>
          <w:lang w:val="en-US" w:eastAsia="zh-CN"/>
        </w:rPr>
        <w:t xml:space="preserve">    </w:t>
      </w:r>
      <w:r>
        <w:rPr>
          <w:rFonts w:hint="eastAsia" w:ascii="宋体" w:hAnsi="宋体" w:cs="宋体"/>
          <w:b/>
          <w:bCs/>
          <w:color w:val="auto"/>
          <w:sz w:val="30"/>
          <w:szCs w:val="30"/>
          <w:lang w:eastAsia="zh-CN"/>
        </w:rPr>
        <w:t>期：</w:t>
      </w:r>
      <w:r>
        <w:rPr>
          <w:rFonts w:hint="eastAsia" w:ascii="宋体" w:hAnsi="宋体" w:cs="宋体"/>
          <w:b/>
          <w:bCs/>
          <w:color w:val="auto"/>
          <w:sz w:val="30"/>
          <w:szCs w:val="30"/>
        </w:rPr>
        <w:t>二〇</w:t>
      </w:r>
      <w:r>
        <w:rPr>
          <w:rFonts w:hint="eastAsia" w:ascii="宋体" w:hAnsi="宋体" w:cs="宋体"/>
          <w:b/>
          <w:bCs/>
          <w:color w:val="auto"/>
          <w:sz w:val="30"/>
          <w:szCs w:val="30"/>
          <w:lang w:eastAsia="zh-CN"/>
        </w:rPr>
        <w:t>二四</w:t>
      </w:r>
      <w:r>
        <w:rPr>
          <w:rFonts w:hint="eastAsia" w:ascii="宋体" w:hAnsi="宋体" w:cs="宋体"/>
          <w:b/>
          <w:bCs/>
          <w:color w:val="auto"/>
          <w:sz w:val="30"/>
          <w:szCs w:val="30"/>
        </w:rPr>
        <w:t>年</w:t>
      </w:r>
      <w:r>
        <w:rPr>
          <w:rFonts w:hint="eastAsia" w:ascii="宋体" w:hAnsi="宋体" w:cs="宋体"/>
          <w:b/>
          <w:bCs/>
          <w:color w:val="auto"/>
          <w:sz w:val="30"/>
          <w:szCs w:val="30"/>
          <w:lang w:eastAsia="zh-CN"/>
        </w:rPr>
        <w:t>一月十二</w:t>
      </w:r>
      <w:r>
        <w:rPr>
          <w:rFonts w:hint="eastAsia" w:ascii="宋体" w:hAnsi="宋体" w:cs="宋体"/>
          <w:b/>
          <w:bCs/>
          <w:color w:val="auto"/>
          <w:sz w:val="30"/>
          <w:szCs w:val="30"/>
          <w:lang w:val="en-US" w:eastAsia="zh-CN"/>
        </w:rPr>
        <w:t>日</w:t>
      </w:r>
      <w:r>
        <w:rPr>
          <w:rFonts w:ascii="宋体"/>
          <w:b/>
          <w:bCs/>
          <w:color w:val="auto"/>
          <w:sz w:val="44"/>
          <w:szCs w:val="44"/>
        </w:rPr>
        <w:br w:type="page"/>
      </w:r>
    </w:p>
    <w:p>
      <w:pPr>
        <w:adjustRightInd w:val="0"/>
        <w:snapToGrid w:val="0"/>
        <w:spacing w:line="360" w:lineRule="auto"/>
        <w:jc w:val="center"/>
        <w:rPr>
          <w:rFonts w:ascii="宋体"/>
          <w:b/>
          <w:bCs/>
          <w:i/>
          <w:iCs/>
          <w:color w:val="auto"/>
          <w:w w:val="80"/>
          <w:sz w:val="52"/>
          <w:szCs w:val="52"/>
        </w:rPr>
      </w:pPr>
      <w:r>
        <w:rPr>
          <w:rFonts w:hint="eastAsia" w:ascii="宋体" w:hAnsi="宋体" w:cs="宋体"/>
          <w:b/>
          <w:bCs/>
          <w:color w:val="auto"/>
          <w:w w:val="80"/>
          <w:sz w:val="52"/>
          <w:szCs w:val="52"/>
        </w:rPr>
        <w:t>目 录</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第一章竞争性磋商公告</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第二章磋商供应商须知</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第三章项目需求</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第四章评审方法和程序</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第五章合同主要条款</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第六章合同授予</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第七章质疑提出和处理</w:t>
      </w:r>
    </w:p>
    <w:p>
      <w:pPr>
        <w:pStyle w:val="34"/>
        <w:tabs>
          <w:tab w:val="right" w:leader="dot" w:pos="9528"/>
          <w:tab w:val="clear" w:pos="840"/>
          <w:tab w:val="clear" w:pos="9402"/>
        </w:tabs>
        <w:snapToGrid/>
        <w:spacing w:line="1200" w:lineRule="exact"/>
        <w:textAlignment w:val="baseline"/>
        <w:rPr>
          <w:rFonts w:ascii="宋体" w:cs="Times New Roman"/>
          <w:caps w:val="0"/>
          <w:color w:val="auto"/>
          <w:w w:val="100"/>
          <w:sz w:val="32"/>
          <w:szCs w:val="32"/>
        </w:rPr>
      </w:pPr>
      <w:r>
        <w:rPr>
          <w:rFonts w:hint="eastAsia" w:ascii="宋体" w:cs="宋体"/>
          <w:caps w:val="0"/>
          <w:color w:val="auto"/>
          <w:w w:val="100"/>
          <w:sz w:val="32"/>
          <w:szCs w:val="32"/>
        </w:rPr>
        <w:t>第八章响应文件组成及格式</w:t>
      </w:r>
    </w:p>
    <w:p>
      <w:pPr>
        <w:rPr>
          <w:rFonts w:ascii="宋体"/>
          <w:color w:val="auto"/>
          <w:sz w:val="36"/>
          <w:szCs w:val="36"/>
        </w:rPr>
      </w:pPr>
    </w:p>
    <w:p>
      <w:pPr>
        <w:rPr>
          <w:rFonts w:ascii="宋体"/>
          <w:color w:val="auto"/>
          <w:sz w:val="36"/>
          <w:szCs w:val="36"/>
        </w:rPr>
      </w:pPr>
    </w:p>
    <w:p>
      <w:pPr>
        <w:snapToGrid w:val="0"/>
        <w:spacing w:line="360" w:lineRule="auto"/>
        <w:rPr>
          <w:rFonts w:ascii="宋体"/>
          <w:b/>
          <w:bCs/>
          <w:color w:val="auto"/>
          <w:sz w:val="24"/>
          <w:szCs w:val="24"/>
        </w:rPr>
      </w:pPr>
      <w:r>
        <w:rPr>
          <w:rFonts w:ascii="宋体"/>
          <w:b/>
          <w:bCs/>
          <w:color w:val="auto"/>
        </w:rPr>
        <w:br w:type="page"/>
      </w:r>
      <w:r>
        <w:rPr>
          <w:rFonts w:hint="eastAsia" w:ascii="宋体" w:hAnsi="宋体" w:cs="宋体"/>
          <w:b/>
          <w:bCs/>
          <w:color w:val="auto"/>
          <w:sz w:val="24"/>
          <w:szCs w:val="24"/>
        </w:rPr>
        <w:t>尊敬的磋商供应商：</w:t>
      </w:r>
    </w:p>
    <w:p>
      <w:pPr>
        <w:snapToGrid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25"/>
        <w:tabs>
          <w:tab w:val="left" w:pos="1050"/>
          <w:tab w:val="right" w:leader="dot" w:pos="9402"/>
        </w:tabs>
        <w:spacing w:line="360" w:lineRule="auto"/>
        <w:ind w:left="0"/>
        <w:jc w:val="center"/>
        <w:outlineLvl w:val="0"/>
        <w:rPr>
          <w:rFonts w:ascii="宋体"/>
          <w:b/>
          <w:bCs/>
          <w:i w:val="0"/>
          <w:iCs w:val="0"/>
          <w:color w:val="auto"/>
          <w:sz w:val="44"/>
          <w:szCs w:val="44"/>
        </w:rPr>
      </w:pPr>
      <w:bookmarkStart w:id="10" w:name="_Toc363573853"/>
      <w:r>
        <w:rPr>
          <w:rFonts w:hint="eastAsia" w:ascii="宋体" w:hAnsi="宋体" w:cs="宋体"/>
          <w:b/>
          <w:bCs/>
          <w:i w:val="0"/>
          <w:iCs w:val="0"/>
          <w:color w:val="auto"/>
          <w:w w:val="80"/>
          <w:sz w:val="44"/>
          <w:szCs w:val="44"/>
        </w:rPr>
        <w:t>第一章 竞争性磋商公</w:t>
      </w:r>
      <w:bookmarkEnd w:id="0"/>
      <w:bookmarkEnd w:id="1"/>
      <w:bookmarkEnd w:id="2"/>
      <w:bookmarkEnd w:id="3"/>
      <w:bookmarkEnd w:id="4"/>
      <w:bookmarkEnd w:id="5"/>
      <w:bookmarkEnd w:id="6"/>
      <w:bookmarkEnd w:id="7"/>
      <w:bookmarkEnd w:id="8"/>
      <w:bookmarkEnd w:id="9"/>
      <w:r>
        <w:rPr>
          <w:rFonts w:hint="eastAsia" w:ascii="宋体" w:hAnsi="宋体" w:cs="宋体"/>
          <w:b/>
          <w:bCs/>
          <w:i w:val="0"/>
          <w:iCs w:val="0"/>
          <w:color w:val="auto"/>
          <w:w w:val="80"/>
          <w:sz w:val="44"/>
          <w:szCs w:val="44"/>
        </w:rPr>
        <w:t>告</w:t>
      </w:r>
      <w:bookmarkEnd w:id="10"/>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项目概况</w:t>
      </w:r>
    </w:p>
    <w:p>
      <w:pPr>
        <w:widowControl/>
        <w:snapToGrid w:val="0"/>
        <w:spacing w:line="360" w:lineRule="auto"/>
        <w:ind w:firstLine="470" w:firstLineChars="196"/>
        <w:jc w:val="left"/>
        <w:rPr>
          <w:color w:val="auto"/>
        </w:rPr>
      </w:pPr>
      <w:r>
        <w:rPr>
          <w:rFonts w:hint="eastAsia" w:ascii="宋体" w:hAnsi="宋体" w:cs="宋体"/>
          <w:bCs/>
          <w:color w:val="auto"/>
          <w:sz w:val="24"/>
          <w:szCs w:val="24"/>
          <w:u w:val="single" w:color="000000"/>
          <w:lang w:eastAsia="zh-CN"/>
        </w:rPr>
        <w:t>南通市妇幼保健院医用气体采购项目</w:t>
      </w:r>
      <w:r>
        <w:rPr>
          <w:rFonts w:hint="eastAsia" w:ascii="宋体" w:hAnsi="宋体" w:cs="宋体"/>
          <w:color w:val="auto"/>
          <w:sz w:val="24"/>
          <w:szCs w:val="24"/>
        </w:rPr>
        <w:t>的潜在供应商应在</w:t>
      </w:r>
      <w:r>
        <w:rPr>
          <w:rFonts w:hint="eastAsia" w:ascii="宋体" w:hAnsi="宋体" w:cs="宋体"/>
          <w:color w:val="auto"/>
          <w:sz w:val="24"/>
          <w:szCs w:val="24"/>
          <w:u w:val="single"/>
        </w:rPr>
        <w:t>南通市卫生健康委员会官网（http://wjw.nantong.gov.cn）和南通市妇幼保健院官网（http://www.ntfybj.com）</w:t>
      </w:r>
      <w:r>
        <w:rPr>
          <w:rFonts w:hint="eastAsia" w:ascii="宋体" w:hAnsi="宋体" w:cs="宋体"/>
          <w:color w:val="auto"/>
          <w:sz w:val="24"/>
          <w:szCs w:val="24"/>
        </w:rPr>
        <w:t>获取采购文件，并于</w:t>
      </w:r>
      <w:r>
        <w:rPr>
          <w:rFonts w:hint="eastAsia" w:ascii="宋体" w:hAnsi="宋体" w:cs="宋体"/>
          <w:b/>
          <w:bCs/>
          <w:color w:val="auto"/>
          <w:sz w:val="24"/>
          <w:szCs w:val="24"/>
          <w:u w:val="single" w:color="000000"/>
        </w:rPr>
        <w:t xml:space="preserve"> 202</w:t>
      </w:r>
      <w:r>
        <w:rPr>
          <w:rFonts w:hint="eastAsia" w:ascii="宋体" w:hAnsi="宋体" w:cs="宋体"/>
          <w:b/>
          <w:bCs/>
          <w:color w:val="auto"/>
          <w:sz w:val="24"/>
          <w:szCs w:val="24"/>
          <w:u w:val="single" w:color="000000"/>
          <w:lang w:val="en-US" w:eastAsia="zh-CN"/>
        </w:rPr>
        <w:t>4</w:t>
      </w:r>
      <w:r>
        <w:rPr>
          <w:rFonts w:hint="eastAsia" w:ascii="宋体" w:hAnsi="宋体" w:cs="宋体"/>
          <w:b/>
          <w:bCs/>
          <w:color w:val="auto"/>
          <w:sz w:val="24"/>
          <w:szCs w:val="24"/>
          <w:u w:val="single" w:color="000000"/>
        </w:rPr>
        <w:t>年</w:t>
      </w:r>
      <w:r>
        <w:rPr>
          <w:rFonts w:hint="eastAsia" w:ascii="宋体" w:hAnsi="宋体" w:cs="宋体"/>
          <w:b/>
          <w:bCs/>
          <w:color w:val="auto"/>
          <w:sz w:val="24"/>
          <w:szCs w:val="24"/>
          <w:u w:val="single" w:color="000000"/>
          <w:lang w:val="en-US" w:eastAsia="zh-CN"/>
        </w:rPr>
        <w:t>01</w:t>
      </w:r>
      <w:r>
        <w:rPr>
          <w:rFonts w:hint="eastAsia" w:ascii="宋体" w:hAnsi="宋体" w:cs="宋体"/>
          <w:b/>
          <w:bCs/>
          <w:color w:val="auto"/>
          <w:sz w:val="24"/>
          <w:szCs w:val="24"/>
          <w:u w:val="single" w:color="000000"/>
        </w:rPr>
        <w:t>月</w:t>
      </w:r>
      <w:r>
        <w:rPr>
          <w:rFonts w:hint="eastAsia" w:ascii="宋体" w:hAnsi="宋体" w:cs="宋体"/>
          <w:b/>
          <w:bCs/>
          <w:color w:val="auto"/>
          <w:sz w:val="24"/>
          <w:szCs w:val="24"/>
          <w:u w:val="single" w:color="000000"/>
          <w:lang w:val="en-US" w:eastAsia="zh-CN"/>
        </w:rPr>
        <w:t>22</w:t>
      </w:r>
      <w:r>
        <w:rPr>
          <w:rFonts w:hint="eastAsia" w:ascii="宋体" w:hAnsi="宋体" w:cs="宋体"/>
          <w:b/>
          <w:bCs/>
          <w:color w:val="auto"/>
          <w:sz w:val="24"/>
          <w:szCs w:val="24"/>
          <w:u w:val="single" w:color="000000"/>
        </w:rPr>
        <w:t>日</w:t>
      </w:r>
      <w:r>
        <w:rPr>
          <w:rFonts w:hint="eastAsia" w:ascii="宋体" w:hAnsi="宋体" w:cs="宋体"/>
          <w:b/>
          <w:bCs/>
          <w:color w:val="auto"/>
          <w:sz w:val="24"/>
          <w:szCs w:val="24"/>
          <w:u w:val="single" w:color="000000"/>
          <w:lang w:val="en-US" w:eastAsia="zh-CN"/>
        </w:rPr>
        <w:t>14</w:t>
      </w:r>
      <w:r>
        <w:rPr>
          <w:rFonts w:hint="eastAsia" w:ascii="宋体" w:hAnsi="宋体" w:cs="宋体"/>
          <w:b/>
          <w:bCs/>
          <w:color w:val="auto"/>
          <w:sz w:val="24"/>
          <w:szCs w:val="24"/>
          <w:u w:val="single" w:color="000000"/>
        </w:rPr>
        <w:t>点</w:t>
      </w:r>
      <w:r>
        <w:rPr>
          <w:rFonts w:hint="eastAsia" w:ascii="宋体" w:hAnsi="宋体" w:cs="宋体"/>
          <w:b/>
          <w:bCs/>
          <w:color w:val="auto"/>
          <w:sz w:val="24"/>
          <w:szCs w:val="24"/>
          <w:u w:val="single" w:color="000000"/>
          <w:lang w:val="en-US" w:eastAsia="zh-CN"/>
        </w:rPr>
        <w:t>00</w:t>
      </w:r>
      <w:r>
        <w:rPr>
          <w:rFonts w:hint="eastAsia" w:ascii="宋体" w:hAnsi="宋体" w:cs="宋体"/>
          <w:b/>
          <w:bCs/>
          <w:color w:val="auto"/>
          <w:sz w:val="24"/>
          <w:szCs w:val="24"/>
          <w:u w:val="single" w:color="000000"/>
        </w:rPr>
        <w:t>分</w:t>
      </w:r>
      <w:r>
        <w:rPr>
          <w:rFonts w:hint="eastAsia" w:ascii="宋体" w:hAnsi="宋体" w:cs="宋体"/>
          <w:bCs/>
          <w:color w:val="auto"/>
          <w:sz w:val="24"/>
          <w:szCs w:val="24"/>
        </w:rPr>
        <w:t>（北京时间）前提交响应文件</w:t>
      </w:r>
      <w:r>
        <w:rPr>
          <w:rFonts w:hint="eastAsia" w:ascii="宋体" w:hAnsi="宋体" w:cs="宋体"/>
          <w:color w:val="auto"/>
          <w:sz w:val="24"/>
          <w:szCs w:val="24"/>
        </w:rPr>
        <w:t>。</w:t>
      </w:r>
    </w:p>
    <w:p>
      <w:pPr>
        <w:pStyle w:val="6"/>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一、项目基本情况</w:t>
      </w:r>
    </w:p>
    <w:p>
      <w:pPr>
        <w:snapToGrid w:val="0"/>
        <w:spacing w:line="360" w:lineRule="auto"/>
        <w:ind w:firstLine="480" w:firstLineChars="200"/>
        <w:textAlignment w:val="baseline"/>
        <w:rPr>
          <w:rFonts w:hint="eastAsia" w:ascii="宋体" w:hAnsi="宋体" w:eastAsia="宋体" w:cs="宋体"/>
          <w:color w:val="auto"/>
          <w:sz w:val="24"/>
          <w:szCs w:val="24"/>
          <w:lang w:eastAsia="zh-CN"/>
        </w:rPr>
      </w:pPr>
      <w:r>
        <w:rPr>
          <w:rFonts w:hint="eastAsia" w:ascii="宋体" w:hAnsi="宋体" w:cs="宋体"/>
          <w:color w:val="auto"/>
          <w:sz w:val="24"/>
          <w:szCs w:val="24"/>
        </w:rPr>
        <w:t>项目名称：</w:t>
      </w:r>
      <w:r>
        <w:rPr>
          <w:rFonts w:hint="eastAsia" w:ascii="宋体" w:hAnsi="宋体" w:cs="宋体"/>
          <w:color w:val="auto"/>
          <w:sz w:val="24"/>
          <w:szCs w:val="24"/>
          <w:lang w:eastAsia="zh-CN"/>
        </w:rPr>
        <w:t>南通市妇幼保健院医用气体采购项目</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采购方式：竞争性磋商</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预算金额：人民币</w:t>
      </w:r>
      <w:r>
        <w:rPr>
          <w:rFonts w:hint="eastAsia" w:ascii="宋体" w:hAnsi="宋体" w:cs="宋体"/>
          <w:color w:val="auto"/>
          <w:sz w:val="24"/>
          <w:szCs w:val="24"/>
          <w:lang w:eastAsia="zh-CN"/>
        </w:rPr>
        <w:t>30万元</w:t>
      </w:r>
      <w:r>
        <w:rPr>
          <w:rFonts w:hint="eastAsia" w:ascii="宋体" w:hAnsi="宋体" w:cs="宋体"/>
          <w:color w:val="auto"/>
          <w:sz w:val="24"/>
          <w:szCs w:val="24"/>
        </w:rPr>
        <w:t>/年</w:t>
      </w:r>
    </w:p>
    <w:p>
      <w:pPr>
        <w:snapToGrid w:val="0"/>
        <w:spacing w:line="360" w:lineRule="auto"/>
        <w:ind w:firstLine="480" w:firstLineChars="200"/>
        <w:textAlignment w:val="baseline"/>
        <w:rPr>
          <w:rFonts w:ascii="宋体" w:hAnsi="宋体" w:cs="宋体"/>
          <w:color w:val="auto"/>
          <w:sz w:val="24"/>
          <w:szCs w:val="24"/>
          <w:u w:val="single"/>
        </w:rPr>
      </w:pPr>
      <w:r>
        <w:rPr>
          <w:rFonts w:hint="eastAsia" w:ascii="宋体" w:hAnsi="宋体" w:cs="宋体"/>
          <w:color w:val="auto"/>
          <w:sz w:val="24"/>
          <w:szCs w:val="24"/>
        </w:rPr>
        <w:t>采购需求：详见第三章项目需求</w:t>
      </w:r>
    </w:p>
    <w:p>
      <w:pPr>
        <w:snapToGrid w:val="0"/>
        <w:spacing w:line="360" w:lineRule="auto"/>
        <w:ind w:firstLine="480" w:firstLineChars="200"/>
        <w:rPr>
          <w:rFonts w:hint="eastAsia" w:ascii="宋体" w:hAnsi="宋体" w:eastAsia="宋体" w:cs="宋体"/>
          <w:color w:val="auto"/>
          <w:sz w:val="24"/>
          <w:szCs w:val="24"/>
          <w:u w:val="single"/>
          <w:lang w:val="en-US" w:eastAsia="zh-CN"/>
        </w:rPr>
      </w:pPr>
      <w:r>
        <w:rPr>
          <w:rFonts w:hint="eastAsia" w:ascii="宋体" w:hAnsi="宋体" w:cs="宋体"/>
          <w:color w:val="auto"/>
          <w:sz w:val="24"/>
          <w:szCs w:val="24"/>
        </w:rPr>
        <w:t>合同履行期限：本项目合同服务期暂定</w:t>
      </w:r>
      <w:r>
        <w:rPr>
          <w:rFonts w:hint="eastAsia" w:ascii="宋体" w:hAnsi="宋体" w:cs="宋体"/>
          <w:color w:val="auto"/>
          <w:sz w:val="24"/>
          <w:szCs w:val="24"/>
          <w:lang w:eastAsia="zh-CN"/>
        </w:rPr>
        <w:t>三</w:t>
      </w:r>
      <w:r>
        <w:rPr>
          <w:rFonts w:hint="eastAsia" w:ascii="宋体" w:hAnsi="宋体" w:cs="宋体"/>
          <w:color w:val="auto"/>
          <w:sz w:val="24"/>
          <w:szCs w:val="24"/>
        </w:rPr>
        <w:t>年（预计自202</w:t>
      </w:r>
      <w:r>
        <w:rPr>
          <w:rFonts w:hint="eastAsia" w:ascii="宋体" w:hAnsi="宋体" w:cs="宋体"/>
          <w:color w:val="auto"/>
          <w:sz w:val="24"/>
          <w:szCs w:val="24"/>
          <w:lang w:val="en-US" w:eastAsia="zh-CN"/>
        </w:rPr>
        <w:t>4</w:t>
      </w:r>
      <w:r>
        <w:rPr>
          <w:rFonts w:hint="eastAsia" w:ascii="宋体" w:hAnsi="宋体" w:cs="宋体"/>
          <w:color w:val="auto"/>
          <w:sz w:val="24"/>
          <w:szCs w:val="24"/>
        </w:rPr>
        <w:t>年</w:t>
      </w:r>
      <w:r>
        <w:rPr>
          <w:rFonts w:hint="eastAsia" w:ascii="宋体" w:hAnsi="宋体" w:cs="宋体"/>
          <w:color w:val="auto"/>
          <w:sz w:val="24"/>
          <w:szCs w:val="24"/>
          <w:lang w:val="en-US" w:eastAsia="zh-CN"/>
        </w:rPr>
        <w:t>02</w:t>
      </w:r>
      <w:r>
        <w:rPr>
          <w:rFonts w:hint="eastAsia" w:ascii="宋体" w:hAnsi="宋体" w:cs="宋体"/>
          <w:color w:val="auto"/>
          <w:sz w:val="24"/>
          <w:szCs w:val="24"/>
        </w:rPr>
        <w:t>月至202</w:t>
      </w:r>
      <w:r>
        <w:rPr>
          <w:rFonts w:hint="eastAsia" w:ascii="宋体" w:hAnsi="宋体" w:cs="宋体"/>
          <w:color w:val="auto"/>
          <w:sz w:val="24"/>
          <w:szCs w:val="24"/>
          <w:lang w:val="en-US" w:eastAsia="zh-CN"/>
        </w:rPr>
        <w:t>7</w:t>
      </w:r>
      <w:r>
        <w:rPr>
          <w:rFonts w:hint="eastAsia" w:ascii="宋体" w:hAnsi="宋体" w:cs="宋体"/>
          <w:color w:val="auto"/>
          <w:sz w:val="24"/>
          <w:szCs w:val="24"/>
        </w:rPr>
        <w:t>年</w:t>
      </w:r>
      <w:r>
        <w:rPr>
          <w:rFonts w:hint="eastAsia" w:ascii="宋体" w:hAnsi="宋体" w:cs="宋体"/>
          <w:color w:val="auto"/>
          <w:sz w:val="24"/>
          <w:szCs w:val="24"/>
          <w:lang w:val="en-US" w:eastAsia="zh-CN"/>
        </w:rPr>
        <w:t>01</w:t>
      </w:r>
      <w:r>
        <w:rPr>
          <w:rFonts w:hint="eastAsia" w:ascii="宋体" w:hAnsi="宋体" w:cs="宋体"/>
          <w:color w:val="auto"/>
          <w:sz w:val="24"/>
          <w:szCs w:val="24"/>
        </w:rPr>
        <w:t>月）但合同一年一签。如成交供应商在合同期内履约情况优秀（即年度综合考核得分≥90分），则在第一年合同期满时，且采购人、成交供应商双方愿意，成交供应商承诺不增加服务费用的前提下，双方可续签下一年度合同，但最多续签两次。如成交供应商在合同期内年度综合考核得分＜90</w:t>
      </w:r>
      <w:r>
        <w:rPr>
          <w:rFonts w:hint="eastAsia" w:ascii="宋体" w:hAnsi="宋体" w:cs="宋体"/>
          <w:color w:val="auto"/>
          <w:sz w:val="24"/>
        </w:rPr>
        <w:t>分</w:t>
      </w:r>
      <w:r>
        <w:rPr>
          <w:rFonts w:hint="eastAsia" w:ascii="宋体" w:hAnsi="宋体" w:cs="宋体"/>
          <w:color w:val="auto"/>
          <w:sz w:val="24"/>
          <w:szCs w:val="24"/>
        </w:rPr>
        <w:t>，则采购人不再与成交供应商续签合同。</w:t>
      </w:r>
    </w:p>
    <w:p>
      <w:pPr>
        <w:snapToGrid w:val="0"/>
        <w:spacing w:line="360" w:lineRule="auto"/>
        <w:ind w:firstLine="508" w:firstLineChars="200"/>
        <w:textAlignment w:val="baseline"/>
        <w:rPr>
          <w:rFonts w:ascii="宋体" w:hAnsi="宋体" w:cs="宋体"/>
          <w:color w:val="auto"/>
          <w:sz w:val="24"/>
          <w:szCs w:val="24"/>
        </w:rPr>
      </w:pPr>
      <w:r>
        <w:rPr>
          <w:rFonts w:hint="eastAsia" w:ascii="宋体" w:hAnsi="宋体" w:cs="宋体"/>
          <w:color w:val="auto"/>
          <w:spacing w:val="7"/>
          <w:sz w:val="24"/>
          <w:szCs w:val="24"/>
          <w:shd w:val="clear" w:color="auto" w:fill="FFFFFF"/>
        </w:rPr>
        <w:t>本项目不接受联合体。</w:t>
      </w:r>
    </w:p>
    <w:p>
      <w:pPr>
        <w:pStyle w:val="6"/>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二、申请人的资格要求：</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一）符合《中华人民共和国政府采购法》第二十二条：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snapToGrid w:val="0"/>
        <w:spacing w:line="360" w:lineRule="auto"/>
        <w:ind w:firstLine="480" w:firstLineChars="200"/>
        <w:textAlignment w:val="baseline"/>
        <w:rPr>
          <w:color w:val="auto"/>
        </w:rPr>
      </w:pPr>
      <w:r>
        <w:rPr>
          <w:rFonts w:hint="eastAsia" w:ascii="宋体" w:hAnsi="宋体" w:cs="宋体"/>
          <w:color w:val="auto"/>
          <w:sz w:val="24"/>
          <w:szCs w:val="24"/>
        </w:rPr>
        <w:t>其他资格要求：</w:t>
      </w:r>
    </w:p>
    <w:p>
      <w:pPr>
        <w:snapToGrid w:val="0"/>
        <w:spacing w:line="360" w:lineRule="auto"/>
        <w:ind w:firstLine="480" w:firstLineChars="200"/>
        <w:textAlignment w:val="baseline"/>
        <w:rPr>
          <w:rFonts w:ascii="宋体" w:hAnsi="宋体" w:cs="宋体"/>
          <w:color w:val="auto"/>
          <w:sz w:val="24"/>
          <w:szCs w:val="24"/>
          <w:highlight w:val="cyan"/>
        </w:rPr>
      </w:pPr>
      <w:r>
        <w:rPr>
          <w:rFonts w:hint="eastAsia" w:ascii="宋体" w:hAnsi="宋体" w:cs="宋体"/>
          <w:color w:val="auto"/>
          <w:sz w:val="24"/>
          <w:szCs w:val="24"/>
        </w:rPr>
        <w:t>1、供应商必须有能力按本磋商文件规定的要求提供相关服务，须提供有效的三证合一的企业法人营业执照复印件或扫描件。</w:t>
      </w:r>
    </w:p>
    <w:p>
      <w:pPr>
        <w:snapToGrid w:val="0"/>
        <w:spacing w:line="360" w:lineRule="auto"/>
        <w:ind w:left="8" w:firstLine="470" w:firstLineChars="196"/>
        <w:jc w:val="left"/>
        <w:textAlignment w:val="baseline"/>
        <w:rPr>
          <w:rFonts w:ascii="宋体" w:hAnsi="宋体" w:cs="宋体"/>
          <w:color w:val="auto"/>
          <w:sz w:val="24"/>
          <w:szCs w:val="24"/>
        </w:rPr>
      </w:pPr>
      <w:r>
        <w:rPr>
          <w:rFonts w:hint="eastAsia" w:ascii="宋体" w:hAnsi="宋体" w:cs="宋体"/>
          <w:color w:val="auto"/>
          <w:sz w:val="24"/>
          <w:szCs w:val="24"/>
        </w:rPr>
        <w:t>2、提供供应商的法定代表人或负责人身份证明及身份证原件的复印件或扫描件（须加盖供应商公章，格式参见竞争性磋商文件第八章）。</w:t>
      </w:r>
    </w:p>
    <w:p>
      <w:pPr>
        <w:snapToGrid w:val="0"/>
        <w:spacing w:line="360" w:lineRule="auto"/>
        <w:ind w:firstLine="559" w:firstLineChars="233"/>
        <w:textAlignment w:val="baseline"/>
        <w:rPr>
          <w:rFonts w:ascii="宋体" w:hAnsi="宋体" w:cs="宋体"/>
          <w:color w:val="auto"/>
          <w:sz w:val="24"/>
          <w:szCs w:val="24"/>
        </w:rPr>
      </w:pPr>
      <w:r>
        <w:rPr>
          <w:rFonts w:hint="eastAsia" w:ascii="宋体" w:hAnsi="宋体" w:cs="宋体"/>
          <w:color w:val="auto"/>
          <w:sz w:val="24"/>
          <w:szCs w:val="24"/>
        </w:rPr>
        <w:t>3、如为被委托受权人参加竞争性磋商的，还必须提供法定代表人或负责人签名或盖章的授权委托书及被委托受权人身份证这两项原件的复印件或扫描件（须加盖供应商公章，格式参见竞争性磋商文件第八章）。</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4、供应商须提供参与本次项目政府采购活动前三年内，在经营活动中没有重大违法记录的书面《无重大违法记录声明函》（格式参见竞争性磋商文件第八章）。</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5、关于资格文件的声明函（格式参见竞争性磋商文件第八章）。</w:t>
      </w:r>
    </w:p>
    <w:p>
      <w:pPr>
        <w:snapToGrid w:val="0"/>
        <w:spacing w:line="360" w:lineRule="auto"/>
        <w:ind w:firstLine="482" w:firstLineChars="200"/>
        <w:textAlignment w:val="baseline"/>
        <w:rPr>
          <w:rFonts w:hint="eastAsia" w:ascii="宋体" w:hAnsi="宋体" w:cs="宋体"/>
          <w:color w:val="auto"/>
          <w:sz w:val="24"/>
          <w:szCs w:val="24"/>
        </w:rPr>
      </w:pPr>
      <w:r>
        <w:rPr>
          <w:rFonts w:hint="eastAsia" w:ascii="宋体" w:hAnsi="宋体" w:cs="宋体"/>
          <w:b/>
          <w:bCs/>
          <w:color w:val="auto"/>
          <w:sz w:val="24"/>
          <w:szCs w:val="24"/>
        </w:rPr>
        <w:t>（二）本项目的特定资格要求：有效生产厂家的医用氧的药品生产许可证或经营许可证；有效生产厂家的危险化学品安全生产许可证；液态气体还要提供药品注册批件；有效生产厂家的气瓶充装许可证。</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（三）落实政府采购政策需满足的资格要求：无</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特别提醒】请各供应商认真对照资格要求，如不符合要求，无意或故意参与磋商的，所产生的一切后果由供应商承担。若供应商提供的相关材料为虚假或伪造，将作无效响应处理，并报财政部门将其列入政府采购黑名单。</w:t>
      </w:r>
    </w:p>
    <w:p>
      <w:pPr>
        <w:pStyle w:val="52"/>
        <w:snapToGrid w:val="0"/>
        <w:spacing w:after="0" w:line="360" w:lineRule="auto"/>
        <w:ind w:firstLine="482"/>
        <w:textAlignment w:val="baseline"/>
        <w:rPr>
          <w:rFonts w:ascii="宋体" w:hAnsi="宋体" w:cs="宋体"/>
          <w:b/>
          <w:bCs/>
          <w:color w:val="auto"/>
          <w:kern w:val="0"/>
          <w:sz w:val="24"/>
          <w:szCs w:val="24"/>
        </w:rPr>
      </w:pPr>
      <w:r>
        <w:rPr>
          <w:rFonts w:hint="eastAsia" w:ascii="宋体" w:hAnsi="宋体" w:cs="宋体"/>
          <w:b/>
          <w:bCs/>
          <w:color w:val="auto"/>
          <w:kern w:val="0"/>
          <w:sz w:val="24"/>
          <w:szCs w:val="24"/>
        </w:rPr>
        <w:t>磋商供应商应依照规定提交各类声明函、承诺函，不再同时提供原件备查或提供有关部门出具的相关证明文件。但成交供应商，应做好提交声明函、承诺函相应原件的核查准备；核查后发现虚假或违背承诺的，依照相关法律法规规定处理。</w:t>
      </w:r>
    </w:p>
    <w:p>
      <w:pPr>
        <w:pStyle w:val="52"/>
        <w:snapToGrid w:val="0"/>
        <w:spacing w:after="0" w:line="360" w:lineRule="auto"/>
        <w:ind w:firstLine="482"/>
        <w:textAlignment w:val="baseline"/>
        <w:rPr>
          <w:rFonts w:ascii="宋体" w:hAnsi="宋体" w:cs="宋体"/>
          <w:b/>
          <w:bCs/>
          <w:color w:val="auto"/>
          <w:sz w:val="24"/>
          <w:szCs w:val="24"/>
        </w:rPr>
      </w:pPr>
      <w:r>
        <w:rPr>
          <w:rFonts w:hint="eastAsia" w:ascii="宋体" w:hAnsi="宋体" w:cs="宋体"/>
          <w:b/>
          <w:bCs/>
          <w:color w:val="auto"/>
          <w:kern w:val="0"/>
          <w:sz w:val="24"/>
          <w:szCs w:val="24"/>
        </w:rPr>
        <w:t>法定代表人为同一个人的两个及两个以上法人，母公司、全资子公司及其控股公司，都不得在同一采购项目相同标段中同时参加投标，一经发现，将视同围标处理。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磋商活动</w:t>
      </w:r>
      <w:r>
        <w:rPr>
          <w:rFonts w:hint="eastAsia" w:ascii="宋体" w:hAnsi="宋体" w:cs="宋体"/>
          <w:b/>
          <w:bCs/>
          <w:color w:val="auto"/>
          <w:sz w:val="24"/>
          <w:szCs w:val="24"/>
        </w:rPr>
        <w:t>；如发现供应商递交的资格后审材料有弄虚作假行为，该供应商将记入不良记录，并上报有关部门，如已中标，采购人有权取消其中标资格，并由该供应商承担由此带来可能的一切责任和损失</w:t>
      </w:r>
      <w:r>
        <w:rPr>
          <w:rFonts w:hint="eastAsia" w:ascii="宋体" w:hAnsi="宋体" w:cs="宋体"/>
          <w:b/>
          <w:bCs/>
          <w:color w:val="auto"/>
          <w:kern w:val="0"/>
          <w:sz w:val="24"/>
          <w:szCs w:val="24"/>
        </w:rPr>
        <w:t>。</w:t>
      </w:r>
    </w:p>
    <w:p>
      <w:pPr>
        <w:pStyle w:val="6"/>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三、获取采购文件</w:t>
      </w:r>
    </w:p>
    <w:p>
      <w:pPr>
        <w:snapToGrid w:val="0"/>
        <w:spacing w:line="360" w:lineRule="auto"/>
        <w:ind w:firstLine="540"/>
        <w:textAlignment w:val="baseline"/>
        <w:rPr>
          <w:rFonts w:ascii="宋体" w:hAnsi="宋体" w:cs="宋体"/>
          <w:b/>
          <w:bCs/>
          <w:color w:val="auto"/>
          <w:sz w:val="24"/>
          <w:szCs w:val="24"/>
        </w:rPr>
      </w:pPr>
      <w:r>
        <w:rPr>
          <w:rFonts w:hint="eastAsia" w:ascii="宋体" w:hAnsi="宋体" w:cs="宋体"/>
          <w:b/>
          <w:bCs/>
          <w:color w:val="auto"/>
          <w:sz w:val="24"/>
          <w:szCs w:val="24"/>
        </w:rPr>
        <w:t>时  间：</w:t>
      </w:r>
      <w:r>
        <w:rPr>
          <w:rFonts w:hint="eastAsia" w:ascii="宋体" w:hAnsi="宋体" w:cs="宋体"/>
          <w:b/>
          <w:bCs/>
          <w:color w:val="auto"/>
          <w:sz w:val="24"/>
          <w:szCs w:val="24"/>
          <w:u w:val="single"/>
        </w:rPr>
        <w:t>自公告发布之日起</w:t>
      </w:r>
      <w:r>
        <w:rPr>
          <w:rFonts w:hint="eastAsia" w:ascii="宋体" w:hAnsi="宋体" w:cs="宋体"/>
          <w:b/>
          <w:bCs/>
          <w:color w:val="auto"/>
          <w:sz w:val="24"/>
          <w:szCs w:val="24"/>
        </w:rPr>
        <w:t>至</w:t>
      </w:r>
      <w:r>
        <w:rPr>
          <w:rFonts w:hint="eastAsia" w:ascii="宋体" w:hAnsi="宋体" w:cs="宋体"/>
          <w:b/>
          <w:bCs/>
          <w:color w:val="auto"/>
          <w:sz w:val="24"/>
          <w:szCs w:val="24"/>
          <w:u w:val="single" w:color="000000"/>
        </w:rPr>
        <w:t xml:space="preserve"> 202</w:t>
      </w:r>
      <w:r>
        <w:rPr>
          <w:rFonts w:hint="eastAsia" w:ascii="宋体" w:hAnsi="宋体" w:cs="宋体"/>
          <w:b/>
          <w:bCs/>
          <w:color w:val="auto"/>
          <w:sz w:val="24"/>
          <w:szCs w:val="24"/>
          <w:u w:val="single" w:color="000000"/>
          <w:lang w:val="en-US" w:eastAsia="zh-CN"/>
        </w:rPr>
        <w:t>4</w:t>
      </w:r>
      <w:r>
        <w:rPr>
          <w:rFonts w:hint="eastAsia" w:ascii="宋体" w:hAnsi="宋体" w:cs="宋体"/>
          <w:b/>
          <w:bCs/>
          <w:color w:val="auto"/>
          <w:sz w:val="24"/>
          <w:szCs w:val="24"/>
          <w:u w:val="single" w:color="000000"/>
        </w:rPr>
        <w:t>年</w:t>
      </w:r>
      <w:r>
        <w:rPr>
          <w:rFonts w:hint="eastAsia" w:ascii="宋体" w:hAnsi="宋体" w:cs="宋体"/>
          <w:b/>
          <w:bCs/>
          <w:color w:val="auto"/>
          <w:sz w:val="24"/>
          <w:szCs w:val="24"/>
          <w:u w:val="single" w:color="000000"/>
          <w:lang w:val="en-US" w:eastAsia="zh-CN"/>
        </w:rPr>
        <w:t xml:space="preserve"> 01</w:t>
      </w:r>
      <w:r>
        <w:rPr>
          <w:rFonts w:hint="eastAsia" w:ascii="宋体" w:hAnsi="宋体" w:cs="宋体"/>
          <w:b/>
          <w:bCs/>
          <w:color w:val="auto"/>
          <w:sz w:val="24"/>
          <w:szCs w:val="24"/>
          <w:u w:val="single" w:color="000000"/>
        </w:rPr>
        <w:t>月</w:t>
      </w:r>
      <w:r>
        <w:rPr>
          <w:rFonts w:hint="eastAsia" w:ascii="宋体" w:hAnsi="宋体" w:cs="宋体"/>
          <w:b/>
          <w:bCs/>
          <w:color w:val="auto"/>
          <w:sz w:val="24"/>
          <w:szCs w:val="24"/>
          <w:u w:val="single" w:color="000000"/>
          <w:lang w:val="en-US" w:eastAsia="zh-CN"/>
        </w:rPr>
        <w:t xml:space="preserve"> 22</w:t>
      </w:r>
      <w:r>
        <w:rPr>
          <w:rFonts w:hint="eastAsia" w:ascii="宋体" w:hAnsi="宋体" w:cs="宋体"/>
          <w:b/>
          <w:bCs/>
          <w:color w:val="auto"/>
          <w:sz w:val="24"/>
          <w:szCs w:val="24"/>
          <w:u w:val="single" w:color="000000"/>
        </w:rPr>
        <w:t>日</w:t>
      </w:r>
    </w:p>
    <w:p>
      <w:pPr>
        <w:snapToGrid w:val="0"/>
        <w:spacing w:line="360" w:lineRule="auto"/>
        <w:ind w:firstLine="540"/>
        <w:textAlignment w:val="baseline"/>
        <w:rPr>
          <w:rFonts w:ascii="宋体" w:hAnsi="宋体" w:cs="宋体"/>
          <w:color w:val="auto"/>
          <w:sz w:val="24"/>
          <w:szCs w:val="24"/>
          <w:u w:val="single"/>
        </w:rPr>
      </w:pPr>
      <w:r>
        <w:rPr>
          <w:rFonts w:hint="eastAsia" w:ascii="宋体" w:hAnsi="宋体" w:cs="宋体"/>
          <w:color w:val="auto"/>
          <w:sz w:val="24"/>
          <w:szCs w:val="24"/>
        </w:rPr>
        <w:t>地  点：南通市卫生健康委员会官网（http://wjw.nantong.gov.cn）和南通市妇幼保健院官网（http://www.ntfybj.com）。</w:t>
      </w:r>
    </w:p>
    <w:p>
      <w:pPr>
        <w:snapToGrid w:val="0"/>
        <w:spacing w:line="360" w:lineRule="auto"/>
        <w:ind w:firstLine="540"/>
        <w:textAlignment w:val="baseline"/>
        <w:rPr>
          <w:rFonts w:ascii="宋体" w:hAnsi="宋体" w:cs="宋体"/>
          <w:color w:val="auto"/>
          <w:sz w:val="24"/>
          <w:szCs w:val="24"/>
          <w:u w:val="single"/>
        </w:rPr>
      </w:pPr>
      <w:r>
        <w:rPr>
          <w:rFonts w:hint="eastAsia" w:ascii="宋体" w:hAnsi="宋体" w:cs="宋体"/>
          <w:color w:val="auto"/>
          <w:sz w:val="24"/>
          <w:szCs w:val="24"/>
        </w:rPr>
        <w:t>方  式：自行下载</w:t>
      </w:r>
    </w:p>
    <w:p>
      <w:pPr>
        <w:snapToGrid w:val="0"/>
        <w:spacing w:line="360" w:lineRule="auto"/>
        <w:ind w:firstLine="540"/>
        <w:textAlignment w:val="baseline"/>
        <w:rPr>
          <w:rFonts w:ascii="宋体" w:hAnsi="宋体" w:cs="宋体"/>
          <w:color w:val="auto"/>
          <w:sz w:val="24"/>
          <w:szCs w:val="24"/>
        </w:rPr>
      </w:pPr>
      <w:r>
        <w:rPr>
          <w:rFonts w:hint="eastAsia" w:ascii="宋体" w:hAnsi="宋体" w:cs="宋体"/>
          <w:color w:val="auto"/>
          <w:sz w:val="24"/>
          <w:szCs w:val="24"/>
        </w:rPr>
        <w:t>售  价：每套300元，在递交磋商响应文件的同时提交给招标代理机构。</w:t>
      </w:r>
    </w:p>
    <w:p>
      <w:pPr>
        <w:pStyle w:val="6"/>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四、响应文件的提交</w:t>
      </w:r>
    </w:p>
    <w:p>
      <w:pPr>
        <w:snapToGrid w:val="0"/>
        <w:spacing w:line="360" w:lineRule="auto"/>
        <w:ind w:firstLine="482" w:firstLineChars="200"/>
        <w:textAlignment w:val="baseline"/>
        <w:rPr>
          <w:rFonts w:ascii="宋体" w:hAnsi="宋体" w:cs="宋体"/>
          <w:b/>
          <w:bCs/>
          <w:color w:val="auto"/>
          <w:sz w:val="24"/>
          <w:szCs w:val="24"/>
          <w:u w:val="single"/>
        </w:rPr>
      </w:pPr>
      <w:r>
        <w:rPr>
          <w:rFonts w:hint="eastAsia" w:ascii="宋体" w:hAnsi="宋体" w:cs="宋体"/>
          <w:b/>
          <w:bCs/>
          <w:color w:val="auto"/>
          <w:sz w:val="24"/>
          <w:szCs w:val="24"/>
        </w:rPr>
        <w:t>截止时间：</w:t>
      </w:r>
      <w:r>
        <w:rPr>
          <w:rFonts w:hint="eastAsia" w:ascii="宋体" w:hAnsi="宋体" w:cs="宋体"/>
          <w:b/>
          <w:bCs/>
          <w:color w:val="auto"/>
          <w:sz w:val="24"/>
          <w:szCs w:val="24"/>
          <w:u w:val="single" w:color="000000"/>
        </w:rPr>
        <w:t xml:space="preserve"> 202</w:t>
      </w:r>
      <w:r>
        <w:rPr>
          <w:rFonts w:hint="eastAsia" w:ascii="宋体" w:hAnsi="宋体" w:cs="宋体"/>
          <w:b/>
          <w:bCs/>
          <w:color w:val="auto"/>
          <w:sz w:val="24"/>
          <w:szCs w:val="24"/>
          <w:u w:val="single" w:color="000000"/>
          <w:lang w:val="en-US" w:eastAsia="zh-CN"/>
        </w:rPr>
        <w:t>4</w:t>
      </w:r>
      <w:r>
        <w:rPr>
          <w:rFonts w:hint="eastAsia" w:ascii="宋体" w:hAnsi="宋体" w:cs="宋体"/>
          <w:b/>
          <w:bCs/>
          <w:color w:val="auto"/>
          <w:sz w:val="24"/>
          <w:szCs w:val="24"/>
          <w:u w:val="single" w:color="000000"/>
        </w:rPr>
        <w:t>年0</w:t>
      </w:r>
      <w:r>
        <w:rPr>
          <w:rFonts w:hint="eastAsia" w:ascii="宋体" w:hAnsi="宋体" w:cs="宋体"/>
          <w:b/>
          <w:bCs/>
          <w:color w:val="auto"/>
          <w:sz w:val="24"/>
          <w:szCs w:val="24"/>
          <w:u w:val="single" w:color="000000"/>
          <w:lang w:val="en-US" w:eastAsia="zh-CN"/>
        </w:rPr>
        <w:t>1</w:t>
      </w:r>
      <w:r>
        <w:rPr>
          <w:rFonts w:hint="eastAsia" w:ascii="宋体" w:hAnsi="宋体" w:cs="宋体"/>
          <w:b/>
          <w:bCs/>
          <w:color w:val="auto"/>
          <w:sz w:val="24"/>
          <w:szCs w:val="24"/>
          <w:u w:val="single" w:color="000000"/>
        </w:rPr>
        <w:t>月</w:t>
      </w:r>
      <w:r>
        <w:rPr>
          <w:rFonts w:hint="eastAsia" w:ascii="宋体" w:hAnsi="宋体" w:cs="宋体"/>
          <w:b/>
          <w:bCs/>
          <w:color w:val="auto"/>
          <w:sz w:val="24"/>
          <w:szCs w:val="24"/>
          <w:u w:val="single" w:color="000000"/>
          <w:lang w:val="en-US" w:eastAsia="zh-CN"/>
        </w:rPr>
        <w:t>22</w:t>
      </w:r>
      <w:r>
        <w:rPr>
          <w:rFonts w:hint="eastAsia" w:ascii="宋体" w:hAnsi="宋体" w:cs="宋体"/>
          <w:b/>
          <w:bCs/>
          <w:color w:val="auto"/>
          <w:sz w:val="24"/>
          <w:szCs w:val="24"/>
          <w:u w:val="single" w:color="000000"/>
        </w:rPr>
        <w:t>日14点</w:t>
      </w:r>
      <w:r>
        <w:rPr>
          <w:rFonts w:hint="eastAsia" w:ascii="宋体" w:hAnsi="宋体" w:cs="宋体"/>
          <w:b/>
          <w:bCs/>
          <w:color w:val="auto"/>
          <w:sz w:val="24"/>
          <w:szCs w:val="24"/>
          <w:u w:val="single" w:color="000000"/>
          <w:lang w:val="en-US" w:eastAsia="zh-CN"/>
        </w:rPr>
        <w:t>00</w:t>
      </w:r>
      <w:r>
        <w:rPr>
          <w:rFonts w:hint="eastAsia" w:ascii="宋体" w:hAnsi="宋体" w:cs="宋体"/>
          <w:b/>
          <w:bCs/>
          <w:color w:val="auto"/>
          <w:sz w:val="24"/>
          <w:szCs w:val="24"/>
          <w:u w:val="single" w:color="000000"/>
        </w:rPr>
        <w:t>分</w:t>
      </w:r>
      <w:r>
        <w:rPr>
          <w:rFonts w:hint="eastAsia" w:ascii="宋体" w:hAnsi="宋体" w:cs="宋体"/>
          <w:b/>
          <w:bCs/>
          <w:color w:val="auto"/>
          <w:sz w:val="24"/>
          <w:szCs w:val="24"/>
        </w:rPr>
        <w:t>（北京时间）</w:t>
      </w:r>
    </w:p>
    <w:p>
      <w:pPr>
        <w:snapToGrid w:val="0"/>
        <w:spacing w:line="360" w:lineRule="auto"/>
        <w:ind w:firstLine="482" w:firstLineChars="200"/>
        <w:textAlignment w:val="baseline"/>
        <w:rPr>
          <w:rFonts w:ascii="宋体" w:hAnsi="宋体" w:cs="宋体"/>
          <w:color w:val="auto"/>
          <w:sz w:val="24"/>
          <w:szCs w:val="24"/>
          <w:u w:val="single"/>
        </w:rPr>
      </w:pPr>
      <w:r>
        <w:rPr>
          <w:rFonts w:hint="eastAsia" w:ascii="宋体" w:hAnsi="宋体" w:cs="宋体"/>
          <w:b/>
          <w:bCs/>
          <w:color w:val="auto"/>
          <w:sz w:val="24"/>
          <w:szCs w:val="24"/>
        </w:rPr>
        <w:t>地    点：</w:t>
      </w:r>
      <w:r>
        <w:rPr>
          <w:rFonts w:hint="eastAsia" w:ascii="宋体" w:hAnsi="宋体" w:cs="宋体"/>
          <w:b/>
          <w:bCs/>
          <w:color w:val="auto"/>
          <w:sz w:val="24"/>
          <w:szCs w:val="24"/>
          <w:u w:val="single"/>
        </w:rPr>
        <w:t>南通市崇川区工农路358号12层中证开标室（浙商银行楼上</w:t>
      </w:r>
      <w:r>
        <w:rPr>
          <w:rFonts w:hint="eastAsia" w:ascii="宋体" w:hAnsi="宋体" w:cs="宋体"/>
          <w:color w:val="auto"/>
          <w:sz w:val="24"/>
          <w:szCs w:val="24"/>
          <w:u w:val="single"/>
        </w:rPr>
        <w:t>）</w:t>
      </w:r>
    </w:p>
    <w:p>
      <w:pPr>
        <w:pStyle w:val="6"/>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五、响应文件的开启</w:t>
      </w:r>
    </w:p>
    <w:p>
      <w:pPr>
        <w:snapToGrid w:val="0"/>
        <w:spacing w:line="360" w:lineRule="auto"/>
        <w:ind w:firstLine="482" w:firstLineChars="200"/>
        <w:textAlignment w:val="baseline"/>
        <w:rPr>
          <w:rFonts w:ascii="宋体" w:hAnsi="宋体" w:cs="宋体"/>
          <w:b/>
          <w:bCs/>
          <w:color w:val="auto"/>
          <w:sz w:val="24"/>
          <w:szCs w:val="24"/>
          <w:u w:val="single"/>
        </w:rPr>
      </w:pPr>
      <w:r>
        <w:rPr>
          <w:rFonts w:hint="eastAsia" w:ascii="宋体" w:hAnsi="宋体" w:cs="宋体"/>
          <w:b/>
          <w:bCs/>
          <w:color w:val="auto"/>
          <w:sz w:val="24"/>
          <w:szCs w:val="24"/>
        </w:rPr>
        <w:t>时  间：</w:t>
      </w:r>
      <w:r>
        <w:rPr>
          <w:rFonts w:hint="eastAsia" w:ascii="宋体" w:hAnsi="宋体" w:cs="宋体"/>
          <w:b/>
          <w:bCs/>
          <w:color w:val="auto"/>
          <w:sz w:val="24"/>
          <w:szCs w:val="24"/>
          <w:u w:val="single" w:color="000000"/>
        </w:rPr>
        <w:t xml:space="preserve"> 202</w:t>
      </w:r>
      <w:r>
        <w:rPr>
          <w:rFonts w:hint="eastAsia" w:ascii="宋体" w:hAnsi="宋体" w:cs="宋体"/>
          <w:b/>
          <w:bCs/>
          <w:color w:val="auto"/>
          <w:sz w:val="24"/>
          <w:szCs w:val="24"/>
          <w:u w:val="single" w:color="000000"/>
          <w:lang w:val="en-US" w:eastAsia="zh-CN"/>
        </w:rPr>
        <w:t>4</w:t>
      </w:r>
      <w:r>
        <w:rPr>
          <w:rFonts w:hint="eastAsia" w:ascii="宋体" w:hAnsi="宋体" w:cs="宋体"/>
          <w:b/>
          <w:bCs/>
          <w:color w:val="auto"/>
          <w:sz w:val="24"/>
          <w:szCs w:val="24"/>
          <w:u w:val="single" w:color="000000"/>
        </w:rPr>
        <w:t>年0</w:t>
      </w:r>
      <w:r>
        <w:rPr>
          <w:rFonts w:hint="eastAsia" w:ascii="宋体" w:hAnsi="宋体" w:cs="宋体"/>
          <w:b/>
          <w:bCs/>
          <w:color w:val="auto"/>
          <w:sz w:val="24"/>
          <w:szCs w:val="24"/>
          <w:u w:val="single" w:color="000000"/>
          <w:lang w:val="en-US" w:eastAsia="zh-CN"/>
        </w:rPr>
        <w:t>1</w:t>
      </w:r>
      <w:r>
        <w:rPr>
          <w:rFonts w:hint="eastAsia" w:ascii="宋体" w:hAnsi="宋体" w:cs="宋体"/>
          <w:b/>
          <w:bCs/>
          <w:color w:val="auto"/>
          <w:sz w:val="24"/>
          <w:szCs w:val="24"/>
          <w:u w:val="single" w:color="000000"/>
        </w:rPr>
        <w:t>月</w:t>
      </w:r>
      <w:r>
        <w:rPr>
          <w:rFonts w:hint="eastAsia" w:ascii="宋体" w:hAnsi="宋体" w:cs="宋体"/>
          <w:b/>
          <w:bCs/>
          <w:color w:val="auto"/>
          <w:sz w:val="24"/>
          <w:szCs w:val="24"/>
          <w:u w:val="single" w:color="000000"/>
          <w:lang w:val="en-US" w:eastAsia="zh-CN"/>
        </w:rPr>
        <w:t>22</w:t>
      </w:r>
      <w:r>
        <w:rPr>
          <w:rFonts w:hint="eastAsia" w:ascii="宋体" w:hAnsi="宋体" w:cs="宋体"/>
          <w:b/>
          <w:bCs/>
          <w:color w:val="auto"/>
          <w:sz w:val="24"/>
          <w:szCs w:val="24"/>
          <w:u w:val="single" w:color="000000"/>
        </w:rPr>
        <w:t>日14点</w:t>
      </w:r>
      <w:r>
        <w:rPr>
          <w:rFonts w:hint="eastAsia" w:ascii="宋体" w:hAnsi="宋体" w:cs="宋体"/>
          <w:b/>
          <w:bCs/>
          <w:color w:val="auto"/>
          <w:sz w:val="24"/>
          <w:szCs w:val="24"/>
          <w:u w:val="single" w:color="000000"/>
          <w:lang w:val="en-US" w:eastAsia="zh-CN"/>
        </w:rPr>
        <w:t>00</w:t>
      </w:r>
      <w:r>
        <w:rPr>
          <w:rFonts w:hint="eastAsia" w:ascii="宋体" w:hAnsi="宋体" w:cs="宋体"/>
          <w:b/>
          <w:bCs/>
          <w:color w:val="auto"/>
          <w:sz w:val="24"/>
          <w:szCs w:val="24"/>
          <w:u w:val="single" w:color="000000"/>
        </w:rPr>
        <w:t>分</w:t>
      </w:r>
      <w:r>
        <w:rPr>
          <w:rFonts w:hint="eastAsia" w:ascii="宋体" w:hAnsi="宋体" w:cs="宋体"/>
          <w:b/>
          <w:bCs/>
          <w:color w:val="auto"/>
          <w:sz w:val="24"/>
          <w:szCs w:val="24"/>
        </w:rPr>
        <w:t>（北京时间）</w:t>
      </w:r>
    </w:p>
    <w:p>
      <w:pPr>
        <w:snapToGrid w:val="0"/>
        <w:spacing w:line="360" w:lineRule="auto"/>
        <w:ind w:firstLine="482" w:firstLineChars="200"/>
        <w:textAlignment w:val="baseline"/>
        <w:rPr>
          <w:rFonts w:ascii="宋体" w:hAnsi="宋体" w:cs="宋体"/>
          <w:b/>
          <w:bCs/>
          <w:color w:val="auto"/>
          <w:sz w:val="24"/>
          <w:szCs w:val="24"/>
          <w:u w:val="single"/>
        </w:rPr>
      </w:pPr>
      <w:r>
        <w:rPr>
          <w:rFonts w:hint="eastAsia" w:ascii="宋体" w:hAnsi="宋体" w:cs="宋体"/>
          <w:b/>
          <w:bCs/>
          <w:color w:val="auto"/>
          <w:sz w:val="24"/>
          <w:szCs w:val="24"/>
        </w:rPr>
        <w:t>地  点：</w:t>
      </w:r>
      <w:r>
        <w:rPr>
          <w:rFonts w:hint="eastAsia" w:ascii="宋体" w:hAnsi="宋体" w:cs="宋体"/>
          <w:b/>
          <w:bCs/>
          <w:color w:val="auto"/>
          <w:sz w:val="24"/>
          <w:szCs w:val="24"/>
          <w:u w:val="single"/>
        </w:rPr>
        <w:t>南通市崇川区工农路358号12层中证开标室（浙商银行楼上）</w:t>
      </w:r>
    </w:p>
    <w:p>
      <w:pPr>
        <w:pStyle w:val="6"/>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六、公告期限</w:t>
      </w:r>
    </w:p>
    <w:p>
      <w:pPr>
        <w:snapToGrid w:val="0"/>
        <w:spacing w:line="360" w:lineRule="auto"/>
        <w:ind w:firstLine="480" w:firstLineChars="200"/>
        <w:textAlignment w:val="baseline"/>
        <w:rPr>
          <w:rFonts w:ascii="宋体" w:hAnsi="宋体" w:cs="宋体"/>
          <w:color w:val="auto"/>
          <w:kern w:val="0"/>
          <w:sz w:val="24"/>
          <w:szCs w:val="24"/>
        </w:rPr>
      </w:pPr>
      <w:r>
        <w:rPr>
          <w:rFonts w:hint="eastAsia" w:ascii="宋体" w:hAnsi="宋体" w:cs="宋体"/>
          <w:color w:val="auto"/>
          <w:kern w:val="0"/>
          <w:sz w:val="24"/>
          <w:szCs w:val="24"/>
        </w:rPr>
        <w:t>自本公告发布之日起3个工作日。</w:t>
      </w:r>
    </w:p>
    <w:p>
      <w:pPr>
        <w:pStyle w:val="6"/>
        <w:numPr>
          <w:ilvl w:val="0"/>
          <w:numId w:val="2"/>
        </w:numPr>
        <w:snapToGrid w:val="0"/>
        <w:spacing w:before="0" w:after="0" w:line="360" w:lineRule="auto"/>
        <w:rPr>
          <w:rFonts w:ascii="宋体" w:hAnsi="宋体" w:eastAsia="宋体" w:cs="宋体"/>
          <w:color w:val="auto"/>
          <w:sz w:val="24"/>
          <w:szCs w:val="24"/>
        </w:rPr>
      </w:pPr>
      <w:r>
        <w:rPr>
          <w:rFonts w:hint="eastAsia" w:ascii="宋体" w:hAnsi="宋体" w:eastAsia="宋体" w:cs="宋体"/>
          <w:color w:val="auto"/>
          <w:sz w:val="24"/>
          <w:szCs w:val="24"/>
        </w:rPr>
        <w:t>其他补充事宜：</w:t>
      </w:r>
    </w:p>
    <w:p>
      <w:pPr>
        <w:numPr>
          <w:ilvl w:val="0"/>
          <w:numId w:val="3"/>
        </w:numPr>
        <w:snapToGrid w:val="0"/>
        <w:spacing w:line="360" w:lineRule="auto"/>
        <w:ind w:firstLine="480" w:firstLineChars="200"/>
        <w:textAlignment w:val="baseline"/>
        <w:rPr>
          <w:rFonts w:ascii="宋体" w:hAnsi="宋体" w:cs="宋体"/>
          <w:color w:val="auto"/>
          <w:kern w:val="0"/>
          <w:sz w:val="24"/>
          <w:szCs w:val="24"/>
        </w:rPr>
      </w:pPr>
      <w:r>
        <w:rPr>
          <w:rFonts w:hint="eastAsia" w:ascii="宋体" w:hAnsi="宋体" w:cs="宋体"/>
          <w:color w:val="auto"/>
          <w:kern w:val="0"/>
          <w:sz w:val="24"/>
          <w:szCs w:val="24"/>
        </w:rPr>
        <w:t>投标保证金：</w:t>
      </w:r>
      <w:r>
        <w:rPr>
          <w:rFonts w:hint="eastAsia" w:ascii="宋体" w:hAnsi="宋体" w:cs="宋体"/>
          <w:bCs/>
          <w:color w:val="auto"/>
          <w:sz w:val="24"/>
          <w:szCs w:val="24"/>
        </w:rPr>
        <w:t>无</w:t>
      </w:r>
      <w:r>
        <w:rPr>
          <w:rFonts w:hint="eastAsia" w:ascii="宋体" w:hAnsi="宋体" w:cs="宋体"/>
          <w:color w:val="auto"/>
          <w:kern w:val="0"/>
          <w:sz w:val="24"/>
          <w:szCs w:val="24"/>
        </w:rPr>
        <w:t>。</w:t>
      </w:r>
    </w:p>
    <w:p>
      <w:pPr>
        <w:numPr>
          <w:ilvl w:val="0"/>
          <w:numId w:val="3"/>
        </w:numPr>
        <w:snapToGrid w:val="0"/>
        <w:spacing w:line="360" w:lineRule="auto"/>
        <w:ind w:firstLine="480" w:firstLineChars="200"/>
        <w:textAlignment w:val="baseline"/>
        <w:rPr>
          <w:rFonts w:ascii="宋体" w:hAnsi="宋体" w:cs="宋体"/>
          <w:color w:val="auto"/>
          <w:kern w:val="0"/>
          <w:sz w:val="24"/>
          <w:szCs w:val="24"/>
        </w:rPr>
      </w:pPr>
      <w:r>
        <w:rPr>
          <w:rFonts w:hint="eastAsia" w:ascii="宋体" w:hAnsi="宋体" w:cs="宋体"/>
          <w:color w:val="auto"/>
          <w:kern w:val="0"/>
          <w:sz w:val="24"/>
          <w:szCs w:val="24"/>
        </w:rPr>
        <w:t>项目磋商活动模式：本项目采用现场开标模式。</w:t>
      </w:r>
    </w:p>
    <w:p>
      <w:pPr>
        <w:numPr>
          <w:ilvl w:val="0"/>
          <w:numId w:val="3"/>
        </w:numPr>
        <w:snapToGrid w:val="0"/>
        <w:spacing w:line="360" w:lineRule="auto"/>
        <w:ind w:firstLine="480" w:firstLineChars="200"/>
        <w:textAlignment w:val="baseline"/>
        <w:rPr>
          <w:rFonts w:ascii="宋体" w:hAnsi="宋体" w:cs="宋体"/>
          <w:color w:val="auto"/>
          <w:kern w:val="0"/>
          <w:sz w:val="24"/>
          <w:szCs w:val="24"/>
        </w:rPr>
      </w:pPr>
      <w:r>
        <w:rPr>
          <w:rFonts w:hint="eastAsia" w:ascii="宋体" w:hAnsi="宋体" w:cs="宋体"/>
          <w:color w:val="auto"/>
          <w:kern w:val="0"/>
          <w:sz w:val="24"/>
          <w:szCs w:val="24"/>
        </w:rPr>
        <w:t>对项目需求部分（供应商其他资格要求、项目需求、评分标准）的询问、质疑请向采购人提出，由采购人负责答复；对项目磋商文件其它部分的询问请向采购招标代理机构提出。</w:t>
      </w:r>
    </w:p>
    <w:p>
      <w:pPr>
        <w:numPr>
          <w:ilvl w:val="0"/>
          <w:numId w:val="2"/>
        </w:numPr>
        <w:snapToGrid w:val="0"/>
        <w:spacing w:line="360" w:lineRule="auto"/>
        <w:textAlignment w:val="baseline"/>
        <w:rPr>
          <w:rFonts w:ascii="宋体" w:hAnsi="宋体" w:cs="宋体"/>
          <w:b/>
          <w:bCs/>
          <w:color w:val="auto"/>
          <w:sz w:val="24"/>
          <w:szCs w:val="24"/>
        </w:rPr>
      </w:pPr>
      <w:r>
        <w:rPr>
          <w:rFonts w:hint="eastAsia" w:ascii="宋体" w:hAnsi="宋体" w:cs="宋体"/>
          <w:b/>
          <w:bCs/>
          <w:color w:val="auto"/>
          <w:sz w:val="24"/>
          <w:szCs w:val="24"/>
        </w:rPr>
        <w:t>凡对本次采购提出询问，请按以下方式联系。</w:t>
      </w:r>
    </w:p>
    <w:p>
      <w:pPr>
        <w:numPr>
          <w:ilvl w:val="0"/>
          <w:numId w:val="4"/>
        </w:num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采购人信息</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名    称：南通市妇幼保健院</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地    址： 南通市崇川区世纪大道399号</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联系方式：</w:t>
      </w:r>
    </w:p>
    <w:p>
      <w:pPr>
        <w:numPr>
          <w:ilvl w:val="0"/>
          <w:numId w:val="5"/>
        </w:num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采购代理机构信息</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名    称：中证房地产评估造价集团有限公司</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地    址：南通市崇川区工农路358号12层</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联系方式：张林丽    13646287155</w:t>
      </w:r>
    </w:p>
    <w:p>
      <w:pPr>
        <w:numPr>
          <w:ilvl w:val="0"/>
          <w:numId w:val="5"/>
        </w:numPr>
        <w:snapToGrid w:val="0"/>
        <w:spacing w:line="360" w:lineRule="auto"/>
        <w:ind w:left="0" w:leftChars="0" w:firstLine="480" w:firstLineChars="200"/>
        <w:textAlignment w:val="baseline"/>
        <w:rPr>
          <w:rFonts w:hint="eastAsia" w:ascii="宋体" w:hAnsi="宋体" w:cs="宋体"/>
          <w:color w:val="auto"/>
          <w:sz w:val="24"/>
          <w:szCs w:val="24"/>
          <w:lang w:val="en-US" w:eastAsia="zh-CN"/>
        </w:rPr>
      </w:pPr>
      <w:r>
        <w:rPr>
          <w:rFonts w:hint="eastAsia" w:ascii="宋体" w:hAnsi="宋体" w:cs="宋体"/>
          <w:color w:val="auto"/>
          <w:sz w:val="24"/>
          <w:szCs w:val="24"/>
        </w:rPr>
        <w:t>项目联系方式</w:t>
      </w:r>
      <w:r>
        <w:rPr>
          <w:rFonts w:hint="eastAsia" w:ascii="宋体" w:hAnsi="宋体" w:cs="宋体"/>
          <w:color w:val="auto"/>
          <w:sz w:val="24"/>
          <w:szCs w:val="24"/>
          <w:lang w:val="en-US" w:eastAsia="zh-CN"/>
        </w:rPr>
        <w:t xml:space="preserve">   </w:t>
      </w:r>
    </w:p>
    <w:p>
      <w:pPr>
        <w:numPr>
          <w:ilvl w:val="0"/>
          <w:numId w:val="0"/>
        </w:numPr>
        <w:snapToGrid w:val="0"/>
        <w:spacing w:line="360" w:lineRule="auto"/>
        <w:ind w:firstLine="480" w:firstLineChars="200"/>
        <w:textAlignment w:val="baseline"/>
        <w:rPr>
          <w:rFonts w:ascii="宋体" w:hAnsi="宋体"/>
          <w:color w:val="auto"/>
          <w:sz w:val="24"/>
          <w:szCs w:val="24"/>
        </w:rPr>
      </w:pPr>
      <w:r>
        <w:rPr>
          <w:rFonts w:hint="eastAsia" w:ascii="宋体" w:hAnsi="宋体" w:cs="宋体"/>
          <w:color w:val="auto"/>
          <w:sz w:val="24"/>
          <w:szCs w:val="24"/>
        </w:rPr>
        <w:t>项目联系人：</w:t>
      </w:r>
      <w:r>
        <w:rPr>
          <w:rFonts w:hint="eastAsia" w:cs="宋体"/>
          <w:color w:val="auto"/>
          <w:sz w:val="24"/>
          <w:szCs w:val="24"/>
        </w:rPr>
        <w:t>张林丽</w:t>
      </w:r>
      <w:r>
        <w:rPr>
          <w:rFonts w:hint="eastAsia" w:ascii="宋体" w:hAnsi="宋体" w:cs="宋体"/>
          <w:color w:val="auto"/>
          <w:sz w:val="24"/>
          <w:szCs w:val="24"/>
        </w:rPr>
        <w:t xml:space="preserve">  电话：13646287155</w:t>
      </w:r>
    </w:p>
    <w:p>
      <w:pPr>
        <w:spacing w:line="360" w:lineRule="auto"/>
        <w:ind w:firstLine="707" w:firstLineChars="200"/>
        <w:jc w:val="center"/>
        <w:rPr>
          <w:rFonts w:hint="eastAsia" w:ascii="宋体" w:hAnsi="宋体" w:cs="宋体"/>
          <w:b/>
          <w:bCs/>
          <w:color w:val="auto"/>
          <w:w w:val="80"/>
          <w:sz w:val="44"/>
          <w:szCs w:val="44"/>
        </w:rPr>
      </w:pPr>
      <w:bookmarkStart w:id="11" w:name="_Toc11500280"/>
      <w:bookmarkStart w:id="12" w:name="_Toc521203418"/>
      <w:bookmarkStart w:id="13" w:name="_Toc94544828"/>
      <w:bookmarkStart w:id="14" w:name="_Toc521201597"/>
      <w:bookmarkStart w:id="15" w:name="_Toc11554639"/>
      <w:bookmarkStart w:id="16" w:name="_Toc8895739"/>
      <w:bookmarkStart w:id="17" w:name="_Toc11499584"/>
      <w:bookmarkStart w:id="18" w:name="_Toc94585340"/>
      <w:bookmarkStart w:id="19" w:name="_Toc94544744"/>
      <w:bookmarkStart w:id="20" w:name="_Toc12670503"/>
      <w:bookmarkStart w:id="21" w:name="_Toc363573854"/>
    </w:p>
    <w:p>
      <w:pPr>
        <w:spacing w:line="360" w:lineRule="auto"/>
        <w:ind w:firstLine="707" w:firstLineChars="200"/>
        <w:jc w:val="center"/>
        <w:rPr>
          <w:rFonts w:hint="eastAsia" w:ascii="宋体" w:hAnsi="宋体" w:cs="宋体"/>
          <w:b/>
          <w:bCs/>
          <w:color w:val="auto"/>
          <w:w w:val="80"/>
          <w:sz w:val="44"/>
          <w:szCs w:val="44"/>
        </w:rPr>
      </w:pPr>
    </w:p>
    <w:p>
      <w:pPr>
        <w:spacing w:line="360" w:lineRule="auto"/>
        <w:ind w:firstLine="707" w:firstLineChars="200"/>
        <w:jc w:val="center"/>
        <w:rPr>
          <w:rFonts w:ascii="宋体"/>
          <w:color w:val="auto"/>
          <w:w w:val="80"/>
        </w:rPr>
      </w:pPr>
      <w:r>
        <w:rPr>
          <w:rFonts w:hint="eastAsia" w:ascii="宋体" w:hAnsi="宋体" w:cs="宋体"/>
          <w:b/>
          <w:bCs/>
          <w:color w:val="auto"/>
          <w:w w:val="80"/>
          <w:sz w:val="44"/>
          <w:szCs w:val="44"/>
        </w:rPr>
        <w:t>第二章</w:t>
      </w:r>
      <w:bookmarkEnd w:id="11"/>
      <w:bookmarkEnd w:id="12"/>
      <w:bookmarkEnd w:id="13"/>
      <w:bookmarkEnd w:id="14"/>
      <w:bookmarkEnd w:id="15"/>
      <w:bookmarkEnd w:id="16"/>
      <w:bookmarkEnd w:id="17"/>
      <w:bookmarkEnd w:id="18"/>
      <w:bookmarkEnd w:id="19"/>
      <w:bookmarkEnd w:id="20"/>
      <w:r>
        <w:rPr>
          <w:rFonts w:hint="eastAsia" w:ascii="宋体" w:hAnsi="宋体" w:cs="宋体"/>
          <w:b/>
          <w:bCs/>
          <w:color w:val="auto"/>
          <w:w w:val="80"/>
          <w:sz w:val="44"/>
          <w:szCs w:val="44"/>
        </w:rPr>
        <w:t xml:space="preserve"> 磋商供应商须知</w:t>
      </w:r>
      <w:bookmarkEnd w:id="21"/>
    </w:p>
    <w:p>
      <w:pPr>
        <w:snapToGrid w:val="0"/>
        <w:spacing w:line="480" w:lineRule="exact"/>
        <w:ind w:firstLine="482" w:firstLineChars="200"/>
        <w:outlineLvl w:val="1"/>
        <w:rPr>
          <w:rFonts w:ascii="宋体"/>
          <w:b/>
          <w:bCs/>
          <w:color w:val="auto"/>
          <w:sz w:val="24"/>
          <w:szCs w:val="24"/>
        </w:rPr>
      </w:pPr>
      <w:bookmarkStart w:id="22" w:name="_Toc8895740"/>
      <w:bookmarkStart w:id="23" w:name="_Toc11554640"/>
      <w:bookmarkStart w:id="24" w:name="_Toc521203419"/>
      <w:bookmarkStart w:id="25" w:name="_Toc11499585"/>
      <w:bookmarkStart w:id="26" w:name="_Toc521201598"/>
      <w:bookmarkStart w:id="27" w:name="_Toc11500281"/>
      <w:bookmarkStart w:id="28" w:name="_Toc94544745"/>
      <w:bookmarkStart w:id="29" w:name="_Toc94544871"/>
      <w:bookmarkStart w:id="30" w:name="_Toc94585341"/>
      <w:bookmarkStart w:id="31" w:name="_Toc12670504"/>
      <w:r>
        <w:rPr>
          <w:rFonts w:hint="eastAsia" w:ascii="宋体" w:hAnsi="宋体" w:cs="宋体"/>
          <w:b/>
          <w:bCs/>
          <w:color w:val="auto"/>
          <w:sz w:val="24"/>
          <w:szCs w:val="24"/>
        </w:rPr>
        <w:t>一、说明</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、本竞争性磋商文件仅适用于中证房地产评估造价集团有限公司组织的竞争性磋商采购活动。</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、竞争性磋商活动及因本次磋商产生的合同受中国法律制约和保护。</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、竞争性磋商文件的解释权属于采购人。</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、供应商下载磋商文件后，应仔细检查磋商文件的所有内容。如内容中有页码短缺、资格要求以及任何设置有不合理的条件对供应商实行差别待遇或者歧视待遇的，应在磋商文件发布后的</w:t>
      </w:r>
      <w:r>
        <w:rPr>
          <w:rFonts w:ascii="宋体" w:hAnsi="宋体" w:cs="宋体"/>
          <w:color w:val="auto"/>
          <w:sz w:val="24"/>
          <w:szCs w:val="24"/>
        </w:rPr>
        <w:t>4</w:t>
      </w:r>
      <w:r>
        <w:rPr>
          <w:rFonts w:hint="eastAsia" w:ascii="宋体" w:hAnsi="宋体" w:cs="宋体"/>
          <w:color w:val="auto"/>
          <w:sz w:val="24"/>
          <w:szCs w:val="24"/>
        </w:rPr>
        <w:t>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bCs/>
          <w:color w:val="auto"/>
          <w:sz w:val="24"/>
          <w:szCs w:val="24"/>
        </w:rPr>
        <w:t>非书面形式的不作为日后质疑提出的依据。</w:t>
      </w:r>
    </w:p>
    <w:p>
      <w:pPr>
        <w:snapToGrid w:val="0"/>
        <w:spacing w:line="360" w:lineRule="auto"/>
        <w:ind w:firstLine="480" w:firstLineChars="200"/>
        <w:textAlignment w:val="baseline"/>
        <w:rPr>
          <w:rFonts w:ascii="宋体" w:hAnsi="宋体" w:cs="宋体"/>
          <w:color w:val="auto"/>
          <w:sz w:val="24"/>
          <w:szCs w:val="24"/>
        </w:rPr>
      </w:pPr>
      <w:r>
        <w:rPr>
          <w:rFonts w:hint="eastAsia" w:ascii="宋体" w:hAnsi="宋体" w:cs="宋体"/>
          <w:color w:val="auto"/>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磋商文件项目需求提供的可能涉及到的工艺、材料、设备、商标、样本、技术规范、参数规格、品牌等，仅作为说明并没有限制性，供应商在磋商时可以选用替代，但这些替代的品牌、产品技术标准要优于或相当于项目需求技术规格中要求的标准，以满足采购人的需要。</w:t>
      </w:r>
    </w:p>
    <w:p>
      <w:pPr>
        <w:snapToGrid w:val="0"/>
        <w:spacing w:line="360" w:lineRule="auto"/>
        <w:ind w:firstLine="480" w:firstLineChars="200"/>
        <w:rPr>
          <w:color w:val="auto"/>
        </w:rPr>
      </w:pPr>
      <w:r>
        <w:rPr>
          <w:color w:val="auto"/>
          <w:sz w:val="24"/>
          <w:szCs w:val="24"/>
        </w:rPr>
        <w:t>7</w:t>
      </w:r>
      <w:r>
        <w:rPr>
          <w:rFonts w:hint="eastAsia"/>
          <w:color w:val="auto"/>
          <w:sz w:val="24"/>
          <w:szCs w:val="24"/>
        </w:rPr>
        <w:t>、</w:t>
      </w:r>
      <w:r>
        <w:rPr>
          <w:rFonts w:hint="eastAsia" w:cs="宋体"/>
          <w:color w:val="auto"/>
          <w:sz w:val="24"/>
          <w:szCs w:val="24"/>
        </w:rPr>
        <w:t>本磋商文件内所称的</w:t>
      </w:r>
      <w:r>
        <w:rPr>
          <w:color w:val="auto"/>
          <w:sz w:val="24"/>
          <w:szCs w:val="24"/>
        </w:rPr>
        <w:t>“</w:t>
      </w:r>
      <w:r>
        <w:rPr>
          <w:rFonts w:hint="eastAsia" w:cs="宋体"/>
          <w:color w:val="auto"/>
          <w:sz w:val="24"/>
          <w:szCs w:val="24"/>
        </w:rPr>
        <w:t>以上</w:t>
      </w:r>
      <w:r>
        <w:rPr>
          <w:color w:val="auto"/>
          <w:sz w:val="24"/>
          <w:szCs w:val="24"/>
        </w:rPr>
        <w:t>”</w:t>
      </w:r>
      <w:r>
        <w:rPr>
          <w:rFonts w:hint="eastAsia" w:cs="宋体"/>
          <w:color w:val="auto"/>
          <w:sz w:val="24"/>
          <w:szCs w:val="24"/>
        </w:rPr>
        <w:t>、</w:t>
      </w:r>
      <w:r>
        <w:rPr>
          <w:color w:val="auto"/>
          <w:sz w:val="24"/>
          <w:szCs w:val="24"/>
        </w:rPr>
        <w:t>“</w:t>
      </w:r>
      <w:r>
        <w:rPr>
          <w:rFonts w:hint="eastAsia" w:cs="宋体"/>
          <w:color w:val="auto"/>
          <w:sz w:val="24"/>
          <w:szCs w:val="24"/>
        </w:rPr>
        <w:t>以下</w:t>
      </w:r>
      <w:r>
        <w:rPr>
          <w:color w:val="auto"/>
          <w:sz w:val="24"/>
          <w:szCs w:val="24"/>
        </w:rPr>
        <w:t>”</w:t>
      </w:r>
      <w:r>
        <w:rPr>
          <w:rFonts w:hint="eastAsia" w:cs="宋体"/>
          <w:color w:val="auto"/>
          <w:sz w:val="24"/>
          <w:szCs w:val="24"/>
        </w:rPr>
        <w:t>、</w:t>
      </w:r>
      <w:r>
        <w:rPr>
          <w:color w:val="auto"/>
          <w:sz w:val="24"/>
          <w:szCs w:val="24"/>
        </w:rPr>
        <w:t>“</w:t>
      </w:r>
      <w:r>
        <w:rPr>
          <w:rFonts w:hint="eastAsia" w:cs="宋体"/>
          <w:color w:val="auto"/>
          <w:sz w:val="24"/>
          <w:szCs w:val="24"/>
        </w:rPr>
        <w:t>内</w:t>
      </w:r>
      <w:r>
        <w:rPr>
          <w:color w:val="auto"/>
          <w:sz w:val="24"/>
          <w:szCs w:val="24"/>
        </w:rPr>
        <w:t>”</w:t>
      </w:r>
      <w:r>
        <w:rPr>
          <w:rFonts w:hint="eastAsia" w:cs="宋体"/>
          <w:color w:val="auto"/>
          <w:sz w:val="24"/>
          <w:szCs w:val="24"/>
        </w:rPr>
        <w:t>、</w:t>
      </w:r>
      <w:r>
        <w:rPr>
          <w:color w:val="auto"/>
          <w:sz w:val="24"/>
          <w:szCs w:val="24"/>
        </w:rPr>
        <w:t>“</w:t>
      </w:r>
      <w:r>
        <w:rPr>
          <w:rFonts w:hint="eastAsia" w:cs="宋体"/>
          <w:color w:val="auto"/>
          <w:sz w:val="24"/>
          <w:szCs w:val="24"/>
        </w:rPr>
        <w:t>以内</w:t>
      </w:r>
      <w:r>
        <w:rPr>
          <w:color w:val="auto"/>
          <w:sz w:val="24"/>
          <w:szCs w:val="24"/>
        </w:rPr>
        <w:t>”</w:t>
      </w:r>
      <w:r>
        <w:rPr>
          <w:rFonts w:hint="eastAsia" w:cs="宋体"/>
          <w:color w:val="auto"/>
          <w:sz w:val="24"/>
          <w:szCs w:val="24"/>
        </w:rPr>
        <w:t>，包括本数；所称的</w:t>
      </w:r>
      <w:r>
        <w:rPr>
          <w:color w:val="auto"/>
          <w:sz w:val="24"/>
          <w:szCs w:val="24"/>
        </w:rPr>
        <w:t>“</w:t>
      </w:r>
      <w:r>
        <w:rPr>
          <w:rFonts w:hint="eastAsia" w:cs="宋体"/>
          <w:color w:val="auto"/>
          <w:sz w:val="24"/>
          <w:szCs w:val="24"/>
        </w:rPr>
        <w:t>不足</w:t>
      </w:r>
      <w:r>
        <w:rPr>
          <w:color w:val="auto"/>
          <w:sz w:val="24"/>
          <w:szCs w:val="24"/>
        </w:rPr>
        <w:t>”</w:t>
      </w:r>
      <w:r>
        <w:rPr>
          <w:rFonts w:hint="eastAsia" w:cs="宋体"/>
          <w:color w:val="auto"/>
          <w:sz w:val="24"/>
          <w:szCs w:val="24"/>
        </w:rPr>
        <w:t>、</w:t>
      </w:r>
      <w:r>
        <w:rPr>
          <w:color w:val="auto"/>
          <w:sz w:val="24"/>
          <w:szCs w:val="24"/>
        </w:rPr>
        <w:t>“</w:t>
      </w:r>
      <w:r>
        <w:rPr>
          <w:rFonts w:hint="eastAsia" w:cs="宋体"/>
          <w:color w:val="auto"/>
          <w:sz w:val="24"/>
          <w:szCs w:val="24"/>
        </w:rPr>
        <w:t>少于</w:t>
      </w:r>
      <w:r>
        <w:rPr>
          <w:color w:val="auto"/>
          <w:sz w:val="24"/>
          <w:szCs w:val="24"/>
        </w:rPr>
        <w:t>”</w:t>
      </w:r>
      <w:r>
        <w:rPr>
          <w:rFonts w:hint="eastAsia" w:cs="宋体"/>
          <w:color w:val="auto"/>
          <w:sz w:val="24"/>
          <w:szCs w:val="24"/>
        </w:rPr>
        <w:t>，不包括本数。</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二、磋商文件的澄清、修改、答疑</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、代理机构有权对发出的磋商文件进行必要的澄清、修改或补充。</w:t>
      </w:r>
    </w:p>
    <w:p>
      <w:pPr>
        <w:snapToGrid w:val="0"/>
        <w:spacing w:line="360" w:lineRule="auto"/>
        <w:ind w:firstLine="480" w:firstLineChars="200"/>
        <w:jc w:val="left"/>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、磋商文件的澄清、修改、补充等内容均以书面明确的形式发布，并以南通市卫生健康委员会官网（http://wjw.nantong.gov.cn）和南通市妇幼保健院官网（http://www.ntfybj.com）发布的信息为准。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、代理机构对磋商文件的澄清、修改将构成磋商文件的一部分，对响应磋商的供应商具有约束力。</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、澄清或者修改的内容可能影响到响应文件编制的，代理机构将在提交响应文件接收截止之日</w:t>
      </w:r>
      <w:r>
        <w:rPr>
          <w:rFonts w:ascii="宋体" w:hAnsi="宋体" w:cs="宋体"/>
          <w:color w:val="auto"/>
          <w:sz w:val="24"/>
          <w:szCs w:val="24"/>
        </w:rPr>
        <w:t>5</w:t>
      </w:r>
      <w:r>
        <w:rPr>
          <w:rFonts w:hint="eastAsia" w:ascii="宋体" w:hAnsi="宋体" w:cs="宋体"/>
          <w:color w:val="auto"/>
          <w:sz w:val="24"/>
          <w:szCs w:val="24"/>
        </w:rPr>
        <w:t>日前，发布澄清或者修改公告，不足</w:t>
      </w:r>
      <w:r>
        <w:rPr>
          <w:rFonts w:ascii="宋体" w:hAnsi="宋体" w:cs="宋体"/>
          <w:color w:val="auto"/>
          <w:sz w:val="24"/>
          <w:szCs w:val="24"/>
        </w:rPr>
        <w:t>5</w:t>
      </w:r>
      <w:r>
        <w:rPr>
          <w:rFonts w:hint="eastAsia" w:ascii="宋体" w:hAnsi="宋体" w:cs="宋体"/>
          <w:color w:val="auto"/>
          <w:sz w:val="24"/>
          <w:szCs w:val="24"/>
        </w:rPr>
        <w:t>日的，当顺延提交响应文件接收截止时间。</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、除非代理机构以书面的形式对磋商文件作出澄清、修改及补充，供应商对涉及磋商文件的任何推论、理解和结论所造成的结果，均由供应商自负。</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、采购单位视情组织答疑会。如有产生答疑且对磋商文件内容有修改，代理机构将按照本须知有关规定，以补充通知（公告）的方式发出。</w:t>
      </w:r>
    </w:p>
    <w:p>
      <w:pPr>
        <w:snapToGrid w:val="0"/>
        <w:spacing w:line="360" w:lineRule="auto"/>
        <w:ind w:firstLine="482" w:firstLineChars="200"/>
        <w:outlineLvl w:val="1"/>
        <w:rPr>
          <w:rFonts w:ascii="宋体" w:hAnsi="宋体" w:cs="宋体"/>
          <w:b/>
          <w:color w:val="auto"/>
          <w:sz w:val="24"/>
          <w:szCs w:val="24"/>
        </w:rPr>
      </w:pPr>
      <w:r>
        <w:rPr>
          <w:rFonts w:hint="eastAsia" w:ascii="宋体" w:hAnsi="宋体" w:cs="宋体"/>
          <w:b/>
          <w:color w:val="auto"/>
          <w:sz w:val="24"/>
          <w:szCs w:val="24"/>
        </w:rPr>
        <w:t>三、磋商项目涉及到的现场勘察</w:t>
      </w:r>
    </w:p>
    <w:p>
      <w:pPr>
        <w:snapToGrid w:val="0"/>
        <w:spacing w:line="360" w:lineRule="auto"/>
        <w:ind w:firstLine="484" w:firstLineChars="202"/>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pPr>
        <w:snapToGrid w:val="0"/>
        <w:spacing w:line="360" w:lineRule="auto"/>
        <w:ind w:firstLine="484" w:firstLineChars="202"/>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、采购人向供应商提供的有关现场的资料和数据，是采购人现有的并认为能使供应商可利用的资料。采购人对供应商由此而做出的推论、理解和结论概不负责。</w:t>
      </w:r>
    </w:p>
    <w:p>
      <w:pPr>
        <w:snapToGrid w:val="0"/>
        <w:spacing w:line="360" w:lineRule="auto"/>
        <w:ind w:firstLine="484" w:firstLineChars="202"/>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、经采购人允许，供应商可为勘察目的进入采购人的项目现场，但供应商不得因此使采购人承担有关的责任和蒙受损失。供应商应承担勘察现场的责任和风险。</w:t>
      </w:r>
    </w:p>
    <w:p>
      <w:pPr>
        <w:snapToGrid w:val="0"/>
        <w:spacing w:line="360" w:lineRule="auto"/>
        <w:ind w:firstLine="484" w:firstLineChars="202"/>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供应商应认真踏勘现场。在现场勘察时，熟悉服务及作业现场、现场周围交通道路等情况，以获得一切可能影响其投标的直接资料。供应商成交后，不得以不完全了解现场情况为理由而向采购人提出任何索赔的要求，对此采购人不承担任何责任并将不作任何答复与考虑。</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四、响应文件的编制及装订</w:t>
      </w:r>
    </w:p>
    <w:p>
      <w:pPr>
        <w:snapToGrid w:val="0"/>
        <w:spacing w:line="360" w:lineRule="auto"/>
        <w:ind w:firstLine="487" w:firstLineChars="202"/>
        <w:rPr>
          <w:rFonts w:ascii="宋体"/>
          <w:b/>
          <w:bCs/>
          <w:color w:val="auto"/>
          <w:sz w:val="24"/>
          <w:szCs w:val="24"/>
        </w:rPr>
      </w:pPr>
      <w:r>
        <w:rPr>
          <w:rFonts w:hint="eastAsia" w:ascii="宋体" w:hAnsi="宋体" w:cs="宋体"/>
          <w:b/>
          <w:bCs/>
          <w:color w:val="auto"/>
          <w:sz w:val="24"/>
          <w:szCs w:val="24"/>
        </w:rPr>
        <w:t>供应商按磋商文件要求编写响应文件，并牢固装订成册。响应文件均需采用</w:t>
      </w:r>
      <w:r>
        <w:rPr>
          <w:rFonts w:ascii="宋体" w:hAnsi="宋体" w:cs="宋体"/>
          <w:b/>
          <w:bCs/>
          <w:color w:val="auto"/>
          <w:sz w:val="24"/>
          <w:szCs w:val="24"/>
        </w:rPr>
        <w:t>A4</w:t>
      </w:r>
      <w:r>
        <w:rPr>
          <w:rFonts w:hint="eastAsia" w:ascii="宋体" w:hAnsi="宋体" w:cs="宋体"/>
          <w:b/>
          <w:bCs/>
          <w:color w:val="auto"/>
          <w:sz w:val="24"/>
          <w:szCs w:val="24"/>
        </w:rPr>
        <w:t>纸（图纸等除外），不允许使用活页夹、拉杆夹、文件夹、塑料方便式书脊（插入式或穿孔式）装订。响应文件不得行间插字、涂改、增删，如修改错漏处，须经响应文件签署人签字并加盖公章。</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五、响应文件的份数和签署</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、响应文件由：</w:t>
      </w:r>
      <w:r>
        <w:rPr>
          <w:rFonts w:ascii="宋体" w:hAnsi="宋体" w:cs="宋体"/>
          <w:color w:val="auto"/>
          <w:sz w:val="24"/>
          <w:szCs w:val="24"/>
        </w:rPr>
        <w:fldChar w:fldCharType="begin"/>
      </w:r>
      <w:r>
        <w:rPr>
          <w:rFonts w:ascii="宋体" w:hAnsi="宋体" w:cs="宋体"/>
          <w:color w:val="auto"/>
          <w:sz w:val="24"/>
          <w:szCs w:val="24"/>
        </w:rPr>
        <w:instrText xml:space="preserve"> = 1 \* GB3 </w:instrText>
      </w:r>
      <w:r>
        <w:rPr>
          <w:rFonts w:ascii="宋体" w:hAnsi="宋体" w:cs="宋体"/>
          <w:color w:val="auto"/>
          <w:sz w:val="24"/>
          <w:szCs w:val="24"/>
        </w:rPr>
        <w:fldChar w:fldCharType="separate"/>
      </w:r>
      <w:r>
        <w:rPr>
          <w:rFonts w:hint="eastAsia" w:ascii="宋体" w:hAnsi="宋体" w:cs="宋体"/>
          <w:color w:val="auto"/>
          <w:sz w:val="24"/>
          <w:szCs w:val="24"/>
        </w:rPr>
        <w:t>①</w:t>
      </w:r>
      <w:r>
        <w:rPr>
          <w:rFonts w:ascii="宋体" w:hAnsi="宋体" w:cs="宋体"/>
          <w:color w:val="auto"/>
          <w:sz w:val="24"/>
          <w:szCs w:val="24"/>
        </w:rPr>
        <w:fldChar w:fldCharType="end"/>
      </w:r>
      <w:r>
        <w:rPr>
          <w:rFonts w:hint="eastAsia" w:ascii="宋体" w:hAnsi="宋体" w:cs="宋体"/>
          <w:color w:val="auto"/>
          <w:sz w:val="24"/>
          <w:szCs w:val="24"/>
        </w:rPr>
        <w:t>资格审查文件、</w:t>
      </w:r>
      <w:r>
        <w:rPr>
          <w:rFonts w:ascii="宋体" w:hAnsi="宋体" w:cs="宋体"/>
          <w:color w:val="auto"/>
          <w:sz w:val="24"/>
          <w:szCs w:val="24"/>
        </w:rPr>
        <w:fldChar w:fldCharType="begin"/>
      </w:r>
      <w:r>
        <w:rPr>
          <w:rFonts w:ascii="宋体" w:hAnsi="宋体" w:cs="宋体"/>
          <w:color w:val="auto"/>
          <w:sz w:val="24"/>
          <w:szCs w:val="24"/>
        </w:rPr>
        <w:instrText xml:space="preserve"> = 2 \* GB3 </w:instrText>
      </w:r>
      <w:r>
        <w:rPr>
          <w:rFonts w:ascii="宋体" w:hAnsi="宋体" w:cs="宋体"/>
          <w:color w:val="auto"/>
          <w:sz w:val="24"/>
          <w:szCs w:val="24"/>
        </w:rPr>
        <w:fldChar w:fldCharType="separate"/>
      </w:r>
      <w:r>
        <w:rPr>
          <w:rFonts w:hint="eastAsia" w:ascii="宋体" w:hAnsi="宋体" w:cs="宋体"/>
          <w:color w:val="auto"/>
          <w:sz w:val="24"/>
          <w:szCs w:val="24"/>
        </w:rPr>
        <w:t>②</w:t>
      </w:r>
      <w:r>
        <w:rPr>
          <w:rFonts w:ascii="宋体" w:hAnsi="宋体" w:cs="宋体"/>
          <w:color w:val="auto"/>
          <w:sz w:val="24"/>
          <w:szCs w:val="24"/>
        </w:rPr>
        <w:fldChar w:fldCharType="end"/>
      </w:r>
      <w:r>
        <w:rPr>
          <w:rFonts w:hint="eastAsia" w:ascii="宋体" w:hAnsi="宋体" w:cs="宋体"/>
          <w:color w:val="auto"/>
          <w:sz w:val="24"/>
          <w:szCs w:val="24"/>
        </w:rPr>
        <w:t>技术响应文件、</w:t>
      </w:r>
      <w:r>
        <w:rPr>
          <w:rFonts w:ascii="宋体" w:hAnsi="宋体" w:cs="宋体"/>
          <w:color w:val="auto"/>
          <w:sz w:val="24"/>
          <w:szCs w:val="24"/>
        </w:rPr>
        <w:fldChar w:fldCharType="begin"/>
      </w:r>
      <w:r>
        <w:rPr>
          <w:rFonts w:ascii="宋体" w:hAnsi="宋体" w:cs="宋体"/>
          <w:color w:val="auto"/>
          <w:sz w:val="24"/>
          <w:szCs w:val="24"/>
        </w:rPr>
        <w:instrText xml:space="preserve"> = 3 \* GB3 </w:instrText>
      </w:r>
      <w:r>
        <w:rPr>
          <w:rFonts w:ascii="宋体" w:hAnsi="宋体" w:cs="宋体"/>
          <w:color w:val="auto"/>
          <w:sz w:val="24"/>
          <w:szCs w:val="24"/>
        </w:rPr>
        <w:fldChar w:fldCharType="separate"/>
      </w:r>
      <w:r>
        <w:rPr>
          <w:rFonts w:hint="eastAsia" w:ascii="宋体" w:hAnsi="宋体" w:cs="宋体"/>
          <w:color w:val="auto"/>
          <w:sz w:val="24"/>
          <w:szCs w:val="24"/>
        </w:rPr>
        <w:t>③</w:t>
      </w:r>
      <w:r>
        <w:rPr>
          <w:rFonts w:ascii="宋体" w:hAnsi="宋体" w:cs="宋体"/>
          <w:color w:val="auto"/>
          <w:sz w:val="24"/>
          <w:szCs w:val="24"/>
        </w:rPr>
        <w:fldChar w:fldCharType="end"/>
      </w:r>
      <w:r>
        <w:rPr>
          <w:rFonts w:hint="eastAsia" w:ascii="宋体" w:hAnsi="宋体" w:cs="宋体"/>
          <w:color w:val="auto"/>
          <w:sz w:val="24"/>
          <w:szCs w:val="24"/>
        </w:rPr>
        <w:t>商务报价响应文件，共</w:t>
      </w:r>
      <w:r>
        <w:rPr>
          <w:rFonts w:ascii="宋体" w:hAnsi="宋体" w:cs="宋体"/>
          <w:color w:val="auto"/>
          <w:sz w:val="24"/>
          <w:szCs w:val="24"/>
        </w:rPr>
        <w:t>3</w:t>
      </w:r>
      <w:r>
        <w:rPr>
          <w:rFonts w:hint="eastAsia" w:ascii="宋体" w:hAnsi="宋体" w:cs="宋体"/>
          <w:color w:val="auto"/>
          <w:sz w:val="24"/>
          <w:szCs w:val="24"/>
        </w:rPr>
        <w:t>部分组成（以下由文件序号代称）。</w:t>
      </w:r>
    </w:p>
    <w:p>
      <w:pPr>
        <w:snapToGrid w:val="0"/>
        <w:spacing w:line="360" w:lineRule="auto"/>
        <w:ind w:firstLine="480" w:firstLineChars="200"/>
        <w:rPr>
          <w:rFonts w:ascii="宋体"/>
          <w:color w:val="auto"/>
          <w:sz w:val="24"/>
          <w:szCs w:val="24"/>
          <w:u w:val="single"/>
        </w:rPr>
      </w:pPr>
      <w:r>
        <w:rPr>
          <w:rFonts w:ascii="宋体" w:hAnsi="宋体" w:cs="宋体"/>
          <w:color w:val="auto"/>
          <w:sz w:val="24"/>
          <w:szCs w:val="24"/>
        </w:rPr>
        <w:t>2</w:t>
      </w:r>
      <w:r>
        <w:rPr>
          <w:rFonts w:hint="eastAsia" w:ascii="宋体" w:hAnsi="宋体" w:cs="宋体"/>
          <w:color w:val="auto"/>
          <w:sz w:val="24"/>
          <w:szCs w:val="24"/>
        </w:rPr>
        <w:t>、响应文件均为壹式叁份，其中“正本”壹份和“副本”贰份。</w:t>
      </w:r>
    </w:p>
    <w:p>
      <w:pPr>
        <w:snapToGrid w:val="0"/>
        <w:spacing w:line="360" w:lineRule="auto"/>
        <w:ind w:firstLine="470" w:firstLineChars="196"/>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、在每份响应文件上要明确标注项目名称、对应的响应文件名称、供应商的全称、日期、“正本”、“副本”字样。“正本”和“副本”若有差异，概以“正本”为准。</w:t>
      </w:r>
    </w:p>
    <w:p>
      <w:pPr>
        <w:snapToGrid w:val="0"/>
        <w:spacing w:line="360" w:lineRule="auto"/>
        <w:ind w:firstLine="470" w:firstLineChars="196"/>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、供应商可将响应文件正副本统一密封或分别密封，如正本和副本分别密封的，应在封袋上标明正、副本字样。</w:t>
      </w:r>
    </w:p>
    <w:p>
      <w:pPr>
        <w:snapToGrid w:val="0"/>
        <w:spacing w:line="360" w:lineRule="auto"/>
        <w:ind w:firstLine="470" w:firstLineChars="196"/>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、响应文件中的所有“正本”，其正文内容须按磋商文件要求由供应商法定代表人或被授权人签字（或盖章）并加盖单位公章。“副本”可复印，但须加盖单位公章。</w:t>
      </w:r>
    </w:p>
    <w:p>
      <w:pPr>
        <w:snapToGrid w:val="0"/>
        <w:spacing w:line="360" w:lineRule="auto"/>
        <w:ind w:firstLine="472" w:firstLineChars="196"/>
        <w:rPr>
          <w:rFonts w:ascii="宋体"/>
          <w:b/>
          <w:bCs/>
          <w:color w:val="auto"/>
          <w:sz w:val="24"/>
          <w:szCs w:val="24"/>
        </w:rPr>
      </w:pPr>
      <w:r>
        <w:rPr>
          <w:rFonts w:hint="eastAsia" w:ascii="宋体" w:hAnsi="宋体" w:cs="宋体"/>
          <w:b/>
          <w:bCs/>
          <w:color w:val="auto"/>
          <w:sz w:val="24"/>
          <w:szCs w:val="24"/>
        </w:rPr>
        <w:t>六、响应文件的密封及标记</w:t>
      </w:r>
    </w:p>
    <w:p>
      <w:pPr>
        <w:snapToGrid w:val="0"/>
        <w:spacing w:line="360" w:lineRule="auto"/>
        <w:ind w:firstLine="480" w:firstLineChars="200"/>
        <w:rPr>
          <w:rFonts w:ascii="宋体"/>
          <w:color w:val="auto"/>
          <w:sz w:val="24"/>
          <w:szCs w:val="24"/>
          <w:u w:val="single"/>
        </w:rPr>
      </w:pPr>
      <w:r>
        <w:rPr>
          <w:rFonts w:ascii="宋体" w:hAnsi="宋体" w:cs="宋体"/>
          <w:color w:val="auto"/>
          <w:sz w:val="24"/>
          <w:szCs w:val="24"/>
        </w:rPr>
        <w:t>1</w:t>
      </w:r>
      <w:r>
        <w:rPr>
          <w:rFonts w:hint="eastAsia" w:ascii="宋体" w:hAnsi="宋体" w:cs="宋体"/>
          <w:color w:val="auto"/>
          <w:sz w:val="24"/>
          <w:szCs w:val="24"/>
        </w:rPr>
        <w:t>、供应商须将本项目响应文件：</w:t>
      </w:r>
      <w:r>
        <w:rPr>
          <w:rFonts w:hint="eastAsia" w:ascii="宋体" w:hAnsi="宋体" w:cs="宋体"/>
          <w:b/>
          <w:bCs/>
          <w:color w:val="auto"/>
          <w:sz w:val="24"/>
          <w:szCs w:val="24"/>
        </w:rPr>
        <w:t>资格审查文件、技术响应文件、商务报价响应文件</w:t>
      </w:r>
      <w:r>
        <w:rPr>
          <w:rFonts w:hint="eastAsia" w:ascii="宋体" w:hAnsi="宋体" w:cs="宋体"/>
          <w:b/>
          <w:color w:val="auto"/>
          <w:sz w:val="24"/>
          <w:szCs w:val="24"/>
        </w:rPr>
        <w:t>单独密封</w:t>
      </w:r>
      <w:r>
        <w:rPr>
          <w:rFonts w:hint="eastAsia" w:ascii="宋体" w:hAnsi="宋体" w:cs="宋体"/>
          <w:color w:val="auto"/>
          <w:sz w:val="24"/>
          <w:szCs w:val="24"/>
        </w:rPr>
        <w:t>。</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、密封后，应在每一密封的响应文件上明确标注磋商项目名称、响应文件各自对应的名称、供应商的全称及日期。</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、在边缝处加盖供应商公章或骑缝签字。</w:t>
      </w:r>
    </w:p>
    <w:p>
      <w:pPr>
        <w:snapToGrid w:val="0"/>
        <w:spacing w:line="360" w:lineRule="auto"/>
        <w:ind w:firstLine="482" w:firstLineChars="200"/>
        <w:textAlignment w:val="baseline"/>
        <w:rPr>
          <w:rFonts w:ascii="宋体" w:hAnsi="宋体" w:cs="宋体"/>
          <w:color w:val="auto"/>
          <w:sz w:val="24"/>
          <w:szCs w:val="24"/>
        </w:rPr>
      </w:pPr>
      <w:r>
        <w:rPr>
          <w:rFonts w:hint="eastAsia" w:ascii="宋体" w:hAnsi="宋体" w:cs="宋体"/>
          <w:b/>
          <w:bCs/>
          <w:color w:val="auto"/>
          <w:sz w:val="24"/>
          <w:szCs w:val="24"/>
        </w:rPr>
        <w:t>【特别提醒】</w:t>
      </w:r>
      <w:r>
        <w:rPr>
          <w:rFonts w:hint="eastAsia" w:ascii="宋体" w:hAnsi="宋体" w:cs="宋体"/>
          <w:color w:val="auto"/>
          <w:sz w:val="24"/>
          <w:szCs w:val="24"/>
        </w:rPr>
        <w:t>响应文件中的</w:t>
      </w:r>
      <w:r>
        <w:rPr>
          <w:rFonts w:hint="eastAsia" w:ascii="宋体" w:hAnsi="宋体" w:cs="宋体"/>
          <w:b/>
          <w:bCs/>
          <w:color w:val="auto"/>
          <w:sz w:val="24"/>
          <w:szCs w:val="24"/>
        </w:rPr>
        <w:t>资格审查文件、技术响应文件</w:t>
      </w:r>
      <w:r>
        <w:rPr>
          <w:rFonts w:hint="eastAsia" w:ascii="宋体" w:hAnsi="宋体" w:cs="宋体"/>
          <w:color w:val="auto"/>
          <w:sz w:val="24"/>
          <w:szCs w:val="24"/>
        </w:rPr>
        <w:t>的“正本”或“副本”中，均不得含有商务报价响应文件中报价表（报价单）内的任何项目价格，否则作无效响应处理。</w:t>
      </w:r>
    </w:p>
    <w:p>
      <w:pPr>
        <w:snapToGrid w:val="0"/>
        <w:spacing w:line="360" w:lineRule="auto"/>
        <w:ind w:firstLine="496" w:firstLineChars="206"/>
        <w:outlineLvl w:val="1"/>
        <w:rPr>
          <w:rFonts w:ascii="宋体"/>
          <w:b/>
          <w:bCs/>
          <w:color w:val="auto"/>
          <w:sz w:val="24"/>
          <w:szCs w:val="24"/>
        </w:rPr>
      </w:pPr>
      <w:r>
        <w:rPr>
          <w:rFonts w:hint="eastAsia" w:ascii="宋体" w:hAnsi="宋体" w:cs="宋体"/>
          <w:b/>
          <w:bCs/>
          <w:color w:val="auto"/>
          <w:sz w:val="24"/>
          <w:szCs w:val="24"/>
        </w:rPr>
        <w:t>七、磋商报价</w:t>
      </w:r>
    </w:p>
    <w:p>
      <w:pPr>
        <w:snapToGrid w:val="0"/>
        <w:spacing w:line="360" w:lineRule="auto"/>
        <w:ind w:firstLine="494" w:firstLineChars="206"/>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、本项目不接受任何有选择的报价。</w:t>
      </w:r>
    </w:p>
    <w:p>
      <w:pPr>
        <w:snapToGrid w:val="0"/>
        <w:spacing w:line="360" w:lineRule="auto"/>
        <w:ind w:firstLine="494" w:firstLineChars="206"/>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、磋商报价均以人民币为报价的币种。</w:t>
      </w:r>
    </w:p>
    <w:p>
      <w:pPr>
        <w:snapToGrid w:val="0"/>
        <w:spacing w:line="360" w:lineRule="auto"/>
        <w:ind w:firstLine="494" w:firstLineChars="206"/>
        <w:rPr>
          <w:rFonts w:ascii="宋体" w:hAnsi="宋体" w:cs="宋体"/>
          <w:color w:val="auto"/>
          <w:sz w:val="24"/>
        </w:rPr>
      </w:pPr>
      <w:r>
        <w:rPr>
          <w:rFonts w:ascii="宋体" w:hAnsi="宋体" w:cs="宋体"/>
          <w:color w:val="auto"/>
          <w:sz w:val="24"/>
        </w:rPr>
        <w:t>3</w:t>
      </w:r>
      <w:r>
        <w:rPr>
          <w:rFonts w:hint="eastAsia" w:ascii="宋体" w:hAnsi="宋体" w:cs="宋体"/>
          <w:color w:val="auto"/>
          <w:sz w:val="24"/>
        </w:rPr>
        <w:t>、磋商报价表必须加盖单位公章且必须经法定代表人或被授权人签字或 盖章。报价表中的报价出现前后不一致的，将执行财政部第 87 号令《政府采购货物和服务招标投标管理办法》第 59 条的规定修正:</w:t>
      </w:r>
    </w:p>
    <w:p>
      <w:pPr>
        <w:snapToGrid w:val="0"/>
        <w:spacing w:line="360" w:lineRule="auto"/>
        <w:ind w:firstLine="494" w:firstLineChars="206"/>
        <w:rPr>
          <w:rFonts w:ascii="宋体" w:hAnsi="宋体" w:cs="宋体"/>
          <w:color w:val="auto"/>
          <w:sz w:val="24"/>
        </w:rPr>
      </w:pPr>
      <w:r>
        <w:rPr>
          <w:rFonts w:hint="eastAsia" w:ascii="宋体" w:hAnsi="宋体" w:cs="宋体"/>
          <w:color w:val="auto"/>
          <w:sz w:val="24"/>
        </w:rPr>
        <w:t>3.1开标一览表(报价表)内容与投标文件中相应内容不一致的，以开标一览表(报价表)为准;</w:t>
      </w:r>
    </w:p>
    <w:p>
      <w:pPr>
        <w:snapToGrid w:val="0"/>
        <w:spacing w:line="360" w:lineRule="auto"/>
        <w:ind w:firstLine="494" w:firstLineChars="206"/>
        <w:rPr>
          <w:rFonts w:ascii="宋体" w:hAnsi="宋体" w:cs="宋体"/>
          <w:color w:val="auto"/>
          <w:sz w:val="24"/>
        </w:rPr>
      </w:pPr>
      <w:r>
        <w:rPr>
          <w:rFonts w:hint="eastAsia" w:ascii="宋体" w:hAnsi="宋体" w:cs="宋体"/>
          <w:color w:val="auto"/>
          <w:sz w:val="24"/>
        </w:rPr>
        <w:t>3.2 大写金额和小写金额不一致的，以大写金额为准;</w:t>
      </w:r>
    </w:p>
    <w:p>
      <w:pPr>
        <w:snapToGrid w:val="0"/>
        <w:spacing w:line="360" w:lineRule="auto"/>
        <w:ind w:firstLine="494" w:firstLineChars="206"/>
        <w:rPr>
          <w:rFonts w:ascii="宋体" w:hAnsi="宋体" w:cs="宋体"/>
          <w:color w:val="auto"/>
          <w:sz w:val="24"/>
        </w:rPr>
      </w:pPr>
      <w:r>
        <w:rPr>
          <w:rFonts w:hint="eastAsia" w:ascii="宋体" w:hAnsi="宋体" w:cs="宋体"/>
          <w:color w:val="auto"/>
          <w:sz w:val="24"/>
        </w:rPr>
        <w:t>3.3单价金额小数点或者百分比有明显错位的，以开标一览表(报价表)的总价为准，并修改单价;</w:t>
      </w:r>
    </w:p>
    <w:p>
      <w:pPr>
        <w:snapToGrid w:val="0"/>
        <w:spacing w:line="360" w:lineRule="auto"/>
        <w:ind w:firstLine="494" w:firstLineChars="206"/>
        <w:rPr>
          <w:rFonts w:ascii="宋体" w:hAnsi="宋体" w:cs="宋体"/>
          <w:color w:val="auto"/>
          <w:sz w:val="24"/>
        </w:rPr>
      </w:pPr>
      <w:r>
        <w:rPr>
          <w:rFonts w:hint="eastAsia" w:ascii="宋体" w:hAnsi="宋体" w:cs="宋体"/>
          <w:color w:val="auto"/>
          <w:sz w:val="24"/>
        </w:rPr>
        <w:t>3.4总价金额与按单价汇总金额不一致的，以单价金额计算结果为准。</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同时出现两种以上不一至致的，按照前款规定的顺序修正。修正后的报价按照本办法第五十一条第二款的规定经供应商确认后产生约束力，供应商不确认的，其响应无效。</w:t>
      </w:r>
    </w:p>
    <w:p>
      <w:pPr>
        <w:snapToGrid w:val="0"/>
        <w:spacing w:line="360" w:lineRule="auto"/>
        <w:ind w:firstLine="494" w:firstLineChars="206"/>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、本项目磋商报价为</w:t>
      </w:r>
      <w:r>
        <w:rPr>
          <w:rFonts w:hint="eastAsia" w:ascii="宋体" w:hAnsi="宋体" w:cs="宋体"/>
          <w:color w:val="auto"/>
          <w:sz w:val="24"/>
          <w:lang w:val="zh-CN"/>
        </w:rPr>
        <w:t>固定总价报价</w:t>
      </w:r>
      <w:r>
        <w:rPr>
          <w:rFonts w:hint="eastAsia" w:ascii="宋体" w:hAnsi="宋体" w:cs="宋体"/>
          <w:color w:val="auto"/>
          <w:sz w:val="24"/>
        </w:rPr>
        <w:t>，该价格一次性包定，服务期内合同价不调整。</w:t>
      </w:r>
    </w:p>
    <w:p>
      <w:pPr>
        <w:snapToGrid w:val="0"/>
        <w:spacing w:line="360" w:lineRule="auto"/>
        <w:ind w:firstLine="494" w:firstLineChars="206"/>
        <w:rPr>
          <w:rFonts w:ascii="宋体" w:hAnsi="宋体" w:cs="宋体"/>
          <w:b/>
          <w:bCs/>
          <w:color w:val="auto"/>
          <w:sz w:val="24"/>
        </w:rPr>
      </w:pPr>
      <w:r>
        <w:rPr>
          <w:rFonts w:hint="eastAsia" w:ascii="宋体" w:hAnsi="宋体" w:cs="宋体"/>
          <w:color w:val="auto"/>
          <w:sz w:val="24"/>
        </w:rPr>
        <w:t>5、</w:t>
      </w:r>
      <w:r>
        <w:rPr>
          <w:rFonts w:hint="eastAsia" w:ascii="宋体" w:hAnsi="宋体" w:cs="宋体"/>
          <w:b/>
          <w:bCs/>
          <w:color w:val="auto"/>
          <w:sz w:val="24"/>
        </w:rPr>
        <w:t>磋商</w:t>
      </w:r>
      <w:r>
        <w:rPr>
          <w:rFonts w:hint="eastAsia" w:ascii="宋体" w:hAnsi="宋体" w:cs="宋体"/>
          <w:b/>
          <w:bCs/>
          <w:color w:val="auto"/>
          <w:sz w:val="24"/>
          <w:lang w:eastAsia="zh-CN"/>
        </w:rPr>
        <w:t>响应</w:t>
      </w:r>
      <w:r>
        <w:rPr>
          <w:rFonts w:hint="eastAsia" w:ascii="宋体" w:hAnsi="宋体" w:cs="宋体"/>
          <w:b/>
          <w:bCs/>
          <w:color w:val="auto"/>
          <w:sz w:val="24"/>
        </w:rPr>
        <w:t>报价应</w:t>
      </w:r>
      <w:r>
        <w:rPr>
          <w:rFonts w:hint="eastAsia" w:ascii="宋体" w:hAnsi="宋体" w:cs="宋体"/>
          <w:b/>
          <w:bCs/>
          <w:color w:val="auto"/>
          <w:sz w:val="24"/>
          <w:lang w:eastAsia="zh-CN"/>
        </w:rPr>
        <w:t>包括但不限于</w:t>
      </w:r>
      <w:r>
        <w:rPr>
          <w:rFonts w:hint="eastAsia" w:ascii="宋体" w:hAnsi="宋体" w:cs="宋体"/>
          <w:b/>
          <w:bCs/>
          <w:color w:val="auto"/>
          <w:sz w:val="24"/>
        </w:rPr>
        <w:t>：货物、</w:t>
      </w:r>
      <w:r>
        <w:rPr>
          <w:rFonts w:hint="eastAsia" w:ascii="宋体" w:hAnsi="宋体" w:cs="宋体"/>
          <w:b/>
          <w:bCs/>
          <w:color w:val="auto"/>
          <w:sz w:val="24"/>
          <w:lang w:eastAsia="zh-CN"/>
        </w:rPr>
        <w:t>储存、</w:t>
      </w:r>
      <w:r>
        <w:rPr>
          <w:rFonts w:hint="eastAsia" w:ascii="宋体" w:hAnsi="宋体" w:cs="宋体"/>
          <w:b/>
          <w:bCs/>
          <w:color w:val="auto"/>
          <w:sz w:val="24"/>
        </w:rPr>
        <w:t>运输、售后服务、</w:t>
      </w:r>
      <w:r>
        <w:rPr>
          <w:rFonts w:hint="eastAsia" w:ascii="宋体" w:hAnsi="宋体" w:cs="宋体"/>
          <w:b/>
          <w:bCs/>
          <w:color w:val="auto"/>
          <w:sz w:val="24"/>
          <w:lang w:eastAsia="zh-CN"/>
        </w:rPr>
        <w:t>管理、</w:t>
      </w:r>
      <w:r>
        <w:rPr>
          <w:rFonts w:hint="eastAsia" w:ascii="宋体" w:hAnsi="宋体" w:cs="宋体"/>
          <w:b/>
          <w:bCs/>
          <w:color w:val="auto"/>
          <w:sz w:val="24"/>
        </w:rPr>
        <w:t>税金等</w:t>
      </w:r>
      <w:r>
        <w:rPr>
          <w:rFonts w:hint="eastAsia" w:ascii="宋体" w:hAnsi="宋体" w:cs="宋体"/>
          <w:b/>
          <w:bCs/>
          <w:color w:val="auto"/>
          <w:sz w:val="24"/>
          <w:lang w:eastAsia="zh-CN"/>
        </w:rPr>
        <w:t>为</w:t>
      </w:r>
      <w:r>
        <w:rPr>
          <w:rFonts w:hint="eastAsia" w:ascii="宋体" w:hAnsi="宋体" w:cs="宋体"/>
          <w:b/>
          <w:bCs/>
          <w:color w:val="auto"/>
          <w:sz w:val="24"/>
        </w:rPr>
        <w:t>完成本</w:t>
      </w:r>
      <w:r>
        <w:rPr>
          <w:rFonts w:hint="eastAsia" w:ascii="宋体" w:hAnsi="宋体" w:cs="宋体"/>
          <w:b/>
          <w:bCs/>
          <w:color w:val="auto"/>
          <w:sz w:val="24"/>
          <w:lang w:eastAsia="zh-CN"/>
        </w:rPr>
        <w:t>项目采购需求</w:t>
      </w:r>
      <w:r>
        <w:rPr>
          <w:rFonts w:hint="eastAsia" w:ascii="宋体" w:hAnsi="宋体" w:cs="宋体"/>
          <w:b/>
          <w:bCs/>
          <w:color w:val="auto"/>
          <w:sz w:val="24"/>
        </w:rPr>
        <w:t>所发生的全部费用</w:t>
      </w:r>
      <w:r>
        <w:rPr>
          <w:rFonts w:hint="eastAsia" w:ascii="宋体" w:hAnsi="宋体" w:cs="宋体"/>
          <w:b/>
          <w:bCs/>
          <w:color w:val="auto"/>
          <w:sz w:val="24"/>
          <w:lang w:eastAsia="zh-CN"/>
        </w:rPr>
        <w:t>，供应商另须为采购人原有的罐体（含附件）、报警管道、管道终端、检验阀等医用气体系统设备提供免费的维护保养（产生的材料费需报采购人经认可按实结算），采购人不再承担供应商一次性报价之外的其他任何费用。</w:t>
      </w:r>
    </w:p>
    <w:p>
      <w:pPr>
        <w:snapToGrid w:val="0"/>
        <w:spacing w:line="360" w:lineRule="auto"/>
        <w:ind w:firstLine="468" w:firstLineChars="195"/>
        <w:outlineLvl w:val="1"/>
        <w:rPr>
          <w:rFonts w:ascii="宋体" w:hAnsi="宋体" w:cs="宋体"/>
          <w:color w:val="auto"/>
          <w:sz w:val="24"/>
          <w:szCs w:val="24"/>
        </w:rPr>
      </w:pPr>
      <w:r>
        <w:rPr>
          <w:rFonts w:hint="eastAsia" w:ascii="宋体" w:hAnsi="宋体" w:cs="宋体"/>
          <w:color w:val="auto"/>
          <w:sz w:val="24"/>
          <w:szCs w:val="24"/>
        </w:rPr>
        <w:t>6、供应商应详细阅读磋商文件的全部内容，根据采购项目需求，准确制定相关工作方案等，必须对本采购项目全部进行报价，如有漏项，视同对本项目的优惠。不按磋商文件的要求提供响应文件，导致报价无效，按无效标处理。</w:t>
      </w:r>
    </w:p>
    <w:p>
      <w:pPr>
        <w:snapToGrid w:val="0"/>
        <w:spacing w:line="360" w:lineRule="auto"/>
        <w:ind w:firstLine="480" w:firstLineChars="200"/>
        <w:textAlignment w:val="baseline"/>
        <w:rPr>
          <w:color w:val="auto"/>
        </w:rPr>
      </w:pPr>
      <w:r>
        <w:rPr>
          <w:rFonts w:hint="eastAsia" w:ascii="宋体" w:hAnsi="宋体" w:cs="宋体"/>
          <w:color w:val="auto"/>
          <w:sz w:val="24"/>
        </w:rPr>
        <w:t>7、</w:t>
      </w:r>
      <w:r>
        <w:rPr>
          <w:rFonts w:hint="eastAsia" w:ascii="宋体" w:hAnsi="宋体" w:cs="宋体"/>
          <w:bCs/>
          <w:color w:val="auto"/>
          <w:sz w:val="24"/>
        </w:rPr>
        <w:t>本次磋商项目的报价采用两轮报价，首次报价不得超过项目预算</w:t>
      </w:r>
      <w:r>
        <w:rPr>
          <w:rFonts w:hint="eastAsia" w:ascii="宋体" w:hAnsi="宋体" w:cs="宋体"/>
          <w:bCs/>
          <w:color w:val="auto"/>
          <w:sz w:val="24"/>
          <w:lang w:eastAsia="zh-CN"/>
        </w:rPr>
        <w:t>总</w:t>
      </w:r>
      <w:r>
        <w:rPr>
          <w:rFonts w:hint="eastAsia" w:ascii="宋体" w:hAnsi="宋体" w:cs="宋体"/>
          <w:bCs/>
          <w:color w:val="auto"/>
          <w:sz w:val="24"/>
        </w:rPr>
        <w:t>金额</w:t>
      </w:r>
      <w:r>
        <w:rPr>
          <w:rFonts w:hint="eastAsia" w:ascii="宋体" w:hAnsi="宋体" w:cs="宋体"/>
          <w:bCs/>
          <w:color w:val="auto"/>
          <w:sz w:val="24"/>
          <w:lang w:eastAsia="zh-CN"/>
        </w:rPr>
        <w:t>及综合单价限价</w:t>
      </w:r>
      <w:r>
        <w:rPr>
          <w:rFonts w:hint="eastAsia" w:ascii="宋体" w:hAnsi="宋体" w:cs="宋体"/>
          <w:bCs/>
          <w:color w:val="auto"/>
          <w:sz w:val="24"/>
        </w:rPr>
        <w:t>。除非在磋商中磋商小组对采购人需求内容作了调整增加，或对采购内容作了实质性变更，否则采购人不接受供应商高于自己前一轮的磋商报价，并作无效报价处理。最终报价将作为磋商小组评定成交供应商的依据。</w:t>
      </w:r>
    </w:p>
    <w:p>
      <w:pPr>
        <w:snapToGrid w:val="0"/>
        <w:spacing w:line="360" w:lineRule="auto"/>
        <w:ind w:firstLine="468" w:firstLineChars="195"/>
        <w:outlineLvl w:val="1"/>
        <w:rPr>
          <w:rFonts w:ascii="宋体" w:hAnsi="宋体" w:cs="宋体"/>
          <w:color w:val="auto"/>
          <w:sz w:val="24"/>
          <w:szCs w:val="24"/>
        </w:rPr>
      </w:pPr>
      <w:r>
        <w:rPr>
          <w:rFonts w:hint="eastAsia" w:ascii="宋体" w:hAnsi="宋体" w:cs="宋体"/>
          <w:color w:val="auto"/>
          <w:sz w:val="24"/>
          <w:szCs w:val="24"/>
        </w:rPr>
        <w:t>8、本项目竞争性磋商的最终报价作为成交价。同时，供应商的最终成交价在合同实施期间不因市场变化因素而变动。</w:t>
      </w:r>
    </w:p>
    <w:p>
      <w:pPr>
        <w:snapToGrid w:val="0"/>
        <w:spacing w:line="360" w:lineRule="auto"/>
        <w:ind w:firstLine="470" w:firstLineChars="196"/>
        <w:outlineLvl w:val="1"/>
        <w:rPr>
          <w:rFonts w:ascii="宋体"/>
          <w:color w:val="auto"/>
          <w:sz w:val="24"/>
          <w:szCs w:val="24"/>
        </w:rPr>
      </w:pPr>
      <w:r>
        <w:rPr>
          <w:rFonts w:hint="eastAsia" w:ascii="宋体" w:hAnsi="宋体" w:cs="宋体"/>
          <w:color w:val="auto"/>
          <w:sz w:val="24"/>
          <w:szCs w:val="24"/>
          <w:lang w:val="en-US" w:eastAsia="zh-CN"/>
        </w:rPr>
        <w:t>9</w:t>
      </w:r>
      <w:r>
        <w:rPr>
          <w:rFonts w:hint="eastAsia" w:ascii="宋体" w:hAnsi="宋体" w:cs="宋体"/>
          <w:color w:val="auto"/>
          <w:sz w:val="24"/>
          <w:szCs w:val="24"/>
        </w:rPr>
        <w:t>、最低的磋商总价报价是成交的重要条件，但不是成交的唯一条件。</w:t>
      </w:r>
    </w:p>
    <w:p>
      <w:pPr>
        <w:snapToGrid w:val="0"/>
        <w:spacing w:line="360" w:lineRule="auto"/>
        <w:ind w:firstLine="496" w:firstLineChars="206"/>
        <w:outlineLvl w:val="1"/>
        <w:rPr>
          <w:rFonts w:ascii="宋体"/>
          <w:b/>
          <w:bCs/>
          <w:color w:val="auto"/>
          <w:sz w:val="24"/>
          <w:szCs w:val="24"/>
        </w:rPr>
      </w:pPr>
      <w:r>
        <w:rPr>
          <w:rFonts w:hint="eastAsia" w:ascii="宋体" w:hAnsi="宋体" w:cs="宋体"/>
          <w:b/>
          <w:bCs/>
          <w:color w:val="auto"/>
          <w:sz w:val="24"/>
          <w:szCs w:val="24"/>
        </w:rPr>
        <w:t>八、联合体参与磋商</w:t>
      </w:r>
    </w:p>
    <w:p>
      <w:pPr>
        <w:snapToGrid w:val="0"/>
        <w:spacing w:line="360" w:lineRule="auto"/>
        <w:ind w:firstLine="470" w:firstLineChars="196"/>
        <w:outlineLvl w:val="1"/>
        <w:rPr>
          <w:rFonts w:ascii="宋体" w:hAnsi="宋体" w:cs="宋体"/>
          <w:color w:val="auto"/>
          <w:sz w:val="24"/>
          <w:szCs w:val="24"/>
        </w:rPr>
      </w:pPr>
      <w:r>
        <w:rPr>
          <w:rFonts w:hint="eastAsia" w:ascii="宋体" w:hAnsi="宋体" w:cs="宋体"/>
          <w:color w:val="auto"/>
          <w:sz w:val="24"/>
          <w:szCs w:val="24"/>
        </w:rPr>
        <w:t>不接受任何形式的联合体参与本项目的竞争性磋商。</w:t>
      </w:r>
    </w:p>
    <w:p>
      <w:pPr>
        <w:snapToGrid w:val="0"/>
        <w:spacing w:line="360" w:lineRule="auto"/>
        <w:ind w:firstLine="496" w:firstLineChars="206"/>
        <w:outlineLvl w:val="1"/>
        <w:rPr>
          <w:color w:val="auto"/>
          <w:sz w:val="24"/>
          <w:szCs w:val="24"/>
        </w:rPr>
      </w:pPr>
      <w:r>
        <w:rPr>
          <w:rFonts w:hint="eastAsia" w:cs="宋体"/>
          <w:b/>
          <w:bCs/>
          <w:color w:val="auto"/>
          <w:sz w:val="24"/>
          <w:szCs w:val="24"/>
        </w:rPr>
        <w:t>九、磋商响应文件的有效期</w:t>
      </w:r>
    </w:p>
    <w:p>
      <w:pPr>
        <w:snapToGrid w:val="0"/>
        <w:spacing w:line="360" w:lineRule="auto"/>
        <w:ind w:firstLine="480" w:firstLineChars="200"/>
        <w:rPr>
          <w:color w:val="auto"/>
          <w:sz w:val="24"/>
          <w:szCs w:val="24"/>
        </w:rPr>
      </w:pPr>
      <w:r>
        <w:rPr>
          <w:rFonts w:hint="eastAsia" w:cs="宋体"/>
          <w:color w:val="auto"/>
          <w:sz w:val="24"/>
          <w:szCs w:val="24"/>
        </w:rPr>
        <w:t>1、从磋商响应文件接收截止之日算起，</w:t>
      </w:r>
      <w:r>
        <w:rPr>
          <w:b/>
          <w:bCs/>
          <w:color w:val="auto"/>
          <w:sz w:val="24"/>
          <w:szCs w:val="24"/>
        </w:rPr>
        <w:t>45</w:t>
      </w:r>
      <w:r>
        <w:rPr>
          <w:rFonts w:hint="eastAsia" w:cs="宋体"/>
          <w:color w:val="auto"/>
          <w:sz w:val="24"/>
          <w:szCs w:val="24"/>
        </w:rPr>
        <w:t>个</w:t>
      </w:r>
      <w:r>
        <w:rPr>
          <w:color w:val="auto"/>
          <w:sz w:val="24"/>
          <w:szCs w:val="24"/>
        </w:rPr>
        <w:t>“</w:t>
      </w:r>
      <w:r>
        <w:rPr>
          <w:rFonts w:hint="eastAsia" w:cs="宋体"/>
          <w:color w:val="auto"/>
          <w:sz w:val="24"/>
          <w:szCs w:val="24"/>
        </w:rPr>
        <w:t>日历天</w:t>
      </w:r>
      <w:r>
        <w:rPr>
          <w:color w:val="auto"/>
          <w:sz w:val="24"/>
          <w:szCs w:val="24"/>
        </w:rPr>
        <w:t>”</w:t>
      </w:r>
      <w:r>
        <w:rPr>
          <w:rFonts w:hint="eastAsia" w:cs="宋体"/>
          <w:color w:val="auto"/>
          <w:sz w:val="24"/>
          <w:szCs w:val="24"/>
        </w:rPr>
        <w:t>内磋商响应书应保持有效。有效期短于这个规定期限的磋商响应，将被拒绝。</w:t>
      </w:r>
    </w:p>
    <w:p>
      <w:pPr>
        <w:snapToGrid w:val="0"/>
        <w:spacing w:line="360" w:lineRule="auto"/>
        <w:ind w:firstLine="480" w:firstLineChars="200"/>
        <w:textAlignment w:val="baseline"/>
        <w:rPr>
          <w:color w:val="auto"/>
        </w:rPr>
      </w:pPr>
      <w:r>
        <w:rPr>
          <w:color w:val="auto"/>
          <w:sz w:val="24"/>
          <w:szCs w:val="24"/>
        </w:rPr>
        <w:t>2</w:t>
      </w:r>
      <w:r>
        <w:rPr>
          <w:rFonts w:hint="eastAsia"/>
          <w:color w:val="auto"/>
          <w:sz w:val="24"/>
          <w:szCs w:val="24"/>
        </w:rPr>
        <w:t>、</w:t>
      </w:r>
      <w:r>
        <w:rPr>
          <w:rFonts w:hint="eastAsia" w:cs="宋体"/>
          <w:color w:val="auto"/>
          <w:sz w:val="24"/>
          <w:szCs w:val="24"/>
        </w:rPr>
        <w:t>在特殊情况下，采购代理机构可与磋商响应供应商协商延长磋商响应书的有效期。这种要求和答复都应以书面、传真、或电报的形式进行。同意延长有效期的磋商响应供应商不能修改磋商响应文件。拒绝接受延期要求的磋商响应供应商的磋商响应将被拒绝。</w:t>
      </w:r>
    </w:p>
    <w:p>
      <w:pPr>
        <w:snapToGrid w:val="0"/>
        <w:spacing w:line="360" w:lineRule="auto"/>
        <w:ind w:firstLine="482" w:firstLineChars="200"/>
        <w:outlineLvl w:val="1"/>
        <w:rPr>
          <w:rFonts w:ascii="宋体"/>
          <w:color w:val="auto"/>
          <w:sz w:val="24"/>
          <w:szCs w:val="24"/>
        </w:rPr>
      </w:pPr>
      <w:r>
        <w:rPr>
          <w:rFonts w:hint="eastAsia" w:ascii="宋体" w:hAnsi="宋体" w:cs="宋体"/>
          <w:b/>
          <w:bCs/>
          <w:color w:val="auto"/>
          <w:sz w:val="24"/>
          <w:szCs w:val="24"/>
        </w:rPr>
        <w:t>十、响应文件及</w:t>
      </w:r>
      <w:r>
        <w:rPr>
          <w:rFonts w:hint="eastAsia" w:ascii="宋体" w:hAnsi="宋体" w:cs="宋体"/>
          <w:b/>
          <w:bCs/>
          <w:color w:val="auto"/>
          <w:kern w:val="0"/>
          <w:sz w:val="24"/>
          <w:szCs w:val="24"/>
        </w:rPr>
        <w:t>磋商</w:t>
      </w:r>
      <w:r>
        <w:rPr>
          <w:rFonts w:hint="eastAsia" w:ascii="宋体" w:hAnsi="宋体" w:cs="宋体"/>
          <w:b/>
          <w:bCs/>
          <w:color w:val="auto"/>
          <w:sz w:val="24"/>
          <w:szCs w:val="24"/>
        </w:rPr>
        <w:t>费用</w:t>
      </w:r>
    </w:p>
    <w:p>
      <w:pPr>
        <w:snapToGrid w:val="0"/>
        <w:spacing w:line="360" w:lineRule="auto"/>
        <w:ind w:firstLine="480" w:firstLineChars="200"/>
        <w:rPr>
          <w:rFonts w:cs="宋体"/>
          <w:color w:val="auto"/>
          <w:sz w:val="24"/>
          <w:szCs w:val="24"/>
        </w:rPr>
      </w:pPr>
      <w:r>
        <w:rPr>
          <w:rFonts w:hint="eastAsia" w:cs="宋体"/>
          <w:color w:val="auto"/>
          <w:sz w:val="24"/>
          <w:szCs w:val="24"/>
        </w:rPr>
        <w:t>1、各投标供应商须在递交磋商响应文件的同时缴纳磋商文件资料费300元。无论是否成交，该费用不予退还。</w:t>
      </w:r>
    </w:p>
    <w:p>
      <w:pPr>
        <w:snapToGrid w:val="0"/>
        <w:spacing w:line="360" w:lineRule="auto"/>
        <w:ind w:firstLine="480" w:firstLineChars="200"/>
        <w:rPr>
          <w:rFonts w:cs="宋体"/>
          <w:color w:val="auto"/>
          <w:sz w:val="24"/>
          <w:szCs w:val="24"/>
        </w:rPr>
      </w:pPr>
      <w:r>
        <w:rPr>
          <w:rFonts w:hint="eastAsia" w:cs="宋体"/>
          <w:color w:val="auto"/>
          <w:sz w:val="24"/>
          <w:szCs w:val="24"/>
        </w:rPr>
        <w:t>2、本项目采购代理费（按照国家计委[2002]1980号、发改价格[2011]534号的规定标准的40%收取，不满1200元按1200元收取）由成交供应商承担，请参加磋商的投标供应商在成本中自行考虑。上述费用领取成交通知书前，向代理公司一次性缴清。</w:t>
      </w:r>
    </w:p>
    <w:p>
      <w:pPr>
        <w:snapToGrid w:val="0"/>
        <w:spacing w:line="360" w:lineRule="auto"/>
        <w:ind w:firstLine="480" w:firstLineChars="200"/>
        <w:rPr>
          <w:rFonts w:cs="宋体"/>
          <w:color w:val="auto"/>
          <w:sz w:val="24"/>
          <w:szCs w:val="24"/>
        </w:rPr>
      </w:pPr>
      <w:r>
        <w:rPr>
          <w:rFonts w:hint="eastAsia" w:cs="宋体"/>
          <w:color w:val="auto"/>
          <w:sz w:val="24"/>
          <w:szCs w:val="24"/>
        </w:rPr>
        <w:t>3、磋商程序顺利进行后，除供应商的原件可退回外，其余所有的响应文件都将作为档案保存，不论成交与否，代理机构均不退回（未拆封的除外）。</w:t>
      </w:r>
    </w:p>
    <w:p>
      <w:pPr>
        <w:snapToGrid w:val="0"/>
        <w:spacing w:line="360" w:lineRule="auto"/>
        <w:ind w:firstLine="480" w:firstLineChars="200"/>
        <w:rPr>
          <w:rFonts w:cs="宋体"/>
          <w:color w:val="auto"/>
          <w:sz w:val="24"/>
          <w:szCs w:val="24"/>
        </w:rPr>
      </w:pPr>
      <w:r>
        <w:rPr>
          <w:rFonts w:hint="eastAsia" w:cs="宋体"/>
          <w:color w:val="auto"/>
          <w:sz w:val="24"/>
          <w:szCs w:val="24"/>
        </w:rPr>
        <w:t>4、无论磋商过程和结果如何，参加项目磋商的供应商自行承担与本次项目磋商有关的全部费用。</w:t>
      </w:r>
    </w:p>
    <w:p>
      <w:pPr>
        <w:snapToGrid w:val="0"/>
        <w:spacing w:line="360" w:lineRule="auto"/>
        <w:ind w:firstLine="472" w:firstLineChars="196"/>
        <w:outlineLvl w:val="1"/>
        <w:rPr>
          <w:rFonts w:ascii="宋体" w:hAnsi="宋体" w:cs="宋体"/>
          <w:b/>
          <w:color w:val="auto"/>
          <w:sz w:val="24"/>
          <w:szCs w:val="24"/>
        </w:rPr>
      </w:pPr>
      <w:r>
        <w:rPr>
          <w:rFonts w:hint="eastAsia" w:ascii="宋体" w:hAnsi="宋体" w:cs="宋体"/>
          <w:b/>
          <w:color w:val="auto"/>
          <w:sz w:val="24"/>
          <w:szCs w:val="24"/>
        </w:rPr>
        <w:t>十一、履约保证金</w:t>
      </w:r>
    </w:p>
    <w:p>
      <w:pPr>
        <w:snapToGrid w:val="0"/>
        <w:spacing w:line="360" w:lineRule="auto"/>
        <w:ind w:firstLine="470" w:firstLineChars="196"/>
        <w:outlineLvl w:val="1"/>
        <w:rPr>
          <w:rFonts w:ascii="宋体" w:hAns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、本项目成交后的履约保证金为项目中标价的5</w:t>
      </w:r>
      <w:r>
        <w:rPr>
          <w:rFonts w:ascii="宋体" w:hAnsi="宋体" w:cs="宋体"/>
          <w:color w:val="auto"/>
          <w:sz w:val="24"/>
          <w:szCs w:val="24"/>
        </w:rPr>
        <w:t>%</w:t>
      </w:r>
      <w:r>
        <w:rPr>
          <w:rFonts w:hint="eastAsia" w:ascii="宋体" w:hAnsi="宋体" w:cs="宋体"/>
          <w:color w:val="auto"/>
          <w:sz w:val="24"/>
          <w:szCs w:val="24"/>
        </w:rPr>
        <w:t>。</w:t>
      </w:r>
    </w:p>
    <w:p>
      <w:pPr>
        <w:snapToGrid w:val="0"/>
        <w:spacing w:line="360" w:lineRule="auto"/>
        <w:ind w:firstLine="470" w:firstLineChars="196"/>
        <w:outlineLvl w:val="1"/>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、成交供应商的履约保证金须在采购代理通知发成交通知书之日起</w:t>
      </w:r>
      <w:r>
        <w:rPr>
          <w:rFonts w:ascii="宋体" w:hAnsi="宋体" w:cs="宋体"/>
          <w:color w:val="auto"/>
          <w:sz w:val="24"/>
          <w:szCs w:val="24"/>
        </w:rPr>
        <w:t>3</w:t>
      </w:r>
      <w:r>
        <w:rPr>
          <w:rFonts w:hint="eastAsia" w:ascii="宋体" w:hAnsi="宋体" w:cs="宋体"/>
          <w:color w:val="auto"/>
          <w:sz w:val="24"/>
          <w:szCs w:val="24"/>
        </w:rPr>
        <w:t>个工作日内汇入采购人账户，成交供应商凭“成交通知书”和已经汇至采购人账上的“履约保证金”凭证，并在采购代理通知发成交通知书之日起</w:t>
      </w:r>
      <w:r>
        <w:rPr>
          <w:rFonts w:hint="eastAsia" w:ascii="宋体" w:hAnsi="宋体" w:cs="宋体"/>
          <w:color w:val="auto"/>
          <w:sz w:val="24"/>
          <w:szCs w:val="24"/>
          <w:lang w:val="en-US" w:eastAsia="zh-CN"/>
        </w:rPr>
        <w:t>30</w:t>
      </w:r>
      <w:r>
        <w:rPr>
          <w:rFonts w:hint="eastAsia" w:ascii="宋体" w:hAnsi="宋体" w:cs="宋体"/>
          <w:color w:val="auto"/>
          <w:sz w:val="24"/>
          <w:szCs w:val="24"/>
        </w:rPr>
        <w:t>日内与采购人签订合同。</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、成交供应商在按要求保质保量的完成该项目合同并通过验收后，采购人凭成交供应商提交的申请，一次性无息退还该合同项目的履约保证金。</w:t>
      </w:r>
    </w:p>
    <w:p>
      <w:pPr>
        <w:snapToGrid w:val="0"/>
        <w:spacing w:line="360" w:lineRule="auto"/>
        <w:ind w:firstLine="480" w:firstLineChars="200"/>
        <w:rPr>
          <w:rFonts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、由于成交供应商原因，在签订合同后出现不按合同履行的情况，采购人有权将履约保证金作为违约金，全额不予退还，同时采购人亦有权终止合同，成交供应商还须承担相应的法律赔偿责任。</w:t>
      </w:r>
    </w:p>
    <w:p>
      <w:pPr>
        <w:snapToGrid w:val="0"/>
        <w:spacing w:line="360" w:lineRule="auto"/>
        <w:ind w:firstLine="496" w:firstLineChars="206"/>
        <w:textAlignment w:val="baseline"/>
        <w:rPr>
          <w:rFonts w:ascii="宋体" w:hAnsi="宋体" w:cs="宋体"/>
          <w:b/>
          <w:color w:val="auto"/>
          <w:sz w:val="24"/>
          <w:szCs w:val="24"/>
        </w:rPr>
      </w:pPr>
      <w:r>
        <w:rPr>
          <w:rFonts w:hint="eastAsia" w:ascii="宋体" w:hAnsi="宋体" w:cs="宋体"/>
          <w:b/>
          <w:color w:val="auto"/>
          <w:sz w:val="24"/>
          <w:szCs w:val="24"/>
        </w:rPr>
        <w:t>十二、付款方式</w:t>
      </w:r>
    </w:p>
    <w:p>
      <w:pPr>
        <w:snapToGrid w:val="0"/>
        <w:spacing w:line="360"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zh-CN" w:eastAsia="zh-CN"/>
        </w:rPr>
        <w:t>费用按月结算，每个次月10日前，成交供应商凭“配送确认单”的月度实际配送量乘以固定综合单价开具有效增值税发票，经采购人审核后结算支付上一月度费用。</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当采购预估数量与实际使用数量不一致时，成交供应商应根据实际使用量提供，最终结算金额按实际使用量乘以固定综合单价进行计算。</w:t>
      </w:r>
    </w:p>
    <w:p>
      <w:pPr>
        <w:snapToGrid w:val="0"/>
        <w:spacing w:line="360" w:lineRule="auto"/>
        <w:ind w:firstLine="496" w:firstLineChars="206"/>
        <w:outlineLvl w:val="1"/>
        <w:rPr>
          <w:rFonts w:ascii="宋体" w:hAnsi="宋体" w:cs="宋体"/>
          <w:b/>
          <w:color w:val="auto"/>
          <w:sz w:val="24"/>
          <w:szCs w:val="24"/>
        </w:rPr>
      </w:pPr>
      <w:r>
        <w:rPr>
          <w:rFonts w:hint="eastAsia" w:ascii="宋体" w:hAnsi="宋体" w:cs="宋体"/>
          <w:b/>
          <w:bCs/>
          <w:color w:val="auto"/>
          <w:sz w:val="24"/>
          <w:szCs w:val="24"/>
        </w:rPr>
        <w:t>十三、</w:t>
      </w:r>
      <w:r>
        <w:rPr>
          <w:rFonts w:hint="eastAsia" w:ascii="宋体" w:hAnsi="宋体" w:cs="宋体"/>
          <w:b/>
          <w:color w:val="auto"/>
          <w:sz w:val="24"/>
          <w:szCs w:val="24"/>
        </w:rPr>
        <w:t>未尽事宜</w:t>
      </w:r>
    </w:p>
    <w:p>
      <w:pPr>
        <w:snapToGrid w:val="0"/>
        <w:spacing w:line="360" w:lineRule="auto"/>
        <w:ind w:firstLine="470" w:firstLineChars="196"/>
        <w:outlineLvl w:val="1"/>
        <w:rPr>
          <w:rFonts w:ascii="宋体" w:hAnsi="宋体" w:cs="宋体"/>
          <w:color w:val="auto"/>
          <w:sz w:val="24"/>
          <w:szCs w:val="24"/>
        </w:rPr>
        <w:sectPr>
          <w:headerReference r:id="rId4" w:type="first"/>
          <w:headerReference r:id="rId3" w:type="default"/>
          <w:footerReference r:id="rId5" w:type="default"/>
          <w:type w:val="continuous"/>
          <w:pgSz w:w="11906" w:h="16838"/>
          <w:pgMar w:top="1440" w:right="1361" w:bottom="1440" w:left="1361" w:header="851" w:footer="992" w:gutter="0"/>
          <w:pgNumType w:fmt="numberInDash"/>
          <w:cols w:space="720" w:num="1"/>
          <w:titlePg/>
          <w:docGrid w:linePitch="312" w:charSpace="0"/>
        </w:sectPr>
      </w:pPr>
      <w:r>
        <w:rPr>
          <w:rFonts w:hint="eastAsia" w:ascii="宋体" w:hAnsi="宋体" w:cs="宋体"/>
          <w:color w:val="auto"/>
          <w:sz w:val="24"/>
          <w:szCs w:val="24"/>
        </w:rPr>
        <w:t>按《中华人民共和国政府采购法》、《政府采</w:t>
      </w:r>
      <w:bookmarkStart w:id="32" w:name="_Toc363573855"/>
      <w:r>
        <w:rPr>
          <w:rFonts w:hint="eastAsia" w:ascii="宋体" w:hAnsi="宋体" w:cs="宋体"/>
          <w:color w:val="auto"/>
          <w:sz w:val="24"/>
          <w:szCs w:val="24"/>
        </w:rPr>
        <w:t>购竞争性磋商采购方式管理暂行办法》及其他有关法律法规的规定执行。</w:t>
      </w:r>
    </w:p>
    <w:bookmarkEnd w:id="22"/>
    <w:bookmarkEnd w:id="23"/>
    <w:bookmarkEnd w:id="24"/>
    <w:bookmarkEnd w:id="25"/>
    <w:bookmarkEnd w:id="26"/>
    <w:bookmarkEnd w:id="27"/>
    <w:bookmarkEnd w:id="28"/>
    <w:bookmarkEnd w:id="29"/>
    <w:bookmarkEnd w:id="30"/>
    <w:bookmarkEnd w:id="31"/>
    <w:bookmarkEnd w:id="32"/>
    <w:p>
      <w:pPr>
        <w:spacing w:line="460" w:lineRule="exact"/>
        <w:jc w:val="center"/>
        <w:rPr>
          <w:rFonts w:ascii="宋体" w:hAnsi="宋体" w:cs="宋体"/>
          <w:b/>
          <w:bCs/>
          <w:color w:val="auto"/>
          <w:w w:val="80"/>
          <w:sz w:val="44"/>
          <w:szCs w:val="44"/>
        </w:rPr>
      </w:pPr>
      <w:bookmarkStart w:id="33" w:name="_Toc11554641"/>
      <w:bookmarkStart w:id="34" w:name="_Toc13803483"/>
      <w:bookmarkStart w:id="35" w:name="_Toc521203420"/>
      <w:bookmarkStart w:id="36" w:name="_Toc12670505"/>
      <w:bookmarkStart w:id="37" w:name="_Toc11500282"/>
      <w:bookmarkStart w:id="38" w:name="_Toc8895741"/>
      <w:bookmarkStart w:id="39" w:name="_Toc94585342"/>
      <w:bookmarkStart w:id="40" w:name="_Toc521201599"/>
      <w:bookmarkStart w:id="41" w:name="_Toc11499586"/>
      <w:bookmarkStart w:id="42" w:name="_Toc94544746"/>
      <w:bookmarkStart w:id="43" w:name="_Toc94544872"/>
      <w:bookmarkStart w:id="44" w:name="_Toc363573856"/>
      <w:r>
        <w:rPr>
          <w:rFonts w:hint="eastAsia" w:ascii="宋体" w:hAnsi="宋体" w:cs="宋体"/>
          <w:b/>
          <w:bCs/>
          <w:color w:val="auto"/>
          <w:w w:val="80"/>
          <w:sz w:val="44"/>
          <w:szCs w:val="44"/>
        </w:rPr>
        <w:t>第三章  项目需求</w:t>
      </w:r>
    </w:p>
    <w:p>
      <w:pPr>
        <w:pStyle w:val="2"/>
        <w:rPr>
          <w:color w:val="auto"/>
        </w:rPr>
      </w:pPr>
    </w:p>
    <w:p>
      <w:pPr>
        <w:snapToGrid w:val="0"/>
        <w:spacing w:line="360" w:lineRule="auto"/>
        <w:ind w:left="-210" w:leftChars="-100" w:firstLine="520" w:firstLineChars="216"/>
        <w:rPr>
          <w:rFonts w:ascii="宋体" w:hAnsi="宋体" w:cs="宋体"/>
          <w:color w:val="auto"/>
          <w:kern w:val="0"/>
          <w:sz w:val="24"/>
          <w:szCs w:val="24"/>
          <w:lang w:val="zh-CN"/>
        </w:rPr>
      </w:pPr>
      <w:r>
        <w:rPr>
          <w:rFonts w:hint="eastAsia" w:ascii="宋体" w:hAnsi="宋体" w:cs="宋体"/>
          <w:b/>
          <w:color w:val="auto"/>
          <w:sz w:val="24"/>
          <w:szCs w:val="24"/>
        </w:rPr>
        <w:t>特别提醒：</w:t>
      </w:r>
      <w:r>
        <w:rPr>
          <w:rFonts w:hint="eastAsia" w:ascii="宋体" w:hAnsi="宋体" w:cs="宋体"/>
          <w:b/>
          <w:color w:val="auto"/>
          <w:kern w:val="0"/>
          <w:sz w:val="24"/>
          <w:szCs w:val="24"/>
          <w:lang w:val="zh-CN"/>
        </w:rPr>
        <w:t>请供应商制作投标响应文件时仔细研究项目需求说明。</w:t>
      </w:r>
      <w:r>
        <w:rPr>
          <w:rFonts w:hint="eastAsia" w:ascii="宋体" w:hAnsi="宋体" w:cs="宋体"/>
          <w:color w:val="auto"/>
          <w:kern w:val="0"/>
          <w:sz w:val="24"/>
          <w:szCs w:val="24"/>
          <w:lang w:val="zh-CN"/>
        </w:rPr>
        <w:t>供应商不能简单照搬照抄采购单位项目需求说明中的技术要求，必须作实事求是的响应。如照搬照抄项目需求说明中的技术要求，成交后供应商在同采购单位签订合同和履约环节中不得提出异议，一切后果和损失由成交供应商承担。如供应商提供的货物和服务同采购单位提出的项目需求说明中的技术要求不同的，必须在《技术条款响应一览表》上明示，如不明示的视同完全响应。</w:t>
      </w:r>
    </w:p>
    <w:p>
      <w:pPr>
        <w:numPr>
          <w:ilvl w:val="-1"/>
          <w:numId w:val="0"/>
        </w:numPr>
        <w:spacing w:line="480" w:lineRule="exact"/>
        <w:ind w:firstLine="482" w:firstLineChars="200"/>
        <w:rPr>
          <w:rFonts w:hint="eastAsia" w:ascii="宋体" w:hAnsi="宋体" w:eastAsia="宋体"/>
          <w:b/>
          <w:bCs/>
          <w:color w:val="auto"/>
          <w:sz w:val="24"/>
          <w:szCs w:val="24"/>
          <w:lang w:val="zh-CN"/>
        </w:rPr>
      </w:pPr>
      <w:bookmarkStart w:id="45" w:name="_Toc13642116"/>
      <w:bookmarkStart w:id="46" w:name="_Toc18910"/>
      <w:r>
        <w:rPr>
          <w:rFonts w:hint="eastAsia" w:ascii="宋体" w:hAnsi="宋体" w:eastAsia="宋体"/>
          <w:b/>
          <w:bCs/>
          <w:color w:val="auto"/>
          <w:sz w:val="24"/>
          <w:szCs w:val="24"/>
          <w:lang w:val="zh-CN"/>
        </w:rPr>
        <w:t>一、项目概况</w:t>
      </w:r>
    </w:p>
    <w:p>
      <w:pPr>
        <w:numPr>
          <w:ilvl w:val="-1"/>
          <w:numId w:val="0"/>
        </w:numPr>
        <w:spacing w:line="480" w:lineRule="exact"/>
        <w:ind w:firstLine="480" w:firstLineChars="200"/>
        <w:rPr>
          <w:rFonts w:hint="eastAsia" w:ascii="宋体" w:hAnsi="宋体" w:eastAsia="宋体"/>
          <w:b w:val="0"/>
          <w:bCs w:val="0"/>
          <w:color w:val="auto"/>
          <w:sz w:val="24"/>
          <w:szCs w:val="24"/>
          <w:lang w:val="zh-CN"/>
        </w:rPr>
      </w:pPr>
      <w:r>
        <w:rPr>
          <w:rFonts w:hint="eastAsia" w:ascii="宋体" w:hAnsi="宋体" w:eastAsia="宋体"/>
          <w:b w:val="0"/>
          <w:bCs w:val="0"/>
          <w:color w:val="auto"/>
          <w:sz w:val="24"/>
          <w:szCs w:val="24"/>
          <w:lang w:val="zh-CN"/>
        </w:rPr>
        <w:t>项目名称：</w:t>
      </w:r>
      <w:r>
        <w:rPr>
          <w:rFonts w:hint="eastAsia" w:cs="宋体" w:asciiTheme="majorEastAsia" w:hAnsiTheme="majorEastAsia" w:eastAsiaTheme="majorEastAsia"/>
          <w:color w:val="auto"/>
          <w:sz w:val="24"/>
          <w:szCs w:val="24"/>
        </w:rPr>
        <w:t>南通市妇幼保健院医用</w:t>
      </w:r>
      <w:r>
        <w:rPr>
          <w:rFonts w:hint="eastAsia" w:cs="宋体" w:asciiTheme="majorEastAsia" w:hAnsiTheme="majorEastAsia" w:eastAsiaTheme="majorEastAsia"/>
          <w:color w:val="auto"/>
          <w:sz w:val="24"/>
          <w:szCs w:val="24"/>
          <w:lang w:eastAsia="zh-CN"/>
        </w:rPr>
        <w:t>气体采购</w:t>
      </w:r>
      <w:r>
        <w:rPr>
          <w:rFonts w:hint="eastAsia" w:cs="宋体" w:asciiTheme="majorEastAsia" w:hAnsiTheme="majorEastAsia" w:eastAsiaTheme="majorEastAsia"/>
          <w:color w:val="auto"/>
          <w:sz w:val="24"/>
          <w:szCs w:val="24"/>
        </w:rPr>
        <w:t>项目</w:t>
      </w:r>
      <w:r>
        <w:rPr>
          <w:rFonts w:hint="eastAsia" w:ascii="宋体" w:hAnsi="宋体" w:eastAsia="宋体"/>
          <w:b w:val="0"/>
          <w:bCs w:val="0"/>
          <w:color w:val="auto"/>
          <w:sz w:val="24"/>
          <w:szCs w:val="24"/>
          <w:lang w:val="zh-CN"/>
        </w:rPr>
        <w:t>。</w:t>
      </w:r>
    </w:p>
    <w:p>
      <w:pPr>
        <w:numPr>
          <w:ilvl w:val="-1"/>
          <w:numId w:val="0"/>
        </w:numPr>
        <w:spacing w:line="480" w:lineRule="exact"/>
        <w:ind w:firstLine="482" w:firstLineChars="200"/>
        <w:rPr>
          <w:rFonts w:hint="eastAsia" w:ascii="宋体" w:hAnsi="宋体" w:eastAsia="宋体"/>
          <w:b/>
          <w:bCs/>
          <w:color w:val="auto"/>
          <w:sz w:val="24"/>
          <w:szCs w:val="24"/>
          <w:lang w:val="zh-CN"/>
        </w:rPr>
      </w:pPr>
      <w:r>
        <w:rPr>
          <w:rFonts w:hint="eastAsia" w:ascii="宋体" w:hAnsi="宋体" w:eastAsia="宋体"/>
          <w:b/>
          <w:bCs/>
          <w:color w:val="auto"/>
          <w:sz w:val="24"/>
          <w:szCs w:val="24"/>
          <w:lang w:val="zh-CN"/>
        </w:rPr>
        <w:t>二、对供应商配送服务要求</w:t>
      </w:r>
    </w:p>
    <w:p>
      <w:pPr>
        <w:numPr>
          <w:ilvl w:val="-1"/>
          <w:numId w:val="0"/>
        </w:numPr>
        <w:spacing w:line="480" w:lineRule="exact"/>
        <w:ind w:firstLine="480" w:firstLineChars="200"/>
        <w:rPr>
          <w:rFonts w:hint="eastAsia" w:ascii="宋体" w:hAnsi="宋体" w:eastAsia="宋体"/>
          <w:b/>
          <w:bCs/>
          <w:color w:val="auto"/>
          <w:sz w:val="24"/>
          <w:szCs w:val="24"/>
          <w:lang w:val="zh-CN" w:eastAsia="zh-CN"/>
        </w:rPr>
      </w:pPr>
      <w:r>
        <w:rPr>
          <w:rFonts w:hint="eastAsia" w:ascii="宋体" w:hAnsi="宋体" w:eastAsia="宋体"/>
          <w:b w:val="0"/>
          <w:bCs w:val="0"/>
          <w:color w:val="auto"/>
          <w:sz w:val="24"/>
          <w:szCs w:val="24"/>
          <w:lang w:val="zh-CN"/>
        </w:rPr>
        <w:t>供应商若无医用气配送运输资质，应与有医用气配送资质的运输单位就本项目签订运输合作协议。投标人在签订合同之前须提供上述事项的合作意向协议，并提供运输合作方的相关证明材料：</w:t>
      </w:r>
      <w:r>
        <w:rPr>
          <w:rFonts w:hint="eastAsia" w:ascii="宋体" w:hAnsi="宋体" w:eastAsia="宋体"/>
          <w:b w:val="0"/>
          <w:bCs w:val="0"/>
          <w:color w:val="auto"/>
          <w:sz w:val="24"/>
          <w:szCs w:val="24"/>
          <w:lang w:val="zh-CN" w:eastAsia="zh-CN"/>
        </w:rPr>
        <w:t>运输单位具备《道路运输经营许可证》，</w:t>
      </w:r>
      <w:r>
        <w:rPr>
          <w:rFonts w:hint="eastAsia" w:ascii="宋体" w:hAnsi="宋体" w:eastAsia="宋体"/>
          <w:b w:val="0"/>
          <w:bCs w:val="0"/>
          <w:color w:val="auto"/>
          <w:sz w:val="24"/>
          <w:szCs w:val="24"/>
          <w:lang w:val="zh-CN"/>
        </w:rPr>
        <w:t>车辆驾驶员和押运员要有安监局及技监局颁发的有效的上岗证等。</w:t>
      </w:r>
    </w:p>
    <w:p>
      <w:pPr>
        <w:numPr>
          <w:ilvl w:val="-1"/>
          <w:numId w:val="0"/>
        </w:numPr>
        <w:spacing w:line="480" w:lineRule="exact"/>
        <w:ind w:firstLine="482" w:firstLineChars="200"/>
        <w:rPr>
          <w:rFonts w:hint="eastAsia" w:ascii="宋体" w:hAnsi="宋体" w:eastAsia="宋体"/>
          <w:b/>
          <w:bCs/>
          <w:color w:val="auto"/>
          <w:sz w:val="24"/>
          <w:szCs w:val="24"/>
          <w:lang w:val="zh-CN"/>
        </w:rPr>
      </w:pPr>
      <w:r>
        <w:rPr>
          <w:rFonts w:hint="eastAsia" w:ascii="宋体" w:hAnsi="宋体" w:eastAsia="宋体"/>
          <w:b/>
          <w:bCs/>
          <w:color w:val="auto"/>
          <w:sz w:val="24"/>
          <w:szCs w:val="24"/>
          <w:lang w:val="zh-CN"/>
        </w:rPr>
        <w:t>三、医用气体购置清单</w:t>
      </w:r>
    </w:p>
    <w:tbl>
      <w:tblPr>
        <w:tblStyle w:val="53"/>
        <w:tblW w:w="9380" w:type="dxa"/>
        <w:jc w:val="center"/>
        <w:tblLayout w:type="fixed"/>
        <w:tblCellMar>
          <w:top w:w="15" w:type="dxa"/>
          <w:left w:w="15" w:type="dxa"/>
          <w:bottom w:w="15" w:type="dxa"/>
          <w:right w:w="15" w:type="dxa"/>
        </w:tblCellMar>
      </w:tblPr>
      <w:tblGrid>
        <w:gridCol w:w="1457"/>
        <w:gridCol w:w="2273"/>
        <w:gridCol w:w="1501"/>
        <w:gridCol w:w="2545"/>
        <w:gridCol w:w="1604"/>
      </w:tblGrid>
      <w:tr>
        <w:tblPrEx>
          <w:tblCellMar>
            <w:top w:w="15" w:type="dxa"/>
            <w:left w:w="15" w:type="dxa"/>
            <w:bottom w:w="15" w:type="dxa"/>
            <w:right w:w="15" w:type="dxa"/>
          </w:tblCellMar>
        </w:tblPrEx>
        <w:trPr>
          <w:trHeight w:val="508" w:hRule="atLeast"/>
          <w:jc w:val="center"/>
        </w:trPr>
        <w:tc>
          <w:tcPr>
            <w:tcW w:w="9380" w:type="dxa"/>
            <w:gridSpan w:val="5"/>
            <w:noWrap w:val="0"/>
            <w:vAlign w:val="center"/>
          </w:tcPr>
          <w:p>
            <w:pPr>
              <w:widowControl/>
              <w:jc w:val="center"/>
              <w:textAlignment w:val="center"/>
              <w:rPr>
                <w:rFonts w:hint="eastAsia" w:ascii="方正粗黑宋简体" w:hAnsi="方正粗黑宋简体" w:eastAsia="方正粗黑宋简体" w:cs="方正粗黑宋简体"/>
                <w:color w:val="auto"/>
                <w:sz w:val="32"/>
                <w:szCs w:val="32"/>
                <w:lang w:eastAsia="zh-CN"/>
              </w:rPr>
            </w:pPr>
            <w:r>
              <w:rPr>
                <w:rFonts w:hint="eastAsia" w:ascii="方正粗黑宋简体" w:hAnsi="方正粗黑宋简体" w:eastAsia="方正粗黑宋简体" w:cs="方正粗黑宋简体"/>
                <w:color w:val="auto"/>
                <w:kern w:val="0"/>
                <w:sz w:val="28"/>
                <w:szCs w:val="28"/>
                <w:lang w:bidi="ar"/>
              </w:rPr>
              <w:t>南通市妇幼保健院医用气采购</w:t>
            </w:r>
            <w:r>
              <w:rPr>
                <w:rFonts w:hint="eastAsia" w:ascii="方正粗黑宋简体" w:hAnsi="方正粗黑宋简体" w:eastAsia="方正粗黑宋简体" w:cs="方正粗黑宋简体"/>
                <w:color w:val="auto"/>
                <w:kern w:val="0"/>
                <w:sz w:val="28"/>
                <w:szCs w:val="28"/>
                <w:lang w:eastAsia="zh-CN" w:bidi="ar"/>
              </w:rPr>
              <w:t>清单</w:t>
            </w:r>
          </w:p>
        </w:tc>
      </w:tr>
      <w:tr>
        <w:tblPrEx>
          <w:tblCellMar>
            <w:top w:w="15" w:type="dxa"/>
            <w:left w:w="15" w:type="dxa"/>
            <w:bottom w:w="15" w:type="dxa"/>
            <w:right w:w="15" w:type="dxa"/>
          </w:tblCellMar>
        </w:tblPrEx>
        <w:trPr>
          <w:trHeight w:val="348" w:hRule="atLeast"/>
          <w:jc w:val="center"/>
        </w:trPr>
        <w:tc>
          <w:tcPr>
            <w:tcW w:w="14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bidi="ar"/>
              </w:rPr>
              <w:t>类别</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 w:val="22"/>
                <w:szCs w:val="22"/>
                <w:lang w:eastAsia="zh-CN"/>
              </w:rPr>
            </w:pPr>
            <w:r>
              <w:rPr>
                <w:rFonts w:hint="eastAsia" w:ascii="宋体" w:hAnsi="宋体" w:eastAsia="宋体" w:cs="宋体"/>
                <w:b/>
                <w:bCs/>
                <w:color w:val="auto"/>
                <w:kern w:val="0"/>
                <w:sz w:val="22"/>
                <w:szCs w:val="22"/>
                <w:lang w:eastAsia="zh-CN" w:bidi="ar"/>
              </w:rPr>
              <w:t>品名</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bidi="ar"/>
              </w:rPr>
              <w:t>单位（规格）</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 w:val="22"/>
                <w:szCs w:val="22"/>
              </w:rPr>
            </w:pPr>
            <w:r>
              <w:rPr>
                <w:rFonts w:hint="eastAsia" w:ascii="宋体" w:hAnsi="宋体" w:eastAsia="宋体" w:cs="宋体"/>
                <w:b/>
                <w:bCs/>
                <w:color w:val="auto"/>
                <w:kern w:val="0"/>
                <w:sz w:val="22"/>
                <w:szCs w:val="22"/>
                <w:lang w:bidi="ar"/>
              </w:rPr>
              <w:t>技术参数</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宋体"/>
                <w:b/>
                <w:bCs/>
                <w:color w:val="auto"/>
                <w:lang w:eastAsia="zh-CN"/>
              </w:rPr>
            </w:pPr>
            <w:r>
              <w:rPr>
                <w:rFonts w:hint="eastAsia" w:ascii="宋体" w:hAnsi="宋体" w:eastAsia="宋体" w:cs="宋体"/>
                <w:b/>
                <w:bCs/>
                <w:color w:val="auto"/>
                <w:kern w:val="0"/>
                <w:sz w:val="22"/>
                <w:szCs w:val="22"/>
                <w:lang w:bidi="ar"/>
              </w:rPr>
              <w:t>数量</w:t>
            </w:r>
            <w:r>
              <w:rPr>
                <w:rFonts w:hint="eastAsia" w:ascii="宋体" w:hAnsi="宋体" w:eastAsia="宋体" w:cs="宋体"/>
                <w:b/>
                <w:bCs/>
                <w:color w:val="auto"/>
                <w:kern w:val="0"/>
                <w:sz w:val="22"/>
                <w:szCs w:val="22"/>
                <w:lang w:eastAsia="zh-CN" w:bidi="ar"/>
              </w:rPr>
              <w:t>（预估</w:t>
            </w:r>
            <w:r>
              <w:rPr>
                <w:rFonts w:hint="eastAsia" w:ascii="宋体" w:hAnsi="宋体" w:eastAsia="宋体" w:cs="宋体"/>
                <w:b/>
                <w:bCs/>
                <w:color w:val="auto"/>
                <w:kern w:val="0"/>
                <w:sz w:val="22"/>
                <w:szCs w:val="22"/>
                <w:lang w:val="en-US" w:eastAsia="zh-CN" w:bidi="ar"/>
              </w:rPr>
              <w:t>/年</w:t>
            </w:r>
            <w:r>
              <w:rPr>
                <w:rFonts w:hint="eastAsia" w:ascii="宋体" w:hAnsi="宋体" w:eastAsia="宋体" w:cs="宋体"/>
                <w:b/>
                <w:bCs/>
                <w:color w:val="auto"/>
                <w:kern w:val="0"/>
                <w:sz w:val="22"/>
                <w:szCs w:val="22"/>
                <w:lang w:eastAsia="zh-CN" w:bidi="ar"/>
              </w:rPr>
              <w:t>）</w:t>
            </w:r>
          </w:p>
        </w:tc>
      </w:tr>
      <w:tr>
        <w:tblPrEx>
          <w:tblCellMar>
            <w:top w:w="15" w:type="dxa"/>
            <w:left w:w="15" w:type="dxa"/>
            <w:bottom w:w="15" w:type="dxa"/>
            <w:right w:w="15" w:type="dxa"/>
          </w:tblCellMar>
        </w:tblPrEx>
        <w:trPr>
          <w:trHeight w:val="376" w:hRule="atLeast"/>
          <w:jc w:val="center"/>
        </w:trPr>
        <w:tc>
          <w:tcPr>
            <w:tcW w:w="145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化学药品制剂</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医用液氧</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2"/>
                <w:szCs w:val="22"/>
                <w:lang w:bidi="ar"/>
              </w:rPr>
              <w:t>吨</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4"/>
                <w:szCs w:val="24"/>
                <w:lang w:bidi="ar"/>
              </w:rPr>
              <w:t>O</w:t>
            </w:r>
            <w:r>
              <w:rPr>
                <w:rFonts w:hint="eastAsia" w:ascii="宋体" w:hAnsi="宋体" w:eastAsia="宋体" w:cs="宋体"/>
                <w:color w:val="auto"/>
                <w:kern w:val="0"/>
                <w:sz w:val="16"/>
                <w:szCs w:val="16"/>
                <w:lang w:bidi="ar"/>
              </w:rPr>
              <w:t>2</w:t>
            </w:r>
            <w:r>
              <w:rPr>
                <w:rFonts w:hint="eastAsia" w:ascii="宋体" w:hAnsi="宋体" w:eastAsia="宋体" w:cs="宋体"/>
                <w:color w:val="auto"/>
                <w:kern w:val="0"/>
                <w:sz w:val="20"/>
                <w:lang w:bidi="ar"/>
              </w:rPr>
              <w:t>≥99.6％</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楷体_GB2312"/>
                <w:color w:val="auto"/>
                <w:lang w:val="en-US" w:eastAsia="zh-CN"/>
              </w:rPr>
            </w:pPr>
            <w:r>
              <w:rPr>
                <w:rFonts w:hint="eastAsia" w:ascii="宋体" w:hAnsi="宋体" w:eastAsia="宋体" w:cs="宋体"/>
                <w:color w:val="auto"/>
                <w:kern w:val="0"/>
                <w:sz w:val="22"/>
                <w:szCs w:val="22"/>
                <w:lang w:val="en-US" w:eastAsia="zh-CN" w:bidi="ar"/>
              </w:rPr>
              <w:t>108</w:t>
            </w:r>
          </w:p>
        </w:tc>
      </w:tr>
      <w:tr>
        <w:tblPrEx>
          <w:tblCellMar>
            <w:top w:w="15" w:type="dxa"/>
            <w:left w:w="15" w:type="dxa"/>
            <w:bottom w:w="15" w:type="dxa"/>
            <w:right w:w="15" w:type="dxa"/>
          </w:tblCellMar>
        </w:tblPrEx>
        <w:trPr>
          <w:trHeight w:val="348" w:hRule="atLeast"/>
          <w:jc w:val="center"/>
        </w:trPr>
        <w:tc>
          <w:tcPr>
            <w:tcW w:w="145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医用瓶氧</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P12（大瓶）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P12±0.5MPa</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eastAsia="楷体_GB2312"/>
                <w:color w:val="auto"/>
                <w:lang w:val="en-US" w:eastAsia="zh-CN"/>
              </w:rPr>
            </w:pPr>
            <w:r>
              <w:rPr>
                <w:rFonts w:hint="eastAsia" w:ascii="宋体" w:hAnsi="宋体" w:eastAsia="宋体" w:cs="宋体"/>
                <w:color w:val="auto"/>
                <w:kern w:val="0"/>
                <w:sz w:val="22"/>
                <w:szCs w:val="22"/>
                <w:lang w:val="en-US" w:eastAsia="zh-CN" w:bidi="ar"/>
              </w:rPr>
              <w:t>34</w:t>
            </w:r>
          </w:p>
        </w:tc>
      </w:tr>
      <w:tr>
        <w:tblPrEx>
          <w:tblCellMar>
            <w:top w:w="15" w:type="dxa"/>
            <w:left w:w="15" w:type="dxa"/>
            <w:bottom w:w="15" w:type="dxa"/>
            <w:right w:w="15" w:type="dxa"/>
          </w:tblCellMar>
        </w:tblPrEx>
        <w:trPr>
          <w:trHeight w:val="348" w:hRule="atLeast"/>
          <w:jc w:val="center"/>
        </w:trPr>
        <w:tc>
          <w:tcPr>
            <w:tcW w:w="145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医用瓶氧</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highlight w:val="yellow"/>
                <w:lang w:bidi="ar"/>
              </w:rPr>
            </w:pPr>
            <w:r>
              <w:rPr>
                <w:rFonts w:hint="eastAsia" w:ascii="宋体" w:hAnsi="宋体" w:eastAsia="宋体" w:cs="宋体"/>
                <w:color w:val="auto"/>
                <w:sz w:val="22"/>
                <w:szCs w:val="22"/>
                <w:lang w:val="en-US" w:eastAsia="zh-CN"/>
              </w:rPr>
              <w:t>小瓶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02≥99.5%</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143</w:t>
            </w:r>
          </w:p>
        </w:tc>
      </w:tr>
      <w:tr>
        <w:tblPrEx>
          <w:tblCellMar>
            <w:top w:w="15" w:type="dxa"/>
            <w:left w:w="15" w:type="dxa"/>
            <w:bottom w:w="15" w:type="dxa"/>
            <w:right w:w="15" w:type="dxa"/>
          </w:tblCellMar>
        </w:tblPrEx>
        <w:trPr>
          <w:trHeight w:val="654" w:hRule="atLeast"/>
          <w:jc w:val="center"/>
        </w:trPr>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基础化学品</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液氮</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升</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2"/>
                <w:szCs w:val="22"/>
                <w:lang w:bidi="ar"/>
              </w:rPr>
              <w:t>≥99.99％</w:t>
            </w:r>
          </w:p>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医用级</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2940</w:t>
            </w:r>
          </w:p>
        </w:tc>
      </w:tr>
      <w:tr>
        <w:tblPrEx>
          <w:tblCellMar>
            <w:top w:w="15" w:type="dxa"/>
            <w:left w:w="15" w:type="dxa"/>
            <w:bottom w:w="15" w:type="dxa"/>
            <w:right w:w="15" w:type="dxa"/>
          </w:tblCellMar>
        </w:tblPrEx>
        <w:trPr>
          <w:trHeight w:val="959"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kern w:val="0"/>
                <w:sz w:val="22"/>
                <w:szCs w:val="22"/>
                <w:lang w:bidi="ar"/>
              </w:rPr>
              <w:t>高纯氮</w:t>
            </w:r>
            <w:r>
              <w:rPr>
                <w:rFonts w:hint="eastAsia" w:ascii="宋体" w:hAnsi="宋体" w:eastAsia="宋体" w:cs="宋体"/>
                <w:color w:val="auto"/>
                <w:kern w:val="0"/>
                <w:sz w:val="22"/>
                <w:szCs w:val="22"/>
                <w:lang w:eastAsia="zh-CN" w:bidi="ar"/>
              </w:rPr>
              <w:t>气</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40升/瓶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P12±0.5MPa</w:t>
            </w:r>
          </w:p>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2"/>
                <w:szCs w:val="22"/>
                <w:lang w:bidi="ar"/>
              </w:rPr>
              <w:t>≥99.99</w:t>
            </w:r>
            <w:r>
              <w:rPr>
                <w:rFonts w:hint="eastAsia" w:ascii="宋体" w:hAnsi="宋体" w:eastAsia="宋体" w:cs="宋体"/>
                <w:color w:val="auto"/>
                <w:kern w:val="0"/>
                <w:sz w:val="22"/>
                <w:szCs w:val="22"/>
                <w:lang w:val="en-US" w:eastAsia="zh-CN" w:bidi="ar"/>
              </w:rPr>
              <w:t>9</w:t>
            </w:r>
            <w:r>
              <w:rPr>
                <w:rFonts w:hint="eastAsia" w:ascii="宋体" w:hAnsi="宋体" w:eastAsia="宋体" w:cs="宋体"/>
                <w:color w:val="auto"/>
                <w:kern w:val="0"/>
                <w:sz w:val="22"/>
                <w:szCs w:val="22"/>
                <w:lang w:bidi="ar"/>
              </w:rPr>
              <w:t>％</w:t>
            </w:r>
          </w:p>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eastAsia="zh-CN" w:bidi="ar"/>
              </w:rPr>
              <w:t>医用级</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77</w:t>
            </w:r>
          </w:p>
        </w:tc>
      </w:tr>
      <w:tr>
        <w:tblPrEx>
          <w:tblCellMar>
            <w:top w:w="15" w:type="dxa"/>
            <w:left w:w="15" w:type="dxa"/>
            <w:bottom w:w="15" w:type="dxa"/>
            <w:right w:w="15" w:type="dxa"/>
          </w:tblCellMar>
        </w:tblPrEx>
        <w:trPr>
          <w:trHeight w:val="654"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以食品为原料高纯二氧化碳</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40升/瓶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2"/>
                <w:szCs w:val="22"/>
                <w:lang w:bidi="ar"/>
              </w:rPr>
              <w:t>W22±1Kg；≥99.999％</w:t>
            </w:r>
            <w:r>
              <w:rPr>
                <w:rFonts w:hint="eastAsia" w:ascii="宋体" w:hAnsi="宋体" w:eastAsia="宋体" w:cs="宋体"/>
                <w:color w:val="auto"/>
                <w:kern w:val="0"/>
                <w:sz w:val="22"/>
                <w:szCs w:val="22"/>
                <w:lang w:eastAsia="zh-CN" w:bidi="ar"/>
              </w:rPr>
              <w:t>医用级</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252</w:t>
            </w:r>
          </w:p>
        </w:tc>
      </w:tr>
      <w:tr>
        <w:tblPrEx>
          <w:tblCellMar>
            <w:top w:w="15" w:type="dxa"/>
            <w:left w:w="15" w:type="dxa"/>
            <w:bottom w:w="15" w:type="dxa"/>
            <w:right w:w="15" w:type="dxa"/>
          </w:tblCellMar>
        </w:tblPrEx>
        <w:trPr>
          <w:trHeight w:val="774"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高纯乙炔</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40升/瓶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lang w:eastAsia="zh-CN"/>
              </w:rPr>
            </w:pPr>
          </w:p>
          <w:p>
            <w:pPr>
              <w:pStyle w:val="52"/>
              <w:rPr>
                <w:rFonts w:hint="eastAsia"/>
                <w:color w:val="auto"/>
                <w:lang w:eastAsia="zh-CN"/>
              </w:rPr>
            </w:pPr>
            <w:r>
              <w:rPr>
                <w:rFonts w:hint="eastAsia" w:ascii="宋体" w:hAnsi="宋体" w:eastAsia="宋体" w:cs="宋体"/>
                <w:color w:val="auto"/>
                <w:kern w:val="0"/>
                <w:sz w:val="22"/>
                <w:szCs w:val="22"/>
                <w:lang w:eastAsia="zh-CN" w:bidi="ar"/>
              </w:rPr>
              <w:t>医用级</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eastAsia="楷体_GB2312"/>
                <w:color w:val="auto"/>
                <w:lang w:eastAsia="zh-CN"/>
              </w:rPr>
            </w:pPr>
            <w:r>
              <w:rPr>
                <w:rFonts w:hint="eastAsia" w:ascii="宋体" w:hAnsi="宋体" w:eastAsia="宋体" w:cs="宋体"/>
                <w:color w:val="auto"/>
                <w:kern w:val="0"/>
                <w:sz w:val="22"/>
                <w:szCs w:val="22"/>
                <w:lang w:val="en-US" w:eastAsia="zh-CN" w:bidi="ar"/>
              </w:rPr>
              <w:t>6</w:t>
            </w:r>
          </w:p>
        </w:tc>
      </w:tr>
      <w:tr>
        <w:tblPrEx>
          <w:tblCellMar>
            <w:top w:w="15" w:type="dxa"/>
            <w:left w:w="15" w:type="dxa"/>
            <w:bottom w:w="15" w:type="dxa"/>
            <w:right w:w="15" w:type="dxa"/>
          </w:tblCellMar>
        </w:tblPrEx>
        <w:trPr>
          <w:trHeight w:val="654"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高纯氩气</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bidi="ar"/>
              </w:rPr>
              <w:t>40升/瓶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sz w:val="21"/>
                <w:szCs w:val="21"/>
                <w:highlight w:val="none"/>
              </w:rPr>
              <w:t>★</w:t>
            </w:r>
            <w:r>
              <w:rPr>
                <w:rFonts w:hint="eastAsia" w:ascii="宋体" w:hAnsi="宋体" w:eastAsia="宋体" w:cs="宋体"/>
                <w:color w:val="auto"/>
                <w:kern w:val="0"/>
                <w:sz w:val="22"/>
                <w:szCs w:val="22"/>
                <w:lang w:bidi="ar"/>
              </w:rPr>
              <w:t>Ar≥99.99％</w:t>
            </w:r>
          </w:p>
          <w:p>
            <w:pPr>
              <w:widowControl/>
              <w:jc w:val="center"/>
              <w:textAlignment w:val="center"/>
              <w:rPr>
                <w:rFonts w:hint="eastAsia" w:ascii="宋体" w:hAnsi="宋体" w:eastAsia="宋体" w:cs="宋体"/>
                <w:color w:val="auto"/>
                <w:kern w:val="0"/>
                <w:sz w:val="22"/>
                <w:szCs w:val="22"/>
                <w:lang w:bidi="ar"/>
              </w:rPr>
            </w:pPr>
            <w:r>
              <w:rPr>
                <w:rFonts w:hint="eastAsia" w:ascii="宋体" w:hAnsi="宋体" w:eastAsia="宋体" w:cs="宋体"/>
                <w:color w:val="auto"/>
                <w:kern w:val="0"/>
                <w:sz w:val="22"/>
                <w:szCs w:val="22"/>
                <w:lang w:eastAsia="zh-CN" w:bidi="ar"/>
              </w:rPr>
              <w:t>医用级</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2"/>
                <w:szCs w:val="22"/>
                <w:lang w:eastAsia="zh-CN" w:bidi="ar"/>
              </w:rPr>
            </w:pPr>
            <w:r>
              <w:rPr>
                <w:rFonts w:hint="eastAsia" w:ascii="宋体" w:hAnsi="宋体" w:eastAsia="宋体" w:cs="宋体"/>
                <w:color w:val="auto"/>
                <w:kern w:val="0"/>
                <w:sz w:val="22"/>
                <w:szCs w:val="22"/>
                <w:lang w:val="en-US" w:eastAsia="zh-CN" w:bidi="ar"/>
              </w:rPr>
              <w:t>1</w:t>
            </w:r>
          </w:p>
        </w:tc>
      </w:tr>
      <w:tr>
        <w:tblPrEx>
          <w:tblCellMar>
            <w:top w:w="15" w:type="dxa"/>
            <w:left w:w="15" w:type="dxa"/>
            <w:bottom w:w="15" w:type="dxa"/>
            <w:right w:w="15" w:type="dxa"/>
          </w:tblCellMar>
        </w:tblPrEx>
        <w:trPr>
          <w:trHeight w:val="664" w:hRule="atLeast"/>
          <w:jc w:val="center"/>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2"/>
                <w:szCs w:val="22"/>
              </w:rPr>
            </w:pP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lang w:eastAsia="zh-CN"/>
              </w:rPr>
              <w:t>预混气</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2"/>
                <w:szCs w:val="22"/>
              </w:rPr>
            </w:pPr>
            <w:r>
              <w:rPr>
                <w:rFonts w:hint="eastAsia" w:ascii="宋体" w:hAnsi="宋体" w:eastAsia="宋体" w:cs="宋体"/>
                <w:color w:val="auto"/>
                <w:kern w:val="0"/>
                <w:sz w:val="22"/>
                <w:szCs w:val="22"/>
                <w:lang w:bidi="ar"/>
              </w:rPr>
              <w:t>40升/瓶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2"/>
                <w:szCs w:val="22"/>
              </w:rPr>
            </w:pPr>
            <w:r>
              <w:rPr>
                <w:rFonts w:hint="eastAsia" w:ascii="宋体" w:hAnsi="宋体" w:eastAsia="宋体" w:cs="宋体"/>
                <w:color w:val="auto"/>
                <w:sz w:val="21"/>
                <w:szCs w:val="21"/>
                <w:highlight w:val="none"/>
              </w:rPr>
              <w:t>★</w:t>
            </w:r>
            <w:r>
              <w:rPr>
                <w:rFonts w:hint="default" w:ascii="宋体" w:hAnsi="宋体" w:eastAsia="宋体" w:cs="宋体"/>
                <w:color w:val="auto"/>
                <w:sz w:val="21"/>
                <w:szCs w:val="21"/>
                <w:highlight w:val="none"/>
              </w:rPr>
              <w:t>氮气</w:t>
            </w:r>
            <w:r>
              <w:rPr>
                <w:rFonts w:hint="eastAsia" w:ascii="宋体" w:hAnsi="宋体" w:eastAsia="宋体" w:cs="宋体"/>
                <w:color w:val="auto"/>
                <w:kern w:val="0"/>
                <w:sz w:val="22"/>
                <w:szCs w:val="22"/>
                <w:lang w:bidi="ar"/>
              </w:rPr>
              <w:t>9</w:t>
            </w:r>
            <w:r>
              <w:rPr>
                <w:rFonts w:hint="eastAsia" w:ascii="宋体" w:hAnsi="宋体" w:eastAsia="宋体" w:cs="宋体"/>
                <w:color w:val="auto"/>
                <w:kern w:val="0"/>
                <w:sz w:val="22"/>
                <w:szCs w:val="22"/>
                <w:lang w:val="en-US" w:eastAsia="zh-CN" w:bidi="ar"/>
              </w:rPr>
              <w:t>5</w:t>
            </w:r>
            <w:r>
              <w:rPr>
                <w:rFonts w:hint="eastAsia" w:ascii="宋体" w:hAnsi="宋体" w:eastAsia="宋体" w:cs="宋体"/>
                <w:color w:val="auto"/>
                <w:kern w:val="0"/>
                <w:sz w:val="22"/>
                <w:szCs w:val="22"/>
                <w:lang w:bidi="ar"/>
              </w:rPr>
              <w:t>％</w:t>
            </w:r>
            <w:r>
              <w:rPr>
                <w:rFonts w:hint="default" w:ascii="宋体" w:hAnsi="宋体" w:eastAsia="宋体" w:cs="宋体"/>
                <w:color w:val="auto"/>
                <w:kern w:val="0"/>
                <w:sz w:val="22"/>
                <w:szCs w:val="22"/>
                <w:lang w:bidi="ar"/>
              </w:rPr>
              <w:t>+二氧化碳5%</w:t>
            </w:r>
            <w:r>
              <w:rPr>
                <w:rFonts w:hint="eastAsia" w:ascii="宋体" w:hAnsi="宋体" w:eastAsia="宋体" w:cs="宋体"/>
                <w:color w:val="auto"/>
                <w:kern w:val="0"/>
                <w:sz w:val="22"/>
                <w:szCs w:val="22"/>
                <w:lang w:eastAsia="zh-CN" w:bidi="ar"/>
              </w:rPr>
              <w:t>医用级</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color w:val="auto"/>
                <w:kern w:val="0"/>
                <w:sz w:val="22"/>
                <w:szCs w:val="22"/>
                <w:lang w:val="en-US" w:eastAsia="zh-CN" w:bidi="ar"/>
              </w:rPr>
              <w:t>2</w:t>
            </w:r>
            <w:r>
              <w:rPr>
                <w:rFonts w:hint="default" w:ascii="宋体" w:hAnsi="宋体" w:eastAsia="宋体" w:cs="宋体"/>
                <w:color w:val="auto"/>
                <w:kern w:val="0"/>
                <w:sz w:val="22"/>
                <w:szCs w:val="22"/>
                <w:lang w:val="en-US" w:eastAsia="zh-CN" w:bidi="ar"/>
              </w:rPr>
              <w:t>8</w:t>
            </w:r>
          </w:p>
        </w:tc>
      </w:tr>
    </w:tbl>
    <w:p>
      <w:pPr>
        <w:numPr>
          <w:ilvl w:val="-1"/>
          <w:numId w:val="0"/>
        </w:numPr>
        <w:spacing w:line="480" w:lineRule="exact"/>
        <w:ind w:firstLine="482" w:firstLineChars="200"/>
        <w:rPr>
          <w:rFonts w:hint="eastAsia" w:ascii="宋体" w:hAnsi="宋体" w:eastAsia="宋体"/>
          <w:b/>
          <w:bCs/>
          <w:color w:val="auto"/>
          <w:sz w:val="24"/>
          <w:szCs w:val="24"/>
          <w:lang w:val="zh-CN"/>
        </w:rPr>
      </w:pPr>
      <w:r>
        <w:rPr>
          <w:rFonts w:hint="eastAsia" w:ascii="宋体" w:hAnsi="宋体" w:eastAsia="宋体"/>
          <w:b/>
          <w:bCs/>
          <w:color w:val="auto"/>
          <w:sz w:val="24"/>
          <w:szCs w:val="24"/>
          <w:lang w:val="zh-CN"/>
        </w:rPr>
        <w:t>四、质量要求</w:t>
      </w:r>
    </w:p>
    <w:p>
      <w:pPr>
        <w:numPr>
          <w:ilvl w:val="-1"/>
          <w:numId w:val="0"/>
        </w:numPr>
        <w:spacing w:line="480" w:lineRule="exact"/>
        <w:ind w:firstLine="480" w:firstLineChars="200"/>
        <w:rPr>
          <w:rFonts w:hint="eastAsia" w:ascii="宋体" w:hAnsi="宋体" w:eastAsia="宋体"/>
          <w:b w:val="0"/>
          <w:bCs w:val="0"/>
          <w:color w:val="auto"/>
          <w:sz w:val="24"/>
          <w:szCs w:val="24"/>
          <w:lang w:val="zh-CN"/>
        </w:rPr>
      </w:pPr>
      <w:r>
        <w:rPr>
          <w:rFonts w:hint="eastAsia" w:ascii="宋体" w:hAnsi="宋体" w:eastAsia="宋体"/>
          <w:b w:val="0"/>
          <w:bCs w:val="0"/>
          <w:color w:val="auto"/>
          <w:sz w:val="24"/>
          <w:szCs w:val="24"/>
          <w:lang w:val="zh-CN"/>
        </w:rPr>
        <w:t>1、成交供应商所配送气体质量须符合国家GB17820-1999标准要求，液氧纯度≥99.6％，其他医用气质量均不得低于采购文件要求的质量标准。</w:t>
      </w:r>
    </w:p>
    <w:p>
      <w:pPr>
        <w:numPr>
          <w:ilvl w:val="-1"/>
          <w:numId w:val="0"/>
        </w:numPr>
        <w:spacing w:line="480" w:lineRule="exact"/>
        <w:ind w:firstLine="480" w:firstLineChars="200"/>
        <w:rPr>
          <w:rFonts w:hint="eastAsia" w:ascii="宋体" w:hAnsi="宋体" w:eastAsia="宋体"/>
          <w:b/>
          <w:bCs/>
          <w:color w:val="auto"/>
          <w:sz w:val="24"/>
          <w:szCs w:val="24"/>
          <w:lang w:val="zh-CN"/>
        </w:rPr>
      </w:pPr>
      <w:r>
        <w:rPr>
          <w:rFonts w:hint="eastAsia" w:ascii="宋体" w:hAnsi="宋体" w:eastAsia="宋体"/>
          <w:b w:val="0"/>
          <w:bCs w:val="0"/>
          <w:color w:val="auto"/>
          <w:sz w:val="24"/>
          <w:szCs w:val="24"/>
          <w:lang w:val="zh-CN"/>
        </w:rPr>
        <w:t>2、成交供应商配送服务时须随车出具医用液态氧气合格证书。如医用液态氧气等医用气及成交供应商提供的其他气体出现任何质量问题，</w:t>
      </w:r>
      <w:r>
        <w:rPr>
          <w:rFonts w:hint="eastAsia" w:ascii="宋体" w:hAnsi="宋体" w:eastAsia="宋体"/>
          <w:b w:val="0"/>
          <w:bCs w:val="0"/>
          <w:color w:val="auto"/>
          <w:sz w:val="24"/>
          <w:szCs w:val="24"/>
          <w:lang w:val="en-US" w:eastAsia="zh-CN"/>
        </w:rPr>
        <w:t>由此导致使用者（住院、门诊患者）受到伤害，以及医院检验和实验中发生不可挽回的损失，</w:t>
      </w:r>
      <w:r>
        <w:rPr>
          <w:rFonts w:hint="eastAsia" w:ascii="宋体" w:hAnsi="宋体" w:eastAsia="宋体"/>
          <w:b w:val="0"/>
          <w:bCs w:val="0"/>
          <w:color w:val="auto"/>
          <w:sz w:val="24"/>
          <w:szCs w:val="24"/>
          <w:lang w:val="zh-CN"/>
        </w:rPr>
        <w:t>供应商负全部责任。</w:t>
      </w:r>
    </w:p>
    <w:p>
      <w:pPr>
        <w:numPr>
          <w:ilvl w:val="-1"/>
          <w:numId w:val="0"/>
        </w:numPr>
        <w:spacing w:line="480" w:lineRule="exact"/>
        <w:ind w:firstLine="482" w:firstLineChars="200"/>
        <w:rPr>
          <w:rFonts w:hint="eastAsia" w:ascii="宋体" w:hAnsi="宋体" w:eastAsia="宋体"/>
          <w:b/>
          <w:bCs/>
          <w:color w:val="auto"/>
          <w:sz w:val="24"/>
          <w:szCs w:val="24"/>
          <w:lang w:val="zh-CN"/>
        </w:rPr>
      </w:pPr>
      <w:r>
        <w:rPr>
          <w:rFonts w:hint="eastAsia" w:ascii="宋体" w:hAnsi="宋体" w:eastAsia="宋体"/>
          <w:b/>
          <w:bCs/>
          <w:color w:val="auto"/>
          <w:sz w:val="24"/>
          <w:szCs w:val="24"/>
          <w:lang w:val="zh-CN"/>
        </w:rPr>
        <w:t>五、配送服务要求</w:t>
      </w:r>
    </w:p>
    <w:p>
      <w:pPr>
        <w:numPr>
          <w:ilvl w:val="-1"/>
          <w:numId w:val="0"/>
        </w:numPr>
        <w:spacing w:line="480" w:lineRule="exact"/>
        <w:ind w:firstLine="480" w:firstLineChars="200"/>
        <w:rPr>
          <w:rFonts w:hint="default" w:ascii="宋体" w:hAnsi="宋体" w:eastAsia="宋体"/>
          <w:b w:val="0"/>
          <w:bCs w:val="0"/>
          <w:color w:val="auto"/>
          <w:sz w:val="24"/>
          <w:szCs w:val="24"/>
          <w:highlight w:val="none"/>
          <w:lang w:val="en-US" w:eastAsia="zh-CN"/>
        </w:rPr>
      </w:pPr>
      <w:r>
        <w:rPr>
          <w:rFonts w:hint="eastAsia" w:ascii="宋体" w:hAnsi="宋体" w:eastAsia="宋体"/>
          <w:b w:val="0"/>
          <w:bCs w:val="0"/>
          <w:color w:val="auto"/>
          <w:sz w:val="24"/>
          <w:szCs w:val="24"/>
          <w:lang w:val="en-US" w:eastAsia="zh-CN"/>
        </w:rPr>
        <w:t>1、到货时间：接到送货通知后24小时内（节假日期间要求不间断送货）。</w:t>
      </w:r>
      <w:r>
        <w:rPr>
          <w:rFonts w:hint="eastAsia" w:ascii="宋体" w:hAnsi="宋体" w:eastAsia="宋体"/>
          <w:b w:val="0"/>
          <w:bCs w:val="0"/>
          <w:color w:val="auto"/>
          <w:sz w:val="24"/>
          <w:szCs w:val="24"/>
          <w:highlight w:val="none"/>
          <w:lang w:val="en-US" w:eastAsia="zh-CN"/>
        </w:rPr>
        <w:t>如延迟送货，采购人可随时解除合同并可追究供应商责任。</w:t>
      </w:r>
    </w:p>
    <w:p>
      <w:pPr>
        <w:numPr>
          <w:ilvl w:val="-1"/>
          <w:numId w:val="0"/>
        </w:numPr>
        <w:spacing w:line="480" w:lineRule="exact"/>
        <w:ind w:firstLine="480" w:firstLineChars="200"/>
        <w:rPr>
          <w:rFonts w:hint="eastAsia" w:ascii="宋体" w:hAnsi="宋体" w:eastAsia="宋体"/>
          <w:b w:val="0"/>
          <w:bCs w:val="0"/>
          <w:color w:val="auto"/>
          <w:sz w:val="24"/>
          <w:szCs w:val="24"/>
          <w:lang w:val="zh-CN" w:eastAsia="zh-CN"/>
        </w:rPr>
      </w:pPr>
      <w:r>
        <w:rPr>
          <w:rFonts w:hint="eastAsia" w:ascii="宋体" w:hAnsi="宋体" w:eastAsia="宋体"/>
          <w:b w:val="0"/>
          <w:bCs w:val="0"/>
          <w:color w:val="auto"/>
          <w:sz w:val="24"/>
          <w:szCs w:val="24"/>
          <w:highlight w:val="none"/>
          <w:lang w:val="zh-CN" w:eastAsia="zh-CN"/>
        </w:rPr>
        <w:t>2、成交供应商承诺，接受采购人约定的货物接受计</w:t>
      </w:r>
      <w:r>
        <w:rPr>
          <w:rFonts w:hint="eastAsia" w:ascii="宋体" w:hAnsi="宋体" w:eastAsia="宋体"/>
          <w:b w:val="0"/>
          <w:bCs w:val="0"/>
          <w:color w:val="auto"/>
          <w:sz w:val="24"/>
          <w:szCs w:val="24"/>
          <w:lang w:val="zh-CN" w:eastAsia="zh-CN"/>
        </w:rPr>
        <w:t>量方式，具体内容在签订合同时予以明确。</w:t>
      </w:r>
    </w:p>
    <w:p>
      <w:pPr>
        <w:numPr>
          <w:ilvl w:val="-1"/>
          <w:numId w:val="0"/>
        </w:numPr>
        <w:spacing w:line="480" w:lineRule="exact"/>
        <w:ind w:firstLine="480" w:firstLineChars="200"/>
        <w:rPr>
          <w:rFonts w:hint="eastAsia" w:ascii="宋体" w:hAnsi="宋体" w:eastAsia="宋体"/>
          <w:b w:val="0"/>
          <w:bCs w:val="0"/>
          <w:color w:val="auto"/>
          <w:sz w:val="24"/>
          <w:szCs w:val="24"/>
          <w:lang w:val="zh-CN" w:eastAsia="zh-CN"/>
        </w:rPr>
      </w:pPr>
      <w:r>
        <w:rPr>
          <w:rFonts w:hint="eastAsia" w:ascii="宋体" w:hAnsi="宋体" w:eastAsia="宋体"/>
          <w:b w:val="0"/>
          <w:bCs w:val="0"/>
          <w:color w:val="auto"/>
          <w:sz w:val="24"/>
          <w:szCs w:val="24"/>
          <w:lang w:val="zh-CN" w:eastAsia="zh-CN"/>
        </w:rPr>
        <w:t>3、因供应商原因导致不能满足采购人医用气正常使用需求的，采购人可以采取必要的临时措施，包括向其他供应商购买医用气。由此产生的费用和损失由成交供应商承担。</w:t>
      </w:r>
    </w:p>
    <w:p>
      <w:pPr>
        <w:numPr>
          <w:ilvl w:val="-1"/>
          <w:numId w:val="0"/>
        </w:numPr>
        <w:spacing w:line="480" w:lineRule="exact"/>
        <w:ind w:firstLine="480" w:firstLineChars="200"/>
        <w:rPr>
          <w:rFonts w:hint="eastAsia" w:ascii="宋体" w:hAnsi="宋体" w:eastAsia="宋体"/>
          <w:b w:val="0"/>
          <w:bCs w:val="0"/>
          <w:color w:val="auto"/>
          <w:sz w:val="24"/>
          <w:szCs w:val="24"/>
          <w:lang w:val="zh-CN" w:eastAsia="zh-CN"/>
        </w:rPr>
      </w:pPr>
      <w:r>
        <w:rPr>
          <w:rFonts w:hint="eastAsia" w:ascii="宋体" w:hAnsi="宋体" w:eastAsia="宋体"/>
          <w:b w:val="0"/>
          <w:bCs w:val="0"/>
          <w:color w:val="auto"/>
          <w:sz w:val="24"/>
          <w:szCs w:val="24"/>
          <w:lang w:val="zh-CN" w:eastAsia="zh-CN"/>
        </w:rPr>
        <w:t>4、成交供应商在配送服务过程中，有责任和义务协助采购人做好对医院储罐设备完好性巡查，及时发现和排除安全隐患，确保医院气储存、使用等环节的安全。</w:t>
      </w:r>
    </w:p>
    <w:p>
      <w:pPr>
        <w:numPr>
          <w:ilvl w:val="-1"/>
          <w:numId w:val="0"/>
        </w:numPr>
        <w:spacing w:line="480" w:lineRule="exact"/>
        <w:ind w:firstLine="482" w:firstLineChars="200"/>
        <w:rPr>
          <w:rFonts w:hint="eastAsia" w:ascii="宋体" w:hAnsi="宋体" w:eastAsia="宋体"/>
          <w:b w:val="0"/>
          <w:bCs w:val="0"/>
          <w:color w:val="auto"/>
          <w:sz w:val="24"/>
          <w:szCs w:val="24"/>
          <w:lang w:val="zh-CN" w:eastAsia="zh-CN"/>
        </w:rPr>
      </w:pPr>
      <w:r>
        <w:rPr>
          <w:rFonts w:hint="eastAsia" w:ascii="宋体" w:hAnsi="宋体" w:eastAsia="宋体"/>
          <w:b/>
          <w:bCs/>
          <w:color w:val="auto"/>
          <w:sz w:val="24"/>
          <w:szCs w:val="24"/>
          <w:lang w:val="en-US" w:eastAsia="zh-CN"/>
        </w:rPr>
        <w:t>5、成交供应商须</w:t>
      </w:r>
      <w:r>
        <w:rPr>
          <w:rFonts w:hint="eastAsia" w:ascii="宋体" w:hAnsi="宋体" w:eastAsia="宋体"/>
          <w:b/>
          <w:bCs/>
          <w:color w:val="auto"/>
          <w:sz w:val="24"/>
          <w:szCs w:val="24"/>
          <w:lang w:val="zh-CN" w:eastAsia="zh-CN"/>
        </w:rPr>
        <w:t>为采购人原有的罐体（含附件）、报警管道、管道终端、检验阀等医用气体系统设备提供免费的维护保养（产生的材料费需报采购人经认可按实结算）。</w:t>
      </w:r>
      <w:r>
        <w:rPr>
          <w:rFonts w:hint="eastAsia" w:ascii="宋体" w:hAnsi="宋体" w:eastAsia="宋体"/>
          <w:b w:val="0"/>
          <w:bCs w:val="0"/>
          <w:color w:val="auto"/>
          <w:sz w:val="24"/>
          <w:szCs w:val="24"/>
          <w:lang w:val="zh-CN" w:eastAsia="zh-CN"/>
        </w:rPr>
        <w:t xml:space="preserve"> </w:t>
      </w:r>
    </w:p>
    <w:p>
      <w:pPr>
        <w:numPr>
          <w:ilvl w:val="-1"/>
          <w:numId w:val="0"/>
        </w:numPr>
        <w:spacing w:line="480" w:lineRule="exact"/>
        <w:ind w:firstLine="480" w:firstLineChars="200"/>
        <w:rPr>
          <w:rFonts w:hint="eastAsia" w:ascii="宋体" w:hAnsi="宋体" w:eastAsia="宋体"/>
          <w:b w:val="0"/>
          <w:bCs w:val="0"/>
          <w:color w:val="auto"/>
          <w:sz w:val="24"/>
          <w:szCs w:val="24"/>
          <w:lang w:val="zh-CN" w:eastAsia="zh-CN"/>
        </w:rPr>
      </w:pPr>
      <w:r>
        <w:rPr>
          <w:rFonts w:hint="eastAsia" w:ascii="宋体" w:hAnsi="宋体" w:eastAsia="宋体"/>
          <w:b w:val="0"/>
          <w:bCs w:val="0"/>
          <w:color w:val="auto"/>
          <w:sz w:val="24"/>
          <w:szCs w:val="24"/>
          <w:lang w:val="en-US" w:eastAsia="zh-CN"/>
        </w:rPr>
        <w:t>6</w:t>
      </w:r>
      <w:r>
        <w:rPr>
          <w:rFonts w:hint="eastAsia" w:ascii="宋体" w:hAnsi="宋体" w:eastAsia="宋体"/>
          <w:b w:val="0"/>
          <w:bCs w:val="0"/>
          <w:color w:val="auto"/>
          <w:sz w:val="24"/>
          <w:szCs w:val="24"/>
          <w:lang w:val="zh-CN" w:eastAsia="zh-CN"/>
        </w:rPr>
        <w:t>、成交供应商签订合同前须提供与配合运输单位的合作协议。供货时随车提供相应产品的检测报告和合格证等。</w:t>
      </w:r>
    </w:p>
    <w:p>
      <w:pPr>
        <w:numPr>
          <w:ilvl w:val="-1"/>
          <w:numId w:val="0"/>
        </w:numPr>
        <w:spacing w:line="480" w:lineRule="exact"/>
        <w:ind w:firstLine="480" w:firstLineChars="200"/>
        <w:rPr>
          <w:rFonts w:hint="eastAsia" w:ascii="宋体" w:hAnsi="宋体" w:eastAsia="宋体"/>
          <w:b w:val="0"/>
          <w:bCs w:val="0"/>
          <w:color w:val="auto"/>
          <w:sz w:val="24"/>
          <w:szCs w:val="24"/>
          <w:lang w:val="en-US" w:eastAsia="zh-CN"/>
        </w:rPr>
      </w:pPr>
      <w:r>
        <w:rPr>
          <w:rFonts w:hint="eastAsia" w:ascii="宋体" w:hAnsi="宋体" w:eastAsia="宋体"/>
          <w:b w:val="0"/>
          <w:bCs w:val="0"/>
          <w:color w:val="auto"/>
          <w:sz w:val="24"/>
          <w:szCs w:val="24"/>
          <w:lang w:val="en-US" w:eastAsia="zh-CN"/>
        </w:rPr>
        <w:t>7、</w:t>
      </w:r>
      <w:r>
        <w:rPr>
          <w:rFonts w:hint="eastAsia" w:ascii="宋体" w:hAnsi="宋体" w:eastAsia="宋体"/>
          <w:b w:val="0"/>
          <w:bCs w:val="0"/>
          <w:color w:val="auto"/>
          <w:sz w:val="24"/>
          <w:szCs w:val="24"/>
          <w:lang w:val="zh-CN" w:eastAsia="zh-CN"/>
        </w:rPr>
        <w:t>如遇突发事件需提供紧急维修，成交供应商须</w:t>
      </w:r>
      <w:r>
        <w:rPr>
          <w:rFonts w:hint="eastAsia" w:ascii="宋体" w:hAnsi="宋体" w:eastAsia="宋体"/>
          <w:b w:val="0"/>
          <w:bCs w:val="0"/>
          <w:color w:val="auto"/>
          <w:sz w:val="24"/>
          <w:szCs w:val="24"/>
          <w:lang w:val="en-US" w:eastAsia="zh-CN"/>
        </w:rPr>
        <w:t>30分钟内电话响应，1小时内</w:t>
      </w:r>
      <w:r>
        <w:rPr>
          <w:rFonts w:hint="eastAsia" w:ascii="宋体" w:hAnsi="宋体" w:eastAsia="宋体"/>
          <w:b w:val="0"/>
          <w:bCs w:val="0"/>
          <w:color w:val="auto"/>
          <w:sz w:val="24"/>
          <w:szCs w:val="24"/>
          <w:lang w:val="zh-CN" w:eastAsia="zh-CN"/>
        </w:rPr>
        <w:t>组织人员达到现场处置。</w:t>
      </w:r>
    </w:p>
    <w:p>
      <w:pPr>
        <w:numPr>
          <w:ilvl w:val="-1"/>
          <w:numId w:val="0"/>
        </w:numPr>
        <w:spacing w:line="480" w:lineRule="exact"/>
        <w:ind w:firstLine="482" w:firstLineChars="200"/>
        <w:rPr>
          <w:rFonts w:hint="eastAsia" w:ascii="宋体" w:hAnsi="宋体" w:eastAsia="宋体"/>
          <w:b/>
          <w:bCs/>
          <w:color w:val="auto"/>
          <w:sz w:val="24"/>
          <w:szCs w:val="24"/>
          <w:lang w:val="zh-CN"/>
        </w:rPr>
      </w:pPr>
      <w:r>
        <w:rPr>
          <w:rFonts w:hint="eastAsia" w:ascii="宋体" w:hAnsi="宋体" w:eastAsia="宋体"/>
          <w:b/>
          <w:bCs/>
          <w:color w:val="auto"/>
          <w:sz w:val="24"/>
          <w:szCs w:val="24"/>
          <w:lang w:val="zh-CN"/>
        </w:rPr>
        <w:t>六、结算付款</w:t>
      </w:r>
    </w:p>
    <w:bookmarkEnd w:id="45"/>
    <w:p>
      <w:pPr>
        <w:numPr>
          <w:ilvl w:val="-1"/>
          <w:numId w:val="0"/>
        </w:numPr>
        <w:spacing w:line="480" w:lineRule="exact"/>
        <w:ind w:firstLine="480" w:firstLineChars="200"/>
        <w:rPr>
          <w:rFonts w:hint="eastAsia" w:ascii="宋体" w:hAnsi="宋体" w:eastAsia="宋体" w:cs="Times New Roman"/>
          <w:b w:val="0"/>
          <w:bCs w:val="0"/>
          <w:color w:val="auto"/>
          <w:sz w:val="24"/>
          <w:szCs w:val="24"/>
          <w:lang w:val="en-US" w:eastAsia="zh-CN"/>
        </w:rPr>
      </w:pPr>
      <w:r>
        <w:rPr>
          <w:rFonts w:hint="eastAsia" w:ascii="宋体" w:hAnsi="宋体" w:eastAsia="宋体" w:cs="Times New Roman"/>
          <w:b w:val="0"/>
          <w:bCs w:val="0"/>
          <w:color w:val="auto"/>
          <w:sz w:val="24"/>
          <w:szCs w:val="24"/>
          <w:lang w:val="zh-CN" w:eastAsia="zh-CN"/>
        </w:rPr>
        <w:t>费用按月结算，每个次月10日前，成交供应商凭“配送确认单”的月度实际配送量乘以固定综合单价开具有效增值税发票，经采购人审核后结算支付上一月度费用。</w:t>
      </w:r>
    </w:p>
    <w:p>
      <w:pPr>
        <w:numPr>
          <w:ilvl w:val="-1"/>
          <w:numId w:val="0"/>
        </w:numPr>
        <w:spacing w:line="480" w:lineRule="exact"/>
        <w:ind w:firstLine="480" w:firstLineChars="200"/>
        <w:rPr>
          <w:rFonts w:ascii="宋体" w:hAnsi="宋体" w:cs="宋体"/>
          <w:color w:val="auto"/>
          <w:sz w:val="24"/>
          <w:szCs w:val="24"/>
          <w:u w:val="single"/>
        </w:rPr>
      </w:pPr>
      <w:r>
        <w:rPr>
          <w:rFonts w:hint="eastAsia" w:ascii="宋体" w:hAnsi="宋体" w:eastAsia="宋体" w:cs="Times New Roman"/>
          <w:b w:val="0"/>
          <w:bCs w:val="0"/>
          <w:color w:val="auto"/>
          <w:sz w:val="24"/>
          <w:szCs w:val="24"/>
          <w:lang w:val="en-US" w:eastAsia="zh-CN"/>
        </w:rPr>
        <w:t>当采购预估数量与实际使用数量不一致时，成交供应商应根据实际使用量提供，最终结算金额按实际使用量乘以固定综合单价进行计算。</w:t>
      </w:r>
      <w:r>
        <w:rPr>
          <w:rFonts w:hint="eastAsia" w:ascii="宋体" w:hAnsi="宋体" w:eastAsia="宋体"/>
          <w:b/>
          <w:bCs/>
          <w:color w:val="auto"/>
          <w:sz w:val="24"/>
          <w:szCs w:val="24"/>
          <w:lang w:val="zh-CN"/>
        </w:rPr>
        <w:br w:type="page"/>
      </w:r>
    </w:p>
    <w:bookmarkEnd w:id="46"/>
    <w:p>
      <w:pPr>
        <w:spacing w:line="460" w:lineRule="exact"/>
        <w:rPr>
          <w:rFonts w:ascii="宋体" w:hAnsi="宋体"/>
          <w:b/>
          <w:bCs/>
          <w:color w:val="auto"/>
          <w:sz w:val="24"/>
          <w:szCs w:val="24"/>
        </w:rPr>
      </w:pPr>
    </w:p>
    <w:p>
      <w:pPr>
        <w:spacing w:line="460" w:lineRule="exact"/>
        <w:rPr>
          <w:rFonts w:ascii="宋体" w:hAnsi="宋体"/>
          <w:b/>
          <w:bCs/>
          <w:color w:val="auto"/>
          <w:sz w:val="24"/>
          <w:szCs w:val="24"/>
        </w:rPr>
      </w:pPr>
    </w:p>
    <w:tbl>
      <w:tblPr>
        <w:tblStyle w:val="53"/>
        <w:tblpPr w:leftFromText="180" w:rightFromText="180" w:vertAnchor="text" w:horzAnchor="page" w:tblpX="1611" w:tblpY="-9775"/>
        <w:tblOverlap w:val="never"/>
        <w:tblW w:w="9180" w:type="dxa"/>
        <w:tblInd w:w="0" w:type="dxa"/>
        <w:tblLayout w:type="fixed"/>
        <w:tblCellMar>
          <w:top w:w="15" w:type="dxa"/>
          <w:left w:w="15" w:type="dxa"/>
          <w:bottom w:w="15" w:type="dxa"/>
          <w:right w:w="15" w:type="dxa"/>
        </w:tblCellMar>
      </w:tblPr>
      <w:tblGrid>
        <w:gridCol w:w="496"/>
        <w:gridCol w:w="5668"/>
        <w:gridCol w:w="661"/>
        <w:gridCol w:w="539"/>
        <w:gridCol w:w="974"/>
        <w:gridCol w:w="842"/>
      </w:tblGrid>
      <w:tr>
        <w:tblPrEx>
          <w:tblCellMar>
            <w:top w:w="15" w:type="dxa"/>
            <w:left w:w="15" w:type="dxa"/>
            <w:bottom w:w="15" w:type="dxa"/>
            <w:right w:w="15" w:type="dxa"/>
          </w:tblCellMar>
        </w:tblPrEx>
        <w:trPr>
          <w:trHeight w:val="1769" w:hRule="atLeast"/>
        </w:trPr>
        <w:tc>
          <w:tcPr>
            <w:tcW w:w="9180" w:type="dxa"/>
            <w:gridSpan w:val="6"/>
            <w:noWrap/>
            <w:vAlign w:val="bottom"/>
          </w:tcPr>
          <w:p>
            <w:pPr>
              <w:widowControl/>
              <w:textAlignment w:val="bottom"/>
              <w:rPr>
                <w:rFonts w:ascii="宋体" w:hAnsi="宋体" w:cs="宋体"/>
                <w:b/>
                <w:color w:val="auto"/>
                <w:kern w:val="0"/>
                <w:sz w:val="28"/>
                <w:szCs w:val="28"/>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hint="eastAsia" w:ascii="宋体" w:hAnsi="宋体"/>
                <w:b/>
                <w:bCs/>
                <w:color w:val="auto"/>
                <w:sz w:val="24"/>
                <w:szCs w:val="24"/>
              </w:rPr>
            </w:pPr>
          </w:p>
          <w:p>
            <w:pPr>
              <w:rPr>
                <w:rFonts w:ascii="宋体" w:hAnsi="宋体"/>
                <w:b/>
                <w:bCs/>
                <w:color w:val="auto"/>
                <w:sz w:val="24"/>
                <w:szCs w:val="24"/>
              </w:rPr>
            </w:pPr>
            <w:r>
              <w:rPr>
                <w:rFonts w:hint="eastAsia" w:ascii="宋体" w:hAnsi="宋体"/>
                <w:b/>
                <w:bCs/>
                <w:color w:val="auto"/>
                <w:sz w:val="24"/>
                <w:szCs w:val="24"/>
              </w:rPr>
              <w:t>考核标准：</w:t>
            </w:r>
          </w:p>
          <w:p>
            <w:pPr>
              <w:widowControl/>
              <w:jc w:val="center"/>
              <w:textAlignment w:val="bottom"/>
              <w:rPr>
                <w:rFonts w:ascii="宋体" w:hAnsi="宋体" w:cs="宋体"/>
                <w:b/>
                <w:color w:val="auto"/>
                <w:kern w:val="0"/>
                <w:sz w:val="28"/>
                <w:szCs w:val="28"/>
              </w:rPr>
            </w:pPr>
          </w:p>
          <w:p>
            <w:pPr>
              <w:widowControl/>
              <w:jc w:val="center"/>
              <w:textAlignment w:val="bottom"/>
              <w:rPr>
                <w:rFonts w:ascii="宋体" w:hAnsi="宋体" w:cs="宋体"/>
                <w:b/>
                <w:color w:val="auto"/>
                <w:sz w:val="28"/>
                <w:szCs w:val="28"/>
              </w:rPr>
            </w:pPr>
            <w:r>
              <w:rPr>
                <w:rFonts w:hint="eastAsia" w:ascii="宋体" w:hAnsi="宋体" w:cs="宋体"/>
                <w:b/>
                <w:color w:val="auto"/>
                <w:sz w:val="28"/>
                <w:szCs w:val="28"/>
                <w:lang w:eastAsia="zh-CN"/>
              </w:rPr>
              <w:t>南通市妇幼保健院医用气体采购项目</w:t>
            </w:r>
            <w:r>
              <w:rPr>
                <w:rFonts w:hint="eastAsia" w:ascii="宋体" w:hAnsi="宋体" w:cs="宋体"/>
                <w:b/>
                <w:color w:val="auto"/>
                <w:sz w:val="28"/>
                <w:szCs w:val="28"/>
              </w:rPr>
              <w:t>考核表</w:t>
            </w:r>
          </w:p>
        </w:tc>
      </w:tr>
      <w:tr>
        <w:tblPrEx>
          <w:tblCellMar>
            <w:top w:w="15" w:type="dxa"/>
            <w:left w:w="15" w:type="dxa"/>
            <w:bottom w:w="15" w:type="dxa"/>
            <w:right w:w="15" w:type="dxa"/>
          </w:tblCellMar>
        </w:tblPrEx>
        <w:trPr>
          <w:trHeight w:val="409" w:hRule="atLeast"/>
        </w:trPr>
        <w:tc>
          <w:tcPr>
            <w:tcW w:w="496" w:type="dxa"/>
            <w:noWrap/>
            <w:vAlign w:val="bottom"/>
          </w:tcPr>
          <w:p>
            <w:pPr>
              <w:jc w:val="center"/>
              <w:rPr>
                <w:rFonts w:ascii="宋体" w:hAnsi="宋体" w:cs="宋体"/>
                <w:b/>
                <w:color w:val="auto"/>
                <w:sz w:val="18"/>
                <w:szCs w:val="18"/>
              </w:rPr>
            </w:pPr>
          </w:p>
        </w:tc>
        <w:tc>
          <w:tcPr>
            <w:tcW w:w="5668" w:type="dxa"/>
            <w:noWrap/>
            <w:vAlign w:val="bottom"/>
          </w:tcPr>
          <w:p>
            <w:pPr>
              <w:jc w:val="center"/>
              <w:rPr>
                <w:rFonts w:ascii="宋体" w:hAnsi="宋体" w:cs="宋体"/>
                <w:color w:val="auto"/>
                <w:sz w:val="18"/>
                <w:szCs w:val="18"/>
              </w:rPr>
            </w:pPr>
          </w:p>
        </w:tc>
        <w:tc>
          <w:tcPr>
            <w:tcW w:w="661" w:type="dxa"/>
            <w:noWrap/>
            <w:vAlign w:val="bottom"/>
          </w:tcPr>
          <w:p>
            <w:pPr>
              <w:widowControl/>
              <w:jc w:val="center"/>
              <w:textAlignment w:val="bottom"/>
              <w:rPr>
                <w:rFonts w:ascii="宋体" w:hAnsi="宋体" w:cs="宋体"/>
                <w:color w:val="auto"/>
                <w:sz w:val="18"/>
                <w:szCs w:val="18"/>
              </w:rPr>
            </w:pPr>
            <w:r>
              <w:rPr>
                <w:rFonts w:hint="eastAsia" w:ascii="宋体" w:hAnsi="宋体" w:cs="宋体"/>
                <w:color w:val="auto"/>
                <w:kern w:val="0"/>
                <w:sz w:val="18"/>
                <w:szCs w:val="18"/>
              </w:rPr>
              <w:t>时间：</w:t>
            </w:r>
          </w:p>
        </w:tc>
        <w:tc>
          <w:tcPr>
            <w:tcW w:w="539" w:type="dxa"/>
            <w:noWrap/>
            <w:vAlign w:val="bottom"/>
          </w:tcPr>
          <w:p>
            <w:pPr>
              <w:jc w:val="center"/>
              <w:rPr>
                <w:rFonts w:ascii="宋体" w:hAnsi="宋体" w:cs="宋体"/>
                <w:color w:val="auto"/>
                <w:sz w:val="18"/>
                <w:szCs w:val="18"/>
              </w:rPr>
            </w:pPr>
          </w:p>
        </w:tc>
        <w:tc>
          <w:tcPr>
            <w:tcW w:w="974" w:type="dxa"/>
            <w:noWrap/>
            <w:vAlign w:val="bottom"/>
          </w:tcPr>
          <w:p>
            <w:pPr>
              <w:widowControl/>
              <w:jc w:val="center"/>
              <w:textAlignment w:val="bottom"/>
              <w:rPr>
                <w:rFonts w:ascii="宋体" w:hAnsi="宋体" w:cs="宋体"/>
                <w:color w:val="auto"/>
                <w:sz w:val="18"/>
                <w:szCs w:val="18"/>
              </w:rPr>
            </w:pPr>
            <w:r>
              <w:rPr>
                <w:rFonts w:hint="eastAsia" w:ascii="宋体" w:hAnsi="宋体" w:cs="宋体"/>
                <w:color w:val="auto"/>
                <w:kern w:val="0"/>
                <w:sz w:val="18"/>
                <w:szCs w:val="18"/>
              </w:rPr>
              <w:t>总得分：</w:t>
            </w:r>
          </w:p>
        </w:tc>
        <w:tc>
          <w:tcPr>
            <w:tcW w:w="842" w:type="dxa"/>
            <w:noWrap/>
            <w:vAlign w:val="bottom"/>
          </w:tcPr>
          <w:p>
            <w:pPr>
              <w:jc w:val="center"/>
              <w:rPr>
                <w:rFonts w:ascii="宋体" w:hAnsi="宋体" w:cs="宋体"/>
                <w:color w:val="auto"/>
                <w:sz w:val="18"/>
                <w:szCs w:val="18"/>
              </w:rPr>
            </w:pPr>
          </w:p>
        </w:tc>
      </w:tr>
      <w:tr>
        <w:tblPrEx>
          <w:tblCellMar>
            <w:top w:w="15" w:type="dxa"/>
            <w:left w:w="15" w:type="dxa"/>
            <w:bottom w:w="15" w:type="dxa"/>
            <w:right w:w="15" w:type="dxa"/>
          </w:tblCellMar>
        </w:tblPrEx>
        <w:trPr>
          <w:trHeight w:val="66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序号</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考核标准</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考核要求</w:t>
            </w: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分值</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扣分理由</w:t>
            </w: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考核得分</w:t>
            </w:r>
          </w:p>
        </w:tc>
      </w:tr>
      <w:tr>
        <w:tblPrEx>
          <w:tblCellMar>
            <w:top w:w="15" w:type="dxa"/>
            <w:left w:w="15" w:type="dxa"/>
            <w:bottom w:w="15" w:type="dxa"/>
            <w:right w:w="15" w:type="dxa"/>
          </w:tblCellMar>
        </w:tblPrEx>
        <w:trPr>
          <w:trHeight w:val="1230" w:hRule="atLeast"/>
        </w:trPr>
        <w:tc>
          <w:tcPr>
            <w:tcW w:w="496"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w:t>
            </w:r>
          </w:p>
          <w:p>
            <w:pPr>
              <w:widowControl/>
              <w:jc w:val="center"/>
              <w:textAlignment w:val="center"/>
              <w:rPr>
                <w:rFonts w:ascii="宋体" w:hAnsi="宋体" w:cs="宋体"/>
                <w:color w:val="auto"/>
                <w:kern w:val="0"/>
                <w:sz w:val="18"/>
                <w:szCs w:val="18"/>
              </w:rPr>
            </w:pPr>
          </w:p>
        </w:tc>
        <w:tc>
          <w:tcPr>
            <w:tcW w:w="5668" w:type="dxa"/>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eastAsia="宋体"/>
                <w:color w:val="auto"/>
                <w:sz w:val="20"/>
              </w:rPr>
              <w:t>供应商在供货时随车提供相应产品的检测报告和合格证等。</w:t>
            </w:r>
          </w:p>
        </w:tc>
        <w:tc>
          <w:tcPr>
            <w:tcW w:w="6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履行合同条款到位</w:t>
            </w:r>
          </w:p>
        </w:tc>
        <w:tc>
          <w:tcPr>
            <w:tcW w:w="539"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w:t>
            </w:r>
          </w:p>
        </w:tc>
        <w:tc>
          <w:tcPr>
            <w:tcW w:w="974" w:type="dxa"/>
            <w:tcBorders>
              <w:top w:val="single" w:color="000000" w:sz="4" w:space="0"/>
              <w:left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899" w:hRule="atLeast"/>
        </w:trPr>
        <w:tc>
          <w:tcPr>
            <w:tcW w:w="496"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p>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w:t>
            </w:r>
          </w:p>
          <w:p>
            <w:pPr>
              <w:widowControl/>
              <w:jc w:val="center"/>
              <w:textAlignment w:val="center"/>
              <w:rPr>
                <w:rFonts w:ascii="宋体" w:hAnsi="宋体" w:cs="宋体"/>
                <w:color w:val="auto"/>
                <w:kern w:val="0"/>
                <w:sz w:val="18"/>
                <w:szCs w:val="18"/>
              </w:rPr>
            </w:pPr>
          </w:p>
        </w:tc>
        <w:tc>
          <w:tcPr>
            <w:tcW w:w="5668" w:type="dxa"/>
            <w:tcBorders>
              <w:top w:val="single" w:color="000000" w:sz="4" w:space="0"/>
              <w:left w:val="single" w:color="000000" w:sz="4" w:space="0"/>
              <w:right w:val="single" w:color="000000" w:sz="4" w:space="0"/>
            </w:tcBorders>
            <w:noWrap/>
            <w:vAlign w:val="center"/>
          </w:tcPr>
          <w:p>
            <w:pPr>
              <w:spacing w:before="33" w:line="260" w:lineRule="exact"/>
              <w:jc w:val="both"/>
              <w:rPr>
                <w:color w:val="auto"/>
              </w:rPr>
            </w:pPr>
            <w:r>
              <w:rPr>
                <w:rFonts w:hint="eastAsia" w:ascii="宋体" w:hAnsi="宋体" w:eastAsia="宋体"/>
                <w:color w:val="auto"/>
                <w:sz w:val="20"/>
              </w:rPr>
              <w:t>送货的车辆驾驶员和押运员有安监局及技监局颁发的有效</w:t>
            </w:r>
          </w:p>
          <w:p>
            <w:pPr>
              <w:widowControl/>
              <w:jc w:val="left"/>
              <w:textAlignment w:val="center"/>
              <w:rPr>
                <w:rFonts w:ascii="宋体" w:hAnsi="宋体" w:cs="宋体"/>
                <w:color w:val="auto"/>
                <w:kern w:val="0"/>
                <w:sz w:val="18"/>
                <w:szCs w:val="18"/>
              </w:rPr>
            </w:pPr>
            <w:r>
              <w:rPr>
                <w:rFonts w:hint="eastAsia" w:ascii="宋体" w:hAnsi="宋体" w:eastAsia="宋体"/>
                <w:color w:val="auto"/>
                <w:sz w:val="20"/>
              </w:rPr>
              <w:t>上岗证。</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w:t>
            </w:r>
          </w:p>
        </w:tc>
        <w:tc>
          <w:tcPr>
            <w:tcW w:w="974" w:type="dxa"/>
            <w:tcBorders>
              <w:top w:val="single" w:color="000000" w:sz="4" w:space="0"/>
              <w:left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626"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eastAsia="宋体"/>
                <w:color w:val="auto"/>
                <w:sz w:val="20"/>
              </w:rPr>
              <w:t>按规定做好设备运行、保养、维修工作，并填写相关记录。</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sz w:val="18"/>
                <w:szCs w:val="18"/>
              </w:rPr>
              <w:t>10</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管理维护人员定期（每月至少1次）进行安全检查，并详细记录。</w:t>
            </w:r>
          </w:p>
        </w:tc>
        <w:tc>
          <w:tcPr>
            <w:tcW w:w="6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违反规定，一旦查实，视情况扣分。</w:t>
            </w: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5</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禁止在充装站外由罐车等移动式压力容器直接对气瓶进行充装；禁止将气瓶内气体直接向气体气瓶倒装。</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医用气体气瓶存放时，放置整齐，留出通道。公称容积大于等于5L的气瓶应当配有保护罩或者固定式瓶帽。</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结合本单位医用气体系统的特点，制定医用气体应急预案。</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8</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应急预案应包含应急组织体系，信息报告程序，构成单位或人员，联系方式，应急处置流程，生命支持区域保障措施，应急物资的储备数量和存放地点等内容。</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9</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eastAsia="宋体"/>
                <w:color w:val="auto"/>
                <w:sz w:val="20"/>
              </w:rPr>
              <w:t>根据本单位实际需求，储备足够的维修配件及应急物资。</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其他不履行合同的部分。</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8</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bl>
    <w:p>
      <w:pPr>
        <w:tabs>
          <w:tab w:val="left" w:pos="2270"/>
          <w:tab w:val="center" w:pos="4635"/>
        </w:tabs>
        <w:spacing w:line="460" w:lineRule="exact"/>
        <w:jc w:val="left"/>
        <w:rPr>
          <w:rFonts w:ascii="宋体"/>
          <w:color w:val="auto"/>
          <w:kern w:val="0"/>
          <w:sz w:val="32"/>
          <w:szCs w:val="32"/>
        </w:rPr>
      </w:pPr>
      <w:r>
        <w:rPr>
          <w:rFonts w:hint="eastAsia" w:ascii="宋体" w:hAnsi="宋体"/>
          <w:b/>
          <w:bCs/>
          <w:color w:val="auto"/>
          <w:sz w:val="24"/>
          <w:szCs w:val="24"/>
        </w:rPr>
        <w:br w:type="page"/>
      </w:r>
      <w:r>
        <w:rPr>
          <w:rFonts w:hint="eastAsia" w:ascii="宋体" w:hAnsi="宋体" w:cs="宋体"/>
          <w:b/>
          <w:bCs/>
          <w:color w:val="auto"/>
          <w:w w:val="80"/>
          <w:sz w:val="44"/>
          <w:szCs w:val="44"/>
        </w:rPr>
        <w:tab/>
      </w:r>
      <w:r>
        <w:rPr>
          <w:rFonts w:hint="eastAsia" w:ascii="宋体" w:hAnsi="宋体" w:cs="宋体"/>
          <w:b/>
          <w:bCs/>
          <w:color w:val="auto"/>
          <w:w w:val="80"/>
          <w:sz w:val="44"/>
          <w:szCs w:val="44"/>
        </w:rPr>
        <w:tab/>
      </w:r>
      <w:r>
        <w:rPr>
          <w:rFonts w:hint="eastAsia" w:ascii="宋体" w:hAnsi="宋体" w:cs="宋体"/>
          <w:b/>
          <w:bCs/>
          <w:color w:val="auto"/>
          <w:w w:val="80"/>
          <w:sz w:val="44"/>
          <w:szCs w:val="44"/>
        </w:rPr>
        <w:t>第四章</w:t>
      </w:r>
      <w:bookmarkEnd w:id="33"/>
      <w:bookmarkEnd w:id="34"/>
      <w:bookmarkEnd w:id="35"/>
      <w:bookmarkEnd w:id="36"/>
      <w:bookmarkEnd w:id="37"/>
      <w:bookmarkEnd w:id="38"/>
      <w:bookmarkEnd w:id="39"/>
      <w:bookmarkEnd w:id="40"/>
      <w:bookmarkEnd w:id="41"/>
      <w:bookmarkEnd w:id="42"/>
      <w:bookmarkEnd w:id="43"/>
      <w:bookmarkStart w:id="47" w:name="_Toc43217893"/>
      <w:bookmarkStart w:id="48" w:name="_Toc182848996"/>
      <w:bookmarkStart w:id="49" w:name="_Toc85627670"/>
      <w:bookmarkStart w:id="50" w:name="_Toc38121794"/>
      <w:bookmarkStart w:id="51" w:name="_Toc37322565"/>
      <w:bookmarkStart w:id="52" w:name="_Toc11500283"/>
      <w:bookmarkStart w:id="53" w:name="_Toc12670506"/>
      <w:bookmarkStart w:id="54" w:name="_Toc94544747"/>
      <w:bookmarkStart w:id="55" w:name="_Toc11554642"/>
      <w:bookmarkStart w:id="56" w:name="_Toc94544873"/>
      <w:bookmarkStart w:id="57" w:name="_Toc8895742"/>
      <w:bookmarkStart w:id="58" w:name="_Toc13803484"/>
      <w:bookmarkStart w:id="59" w:name="_Toc11499587"/>
      <w:r>
        <w:rPr>
          <w:rFonts w:hint="eastAsia" w:ascii="宋体" w:hAnsi="宋体" w:cs="宋体"/>
          <w:b/>
          <w:bCs/>
          <w:color w:val="auto"/>
          <w:w w:val="80"/>
          <w:sz w:val="44"/>
          <w:szCs w:val="44"/>
        </w:rPr>
        <w:t xml:space="preserve">  评审方法和程序</w:t>
      </w:r>
      <w:bookmarkEnd w:id="44"/>
    </w:p>
    <w:bookmarkEnd w:id="47"/>
    <w:bookmarkEnd w:id="48"/>
    <w:bookmarkEnd w:id="49"/>
    <w:bookmarkEnd w:id="50"/>
    <w:bookmarkEnd w:id="51"/>
    <w:p>
      <w:pPr>
        <w:snapToGrid w:val="0"/>
        <w:spacing w:line="480" w:lineRule="exact"/>
        <w:ind w:firstLine="482" w:firstLineChars="200"/>
        <w:outlineLvl w:val="1"/>
        <w:rPr>
          <w:rFonts w:ascii="宋体"/>
          <w:b/>
          <w:bCs/>
          <w:color w:val="auto"/>
          <w:sz w:val="24"/>
          <w:szCs w:val="24"/>
        </w:rPr>
      </w:pPr>
      <w:bookmarkStart w:id="60" w:name="_Toc363573857"/>
      <w:bookmarkEnd w:id="60"/>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一、代理机构组织磋商</w:t>
      </w:r>
    </w:p>
    <w:p>
      <w:pPr>
        <w:snapToGrid w:val="0"/>
        <w:spacing w:line="360" w:lineRule="auto"/>
        <w:ind w:firstLine="48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、本次竞争性磋商依据《中华人民共和国政府采购法》、《政府采购竞争性磋商采购方式管理暂行办法》及有关法规成立磋商小组。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采用竞争性磋商方式的政府采购项目，评审专家应当从政府采购评审专家库内相关专业的专家名单中随机抽取。情况特殊、通过随机方式难以确定合适的评审专家的，经主管预算单位同意，可以自行选定评审专家。</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、磋商小组的职责：</w:t>
      </w:r>
    </w:p>
    <w:p>
      <w:pPr>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）磋商小组成员应当按照客观、公正、审慎的原则，根据磋商文件规定的评审程序、评审方法和评审标准进行独立评审。</w:t>
      </w:r>
    </w:p>
    <w:p>
      <w:pPr>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）磋商小组成员应当遵守评审工作纪律，不得泄露评审情况和评审中获悉的商业秘密，对个人的评审意见承担法律责任。</w:t>
      </w:r>
    </w:p>
    <w:p>
      <w:pPr>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）磋商小组成员在评审过程中发现供应商有行贿、提供虚假材料或者串通等违法行为的，应当及时向财政部门报告</w:t>
      </w:r>
      <w:r>
        <w:rPr>
          <w:rFonts w:ascii="宋体" w:cs="宋体"/>
          <w:color w:val="auto"/>
          <w:sz w:val="24"/>
          <w:szCs w:val="24"/>
        </w:rPr>
        <w:t>,</w:t>
      </w:r>
      <w:r>
        <w:rPr>
          <w:rFonts w:hint="eastAsia" w:ascii="宋体" w:hAnsi="宋体" w:cs="宋体"/>
          <w:color w:val="auto"/>
          <w:sz w:val="24"/>
          <w:szCs w:val="24"/>
        </w:rPr>
        <w:t>并建议将其列入政府采购黑名单。</w:t>
      </w:r>
    </w:p>
    <w:p>
      <w:pPr>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）磋商小组成员在评审过程中受到非法干涉的，应当及时向财政、监察等部门举报。</w:t>
      </w:r>
    </w:p>
    <w:p>
      <w:pPr>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）配合采购单位答复供应商提出的质疑；配合财政部门的投诉处理和监督检查工作。</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、评审有关记录由磋商小组成员签名，存档备查。</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、供应商的法定代表人或被授权人须持身份证准时参加磋商开标会。</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二、磋商的原则及方法</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、磋商小组依据《中华人民共和国政府采购法》、《政府采购竞争性磋商采购方式管理暂行办法》以及有关政府采购的相关法规，遵循“公开、公平、公正、择优、信用”的原则进行磋商评审。</w:t>
      </w:r>
    </w:p>
    <w:p>
      <w:pPr>
        <w:snapToGrid w:val="0"/>
        <w:spacing w:line="360" w:lineRule="auto"/>
        <w:ind w:firstLine="484" w:firstLineChars="202"/>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磋商小组将按照竞争性磋商文件的规定，独立对每个进入打分程序的有效投标供应商的响应文件的技术部分以打分的形式进行评估和评价。技术分是所有评委打分的算术平均值（计算结果均四舍五入保留两位小数）。</w:t>
      </w:r>
    </w:p>
    <w:p>
      <w:pPr>
        <w:snapToGrid w:val="0"/>
        <w:spacing w:line="360" w:lineRule="auto"/>
        <w:ind w:firstLine="484" w:firstLineChars="202"/>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、磋商小组所有成员应当集中与单一供应商分别进行磋商，并给予所有参加磋商的供应商平等的磋商机会。</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、对磋商文件作出的实质性变动是磋商文件的有效组成部分，磋商小组应当及时以书面形式同时通知所有参加磋商的供应商。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、除非在磋商中磋商小组对采购人需求内容作了调整增加，或对采购内容作了实质性变更，否则</w:t>
      </w:r>
      <w:r>
        <w:rPr>
          <w:rFonts w:hint="eastAsia" w:ascii="宋体" w:hAnsi="宋体" w:cs="宋体"/>
          <w:b/>
          <w:bCs/>
          <w:color w:val="auto"/>
          <w:sz w:val="24"/>
          <w:szCs w:val="24"/>
        </w:rPr>
        <w:t>采购人不接受供应商高于自己前一轮的磋商报价</w:t>
      </w:r>
      <w:r>
        <w:rPr>
          <w:rFonts w:hint="eastAsia" w:ascii="宋体" w:hAnsi="宋体" w:cs="宋体"/>
          <w:color w:val="auto"/>
          <w:sz w:val="24"/>
          <w:szCs w:val="24"/>
        </w:rPr>
        <w:t>。</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ascii="宋体" w:cs="宋体"/>
          <w:color w:val="auto"/>
          <w:sz w:val="24"/>
          <w:szCs w:val="24"/>
        </w:rPr>
        <w:t>0</w:t>
      </w:r>
      <w:r>
        <w:rPr>
          <w:rFonts w:hint="eastAsia" w:ascii="宋体" w:hAnsi="宋体" w:cs="宋体"/>
          <w:color w:val="auto"/>
          <w:sz w:val="24"/>
          <w:szCs w:val="24"/>
        </w:rPr>
        <w:t>、对于在磋商顺利开始后至最终报价前，根据磋商情况退出磋商的供应商，须以书面形式说明退出磋商的原因，经磋商小组同意可以退出磋商。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、在磋商中，磋商的任何一方不得透露与磋商有关的其他响应磋商的供应商的技术资料、价格及其他信息。</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、凡两家或以上公司同一法人代表或其中一家公司为另一家公司单一最大股东的，不能同时参与同一采购项目相同标段的磋商采购活动，一经发现，将视同串标处理。</w:t>
      </w:r>
    </w:p>
    <w:p>
      <w:pPr>
        <w:snapToGrid w:val="0"/>
        <w:spacing w:line="360" w:lineRule="auto"/>
        <w:ind w:firstLine="480" w:firstLineChars="200"/>
        <w:rPr>
          <w:rFonts w:ascii="宋体" w:hAnsi="宋体" w:cs="宋体"/>
          <w:b/>
          <w:bCs/>
          <w:color w:val="auto"/>
          <w:sz w:val="24"/>
          <w:szCs w:val="24"/>
        </w:rPr>
      </w:pPr>
      <w:r>
        <w:rPr>
          <w:rFonts w:ascii="宋体" w:hAnsi="宋体" w:cs="宋体"/>
          <w:color w:val="auto"/>
          <w:sz w:val="24"/>
          <w:szCs w:val="24"/>
        </w:rPr>
        <w:t>13</w:t>
      </w:r>
      <w:r>
        <w:rPr>
          <w:rFonts w:hint="eastAsia" w:ascii="宋体" w:hAnsi="宋体" w:cs="宋体"/>
          <w:color w:val="auto"/>
          <w:sz w:val="24"/>
          <w:szCs w:val="24"/>
        </w:rPr>
        <w:t>、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响应处理。</w:t>
      </w:r>
    </w:p>
    <w:p>
      <w:pPr>
        <w:snapToGrid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三、评估步骤</w:t>
      </w:r>
    </w:p>
    <w:p>
      <w:pPr>
        <w:snapToGrid w:val="0"/>
        <w:spacing w:line="360" w:lineRule="auto"/>
        <w:ind w:firstLine="482" w:firstLineChars="200"/>
        <w:rPr>
          <w:rFonts w:ascii="宋体"/>
          <w:b/>
          <w:bCs/>
          <w:color w:val="auto"/>
          <w:sz w:val="24"/>
          <w:szCs w:val="24"/>
          <w:lang w:val="zh-CN"/>
        </w:rPr>
      </w:pPr>
      <w:r>
        <w:rPr>
          <w:rFonts w:ascii="宋体" w:hAnsi="宋体" w:cs="宋体"/>
          <w:b/>
          <w:bCs/>
          <w:color w:val="auto"/>
          <w:sz w:val="24"/>
          <w:szCs w:val="24"/>
          <w:lang w:val="zh-CN"/>
        </w:rPr>
        <w:t>1</w:t>
      </w:r>
      <w:r>
        <w:rPr>
          <w:rFonts w:hint="eastAsia" w:ascii="宋体" w:hAnsi="宋体" w:cs="宋体"/>
          <w:b/>
          <w:bCs/>
          <w:color w:val="auto"/>
          <w:sz w:val="24"/>
          <w:szCs w:val="24"/>
          <w:lang w:val="zh-CN"/>
        </w:rPr>
        <w:t>、评审步骤规定：</w:t>
      </w:r>
    </w:p>
    <w:p>
      <w:pPr>
        <w:snapToGrid w:val="0"/>
        <w:spacing w:line="360" w:lineRule="auto"/>
        <w:ind w:firstLine="482" w:firstLineChars="200"/>
        <w:rPr>
          <w:rFonts w:ascii="宋体"/>
          <w:b/>
          <w:bCs/>
          <w:color w:val="auto"/>
          <w:sz w:val="24"/>
          <w:szCs w:val="24"/>
          <w:lang w:val="zh-CN"/>
        </w:rPr>
      </w:pPr>
      <w:r>
        <w:rPr>
          <w:rFonts w:hint="eastAsia" w:ascii="宋体" w:hAnsi="宋体" w:cs="宋体"/>
          <w:b/>
          <w:bCs/>
          <w:color w:val="auto"/>
          <w:sz w:val="24"/>
          <w:szCs w:val="24"/>
          <w:lang w:val="zh-CN"/>
        </w:rPr>
        <w:t>本次资格审查采用资格后审，各供应商资格审查通过后方能进入技术标的开标。先开技术标，技术标打分结束后再开商务标。</w:t>
      </w:r>
    </w:p>
    <w:p>
      <w:pPr>
        <w:snapToGrid w:val="0"/>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第一阶段：</w:t>
      </w:r>
      <w:r>
        <w:rPr>
          <w:rFonts w:hint="eastAsia" w:ascii="宋体" w:hAnsi="宋体" w:cs="宋体"/>
          <w:color w:val="auto"/>
          <w:sz w:val="24"/>
          <w:szCs w:val="24"/>
        </w:rPr>
        <w:t>磋商小组</w:t>
      </w:r>
      <w:r>
        <w:rPr>
          <w:rFonts w:hint="eastAsia" w:ascii="宋体" w:hAnsi="宋体" w:cs="宋体"/>
          <w:color w:val="auto"/>
          <w:sz w:val="24"/>
          <w:szCs w:val="24"/>
          <w:lang w:val="zh-CN"/>
        </w:rPr>
        <w:t>对每个供应商的资格进行审查。</w:t>
      </w:r>
    </w:p>
    <w:p>
      <w:pPr>
        <w:snapToGrid w:val="0"/>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第二阶段：</w:t>
      </w:r>
      <w:r>
        <w:rPr>
          <w:rFonts w:hint="eastAsia" w:ascii="宋体" w:hAnsi="宋体" w:cs="宋体"/>
          <w:color w:val="auto"/>
          <w:sz w:val="24"/>
          <w:szCs w:val="24"/>
        </w:rPr>
        <w:t>磋商小组</w:t>
      </w:r>
      <w:r>
        <w:rPr>
          <w:rFonts w:hint="eastAsia" w:ascii="宋体" w:hAnsi="宋体" w:cs="宋体"/>
          <w:color w:val="auto"/>
          <w:sz w:val="24"/>
          <w:szCs w:val="24"/>
          <w:lang w:val="zh-CN"/>
        </w:rPr>
        <w:t>对每个符合资格要求的供应商的技术标进行</w:t>
      </w:r>
      <w:r>
        <w:rPr>
          <w:rFonts w:hint="eastAsia" w:ascii="宋体" w:hAnsi="宋体" w:cs="宋体"/>
          <w:color w:val="auto"/>
          <w:sz w:val="24"/>
          <w:szCs w:val="24"/>
        </w:rPr>
        <w:t>评估</w:t>
      </w:r>
      <w:r>
        <w:rPr>
          <w:rFonts w:hint="eastAsia" w:ascii="宋体" w:hAnsi="宋体" w:cs="宋体"/>
          <w:color w:val="auto"/>
          <w:sz w:val="24"/>
          <w:szCs w:val="24"/>
          <w:lang w:val="zh-CN"/>
        </w:rPr>
        <w:t>。主要审查技术标提交的内容是否齐全，技术方案及项目实施是否完全满足采购文件的要求。</w:t>
      </w:r>
      <w:r>
        <w:rPr>
          <w:rFonts w:hint="eastAsia" w:ascii="宋体" w:hAnsi="宋体" w:cs="宋体"/>
          <w:color w:val="auto"/>
          <w:sz w:val="24"/>
          <w:szCs w:val="24"/>
        </w:rPr>
        <w:t>磋商小组严格按照磋商文件的要求、条件、评分标准，对供应商所提供货物或服务的先进性、可靠性、售后服务承诺、质量保证承诺等实质性响应内容进行比较。</w:t>
      </w:r>
    </w:p>
    <w:p>
      <w:pPr>
        <w:snapToGrid w:val="0"/>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第三阶段：以供应商价格标文件内的</w:t>
      </w:r>
      <w:r>
        <w:rPr>
          <w:rFonts w:hint="eastAsia" w:ascii="宋体" w:hAnsi="宋体" w:cs="宋体"/>
          <w:color w:val="auto"/>
          <w:sz w:val="24"/>
          <w:szCs w:val="24"/>
        </w:rPr>
        <w:t>竞争性磋商</w:t>
      </w:r>
      <w:r>
        <w:rPr>
          <w:rFonts w:hint="eastAsia" w:ascii="宋体" w:hAnsi="宋体" w:cs="宋体"/>
          <w:color w:val="auto"/>
          <w:sz w:val="24"/>
          <w:szCs w:val="24"/>
          <w:lang w:val="zh-CN"/>
        </w:rPr>
        <w:t>报价（即首次报价）为基础，</w:t>
      </w:r>
      <w:r>
        <w:rPr>
          <w:rFonts w:hint="eastAsia" w:ascii="宋体" w:hAnsi="宋体" w:cs="宋体"/>
          <w:color w:val="auto"/>
          <w:sz w:val="24"/>
          <w:szCs w:val="24"/>
        </w:rPr>
        <w:t>磋商小组与</w:t>
      </w:r>
      <w:r>
        <w:rPr>
          <w:rFonts w:hint="eastAsia" w:ascii="宋体" w:hAnsi="宋体" w:cs="宋体"/>
          <w:color w:val="auto"/>
          <w:sz w:val="24"/>
          <w:szCs w:val="24"/>
          <w:lang w:val="zh-CN"/>
        </w:rPr>
        <w:t>供应商单一分别进行</w:t>
      </w:r>
      <w:r>
        <w:rPr>
          <w:rFonts w:hint="eastAsia" w:ascii="宋体" w:hAnsi="宋体" w:cs="宋体"/>
          <w:color w:val="auto"/>
          <w:sz w:val="24"/>
          <w:szCs w:val="24"/>
        </w:rPr>
        <w:t>磋商</w:t>
      </w:r>
      <w:r>
        <w:rPr>
          <w:rFonts w:hint="eastAsia" w:ascii="宋体" w:hAnsi="宋体" w:cs="宋体"/>
          <w:color w:val="auto"/>
          <w:sz w:val="24"/>
          <w:szCs w:val="24"/>
          <w:lang w:val="zh-CN"/>
        </w:rPr>
        <w:t>：内容主要是对</w:t>
      </w:r>
      <w:r>
        <w:rPr>
          <w:rFonts w:hint="eastAsia" w:ascii="宋体" w:hAnsi="宋体" w:cs="宋体"/>
          <w:color w:val="auto"/>
          <w:sz w:val="24"/>
          <w:szCs w:val="24"/>
        </w:rPr>
        <w:t>竞争性磋商</w:t>
      </w:r>
      <w:r>
        <w:rPr>
          <w:rFonts w:hint="eastAsia" w:ascii="宋体" w:hAnsi="宋体" w:cs="宋体"/>
          <w:color w:val="auto"/>
          <w:sz w:val="24"/>
          <w:szCs w:val="24"/>
          <w:lang w:val="zh-CN"/>
        </w:rPr>
        <w:t>响应文件中的项目方案的澄清、修正、补充、确认以及价格调整等。如</w:t>
      </w:r>
      <w:r>
        <w:rPr>
          <w:rFonts w:hint="eastAsia" w:ascii="宋体" w:hAnsi="宋体" w:cs="宋体"/>
          <w:color w:val="auto"/>
          <w:sz w:val="24"/>
          <w:szCs w:val="24"/>
        </w:rPr>
        <w:t>磋商</w:t>
      </w:r>
      <w:r>
        <w:rPr>
          <w:rFonts w:hint="eastAsia" w:ascii="宋体" w:hAnsi="宋体" w:cs="宋体"/>
          <w:color w:val="auto"/>
          <w:sz w:val="24"/>
          <w:szCs w:val="24"/>
          <w:lang w:val="zh-CN"/>
        </w:rPr>
        <w:t>内容导致</w:t>
      </w:r>
      <w:r>
        <w:rPr>
          <w:rFonts w:hint="eastAsia" w:ascii="宋体" w:hAnsi="宋体" w:cs="宋体"/>
          <w:color w:val="auto"/>
          <w:sz w:val="24"/>
          <w:szCs w:val="24"/>
        </w:rPr>
        <w:t>竞争性磋商</w:t>
      </w:r>
      <w:r>
        <w:rPr>
          <w:rFonts w:hint="eastAsia" w:ascii="宋体" w:hAnsi="宋体" w:cs="宋体"/>
          <w:color w:val="auto"/>
          <w:sz w:val="24"/>
          <w:szCs w:val="24"/>
          <w:lang w:val="zh-CN"/>
        </w:rPr>
        <w:t>文件有实质性变动的，</w:t>
      </w:r>
      <w:r>
        <w:rPr>
          <w:rFonts w:hint="eastAsia" w:ascii="宋体" w:hAnsi="宋体" w:cs="宋体"/>
          <w:color w:val="auto"/>
          <w:sz w:val="24"/>
          <w:szCs w:val="24"/>
        </w:rPr>
        <w:t>磋商小组</w:t>
      </w:r>
      <w:r>
        <w:rPr>
          <w:rFonts w:hint="eastAsia" w:ascii="宋体" w:hAnsi="宋体" w:cs="宋体"/>
          <w:color w:val="auto"/>
          <w:sz w:val="24"/>
          <w:szCs w:val="24"/>
          <w:lang w:val="zh-CN"/>
        </w:rPr>
        <w:t>应当以书面形式通知所有供应商。</w:t>
      </w:r>
    </w:p>
    <w:p>
      <w:pPr>
        <w:snapToGrid w:val="0"/>
        <w:spacing w:line="360" w:lineRule="auto"/>
        <w:ind w:firstLine="480" w:firstLineChars="200"/>
        <w:rPr>
          <w:rFonts w:ascii="宋体"/>
          <w:color w:val="auto"/>
          <w:sz w:val="24"/>
          <w:szCs w:val="24"/>
          <w:lang w:val="zh-CN"/>
        </w:rPr>
      </w:pPr>
      <w:r>
        <w:rPr>
          <w:rFonts w:hint="eastAsia" w:ascii="宋体" w:hAnsi="宋体" w:cs="宋体"/>
          <w:color w:val="auto"/>
          <w:sz w:val="24"/>
          <w:szCs w:val="24"/>
          <w:lang w:val="zh-CN"/>
        </w:rPr>
        <w:t>第四阶段：单一分别</w:t>
      </w:r>
      <w:r>
        <w:rPr>
          <w:rFonts w:hint="eastAsia" w:ascii="宋体" w:hAnsi="宋体" w:cs="宋体"/>
          <w:color w:val="auto"/>
          <w:sz w:val="24"/>
          <w:szCs w:val="24"/>
        </w:rPr>
        <w:t>磋商</w:t>
      </w:r>
      <w:r>
        <w:rPr>
          <w:rFonts w:hint="eastAsia" w:ascii="宋体" w:hAnsi="宋体" w:cs="宋体"/>
          <w:color w:val="auto"/>
          <w:sz w:val="24"/>
          <w:szCs w:val="24"/>
          <w:lang w:val="zh-CN"/>
        </w:rPr>
        <w:t>结束后，</w:t>
      </w:r>
      <w:r>
        <w:rPr>
          <w:rFonts w:hint="eastAsia" w:ascii="宋体" w:hAnsi="宋体" w:cs="宋体"/>
          <w:color w:val="auto"/>
          <w:sz w:val="24"/>
          <w:szCs w:val="24"/>
        </w:rPr>
        <w:t>磋商小组</w:t>
      </w:r>
      <w:r>
        <w:rPr>
          <w:rFonts w:hint="eastAsia" w:ascii="宋体" w:hAnsi="宋体" w:cs="宋体"/>
          <w:color w:val="auto"/>
          <w:sz w:val="24"/>
          <w:szCs w:val="24"/>
          <w:lang w:val="zh-CN"/>
        </w:rPr>
        <w:t>告知所有供应商的项目二次（最终）报价，并要求所有作出实质性响应的有效供应商在规定的时间内，在</w:t>
      </w:r>
      <w:r>
        <w:rPr>
          <w:rFonts w:hint="eastAsia" w:ascii="宋体" w:hAnsi="宋体" w:cs="宋体"/>
          <w:color w:val="auto"/>
          <w:sz w:val="24"/>
          <w:szCs w:val="24"/>
        </w:rPr>
        <w:t>磋商</w:t>
      </w:r>
      <w:r>
        <w:rPr>
          <w:rFonts w:hint="eastAsia" w:ascii="宋体" w:hAnsi="宋体" w:cs="宋体"/>
          <w:color w:val="auto"/>
          <w:sz w:val="24"/>
          <w:szCs w:val="24"/>
          <w:lang w:val="zh-CN"/>
        </w:rPr>
        <w:t>现场集体给出最终报价，同时最终报价中可包括但不限于如最终澄清方案、有关优惠承诺等。</w:t>
      </w:r>
    </w:p>
    <w:p>
      <w:pPr>
        <w:snapToGrid w:val="0"/>
        <w:spacing w:line="360" w:lineRule="auto"/>
        <w:ind w:firstLine="480" w:firstLineChars="200"/>
        <w:rPr>
          <w:rFonts w:ascii="宋体" w:hAnsi="宋体" w:cs="宋体"/>
          <w:color w:val="auto"/>
          <w:sz w:val="24"/>
          <w:szCs w:val="24"/>
          <w:lang w:val="zh-CN"/>
        </w:rPr>
      </w:pPr>
      <w:r>
        <w:rPr>
          <w:rFonts w:hint="eastAsia" w:ascii="宋体" w:hAnsi="宋体" w:cs="宋体"/>
          <w:color w:val="auto"/>
          <w:sz w:val="24"/>
          <w:szCs w:val="24"/>
          <w:lang w:val="zh-CN"/>
        </w:rPr>
        <w:t>第五阶段：</w:t>
      </w:r>
      <w:r>
        <w:rPr>
          <w:rFonts w:hint="eastAsia" w:ascii="宋体" w:hAnsi="宋体" w:cs="宋体"/>
          <w:color w:val="auto"/>
          <w:sz w:val="24"/>
          <w:szCs w:val="24"/>
        </w:rPr>
        <w:t>磋商小组</w:t>
      </w:r>
      <w:r>
        <w:rPr>
          <w:rFonts w:hint="eastAsia" w:ascii="宋体" w:hAnsi="宋体" w:cs="宋体"/>
          <w:color w:val="auto"/>
          <w:sz w:val="24"/>
          <w:szCs w:val="24"/>
          <w:lang w:val="zh-CN"/>
        </w:rPr>
        <w:t>对供应商的最终报价进行评议和比较，在实质性响应</w:t>
      </w:r>
      <w:r>
        <w:rPr>
          <w:rFonts w:hint="eastAsia" w:ascii="宋体" w:hAnsi="宋体" w:cs="宋体"/>
          <w:color w:val="auto"/>
          <w:sz w:val="24"/>
          <w:szCs w:val="24"/>
        </w:rPr>
        <w:t>竞争性磋商</w:t>
      </w:r>
      <w:r>
        <w:rPr>
          <w:rFonts w:hint="eastAsia" w:ascii="宋体" w:hAnsi="宋体" w:cs="宋体"/>
          <w:color w:val="auto"/>
          <w:sz w:val="24"/>
          <w:szCs w:val="24"/>
          <w:lang w:val="zh-CN"/>
        </w:rPr>
        <w:t>文件，技术标和价格标部分都能满足</w:t>
      </w:r>
      <w:r>
        <w:rPr>
          <w:rFonts w:hint="eastAsia" w:ascii="宋体" w:hAnsi="宋体" w:cs="宋体"/>
          <w:color w:val="auto"/>
          <w:sz w:val="24"/>
          <w:szCs w:val="24"/>
        </w:rPr>
        <w:t>竞争性磋商</w:t>
      </w:r>
      <w:r>
        <w:rPr>
          <w:rFonts w:hint="eastAsia" w:ascii="宋体" w:hAnsi="宋体" w:cs="宋体"/>
          <w:color w:val="auto"/>
          <w:sz w:val="24"/>
          <w:szCs w:val="24"/>
          <w:lang w:val="zh-CN"/>
        </w:rPr>
        <w:t>文件的前提下，</w:t>
      </w:r>
      <w:r>
        <w:rPr>
          <w:rFonts w:hint="eastAsia" w:ascii="宋体" w:hAnsi="宋体" w:cs="宋体"/>
          <w:color w:val="auto"/>
          <w:sz w:val="24"/>
          <w:szCs w:val="24"/>
        </w:rPr>
        <w:t>磋商小组</w:t>
      </w:r>
      <w:r>
        <w:rPr>
          <w:rFonts w:hint="eastAsia" w:ascii="宋体" w:hAnsi="宋体" w:cs="宋体"/>
          <w:color w:val="auto"/>
          <w:sz w:val="24"/>
          <w:szCs w:val="24"/>
          <w:lang w:val="zh-CN"/>
        </w:rPr>
        <w:t>将校核后的各供应商的报价从低到高排序（</w:t>
      </w:r>
      <w:r>
        <w:rPr>
          <w:rFonts w:hint="eastAsia" w:ascii="宋体" w:hAnsi="宋体" w:cs="宋体"/>
          <w:color w:val="auto"/>
          <w:sz w:val="24"/>
          <w:szCs w:val="24"/>
        </w:rPr>
        <w:t>明显低于成本的，且供应商不能合理说明或者不能提供相关证明材料的报价除外）</w:t>
      </w:r>
      <w:r>
        <w:rPr>
          <w:rFonts w:hint="eastAsia" w:ascii="宋体" w:hAnsi="宋体" w:cs="宋体"/>
          <w:color w:val="auto"/>
          <w:sz w:val="24"/>
          <w:szCs w:val="24"/>
          <w:lang w:val="zh-CN"/>
        </w:rPr>
        <w:t>。</w:t>
      </w:r>
    </w:p>
    <w:p>
      <w:pPr>
        <w:snapToGrid w:val="0"/>
        <w:spacing w:line="360" w:lineRule="auto"/>
        <w:ind w:firstLine="480" w:firstLineChars="200"/>
        <w:rPr>
          <w:rFonts w:ascii="宋体"/>
          <w:color w:val="auto"/>
          <w:sz w:val="24"/>
          <w:szCs w:val="24"/>
        </w:rPr>
      </w:pPr>
      <w:r>
        <w:rPr>
          <w:rFonts w:ascii="宋体" w:hAnsi="宋体" w:cs="宋体"/>
          <w:color w:val="auto"/>
          <w:sz w:val="24"/>
          <w:szCs w:val="24"/>
          <w:lang w:val="zh-CN"/>
        </w:rPr>
        <w:t>2</w:t>
      </w:r>
      <w:r>
        <w:rPr>
          <w:rFonts w:hint="eastAsia" w:ascii="宋体" w:hAnsi="宋体" w:cs="宋体"/>
          <w:color w:val="auto"/>
          <w:sz w:val="24"/>
          <w:szCs w:val="24"/>
          <w:lang w:val="zh-CN"/>
        </w:rPr>
        <w:t>、在</w:t>
      </w:r>
      <w:r>
        <w:rPr>
          <w:rFonts w:hint="eastAsia" w:ascii="宋体" w:hAnsi="宋体" w:cs="宋体"/>
          <w:color w:val="auto"/>
          <w:sz w:val="24"/>
          <w:szCs w:val="24"/>
        </w:rPr>
        <w:t>磋商</w:t>
      </w:r>
      <w:r>
        <w:rPr>
          <w:rFonts w:hint="eastAsia" w:ascii="宋体" w:hAnsi="宋体" w:cs="宋体"/>
          <w:color w:val="auto"/>
          <w:sz w:val="24"/>
          <w:szCs w:val="24"/>
          <w:lang w:val="zh-CN"/>
        </w:rPr>
        <w:t>过程中，供应商提交的澄清文件和最终报价文件，由供应商法定代表人或被授权人签字盖章后生效，供应商受其约束。</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四、磋商评定结果的方法</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b/>
          <w:bCs/>
          <w:color w:val="auto"/>
          <w:sz w:val="24"/>
          <w:szCs w:val="24"/>
          <w:u w:val="single"/>
        </w:rPr>
        <w:t>经磋商确定最终采购需求和提交最后报价的供应商后，</w:t>
      </w:r>
      <w:r>
        <w:rPr>
          <w:rFonts w:hint="eastAsia" w:ascii="宋体" w:hAnsi="宋体" w:cs="宋体"/>
          <w:color w:val="auto"/>
          <w:sz w:val="24"/>
          <w:szCs w:val="24"/>
        </w:rPr>
        <w:t>由磋商小组采用综合评分法</w:t>
      </w:r>
      <w:r>
        <w:rPr>
          <w:rFonts w:hint="eastAsia" w:ascii="宋体" w:hAnsi="宋体" w:cs="宋体"/>
          <w:b/>
          <w:bCs/>
          <w:color w:val="auto"/>
          <w:sz w:val="24"/>
          <w:szCs w:val="24"/>
          <w:u w:val="single"/>
        </w:rPr>
        <w:t>对提交最后报价的供应商的响应文件和最后报价</w:t>
      </w:r>
      <w:r>
        <w:rPr>
          <w:rFonts w:hint="eastAsia" w:ascii="宋体" w:hAnsi="宋体" w:cs="宋体"/>
          <w:color w:val="auto"/>
          <w:sz w:val="24"/>
          <w:szCs w:val="24"/>
        </w:rPr>
        <w:t>进行综合评分。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、评估时，磋商小组各成员应当独立对每个有效响应的文件进行评价、打分，然后汇总每个供应商每项评分因素的得分（计算结果均四舍五入保留两位小数）。</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、本次项目磋商的技术</w:t>
      </w:r>
      <w:r>
        <w:rPr>
          <w:rFonts w:hint="eastAsia" w:ascii="宋体" w:hAnsi="宋体" w:cs="宋体"/>
          <w:color w:val="auto"/>
          <w:kern w:val="0"/>
          <w:sz w:val="24"/>
          <w:szCs w:val="24"/>
        </w:rPr>
        <w:t>响应文件</w:t>
      </w:r>
      <w:r>
        <w:rPr>
          <w:rFonts w:hint="eastAsia" w:ascii="宋体" w:hAnsi="宋体" w:cs="宋体"/>
          <w:color w:val="auto"/>
          <w:sz w:val="24"/>
          <w:szCs w:val="24"/>
        </w:rPr>
        <w:t>和商务报价</w:t>
      </w:r>
      <w:r>
        <w:rPr>
          <w:rFonts w:hint="eastAsia" w:ascii="宋体" w:hAnsi="宋体" w:cs="宋体"/>
          <w:color w:val="auto"/>
          <w:kern w:val="0"/>
          <w:sz w:val="24"/>
          <w:szCs w:val="24"/>
        </w:rPr>
        <w:t>响应文件</w:t>
      </w:r>
      <w:r>
        <w:rPr>
          <w:rFonts w:hint="eastAsia" w:ascii="宋体" w:hAnsi="宋体" w:cs="宋体"/>
          <w:color w:val="auto"/>
          <w:sz w:val="24"/>
          <w:szCs w:val="24"/>
        </w:rPr>
        <w:t>评估总分值为</w:t>
      </w:r>
      <w:r>
        <w:rPr>
          <w:rFonts w:ascii="宋体" w:hAnsi="宋体" w:cs="宋体"/>
          <w:color w:val="auto"/>
          <w:sz w:val="24"/>
          <w:szCs w:val="24"/>
        </w:rPr>
        <w:t>100</w:t>
      </w:r>
      <w:r>
        <w:rPr>
          <w:rFonts w:hint="eastAsia" w:ascii="宋体" w:hAnsi="宋体" w:cs="宋体"/>
          <w:color w:val="auto"/>
          <w:sz w:val="24"/>
          <w:szCs w:val="24"/>
        </w:rPr>
        <w:t>分。两部分评估因素比重如下：</w:t>
      </w:r>
    </w:p>
    <w:p>
      <w:pPr>
        <w:snapToGrid w:val="0"/>
        <w:spacing w:line="360" w:lineRule="auto"/>
        <w:ind w:firstLine="480" w:firstLineChars="200"/>
        <w:rPr>
          <w:rFonts w:ascii="宋体"/>
          <w:color w:val="auto"/>
          <w:kern w:val="0"/>
          <w:sz w:val="24"/>
          <w:szCs w:val="24"/>
        </w:rPr>
      </w:pPr>
      <w:r>
        <w:rPr>
          <w:rFonts w:hint="eastAsia" w:ascii="宋体" w:hAnsi="宋体" w:cs="宋体"/>
          <w:color w:val="auto"/>
          <w:kern w:val="0"/>
          <w:sz w:val="24"/>
          <w:szCs w:val="24"/>
        </w:rPr>
        <w:t>技术响应文件分值占总分值的比重为</w:t>
      </w:r>
      <w:r>
        <w:rPr>
          <w:rFonts w:hint="eastAsia" w:ascii="宋体" w:hAnsi="宋体" w:cs="宋体"/>
          <w:color w:val="auto"/>
          <w:kern w:val="0"/>
          <w:sz w:val="24"/>
          <w:szCs w:val="24"/>
          <w:u w:val="single"/>
          <w:lang w:val="en-US" w:eastAsia="zh-CN"/>
        </w:rPr>
        <w:t>70</w:t>
      </w:r>
      <w:r>
        <w:rPr>
          <w:rFonts w:ascii="宋体" w:hAnsi="宋体" w:cs="宋体"/>
          <w:color w:val="auto"/>
          <w:kern w:val="0"/>
          <w:sz w:val="24"/>
          <w:szCs w:val="24"/>
          <w:u w:val="single"/>
        </w:rPr>
        <w:t>%</w:t>
      </w:r>
      <w:r>
        <w:rPr>
          <w:rFonts w:hint="eastAsia" w:ascii="宋体" w:hAnsi="宋体" w:cs="宋体"/>
          <w:color w:val="auto"/>
          <w:kern w:val="0"/>
          <w:sz w:val="24"/>
          <w:szCs w:val="24"/>
          <w:u w:val="single"/>
        </w:rPr>
        <w:t>（权重）</w:t>
      </w:r>
      <w:r>
        <w:rPr>
          <w:rFonts w:hint="eastAsia" w:ascii="宋体" w:hAnsi="宋体" w:cs="宋体"/>
          <w:color w:val="auto"/>
          <w:kern w:val="0"/>
          <w:sz w:val="24"/>
          <w:szCs w:val="24"/>
        </w:rPr>
        <w:t>（四舍五入保留两位小数）；</w:t>
      </w:r>
    </w:p>
    <w:p>
      <w:pPr>
        <w:snapToGrid w:val="0"/>
        <w:spacing w:line="360" w:lineRule="auto"/>
        <w:ind w:firstLine="480" w:firstLineChars="200"/>
        <w:rPr>
          <w:rFonts w:ascii="宋体"/>
          <w:color w:val="auto"/>
          <w:kern w:val="0"/>
          <w:sz w:val="24"/>
          <w:szCs w:val="24"/>
        </w:rPr>
      </w:pPr>
      <w:r>
        <w:rPr>
          <w:rFonts w:hint="eastAsia" w:ascii="宋体" w:hAnsi="宋体" w:cs="宋体"/>
          <w:color w:val="auto"/>
          <w:kern w:val="0"/>
          <w:sz w:val="24"/>
          <w:szCs w:val="24"/>
        </w:rPr>
        <w:t>商务报价响应文件分值占总分值的比重为</w:t>
      </w:r>
      <w:r>
        <w:rPr>
          <w:rFonts w:hint="eastAsia" w:ascii="宋体" w:hAnsi="宋体" w:cs="宋体"/>
          <w:color w:val="auto"/>
          <w:kern w:val="0"/>
          <w:sz w:val="24"/>
          <w:szCs w:val="24"/>
          <w:u w:val="single"/>
          <w:lang w:val="en-US" w:eastAsia="zh-CN"/>
        </w:rPr>
        <w:t>30</w:t>
      </w:r>
      <w:r>
        <w:rPr>
          <w:rFonts w:ascii="宋体" w:hAnsi="宋体" w:cs="宋体"/>
          <w:color w:val="auto"/>
          <w:kern w:val="0"/>
          <w:sz w:val="24"/>
          <w:szCs w:val="24"/>
          <w:u w:val="single"/>
        </w:rPr>
        <w:t>%</w:t>
      </w:r>
      <w:r>
        <w:rPr>
          <w:rFonts w:hint="eastAsia" w:ascii="宋体" w:hAnsi="宋体" w:cs="宋体"/>
          <w:color w:val="auto"/>
          <w:kern w:val="0"/>
          <w:sz w:val="24"/>
          <w:szCs w:val="24"/>
          <w:u w:val="single"/>
        </w:rPr>
        <w:t>（权重）</w:t>
      </w:r>
      <w:r>
        <w:rPr>
          <w:rFonts w:hint="eastAsia" w:ascii="宋体" w:hAnsi="宋体" w:cs="宋体"/>
          <w:color w:val="auto"/>
          <w:kern w:val="0"/>
          <w:sz w:val="24"/>
          <w:szCs w:val="24"/>
        </w:rPr>
        <w:t>（四舍五入保留两位小数）。</w:t>
      </w:r>
    </w:p>
    <w:p>
      <w:pPr>
        <w:snapToGrid w:val="0"/>
        <w:spacing w:line="360" w:lineRule="auto"/>
        <w:ind w:firstLine="480" w:firstLineChars="200"/>
        <w:rPr>
          <w:rFonts w:ascii="宋体"/>
          <w:dstrike/>
          <w:color w:val="auto"/>
          <w:sz w:val="24"/>
          <w:szCs w:val="24"/>
        </w:rPr>
      </w:pPr>
      <w:r>
        <w:rPr>
          <w:rFonts w:ascii="宋体" w:hAnsi="宋体" w:cs="宋体"/>
          <w:color w:val="auto"/>
          <w:sz w:val="24"/>
          <w:szCs w:val="24"/>
        </w:rPr>
        <w:t>4</w:t>
      </w:r>
      <w:r>
        <w:rPr>
          <w:rFonts w:hint="eastAsia" w:ascii="宋体" w:hAnsi="宋体" w:cs="宋体"/>
          <w:color w:val="auto"/>
          <w:sz w:val="24"/>
          <w:szCs w:val="24"/>
        </w:rPr>
        <w:t>、技术</w:t>
      </w:r>
      <w:r>
        <w:rPr>
          <w:rFonts w:hint="eastAsia" w:ascii="宋体" w:hAnsi="宋体" w:cs="宋体"/>
          <w:color w:val="auto"/>
          <w:kern w:val="0"/>
          <w:sz w:val="24"/>
          <w:szCs w:val="24"/>
        </w:rPr>
        <w:t>响应文件分值为所有评委打分的算术平均值，计算</w:t>
      </w:r>
      <w:r>
        <w:rPr>
          <w:rFonts w:hint="eastAsia" w:ascii="宋体" w:hAnsi="宋体" w:cs="宋体"/>
          <w:color w:val="auto"/>
          <w:sz w:val="24"/>
          <w:szCs w:val="24"/>
        </w:rPr>
        <w:t>结果均四舍五入保留两位小数。</w:t>
      </w:r>
    </w:p>
    <w:p>
      <w:pPr>
        <w:snapToGrid w:val="0"/>
        <w:spacing w:line="360" w:lineRule="auto"/>
        <w:ind w:firstLine="480" w:firstLineChars="200"/>
        <w:rPr>
          <w:color w:val="auto"/>
        </w:rPr>
      </w:pPr>
      <w:r>
        <w:rPr>
          <w:rFonts w:ascii="宋体" w:hAnsi="宋体" w:cs="宋体"/>
          <w:color w:val="auto"/>
          <w:sz w:val="24"/>
          <w:szCs w:val="24"/>
        </w:rPr>
        <w:t>5</w:t>
      </w:r>
      <w:r>
        <w:rPr>
          <w:rFonts w:hint="eastAsia" w:ascii="宋体" w:hAnsi="宋体" w:cs="宋体"/>
          <w:color w:val="auto"/>
          <w:sz w:val="24"/>
          <w:szCs w:val="24"/>
        </w:rPr>
        <w:t>、商务报价</w:t>
      </w:r>
      <w:r>
        <w:rPr>
          <w:rFonts w:hint="eastAsia" w:ascii="宋体" w:hAnsi="宋体" w:cs="宋体"/>
          <w:color w:val="auto"/>
          <w:kern w:val="0"/>
          <w:sz w:val="24"/>
          <w:szCs w:val="24"/>
        </w:rPr>
        <w:t>响应文件</w:t>
      </w:r>
      <w:r>
        <w:rPr>
          <w:rFonts w:hint="eastAsia" w:ascii="宋体" w:hAnsi="宋体" w:cs="宋体"/>
          <w:color w:val="auto"/>
          <w:sz w:val="24"/>
          <w:szCs w:val="24"/>
        </w:rPr>
        <w:t>分值统一采用低价优先法计算直接取得，与技术</w:t>
      </w:r>
      <w:r>
        <w:rPr>
          <w:rFonts w:hint="eastAsia" w:ascii="宋体" w:hAnsi="宋体" w:cs="宋体"/>
          <w:color w:val="auto"/>
          <w:kern w:val="0"/>
          <w:sz w:val="24"/>
          <w:szCs w:val="24"/>
        </w:rPr>
        <w:t>响应文件</w:t>
      </w:r>
      <w:r>
        <w:rPr>
          <w:rFonts w:hint="eastAsia" w:ascii="宋体" w:hAnsi="宋体" w:cs="宋体"/>
          <w:color w:val="auto"/>
          <w:sz w:val="24"/>
          <w:szCs w:val="24"/>
        </w:rPr>
        <w:t>分值相加为供应商的综合得分（四舍五入保留两位小数）。</w:t>
      </w:r>
    </w:p>
    <w:p>
      <w:pPr>
        <w:snapToGrid w:val="0"/>
        <w:spacing w:line="360" w:lineRule="auto"/>
        <w:ind w:firstLine="460" w:firstLineChars="192"/>
        <w:rPr>
          <w:rFonts w:ascii="宋体" w:hAnsi="宋体" w:cs="宋体"/>
          <w:color w:val="auto"/>
          <w:kern w:val="0"/>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color w:val="auto"/>
          <w:kern w:val="0"/>
          <w:sz w:val="24"/>
          <w:szCs w:val="24"/>
        </w:rPr>
        <w:t>综合得分最高的供应商推荐为项目预成交供应商并出具评审磋商报告。</w:t>
      </w:r>
    </w:p>
    <w:p>
      <w:pPr>
        <w:snapToGrid w:val="0"/>
        <w:spacing w:line="360" w:lineRule="auto"/>
        <w:ind w:firstLine="460" w:firstLineChars="192"/>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、确定成交候选人的特殊情况处理：</w:t>
      </w:r>
    </w:p>
    <w:p>
      <w:pPr>
        <w:snapToGrid w:val="0"/>
        <w:spacing w:line="360" w:lineRule="auto"/>
        <w:ind w:firstLine="480" w:firstLineChars="200"/>
        <w:outlineLvl w:val="1"/>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）若总分相同，则按最终报价得分高者优先中标。</w:t>
      </w:r>
    </w:p>
    <w:p>
      <w:pPr>
        <w:snapToGrid w:val="0"/>
        <w:spacing w:line="360" w:lineRule="auto"/>
        <w:ind w:firstLine="480" w:firstLineChars="200"/>
        <w:outlineLvl w:val="1"/>
        <w:rPr>
          <w:rFonts w:ascii="宋体"/>
          <w:dstrike/>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）若总分且最终报价得分相同，则采取现场抽签的方式确定（由供应商按递交响应文件签到顺序号抽签确定）。</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、磋商评审时，评委对评审的细则若有争议，由磋商小组集体讨论确定，并对未尽情况有最终解释权。</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、对落标的供应商不做落标原因的解释。</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五、综合评分评审标准</w:t>
      </w:r>
    </w:p>
    <w:p>
      <w:pPr>
        <w:adjustRightInd w:val="0"/>
        <w:snapToGrid w:val="0"/>
        <w:spacing w:line="360" w:lineRule="auto"/>
        <w:ind w:firstLine="482" w:firstLineChars="200"/>
        <w:outlineLvl w:val="3"/>
        <w:rPr>
          <w:rFonts w:ascii="宋体"/>
          <w:b/>
          <w:bCs/>
          <w:color w:val="auto"/>
          <w:sz w:val="24"/>
          <w:szCs w:val="24"/>
        </w:rPr>
      </w:pPr>
      <w:r>
        <w:rPr>
          <w:rFonts w:hint="eastAsia" w:ascii="宋体" w:hAnsi="宋体" w:cs="宋体"/>
          <w:b/>
          <w:bCs/>
          <w:color w:val="auto"/>
          <w:sz w:val="24"/>
          <w:szCs w:val="24"/>
        </w:rPr>
        <w:t>（一）技术磋商响应评审：（</w:t>
      </w:r>
      <w:r>
        <w:rPr>
          <w:rFonts w:hint="eastAsia" w:ascii="宋体" w:hAnsi="宋体" w:cs="宋体"/>
          <w:b/>
          <w:bCs/>
          <w:color w:val="auto"/>
          <w:sz w:val="24"/>
          <w:szCs w:val="24"/>
          <w:lang w:val="en-US" w:eastAsia="zh-CN"/>
        </w:rPr>
        <w:t>70</w:t>
      </w:r>
      <w:r>
        <w:rPr>
          <w:rFonts w:hint="eastAsia" w:ascii="宋体" w:hAnsi="宋体" w:cs="宋体"/>
          <w:b/>
          <w:bCs/>
          <w:color w:val="auto"/>
          <w:sz w:val="24"/>
          <w:szCs w:val="24"/>
        </w:rPr>
        <w:t>分）</w:t>
      </w:r>
    </w:p>
    <w:tbl>
      <w:tblPr>
        <w:tblStyle w:val="53"/>
        <w:tblW w:w="9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756"/>
        <w:gridCol w:w="7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4" w:type="dxa"/>
            <w:noWrap w:val="0"/>
            <w:vAlign w:val="center"/>
          </w:tcPr>
          <w:p>
            <w:pPr>
              <w:widowControl/>
              <w:jc w:val="center"/>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rPr>
              <w:t>评分</w:t>
            </w:r>
            <w:r>
              <w:rPr>
                <w:rFonts w:hint="eastAsia" w:ascii="宋体" w:hAnsi="宋体" w:eastAsia="宋体" w:cs="宋体"/>
                <w:b/>
                <w:color w:val="auto"/>
                <w:kern w:val="0"/>
                <w:sz w:val="21"/>
                <w:szCs w:val="21"/>
                <w:lang w:eastAsia="zh-CN"/>
              </w:rPr>
              <w:t>项</w:t>
            </w:r>
          </w:p>
        </w:tc>
        <w:tc>
          <w:tcPr>
            <w:tcW w:w="756" w:type="dxa"/>
            <w:noWrap w:val="0"/>
            <w:vAlign w:val="center"/>
          </w:tcPr>
          <w:p>
            <w:pPr>
              <w:widowControl/>
              <w:jc w:val="center"/>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分值</w:t>
            </w:r>
          </w:p>
        </w:tc>
        <w:tc>
          <w:tcPr>
            <w:tcW w:w="7441" w:type="dxa"/>
            <w:noWrap w:val="0"/>
            <w:vAlign w:val="center"/>
          </w:tcPr>
          <w:p>
            <w:pPr>
              <w:widowControl/>
              <w:jc w:val="center"/>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rPr>
              <w:t>评分</w:t>
            </w:r>
            <w:r>
              <w:rPr>
                <w:rFonts w:hint="eastAsia" w:ascii="宋体" w:hAnsi="宋体" w:eastAsia="宋体" w:cs="宋体"/>
                <w:b/>
                <w:color w:val="auto"/>
                <w:kern w:val="0"/>
                <w:sz w:val="21"/>
                <w:szCs w:val="21"/>
                <w:lang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084"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资信认证情况</w:t>
            </w:r>
          </w:p>
        </w:tc>
        <w:tc>
          <w:tcPr>
            <w:tcW w:w="756"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w:t>
            </w:r>
          </w:p>
        </w:tc>
        <w:tc>
          <w:tcPr>
            <w:tcW w:w="7441" w:type="dxa"/>
            <w:noWrap w:val="0"/>
            <w:vAlign w:val="center"/>
          </w:tcPr>
          <w:p>
            <w:pPr>
              <w:pStyle w:val="126"/>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投标人获</w:t>
            </w:r>
            <w:r>
              <w:rPr>
                <w:rFonts w:hint="eastAsia" w:ascii="宋体" w:hAnsi="宋体" w:eastAsia="宋体" w:cs="宋体"/>
                <w:color w:val="auto"/>
                <w:sz w:val="21"/>
                <w:szCs w:val="21"/>
                <w:lang w:eastAsia="zh-CN"/>
              </w:rPr>
              <w:t>有效期内</w:t>
            </w:r>
            <w:r>
              <w:rPr>
                <w:rFonts w:hint="eastAsia" w:ascii="宋体" w:hAnsi="宋体" w:eastAsia="宋体" w:cs="宋体"/>
                <w:color w:val="auto"/>
                <w:sz w:val="21"/>
                <w:szCs w:val="21"/>
              </w:rPr>
              <w:t>ISO9001质量体系认证得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分；获</w:t>
            </w:r>
            <w:r>
              <w:rPr>
                <w:rFonts w:hint="eastAsia" w:ascii="宋体" w:hAnsi="宋体" w:eastAsia="宋体" w:cs="宋体"/>
                <w:color w:val="auto"/>
                <w:sz w:val="21"/>
                <w:szCs w:val="21"/>
                <w:lang w:eastAsia="zh-CN"/>
              </w:rPr>
              <w:t>有效期内</w:t>
            </w:r>
            <w:r>
              <w:rPr>
                <w:rFonts w:hint="eastAsia" w:ascii="宋体" w:hAnsi="宋体" w:eastAsia="宋体" w:cs="宋体"/>
                <w:color w:val="auto"/>
                <w:sz w:val="21"/>
                <w:szCs w:val="21"/>
              </w:rPr>
              <w:t>ISO140001环境管理体系认证得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分；获</w:t>
            </w:r>
            <w:r>
              <w:rPr>
                <w:rFonts w:hint="eastAsia" w:ascii="宋体" w:hAnsi="宋体" w:eastAsia="宋体" w:cs="宋体"/>
                <w:color w:val="auto"/>
                <w:sz w:val="21"/>
                <w:szCs w:val="21"/>
                <w:lang w:eastAsia="zh-CN"/>
              </w:rPr>
              <w:t>有效期内</w:t>
            </w:r>
            <w:r>
              <w:rPr>
                <w:rFonts w:hint="eastAsia" w:ascii="宋体" w:hAnsi="宋体" w:eastAsia="宋体" w:cs="宋体"/>
                <w:color w:val="auto"/>
                <w:sz w:val="21"/>
                <w:szCs w:val="21"/>
              </w:rPr>
              <w:t>OHSAS18001职业健康安全管理体系认证得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分(本项满分</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w:t>
            </w:r>
          </w:p>
          <w:p>
            <w:pPr>
              <w:pStyle w:val="126"/>
              <w:spacing w:line="360" w:lineRule="auto"/>
              <w:ind w:left="0" w:leftChars="0"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投标人企业信用等级为AAA得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分，信用等级为AA得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分，AA 级以下不得分(本项满分</w:t>
            </w: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84"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w:t>
            </w:r>
          </w:p>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能力</w:t>
            </w:r>
          </w:p>
        </w:tc>
        <w:tc>
          <w:tcPr>
            <w:tcW w:w="756"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分</w:t>
            </w:r>
          </w:p>
        </w:tc>
        <w:tc>
          <w:tcPr>
            <w:tcW w:w="7441" w:type="dxa"/>
            <w:noWrap w:val="0"/>
            <w:vAlign w:val="center"/>
          </w:tcPr>
          <w:p>
            <w:pPr>
              <w:pStyle w:val="126"/>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提供生产设备、厂房、人员等情况介绍。由评委横向对比，生产设备、厂房、人员</w:t>
            </w:r>
            <w:r>
              <w:rPr>
                <w:rFonts w:hint="eastAsia" w:ascii="宋体" w:hAnsi="宋体" w:eastAsia="宋体" w:cs="宋体"/>
                <w:color w:val="auto"/>
                <w:sz w:val="21"/>
                <w:szCs w:val="21"/>
                <w:lang w:val="zh-CN"/>
              </w:rPr>
              <w:t>全面的得</w:t>
            </w:r>
            <w:r>
              <w:rPr>
                <w:rFonts w:hint="eastAsia" w:ascii="宋体" w:hAnsi="宋体" w:cs="宋体"/>
                <w:color w:val="auto"/>
                <w:sz w:val="21"/>
                <w:szCs w:val="21"/>
                <w:lang w:val="en-US" w:eastAsia="zh-CN"/>
              </w:rPr>
              <w:t>10</w:t>
            </w:r>
            <w:r>
              <w:rPr>
                <w:rFonts w:hint="eastAsia" w:ascii="宋体" w:hAnsi="宋体" w:eastAsia="宋体" w:cs="宋体"/>
                <w:color w:val="auto"/>
                <w:sz w:val="21"/>
                <w:szCs w:val="21"/>
                <w:lang w:val="zh-CN"/>
              </w:rPr>
              <w:t>分;</w:t>
            </w:r>
            <w:r>
              <w:rPr>
                <w:rFonts w:hint="eastAsia" w:ascii="宋体" w:hAnsi="宋体" w:eastAsia="宋体" w:cs="宋体"/>
                <w:color w:val="auto"/>
                <w:sz w:val="21"/>
                <w:szCs w:val="21"/>
              </w:rPr>
              <w:t>生产设备、厂房、人员</w:t>
            </w:r>
            <w:r>
              <w:rPr>
                <w:rFonts w:hint="eastAsia" w:ascii="宋体" w:hAnsi="宋体" w:eastAsia="宋体" w:cs="宋体"/>
                <w:color w:val="auto"/>
                <w:sz w:val="21"/>
                <w:szCs w:val="21"/>
                <w:lang w:val="zh-CN"/>
              </w:rPr>
              <w:t>较全面的得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生产设备、厂房、人员</w:t>
            </w:r>
            <w:r>
              <w:rPr>
                <w:rFonts w:hint="eastAsia" w:ascii="宋体" w:hAnsi="宋体" w:eastAsia="宋体" w:cs="宋体"/>
                <w:color w:val="auto"/>
                <w:sz w:val="21"/>
                <w:szCs w:val="21"/>
                <w:lang w:val="zh-CN"/>
              </w:rPr>
              <w:t>一般的得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1084"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技术参数响应</w:t>
            </w:r>
          </w:p>
        </w:tc>
        <w:tc>
          <w:tcPr>
            <w:tcW w:w="756"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w:t>
            </w:r>
          </w:p>
        </w:tc>
        <w:tc>
          <w:tcPr>
            <w:tcW w:w="7441" w:type="dxa"/>
            <w:noWrap w:val="0"/>
            <w:vAlign w:val="center"/>
          </w:tcPr>
          <w:p>
            <w:pPr>
              <w:pStyle w:val="126"/>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评委根据项目需求中所明确的所有产品的规格、技术参数与</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文件的适合性打分。</w:t>
            </w:r>
          </w:p>
          <w:p>
            <w:pPr>
              <w:pStyle w:val="126"/>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投标文件须具有详细的技术参数配置描述，且技术指标完全满足</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文件要求的本项得满分</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0分</w:t>
            </w:r>
            <w:r>
              <w:rPr>
                <w:rFonts w:hint="eastAsia" w:ascii="宋体" w:hAnsi="宋体" w:eastAsia="宋体" w:cs="宋体"/>
                <w:color w:val="auto"/>
                <w:sz w:val="21"/>
                <w:szCs w:val="21"/>
              </w:rPr>
              <w:t>。</w:t>
            </w:r>
          </w:p>
          <w:p>
            <w:pPr>
              <w:pStyle w:val="126"/>
              <w:spacing w:line="360"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加★项为重要性能指标，不允许负偏离，否则作无效投标处理</w:t>
            </w:r>
            <w:r>
              <w:rPr>
                <w:rFonts w:hint="eastAsia" w:ascii="宋体" w:hAnsi="宋体" w:eastAsia="宋体" w:cs="宋体"/>
                <w:color w:val="auto"/>
                <w:sz w:val="21"/>
                <w:szCs w:val="21"/>
                <w:highlight w:val="none"/>
              </w:rPr>
              <w:t>；</w:t>
            </w:r>
          </w:p>
          <w:p>
            <w:pPr>
              <w:pStyle w:val="126"/>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highlight w:val="none"/>
              </w:rPr>
              <w:t>非加★参数每有一项不满足扣</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分，累计扣分，扣完本项分值为止。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84"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服务方案</w:t>
            </w:r>
          </w:p>
        </w:tc>
        <w:tc>
          <w:tcPr>
            <w:tcW w:w="756"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w:t>
            </w:r>
          </w:p>
        </w:tc>
        <w:tc>
          <w:tcPr>
            <w:tcW w:w="7441" w:type="dxa"/>
            <w:noWrap w:val="0"/>
            <w:vAlign w:val="center"/>
          </w:tcPr>
          <w:p>
            <w:pPr>
              <w:pStyle w:val="126"/>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本项目服务方案：从产品质量管控、配送服务、设备监管、售后服务、增值服务等方面阐述。</w:t>
            </w:r>
          </w:p>
          <w:p>
            <w:pPr>
              <w:pStyle w:val="126"/>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由评委根据投标人响应文件横向对比</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zh-CN" w:eastAsia="zh-CN"/>
              </w:rPr>
              <w:t>各项服务方案及措施切实可行，投标文件重点突出、充分响应采购文件要求的得</w:t>
            </w:r>
            <w:r>
              <w:rPr>
                <w:rFonts w:hint="eastAsia" w:ascii="宋体" w:hAnsi="宋体" w:cs="宋体"/>
                <w:color w:val="auto"/>
                <w:sz w:val="21"/>
                <w:szCs w:val="21"/>
                <w:lang w:val="en-US" w:eastAsia="zh-CN"/>
              </w:rPr>
              <w:t>20</w:t>
            </w:r>
            <w:r>
              <w:rPr>
                <w:rFonts w:hint="eastAsia" w:ascii="宋体" w:hAnsi="宋体" w:eastAsia="宋体" w:cs="宋体"/>
                <w:color w:val="auto"/>
                <w:sz w:val="21"/>
                <w:szCs w:val="21"/>
                <w:lang w:val="zh-CN" w:eastAsia="zh-CN"/>
              </w:rPr>
              <w:t>分</w:t>
            </w:r>
            <w:r>
              <w:rPr>
                <w:rFonts w:hint="eastAsia" w:ascii="宋体" w:hAnsi="宋体" w:cs="宋体"/>
                <w:color w:val="auto"/>
                <w:sz w:val="21"/>
                <w:szCs w:val="21"/>
                <w:lang w:val="zh-CN" w:eastAsia="zh-CN"/>
              </w:rPr>
              <w:t>；</w:t>
            </w:r>
            <w:r>
              <w:rPr>
                <w:rFonts w:hint="eastAsia" w:ascii="宋体" w:hAnsi="宋体" w:eastAsia="宋体" w:cs="宋体"/>
                <w:color w:val="auto"/>
                <w:sz w:val="21"/>
                <w:szCs w:val="21"/>
                <w:lang w:val="zh-CN" w:eastAsia="zh-CN"/>
              </w:rPr>
              <w:t>各项售后服务方案及措施可行性较高,投标文件重点较突出、大部分响应采购文件要求的得</w:t>
            </w:r>
            <w:r>
              <w:rPr>
                <w:rFonts w:hint="eastAsia" w:ascii="宋体" w:hAnsi="宋体" w:cs="宋体"/>
                <w:color w:val="auto"/>
                <w:sz w:val="21"/>
                <w:szCs w:val="21"/>
                <w:lang w:val="en-US" w:eastAsia="zh-CN"/>
              </w:rPr>
              <w:t>12</w:t>
            </w:r>
            <w:r>
              <w:rPr>
                <w:rFonts w:hint="eastAsia" w:ascii="宋体" w:hAnsi="宋体" w:eastAsia="宋体" w:cs="宋体"/>
                <w:color w:val="auto"/>
                <w:sz w:val="21"/>
                <w:szCs w:val="21"/>
                <w:lang w:val="en-US" w:eastAsia="zh-CN"/>
              </w:rPr>
              <w:t>分</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zh-CN" w:eastAsia="zh-CN"/>
              </w:rPr>
              <w:t>各项售后服务方案及措施可行性一般，投标文件对采购文件要求响应性一般的得</w:t>
            </w: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84" w:type="dxa"/>
            <w:noWrap w:val="0"/>
            <w:vAlign w:val="center"/>
          </w:tcPr>
          <w:p>
            <w:pPr>
              <w:widowControl/>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投标人</w:t>
            </w:r>
          </w:p>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业绩</w:t>
            </w:r>
          </w:p>
        </w:tc>
        <w:tc>
          <w:tcPr>
            <w:tcW w:w="756" w:type="dxa"/>
            <w:noWrap w:val="0"/>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c>
          <w:tcPr>
            <w:tcW w:w="7441" w:type="dxa"/>
            <w:noWrap w:val="0"/>
            <w:vAlign w:val="center"/>
          </w:tcPr>
          <w:p>
            <w:pPr>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020</w:t>
            </w:r>
            <w:r>
              <w:rPr>
                <w:rFonts w:hint="eastAsia" w:ascii="宋体" w:hAnsi="宋体" w:eastAsia="宋体" w:cs="宋体"/>
                <w:color w:val="auto"/>
                <w:sz w:val="21"/>
                <w:szCs w:val="21"/>
              </w:rPr>
              <w:t>年1月1日以来(</w:t>
            </w:r>
            <w:r>
              <w:rPr>
                <w:rFonts w:hint="eastAsia" w:ascii="宋体" w:hAnsi="宋体" w:eastAsia="宋体" w:cs="宋体"/>
                <w:color w:val="auto"/>
                <w:sz w:val="21"/>
                <w:szCs w:val="21"/>
                <w:lang w:eastAsia="zh-CN"/>
              </w:rPr>
              <w:t>时间以</w:t>
            </w:r>
            <w:r>
              <w:rPr>
                <w:rFonts w:hint="eastAsia" w:ascii="宋体" w:hAnsi="宋体" w:eastAsia="宋体" w:cs="宋体"/>
                <w:color w:val="auto"/>
                <w:sz w:val="21"/>
                <w:szCs w:val="21"/>
              </w:rPr>
              <w:t>合同签订日期)，投标人有医院医用气供应配送服务业绩(合同原件</w:t>
            </w:r>
            <w:r>
              <w:rPr>
                <w:rFonts w:hint="eastAsia" w:ascii="宋体" w:hAnsi="宋体" w:eastAsia="宋体" w:cs="宋体"/>
                <w:color w:val="auto"/>
                <w:sz w:val="21"/>
                <w:szCs w:val="21"/>
                <w:lang w:eastAsia="zh-CN"/>
              </w:rPr>
              <w:t>备查</w:t>
            </w:r>
            <w:r>
              <w:rPr>
                <w:rFonts w:hint="eastAsia" w:ascii="宋体" w:hAnsi="宋体" w:eastAsia="宋体" w:cs="宋体"/>
                <w:color w:val="auto"/>
                <w:sz w:val="21"/>
                <w:szCs w:val="21"/>
              </w:rPr>
              <w:t>)：每有1</w:t>
            </w:r>
            <w:r>
              <w:rPr>
                <w:rFonts w:hint="eastAsia" w:ascii="宋体" w:hAnsi="宋体" w:eastAsia="宋体" w:cs="宋体"/>
                <w:color w:val="auto"/>
                <w:sz w:val="21"/>
                <w:szCs w:val="21"/>
                <w:lang w:eastAsia="zh-CN"/>
              </w:rPr>
              <w:t>个</w:t>
            </w:r>
            <w:r>
              <w:rPr>
                <w:rFonts w:hint="eastAsia" w:ascii="宋体" w:hAnsi="宋体" w:eastAsia="宋体" w:cs="宋体"/>
                <w:color w:val="auto"/>
                <w:sz w:val="21"/>
                <w:szCs w:val="21"/>
              </w:rPr>
              <w:t>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本项满分</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bl>
    <w:p>
      <w:pPr>
        <w:snapToGrid w:val="0"/>
        <w:spacing w:line="440" w:lineRule="exact"/>
        <w:ind w:firstLine="480" w:firstLineChars="200"/>
        <w:outlineLvl w:val="1"/>
        <w:rPr>
          <w:rFonts w:ascii="宋体"/>
          <w:b/>
          <w:bCs/>
          <w:color w:val="auto"/>
          <w:sz w:val="24"/>
          <w:szCs w:val="24"/>
        </w:rPr>
      </w:pPr>
      <w:r>
        <w:rPr>
          <w:rFonts w:hint="eastAsia" w:ascii="宋体" w:hAnsi="宋体" w:cs="宋体"/>
          <w:color w:val="auto"/>
          <w:sz w:val="24"/>
          <w:szCs w:val="24"/>
          <w:lang w:eastAsia="zh-CN"/>
        </w:rPr>
        <w:t>注：</w:t>
      </w:r>
      <w:r>
        <w:rPr>
          <w:rFonts w:hint="eastAsia" w:ascii="宋体" w:hAnsi="宋体" w:cs="宋体"/>
          <w:color w:val="auto"/>
          <w:sz w:val="24"/>
          <w:szCs w:val="24"/>
        </w:rPr>
        <w:t>以上打分项设得分上限，评委依据磋商文件载明的方法评分，评分四舍五入精确到小数点后两位。</w:t>
      </w:r>
    </w:p>
    <w:p>
      <w:pPr>
        <w:adjustRightInd w:val="0"/>
        <w:snapToGrid w:val="0"/>
        <w:spacing w:line="440" w:lineRule="exact"/>
        <w:ind w:firstLine="482" w:firstLineChars="200"/>
        <w:rPr>
          <w:rFonts w:ascii="宋体"/>
          <w:b/>
          <w:bCs/>
          <w:color w:val="auto"/>
          <w:sz w:val="24"/>
          <w:szCs w:val="24"/>
        </w:rPr>
      </w:pPr>
      <w:r>
        <w:rPr>
          <w:rFonts w:hint="eastAsia" w:ascii="宋体" w:hAnsi="宋体" w:cs="宋体"/>
          <w:b/>
          <w:bCs/>
          <w:color w:val="auto"/>
          <w:sz w:val="24"/>
          <w:szCs w:val="24"/>
          <w:u w:val="thick" w:color="FF0000"/>
        </w:rPr>
        <w:t>技术标评分中所涉及相关资料等证明材料均须提供原件的复印件加盖公章，并将原件带至开标现场备查，未携带原件或因携带原件不全所引起的后果由投标人自行承担</w:t>
      </w:r>
      <w:r>
        <w:rPr>
          <w:rFonts w:hint="eastAsia" w:ascii="宋体" w:hAnsi="宋体" w:cs="宋体"/>
          <w:b/>
          <w:bCs/>
          <w:color w:val="auto"/>
          <w:sz w:val="24"/>
          <w:szCs w:val="24"/>
        </w:rPr>
        <w:t>。</w:t>
      </w:r>
    </w:p>
    <w:p>
      <w:pPr>
        <w:snapToGrid w:val="0"/>
        <w:spacing w:line="360" w:lineRule="auto"/>
        <w:ind w:firstLine="482" w:firstLineChars="200"/>
        <w:rPr>
          <w:rFonts w:ascii="宋体"/>
          <w:b/>
          <w:bCs/>
          <w:color w:val="auto"/>
          <w:sz w:val="24"/>
          <w:szCs w:val="24"/>
        </w:rPr>
      </w:pPr>
      <w:r>
        <w:rPr>
          <w:rFonts w:hint="eastAsia" w:ascii="宋体" w:hAnsi="宋体" w:cs="宋体"/>
          <w:b/>
          <w:bCs/>
          <w:color w:val="auto"/>
          <w:sz w:val="24"/>
          <w:szCs w:val="24"/>
        </w:rPr>
        <w:t>（二）商务报价响应评分：（</w:t>
      </w:r>
      <w:r>
        <w:rPr>
          <w:rFonts w:hint="eastAsia" w:ascii="宋体" w:hAnsi="宋体" w:cs="宋体"/>
          <w:b/>
          <w:bCs/>
          <w:color w:val="auto"/>
          <w:sz w:val="24"/>
          <w:szCs w:val="24"/>
          <w:lang w:val="en-US" w:eastAsia="zh-CN"/>
        </w:rPr>
        <w:t>30</w:t>
      </w:r>
      <w:r>
        <w:rPr>
          <w:rFonts w:hint="eastAsia" w:ascii="宋体" w:hAnsi="宋体" w:cs="宋体"/>
          <w:b/>
          <w:bCs/>
          <w:color w:val="auto"/>
          <w:sz w:val="24"/>
          <w:szCs w:val="24"/>
        </w:rPr>
        <w:t>分）</w:t>
      </w:r>
    </w:p>
    <w:p>
      <w:pPr>
        <w:snapToGrid w:val="0"/>
        <w:spacing w:line="360" w:lineRule="auto"/>
        <w:ind w:firstLine="482" w:firstLineChars="200"/>
        <w:textAlignment w:val="baseline"/>
        <w:rPr>
          <w:rFonts w:ascii="宋体" w:hAnsi="宋体" w:cs="宋体"/>
          <w:b/>
          <w:color w:val="auto"/>
          <w:sz w:val="24"/>
          <w:szCs w:val="24"/>
        </w:rPr>
      </w:pPr>
      <w:r>
        <w:rPr>
          <w:rFonts w:hint="eastAsia" w:ascii="宋体" w:hAnsi="宋体" w:cs="宋体"/>
          <w:b/>
          <w:color w:val="auto"/>
          <w:sz w:val="24"/>
          <w:szCs w:val="24"/>
        </w:rPr>
        <w:t>1、本次项目最高限价为人民币</w:t>
      </w:r>
      <w:r>
        <w:rPr>
          <w:rFonts w:hint="eastAsia" w:ascii="宋体" w:hAnsi="宋体" w:cs="宋体"/>
          <w:b/>
          <w:color w:val="auto"/>
          <w:sz w:val="24"/>
          <w:szCs w:val="24"/>
          <w:lang w:val="en-US" w:eastAsia="zh-CN"/>
        </w:rPr>
        <w:t>30</w:t>
      </w:r>
      <w:r>
        <w:rPr>
          <w:rFonts w:hint="eastAsia" w:ascii="宋体" w:hAnsi="宋体" w:cs="宋体"/>
          <w:b/>
          <w:color w:val="auto"/>
          <w:sz w:val="24"/>
          <w:szCs w:val="24"/>
        </w:rPr>
        <w:t>0000.00元/年，报价不得超过限价，否则做无效投标处理。</w:t>
      </w:r>
    </w:p>
    <w:p>
      <w:pPr>
        <w:snapToGrid w:val="0"/>
        <w:spacing w:line="360" w:lineRule="auto"/>
        <w:ind w:firstLine="480" w:firstLineChars="200"/>
        <w:textAlignment w:val="baseline"/>
        <w:rPr>
          <w:rFonts w:ascii="宋体" w:hAns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、满足磋商文件要求且最后报价最低的供应商的价格为磋商基准价，其商务报价</w:t>
      </w:r>
      <w:r>
        <w:rPr>
          <w:rFonts w:hint="eastAsia" w:ascii="宋体" w:hAnsi="宋体" w:cs="宋体"/>
          <w:color w:val="auto"/>
          <w:kern w:val="0"/>
          <w:sz w:val="24"/>
          <w:szCs w:val="24"/>
        </w:rPr>
        <w:t>响应</w:t>
      </w:r>
      <w:r>
        <w:rPr>
          <w:rFonts w:hint="eastAsia" w:ascii="宋体" w:hAnsi="宋体" w:cs="宋体"/>
          <w:color w:val="auto"/>
          <w:sz w:val="24"/>
          <w:szCs w:val="24"/>
        </w:rPr>
        <w:t>分为满分30分。其他供应商的商务报价</w:t>
      </w:r>
      <w:r>
        <w:rPr>
          <w:rFonts w:hint="eastAsia" w:ascii="宋体" w:hAnsi="宋体" w:cs="宋体"/>
          <w:color w:val="auto"/>
          <w:kern w:val="0"/>
          <w:sz w:val="24"/>
          <w:szCs w:val="24"/>
        </w:rPr>
        <w:t>响应</w:t>
      </w:r>
      <w:r>
        <w:rPr>
          <w:rFonts w:hint="eastAsia" w:ascii="宋体" w:hAnsi="宋体" w:cs="宋体"/>
          <w:color w:val="auto"/>
          <w:sz w:val="24"/>
          <w:szCs w:val="24"/>
        </w:rPr>
        <w:t>分统一按照下列公式计算：</w:t>
      </w:r>
    </w:p>
    <w:p>
      <w:pPr>
        <w:snapToGrid w:val="0"/>
        <w:spacing w:line="360" w:lineRule="auto"/>
        <w:ind w:firstLine="482" w:firstLineChars="200"/>
        <w:rPr>
          <w:rFonts w:hint="eastAsia" w:ascii="宋体" w:hAnsi="宋体" w:cs="宋体"/>
          <w:b/>
          <w:color w:val="auto"/>
          <w:sz w:val="24"/>
          <w:szCs w:val="24"/>
        </w:rPr>
      </w:pPr>
      <w:r>
        <w:rPr>
          <w:rFonts w:hint="eastAsia" w:ascii="宋体" w:hAnsi="宋体" w:cs="宋体"/>
          <w:b/>
          <w:color w:val="auto"/>
          <w:sz w:val="24"/>
          <w:szCs w:val="24"/>
        </w:rPr>
        <w:t>商务报价</w:t>
      </w:r>
      <w:r>
        <w:rPr>
          <w:rFonts w:hint="eastAsia" w:ascii="宋体" w:hAnsi="宋体" w:cs="宋体"/>
          <w:b/>
          <w:color w:val="auto"/>
          <w:kern w:val="0"/>
          <w:sz w:val="24"/>
          <w:szCs w:val="24"/>
        </w:rPr>
        <w:t>响应</w:t>
      </w:r>
      <w:r>
        <w:rPr>
          <w:rFonts w:hint="eastAsia" w:ascii="宋体" w:hAnsi="宋体" w:cs="宋体"/>
          <w:b/>
          <w:color w:val="auto"/>
          <w:sz w:val="24"/>
          <w:szCs w:val="24"/>
        </w:rPr>
        <w:t>分 =（磋商基准价/最后磋商报价）×</w:t>
      </w:r>
      <w:r>
        <w:rPr>
          <w:rFonts w:hint="eastAsia" w:ascii="宋体" w:hAnsi="宋体" w:cs="宋体"/>
          <w:b/>
          <w:color w:val="auto"/>
          <w:sz w:val="24"/>
          <w:szCs w:val="24"/>
          <w:lang w:val="en-US" w:eastAsia="zh-CN"/>
        </w:rPr>
        <w:t>30</w:t>
      </w:r>
      <w:r>
        <w:rPr>
          <w:rFonts w:hint="eastAsia" w:ascii="宋体" w:hAnsi="宋体" w:cs="宋体"/>
          <w:b/>
          <w:color w:val="auto"/>
          <w:sz w:val="24"/>
          <w:szCs w:val="24"/>
        </w:rPr>
        <w:t>%×100</w:t>
      </w:r>
    </w:p>
    <w:p>
      <w:pPr>
        <w:snapToGrid w:val="0"/>
        <w:spacing w:line="360" w:lineRule="auto"/>
        <w:ind w:firstLine="482" w:firstLineChars="200"/>
        <w:textAlignment w:val="baseline"/>
        <w:rPr>
          <w:rFonts w:ascii="宋体" w:hAnsi="宋体" w:cs="宋体"/>
          <w:b/>
          <w:color w:val="auto"/>
          <w:sz w:val="24"/>
          <w:szCs w:val="24"/>
        </w:rPr>
      </w:pPr>
      <w:r>
        <w:rPr>
          <w:rFonts w:hint="eastAsia" w:ascii="宋体" w:hAnsi="宋体" w:cs="宋体"/>
          <w:b/>
          <w:color w:val="auto"/>
          <w:sz w:val="24"/>
          <w:szCs w:val="24"/>
          <w:lang w:val="en-US" w:eastAsia="zh-CN"/>
        </w:rPr>
        <w:t>3、综合单价最高限价如下表，投标供应商投标总价及综合单价均不能超过相应限价，</w:t>
      </w:r>
      <w:r>
        <w:rPr>
          <w:rFonts w:hint="eastAsia" w:ascii="宋体" w:hAnsi="宋体" w:cs="宋体"/>
          <w:b/>
          <w:color w:val="auto"/>
          <w:sz w:val="24"/>
          <w:szCs w:val="24"/>
        </w:rPr>
        <w:t>否则做无效投标处理。</w:t>
      </w:r>
    </w:p>
    <w:tbl>
      <w:tblPr>
        <w:tblStyle w:val="53"/>
        <w:tblW w:w="943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93"/>
        <w:gridCol w:w="2951"/>
        <w:gridCol w:w="1605"/>
        <w:gridCol w:w="2156"/>
        <w:gridCol w:w="18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8" w:hRule="atLeast"/>
          <w:jc w:val="center"/>
        </w:trPr>
        <w:tc>
          <w:tcPr>
            <w:tcW w:w="8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295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品名</w:t>
            </w:r>
          </w:p>
        </w:tc>
        <w:tc>
          <w:tcPr>
            <w:tcW w:w="1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bCs/>
                <w:color w:val="auto"/>
                <w:kern w:val="0"/>
                <w:sz w:val="21"/>
                <w:szCs w:val="21"/>
                <w:highlight w:val="none"/>
                <w:lang w:val="en-US"/>
              </w:rPr>
            </w:pPr>
            <w:r>
              <w:rPr>
                <w:rFonts w:hint="default" w:ascii="宋体" w:hAnsi="宋体" w:eastAsia="宋体" w:cs="宋体"/>
                <w:b/>
                <w:bCs/>
                <w:color w:val="auto"/>
                <w:kern w:val="0"/>
                <w:sz w:val="21"/>
                <w:szCs w:val="21"/>
                <w:highlight w:val="none"/>
                <w:lang w:val="en-US"/>
              </w:rPr>
              <w:t>单位（规格）</w:t>
            </w:r>
          </w:p>
        </w:tc>
        <w:tc>
          <w:tcPr>
            <w:tcW w:w="215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p>
            <w:pPr>
              <w:widowControl/>
              <w:spacing w:line="263"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（预估</w:t>
            </w:r>
            <w:r>
              <w:rPr>
                <w:rFonts w:hint="eastAsia" w:ascii="宋体" w:hAnsi="宋体" w:eastAsia="宋体" w:cs="宋体"/>
                <w:b/>
                <w:bCs/>
                <w:color w:val="auto"/>
                <w:kern w:val="0"/>
                <w:sz w:val="21"/>
                <w:szCs w:val="21"/>
                <w:highlight w:val="none"/>
                <w:lang w:val="en-US" w:eastAsia="zh-CN"/>
              </w:rPr>
              <w:t>/年</w:t>
            </w:r>
            <w:r>
              <w:rPr>
                <w:rFonts w:hint="eastAsia" w:ascii="宋体" w:hAnsi="宋体" w:eastAsia="宋体" w:cs="宋体"/>
                <w:b/>
                <w:bCs/>
                <w:color w:val="auto"/>
                <w:kern w:val="0"/>
                <w:sz w:val="21"/>
                <w:szCs w:val="21"/>
                <w:highlight w:val="none"/>
              </w:rPr>
              <w:t>）</w:t>
            </w:r>
          </w:p>
        </w:tc>
        <w:tc>
          <w:tcPr>
            <w:tcW w:w="18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综合</w:t>
            </w:r>
            <w:r>
              <w:rPr>
                <w:rFonts w:hint="eastAsia" w:ascii="宋体" w:hAnsi="宋体" w:eastAsia="宋体" w:cs="宋体"/>
                <w:b/>
                <w:bCs/>
                <w:color w:val="auto"/>
                <w:kern w:val="0"/>
                <w:sz w:val="21"/>
                <w:szCs w:val="21"/>
                <w:highlight w:val="none"/>
              </w:rPr>
              <w:t>单价</w:t>
            </w:r>
            <w:r>
              <w:rPr>
                <w:rFonts w:hint="eastAsia" w:ascii="宋体" w:hAnsi="宋体" w:eastAsia="宋体" w:cs="宋体"/>
                <w:b/>
                <w:bCs/>
                <w:color w:val="auto"/>
                <w:kern w:val="0"/>
                <w:sz w:val="21"/>
                <w:szCs w:val="21"/>
                <w:highlight w:val="none"/>
                <w:lang w:eastAsia="zh-CN"/>
              </w:rPr>
              <w:t>限价（元）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医用液氧</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吨</w:t>
            </w:r>
          </w:p>
        </w:tc>
        <w:tc>
          <w:tcPr>
            <w:tcW w:w="21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18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1400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2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医用瓶氧</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2"/>
                <w:szCs w:val="22"/>
                <w:highlight w:val="none"/>
                <w:lang w:val="en-US" w:eastAsia="zh-CN"/>
              </w:rPr>
              <w:t>P12（大瓶）</w:t>
            </w:r>
          </w:p>
        </w:tc>
        <w:tc>
          <w:tcPr>
            <w:tcW w:w="21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8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2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医用瓶氧</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2"/>
                <w:szCs w:val="22"/>
                <w:highlight w:val="none"/>
                <w:lang w:val="en-US" w:eastAsia="zh-CN"/>
              </w:rPr>
              <w:t>小瓶</w:t>
            </w:r>
          </w:p>
        </w:tc>
        <w:tc>
          <w:tcPr>
            <w:tcW w:w="21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143</w:t>
            </w:r>
          </w:p>
        </w:tc>
        <w:tc>
          <w:tcPr>
            <w:tcW w:w="18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29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液氮</w:t>
            </w:r>
          </w:p>
        </w:tc>
        <w:tc>
          <w:tcPr>
            <w:tcW w:w="1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升</w:t>
            </w:r>
          </w:p>
        </w:tc>
        <w:tc>
          <w:tcPr>
            <w:tcW w:w="215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2940</w:t>
            </w:r>
          </w:p>
        </w:tc>
        <w:tc>
          <w:tcPr>
            <w:tcW w:w="18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893"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5</w:t>
            </w:r>
          </w:p>
        </w:tc>
        <w:tc>
          <w:tcPr>
            <w:tcW w:w="295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高纯氮</w:t>
            </w:r>
            <w:r>
              <w:rPr>
                <w:rFonts w:hint="eastAsia" w:ascii="宋体" w:hAnsi="宋体" w:eastAsia="宋体" w:cs="宋体"/>
                <w:color w:val="auto"/>
                <w:kern w:val="0"/>
                <w:sz w:val="22"/>
                <w:szCs w:val="22"/>
                <w:highlight w:val="none"/>
                <w:lang w:eastAsia="zh-CN" w:bidi="ar"/>
              </w:rPr>
              <w:t>气</w:t>
            </w:r>
          </w:p>
        </w:tc>
        <w:tc>
          <w:tcPr>
            <w:tcW w:w="1605"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40升/瓶</w:t>
            </w:r>
          </w:p>
        </w:tc>
        <w:tc>
          <w:tcPr>
            <w:tcW w:w="215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77</w:t>
            </w:r>
          </w:p>
        </w:tc>
        <w:tc>
          <w:tcPr>
            <w:tcW w:w="1832"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2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以食品为原料高纯二氧化碳</w:t>
            </w:r>
          </w:p>
        </w:tc>
        <w:tc>
          <w:tcPr>
            <w:tcW w:w="160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40升/瓶</w:t>
            </w:r>
          </w:p>
        </w:tc>
        <w:tc>
          <w:tcPr>
            <w:tcW w:w="21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183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342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7</w:t>
            </w:r>
          </w:p>
        </w:tc>
        <w:tc>
          <w:tcPr>
            <w:tcW w:w="2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高纯乙炔</w:t>
            </w:r>
          </w:p>
        </w:tc>
        <w:tc>
          <w:tcPr>
            <w:tcW w:w="160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40升/瓶</w:t>
            </w:r>
          </w:p>
        </w:tc>
        <w:tc>
          <w:tcPr>
            <w:tcW w:w="21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83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608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8</w:t>
            </w:r>
          </w:p>
        </w:tc>
        <w:tc>
          <w:tcPr>
            <w:tcW w:w="2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highlight w:val="none"/>
                <w:lang w:bidi="ar"/>
              </w:rPr>
              <w:t>高纯氩气</w:t>
            </w:r>
          </w:p>
        </w:tc>
        <w:tc>
          <w:tcPr>
            <w:tcW w:w="160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40升/瓶</w:t>
            </w:r>
          </w:p>
        </w:tc>
        <w:tc>
          <w:tcPr>
            <w:tcW w:w="21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83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281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89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9</w:t>
            </w:r>
          </w:p>
        </w:tc>
        <w:tc>
          <w:tcPr>
            <w:tcW w:w="295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2"/>
                <w:szCs w:val="22"/>
                <w:highlight w:val="none"/>
                <w:lang w:eastAsia="zh-CN"/>
              </w:rPr>
              <w:t>预混气</w:t>
            </w:r>
          </w:p>
        </w:tc>
        <w:tc>
          <w:tcPr>
            <w:tcW w:w="160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highlight w:val="none"/>
                <w:lang w:bidi="ar"/>
              </w:rPr>
              <w:t>40升/瓶</w:t>
            </w:r>
          </w:p>
        </w:tc>
        <w:tc>
          <w:tcPr>
            <w:tcW w:w="21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Cs/>
                <w:color w:val="auto"/>
                <w:kern w:val="0"/>
                <w:sz w:val="21"/>
                <w:szCs w:val="21"/>
                <w:highlight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83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370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9437"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1628"/>
              </w:tabs>
              <w:spacing w:line="263" w:lineRule="atLeast"/>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b/>
                <w:bCs/>
                <w:color w:val="auto"/>
                <w:kern w:val="0"/>
                <w:sz w:val="22"/>
                <w:szCs w:val="22"/>
                <w:highlight w:val="none"/>
                <w:lang w:eastAsia="zh-CN" w:bidi="ar"/>
              </w:rPr>
              <w:t>总价限价：</w:t>
            </w:r>
            <w:r>
              <w:rPr>
                <w:rFonts w:hint="eastAsia" w:ascii="宋体" w:hAnsi="宋体" w:eastAsia="宋体" w:cs="宋体"/>
                <w:b/>
                <w:bCs/>
                <w:color w:val="auto"/>
                <w:kern w:val="0"/>
                <w:sz w:val="22"/>
                <w:szCs w:val="22"/>
                <w:highlight w:val="none"/>
                <w:lang w:val="en-US" w:eastAsia="zh-CN" w:bidi="ar"/>
              </w:rPr>
              <w:t>300000.00</w:t>
            </w:r>
            <w:r>
              <w:rPr>
                <w:rFonts w:hint="eastAsia" w:ascii="宋体" w:hAnsi="宋体" w:eastAsia="宋体" w:cs="宋体"/>
                <w:b/>
                <w:bCs/>
                <w:color w:val="auto"/>
                <w:kern w:val="0"/>
                <w:sz w:val="22"/>
                <w:szCs w:val="22"/>
                <w:highlight w:val="none"/>
                <w:lang w:eastAsia="zh-CN" w:bidi="ar"/>
              </w:rPr>
              <w:t>元</w:t>
            </w:r>
            <w:r>
              <w:rPr>
                <w:rFonts w:hint="eastAsia" w:ascii="宋体" w:hAnsi="宋体" w:cs="宋体"/>
                <w:b/>
                <w:bCs/>
                <w:color w:val="auto"/>
                <w:kern w:val="0"/>
                <w:sz w:val="22"/>
                <w:szCs w:val="22"/>
                <w:highlight w:val="none"/>
                <w:lang w:val="en-US" w:eastAsia="zh-CN" w:bidi="ar"/>
              </w:rPr>
              <w:t>/年</w:t>
            </w:r>
          </w:p>
        </w:tc>
      </w:tr>
      <w:bookmarkEnd w:id="52"/>
      <w:bookmarkEnd w:id="53"/>
      <w:bookmarkEnd w:id="54"/>
      <w:bookmarkEnd w:id="55"/>
      <w:bookmarkEnd w:id="56"/>
      <w:bookmarkEnd w:id="57"/>
      <w:bookmarkEnd w:id="58"/>
      <w:bookmarkEnd w:id="59"/>
    </w:tbl>
    <w:p>
      <w:pPr>
        <w:snapToGrid w:val="0"/>
        <w:spacing w:line="360" w:lineRule="auto"/>
        <w:ind w:firstLine="487" w:firstLineChars="202"/>
        <w:rPr>
          <w:rFonts w:ascii="宋体" w:hAnsi="宋体" w:cs="宋体"/>
          <w:b/>
          <w:bCs/>
          <w:color w:val="auto"/>
          <w:sz w:val="24"/>
          <w:szCs w:val="24"/>
        </w:rPr>
      </w:pPr>
      <w:bookmarkStart w:id="61" w:name="_Hlk67169510"/>
      <w:bookmarkStart w:id="62" w:name="_Toc94585343"/>
      <w:bookmarkStart w:id="63" w:name="_Toc363573858"/>
      <w:r>
        <w:rPr>
          <w:rFonts w:hint="eastAsia" w:ascii="宋体" w:hAnsi="宋体" w:cs="宋体"/>
          <w:b/>
          <w:bCs/>
          <w:color w:val="auto"/>
          <w:sz w:val="24"/>
          <w:szCs w:val="24"/>
          <w:lang w:val="en-US" w:eastAsia="zh-CN"/>
        </w:rPr>
        <w:t>3</w:t>
      </w:r>
      <w:r>
        <w:rPr>
          <w:rFonts w:hint="eastAsia" w:ascii="宋体" w:hAnsi="宋体" w:cs="宋体"/>
          <w:b/>
          <w:bCs/>
          <w:color w:val="auto"/>
          <w:sz w:val="24"/>
          <w:szCs w:val="24"/>
        </w:rPr>
        <w:t>、关于落实政府采购政策的中小微企业价格评审</w:t>
      </w:r>
      <w:bookmarkEnd w:id="61"/>
    </w:p>
    <w:p>
      <w:pPr>
        <w:snapToGrid w:val="0"/>
        <w:spacing w:line="360" w:lineRule="auto"/>
        <w:ind w:firstLine="484" w:firstLineChars="202"/>
        <w:rPr>
          <w:rFonts w:ascii="宋体" w:hAnsi="宋体" w:cs="宋体"/>
          <w:color w:val="auto"/>
          <w:sz w:val="24"/>
          <w:szCs w:val="24"/>
        </w:rPr>
      </w:pPr>
      <w:bookmarkStart w:id="64" w:name="_Hlk67609383"/>
      <w:r>
        <w:rPr>
          <w:rFonts w:hint="eastAsia" w:ascii="宋体" w:hAnsi="宋体" w:cs="宋体"/>
          <w:color w:val="auto"/>
          <w:sz w:val="24"/>
          <w:szCs w:val="24"/>
        </w:rPr>
        <w:t>（1）根据《政府采购促进中小企业发展管理办法》（财库﹝2020﹞46 号）的第四条，</w:t>
      </w:r>
      <w:r>
        <w:rPr>
          <w:rFonts w:hint="eastAsia" w:ascii="宋体" w:hAnsi="宋体" w:cs="宋体"/>
          <w:b/>
          <w:bCs/>
          <w:color w:val="auto"/>
          <w:sz w:val="24"/>
          <w:szCs w:val="24"/>
        </w:rPr>
        <w:t>本次采购的项目，其响应供应商提供的</w:t>
      </w:r>
      <w:r>
        <w:rPr>
          <w:rFonts w:hint="eastAsia" w:ascii="宋体" w:hAnsi="宋体" w:cs="宋体"/>
          <w:b/>
          <w:bCs/>
          <w:color w:val="auto"/>
          <w:sz w:val="24"/>
          <w:szCs w:val="24"/>
          <w:u w:val="single"/>
          <w:lang w:eastAsia="zh-CN"/>
        </w:rPr>
        <w:t>货物</w:t>
      </w:r>
      <w:r>
        <w:rPr>
          <w:rFonts w:hint="eastAsia" w:ascii="宋体" w:hAnsi="宋体" w:cs="宋体"/>
          <w:b/>
          <w:bCs/>
          <w:color w:val="auto"/>
          <w:sz w:val="24"/>
          <w:szCs w:val="24"/>
        </w:rPr>
        <w:t>符合：工信部联企业〔2011〕300号《关于印发中小企业划型标准规定的通知》中的</w:t>
      </w:r>
      <w:bookmarkStart w:id="65" w:name="_Hlk62787617"/>
      <w:r>
        <w:rPr>
          <w:rFonts w:hint="eastAsia" w:ascii="宋体" w:hAnsi="宋体" w:cs="宋体"/>
          <w:b/>
          <w:bCs/>
          <w:color w:val="auto"/>
          <w:sz w:val="24"/>
          <w:szCs w:val="24"/>
        </w:rPr>
        <w:t>中小企业</w:t>
      </w:r>
      <w:bookmarkStart w:id="66" w:name="_Hlk67153790"/>
      <w:r>
        <w:rPr>
          <w:rFonts w:hint="eastAsia" w:ascii="宋体" w:hAnsi="宋体" w:cs="宋体"/>
          <w:b/>
          <w:bCs/>
          <w:color w:val="auto"/>
          <w:sz w:val="24"/>
          <w:szCs w:val="24"/>
        </w:rPr>
        <w:t>“</w:t>
      </w:r>
      <w:r>
        <w:rPr>
          <w:rFonts w:hint="eastAsia" w:ascii="宋体" w:hAnsi="宋体" w:cs="宋体"/>
          <w:b/>
          <w:bCs/>
          <w:color w:val="auto"/>
          <w:sz w:val="24"/>
          <w:szCs w:val="24"/>
          <w:u w:val="thick" w:color="FF0000"/>
        </w:rPr>
        <w:t>其他未列明行业</w:t>
      </w:r>
      <w:r>
        <w:rPr>
          <w:rFonts w:hint="eastAsia" w:ascii="宋体" w:hAnsi="宋体" w:cs="宋体"/>
          <w:b/>
          <w:bCs/>
          <w:color w:val="auto"/>
          <w:sz w:val="24"/>
          <w:szCs w:val="24"/>
        </w:rPr>
        <w:t>”类</w:t>
      </w:r>
      <w:bookmarkEnd w:id="66"/>
      <w:r>
        <w:rPr>
          <w:rFonts w:hint="eastAsia" w:ascii="宋体" w:hAnsi="宋体" w:cs="宋体"/>
          <w:b/>
          <w:bCs/>
          <w:color w:val="auto"/>
          <w:sz w:val="24"/>
          <w:szCs w:val="24"/>
        </w:rPr>
        <w:t>的划型标准规定</w:t>
      </w:r>
      <w:bookmarkEnd w:id="65"/>
      <w:r>
        <w:rPr>
          <w:rFonts w:hint="eastAsia" w:ascii="宋体" w:hAnsi="宋体" w:cs="宋体"/>
          <w:b/>
          <w:bCs/>
          <w:color w:val="auto"/>
          <w:sz w:val="24"/>
          <w:szCs w:val="24"/>
        </w:rPr>
        <w:t>的，将享受中小企业扶持政策。</w:t>
      </w:r>
    </w:p>
    <w:p>
      <w:pPr>
        <w:snapToGrid w:val="0"/>
        <w:spacing w:line="360" w:lineRule="auto"/>
        <w:ind w:firstLine="487" w:firstLineChars="202"/>
        <w:rPr>
          <w:rFonts w:ascii="宋体" w:hAnsi="宋体" w:cs="宋体"/>
          <w:color w:val="auto"/>
          <w:sz w:val="24"/>
          <w:szCs w:val="24"/>
        </w:rPr>
      </w:pPr>
      <w:r>
        <w:rPr>
          <w:rFonts w:hint="eastAsia" w:ascii="宋体" w:hAnsi="宋体" w:cs="宋体"/>
          <w:b/>
          <w:bCs/>
          <w:color w:val="auto"/>
          <w:sz w:val="24"/>
          <w:szCs w:val="24"/>
        </w:rPr>
        <w:t>“</w:t>
      </w:r>
      <w:r>
        <w:rPr>
          <w:rFonts w:hint="eastAsia" w:ascii="宋体" w:hAnsi="宋体" w:cs="宋体"/>
          <w:b/>
          <w:bCs/>
          <w:color w:val="auto"/>
          <w:sz w:val="24"/>
          <w:szCs w:val="24"/>
          <w:u w:val="thick" w:color="FF0000"/>
        </w:rPr>
        <w:t>其他未列明行业</w:t>
      </w:r>
      <w:r>
        <w:rPr>
          <w:rFonts w:hint="eastAsia" w:ascii="宋体" w:hAnsi="宋体" w:cs="宋体"/>
          <w:b/>
          <w:bCs/>
          <w:color w:val="auto"/>
          <w:sz w:val="24"/>
          <w:szCs w:val="24"/>
        </w:rPr>
        <w:t>”类中小企业划型标准</w:t>
      </w:r>
      <w:r>
        <w:rPr>
          <w:rFonts w:hint="eastAsia" w:ascii="宋体" w:hAnsi="宋体" w:cs="宋体"/>
          <w:color w:val="auto"/>
          <w:sz w:val="24"/>
          <w:szCs w:val="24"/>
        </w:rPr>
        <w:t>：</w:t>
      </w:r>
      <w:r>
        <w:rPr>
          <w:rFonts w:hint="eastAsia" w:ascii="宋体" w:hAnsi="宋体" w:cs="宋体"/>
          <w:color w:val="auto"/>
          <w:sz w:val="24"/>
          <w:szCs w:val="24"/>
          <w:u w:val="single"/>
        </w:rPr>
        <w:t>从业人员300人以下的为中小微型企业。其中，从业人员100人及以上的为中型企业；从业人员10人及以上的为小型企业；从业人员10人以下的为微型企业。</w:t>
      </w:r>
    </w:p>
    <w:p>
      <w:pPr>
        <w:snapToGrid w:val="0"/>
        <w:spacing w:line="360" w:lineRule="auto"/>
        <w:ind w:firstLine="484" w:firstLineChars="202"/>
        <w:rPr>
          <w:rFonts w:ascii="宋体" w:hAnsi="宋体" w:cs="宋体"/>
          <w:color w:val="auto"/>
          <w:sz w:val="24"/>
          <w:szCs w:val="24"/>
        </w:rPr>
      </w:pPr>
      <w:r>
        <w:rPr>
          <w:rFonts w:hint="eastAsia" w:ascii="宋体" w:hAnsi="宋体" w:cs="宋体"/>
          <w:color w:val="auto"/>
          <w:sz w:val="24"/>
          <w:szCs w:val="24"/>
        </w:rPr>
        <w:t>（2）</w:t>
      </w:r>
      <w:bookmarkStart w:id="67" w:name="_Hlk67155978"/>
      <w:r>
        <w:rPr>
          <w:rFonts w:hint="eastAsia" w:ascii="宋体" w:hAnsi="宋体" w:cs="宋体"/>
          <w:color w:val="auto"/>
          <w:sz w:val="24"/>
          <w:szCs w:val="24"/>
        </w:rPr>
        <w:t>根据</w:t>
      </w:r>
      <w:bookmarkStart w:id="68" w:name="_Hlk67155505"/>
      <w:r>
        <w:rPr>
          <w:rFonts w:hint="eastAsia" w:ascii="宋体" w:hAnsi="宋体" w:cs="宋体"/>
          <w:color w:val="auto"/>
          <w:sz w:val="24"/>
          <w:szCs w:val="24"/>
        </w:rPr>
        <w:t>《政府采购促进中小企业发展管理办法》（财库﹝2020﹞46 号）</w:t>
      </w:r>
      <w:bookmarkEnd w:id="68"/>
      <w:r>
        <w:rPr>
          <w:rFonts w:hint="eastAsia" w:ascii="宋体" w:hAnsi="宋体" w:cs="宋体"/>
          <w:color w:val="auto"/>
          <w:sz w:val="24"/>
          <w:szCs w:val="24"/>
        </w:rPr>
        <w:t>的第九条规定</w:t>
      </w:r>
      <w:bookmarkEnd w:id="67"/>
      <w:r>
        <w:rPr>
          <w:rFonts w:hint="eastAsia" w:ascii="宋体" w:hAnsi="宋体" w:cs="宋体"/>
          <w:color w:val="auto"/>
          <w:sz w:val="24"/>
          <w:szCs w:val="24"/>
        </w:rPr>
        <w:t>，</w:t>
      </w:r>
      <w:bookmarkStart w:id="69" w:name="_Hlk67154819"/>
      <w:r>
        <w:rPr>
          <w:rFonts w:hint="eastAsia" w:ascii="宋体" w:hAnsi="宋体" w:cs="宋体"/>
          <w:b/>
          <w:bCs/>
          <w:color w:val="auto"/>
          <w:sz w:val="24"/>
          <w:szCs w:val="24"/>
          <w:u w:val="thick" w:color="FF0000"/>
        </w:rPr>
        <w:t>磋商供应商响应的服务是由</w:t>
      </w:r>
      <w:bookmarkStart w:id="70" w:name="_Hlk62900373"/>
      <w:r>
        <w:rPr>
          <w:rFonts w:hint="eastAsia" w:ascii="宋体" w:hAnsi="宋体" w:cs="宋体"/>
          <w:b/>
          <w:bCs/>
          <w:color w:val="auto"/>
          <w:sz w:val="24"/>
          <w:szCs w:val="24"/>
          <w:u w:val="thick" w:color="FF0000"/>
        </w:rPr>
        <w:t>小型、微型企业</w:t>
      </w:r>
      <w:bookmarkEnd w:id="69"/>
      <w:bookmarkEnd w:id="70"/>
      <w:r>
        <w:rPr>
          <w:rFonts w:hint="eastAsia" w:ascii="宋体" w:hAnsi="宋体" w:cs="宋体"/>
          <w:b/>
          <w:bCs/>
          <w:color w:val="auto"/>
          <w:sz w:val="24"/>
          <w:szCs w:val="24"/>
          <w:u w:val="thick" w:color="FF0000"/>
        </w:rPr>
        <w:t>提供</w:t>
      </w:r>
      <w:r>
        <w:rPr>
          <w:rFonts w:hint="eastAsia" w:ascii="宋体" w:hAnsi="宋体" w:cs="宋体"/>
          <w:color w:val="auto"/>
          <w:sz w:val="24"/>
          <w:szCs w:val="24"/>
        </w:rPr>
        <w:t>，该磋商供应商的报价将给予评审价格调整，具体方法如下：</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① 按照转发《财政部 工业和信息化部关于印发〈政府采购促进中小企业发展管理办法〉的通知》(通财购[2021]18号）文件要求，对符合要求的供应商报价给予10%的扣除，用扣除后的价格参与评审，如果成交，则以其最终磋商报价作为成交价。</w:t>
      </w:r>
    </w:p>
    <w:p>
      <w:pPr>
        <w:snapToGrid w:val="0"/>
        <w:spacing w:line="360" w:lineRule="auto"/>
        <w:ind w:firstLine="480" w:firstLineChars="200"/>
        <w:rPr>
          <w:rFonts w:ascii="宋体" w:hAnsi="宋体" w:cs="宋体"/>
          <w:color w:val="auto"/>
          <w:sz w:val="24"/>
          <w:szCs w:val="24"/>
        </w:rPr>
      </w:pPr>
      <w:bookmarkStart w:id="71" w:name="_Hlk67486828"/>
      <w:r>
        <w:rPr>
          <w:rFonts w:hint="eastAsia" w:ascii="宋体" w:hAnsi="宋体" w:cs="宋体"/>
          <w:color w:val="auto"/>
          <w:sz w:val="24"/>
          <w:szCs w:val="24"/>
        </w:rPr>
        <w:t xml:space="preserve">② </w:t>
      </w:r>
      <w:bookmarkStart w:id="72" w:name="_Hlk62901453"/>
      <w:bookmarkStart w:id="73" w:name="_Hlk62788551"/>
      <w:r>
        <w:rPr>
          <w:rFonts w:hint="eastAsia" w:ascii="宋体" w:hAnsi="宋体" w:cs="宋体"/>
          <w:color w:val="auto"/>
          <w:sz w:val="24"/>
          <w:szCs w:val="24"/>
        </w:rPr>
        <w:t>参加本次政府采购活动，符合要求的磋商供应商须严格按《政府采购促进中小企业发展管理办法》（财库﹝2020﹞46 号）的文件要求，出具填报“</w:t>
      </w:r>
      <w:bookmarkStart w:id="74" w:name="_Hlk67171734"/>
      <w:r>
        <w:rPr>
          <w:rFonts w:hint="eastAsia" w:ascii="宋体" w:hAnsi="宋体" w:cs="宋体"/>
          <w:color w:val="auto"/>
          <w:sz w:val="24"/>
          <w:szCs w:val="24"/>
        </w:rPr>
        <w:t>中小企业声明函</w:t>
      </w:r>
      <w:bookmarkEnd w:id="74"/>
      <w:r>
        <w:rPr>
          <w:rFonts w:hint="eastAsia" w:ascii="宋体" w:hAnsi="宋体" w:cs="宋体"/>
          <w:color w:val="auto"/>
          <w:sz w:val="24"/>
          <w:szCs w:val="24"/>
        </w:rPr>
        <w:t>”</w:t>
      </w:r>
      <w:r>
        <w:rPr>
          <w:rFonts w:hint="eastAsia" w:ascii="宋体" w:hAnsi="宋体" w:cs="宋体"/>
          <w:b/>
          <w:bCs/>
          <w:color w:val="auto"/>
          <w:sz w:val="24"/>
          <w:szCs w:val="24"/>
        </w:rPr>
        <w:t>（格式见第八章）</w:t>
      </w:r>
      <w:r>
        <w:rPr>
          <w:rFonts w:hint="eastAsia" w:ascii="宋体" w:hAnsi="宋体" w:cs="宋体"/>
          <w:color w:val="auto"/>
          <w:sz w:val="24"/>
          <w:szCs w:val="24"/>
        </w:rPr>
        <w:t>；</w:t>
      </w:r>
      <w:bookmarkEnd w:id="72"/>
    </w:p>
    <w:bookmarkEnd w:id="73"/>
    <w:p>
      <w:pPr>
        <w:snapToGrid w:val="0"/>
        <w:spacing w:line="360" w:lineRule="auto"/>
        <w:ind w:firstLine="560"/>
        <w:rPr>
          <w:rFonts w:ascii="宋体" w:hAnsi="宋体" w:cs="宋体"/>
          <w:color w:val="auto"/>
          <w:sz w:val="24"/>
          <w:szCs w:val="24"/>
        </w:rPr>
      </w:pPr>
      <w:r>
        <w:rPr>
          <w:rFonts w:hint="eastAsia" w:ascii="宋体" w:hAnsi="宋体" w:cs="宋体"/>
          <w:color w:val="auto"/>
          <w:sz w:val="24"/>
          <w:szCs w:val="24"/>
        </w:rPr>
        <w:t>③ 本项目享受中小企业扶持政策的磋商供应商一旦成交，因提供“中小企业声明函”的行为引发争议和影响本项目采购执行效率，应当按本项目采购人或采购代理机构的通知，在2个工作日内提供服务供应商注册登记所在地的县级以上人民政府中小企业主管部门认定是小型、微型企业的证明原件，用以核对，逾期未提供的则视作提供的 “中小企业声明函”内容不实。</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④ 若磋商供应商</w:t>
      </w:r>
      <w:bookmarkStart w:id="75" w:name="_Hlk67172184"/>
      <w:r>
        <w:rPr>
          <w:rFonts w:hint="eastAsia" w:ascii="宋体" w:hAnsi="宋体" w:cs="宋体"/>
          <w:color w:val="auto"/>
          <w:sz w:val="24"/>
          <w:szCs w:val="24"/>
        </w:rPr>
        <w:t>提供的 “中小企业声明函”内容不实</w:t>
      </w:r>
      <w:bookmarkEnd w:id="75"/>
      <w:r>
        <w:rPr>
          <w:rFonts w:hint="eastAsia" w:ascii="宋体" w:hAnsi="宋体" w:cs="宋体"/>
          <w:color w:val="auto"/>
          <w:sz w:val="24"/>
          <w:szCs w:val="24"/>
        </w:rPr>
        <w:t>的，属于提供虚假材料谋取成交；磋商供应商的该行为将报请政府采购监管的财政部门参照《中华人民共和国政府采购法》第七十七条的规定处理并给予行政处罚。</w:t>
      </w:r>
    </w:p>
    <w:bookmarkEnd w:id="71"/>
    <w:p>
      <w:pPr>
        <w:snapToGrid w:val="0"/>
        <w:spacing w:line="360" w:lineRule="auto"/>
        <w:ind w:firstLine="480" w:firstLineChars="200"/>
        <w:rPr>
          <w:rFonts w:ascii="宋体"/>
          <w:color w:val="auto"/>
          <w:sz w:val="24"/>
          <w:szCs w:val="24"/>
        </w:rPr>
      </w:pPr>
      <w:r>
        <w:rPr>
          <w:rFonts w:hint="eastAsia" w:ascii="宋体" w:hAnsi="宋体" w:cs="宋体"/>
          <w:color w:val="auto"/>
          <w:sz w:val="24"/>
          <w:szCs w:val="24"/>
        </w:rPr>
        <w:t>（3）</w:t>
      </w:r>
      <w:bookmarkStart w:id="76" w:name="_Hlk67486961"/>
      <w:r>
        <w:rPr>
          <w:rFonts w:hint="eastAsia" w:ascii="宋体" w:hAnsi="宋体" w:cs="宋体"/>
          <w:b/>
          <w:bCs/>
          <w:color w:val="auto"/>
          <w:sz w:val="24"/>
          <w:szCs w:val="24"/>
          <w:u w:val="thick" w:color="FF0000"/>
        </w:rPr>
        <w:t>不符合上述要求的磋商供应商，无须提供“中小企业声明函”</w:t>
      </w:r>
      <w:r>
        <w:rPr>
          <w:rFonts w:hint="eastAsia" w:ascii="宋体" w:hAnsi="宋体" w:cs="宋体"/>
          <w:color w:val="auto"/>
          <w:sz w:val="24"/>
          <w:szCs w:val="24"/>
        </w:rPr>
        <w:t>。</w:t>
      </w:r>
      <w:bookmarkEnd w:id="64"/>
      <w:bookmarkEnd w:id="76"/>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六、出现下列情形之一的，作无效响应处理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、响应文件未按磋商文件要求装订、密封、签署、盖章及主要资料不齐全的；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、响应文件的资料有虚报或者谎报的；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、响应文件中资格审查文件及技术响应文件出现磋商报价的内容；</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、不具备磋商文件规定的资格要求的；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、响应文件有重大漏项或重大不合理的；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、项目技术、方案不满足项目需求中的要求，有重大偏离或保留的；</w:t>
      </w:r>
    </w:p>
    <w:p>
      <w:pPr>
        <w:snapToGrid w:val="0"/>
        <w:spacing w:line="360" w:lineRule="auto"/>
        <w:ind w:firstLine="480" w:firstLineChars="200"/>
        <w:rPr>
          <w:rFonts w:ascii="宋体"/>
          <w:b/>
          <w:bCs/>
          <w:color w:val="auto"/>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b/>
          <w:bCs/>
          <w:color w:val="auto"/>
          <w:sz w:val="24"/>
          <w:szCs w:val="24"/>
        </w:rPr>
        <w:t>磋商响应报价超出项目预算</w:t>
      </w:r>
      <w:r>
        <w:rPr>
          <w:rFonts w:hint="eastAsia" w:ascii="宋体" w:hAnsi="宋体" w:cs="宋体"/>
          <w:b/>
          <w:bCs/>
          <w:color w:val="auto"/>
          <w:sz w:val="24"/>
          <w:szCs w:val="24"/>
          <w:lang w:eastAsia="zh-CN"/>
        </w:rPr>
        <w:t>或综合单价限价</w:t>
      </w:r>
      <w:r>
        <w:rPr>
          <w:rFonts w:hint="eastAsia" w:ascii="宋体" w:hAnsi="宋体" w:cs="宋体"/>
          <w:b/>
          <w:bCs/>
          <w:color w:val="auto"/>
          <w:sz w:val="24"/>
          <w:szCs w:val="24"/>
        </w:rPr>
        <w:t>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、被认定为低于成本报价磋商竞标的；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9</w:t>
      </w:r>
      <w:r>
        <w:rPr>
          <w:rFonts w:hint="eastAsia" w:ascii="宋体" w:hAnsi="宋体" w:cs="宋体"/>
          <w:color w:val="auto"/>
          <w:sz w:val="24"/>
          <w:szCs w:val="24"/>
        </w:rPr>
        <w:t>、供应商的磋商报价高于自己前一轮的；</w:t>
      </w:r>
    </w:p>
    <w:p>
      <w:pPr>
        <w:snapToGrid w:val="0"/>
        <w:spacing w:line="360" w:lineRule="auto"/>
        <w:ind w:firstLine="480" w:firstLineChars="200"/>
        <w:rPr>
          <w:rFonts w:ascii="宋体"/>
          <w:dstrike/>
          <w:color w:val="auto"/>
          <w:sz w:val="24"/>
          <w:szCs w:val="24"/>
        </w:rPr>
      </w:pPr>
      <w:r>
        <w:rPr>
          <w:rFonts w:ascii="宋体" w:hAnsi="宋体" w:cs="宋体"/>
          <w:color w:val="auto"/>
          <w:sz w:val="24"/>
          <w:szCs w:val="24"/>
        </w:rPr>
        <w:t>10</w:t>
      </w:r>
      <w:r>
        <w:rPr>
          <w:rFonts w:hint="eastAsia" w:ascii="宋体" w:hAnsi="宋体" w:cs="宋体"/>
          <w:color w:val="auto"/>
          <w:sz w:val="24"/>
          <w:szCs w:val="24"/>
        </w:rPr>
        <w:t>、不符合法律、法规和磋商文件中规定的其他实质性响应要求的；</w:t>
      </w:r>
    </w:p>
    <w:p>
      <w:pPr>
        <w:snapToGrid w:val="0"/>
        <w:spacing w:line="360" w:lineRule="auto"/>
        <w:ind w:firstLine="480" w:firstLineChars="200"/>
        <w:rPr>
          <w:rFonts w:hint="default" w:eastAsia="宋体"/>
          <w:b/>
          <w:bCs/>
          <w:color w:val="auto"/>
          <w:lang w:val="en-US" w:eastAsia="zh-CN"/>
        </w:rPr>
      </w:pPr>
      <w:r>
        <w:rPr>
          <w:rFonts w:ascii="宋体" w:hAnsi="宋体" w:cs="宋体"/>
          <w:color w:val="auto"/>
          <w:sz w:val="24"/>
          <w:szCs w:val="24"/>
        </w:rPr>
        <w:t>11</w:t>
      </w:r>
      <w:r>
        <w:rPr>
          <w:rFonts w:hint="eastAsia" w:ascii="宋体" w:hAnsi="宋体" w:cs="宋体"/>
          <w:color w:val="auto"/>
          <w:sz w:val="24"/>
          <w:szCs w:val="24"/>
        </w:rPr>
        <w:t>、磋商小组依据法律法规可以认定为无效投标的其他情况。</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七、出现下列情形之一的，作废标处理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、供应商的报价均超出了采购预算，采购单位不能支付的；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、因情况变化，不再符合规定的竞争性磋商采购方式所适用情形的；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、出现影响采购公正的违法、违规行为的；</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、因重大变故，采购任务取消的；</w:t>
      </w:r>
      <w:r>
        <w:rPr>
          <w:rFonts w:ascii="宋体"/>
          <w:color w:val="auto"/>
          <w:sz w:val="24"/>
          <w:szCs w:val="24"/>
        </w:rPr>
        <w:tab/>
      </w:r>
    </w:p>
    <w:p>
      <w:pPr>
        <w:snapToGrid w:val="0"/>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、磋商小组依据法律法规可以认定为废标的其他情况。</w:t>
      </w:r>
    </w:p>
    <w:p>
      <w:pPr>
        <w:snapToGrid w:val="0"/>
        <w:spacing w:line="360" w:lineRule="auto"/>
        <w:ind w:firstLine="482" w:firstLineChars="200"/>
        <w:outlineLvl w:val="1"/>
        <w:rPr>
          <w:rFonts w:ascii="宋体"/>
          <w:b/>
          <w:bCs/>
          <w:color w:val="auto"/>
          <w:sz w:val="24"/>
          <w:szCs w:val="24"/>
        </w:rPr>
      </w:pPr>
      <w:r>
        <w:rPr>
          <w:rFonts w:hint="eastAsia" w:ascii="宋体" w:hAnsi="宋体" w:cs="宋体"/>
          <w:b/>
          <w:bCs/>
          <w:color w:val="auto"/>
          <w:sz w:val="24"/>
          <w:szCs w:val="24"/>
        </w:rPr>
        <w:t>八、成交通知</w:t>
      </w:r>
    </w:p>
    <w:p>
      <w:pPr>
        <w:snapToGrid w:val="0"/>
        <w:spacing w:line="360" w:lineRule="auto"/>
        <w:ind w:firstLine="480" w:firstLineChars="200"/>
        <w:rPr>
          <w:rFonts w:cs="宋体"/>
          <w:color w:val="auto"/>
          <w:kern w:val="0"/>
          <w:sz w:val="24"/>
          <w:szCs w:val="24"/>
        </w:rPr>
      </w:pPr>
      <w:r>
        <w:rPr>
          <w:rFonts w:hint="eastAsia" w:cs="宋体"/>
          <w:color w:val="auto"/>
          <w:kern w:val="0"/>
          <w:sz w:val="24"/>
          <w:szCs w:val="24"/>
        </w:rPr>
        <w:t>成交结果在</w:t>
      </w:r>
      <w:r>
        <w:rPr>
          <w:rFonts w:hint="eastAsia" w:ascii="宋体" w:hAnsi="宋体" w:cs="宋体"/>
          <w:color w:val="auto"/>
          <w:sz w:val="24"/>
          <w:szCs w:val="24"/>
        </w:rPr>
        <w:t>南通市卫生健康委员会官网（http://wjw.nantong.gov.cn）和南通市妇幼保健院官网（http://www.ntfybj.com）公示</w:t>
      </w:r>
      <w:r>
        <w:rPr>
          <w:rFonts w:hint="eastAsia"/>
          <w:b/>
          <w:bCs/>
          <w:color w:val="auto"/>
          <w:kern w:val="0"/>
          <w:sz w:val="24"/>
          <w:szCs w:val="24"/>
          <w:u w:val="single"/>
        </w:rPr>
        <w:t>1</w:t>
      </w:r>
      <w:r>
        <w:rPr>
          <w:rFonts w:hint="eastAsia" w:cs="宋体"/>
          <w:color w:val="auto"/>
          <w:kern w:val="0"/>
          <w:sz w:val="24"/>
          <w:szCs w:val="24"/>
        </w:rPr>
        <w:t>个工作日。《成交通知书》一经发出，采购单位改变成交结果，或者供应商放弃成交的，各自承担相应的法律责任。《成交通知书》是采购合同的组成部分。</w:t>
      </w:r>
    </w:p>
    <w:p>
      <w:pPr>
        <w:snapToGrid w:val="0"/>
        <w:spacing w:line="480" w:lineRule="exact"/>
        <w:ind w:firstLine="477" w:firstLineChars="198"/>
        <w:rPr>
          <w:rFonts w:ascii="宋体" w:hAnsi="宋体"/>
          <w:b/>
          <w:color w:val="auto"/>
          <w:sz w:val="24"/>
        </w:rPr>
      </w:pPr>
      <w:r>
        <w:rPr>
          <w:rFonts w:hint="eastAsia" w:ascii="宋体" w:hAnsi="宋体"/>
          <w:b/>
          <w:color w:val="auto"/>
          <w:sz w:val="24"/>
        </w:rPr>
        <w:t>九、其他注意事项</w:t>
      </w:r>
    </w:p>
    <w:p>
      <w:pPr>
        <w:snapToGrid w:val="0"/>
        <w:spacing w:line="480" w:lineRule="exact"/>
        <w:ind w:firstLine="570"/>
        <w:rPr>
          <w:color w:val="auto"/>
          <w:sz w:val="24"/>
        </w:rPr>
      </w:pPr>
      <w:r>
        <w:rPr>
          <w:color w:val="auto"/>
          <w:sz w:val="24"/>
        </w:rPr>
        <w:t>1、在</w:t>
      </w:r>
      <w:r>
        <w:rPr>
          <w:rFonts w:hint="eastAsia"/>
          <w:color w:val="auto"/>
          <w:sz w:val="24"/>
        </w:rPr>
        <w:t>磋商响应</w:t>
      </w:r>
      <w:r>
        <w:rPr>
          <w:rFonts w:hint="eastAsia" w:ascii="宋体" w:hAnsi="宋体" w:cs="宋体"/>
          <w:color w:val="auto"/>
          <w:sz w:val="24"/>
        </w:rPr>
        <w:t>﹑</w:t>
      </w:r>
      <w:r>
        <w:rPr>
          <w:color w:val="auto"/>
          <w:sz w:val="24"/>
        </w:rPr>
        <w:t>开标时间，</w:t>
      </w:r>
      <w:r>
        <w:rPr>
          <w:rFonts w:hint="eastAsia"/>
          <w:color w:val="auto"/>
          <w:sz w:val="24"/>
        </w:rPr>
        <w:t>供应商</w:t>
      </w:r>
      <w:r>
        <w:rPr>
          <w:color w:val="auto"/>
          <w:sz w:val="24"/>
        </w:rPr>
        <w:t>不得向评委询问情况，不得进行旨在影响评标结果的活动。</w:t>
      </w:r>
    </w:p>
    <w:p>
      <w:pPr>
        <w:snapToGrid w:val="0"/>
        <w:spacing w:line="480" w:lineRule="exact"/>
        <w:ind w:firstLine="570"/>
        <w:rPr>
          <w:color w:val="auto"/>
          <w:sz w:val="24"/>
        </w:rPr>
      </w:pPr>
      <w:r>
        <w:rPr>
          <w:color w:val="auto"/>
          <w:sz w:val="24"/>
        </w:rPr>
        <w:t>2、评委会不得向</w:t>
      </w:r>
      <w:r>
        <w:rPr>
          <w:rFonts w:hint="eastAsia"/>
          <w:color w:val="auto"/>
          <w:sz w:val="24"/>
        </w:rPr>
        <w:t>供应商</w:t>
      </w:r>
      <w:r>
        <w:rPr>
          <w:color w:val="auto"/>
          <w:sz w:val="24"/>
        </w:rPr>
        <w:t>解释落标原因。</w:t>
      </w:r>
    </w:p>
    <w:p>
      <w:pPr>
        <w:snapToGrid w:val="0"/>
        <w:spacing w:line="480" w:lineRule="exact"/>
        <w:ind w:firstLine="570"/>
        <w:rPr>
          <w:color w:val="auto"/>
          <w:sz w:val="24"/>
        </w:rPr>
      </w:pPr>
      <w:r>
        <w:rPr>
          <w:color w:val="auto"/>
          <w:sz w:val="24"/>
        </w:rPr>
        <w:t>3、在</w:t>
      </w:r>
      <w:r>
        <w:rPr>
          <w:rFonts w:hint="eastAsia"/>
          <w:color w:val="auto"/>
          <w:sz w:val="24"/>
        </w:rPr>
        <w:t>磋商响应</w:t>
      </w:r>
      <w:r>
        <w:rPr>
          <w:rFonts w:hint="eastAsia" w:ascii="宋体" w:hAnsi="宋体" w:cs="宋体"/>
          <w:color w:val="auto"/>
          <w:sz w:val="24"/>
        </w:rPr>
        <w:t>﹑</w:t>
      </w:r>
      <w:r>
        <w:rPr>
          <w:color w:val="auto"/>
          <w:sz w:val="24"/>
        </w:rPr>
        <w:t>评标过程中，如果</w:t>
      </w:r>
      <w:r>
        <w:rPr>
          <w:rFonts w:hint="eastAsia"/>
          <w:color w:val="auto"/>
          <w:sz w:val="24"/>
        </w:rPr>
        <w:t>供应商</w:t>
      </w:r>
      <w:r>
        <w:rPr>
          <w:color w:val="auto"/>
          <w:sz w:val="24"/>
        </w:rPr>
        <w:t>联合故意抬高报价或出现其他不正当行为，采购人有权中止</w:t>
      </w:r>
      <w:r>
        <w:rPr>
          <w:rFonts w:hint="eastAsia"/>
          <w:color w:val="auto"/>
          <w:sz w:val="24"/>
        </w:rPr>
        <w:t>磋商响应</w:t>
      </w:r>
      <w:r>
        <w:rPr>
          <w:color w:val="auto"/>
          <w:sz w:val="24"/>
        </w:rPr>
        <w:t>或评标。</w:t>
      </w:r>
    </w:p>
    <w:p>
      <w:pPr>
        <w:snapToGrid w:val="0"/>
        <w:spacing w:line="480" w:lineRule="exact"/>
        <w:ind w:firstLine="570"/>
        <w:rPr>
          <w:color w:val="auto"/>
          <w:sz w:val="24"/>
        </w:rPr>
      </w:pPr>
      <w:r>
        <w:rPr>
          <w:color w:val="auto"/>
          <w:sz w:val="24"/>
        </w:rPr>
        <w:t>4、凡在投</w:t>
      </w:r>
      <w:r>
        <w:rPr>
          <w:rFonts w:hint="eastAsia"/>
          <w:color w:val="auto"/>
          <w:sz w:val="24"/>
        </w:rPr>
        <w:t>磋商响应</w:t>
      </w:r>
      <w:r>
        <w:rPr>
          <w:color w:val="auto"/>
          <w:sz w:val="24"/>
        </w:rPr>
        <w:t>、开标过程中，已提示是否异议的事项，</w:t>
      </w:r>
      <w:r>
        <w:rPr>
          <w:rFonts w:hint="eastAsia"/>
          <w:color w:val="auto"/>
          <w:sz w:val="24"/>
        </w:rPr>
        <w:t>供应商</w:t>
      </w:r>
      <w:r>
        <w:rPr>
          <w:color w:val="auto"/>
          <w:sz w:val="24"/>
        </w:rPr>
        <w:t>当时没有提出异议的，事后不得针对上述事项提出质疑。</w:t>
      </w:r>
    </w:p>
    <w:p>
      <w:pPr>
        <w:snapToGrid w:val="0"/>
        <w:spacing w:line="480" w:lineRule="exact"/>
        <w:ind w:firstLine="482" w:firstLineChars="200"/>
        <w:rPr>
          <w:b/>
          <w:color w:val="auto"/>
          <w:sz w:val="24"/>
        </w:rPr>
      </w:pPr>
      <w:r>
        <w:rPr>
          <w:rFonts w:hint="eastAsia"/>
          <w:b/>
          <w:color w:val="auto"/>
          <w:sz w:val="24"/>
        </w:rPr>
        <w:t>十</w:t>
      </w:r>
      <w:r>
        <w:rPr>
          <w:b/>
          <w:color w:val="auto"/>
          <w:sz w:val="24"/>
        </w:rPr>
        <w:t>、变更为其他方式采购的情形</w:t>
      </w:r>
    </w:p>
    <w:p>
      <w:pPr>
        <w:autoSpaceDE w:val="0"/>
        <w:autoSpaceDN w:val="0"/>
        <w:adjustRightInd w:val="0"/>
        <w:snapToGrid w:val="0"/>
        <w:spacing w:line="480" w:lineRule="exact"/>
        <w:ind w:firstLine="480" w:firstLineChars="200"/>
        <w:rPr>
          <w:color w:val="auto"/>
          <w:sz w:val="24"/>
          <w:lang w:val="zh-CN"/>
        </w:rPr>
      </w:pPr>
      <w:r>
        <w:rPr>
          <w:color w:val="auto"/>
          <w:sz w:val="24"/>
        </w:rPr>
        <w:t>提交响应文件截止时间时参加磋商的供应商不足3家的，及磋商中出现符合专业条件的供应商或对磋商文件作实质响应的供应商不足3家（规定可以2家的情形除外），除采购任务取消外，磋商人报告市财政局，视情采取其他方式采购。</w:t>
      </w:r>
      <w:r>
        <w:rPr>
          <w:color w:val="auto"/>
          <w:sz w:val="24"/>
          <w:lang w:val="zh-CN"/>
        </w:rPr>
        <w:t>磋商文件中对供应商资质、技术等要求，将作为</w:t>
      </w:r>
      <w:r>
        <w:rPr>
          <w:color w:val="auto"/>
          <w:sz w:val="24"/>
        </w:rPr>
        <w:t>其他</w:t>
      </w:r>
      <w:r>
        <w:rPr>
          <w:color w:val="auto"/>
          <w:sz w:val="24"/>
          <w:lang w:val="zh-CN"/>
        </w:rPr>
        <w:t>方式采购的基本要求和依据。原已经参加磋商并符合要求的供应商，根据自愿原则，参加</w:t>
      </w:r>
      <w:r>
        <w:rPr>
          <w:color w:val="auto"/>
          <w:sz w:val="24"/>
        </w:rPr>
        <w:t>其他</w:t>
      </w:r>
      <w:r>
        <w:rPr>
          <w:color w:val="auto"/>
          <w:sz w:val="24"/>
          <w:lang w:val="zh-CN"/>
        </w:rPr>
        <w:t>方式采购。</w:t>
      </w:r>
    </w:p>
    <w:p>
      <w:pPr>
        <w:pStyle w:val="118"/>
        <w:snapToGrid w:val="0"/>
        <w:spacing w:line="480" w:lineRule="exact"/>
        <w:ind w:firstLine="496"/>
        <w:contextualSpacing/>
        <w:rPr>
          <w:rFonts w:ascii="Times New Roman" w:hAnsi="Times New Roman" w:eastAsia="宋体"/>
          <w:color w:val="auto"/>
          <w:sz w:val="24"/>
          <w:szCs w:val="24"/>
        </w:rPr>
      </w:pPr>
      <w:r>
        <w:rPr>
          <w:rFonts w:hint="eastAsia" w:ascii="Times New Roman" w:hAnsi="Times New Roman" w:eastAsia="宋体"/>
          <w:b/>
          <w:color w:val="auto"/>
          <w:sz w:val="24"/>
          <w:szCs w:val="24"/>
        </w:rPr>
        <w:t>十一</w:t>
      </w:r>
      <w:r>
        <w:rPr>
          <w:rFonts w:ascii="Times New Roman" w:hAnsi="Times New Roman" w:eastAsia="宋体"/>
          <w:b/>
          <w:color w:val="auto"/>
          <w:sz w:val="24"/>
          <w:szCs w:val="24"/>
        </w:rPr>
        <w:t>、出现下列情形之一的，竞争性磋商采购活动终止，发布项目终止公告并说明原因，重新开展采购活动：</w:t>
      </w:r>
    </w:p>
    <w:p>
      <w:pPr>
        <w:pStyle w:val="118"/>
        <w:snapToGrid w:val="0"/>
        <w:spacing w:line="480" w:lineRule="exact"/>
        <w:ind w:firstLine="494"/>
        <w:contextualSpacing/>
        <w:rPr>
          <w:rFonts w:ascii="Times New Roman" w:hAnsi="Times New Roman" w:eastAsia="宋体"/>
          <w:color w:val="auto"/>
          <w:sz w:val="24"/>
          <w:szCs w:val="24"/>
        </w:rPr>
      </w:pPr>
      <w:r>
        <w:rPr>
          <w:rFonts w:ascii="Times New Roman" w:hAnsi="Times New Roman" w:eastAsia="宋体"/>
          <w:color w:val="auto"/>
          <w:sz w:val="24"/>
          <w:szCs w:val="24"/>
        </w:rPr>
        <w:t>（一）因情况变化，不再符合规定的竞争性磋商采购方式适用情形的；</w:t>
      </w:r>
    </w:p>
    <w:p>
      <w:pPr>
        <w:pStyle w:val="118"/>
        <w:snapToGrid w:val="0"/>
        <w:spacing w:line="480" w:lineRule="exact"/>
        <w:ind w:firstLine="494"/>
        <w:contextualSpacing/>
        <w:rPr>
          <w:rFonts w:ascii="Times New Roman" w:hAnsi="Times New Roman" w:eastAsia="宋体"/>
          <w:color w:val="auto"/>
          <w:sz w:val="24"/>
          <w:szCs w:val="24"/>
        </w:rPr>
      </w:pPr>
      <w:r>
        <w:rPr>
          <w:rFonts w:ascii="Times New Roman" w:hAnsi="Times New Roman" w:eastAsia="宋体"/>
          <w:color w:val="auto"/>
          <w:sz w:val="24"/>
          <w:szCs w:val="24"/>
        </w:rPr>
        <w:t>（二）出现影响采购公正的违法、违规行为的；</w:t>
      </w:r>
    </w:p>
    <w:p>
      <w:pPr>
        <w:pStyle w:val="118"/>
        <w:snapToGrid w:val="0"/>
        <w:spacing w:line="480" w:lineRule="exact"/>
        <w:ind w:firstLine="480" w:firstLineChars="200"/>
        <w:contextualSpacing/>
        <w:rPr>
          <w:rFonts w:ascii="Times New Roman" w:hAnsi="Times New Roman" w:eastAsia="宋体"/>
          <w:color w:val="auto"/>
          <w:sz w:val="24"/>
          <w:szCs w:val="24"/>
        </w:rPr>
      </w:pPr>
      <w:r>
        <w:rPr>
          <w:rFonts w:ascii="Times New Roman" w:hAnsi="Times New Roman" w:eastAsia="宋体"/>
          <w:color w:val="auto"/>
          <w:sz w:val="24"/>
          <w:szCs w:val="24"/>
        </w:rPr>
        <w:t>（三）在采购过程中符合要求的供应商或者报价未超过采购预算的供应商不足3家的（市场竞争不充分的科研项目，以及需要扶持的科技成果转化项目除外）。</w:t>
      </w:r>
    </w:p>
    <w:p>
      <w:pPr>
        <w:pStyle w:val="52"/>
        <w:rPr>
          <w:color w:val="auto"/>
        </w:rPr>
      </w:pPr>
    </w:p>
    <w:p>
      <w:pPr>
        <w:pStyle w:val="5"/>
        <w:keepNext w:val="0"/>
        <w:keepLines w:val="0"/>
        <w:numPr>
          <w:ilvl w:val="0"/>
          <w:numId w:val="0"/>
        </w:numPr>
        <w:snapToGrid w:val="0"/>
        <w:spacing w:before="0" w:after="0" w:line="360" w:lineRule="auto"/>
        <w:jc w:val="center"/>
        <w:rPr>
          <w:rFonts w:ascii="宋体" w:hAnsi="宋体"/>
          <w:color w:val="auto"/>
          <w:sz w:val="24"/>
          <w:szCs w:val="24"/>
        </w:rPr>
      </w:pPr>
      <w:r>
        <w:rPr>
          <w:rFonts w:ascii="宋体"/>
          <w:color w:val="auto"/>
          <w:w w:val="80"/>
        </w:rPr>
        <w:br w:type="page"/>
      </w:r>
      <w:bookmarkEnd w:id="62"/>
      <w:bookmarkEnd w:id="63"/>
      <w:r>
        <w:rPr>
          <w:rFonts w:hint="eastAsia" w:ascii="宋体" w:hAnsi="宋体" w:cs="宋体"/>
          <w:color w:val="auto"/>
          <w:w w:val="80"/>
        </w:rPr>
        <w:t>第五章  合同主要条款</w:t>
      </w:r>
      <w:bookmarkStart w:id="77" w:name="_Toc20744795"/>
      <w:bookmarkStart w:id="78" w:name="_Toc39047827"/>
      <w:bookmarkStart w:id="79" w:name="_Toc20744258"/>
    </w:p>
    <w:bookmarkEnd w:id="77"/>
    <w:bookmarkEnd w:id="78"/>
    <w:bookmarkEnd w:id="79"/>
    <w:p>
      <w:pPr>
        <w:spacing w:after="180" w:line="640" w:lineRule="exact"/>
        <w:jc w:val="center"/>
        <w:rPr>
          <w:color w:val="auto"/>
        </w:rPr>
      </w:pPr>
      <w:r>
        <w:rPr>
          <w:color w:val="auto"/>
          <w:sz w:val="32"/>
        </w:rPr>
        <w:t>合同条款</w:t>
      </w:r>
    </w:p>
    <w:p>
      <w:pPr>
        <w:spacing w:line="480" w:lineRule="exact"/>
        <w:ind w:firstLine="540"/>
        <w:jc w:val="both"/>
        <w:rPr>
          <w:color w:val="auto"/>
        </w:rPr>
      </w:pPr>
      <w:r>
        <w:rPr>
          <w:color w:val="auto"/>
          <w:sz w:val="24"/>
        </w:rPr>
        <w:t>甲方：（买方）</w:t>
      </w:r>
      <w:r>
        <w:rPr>
          <w:color w:val="auto"/>
          <w:sz w:val="24"/>
          <w:u w:val="single"/>
        </w:rPr>
        <w:t>南通市妇幼保健院</w:t>
      </w:r>
    </w:p>
    <w:p>
      <w:pPr>
        <w:spacing w:line="480" w:lineRule="exact"/>
        <w:ind w:firstLine="540"/>
        <w:jc w:val="both"/>
        <w:rPr>
          <w:rFonts w:hint="default" w:eastAsiaTheme="minorEastAsia"/>
          <w:color w:val="auto"/>
          <w:lang w:val="en-US" w:eastAsia="zh-CN"/>
        </w:rPr>
      </w:pPr>
      <w:r>
        <w:rPr>
          <w:color w:val="auto"/>
          <w:sz w:val="24"/>
        </w:rPr>
        <w:t>乙方：（卖方）</w:t>
      </w:r>
      <w:r>
        <w:rPr>
          <w:rFonts w:hint="eastAsia" w:ascii="宋体" w:hAnsi="宋体" w:eastAsia="宋体" w:cs="宋体"/>
          <w:color w:val="auto"/>
          <w:sz w:val="24"/>
          <w:u w:val="single"/>
          <w:lang w:val="en-US" w:eastAsia="zh-CN"/>
        </w:rPr>
        <w:t xml:space="preserve">                </w:t>
      </w:r>
    </w:p>
    <w:p>
      <w:pPr>
        <w:spacing w:line="480" w:lineRule="exact"/>
        <w:ind w:firstLine="540"/>
        <w:jc w:val="both"/>
        <w:rPr>
          <w:color w:val="auto"/>
        </w:rPr>
      </w:pPr>
      <w:r>
        <w:rPr>
          <w:color w:val="auto"/>
          <w:sz w:val="24"/>
        </w:rPr>
        <w:t>甲、乙双方根据</w:t>
      </w:r>
      <w:r>
        <w:rPr>
          <w:color w:val="auto"/>
          <w:sz w:val="24"/>
          <w:u w:val="single"/>
        </w:rPr>
        <w:t>南通市妇幼保健院医用气体采购</w:t>
      </w:r>
      <w:r>
        <w:rPr>
          <w:color w:val="auto"/>
          <w:sz w:val="24"/>
        </w:rPr>
        <w:t>项目公开招标的结果，签署本合同。</w:t>
      </w:r>
    </w:p>
    <w:p>
      <w:pPr>
        <w:spacing w:line="480" w:lineRule="exact"/>
        <w:ind w:firstLine="460"/>
        <w:jc w:val="both"/>
        <w:rPr>
          <w:color w:val="auto"/>
        </w:rPr>
      </w:pPr>
      <w:r>
        <w:rPr>
          <w:color w:val="auto"/>
          <w:sz w:val="24"/>
        </w:rPr>
        <w:t>一、货物、服务内容</w:t>
      </w:r>
    </w:p>
    <w:p>
      <w:pPr>
        <w:spacing w:line="480" w:lineRule="exact"/>
        <w:ind w:firstLine="500" w:firstLineChars="0"/>
        <w:jc w:val="both"/>
        <w:rPr>
          <w:rFonts w:hint="eastAsia" w:eastAsia="宋体"/>
          <w:color w:val="auto"/>
          <w:lang w:eastAsia="zh-CN"/>
        </w:rPr>
      </w:pPr>
      <w:r>
        <w:rPr>
          <w:color w:val="auto"/>
          <w:sz w:val="24"/>
        </w:rPr>
        <w:t>1.1 货物、服务名称：</w:t>
      </w:r>
      <w:r>
        <w:rPr>
          <w:color w:val="auto"/>
          <w:sz w:val="24"/>
          <w:u w:val="single"/>
        </w:rPr>
        <w:t>南通市妇幼保健院医用气体采购</w:t>
      </w:r>
      <w:r>
        <w:rPr>
          <w:rFonts w:hint="eastAsia"/>
          <w:color w:val="auto"/>
          <w:sz w:val="24"/>
          <w:u w:val="single"/>
          <w:lang w:eastAsia="zh-CN"/>
        </w:rPr>
        <w:t>项目</w:t>
      </w:r>
    </w:p>
    <w:p>
      <w:pPr>
        <w:spacing w:line="500" w:lineRule="exact"/>
        <w:ind w:firstLine="500" w:firstLineChars="0"/>
        <w:jc w:val="both"/>
        <w:rPr>
          <w:color w:val="auto"/>
        </w:rPr>
      </w:pPr>
      <w:r>
        <w:rPr>
          <w:color w:val="auto"/>
          <w:sz w:val="22"/>
        </w:rPr>
        <w:t>1.2乙方若无医用气配送运输资质，应与有医用气配送资质的运输单位就本项目签订运输合作协议，并作为本合同的附件。运输单位须具备《道路运输经营许可证》，车辆驾驶员和押运员要有安监局及技监局颁发的有效的上岗证。</w:t>
      </w:r>
    </w:p>
    <w:p>
      <w:pPr>
        <w:spacing w:line="480" w:lineRule="exact"/>
        <w:ind w:firstLine="460"/>
        <w:jc w:val="both"/>
        <w:rPr>
          <w:color w:val="auto"/>
        </w:rPr>
      </w:pPr>
      <w:r>
        <w:rPr>
          <w:color w:val="auto"/>
          <w:sz w:val="24"/>
        </w:rPr>
        <w:t>二、合同金额</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60"/>
        <w:gridCol w:w="2840"/>
        <w:gridCol w:w="1520"/>
        <w:gridCol w:w="20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400" w:lineRule="exact"/>
              <w:jc w:val="center"/>
              <w:rPr>
                <w:color w:val="auto"/>
              </w:rPr>
            </w:pPr>
            <w:r>
              <w:rPr>
                <w:rFonts w:hint="eastAsia" w:ascii="宋体" w:hAnsi="宋体" w:eastAsia="宋体"/>
                <w:color w:val="auto"/>
                <w:sz w:val="20"/>
              </w:rPr>
              <w:t>序号</w:t>
            </w:r>
          </w:p>
        </w:tc>
        <w:tc>
          <w:tcPr>
            <w:tcW w:w="2840" w:type="dxa"/>
            <w:vAlign w:val="center"/>
          </w:tcPr>
          <w:p>
            <w:pPr>
              <w:spacing w:line="440" w:lineRule="exact"/>
              <w:jc w:val="center"/>
              <w:rPr>
                <w:color w:val="auto"/>
              </w:rPr>
            </w:pPr>
            <w:r>
              <w:rPr>
                <w:rFonts w:hint="eastAsia" w:ascii="宋体" w:hAnsi="宋体" w:eastAsia="宋体"/>
                <w:color w:val="auto"/>
                <w:sz w:val="20"/>
              </w:rPr>
              <w:t>品名</w:t>
            </w:r>
          </w:p>
        </w:tc>
        <w:tc>
          <w:tcPr>
            <w:tcW w:w="1520" w:type="dxa"/>
            <w:vAlign w:val="center"/>
          </w:tcPr>
          <w:p>
            <w:pPr>
              <w:spacing w:line="418" w:lineRule="exact"/>
              <w:jc w:val="center"/>
              <w:rPr>
                <w:color w:val="auto"/>
              </w:rPr>
            </w:pPr>
            <w:r>
              <w:rPr>
                <w:rFonts w:hint="eastAsia" w:ascii="宋体" w:hAnsi="宋体" w:eastAsia="宋体"/>
                <w:color w:val="auto"/>
                <w:sz w:val="20"/>
              </w:rPr>
              <w:t>单位（规格）</w:t>
            </w:r>
          </w:p>
        </w:tc>
        <w:tc>
          <w:tcPr>
            <w:tcW w:w="2040" w:type="dxa"/>
            <w:vAlign w:val="center"/>
          </w:tcPr>
          <w:p>
            <w:pPr>
              <w:spacing w:line="440" w:lineRule="exact"/>
              <w:jc w:val="center"/>
              <w:rPr>
                <w:color w:val="auto"/>
              </w:rPr>
            </w:pPr>
            <w:r>
              <w:rPr>
                <w:rFonts w:hint="eastAsia" w:ascii="宋体" w:hAnsi="宋体" w:eastAsia="宋体"/>
                <w:color w:val="auto"/>
                <w:sz w:val="20"/>
              </w:rPr>
              <w:t>技术参数</w:t>
            </w:r>
          </w:p>
        </w:tc>
        <w:tc>
          <w:tcPr>
            <w:tcW w:w="1740" w:type="dxa"/>
            <w:vAlign w:val="center"/>
          </w:tcPr>
          <w:p>
            <w:pPr>
              <w:spacing w:line="418" w:lineRule="exact"/>
              <w:jc w:val="center"/>
              <w:rPr>
                <w:color w:val="auto"/>
              </w:rPr>
            </w:pPr>
            <w:r>
              <w:rPr>
                <w:rFonts w:hint="eastAsia" w:ascii="宋体" w:hAnsi="宋体" w:eastAsia="宋体"/>
                <w:color w:val="auto"/>
                <w:sz w:val="20"/>
              </w:rPr>
              <w:t>综合单价（元）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400" w:lineRule="exact"/>
              <w:jc w:val="center"/>
              <w:rPr>
                <w:color w:val="auto"/>
              </w:rPr>
            </w:pPr>
            <w:r>
              <w:rPr>
                <w:rFonts w:hint="eastAsia" w:ascii="宋体" w:hAnsi="宋体" w:eastAsia="宋体"/>
                <w:color w:val="auto"/>
                <w:sz w:val="14"/>
              </w:rPr>
              <w:t>1</w:t>
            </w:r>
          </w:p>
        </w:tc>
        <w:tc>
          <w:tcPr>
            <w:tcW w:w="2840" w:type="dxa"/>
            <w:vAlign w:val="center"/>
          </w:tcPr>
          <w:p>
            <w:pPr>
              <w:spacing w:line="418" w:lineRule="exact"/>
              <w:jc w:val="center"/>
              <w:rPr>
                <w:color w:val="auto"/>
              </w:rPr>
            </w:pPr>
            <w:r>
              <w:rPr>
                <w:rFonts w:hint="eastAsia" w:ascii="宋体" w:hAnsi="宋体" w:eastAsia="宋体"/>
                <w:color w:val="auto"/>
                <w:sz w:val="20"/>
              </w:rPr>
              <w:t>医用液氧</w:t>
            </w:r>
          </w:p>
        </w:tc>
        <w:tc>
          <w:tcPr>
            <w:tcW w:w="1520" w:type="dxa"/>
            <w:vAlign w:val="center"/>
          </w:tcPr>
          <w:p>
            <w:pPr>
              <w:spacing w:line="328" w:lineRule="exact"/>
              <w:jc w:val="center"/>
              <w:rPr>
                <w:color w:val="auto"/>
              </w:rPr>
            </w:pPr>
            <w:r>
              <w:rPr>
                <w:rFonts w:hint="eastAsia" w:ascii="宋体" w:hAnsi="宋体" w:eastAsia="宋体"/>
                <w:color w:val="auto"/>
                <w:sz w:val="20"/>
              </w:rPr>
              <w:t>吨</w:t>
            </w:r>
          </w:p>
        </w:tc>
        <w:tc>
          <w:tcPr>
            <w:tcW w:w="2040" w:type="dxa"/>
            <w:vAlign w:val="center"/>
          </w:tcPr>
          <w:p>
            <w:pPr>
              <w:spacing w:line="420" w:lineRule="exact"/>
              <w:jc w:val="center"/>
              <w:rPr>
                <w:color w:val="auto"/>
              </w:rPr>
            </w:pPr>
            <w:r>
              <w:rPr>
                <w:rFonts w:hint="eastAsia" w:ascii="宋体" w:hAnsi="宋体" w:eastAsia="宋体"/>
                <w:color w:val="auto"/>
                <w:sz w:val="20"/>
              </w:rPr>
              <w:t>★0</w:t>
            </w:r>
            <w:r>
              <w:rPr>
                <w:rFonts w:hint="eastAsia" w:ascii="宋体" w:hAnsi="宋体" w:eastAsia="宋体"/>
                <w:color w:val="auto"/>
                <w:sz w:val="22"/>
                <w:szCs w:val="22"/>
              </w:rPr>
              <w:t>2</w:t>
            </w:r>
            <w:r>
              <w:rPr>
                <w:rFonts w:hint="eastAsia" w:ascii="宋体" w:hAnsi="宋体" w:eastAsia="宋体"/>
                <w:color w:val="auto"/>
                <w:sz w:val="20"/>
              </w:rPr>
              <w:t>≥99.6%</w:t>
            </w:r>
          </w:p>
        </w:tc>
        <w:tc>
          <w:tcPr>
            <w:tcW w:w="1740" w:type="dxa"/>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380" w:lineRule="exact"/>
              <w:jc w:val="center"/>
              <w:rPr>
                <w:color w:val="auto"/>
              </w:rPr>
            </w:pPr>
            <w:r>
              <w:rPr>
                <w:rFonts w:hint="eastAsia" w:ascii="宋体" w:hAnsi="宋体" w:eastAsia="宋体"/>
                <w:color w:val="auto"/>
                <w:sz w:val="16"/>
              </w:rPr>
              <w:t>2</w:t>
            </w:r>
          </w:p>
        </w:tc>
        <w:tc>
          <w:tcPr>
            <w:tcW w:w="2840" w:type="dxa"/>
            <w:vAlign w:val="center"/>
          </w:tcPr>
          <w:p>
            <w:pPr>
              <w:spacing w:line="436" w:lineRule="exact"/>
              <w:jc w:val="center"/>
              <w:rPr>
                <w:color w:val="auto"/>
              </w:rPr>
            </w:pPr>
            <w:r>
              <w:rPr>
                <w:rFonts w:hint="eastAsia" w:ascii="宋体" w:hAnsi="宋体" w:eastAsia="宋体"/>
                <w:color w:val="auto"/>
                <w:sz w:val="20"/>
              </w:rPr>
              <w:t>医用瓶氧</w:t>
            </w:r>
          </w:p>
        </w:tc>
        <w:tc>
          <w:tcPr>
            <w:tcW w:w="1520" w:type="dxa"/>
            <w:vAlign w:val="center"/>
          </w:tcPr>
          <w:p>
            <w:pPr>
              <w:spacing w:line="418" w:lineRule="exact"/>
              <w:jc w:val="center"/>
              <w:rPr>
                <w:color w:val="auto"/>
              </w:rPr>
            </w:pPr>
            <w:r>
              <w:rPr>
                <w:rFonts w:hint="eastAsia" w:ascii="宋体" w:hAnsi="宋体" w:eastAsia="宋体"/>
                <w:color w:val="auto"/>
                <w:sz w:val="20"/>
              </w:rPr>
              <w:t>P12（大瓶）</w:t>
            </w:r>
          </w:p>
        </w:tc>
        <w:tc>
          <w:tcPr>
            <w:tcW w:w="2040" w:type="dxa"/>
            <w:vAlign w:val="center"/>
          </w:tcPr>
          <w:p>
            <w:pPr>
              <w:spacing w:line="400" w:lineRule="exact"/>
              <w:jc w:val="center"/>
              <w:rPr>
                <w:color w:val="auto"/>
              </w:rPr>
            </w:pPr>
            <w:r>
              <w:rPr>
                <w:rFonts w:hint="eastAsia" w:ascii="宋体" w:hAnsi="宋体" w:eastAsia="宋体"/>
                <w:color w:val="auto"/>
                <w:sz w:val="20"/>
              </w:rPr>
              <w:t>P12±0.5MPa</w:t>
            </w:r>
          </w:p>
        </w:tc>
        <w:tc>
          <w:tcPr>
            <w:tcW w:w="1740"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360" w:lineRule="exact"/>
              <w:jc w:val="center"/>
              <w:rPr>
                <w:color w:val="auto"/>
              </w:rPr>
            </w:pPr>
            <w:r>
              <w:rPr>
                <w:rFonts w:hint="eastAsia" w:ascii="宋体" w:hAnsi="宋体" w:eastAsia="宋体"/>
                <w:color w:val="auto"/>
                <w:sz w:val="16"/>
              </w:rPr>
              <w:t>3</w:t>
            </w:r>
          </w:p>
        </w:tc>
        <w:tc>
          <w:tcPr>
            <w:tcW w:w="2840" w:type="dxa"/>
            <w:vAlign w:val="center"/>
          </w:tcPr>
          <w:p>
            <w:pPr>
              <w:spacing w:line="418" w:lineRule="exact"/>
              <w:jc w:val="center"/>
              <w:rPr>
                <w:color w:val="auto"/>
              </w:rPr>
            </w:pPr>
            <w:r>
              <w:rPr>
                <w:rFonts w:hint="eastAsia" w:ascii="宋体" w:hAnsi="宋体" w:eastAsia="宋体"/>
                <w:color w:val="auto"/>
                <w:sz w:val="20"/>
              </w:rPr>
              <w:t>医用瓶氧</w:t>
            </w:r>
          </w:p>
        </w:tc>
        <w:tc>
          <w:tcPr>
            <w:tcW w:w="1520" w:type="dxa"/>
            <w:vAlign w:val="center"/>
          </w:tcPr>
          <w:p>
            <w:pPr>
              <w:spacing w:line="418" w:lineRule="exact"/>
              <w:jc w:val="center"/>
              <w:rPr>
                <w:color w:val="auto"/>
              </w:rPr>
            </w:pPr>
            <w:r>
              <w:rPr>
                <w:rFonts w:hint="eastAsia" w:ascii="宋体" w:hAnsi="宋体" w:eastAsia="宋体"/>
                <w:color w:val="auto"/>
                <w:sz w:val="20"/>
              </w:rPr>
              <w:t>小瓶</w:t>
            </w:r>
          </w:p>
        </w:tc>
        <w:tc>
          <w:tcPr>
            <w:tcW w:w="2040" w:type="dxa"/>
            <w:vAlign w:val="center"/>
          </w:tcPr>
          <w:p>
            <w:pPr>
              <w:spacing w:line="400" w:lineRule="exact"/>
              <w:jc w:val="center"/>
              <w:rPr>
                <w:color w:val="auto"/>
              </w:rPr>
            </w:pPr>
            <w:r>
              <w:rPr>
                <w:rFonts w:hint="eastAsia" w:ascii="宋体" w:hAnsi="宋体" w:eastAsia="宋体"/>
                <w:color w:val="auto"/>
                <w:sz w:val="20"/>
              </w:rPr>
              <w:t>02≥99.5%</w:t>
            </w:r>
          </w:p>
        </w:tc>
        <w:tc>
          <w:tcPr>
            <w:tcW w:w="1740" w:type="dxa"/>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420" w:lineRule="exact"/>
              <w:jc w:val="center"/>
              <w:rPr>
                <w:color w:val="auto"/>
              </w:rPr>
            </w:pPr>
            <w:r>
              <w:rPr>
                <w:rFonts w:hint="eastAsia" w:ascii="宋体" w:hAnsi="宋体" w:eastAsia="宋体"/>
                <w:color w:val="auto"/>
                <w:sz w:val="16"/>
              </w:rPr>
              <w:t>4</w:t>
            </w:r>
          </w:p>
        </w:tc>
        <w:tc>
          <w:tcPr>
            <w:tcW w:w="2840" w:type="dxa"/>
            <w:vAlign w:val="center"/>
          </w:tcPr>
          <w:p>
            <w:pPr>
              <w:spacing w:line="416" w:lineRule="exact"/>
              <w:jc w:val="center"/>
              <w:rPr>
                <w:color w:val="auto"/>
              </w:rPr>
            </w:pPr>
            <w:r>
              <w:rPr>
                <w:rFonts w:hint="eastAsia" w:ascii="宋体" w:hAnsi="宋体" w:eastAsia="宋体"/>
                <w:color w:val="auto"/>
                <w:sz w:val="20"/>
              </w:rPr>
              <w:t>液氮</w:t>
            </w:r>
          </w:p>
        </w:tc>
        <w:tc>
          <w:tcPr>
            <w:tcW w:w="1520" w:type="dxa"/>
            <w:vAlign w:val="center"/>
          </w:tcPr>
          <w:p>
            <w:pPr>
              <w:spacing w:line="333" w:lineRule="exact"/>
              <w:jc w:val="center"/>
              <w:rPr>
                <w:color w:val="auto"/>
              </w:rPr>
            </w:pPr>
            <w:r>
              <w:rPr>
                <w:rFonts w:hint="eastAsia" w:ascii="宋体" w:hAnsi="宋体" w:eastAsia="宋体"/>
                <w:color w:val="auto"/>
                <w:sz w:val="20"/>
              </w:rPr>
              <w:t>升</w:t>
            </w:r>
          </w:p>
        </w:tc>
        <w:tc>
          <w:tcPr>
            <w:tcW w:w="2040" w:type="dxa"/>
            <w:vAlign w:val="top"/>
          </w:tcPr>
          <w:p>
            <w:pPr>
              <w:spacing w:before="35" w:line="280" w:lineRule="exact"/>
              <w:jc w:val="center"/>
              <w:rPr>
                <w:color w:val="auto"/>
              </w:rPr>
            </w:pPr>
            <w:r>
              <w:rPr>
                <w:rFonts w:hint="eastAsia" w:ascii="宋体" w:hAnsi="宋体" w:eastAsia="宋体"/>
                <w:color w:val="auto"/>
                <w:sz w:val="20"/>
              </w:rPr>
              <w:t>★≥99.99%</w:t>
            </w:r>
          </w:p>
          <w:p>
            <w:pPr>
              <w:spacing w:line="254" w:lineRule="exact"/>
              <w:jc w:val="center"/>
              <w:rPr>
                <w:color w:val="auto"/>
              </w:rPr>
            </w:pPr>
            <w:r>
              <w:rPr>
                <w:rFonts w:hint="eastAsia" w:ascii="宋体" w:hAnsi="宋体" w:eastAsia="宋体"/>
                <w:color w:val="auto"/>
                <w:sz w:val="20"/>
              </w:rPr>
              <w:t>医用级</w:t>
            </w:r>
          </w:p>
        </w:tc>
        <w:tc>
          <w:tcPr>
            <w:tcW w:w="1740" w:type="dxa"/>
            <w:vAlign w:val="center"/>
          </w:tcPr>
          <w:p>
            <w:pPr>
              <w:spacing w:line="4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0" w:hRule="atLeast"/>
        </w:trPr>
        <w:tc>
          <w:tcPr>
            <w:tcW w:w="860" w:type="dxa"/>
            <w:vAlign w:val="center"/>
          </w:tcPr>
          <w:p>
            <w:pPr>
              <w:spacing w:line="380" w:lineRule="exact"/>
              <w:jc w:val="center"/>
              <w:rPr>
                <w:color w:val="auto"/>
              </w:rPr>
            </w:pPr>
            <w:r>
              <w:rPr>
                <w:rFonts w:hint="eastAsia" w:ascii="宋体" w:hAnsi="宋体" w:eastAsia="宋体"/>
                <w:color w:val="auto"/>
                <w:sz w:val="16"/>
              </w:rPr>
              <w:t>5</w:t>
            </w:r>
          </w:p>
        </w:tc>
        <w:tc>
          <w:tcPr>
            <w:tcW w:w="2840" w:type="dxa"/>
            <w:vAlign w:val="center"/>
          </w:tcPr>
          <w:p>
            <w:pPr>
              <w:spacing w:line="400" w:lineRule="exact"/>
              <w:jc w:val="center"/>
              <w:rPr>
                <w:color w:val="auto"/>
              </w:rPr>
            </w:pPr>
            <w:r>
              <w:rPr>
                <w:rFonts w:hint="eastAsia" w:ascii="宋体" w:hAnsi="宋体" w:eastAsia="宋体"/>
                <w:color w:val="auto"/>
                <w:sz w:val="20"/>
              </w:rPr>
              <w:t>高纯氮气</w:t>
            </w:r>
          </w:p>
        </w:tc>
        <w:tc>
          <w:tcPr>
            <w:tcW w:w="1520" w:type="dxa"/>
            <w:vAlign w:val="center"/>
          </w:tcPr>
          <w:p>
            <w:pPr>
              <w:spacing w:line="416" w:lineRule="exact"/>
              <w:jc w:val="center"/>
              <w:rPr>
                <w:color w:val="auto"/>
              </w:rPr>
            </w:pPr>
            <w:r>
              <w:rPr>
                <w:rFonts w:hint="eastAsia" w:ascii="宋体" w:hAnsi="宋体" w:eastAsia="宋体"/>
                <w:color w:val="auto"/>
                <w:sz w:val="20"/>
              </w:rPr>
              <w:t>40升／瓶</w:t>
            </w:r>
          </w:p>
        </w:tc>
        <w:tc>
          <w:tcPr>
            <w:tcW w:w="2040" w:type="dxa"/>
            <w:vAlign w:val="center"/>
          </w:tcPr>
          <w:p>
            <w:pPr>
              <w:spacing w:line="260" w:lineRule="exact"/>
              <w:jc w:val="center"/>
              <w:rPr>
                <w:color w:val="auto"/>
              </w:rPr>
            </w:pPr>
            <w:r>
              <w:rPr>
                <w:rFonts w:hint="eastAsia" w:ascii="宋体" w:hAnsi="宋体" w:eastAsia="宋体"/>
                <w:color w:val="auto"/>
                <w:sz w:val="20"/>
              </w:rPr>
              <w:t>P12±0.5MPa</w:t>
            </w:r>
          </w:p>
          <w:p>
            <w:pPr>
              <w:spacing w:line="236" w:lineRule="exact"/>
              <w:jc w:val="center"/>
              <w:rPr>
                <w:color w:val="auto"/>
              </w:rPr>
            </w:pPr>
            <w:r>
              <w:rPr>
                <w:rFonts w:hint="eastAsia" w:ascii="宋体" w:hAnsi="宋体" w:eastAsia="宋体"/>
                <w:color w:val="auto"/>
                <w:sz w:val="20"/>
              </w:rPr>
              <w:t>★≥99.999%</w:t>
            </w:r>
          </w:p>
          <w:p>
            <w:pPr>
              <w:spacing w:line="260" w:lineRule="exact"/>
              <w:jc w:val="center"/>
              <w:rPr>
                <w:color w:val="auto"/>
              </w:rPr>
            </w:pPr>
            <w:r>
              <w:rPr>
                <w:rFonts w:hint="eastAsia" w:ascii="宋体" w:hAnsi="宋体" w:eastAsia="宋体"/>
                <w:color w:val="auto"/>
                <w:sz w:val="20"/>
              </w:rPr>
              <w:t>医用级</w:t>
            </w:r>
          </w:p>
        </w:tc>
        <w:tc>
          <w:tcPr>
            <w:tcW w:w="1740" w:type="dxa"/>
            <w:vAlign w:val="center"/>
          </w:tcPr>
          <w:p>
            <w:pPr>
              <w:spacing w:line="400" w:lineRule="exact"/>
              <w:jc w:val="both"/>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380" w:lineRule="exact"/>
              <w:jc w:val="center"/>
              <w:rPr>
                <w:color w:val="auto"/>
              </w:rPr>
            </w:pPr>
            <w:r>
              <w:rPr>
                <w:rFonts w:hint="eastAsia" w:ascii="宋体" w:hAnsi="宋体" w:eastAsia="宋体"/>
                <w:color w:val="auto"/>
                <w:sz w:val="16"/>
              </w:rPr>
              <w:t>6</w:t>
            </w:r>
          </w:p>
        </w:tc>
        <w:tc>
          <w:tcPr>
            <w:tcW w:w="2840" w:type="dxa"/>
            <w:vAlign w:val="center"/>
          </w:tcPr>
          <w:p>
            <w:pPr>
              <w:spacing w:line="460" w:lineRule="exact"/>
              <w:jc w:val="center"/>
              <w:rPr>
                <w:color w:val="auto"/>
              </w:rPr>
            </w:pPr>
            <w:r>
              <w:rPr>
                <w:rFonts w:hint="eastAsia" w:ascii="宋体" w:hAnsi="宋体" w:eastAsia="宋体"/>
                <w:color w:val="auto"/>
                <w:sz w:val="20"/>
              </w:rPr>
              <w:t>以食品为原料高纯二氧化碳</w:t>
            </w:r>
          </w:p>
        </w:tc>
        <w:tc>
          <w:tcPr>
            <w:tcW w:w="1520" w:type="dxa"/>
            <w:vAlign w:val="center"/>
          </w:tcPr>
          <w:p>
            <w:pPr>
              <w:spacing w:line="418" w:lineRule="exact"/>
              <w:jc w:val="center"/>
              <w:rPr>
                <w:color w:val="auto"/>
              </w:rPr>
            </w:pPr>
            <w:r>
              <w:rPr>
                <w:rFonts w:hint="eastAsia" w:ascii="宋体" w:hAnsi="宋体" w:eastAsia="宋体"/>
                <w:color w:val="auto"/>
                <w:sz w:val="20"/>
              </w:rPr>
              <w:t>40升／瓶</w:t>
            </w:r>
          </w:p>
        </w:tc>
        <w:tc>
          <w:tcPr>
            <w:tcW w:w="2040" w:type="dxa"/>
            <w:vAlign w:val="top"/>
          </w:tcPr>
          <w:p>
            <w:pPr>
              <w:spacing w:before="62" w:line="236" w:lineRule="exact"/>
              <w:jc w:val="center"/>
              <w:rPr>
                <w:color w:val="auto"/>
              </w:rPr>
            </w:pPr>
            <w:r>
              <w:rPr>
                <w:rFonts w:hint="eastAsia" w:ascii="宋体" w:hAnsi="宋体" w:eastAsia="宋体"/>
                <w:color w:val="auto"/>
                <w:sz w:val="20"/>
              </w:rPr>
              <w:t>★W22±1Kg;≥</w:t>
            </w:r>
          </w:p>
          <w:p>
            <w:pPr>
              <w:spacing w:line="236" w:lineRule="exact"/>
              <w:jc w:val="center"/>
              <w:rPr>
                <w:color w:val="auto"/>
              </w:rPr>
            </w:pPr>
            <w:r>
              <w:rPr>
                <w:rFonts w:hint="eastAsia" w:ascii="宋体" w:hAnsi="宋体" w:eastAsia="宋体"/>
                <w:color w:val="auto"/>
                <w:sz w:val="20"/>
              </w:rPr>
              <w:t>99.999％医用级</w:t>
            </w:r>
          </w:p>
        </w:tc>
        <w:tc>
          <w:tcPr>
            <w:tcW w:w="1740" w:type="dxa"/>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420" w:lineRule="exact"/>
              <w:jc w:val="center"/>
              <w:rPr>
                <w:color w:val="auto"/>
              </w:rPr>
            </w:pPr>
            <w:r>
              <w:rPr>
                <w:rFonts w:hint="eastAsia" w:ascii="宋体" w:hAnsi="宋体" w:eastAsia="宋体"/>
                <w:color w:val="auto"/>
                <w:sz w:val="16"/>
              </w:rPr>
              <w:t>7</w:t>
            </w:r>
          </w:p>
        </w:tc>
        <w:tc>
          <w:tcPr>
            <w:tcW w:w="2840" w:type="dxa"/>
            <w:vAlign w:val="center"/>
          </w:tcPr>
          <w:p>
            <w:pPr>
              <w:spacing w:line="418" w:lineRule="exact"/>
              <w:jc w:val="center"/>
              <w:rPr>
                <w:color w:val="auto"/>
              </w:rPr>
            </w:pPr>
            <w:r>
              <w:rPr>
                <w:rFonts w:hint="eastAsia" w:ascii="宋体" w:hAnsi="宋体" w:eastAsia="宋体"/>
                <w:color w:val="auto"/>
                <w:sz w:val="20"/>
              </w:rPr>
              <w:t>高纯乙炔</w:t>
            </w:r>
          </w:p>
        </w:tc>
        <w:tc>
          <w:tcPr>
            <w:tcW w:w="1520" w:type="dxa"/>
            <w:vAlign w:val="center"/>
          </w:tcPr>
          <w:p>
            <w:pPr>
              <w:spacing w:line="416" w:lineRule="exact"/>
              <w:jc w:val="center"/>
              <w:rPr>
                <w:color w:val="auto"/>
              </w:rPr>
            </w:pPr>
            <w:r>
              <w:rPr>
                <w:rFonts w:hint="eastAsia" w:ascii="宋体" w:hAnsi="宋体" w:eastAsia="宋体"/>
                <w:color w:val="auto"/>
                <w:sz w:val="20"/>
              </w:rPr>
              <w:t>40升／瓶</w:t>
            </w:r>
          </w:p>
        </w:tc>
        <w:tc>
          <w:tcPr>
            <w:tcW w:w="2040" w:type="dxa"/>
            <w:vAlign w:val="center"/>
          </w:tcPr>
          <w:p>
            <w:pPr>
              <w:spacing w:line="418" w:lineRule="exact"/>
              <w:jc w:val="center"/>
              <w:rPr>
                <w:color w:val="auto"/>
              </w:rPr>
            </w:pPr>
            <w:r>
              <w:rPr>
                <w:rFonts w:hint="eastAsia" w:ascii="宋体" w:hAnsi="宋体" w:eastAsia="宋体"/>
                <w:color w:val="auto"/>
                <w:sz w:val="20"/>
              </w:rPr>
              <w:t>医用级</w:t>
            </w:r>
          </w:p>
        </w:tc>
        <w:tc>
          <w:tcPr>
            <w:tcW w:w="1740" w:type="dxa"/>
            <w:vAlign w:val="center"/>
          </w:tcPr>
          <w:p>
            <w:pPr>
              <w:spacing w:line="418"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380" w:lineRule="exact"/>
              <w:jc w:val="center"/>
              <w:rPr>
                <w:color w:val="auto"/>
              </w:rPr>
            </w:pPr>
            <w:r>
              <w:rPr>
                <w:rFonts w:hint="eastAsia" w:ascii="宋体" w:hAnsi="宋体" w:eastAsia="宋体"/>
                <w:color w:val="auto"/>
                <w:sz w:val="16"/>
              </w:rPr>
              <w:t>8</w:t>
            </w:r>
          </w:p>
        </w:tc>
        <w:tc>
          <w:tcPr>
            <w:tcW w:w="2840" w:type="dxa"/>
            <w:vAlign w:val="center"/>
          </w:tcPr>
          <w:p>
            <w:pPr>
              <w:spacing w:line="416" w:lineRule="exact"/>
              <w:jc w:val="center"/>
              <w:rPr>
                <w:color w:val="auto"/>
              </w:rPr>
            </w:pPr>
            <w:r>
              <w:rPr>
                <w:rFonts w:hint="eastAsia" w:ascii="宋体" w:hAnsi="宋体" w:eastAsia="宋体"/>
                <w:color w:val="auto"/>
                <w:sz w:val="20"/>
              </w:rPr>
              <w:t>高纯氩气</w:t>
            </w:r>
          </w:p>
        </w:tc>
        <w:tc>
          <w:tcPr>
            <w:tcW w:w="1520" w:type="dxa"/>
            <w:vAlign w:val="center"/>
          </w:tcPr>
          <w:p>
            <w:pPr>
              <w:spacing w:line="416" w:lineRule="exact"/>
              <w:jc w:val="center"/>
              <w:rPr>
                <w:color w:val="auto"/>
              </w:rPr>
            </w:pPr>
            <w:r>
              <w:rPr>
                <w:rFonts w:hint="eastAsia" w:ascii="宋体" w:hAnsi="宋体" w:eastAsia="宋体"/>
                <w:color w:val="auto"/>
                <w:sz w:val="20"/>
              </w:rPr>
              <w:t>40升／瓶</w:t>
            </w:r>
          </w:p>
        </w:tc>
        <w:tc>
          <w:tcPr>
            <w:tcW w:w="2040" w:type="dxa"/>
            <w:vAlign w:val="top"/>
          </w:tcPr>
          <w:p>
            <w:pPr>
              <w:spacing w:before="54" w:line="236" w:lineRule="exact"/>
              <w:jc w:val="center"/>
              <w:rPr>
                <w:color w:val="auto"/>
              </w:rPr>
            </w:pPr>
            <w:r>
              <w:rPr>
                <w:rFonts w:hint="eastAsia" w:ascii="宋体" w:hAnsi="宋体" w:eastAsia="宋体"/>
                <w:color w:val="auto"/>
                <w:sz w:val="20"/>
              </w:rPr>
              <w:t>★Ar≥99.99%</w:t>
            </w:r>
          </w:p>
          <w:p>
            <w:pPr>
              <w:spacing w:line="236" w:lineRule="exact"/>
              <w:jc w:val="center"/>
              <w:rPr>
                <w:color w:val="auto"/>
              </w:rPr>
            </w:pPr>
            <w:r>
              <w:rPr>
                <w:rFonts w:hint="eastAsia" w:ascii="宋体" w:hAnsi="宋体" w:eastAsia="宋体"/>
                <w:color w:val="auto"/>
                <w:sz w:val="20"/>
              </w:rPr>
              <w:t>医用级</w:t>
            </w:r>
          </w:p>
        </w:tc>
        <w:tc>
          <w:tcPr>
            <w:tcW w:w="1740" w:type="dxa"/>
            <w:vAlign w:val="center"/>
          </w:tcPr>
          <w:p>
            <w:pPr>
              <w:spacing w:line="42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860" w:type="dxa"/>
            <w:vAlign w:val="center"/>
          </w:tcPr>
          <w:p>
            <w:pPr>
              <w:spacing w:line="400" w:lineRule="exact"/>
              <w:jc w:val="center"/>
              <w:rPr>
                <w:color w:val="auto"/>
              </w:rPr>
            </w:pPr>
            <w:r>
              <w:rPr>
                <w:rFonts w:hint="eastAsia" w:ascii="宋体" w:hAnsi="宋体" w:eastAsia="宋体"/>
                <w:color w:val="auto"/>
                <w:sz w:val="16"/>
              </w:rPr>
              <w:t>6</w:t>
            </w:r>
          </w:p>
        </w:tc>
        <w:tc>
          <w:tcPr>
            <w:tcW w:w="2840" w:type="dxa"/>
            <w:vAlign w:val="center"/>
          </w:tcPr>
          <w:p>
            <w:pPr>
              <w:spacing w:line="400" w:lineRule="exact"/>
              <w:jc w:val="center"/>
              <w:rPr>
                <w:color w:val="auto"/>
              </w:rPr>
            </w:pPr>
            <w:r>
              <w:rPr>
                <w:rFonts w:hint="eastAsia" w:ascii="宋体" w:hAnsi="宋体" w:eastAsia="宋体"/>
                <w:color w:val="auto"/>
                <w:sz w:val="20"/>
              </w:rPr>
              <w:t>预混气</w:t>
            </w:r>
          </w:p>
        </w:tc>
        <w:tc>
          <w:tcPr>
            <w:tcW w:w="1520" w:type="dxa"/>
            <w:vAlign w:val="center"/>
          </w:tcPr>
          <w:p>
            <w:pPr>
              <w:spacing w:line="418" w:lineRule="exact"/>
              <w:jc w:val="center"/>
              <w:rPr>
                <w:color w:val="auto"/>
              </w:rPr>
            </w:pPr>
            <w:r>
              <w:rPr>
                <w:rFonts w:hint="eastAsia" w:ascii="宋体" w:hAnsi="宋体" w:eastAsia="宋体"/>
                <w:color w:val="auto"/>
                <w:sz w:val="20"/>
              </w:rPr>
              <w:t>40升／瓶</w:t>
            </w:r>
          </w:p>
        </w:tc>
        <w:tc>
          <w:tcPr>
            <w:tcW w:w="2040" w:type="dxa"/>
            <w:vAlign w:val="top"/>
          </w:tcPr>
          <w:p>
            <w:pPr>
              <w:spacing w:before="27" w:line="260" w:lineRule="exact"/>
              <w:jc w:val="center"/>
              <w:rPr>
                <w:color w:val="auto"/>
              </w:rPr>
            </w:pPr>
            <w:r>
              <w:rPr>
                <w:rFonts w:hint="eastAsia" w:ascii="宋体" w:hAnsi="宋体" w:eastAsia="宋体"/>
                <w:color w:val="auto"/>
                <w:sz w:val="20"/>
              </w:rPr>
              <w:t>★氮气95％＋二氧化</w:t>
            </w:r>
          </w:p>
          <w:p>
            <w:pPr>
              <w:spacing w:line="236" w:lineRule="exact"/>
              <w:jc w:val="center"/>
              <w:rPr>
                <w:color w:val="auto"/>
              </w:rPr>
            </w:pPr>
            <w:r>
              <w:rPr>
                <w:rFonts w:hint="eastAsia" w:ascii="宋体" w:hAnsi="宋体" w:eastAsia="宋体"/>
                <w:color w:val="auto"/>
                <w:sz w:val="20"/>
              </w:rPr>
              <w:t>碳5％医用级</w:t>
            </w:r>
          </w:p>
        </w:tc>
        <w:tc>
          <w:tcPr>
            <w:tcW w:w="1740" w:type="dxa"/>
            <w:vAlign w:val="center"/>
          </w:tcPr>
          <w:p>
            <w:pPr>
              <w:spacing w:line="400" w:lineRule="exact"/>
              <w:jc w:val="center"/>
              <w:rPr>
                <w:color w:val="auto"/>
              </w:rPr>
            </w:pPr>
          </w:p>
        </w:tc>
      </w:tr>
    </w:tbl>
    <w:p>
      <w:pPr>
        <w:spacing w:before="100" w:line="480" w:lineRule="exact"/>
        <w:ind w:firstLine="460"/>
        <w:jc w:val="both"/>
        <w:rPr>
          <w:color w:val="auto"/>
        </w:rPr>
      </w:pPr>
      <w:r>
        <w:rPr>
          <w:color w:val="auto"/>
          <w:sz w:val="24"/>
        </w:rPr>
        <w:t>三、技术资料</w:t>
      </w:r>
    </w:p>
    <w:p>
      <w:pPr>
        <w:ind w:firstLine="420" w:firstLineChars="0"/>
        <w:rPr>
          <w:color w:val="auto"/>
          <w:sz w:val="24"/>
        </w:rPr>
      </w:pPr>
      <w:r>
        <w:rPr>
          <w:color w:val="auto"/>
          <w:sz w:val="24"/>
        </w:rPr>
        <w:t>3.1乙方应按招标文件规定的时间向甲方提供使用货物、服务的有关技术资料。</w:t>
      </w:r>
    </w:p>
    <w:p>
      <w:pPr>
        <w:spacing w:line="520" w:lineRule="exact"/>
        <w:ind w:firstLine="500" w:firstLineChars="0"/>
        <w:jc w:val="both"/>
        <w:rPr>
          <w:color w:val="auto"/>
        </w:rPr>
      </w:pPr>
      <w:r>
        <w:rPr>
          <w:color w:val="auto"/>
          <w:sz w:val="22"/>
        </w:rPr>
        <w:t>3.2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spacing w:line="480" w:lineRule="exact"/>
        <w:ind w:firstLine="500"/>
        <w:jc w:val="both"/>
        <w:rPr>
          <w:color w:val="auto"/>
        </w:rPr>
      </w:pPr>
      <w:r>
        <w:rPr>
          <w:color w:val="auto"/>
          <w:sz w:val="22"/>
        </w:rPr>
        <w:t>四、质量要求</w:t>
      </w:r>
    </w:p>
    <w:p>
      <w:pPr>
        <w:spacing w:line="520" w:lineRule="exact"/>
        <w:ind w:firstLine="500"/>
        <w:jc w:val="both"/>
        <w:rPr>
          <w:color w:val="auto"/>
        </w:rPr>
      </w:pPr>
      <w:r>
        <w:rPr>
          <w:color w:val="auto"/>
          <w:sz w:val="22"/>
        </w:rPr>
        <w:t>4.1乙方所配送气体质量须符合国家GB17820-1999标准要求，液氧纯度≥99.6％，其他医用气质量均不得低于采购文件要求的质量标准。</w:t>
      </w:r>
    </w:p>
    <w:p>
      <w:pPr>
        <w:spacing w:line="480" w:lineRule="exact"/>
        <w:ind w:firstLine="500"/>
        <w:jc w:val="both"/>
        <w:rPr>
          <w:color w:val="auto"/>
        </w:rPr>
      </w:pPr>
      <w:r>
        <w:rPr>
          <w:color w:val="auto"/>
          <w:sz w:val="22"/>
        </w:rPr>
        <w:t>4.2 乙方配送服务时须随车出具医用液态氧气合格证书。如医用液态氧气等医用气及乙方提供的其他气体出现任何质量问题，乙方负全部责任。</w:t>
      </w:r>
    </w:p>
    <w:p>
      <w:pPr>
        <w:spacing w:line="480" w:lineRule="exact"/>
        <w:ind w:firstLine="500"/>
        <w:jc w:val="both"/>
        <w:rPr>
          <w:color w:val="auto"/>
        </w:rPr>
      </w:pPr>
      <w:r>
        <w:rPr>
          <w:color w:val="auto"/>
          <w:sz w:val="22"/>
        </w:rPr>
        <w:t>五、产权担保</w:t>
      </w:r>
    </w:p>
    <w:p>
      <w:pPr>
        <w:spacing w:line="480" w:lineRule="exact"/>
        <w:ind w:firstLine="500"/>
        <w:jc w:val="both"/>
        <w:rPr>
          <w:color w:val="auto"/>
        </w:rPr>
      </w:pPr>
      <w:r>
        <w:rPr>
          <w:color w:val="auto"/>
          <w:sz w:val="22"/>
        </w:rPr>
        <w:t>5.1 乙方保证所交付的货物、服务的所有权完全属于乙方且无任何抵押、查封等产权瑕疵。</w:t>
      </w:r>
    </w:p>
    <w:p>
      <w:pPr>
        <w:spacing w:line="480" w:lineRule="exact"/>
        <w:ind w:firstLine="500"/>
        <w:jc w:val="both"/>
        <w:rPr>
          <w:color w:val="auto"/>
        </w:rPr>
      </w:pPr>
      <w:r>
        <w:rPr>
          <w:color w:val="auto"/>
          <w:sz w:val="22"/>
        </w:rPr>
        <w:t>六、履约保证金</w:t>
      </w:r>
    </w:p>
    <w:p>
      <w:pPr>
        <w:spacing w:line="480" w:lineRule="exact"/>
        <w:ind w:firstLine="500"/>
        <w:jc w:val="both"/>
        <w:rPr>
          <w:color w:val="auto"/>
        </w:rPr>
      </w:pPr>
      <w:r>
        <w:rPr>
          <w:color w:val="auto"/>
          <w:sz w:val="22"/>
        </w:rPr>
        <w:t>6.1 乙方交纳人民币</w:t>
      </w:r>
      <w:r>
        <w:rPr>
          <w:rFonts w:hint="eastAsia" w:ascii="宋体" w:hAnsi="宋体" w:eastAsia="宋体" w:cs="宋体"/>
          <w:color w:val="auto"/>
          <w:sz w:val="22"/>
          <w:u w:val="single"/>
          <w:lang w:val="en-US" w:eastAsia="zh-CN"/>
        </w:rPr>
        <w:t xml:space="preserve">         </w:t>
      </w:r>
      <w:r>
        <w:rPr>
          <w:color w:val="auto"/>
          <w:sz w:val="22"/>
        </w:rPr>
        <w:t>元作为本合同的履约保证金（项目</w:t>
      </w:r>
      <w:r>
        <w:rPr>
          <w:rFonts w:hint="eastAsia"/>
          <w:color w:val="auto"/>
          <w:sz w:val="22"/>
          <w:lang w:eastAsia="zh-CN"/>
        </w:rPr>
        <w:t>成交</w:t>
      </w:r>
      <w:r>
        <w:rPr>
          <w:color w:val="auto"/>
          <w:sz w:val="22"/>
        </w:rPr>
        <w:t>总价的</w:t>
      </w:r>
      <w:r>
        <w:rPr>
          <w:rFonts w:hint="eastAsia"/>
          <w:color w:val="auto"/>
          <w:sz w:val="22"/>
          <w:lang w:val="en-US" w:eastAsia="zh-CN"/>
        </w:rPr>
        <w:t>5</w:t>
      </w:r>
      <w:r>
        <w:rPr>
          <w:color w:val="auto"/>
          <w:sz w:val="22"/>
        </w:rPr>
        <w:t>％）。</w:t>
      </w:r>
    </w:p>
    <w:p>
      <w:pPr>
        <w:spacing w:line="480" w:lineRule="exact"/>
        <w:ind w:firstLine="500"/>
        <w:jc w:val="both"/>
        <w:rPr>
          <w:color w:val="auto"/>
        </w:rPr>
      </w:pPr>
      <w:r>
        <w:rPr>
          <w:color w:val="auto"/>
          <w:sz w:val="22"/>
        </w:rPr>
        <w:t>七、转包或分包</w:t>
      </w:r>
    </w:p>
    <w:p>
      <w:pPr>
        <w:spacing w:line="480" w:lineRule="exact"/>
        <w:ind w:firstLine="500"/>
        <w:jc w:val="both"/>
        <w:rPr>
          <w:color w:val="auto"/>
        </w:rPr>
      </w:pPr>
      <w:r>
        <w:rPr>
          <w:color w:val="auto"/>
          <w:sz w:val="22"/>
        </w:rPr>
        <w:t>7.1本合同范围的货物、服务，应由乙方直接供应，不得转让他人供应；</w:t>
      </w:r>
    </w:p>
    <w:p>
      <w:pPr>
        <w:spacing w:line="480" w:lineRule="exact"/>
        <w:ind w:firstLine="500"/>
        <w:jc w:val="both"/>
        <w:rPr>
          <w:rFonts w:ascii="Times New Roman" w:hAnsi="Times New Roman" w:cs="Times New Roman"/>
          <w:color w:val="auto"/>
          <w:sz w:val="22"/>
        </w:rPr>
      </w:pPr>
      <w:r>
        <w:rPr>
          <w:rFonts w:ascii="Times New Roman" w:hAnsi="Times New Roman" w:cs="Times New Roman"/>
          <w:color w:val="auto"/>
          <w:sz w:val="22"/>
        </w:rPr>
        <w:t>7.2 除非得到甲方的书面同意，乙方不得部分分包给他人供应。</w:t>
      </w:r>
    </w:p>
    <w:p>
      <w:pPr>
        <w:spacing w:line="520" w:lineRule="exact"/>
        <w:ind w:left="20" w:firstLine="460"/>
        <w:jc w:val="both"/>
        <w:rPr>
          <w:color w:val="auto"/>
        </w:rPr>
      </w:pPr>
      <w:r>
        <w:rPr>
          <w:color w:val="auto"/>
          <w:sz w:val="22"/>
        </w:rPr>
        <w:t>7.3如有转让和未经甲方同意的分包行为，甲方有权给予终止合同。</w:t>
      </w:r>
    </w:p>
    <w:p>
      <w:pPr>
        <w:spacing w:line="480" w:lineRule="exact"/>
        <w:ind w:firstLine="500"/>
        <w:jc w:val="both"/>
        <w:rPr>
          <w:color w:val="auto"/>
        </w:rPr>
      </w:pPr>
      <w:r>
        <w:rPr>
          <w:color w:val="auto"/>
          <w:sz w:val="22"/>
        </w:rPr>
        <w:t>八、服务期限</w:t>
      </w:r>
    </w:p>
    <w:p>
      <w:pPr>
        <w:spacing w:line="520" w:lineRule="exact"/>
        <w:ind w:left="20" w:firstLine="460"/>
        <w:jc w:val="both"/>
        <w:rPr>
          <w:rFonts w:hint="eastAsia"/>
          <w:color w:val="auto"/>
          <w:sz w:val="22"/>
          <w:lang w:val="en-US" w:eastAsia="zh-CN"/>
        </w:rPr>
      </w:pPr>
      <w:r>
        <w:rPr>
          <w:color w:val="auto"/>
          <w:sz w:val="22"/>
        </w:rPr>
        <w:t>8.1</w:t>
      </w:r>
      <w:r>
        <w:rPr>
          <w:rFonts w:hint="eastAsia"/>
          <w:color w:val="auto"/>
          <w:sz w:val="22"/>
        </w:rPr>
        <w:t>本项目合同服务期暂定三年，（本合同自202</w:t>
      </w:r>
      <w:r>
        <w:rPr>
          <w:rFonts w:hint="eastAsia"/>
          <w:color w:val="auto"/>
          <w:sz w:val="22"/>
          <w:lang w:val="en-US" w:eastAsia="zh-CN"/>
        </w:rPr>
        <w:t>4</w:t>
      </w:r>
      <w:r>
        <w:rPr>
          <w:rFonts w:hint="eastAsia"/>
          <w:color w:val="auto"/>
          <w:sz w:val="22"/>
        </w:rPr>
        <w:t>年</w:t>
      </w:r>
      <w:r>
        <w:rPr>
          <w:rFonts w:hint="eastAsia"/>
          <w:color w:val="auto"/>
          <w:sz w:val="22"/>
          <w:lang w:val="en-US" w:eastAsia="zh-CN"/>
        </w:rPr>
        <w:t>02</w:t>
      </w:r>
      <w:r>
        <w:rPr>
          <w:rFonts w:hint="eastAsia"/>
          <w:color w:val="auto"/>
          <w:sz w:val="22"/>
        </w:rPr>
        <w:t>月</w:t>
      </w:r>
      <w:r>
        <w:rPr>
          <w:rFonts w:hint="eastAsia"/>
          <w:color w:val="auto"/>
          <w:sz w:val="22"/>
          <w:lang w:val="en-US" w:eastAsia="zh-CN"/>
        </w:rPr>
        <w:t>01</w:t>
      </w:r>
      <w:r>
        <w:rPr>
          <w:rFonts w:hint="eastAsia"/>
          <w:color w:val="auto"/>
          <w:sz w:val="22"/>
        </w:rPr>
        <w:t>日至202</w:t>
      </w:r>
      <w:r>
        <w:rPr>
          <w:rFonts w:hint="eastAsia"/>
          <w:color w:val="auto"/>
          <w:sz w:val="22"/>
          <w:lang w:val="en-US" w:eastAsia="zh-CN"/>
        </w:rPr>
        <w:t>5</w:t>
      </w:r>
      <w:r>
        <w:rPr>
          <w:rFonts w:hint="eastAsia"/>
          <w:color w:val="auto"/>
          <w:sz w:val="22"/>
        </w:rPr>
        <w:t>年</w:t>
      </w:r>
      <w:r>
        <w:rPr>
          <w:rFonts w:hint="eastAsia"/>
          <w:color w:val="auto"/>
          <w:sz w:val="22"/>
          <w:lang w:val="en-US" w:eastAsia="zh-CN"/>
        </w:rPr>
        <w:t>01</w:t>
      </w:r>
      <w:r>
        <w:rPr>
          <w:rFonts w:hint="eastAsia"/>
          <w:color w:val="auto"/>
          <w:sz w:val="22"/>
        </w:rPr>
        <w:t>月</w:t>
      </w:r>
      <w:r>
        <w:rPr>
          <w:rFonts w:hint="eastAsia"/>
          <w:color w:val="auto"/>
          <w:sz w:val="22"/>
          <w:lang w:val="en-US" w:eastAsia="zh-CN"/>
        </w:rPr>
        <w:t>31</w:t>
      </w:r>
      <w:r>
        <w:rPr>
          <w:rFonts w:hint="eastAsia"/>
          <w:color w:val="auto"/>
          <w:sz w:val="22"/>
        </w:rPr>
        <w:t>日，本合同为第</w:t>
      </w:r>
      <w:r>
        <w:rPr>
          <w:rFonts w:hint="eastAsia"/>
          <w:color w:val="auto"/>
          <w:sz w:val="22"/>
          <w:u w:val="single"/>
          <w:lang w:val="en-US" w:eastAsia="zh-CN"/>
        </w:rPr>
        <w:t xml:space="preserve">  一</w:t>
      </w:r>
      <w:bookmarkStart w:id="81" w:name="_GoBack"/>
      <w:bookmarkEnd w:id="81"/>
      <w:r>
        <w:rPr>
          <w:rFonts w:hint="eastAsia"/>
          <w:color w:val="auto"/>
          <w:sz w:val="22"/>
          <w:u w:val="single"/>
          <w:lang w:val="en-US" w:eastAsia="zh-CN"/>
        </w:rPr>
        <w:t xml:space="preserve">   </w:t>
      </w:r>
      <w:r>
        <w:rPr>
          <w:rFonts w:hint="eastAsia"/>
          <w:color w:val="auto"/>
          <w:sz w:val="22"/>
        </w:rPr>
        <w:t>年度）。如乙方在合同期内履约情况优秀（即年度综合考核得分≥90分），则在第一年合同期满时，且甲方、乙方双方愿意，成交供应商承诺不增加服务费用的前提下，双方可续签下一年度合同，但最多续签两次。如乙方在合同期内年度综合考核得分＜90分，则甲方不再与乙方续签合同。</w:t>
      </w:r>
    </w:p>
    <w:p>
      <w:pPr>
        <w:spacing w:line="480" w:lineRule="exact"/>
        <w:ind w:firstLine="500"/>
        <w:jc w:val="both"/>
        <w:rPr>
          <w:color w:val="auto"/>
        </w:rPr>
      </w:pPr>
      <w:r>
        <w:rPr>
          <w:color w:val="auto"/>
          <w:sz w:val="22"/>
        </w:rPr>
        <w:t>九、交货期、交货方式及交货地点</w:t>
      </w:r>
    </w:p>
    <w:p>
      <w:pPr>
        <w:spacing w:line="520" w:lineRule="exact"/>
        <w:ind w:left="20" w:firstLine="460"/>
        <w:jc w:val="both"/>
        <w:rPr>
          <w:color w:val="auto"/>
          <w:sz w:val="22"/>
        </w:rPr>
      </w:pPr>
      <w:r>
        <w:rPr>
          <w:color w:val="auto"/>
          <w:sz w:val="22"/>
        </w:rPr>
        <w:t>9.1交货时间：乙方须按照甲方时间要求及时提供配送服务；因乙方原因导致不能满足甲方医用气正常使用需求的，甲方可以采取必要的临时措施，包括向其他供应商购买医用气。由此产生的费用和损失由乙方承担。</w:t>
      </w:r>
    </w:p>
    <w:p>
      <w:pPr>
        <w:numPr>
          <w:ilvl w:val="-1"/>
          <w:numId w:val="0"/>
        </w:numPr>
        <w:spacing w:line="480" w:lineRule="exact"/>
        <w:ind w:firstLine="440" w:firstLineChars="200"/>
        <w:rPr>
          <w:color w:val="auto"/>
        </w:rPr>
      </w:pPr>
      <w:r>
        <w:rPr>
          <w:color w:val="auto"/>
          <w:sz w:val="22"/>
        </w:rPr>
        <w:t>9.2交货方式：由乙方配送服务，送货上门。所有配送服务过程中的费用由乙方承担（包含在成交价内）。供货时随车提供相应产品的检测报告和合格证等。</w:t>
      </w:r>
      <w:r>
        <w:rPr>
          <w:rFonts w:hint="eastAsia" w:ascii="宋体" w:hAnsi="宋体" w:eastAsia="宋体"/>
          <w:b w:val="0"/>
          <w:bCs w:val="0"/>
          <w:color w:val="auto"/>
          <w:sz w:val="24"/>
          <w:szCs w:val="24"/>
          <w:lang w:val="en-US" w:eastAsia="zh-CN"/>
        </w:rPr>
        <w:t>到货时间：接到送货通知后24小时内（节假日期间要求不间断送货）。</w:t>
      </w:r>
      <w:r>
        <w:rPr>
          <w:rFonts w:hint="eastAsia" w:ascii="宋体" w:hAnsi="宋体" w:eastAsia="宋体"/>
          <w:b w:val="0"/>
          <w:bCs w:val="0"/>
          <w:color w:val="auto"/>
          <w:sz w:val="24"/>
          <w:szCs w:val="24"/>
          <w:highlight w:val="none"/>
          <w:lang w:val="en-US" w:eastAsia="zh-CN"/>
        </w:rPr>
        <w:t>如延迟送货，采购人可随时解除合同并可追究供应商责任。</w:t>
      </w:r>
      <w:r>
        <w:rPr>
          <w:color w:val="auto"/>
          <w:sz w:val="22"/>
        </w:rPr>
        <w:t>如延迟送货，甲方可随时解除合同并可追究乙方责任。</w:t>
      </w:r>
    </w:p>
    <w:p>
      <w:pPr>
        <w:spacing w:line="480" w:lineRule="exact"/>
        <w:ind w:firstLine="440"/>
        <w:jc w:val="both"/>
        <w:rPr>
          <w:color w:val="auto"/>
        </w:rPr>
      </w:pPr>
      <w:r>
        <w:rPr>
          <w:color w:val="auto"/>
          <w:sz w:val="22"/>
        </w:rPr>
        <w:t>9.3 交货地点：甲方指定。乙方在配送服务过程中，有责任和义务协助甲方做好对医院储罐设备完好性巡查，及时发现和排除安全隐患，确保医院气储存、使用等环节的安全。乙方还须为甲方原有的罐体（含附件）、报警管道、管道终端、检验阀等医用气体系统设备提供免费的维护保养（产生的材料费需报采购人经认可按实结算）。</w:t>
      </w:r>
    </w:p>
    <w:p>
      <w:pPr>
        <w:spacing w:line="480" w:lineRule="exact"/>
        <w:ind w:firstLine="440"/>
        <w:jc w:val="both"/>
        <w:rPr>
          <w:color w:val="auto"/>
        </w:rPr>
      </w:pPr>
      <w:r>
        <w:rPr>
          <w:color w:val="auto"/>
          <w:sz w:val="22"/>
        </w:rPr>
        <w:t>9.4乙方承诺，接受甲方约定的货物接受计量方式，具体为：液</w:t>
      </w:r>
      <w:r>
        <w:rPr>
          <w:color w:val="auto"/>
          <w:sz w:val="22"/>
          <w:u w:val="single"/>
        </w:rPr>
        <w:t>位换算</w:t>
      </w:r>
      <w:r>
        <w:rPr>
          <w:color w:val="auto"/>
          <w:sz w:val="22"/>
        </w:rPr>
        <w:t>。</w:t>
      </w:r>
    </w:p>
    <w:p>
      <w:pPr>
        <w:spacing w:line="500" w:lineRule="exact"/>
        <w:ind w:firstLine="440"/>
        <w:jc w:val="both"/>
        <w:rPr>
          <w:color w:val="auto"/>
        </w:rPr>
      </w:pPr>
      <w:r>
        <w:rPr>
          <w:color w:val="auto"/>
          <w:sz w:val="22"/>
        </w:rPr>
        <w:t>9.5如遇突发事件需提供紧急维修，乙方须30分钟内电话响应，1小时内组织人员达到现场处置。</w:t>
      </w:r>
    </w:p>
    <w:p>
      <w:pPr>
        <w:spacing w:line="480" w:lineRule="exact"/>
        <w:ind w:firstLine="440"/>
        <w:jc w:val="both"/>
        <w:rPr>
          <w:color w:val="auto"/>
        </w:rPr>
      </w:pPr>
      <w:r>
        <w:rPr>
          <w:color w:val="auto"/>
          <w:sz w:val="22"/>
        </w:rPr>
        <w:t>十、货款支付</w:t>
      </w:r>
    </w:p>
    <w:p>
      <w:pPr>
        <w:spacing w:line="500" w:lineRule="exact"/>
        <w:ind w:firstLine="440"/>
        <w:jc w:val="both"/>
        <w:rPr>
          <w:color w:val="auto"/>
        </w:rPr>
      </w:pPr>
      <w:r>
        <w:rPr>
          <w:color w:val="auto"/>
          <w:sz w:val="22"/>
        </w:rPr>
        <w:t>10.1 付款方式：费用按月结算：每个次月10日前，乙方凭“配送确认单”的月度实际配送量乘以固定综合单价开具有效增值税发票，经甲方审核后结算支付上一月度费用。</w:t>
      </w:r>
    </w:p>
    <w:p>
      <w:pPr>
        <w:spacing w:line="480" w:lineRule="exact"/>
        <w:ind w:firstLine="440"/>
        <w:jc w:val="both"/>
        <w:rPr>
          <w:color w:val="auto"/>
        </w:rPr>
      </w:pPr>
      <w:r>
        <w:rPr>
          <w:color w:val="auto"/>
          <w:sz w:val="22"/>
        </w:rPr>
        <w:t>10.2当采购预估数量与实际使用数量不一致时，乙方应根据实际使用量提供，最终结算金额按实际使用量乘以固定综合单价进行计算。</w:t>
      </w:r>
    </w:p>
    <w:p>
      <w:pPr>
        <w:spacing w:line="480" w:lineRule="exact"/>
        <w:ind w:firstLine="440"/>
        <w:jc w:val="both"/>
        <w:rPr>
          <w:color w:val="auto"/>
        </w:rPr>
      </w:pPr>
      <w:r>
        <w:rPr>
          <w:color w:val="auto"/>
          <w:sz w:val="22"/>
        </w:rPr>
        <w:t>10.3以上款项的支付均不计利息。</w:t>
      </w:r>
    </w:p>
    <w:p>
      <w:pPr>
        <w:spacing w:line="480" w:lineRule="exact"/>
        <w:ind w:firstLine="440"/>
        <w:jc w:val="both"/>
        <w:rPr>
          <w:color w:val="auto"/>
        </w:rPr>
      </w:pPr>
      <w:r>
        <w:rPr>
          <w:color w:val="auto"/>
          <w:sz w:val="22"/>
        </w:rPr>
        <w:t>十一、税费</w:t>
      </w:r>
    </w:p>
    <w:p>
      <w:pPr>
        <w:spacing w:line="480" w:lineRule="exact"/>
        <w:ind w:firstLine="440"/>
        <w:jc w:val="both"/>
        <w:rPr>
          <w:color w:val="auto"/>
        </w:rPr>
      </w:pPr>
      <w:r>
        <w:rPr>
          <w:color w:val="auto"/>
          <w:sz w:val="22"/>
        </w:rPr>
        <w:t>11.1本合同执行中相关的一切税费均由乙方负担。</w:t>
      </w:r>
    </w:p>
    <w:p>
      <w:pPr>
        <w:spacing w:line="480" w:lineRule="exact"/>
        <w:ind w:firstLine="440"/>
        <w:jc w:val="both"/>
        <w:rPr>
          <w:color w:val="auto"/>
        </w:rPr>
      </w:pPr>
      <w:r>
        <w:rPr>
          <w:color w:val="auto"/>
          <w:sz w:val="22"/>
        </w:rPr>
        <w:t>十二、质量保证及售后服务</w:t>
      </w:r>
    </w:p>
    <w:p>
      <w:pPr>
        <w:spacing w:line="480" w:lineRule="exact"/>
        <w:ind w:firstLine="440"/>
        <w:jc w:val="both"/>
        <w:rPr>
          <w:color w:val="auto"/>
        </w:rPr>
      </w:pPr>
      <w:r>
        <w:rPr>
          <w:color w:val="auto"/>
          <w:sz w:val="22"/>
        </w:rPr>
        <w:t>12.1 乙方应按招标文件规定的货物、服务的性能、技术要求、质量标准向甲方提供未经使用的全新产品或服务。</w:t>
      </w:r>
    </w:p>
    <w:p>
      <w:pPr>
        <w:spacing w:line="480" w:lineRule="exact"/>
        <w:ind w:firstLine="0"/>
        <w:jc w:val="both"/>
        <w:rPr>
          <w:color w:val="auto"/>
        </w:rPr>
      </w:pPr>
      <w:r>
        <w:rPr>
          <w:color w:val="auto"/>
          <w:sz w:val="22"/>
        </w:rPr>
        <w:t>12.2 乙方提供的货物、服务在质量期内因货物、服务本身的质量问题发生故障，乙方应负责免费更换。对达不到技术要求者，根据实际情况，经双方协商，可按以下办</w:t>
      </w:r>
      <w:r>
        <w:rPr>
          <w:color w:val="auto"/>
          <w:sz w:val="24"/>
        </w:rPr>
        <w:t>法处理：</w:t>
      </w:r>
    </w:p>
    <w:p>
      <w:pPr>
        <w:spacing w:line="460" w:lineRule="exact"/>
        <w:ind w:firstLine="420"/>
        <w:jc w:val="both"/>
        <w:rPr>
          <w:color w:val="auto"/>
        </w:rPr>
      </w:pPr>
      <w:r>
        <w:rPr>
          <w:color w:val="auto"/>
          <w:sz w:val="22"/>
        </w:rPr>
        <w:t>（1）更换：由乙方承担所发生的全部费用。</w:t>
      </w:r>
    </w:p>
    <w:p>
      <w:pPr>
        <w:spacing w:line="460" w:lineRule="exact"/>
        <w:ind w:firstLine="420"/>
        <w:jc w:val="both"/>
        <w:rPr>
          <w:color w:val="auto"/>
        </w:rPr>
      </w:pPr>
      <w:r>
        <w:rPr>
          <w:color w:val="auto"/>
          <w:sz w:val="22"/>
        </w:rPr>
        <w:t>（2）贬值处理：由甲乙双方合议定价。</w:t>
      </w:r>
    </w:p>
    <w:p>
      <w:pPr>
        <w:spacing w:line="460" w:lineRule="exact"/>
        <w:ind w:firstLine="420"/>
        <w:jc w:val="both"/>
        <w:rPr>
          <w:color w:val="auto"/>
        </w:rPr>
      </w:pPr>
      <w:r>
        <w:rPr>
          <w:color w:val="auto"/>
          <w:sz w:val="22"/>
        </w:rPr>
        <w:t>（3）退货处理：乙方应退还甲方支付的合同款，同时应承担该货物、服务的直接费用（运输、保险、检验、货款利息及银行手续费等）。</w:t>
      </w:r>
    </w:p>
    <w:p>
      <w:pPr>
        <w:spacing w:line="440" w:lineRule="exact"/>
        <w:ind w:firstLine="480"/>
        <w:jc w:val="both"/>
        <w:rPr>
          <w:color w:val="auto"/>
        </w:rPr>
      </w:pPr>
      <w:r>
        <w:rPr>
          <w:color w:val="auto"/>
          <w:sz w:val="22"/>
        </w:rPr>
        <w:t>12.3 如在使用过程中发生质量问题，乙方在接到甲方通知后在4小时内到达甲方现场。</w:t>
      </w:r>
    </w:p>
    <w:p>
      <w:pPr>
        <w:spacing w:line="480" w:lineRule="exact"/>
        <w:ind w:firstLine="480"/>
        <w:jc w:val="both"/>
        <w:rPr>
          <w:color w:val="auto"/>
        </w:rPr>
      </w:pPr>
      <w:r>
        <w:rPr>
          <w:color w:val="auto"/>
          <w:sz w:val="22"/>
        </w:rPr>
        <w:t>12.4在质保期内，乙方应对货物、服务出现的质量及安全问题负责处理解决并承担一切费用。</w:t>
      </w:r>
    </w:p>
    <w:p>
      <w:pPr>
        <w:spacing w:line="440" w:lineRule="exact"/>
        <w:ind w:firstLine="480"/>
        <w:jc w:val="both"/>
        <w:rPr>
          <w:color w:val="auto"/>
        </w:rPr>
      </w:pPr>
      <w:r>
        <w:rPr>
          <w:color w:val="auto"/>
          <w:sz w:val="24"/>
        </w:rPr>
        <w:t>十三、调试和验收</w:t>
      </w:r>
    </w:p>
    <w:p>
      <w:pPr>
        <w:spacing w:line="480" w:lineRule="exact"/>
        <w:ind w:firstLine="480"/>
        <w:jc w:val="both"/>
        <w:rPr>
          <w:color w:val="auto"/>
        </w:rPr>
      </w:pPr>
      <w:r>
        <w:rPr>
          <w:color w:val="auto"/>
          <w:sz w:val="22"/>
        </w:rPr>
        <w:t>13.1 甲方对乙方提交的货物、服务依据招标文件上的技术规格要求和国家有关质量标准进行现场初步验收，外观、说明书符合招标文件技术要求的，给予签收，初步验收不合格的不予签收。</w:t>
      </w:r>
    </w:p>
    <w:p>
      <w:pPr>
        <w:spacing w:line="440" w:lineRule="exact"/>
        <w:ind w:firstLine="480"/>
        <w:jc w:val="both"/>
        <w:rPr>
          <w:color w:val="auto"/>
        </w:rPr>
      </w:pPr>
      <w:r>
        <w:rPr>
          <w:color w:val="auto"/>
          <w:sz w:val="22"/>
        </w:rPr>
        <w:t>13.2 乙方交货前应对产品作出全面检查和对验收文件进行整理，并列出清单，作为甲方收货验收和使用的技术条件依据，检验的结果应随货物、服务交甲方。</w:t>
      </w:r>
    </w:p>
    <w:p>
      <w:pPr>
        <w:spacing w:line="480" w:lineRule="exact"/>
        <w:ind w:firstLine="480"/>
        <w:jc w:val="both"/>
        <w:rPr>
          <w:color w:val="auto"/>
        </w:rPr>
      </w:pPr>
      <w:r>
        <w:rPr>
          <w:color w:val="auto"/>
          <w:sz w:val="22"/>
        </w:rPr>
        <w:t>13.3 甲方对乙方提供的货物、服务在使用前进行调试时，乙方需负责安装并培训甲方的使用操作人员，并协助甲方一起调试，直到符合技术要求，甲方才做最终验收。</w:t>
      </w:r>
    </w:p>
    <w:p>
      <w:pPr>
        <w:spacing w:line="440" w:lineRule="exact"/>
        <w:ind w:firstLine="480"/>
        <w:jc w:val="both"/>
        <w:rPr>
          <w:color w:val="auto"/>
        </w:rPr>
      </w:pPr>
      <w:r>
        <w:rPr>
          <w:color w:val="auto"/>
          <w:sz w:val="22"/>
        </w:rPr>
        <w:t>13.4对技术复杂的货物、服务，甲方可请国家认可的专业检测机构参与初步验收及最终验收，并由其出具质量检测报告。</w:t>
      </w:r>
    </w:p>
    <w:p>
      <w:pPr>
        <w:spacing w:line="440" w:lineRule="exact"/>
        <w:ind w:firstLine="480"/>
        <w:jc w:val="both"/>
        <w:rPr>
          <w:color w:val="auto"/>
        </w:rPr>
      </w:pPr>
      <w:r>
        <w:rPr>
          <w:color w:val="auto"/>
          <w:sz w:val="22"/>
        </w:rPr>
        <w:t>13.5验收时乙方必须在现场，验收完毕后作出验收结果报告；验收费用均由乙方承担。</w:t>
      </w:r>
    </w:p>
    <w:p>
      <w:pPr>
        <w:spacing w:line="440" w:lineRule="exact"/>
        <w:ind w:firstLine="480"/>
        <w:jc w:val="both"/>
        <w:rPr>
          <w:color w:val="auto"/>
        </w:rPr>
      </w:pPr>
      <w:r>
        <w:rPr>
          <w:color w:val="auto"/>
          <w:sz w:val="24"/>
        </w:rPr>
        <w:t>十四、货物、服务包装、发运及运输</w:t>
      </w:r>
    </w:p>
    <w:p>
      <w:pPr>
        <w:spacing w:line="440" w:lineRule="exact"/>
        <w:ind w:firstLine="480"/>
        <w:jc w:val="both"/>
        <w:rPr>
          <w:color w:val="auto"/>
        </w:rPr>
      </w:pPr>
      <w:r>
        <w:rPr>
          <w:color w:val="auto"/>
          <w:sz w:val="22"/>
        </w:rPr>
        <w:t>14.1 乙方应在货物、服务发运前对其进行满足运输距离、防爆、防潮、防震、防锈和防破损装卸等要求包装，以保证货物、服务安全运达甲方指定地点。</w:t>
      </w:r>
    </w:p>
    <w:p>
      <w:pPr>
        <w:spacing w:line="500" w:lineRule="exact"/>
        <w:ind w:firstLine="420" w:firstLineChars="0"/>
        <w:jc w:val="both"/>
        <w:rPr>
          <w:color w:val="auto"/>
        </w:rPr>
      </w:pPr>
      <w:r>
        <w:rPr>
          <w:color w:val="auto"/>
          <w:sz w:val="22"/>
        </w:rPr>
        <w:t>14.2 使用说明书、质量检验证明书、随配附件和工具以及清单一并附于货物、服务内。</w:t>
      </w:r>
    </w:p>
    <w:p>
      <w:pPr>
        <w:spacing w:line="500" w:lineRule="exact"/>
        <w:ind w:firstLine="480"/>
        <w:jc w:val="both"/>
        <w:rPr>
          <w:color w:val="auto"/>
        </w:rPr>
      </w:pPr>
      <w:r>
        <w:rPr>
          <w:color w:val="auto"/>
          <w:sz w:val="22"/>
        </w:rPr>
        <w:t>14.3 乙方在货物、服务发运手续办理完毕后2小时内或货到甲方1小时前通知甲方，以准备接货。</w:t>
      </w:r>
    </w:p>
    <w:p>
      <w:pPr>
        <w:spacing w:line="500" w:lineRule="exact"/>
        <w:ind w:firstLine="480"/>
        <w:jc w:val="both"/>
        <w:rPr>
          <w:color w:val="auto"/>
        </w:rPr>
      </w:pPr>
      <w:r>
        <w:rPr>
          <w:color w:val="auto"/>
          <w:sz w:val="22"/>
        </w:rPr>
        <w:t>14.4货物、服务在交付甲方前发生的风险均由乙方负责。</w:t>
      </w:r>
    </w:p>
    <w:p>
      <w:pPr>
        <w:spacing w:line="500" w:lineRule="exact"/>
        <w:ind w:firstLine="480"/>
        <w:jc w:val="both"/>
        <w:rPr>
          <w:color w:val="auto"/>
        </w:rPr>
      </w:pPr>
      <w:r>
        <w:rPr>
          <w:color w:val="auto"/>
          <w:sz w:val="22"/>
        </w:rPr>
        <w:t>14.5货物、服务在规定的交付期限内由乙方送达甲方指定的地点视为交付，乙方同时需通知甲方货物、服务已送达。</w:t>
      </w:r>
    </w:p>
    <w:p>
      <w:pPr>
        <w:spacing w:line="500" w:lineRule="exact"/>
        <w:ind w:firstLine="480"/>
        <w:jc w:val="both"/>
        <w:rPr>
          <w:color w:val="auto"/>
        </w:rPr>
      </w:pPr>
      <w:r>
        <w:rPr>
          <w:color w:val="auto"/>
          <w:sz w:val="22"/>
        </w:rPr>
        <w:t>十五、违约责任</w:t>
      </w:r>
    </w:p>
    <w:p>
      <w:pPr>
        <w:spacing w:line="500" w:lineRule="exact"/>
        <w:ind w:firstLine="480"/>
        <w:jc w:val="both"/>
        <w:rPr>
          <w:color w:val="auto"/>
        </w:rPr>
      </w:pPr>
      <w:r>
        <w:rPr>
          <w:color w:val="auto"/>
          <w:sz w:val="22"/>
        </w:rPr>
        <w:t>15.1 甲方无正当理由拒收货物、服务的，甲方向乙方偿付拒收货款总值的百分之五违约金。</w:t>
      </w:r>
    </w:p>
    <w:p>
      <w:pPr>
        <w:spacing w:line="500" w:lineRule="exact"/>
        <w:ind w:firstLine="480"/>
        <w:jc w:val="both"/>
        <w:rPr>
          <w:color w:val="auto"/>
        </w:rPr>
      </w:pPr>
      <w:r>
        <w:rPr>
          <w:color w:val="auto"/>
          <w:sz w:val="22"/>
        </w:rPr>
        <w:t>15.2 甲方无故逾期验收和办理货款支付手续的，甲方应按逾期付款总额每日万分之五向乙方支付违约金。</w:t>
      </w:r>
    </w:p>
    <w:p>
      <w:pPr>
        <w:spacing w:line="500" w:lineRule="exact"/>
        <w:ind w:firstLine="480"/>
        <w:jc w:val="both"/>
        <w:rPr>
          <w:color w:val="auto"/>
        </w:rPr>
      </w:pPr>
      <w:r>
        <w:rPr>
          <w:color w:val="auto"/>
          <w:sz w:val="22"/>
        </w:rPr>
        <w:t>15.3 乙方逾期交付货物、服务的，甲方有权将履约保证金作为违约金进行扣除，亦有权单方终止合同。合同履行期间由于乙方的责任违反《服务考核表》相关条款，甲方有权从履约保证金中扣除相应款项（考核内容见合同附件）。乙方因逾期交货或因其他违约行为造成甲方损失超过履约保证金的，超出部分由乙方继续承担赔偿责任。</w:t>
      </w:r>
    </w:p>
    <w:p>
      <w:pPr>
        <w:spacing w:line="500" w:lineRule="exact"/>
        <w:ind w:firstLine="480"/>
        <w:jc w:val="both"/>
        <w:rPr>
          <w:color w:val="auto"/>
        </w:rPr>
      </w:pPr>
      <w:r>
        <w:rPr>
          <w:color w:val="auto"/>
          <w:sz w:val="22"/>
        </w:rPr>
        <w:t>15.4 乙方所交的货物、服务品种、型号、规格、技术参数、质量不符合合同规定及招标文件规定标准的，甲方有权拒收该货物、服务，乙方愿意更换货物、服务但逾期交付的，按乙方逾期交付处理。乙方拒绝更换货物、服务的，甲方可单方面解除合同。</w:t>
      </w:r>
    </w:p>
    <w:p>
      <w:pPr>
        <w:spacing w:line="500" w:lineRule="exact"/>
        <w:ind w:firstLine="480"/>
        <w:jc w:val="both"/>
        <w:rPr>
          <w:color w:val="auto"/>
        </w:rPr>
      </w:pPr>
      <w:r>
        <w:rPr>
          <w:color w:val="auto"/>
          <w:sz w:val="22"/>
        </w:rPr>
        <w:t>十六、不可抗力事件处理</w:t>
      </w:r>
    </w:p>
    <w:p>
      <w:pPr>
        <w:spacing w:line="500" w:lineRule="exact"/>
        <w:ind w:firstLine="480"/>
        <w:jc w:val="both"/>
        <w:rPr>
          <w:color w:val="auto"/>
        </w:rPr>
      </w:pPr>
      <w:r>
        <w:rPr>
          <w:color w:val="auto"/>
          <w:sz w:val="22"/>
        </w:rPr>
        <w:t>16.1 在合同有效期内，任何一方因不可抗力事件导致不能履行合同，则合同履行期可延长，其延长期与不可抗力影响期相同。</w:t>
      </w:r>
    </w:p>
    <w:p>
      <w:pPr>
        <w:spacing w:line="500" w:lineRule="exact"/>
        <w:ind w:firstLine="480"/>
        <w:jc w:val="both"/>
        <w:rPr>
          <w:color w:val="auto"/>
        </w:rPr>
      </w:pPr>
      <w:r>
        <w:rPr>
          <w:color w:val="auto"/>
          <w:sz w:val="22"/>
        </w:rPr>
        <w:t>16.2不可抗力事件发生后，应立即通知对方，并寄送有关权威机构出具的证明。</w:t>
      </w:r>
    </w:p>
    <w:p>
      <w:pPr>
        <w:spacing w:line="500" w:lineRule="exact"/>
        <w:ind w:firstLine="480"/>
        <w:jc w:val="both"/>
        <w:rPr>
          <w:color w:val="auto"/>
        </w:rPr>
      </w:pPr>
      <w:r>
        <w:rPr>
          <w:color w:val="auto"/>
          <w:sz w:val="22"/>
        </w:rPr>
        <w:t>16.3不可抗力事件延续120天以上，双方应通过友好协商，确定是否继续履行合同。</w:t>
      </w:r>
    </w:p>
    <w:p>
      <w:pPr>
        <w:spacing w:line="500" w:lineRule="exact"/>
        <w:ind w:firstLine="480"/>
        <w:jc w:val="both"/>
        <w:rPr>
          <w:color w:val="auto"/>
        </w:rPr>
      </w:pPr>
      <w:r>
        <w:rPr>
          <w:color w:val="auto"/>
          <w:sz w:val="22"/>
        </w:rPr>
        <w:t>十七、诉讼</w:t>
      </w:r>
    </w:p>
    <w:p>
      <w:pPr>
        <w:spacing w:after="50" w:line="420" w:lineRule="exact"/>
        <w:ind w:firstLine="0"/>
        <w:jc w:val="both"/>
        <w:rPr>
          <w:color w:val="auto"/>
        </w:rPr>
      </w:pPr>
      <w:r>
        <w:rPr>
          <w:color w:val="auto"/>
          <w:sz w:val="22"/>
        </w:rPr>
        <w:t>17.1 双方在执行合同中所发生的一切争议，应通过协商解决。如协商不成，可向合同签订地法院起诉，合同签订地在此约定为南通市。</w:t>
      </w:r>
    </w:p>
    <w:p>
      <w:pPr>
        <w:spacing w:line="400" w:lineRule="exact"/>
        <w:ind w:firstLine="500"/>
        <w:jc w:val="both"/>
        <w:rPr>
          <w:color w:val="auto"/>
        </w:rPr>
      </w:pPr>
      <w:r>
        <w:rPr>
          <w:color w:val="auto"/>
          <w:sz w:val="22"/>
        </w:rPr>
        <w:t>十八、合同生效及其它</w:t>
      </w:r>
    </w:p>
    <w:p>
      <w:pPr>
        <w:spacing w:line="400" w:lineRule="exact"/>
        <w:ind w:firstLine="500"/>
        <w:jc w:val="both"/>
        <w:rPr>
          <w:color w:val="auto"/>
        </w:rPr>
      </w:pPr>
      <w:r>
        <w:rPr>
          <w:color w:val="auto"/>
          <w:sz w:val="22"/>
        </w:rPr>
        <w:t>18.1 合同经双方法定代表人或授权委托代表人签字并加盖单位公章后生效。</w:t>
      </w:r>
    </w:p>
    <w:p>
      <w:pPr>
        <w:spacing w:after="40" w:line="400" w:lineRule="exact"/>
        <w:ind w:firstLine="500"/>
        <w:jc w:val="both"/>
        <w:rPr>
          <w:color w:val="auto"/>
        </w:rPr>
      </w:pPr>
      <w:r>
        <w:rPr>
          <w:color w:val="auto"/>
          <w:sz w:val="22"/>
        </w:rPr>
        <w:t>18.2本合同未尽事宜，遵照《中华人民共和国民法典》有关条文执行。</w:t>
      </w:r>
    </w:p>
    <w:p>
      <w:pPr>
        <w:spacing w:line="440" w:lineRule="exact"/>
        <w:ind w:firstLine="480"/>
        <w:jc w:val="both"/>
        <w:rPr>
          <w:color w:val="auto"/>
          <w:sz w:val="22"/>
        </w:rPr>
      </w:pPr>
      <w:r>
        <w:rPr>
          <w:color w:val="auto"/>
        </w:rPr>
        <mc:AlternateContent>
          <mc:Choice Requires="wps">
            <w:drawing>
              <wp:anchor distT="0" distB="0" distL="114300" distR="114300" simplePos="0" relativeHeight="251659264" behindDoc="1" locked="0" layoutInCell="1" allowOverlap="1">
                <wp:simplePos x="0" y="0"/>
                <wp:positionH relativeFrom="page">
                  <wp:posOffset>-1122045</wp:posOffset>
                </wp:positionH>
                <wp:positionV relativeFrom="page">
                  <wp:posOffset>2303145</wp:posOffset>
                </wp:positionV>
                <wp:extent cx="800735" cy="690880"/>
                <wp:effectExtent l="0" t="0" r="0" b="0"/>
                <wp:wrapNone/>
                <wp:docPr id="2" name="文本框 2"/>
                <wp:cNvGraphicFramePr/>
                <a:graphic xmlns:a="http://schemas.openxmlformats.org/drawingml/2006/main">
                  <a:graphicData uri="http://schemas.microsoft.com/office/word/2010/wordprocessingShape">
                    <wps:wsp>
                      <wps:cNvSpPr txBox="1"/>
                      <wps:spPr>
                        <a:xfrm flipH="1" flipV="1">
                          <a:off x="1601470" y="2139315"/>
                          <a:ext cx="800735" cy="690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_x0000_s1026" o:spid="_x0000_s1026" o:spt="202" type="#_x0000_t202" style="position:absolute;left:0pt;flip:x y;margin-left:-88.35pt;margin-top:181.35pt;height:54.4pt;width:63.05pt;mso-position-horizontal-relative:page;mso-position-vertical-relative:page;z-index:-251657216;mso-width-relative:page;mso-height-relative:page;" filled="f" stroked="f" coordsize="21600,21600" o:gfxdata="UEsDBAoAAAAAAIdO4kAAAAAAAAAAAAAAAAAEAAAAZHJzL1BLAwQUAAAACACHTuJAkBHffdoAAAAM&#10;AQAADwAAAGRycy9kb3ducmV2LnhtbE2PwUrEMBCG74LvEEbw1k26uq3UpouICl4EVz14yzZjW2wm&#10;Jcluq0/veNLbDPPxz/fX28WN4oghDp405CsFAqn1dqBOw+vLfXYFIiZD1oyeUMMXRtg2pye1qayf&#10;6RmPu9QJDqFYGQ19SlMlZWx7dCau/ITEtw8fnEm8hk7aYGYOd6NcK1VIZwbiD72Z8LbH9nN3cBoo&#10;4B0+0YJD/H54e7+Zw6OZSq3Pz3J1DSLhkv5g+NVndWjYae8PZKMYNWR5WZTMargo1jwwkm1UAWKv&#10;4bLMNyCbWv4v0fwAUEsDBBQAAAAIAIdO4kCe7rkS4gEAALADAAAOAAAAZHJzL2Uyb0RvYy54bWyt&#10;U0tu2zAQ3RfoHQjua9Fy7DiC5aCFkbZA0RZImz1NkRYB/kDSlnyB9gZddZN9z+VzdEgpTpBusuhG&#10;GM7nzbw3o9V1rxU6cB+kNTWeTghG3DDbSLOr8fdvN2+WGIVITUOVNbzGRx7w9fr1q1XnKl7a1qqG&#10;ewQgJlSdq3Ebo6uKIrCWaxom1nEDQWG9phGeflc0nnaArlVRErIoOusb5y3jIYB3MwTxiOhfAmiF&#10;kIxvLNtrbuKA6rmiESiFVrqA13laITiLX4QIPCJVY2Aa8xeagL1N32K9otXOU9dKNo5AXzLCM06a&#10;SgNNz1AbGinae/kPlJbM22BFnDCri4FIVgRYTMkzbW5b6njmAlIHdxY9/D9Y9vnw1SPZ1LjEyFAN&#10;Cz/9+nn6/ed0/wOVSZ7OhQqybh3kxf6d7eFoHvwBnIl1L7xGQkn3IQWzdZesFAOOKNUsyPTiEmQ/&#10;Qqvp7Go2nQ/i8z4iBglLQi5nc4wYJCyuyHKZl1MM4AnI+RDfc6tRMmrsYbe5AT18ChEGhdSHlJRu&#10;7I1UKu9XGdQB6GxOcsE5AhXKQGGiOFBJVuy3/ch7a5sj0FYfDUhezi9IOqH8AMM/9W5H79D57T5a&#10;IfNQCXGAGRvBIvOs49GlS3n6zlmPP9r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AR333aAAAA&#10;DAEAAA8AAAAAAAAAAQAgAAAAIgAAAGRycy9kb3ducmV2LnhtbFBLAQIUABQAAAAIAIdO4kCe7rkS&#10;4gEAALADAAAOAAAAAAAAAAEAIAAAACkBAABkcnMvZTJvRG9jLnhtbFBLBQYAAAAABgAGAFkBAAB9&#10;BQAAAAA=&#10;">
                <v:fill on="f" focussize="0,0"/>
                <v:stroke on="f" weight="0.5pt"/>
                <v:imagedata o:title=""/>
                <o:lock v:ext="edit" aspectratio="f"/>
                <v:textbox inset="2pt,0mm,2pt,0mm">
                  <w:txbxContent>
                    <w:p/>
                  </w:txbxContent>
                </v:textbox>
              </v:shape>
            </w:pict>
          </mc:Fallback>
        </mc:AlternateContent>
      </w:r>
      <w:r>
        <w:rPr>
          <w:color w:val="auto"/>
          <w:sz w:val="22"/>
        </w:rPr>
        <w:t>18.3本合同一式肆份，具有同等法律效力，甲方、乙方各执贰份。</w:t>
      </w:r>
    </w:p>
    <w:p>
      <w:pPr>
        <w:spacing w:line="480" w:lineRule="auto"/>
        <w:ind w:firstLine="1476" w:firstLineChars="700"/>
        <w:rPr>
          <w:rFonts w:hint="eastAsia" w:ascii="宋体" w:hAnsi="宋体" w:cs="仿宋"/>
          <w:b/>
          <w:bCs/>
          <w:color w:val="auto"/>
        </w:rPr>
      </w:pPr>
    </w:p>
    <w:p>
      <w:pPr>
        <w:spacing w:line="480" w:lineRule="auto"/>
        <w:ind w:firstLine="1476" w:firstLineChars="700"/>
        <w:rPr>
          <w:rFonts w:ascii="宋体" w:hAnsi="宋体" w:cs="仿宋"/>
          <w:b/>
          <w:bCs/>
          <w:color w:val="auto"/>
        </w:rPr>
      </w:pPr>
      <w:r>
        <w:rPr>
          <w:rFonts w:hint="eastAsia" w:ascii="宋体" w:hAnsi="宋体" w:cs="仿宋"/>
          <w:b/>
          <w:bCs/>
          <w:color w:val="auto"/>
        </w:rPr>
        <w:t>注：采购单位保留调整合同条款的权利。</w:t>
      </w:r>
    </w:p>
    <w:p>
      <w:pPr>
        <w:spacing w:line="440" w:lineRule="exact"/>
        <w:ind w:firstLine="480"/>
        <w:jc w:val="both"/>
        <w:rPr>
          <w:color w:val="auto"/>
          <w:sz w:val="22"/>
        </w:rPr>
      </w:pPr>
    </w:p>
    <w:p>
      <w:pPr>
        <w:spacing w:line="440" w:lineRule="exact"/>
        <w:ind w:firstLine="480"/>
        <w:jc w:val="both"/>
        <w:rPr>
          <w:color w:val="auto"/>
          <w:sz w:val="22"/>
        </w:rPr>
      </w:pPr>
    </w:p>
    <w:p>
      <w:pPr>
        <w:spacing w:line="440" w:lineRule="exact"/>
        <w:ind w:firstLine="480"/>
        <w:jc w:val="both"/>
        <w:rPr>
          <w:rFonts w:hint="default" w:eastAsiaTheme="minorEastAsia"/>
          <w:color w:val="auto"/>
          <w:lang w:val="en-US" w:eastAsia="zh-CN"/>
        </w:rPr>
      </w:pPr>
      <w:r>
        <w:rPr>
          <w:color w:val="auto"/>
          <w:sz w:val="24"/>
        </w:rPr>
        <w:t>甲方：</w:t>
      </w:r>
      <w:r>
        <w:rPr>
          <w:rFonts w:hint="eastAsia"/>
          <w:color w:val="auto"/>
          <w:sz w:val="24"/>
          <w:lang w:val="en-US" w:eastAsia="zh-CN"/>
        </w:rPr>
        <w:t xml:space="preserve">                                        乙方：</w:t>
      </w:r>
    </w:p>
    <w:p>
      <w:pPr>
        <w:spacing w:after="40" w:line="440" w:lineRule="exact"/>
        <w:ind w:left="500" w:firstLine="0"/>
        <w:jc w:val="both"/>
        <w:rPr>
          <w:color w:val="auto"/>
          <w:sz w:val="24"/>
        </w:rPr>
      </w:pPr>
    </w:p>
    <w:p>
      <w:pPr>
        <w:spacing w:after="40" w:line="440" w:lineRule="exact"/>
        <w:ind w:left="500" w:firstLine="0"/>
        <w:jc w:val="both"/>
        <w:rPr>
          <w:rFonts w:hint="default" w:eastAsiaTheme="minorEastAsia"/>
          <w:color w:val="auto"/>
          <w:lang w:val="en-US" w:eastAsia="zh-CN"/>
        </w:rPr>
      </w:pPr>
      <w:r>
        <w:rPr>
          <w:color w:val="auto"/>
          <w:sz w:val="24"/>
        </w:rPr>
        <w:t>地址：</w:t>
      </w:r>
      <w:r>
        <w:rPr>
          <w:rFonts w:hint="eastAsia"/>
          <w:color w:val="auto"/>
          <w:sz w:val="24"/>
          <w:lang w:val="en-US" w:eastAsia="zh-CN"/>
        </w:rPr>
        <w:t xml:space="preserve">                                        地址：</w:t>
      </w:r>
    </w:p>
    <w:p>
      <w:pPr>
        <w:spacing w:after="20" w:line="440" w:lineRule="exact"/>
        <w:ind w:left="500" w:firstLine="0"/>
        <w:jc w:val="both"/>
        <w:rPr>
          <w:color w:val="auto"/>
          <w:sz w:val="24"/>
        </w:rPr>
      </w:pPr>
    </w:p>
    <w:p>
      <w:pPr>
        <w:spacing w:after="20" w:line="440" w:lineRule="exact"/>
        <w:ind w:left="500" w:firstLine="0"/>
        <w:jc w:val="both"/>
        <w:rPr>
          <w:rFonts w:hint="default" w:eastAsiaTheme="minorEastAsia"/>
          <w:color w:val="auto"/>
          <w:lang w:val="en-US" w:eastAsia="zh-CN"/>
        </w:rPr>
      </w:pPr>
      <w:r>
        <w:rPr>
          <w:color w:val="auto"/>
          <w:sz w:val="24"/>
        </w:rPr>
        <w:t>法定代表人或授权代表：</w:t>
      </w:r>
      <w:r>
        <w:rPr>
          <w:rFonts w:hint="eastAsia"/>
          <w:color w:val="auto"/>
          <w:sz w:val="24"/>
          <w:lang w:val="en-US" w:eastAsia="zh-CN"/>
        </w:rPr>
        <w:t xml:space="preserve">                        法定代表人或授权代表</w:t>
      </w:r>
    </w:p>
    <w:p>
      <w:pPr>
        <w:spacing w:line="440" w:lineRule="exact"/>
        <w:ind w:left="500" w:firstLine="0"/>
        <w:jc w:val="both"/>
        <w:rPr>
          <w:color w:val="auto"/>
          <w:sz w:val="24"/>
        </w:rPr>
      </w:pPr>
    </w:p>
    <w:p>
      <w:pPr>
        <w:spacing w:line="440" w:lineRule="exact"/>
        <w:ind w:left="500" w:firstLine="0"/>
        <w:jc w:val="both"/>
        <w:rPr>
          <w:rFonts w:hint="default"/>
          <w:color w:val="auto"/>
          <w:sz w:val="24"/>
          <w:szCs w:val="24"/>
          <w:lang w:val="en-US" w:eastAsia="zh-CN"/>
        </w:rPr>
        <w:sectPr>
          <w:footerReference r:id="rId6" w:type="default"/>
          <w:pgSz w:w="11900" w:h="16840"/>
          <w:pgMar w:top="1440" w:right="1080" w:bottom="1440" w:left="1080" w:header="850" w:footer="1440" w:gutter="0"/>
          <w:cols w:space="720" w:num="1"/>
          <w:docGrid w:type="lines" w:linePitch="0" w:charSpace="0"/>
        </w:sectPr>
      </w:pPr>
      <w:r>
        <w:rPr>
          <w:color w:val="auto"/>
          <w:sz w:val="24"/>
        </w:rPr>
        <w:t>联系电话：</w:t>
      </w:r>
      <w:r>
        <w:rPr>
          <w:rFonts w:hint="eastAsia"/>
          <w:color w:val="auto"/>
          <w:sz w:val="24"/>
          <w:lang w:val="en-US" w:eastAsia="zh-CN"/>
        </w:rPr>
        <w:t xml:space="preserve">  </w:t>
      </w:r>
      <w:r>
        <w:rPr>
          <w:rFonts w:hint="eastAsia" w:ascii="宋体" w:hAnsi="宋体" w:cs="仿宋"/>
          <w:b/>
          <w:bCs/>
          <w:color w:val="auto"/>
          <w:lang w:val="en-US" w:eastAsia="zh-CN"/>
        </w:rPr>
        <w:t xml:space="preserve">                                        </w:t>
      </w:r>
      <w:r>
        <w:rPr>
          <w:rFonts w:hint="eastAsia"/>
          <w:color w:val="auto"/>
          <w:sz w:val="24"/>
          <w:szCs w:val="24"/>
          <w:lang w:val="en-US" w:eastAsia="zh-CN"/>
        </w:rPr>
        <w:t>联系电话：</w:t>
      </w:r>
    </w:p>
    <w:p>
      <w:pPr>
        <w:spacing w:line="460" w:lineRule="exact"/>
        <w:rPr>
          <w:rFonts w:ascii="宋体" w:hAnsi="宋体"/>
          <w:b/>
          <w:bCs/>
          <w:color w:val="auto"/>
          <w:sz w:val="24"/>
          <w:szCs w:val="24"/>
        </w:rPr>
      </w:pPr>
    </w:p>
    <w:p>
      <w:pPr>
        <w:spacing w:line="460" w:lineRule="exact"/>
        <w:rPr>
          <w:rFonts w:ascii="宋体" w:hAnsi="宋体"/>
          <w:b/>
          <w:bCs/>
          <w:color w:val="auto"/>
          <w:sz w:val="24"/>
          <w:szCs w:val="24"/>
        </w:rPr>
      </w:pPr>
    </w:p>
    <w:tbl>
      <w:tblPr>
        <w:tblStyle w:val="53"/>
        <w:tblpPr w:leftFromText="180" w:rightFromText="180" w:vertAnchor="text" w:horzAnchor="page" w:tblpX="1611" w:tblpY="-9775"/>
        <w:tblOverlap w:val="never"/>
        <w:tblW w:w="9180" w:type="dxa"/>
        <w:tblInd w:w="0" w:type="dxa"/>
        <w:tblLayout w:type="fixed"/>
        <w:tblCellMar>
          <w:top w:w="15" w:type="dxa"/>
          <w:left w:w="15" w:type="dxa"/>
          <w:bottom w:w="15" w:type="dxa"/>
          <w:right w:w="15" w:type="dxa"/>
        </w:tblCellMar>
      </w:tblPr>
      <w:tblGrid>
        <w:gridCol w:w="496"/>
        <w:gridCol w:w="5668"/>
        <w:gridCol w:w="661"/>
        <w:gridCol w:w="539"/>
        <w:gridCol w:w="974"/>
        <w:gridCol w:w="842"/>
      </w:tblGrid>
      <w:tr>
        <w:tblPrEx>
          <w:tblCellMar>
            <w:top w:w="15" w:type="dxa"/>
            <w:left w:w="15" w:type="dxa"/>
            <w:bottom w:w="15" w:type="dxa"/>
            <w:right w:w="15" w:type="dxa"/>
          </w:tblCellMar>
        </w:tblPrEx>
        <w:trPr>
          <w:trHeight w:val="1769" w:hRule="atLeast"/>
        </w:trPr>
        <w:tc>
          <w:tcPr>
            <w:tcW w:w="9180" w:type="dxa"/>
            <w:gridSpan w:val="6"/>
            <w:noWrap/>
            <w:vAlign w:val="bottom"/>
          </w:tcPr>
          <w:p>
            <w:pPr>
              <w:widowControl/>
              <w:textAlignment w:val="bottom"/>
              <w:rPr>
                <w:rFonts w:ascii="宋体" w:hAnsi="宋体" w:cs="宋体"/>
                <w:b/>
                <w:color w:val="auto"/>
                <w:kern w:val="0"/>
                <w:sz w:val="28"/>
                <w:szCs w:val="28"/>
              </w:rPr>
            </w:pPr>
          </w:p>
          <w:p>
            <w:pPr>
              <w:rPr>
                <w:rFonts w:ascii="宋体" w:hAnsi="宋体"/>
                <w:b/>
                <w:bCs/>
                <w:color w:val="auto"/>
                <w:sz w:val="24"/>
                <w:szCs w:val="24"/>
              </w:rPr>
            </w:pPr>
          </w:p>
          <w:p>
            <w:pPr>
              <w:rPr>
                <w:rFonts w:ascii="宋体" w:hAnsi="宋体"/>
                <w:b/>
                <w:bCs/>
                <w:color w:val="auto"/>
                <w:sz w:val="24"/>
                <w:szCs w:val="24"/>
              </w:rPr>
            </w:pPr>
          </w:p>
          <w:p>
            <w:pPr>
              <w:rPr>
                <w:rFonts w:ascii="宋体" w:hAnsi="宋体"/>
                <w:b/>
                <w:bCs/>
                <w:color w:val="auto"/>
                <w:sz w:val="24"/>
                <w:szCs w:val="24"/>
              </w:rPr>
            </w:pPr>
          </w:p>
          <w:p>
            <w:pPr>
              <w:rPr>
                <w:rFonts w:hint="eastAsia" w:ascii="宋体" w:hAnsi="宋体"/>
                <w:b/>
                <w:bCs/>
                <w:color w:val="auto"/>
                <w:sz w:val="24"/>
                <w:szCs w:val="24"/>
              </w:rPr>
            </w:pPr>
          </w:p>
          <w:p>
            <w:pPr>
              <w:rPr>
                <w:rFonts w:ascii="宋体" w:hAnsi="宋体"/>
                <w:b/>
                <w:bCs/>
                <w:color w:val="auto"/>
                <w:sz w:val="24"/>
                <w:szCs w:val="24"/>
              </w:rPr>
            </w:pPr>
            <w:r>
              <w:rPr>
                <w:rFonts w:hint="eastAsia" w:ascii="宋体" w:hAnsi="宋体"/>
                <w:b/>
                <w:bCs/>
                <w:color w:val="auto"/>
                <w:sz w:val="24"/>
                <w:szCs w:val="24"/>
              </w:rPr>
              <w:t>考核标准：</w:t>
            </w:r>
          </w:p>
          <w:p>
            <w:pPr>
              <w:widowControl/>
              <w:jc w:val="center"/>
              <w:textAlignment w:val="bottom"/>
              <w:rPr>
                <w:rFonts w:ascii="宋体" w:hAnsi="宋体" w:cs="宋体"/>
                <w:b/>
                <w:color w:val="auto"/>
                <w:kern w:val="0"/>
                <w:sz w:val="28"/>
                <w:szCs w:val="28"/>
              </w:rPr>
            </w:pPr>
          </w:p>
          <w:p>
            <w:pPr>
              <w:widowControl/>
              <w:jc w:val="center"/>
              <w:textAlignment w:val="bottom"/>
              <w:rPr>
                <w:rFonts w:ascii="宋体" w:hAnsi="宋体" w:cs="宋体"/>
                <w:b/>
                <w:color w:val="auto"/>
                <w:sz w:val="28"/>
                <w:szCs w:val="28"/>
              </w:rPr>
            </w:pPr>
            <w:r>
              <w:rPr>
                <w:rFonts w:hint="eastAsia" w:ascii="宋体" w:hAnsi="宋体" w:cs="宋体"/>
                <w:b/>
                <w:color w:val="auto"/>
                <w:sz w:val="28"/>
                <w:szCs w:val="28"/>
                <w:lang w:eastAsia="zh-CN"/>
              </w:rPr>
              <w:t>南通市妇幼保健院医用气体采购项目</w:t>
            </w:r>
            <w:r>
              <w:rPr>
                <w:rFonts w:hint="eastAsia" w:ascii="宋体" w:hAnsi="宋体" w:cs="宋体"/>
                <w:b/>
                <w:color w:val="auto"/>
                <w:sz w:val="28"/>
                <w:szCs w:val="28"/>
              </w:rPr>
              <w:t>考核表</w:t>
            </w:r>
          </w:p>
        </w:tc>
      </w:tr>
      <w:tr>
        <w:tblPrEx>
          <w:tblCellMar>
            <w:top w:w="15" w:type="dxa"/>
            <w:left w:w="15" w:type="dxa"/>
            <w:bottom w:w="15" w:type="dxa"/>
            <w:right w:w="15" w:type="dxa"/>
          </w:tblCellMar>
        </w:tblPrEx>
        <w:trPr>
          <w:trHeight w:val="409" w:hRule="atLeast"/>
        </w:trPr>
        <w:tc>
          <w:tcPr>
            <w:tcW w:w="496" w:type="dxa"/>
            <w:noWrap/>
            <w:vAlign w:val="bottom"/>
          </w:tcPr>
          <w:p>
            <w:pPr>
              <w:jc w:val="center"/>
              <w:rPr>
                <w:rFonts w:ascii="宋体" w:hAnsi="宋体" w:cs="宋体"/>
                <w:b/>
                <w:color w:val="auto"/>
                <w:sz w:val="18"/>
                <w:szCs w:val="18"/>
              </w:rPr>
            </w:pPr>
          </w:p>
        </w:tc>
        <w:tc>
          <w:tcPr>
            <w:tcW w:w="5668" w:type="dxa"/>
            <w:noWrap/>
            <w:vAlign w:val="bottom"/>
          </w:tcPr>
          <w:p>
            <w:pPr>
              <w:jc w:val="center"/>
              <w:rPr>
                <w:rFonts w:ascii="宋体" w:hAnsi="宋体" w:cs="宋体"/>
                <w:color w:val="auto"/>
                <w:sz w:val="18"/>
                <w:szCs w:val="18"/>
              </w:rPr>
            </w:pPr>
          </w:p>
        </w:tc>
        <w:tc>
          <w:tcPr>
            <w:tcW w:w="661" w:type="dxa"/>
            <w:noWrap/>
            <w:vAlign w:val="bottom"/>
          </w:tcPr>
          <w:p>
            <w:pPr>
              <w:widowControl/>
              <w:jc w:val="center"/>
              <w:textAlignment w:val="bottom"/>
              <w:rPr>
                <w:rFonts w:ascii="宋体" w:hAnsi="宋体" w:cs="宋体"/>
                <w:color w:val="auto"/>
                <w:sz w:val="18"/>
                <w:szCs w:val="18"/>
              </w:rPr>
            </w:pPr>
            <w:r>
              <w:rPr>
                <w:rFonts w:hint="eastAsia" w:ascii="宋体" w:hAnsi="宋体" w:cs="宋体"/>
                <w:color w:val="auto"/>
                <w:kern w:val="0"/>
                <w:sz w:val="18"/>
                <w:szCs w:val="18"/>
              </w:rPr>
              <w:t>时间：</w:t>
            </w:r>
          </w:p>
        </w:tc>
        <w:tc>
          <w:tcPr>
            <w:tcW w:w="539" w:type="dxa"/>
            <w:noWrap/>
            <w:vAlign w:val="bottom"/>
          </w:tcPr>
          <w:p>
            <w:pPr>
              <w:jc w:val="center"/>
              <w:rPr>
                <w:rFonts w:ascii="宋体" w:hAnsi="宋体" w:cs="宋体"/>
                <w:color w:val="auto"/>
                <w:sz w:val="18"/>
                <w:szCs w:val="18"/>
              </w:rPr>
            </w:pPr>
          </w:p>
        </w:tc>
        <w:tc>
          <w:tcPr>
            <w:tcW w:w="974" w:type="dxa"/>
            <w:noWrap/>
            <w:vAlign w:val="bottom"/>
          </w:tcPr>
          <w:p>
            <w:pPr>
              <w:widowControl/>
              <w:jc w:val="center"/>
              <w:textAlignment w:val="bottom"/>
              <w:rPr>
                <w:rFonts w:ascii="宋体" w:hAnsi="宋体" w:cs="宋体"/>
                <w:color w:val="auto"/>
                <w:sz w:val="18"/>
                <w:szCs w:val="18"/>
              </w:rPr>
            </w:pPr>
            <w:r>
              <w:rPr>
                <w:rFonts w:hint="eastAsia" w:ascii="宋体" w:hAnsi="宋体" w:cs="宋体"/>
                <w:color w:val="auto"/>
                <w:kern w:val="0"/>
                <w:sz w:val="18"/>
                <w:szCs w:val="18"/>
              </w:rPr>
              <w:t>总得分：</w:t>
            </w:r>
          </w:p>
        </w:tc>
        <w:tc>
          <w:tcPr>
            <w:tcW w:w="842" w:type="dxa"/>
            <w:noWrap/>
            <w:vAlign w:val="bottom"/>
          </w:tcPr>
          <w:p>
            <w:pPr>
              <w:jc w:val="center"/>
              <w:rPr>
                <w:rFonts w:ascii="宋体" w:hAnsi="宋体" w:cs="宋体"/>
                <w:color w:val="auto"/>
                <w:sz w:val="18"/>
                <w:szCs w:val="18"/>
              </w:rPr>
            </w:pPr>
          </w:p>
        </w:tc>
      </w:tr>
      <w:tr>
        <w:tblPrEx>
          <w:tblCellMar>
            <w:top w:w="15" w:type="dxa"/>
            <w:left w:w="15" w:type="dxa"/>
            <w:bottom w:w="15" w:type="dxa"/>
            <w:right w:w="15" w:type="dxa"/>
          </w:tblCellMar>
        </w:tblPrEx>
        <w:trPr>
          <w:trHeight w:val="66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序号</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考核标准</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考核要求</w:t>
            </w: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分值</w:t>
            </w:r>
          </w:p>
        </w:tc>
        <w:tc>
          <w:tcPr>
            <w:tcW w:w="97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扣分理由</w:t>
            </w:r>
          </w:p>
        </w:tc>
        <w:tc>
          <w:tcPr>
            <w:tcW w:w="8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color w:val="auto"/>
                <w:sz w:val="18"/>
                <w:szCs w:val="18"/>
              </w:rPr>
            </w:pPr>
            <w:r>
              <w:rPr>
                <w:rFonts w:hint="eastAsia" w:ascii="宋体" w:hAnsi="宋体" w:cs="宋体"/>
                <w:b/>
                <w:color w:val="auto"/>
                <w:kern w:val="0"/>
                <w:sz w:val="18"/>
                <w:szCs w:val="18"/>
              </w:rPr>
              <w:t>考核得分</w:t>
            </w:r>
          </w:p>
        </w:tc>
      </w:tr>
      <w:tr>
        <w:tblPrEx>
          <w:tblCellMar>
            <w:top w:w="15" w:type="dxa"/>
            <w:left w:w="15" w:type="dxa"/>
            <w:bottom w:w="15" w:type="dxa"/>
            <w:right w:w="15" w:type="dxa"/>
          </w:tblCellMar>
        </w:tblPrEx>
        <w:trPr>
          <w:trHeight w:val="1230" w:hRule="atLeast"/>
        </w:trPr>
        <w:tc>
          <w:tcPr>
            <w:tcW w:w="496"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w:t>
            </w:r>
          </w:p>
          <w:p>
            <w:pPr>
              <w:widowControl/>
              <w:jc w:val="center"/>
              <w:textAlignment w:val="center"/>
              <w:rPr>
                <w:rFonts w:ascii="宋体" w:hAnsi="宋体" w:cs="宋体"/>
                <w:color w:val="auto"/>
                <w:kern w:val="0"/>
                <w:sz w:val="18"/>
                <w:szCs w:val="18"/>
              </w:rPr>
            </w:pPr>
          </w:p>
        </w:tc>
        <w:tc>
          <w:tcPr>
            <w:tcW w:w="5668" w:type="dxa"/>
            <w:tcBorders>
              <w:top w:val="single" w:color="000000" w:sz="4" w:space="0"/>
              <w:left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eastAsia="宋体"/>
                <w:color w:val="auto"/>
                <w:sz w:val="20"/>
              </w:rPr>
              <w:t>供应商在供货时随车提供相应产品的检测报告和合格证等。</w:t>
            </w:r>
          </w:p>
        </w:tc>
        <w:tc>
          <w:tcPr>
            <w:tcW w:w="6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履行合同条款到位</w:t>
            </w:r>
          </w:p>
        </w:tc>
        <w:tc>
          <w:tcPr>
            <w:tcW w:w="539"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30</w:t>
            </w:r>
          </w:p>
        </w:tc>
        <w:tc>
          <w:tcPr>
            <w:tcW w:w="974" w:type="dxa"/>
            <w:tcBorders>
              <w:top w:val="single" w:color="000000" w:sz="4" w:space="0"/>
              <w:left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899" w:hRule="atLeast"/>
        </w:trPr>
        <w:tc>
          <w:tcPr>
            <w:tcW w:w="496"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p>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w:t>
            </w:r>
          </w:p>
          <w:p>
            <w:pPr>
              <w:widowControl/>
              <w:jc w:val="center"/>
              <w:textAlignment w:val="center"/>
              <w:rPr>
                <w:rFonts w:ascii="宋体" w:hAnsi="宋体" w:cs="宋体"/>
                <w:color w:val="auto"/>
                <w:kern w:val="0"/>
                <w:sz w:val="18"/>
                <w:szCs w:val="18"/>
              </w:rPr>
            </w:pPr>
          </w:p>
        </w:tc>
        <w:tc>
          <w:tcPr>
            <w:tcW w:w="5668" w:type="dxa"/>
            <w:tcBorders>
              <w:top w:val="single" w:color="000000" w:sz="4" w:space="0"/>
              <w:left w:val="single" w:color="000000" w:sz="4" w:space="0"/>
              <w:right w:val="single" w:color="000000" w:sz="4" w:space="0"/>
            </w:tcBorders>
            <w:noWrap/>
            <w:vAlign w:val="center"/>
          </w:tcPr>
          <w:p>
            <w:pPr>
              <w:spacing w:before="33" w:line="260" w:lineRule="exact"/>
              <w:jc w:val="both"/>
              <w:rPr>
                <w:color w:val="auto"/>
              </w:rPr>
            </w:pPr>
            <w:r>
              <w:rPr>
                <w:rFonts w:hint="eastAsia" w:ascii="宋体" w:hAnsi="宋体" w:eastAsia="宋体"/>
                <w:color w:val="auto"/>
                <w:sz w:val="20"/>
              </w:rPr>
              <w:t>送货的车辆驾驶员和押运员有安监局及技监局颁发的有效</w:t>
            </w:r>
          </w:p>
          <w:p>
            <w:pPr>
              <w:widowControl/>
              <w:jc w:val="left"/>
              <w:textAlignment w:val="center"/>
              <w:rPr>
                <w:rFonts w:ascii="宋体" w:hAnsi="宋体" w:cs="宋体"/>
                <w:color w:val="auto"/>
                <w:kern w:val="0"/>
                <w:sz w:val="18"/>
                <w:szCs w:val="18"/>
              </w:rPr>
            </w:pPr>
            <w:r>
              <w:rPr>
                <w:rFonts w:hint="eastAsia" w:ascii="宋体" w:hAnsi="宋体" w:eastAsia="宋体"/>
                <w:color w:val="auto"/>
                <w:sz w:val="20"/>
              </w:rPr>
              <w:t>上岗证。</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20</w:t>
            </w:r>
          </w:p>
        </w:tc>
        <w:tc>
          <w:tcPr>
            <w:tcW w:w="974" w:type="dxa"/>
            <w:tcBorders>
              <w:top w:val="single" w:color="000000" w:sz="4" w:space="0"/>
              <w:left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626"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eastAsia="宋体"/>
                <w:color w:val="auto"/>
                <w:sz w:val="20"/>
              </w:rPr>
              <w:t>按规定做好设备运行、保养、维修工作，并填写相关记录。</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sz w:val="18"/>
                <w:szCs w:val="18"/>
              </w:rPr>
              <w:t>10</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管理维护人员定期（每月至少1次）进行安全检查，并详细记录。</w:t>
            </w:r>
          </w:p>
        </w:tc>
        <w:tc>
          <w:tcPr>
            <w:tcW w:w="66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违反规定，一旦查实，视情况扣分。</w:t>
            </w: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5</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禁止在充装站外由罐车等移动式压力容器直接对气瓶进行充装；禁止将气瓶内气体直接向气体气瓶倒装。</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6</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医用气体气瓶存放时，放置整齐，留出通道。公称容积大于等于5L的气瓶应当配有保护罩或者固定式瓶帽。</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结合本单位医用气体系统的特点，制定医用气体应急预案。</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8</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应急预案应包含应急组织体系，信息报告程序，构成单位或人员，联系方式，应急处置流程，生命支持区域保障措施，应急物资的储备数量和存放地点等内容。</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9</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eastAsia="宋体"/>
                <w:color w:val="auto"/>
                <w:sz w:val="20"/>
              </w:rPr>
              <w:t>根据本单位实际需求，储备足够的维修配件及应急物资。</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r>
        <w:tblPrEx>
          <w:tblCellMar>
            <w:top w:w="15" w:type="dxa"/>
            <w:left w:w="15" w:type="dxa"/>
            <w:bottom w:w="15" w:type="dxa"/>
            <w:right w:w="15" w:type="dxa"/>
          </w:tblCellMar>
        </w:tblPrEx>
        <w:trPr>
          <w:trHeight w:val="532" w:hRule="atLeast"/>
        </w:trPr>
        <w:tc>
          <w:tcPr>
            <w:tcW w:w="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6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其他不履行合同的部分。</w:t>
            </w:r>
          </w:p>
        </w:tc>
        <w:tc>
          <w:tcPr>
            <w:tcW w:w="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8"/>
                <w:szCs w:val="18"/>
              </w:rPr>
            </w:pPr>
          </w:p>
        </w:tc>
        <w:tc>
          <w:tcPr>
            <w:tcW w:w="53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8</w:t>
            </w:r>
          </w:p>
        </w:tc>
        <w:tc>
          <w:tcPr>
            <w:tcW w:w="974"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c>
          <w:tcPr>
            <w:tcW w:w="842" w:type="dxa"/>
            <w:tcBorders>
              <w:top w:val="single" w:color="000000" w:sz="4" w:space="0"/>
              <w:left w:val="single" w:color="000000" w:sz="4" w:space="0"/>
              <w:bottom w:val="single" w:color="000000" w:sz="4" w:space="0"/>
              <w:right w:val="single" w:color="000000" w:sz="4" w:space="0"/>
            </w:tcBorders>
            <w:noWrap/>
            <w:vAlign w:val="bottom"/>
          </w:tcPr>
          <w:p>
            <w:pPr>
              <w:rPr>
                <w:rFonts w:ascii="宋体" w:hAnsi="宋体" w:cs="宋体"/>
                <w:color w:val="auto"/>
                <w:sz w:val="18"/>
                <w:szCs w:val="18"/>
              </w:rPr>
            </w:pPr>
          </w:p>
        </w:tc>
      </w:tr>
    </w:tbl>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pStyle w:val="62"/>
        <w:ind w:left="0" w:leftChars="0" w:firstLine="0" w:firstLineChars="0"/>
        <w:rPr>
          <w:color w:val="auto"/>
        </w:rPr>
      </w:pPr>
    </w:p>
    <w:p>
      <w:pPr>
        <w:rPr>
          <w:color w:val="auto"/>
        </w:rPr>
      </w:pPr>
    </w:p>
    <w:p>
      <w:pPr>
        <w:pStyle w:val="52"/>
        <w:ind w:firstLine="3183" w:firstLineChars="900"/>
        <w:rPr>
          <w:rFonts w:ascii="宋体" w:hAnsi="宋体" w:cs="宋体"/>
          <w:b/>
          <w:color w:val="auto"/>
          <w:w w:val="80"/>
          <w:sz w:val="44"/>
          <w:szCs w:val="44"/>
        </w:rPr>
      </w:pPr>
      <w:r>
        <w:rPr>
          <w:rFonts w:hint="eastAsia" w:ascii="宋体" w:hAnsi="宋体" w:cs="宋体"/>
          <w:b/>
          <w:color w:val="auto"/>
          <w:w w:val="80"/>
          <w:sz w:val="44"/>
          <w:szCs w:val="44"/>
        </w:rPr>
        <w:t>第六章   合同授予</w:t>
      </w:r>
    </w:p>
    <w:p>
      <w:pPr>
        <w:snapToGrid w:val="0"/>
        <w:spacing w:line="520" w:lineRule="exact"/>
        <w:ind w:firstLine="484" w:firstLineChars="202"/>
        <w:textAlignment w:val="baseline"/>
        <w:rPr>
          <w:rFonts w:ascii="宋体" w:hAnsi="宋体" w:cs="宋体"/>
          <w:color w:val="auto"/>
          <w:kern w:val="0"/>
          <w:sz w:val="24"/>
          <w:szCs w:val="24"/>
        </w:rPr>
      </w:pPr>
      <w:r>
        <w:rPr>
          <w:rFonts w:hint="eastAsia" w:ascii="宋体" w:hAnsi="宋体" w:cs="宋体"/>
          <w:color w:val="auto"/>
          <w:sz w:val="24"/>
          <w:szCs w:val="24"/>
        </w:rPr>
        <w:t>一、由于项目服务时间紧迫，成交供应商在《成交通知书》发出后</w:t>
      </w:r>
      <w:r>
        <w:rPr>
          <w:rFonts w:hint="eastAsia" w:ascii="宋体" w:hAnsi="宋体" w:cs="宋体"/>
          <w:color w:val="auto"/>
          <w:sz w:val="24"/>
          <w:szCs w:val="24"/>
          <w:lang w:val="en-US" w:eastAsia="zh-CN"/>
        </w:rPr>
        <w:t>30</w:t>
      </w:r>
      <w:r>
        <w:rPr>
          <w:rFonts w:hint="eastAsia" w:ascii="宋体" w:hAnsi="宋体" w:cs="宋体"/>
          <w:color w:val="auto"/>
          <w:sz w:val="24"/>
          <w:szCs w:val="24"/>
        </w:rPr>
        <w:t>日内必须按照磋商文件确定的事项签订采购合同。合同一式肆份，甲方执</w:t>
      </w:r>
      <w:r>
        <w:rPr>
          <w:rFonts w:hint="eastAsia" w:ascii="宋体" w:hAnsi="宋体" w:cs="宋体"/>
          <w:color w:val="auto"/>
          <w:sz w:val="24"/>
          <w:szCs w:val="24"/>
          <w:u w:val="single"/>
        </w:rPr>
        <w:t>叁</w:t>
      </w:r>
      <w:r>
        <w:rPr>
          <w:rFonts w:hint="eastAsia" w:ascii="宋体" w:hAnsi="宋体" w:cs="宋体"/>
          <w:color w:val="auto"/>
          <w:sz w:val="24"/>
          <w:szCs w:val="24"/>
        </w:rPr>
        <w:t>份，乙方执</w:t>
      </w:r>
      <w:r>
        <w:rPr>
          <w:rFonts w:hint="eastAsia" w:ascii="宋体" w:hAnsi="宋体" w:cs="宋体"/>
          <w:color w:val="auto"/>
          <w:sz w:val="24"/>
          <w:szCs w:val="24"/>
          <w:u w:val="single"/>
        </w:rPr>
        <w:t>壹</w:t>
      </w:r>
      <w:r>
        <w:rPr>
          <w:rFonts w:hint="eastAsia" w:ascii="宋体" w:hAnsi="宋体" w:cs="宋体"/>
          <w:color w:val="auto"/>
          <w:sz w:val="24"/>
          <w:szCs w:val="24"/>
        </w:rPr>
        <w:t>份</w:t>
      </w:r>
      <w:r>
        <w:rPr>
          <w:rFonts w:hint="eastAsia" w:ascii="宋体" w:hAnsi="宋体"/>
          <w:color w:val="auto"/>
          <w:sz w:val="24"/>
          <w:szCs w:val="24"/>
        </w:rPr>
        <w:t>，其他存档备查。</w:t>
      </w:r>
      <w:r>
        <w:rPr>
          <w:rFonts w:hint="eastAsia" w:ascii="宋体" w:hAnsi="宋体" w:cs="宋体"/>
          <w:color w:val="auto"/>
          <w:kern w:val="0"/>
          <w:sz w:val="24"/>
          <w:szCs w:val="24"/>
        </w:rPr>
        <w:t xml:space="preserve">所签合同不得对磋商文件作实质性修改。采购人不得向成交供应商提出不合理的要求作为签订合同的条件，不得与成交供应商私下订立背离磋商文件实质性内容的协议。 </w:t>
      </w:r>
    </w:p>
    <w:p>
      <w:pPr>
        <w:snapToGrid w:val="0"/>
        <w:spacing w:line="480" w:lineRule="exact"/>
        <w:ind w:firstLine="573"/>
        <w:textAlignment w:val="baseline"/>
        <w:rPr>
          <w:rFonts w:ascii="宋体" w:hAnsi="宋体" w:cs="宋体"/>
          <w:color w:val="auto"/>
          <w:sz w:val="24"/>
          <w:szCs w:val="24"/>
        </w:rPr>
      </w:pPr>
      <w:r>
        <w:rPr>
          <w:rFonts w:hint="eastAsia" w:ascii="宋体" w:hAnsi="宋体" w:cs="宋体"/>
          <w:color w:val="auto"/>
          <w:sz w:val="24"/>
          <w:szCs w:val="24"/>
        </w:rPr>
        <w:t xml:space="preserve"> 二、采购人按合同约定积极配合</w:t>
      </w:r>
      <w:r>
        <w:rPr>
          <w:rFonts w:hint="eastAsia" w:ascii="宋体" w:hAnsi="宋体" w:cs="宋体"/>
          <w:color w:val="auto"/>
          <w:sz w:val="24"/>
        </w:rPr>
        <w:t>成交供应商</w:t>
      </w:r>
      <w:r>
        <w:rPr>
          <w:rFonts w:hint="eastAsia" w:ascii="宋体" w:hAnsi="宋体" w:cs="宋体"/>
          <w:color w:val="auto"/>
          <w:sz w:val="24"/>
          <w:szCs w:val="24"/>
        </w:rPr>
        <w:t>履约，</w:t>
      </w:r>
      <w:r>
        <w:rPr>
          <w:rFonts w:hint="eastAsia" w:ascii="宋体" w:hAnsi="宋体" w:cs="宋体"/>
          <w:color w:val="auto"/>
          <w:sz w:val="24"/>
        </w:rPr>
        <w:t>成交供应商</w:t>
      </w:r>
      <w:r>
        <w:rPr>
          <w:rFonts w:hint="eastAsia" w:ascii="宋体" w:hAnsi="宋体" w:cs="宋体"/>
          <w:color w:val="auto"/>
          <w:sz w:val="24"/>
          <w:szCs w:val="24"/>
        </w:rPr>
        <w:t>履约到位后，请以书面形式向采购人提出验收申请，采购人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textAlignment w:val="baseline"/>
        <w:rPr>
          <w:rFonts w:ascii="宋体" w:hAnsi="宋体" w:cs="宋体"/>
          <w:color w:val="auto"/>
          <w:sz w:val="24"/>
          <w:szCs w:val="24"/>
        </w:rPr>
      </w:pPr>
      <w:r>
        <w:rPr>
          <w:rFonts w:hint="eastAsia" w:ascii="宋体" w:hAnsi="宋体" w:cs="宋体"/>
          <w:color w:val="auto"/>
          <w:sz w:val="24"/>
          <w:szCs w:val="24"/>
        </w:rPr>
        <w:t>三、采购人故意推迟项目验收时间的，与</w:t>
      </w:r>
      <w:r>
        <w:rPr>
          <w:rFonts w:hint="eastAsia" w:ascii="宋体" w:hAnsi="宋体" w:cs="宋体"/>
          <w:color w:val="auto"/>
          <w:sz w:val="24"/>
        </w:rPr>
        <w:t>成交供应商</w:t>
      </w:r>
      <w:r>
        <w:rPr>
          <w:rFonts w:hint="eastAsia" w:ascii="宋体" w:hAnsi="宋体" w:cs="宋体"/>
          <w:color w:val="auto"/>
          <w:sz w:val="24"/>
          <w:szCs w:val="24"/>
        </w:rPr>
        <w:t>串通或要求</w:t>
      </w:r>
      <w:r>
        <w:rPr>
          <w:rFonts w:hint="eastAsia" w:ascii="宋体" w:hAnsi="宋体" w:cs="宋体"/>
          <w:color w:val="auto"/>
          <w:sz w:val="24"/>
        </w:rPr>
        <w:t>成交供应商</w:t>
      </w:r>
      <w:r>
        <w:rPr>
          <w:rFonts w:hint="eastAsia" w:ascii="宋体" w:hAnsi="宋体" w:cs="宋体"/>
          <w:color w:val="auto"/>
          <w:sz w:val="24"/>
          <w:szCs w:val="24"/>
        </w:rPr>
        <w:t>通过减少货物数量或降低服务标准的，在履行合同中采取更改配置、调换物品等手段的，要求</w:t>
      </w:r>
      <w:r>
        <w:rPr>
          <w:rFonts w:hint="eastAsia" w:ascii="宋体" w:hAnsi="宋体" w:cs="宋体"/>
          <w:color w:val="auto"/>
          <w:sz w:val="24"/>
        </w:rPr>
        <w:t>成交供应商</w:t>
      </w:r>
      <w:r>
        <w:rPr>
          <w:rFonts w:hint="eastAsia" w:ascii="宋体" w:hAnsi="宋体" w:cs="宋体"/>
          <w:color w:val="auto"/>
          <w:sz w:val="24"/>
          <w:szCs w:val="24"/>
        </w:rPr>
        <w:t>出具虚假发票或任意更改销售发票的，谋取不正当利益的，承担相应的法律责任。</w:t>
      </w:r>
    </w:p>
    <w:p>
      <w:pPr>
        <w:snapToGrid w:val="0"/>
        <w:spacing w:line="480" w:lineRule="exact"/>
        <w:ind w:firstLine="573"/>
        <w:textAlignment w:val="baseline"/>
        <w:rPr>
          <w:rFonts w:ascii="宋体" w:hAnsi="宋体" w:cs="宋体"/>
          <w:color w:val="auto"/>
          <w:sz w:val="24"/>
          <w:szCs w:val="24"/>
        </w:rPr>
      </w:pPr>
      <w:r>
        <w:rPr>
          <w:rFonts w:hint="eastAsia" w:ascii="宋体" w:hAnsi="宋体" w:cs="宋体"/>
          <w:color w:val="auto"/>
          <w:sz w:val="24"/>
          <w:szCs w:val="24"/>
        </w:rPr>
        <w:t>四、</w:t>
      </w:r>
      <w:r>
        <w:rPr>
          <w:rFonts w:hint="eastAsia" w:ascii="宋体" w:hAnsi="宋体" w:cs="宋体"/>
          <w:color w:val="auto"/>
          <w:sz w:val="24"/>
        </w:rPr>
        <w:t>成交供应商</w:t>
      </w:r>
      <w:r>
        <w:rPr>
          <w:rFonts w:hint="eastAsia" w:ascii="宋体" w:hAnsi="宋体" w:cs="宋体"/>
          <w:color w:val="auto"/>
          <w:sz w:val="24"/>
          <w:szCs w:val="24"/>
        </w:rPr>
        <w:t>出现违约情形，应当及时纠正或补偿；造成损失的，按合同约定追究违约责任；发现有假冒、伪劣、走私产品、商业贿赂等违法情形的，应由采购人移交工商、质监、公安等行政执法部门依法查处。</w:t>
      </w:r>
    </w:p>
    <w:p>
      <w:pPr>
        <w:snapToGrid w:val="0"/>
        <w:spacing w:line="480" w:lineRule="exact"/>
        <w:ind w:firstLine="573"/>
        <w:textAlignment w:val="baseline"/>
        <w:rPr>
          <w:rFonts w:ascii="宋体" w:hAnsi="宋体" w:cs="宋体"/>
          <w:color w:val="auto"/>
          <w:sz w:val="24"/>
          <w:szCs w:val="24"/>
        </w:rPr>
      </w:pPr>
      <w:r>
        <w:rPr>
          <w:rFonts w:hint="eastAsia" w:ascii="宋体" w:hAnsi="宋体" w:cs="宋体"/>
          <w:color w:val="auto"/>
          <w:sz w:val="24"/>
          <w:szCs w:val="24"/>
        </w:rPr>
        <w:t>五、不响应付款方式的，视同响应文件无效，按无效响应文件处理。</w:t>
      </w:r>
    </w:p>
    <w:p>
      <w:pPr>
        <w:snapToGrid w:val="0"/>
        <w:spacing w:line="480" w:lineRule="exact"/>
        <w:ind w:firstLine="573"/>
        <w:textAlignment w:val="baseline"/>
        <w:rPr>
          <w:rFonts w:ascii="宋体" w:hAnsi="宋体" w:cs="宋体"/>
          <w:color w:val="auto"/>
          <w:sz w:val="24"/>
          <w:szCs w:val="24"/>
        </w:rPr>
      </w:pPr>
      <w:r>
        <w:rPr>
          <w:rFonts w:hint="eastAsia" w:ascii="宋体" w:hAnsi="宋体" w:cs="宋体"/>
          <w:color w:val="auto"/>
          <w:sz w:val="24"/>
          <w:szCs w:val="24"/>
        </w:rPr>
        <w:t>六、付款方式详见磋商文件第五章。</w:t>
      </w:r>
    </w:p>
    <w:p>
      <w:pPr>
        <w:snapToGrid w:val="0"/>
        <w:spacing w:line="480" w:lineRule="exact"/>
        <w:ind w:firstLine="573"/>
        <w:textAlignment w:val="baseline"/>
        <w:rPr>
          <w:rFonts w:ascii="宋体" w:hAnsi="宋体" w:cs="宋体"/>
          <w:color w:val="auto"/>
          <w:sz w:val="24"/>
          <w:szCs w:val="24"/>
        </w:rPr>
      </w:pPr>
      <w:r>
        <w:rPr>
          <w:rFonts w:hint="eastAsia" w:ascii="宋体" w:hAnsi="宋体" w:cs="宋体"/>
          <w:color w:val="auto"/>
          <w:sz w:val="24"/>
          <w:szCs w:val="24"/>
        </w:rPr>
        <w:t>七、以上项目款的支付不计息。</w:t>
      </w:r>
    </w:p>
    <w:p>
      <w:pPr>
        <w:rPr>
          <w:rFonts w:ascii="宋体" w:hAnsi="宋体" w:cs="宋体"/>
          <w:b/>
          <w:bCs/>
          <w:color w:val="auto"/>
          <w:kern w:val="44"/>
          <w:sz w:val="44"/>
          <w:szCs w:val="44"/>
        </w:rPr>
      </w:pPr>
    </w:p>
    <w:p>
      <w:pPr>
        <w:spacing w:line="360" w:lineRule="auto"/>
        <w:jc w:val="center"/>
        <w:rPr>
          <w:rFonts w:ascii="宋体"/>
          <w:color w:val="auto"/>
          <w:sz w:val="24"/>
          <w:szCs w:val="24"/>
        </w:rPr>
      </w:pPr>
      <w:r>
        <w:rPr>
          <w:rFonts w:hint="eastAsia" w:ascii="宋体" w:hAnsi="宋体" w:cs="宋体"/>
          <w:b/>
          <w:bCs/>
          <w:color w:val="auto"/>
          <w:kern w:val="44"/>
          <w:sz w:val="44"/>
          <w:szCs w:val="44"/>
        </w:rPr>
        <w:br w:type="page"/>
      </w:r>
      <w:r>
        <w:rPr>
          <w:rFonts w:hint="eastAsia" w:ascii="宋体" w:hAnsi="宋体" w:cs="宋体"/>
          <w:b/>
          <w:bCs/>
          <w:color w:val="auto"/>
          <w:kern w:val="44"/>
          <w:sz w:val="44"/>
          <w:szCs w:val="44"/>
        </w:rPr>
        <w:t>第七章质疑提出和处理</w:t>
      </w:r>
    </w:p>
    <w:p>
      <w:pPr>
        <w:adjustRightInd w:val="0"/>
        <w:snapToGrid w:val="0"/>
        <w:spacing w:line="480" w:lineRule="exact"/>
        <w:ind w:firstLine="480" w:firstLineChars="200"/>
        <w:rPr>
          <w:rFonts w:ascii="宋体" w:hAnsi="宋体" w:cs="宋体"/>
          <w:color w:val="auto"/>
          <w:sz w:val="24"/>
          <w:szCs w:val="24"/>
        </w:rPr>
      </w:pP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一、质疑的提出</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、质疑人必须是直接参加本次磋商活动的当事人。</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、下载磋商文件的供应商应根据第二章“磋商供应商须知”中第一条第</w:t>
      </w:r>
      <w:r>
        <w:rPr>
          <w:rFonts w:ascii="宋体" w:hAnsi="宋体" w:cs="宋体"/>
          <w:color w:val="auto"/>
          <w:sz w:val="24"/>
          <w:szCs w:val="24"/>
        </w:rPr>
        <w:t>4</w:t>
      </w:r>
      <w:r>
        <w:rPr>
          <w:rFonts w:hint="eastAsia" w:ascii="宋体" w:hAnsi="宋体" w:cs="宋体"/>
          <w:color w:val="auto"/>
          <w:sz w:val="24"/>
          <w:szCs w:val="24"/>
        </w:rPr>
        <w:t>款的约定提出；响应文件接收截止后，供应商未进行磋商登记的，不能就响应文件接收截止后的招投标过程、成交结果提出质疑；在磋商过程中，凡主持人或评估小组明确提出须由供应商确认的事项，供应商当场无异议的，事后不得提出质疑。</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对本次磋商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600" w:firstLineChars="250"/>
        <w:rPr>
          <w:rFonts w:ascii="宋体"/>
          <w:color w:val="auto"/>
          <w:sz w:val="24"/>
          <w:szCs w:val="24"/>
        </w:rPr>
      </w:pPr>
      <w:r>
        <w:rPr>
          <w:rFonts w:hint="eastAsia" w:ascii="宋体" w:hAnsi="宋体" w:cs="宋体"/>
          <w:color w:val="auto"/>
          <w:sz w:val="24"/>
          <w:szCs w:val="24"/>
        </w:rPr>
        <w:t>对不能提供相关佐证材料的、涉及商业秘密的、非书面形式的、非送达的、匿名的《质疑函》将不予受理。</w:t>
      </w:r>
    </w:p>
    <w:p>
      <w:pPr>
        <w:adjustRightInd w:val="0"/>
        <w:snapToGrid w:val="0"/>
        <w:spacing w:line="480" w:lineRule="exact"/>
        <w:ind w:firstLine="600" w:firstLineChars="250"/>
        <w:rPr>
          <w:rFonts w:ascii="宋体"/>
          <w:color w:val="auto"/>
          <w:sz w:val="24"/>
          <w:szCs w:val="24"/>
        </w:rPr>
      </w:pPr>
      <w:r>
        <w:rPr>
          <w:rFonts w:hint="eastAsia" w:ascii="宋体" w:hAnsi="宋体" w:cs="宋体"/>
          <w:color w:val="auto"/>
          <w:sz w:val="24"/>
          <w:szCs w:val="24"/>
        </w:rPr>
        <w:t>相关佐证材料要具备客观性、关联性、合法性，无法查实的（如宣传册、媒体报道、猜测、推理等）不能作为佐证材料。</w:t>
      </w:r>
    </w:p>
    <w:p>
      <w:pPr>
        <w:adjustRightInd w:val="0"/>
        <w:snapToGrid w:val="0"/>
        <w:spacing w:line="480" w:lineRule="exact"/>
        <w:ind w:firstLine="600" w:firstLineChars="250"/>
        <w:rPr>
          <w:rFonts w:ascii="宋体"/>
          <w:color w:val="auto"/>
          <w:sz w:val="24"/>
          <w:szCs w:val="24"/>
        </w:rPr>
      </w:pPr>
      <w:r>
        <w:rPr>
          <w:rFonts w:hint="eastAsia" w:ascii="宋体" w:hAnsi="宋体" w:cs="宋体"/>
          <w:color w:val="auto"/>
          <w:sz w:val="24"/>
          <w:szCs w:val="24"/>
        </w:rPr>
        <w:t>采购单位或采购代理机构不负责搜集相关佐证材料等工作。</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二、《质疑函》的受理和回复</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、《质疑函》须由质疑人的法定代表人或参加本次磋商被授权人送达采购单位和采购代理机构。</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、采购单位、采购代理机构负责将质疑人提出的质疑相关材料提供给相关专家或评估小组审核，并将审核意见回复质疑人。</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三、质疑处理</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、质疑成立的处理。采购单位或采购代理机构终止采购，并建议有关部门给相关当事人予以处理。</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、质疑不成立的处理。</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）质疑人书面《申请撤回质疑函》的，不作违约处理。</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）质疑人在规定的时间内不配合进行质疑调查处理的，按自动撤回《质疑函》处理。</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）质疑人不按《质疑函》格式就提出质疑的，作违约处理。同时，视情列入不良供应商名单。</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）对明显有违事实的、经相关专家或评审小组认定无依据的、经其他供应商举证无依据的质疑，作违约处理，列入不良供应商名单；同时，对其中每一项不成立的质疑给予质疑人</w:t>
      </w:r>
      <w:r>
        <w:rPr>
          <w:rFonts w:ascii="宋体" w:hAnsi="宋体" w:cs="宋体"/>
          <w:color w:val="auto"/>
          <w:sz w:val="24"/>
          <w:szCs w:val="24"/>
        </w:rPr>
        <w:t>1</w:t>
      </w:r>
      <w:r>
        <w:rPr>
          <w:rFonts w:hint="eastAsia" w:ascii="宋体" w:hAnsi="宋体" w:cs="宋体"/>
          <w:color w:val="auto"/>
          <w:sz w:val="24"/>
          <w:szCs w:val="24"/>
        </w:rPr>
        <w:t>年内禁入本区域内的政府采购活动的违约处理，依次类推；视情在南通公共资源交易平台、省、国家级相关媒体予以披露。</w:t>
      </w:r>
    </w:p>
    <w:p>
      <w:pPr>
        <w:adjustRightInd w:val="0"/>
        <w:snapToGrid w:val="0"/>
        <w:spacing w:line="480" w:lineRule="exact"/>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）质疑人承担使用虚假材料或恶意方式质疑的法律责任。</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四、无佐证材料的举报作违约处理。供应商不得进行不提供相关佐证材料（含无法查实的如宣传册、媒体报道、猜测、推理等）向有关部门的举报，否则作违约处理。同时对其在</w:t>
      </w:r>
      <w:r>
        <w:rPr>
          <w:rFonts w:ascii="宋体" w:hAnsi="宋体" w:cs="宋体"/>
          <w:color w:val="auto"/>
          <w:sz w:val="24"/>
          <w:szCs w:val="24"/>
        </w:rPr>
        <w:t>1</w:t>
      </w:r>
      <w:r>
        <w:rPr>
          <w:rFonts w:hint="eastAsia" w:ascii="宋体" w:hAnsi="宋体" w:cs="宋体"/>
          <w:color w:val="auto"/>
          <w:sz w:val="24"/>
          <w:szCs w:val="24"/>
        </w:rPr>
        <w:t>至</w:t>
      </w:r>
      <w:r>
        <w:rPr>
          <w:rFonts w:ascii="宋体" w:hAnsi="宋体" w:cs="宋体"/>
          <w:color w:val="auto"/>
          <w:sz w:val="24"/>
          <w:szCs w:val="24"/>
        </w:rPr>
        <w:t>3</w:t>
      </w:r>
      <w:r>
        <w:rPr>
          <w:rFonts w:hint="eastAsia" w:ascii="宋体" w:hAnsi="宋体" w:cs="宋体"/>
          <w:color w:val="auto"/>
          <w:sz w:val="24"/>
          <w:szCs w:val="24"/>
        </w:rPr>
        <w:t>年内禁入由采购单位组织的政府采购活动的违约处理。</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五、投诉不成立的作违约处理。供应商进行质疑后，采购单位回复质疑不成立，供应商仍进行投诉的，并最终投诉不成立的，作违约处理。采购单位有权对其在</w:t>
      </w:r>
      <w:r>
        <w:rPr>
          <w:rFonts w:ascii="宋体" w:hAnsi="宋体" w:cs="宋体"/>
          <w:color w:val="auto"/>
          <w:sz w:val="24"/>
          <w:szCs w:val="24"/>
        </w:rPr>
        <w:t>1</w:t>
      </w:r>
      <w:r>
        <w:rPr>
          <w:rFonts w:hint="eastAsia" w:ascii="宋体" w:hAnsi="宋体" w:cs="宋体"/>
          <w:color w:val="auto"/>
          <w:sz w:val="24"/>
          <w:szCs w:val="24"/>
        </w:rPr>
        <w:t>至</w:t>
      </w:r>
      <w:r>
        <w:rPr>
          <w:rFonts w:ascii="宋体" w:hAnsi="宋体" w:cs="宋体"/>
          <w:color w:val="auto"/>
          <w:sz w:val="24"/>
          <w:szCs w:val="24"/>
        </w:rPr>
        <w:t>3</w:t>
      </w:r>
      <w:r>
        <w:rPr>
          <w:rFonts w:hint="eastAsia" w:ascii="宋体" w:hAnsi="宋体" w:cs="宋体"/>
          <w:color w:val="auto"/>
          <w:sz w:val="24"/>
          <w:szCs w:val="24"/>
        </w:rPr>
        <w:t>年内禁入由采购单位组织的政府采购活动的违约处理。</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六、《质疑函》、《质疑回复函》，质疑、举报、投诉不成立的等相关情况，视情在南通公共资源交易平台、省、国家级等相关媒体予以披露。并建议相关政府采购机构对该供应商同步实施</w:t>
      </w:r>
      <w:r>
        <w:rPr>
          <w:rFonts w:ascii="宋体" w:hAnsi="宋体" w:cs="宋体"/>
          <w:color w:val="auto"/>
          <w:sz w:val="24"/>
          <w:szCs w:val="24"/>
        </w:rPr>
        <w:t>1</w:t>
      </w:r>
      <w:r>
        <w:rPr>
          <w:rFonts w:hint="eastAsia" w:ascii="宋体" w:hAnsi="宋体" w:cs="宋体"/>
          <w:color w:val="auto"/>
          <w:sz w:val="24"/>
          <w:szCs w:val="24"/>
        </w:rPr>
        <w:t>至</w:t>
      </w:r>
      <w:r>
        <w:rPr>
          <w:rFonts w:ascii="宋体" w:hAnsi="宋体" w:cs="宋体"/>
          <w:color w:val="auto"/>
          <w:sz w:val="24"/>
          <w:szCs w:val="24"/>
        </w:rPr>
        <w:t>3</w:t>
      </w:r>
      <w:r>
        <w:rPr>
          <w:rFonts w:hint="eastAsia" w:ascii="宋体" w:hAnsi="宋体" w:cs="宋体"/>
          <w:color w:val="auto"/>
          <w:sz w:val="24"/>
          <w:szCs w:val="24"/>
        </w:rPr>
        <w:t>年内禁入。</w:t>
      </w:r>
    </w:p>
    <w:p>
      <w:pPr>
        <w:adjustRightInd w:val="0"/>
        <w:snapToGrid w:val="0"/>
        <w:spacing w:line="480" w:lineRule="exact"/>
        <w:ind w:firstLine="480" w:firstLineChars="200"/>
        <w:rPr>
          <w:rFonts w:ascii="宋体"/>
          <w:color w:val="auto"/>
          <w:sz w:val="24"/>
          <w:szCs w:val="24"/>
        </w:rPr>
      </w:pPr>
      <w:r>
        <w:rPr>
          <w:rFonts w:hint="eastAsia" w:ascii="宋体" w:hAnsi="宋体" w:cs="宋体"/>
          <w:color w:val="auto"/>
          <w:sz w:val="24"/>
          <w:szCs w:val="24"/>
        </w:rPr>
        <w:t>七、质疑供应商对采购单位或代理机构的答复不满意或者采购单位或代理机构未在规定的时间内作出答复的，可以在答复期满后</w:t>
      </w:r>
      <w:r>
        <w:rPr>
          <w:rFonts w:ascii="宋体" w:hAnsi="宋体" w:cs="宋体"/>
          <w:color w:val="auto"/>
          <w:sz w:val="24"/>
          <w:szCs w:val="24"/>
        </w:rPr>
        <w:t>15</w:t>
      </w:r>
      <w:r>
        <w:rPr>
          <w:rFonts w:hint="eastAsia" w:ascii="宋体" w:hAnsi="宋体" w:cs="宋体"/>
          <w:color w:val="auto"/>
          <w:sz w:val="24"/>
          <w:szCs w:val="24"/>
        </w:rPr>
        <w:t>个工作日内向南通市政府采购监督管理部门投诉。</w:t>
      </w:r>
    </w:p>
    <w:p>
      <w:pPr>
        <w:pStyle w:val="5"/>
        <w:keepNext w:val="0"/>
        <w:keepLines w:val="0"/>
        <w:numPr>
          <w:ilvl w:val="0"/>
          <w:numId w:val="0"/>
        </w:numPr>
        <w:snapToGrid w:val="0"/>
        <w:spacing w:before="0" w:afterLines="50" w:line="520" w:lineRule="exact"/>
        <w:ind w:left="420"/>
        <w:jc w:val="center"/>
        <w:rPr>
          <w:rFonts w:ascii="宋体"/>
          <w:color w:val="auto"/>
        </w:rPr>
      </w:pPr>
      <w:bookmarkStart w:id="80" w:name="_Toc363573860"/>
      <w:r>
        <w:rPr>
          <w:rFonts w:ascii="宋体"/>
          <w:color w:val="auto"/>
          <w:w w:val="80"/>
          <w:sz w:val="24"/>
          <w:szCs w:val="24"/>
        </w:rPr>
        <w:br w:type="page"/>
      </w:r>
      <w:r>
        <w:rPr>
          <w:rFonts w:hint="eastAsia" w:ascii="宋体" w:hAnsi="宋体" w:cs="宋体"/>
          <w:color w:val="auto"/>
          <w:w w:val="80"/>
        </w:rPr>
        <w:t>第八章响应文件组成及格式</w:t>
      </w:r>
      <w:bookmarkEnd w:id="80"/>
    </w:p>
    <w:p>
      <w:pPr>
        <w:widowControl/>
        <w:snapToGrid w:val="0"/>
        <w:spacing w:line="360" w:lineRule="auto"/>
        <w:ind w:firstLine="472" w:firstLineChars="196"/>
        <w:jc w:val="left"/>
        <w:rPr>
          <w:rFonts w:ascii="宋体" w:hAnsi="宋体" w:cs="宋体"/>
          <w:b/>
          <w:bCs/>
          <w:color w:val="auto"/>
          <w:sz w:val="24"/>
          <w:szCs w:val="24"/>
        </w:rPr>
      </w:pPr>
    </w:p>
    <w:p>
      <w:pPr>
        <w:widowControl/>
        <w:snapToGrid w:val="0"/>
        <w:spacing w:line="360" w:lineRule="auto"/>
        <w:ind w:firstLine="472" w:firstLineChars="196"/>
        <w:jc w:val="left"/>
        <w:rPr>
          <w:rFonts w:ascii="宋体"/>
          <w:b/>
          <w:bCs/>
          <w:color w:val="auto"/>
          <w:sz w:val="24"/>
          <w:szCs w:val="24"/>
        </w:rPr>
      </w:pPr>
      <w:r>
        <w:rPr>
          <w:rFonts w:hint="eastAsia" w:ascii="宋体" w:hAnsi="宋体" w:cs="宋体"/>
          <w:b/>
          <w:bCs/>
          <w:color w:val="auto"/>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widowControl/>
        <w:numPr>
          <w:ilvl w:val="0"/>
          <w:numId w:val="6"/>
        </w:numPr>
        <w:snapToGrid w:val="0"/>
        <w:spacing w:line="360" w:lineRule="auto"/>
        <w:ind w:firstLine="472" w:firstLineChars="196"/>
        <w:jc w:val="left"/>
        <w:rPr>
          <w:rFonts w:ascii="宋体"/>
          <w:b/>
          <w:bCs/>
          <w:color w:val="auto"/>
          <w:sz w:val="24"/>
          <w:szCs w:val="24"/>
          <w:lang w:val="zh-CN"/>
        </w:rPr>
      </w:pPr>
      <w:r>
        <w:rPr>
          <w:rFonts w:hint="eastAsia" w:ascii="宋体" w:hAnsi="宋体" w:cs="宋体"/>
          <w:b/>
          <w:bCs/>
          <w:color w:val="auto"/>
          <w:sz w:val="24"/>
          <w:szCs w:val="24"/>
        </w:rPr>
        <w:t>资格审查文件</w:t>
      </w:r>
      <w:r>
        <w:rPr>
          <w:rFonts w:hint="eastAsia" w:ascii="宋体" w:hAnsi="宋体" w:cs="宋体"/>
          <w:b/>
          <w:bCs/>
          <w:color w:val="auto"/>
          <w:sz w:val="24"/>
          <w:szCs w:val="24"/>
          <w:lang w:val="zh-CN"/>
        </w:rPr>
        <w:t>（</w:t>
      </w:r>
      <w:r>
        <w:rPr>
          <w:rFonts w:hint="eastAsia" w:ascii="宋体" w:hAnsi="宋体" w:cs="宋体"/>
          <w:b/>
          <w:bCs/>
          <w:color w:val="auto"/>
          <w:sz w:val="24"/>
          <w:szCs w:val="24"/>
        </w:rPr>
        <w:t>单独密封</w:t>
      </w:r>
      <w:r>
        <w:rPr>
          <w:rFonts w:hint="eastAsia" w:ascii="宋体" w:hAnsi="宋体" w:cs="宋体"/>
          <w:b/>
          <w:bCs/>
          <w:color w:val="auto"/>
          <w:sz w:val="24"/>
          <w:szCs w:val="24"/>
          <w:lang w:val="zh-CN"/>
        </w:rPr>
        <w:t>）</w:t>
      </w:r>
    </w:p>
    <w:p>
      <w:pPr>
        <w:widowControl/>
        <w:snapToGrid w:val="0"/>
        <w:spacing w:line="360" w:lineRule="auto"/>
        <w:ind w:firstLine="470" w:firstLineChars="196"/>
        <w:jc w:val="left"/>
        <w:textAlignment w:val="baseline"/>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供应商必须有能力按本磋商文件规定的要求提供相关服务，须提供有效的三证合一的企业法人营业执照复印件或扫描件。</w:t>
      </w:r>
    </w:p>
    <w:p>
      <w:pPr>
        <w:widowControl/>
        <w:snapToGrid w:val="0"/>
        <w:spacing w:line="360" w:lineRule="auto"/>
        <w:ind w:firstLine="470" w:firstLineChars="196"/>
        <w:jc w:val="left"/>
        <w:textAlignment w:val="baseline"/>
        <w:rPr>
          <w:rFonts w:hint="eastAsia" w:ascii="宋体" w:hAnsi="宋体" w:cs="宋体"/>
          <w:color w:val="auto"/>
          <w:sz w:val="24"/>
          <w:szCs w:val="24"/>
        </w:rPr>
      </w:pPr>
      <w:r>
        <w:rPr>
          <w:rFonts w:hint="eastAsia" w:ascii="宋体" w:hAnsi="宋体" w:cs="宋体"/>
          <w:color w:val="auto"/>
          <w:sz w:val="24"/>
          <w:szCs w:val="24"/>
          <w:lang w:val="en-US" w:eastAsia="zh-CN"/>
        </w:rPr>
        <w:t>2、供应商</w:t>
      </w:r>
      <w:r>
        <w:rPr>
          <w:rFonts w:hint="eastAsia" w:ascii="宋体" w:hAnsi="宋体" w:cs="宋体"/>
          <w:color w:val="auto"/>
          <w:sz w:val="24"/>
          <w:szCs w:val="24"/>
        </w:rPr>
        <w:t>有效生产厂家的医用氧的药品生产许可证或经营许可证</w:t>
      </w:r>
      <w:r>
        <w:rPr>
          <w:rFonts w:hint="eastAsia" w:ascii="宋体" w:hAnsi="宋体" w:cs="宋体"/>
          <w:color w:val="auto"/>
          <w:sz w:val="24"/>
          <w:szCs w:val="24"/>
          <w:lang w:eastAsia="zh-CN"/>
        </w:rPr>
        <w:t>复印件</w:t>
      </w:r>
      <w:r>
        <w:rPr>
          <w:rFonts w:hint="eastAsia" w:ascii="宋体" w:hAnsi="宋体" w:cs="宋体"/>
          <w:color w:val="auto"/>
          <w:sz w:val="24"/>
          <w:szCs w:val="24"/>
        </w:rPr>
        <w:t>；有效生产厂家的危险化学品安全生产许可证</w:t>
      </w:r>
      <w:r>
        <w:rPr>
          <w:rFonts w:hint="eastAsia" w:ascii="宋体" w:hAnsi="宋体" w:cs="宋体"/>
          <w:color w:val="auto"/>
          <w:sz w:val="24"/>
          <w:szCs w:val="24"/>
          <w:lang w:eastAsia="zh-CN"/>
        </w:rPr>
        <w:t>复印件</w:t>
      </w:r>
      <w:r>
        <w:rPr>
          <w:rFonts w:hint="eastAsia" w:ascii="宋体" w:hAnsi="宋体" w:cs="宋体"/>
          <w:color w:val="auto"/>
          <w:sz w:val="24"/>
          <w:szCs w:val="24"/>
        </w:rPr>
        <w:t>；液态气体还要提供药品注册批件</w:t>
      </w:r>
      <w:r>
        <w:rPr>
          <w:rFonts w:hint="eastAsia" w:ascii="宋体" w:hAnsi="宋体" w:cs="宋体"/>
          <w:color w:val="auto"/>
          <w:sz w:val="24"/>
          <w:szCs w:val="24"/>
          <w:lang w:eastAsia="zh-CN"/>
        </w:rPr>
        <w:t>证明文件</w:t>
      </w:r>
      <w:r>
        <w:rPr>
          <w:rFonts w:hint="eastAsia" w:ascii="宋体" w:hAnsi="宋体" w:cs="宋体"/>
          <w:color w:val="auto"/>
          <w:sz w:val="24"/>
          <w:szCs w:val="24"/>
        </w:rPr>
        <w:t>；有效生产厂家的气瓶充装许可证</w:t>
      </w:r>
      <w:r>
        <w:rPr>
          <w:rFonts w:hint="eastAsia" w:ascii="宋体" w:hAnsi="宋体" w:cs="宋体"/>
          <w:color w:val="auto"/>
          <w:sz w:val="24"/>
          <w:szCs w:val="24"/>
          <w:lang w:eastAsia="zh-CN"/>
        </w:rPr>
        <w:t>复印件</w:t>
      </w:r>
      <w:r>
        <w:rPr>
          <w:rFonts w:hint="eastAsia" w:ascii="宋体" w:hAnsi="宋体" w:cs="宋体"/>
          <w:color w:val="auto"/>
          <w:sz w:val="24"/>
          <w:szCs w:val="24"/>
        </w:rPr>
        <w:t>。</w:t>
      </w:r>
    </w:p>
    <w:p>
      <w:pPr>
        <w:widowControl/>
        <w:snapToGrid w:val="0"/>
        <w:spacing w:line="360" w:lineRule="auto"/>
        <w:ind w:firstLine="470" w:firstLineChars="196"/>
        <w:jc w:val="left"/>
        <w:textAlignment w:val="baseline"/>
        <w:rPr>
          <w:rFonts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 提供供应商的法定代表人或负责人身份证明及身份证原件的复印件或扫描件（须加盖供应商公章，格式参见竞争性磋商文件第八章）；</w:t>
      </w:r>
    </w:p>
    <w:p>
      <w:pPr>
        <w:widowControl/>
        <w:snapToGrid w:val="0"/>
        <w:spacing w:line="360" w:lineRule="auto"/>
        <w:ind w:firstLine="470" w:firstLineChars="196"/>
        <w:jc w:val="left"/>
        <w:textAlignment w:val="baseline"/>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4</w:t>
      </w:r>
      <w:r>
        <w:rPr>
          <w:rFonts w:hint="eastAsia" w:ascii="宋体" w:hAnsi="宋体" w:cs="宋体"/>
          <w:color w:val="auto"/>
          <w:sz w:val="24"/>
          <w:szCs w:val="24"/>
        </w:rPr>
        <w:t>、如为被委托受权人参加竞争性磋商的，还必须提供法定代表人或负责人签名或盖章的授权委托书及被委托受权人身份证这两项原件的复印件或扫描件（须加盖供应商公章，格式参见竞争性磋商文件第八章）；</w:t>
      </w:r>
    </w:p>
    <w:p>
      <w:pPr>
        <w:pStyle w:val="52"/>
        <w:snapToGrid w:val="0"/>
        <w:spacing w:after="0" w:line="360" w:lineRule="auto"/>
        <w:ind w:firstLine="480"/>
        <w:rPr>
          <w:rFonts w:ascii="宋体" w:hAnsi="宋体" w:cs="宋体"/>
          <w:bCs/>
          <w:color w:val="auto"/>
          <w:sz w:val="24"/>
          <w:szCs w:val="24"/>
        </w:rPr>
      </w:pPr>
      <w:r>
        <w:rPr>
          <w:rFonts w:hint="eastAsia" w:ascii="宋体" w:hAnsi="宋体" w:cs="宋体"/>
          <w:bCs/>
          <w:color w:val="auto"/>
          <w:sz w:val="24"/>
          <w:szCs w:val="24"/>
          <w:lang w:val="en-US" w:eastAsia="zh-CN"/>
        </w:rPr>
        <w:t>5</w:t>
      </w:r>
      <w:r>
        <w:rPr>
          <w:rFonts w:hint="eastAsia" w:ascii="宋体" w:hAnsi="宋体" w:cs="宋体"/>
          <w:bCs/>
          <w:color w:val="auto"/>
          <w:sz w:val="24"/>
          <w:szCs w:val="24"/>
        </w:rPr>
        <w:t>、供应商一般情况表（格式参见第八章）；</w:t>
      </w:r>
    </w:p>
    <w:p>
      <w:pPr>
        <w:widowControl/>
        <w:snapToGrid w:val="0"/>
        <w:spacing w:line="360" w:lineRule="auto"/>
        <w:ind w:firstLine="470" w:firstLineChars="196"/>
        <w:jc w:val="left"/>
        <w:textAlignment w:val="baseline"/>
        <w:rPr>
          <w:rFonts w:ascii="宋体" w:hAnsi="宋体" w:cs="宋体"/>
          <w:color w:val="auto"/>
          <w:sz w:val="24"/>
          <w:szCs w:val="24"/>
        </w:rPr>
      </w:pPr>
      <w:r>
        <w:rPr>
          <w:rFonts w:hint="eastAsia" w:ascii="宋体" w:hAnsi="宋体" w:cs="宋体"/>
          <w:color w:val="auto"/>
          <w:sz w:val="24"/>
          <w:szCs w:val="24"/>
          <w:lang w:val="en-US" w:eastAsia="zh-CN"/>
        </w:rPr>
        <w:t>6</w:t>
      </w:r>
      <w:r>
        <w:rPr>
          <w:rFonts w:hint="eastAsia" w:ascii="宋体" w:hAnsi="宋体" w:cs="宋体"/>
          <w:color w:val="auto"/>
          <w:sz w:val="24"/>
          <w:szCs w:val="24"/>
        </w:rPr>
        <w:t>、供应商具有履行合同所必需的设备和专业技术能力的书面声明（格式参见第八章）；</w:t>
      </w:r>
    </w:p>
    <w:p>
      <w:pPr>
        <w:widowControl/>
        <w:snapToGrid w:val="0"/>
        <w:spacing w:line="360" w:lineRule="auto"/>
        <w:ind w:firstLine="470" w:firstLineChars="196"/>
        <w:jc w:val="left"/>
        <w:textAlignment w:val="baseline"/>
        <w:rPr>
          <w:rFonts w:ascii="宋体" w:hAnsi="宋体" w:cs="宋体"/>
          <w:color w:val="auto"/>
          <w:sz w:val="24"/>
          <w:szCs w:val="24"/>
        </w:rPr>
      </w:pPr>
      <w:r>
        <w:rPr>
          <w:rFonts w:hint="eastAsia" w:ascii="宋体" w:hAnsi="宋体" w:cs="宋体"/>
          <w:color w:val="auto"/>
          <w:sz w:val="24"/>
          <w:szCs w:val="24"/>
          <w:lang w:val="en-US" w:eastAsia="zh-CN"/>
        </w:rPr>
        <w:t>7</w:t>
      </w:r>
      <w:r>
        <w:rPr>
          <w:rFonts w:hint="eastAsia" w:ascii="宋体" w:hAnsi="宋体" w:cs="宋体"/>
          <w:color w:val="auto"/>
          <w:sz w:val="24"/>
          <w:szCs w:val="24"/>
        </w:rPr>
        <w:t>、供应商须提供参与本次项目政府采购活动前三年内，在经营活动中没有重大违法记录的书面《无重大违法记录声明函》（格式参见竞争性磋商文件第八章）；</w:t>
      </w:r>
    </w:p>
    <w:p>
      <w:pPr>
        <w:widowControl/>
        <w:snapToGrid w:val="0"/>
        <w:spacing w:line="360" w:lineRule="auto"/>
        <w:ind w:firstLine="470" w:firstLineChars="196"/>
        <w:jc w:val="left"/>
        <w:textAlignment w:val="baseline"/>
        <w:rPr>
          <w:color w:val="auto"/>
        </w:rPr>
      </w:pPr>
      <w:r>
        <w:rPr>
          <w:rFonts w:hint="eastAsia" w:ascii="宋体" w:hAnsi="宋体" w:cs="宋体"/>
          <w:color w:val="auto"/>
          <w:sz w:val="24"/>
          <w:szCs w:val="24"/>
          <w:lang w:val="en-US" w:eastAsia="zh-CN"/>
        </w:rPr>
        <w:t>8</w:t>
      </w:r>
      <w:r>
        <w:rPr>
          <w:rFonts w:hint="eastAsia" w:ascii="宋体" w:hAnsi="宋体" w:cs="宋体"/>
          <w:color w:val="auto"/>
          <w:sz w:val="24"/>
          <w:szCs w:val="24"/>
        </w:rPr>
        <w:t>、关于资格文件的声明函（格式参见竞争性磋商文件第八章）。</w:t>
      </w:r>
    </w:p>
    <w:p>
      <w:pPr>
        <w:snapToGrid w:val="0"/>
        <w:spacing w:line="360" w:lineRule="auto"/>
        <w:ind w:firstLine="482" w:firstLineChars="200"/>
        <w:textAlignment w:val="baseline"/>
        <w:rPr>
          <w:rFonts w:ascii="宋体" w:hAnsi="宋体" w:cs="宋体"/>
          <w:color w:val="auto"/>
          <w:sz w:val="24"/>
          <w:szCs w:val="24"/>
        </w:rPr>
      </w:pPr>
      <w:r>
        <w:rPr>
          <w:rFonts w:hint="eastAsia" w:ascii="宋体" w:hAnsi="宋体" w:cs="宋体"/>
          <w:b/>
          <w:bCs/>
          <w:color w:val="auto"/>
          <w:sz w:val="24"/>
          <w:szCs w:val="24"/>
        </w:rPr>
        <w:t>注：以上材料如为复印件或扫描件均需加盖单位公章，要求提供原件查验的，因携带原件不全而由此引起的后果由投标人自负。</w:t>
      </w:r>
    </w:p>
    <w:p>
      <w:pPr>
        <w:widowControl/>
        <w:snapToGrid w:val="0"/>
        <w:spacing w:line="360" w:lineRule="auto"/>
        <w:ind w:firstLine="472" w:firstLineChars="196"/>
        <w:jc w:val="left"/>
        <w:textAlignment w:val="baseline"/>
        <w:rPr>
          <w:rFonts w:ascii="宋体" w:hAnsi="宋体"/>
          <w:b/>
          <w:color w:val="auto"/>
          <w:sz w:val="24"/>
          <w:szCs w:val="24"/>
        </w:rPr>
      </w:pPr>
      <w:r>
        <w:rPr>
          <w:rFonts w:hint="eastAsia" w:ascii="宋体" w:hAnsi="宋体"/>
          <w:b/>
          <w:color w:val="auto"/>
          <w:sz w:val="24"/>
          <w:szCs w:val="24"/>
        </w:rPr>
        <w:t>二、技术响应文件（单独密封）</w:t>
      </w:r>
    </w:p>
    <w:p>
      <w:pPr>
        <w:widowControl/>
        <w:snapToGrid w:val="0"/>
        <w:spacing w:line="360" w:lineRule="auto"/>
        <w:ind w:firstLine="470" w:firstLineChars="196"/>
        <w:jc w:val="left"/>
        <w:textAlignment w:val="baseline"/>
        <w:rPr>
          <w:rFonts w:hint="eastAsia" w:ascii="宋体" w:hAnsi="宋体"/>
          <w:color w:val="auto"/>
          <w:sz w:val="24"/>
          <w:szCs w:val="24"/>
        </w:rPr>
      </w:pPr>
      <w:r>
        <w:rPr>
          <w:rFonts w:hint="eastAsia" w:ascii="宋体" w:hAnsi="宋体"/>
          <w:color w:val="auto"/>
          <w:sz w:val="24"/>
          <w:szCs w:val="24"/>
        </w:rPr>
        <w:t>1、竞争性磋商响应函（格式参见第八章）；</w:t>
      </w:r>
    </w:p>
    <w:p>
      <w:pPr>
        <w:pStyle w:val="52"/>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2、</w:t>
      </w:r>
      <w:r>
        <w:rPr>
          <w:rFonts w:hint="eastAsia" w:ascii="宋体" w:hAnsi="宋体" w:eastAsia="宋体" w:cs="Times New Roman"/>
          <w:color w:val="auto"/>
          <w:kern w:val="2"/>
          <w:sz w:val="24"/>
          <w:szCs w:val="24"/>
          <w:lang w:val="en-US" w:eastAsia="zh-CN" w:bidi="ar-SA"/>
        </w:rPr>
        <w:t>技术响应正负偏离表</w:t>
      </w:r>
      <w:r>
        <w:rPr>
          <w:rFonts w:hint="eastAsia" w:ascii="宋体" w:hAnsi="宋体"/>
          <w:color w:val="auto"/>
          <w:sz w:val="24"/>
          <w:szCs w:val="24"/>
        </w:rPr>
        <w:t>（格式参见第八章）</w:t>
      </w:r>
      <w:r>
        <w:rPr>
          <w:rFonts w:hint="eastAsia" w:ascii="宋体" w:hAnsi="宋体" w:cs="Times New Roman"/>
          <w:color w:val="auto"/>
          <w:kern w:val="2"/>
          <w:sz w:val="24"/>
          <w:szCs w:val="24"/>
          <w:lang w:val="en-US" w:eastAsia="zh-CN" w:bidi="ar-SA"/>
        </w:rPr>
        <w:t>；</w:t>
      </w:r>
    </w:p>
    <w:p>
      <w:pPr>
        <w:widowControl/>
        <w:snapToGrid w:val="0"/>
        <w:spacing w:line="360" w:lineRule="auto"/>
        <w:ind w:firstLine="470" w:firstLineChars="196"/>
        <w:jc w:val="left"/>
        <w:textAlignment w:val="baseline"/>
        <w:rPr>
          <w:rFonts w:ascii="宋体" w:hAnsi="宋体" w:cs="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w:t>
      </w:r>
      <w:r>
        <w:rPr>
          <w:rFonts w:hint="eastAsia" w:ascii="宋体" w:hAnsi="宋体" w:cs="宋体"/>
          <w:color w:val="auto"/>
          <w:sz w:val="24"/>
          <w:szCs w:val="24"/>
        </w:rPr>
        <w:t>评标办法和项目需求中所涉及的事项需提供的所有资料；</w:t>
      </w:r>
    </w:p>
    <w:p>
      <w:pPr>
        <w:snapToGrid w:val="0"/>
        <w:spacing w:line="360" w:lineRule="auto"/>
        <w:ind w:firstLine="480" w:firstLineChars="200"/>
        <w:jc w:val="left"/>
        <w:textAlignment w:val="baseline"/>
        <w:rPr>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、评标办法和项目需求中未涉及的事项，供应商认为需要提交的其他资料。</w:t>
      </w:r>
    </w:p>
    <w:p>
      <w:pPr>
        <w:widowControl/>
        <w:snapToGrid w:val="0"/>
        <w:spacing w:line="360" w:lineRule="auto"/>
        <w:ind w:firstLine="470" w:firstLineChars="196"/>
        <w:jc w:val="left"/>
        <w:textAlignment w:val="baseline"/>
        <w:rPr>
          <w:rFonts w:ascii="宋体" w:hAnsi="宋体" w:cs="宋体"/>
          <w:bCs/>
          <w:color w:val="auto"/>
          <w:sz w:val="24"/>
          <w:szCs w:val="24"/>
        </w:rPr>
      </w:pPr>
      <w:r>
        <w:rPr>
          <w:rFonts w:hint="eastAsia" w:ascii="宋体" w:hAnsi="宋体"/>
          <w:color w:val="auto"/>
          <w:sz w:val="24"/>
          <w:szCs w:val="24"/>
        </w:rPr>
        <w:t>注：为方便评委评审，请供应商按评标办法中所涉及的事项顺序进行编制，可以补充相</w:t>
      </w:r>
      <w:r>
        <w:rPr>
          <w:rFonts w:hint="eastAsia" w:ascii="宋体" w:hAnsi="宋体" w:cs="宋体"/>
          <w:color w:val="auto"/>
          <w:sz w:val="24"/>
          <w:szCs w:val="24"/>
        </w:rPr>
        <w:t>关材料；</w:t>
      </w:r>
    </w:p>
    <w:p>
      <w:pPr>
        <w:widowControl/>
        <w:snapToGrid w:val="0"/>
        <w:spacing w:line="360" w:lineRule="auto"/>
        <w:ind w:firstLine="472" w:firstLineChars="196"/>
        <w:jc w:val="left"/>
        <w:rPr>
          <w:rFonts w:ascii="宋体"/>
          <w:b/>
          <w:bCs/>
          <w:color w:val="auto"/>
          <w:sz w:val="24"/>
          <w:szCs w:val="24"/>
        </w:rPr>
      </w:pPr>
      <w:r>
        <w:rPr>
          <w:rFonts w:hint="eastAsia" w:ascii="宋体" w:hAnsi="宋体" w:cs="宋体"/>
          <w:b/>
          <w:bCs/>
          <w:color w:val="auto"/>
          <w:sz w:val="24"/>
          <w:szCs w:val="24"/>
        </w:rPr>
        <w:t>三、商务报价响应文件（单独密封）</w:t>
      </w:r>
    </w:p>
    <w:p>
      <w:pPr>
        <w:snapToGrid w:val="0"/>
        <w:spacing w:line="360" w:lineRule="auto"/>
        <w:ind w:firstLine="480" w:firstLineChars="200"/>
        <w:jc w:val="left"/>
        <w:textAlignment w:val="baseline"/>
        <w:rPr>
          <w:rFonts w:hint="eastAsia" w:ascii="宋体" w:hAnsi="宋体" w:cs="宋体"/>
          <w:bCs/>
          <w:color w:val="auto"/>
          <w:sz w:val="24"/>
          <w:szCs w:val="24"/>
          <w:lang w:val="zh-CN"/>
        </w:rPr>
      </w:pPr>
      <w:r>
        <w:rPr>
          <w:rFonts w:hint="eastAsia" w:ascii="宋体" w:hAnsi="宋体" w:cs="宋体"/>
          <w:bCs/>
          <w:color w:val="auto"/>
          <w:sz w:val="24"/>
          <w:szCs w:val="24"/>
          <w:lang w:val="zh-CN"/>
        </w:rPr>
        <w:t>1、</w:t>
      </w:r>
      <w:r>
        <w:rPr>
          <w:rFonts w:hint="eastAsia" w:ascii="宋体" w:hAnsi="宋体" w:cs="宋体"/>
          <w:bCs/>
          <w:color w:val="auto"/>
          <w:sz w:val="24"/>
          <w:szCs w:val="24"/>
        </w:rPr>
        <w:t>磋商</w:t>
      </w:r>
      <w:r>
        <w:rPr>
          <w:rFonts w:hint="eastAsia" w:ascii="宋体" w:hAnsi="宋体" w:cs="宋体"/>
          <w:bCs/>
          <w:color w:val="auto"/>
          <w:sz w:val="24"/>
          <w:szCs w:val="24"/>
          <w:lang w:val="zh-CN"/>
        </w:rPr>
        <w:t>响应报价总表（格式参见第八章）；</w:t>
      </w:r>
    </w:p>
    <w:p>
      <w:pPr>
        <w:pStyle w:val="52"/>
        <w:rPr>
          <w:rFonts w:hint="eastAsia" w:eastAsia="宋体"/>
          <w:color w:val="auto"/>
          <w:lang w:val="en-US" w:eastAsia="zh-CN"/>
        </w:rPr>
      </w:pPr>
      <w:r>
        <w:rPr>
          <w:rFonts w:hint="eastAsia" w:ascii="宋体" w:hAnsi="宋体" w:cs="宋体"/>
          <w:bCs/>
          <w:color w:val="auto"/>
          <w:sz w:val="24"/>
          <w:szCs w:val="24"/>
          <w:lang w:val="en-US" w:eastAsia="zh-CN"/>
        </w:rPr>
        <w:t>2、磋商响应报价明细表</w:t>
      </w:r>
      <w:r>
        <w:rPr>
          <w:rFonts w:hint="eastAsia" w:ascii="宋体" w:hAnsi="宋体" w:cs="宋体"/>
          <w:bCs/>
          <w:color w:val="auto"/>
          <w:sz w:val="24"/>
          <w:szCs w:val="24"/>
          <w:lang w:val="zh-CN"/>
        </w:rPr>
        <w:t>（格式参见第八章）</w:t>
      </w:r>
    </w:p>
    <w:p>
      <w:pPr>
        <w:snapToGrid w:val="0"/>
        <w:spacing w:line="360" w:lineRule="auto"/>
        <w:ind w:firstLine="480" w:firstLineChars="200"/>
        <w:jc w:val="left"/>
        <w:textAlignment w:val="baseline"/>
        <w:rPr>
          <w:rFonts w:ascii="宋体" w:hAnsi="宋体" w:cs="宋体"/>
          <w:bCs/>
          <w:color w:val="auto"/>
          <w:sz w:val="24"/>
          <w:szCs w:val="24"/>
          <w:lang w:val="zh-CN"/>
        </w:rPr>
      </w:pPr>
      <w:r>
        <w:rPr>
          <w:rFonts w:hint="eastAsia" w:ascii="宋体" w:hAnsi="宋体" w:cs="宋体"/>
          <w:bCs/>
          <w:color w:val="auto"/>
          <w:sz w:val="24"/>
          <w:szCs w:val="24"/>
          <w:lang w:val="en-US" w:eastAsia="zh-CN"/>
        </w:rPr>
        <w:t>3</w:t>
      </w:r>
      <w:r>
        <w:rPr>
          <w:rFonts w:hint="eastAsia" w:ascii="宋体" w:hAnsi="宋体" w:cs="宋体"/>
          <w:bCs/>
          <w:color w:val="auto"/>
          <w:sz w:val="24"/>
          <w:szCs w:val="24"/>
        </w:rPr>
        <w:t>、</w:t>
      </w:r>
      <w:r>
        <w:rPr>
          <w:rFonts w:hint="eastAsia" w:ascii="宋体" w:hAnsi="宋体" w:cs="宋体"/>
          <w:bCs/>
          <w:color w:val="auto"/>
          <w:sz w:val="24"/>
          <w:szCs w:val="24"/>
          <w:lang w:val="zh-CN"/>
        </w:rPr>
        <w:t>中小企业声明函（</w:t>
      </w:r>
      <w:r>
        <w:rPr>
          <w:rFonts w:hint="eastAsia" w:ascii="宋体" w:hAnsi="宋体" w:cs="宋体"/>
          <w:bCs/>
          <w:color w:val="auto"/>
          <w:sz w:val="24"/>
          <w:szCs w:val="24"/>
        </w:rPr>
        <w:t>如有）</w:t>
      </w:r>
      <w:r>
        <w:rPr>
          <w:rFonts w:hint="eastAsia" w:ascii="宋体" w:hAnsi="宋体" w:cs="宋体"/>
          <w:bCs/>
          <w:color w:val="auto"/>
          <w:sz w:val="24"/>
          <w:szCs w:val="24"/>
          <w:lang w:val="zh-CN"/>
        </w:rPr>
        <w:t>。</w:t>
      </w:r>
    </w:p>
    <w:p>
      <w:pPr>
        <w:widowControl/>
        <w:snapToGrid w:val="0"/>
        <w:spacing w:line="360" w:lineRule="auto"/>
        <w:jc w:val="left"/>
        <w:rPr>
          <w:rFonts w:ascii="宋体"/>
          <w:b/>
          <w:bCs/>
          <w:color w:val="auto"/>
          <w:sz w:val="28"/>
          <w:szCs w:val="28"/>
        </w:rPr>
      </w:pPr>
      <w:r>
        <w:rPr>
          <w:rFonts w:ascii="宋体"/>
          <w:b/>
          <w:bCs/>
          <w:color w:val="auto"/>
          <w:sz w:val="28"/>
          <w:szCs w:val="28"/>
          <w:highlight w:val="yellow"/>
        </w:rPr>
        <w:br w:type="page"/>
      </w:r>
      <w:r>
        <w:rPr>
          <w:rFonts w:hint="eastAsia" w:ascii="宋体" w:hAnsi="宋体" w:cs="宋体"/>
          <w:b/>
          <w:bCs/>
          <w:color w:val="auto"/>
          <w:sz w:val="28"/>
          <w:szCs w:val="28"/>
        </w:rPr>
        <w:t>附件：</w:t>
      </w:r>
    </w:p>
    <w:p>
      <w:pPr>
        <w:snapToGrid w:val="0"/>
        <w:spacing w:line="520" w:lineRule="exact"/>
        <w:jc w:val="center"/>
        <w:outlineLvl w:val="3"/>
        <w:rPr>
          <w:rFonts w:ascii="宋体"/>
          <w:b/>
          <w:bCs/>
          <w:color w:val="auto"/>
          <w:sz w:val="28"/>
          <w:szCs w:val="28"/>
        </w:rPr>
      </w:pPr>
      <w:r>
        <w:rPr>
          <w:rFonts w:ascii="宋体" w:hAnsi="宋体" w:cs="宋体"/>
          <w:b/>
          <w:bCs/>
          <w:color w:val="auto"/>
          <w:sz w:val="28"/>
          <w:szCs w:val="28"/>
        </w:rPr>
        <w:t>1</w:t>
      </w:r>
      <w:r>
        <w:rPr>
          <w:rFonts w:hint="eastAsia" w:ascii="宋体" w:hAnsi="宋体" w:cs="宋体"/>
          <w:b/>
          <w:bCs/>
          <w:color w:val="auto"/>
          <w:sz w:val="28"/>
          <w:szCs w:val="28"/>
        </w:rPr>
        <w:t>、法定代表人身份证明</w:t>
      </w:r>
    </w:p>
    <w:p>
      <w:pPr>
        <w:snapToGrid w:val="0"/>
        <w:spacing w:line="520" w:lineRule="exact"/>
        <w:jc w:val="center"/>
        <w:rPr>
          <w:rFonts w:ascii="宋体"/>
          <w:color w:val="auto"/>
          <w:sz w:val="24"/>
          <w:szCs w:val="24"/>
        </w:rPr>
      </w:pPr>
    </w:p>
    <w:p>
      <w:pPr>
        <w:snapToGrid w:val="0"/>
        <w:spacing w:line="520" w:lineRule="exact"/>
        <w:jc w:val="center"/>
        <w:rPr>
          <w:rFonts w:ascii="宋体"/>
          <w:color w:val="auto"/>
          <w:sz w:val="24"/>
          <w:szCs w:val="24"/>
        </w:rPr>
      </w:pPr>
    </w:p>
    <w:p>
      <w:pPr>
        <w:snapToGrid w:val="0"/>
        <w:spacing w:line="360" w:lineRule="auto"/>
        <w:rPr>
          <w:rFonts w:ascii="宋体"/>
          <w:color w:val="auto"/>
          <w:sz w:val="24"/>
          <w:szCs w:val="24"/>
          <w:u w:val="single"/>
        </w:rPr>
      </w:pPr>
      <w:r>
        <w:rPr>
          <w:rFonts w:hint="eastAsia" w:ascii="宋体" w:hAnsi="宋体" w:cs="宋体"/>
          <w:color w:val="auto"/>
          <w:sz w:val="24"/>
          <w:szCs w:val="24"/>
          <w:u w:val="single"/>
        </w:rPr>
        <w:t>南通市妇幼保健院：</w:t>
      </w:r>
    </w:p>
    <w:p>
      <w:pPr>
        <w:snapToGrid w:val="0"/>
        <w:spacing w:line="360" w:lineRule="auto"/>
        <w:ind w:firstLine="480" w:firstLineChars="200"/>
        <w:textAlignment w:val="baseline"/>
        <w:rPr>
          <w:color w:val="auto"/>
          <w:sz w:val="24"/>
          <w:szCs w:val="24"/>
        </w:rPr>
      </w:pPr>
      <w:r>
        <w:rPr>
          <w:rFonts w:hint="eastAsia" w:cs="宋体"/>
          <w:color w:val="auto"/>
          <w:sz w:val="24"/>
          <w:szCs w:val="24"/>
          <w:u w:val="single" w:color="000000"/>
        </w:rPr>
        <w:t>　　　　　</w:t>
      </w:r>
      <w:r>
        <w:rPr>
          <w:rFonts w:hint="eastAsia" w:cs="宋体"/>
          <w:color w:val="auto"/>
          <w:sz w:val="24"/>
          <w:szCs w:val="24"/>
        </w:rPr>
        <w:t>（先生／女士）现任我单位</w:t>
      </w:r>
      <w:r>
        <w:rPr>
          <w:rFonts w:hint="eastAsia" w:cs="宋体"/>
          <w:color w:val="auto"/>
          <w:sz w:val="24"/>
          <w:szCs w:val="24"/>
          <w:u w:val="single" w:color="000000"/>
        </w:rPr>
        <w:t>　　　　 　　　</w:t>
      </w:r>
      <w:r>
        <w:rPr>
          <w:rFonts w:hint="eastAsia" w:cs="宋体"/>
          <w:color w:val="auto"/>
          <w:sz w:val="24"/>
          <w:szCs w:val="24"/>
        </w:rPr>
        <w:t>职务，为法定代表人，特此证明。</w:t>
      </w:r>
    </w:p>
    <w:p>
      <w:pPr>
        <w:snapToGrid w:val="0"/>
        <w:spacing w:line="360" w:lineRule="auto"/>
        <w:ind w:firstLine="480" w:firstLineChars="200"/>
        <w:textAlignment w:val="baseline"/>
        <w:rPr>
          <w:rFonts w:cs="宋体"/>
          <w:color w:val="auto"/>
          <w:sz w:val="24"/>
          <w:szCs w:val="24"/>
        </w:rPr>
      </w:pPr>
      <w:r>
        <w:rPr>
          <w:rFonts w:hint="eastAsia" w:cs="宋体"/>
          <w:color w:val="auto"/>
          <w:sz w:val="24"/>
          <w:szCs w:val="24"/>
        </w:rPr>
        <w:t>身份证号码：</w:t>
      </w:r>
    </w:p>
    <w:p>
      <w:pPr>
        <w:snapToGrid w:val="0"/>
        <w:spacing w:line="420" w:lineRule="exact"/>
        <w:ind w:firstLine="480" w:firstLineChars="200"/>
        <w:textAlignment w:val="baseline"/>
        <w:rPr>
          <w:rFonts w:cs="宋体"/>
          <w:color w:val="auto"/>
          <w:sz w:val="24"/>
          <w:szCs w:val="24"/>
        </w:rPr>
      </w:pPr>
    </w:p>
    <w:p>
      <w:pPr>
        <w:snapToGrid w:val="0"/>
        <w:spacing w:line="420" w:lineRule="exact"/>
        <w:ind w:firstLine="480" w:firstLineChars="200"/>
        <w:textAlignment w:val="baseline"/>
        <w:rPr>
          <w:color w:val="auto"/>
          <w:sz w:val="24"/>
          <w:szCs w:val="24"/>
          <w:u w:val="single"/>
        </w:rPr>
      </w:pPr>
    </w:p>
    <w:p>
      <w:pPr>
        <w:snapToGrid w:val="0"/>
        <w:spacing w:line="520" w:lineRule="exact"/>
        <w:jc w:val="right"/>
        <w:textAlignment w:val="baseline"/>
        <w:rPr>
          <w:rFonts w:ascii="宋体" w:hAnsi="宋体" w:cs="宋体"/>
          <w:color w:val="auto"/>
          <w:sz w:val="24"/>
          <w:szCs w:val="24"/>
        </w:rPr>
      </w:pPr>
      <w:r>
        <w:rPr>
          <w:rFonts w:hint="eastAsia" w:ascii="宋体" w:hAnsi="宋体" w:cs="宋体"/>
          <w:color w:val="auto"/>
          <w:sz w:val="24"/>
          <w:szCs w:val="24"/>
        </w:rPr>
        <w:t>竞争性磋商响应单位：（加盖公章）</w:t>
      </w:r>
    </w:p>
    <w:p>
      <w:pPr>
        <w:snapToGrid w:val="0"/>
        <w:spacing w:line="420" w:lineRule="exact"/>
        <w:ind w:right="960" w:firstLine="484" w:firstLineChars="202"/>
        <w:jc w:val="center"/>
        <w:textAlignment w:val="baseline"/>
        <w:rPr>
          <w:color w:val="auto"/>
          <w:sz w:val="20"/>
        </w:rPr>
      </w:pPr>
      <w:r>
        <w:rPr>
          <w:rFonts w:hint="eastAsia" w:ascii="宋体" w:hAnsi="宋体" w:cs="宋体"/>
          <w:color w:val="auto"/>
          <w:sz w:val="24"/>
          <w:szCs w:val="24"/>
        </w:rPr>
        <w:t xml:space="preserve">                                            年      月     日</w:t>
      </w:r>
    </w:p>
    <w:p>
      <w:pPr>
        <w:snapToGrid w:val="0"/>
        <w:spacing w:line="420" w:lineRule="exact"/>
        <w:ind w:firstLine="404" w:firstLineChars="202"/>
        <w:jc w:val="left"/>
        <w:textAlignment w:val="baseline"/>
        <w:rPr>
          <w:color w:val="auto"/>
          <w:sz w:val="20"/>
        </w:rPr>
      </w:pPr>
    </w:p>
    <w:tbl>
      <w:tblPr>
        <w:tblStyle w:val="53"/>
        <w:tblW w:w="0" w:type="auto"/>
        <w:tblInd w:w="1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7848" w:type="dxa"/>
            <w:noWrap/>
          </w:tcPr>
          <w:p>
            <w:pPr>
              <w:snapToGrid w:val="0"/>
              <w:spacing w:line="420" w:lineRule="exact"/>
              <w:ind w:firstLine="404" w:firstLineChars="202"/>
              <w:jc w:val="left"/>
              <w:textAlignment w:val="baseline"/>
              <w:rPr>
                <w:color w:val="auto"/>
                <w:sz w:val="20"/>
                <w:szCs w:val="22"/>
              </w:rPr>
            </w:pPr>
          </w:p>
          <w:p>
            <w:pPr>
              <w:snapToGrid w:val="0"/>
              <w:spacing w:line="420" w:lineRule="exact"/>
              <w:ind w:firstLine="404" w:firstLineChars="202"/>
              <w:jc w:val="left"/>
              <w:textAlignment w:val="baseline"/>
              <w:rPr>
                <w:color w:val="auto"/>
                <w:sz w:val="20"/>
                <w:szCs w:val="22"/>
              </w:rPr>
            </w:pPr>
          </w:p>
          <w:p>
            <w:pPr>
              <w:snapToGrid w:val="0"/>
              <w:spacing w:line="420" w:lineRule="exact"/>
              <w:jc w:val="center"/>
              <w:textAlignment w:val="baseline"/>
              <w:rPr>
                <w:b/>
                <w:bCs/>
                <w:color w:val="auto"/>
                <w:sz w:val="20"/>
                <w:szCs w:val="22"/>
              </w:rPr>
            </w:pPr>
            <w:r>
              <w:rPr>
                <w:rFonts w:hint="eastAsia" w:cs="宋体"/>
                <w:b/>
                <w:bCs/>
                <w:color w:val="auto"/>
                <w:szCs w:val="22"/>
              </w:rPr>
              <w:t>法定代表人身份证</w:t>
            </w:r>
            <w:r>
              <w:rPr>
                <w:rFonts w:hint="eastAsia" w:cs="宋体"/>
                <w:b/>
                <w:color w:val="auto"/>
                <w:szCs w:val="22"/>
              </w:rPr>
              <w:t>（正、反面）</w:t>
            </w:r>
            <w:r>
              <w:rPr>
                <w:rFonts w:hint="eastAsia" w:cs="宋体"/>
                <w:b/>
                <w:bCs/>
                <w:color w:val="auto"/>
                <w:szCs w:val="22"/>
              </w:rPr>
              <w:t>复印件或扫描件</w:t>
            </w:r>
          </w:p>
          <w:p>
            <w:pPr>
              <w:snapToGrid w:val="0"/>
              <w:spacing w:line="420" w:lineRule="exact"/>
              <w:jc w:val="center"/>
              <w:textAlignment w:val="baseline"/>
              <w:rPr>
                <w:b/>
                <w:bCs/>
                <w:color w:val="auto"/>
                <w:sz w:val="20"/>
                <w:szCs w:val="22"/>
              </w:rPr>
            </w:pPr>
          </w:p>
          <w:p>
            <w:pPr>
              <w:snapToGrid w:val="0"/>
              <w:spacing w:line="420" w:lineRule="exact"/>
              <w:jc w:val="center"/>
              <w:textAlignment w:val="baseline"/>
              <w:rPr>
                <w:b/>
                <w:bCs/>
                <w:color w:val="auto"/>
                <w:sz w:val="20"/>
                <w:szCs w:val="22"/>
              </w:rPr>
            </w:pPr>
          </w:p>
          <w:p>
            <w:pPr>
              <w:snapToGrid w:val="0"/>
              <w:spacing w:line="420" w:lineRule="exact"/>
              <w:jc w:val="center"/>
              <w:textAlignment w:val="baseline"/>
              <w:rPr>
                <w:b/>
                <w:bCs/>
                <w:color w:val="auto"/>
                <w:sz w:val="20"/>
                <w:szCs w:val="22"/>
              </w:rPr>
            </w:pPr>
          </w:p>
          <w:p>
            <w:pPr>
              <w:snapToGrid w:val="0"/>
              <w:spacing w:line="420" w:lineRule="exact"/>
              <w:jc w:val="center"/>
              <w:textAlignment w:val="baseline"/>
              <w:rPr>
                <w:color w:val="auto"/>
                <w:sz w:val="20"/>
                <w:szCs w:val="22"/>
              </w:rPr>
            </w:pPr>
          </w:p>
        </w:tc>
      </w:tr>
    </w:tbl>
    <w:p>
      <w:pPr>
        <w:snapToGrid w:val="0"/>
        <w:spacing w:line="420" w:lineRule="exact"/>
        <w:jc w:val="center"/>
        <w:textAlignment w:val="baseline"/>
        <w:rPr>
          <w:color w:val="auto"/>
          <w:sz w:val="20"/>
        </w:rPr>
      </w:pPr>
    </w:p>
    <w:p>
      <w:pPr>
        <w:snapToGrid w:val="0"/>
        <w:spacing w:line="420" w:lineRule="exact"/>
        <w:textAlignment w:val="baseline"/>
        <w:rPr>
          <w:color w:val="auto"/>
          <w:sz w:val="20"/>
        </w:rPr>
      </w:pPr>
    </w:p>
    <w:p>
      <w:pPr>
        <w:snapToGrid w:val="0"/>
        <w:spacing w:line="420" w:lineRule="exact"/>
        <w:jc w:val="center"/>
        <w:textAlignment w:val="baseline"/>
        <w:rPr>
          <w:color w:val="auto"/>
          <w:sz w:val="20"/>
        </w:rPr>
      </w:pPr>
    </w:p>
    <w:p>
      <w:pPr>
        <w:snapToGrid w:val="0"/>
        <w:spacing w:line="420" w:lineRule="exact"/>
        <w:textAlignment w:val="baseline"/>
        <w:rPr>
          <w:color w:val="auto"/>
          <w:sz w:val="20"/>
        </w:rPr>
      </w:pPr>
    </w:p>
    <w:p>
      <w:pPr>
        <w:snapToGrid w:val="0"/>
        <w:spacing w:line="420" w:lineRule="exact"/>
        <w:jc w:val="center"/>
        <w:textAlignment w:val="baseline"/>
        <w:rPr>
          <w:color w:val="auto"/>
          <w:sz w:val="20"/>
        </w:rPr>
      </w:pPr>
    </w:p>
    <w:p>
      <w:pPr>
        <w:snapToGrid w:val="0"/>
        <w:spacing w:line="360" w:lineRule="auto"/>
        <w:ind w:firstLine="480" w:firstLineChars="200"/>
        <w:jc w:val="left"/>
        <w:textAlignment w:val="baseline"/>
        <w:rPr>
          <w:rFonts w:cs="宋体"/>
          <w:color w:val="auto"/>
          <w:sz w:val="24"/>
          <w:szCs w:val="24"/>
        </w:rPr>
      </w:pPr>
      <w:r>
        <w:rPr>
          <w:rFonts w:hint="eastAsia" w:cs="宋体"/>
          <w:color w:val="auto"/>
          <w:sz w:val="24"/>
          <w:szCs w:val="24"/>
        </w:rPr>
        <w:t>注：如为法定代表人参加项目</w:t>
      </w:r>
      <w:r>
        <w:rPr>
          <w:rFonts w:hint="eastAsia" w:ascii="宋体" w:hAnsi="宋体" w:cs="宋体"/>
          <w:color w:val="auto"/>
          <w:sz w:val="24"/>
          <w:szCs w:val="24"/>
        </w:rPr>
        <w:t>竞争性磋商响应</w:t>
      </w:r>
      <w:r>
        <w:rPr>
          <w:rFonts w:hint="eastAsia" w:cs="宋体"/>
          <w:color w:val="auto"/>
          <w:sz w:val="24"/>
          <w:szCs w:val="24"/>
        </w:rPr>
        <w:t>，须将身份证原件带至竞争性磋商现场备查。</w:t>
      </w:r>
    </w:p>
    <w:p>
      <w:pPr>
        <w:snapToGrid w:val="0"/>
        <w:spacing w:line="360" w:lineRule="auto"/>
        <w:ind w:firstLine="480" w:firstLineChars="200"/>
        <w:jc w:val="left"/>
        <w:textAlignment w:val="baseline"/>
        <w:rPr>
          <w:rFonts w:cs="宋体"/>
          <w:color w:val="auto"/>
          <w:sz w:val="24"/>
          <w:szCs w:val="24"/>
        </w:rPr>
      </w:pPr>
      <w:r>
        <w:rPr>
          <w:rFonts w:hint="eastAsia" w:cs="宋体"/>
          <w:color w:val="auto"/>
          <w:sz w:val="24"/>
          <w:szCs w:val="24"/>
        </w:rPr>
        <w:t>如为被委托受权人参加项目竞争性</w:t>
      </w:r>
      <w:r>
        <w:rPr>
          <w:rFonts w:hint="eastAsia" w:ascii="宋体" w:hAnsi="宋体" w:cs="宋体"/>
          <w:color w:val="auto"/>
          <w:sz w:val="24"/>
          <w:szCs w:val="24"/>
        </w:rPr>
        <w:t>磋商</w:t>
      </w:r>
      <w:r>
        <w:rPr>
          <w:rFonts w:hint="eastAsia" w:cs="宋体"/>
          <w:color w:val="auto"/>
          <w:sz w:val="24"/>
          <w:szCs w:val="24"/>
        </w:rPr>
        <w:t>响应，无须将法定代表人身份证原件带至竞争性</w:t>
      </w:r>
      <w:r>
        <w:rPr>
          <w:rFonts w:hint="eastAsia" w:ascii="宋体" w:hAnsi="宋体" w:cs="宋体"/>
          <w:color w:val="auto"/>
          <w:sz w:val="24"/>
          <w:szCs w:val="24"/>
        </w:rPr>
        <w:t>磋商</w:t>
      </w:r>
      <w:r>
        <w:rPr>
          <w:rFonts w:hint="eastAsia" w:cs="宋体"/>
          <w:color w:val="auto"/>
          <w:sz w:val="24"/>
          <w:szCs w:val="24"/>
        </w:rPr>
        <w:t>现场备查，仅需提供本证明。</w:t>
      </w:r>
    </w:p>
    <w:p>
      <w:pPr>
        <w:snapToGrid w:val="0"/>
        <w:spacing w:line="520" w:lineRule="exact"/>
        <w:ind w:firstLine="482" w:firstLineChars="200"/>
        <w:rPr>
          <w:rFonts w:ascii="宋体"/>
          <w:b/>
          <w:bCs/>
          <w:color w:val="auto"/>
          <w:sz w:val="24"/>
          <w:szCs w:val="24"/>
        </w:rPr>
      </w:pPr>
    </w:p>
    <w:p>
      <w:pPr>
        <w:snapToGrid w:val="0"/>
        <w:spacing w:line="520" w:lineRule="exact"/>
        <w:jc w:val="center"/>
        <w:outlineLvl w:val="3"/>
        <w:rPr>
          <w:rFonts w:ascii="宋体"/>
          <w:b/>
          <w:bCs/>
          <w:color w:val="auto"/>
          <w:sz w:val="28"/>
          <w:szCs w:val="28"/>
        </w:rPr>
      </w:pPr>
      <w:r>
        <w:rPr>
          <w:rFonts w:ascii="宋体"/>
          <w:b/>
          <w:bCs/>
          <w:color w:val="auto"/>
          <w:sz w:val="24"/>
          <w:szCs w:val="24"/>
        </w:rPr>
        <w:br w:type="page"/>
      </w:r>
      <w:r>
        <w:rPr>
          <w:rFonts w:ascii="宋体" w:hAnsi="宋体" w:cs="宋体"/>
          <w:b/>
          <w:bCs/>
          <w:color w:val="auto"/>
          <w:sz w:val="28"/>
          <w:szCs w:val="28"/>
        </w:rPr>
        <w:t>2</w:t>
      </w:r>
      <w:r>
        <w:rPr>
          <w:rFonts w:hint="eastAsia" w:ascii="宋体" w:hAnsi="宋体" w:cs="宋体"/>
          <w:b/>
          <w:bCs/>
          <w:color w:val="auto"/>
          <w:sz w:val="28"/>
          <w:szCs w:val="28"/>
        </w:rPr>
        <w:t>、授权委托书</w:t>
      </w:r>
    </w:p>
    <w:p>
      <w:pPr>
        <w:snapToGrid w:val="0"/>
        <w:spacing w:line="520" w:lineRule="exact"/>
        <w:jc w:val="center"/>
        <w:rPr>
          <w:rFonts w:ascii="宋体"/>
          <w:color w:val="auto"/>
          <w:sz w:val="24"/>
          <w:szCs w:val="24"/>
        </w:rPr>
      </w:pPr>
      <w:r>
        <w:rPr>
          <w:rFonts w:hint="eastAsia" w:ascii="宋体" w:hAnsi="宋体" w:cs="宋体"/>
          <w:color w:val="auto"/>
          <w:sz w:val="24"/>
          <w:szCs w:val="24"/>
        </w:rPr>
        <w:t>（如被授权人参加磋商，须出示此证明）</w:t>
      </w:r>
    </w:p>
    <w:p>
      <w:pPr>
        <w:snapToGrid w:val="0"/>
        <w:spacing w:line="520" w:lineRule="exact"/>
        <w:jc w:val="center"/>
        <w:rPr>
          <w:rFonts w:ascii="宋体"/>
          <w:color w:val="auto"/>
          <w:sz w:val="24"/>
          <w:szCs w:val="24"/>
        </w:rPr>
      </w:pPr>
    </w:p>
    <w:p>
      <w:pPr>
        <w:snapToGrid w:val="0"/>
        <w:spacing w:line="360" w:lineRule="auto"/>
        <w:rPr>
          <w:rFonts w:ascii="宋体"/>
          <w:color w:val="auto"/>
          <w:sz w:val="24"/>
          <w:szCs w:val="24"/>
          <w:u w:val="single"/>
        </w:rPr>
      </w:pPr>
      <w:r>
        <w:rPr>
          <w:rFonts w:hint="eastAsia" w:ascii="宋体" w:hAnsi="宋体" w:cs="宋体"/>
          <w:color w:val="auto"/>
          <w:sz w:val="24"/>
          <w:szCs w:val="24"/>
          <w:u w:val="single"/>
        </w:rPr>
        <w:t>南通市妇幼保健院：</w:t>
      </w:r>
    </w:p>
    <w:p>
      <w:pPr>
        <w:snapToGrid w:val="0"/>
        <w:spacing w:line="360" w:lineRule="auto"/>
        <w:ind w:firstLine="484" w:firstLineChars="202"/>
        <w:textAlignment w:val="baseline"/>
        <w:rPr>
          <w:color w:val="auto"/>
          <w:sz w:val="24"/>
          <w:szCs w:val="24"/>
        </w:rPr>
      </w:pPr>
      <w:r>
        <w:rPr>
          <w:rFonts w:hint="eastAsia" w:cs="宋体"/>
          <w:color w:val="auto"/>
          <w:sz w:val="24"/>
          <w:szCs w:val="24"/>
        </w:rPr>
        <w:t>本授权委托书声明：我</w:t>
      </w:r>
      <w:r>
        <w:rPr>
          <w:rFonts w:hint="eastAsia" w:cs="宋体"/>
          <w:color w:val="auto"/>
          <w:sz w:val="24"/>
          <w:szCs w:val="24"/>
          <w:u w:val="single" w:color="000000"/>
        </w:rPr>
        <w:t xml:space="preserve">　    </w:t>
      </w:r>
      <w:r>
        <w:rPr>
          <w:rFonts w:hint="eastAsia" w:cs="宋体"/>
          <w:color w:val="auto"/>
          <w:sz w:val="24"/>
          <w:szCs w:val="24"/>
        </w:rPr>
        <w:t>（姓名）系</w:t>
      </w:r>
      <w:r>
        <w:rPr>
          <w:rFonts w:hint="eastAsia" w:cs="宋体"/>
          <w:color w:val="auto"/>
          <w:sz w:val="24"/>
          <w:szCs w:val="24"/>
          <w:u w:val="single" w:color="000000"/>
        </w:rPr>
        <w:t xml:space="preserve">　            </w:t>
      </w:r>
      <w:r>
        <w:rPr>
          <w:rFonts w:hint="eastAsia" w:cs="宋体"/>
          <w:color w:val="auto"/>
          <w:sz w:val="24"/>
          <w:szCs w:val="24"/>
        </w:rPr>
        <w:t>（供应商名称）的法定代表人，现授权委托</w:t>
      </w:r>
      <w:r>
        <w:rPr>
          <w:rFonts w:hint="eastAsia" w:cs="宋体"/>
          <w:color w:val="auto"/>
          <w:sz w:val="24"/>
          <w:szCs w:val="24"/>
          <w:u w:val="single" w:color="000000"/>
        </w:rPr>
        <w:t xml:space="preserve">　　     </w:t>
      </w:r>
      <w:r>
        <w:rPr>
          <w:rFonts w:hint="eastAsia" w:cs="宋体"/>
          <w:color w:val="auto"/>
          <w:sz w:val="24"/>
          <w:szCs w:val="24"/>
        </w:rPr>
        <w:t>（姓名）为我公司为被委托受权人，以本公司的名义参加本项目的竞争性磋商响应活动。被委托受权人在开标、评审磋商活动、合同谈判过程中所签署的一切文件和处理与之有关的一切事务，我均予以承认。</w:t>
      </w:r>
    </w:p>
    <w:p>
      <w:pPr>
        <w:snapToGrid w:val="0"/>
        <w:spacing w:line="360" w:lineRule="auto"/>
        <w:ind w:firstLine="484" w:firstLineChars="202"/>
        <w:textAlignment w:val="baseline"/>
        <w:rPr>
          <w:rFonts w:cs="宋体"/>
          <w:color w:val="auto"/>
          <w:sz w:val="24"/>
          <w:szCs w:val="24"/>
        </w:rPr>
      </w:pPr>
      <w:r>
        <w:rPr>
          <w:rFonts w:hint="eastAsia" w:cs="宋体"/>
          <w:color w:val="auto"/>
          <w:sz w:val="24"/>
          <w:szCs w:val="24"/>
        </w:rPr>
        <w:t>被委托受权人无转委权。特此委托。</w:t>
      </w:r>
    </w:p>
    <w:p>
      <w:pPr>
        <w:pStyle w:val="2"/>
        <w:snapToGrid w:val="0"/>
        <w:spacing w:line="360" w:lineRule="auto"/>
        <w:textAlignment w:val="baseline"/>
        <w:rPr>
          <w:color w:val="auto"/>
          <w:szCs w:val="24"/>
        </w:rPr>
      </w:pPr>
    </w:p>
    <w:p>
      <w:pPr>
        <w:snapToGrid w:val="0"/>
        <w:spacing w:line="360" w:lineRule="auto"/>
        <w:ind w:firstLine="972" w:firstLineChars="405"/>
        <w:textAlignment w:val="baseline"/>
        <w:rPr>
          <w:color w:val="auto"/>
          <w:sz w:val="24"/>
          <w:szCs w:val="24"/>
        </w:rPr>
      </w:pPr>
      <w:r>
        <w:rPr>
          <w:rFonts w:hint="eastAsia" w:cs="宋体"/>
          <w:color w:val="auto"/>
          <w:sz w:val="24"/>
          <w:szCs w:val="24"/>
        </w:rPr>
        <w:t>法定代表人签字：</w:t>
      </w:r>
    </w:p>
    <w:p>
      <w:pPr>
        <w:snapToGrid w:val="0"/>
        <w:spacing w:line="360" w:lineRule="auto"/>
        <w:ind w:firstLine="972" w:firstLineChars="405"/>
        <w:textAlignment w:val="baseline"/>
        <w:rPr>
          <w:color w:val="auto"/>
          <w:sz w:val="24"/>
          <w:szCs w:val="24"/>
        </w:rPr>
      </w:pPr>
      <w:r>
        <w:rPr>
          <w:rFonts w:hint="eastAsia" w:cs="宋体"/>
          <w:color w:val="auto"/>
          <w:sz w:val="24"/>
          <w:szCs w:val="24"/>
        </w:rPr>
        <w:t>被委托受权人身份证号：</w:t>
      </w:r>
    </w:p>
    <w:p>
      <w:pPr>
        <w:snapToGrid w:val="0"/>
        <w:spacing w:line="360" w:lineRule="auto"/>
        <w:ind w:firstLine="972" w:firstLineChars="405"/>
        <w:textAlignment w:val="baseline"/>
        <w:rPr>
          <w:color w:val="auto"/>
          <w:sz w:val="24"/>
          <w:szCs w:val="24"/>
        </w:rPr>
      </w:pPr>
      <w:r>
        <w:rPr>
          <w:rFonts w:hint="eastAsia" w:cs="宋体"/>
          <w:color w:val="auto"/>
          <w:sz w:val="24"/>
          <w:szCs w:val="24"/>
        </w:rPr>
        <w:t>被委托受权人签字：</w:t>
      </w:r>
    </w:p>
    <w:p>
      <w:pPr>
        <w:snapToGrid w:val="0"/>
        <w:spacing w:line="520" w:lineRule="exact"/>
        <w:jc w:val="right"/>
        <w:textAlignment w:val="baseline"/>
        <w:rPr>
          <w:rFonts w:ascii="宋体" w:hAnsi="宋体" w:cs="宋体"/>
          <w:color w:val="auto"/>
          <w:sz w:val="24"/>
          <w:szCs w:val="24"/>
        </w:rPr>
      </w:pPr>
      <w:r>
        <w:rPr>
          <w:rFonts w:hint="eastAsia" w:ascii="宋体" w:hAnsi="宋体" w:cs="宋体"/>
          <w:color w:val="auto"/>
          <w:sz w:val="24"/>
          <w:szCs w:val="24"/>
        </w:rPr>
        <w:t>竞争性磋商响应单位：（加盖公章）</w:t>
      </w:r>
    </w:p>
    <w:p>
      <w:pPr>
        <w:snapToGrid w:val="0"/>
        <w:spacing w:line="420" w:lineRule="exact"/>
        <w:ind w:firstLine="484" w:firstLineChars="202"/>
        <w:jc w:val="right"/>
        <w:textAlignment w:val="baseline"/>
        <w:rPr>
          <w:color w:val="auto"/>
          <w:sz w:val="20"/>
        </w:rPr>
      </w:pPr>
      <w:r>
        <w:rPr>
          <w:rFonts w:hint="eastAsia" w:ascii="宋体" w:hAnsi="宋体" w:cs="宋体"/>
          <w:color w:val="auto"/>
          <w:sz w:val="24"/>
          <w:szCs w:val="24"/>
        </w:rPr>
        <w:t>年      月     日</w:t>
      </w:r>
    </w:p>
    <w:p>
      <w:pPr>
        <w:snapToGrid w:val="0"/>
        <w:spacing w:line="420" w:lineRule="exact"/>
        <w:ind w:firstLine="404" w:firstLineChars="202"/>
        <w:jc w:val="left"/>
        <w:textAlignment w:val="baseline"/>
        <w:rPr>
          <w:color w:val="auto"/>
          <w:sz w:val="20"/>
        </w:rPr>
      </w:pPr>
    </w:p>
    <w:p>
      <w:pPr>
        <w:snapToGrid w:val="0"/>
        <w:spacing w:line="420" w:lineRule="exact"/>
        <w:ind w:firstLine="404" w:firstLineChars="202"/>
        <w:jc w:val="left"/>
        <w:textAlignment w:val="baseline"/>
        <w:rPr>
          <w:color w:val="auto"/>
          <w:sz w:val="20"/>
        </w:rPr>
      </w:pPr>
    </w:p>
    <w:tbl>
      <w:tblPr>
        <w:tblStyle w:val="53"/>
        <w:tblW w:w="0" w:type="auto"/>
        <w:tblInd w:w="10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236" w:type="dxa"/>
            <w:noWrap/>
          </w:tcPr>
          <w:p>
            <w:pPr>
              <w:snapToGrid w:val="0"/>
              <w:spacing w:line="420" w:lineRule="exact"/>
              <w:ind w:firstLine="404" w:firstLineChars="202"/>
              <w:jc w:val="left"/>
              <w:textAlignment w:val="baseline"/>
              <w:rPr>
                <w:color w:val="auto"/>
                <w:sz w:val="20"/>
                <w:szCs w:val="22"/>
              </w:rPr>
            </w:pPr>
          </w:p>
          <w:p>
            <w:pPr>
              <w:snapToGrid w:val="0"/>
              <w:spacing w:line="420" w:lineRule="exact"/>
              <w:jc w:val="center"/>
              <w:textAlignment w:val="baseline"/>
              <w:rPr>
                <w:b/>
                <w:bCs/>
                <w:color w:val="auto"/>
                <w:sz w:val="20"/>
                <w:szCs w:val="22"/>
              </w:rPr>
            </w:pPr>
            <w:r>
              <w:rPr>
                <w:rFonts w:hint="eastAsia" w:cs="宋体"/>
                <w:b/>
                <w:bCs/>
                <w:color w:val="auto"/>
                <w:szCs w:val="22"/>
              </w:rPr>
              <w:t>被委托受权人身份证</w:t>
            </w:r>
            <w:r>
              <w:rPr>
                <w:rFonts w:hint="eastAsia" w:cs="宋体"/>
                <w:b/>
                <w:color w:val="auto"/>
                <w:szCs w:val="22"/>
              </w:rPr>
              <w:t>（正、反面）</w:t>
            </w:r>
            <w:r>
              <w:rPr>
                <w:rFonts w:hint="eastAsia" w:cs="宋体"/>
                <w:b/>
                <w:bCs/>
                <w:color w:val="auto"/>
                <w:szCs w:val="22"/>
              </w:rPr>
              <w:t>复印件或扫描件</w:t>
            </w:r>
          </w:p>
          <w:p>
            <w:pPr>
              <w:snapToGrid w:val="0"/>
              <w:spacing w:line="420" w:lineRule="exact"/>
              <w:jc w:val="center"/>
              <w:textAlignment w:val="baseline"/>
              <w:rPr>
                <w:b/>
                <w:bCs/>
                <w:color w:val="auto"/>
                <w:sz w:val="20"/>
                <w:szCs w:val="22"/>
              </w:rPr>
            </w:pPr>
          </w:p>
          <w:p>
            <w:pPr>
              <w:snapToGrid w:val="0"/>
              <w:spacing w:line="420" w:lineRule="exact"/>
              <w:jc w:val="center"/>
              <w:textAlignment w:val="baseline"/>
              <w:rPr>
                <w:b/>
                <w:bCs/>
                <w:color w:val="auto"/>
                <w:sz w:val="20"/>
                <w:szCs w:val="22"/>
              </w:rPr>
            </w:pPr>
          </w:p>
          <w:p>
            <w:pPr>
              <w:snapToGrid w:val="0"/>
              <w:spacing w:line="420" w:lineRule="exact"/>
              <w:jc w:val="center"/>
              <w:textAlignment w:val="baseline"/>
              <w:rPr>
                <w:color w:val="auto"/>
                <w:sz w:val="20"/>
                <w:szCs w:val="22"/>
              </w:rPr>
            </w:pPr>
          </w:p>
          <w:p>
            <w:pPr>
              <w:snapToGrid w:val="0"/>
              <w:spacing w:line="420" w:lineRule="exact"/>
              <w:jc w:val="center"/>
              <w:textAlignment w:val="baseline"/>
              <w:rPr>
                <w:color w:val="auto"/>
                <w:sz w:val="20"/>
                <w:szCs w:val="22"/>
              </w:rPr>
            </w:pPr>
          </w:p>
        </w:tc>
      </w:tr>
    </w:tbl>
    <w:p>
      <w:pPr>
        <w:snapToGrid w:val="0"/>
        <w:spacing w:line="420" w:lineRule="exact"/>
        <w:jc w:val="center"/>
        <w:textAlignment w:val="baseline"/>
        <w:rPr>
          <w:color w:val="auto"/>
          <w:sz w:val="20"/>
        </w:rPr>
      </w:pPr>
    </w:p>
    <w:p>
      <w:pPr>
        <w:snapToGrid w:val="0"/>
        <w:spacing w:line="420" w:lineRule="exact"/>
        <w:jc w:val="center"/>
        <w:textAlignment w:val="baseline"/>
        <w:rPr>
          <w:color w:val="auto"/>
          <w:sz w:val="20"/>
        </w:rPr>
      </w:pPr>
    </w:p>
    <w:p>
      <w:pPr>
        <w:snapToGrid w:val="0"/>
        <w:spacing w:line="420" w:lineRule="exact"/>
        <w:jc w:val="center"/>
        <w:textAlignment w:val="baseline"/>
        <w:rPr>
          <w:color w:val="auto"/>
          <w:sz w:val="20"/>
        </w:rPr>
      </w:pPr>
    </w:p>
    <w:p>
      <w:pPr>
        <w:snapToGrid w:val="0"/>
        <w:spacing w:line="420" w:lineRule="exact"/>
        <w:jc w:val="left"/>
        <w:textAlignment w:val="baseline"/>
        <w:rPr>
          <w:color w:val="auto"/>
          <w:sz w:val="24"/>
          <w:szCs w:val="24"/>
        </w:rPr>
      </w:pPr>
      <w:r>
        <w:rPr>
          <w:rFonts w:hint="eastAsia" w:cs="宋体"/>
          <w:color w:val="auto"/>
          <w:sz w:val="24"/>
          <w:szCs w:val="24"/>
        </w:rPr>
        <w:t>注：如为被委托受权人参加项目竞争性磋商响应，须将身份证原件带至竞争性磋商现场备查。</w:t>
      </w:r>
    </w:p>
    <w:p>
      <w:pPr>
        <w:snapToGrid w:val="0"/>
        <w:spacing w:line="520" w:lineRule="exact"/>
        <w:jc w:val="center"/>
        <w:outlineLvl w:val="3"/>
        <w:rPr>
          <w:rFonts w:ascii="宋体"/>
          <w:b/>
          <w:bCs/>
          <w:color w:val="auto"/>
          <w:sz w:val="28"/>
          <w:szCs w:val="28"/>
        </w:rPr>
      </w:pPr>
    </w:p>
    <w:p>
      <w:pPr>
        <w:jc w:val="center"/>
        <w:rPr>
          <w:rFonts w:ascii="宋体" w:hAnsi="宋体" w:cs="宋体"/>
          <w:b/>
          <w:color w:val="auto"/>
          <w:sz w:val="24"/>
          <w:szCs w:val="24"/>
        </w:rPr>
      </w:pPr>
      <w:r>
        <w:rPr>
          <w:color w:val="auto"/>
        </w:rPr>
        <w:br w:type="page"/>
      </w:r>
      <w:r>
        <w:rPr>
          <w:rFonts w:hint="eastAsia" w:ascii="宋体" w:hAnsi="宋体" w:cs="宋体"/>
          <w:b/>
          <w:color w:val="auto"/>
          <w:sz w:val="24"/>
          <w:szCs w:val="24"/>
        </w:rPr>
        <w:t>3、供应商一般情况表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企业名称</w:t>
            </w:r>
          </w:p>
        </w:tc>
        <w:tc>
          <w:tcPr>
            <w:tcW w:w="7229" w:type="dxa"/>
            <w:gridSpan w:val="8"/>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总部地址</w:t>
            </w:r>
          </w:p>
        </w:tc>
        <w:tc>
          <w:tcPr>
            <w:tcW w:w="7229" w:type="dxa"/>
            <w:gridSpan w:val="8"/>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分支机构</w:t>
            </w:r>
          </w:p>
        </w:tc>
        <w:tc>
          <w:tcPr>
            <w:tcW w:w="7229" w:type="dxa"/>
            <w:gridSpan w:val="8"/>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rPr>
                <w:rFonts w:ascii="宋体" w:hAnsi="宋体" w:cs="宋体"/>
                <w:color w:val="auto"/>
                <w:sz w:val="24"/>
                <w:szCs w:val="24"/>
              </w:rPr>
            </w:pPr>
            <w:r>
              <w:rPr>
                <w:rFonts w:hint="eastAsia" w:ascii="宋体" w:hAnsi="宋体" w:cs="宋体"/>
                <w:color w:val="auto"/>
                <w:sz w:val="24"/>
                <w:szCs w:val="24"/>
              </w:rPr>
              <w:t>当地代表处地址</w:t>
            </w:r>
          </w:p>
        </w:tc>
        <w:tc>
          <w:tcPr>
            <w:tcW w:w="7229" w:type="dxa"/>
            <w:gridSpan w:val="8"/>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电话</w:t>
            </w:r>
          </w:p>
        </w:tc>
        <w:tc>
          <w:tcPr>
            <w:tcW w:w="2408" w:type="dxa"/>
            <w:gridSpan w:val="3"/>
            <w:noWrap/>
          </w:tcPr>
          <w:p>
            <w:pPr>
              <w:spacing w:line="520" w:lineRule="exact"/>
              <w:ind w:firstLine="484" w:firstLineChars="202"/>
              <w:rPr>
                <w:rFonts w:ascii="宋体" w:hAnsi="宋体" w:cs="宋体"/>
                <w:color w:val="auto"/>
                <w:sz w:val="24"/>
                <w:szCs w:val="24"/>
              </w:rPr>
            </w:pPr>
          </w:p>
        </w:tc>
        <w:tc>
          <w:tcPr>
            <w:tcW w:w="1875" w:type="dxa"/>
            <w:gridSpan w:val="2"/>
            <w:noWrap/>
          </w:tcPr>
          <w:p>
            <w:pPr>
              <w:spacing w:line="520" w:lineRule="exact"/>
              <w:ind w:firstLine="484" w:firstLineChars="202"/>
              <w:rPr>
                <w:rFonts w:ascii="宋体" w:hAnsi="宋体" w:cs="宋体"/>
                <w:color w:val="auto"/>
                <w:sz w:val="24"/>
                <w:szCs w:val="24"/>
              </w:rPr>
            </w:pPr>
            <w:r>
              <w:rPr>
                <w:rFonts w:ascii="宋体" w:hAnsi="宋体" w:cs="宋体"/>
                <w:color w:val="auto"/>
                <w:sz w:val="24"/>
                <w:szCs w:val="24"/>
              </w:rPr>
              <w:t>联系人</w:t>
            </w:r>
          </w:p>
        </w:tc>
        <w:tc>
          <w:tcPr>
            <w:tcW w:w="2946" w:type="dxa"/>
            <w:gridSpan w:val="3"/>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传真</w:t>
            </w:r>
          </w:p>
        </w:tc>
        <w:tc>
          <w:tcPr>
            <w:tcW w:w="2408" w:type="dxa"/>
            <w:gridSpan w:val="3"/>
            <w:noWrap/>
          </w:tcPr>
          <w:p>
            <w:pPr>
              <w:spacing w:line="520" w:lineRule="exact"/>
              <w:ind w:firstLine="484" w:firstLineChars="202"/>
              <w:rPr>
                <w:rFonts w:ascii="宋体" w:hAnsi="宋体" w:cs="宋体"/>
                <w:color w:val="auto"/>
                <w:sz w:val="24"/>
                <w:szCs w:val="24"/>
              </w:rPr>
            </w:pPr>
          </w:p>
        </w:tc>
        <w:tc>
          <w:tcPr>
            <w:tcW w:w="1875" w:type="dxa"/>
            <w:gridSpan w:val="2"/>
            <w:noWrap/>
          </w:tcPr>
          <w:p>
            <w:pPr>
              <w:spacing w:line="520" w:lineRule="exact"/>
              <w:ind w:firstLine="484" w:firstLineChars="202"/>
              <w:rPr>
                <w:rFonts w:ascii="宋体" w:hAnsi="宋体" w:cs="宋体"/>
                <w:color w:val="auto"/>
                <w:sz w:val="24"/>
                <w:szCs w:val="24"/>
              </w:rPr>
            </w:pPr>
            <w:r>
              <w:rPr>
                <w:rFonts w:ascii="宋体" w:hAnsi="宋体" w:cs="宋体"/>
                <w:color w:val="auto"/>
                <w:sz w:val="24"/>
                <w:szCs w:val="24"/>
              </w:rPr>
              <w:t>电子邮件</w:t>
            </w:r>
          </w:p>
        </w:tc>
        <w:tc>
          <w:tcPr>
            <w:tcW w:w="2946" w:type="dxa"/>
            <w:gridSpan w:val="3"/>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注册地</w:t>
            </w:r>
          </w:p>
        </w:tc>
        <w:tc>
          <w:tcPr>
            <w:tcW w:w="2408" w:type="dxa"/>
            <w:gridSpan w:val="3"/>
            <w:noWrap/>
          </w:tcPr>
          <w:p>
            <w:pPr>
              <w:spacing w:line="520" w:lineRule="exact"/>
              <w:ind w:firstLine="484" w:firstLineChars="202"/>
              <w:rPr>
                <w:rFonts w:ascii="宋体" w:hAnsi="宋体" w:cs="宋体"/>
                <w:color w:val="auto"/>
                <w:sz w:val="24"/>
                <w:szCs w:val="24"/>
              </w:rPr>
            </w:pPr>
          </w:p>
        </w:tc>
        <w:tc>
          <w:tcPr>
            <w:tcW w:w="1875" w:type="dxa"/>
            <w:gridSpan w:val="2"/>
            <w:noWrap/>
          </w:tcPr>
          <w:p>
            <w:pPr>
              <w:spacing w:line="520" w:lineRule="exact"/>
              <w:ind w:firstLine="484" w:firstLineChars="202"/>
              <w:rPr>
                <w:rFonts w:ascii="宋体" w:hAnsi="宋体" w:cs="宋体"/>
                <w:color w:val="auto"/>
                <w:sz w:val="24"/>
                <w:szCs w:val="24"/>
              </w:rPr>
            </w:pPr>
            <w:r>
              <w:rPr>
                <w:rFonts w:ascii="宋体" w:hAnsi="宋体" w:cs="宋体"/>
                <w:color w:val="auto"/>
                <w:sz w:val="24"/>
                <w:szCs w:val="24"/>
              </w:rPr>
              <w:t>注册年份</w:t>
            </w:r>
          </w:p>
        </w:tc>
        <w:tc>
          <w:tcPr>
            <w:tcW w:w="2946" w:type="dxa"/>
            <w:gridSpan w:val="3"/>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资质等级</w:t>
            </w:r>
          </w:p>
        </w:tc>
        <w:tc>
          <w:tcPr>
            <w:tcW w:w="7229" w:type="dxa"/>
            <w:gridSpan w:val="8"/>
            <w:noWrap/>
          </w:tcPr>
          <w:p>
            <w:pPr>
              <w:spacing w:line="520" w:lineRule="exact"/>
              <w:ind w:firstLine="484" w:firstLineChars="202"/>
              <w:rPr>
                <w:rFonts w:ascii="宋体" w:hAnsi="宋体" w:cs="宋体"/>
                <w:color w:val="auto"/>
                <w:sz w:val="24"/>
                <w:szCs w:val="24"/>
              </w:rPr>
            </w:pPr>
            <w:r>
              <w:rPr>
                <w:rFonts w:ascii="宋体" w:hAnsi="宋体" w:cs="宋体"/>
                <w:color w:val="auto"/>
                <w:sz w:val="24"/>
                <w:szCs w:val="24"/>
              </w:rPr>
              <w:t>公司</w:t>
            </w:r>
            <w:r>
              <w:rPr>
                <w:rFonts w:hint="eastAsia" w:ascii="宋体" w:hAnsi="宋体" w:cs="宋体"/>
                <w:color w:val="auto"/>
                <w:sz w:val="24"/>
                <w:szCs w:val="24"/>
              </w:rPr>
              <w:t>具备的相关</w:t>
            </w:r>
            <w:r>
              <w:rPr>
                <w:rFonts w:ascii="宋体" w:hAnsi="宋体" w:cs="宋体"/>
                <w:color w:val="auto"/>
                <w:sz w:val="24"/>
                <w:szCs w:val="24"/>
              </w:rPr>
              <w:t>资质等级</w:t>
            </w:r>
            <w:r>
              <w:rPr>
                <w:rFonts w:hint="eastAsia" w:ascii="宋体" w:hAnsi="宋体" w:cs="宋体"/>
                <w:color w:val="auto"/>
                <w:sz w:val="24"/>
                <w:szCs w:val="24"/>
              </w:rPr>
              <w:t>及相应的</w:t>
            </w:r>
            <w:r>
              <w:rPr>
                <w:rFonts w:ascii="宋体" w:hAnsi="宋体" w:cs="宋体"/>
                <w:color w:val="auto"/>
                <w:sz w:val="24"/>
                <w:szCs w:val="24"/>
              </w:rPr>
              <w:t>证书号</w:t>
            </w:r>
          </w:p>
          <w:p>
            <w:pPr>
              <w:spacing w:line="520" w:lineRule="exact"/>
              <w:ind w:firstLine="484" w:firstLineChars="202"/>
              <w:rPr>
                <w:rFonts w:ascii="宋体" w:hAnsi="宋体" w:cs="宋体"/>
                <w:color w:val="auto"/>
                <w:sz w:val="24"/>
                <w:szCs w:val="24"/>
              </w:rPr>
            </w:pPr>
            <w:r>
              <w:rPr>
                <w:rFonts w:ascii="宋体" w:hAnsi="宋体" w:cs="宋体"/>
                <w:color w:val="auto"/>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质量管理体系</w:t>
            </w:r>
          </w:p>
        </w:tc>
        <w:tc>
          <w:tcPr>
            <w:tcW w:w="7229" w:type="dxa"/>
            <w:gridSpan w:val="8"/>
            <w:noWrap/>
          </w:tcPr>
          <w:p>
            <w:pPr>
              <w:spacing w:line="520" w:lineRule="exact"/>
              <w:ind w:firstLine="484" w:firstLineChars="202"/>
              <w:rPr>
                <w:rFonts w:ascii="宋体" w:hAnsi="宋体" w:cs="宋体"/>
                <w:color w:val="auto"/>
                <w:sz w:val="24"/>
                <w:szCs w:val="24"/>
              </w:rPr>
            </w:pPr>
            <w:r>
              <w:rPr>
                <w:rFonts w:ascii="宋体" w:hAnsi="宋体" w:cs="宋体"/>
                <w:color w:val="auto"/>
                <w:sz w:val="24"/>
                <w:szCs w:val="24"/>
              </w:rPr>
              <w:t>公司   （是否通过，何种）   质量保证体系认证（如通过请附相关</w:t>
            </w:r>
            <w:r>
              <w:rPr>
                <w:rFonts w:hint="eastAsia" w:ascii="宋体" w:hAnsi="宋体" w:cs="宋体"/>
                <w:color w:val="auto"/>
                <w:sz w:val="24"/>
                <w:szCs w:val="24"/>
              </w:rPr>
              <w:t>在有效期内的</w:t>
            </w:r>
            <w:r>
              <w:rPr>
                <w:rFonts w:ascii="宋体" w:hAnsi="宋体" w:cs="宋体"/>
                <w:color w:val="auto"/>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项目负责人</w:t>
            </w:r>
          </w:p>
        </w:tc>
        <w:tc>
          <w:tcPr>
            <w:tcW w:w="1559" w:type="dxa"/>
            <w:gridSpan w:val="2"/>
            <w:noWrap/>
          </w:tcPr>
          <w:p>
            <w:pPr>
              <w:spacing w:line="520" w:lineRule="exact"/>
              <w:ind w:firstLine="484" w:firstLineChars="202"/>
              <w:rPr>
                <w:rFonts w:ascii="宋体" w:hAnsi="宋体" w:cs="宋体"/>
                <w:color w:val="auto"/>
                <w:sz w:val="24"/>
                <w:szCs w:val="24"/>
              </w:rPr>
            </w:pPr>
          </w:p>
        </w:tc>
        <w:tc>
          <w:tcPr>
            <w:tcW w:w="1417" w:type="dxa"/>
            <w:gridSpan w:val="2"/>
            <w:noWrap/>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年龄</w:t>
            </w:r>
          </w:p>
        </w:tc>
        <w:tc>
          <w:tcPr>
            <w:tcW w:w="1466" w:type="dxa"/>
            <w:gridSpan w:val="2"/>
            <w:noWrap/>
          </w:tcPr>
          <w:p>
            <w:pPr>
              <w:spacing w:line="520" w:lineRule="exact"/>
              <w:ind w:firstLine="484" w:firstLineChars="202"/>
              <w:rPr>
                <w:rFonts w:ascii="宋体" w:hAnsi="宋体" w:cs="宋体"/>
                <w:color w:val="auto"/>
                <w:sz w:val="24"/>
                <w:szCs w:val="24"/>
              </w:rPr>
            </w:pPr>
          </w:p>
        </w:tc>
        <w:tc>
          <w:tcPr>
            <w:tcW w:w="1320" w:type="dxa"/>
            <w:noWrap/>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性别</w:t>
            </w:r>
          </w:p>
        </w:tc>
        <w:tc>
          <w:tcPr>
            <w:tcW w:w="1467" w:type="dxa"/>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职务职称</w:t>
            </w:r>
          </w:p>
        </w:tc>
        <w:tc>
          <w:tcPr>
            <w:tcW w:w="2976" w:type="dxa"/>
            <w:gridSpan w:val="4"/>
            <w:noWrap/>
          </w:tcPr>
          <w:p>
            <w:pPr>
              <w:spacing w:line="520" w:lineRule="exact"/>
              <w:ind w:firstLine="484" w:firstLineChars="202"/>
              <w:rPr>
                <w:rFonts w:ascii="宋体" w:hAnsi="宋体" w:cs="宋体"/>
                <w:color w:val="auto"/>
                <w:sz w:val="24"/>
                <w:szCs w:val="24"/>
              </w:rPr>
            </w:pPr>
          </w:p>
        </w:tc>
        <w:tc>
          <w:tcPr>
            <w:tcW w:w="1466" w:type="dxa"/>
            <w:gridSpan w:val="2"/>
            <w:noWrap/>
          </w:tcPr>
          <w:p>
            <w:pPr>
              <w:spacing w:line="520" w:lineRule="exact"/>
              <w:rPr>
                <w:rFonts w:ascii="宋体" w:hAnsi="宋体" w:cs="宋体"/>
                <w:color w:val="auto"/>
                <w:sz w:val="24"/>
                <w:szCs w:val="24"/>
              </w:rPr>
            </w:pPr>
            <w:r>
              <w:rPr>
                <w:rFonts w:hint="eastAsia" w:ascii="宋体" w:hAnsi="宋体" w:cs="宋体"/>
                <w:color w:val="auto"/>
                <w:sz w:val="24"/>
                <w:szCs w:val="24"/>
              </w:rPr>
              <w:t>执业资格</w:t>
            </w:r>
          </w:p>
        </w:tc>
        <w:tc>
          <w:tcPr>
            <w:tcW w:w="2787" w:type="dxa"/>
            <w:gridSpan w:val="2"/>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8" w:hRule="atLeast"/>
          <w:jc w:val="center"/>
        </w:trPr>
        <w:tc>
          <w:tcPr>
            <w:tcW w:w="2235" w:type="dxa"/>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经营范围</w:t>
            </w:r>
          </w:p>
        </w:tc>
        <w:tc>
          <w:tcPr>
            <w:tcW w:w="7229" w:type="dxa"/>
            <w:gridSpan w:val="8"/>
            <w:noWrap/>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营业执照载明：</w:t>
            </w:r>
          </w:p>
          <w:p>
            <w:pPr>
              <w:spacing w:line="520" w:lineRule="exact"/>
              <w:ind w:firstLine="484" w:firstLineChars="202"/>
              <w:rPr>
                <w:rFonts w:ascii="宋体" w:hAnsi="宋体" w:cs="宋体"/>
                <w:color w:val="auto"/>
                <w:sz w:val="24"/>
                <w:szCs w:val="24"/>
              </w:rPr>
            </w:pPr>
            <w:r>
              <w:rPr>
                <w:rFonts w:ascii="宋体" w:hAnsi="宋体" w:cs="宋体"/>
                <w:color w:val="auto"/>
                <w:sz w:val="24"/>
                <w:szCs w:val="24"/>
              </w:rPr>
              <w:t xml:space="preserve">1.                                               </w:t>
            </w:r>
          </w:p>
          <w:p>
            <w:pPr>
              <w:spacing w:line="520" w:lineRule="exact"/>
              <w:ind w:firstLine="484" w:firstLineChars="202"/>
              <w:rPr>
                <w:rFonts w:ascii="宋体" w:hAnsi="宋体" w:cs="宋体"/>
                <w:color w:val="auto"/>
                <w:sz w:val="24"/>
                <w:szCs w:val="24"/>
              </w:rPr>
            </w:pPr>
            <w:r>
              <w:rPr>
                <w:rFonts w:ascii="宋体" w:hAnsi="宋体" w:cs="宋体"/>
                <w:color w:val="auto"/>
                <w:sz w:val="24"/>
                <w:szCs w:val="24"/>
              </w:rPr>
              <w:t xml:space="preserve">2.                                               </w:t>
            </w:r>
          </w:p>
          <w:p>
            <w:pPr>
              <w:spacing w:line="520" w:lineRule="exact"/>
              <w:ind w:firstLine="484" w:firstLineChars="202"/>
              <w:rPr>
                <w:rFonts w:ascii="宋体" w:hAnsi="宋体" w:cs="宋体"/>
                <w:color w:val="auto"/>
                <w:sz w:val="24"/>
                <w:szCs w:val="24"/>
              </w:rPr>
            </w:pPr>
            <w:r>
              <w:rPr>
                <w:rFonts w:ascii="宋体" w:hAnsi="宋体" w:cs="宋体"/>
                <w:color w:val="auto"/>
                <w:sz w:val="24"/>
                <w:szCs w:val="24"/>
              </w:rPr>
              <w:t xml:space="preserve">3.                                               </w:t>
            </w:r>
          </w:p>
          <w:p>
            <w:pPr>
              <w:spacing w:line="520" w:lineRule="exact"/>
              <w:ind w:firstLine="484" w:firstLineChars="202"/>
              <w:rPr>
                <w:rFonts w:ascii="宋体" w:hAnsi="宋体" w:cs="宋体"/>
                <w:color w:val="auto"/>
                <w:sz w:val="24"/>
                <w:szCs w:val="24"/>
              </w:rPr>
            </w:pPr>
            <w:r>
              <w:rPr>
                <w:rFonts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43" w:type="dxa"/>
            <w:gridSpan w:val="2"/>
            <w:noWrap/>
            <w:vAlign w:val="center"/>
          </w:tcPr>
          <w:p>
            <w:pPr>
              <w:spacing w:line="520" w:lineRule="exact"/>
              <w:rPr>
                <w:rFonts w:ascii="宋体" w:hAnsi="宋体" w:cs="宋体"/>
                <w:color w:val="auto"/>
                <w:sz w:val="24"/>
                <w:szCs w:val="24"/>
              </w:rPr>
            </w:pPr>
            <w:r>
              <w:rPr>
                <w:rFonts w:hint="eastAsia" w:ascii="宋体" w:hAnsi="宋体" w:cs="宋体"/>
                <w:color w:val="auto"/>
                <w:sz w:val="24"/>
                <w:szCs w:val="24"/>
              </w:rPr>
              <w:t>从事类似相关项目的经历及</w:t>
            </w:r>
            <w:r>
              <w:rPr>
                <w:rFonts w:ascii="宋体" w:hAnsi="宋体" w:cs="宋体"/>
                <w:color w:val="auto"/>
                <w:sz w:val="24"/>
                <w:szCs w:val="24"/>
              </w:rPr>
              <w:t>年数</w:t>
            </w:r>
          </w:p>
        </w:tc>
        <w:tc>
          <w:tcPr>
            <w:tcW w:w="6521" w:type="dxa"/>
            <w:gridSpan w:val="7"/>
            <w:noWrap/>
          </w:tcPr>
          <w:p>
            <w:pPr>
              <w:spacing w:line="520" w:lineRule="exact"/>
              <w:ind w:firstLine="484" w:firstLineChars="202"/>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43" w:type="dxa"/>
            <w:gridSpan w:val="2"/>
            <w:noWrap/>
            <w:vAlign w:val="center"/>
          </w:tcPr>
          <w:p>
            <w:pPr>
              <w:spacing w:line="520" w:lineRule="exact"/>
              <w:ind w:firstLine="484" w:firstLineChars="202"/>
              <w:rPr>
                <w:rFonts w:ascii="宋体" w:hAnsi="宋体" w:cs="宋体"/>
                <w:color w:val="auto"/>
                <w:sz w:val="24"/>
                <w:szCs w:val="24"/>
              </w:rPr>
            </w:pPr>
            <w:r>
              <w:rPr>
                <w:rFonts w:hint="eastAsia" w:ascii="宋体" w:hAnsi="宋体" w:cs="宋体"/>
                <w:color w:val="auto"/>
                <w:sz w:val="24"/>
                <w:szCs w:val="24"/>
              </w:rPr>
              <w:t>其他认为有必要提供的内容，可自行添加</w:t>
            </w:r>
          </w:p>
        </w:tc>
        <w:tc>
          <w:tcPr>
            <w:tcW w:w="6521" w:type="dxa"/>
            <w:gridSpan w:val="7"/>
            <w:noWrap/>
          </w:tcPr>
          <w:p>
            <w:pPr>
              <w:spacing w:line="520" w:lineRule="exact"/>
              <w:ind w:firstLine="484" w:firstLineChars="202"/>
              <w:rPr>
                <w:rFonts w:ascii="宋体" w:hAnsi="宋体" w:cs="宋体"/>
                <w:color w:val="auto"/>
                <w:sz w:val="24"/>
                <w:szCs w:val="24"/>
              </w:rPr>
            </w:pPr>
          </w:p>
        </w:tc>
      </w:tr>
    </w:tbl>
    <w:p>
      <w:pPr>
        <w:snapToGrid w:val="0"/>
        <w:spacing w:line="360" w:lineRule="auto"/>
        <w:ind w:right="79"/>
        <w:textAlignment w:val="baseline"/>
        <w:rPr>
          <w:rFonts w:ascii="宋体" w:hAnsi="宋体" w:cs="宋体"/>
          <w:color w:val="auto"/>
          <w:sz w:val="24"/>
          <w:szCs w:val="24"/>
        </w:rPr>
      </w:pPr>
      <w:r>
        <w:rPr>
          <w:rFonts w:hint="eastAsia" w:ascii="宋体" w:hAnsi="宋体" w:cs="宋体"/>
          <w:color w:val="auto"/>
          <w:sz w:val="24"/>
          <w:szCs w:val="24"/>
        </w:rPr>
        <w:t>竞争性磋商响应</w:t>
      </w:r>
      <w:r>
        <w:rPr>
          <w:rFonts w:hint="eastAsia" w:ascii="宋体" w:hAnsi="宋体" w:cs="宋体"/>
          <w:color w:val="auto"/>
          <w:szCs w:val="24"/>
        </w:rPr>
        <w:t>供应商：（单位盖章）</w:t>
      </w:r>
    </w:p>
    <w:p>
      <w:pPr>
        <w:snapToGrid w:val="0"/>
        <w:spacing w:line="360" w:lineRule="auto"/>
        <w:rPr>
          <w:rFonts w:ascii="宋体" w:hAnsi="宋体" w:cs="宋体"/>
          <w:color w:val="auto"/>
          <w:sz w:val="24"/>
          <w:szCs w:val="24"/>
        </w:rPr>
      </w:pPr>
      <w:r>
        <w:rPr>
          <w:rFonts w:hint="eastAsia" w:hAnsi="宋体" w:cs="宋体"/>
          <w:color w:val="auto"/>
          <w:sz w:val="24"/>
        </w:rPr>
        <w:t>法定代表人或</w:t>
      </w:r>
      <w:r>
        <w:rPr>
          <w:rFonts w:hint="eastAsia" w:hAnsi="宋体" w:cs="仿宋_GB2312"/>
          <w:color w:val="auto"/>
          <w:sz w:val="24"/>
        </w:rPr>
        <w:t>被授权人（签字或盖章）</w:t>
      </w:r>
      <w:r>
        <w:rPr>
          <w:rFonts w:hint="eastAsia" w:hAnsi="宋体" w:cs="宋体"/>
          <w:color w:val="auto"/>
          <w:sz w:val="24"/>
        </w:rPr>
        <w:t>：</w:t>
      </w:r>
    </w:p>
    <w:p>
      <w:pPr>
        <w:snapToGrid w:val="0"/>
        <w:spacing w:line="360" w:lineRule="auto"/>
        <w:rPr>
          <w:rFonts w:ascii="宋体" w:hAnsi="宋体" w:cs="宋体"/>
          <w:color w:val="auto"/>
          <w:sz w:val="24"/>
          <w:szCs w:val="24"/>
        </w:rPr>
      </w:pPr>
      <w:r>
        <w:rPr>
          <w:rFonts w:hint="eastAsia" w:ascii="宋体" w:hAnsi="宋体" w:cs="宋体"/>
          <w:color w:val="auto"/>
          <w:sz w:val="24"/>
          <w:szCs w:val="24"/>
        </w:rPr>
        <w:t>日期：  年  月  日</w:t>
      </w:r>
      <w:r>
        <w:rPr>
          <w:rFonts w:hint="eastAsia" w:ascii="宋体" w:hAnsi="宋体" w:cs="宋体"/>
          <w:color w:val="auto"/>
          <w:sz w:val="24"/>
          <w:szCs w:val="24"/>
        </w:rPr>
        <w:br w:type="page"/>
      </w:r>
    </w:p>
    <w:p>
      <w:pPr>
        <w:snapToGrid w:val="0"/>
        <w:spacing w:line="520" w:lineRule="exact"/>
        <w:ind w:firstLine="562" w:firstLineChars="200"/>
        <w:jc w:val="center"/>
        <w:outlineLvl w:val="3"/>
        <w:rPr>
          <w:rFonts w:ascii="宋体" w:hAnsi="宋体" w:cs="宋体"/>
          <w:b/>
          <w:bCs/>
          <w:color w:val="auto"/>
          <w:sz w:val="28"/>
          <w:szCs w:val="28"/>
        </w:rPr>
      </w:pPr>
      <w:r>
        <w:rPr>
          <w:rFonts w:hint="eastAsia" w:ascii="宋体" w:hAnsi="宋体" w:cs="宋体"/>
          <w:b/>
          <w:bCs/>
          <w:color w:val="auto"/>
          <w:sz w:val="28"/>
          <w:szCs w:val="28"/>
        </w:rPr>
        <w:t>4、具有履行合同所必需的设备和专业技术能力的书面声明</w:t>
      </w:r>
    </w:p>
    <w:p>
      <w:pPr>
        <w:spacing w:line="360" w:lineRule="auto"/>
        <w:rPr>
          <w:rFonts w:ascii="宋体" w:hAnsi="宋体"/>
          <w:color w:val="auto"/>
          <w:sz w:val="24"/>
          <w:szCs w:val="24"/>
        </w:rPr>
      </w:pPr>
    </w:p>
    <w:p>
      <w:pPr>
        <w:spacing w:line="560" w:lineRule="exact"/>
        <w:rPr>
          <w:rFonts w:ascii="宋体"/>
          <w:color w:val="auto"/>
          <w:sz w:val="24"/>
          <w:szCs w:val="24"/>
          <w:u w:val="single"/>
        </w:rPr>
      </w:pPr>
      <w:r>
        <w:rPr>
          <w:rFonts w:hint="eastAsia" w:ascii="宋体" w:hAnsi="宋体" w:cs="宋体"/>
          <w:color w:val="auto"/>
          <w:sz w:val="24"/>
          <w:szCs w:val="24"/>
          <w:u w:val="single"/>
        </w:rPr>
        <w:t>南通市妇幼保健院：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我单位（供应商名称）郑重声明：</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我公司在完全理解本项目招标的技术要求，商务条款及其他内容后，决定参与该项目的投标活动。并声明，如中标，我公司将提供足够的设备和专业技术能力保证合同履行。服务满足招标文件中的要求。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本公司对上述声明的真实性负责。如有虚假，我公司同意按我方合同违约处理，并依法承担相应法律责任。</w:t>
      </w:r>
    </w:p>
    <w:p>
      <w:pPr>
        <w:spacing w:line="360" w:lineRule="auto"/>
        <w:ind w:firstLine="480" w:firstLineChars="200"/>
        <w:rPr>
          <w:rFonts w:ascii="宋体" w:hAnsi="宋体"/>
          <w:color w:val="auto"/>
          <w:sz w:val="24"/>
          <w:szCs w:val="24"/>
        </w:rPr>
      </w:pPr>
    </w:p>
    <w:p>
      <w:pPr>
        <w:spacing w:line="360" w:lineRule="auto"/>
        <w:ind w:firstLine="480" w:firstLineChars="200"/>
        <w:rPr>
          <w:rFonts w:ascii="宋体" w:hAnsi="宋体"/>
          <w:color w:val="auto"/>
          <w:sz w:val="24"/>
          <w:szCs w:val="24"/>
        </w:rPr>
      </w:pPr>
    </w:p>
    <w:p>
      <w:pPr>
        <w:spacing w:line="360" w:lineRule="auto"/>
        <w:ind w:firstLine="480" w:firstLineChars="200"/>
        <w:rPr>
          <w:rFonts w:ascii="宋体" w:hAnsi="宋体"/>
          <w:color w:val="auto"/>
          <w:sz w:val="24"/>
          <w:szCs w:val="24"/>
        </w:rPr>
      </w:pPr>
    </w:p>
    <w:p>
      <w:pPr>
        <w:spacing w:line="360" w:lineRule="auto"/>
        <w:ind w:firstLine="5280" w:firstLineChars="2200"/>
        <w:rPr>
          <w:rFonts w:ascii="宋体" w:hAnsi="宋体"/>
          <w:color w:val="auto"/>
          <w:sz w:val="24"/>
          <w:szCs w:val="24"/>
        </w:rPr>
      </w:pPr>
      <w:r>
        <w:rPr>
          <w:rFonts w:hint="eastAsia" w:ascii="宋体" w:hAnsi="宋体"/>
          <w:color w:val="auto"/>
          <w:sz w:val="24"/>
          <w:szCs w:val="24"/>
        </w:rPr>
        <w:t>声明单位：（公章）</w:t>
      </w:r>
    </w:p>
    <w:p>
      <w:pPr>
        <w:snapToGrid w:val="0"/>
        <w:spacing w:line="360" w:lineRule="auto"/>
        <w:jc w:val="center"/>
        <w:textAlignment w:val="baseline"/>
        <w:rPr>
          <w:rFonts w:ascii="宋体" w:hAnsi="宋体"/>
          <w:color w:val="auto"/>
          <w:sz w:val="24"/>
          <w:szCs w:val="24"/>
          <w:lang w:val="zh-CN"/>
        </w:rPr>
      </w:pPr>
      <w:r>
        <w:rPr>
          <w:rFonts w:hint="eastAsia" w:ascii="宋体" w:hAnsi="宋体"/>
          <w:color w:val="auto"/>
          <w:sz w:val="24"/>
          <w:szCs w:val="24"/>
          <w:lang w:val="zh-CN"/>
        </w:rPr>
        <w:t>日期：年月日</w:t>
      </w:r>
    </w:p>
    <w:p>
      <w:pPr>
        <w:spacing w:line="360" w:lineRule="auto"/>
        <w:jc w:val="center"/>
        <w:rPr>
          <w:rFonts w:ascii="宋体"/>
          <w:b/>
          <w:bCs/>
          <w:color w:val="auto"/>
          <w:sz w:val="28"/>
          <w:szCs w:val="28"/>
        </w:rPr>
      </w:pPr>
      <w:r>
        <w:rPr>
          <w:color w:val="auto"/>
        </w:rPr>
        <w:br w:type="page"/>
      </w:r>
      <w:r>
        <w:rPr>
          <w:rFonts w:hint="eastAsia" w:ascii="宋体" w:hAnsi="宋体" w:cs="宋体"/>
          <w:b/>
          <w:bCs/>
          <w:color w:val="auto"/>
          <w:sz w:val="28"/>
          <w:szCs w:val="28"/>
        </w:rPr>
        <w:t>5、无重大违法记录声明</w:t>
      </w:r>
    </w:p>
    <w:p>
      <w:pPr>
        <w:spacing w:line="560" w:lineRule="exact"/>
        <w:rPr>
          <w:rFonts w:ascii="宋体"/>
          <w:color w:val="auto"/>
          <w:sz w:val="24"/>
          <w:szCs w:val="24"/>
          <w:u w:val="single"/>
        </w:rPr>
      </w:pPr>
      <w:r>
        <w:rPr>
          <w:rFonts w:hint="eastAsia" w:ascii="宋体" w:hAnsi="宋体" w:cs="宋体"/>
          <w:color w:val="auto"/>
          <w:sz w:val="24"/>
          <w:szCs w:val="24"/>
          <w:u w:val="single"/>
        </w:rPr>
        <w:t>南通市妇幼保健院：</w:t>
      </w:r>
    </w:p>
    <w:p>
      <w:pPr>
        <w:spacing w:line="560" w:lineRule="exact"/>
        <w:rPr>
          <w:rFonts w:ascii="宋体"/>
          <w:color w:val="auto"/>
          <w:sz w:val="24"/>
          <w:szCs w:val="24"/>
        </w:rPr>
      </w:pPr>
      <w:r>
        <w:rPr>
          <w:rFonts w:hint="eastAsia" w:ascii="宋体" w:hAnsi="宋体" w:cs="宋体"/>
          <w:color w:val="auto"/>
          <w:sz w:val="24"/>
          <w:szCs w:val="24"/>
        </w:rPr>
        <w:t>我单位（供应商名称）郑重声明：</w:t>
      </w:r>
    </w:p>
    <w:p>
      <w:pPr>
        <w:spacing w:line="560" w:lineRule="exact"/>
        <w:rPr>
          <w:rFonts w:ascii="宋体"/>
          <w:color w:val="auto"/>
          <w:sz w:val="24"/>
          <w:szCs w:val="24"/>
        </w:rPr>
      </w:pPr>
      <w:r>
        <w:rPr>
          <w:rFonts w:hint="eastAsia" w:ascii="宋体" w:hAnsi="宋体" w:cs="宋体"/>
          <w:color w:val="auto"/>
          <w:sz w:val="24"/>
          <w:szCs w:val="24"/>
        </w:rPr>
        <w:t>参加政府采购活动前</w:t>
      </w:r>
      <w:r>
        <w:rPr>
          <w:rFonts w:ascii="宋体" w:hAnsi="宋体" w:cs="宋体"/>
          <w:color w:val="auto"/>
          <w:sz w:val="24"/>
          <w:szCs w:val="24"/>
        </w:rPr>
        <w:t>3</w:t>
      </w:r>
      <w:r>
        <w:rPr>
          <w:rFonts w:hint="eastAsia" w:ascii="宋体" w:hAnsi="宋体" w:cs="宋体"/>
          <w:color w:val="auto"/>
          <w:sz w:val="24"/>
          <w:szCs w:val="24"/>
        </w:rPr>
        <w:t>年内在经营活动中（在下划线上如实填写：有或没有）重大违法记录。</w:t>
      </w:r>
    </w:p>
    <w:p>
      <w:pPr>
        <w:spacing w:line="560" w:lineRule="exact"/>
        <w:ind w:firstLine="480"/>
        <w:rPr>
          <w:rFonts w:ascii="宋体"/>
          <w:color w:val="auto"/>
          <w:sz w:val="24"/>
          <w:szCs w:val="24"/>
        </w:rPr>
      </w:pPr>
      <w:r>
        <w:rPr>
          <w:rFonts w:hint="eastAsia" w:ascii="宋体" w:hAnsi="宋体" w:cs="宋体"/>
          <w:color w:val="auto"/>
          <w:sz w:val="24"/>
          <w:szCs w:val="24"/>
        </w:rPr>
        <w:t>（说明：政府采购法第二十二条第一款第五项所称重大违法记录，是指供应商因违法经营受到刑事处罚或者责令停产停业、吊销许可证或者执照、较大数额罚款等行政处罚。）</w:t>
      </w:r>
    </w:p>
    <w:p>
      <w:pPr>
        <w:spacing w:line="420" w:lineRule="exact"/>
        <w:rPr>
          <w:rFonts w:ascii="宋体"/>
          <w:color w:val="auto"/>
          <w:sz w:val="24"/>
          <w:szCs w:val="24"/>
        </w:rPr>
      </w:pPr>
    </w:p>
    <w:p>
      <w:pPr>
        <w:spacing w:line="420" w:lineRule="exact"/>
        <w:ind w:firstLine="6360" w:firstLineChars="2650"/>
        <w:rPr>
          <w:rFonts w:ascii="宋体"/>
          <w:color w:val="auto"/>
          <w:sz w:val="24"/>
          <w:szCs w:val="24"/>
        </w:rPr>
      </w:pPr>
      <w:r>
        <w:rPr>
          <w:rFonts w:hint="eastAsia" w:ascii="宋体" w:hAnsi="宋体" w:cs="宋体"/>
          <w:color w:val="auto"/>
          <w:sz w:val="24"/>
          <w:szCs w:val="24"/>
        </w:rPr>
        <w:t>声明人：（公章）</w:t>
      </w:r>
    </w:p>
    <w:p>
      <w:pPr>
        <w:spacing w:line="420" w:lineRule="exact"/>
        <w:jc w:val="right"/>
        <w:rPr>
          <w:rFonts w:ascii="宋体"/>
          <w:color w:val="auto"/>
          <w:sz w:val="24"/>
          <w:szCs w:val="24"/>
        </w:rPr>
      </w:pPr>
      <w:r>
        <w:rPr>
          <w:rFonts w:hint="eastAsia" w:ascii="宋体" w:hAnsi="宋体" w:cs="宋体"/>
          <w:color w:val="auto"/>
          <w:sz w:val="24"/>
          <w:szCs w:val="24"/>
        </w:rPr>
        <w:t>年月日</w:t>
      </w:r>
    </w:p>
    <w:p>
      <w:pPr>
        <w:snapToGrid w:val="0"/>
        <w:spacing w:line="360" w:lineRule="auto"/>
        <w:jc w:val="center"/>
        <w:outlineLvl w:val="4"/>
        <w:rPr>
          <w:rFonts w:ascii="宋体"/>
          <w:b/>
          <w:bCs/>
          <w:color w:val="auto"/>
          <w:sz w:val="28"/>
          <w:szCs w:val="28"/>
        </w:rPr>
      </w:pPr>
      <w:r>
        <w:rPr>
          <w:rFonts w:ascii="宋体"/>
          <w:b/>
          <w:bCs/>
          <w:color w:val="auto"/>
          <w:sz w:val="28"/>
          <w:szCs w:val="28"/>
        </w:rPr>
        <w:br w:type="page"/>
      </w:r>
      <w:r>
        <w:rPr>
          <w:rFonts w:hint="eastAsia" w:ascii="宋体"/>
          <w:b/>
          <w:bCs/>
          <w:color w:val="auto"/>
          <w:sz w:val="28"/>
          <w:szCs w:val="28"/>
        </w:rPr>
        <w:t>6</w:t>
      </w:r>
      <w:r>
        <w:rPr>
          <w:rFonts w:hint="eastAsia" w:ascii="宋体" w:hAnsi="宋体" w:cs="宋体"/>
          <w:b/>
          <w:bCs/>
          <w:color w:val="auto"/>
          <w:sz w:val="28"/>
          <w:szCs w:val="28"/>
        </w:rPr>
        <w:t>、关于资格文件的声明函</w:t>
      </w:r>
    </w:p>
    <w:p>
      <w:pPr>
        <w:snapToGrid w:val="0"/>
        <w:spacing w:line="360" w:lineRule="auto"/>
        <w:rPr>
          <w:rFonts w:ascii="宋体"/>
          <w:color w:val="auto"/>
          <w:sz w:val="24"/>
          <w:szCs w:val="24"/>
          <w:u w:val="single"/>
        </w:rPr>
      </w:pPr>
    </w:p>
    <w:p>
      <w:pPr>
        <w:snapToGrid w:val="0"/>
        <w:spacing w:line="360" w:lineRule="auto"/>
        <w:rPr>
          <w:rFonts w:ascii="宋体"/>
          <w:color w:val="auto"/>
          <w:sz w:val="24"/>
          <w:szCs w:val="24"/>
          <w:u w:val="single"/>
        </w:rPr>
      </w:pPr>
    </w:p>
    <w:p>
      <w:pPr>
        <w:snapToGrid w:val="0"/>
        <w:spacing w:line="360" w:lineRule="auto"/>
        <w:rPr>
          <w:rFonts w:ascii="宋体"/>
          <w:color w:val="auto"/>
          <w:sz w:val="24"/>
          <w:szCs w:val="24"/>
          <w:u w:val="single"/>
        </w:rPr>
      </w:pPr>
      <w:r>
        <w:rPr>
          <w:rFonts w:hint="eastAsia" w:ascii="宋体" w:hAnsi="宋体" w:cs="宋体"/>
          <w:color w:val="auto"/>
          <w:sz w:val="24"/>
          <w:szCs w:val="24"/>
          <w:u w:val="single"/>
        </w:rPr>
        <w:t>南通市妇幼保健院：</w:t>
      </w:r>
    </w:p>
    <w:p>
      <w:pPr>
        <w:overflowPunct w:val="0"/>
        <w:adjustRightInd w:val="0"/>
        <w:spacing w:line="360" w:lineRule="auto"/>
        <w:ind w:firstLine="660"/>
        <w:jc w:val="left"/>
        <w:textAlignment w:val="baseline"/>
        <w:rPr>
          <w:rFonts w:ascii="宋体"/>
          <w:color w:val="auto"/>
          <w:sz w:val="24"/>
          <w:szCs w:val="24"/>
        </w:rPr>
      </w:pPr>
      <w:r>
        <w:rPr>
          <w:rFonts w:hint="eastAsia" w:ascii="宋体" w:hAnsi="宋体" w:cs="宋体"/>
          <w:color w:val="auto"/>
          <w:sz w:val="24"/>
          <w:szCs w:val="24"/>
        </w:rPr>
        <w:t>本公司愿就由贵单位组织实施的（项目名称</w:t>
      </w:r>
      <w:r>
        <w:rPr>
          <w:rFonts w:ascii="宋体" w:hAnsi="宋体" w:cs="宋体"/>
          <w:color w:val="auto"/>
          <w:sz w:val="24"/>
          <w:szCs w:val="24"/>
        </w:rPr>
        <w:t>)</w:t>
      </w:r>
      <w:r>
        <w:rPr>
          <w:rFonts w:hint="eastAsia" w:ascii="宋体" w:hAnsi="宋体" w:cs="宋体"/>
          <w:color w:val="auto"/>
          <w:sz w:val="24"/>
          <w:szCs w:val="24"/>
        </w:rPr>
        <w:t>的活动参与磋商。本公司所提交的磋商文件中所有关于资格的文件、证明和陈述均是真实的、准确的。若与真实情况不符，本公司愿意承担由此而产生的一切后果。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宋体"/>
          <w:color w:val="auto"/>
          <w:sz w:val="24"/>
          <w:szCs w:val="24"/>
        </w:rPr>
      </w:pPr>
    </w:p>
    <w:p>
      <w:pPr>
        <w:overflowPunct w:val="0"/>
        <w:adjustRightInd w:val="0"/>
        <w:spacing w:line="360" w:lineRule="auto"/>
        <w:ind w:firstLine="420"/>
        <w:jc w:val="left"/>
        <w:textAlignment w:val="baseline"/>
        <w:rPr>
          <w:rFonts w:ascii="宋体"/>
          <w:color w:val="auto"/>
          <w:sz w:val="24"/>
          <w:szCs w:val="24"/>
        </w:rPr>
      </w:pPr>
    </w:p>
    <w:p>
      <w:pPr>
        <w:snapToGrid w:val="0"/>
        <w:spacing w:line="520" w:lineRule="exact"/>
        <w:jc w:val="right"/>
        <w:rPr>
          <w:rFonts w:ascii="宋体"/>
          <w:color w:val="auto"/>
          <w:sz w:val="24"/>
          <w:szCs w:val="24"/>
        </w:rPr>
      </w:pPr>
      <w:r>
        <w:rPr>
          <w:rFonts w:hint="eastAsia" w:ascii="宋体" w:hAnsi="宋体" w:cs="宋体"/>
          <w:color w:val="auto"/>
          <w:sz w:val="24"/>
          <w:szCs w:val="24"/>
        </w:rPr>
        <w:t>竞争性磋商响应单位：（加盖公章）</w:t>
      </w:r>
    </w:p>
    <w:p>
      <w:pPr>
        <w:snapToGrid w:val="0"/>
        <w:spacing w:line="520" w:lineRule="exact"/>
        <w:ind w:firstLine="2400" w:firstLineChars="1000"/>
        <w:jc w:val="right"/>
        <w:rPr>
          <w:rFonts w:ascii="宋体"/>
          <w:color w:val="auto"/>
          <w:sz w:val="24"/>
          <w:szCs w:val="24"/>
        </w:rPr>
      </w:pPr>
      <w:r>
        <w:rPr>
          <w:rFonts w:hint="eastAsia" w:ascii="宋体" w:hAnsi="宋体" w:cs="宋体"/>
          <w:color w:val="auto"/>
          <w:sz w:val="24"/>
          <w:szCs w:val="24"/>
        </w:rPr>
        <w:t>法定代表人或被授权人：（签字或盖章）</w:t>
      </w:r>
    </w:p>
    <w:p>
      <w:pPr>
        <w:snapToGrid w:val="0"/>
        <w:spacing w:line="520" w:lineRule="exact"/>
        <w:jc w:val="right"/>
        <w:rPr>
          <w:rFonts w:ascii="宋体"/>
          <w:color w:val="auto"/>
          <w:sz w:val="24"/>
          <w:szCs w:val="24"/>
        </w:rPr>
      </w:pPr>
      <w:r>
        <w:rPr>
          <w:rFonts w:hint="eastAsia" w:ascii="宋体" w:hAnsi="宋体" w:cs="宋体"/>
          <w:color w:val="auto"/>
          <w:sz w:val="24"/>
          <w:szCs w:val="24"/>
        </w:rPr>
        <w:t>年月日</w:t>
      </w:r>
    </w:p>
    <w:p>
      <w:pPr>
        <w:snapToGrid w:val="0"/>
        <w:spacing w:line="520" w:lineRule="exact"/>
        <w:jc w:val="center"/>
        <w:outlineLvl w:val="3"/>
        <w:rPr>
          <w:rFonts w:ascii="宋体"/>
          <w:b/>
          <w:bCs/>
          <w:color w:val="auto"/>
          <w:sz w:val="28"/>
          <w:szCs w:val="28"/>
        </w:rPr>
      </w:pPr>
    </w:p>
    <w:p>
      <w:pPr>
        <w:snapToGrid w:val="0"/>
        <w:spacing w:line="520" w:lineRule="exact"/>
        <w:jc w:val="center"/>
        <w:outlineLvl w:val="3"/>
        <w:rPr>
          <w:rFonts w:ascii="宋体"/>
          <w:b/>
          <w:bCs/>
          <w:color w:val="auto"/>
          <w:sz w:val="28"/>
          <w:szCs w:val="28"/>
        </w:rPr>
      </w:pPr>
    </w:p>
    <w:p>
      <w:pPr>
        <w:snapToGrid w:val="0"/>
        <w:spacing w:line="520" w:lineRule="exact"/>
        <w:jc w:val="center"/>
        <w:outlineLvl w:val="3"/>
        <w:rPr>
          <w:rFonts w:ascii="宋体"/>
          <w:b/>
          <w:bCs/>
          <w:color w:val="auto"/>
          <w:sz w:val="28"/>
          <w:szCs w:val="28"/>
        </w:rPr>
      </w:pPr>
    </w:p>
    <w:p>
      <w:pPr>
        <w:spacing w:line="360" w:lineRule="auto"/>
        <w:rPr>
          <w:rFonts w:ascii="宋体"/>
          <w:b/>
          <w:bCs/>
          <w:color w:val="auto"/>
          <w:sz w:val="30"/>
          <w:szCs w:val="30"/>
        </w:rPr>
      </w:pPr>
    </w:p>
    <w:p>
      <w:pPr>
        <w:snapToGrid w:val="0"/>
        <w:spacing w:line="520" w:lineRule="exact"/>
        <w:ind w:firstLine="420" w:firstLineChars="200"/>
        <w:jc w:val="center"/>
        <w:rPr>
          <w:rFonts w:ascii="宋体"/>
          <w:b/>
          <w:bCs/>
          <w:color w:val="auto"/>
          <w:sz w:val="28"/>
          <w:szCs w:val="28"/>
        </w:rPr>
      </w:pPr>
      <w:r>
        <w:rPr>
          <w:color w:val="auto"/>
        </w:rPr>
        <w:br w:type="page"/>
      </w:r>
      <w:r>
        <w:rPr>
          <w:rFonts w:hint="eastAsia" w:ascii="宋体" w:hAnsi="宋体" w:cs="宋体"/>
          <w:b/>
          <w:bCs/>
          <w:color w:val="auto"/>
          <w:sz w:val="28"/>
          <w:szCs w:val="28"/>
        </w:rPr>
        <w:t>7、竞争性磋商响应函（格式不得变动）</w:t>
      </w:r>
    </w:p>
    <w:p>
      <w:pPr>
        <w:snapToGrid w:val="0"/>
        <w:spacing w:line="520" w:lineRule="exact"/>
        <w:rPr>
          <w:rFonts w:ascii="宋体"/>
          <w:color w:val="auto"/>
          <w:sz w:val="24"/>
          <w:szCs w:val="24"/>
          <w:u w:val="single"/>
        </w:rPr>
      </w:pPr>
    </w:p>
    <w:p>
      <w:pPr>
        <w:snapToGrid w:val="0"/>
        <w:spacing w:line="520" w:lineRule="exact"/>
        <w:rPr>
          <w:rFonts w:ascii="宋体"/>
          <w:color w:val="auto"/>
          <w:sz w:val="24"/>
          <w:szCs w:val="24"/>
          <w:u w:val="single"/>
        </w:rPr>
      </w:pPr>
      <w:r>
        <w:rPr>
          <w:rFonts w:hint="eastAsia" w:ascii="宋体" w:hAnsi="宋体" w:cs="宋体"/>
          <w:color w:val="auto"/>
          <w:sz w:val="24"/>
          <w:szCs w:val="24"/>
          <w:u w:val="single"/>
        </w:rPr>
        <w:t>南通市妇幼保健院：</w:t>
      </w:r>
    </w:p>
    <w:p>
      <w:pPr>
        <w:snapToGrid w:val="0"/>
        <w:spacing w:line="520" w:lineRule="exact"/>
        <w:ind w:firstLine="480" w:firstLineChars="200"/>
        <w:rPr>
          <w:rFonts w:ascii="宋体"/>
          <w:color w:val="auto"/>
          <w:sz w:val="24"/>
          <w:szCs w:val="24"/>
        </w:rPr>
      </w:pPr>
      <w:r>
        <w:rPr>
          <w:rFonts w:hint="eastAsia" w:ascii="宋体" w:hAnsi="宋体" w:cs="宋体"/>
          <w:color w:val="auto"/>
          <w:sz w:val="24"/>
          <w:szCs w:val="24"/>
        </w:rPr>
        <w:t>依据贵单位委托代理机构组织的（磋商项目名称</w:t>
      </w:r>
      <w:r>
        <w:rPr>
          <w:rFonts w:ascii="宋体" w:hAnsi="宋体" w:cs="宋体"/>
          <w:color w:val="auto"/>
          <w:sz w:val="24"/>
          <w:szCs w:val="24"/>
        </w:rPr>
        <w:t>)</w:t>
      </w:r>
      <w:r>
        <w:rPr>
          <w:rFonts w:hint="eastAsia" w:ascii="宋体" w:hAnsi="宋体" w:cs="宋体"/>
          <w:color w:val="auto"/>
          <w:sz w:val="24"/>
          <w:szCs w:val="24"/>
        </w:rPr>
        <w:t>项目竞争性磋商的邀请，我方授权（姓名）（职务）为全权代表参加该项目的磋商工作，全权处理本次竞争性磋商的有关事宜。同时，我公司声明如下：</w:t>
      </w:r>
    </w:p>
    <w:p>
      <w:pPr>
        <w:snapToGrid w:val="0"/>
        <w:spacing w:line="520" w:lineRule="exact"/>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、同意并接受竞争性磋商文件的各项要求，遵守竞争性磋商文件中的各项规定，按竞争性磋商文件的要求提供报价。</w:t>
      </w:r>
    </w:p>
    <w:p>
      <w:pPr>
        <w:snapToGrid w:val="0"/>
        <w:spacing w:line="520" w:lineRule="exact"/>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、我公司已毫无保留地向贵方提供一切所需的证明材料。</w:t>
      </w:r>
    </w:p>
    <w:p>
      <w:pPr>
        <w:snapToGrid w:val="0"/>
        <w:spacing w:line="520" w:lineRule="exact"/>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、一旦成交，我方承诺无正当理由拒绝签订合同，将被贵方取消成交资格。</w:t>
      </w:r>
    </w:p>
    <w:p>
      <w:pPr>
        <w:snapToGrid w:val="0"/>
        <w:spacing w:line="520" w:lineRule="exact"/>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w:t>
      </w:r>
      <w:r>
        <w:rPr>
          <w:rFonts w:hint="eastAsia" w:ascii="宋体" w:hAnsi="宋体" w:cs="宋体"/>
          <w:b/>
          <w:bCs/>
          <w:color w:val="auto"/>
          <w:sz w:val="24"/>
          <w:szCs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rPr>
          <w:rFonts w:ascii="宋体"/>
          <w:color w:val="auto"/>
          <w:sz w:val="24"/>
          <w:szCs w:val="24"/>
        </w:rPr>
      </w:pPr>
    </w:p>
    <w:p>
      <w:pPr>
        <w:snapToGrid w:val="0"/>
        <w:spacing w:line="520" w:lineRule="exact"/>
        <w:jc w:val="right"/>
        <w:rPr>
          <w:rFonts w:ascii="宋体"/>
          <w:color w:val="auto"/>
          <w:sz w:val="24"/>
          <w:szCs w:val="24"/>
        </w:rPr>
      </w:pPr>
      <w:r>
        <w:rPr>
          <w:rFonts w:hint="eastAsia" w:ascii="宋体" w:hAnsi="宋体" w:cs="宋体"/>
          <w:color w:val="auto"/>
          <w:sz w:val="24"/>
          <w:szCs w:val="24"/>
        </w:rPr>
        <w:t>竞争性磋商响应单位：（加盖公章）</w:t>
      </w:r>
    </w:p>
    <w:p>
      <w:pPr>
        <w:snapToGrid w:val="0"/>
        <w:spacing w:line="520" w:lineRule="exact"/>
        <w:ind w:firstLine="2400" w:firstLineChars="1000"/>
        <w:jc w:val="right"/>
        <w:rPr>
          <w:rFonts w:ascii="宋体"/>
          <w:color w:val="auto"/>
          <w:sz w:val="24"/>
          <w:szCs w:val="24"/>
        </w:rPr>
      </w:pPr>
      <w:r>
        <w:rPr>
          <w:rFonts w:hint="eastAsia" w:ascii="宋体" w:hAnsi="宋体" w:cs="宋体"/>
          <w:color w:val="auto"/>
          <w:sz w:val="24"/>
          <w:szCs w:val="24"/>
        </w:rPr>
        <w:t>法定代表人或被授权人：（签字或盖章）</w:t>
      </w:r>
    </w:p>
    <w:p>
      <w:pPr>
        <w:snapToGrid w:val="0"/>
        <w:spacing w:line="520" w:lineRule="exact"/>
        <w:jc w:val="right"/>
        <w:rPr>
          <w:rFonts w:ascii="宋体"/>
          <w:color w:val="auto"/>
          <w:sz w:val="24"/>
          <w:szCs w:val="24"/>
        </w:rPr>
      </w:pPr>
      <w:r>
        <w:rPr>
          <w:rFonts w:hint="eastAsia" w:ascii="宋体" w:hAnsi="宋体" w:cs="宋体"/>
          <w:color w:val="auto"/>
          <w:sz w:val="24"/>
          <w:szCs w:val="24"/>
        </w:rPr>
        <w:t>年月日</w:t>
      </w:r>
    </w:p>
    <w:p>
      <w:pPr>
        <w:snapToGrid w:val="0"/>
        <w:spacing w:line="520" w:lineRule="exact"/>
        <w:jc w:val="center"/>
        <w:outlineLvl w:val="3"/>
        <w:rPr>
          <w:rFonts w:ascii="宋体"/>
          <w:b/>
          <w:bCs/>
          <w:color w:val="auto"/>
          <w:sz w:val="28"/>
          <w:szCs w:val="28"/>
        </w:rPr>
      </w:pPr>
    </w:p>
    <w:p>
      <w:pPr>
        <w:snapToGrid w:val="0"/>
        <w:spacing w:line="520" w:lineRule="exact"/>
        <w:jc w:val="center"/>
        <w:outlineLvl w:val="3"/>
        <w:rPr>
          <w:rFonts w:ascii="宋体"/>
          <w:b/>
          <w:bCs/>
          <w:color w:val="auto"/>
          <w:sz w:val="28"/>
          <w:szCs w:val="28"/>
        </w:rPr>
      </w:pPr>
    </w:p>
    <w:p>
      <w:pPr>
        <w:snapToGrid w:val="0"/>
        <w:spacing w:afterLines="100" w:line="520" w:lineRule="exact"/>
        <w:jc w:val="center"/>
        <w:rPr>
          <w:b/>
          <w:color w:val="auto"/>
          <w:sz w:val="36"/>
          <w:szCs w:val="36"/>
        </w:rPr>
      </w:pPr>
      <w:r>
        <w:rPr>
          <w:rFonts w:ascii="宋体"/>
          <w:b/>
          <w:bCs/>
          <w:color w:val="auto"/>
          <w:sz w:val="28"/>
          <w:szCs w:val="28"/>
        </w:rPr>
        <w:br w:type="page"/>
      </w:r>
      <w:r>
        <w:rPr>
          <w:rFonts w:hint="eastAsia" w:ascii="宋体"/>
          <w:b/>
          <w:bCs/>
          <w:color w:val="auto"/>
          <w:sz w:val="28"/>
          <w:szCs w:val="28"/>
          <w:lang w:val="en-US" w:eastAsia="zh-CN"/>
        </w:rPr>
        <w:t>8、</w:t>
      </w:r>
      <w:r>
        <w:rPr>
          <w:rFonts w:hint="eastAsia" w:ascii="宋体" w:hAnsi="宋体" w:eastAsia="宋体"/>
          <w:b/>
          <w:color w:val="auto"/>
          <w:sz w:val="28"/>
          <w:szCs w:val="28"/>
        </w:rPr>
        <w:t>技术响应正负偏离表</w:t>
      </w:r>
    </w:p>
    <w:p>
      <w:pPr>
        <w:ind w:firstLine="480" w:firstLineChars="200"/>
        <w:jc w:val="center"/>
        <w:rPr>
          <w:rFonts w:ascii="宋体" w:hAnsi="宋体" w:eastAsia="宋体"/>
          <w:color w:val="auto"/>
          <w:sz w:val="24"/>
          <w:szCs w:val="24"/>
        </w:rPr>
      </w:pPr>
      <w:r>
        <w:rPr>
          <w:rFonts w:hint="eastAsia" w:ascii="宋体" w:hAnsi="宋体" w:eastAsia="宋体"/>
          <w:color w:val="auto"/>
          <w:sz w:val="24"/>
          <w:szCs w:val="24"/>
        </w:rPr>
        <w:t>（由供应商据实提交，表格不够自行添加）</w:t>
      </w:r>
    </w:p>
    <w:p>
      <w:pPr>
        <w:spacing w:line="320" w:lineRule="exact"/>
        <w:rPr>
          <w:rFonts w:ascii="宋体" w:hAnsi="宋体" w:eastAsia="宋体" w:cs="宋体"/>
          <w:color w:val="auto"/>
          <w:sz w:val="24"/>
          <w:u w:val="single"/>
        </w:rPr>
      </w:pPr>
      <w:r>
        <w:rPr>
          <w:rFonts w:hint="eastAsia" w:ascii="宋体" w:hAnsi="宋体" w:eastAsia="宋体" w:cs="宋体"/>
          <w:color w:val="auto"/>
          <w:sz w:val="24"/>
        </w:rPr>
        <w:t>项目名称：</w:t>
      </w:r>
    </w:p>
    <w:tbl>
      <w:tblPr>
        <w:tblStyle w:val="53"/>
        <w:tblW w:w="928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339"/>
        <w:gridCol w:w="2870"/>
        <w:gridCol w:w="2885"/>
        <w:gridCol w:w="15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89" w:type="dxa"/>
            <w:tcBorders>
              <w:top w:val="single" w:color="auto" w:sz="12"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序号</w:t>
            </w:r>
          </w:p>
        </w:tc>
        <w:tc>
          <w:tcPr>
            <w:tcW w:w="1339"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项目</w:t>
            </w:r>
          </w:p>
        </w:tc>
        <w:tc>
          <w:tcPr>
            <w:tcW w:w="2870"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磋商文件要求</w:t>
            </w:r>
          </w:p>
        </w:tc>
        <w:tc>
          <w:tcPr>
            <w:tcW w:w="2885" w:type="dxa"/>
            <w:tcBorders>
              <w:top w:val="single" w:color="auto" w:sz="12"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响应文件响应情况</w:t>
            </w:r>
          </w:p>
        </w:tc>
        <w:tc>
          <w:tcPr>
            <w:tcW w:w="1504" w:type="dxa"/>
            <w:tcBorders>
              <w:top w:val="single" w:color="auto" w:sz="12" w:space="0"/>
              <w:left w:val="single" w:color="auto" w:sz="6" w:space="0"/>
              <w:bottom w:val="single" w:color="auto" w:sz="6" w:space="0"/>
              <w:right w:val="single" w:color="auto" w:sz="12" w:space="0"/>
            </w:tcBorders>
          </w:tcPr>
          <w:p>
            <w:pPr>
              <w:spacing w:line="340" w:lineRule="exact"/>
              <w:jc w:val="center"/>
              <w:rPr>
                <w:rFonts w:ascii="宋体" w:hAnsi="宋体" w:eastAsia="宋体"/>
                <w:color w:val="auto"/>
                <w:sz w:val="24"/>
                <w:szCs w:val="24"/>
              </w:rPr>
            </w:pPr>
          </w:p>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89" w:type="dxa"/>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1</w:t>
            </w:r>
          </w:p>
        </w:tc>
        <w:tc>
          <w:tcPr>
            <w:tcW w:w="1339"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p>
        </w:tc>
        <w:tc>
          <w:tcPr>
            <w:tcW w:w="2870"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p>
        </w:tc>
        <w:tc>
          <w:tcPr>
            <w:tcW w:w="2885"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color w:val="auto"/>
                <w:sz w:val="24"/>
                <w:szCs w:val="24"/>
              </w:rPr>
            </w:pPr>
          </w:p>
        </w:tc>
        <w:tc>
          <w:tcPr>
            <w:tcW w:w="1504"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89" w:type="dxa"/>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2</w:t>
            </w:r>
          </w:p>
        </w:tc>
        <w:tc>
          <w:tcPr>
            <w:tcW w:w="1339"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p>
        </w:tc>
        <w:tc>
          <w:tcPr>
            <w:tcW w:w="2870"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p>
        </w:tc>
        <w:tc>
          <w:tcPr>
            <w:tcW w:w="2885"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color w:val="auto"/>
                <w:sz w:val="24"/>
                <w:szCs w:val="24"/>
              </w:rPr>
            </w:pPr>
          </w:p>
        </w:tc>
        <w:tc>
          <w:tcPr>
            <w:tcW w:w="1504"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689" w:type="dxa"/>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3</w:t>
            </w:r>
          </w:p>
        </w:tc>
        <w:tc>
          <w:tcPr>
            <w:tcW w:w="1339"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color w:val="auto"/>
                <w:sz w:val="24"/>
                <w:szCs w:val="24"/>
              </w:rPr>
            </w:pPr>
          </w:p>
        </w:tc>
        <w:tc>
          <w:tcPr>
            <w:tcW w:w="2870" w:type="dxa"/>
            <w:tcBorders>
              <w:top w:val="single" w:color="auto" w:sz="6" w:space="0"/>
              <w:left w:val="single" w:color="auto" w:sz="6" w:space="0"/>
              <w:bottom w:val="single" w:color="auto" w:sz="6" w:space="0"/>
              <w:right w:val="single" w:color="auto" w:sz="6" w:space="0"/>
            </w:tcBorders>
            <w:vAlign w:val="center"/>
          </w:tcPr>
          <w:p>
            <w:pPr>
              <w:spacing w:line="340" w:lineRule="exact"/>
              <w:ind w:firstLine="480" w:firstLineChars="200"/>
              <w:rPr>
                <w:rFonts w:ascii="宋体" w:hAnsi="宋体" w:eastAsia="宋体"/>
                <w:color w:val="auto"/>
                <w:sz w:val="24"/>
                <w:szCs w:val="24"/>
              </w:rPr>
            </w:pPr>
          </w:p>
        </w:tc>
        <w:tc>
          <w:tcPr>
            <w:tcW w:w="2885"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color w:val="auto"/>
                <w:sz w:val="24"/>
                <w:szCs w:val="24"/>
              </w:rPr>
            </w:pPr>
          </w:p>
        </w:tc>
        <w:tc>
          <w:tcPr>
            <w:tcW w:w="1504"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89" w:type="dxa"/>
            <w:tcBorders>
              <w:top w:val="single" w:color="auto" w:sz="6" w:space="0"/>
              <w:left w:val="single" w:color="auto" w:sz="12"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r>
              <w:rPr>
                <w:rFonts w:hint="eastAsia" w:ascii="宋体" w:hAnsi="宋体" w:eastAsia="宋体"/>
                <w:color w:val="auto"/>
                <w:sz w:val="24"/>
                <w:szCs w:val="24"/>
              </w:rPr>
              <w:t>4</w:t>
            </w:r>
          </w:p>
        </w:tc>
        <w:tc>
          <w:tcPr>
            <w:tcW w:w="1339" w:type="dxa"/>
            <w:tcBorders>
              <w:top w:val="single" w:color="auto" w:sz="6" w:space="0"/>
              <w:left w:val="single" w:color="auto" w:sz="6" w:space="0"/>
              <w:bottom w:val="single" w:color="auto" w:sz="6" w:space="0"/>
              <w:right w:val="single" w:color="auto" w:sz="6" w:space="0"/>
            </w:tcBorders>
            <w:vAlign w:val="center"/>
          </w:tcPr>
          <w:p>
            <w:pPr>
              <w:spacing w:line="340" w:lineRule="exact"/>
              <w:jc w:val="center"/>
              <w:rPr>
                <w:rFonts w:ascii="宋体" w:hAnsi="宋体" w:eastAsia="宋体"/>
                <w:color w:val="auto"/>
                <w:sz w:val="24"/>
                <w:szCs w:val="24"/>
              </w:rPr>
            </w:pPr>
          </w:p>
        </w:tc>
        <w:tc>
          <w:tcPr>
            <w:tcW w:w="2870"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color w:val="auto"/>
                <w:sz w:val="24"/>
                <w:szCs w:val="24"/>
              </w:rPr>
            </w:pPr>
          </w:p>
        </w:tc>
        <w:tc>
          <w:tcPr>
            <w:tcW w:w="2885" w:type="dxa"/>
            <w:tcBorders>
              <w:top w:val="single" w:color="auto" w:sz="6" w:space="0"/>
              <w:left w:val="single" w:color="auto" w:sz="6" w:space="0"/>
              <w:bottom w:val="single" w:color="auto" w:sz="6" w:space="0"/>
              <w:right w:val="single" w:color="auto" w:sz="6" w:space="0"/>
            </w:tcBorders>
            <w:vAlign w:val="center"/>
          </w:tcPr>
          <w:p>
            <w:pPr>
              <w:spacing w:line="340" w:lineRule="exact"/>
              <w:rPr>
                <w:rFonts w:ascii="宋体" w:hAnsi="宋体" w:eastAsia="宋体"/>
                <w:color w:val="auto"/>
                <w:sz w:val="24"/>
                <w:szCs w:val="24"/>
              </w:rPr>
            </w:pPr>
          </w:p>
        </w:tc>
        <w:tc>
          <w:tcPr>
            <w:tcW w:w="1504" w:type="dxa"/>
            <w:tcBorders>
              <w:top w:val="single" w:color="auto" w:sz="6" w:space="0"/>
              <w:left w:val="single" w:color="auto" w:sz="6" w:space="0"/>
              <w:bottom w:val="single" w:color="auto" w:sz="6" w:space="0"/>
              <w:right w:val="single" w:color="auto" w:sz="12" w:space="0"/>
            </w:tcBorders>
          </w:tcPr>
          <w:p>
            <w:pPr>
              <w:spacing w:line="340" w:lineRule="exact"/>
              <w:rPr>
                <w:rFonts w:ascii="宋体" w:hAns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6" w:hRule="atLeast"/>
        </w:trPr>
        <w:tc>
          <w:tcPr>
            <w:tcW w:w="689" w:type="dxa"/>
            <w:tcBorders>
              <w:top w:val="single" w:color="auto" w:sz="6" w:space="0"/>
              <w:left w:val="single" w:color="auto" w:sz="12" w:space="0"/>
              <w:bottom w:val="single" w:color="auto" w:sz="12" w:space="0"/>
              <w:right w:val="single" w:color="auto" w:sz="6" w:space="0"/>
            </w:tcBorders>
            <w:vAlign w:val="center"/>
          </w:tcPr>
          <w:p>
            <w:pPr>
              <w:spacing w:line="340" w:lineRule="exact"/>
              <w:jc w:val="center"/>
              <w:rPr>
                <w:rFonts w:ascii="宋体" w:hAnsi="宋体" w:eastAsia="宋体"/>
                <w:color w:val="auto"/>
                <w:sz w:val="24"/>
                <w:szCs w:val="24"/>
              </w:rPr>
            </w:pPr>
            <w:r>
              <w:rPr>
                <w:rFonts w:ascii="宋体" w:hAnsi="宋体" w:eastAsia="宋体"/>
                <w:color w:val="auto"/>
                <w:sz w:val="24"/>
                <w:szCs w:val="24"/>
              </w:rPr>
              <w:t>…</w:t>
            </w:r>
          </w:p>
        </w:tc>
        <w:tc>
          <w:tcPr>
            <w:tcW w:w="1339" w:type="dxa"/>
            <w:tcBorders>
              <w:top w:val="single" w:color="auto" w:sz="6" w:space="0"/>
              <w:left w:val="single" w:color="auto" w:sz="6" w:space="0"/>
              <w:bottom w:val="single" w:color="auto" w:sz="12" w:space="0"/>
              <w:right w:val="single" w:color="auto" w:sz="6" w:space="0"/>
            </w:tcBorders>
            <w:vAlign w:val="center"/>
          </w:tcPr>
          <w:p>
            <w:pPr>
              <w:spacing w:line="340" w:lineRule="exact"/>
              <w:jc w:val="center"/>
              <w:rPr>
                <w:rFonts w:ascii="宋体" w:hAnsi="宋体" w:eastAsia="宋体"/>
                <w:color w:val="auto"/>
                <w:sz w:val="24"/>
                <w:szCs w:val="24"/>
              </w:rPr>
            </w:pPr>
          </w:p>
        </w:tc>
        <w:tc>
          <w:tcPr>
            <w:tcW w:w="2870" w:type="dxa"/>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color w:val="auto"/>
                <w:sz w:val="24"/>
                <w:szCs w:val="24"/>
              </w:rPr>
            </w:pPr>
          </w:p>
        </w:tc>
        <w:tc>
          <w:tcPr>
            <w:tcW w:w="2885" w:type="dxa"/>
            <w:tcBorders>
              <w:top w:val="single" w:color="auto" w:sz="6" w:space="0"/>
              <w:left w:val="single" w:color="auto" w:sz="6" w:space="0"/>
              <w:bottom w:val="single" w:color="auto" w:sz="12" w:space="0"/>
              <w:right w:val="single" w:color="auto" w:sz="6" w:space="0"/>
            </w:tcBorders>
            <w:vAlign w:val="center"/>
          </w:tcPr>
          <w:p>
            <w:pPr>
              <w:spacing w:line="340" w:lineRule="exact"/>
              <w:rPr>
                <w:rFonts w:ascii="宋体" w:hAnsi="宋体" w:eastAsia="宋体"/>
                <w:color w:val="auto"/>
                <w:sz w:val="24"/>
                <w:szCs w:val="24"/>
              </w:rPr>
            </w:pPr>
          </w:p>
        </w:tc>
        <w:tc>
          <w:tcPr>
            <w:tcW w:w="1504" w:type="dxa"/>
            <w:tcBorders>
              <w:top w:val="single" w:color="auto" w:sz="6" w:space="0"/>
              <w:left w:val="single" w:color="auto" w:sz="6" w:space="0"/>
              <w:bottom w:val="single" w:color="auto" w:sz="12" w:space="0"/>
              <w:right w:val="single" w:color="auto" w:sz="12" w:space="0"/>
            </w:tcBorders>
          </w:tcPr>
          <w:p>
            <w:pPr>
              <w:spacing w:line="340" w:lineRule="exact"/>
              <w:rPr>
                <w:rFonts w:ascii="宋体" w:hAnsi="宋体" w:eastAsia="宋体"/>
                <w:color w:val="auto"/>
                <w:sz w:val="24"/>
                <w:szCs w:val="24"/>
              </w:rPr>
            </w:pPr>
          </w:p>
        </w:tc>
      </w:tr>
    </w:tbl>
    <w:p>
      <w:pPr>
        <w:spacing w:line="260" w:lineRule="exact"/>
        <w:rPr>
          <w:color w:val="auto"/>
          <w:sz w:val="24"/>
          <w:u w:val="single"/>
        </w:rPr>
      </w:pPr>
    </w:p>
    <w:p>
      <w:pPr>
        <w:pStyle w:val="26"/>
        <w:snapToGrid w:val="0"/>
        <w:spacing w:line="300" w:lineRule="auto"/>
        <w:contextualSpacing/>
        <w:rPr>
          <w:rFonts w:hAnsi="宋体" w:eastAsia="宋体"/>
          <w:b/>
          <w:color w:val="auto"/>
          <w:sz w:val="24"/>
          <w:szCs w:val="24"/>
        </w:rPr>
      </w:pPr>
      <w:r>
        <w:rPr>
          <w:rFonts w:hint="eastAsia" w:hAnsi="宋体" w:eastAsia="宋体"/>
          <w:b/>
          <w:color w:val="auto"/>
          <w:sz w:val="24"/>
          <w:szCs w:val="24"/>
        </w:rPr>
        <w:t>注：</w:t>
      </w:r>
    </w:p>
    <w:p>
      <w:pPr>
        <w:pStyle w:val="26"/>
        <w:snapToGrid w:val="0"/>
        <w:spacing w:line="300" w:lineRule="auto"/>
        <w:ind w:firstLine="480" w:firstLineChars="200"/>
        <w:contextualSpacing/>
        <w:rPr>
          <w:rFonts w:hAnsi="宋体" w:eastAsia="宋体"/>
          <w:color w:val="auto"/>
          <w:sz w:val="24"/>
          <w:szCs w:val="24"/>
        </w:rPr>
      </w:pPr>
      <w:r>
        <w:rPr>
          <w:rFonts w:hint="eastAsia" w:hAnsi="宋体" w:eastAsia="宋体"/>
          <w:color w:val="auto"/>
          <w:sz w:val="24"/>
          <w:szCs w:val="24"/>
        </w:rPr>
        <w:t>1、供应商提交的响应文件中与磋商文件第三章“项目需求”中的要求有不同时，应逐条填列在偏离表中，否则将认为供应商接受磋商文件的所有要求。完全响应部分不填。</w:t>
      </w:r>
    </w:p>
    <w:p>
      <w:pPr>
        <w:pStyle w:val="26"/>
        <w:snapToGrid w:val="0"/>
        <w:spacing w:line="300" w:lineRule="auto"/>
        <w:ind w:firstLine="480" w:firstLineChars="200"/>
        <w:contextualSpacing/>
        <w:rPr>
          <w:rFonts w:hAnsi="宋体" w:eastAsia="宋体"/>
          <w:color w:val="auto"/>
          <w:sz w:val="24"/>
          <w:szCs w:val="24"/>
        </w:rPr>
      </w:pPr>
      <w:r>
        <w:rPr>
          <w:rFonts w:hint="eastAsia" w:hAnsi="宋体" w:eastAsia="宋体"/>
          <w:color w:val="auto"/>
          <w:sz w:val="24"/>
          <w:szCs w:val="24"/>
        </w:rPr>
        <w:t>2、“偏离说明”一栏选择“正偏离”、“负偏离”进行填写。正偏离的确认和负偏离的是否响应磋商文件，经三分之二评委认定。</w:t>
      </w:r>
    </w:p>
    <w:p>
      <w:pPr>
        <w:snapToGrid w:val="0"/>
        <w:spacing w:line="300" w:lineRule="auto"/>
        <w:ind w:firstLine="480" w:firstLineChars="200"/>
        <w:contextualSpacing/>
        <w:rPr>
          <w:rFonts w:ascii="宋体" w:hAnsi="宋体" w:eastAsia="宋体"/>
          <w:color w:val="auto"/>
          <w:sz w:val="24"/>
          <w:szCs w:val="24"/>
        </w:rPr>
      </w:pPr>
      <w:r>
        <w:rPr>
          <w:rFonts w:hint="eastAsia" w:ascii="宋体" w:hAnsi="宋体" w:eastAsia="宋体"/>
          <w:bCs/>
          <w:color w:val="auto"/>
          <w:sz w:val="24"/>
          <w:szCs w:val="24"/>
          <w:lang w:val="en-US" w:eastAsia="zh-CN"/>
        </w:rPr>
        <w:t>3</w:t>
      </w:r>
      <w:r>
        <w:rPr>
          <w:rFonts w:hint="eastAsia" w:ascii="宋体" w:hAnsi="宋体" w:eastAsia="宋体"/>
          <w:bCs/>
          <w:color w:val="auto"/>
          <w:sz w:val="24"/>
          <w:szCs w:val="24"/>
        </w:rPr>
        <w:t>、供应商若提供其他增值服务，可以在表中自行据实填写。</w:t>
      </w: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hint="eastAsia" w:ascii="宋体" w:hAnsi="宋体" w:cs="宋体"/>
          <w:b/>
          <w:bCs/>
          <w:color w:val="auto"/>
          <w:sz w:val="28"/>
          <w:szCs w:val="28"/>
        </w:rPr>
      </w:pPr>
    </w:p>
    <w:p>
      <w:pPr>
        <w:widowControl/>
        <w:snapToGrid w:val="0"/>
        <w:jc w:val="center"/>
        <w:textAlignment w:val="baseline"/>
        <w:rPr>
          <w:rFonts w:ascii="宋体" w:hAnsi="宋体" w:cs="宋体"/>
          <w:b/>
          <w:bCs/>
          <w:color w:val="auto"/>
          <w:sz w:val="28"/>
          <w:szCs w:val="28"/>
        </w:rPr>
      </w:pPr>
      <w:r>
        <w:rPr>
          <w:rFonts w:hint="eastAsia" w:ascii="宋体" w:hAnsi="宋体" w:cs="宋体"/>
          <w:b/>
          <w:bCs/>
          <w:color w:val="auto"/>
          <w:sz w:val="28"/>
          <w:szCs w:val="28"/>
          <w:lang w:val="en-US" w:eastAsia="zh-CN"/>
        </w:rPr>
        <w:t>9</w:t>
      </w:r>
      <w:r>
        <w:rPr>
          <w:rFonts w:hint="eastAsia" w:ascii="宋体" w:hAnsi="宋体" w:cs="宋体"/>
          <w:b/>
          <w:bCs/>
          <w:color w:val="auto"/>
          <w:sz w:val="28"/>
          <w:szCs w:val="28"/>
        </w:rPr>
        <w:t>、磋商响应报价总表</w:t>
      </w:r>
    </w:p>
    <w:p>
      <w:pPr>
        <w:pStyle w:val="2"/>
        <w:snapToGrid w:val="0"/>
        <w:textAlignment w:val="baseline"/>
        <w:rPr>
          <w:color w:val="auto"/>
        </w:rPr>
      </w:pPr>
    </w:p>
    <w:tbl>
      <w:tblPr>
        <w:tblStyle w:val="53"/>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60" w:type="dxa"/>
            <w:noWrap/>
            <w:vAlign w:val="center"/>
          </w:tcPr>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rPr>
              <w:t>项目名称</w:t>
            </w:r>
          </w:p>
        </w:tc>
        <w:tc>
          <w:tcPr>
            <w:tcW w:w="7564" w:type="dxa"/>
            <w:noWrap/>
            <w:vAlign w:val="center"/>
          </w:tcPr>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lang w:val="zh-CN"/>
              </w:rPr>
              <w:t>南通市妇幼保健院医用气体采购项目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2460" w:type="dxa"/>
            <w:noWrap/>
            <w:vAlign w:val="center"/>
          </w:tcPr>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rPr>
              <w:t>磋商总价报价（首次）</w:t>
            </w:r>
          </w:p>
        </w:tc>
        <w:tc>
          <w:tcPr>
            <w:tcW w:w="7564" w:type="dxa"/>
            <w:noWrap/>
            <w:vAlign w:val="center"/>
          </w:tcPr>
          <w:p>
            <w:pPr>
              <w:snapToGrid w:val="0"/>
              <w:spacing w:line="420" w:lineRule="exact"/>
              <w:rPr>
                <w:rFonts w:cs="宋体"/>
                <w:color w:val="auto"/>
                <w:sz w:val="24"/>
                <w:szCs w:val="24"/>
              </w:rPr>
            </w:pPr>
            <w:r>
              <w:rPr>
                <w:rFonts w:hint="eastAsia" w:cs="宋体"/>
                <w:color w:val="auto"/>
                <w:sz w:val="24"/>
                <w:szCs w:val="24"/>
              </w:rPr>
              <w:t>大写：</w:t>
            </w:r>
            <w:r>
              <w:rPr>
                <w:rFonts w:hint="eastAsia" w:ascii="宋体" w:hAnsi="宋体" w:cs="宋体"/>
                <w:snapToGrid w:val="0"/>
                <w:color w:val="auto"/>
                <w:sz w:val="24"/>
                <w:szCs w:val="24"/>
              </w:rPr>
              <w:t>人民币</w:t>
            </w:r>
            <w:r>
              <w:rPr>
                <w:rFonts w:hint="eastAsia" w:ascii="宋体" w:hAnsi="宋体" w:cs="宋体"/>
                <w:snapToGrid w:val="0"/>
                <w:color w:val="auto"/>
                <w:sz w:val="24"/>
                <w:szCs w:val="24"/>
                <w:u w:val="single"/>
              </w:rPr>
              <w:t xml:space="preserve">          元/年</w:t>
            </w:r>
          </w:p>
          <w:p>
            <w:pPr>
              <w:snapToGrid w:val="0"/>
              <w:spacing w:line="420" w:lineRule="exact"/>
              <w:ind w:left="1130" w:hanging="1130" w:hangingChars="471"/>
              <w:textAlignment w:val="baseline"/>
              <w:rPr>
                <w:color w:val="auto"/>
                <w:sz w:val="20"/>
                <w:szCs w:val="22"/>
              </w:rPr>
            </w:pPr>
            <w:r>
              <w:rPr>
                <w:rFonts w:hint="eastAsia" w:cs="宋体"/>
                <w:color w:val="auto"/>
                <w:sz w:val="24"/>
                <w:szCs w:val="24"/>
              </w:rPr>
              <w:t>小写：￥</w:t>
            </w:r>
            <w:r>
              <w:rPr>
                <w:rFonts w:hint="eastAsia" w:cs="宋体"/>
                <w:color w:val="auto"/>
                <w:sz w:val="24"/>
                <w:szCs w:val="24"/>
                <w:u w:val="single"/>
                <w:lang w:val="en-US" w:eastAsia="zh-CN"/>
              </w:rPr>
              <w:t xml:space="preserve">             </w:t>
            </w:r>
            <w:r>
              <w:rPr>
                <w:rFonts w:hint="eastAsia" w:ascii="宋体" w:hAnsi="宋体" w:cs="宋体"/>
                <w:snapToGrid w:val="0"/>
                <w:color w:val="auto"/>
                <w:sz w:val="24"/>
                <w:szCs w:val="24"/>
                <w:u w:val="single"/>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2460" w:type="dxa"/>
            <w:noWrap/>
            <w:vAlign w:val="center"/>
          </w:tcPr>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rPr>
              <w:t>磋商总价报价</w:t>
            </w:r>
          </w:p>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rPr>
              <w:t>（第二次）</w:t>
            </w:r>
          </w:p>
          <w:p>
            <w:pPr>
              <w:snapToGrid w:val="0"/>
              <w:spacing w:line="480" w:lineRule="exact"/>
              <w:jc w:val="center"/>
              <w:textAlignment w:val="baseline"/>
              <w:rPr>
                <w:color w:val="auto"/>
                <w:sz w:val="20"/>
                <w:szCs w:val="22"/>
              </w:rPr>
            </w:pPr>
            <w:r>
              <w:rPr>
                <w:rFonts w:hint="eastAsia" w:ascii="宋体" w:hAnsi="宋体" w:cs="宋体"/>
                <w:b/>
                <w:bCs/>
                <w:color w:val="auto"/>
                <w:sz w:val="24"/>
                <w:szCs w:val="24"/>
                <w:u w:val="single" w:color="000000"/>
              </w:rPr>
              <w:t>（磋商现场填写）</w:t>
            </w:r>
          </w:p>
        </w:tc>
        <w:tc>
          <w:tcPr>
            <w:tcW w:w="7564" w:type="dxa"/>
            <w:noWrap/>
            <w:vAlign w:val="center"/>
          </w:tcPr>
          <w:p>
            <w:pPr>
              <w:snapToGrid w:val="0"/>
              <w:spacing w:line="420" w:lineRule="exact"/>
              <w:rPr>
                <w:rFonts w:cs="宋体"/>
                <w:color w:val="auto"/>
                <w:sz w:val="24"/>
                <w:szCs w:val="24"/>
              </w:rPr>
            </w:pPr>
            <w:r>
              <w:rPr>
                <w:rFonts w:hint="eastAsia" w:cs="宋体"/>
                <w:color w:val="auto"/>
                <w:sz w:val="24"/>
                <w:szCs w:val="24"/>
              </w:rPr>
              <w:t>大写：</w:t>
            </w:r>
            <w:r>
              <w:rPr>
                <w:rFonts w:hint="eastAsia" w:ascii="宋体" w:hAnsi="宋体" w:cs="宋体"/>
                <w:snapToGrid w:val="0"/>
                <w:color w:val="auto"/>
                <w:sz w:val="24"/>
                <w:szCs w:val="24"/>
              </w:rPr>
              <w:t>人民币</w:t>
            </w:r>
            <w:r>
              <w:rPr>
                <w:rFonts w:hint="eastAsia" w:ascii="宋体" w:hAnsi="宋体" w:cs="宋体"/>
                <w:snapToGrid w:val="0"/>
                <w:color w:val="auto"/>
                <w:sz w:val="24"/>
                <w:szCs w:val="24"/>
                <w:u w:val="single"/>
              </w:rPr>
              <w:t xml:space="preserve">        元/年</w:t>
            </w:r>
            <w:r>
              <w:rPr>
                <w:rFonts w:hint="eastAsia" w:ascii="宋体" w:hAnsi="宋体" w:cs="宋体"/>
                <w:snapToGrid w:val="0"/>
                <w:color w:val="auto"/>
                <w:sz w:val="24"/>
                <w:szCs w:val="24"/>
              </w:rPr>
              <w:t>。</w:t>
            </w:r>
          </w:p>
          <w:p>
            <w:pPr>
              <w:snapToGrid w:val="0"/>
              <w:spacing w:line="420" w:lineRule="exact"/>
              <w:ind w:left="1130" w:hanging="1130" w:hangingChars="471"/>
              <w:textAlignment w:val="baseline"/>
              <w:rPr>
                <w:rFonts w:cs="宋体"/>
                <w:color w:val="auto"/>
                <w:sz w:val="20"/>
                <w:szCs w:val="22"/>
              </w:rPr>
            </w:pPr>
            <w:r>
              <w:rPr>
                <w:rFonts w:hint="eastAsia" w:cs="宋体"/>
                <w:color w:val="auto"/>
                <w:sz w:val="24"/>
                <w:szCs w:val="24"/>
              </w:rPr>
              <w:t>小写：￥</w:t>
            </w:r>
            <w:r>
              <w:rPr>
                <w:rFonts w:hint="eastAsia" w:cs="宋体"/>
                <w:color w:val="auto"/>
                <w:sz w:val="24"/>
                <w:szCs w:val="24"/>
                <w:u w:val="single"/>
                <w:lang w:val="en-US" w:eastAsia="zh-CN"/>
              </w:rPr>
              <w:t xml:space="preserve">           </w:t>
            </w:r>
            <w:r>
              <w:rPr>
                <w:rFonts w:hint="eastAsia" w:ascii="宋体" w:hAnsi="宋体" w:cs="宋体"/>
                <w:snapToGrid w:val="0"/>
                <w:color w:val="auto"/>
                <w:sz w:val="24"/>
                <w:szCs w:val="24"/>
                <w:u w:val="single"/>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60" w:type="dxa"/>
            <w:noWrap/>
            <w:vAlign w:val="center"/>
          </w:tcPr>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rPr>
              <w:t>付款条件</w:t>
            </w:r>
          </w:p>
        </w:tc>
        <w:tc>
          <w:tcPr>
            <w:tcW w:w="7564" w:type="dxa"/>
            <w:noWrap/>
            <w:vAlign w:val="center"/>
          </w:tcPr>
          <w:p>
            <w:pPr>
              <w:snapToGrid w:val="0"/>
              <w:spacing w:line="480" w:lineRule="exact"/>
              <w:jc w:val="center"/>
              <w:textAlignment w:val="baseline"/>
              <w:rPr>
                <w:rFonts w:ascii="宋体" w:hAnsi="宋体" w:cs="宋体"/>
                <w:color w:val="auto"/>
                <w:sz w:val="24"/>
                <w:szCs w:val="24"/>
              </w:rPr>
            </w:pPr>
            <w:r>
              <w:rPr>
                <w:rFonts w:hint="eastAsia" w:ascii="宋体" w:hAnsi="宋体" w:cs="宋体"/>
                <w:color w:val="auto"/>
                <w:sz w:val="24"/>
                <w:szCs w:val="24"/>
              </w:rPr>
              <w:t>完全接受并响应本项目磋商文件的要求。</w:t>
            </w:r>
          </w:p>
        </w:tc>
      </w:tr>
    </w:tbl>
    <w:p>
      <w:pPr>
        <w:pStyle w:val="52"/>
        <w:snapToGrid w:val="0"/>
        <w:ind w:firstLine="0" w:firstLineChars="0"/>
        <w:textAlignment w:val="baseline"/>
        <w:rPr>
          <w:color w:val="auto"/>
          <w:szCs w:val="24"/>
        </w:rPr>
      </w:pPr>
    </w:p>
    <w:p>
      <w:pPr>
        <w:pStyle w:val="115"/>
        <w:snapToGrid w:val="0"/>
        <w:spacing w:line="360" w:lineRule="auto"/>
        <w:ind w:firstLine="241" w:firstLineChars="100"/>
        <w:textAlignment w:val="baseline"/>
        <w:rPr>
          <w:rFonts w:ascii="Times New Roman" w:hAnsi="宋体"/>
          <w:b/>
          <w:color w:val="auto"/>
          <w:sz w:val="24"/>
        </w:rPr>
      </w:pPr>
      <w:r>
        <w:rPr>
          <w:rFonts w:hint="eastAsia" w:ascii="Times New Roman" w:hAnsi="宋体"/>
          <w:b/>
          <w:color w:val="auto"/>
          <w:sz w:val="24"/>
        </w:rPr>
        <w:t>注：1、最终总价报价将在磋商现场填写，响应文件密封提交时只需填写首次磋商总价报价。2、本表式不得自行改动。</w:t>
      </w:r>
    </w:p>
    <w:p>
      <w:pPr>
        <w:spacing w:line="360" w:lineRule="auto"/>
        <w:ind w:firstLine="482" w:firstLineChars="200"/>
        <w:rPr>
          <w:rFonts w:hint="eastAsia" w:ascii="Times New Roman" w:hAnsi="宋体" w:eastAsia="宋体" w:cs="宋体"/>
          <w:b/>
          <w:color w:val="auto"/>
          <w:kern w:val="2"/>
          <w:sz w:val="24"/>
          <w:szCs w:val="28"/>
          <w:lang w:val="en-US" w:eastAsia="zh-CN" w:bidi="ar-SA"/>
        </w:rPr>
      </w:pPr>
      <w:r>
        <w:rPr>
          <w:rFonts w:hint="eastAsia" w:ascii="Times New Roman" w:hAnsi="宋体" w:eastAsia="宋体" w:cs="宋体"/>
          <w:b/>
          <w:color w:val="auto"/>
          <w:kern w:val="2"/>
          <w:sz w:val="24"/>
          <w:szCs w:val="28"/>
          <w:lang w:val="en-US" w:eastAsia="zh-CN" w:bidi="ar-SA"/>
        </w:rPr>
        <w:t>3、磋商响应报价应包括但不限于：货物、储存、运输、售后服务、管理、税金等为完成本项目采购需求所发生的全部费用，供应商另须为采购人原有的罐体（含附件）、报警管道、管道终端、检验阀等医用气体系统设备提供免费的维护保养（产生的材料费需报采购人经认可按实结算），采购人不再承担供应商一次性报价之外的其他任何费用。</w:t>
      </w:r>
    </w:p>
    <w:p>
      <w:pPr>
        <w:snapToGrid w:val="0"/>
        <w:spacing w:line="360" w:lineRule="auto"/>
        <w:ind w:firstLine="470" w:firstLineChars="195"/>
        <w:outlineLvl w:val="1"/>
        <w:rPr>
          <w:rFonts w:hint="eastAsia" w:ascii="Times New Roman" w:hAnsi="宋体" w:eastAsia="宋体" w:cs="宋体"/>
          <w:b/>
          <w:color w:val="auto"/>
          <w:kern w:val="2"/>
          <w:sz w:val="24"/>
          <w:szCs w:val="28"/>
          <w:lang w:val="en-US" w:eastAsia="zh-CN" w:bidi="ar-SA"/>
        </w:rPr>
      </w:pPr>
      <w:r>
        <w:rPr>
          <w:rFonts w:hint="eastAsia" w:ascii="Times New Roman" w:hAnsi="宋体" w:eastAsia="宋体" w:cs="宋体"/>
          <w:b/>
          <w:color w:val="auto"/>
          <w:kern w:val="2"/>
          <w:sz w:val="24"/>
          <w:szCs w:val="28"/>
          <w:lang w:val="en-US" w:eastAsia="zh-CN" w:bidi="ar-SA"/>
        </w:rPr>
        <w:t>4、供应商最终报价后，其所有报价明细单价均同比例下浮。</w:t>
      </w:r>
    </w:p>
    <w:p>
      <w:pPr>
        <w:snapToGrid w:val="0"/>
        <w:spacing w:line="360" w:lineRule="auto"/>
        <w:ind w:firstLine="470" w:firstLineChars="195"/>
        <w:outlineLvl w:val="1"/>
        <w:rPr>
          <w:rFonts w:hint="eastAsia" w:ascii="Times New Roman" w:hAnsi="宋体" w:eastAsia="宋体" w:cs="宋体"/>
          <w:b/>
          <w:color w:val="auto"/>
          <w:kern w:val="2"/>
          <w:sz w:val="24"/>
          <w:szCs w:val="28"/>
          <w:lang w:val="en-US" w:eastAsia="zh-CN" w:bidi="ar-SA"/>
        </w:rPr>
      </w:pPr>
      <w:r>
        <w:rPr>
          <w:rFonts w:hint="eastAsia" w:ascii="Times New Roman" w:hAnsi="宋体" w:eastAsia="宋体" w:cs="宋体"/>
          <w:b/>
          <w:color w:val="auto"/>
          <w:kern w:val="2"/>
          <w:sz w:val="24"/>
          <w:szCs w:val="28"/>
          <w:lang w:val="en-US" w:eastAsia="zh-CN" w:bidi="ar-SA"/>
        </w:rPr>
        <w:t>下浮比例=（1-最终报价/首次报价）*100% 。</w:t>
      </w:r>
    </w:p>
    <w:p>
      <w:pPr>
        <w:snapToGrid w:val="0"/>
        <w:spacing w:line="360" w:lineRule="auto"/>
        <w:ind w:firstLine="411" w:firstLineChars="195"/>
        <w:outlineLvl w:val="1"/>
        <w:rPr>
          <w:rFonts w:hint="eastAsia" w:eastAsia="宋体"/>
          <w:b/>
          <w:bCs/>
          <w:color w:val="auto"/>
          <w:lang w:val="en-US" w:eastAsia="zh-CN"/>
        </w:rPr>
      </w:pPr>
    </w:p>
    <w:p>
      <w:pPr>
        <w:snapToGrid w:val="0"/>
        <w:spacing w:line="360" w:lineRule="auto"/>
        <w:ind w:right="79"/>
        <w:textAlignment w:val="baseline"/>
        <w:rPr>
          <w:rFonts w:ascii="宋体" w:hAnsi="宋体" w:cs="宋体"/>
          <w:color w:val="auto"/>
          <w:sz w:val="24"/>
          <w:szCs w:val="24"/>
        </w:rPr>
      </w:pPr>
      <w:r>
        <w:rPr>
          <w:rFonts w:hint="eastAsia" w:ascii="宋体" w:hAnsi="宋体" w:cs="宋体"/>
          <w:color w:val="auto"/>
          <w:sz w:val="24"/>
          <w:szCs w:val="24"/>
        </w:rPr>
        <w:t>竞争性磋商响应供应商：（单位盖章）</w:t>
      </w:r>
    </w:p>
    <w:p>
      <w:pPr>
        <w:pStyle w:val="115"/>
        <w:tabs>
          <w:tab w:val="left" w:pos="5665"/>
          <w:tab w:val="right" w:pos="8360"/>
        </w:tabs>
        <w:snapToGrid w:val="0"/>
        <w:spacing w:line="360" w:lineRule="auto"/>
        <w:ind w:right="42"/>
        <w:textAlignment w:val="baseline"/>
        <w:rPr>
          <w:rFonts w:hAnsi="宋体"/>
          <w:color w:val="auto"/>
          <w:sz w:val="24"/>
          <w:u w:val="single"/>
        </w:rPr>
      </w:pPr>
      <w:r>
        <w:rPr>
          <w:rFonts w:hint="eastAsia" w:hAnsi="宋体"/>
          <w:color w:val="auto"/>
          <w:sz w:val="24"/>
        </w:rPr>
        <w:t>法定代表人或</w:t>
      </w:r>
      <w:r>
        <w:rPr>
          <w:rFonts w:hint="eastAsia" w:hAnsi="宋体" w:cs="仿宋_GB2312"/>
          <w:color w:val="auto"/>
          <w:sz w:val="24"/>
        </w:rPr>
        <w:t>被授权人（签字或盖章）</w:t>
      </w:r>
      <w:r>
        <w:rPr>
          <w:rFonts w:hint="eastAsia" w:hAnsi="宋体"/>
          <w:color w:val="auto"/>
          <w:sz w:val="24"/>
        </w:rPr>
        <w:t>：</w:t>
      </w:r>
    </w:p>
    <w:p>
      <w:pPr>
        <w:pStyle w:val="115"/>
        <w:tabs>
          <w:tab w:val="left" w:pos="5665"/>
          <w:tab w:val="right" w:pos="8360"/>
        </w:tabs>
        <w:snapToGrid w:val="0"/>
        <w:spacing w:line="360" w:lineRule="auto"/>
        <w:ind w:right="42"/>
        <w:textAlignment w:val="baseline"/>
        <w:rPr>
          <w:rFonts w:hAnsi="宋体"/>
          <w:color w:val="auto"/>
          <w:sz w:val="24"/>
          <w:lang w:val="zh-CN"/>
        </w:rPr>
      </w:pPr>
      <w:r>
        <w:rPr>
          <w:rFonts w:hint="eastAsia" w:hAnsi="宋体"/>
          <w:color w:val="auto"/>
          <w:sz w:val="24"/>
          <w:lang w:val="zh-CN"/>
        </w:rPr>
        <w:t>日期：年月日</w:t>
      </w:r>
    </w:p>
    <w:p>
      <w:pPr>
        <w:kinsoku w:val="0"/>
        <w:topLinePunct/>
        <w:snapToGrid w:val="0"/>
        <w:spacing w:line="520" w:lineRule="exact"/>
        <w:jc w:val="center"/>
        <w:rPr>
          <w:rFonts w:hint="eastAsia" w:ascii="宋体" w:hAnsi="宋体" w:cs="宋体"/>
          <w:b/>
          <w:bCs/>
          <w:color w:val="auto"/>
          <w:sz w:val="28"/>
          <w:szCs w:val="28"/>
        </w:rPr>
      </w:pPr>
      <w:r>
        <w:rPr>
          <w:rFonts w:hint="eastAsia" w:hAnsi="宋体"/>
          <w:color w:val="auto"/>
          <w:sz w:val="24"/>
          <w:lang w:val="zh-CN"/>
        </w:rPr>
        <w:br w:type="page"/>
      </w:r>
      <w:r>
        <w:rPr>
          <w:rFonts w:hint="eastAsia" w:ascii="宋体" w:hAnsi="宋体" w:cs="宋体"/>
          <w:b/>
          <w:bCs/>
          <w:color w:val="auto"/>
          <w:sz w:val="28"/>
          <w:szCs w:val="28"/>
          <w:lang w:val="en-US" w:eastAsia="zh-CN"/>
        </w:rPr>
        <w:t>10、磋商响应报价明细表</w:t>
      </w:r>
    </w:p>
    <w:p>
      <w:pPr>
        <w:kinsoku w:val="0"/>
        <w:topLinePunct/>
        <w:snapToGrid w:val="0"/>
        <w:spacing w:line="520" w:lineRule="exact"/>
        <w:rPr>
          <w:rFonts w:hint="eastAsia" w:ascii="宋体" w:hAnsi="宋体" w:eastAsia="宋体" w:cs="宋体"/>
          <w:color w:val="auto"/>
          <w:sz w:val="24"/>
          <w:szCs w:val="24"/>
        </w:rPr>
      </w:pPr>
    </w:p>
    <w:p>
      <w:pPr>
        <w:kinsoku w:val="0"/>
        <w:topLinePunct/>
        <w:snapToGrid w:val="0"/>
        <w:spacing w:line="520" w:lineRule="exact"/>
        <w:rPr>
          <w:rFonts w:ascii="方正仿宋_GBK" w:eastAsia="宋体"/>
          <w:b/>
          <w:color w:val="auto"/>
          <w:sz w:val="24"/>
          <w:szCs w:val="24"/>
        </w:rPr>
      </w:pPr>
      <w:r>
        <w:rPr>
          <w:rFonts w:hint="eastAsia" w:ascii="宋体" w:hAnsi="宋体" w:eastAsia="宋体" w:cs="宋体"/>
          <w:color w:val="auto"/>
          <w:sz w:val="24"/>
          <w:szCs w:val="24"/>
        </w:rPr>
        <w:t>项目名称</w:t>
      </w:r>
      <w:r>
        <w:rPr>
          <w:rFonts w:ascii="方正仿宋_GBK" w:eastAsia="宋体"/>
          <w:b/>
          <w:color w:val="auto"/>
          <w:sz w:val="24"/>
          <w:szCs w:val="24"/>
        </w:rPr>
        <w:t>：</w:t>
      </w:r>
    </w:p>
    <w:tbl>
      <w:tblPr>
        <w:tblStyle w:val="53"/>
        <w:tblW w:w="928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29"/>
        <w:gridCol w:w="2430"/>
        <w:gridCol w:w="1320"/>
        <w:gridCol w:w="1774"/>
        <w:gridCol w:w="1511"/>
        <w:gridCol w:w="15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77" w:hRule="atLeast"/>
          <w:jc w:val="center"/>
        </w:trPr>
        <w:tc>
          <w:tcPr>
            <w:tcW w:w="7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24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品名</w:t>
            </w:r>
          </w:p>
        </w:tc>
        <w:tc>
          <w:tcPr>
            <w:tcW w:w="13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
                <w:bCs/>
                <w:color w:val="auto"/>
                <w:kern w:val="0"/>
                <w:sz w:val="21"/>
                <w:szCs w:val="21"/>
                <w:highlight w:val="none"/>
                <w:lang w:val="en-US"/>
              </w:rPr>
            </w:pPr>
            <w:r>
              <w:rPr>
                <w:rFonts w:hint="default" w:ascii="宋体" w:hAnsi="宋体" w:eastAsia="宋体" w:cs="宋体"/>
                <w:b/>
                <w:bCs/>
                <w:color w:val="auto"/>
                <w:kern w:val="0"/>
                <w:sz w:val="21"/>
                <w:szCs w:val="21"/>
                <w:highlight w:val="none"/>
                <w:lang w:val="en-US"/>
              </w:rPr>
              <w:t>单位（规格）</w:t>
            </w:r>
          </w:p>
        </w:tc>
        <w:tc>
          <w:tcPr>
            <w:tcW w:w="177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技术参数</w:t>
            </w:r>
          </w:p>
        </w:tc>
        <w:tc>
          <w:tcPr>
            <w:tcW w:w="15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数量（预估</w:t>
            </w:r>
          </w:p>
          <w:p>
            <w:pPr>
              <w:widowControl/>
              <w:spacing w:line="263" w:lineRule="atLeast"/>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val="en-US" w:eastAsia="zh-CN"/>
              </w:rPr>
              <w:t>/年</w:t>
            </w:r>
            <w:r>
              <w:rPr>
                <w:rFonts w:hint="eastAsia" w:ascii="宋体" w:hAnsi="宋体" w:eastAsia="宋体" w:cs="宋体"/>
                <w:b/>
                <w:bCs/>
                <w:color w:val="auto"/>
                <w:kern w:val="0"/>
                <w:sz w:val="21"/>
                <w:szCs w:val="21"/>
                <w:highlight w:val="none"/>
                <w:lang w:eastAsia="zh-CN"/>
              </w:rPr>
              <w:t>）</w:t>
            </w:r>
          </w:p>
        </w:tc>
        <w:tc>
          <w:tcPr>
            <w:tcW w:w="151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
                <w:bCs/>
                <w:color w:val="auto"/>
                <w:kern w:val="0"/>
                <w:sz w:val="21"/>
                <w:szCs w:val="21"/>
                <w:highlight w:val="none"/>
                <w:lang w:eastAsia="zh-CN"/>
              </w:rPr>
            </w:pPr>
            <w:r>
              <w:rPr>
                <w:rFonts w:hint="eastAsia" w:ascii="宋体" w:hAnsi="宋体" w:eastAsia="宋体" w:cs="宋体"/>
                <w:b/>
                <w:bCs/>
                <w:color w:val="auto"/>
                <w:kern w:val="0"/>
                <w:sz w:val="21"/>
                <w:szCs w:val="21"/>
                <w:highlight w:val="none"/>
                <w:lang w:eastAsia="zh-CN"/>
              </w:rPr>
              <w:t>综合</w:t>
            </w:r>
            <w:r>
              <w:rPr>
                <w:rFonts w:hint="eastAsia" w:ascii="宋体" w:hAnsi="宋体" w:eastAsia="宋体" w:cs="宋体"/>
                <w:b/>
                <w:bCs/>
                <w:color w:val="auto"/>
                <w:kern w:val="0"/>
                <w:sz w:val="21"/>
                <w:szCs w:val="21"/>
                <w:highlight w:val="none"/>
              </w:rPr>
              <w:t>单价</w:t>
            </w:r>
            <w:r>
              <w:rPr>
                <w:rFonts w:hint="eastAsia" w:ascii="宋体" w:hAnsi="宋体" w:eastAsia="宋体" w:cs="宋体"/>
                <w:b/>
                <w:bCs/>
                <w:color w:val="auto"/>
                <w:kern w:val="0"/>
                <w:sz w:val="21"/>
                <w:szCs w:val="21"/>
                <w:highlight w:val="none"/>
                <w:lang w:eastAsia="zh-CN"/>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24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医用液氧</w:t>
            </w:r>
          </w:p>
        </w:tc>
        <w:tc>
          <w:tcPr>
            <w:tcW w:w="13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吨</w:t>
            </w:r>
          </w:p>
        </w:tc>
        <w:tc>
          <w:tcPr>
            <w:tcW w:w="17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108</w:t>
            </w:r>
          </w:p>
        </w:tc>
        <w:tc>
          <w:tcPr>
            <w:tcW w:w="1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2</w:t>
            </w:r>
          </w:p>
        </w:tc>
        <w:tc>
          <w:tcPr>
            <w:tcW w:w="24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医用瓶氧</w:t>
            </w:r>
          </w:p>
        </w:tc>
        <w:tc>
          <w:tcPr>
            <w:tcW w:w="13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2"/>
                <w:szCs w:val="22"/>
                <w:lang w:val="en-US" w:eastAsia="zh-CN"/>
              </w:rPr>
              <w:t>P12（大瓶）</w:t>
            </w:r>
          </w:p>
        </w:tc>
        <w:tc>
          <w:tcPr>
            <w:tcW w:w="17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34</w:t>
            </w:r>
          </w:p>
        </w:tc>
        <w:tc>
          <w:tcPr>
            <w:tcW w:w="1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3</w:t>
            </w:r>
          </w:p>
        </w:tc>
        <w:tc>
          <w:tcPr>
            <w:tcW w:w="24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医用瓶氧</w:t>
            </w:r>
          </w:p>
        </w:tc>
        <w:tc>
          <w:tcPr>
            <w:tcW w:w="13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2"/>
                <w:szCs w:val="22"/>
                <w:lang w:val="en-US" w:eastAsia="zh-CN"/>
              </w:rPr>
              <w:t>小瓶</w:t>
            </w:r>
          </w:p>
        </w:tc>
        <w:tc>
          <w:tcPr>
            <w:tcW w:w="17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143</w:t>
            </w:r>
          </w:p>
        </w:tc>
        <w:tc>
          <w:tcPr>
            <w:tcW w:w="1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w:t>
            </w:r>
          </w:p>
        </w:tc>
        <w:tc>
          <w:tcPr>
            <w:tcW w:w="24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液氮</w:t>
            </w:r>
          </w:p>
        </w:tc>
        <w:tc>
          <w:tcPr>
            <w:tcW w:w="13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升</w:t>
            </w:r>
          </w:p>
        </w:tc>
        <w:tc>
          <w:tcPr>
            <w:tcW w:w="17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2940</w:t>
            </w:r>
          </w:p>
        </w:tc>
        <w:tc>
          <w:tcPr>
            <w:tcW w:w="151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5</w:t>
            </w:r>
          </w:p>
        </w:tc>
        <w:tc>
          <w:tcPr>
            <w:tcW w:w="243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高纯氮</w:t>
            </w:r>
            <w:r>
              <w:rPr>
                <w:rFonts w:hint="eastAsia" w:ascii="宋体" w:hAnsi="宋体" w:eastAsia="宋体" w:cs="宋体"/>
                <w:color w:val="auto"/>
                <w:kern w:val="0"/>
                <w:sz w:val="22"/>
                <w:szCs w:val="22"/>
                <w:lang w:eastAsia="zh-CN" w:bidi="ar"/>
              </w:rPr>
              <w:t>气</w:t>
            </w:r>
          </w:p>
        </w:tc>
        <w:tc>
          <w:tcPr>
            <w:tcW w:w="132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40升/瓶</w:t>
            </w:r>
          </w:p>
        </w:tc>
        <w:tc>
          <w:tcPr>
            <w:tcW w:w="177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77</w:t>
            </w:r>
          </w:p>
        </w:tc>
        <w:tc>
          <w:tcPr>
            <w:tcW w:w="151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color w:val="auto"/>
                <w:kern w:val="0"/>
                <w:sz w:val="21"/>
                <w:szCs w:val="21"/>
                <w:highlight w:val="none"/>
              </w:rPr>
            </w:pPr>
            <w:r>
              <w:rPr>
                <w:rFonts w:hint="eastAsia" w:ascii="宋体" w:hAnsi="宋体" w:eastAsia="宋体" w:cs="宋体"/>
                <w:bCs/>
                <w:color w:val="auto"/>
                <w:kern w:val="0"/>
                <w:sz w:val="21"/>
                <w:szCs w:val="21"/>
                <w:highlight w:val="none"/>
              </w:rPr>
              <w:t>6</w:t>
            </w:r>
          </w:p>
        </w:tc>
        <w:tc>
          <w:tcPr>
            <w:tcW w:w="24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以食品为原料高纯二氧化碳</w:t>
            </w:r>
          </w:p>
        </w:tc>
        <w:tc>
          <w:tcPr>
            <w:tcW w:w="13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40升/瓶</w:t>
            </w:r>
          </w:p>
        </w:tc>
        <w:tc>
          <w:tcPr>
            <w:tcW w:w="177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252</w:t>
            </w:r>
          </w:p>
        </w:tc>
        <w:tc>
          <w:tcPr>
            <w:tcW w:w="151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7</w:t>
            </w:r>
          </w:p>
        </w:tc>
        <w:tc>
          <w:tcPr>
            <w:tcW w:w="24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高纯乙炔</w:t>
            </w:r>
          </w:p>
        </w:tc>
        <w:tc>
          <w:tcPr>
            <w:tcW w:w="13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40升/瓶</w:t>
            </w:r>
          </w:p>
        </w:tc>
        <w:tc>
          <w:tcPr>
            <w:tcW w:w="177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51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8</w:t>
            </w:r>
          </w:p>
        </w:tc>
        <w:tc>
          <w:tcPr>
            <w:tcW w:w="24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2"/>
                <w:szCs w:val="22"/>
                <w:lang w:bidi="ar"/>
              </w:rPr>
              <w:t>高纯氩气</w:t>
            </w:r>
          </w:p>
        </w:tc>
        <w:tc>
          <w:tcPr>
            <w:tcW w:w="13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40升/瓶</w:t>
            </w:r>
          </w:p>
        </w:tc>
        <w:tc>
          <w:tcPr>
            <w:tcW w:w="177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p>
        </w:tc>
        <w:tc>
          <w:tcPr>
            <w:tcW w:w="151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51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72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eastAsia" w:ascii="宋体" w:hAnsi="宋体" w:eastAsia="宋体" w:cs="宋体"/>
                <w:bCs/>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9</w:t>
            </w:r>
          </w:p>
        </w:tc>
        <w:tc>
          <w:tcPr>
            <w:tcW w:w="24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2"/>
                <w:szCs w:val="22"/>
                <w:lang w:eastAsia="zh-CN"/>
              </w:rPr>
              <w:t>预混气</w:t>
            </w:r>
          </w:p>
        </w:tc>
        <w:tc>
          <w:tcPr>
            <w:tcW w:w="13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color w:val="auto"/>
                <w:kern w:val="0"/>
                <w:sz w:val="22"/>
                <w:szCs w:val="22"/>
                <w:lang w:bidi="ar"/>
              </w:rPr>
              <w:t>40升/瓶</w:t>
            </w:r>
          </w:p>
        </w:tc>
        <w:tc>
          <w:tcPr>
            <w:tcW w:w="177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宋体" w:hAnsi="宋体" w:eastAsia="宋体" w:cs="宋体"/>
                <w:bCs/>
                <w:color w:val="auto"/>
                <w:kern w:val="0"/>
                <w:sz w:val="21"/>
                <w:szCs w:val="21"/>
                <w:highlight w:val="none"/>
              </w:rPr>
            </w:pPr>
          </w:p>
        </w:tc>
        <w:tc>
          <w:tcPr>
            <w:tcW w:w="151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color w:val="auto"/>
                <w:kern w:val="0"/>
                <w:sz w:val="22"/>
                <w:szCs w:val="22"/>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51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3" w:lineRule="atLeast"/>
              <w:jc w:val="center"/>
              <w:rPr>
                <w:rFonts w:hint="default" w:ascii="宋体" w:hAnsi="宋体" w:eastAsia="宋体" w:cs="宋体"/>
                <w:bCs/>
                <w:color w:val="auto"/>
                <w:kern w:val="0"/>
                <w:sz w:val="21"/>
                <w:szCs w:val="21"/>
                <w:highlight w:val="none"/>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280" w:type="dxa"/>
            <w:gridSpan w:val="6"/>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napToGrid w:val="0"/>
              <w:spacing w:line="420" w:lineRule="exact"/>
              <w:rPr>
                <w:rFonts w:cs="宋体"/>
                <w:color w:val="auto"/>
                <w:sz w:val="24"/>
                <w:szCs w:val="24"/>
              </w:rPr>
            </w:pPr>
            <w:r>
              <w:rPr>
                <w:rFonts w:hint="eastAsia" w:cs="宋体"/>
                <w:color w:val="auto"/>
                <w:sz w:val="24"/>
                <w:szCs w:val="24"/>
              </w:rPr>
              <w:t>大写：</w:t>
            </w:r>
            <w:r>
              <w:rPr>
                <w:rFonts w:hint="eastAsia" w:ascii="宋体" w:hAnsi="宋体" w:cs="宋体"/>
                <w:snapToGrid w:val="0"/>
                <w:color w:val="auto"/>
                <w:sz w:val="24"/>
                <w:szCs w:val="24"/>
              </w:rPr>
              <w:t>人民币</w:t>
            </w:r>
            <w:r>
              <w:rPr>
                <w:rFonts w:hint="eastAsia" w:ascii="宋体" w:hAnsi="宋体" w:cs="宋体"/>
                <w:snapToGrid w:val="0"/>
                <w:color w:val="auto"/>
                <w:sz w:val="24"/>
                <w:szCs w:val="24"/>
                <w:u w:val="single"/>
              </w:rPr>
              <w:t xml:space="preserve">        元/年</w:t>
            </w:r>
            <w:r>
              <w:rPr>
                <w:rFonts w:hint="eastAsia" w:ascii="宋体" w:hAnsi="宋体" w:cs="宋体"/>
                <w:snapToGrid w:val="0"/>
                <w:color w:val="auto"/>
                <w:sz w:val="24"/>
                <w:szCs w:val="24"/>
              </w:rPr>
              <w:t>。</w:t>
            </w:r>
          </w:p>
          <w:p>
            <w:pPr>
              <w:widowControl/>
              <w:spacing w:line="263" w:lineRule="atLeast"/>
              <w:jc w:val="both"/>
              <w:rPr>
                <w:rFonts w:hint="default" w:ascii="宋体" w:hAnsi="宋体" w:eastAsia="宋体" w:cs="宋体"/>
                <w:bCs/>
                <w:color w:val="auto"/>
                <w:kern w:val="0"/>
                <w:sz w:val="21"/>
                <w:szCs w:val="21"/>
                <w:highlight w:val="none"/>
                <w:lang w:val="en-US" w:eastAsia="zh-CN"/>
              </w:rPr>
            </w:pPr>
            <w:r>
              <w:rPr>
                <w:rFonts w:hint="eastAsia" w:cs="宋体"/>
                <w:color w:val="auto"/>
                <w:sz w:val="24"/>
                <w:szCs w:val="24"/>
              </w:rPr>
              <w:t>小写：￥</w:t>
            </w:r>
            <w:r>
              <w:rPr>
                <w:rFonts w:hint="eastAsia" w:cs="宋体"/>
                <w:color w:val="auto"/>
                <w:sz w:val="24"/>
                <w:szCs w:val="24"/>
                <w:u w:val="single"/>
                <w:lang w:val="en-US" w:eastAsia="zh-CN"/>
              </w:rPr>
              <w:t xml:space="preserve">           </w:t>
            </w:r>
            <w:r>
              <w:rPr>
                <w:rFonts w:hint="eastAsia" w:ascii="宋体" w:hAnsi="宋体" w:cs="宋体"/>
                <w:snapToGrid w:val="0"/>
                <w:color w:val="auto"/>
                <w:sz w:val="24"/>
                <w:szCs w:val="24"/>
                <w:u w:val="single"/>
              </w:rPr>
              <w:t>元/年</w:t>
            </w:r>
          </w:p>
        </w:tc>
      </w:tr>
    </w:tbl>
    <w:p>
      <w:pPr>
        <w:rPr>
          <w:rFonts w:hint="eastAsia" w:ascii="宋体" w:hAnsi="宋体" w:eastAsia="宋体"/>
          <w:b/>
          <w:color w:val="auto"/>
          <w:sz w:val="28"/>
          <w:szCs w:val="28"/>
        </w:rPr>
      </w:pPr>
    </w:p>
    <w:p>
      <w:pPr>
        <w:pStyle w:val="115"/>
        <w:tabs>
          <w:tab w:val="left" w:pos="5665"/>
          <w:tab w:val="right" w:pos="8360"/>
        </w:tabs>
        <w:snapToGrid w:val="0"/>
        <w:spacing w:line="360" w:lineRule="auto"/>
        <w:ind w:right="42"/>
        <w:jc w:val="center"/>
        <w:textAlignment w:val="baseline"/>
        <w:rPr>
          <w:rFonts w:hint="eastAsia" w:hAnsi="宋体"/>
          <w:b/>
          <w:bCs/>
          <w:color w:val="auto"/>
          <w:sz w:val="24"/>
          <w:szCs w:val="24"/>
        </w:rPr>
      </w:pPr>
    </w:p>
    <w:p>
      <w:pPr>
        <w:kinsoku w:val="0"/>
        <w:topLinePunct/>
        <w:snapToGrid w:val="0"/>
        <w:spacing w:line="520" w:lineRule="exact"/>
        <w:rPr>
          <w:rFonts w:ascii="宋体" w:hAnsi="宋体" w:eastAsia="宋体" w:cs="宋体"/>
          <w:color w:val="auto"/>
          <w:sz w:val="24"/>
          <w:szCs w:val="24"/>
        </w:rPr>
      </w:pPr>
      <w:r>
        <w:rPr>
          <w:rFonts w:hint="eastAsia" w:ascii="宋体" w:hAnsi="宋体" w:eastAsia="宋体" w:cs="宋体"/>
          <w:color w:val="auto"/>
          <w:sz w:val="24"/>
          <w:szCs w:val="24"/>
        </w:rPr>
        <w:t xml:space="preserve">投标供应商：（盖章）             </w:t>
      </w:r>
    </w:p>
    <w:p>
      <w:pPr>
        <w:kinsoku w:val="0"/>
        <w:topLinePunct/>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法定代表人或被授权人（签字或盖章）：</w:t>
      </w:r>
    </w:p>
    <w:p>
      <w:pPr>
        <w:kinsoku w:val="0"/>
        <w:topLinePunct/>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日期：</w:t>
      </w:r>
    </w:p>
    <w:p>
      <w:pPr>
        <w:pStyle w:val="115"/>
        <w:tabs>
          <w:tab w:val="left" w:pos="5665"/>
          <w:tab w:val="right" w:pos="8360"/>
        </w:tabs>
        <w:snapToGrid w:val="0"/>
        <w:spacing w:line="360" w:lineRule="auto"/>
        <w:ind w:right="42"/>
        <w:jc w:val="center"/>
        <w:textAlignment w:val="baseline"/>
        <w:rPr>
          <w:rFonts w:hint="eastAsia" w:hAnsi="宋体"/>
          <w:b/>
          <w:bCs/>
          <w:color w:val="auto"/>
          <w:sz w:val="24"/>
          <w:szCs w:val="24"/>
        </w:rPr>
      </w:pPr>
    </w:p>
    <w:p>
      <w:pPr>
        <w:pStyle w:val="115"/>
        <w:tabs>
          <w:tab w:val="left" w:pos="5665"/>
          <w:tab w:val="right" w:pos="8360"/>
        </w:tabs>
        <w:snapToGrid w:val="0"/>
        <w:spacing w:line="360" w:lineRule="auto"/>
        <w:ind w:right="42"/>
        <w:jc w:val="center"/>
        <w:textAlignment w:val="baseline"/>
        <w:rPr>
          <w:rFonts w:hint="eastAsia" w:hAnsi="宋体"/>
          <w:b/>
          <w:bCs/>
          <w:color w:val="auto"/>
          <w:sz w:val="24"/>
          <w:szCs w:val="24"/>
        </w:rPr>
      </w:pPr>
    </w:p>
    <w:p>
      <w:pPr>
        <w:pStyle w:val="115"/>
        <w:tabs>
          <w:tab w:val="left" w:pos="5665"/>
          <w:tab w:val="right" w:pos="8360"/>
        </w:tabs>
        <w:snapToGrid w:val="0"/>
        <w:spacing w:line="360" w:lineRule="auto"/>
        <w:ind w:right="42"/>
        <w:jc w:val="center"/>
        <w:textAlignment w:val="baseline"/>
        <w:rPr>
          <w:rFonts w:hint="eastAsia" w:hAnsi="宋体"/>
          <w:b/>
          <w:bCs/>
          <w:color w:val="auto"/>
          <w:sz w:val="24"/>
          <w:szCs w:val="24"/>
        </w:rPr>
      </w:pPr>
    </w:p>
    <w:p>
      <w:pPr>
        <w:pStyle w:val="115"/>
        <w:tabs>
          <w:tab w:val="left" w:pos="5665"/>
          <w:tab w:val="right" w:pos="8360"/>
        </w:tabs>
        <w:snapToGrid w:val="0"/>
        <w:spacing w:line="360" w:lineRule="auto"/>
        <w:ind w:right="42"/>
        <w:jc w:val="center"/>
        <w:textAlignment w:val="baseline"/>
        <w:rPr>
          <w:rFonts w:hint="eastAsia" w:hAnsi="宋体"/>
          <w:b/>
          <w:bCs/>
          <w:color w:val="auto"/>
          <w:sz w:val="24"/>
          <w:szCs w:val="24"/>
        </w:rPr>
      </w:pPr>
    </w:p>
    <w:p>
      <w:pPr>
        <w:pStyle w:val="115"/>
        <w:tabs>
          <w:tab w:val="left" w:pos="5665"/>
          <w:tab w:val="right" w:pos="8360"/>
        </w:tabs>
        <w:snapToGrid w:val="0"/>
        <w:spacing w:line="360" w:lineRule="auto"/>
        <w:ind w:right="42"/>
        <w:jc w:val="center"/>
        <w:textAlignment w:val="baseline"/>
        <w:rPr>
          <w:rFonts w:hint="eastAsia" w:hAnsi="宋体"/>
          <w:b/>
          <w:bCs/>
          <w:color w:val="auto"/>
          <w:sz w:val="24"/>
          <w:szCs w:val="24"/>
        </w:rPr>
      </w:pPr>
    </w:p>
    <w:p>
      <w:pPr>
        <w:pStyle w:val="115"/>
        <w:tabs>
          <w:tab w:val="left" w:pos="5665"/>
          <w:tab w:val="right" w:pos="8360"/>
        </w:tabs>
        <w:snapToGrid w:val="0"/>
        <w:spacing w:line="360" w:lineRule="auto"/>
        <w:ind w:right="42"/>
        <w:jc w:val="center"/>
        <w:textAlignment w:val="baseline"/>
        <w:rPr>
          <w:rFonts w:hint="eastAsia" w:ascii="宋体" w:hAnsi="宋体" w:eastAsia="宋体" w:cs="宋体"/>
          <w:b/>
          <w:bCs/>
          <w:color w:val="auto"/>
          <w:kern w:val="2"/>
          <w:sz w:val="28"/>
          <w:szCs w:val="28"/>
          <w:lang w:val="en-US" w:eastAsia="zh-CN" w:bidi="ar-SA"/>
        </w:rPr>
      </w:pPr>
      <w:r>
        <w:rPr>
          <w:rFonts w:hint="eastAsia" w:hAnsi="宋体" w:cs="宋体"/>
          <w:b/>
          <w:bCs/>
          <w:color w:val="auto"/>
          <w:kern w:val="2"/>
          <w:sz w:val="28"/>
          <w:szCs w:val="28"/>
          <w:lang w:val="en-US" w:eastAsia="zh-CN" w:bidi="ar-SA"/>
        </w:rPr>
        <w:t>10</w:t>
      </w:r>
      <w:r>
        <w:rPr>
          <w:rFonts w:hint="eastAsia" w:ascii="宋体" w:hAnsi="宋体" w:eastAsia="宋体" w:cs="宋体"/>
          <w:b/>
          <w:bCs/>
          <w:color w:val="auto"/>
          <w:kern w:val="2"/>
          <w:sz w:val="28"/>
          <w:szCs w:val="28"/>
          <w:lang w:val="en-US" w:eastAsia="zh-CN" w:bidi="ar-SA"/>
        </w:rPr>
        <w:t>、中小企业声明函（格式）</w:t>
      </w:r>
    </w:p>
    <w:p>
      <w:pPr>
        <w:pStyle w:val="52"/>
        <w:snapToGrid w:val="0"/>
        <w:ind w:firstLine="0" w:firstLineChars="0"/>
        <w:textAlignment w:val="baseline"/>
        <w:rPr>
          <w:color w:val="auto"/>
        </w:rPr>
      </w:pP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本公司郑重声明，根据《政府采购促进中小企业发展管理办法》（财库﹝2020﹞46 号）的规定，本公司参加</w:t>
      </w:r>
      <w:r>
        <w:rPr>
          <w:rFonts w:hint="eastAsia" w:ascii="宋体" w:hAnsi="宋体" w:cs="宋体"/>
          <w:color w:val="auto"/>
          <w:sz w:val="24"/>
          <w:szCs w:val="24"/>
          <w:u w:val="single"/>
          <w:lang w:val="zh-CN"/>
        </w:rPr>
        <w:t>南通市</w:t>
      </w:r>
      <w:r>
        <w:rPr>
          <w:rFonts w:hint="eastAsia" w:ascii="宋体" w:hAnsi="宋体" w:cs="宋体"/>
          <w:color w:val="auto"/>
          <w:sz w:val="24"/>
          <w:szCs w:val="24"/>
          <w:u w:val="single"/>
        </w:rPr>
        <w:t>妇幼保健院</w:t>
      </w:r>
      <w:r>
        <w:rPr>
          <w:rFonts w:hint="eastAsia" w:ascii="宋体" w:hAnsi="宋体" w:cs="宋体"/>
          <w:color w:val="auto"/>
          <w:sz w:val="24"/>
          <w:szCs w:val="24"/>
        </w:rPr>
        <w:t>的</w:t>
      </w:r>
      <w:r>
        <w:rPr>
          <w:rFonts w:hint="eastAsia" w:ascii="宋体" w:hAnsi="宋体" w:cs="宋体"/>
          <w:color w:val="auto"/>
          <w:sz w:val="24"/>
          <w:szCs w:val="24"/>
          <w:u w:val="single"/>
          <w:lang w:val="zh-CN"/>
        </w:rPr>
        <w:t>南通市妇幼保健院医用气体采购项目</w:t>
      </w:r>
      <w:r>
        <w:rPr>
          <w:rFonts w:hint="eastAsia" w:ascii="宋体" w:hAnsi="宋体" w:cs="宋体"/>
          <w:color w:val="auto"/>
          <w:sz w:val="24"/>
          <w:szCs w:val="24"/>
        </w:rPr>
        <w:t>采购活动，</w:t>
      </w:r>
      <w:r>
        <w:rPr>
          <w:rFonts w:hint="eastAsia" w:ascii="宋体" w:hAnsi="宋体" w:cs="宋体"/>
          <w:color w:val="auto"/>
          <w:kern w:val="0"/>
          <w:sz w:val="24"/>
          <w:szCs w:val="24"/>
        </w:rPr>
        <w:t>该项目</w:t>
      </w:r>
      <w:r>
        <w:rPr>
          <w:rFonts w:hint="eastAsia" w:ascii="宋体" w:hAnsi="宋体" w:cs="宋体"/>
          <w:color w:val="auto"/>
          <w:sz w:val="24"/>
          <w:szCs w:val="24"/>
        </w:rPr>
        <w:t xml:space="preserve">服务全部由符合政策要求的中小企业提供。具体情况如下： </w:t>
      </w:r>
    </w:p>
    <w:p>
      <w:pPr>
        <w:snapToGrid w:val="0"/>
        <w:spacing w:line="360" w:lineRule="auto"/>
        <w:ind w:firstLine="480" w:firstLineChars="200"/>
        <w:rPr>
          <w:rFonts w:ascii="宋体" w:hAnsi="宋体" w:cs="宋体"/>
          <w:color w:val="auto"/>
          <w:sz w:val="24"/>
          <w:szCs w:val="24"/>
          <w:u w:val="single"/>
        </w:rPr>
      </w:pP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u w:val="single"/>
          <w:lang w:val="zh-CN"/>
        </w:rPr>
        <w:t>南通市妇幼保健院医用气体采购项目</w:t>
      </w:r>
      <w:r>
        <w:rPr>
          <w:rFonts w:hint="eastAsia" w:ascii="宋体" w:hAnsi="宋体" w:cs="宋体"/>
          <w:color w:val="auto"/>
          <w:sz w:val="24"/>
          <w:szCs w:val="24"/>
        </w:rPr>
        <w:t>，属于</w:t>
      </w:r>
      <w:r>
        <w:rPr>
          <w:rFonts w:hint="eastAsia" w:ascii="宋体" w:hAnsi="宋体" w:cs="宋体"/>
          <w:color w:val="auto"/>
          <w:sz w:val="24"/>
          <w:szCs w:val="24"/>
          <w:u w:val="single"/>
        </w:rPr>
        <w:t xml:space="preserve"> 其他未列明行业 </w:t>
      </w:r>
      <w:r>
        <w:rPr>
          <w:rFonts w:hint="eastAsia" w:ascii="宋体" w:hAnsi="宋体" w:cs="宋体"/>
          <w:color w:val="auto"/>
          <w:sz w:val="24"/>
          <w:szCs w:val="24"/>
        </w:rPr>
        <w:t>；承接企业为</w:t>
      </w:r>
      <w:r>
        <w:rPr>
          <w:rFonts w:hint="eastAsia" w:ascii="宋体" w:hAnsi="宋体" w:cs="宋体"/>
          <w:color w:val="auto"/>
          <w:sz w:val="24"/>
          <w:szCs w:val="24"/>
          <w:u w:val="single"/>
        </w:rPr>
        <w:t>（企业名称）</w:t>
      </w:r>
      <w:r>
        <w:rPr>
          <w:rFonts w:hint="eastAsia" w:ascii="宋体" w:hAnsi="宋体" w:cs="宋体"/>
          <w:color w:val="auto"/>
          <w:sz w:val="24"/>
          <w:szCs w:val="24"/>
        </w:rPr>
        <w:t>，从业人员人，营业收入为万元，资产总额为万元，属于</w:t>
      </w:r>
      <w:r>
        <w:rPr>
          <w:rFonts w:hint="eastAsia" w:ascii="宋体" w:hAnsi="宋体" w:cs="宋体"/>
          <w:color w:val="auto"/>
          <w:sz w:val="24"/>
          <w:szCs w:val="24"/>
          <w:u w:val="single"/>
        </w:rPr>
        <w:t>（中型企业、小型企业、微型企业）</w:t>
      </w:r>
      <w:r>
        <w:rPr>
          <w:rFonts w:hint="eastAsia" w:ascii="宋体" w:hAnsi="宋体" w:cs="宋体"/>
          <w:color w:val="auto"/>
          <w:sz w:val="24"/>
          <w:szCs w:val="24"/>
        </w:rPr>
        <w:t>；</w:t>
      </w:r>
    </w:p>
    <w:p>
      <w:pPr>
        <w:snapToGrid w:val="0"/>
        <w:spacing w:line="360" w:lineRule="auto"/>
        <w:ind w:firstLine="480" w:firstLineChars="200"/>
        <w:rPr>
          <w:rFonts w:ascii="宋体" w:hAnsi="宋体" w:cs="宋体"/>
          <w:color w:val="auto"/>
          <w:sz w:val="24"/>
          <w:szCs w:val="24"/>
        </w:rPr>
      </w:pP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以上企业，不属于大企业的分支机构，不存在控股股东为大企业的情形，也不存在与大企业的负责人为同一人的情形。 </w:t>
      </w:r>
    </w:p>
    <w:p>
      <w:pPr>
        <w:pStyle w:val="2"/>
        <w:snapToGrid w:val="0"/>
        <w:spacing w:line="360" w:lineRule="auto"/>
        <w:ind w:right="415" w:firstLine="640"/>
        <w:textAlignment w:val="baseline"/>
        <w:rPr>
          <w:rFonts w:ascii="宋体" w:hAnsi="宋体" w:cs="宋体"/>
          <w:color w:val="auto"/>
          <w:szCs w:val="24"/>
        </w:rPr>
      </w:pPr>
      <w:r>
        <w:rPr>
          <w:rFonts w:hint="eastAsia" w:ascii="宋体" w:hAnsi="宋体" w:cs="宋体"/>
          <w:color w:val="auto"/>
          <w:szCs w:val="24"/>
        </w:rPr>
        <w:t>本企业对上述声明内容的真实性负责。如有虚假，将依法承担相应责任。</w:t>
      </w:r>
    </w:p>
    <w:p>
      <w:pPr>
        <w:pStyle w:val="92"/>
        <w:rPr>
          <w:rFonts w:ascii="宋体" w:eastAsia="宋体" w:cs="宋体"/>
          <w:color w:val="auto"/>
          <w:sz w:val="24"/>
          <w:szCs w:val="24"/>
        </w:rPr>
      </w:pPr>
    </w:p>
    <w:p>
      <w:pPr>
        <w:pStyle w:val="94"/>
        <w:ind w:firstLine="420"/>
        <w:rPr>
          <w:rFonts w:hint="default"/>
          <w:color w:val="auto"/>
        </w:rPr>
      </w:pPr>
    </w:p>
    <w:p>
      <w:pPr>
        <w:snapToGrid w:val="0"/>
        <w:spacing w:line="480" w:lineRule="auto"/>
        <w:ind w:right="79" w:firstLine="4800" w:firstLineChars="2000"/>
        <w:textAlignment w:val="baseline"/>
        <w:rPr>
          <w:rFonts w:ascii="宋体" w:hAnsi="宋体" w:cs="宋体"/>
          <w:color w:val="auto"/>
          <w:sz w:val="24"/>
          <w:szCs w:val="24"/>
        </w:rPr>
      </w:pPr>
    </w:p>
    <w:p>
      <w:pPr>
        <w:pStyle w:val="2"/>
        <w:snapToGrid w:val="0"/>
        <w:spacing w:line="360" w:lineRule="auto"/>
        <w:ind w:right="415" w:firstLine="640"/>
        <w:textAlignment w:val="baseline"/>
        <w:rPr>
          <w:rFonts w:ascii="宋体" w:hAnsi="宋体" w:cs="宋体"/>
          <w:color w:val="auto"/>
          <w:szCs w:val="24"/>
          <w:lang w:val="zh-CN"/>
        </w:rPr>
      </w:pPr>
      <w:r>
        <w:rPr>
          <w:rFonts w:hint="eastAsia" w:ascii="宋体" w:hAnsi="宋体" w:cs="宋体"/>
          <w:color w:val="auto"/>
          <w:szCs w:val="24"/>
        </w:rPr>
        <w:t>竞争性磋商响应供应商：（单位盖章）</w:t>
      </w:r>
    </w:p>
    <w:p>
      <w:pPr>
        <w:pStyle w:val="2"/>
        <w:snapToGrid w:val="0"/>
        <w:spacing w:line="360" w:lineRule="auto"/>
        <w:ind w:right="415" w:firstLine="640"/>
        <w:textAlignment w:val="baseline"/>
        <w:rPr>
          <w:rFonts w:ascii="宋体" w:hAnsi="宋体" w:cs="宋体"/>
          <w:color w:val="auto"/>
          <w:szCs w:val="24"/>
        </w:rPr>
      </w:pPr>
      <w:r>
        <w:rPr>
          <w:rFonts w:hint="eastAsia" w:ascii="宋体" w:hAnsi="宋体" w:cs="宋体"/>
          <w:color w:val="auto"/>
          <w:szCs w:val="24"/>
        </w:rPr>
        <w:t>法定代表人或被委托授权人：（签字或盖章）</w:t>
      </w:r>
    </w:p>
    <w:p>
      <w:pPr>
        <w:pStyle w:val="2"/>
        <w:snapToGrid w:val="0"/>
        <w:spacing w:line="360" w:lineRule="auto"/>
        <w:ind w:right="415" w:firstLine="640"/>
        <w:textAlignment w:val="baseline"/>
        <w:rPr>
          <w:rFonts w:ascii="宋体" w:hAnsi="宋体" w:cs="宋体"/>
          <w:color w:val="auto"/>
          <w:szCs w:val="24"/>
        </w:rPr>
      </w:pPr>
      <w:r>
        <w:rPr>
          <w:rFonts w:hint="eastAsia" w:ascii="宋体" w:hAnsi="宋体" w:cs="宋体"/>
          <w:color w:val="auto"/>
          <w:szCs w:val="24"/>
        </w:rPr>
        <w:t>日期：        年      月     日</w:t>
      </w:r>
    </w:p>
    <w:p>
      <w:pPr>
        <w:snapToGrid w:val="0"/>
        <w:spacing w:line="420" w:lineRule="exact"/>
        <w:ind w:firstLine="412" w:firstLineChars="206"/>
        <w:textAlignment w:val="baseline"/>
        <w:rPr>
          <w:rFonts w:ascii="宋体" w:hAnsi="宋体" w:cs="宋体"/>
          <w:color w:val="auto"/>
          <w:sz w:val="20"/>
        </w:rPr>
      </w:pPr>
    </w:p>
    <w:p>
      <w:pPr>
        <w:snapToGrid w:val="0"/>
        <w:spacing w:line="420" w:lineRule="exact"/>
        <w:ind w:firstLine="432" w:firstLineChars="206"/>
        <w:textAlignment w:val="baseline"/>
        <w:rPr>
          <w:rFonts w:ascii="宋体" w:hAnsi="宋体" w:cs="宋体"/>
          <w:color w:val="auto"/>
          <w:sz w:val="20"/>
        </w:rPr>
      </w:pPr>
      <w:r>
        <w:rPr>
          <w:rFonts w:hint="eastAsia" w:ascii="宋体" w:hAnsi="宋体" w:cs="宋体"/>
          <w:color w:val="auto"/>
        </w:rPr>
        <w:t>注：</w:t>
      </w:r>
    </w:p>
    <w:p>
      <w:pPr>
        <w:snapToGrid w:val="0"/>
        <w:spacing w:line="420" w:lineRule="exact"/>
        <w:ind w:firstLine="432" w:firstLineChars="206"/>
        <w:textAlignment w:val="baseline"/>
        <w:rPr>
          <w:rFonts w:ascii="宋体" w:hAnsi="宋体" w:cs="宋体"/>
          <w:color w:val="auto"/>
          <w:sz w:val="20"/>
        </w:rPr>
      </w:pPr>
      <w:r>
        <w:rPr>
          <w:rFonts w:hint="eastAsia" w:ascii="宋体" w:hAnsi="宋体" w:cs="宋体"/>
          <w:color w:val="auto"/>
        </w:rPr>
        <w:t>（1）从业人员、营业收入、资产总额填报上一年度数据，无上一年度数据的新成立企业可不填报。</w:t>
      </w:r>
    </w:p>
    <w:p>
      <w:pPr>
        <w:snapToGrid w:val="0"/>
        <w:spacing w:line="420" w:lineRule="exact"/>
        <w:ind w:firstLine="432" w:firstLineChars="206"/>
        <w:textAlignment w:val="baseline"/>
        <w:rPr>
          <w:rFonts w:ascii="宋体" w:hAnsi="宋体" w:cs="宋体"/>
          <w:color w:val="auto"/>
          <w:sz w:val="20"/>
        </w:rPr>
      </w:pPr>
      <w:r>
        <w:rPr>
          <w:rFonts w:hint="eastAsia" w:ascii="宋体" w:hAnsi="宋体" w:cs="宋体"/>
          <w:color w:val="auto"/>
        </w:rPr>
        <w:t>（2）关于落实政府采购政策的中小微企业价格评审，详见本竞争性磋商文件第四章第五条的规定内容。</w:t>
      </w:r>
    </w:p>
    <w:p>
      <w:pPr>
        <w:snapToGrid w:val="0"/>
        <w:spacing w:line="420" w:lineRule="exact"/>
        <w:ind w:firstLine="434" w:firstLineChars="206"/>
        <w:textAlignment w:val="baseline"/>
        <w:rPr>
          <w:rFonts w:ascii="宋体" w:hAnsi="宋体" w:cs="宋体"/>
          <w:b/>
          <w:bCs/>
          <w:color w:val="auto"/>
          <w:sz w:val="20"/>
        </w:rPr>
      </w:pPr>
      <w:r>
        <w:rPr>
          <w:rFonts w:hint="eastAsia" w:ascii="宋体" w:hAnsi="宋体" w:cs="宋体"/>
          <w:b/>
          <w:bCs/>
          <w:color w:val="auto"/>
        </w:rPr>
        <w:t>（3）本项目不享受中小企业扶持政策的磋商供应商，无须提供“中小企业声明函”。</w:t>
      </w:r>
    </w:p>
    <w:p>
      <w:pPr>
        <w:snapToGrid w:val="0"/>
        <w:spacing w:line="420" w:lineRule="exact"/>
        <w:ind w:firstLine="414" w:firstLineChars="206"/>
        <w:textAlignment w:val="baseline"/>
        <w:rPr>
          <w:rFonts w:ascii="宋体" w:hAnsi="宋体" w:cs="宋体"/>
          <w:b/>
          <w:bCs/>
          <w:color w:val="auto"/>
          <w:sz w:val="20"/>
        </w:rPr>
      </w:pPr>
    </w:p>
    <w:p>
      <w:pPr>
        <w:snapToGrid w:val="0"/>
        <w:spacing w:line="420" w:lineRule="exact"/>
        <w:ind w:firstLine="412" w:firstLineChars="206"/>
        <w:textAlignment w:val="baseline"/>
        <w:rPr>
          <w:color w:val="auto"/>
          <w:sz w:val="20"/>
        </w:rPr>
      </w:pPr>
    </w:p>
    <w:p>
      <w:pPr>
        <w:snapToGrid w:val="0"/>
        <w:spacing w:line="420" w:lineRule="exact"/>
        <w:jc w:val="center"/>
        <w:textAlignment w:val="baseline"/>
        <w:rPr>
          <w:b/>
          <w:bCs/>
          <w:color w:val="auto"/>
        </w:rPr>
      </w:pPr>
      <w:r>
        <w:rPr>
          <w:b/>
          <w:bCs/>
          <w:color w:val="auto"/>
        </w:rPr>
        <w:t>……</w:t>
      </w:r>
      <w:r>
        <w:rPr>
          <w:rFonts w:hint="eastAsia" w:cs="宋体"/>
          <w:b/>
          <w:bCs/>
          <w:color w:val="auto"/>
        </w:rPr>
        <w:t>全文结束</w:t>
      </w:r>
      <w:r>
        <w:rPr>
          <w:b/>
          <w:bCs/>
          <w:color w:val="auto"/>
        </w:rPr>
        <w:t>……</w:t>
      </w:r>
    </w:p>
    <w:p>
      <w:pPr>
        <w:pStyle w:val="52"/>
        <w:ind w:firstLine="422"/>
        <w:rPr>
          <w:b/>
          <w:bCs/>
          <w:color w:val="auto"/>
        </w:rPr>
      </w:pPr>
    </w:p>
    <w:p>
      <w:pPr>
        <w:pStyle w:val="52"/>
        <w:ind w:firstLine="422"/>
        <w:rPr>
          <w:b/>
          <w:bCs/>
        </w:rPr>
      </w:pPr>
    </w:p>
    <w:sectPr>
      <w:footerReference r:id="rId7" w:type="default"/>
      <w:pgSz w:w="11906" w:h="16838"/>
      <w:pgMar w:top="1440" w:right="1361" w:bottom="1440"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FuturaA Bk BT">
    <w:altName w:val="Arial"/>
    <w:panose1 w:val="00000000000000000000"/>
    <w:charset w:val="00"/>
    <w:family w:val="auto"/>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方正粗黑宋简体">
    <w:panose1 w:val="02000000000000000000"/>
    <w:charset w:val="86"/>
    <w:family w:val="auto"/>
    <w:pitch w:val="default"/>
    <w:sig w:usb0="A00002BF" w:usb1="184F6CFA" w:usb2="00000012"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pStyle w:val="32"/>
                            <w:jc w:val="center"/>
                          </w:pPr>
                          <w:r>
                            <w:rPr>
                              <w:b/>
                              <w:bCs/>
                            </w:rPr>
                            <w:fldChar w:fldCharType="begin"/>
                          </w:r>
                          <w:r>
                            <w:rPr>
                              <w:b/>
                              <w:bCs/>
                            </w:rPr>
                            <w:instrText xml:space="preserve">PAGE</w:instrText>
                          </w:r>
                          <w:r>
                            <w:rPr>
                              <w:b/>
                              <w:bCs/>
                            </w:rPr>
                            <w:fldChar w:fldCharType="separate"/>
                          </w:r>
                          <w:r>
                            <w:rPr>
                              <w:b/>
                              <w:bCs/>
                            </w:rPr>
                            <w:t>15</w:t>
                          </w:r>
                          <w:r>
                            <w:rPr>
                              <w:b/>
                              <w:bCs/>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QazL9AQAADwQAAA4AAABkcnMvZTJvRG9jLnhtbK1TTW/bMAy9D9h/&#10;EHRf7HTtsBlxiq5BhgHdB9D2ByiyHAuzRIFSYme/fpRkZ1136aEXgaLIR75HanU9mp4dFXoNtubL&#10;RcmZshIabfc1f3zYvvvImQ/CNqIHq2p+Up5fr9++WQ2uUhfQQd8oZARifTW4mnchuKoovOyUEX4B&#10;Tll6bAGNCHTFfdGgGAjd9MVFWX4oBsDGIUjlPXk3+ZFPiPgSQGhbLdUG5MEoGzIqql4EouQ77Txf&#10;p27bVsnwo229CqyvOTEN6aQiZO/iWaxXotqjcJ2WUwviJS0842SEtlT0DLURQbAD6v+gjJYIHtqw&#10;kGCKTCQpQiyW5TNt7jvhVOJCUnt3Ft2/Hqz8fvyJTDe0CZxZYWjgD2oM7DOMbBnVGZyvKOjeUVgY&#10;yR0jI1Pv7kD+8szCbSfsXt0gwtAp0VB3KbN4kppxfATZDd+goTLiECABjS2aCEhiMEKnyZzOk4mt&#10;yFjyU3lV0oukp+X75eXlVeytENWc7NCHLwoMi0bNkQafwMXxzoccOofEWha2uu/T8Hv7j4Mws0el&#10;7ZmyI5XYfeYRxt04SbOD5kSkEPJm0b8iowP8zdlAW1VzS5+Is/6rJVniAs4GzsZuNoSVlFjzwFk2&#10;b0Ne1INDve8Idxb+hqTb6kQrNpZ7IDnihfYkCTPtdFzEp/cU9fcf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qRS7NAAAAADAQAADwAAAAAAAAABACAAAAAiAAAAZHJzL2Rvd25yZXYueG1sUEsB&#10;AhQAFAAAAAgAh07iQI/QazL9AQAADwQAAA4AAAAAAAAAAQAgAAAAHwEAAGRycy9lMm9Eb2MueG1s&#10;UEsFBgAAAAAGAAYAWQEAAI4FAAAAAA==&#10;">
              <v:fill on="f" focussize="0,0"/>
              <v:stroke on="f"/>
              <v:imagedata o:title=""/>
              <o:lock v:ext="edit" aspectratio="f"/>
              <v:textbox inset="0mm,0mm,0mm,0mm" style="mso-fit-shape-to-text:t;">
                <w:txbxContent>
                  <w:p>
                    <w:pPr>
                      <w:pStyle w:val="32"/>
                      <w:jc w:val="center"/>
                    </w:pPr>
                    <w:r>
                      <w:rPr>
                        <w:b/>
                        <w:bCs/>
                      </w:rPr>
                      <w:fldChar w:fldCharType="begin"/>
                    </w:r>
                    <w:r>
                      <w:rPr>
                        <w:b/>
                        <w:bCs/>
                      </w:rPr>
                      <w:instrText xml:space="preserve">PAGE</w:instrText>
                    </w:r>
                    <w:r>
                      <w:rPr>
                        <w:b/>
                        <w:bCs/>
                      </w:rPr>
                      <w:fldChar w:fldCharType="separate"/>
                    </w:r>
                    <w:r>
                      <w:rPr>
                        <w:b/>
                        <w:bCs/>
                      </w:rPr>
                      <w:t>15</w:t>
                    </w:r>
                    <w:r>
                      <w:rPr>
                        <w:b/>
                        <w:bC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45</w: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00" w:lineRule="auto"/>
      <w:rPr>
        <w:rFonts w:hint="default" w:eastAsia="宋体"/>
        <w:lang w:val="en-US" w:eastAsia="zh-CN"/>
      </w:rPr>
    </w:pPr>
  </w:p>
  <w:p>
    <w:pPr>
      <w:tabs>
        <w:tab w:val="left" w:pos="6300"/>
      </w:tabs>
      <w:snapToGrid w:val="0"/>
      <w:spacing w:line="300" w:lineRule="auto"/>
      <w:rPr>
        <w:rFonts w:hint="default" w:eastAsia="宋体"/>
        <w:b/>
        <w:bCs/>
        <w:u w:val="single"/>
        <w:lang w:val="en-US" w:eastAsia="zh-CN"/>
      </w:rPr>
    </w:pPr>
    <w:r>
      <w:rPr>
        <w:rFonts w:hint="eastAsia"/>
        <w:b w:val="0"/>
        <w:bCs w:val="0"/>
        <w:u w:val="single"/>
        <w:lang w:val="en-US" w:eastAsia="zh-CN"/>
      </w:rPr>
      <w:t xml:space="preserve">南通市妇幼保健院医用气体采购项目                                                            </w:t>
    </w:r>
    <w:r>
      <w:rPr>
        <w:rFonts w:hint="eastAsia"/>
        <w:b/>
        <w:bCs/>
        <w:u w:val="singl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3D"/>
    <w:multiLevelType w:val="multilevel"/>
    <w:tmpl w:val="0000003D"/>
    <w:lvl w:ilvl="0" w:tentative="0">
      <w:start w:val="1"/>
      <w:numFmt w:val="chineseCountingThousand"/>
      <w:pStyle w:val="5"/>
      <w:lvlText w:val="第%1部分"/>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1">
    <w:nsid w:val="1655D05D"/>
    <w:multiLevelType w:val="singleLevel"/>
    <w:tmpl w:val="1655D05D"/>
    <w:lvl w:ilvl="0" w:tentative="0">
      <w:start w:val="2"/>
      <w:numFmt w:val="decimal"/>
      <w:suff w:val="nothing"/>
      <w:lvlText w:val="%1、"/>
      <w:lvlJc w:val="left"/>
    </w:lvl>
  </w:abstractNum>
  <w:abstractNum w:abstractNumId="2">
    <w:nsid w:val="2C0DFDC2"/>
    <w:multiLevelType w:val="singleLevel"/>
    <w:tmpl w:val="2C0DFDC2"/>
    <w:lvl w:ilvl="0" w:tentative="0">
      <w:start w:val="1"/>
      <w:numFmt w:val="decimal"/>
      <w:suff w:val="nothing"/>
      <w:lvlText w:val="%1、"/>
      <w:lvlJc w:val="left"/>
    </w:lvl>
  </w:abstractNum>
  <w:abstractNum w:abstractNumId="3">
    <w:nsid w:val="358A0AB6"/>
    <w:multiLevelType w:val="singleLevel"/>
    <w:tmpl w:val="358A0AB6"/>
    <w:lvl w:ilvl="0" w:tentative="0">
      <w:start w:val="7"/>
      <w:numFmt w:val="chineseCounting"/>
      <w:suff w:val="nothing"/>
      <w:lvlText w:val="%1、"/>
      <w:lvlJc w:val="left"/>
      <w:rPr>
        <w:rFonts w:hint="eastAsia"/>
      </w:rPr>
    </w:lvl>
  </w:abstractNum>
  <w:abstractNum w:abstractNumId="4">
    <w:nsid w:val="5A0F3AED"/>
    <w:multiLevelType w:val="singleLevel"/>
    <w:tmpl w:val="5A0F3AED"/>
    <w:lvl w:ilvl="0" w:tentative="0">
      <w:start w:val="1"/>
      <w:numFmt w:val="decimal"/>
      <w:suff w:val="nothing"/>
      <w:lvlText w:val="%1、"/>
      <w:lvlJc w:val="left"/>
    </w:lvl>
  </w:abstractNum>
  <w:abstractNum w:abstractNumId="5">
    <w:nsid w:val="6F1A29ED"/>
    <w:multiLevelType w:val="singleLevel"/>
    <w:tmpl w:val="6F1A29ED"/>
    <w:lvl w:ilvl="0" w:tentative="0">
      <w:start w:val="1"/>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424"/>
  <w:doNotHyphenateCaps/>
  <w:drawingGridHorizontalSpacing w:val="105"/>
  <w:drawingGridVerticalSpacing w:val="156"/>
  <w:noPunctuationKerning w:val="1"/>
  <w:characterSpacingControl w:val="compressPunctuation"/>
  <w:noLineBreaksAfter w:lang="zh-CN" w:val="([{·‘“〈《「『【〔〖（．［｛￡￥"/>
  <w:noLineBreaksBefore w:lang="zh-CN" w:val="!),.:;?]}¨·ˇˉ―‖’”…∶、。〃々〉》」』】〕〗！＂＇），．：；？］｀｜｝～￠"/>
  <w:doNotValidateAgainstSchema/>
  <w:doNotDemarcateInvalidXml/>
  <w:hdrShapeDefaults>
    <o:shapelayout v:ext="edit">
      <o:idmap v:ext="edit" data="1,3"/>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OTMwYzcyYTYzZDNmYTk0N2YyODEwYjA1OTg2YjAifQ=="/>
  </w:docVars>
  <w:rsids>
    <w:rsidRoot w:val="00172A27"/>
    <w:rsid w:val="000058C1"/>
    <w:rsid w:val="00005F7A"/>
    <w:rsid w:val="00007F59"/>
    <w:rsid w:val="0001029F"/>
    <w:rsid w:val="000102D4"/>
    <w:rsid w:val="00016294"/>
    <w:rsid w:val="00017BBF"/>
    <w:rsid w:val="00021EFF"/>
    <w:rsid w:val="00021FC4"/>
    <w:rsid w:val="0002291C"/>
    <w:rsid w:val="00023F8C"/>
    <w:rsid w:val="0002545F"/>
    <w:rsid w:val="00026B68"/>
    <w:rsid w:val="00027032"/>
    <w:rsid w:val="00034047"/>
    <w:rsid w:val="0003602F"/>
    <w:rsid w:val="000361E7"/>
    <w:rsid w:val="000378F2"/>
    <w:rsid w:val="00037B25"/>
    <w:rsid w:val="00037B3B"/>
    <w:rsid w:val="00037E69"/>
    <w:rsid w:val="0004431A"/>
    <w:rsid w:val="00047F32"/>
    <w:rsid w:val="00050BBD"/>
    <w:rsid w:val="00053A57"/>
    <w:rsid w:val="00054028"/>
    <w:rsid w:val="00056E5D"/>
    <w:rsid w:val="0005762B"/>
    <w:rsid w:val="000606F5"/>
    <w:rsid w:val="00061BB0"/>
    <w:rsid w:val="00062482"/>
    <w:rsid w:val="00063304"/>
    <w:rsid w:val="000643A3"/>
    <w:rsid w:val="000655FD"/>
    <w:rsid w:val="00065E68"/>
    <w:rsid w:val="00066618"/>
    <w:rsid w:val="00070B68"/>
    <w:rsid w:val="00071345"/>
    <w:rsid w:val="00071716"/>
    <w:rsid w:val="000725D4"/>
    <w:rsid w:val="00074921"/>
    <w:rsid w:val="00074B89"/>
    <w:rsid w:val="00075380"/>
    <w:rsid w:val="00083910"/>
    <w:rsid w:val="00083EDB"/>
    <w:rsid w:val="00084E31"/>
    <w:rsid w:val="000851B6"/>
    <w:rsid w:val="00085F8A"/>
    <w:rsid w:val="00090781"/>
    <w:rsid w:val="000908FA"/>
    <w:rsid w:val="000939C5"/>
    <w:rsid w:val="00094062"/>
    <w:rsid w:val="00094F40"/>
    <w:rsid w:val="000978C3"/>
    <w:rsid w:val="00097CA4"/>
    <w:rsid w:val="000A179B"/>
    <w:rsid w:val="000A2C95"/>
    <w:rsid w:val="000A2F79"/>
    <w:rsid w:val="000A5F25"/>
    <w:rsid w:val="000A60BD"/>
    <w:rsid w:val="000A710B"/>
    <w:rsid w:val="000A7F3B"/>
    <w:rsid w:val="000B2047"/>
    <w:rsid w:val="000B2801"/>
    <w:rsid w:val="000B38FB"/>
    <w:rsid w:val="000B4A07"/>
    <w:rsid w:val="000C38DC"/>
    <w:rsid w:val="000C3E5E"/>
    <w:rsid w:val="000C4679"/>
    <w:rsid w:val="000C544A"/>
    <w:rsid w:val="000D121D"/>
    <w:rsid w:val="000D204D"/>
    <w:rsid w:val="000D2C01"/>
    <w:rsid w:val="000D3847"/>
    <w:rsid w:val="000D3D00"/>
    <w:rsid w:val="000D4886"/>
    <w:rsid w:val="000D4C32"/>
    <w:rsid w:val="000D653D"/>
    <w:rsid w:val="000D694F"/>
    <w:rsid w:val="000D6E50"/>
    <w:rsid w:val="000E29DF"/>
    <w:rsid w:val="000E322F"/>
    <w:rsid w:val="000E3AAC"/>
    <w:rsid w:val="000E4F98"/>
    <w:rsid w:val="000E5934"/>
    <w:rsid w:val="000E66F3"/>
    <w:rsid w:val="000F5A0A"/>
    <w:rsid w:val="000F7BDB"/>
    <w:rsid w:val="000F7EEF"/>
    <w:rsid w:val="00100AF9"/>
    <w:rsid w:val="00100FE7"/>
    <w:rsid w:val="001020F7"/>
    <w:rsid w:val="00103D77"/>
    <w:rsid w:val="00105BBC"/>
    <w:rsid w:val="001062B6"/>
    <w:rsid w:val="001078E8"/>
    <w:rsid w:val="00110BA5"/>
    <w:rsid w:val="0011354B"/>
    <w:rsid w:val="0011396D"/>
    <w:rsid w:val="00113EAD"/>
    <w:rsid w:val="0011474C"/>
    <w:rsid w:val="00114ADB"/>
    <w:rsid w:val="00115200"/>
    <w:rsid w:val="00120CE9"/>
    <w:rsid w:val="00123BD5"/>
    <w:rsid w:val="00125073"/>
    <w:rsid w:val="001255B6"/>
    <w:rsid w:val="00127592"/>
    <w:rsid w:val="0013050F"/>
    <w:rsid w:val="0013239E"/>
    <w:rsid w:val="00132A4A"/>
    <w:rsid w:val="00133CBD"/>
    <w:rsid w:val="001350E0"/>
    <w:rsid w:val="00135173"/>
    <w:rsid w:val="00136FE5"/>
    <w:rsid w:val="001419C0"/>
    <w:rsid w:val="00141CE1"/>
    <w:rsid w:val="00141EA3"/>
    <w:rsid w:val="0014374E"/>
    <w:rsid w:val="00144A8C"/>
    <w:rsid w:val="001505CF"/>
    <w:rsid w:val="00150875"/>
    <w:rsid w:val="00150998"/>
    <w:rsid w:val="00150D75"/>
    <w:rsid w:val="001528E4"/>
    <w:rsid w:val="001533B2"/>
    <w:rsid w:val="00157327"/>
    <w:rsid w:val="001663EB"/>
    <w:rsid w:val="001711E5"/>
    <w:rsid w:val="00172A27"/>
    <w:rsid w:val="00173C54"/>
    <w:rsid w:val="001746FC"/>
    <w:rsid w:val="001750E5"/>
    <w:rsid w:val="00181ECB"/>
    <w:rsid w:val="0018394A"/>
    <w:rsid w:val="00184E4B"/>
    <w:rsid w:val="00186A58"/>
    <w:rsid w:val="001877EC"/>
    <w:rsid w:val="00192AB4"/>
    <w:rsid w:val="00196C27"/>
    <w:rsid w:val="0019750A"/>
    <w:rsid w:val="001976BE"/>
    <w:rsid w:val="001A0983"/>
    <w:rsid w:val="001A1F4A"/>
    <w:rsid w:val="001A22DA"/>
    <w:rsid w:val="001A2821"/>
    <w:rsid w:val="001A4B38"/>
    <w:rsid w:val="001B0894"/>
    <w:rsid w:val="001B271D"/>
    <w:rsid w:val="001B462C"/>
    <w:rsid w:val="001B4D1C"/>
    <w:rsid w:val="001B4E47"/>
    <w:rsid w:val="001B56E3"/>
    <w:rsid w:val="001B5775"/>
    <w:rsid w:val="001B6B02"/>
    <w:rsid w:val="001C2231"/>
    <w:rsid w:val="001C2640"/>
    <w:rsid w:val="001C2C85"/>
    <w:rsid w:val="001C5FBE"/>
    <w:rsid w:val="001C6469"/>
    <w:rsid w:val="001D0AEE"/>
    <w:rsid w:val="001D1803"/>
    <w:rsid w:val="001D1E4A"/>
    <w:rsid w:val="001D38F1"/>
    <w:rsid w:val="001D60DD"/>
    <w:rsid w:val="001E02D1"/>
    <w:rsid w:val="001E2FCD"/>
    <w:rsid w:val="001E3534"/>
    <w:rsid w:val="001E35F0"/>
    <w:rsid w:val="001E48AB"/>
    <w:rsid w:val="001E4B5A"/>
    <w:rsid w:val="001E4DE8"/>
    <w:rsid w:val="001E6317"/>
    <w:rsid w:val="001F4880"/>
    <w:rsid w:val="001F5A4B"/>
    <w:rsid w:val="001F650B"/>
    <w:rsid w:val="001F66A9"/>
    <w:rsid w:val="00200061"/>
    <w:rsid w:val="00201B85"/>
    <w:rsid w:val="002025A0"/>
    <w:rsid w:val="00206420"/>
    <w:rsid w:val="00206AF1"/>
    <w:rsid w:val="00207784"/>
    <w:rsid w:val="00207F85"/>
    <w:rsid w:val="00210BA8"/>
    <w:rsid w:val="00211E09"/>
    <w:rsid w:val="00211E0E"/>
    <w:rsid w:val="00223466"/>
    <w:rsid w:val="00224F5F"/>
    <w:rsid w:val="00225670"/>
    <w:rsid w:val="002257D7"/>
    <w:rsid w:val="00225DFC"/>
    <w:rsid w:val="00225FA1"/>
    <w:rsid w:val="00230037"/>
    <w:rsid w:val="00231148"/>
    <w:rsid w:val="002315E8"/>
    <w:rsid w:val="00232A32"/>
    <w:rsid w:val="00235015"/>
    <w:rsid w:val="0023505E"/>
    <w:rsid w:val="00235BFC"/>
    <w:rsid w:val="00236425"/>
    <w:rsid w:val="00237122"/>
    <w:rsid w:val="00240EF7"/>
    <w:rsid w:val="002416D0"/>
    <w:rsid w:val="0024174B"/>
    <w:rsid w:val="0024510C"/>
    <w:rsid w:val="002456F3"/>
    <w:rsid w:val="00245B72"/>
    <w:rsid w:val="002465F4"/>
    <w:rsid w:val="00247445"/>
    <w:rsid w:val="002476BA"/>
    <w:rsid w:val="002509ED"/>
    <w:rsid w:val="002512A5"/>
    <w:rsid w:val="00253F6B"/>
    <w:rsid w:val="00260193"/>
    <w:rsid w:val="00260CD4"/>
    <w:rsid w:val="0026106F"/>
    <w:rsid w:val="002611FD"/>
    <w:rsid w:val="00261261"/>
    <w:rsid w:val="00261BC6"/>
    <w:rsid w:val="00262F8E"/>
    <w:rsid w:val="00264685"/>
    <w:rsid w:val="002656FE"/>
    <w:rsid w:val="00265FBC"/>
    <w:rsid w:val="00266DB4"/>
    <w:rsid w:val="0026722D"/>
    <w:rsid w:val="00271E05"/>
    <w:rsid w:val="00271F9E"/>
    <w:rsid w:val="0027365F"/>
    <w:rsid w:val="002743B2"/>
    <w:rsid w:val="00275DE2"/>
    <w:rsid w:val="002764D7"/>
    <w:rsid w:val="002816D3"/>
    <w:rsid w:val="002818BB"/>
    <w:rsid w:val="00284DE4"/>
    <w:rsid w:val="00291332"/>
    <w:rsid w:val="00291680"/>
    <w:rsid w:val="00291738"/>
    <w:rsid w:val="002917E0"/>
    <w:rsid w:val="002939C3"/>
    <w:rsid w:val="00295637"/>
    <w:rsid w:val="00295FD1"/>
    <w:rsid w:val="0029796E"/>
    <w:rsid w:val="00297B18"/>
    <w:rsid w:val="002A09EE"/>
    <w:rsid w:val="002A1F8F"/>
    <w:rsid w:val="002A2D12"/>
    <w:rsid w:val="002A2F7D"/>
    <w:rsid w:val="002A5D2A"/>
    <w:rsid w:val="002A7980"/>
    <w:rsid w:val="002A7DFA"/>
    <w:rsid w:val="002B7251"/>
    <w:rsid w:val="002B77A5"/>
    <w:rsid w:val="002B7CFD"/>
    <w:rsid w:val="002C2290"/>
    <w:rsid w:val="002C3237"/>
    <w:rsid w:val="002C43C2"/>
    <w:rsid w:val="002C5470"/>
    <w:rsid w:val="002C71C8"/>
    <w:rsid w:val="002D5067"/>
    <w:rsid w:val="002D6BC6"/>
    <w:rsid w:val="002D7709"/>
    <w:rsid w:val="002D7C8B"/>
    <w:rsid w:val="002E0741"/>
    <w:rsid w:val="002E214B"/>
    <w:rsid w:val="002E385C"/>
    <w:rsid w:val="002E5876"/>
    <w:rsid w:val="002E5B21"/>
    <w:rsid w:val="002E62B0"/>
    <w:rsid w:val="002F04DA"/>
    <w:rsid w:val="002F2C1A"/>
    <w:rsid w:val="002F2F03"/>
    <w:rsid w:val="002F44CF"/>
    <w:rsid w:val="002F4912"/>
    <w:rsid w:val="002F677F"/>
    <w:rsid w:val="00301698"/>
    <w:rsid w:val="0030187C"/>
    <w:rsid w:val="00303A7A"/>
    <w:rsid w:val="00305B2D"/>
    <w:rsid w:val="0030602E"/>
    <w:rsid w:val="00307ADC"/>
    <w:rsid w:val="003101C1"/>
    <w:rsid w:val="0031212E"/>
    <w:rsid w:val="00314EA0"/>
    <w:rsid w:val="0031503B"/>
    <w:rsid w:val="003175A8"/>
    <w:rsid w:val="0032064F"/>
    <w:rsid w:val="00326242"/>
    <w:rsid w:val="003311BA"/>
    <w:rsid w:val="00331BE9"/>
    <w:rsid w:val="00332927"/>
    <w:rsid w:val="003333B8"/>
    <w:rsid w:val="003339B0"/>
    <w:rsid w:val="00335723"/>
    <w:rsid w:val="003358D8"/>
    <w:rsid w:val="00340EED"/>
    <w:rsid w:val="00342585"/>
    <w:rsid w:val="003428D6"/>
    <w:rsid w:val="00343431"/>
    <w:rsid w:val="00343F86"/>
    <w:rsid w:val="00346FA1"/>
    <w:rsid w:val="00347DEF"/>
    <w:rsid w:val="00350C1C"/>
    <w:rsid w:val="00354446"/>
    <w:rsid w:val="00355DBE"/>
    <w:rsid w:val="00356CA9"/>
    <w:rsid w:val="0036237A"/>
    <w:rsid w:val="003643E9"/>
    <w:rsid w:val="00365DFC"/>
    <w:rsid w:val="00370706"/>
    <w:rsid w:val="0037207C"/>
    <w:rsid w:val="003726F6"/>
    <w:rsid w:val="00372BAE"/>
    <w:rsid w:val="00372E97"/>
    <w:rsid w:val="003740F9"/>
    <w:rsid w:val="00374DDC"/>
    <w:rsid w:val="00375D3C"/>
    <w:rsid w:val="003817E3"/>
    <w:rsid w:val="00381EBE"/>
    <w:rsid w:val="0038506A"/>
    <w:rsid w:val="003858EF"/>
    <w:rsid w:val="0038623A"/>
    <w:rsid w:val="00393ABA"/>
    <w:rsid w:val="003943B9"/>
    <w:rsid w:val="00396574"/>
    <w:rsid w:val="003967B3"/>
    <w:rsid w:val="00397129"/>
    <w:rsid w:val="003975A5"/>
    <w:rsid w:val="0039790E"/>
    <w:rsid w:val="00397C9B"/>
    <w:rsid w:val="003A01C6"/>
    <w:rsid w:val="003A2F50"/>
    <w:rsid w:val="003A310E"/>
    <w:rsid w:val="003A3BAC"/>
    <w:rsid w:val="003A3F72"/>
    <w:rsid w:val="003A5164"/>
    <w:rsid w:val="003A5379"/>
    <w:rsid w:val="003A57BD"/>
    <w:rsid w:val="003A6093"/>
    <w:rsid w:val="003A7167"/>
    <w:rsid w:val="003B1882"/>
    <w:rsid w:val="003B3F27"/>
    <w:rsid w:val="003B481D"/>
    <w:rsid w:val="003B4B7F"/>
    <w:rsid w:val="003B5138"/>
    <w:rsid w:val="003C0241"/>
    <w:rsid w:val="003C286E"/>
    <w:rsid w:val="003D0A3A"/>
    <w:rsid w:val="003D233D"/>
    <w:rsid w:val="003D5966"/>
    <w:rsid w:val="003D6CB7"/>
    <w:rsid w:val="003D72A4"/>
    <w:rsid w:val="003D7545"/>
    <w:rsid w:val="003D77DF"/>
    <w:rsid w:val="003D78F0"/>
    <w:rsid w:val="003E5F57"/>
    <w:rsid w:val="003E6CA3"/>
    <w:rsid w:val="003E7713"/>
    <w:rsid w:val="003E7931"/>
    <w:rsid w:val="003F2753"/>
    <w:rsid w:val="003F3F9A"/>
    <w:rsid w:val="003F4B46"/>
    <w:rsid w:val="003F6F81"/>
    <w:rsid w:val="00401ABC"/>
    <w:rsid w:val="00402D58"/>
    <w:rsid w:val="00403824"/>
    <w:rsid w:val="004050BB"/>
    <w:rsid w:val="004059F8"/>
    <w:rsid w:val="004064B2"/>
    <w:rsid w:val="00407C91"/>
    <w:rsid w:val="00411773"/>
    <w:rsid w:val="0041332F"/>
    <w:rsid w:val="0041416B"/>
    <w:rsid w:val="004161DA"/>
    <w:rsid w:val="00416484"/>
    <w:rsid w:val="00417B98"/>
    <w:rsid w:val="00420773"/>
    <w:rsid w:val="00425FD6"/>
    <w:rsid w:val="00427606"/>
    <w:rsid w:val="004279C7"/>
    <w:rsid w:val="004305B4"/>
    <w:rsid w:val="004311B0"/>
    <w:rsid w:val="0043369C"/>
    <w:rsid w:val="00433D36"/>
    <w:rsid w:val="0043477C"/>
    <w:rsid w:val="00434B38"/>
    <w:rsid w:val="00434E35"/>
    <w:rsid w:val="00437A68"/>
    <w:rsid w:val="00437C76"/>
    <w:rsid w:val="00441019"/>
    <w:rsid w:val="004425EF"/>
    <w:rsid w:val="00442B6C"/>
    <w:rsid w:val="004443DA"/>
    <w:rsid w:val="00447051"/>
    <w:rsid w:val="00447C56"/>
    <w:rsid w:val="00451E6C"/>
    <w:rsid w:val="00453C4A"/>
    <w:rsid w:val="00453E65"/>
    <w:rsid w:val="004561B2"/>
    <w:rsid w:val="00456CBC"/>
    <w:rsid w:val="0045785B"/>
    <w:rsid w:val="00460058"/>
    <w:rsid w:val="004623F7"/>
    <w:rsid w:val="0046356E"/>
    <w:rsid w:val="0046763F"/>
    <w:rsid w:val="00470C4C"/>
    <w:rsid w:val="0047155C"/>
    <w:rsid w:val="004719DC"/>
    <w:rsid w:val="004721E5"/>
    <w:rsid w:val="0047357C"/>
    <w:rsid w:val="00474A51"/>
    <w:rsid w:val="00481451"/>
    <w:rsid w:val="0048159E"/>
    <w:rsid w:val="004817C2"/>
    <w:rsid w:val="004817D8"/>
    <w:rsid w:val="004819B3"/>
    <w:rsid w:val="004820DF"/>
    <w:rsid w:val="00482A61"/>
    <w:rsid w:val="004851C2"/>
    <w:rsid w:val="004861CE"/>
    <w:rsid w:val="00487729"/>
    <w:rsid w:val="00490AC6"/>
    <w:rsid w:val="004910F0"/>
    <w:rsid w:val="00491943"/>
    <w:rsid w:val="00493E82"/>
    <w:rsid w:val="00494EEB"/>
    <w:rsid w:val="00496D73"/>
    <w:rsid w:val="004A24EE"/>
    <w:rsid w:val="004A377D"/>
    <w:rsid w:val="004A405A"/>
    <w:rsid w:val="004A4129"/>
    <w:rsid w:val="004A557D"/>
    <w:rsid w:val="004A56DD"/>
    <w:rsid w:val="004A570B"/>
    <w:rsid w:val="004A5934"/>
    <w:rsid w:val="004A7F32"/>
    <w:rsid w:val="004B1233"/>
    <w:rsid w:val="004B208A"/>
    <w:rsid w:val="004B2149"/>
    <w:rsid w:val="004B2D8C"/>
    <w:rsid w:val="004B67DE"/>
    <w:rsid w:val="004B72C5"/>
    <w:rsid w:val="004B7D94"/>
    <w:rsid w:val="004C03FF"/>
    <w:rsid w:val="004C05C3"/>
    <w:rsid w:val="004C06BA"/>
    <w:rsid w:val="004C2A62"/>
    <w:rsid w:val="004C420A"/>
    <w:rsid w:val="004C434E"/>
    <w:rsid w:val="004C7A0F"/>
    <w:rsid w:val="004D00F8"/>
    <w:rsid w:val="004D097D"/>
    <w:rsid w:val="004D110E"/>
    <w:rsid w:val="004D18A5"/>
    <w:rsid w:val="004D319A"/>
    <w:rsid w:val="004D3EA6"/>
    <w:rsid w:val="004D6FC7"/>
    <w:rsid w:val="004E523D"/>
    <w:rsid w:val="004E655A"/>
    <w:rsid w:val="004E704E"/>
    <w:rsid w:val="004F364D"/>
    <w:rsid w:val="004F534F"/>
    <w:rsid w:val="004F6D64"/>
    <w:rsid w:val="004F764E"/>
    <w:rsid w:val="004F7AFA"/>
    <w:rsid w:val="0050346C"/>
    <w:rsid w:val="0050399B"/>
    <w:rsid w:val="00503EBC"/>
    <w:rsid w:val="00503F21"/>
    <w:rsid w:val="00504311"/>
    <w:rsid w:val="00507F2E"/>
    <w:rsid w:val="00510574"/>
    <w:rsid w:val="00510919"/>
    <w:rsid w:val="005121CA"/>
    <w:rsid w:val="005129D6"/>
    <w:rsid w:val="00513F04"/>
    <w:rsid w:val="00514F19"/>
    <w:rsid w:val="00515933"/>
    <w:rsid w:val="005164FD"/>
    <w:rsid w:val="0051662D"/>
    <w:rsid w:val="005167BA"/>
    <w:rsid w:val="005177C6"/>
    <w:rsid w:val="005212FD"/>
    <w:rsid w:val="00522C17"/>
    <w:rsid w:val="00524448"/>
    <w:rsid w:val="00524AD2"/>
    <w:rsid w:val="005253B2"/>
    <w:rsid w:val="005255C4"/>
    <w:rsid w:val="00526435"/>
    <w:rsid w:val="005277CA"/>
    <w:rsid w:val="005300E8"/>
    <w:rsid w:val="00531B46"/>
    <w:rsid w:val="00531DCB"/>
    <w:rsid w:val="00532531"/>
    <w:rsid w:val="00532C54"/>
    <w:rsid w:val="00532D38"/>
    <w:rsid w:val="005333A1"/>
    <w:rsid w:val="00534718"/>
    <w:rsid w:val="0053747E"/>
    <w:rsid w:val="0053785D"/>
    <w:rsid w:val="00537AF6"/>
    <w:rsid w:val="00537DF0"/>
    <w:rsid w:val="00540647"/>
    <w:rsid w:val="00540E45"/>
    <w:rsid w:val="005413C8"/>
    <w:rsid w:val="00542C5D"/>
    <w:rsid w:val="00547813"/>
    <w:rsid w:val="005478BE"/>
    <w:rsid w:val="00550396"/>
    <w:rsid w:val="005506EF"/>
    <w:rsid w:val="00550E44"/>
    <w:rsid w:val="0055181C"/>
    <w:rsid w:val="00551D57"/>
    <w:rsid w:val="005520FF"/>
    <w:rsid w:val="005542D7"/>
    <w:rsid w:val="00555558"/>
    <w:rsid w:val="00556AF7"/>
    <w:rsid w:val="00560E05"/>
    <w:rsid w:val="00562961"/>
    <w:rsid w:val="0056421D"/>
    <w:rsid w:val="00564709"/>
    <w:rsid w:val="00565450"/>
    <w:rsid w:val="00565752"/>
    <w:rsid w:val="005658DD"/>
    <w:rsid w:val="00567762"/>
    <w:rsid w:val="0057032F"/>
    <w:rsid w:val="00570C05"/>
    <w:rsid w:val="00571718"/>
    <w:rsid w:val="00571BB6"/>
    <w:rsid w:val="00573D1A"/>
    <w:rsid w:val="00573FDD"/>
    <w:rsid w:val="00574C7B"/>
    <w:rsid w:val="0057597A"/>
    <w:rsid w:val="00575CC1"/>
    <w:rsid w:val="00575F45"/>
    <w:rsid w:val="00576BA1"/>
    <w:rsid w:val="005804A2"/>
    <w:rsid w:val="00580A48"/>
    <w:rsid w:val="005823FB"/>
    <w:rsid w:val="00582534"/>
    <w:rsid w:val="005841BC"/>
    <w:rsid w:val="005843B8"/>
    <w:rsid w:val="00584C69"/>
    <w:rsid w:val="00585154"/>
    <w:rsid w:val="00591060"/>
    <w:rsid w:val="00593169"/>
    <w:rsid w:val="0059320F"/>
    <w:rsid w:val="0059390D"/>
    <w:rsid w:val="00594010"/>
    <w:rsid w:val="00594BBE"/>
    <w:rsid w:val="005955DC"/>
    <w:rsid w:val="00595FA9"/>
    <w:rsid w:val="005972C3"/>
    <w:rsid w:val="005A313F"/>
    <w:rsid w:val="005A4119"/>
    <w:rsid w:val="005A4DA2"/>
    <w:rsid w:val="005A52A9"/>
    <w:rsid w:val="005A673F"/>
    <w:rsid w:val="005A68E8"/>
    <w:rsid w:val="005B1057"/>
    <w:rsid w:val="005B21DF"/>
    <w:rsid w:val="005B308C"/>
    <w:rsid w:val="005B6B68"/>
    <w:rsid w:val="005C0614"/>
    <w:rsid w:val="005C0967"/>
    <w:rsid w:val="005C176A"/>
    <w:rsid w:val="005C29BD"/>
    <w:rsid w:val="005C2B69"/>
    <w:rsid w:val="005D0590"/>
    <w:rsid w:val="005D2DA5"/>
    <w:rsid w:val="005D4622"/>
    <w:rsid w:val="005D60C9"/>
    <w:rsid w:val="005D7453"/>
    <w:rsid w:val="005D7943"/>
    <w:rsid w:val="005E087B"/>
    <w:rsid w:val="005E110C"/>
    <w:rsid w:val="005E5586"/>
    <w:rsid w:val="005E5EDB"/>
    <w:rsid w:val="005E70E4"/>
    <w:rsid w:val="005E7AE6"/>
    <w:rsid w:val="005F44E9"/>
    <w:rsid w:val="005F6563"/>
    <w:rsid w:val="00600D08"/>
    <w:rsid w:val="00602F00"/>
    <w:rsid w:val="00603887"/>
    <w:rsid w:val="006045E6"/>
    <w:rsid w:val="0060566C"/>
    <w:rsid w:val="00605AB6"/>
    <w:rsid w:val="00607B9A"/>
    <w:rsid w:val="00612E25"/>
    <w:rsid w:val="00622E32"/>
    <w:rsid w:val="006231DE"/>
    <w:rsid w:val="00624133"/>
    <w:rsid w:val="00624E4B"/>
    <w:rsid w:val="00626C16"/>
    <w:rsid w:val="00626D07"/>
    <w:rsid w:val="00627EC6"/>
    <w:rsid w:val="00630B33"/>
    <w:rsid w:val="0063335E"/>
    <w:rsid w:val="00634CFE"/>
    <w:rsid w:val="00635629"/>
    <w:rsid w:val="00636370"/>
    <w:rsid w:val="00636961"/>
    <w:rsid w:val="0064036E"/>
    <w:rsid w:val="00640665"/>
    <w:rsid w:val="0064286B"/>
    <w:rsid w:val="00644F94"/>
    <w:rsid w:val="0065025F"/>
    <w:rsid w:val="0065063B"/>
    <w:rsid w:val="0065066E"/>
    <w:rsid w:val="006532BB"/>
    <w:rsid w:val="006533D1"/>
    <w:rsid w:val="00654A54"/>
    <w:rsid w:val="00662095"/>
    <w:rsid w:val="00662669"/>
    <w:rsid w:val="00662D7B"/>
    <w:rsid w:val="0066442C"/>
    <w:rsid w:val="00665BE5"/>
    <w:rsid w:val="006724B4"/>
    <w:rsid w:val="00674238"/>
    <w:rsid w:val="00680C22"/>
    <w:rsid w:val="00681F0C"/>
    <w:rsid w:val="0068216A"/>
    <w:rsid w:val="0068305C"/>
    <w:rsid w:val="00683FC9"/>
    <w:rsid w:val="006857B3"/>
    <w:rsid w:val="00685908"/>
    <w:rsid w:val="006859E8"/>
    <w:rsid w:val="00685AC6"/>
    <w:rsid w:val="00685DB2"/>
    <w:rsid w:val="006869E9"/>
    <w:rsid w:val="0069031B"/>
    <w:rsid w:val="00691A51"/>
    <w:rsid w:val="00695F5C"/>
    <w:rsid w:val="00696012"/>
    <w:rsid w:val="00697637"/>
    <w:rsid w:val="00697667"/>
    <w:rsid w:val="006977B9"/>
    <w:rsid w:val="006A01B3"/>
    <w:rsid w:val="006A2399"/>
    <w:rsid w:val="006A2DE9"/>
    <w:rsid w:val="006A3276"/>
    <w:rsid w:val="006A3AC0"/>
    <w:rsid w:val="006A3E2B"/>
    <w:rsid w:val="006A454F"/>
    <w:rsid w:val="006A4FF1"/>
    <w:rsid w:val="006B137D"/>
    <w:rsid w:val="006B1AE8"/>
    <w:rsid w:val="006B4A1E"/>
    <w:rsid w:val="006B5A48"/>
    <w:rsid w:val="006B609D"/>
    <w:rsid w:val="006C0AE2"/>
    <w:rsid w:val="006C0D94"/>
    <w:rsid w:val="006C269E"/>
    <w:rsid w:val="006C2924"/>
    <w:rsid w:val="006C4232"/>
    <w:rsid w:val="006C43C0"/>
    <w:rsid w:val="006C5551"/>
    <w:rsid w:val="006C639C"/>
    <w:rsid w:val="006D22A5"/>
    <w:rsid w:val="006D2963"/>
    <w:rsid w:val="006D485E"/>
    <w:rsid w:val="006D4923"/>
    <w:rsid w:val="006D69F6"/>
    <w:rsid w:val="006E0C07"/>
    <w:rsid w:val="006E3C15"/>
    <w:rsid w:val="006E517B"/>
    <w:rsid w:val="006F005C"/>
    <w:rsid w:val="006F1BC8"/>
    <w:rsid w:val="006F2549"/>
    <w:rsid w:val="006F27A5"/>
    <w:rsid w:val="006F7D2C"/>
    <w:rsid w:val="00700877"/>
    <w:rsid w:val="00703DDF"/>
    <w:rsid w:val="00707649"/>
    <w:rsid w:val="00707BF4"/>
    <w:rsid w:val="00710FDC"/>
    <w:rsid w:val="00711087"/>
    <w:rsid w:val="00711337"/>
    <w:rsid w:val="00711C49"/>
    <w:rsid w:val="00714F75"/>
    <w:rsid w:val="00715679"/>
    <w:rsid w:val="00717AF1"/>
    <w:rsid w:val="00717BA7"/>
    <w:rsid w:val="007243DF"/>
    <w:rsid w:val="00724E58"/>
    <w:rsid w:val="0072557A"/>
    <w:rsid w:val="007256B6"/>
    <w:rsid w:val="00730BEA"/>
    <w:rsid w:val="0073114F"/>
    <w:rsid w:val="00731507"/>
    <w:rsid w:val="007319A3"/>
    <w:rsid w:val="0073343E"/>
    <w:rsid w:val="00733713"/>
    <w:rsid w:val="00734C41"/>
    <w:rsid w:val="00734D24"/>
    <w:rsid w:val="00737082"/>
    <w:rsid w:val="00743EF3"/>
    <w:rsid w:val="00751575"/>
    <w:rsid w:val="00752A41"/>
    <w:rsid w:val="00753B5F"/>
    <w:rsid w:val="00754434"/>
    <w:rsid w:val="00755BF0"/>
    <w:rsid w:val="00756C6B"/>
    <w:rsid w:val="0076084E"/>
    <w:rsid w:val="007633E9"/>
    <w:rsid w:val="00763D48"/>
    <w:rsid w:val="007643DF"/>
    <w:rsid w:val="007661C4"/>
    <w:rsid w:val="00766DBF"/>
    <w:rsid w:val="00770313"/>
    <w:rsid w:val="007707B5"/>
    <w:rsid w:val="0077231F"/>
    <w:rsid w:val="0077585D"/>
    <w:rsid w:val="007801C6"/>
    <w:rsid w:val="00780780"/>
    <w:rsid w:val="00780D8A"/>
    <w:rsid w:val="00782093"/>
    <w:rsid w:val="007869AB"/>
    <w:rsid w:val="00787753"/>
    <w:rsid w:val="00787FF9"/>
    <w:rsid w:val="0079111A"/>
    <w:rsid w:val="007912A4"/>
    <w:rsid w:val="00791918"/>
    <w:rsid w:val="00791ABB"/>
    <w:rsid w:val="00793083"/>
    <w:rsid w:val="00794363"/>
    <w:rsid w:val="00795CE4"/>
    <w:rsid w:val="00795E3E"/>
    <w:rsid w:val="007978F4"/>
    <w:rsid w:val="007A29CA"/>
    <w:rsid w:val="007A3F59"/>
    <w:rsid w:val="007A40A5"/>
    <w:rsid w:val="007A46CB"/>
    <w:rsid w:val="007A4F32"/>
    <w:rsid w:val="007A5123"/>
    <w:rsid w:val="007A57DE"/>
    <w:rsid w:val="007A775F"/>
    <w:rsid w:val="007B2832"/>
    <w:rsid w:val="007B3B39"/>
    <w:rsid w:val="007B52DA"/>
    <w:rsid w:val="007B606D"/>
    <w:rsid w:val="007C02C7"/>
    <w:rsid w:val="007C195A"/>
    <w:rsid w:val="007C49FB"/>
    <w:rsid w:val="007C7791"/>
    <w:rsid w:val="007D017C"/>
    <w:rsid w:val="007D096D"/>
    <w:rsid w:val="007D288E"/>
    <w:rsid w:val="007D5DD6"/>
    <w:rsid w:val="007D6568"/>
    <w:rsid w:val="007D7EAD"/>
    <w:rsid w:val="007E5AE8"/>
    <w:rsid w:val="007E673A"/>
    <w:rsid w:val="007F08B4"/>
    <w:rsid w:val="007F1936"/>
    <w:rsid w:val="007F392F"/>
    <w:rsid w:val="007F5837"/>
    <w:rsid w:val="007F5D32"/>
    <w:rsid w:val="007F621E"/>
    <w:rsid w:val="007F6B3A"/>
    <w:rsid w:val="007F7318"/>
    <w:rsid w:val="00801D3C"/>
    <w:rsid w:val="00803A51"/>
    <w:rsid w:val="00803D57"/>
    <w:rsid w:val="0080404F"/>
    <w:rsid w:val="00804207"/>
    <w:rsid w:val="0080429F"/>
    <w:rsid w:val="008063ED"/>
    <w:rsid w:val="00806DB3"/>
    <w:rsid w:val="008130C3"/>
    <w:rsid w:val="00813985"/>
    <w:rsid w:val="00815C6D"/>
    <w:rsid w:val="008163EB"/>
    <w:rsid w:val="008167B1"/>
    <w:rsid w:val="00821F15"/>
    <w:rsid w:val="00822664"/>
    <w:rsid w:val="00824DCB"/>
    <w:rsid w:val="0082509F"/>
    <w:rsid w:val="00826621"/>
    <w:rsid w:val="00826720"/>
    <w:rsid w:val="00830B70"/>
    <w:rsid w:val="00832A24"/>
    <w:rsid w:val="00833A03"/>
    <w:rsid w:val="00834A43"/>
    <w:rsid w:val="008364E9"/>
    <w:rsid w:val="0084159C"/>
    <w:rsid w:val="0084730D"/>
    <w:rsid w:val="00850986"/>
    <w:rsid w:val="00851D6F"/>
    <w:rsid w:val="00851DD2"/>
    <w:rsid w:val="00856C37"/>
    <w:rsid w:val="00857F09"/>
    <w:rsid w:val="008614A0"/>
    <w:rsid w:val="00861850"/>
    <w:rsid w:val="008619E5"/>
    <w:rsid w:val="00862702"/>
    <w:rsid w:val="008643F3"/>
    <w:rsid w:val="008673FE"/>
    <w:rsid w:val="00873C20"/>
    <w:rsid w:val="0087464C"/>
    <w:rsid w:val="00874679"/>
    <w:rsid w:val="008801A2"/>
    <w:rsid w:val="00881374"/>
    <w:rsid w:val="00881ADC"/>
    <w:rsid w:val="008836C9"/>
    <w:rsid w:val="00885115"/>
    <w:rsid w:val="00886A80"/>
    <w:rsid w:val="00886E32"/>
    <w:rsid w:val="0089233C"/>
    <w:rsid w:val="00896233"/>
    <w:rsid w:val="00896A6F"/>
    <w:rsid w:val="008A0162"/>
    <w:rsid w:val="008A12D0"/>
    <w:rsid w:val="008A1DDD"/>
    <w:rsid w:val="008A1F9B"/>
    <w:rsid w:val="008A33C9"/>
    <w:rsid w:val="008A34CC"/>
    <w:rsid w:val="008A5535"/>
    <w:rsid w:val="008A5FAC"/>
    <w:rsid w:val="008A671F"/>
    <w:rsid w:val="008A7716"/>
    <w:rsid w:val="008A77DF"/>
    <w:rsid w:val="008A7CCD"/>
    <w:rsid w:val="008B0042"/>
    <w:rsid w:val="008B196B"/>
    <w:rsid w:val="008B198C"/>
    <w:rsid w:val="008B51B0"/>
    <w:rsid w:val="008B5E27"/>
    <w:rsid w:val="008B6147"/>
    <w:rsid w:val="008C0A97"/>
    <w:rsid w:val="008C18A5"/>
    <w:rsid w:val="008C27C3"/>
    <w:rsid w:val="008C49C4"/>
    <w:rsid w:val="008C5022"/>
    <w:rsid w:val="008C5B13"/>
    <w:rsid w:val="008C69DF"/>
    <w:rsid w:val="008C69E4"/>
    <w:rsid w:val="008C6B0A"/>
    <w:rsid w:val="008C7DB1"/>
    <w:rsid w:val="008D1214"/>
    <w:rsid w:val="008D1A0F"/>
    <w:rsid w:val="008D2D0E"/>
    <w:rsid w:val="008D42AF"/>
    <w:rsid w:val="008D55AC"/>
    <w:rsid w:val="008D55D5"/>
    <w:rsid w:val="008D6F3A"/>
    <w:rsid w:val="008D722A"/>
    <w:rsid w:val="008E0864"/>
    <w:rsid w:val="008E14D6"/>
    <w:rsid w:val="008E185D"/>
    <w:rsid w:val="008E3424"/>
    <w:rsid w:val="008E3EB1"/>
    <w:rsid w:val="008E41B2"/>
    <w:rsid w:val="008E6B35"/>
    <w:rsid w:val="008F2292"/>
    <w:rsid w:val="008F37FA"/>
    <w:rsid w:val="008F444E"/>
    <w:rsid w:val="008F44CB"/>
    <w:rsid w:val="008F45E4"/>
    <w:rsid w:val="008F4CB3"/>
    <w:rsid w:val="008F4EC0"/>
    <w:rsid w:val="008F7D03"/>
    <w:rsid w:val="00900E85"/>
    <w:rsid w:val="00901AFD"/>
    <w:rsid w:val="0090226B"/>
    <w:rsid w:val="00904DBC"/>
    <w:rsid w:val="0090587E"/>
    <w:rsid w:val="00905C6A"/>
    <w:rsid w:val="00905E0F"/>
    <w:rsid w:val="00907FB5"/>
    <w:rsid w:val="00907FE3"/>
    <w:rsid w:val="0091265E"/>
    <w:rsid w:val="009129B8"/>
    <w:rsid w:val="009142DA"/>
    <w:rsid w:val="00915AFC"/>
    <w:rsid w:val="00916BF2"/>
    <w:rsid w:val="0092106B"/>
    <w:rsid w:val="00922387"/>
    <w:rsid w:val="009230B6"/>
    <w:rsid w:val="00931165"/>
    <w:rsid w:val="009312EF"/>
    <w:rsid w:val="00931DD2"/>
    <w:rsid w:val="009343B3"/>
    <w:rsid w:val="00934E93"/>
    <w:rsid w:val="009350AF"/>
    <w:rsid w:val="009353D7"/>
    <w:rsid w:val="009401C4"/>
    <w:rsid w:val="009416CA"/>
    <w:rsid w:val="009433B0"/>
    <w:rsid w:val="00943CEB"/>
    <w:rsid w:val="00945049"/>
    <w:rsid w:val="00946634"/>
    <w:rsid w:val="00947DE2"/>
    <w:rsid w:val="009505B0"/>
    <w:rsid w:val="009533E2"/>
    <w:rsid w:val="00953469"/>
    <w:rsid w:val="00955ADB"/>
    <w:rsid w:val="00955B05"/>
    <w:rsid w:val="009601D2"/>
    <w:rsid w:val="00962E18"/>
    <w:rsid w:val="0096392C"/>
    <w:rsid w:val="00967D78"/>
    <w:rsid w:val="009710E0"/>
    <w:rsid w:val="009716AF"/>
    <w:rsid w:val="009722BC"/>
    <w:rsid w:val="0097298E"/>
    <w:rsid w:val="00974EFA"/>
    <w:rsid w:val="00975657"/>
    <w:rsid w:val="00983BA5"/>
    <w:rsid w:val="00984FCF"/>
    <w:rsid w:val="00985679"/>
    <w:rsid w:val="00985A89"/>
    <w:rsid w:val="00986B8F"/>
    <w:rsid w:val="00986BEA"/>
    <w:rsid w:val="00992988"/>
    <w:rsid w:val="00994A91"/>
    <w:rsid w:val="00995678"/>
    <w:rsid w:val="009A1807"/>
    <w:rsid w:val="009A28C8"/>
    <w:rsid w:val="009A30A5"/>
    <w:rsid w:val="009A3155"/>
    <w:rsid w:val="009A3F9E"/>
    <w:rsid w:val="009A43D8"/>
    <w:rsid w:val="009A52DD"/>
    <w:rsid w:val="009A5E11"/>
    <w:rsid w:val="009A6682"/>
    <w:rsid w:val="009A68FF"/>
    <w:rsid w:val="009B076B"/>
    <w:rsid w:val="009B097D"/>
    <w:rsid w:val="009B147A"/>
    <w:rsid w:val="009B38DD"/>
    <w:rsid w:val="009B40C7"/>
    <w:rsid w:val="009B4FA1"/>
    <w:rsid w:val="009B7D0F"/>
    <w:rsid w:val="009C1375"/>
    <w:rsid w:val="009C2BE5"/>
    <w:rsid w:val="009C3A3F"/>
    <w:rsid w:val="009C42DC"/>
    <w:rsid w:val="009C4FC2"/>
    <w:rsid w:val="009C67DC"/>
    <w:rsid w:val="009C77FF"/>
    <w:rsid w:val="009D003F"/>
    <w:rsid w:val="009D080A"/>
    <w:rsid w:val="009D3EB4"/>
    <w:rsid w:val="009D6D83"/>
    <w:rsid w:val="009D7486"/>
    <w:rsid w:val="009D7F7C"/>
    <w:rsid w:val="009E523B"/>
    <w:rsid w:val="009E52AF"/>
    <w:rsid w:val="009E5581"/>
    <w:rsid w:val="009E61A2"/>
    <w:rsid w:val="009E6908"/>
    <w:rsid w:val="009F2972"/>
    <w:rsid w:val="009F2FD8"/>
    <w:rsid w:val="009F30E6"/>
    <w:rsid w:val="009F6E7B"/>
    <w:rsid w:val="009F7311"/>
    <w:rsid w:val="00A0052B"/>
    <w:rsid w:val="00A02DBF"/>
    <w:rsid w:val="00A03A53"/>
    <w:rsid w:val="00A04558"/>
    <w:rsid w:val="00A06346"/>
    <w:rsid w:val="00A1005B"/>
    <w:rsid w:val="00A10C27"/>
    <w:rsid w:val="00A134DA"/>
    <w:rsid w:val="00A13F6A"/>
    <w:rsid w:val="00A1453E"/>
    <w:rsid w:val="00A171CD"/>
    <w:rsid w:val="00A17A38"/>
    <w:rsid w:val="00A17E64"/>
    <w:rsid w:val="00A20226"/>
    <w:rsid w:val="00A20F3F"/>
    <w:rsid w:val="00A21916"/>
    <w:rsid w:val="00A2234B"/>
    <w:rsid w:val="00A22747"/>
    <w:rsid w:val="00A23372"/>
    <w:rsid w:val="00A23B26"/>
    <w:rsid w:val="00A25ACA"/>
    <w:rsid w:val="00A30720"/>
    <w:rsid w:val="00A357CF"/>
    <w:rsid w:val="00A359A2"/>
    <w:rsid w:val="00A368BE"/>
    <w:rsid w:val="00A3754F"/>
    <w:rsid w:val="00A40656"/>
    <w:rsid w:val="00A42EAB"/>
    <w:rsid w:val="00A4335E"/>
    <w:rsid w:val="00A442F4"/>
    <w:rsid w:val="00A44F34"/>
    <w:rsid w:val="00A46D18"/>
    <w:rsid w:val="00A5270F"/>
    <w:rsid w:val="00A532DA"/>
    <w:rsid w:val="00A54344"/>
    <w:rsid w:val="00A6280D"/>
    <w:rsid w:val="00A63A3E"/>
    <w:rsid w:val="00A63CBA"/>
    <w:rsid w:val="00A642C4"/>
    <w:rsid w:val="00A6482D"/>
    <w:rsid w:val="00A652DA"/>
    <w:rsid w:val="00A66307"/>
    <w:rsid w:val="00A7282B"/>
    <w:rsid w:val="00A8000E"/>
    <w:rsid w:val="00A819CD"/>
    <w:rsid w:val="00A81B7C"/>
    <w:rsid w:val="00A825A6"/>
    <w:rsid w:val="00A82D72"/>
    <w:rsid w:val="00A84548"/>
    <w:rsid w:val="00A86365"/>
    <w:rsid w:val="00A86970"/>
    <w:rsid w:val="00A86FF6"/>
    <w:rsid w:val="00A9067B"/>
    <w:rsid w:val="00A9252B"/>
    <w:rsid w:val="00A92EBE"/>
    <w:rsid w:val="00A9516B"/>
    <w:rsid w:val="00A95AEB"/>
    <w:rsid w:val="00AA0F61"/>
    <w:rsid w:val="00AA2853"/>
    <w:rsid w:val="00AA36C7"/>
    <w:rsid w:val="00AA4459"/>
    <w:rsid w:val="00AA495E"/>
    <w:rsid w:val="00AA6934"/>
    <w:rsid w:val="00AA6E9D"/>
    <w:rsid w:val="00AA799C"/>
    <w:rsid w:val="00AA7BA4"/>
    <w:rsid w:val="00AB0C2C"/>
    <w:rsid w:val="00AB1078"/>
    <w:rsid w:val="00AB1346"/>
    <w:rsid w:val="00AB26DB"/>
    <w:rsid w:val="00AB3176"/>
    <w:rsid w:val="00AB46D4"/>
    <w:rsid w:val="00AB4A81"/>
    <w:rsid w:val="00AB4CFA"/>
    <w:rsid w:val="00AC4838"/>
    <w:rsid w:val="00AC572A"/>
    <w:rsid w:val="00AC5D56"/>
    <w:rsid w:val="00AC7340"/>
    <w:rsid w:val="00AD0813"/>
    <w:rsid w:val="00AD24EF"/>
    <w:rsid w:val="00AD2983"/>
    <w:rsid w:val="00AD5992"/>
    <w:rsid w:val="00AD5A93"/>
    <w:rsid w:val="00AE024C"/>
    <w:rsid w:val="00AE194F"/>
    <w:rsid w:val="00AE371D"/>
    <w:rsid w:val="00AE39AB"/>
    <w:rsid w:val="00AE584F"/>
    <w:rsid w:val="00AE63C3"/>
    <w:rsid w:val="00AE7CFC"/>
    <w:rsid w:val="00AF0490"/>
    <w:rsid w:val="00AF0BB9"/>
    <w:rsid w:val="00AF291F"/>
    <w:rsid w:val="00AF3CBB"/>
    <w:rsid w:val="00AF6489"/>
    <w:rsid w:val="00AF7A9F"/>
    <w:rsid w:val="00B01D34"/>
    <w:rsid w:val="00B01F7F"/>
    <w:rsid w:val="00B03609"/>
    <w:rsid w:val="00B03831"/>
    <w:rsid w:val="00B03DBB"/>
    <w:rsid w:val="00B04254"/>
    <w:rsid w:val="00B05449"/>
    <w:rsid w:val="00B05903"/>
    <w:rsid w:val="00B066F8"/>
    <w:rsid w:val="00B06E17"/>
    <w:rsid w:val="00B10648"/>
    <w:rsid w:val="00B110E8"/>
    <w:rsid w:val="00B15007"/>
    <w:rsid w:val="00B16D73"/>
    <w:rsid w:val="00B16DE7"/>
    <w:rsid w:val="00B179CD"/>
    <w:rsid w:val="00B225D7"/>
    <w:rsid w:val="00B23C0F"/>
    <w:rsid w:val="00B24177"/>
    <w:rsid w:val="00B30D05"/>
    <w:rsid w:val="00B30DFD"/>
    <w:rsid w:val="00B31253"/>
    <w:rsid w:val="00B327DB"/>
    <w:rsid w:val="00B357A3"/>
    <w:rsid w:val="00B37370"/>
    <w:rsid w:val="00B41871"/>
    <w:rsid w:val="00B4336F"/>
    <w:rsid w:val="00B4522D"/>
    <w:rsid w:val="00B4598F"/>
    <w:rsid w:val="00B46BF7"/>
    <w:rsid w:val="00B50E29"/>
    <w:rsid w:val="00B51E97"/>
    <w:rsid w:val="00B52CBD"/>
    <w:rsid w:val="00B5327F"/>
    <w:rsid w:val="00B534B4"/>
    <w:rsid w:val="00B565FE"/>
    <w:rsid w:val="00B57C66"/>
    <w:rsid w:val="00B60458"/>
    <w:rsid w:val="00B61DC3"/>
    <w:rsid w:val="00B633C4"/>
    <w:rsid w:val="00B67AEA"/>
    <w:rsid w:val="00B72C66"/>
    <w:rsid w:val="00B72CA2"/>
    <w:rsid w:val="00B73C62"/>
    <w:rsid w:val="00B83C32"/>
    <w:rsid w:val="00B85816"/>
    <w:rsid w:val="00B875C0"/>
    <w:rsid w:val="00B90075"/>
    <w:rsid w:val="00B902A6"/>
    <w:rsid w:val="00B90608"/>
    <w:rsid w:val="00B9166F"/>
    <w:rsid w:val="00B920AD"/>
    <w:rsid w:val="00B93E24"/>
    <w:rsid w:val="00B94C8E"/>
    <w:rsid w:val="00B9514C"/>
    <w:rsid w:val="00B966AC"/>
    <w:rsid w:val="00BA0A06"/>
    <w:rsid w:val="00BA1064"/>
    <w:rsid w:val="00BA485C"/>
    <w:rsid w:val="00BA48FC"/>
    <w:rsid w:val="00BA4C75"/>
    <w:rsid w:val="00BA6979"/>
    <w:rsid w:val="00BA7863"/>
    <w:rsid w:val="00BA790D"/>
    <w:rsid w:val="00BB14DC"/>
    <w:rsid w:val="00BB279B"/>
    <w:rsid w:val="00BB3D58"/>
    <w:rsid w:val="00BB4323"/>
    <w:rsid w:val="00BB452C"/>
    <w:rsid w:val="00BB4532"/>
    <w:rsid w:val="00BB4A21"/>
    <w:rsid w:val="00BB650B"/>
    <w:rsid w:val="00BB6BFB"/>
    <w:rsid w:val="00BC2785"/>
    <w:rsid w:val="00BC30DC"/>
    <w:rsid w:val="00BC4E9E"/>
    <w:rsid w:val="00BC58A4"/>
    <w:rsid w:val="00BC781E"/>
    <w:rsid w:val="00BD03E6"/>
    <w:rsid w:val="00BD148F"/>
    <w:rsid w:val="00BD1973"/>
    <w:rsid w:val="00BD358F"/>
    <w:rsid w:val="00BD4809"/>
    <w:rsid w:val="00BD5170"/>
    <w:rsid w:val="00BD5E5C"/>
    <w:rsid w:val="00BD5F32"/>
    <w:rsid w:val="00BD6416"/>
    <w:rsid w:val="00BD774B"/>
    <w:rsid w:val="00BE437C"/>
    <w:rsid w:val="00BE5949"/>
    <w:rsid w:val="00BF0241"/>
    <w:rsid w:val="00BF19DE"/>
    <w:rsid w:val="00BF3055"/>
    <w:rsid w:val="00BF3E3E"/>
    <w:rsid w:val="00C01D39"/>
    <w:rsid w:val="00C036C5"/>
    <w:rsid w:val="00C04346"/>
    <w:rsid w:val="00C047F4"/>
    <w:rsid w:val="00C04B21"/>
    <w:rsid w:val="00C04E5F"/>
    <w:rsid w:val="00C05C52"/>
    <w:rsid w:val="00C05E68"/>
    <w:rsid w:val="00C06C84"/>
    <w:rsid w:val="00C103CD"/>
    <w:rsid w:val="00C112DA"/>
    <w:rsid w:val="00C1253A"/>
    <w:rsid w:val="00C12544"/>
    <w:rsid w:val="00C12799"/>
    <w:rsid w:val="00C213E5"/>
    <w:rsid w:val="00C24F60"/>
    <w:rsid w:val="00C25C9B"/>
    <w:rsid w:val="00C261AB"/>
    <w:rsid w:val="00C32303"/>
    <w:rsid w:val="00C324B5"/>
    <w:rsid w:val="00C36220"/>
    <w:rsid w:val="00C362DF"/>
    <w:rsid w:val="00C375ED"/>
    <w:rsid w:val="00C37B1F"/>
    <w:rsid w:val="00C37F58"/>
    <w:rsid w:val="00C42BB6"/>
    <w:rsid w:val="00C42F14"/>
    <w:rsid w:val="00C44F26"/>
    <w:rsid w:val="00C5077E"/>
    <w:rsid w:val="00C52EF2"/>
    <w:rsid w:val="00C533E2"/>
    <w:rsid w:val="00C535AB"/>
    <w:rsid w:val="00C53722"/>
    <w:rsid w:val="00C537C1"/>
    <w:rsid w:val="00C53809"/>
    <w:rsid w:val="00C53B40"/>
    <w:rsid w:val="00C55493"/>
    <w:rsid w:val="00C57D30"/>
    <w:rsid w:val="00C601D5"/>
    <w:rsid w:val="00C60DC9"/>
    <w:rsid w:val="00C623F7"/>
    <w:rsid w:val="00C62AA6"/>
    <w:rsid w:val="00C63034"/>
    <w:rsid w:val="00C6413D"/>
    <w:rsid w:val="00C65706"/>
    <w:rsid w:val="00C65ACA"/>
    <w:rsid w:val="00C66C45"/>
    <w:rsid w:val="00C67F24"/>
    <w:rsid w:val="00C716A7"/>
    <w:rsid w:val="00C73097"/>
    <w:rsid w:val="00C73F67"/>
    <w:rsid w:val="00C750E2"/>
    <w:rsid w:val="00C75E74"/>
    <w:rsid w:val="00C775B9"/>
    <w:rsid w:val="00C77802"/>
    <w:rsid w:val="00C81801"/>
    <w:rsid w:val="00C81DB2"/>
    <w:rsid w:val="00C86011"/>
    <w:rsid w:val="00C8675F"/>
    <w:rsid w:val="00C86B5B"/>
    <w:rsid w:val="00C914D4"/>
    <w:rsid w:val="00C91905"/>
    <w:rsid w:val="00C92B10"/>
    <w:rsid w:val="00C94322"/>
    <w:rsid w:val="00C94724"/>
    <w:rsid w:val="00C94C06"/>
    <w:rsid w:val="00C953DF"/>
    <w:rsid w:val="00C96214"/>
    <w:rsid w:val="00C966DF"/>
    <w:rsid w:val="00C97197"/>
    <w:rsid w:val="00C97E68"/>
    <w:rsid w:val="00CA19DF"/>
    <w:rsid w:val="00CA1CDE"/>
    <w:rsid w:val="00CA27FF"/>
    <w:rsid w:val="00CA3DB6"/>
    <w:rsid w:val="00CA478F"/>
    <w:rsid w:val="00CA56B5"/>
    <w:rsid w:val="00CA5DFF"/>
    <w:rsid w:val="00CA7956"/>
    <w:rsid w:val="00CB2444"/>
    <w:rsid w:val="00CB670E"/>
    <w:rsid w:val="00CB677B"/>
    <w:rsid w:val="00CB6E94"/>
    <w:rsid w:val="00CB74DE"/>
    <w:rsid w:val="00CB7E4B"/>
    <w:rsid w:val="00CC0D30"/>
    <w:rsid w:val="00CC22FF"/>
    <w:rsid w:val="00CC6901"/>
    <w:rsid w:val="00CC79BA"/>
    <w:rsid w:val="00CC7E4B"/>
    <w:rsid w:val="00CD078C"/>
    <w:rsid w:val="00CD27BA"/>
    <w:rsid w:val="00CD2C75"/>
    <w:rsid w:val="00CD5DE2"/>
    <w:rsid w:val="00CD6C97"/>
    <w:rsid w:val="00CD72D6"/>
    <w:rsid w:val="00CE37CD"/>
    <w:rsid w:val="00CE5DE5"/>
    <w:rsid w:val="00CE64D2"/>
    <w:rsid w:val="00CF055B"/>
    <w:rsid w:val="00CF2334"/>
    <w:rsid w:val="00CF2864"/>
    <w:rsid w:val="00CF3ACB"/>
    <w:rsid w:val="00CF4491"/>
    <w:rsid w:val="00CF53AC"/>
    <w:rsid w:val="00CF7598"/>
    <w:rsid w:val="00D01A91"/>
    <w:rsid w:val="00D0364B"/>
    <w:rsid w:val="00D062E0"/>
    <w:rsid w:val="00D06F21"/>
    <w:rsid w:val="00D11D6B"/>
    <w:rsid w:val="00D12B9D"/>
    <w:rsid w:val="00D135A1"/>
    <w:rsid w:val="00D14282"/>
    <w:rsid w:val="00D144D7"/>
    <w:rsid w:val="00D17755"/>
    <w:rsid w:val="00D21EB2"/>
    <w:rsid w:val="00D22B47"/>
    <w:rsid w:val="00D24484"/>
    <w:rsid w:val="00D253CD"/>
    <w:rsid w:val="00D27C1B"/>
    <w:rsid w:val="00D320AF"/>
    <w:rsid w:val="00D32226"/>
    <w:rsid w:val="00D3542F"/>
    <w:rsid w:val="00D354F3"/>
    <w:rsid w:val="00D37314"/>
    <w:rsid w:val="00D3784D"/>
    <w:rsid w:val="00D41B42"/>
    <w:rsid w:val="00D41C70"/>
    <w:rsid w:val="00D43F36"/>
    <w:rsid w:val="00D44FC8"/>
    <w:rsid w:val="00D45E87"/>
    <w:rsid w:val="00D469C2"/>
    <w:rsid w:val="00D46DD3"/>
    <w:rsid w:val="00D4720E"/>
    <w:rsid w:val="00D47AE1"/>
    <w:rsid w:val="00D50E93"/>
    <w:rsid w:val="00D52A5B"/>
    <w:rsid w:val="00D54746"/>
    <w:rsid w:val="00D54CBA"/>
    <w:rsid w:val="00D55B86"/>
    <w:rsid w:val="00D61BD2"/>
    <w:rsid w:val="00D63E6D"/>
    <w:rsid w:val="00D6701F"/>
    <w:rsid w:val="00D67E85"/>
    <w:rsid w:val="00D700E9"/>
    <w:rsid w:val="00D70C0A"/>
    <w:rsid w:val="00D70E57"/>
    <w:rsid w:val="00D72AC8"/>
    <w:rsid w:val="00D730B6"/>
    <w:rsid w:val="00D7524C"/>
    <w:rsid w:val="00D76BB6"/>
    <w:rsid w:val="00D76CF0"/>
    <w:rsid w:val="00D76F95"/>
    <w:rsid w:val="00D771EC"/>
    <w:rsid w:val="00D77551"/>
    <w:rsid w:val="00D80D27"/>
    <w:rsid w:val="00D81E4C"/>
    <w:rsid w:val="00D83FC4"/>
    <w:rsid w:val="00D845E8"/>
    <w:rsid w:val="00D870B0"/>
    <w:rsid w:val="00D879F7"/>
    <w:rsid w:val="00D87B3C"/>
    <w:rsid w:val="00D91AA6"/>
    <w:rsid w:val="00D9477B"/>
    <w:rsid w:val="00D94A98"/>
    <w:rsid w:val="00D97119"/>
    <w:rsid w:val="00D97D95"/>
    <w:rsid w:val="00DA2214"/>
    <w:rsid w:val="00DA7DD8"/>
    <w:rsid w:val="00DB118B"/>
    <w:rsid w:val="00DB1ADF"/>
    <w:rsid w:val="00DB201F"/>
    <w:rsid w:val="00DB5DB5"/>
    <w:rsid w:val="00DB5E21"/>
    <w:rsid w:val="00DB6033"/>
    <w:rsid w:val="00DB7AF2"/>
    <w:rsid w:val="00DC4490"/>
    <w:rsid w:val="00DC77BC"/>
    <w:rsid w:val="00DC7E3B"/>
    <w:rsid w:val="00DD0E99"/>
    <w:rsid w:val="00DD2172"/>
    <w:rsid w:val="00DD2A18"/>
    <w:rsid w:val="00DD4A5B"/>
    <w:rsid w:val="00DD67D4"/>
    <w:rsid w:val="00DD6EF5"/>
    <w:rsid w:val="00DE070C"/>
    <w:rsid w:val="00DE3B1D"/>
    <w:rsid w:val="00DE5AF6"/>
    <w:rsid w:val="00DE7267"/>
    <w:rsid w:val="00DF0ADB"/>
    <w:rsid w:val="00DF0FAE"/>
    <w:rsid w:val="00DF1835"/>
    <w:rsid w:val="00DF2C98"/>
    <w:rsid w:val="00DF55D2"/>
    <w:rsid w:val="00DF6B0D"/>
    <w:rsid w:val="00DF7641"/>
    <w:rsid w:val="00E00A36"/>
    <w:rsid w:val="00E030A0"/>
    <w:rsid w:val="00E04F8B"/>
    <w:rsid w:val="00E05C21"/>
    <w:rsid w:val="00E06889"/>
    <w:rsid w:val="00E0728A"/>
    <w:rsid w:val="00E076B0"/>
    <w:rsid w:val="00E07812"/>
    <w:rsid w:val="00E130A4"/>
    <w:rsid w:val="00E138DB"/>
    <w:rsid w:val="00E14859"/>
    <w:rsid w:val="00E164B1"/>
    <w:rsid w:val="00E16B3D"/>
    <w:rsid w:val="00E17513"/>
    <w:rsid w:val="00E176AA"/>
    <w:rsid w:val="00E20385"/>
    <w:rsid w:val="00E21738"/>
    <w:rsid w:val="00E25058"/>
    <w:rsid w:val="00E256F6"/>
    <w:rsid w:val="00E27CA3"/>
    <w:rsid w:val="00E314D7"/>
    <w:rsid w:val="00E32D29"/>
    <w:rsid w:val="00E34192"/>
    <w:rsid w:val="00E36E77"/>
    <w:rsid w:val="00E37062"/>
    <w:rsid w:val="00E4046A"/>
    <w:rsid w:val="00E41148"/>
    <w:rsid w:val="00E41524"/>
    <w:rsid w:val="00E42471"/>
    <w:rsid w:val="00E425C8"/>
    <w:rsid w:val="00E46EF8"/>
    <w:rsid w:val="00E4769D"/>
    <w:rsid w:val="00E51424"/>
    <w:rsid w:val="00E52F6B"/>
    <w:rsid w:val="00E57D8C"/>
    <w:rsid w:val="00E62907"/>
    <w:rsid w:val="00E635E0"/>
    <w:rsid w:val="00E64374"/>
    <w:rsid w:val="00E66AB7"/>
    <w:rsid w:val="00E7010C"/>
    <w:rsid w:val="00E701DC"/>
    <w:rsid w:val="00E710E9"/>
    <w:rsid w:val="00E71856"/>
    <w:rsid w:val="00E727FE"/>
    <w:rsid w:val="00E72D7E"/>
    <w:rsid w:val="00E740E0"/>
    <w:rsid w:val="00E742E3"/>
    <w:rsid w:val="00E756ED"/>
    <w:rsid w:val="00E7625D"/>
    <w:rsid w:val="00E7633B"/>
    <w:rsid w:val="00E77BF3"/>
    <w:rsid w:val="00E8155B"/>
    <w:rsid w:val="00E82960"/>
    <w:rsid w:val="00E867DA"/>
    <w:rsid w:val="00E86A76"/>
    <w:rsid w:val="00E86BFD"/>
    <w:rsid w:val="00E90075"/>
    <w:rsid w:val="00E9041A"/>
    <w:rsid w:val="00E90B7D"/>
    <w:rsid w:val="00E923B5"/>
    <w:rsid w:val="00E92E17"/>
    <w:rsid w:val="00E933DA"/>
    <w:rsid w:val="00E938A8"/>
    <w:rsid w:val="00E95E1D"/>
    <w:rsid w:val="00EA0EC2"/>
    <w:rsid w:val="00EA63B3"/>
    <w:rsid w:val="00EB2718"/>
    <w:rsid w:val="00EB3463"/>
    <w:rsid w:val="00EB39FF"/>
    <w:rsid w:val="00EB5721"/>
    <w:rsid w:val="00EB5991"/>
    <w:rsid w:val="00EB6278"/>
    <w:rsid w:val="00EB7DC4"/>
    <w:rsid w:val="00EC0C97"/>
    <w:rsid w:val="00EC1BED"/>
    <w:rsid w:val="00EC2467"/>
    <w:rsid w:val="00EC37EB"/>
    <w:rsid w:val="00EC51EF"/>
    <w:rsid w:val="00EC737F"/>
    <w:rsid w:val="00EC7C3C"/>
    <w:rsid w:val="00ED01B4"/>
    <w:rsid w:val="00ED188F"/>
    <w:rsid w:val="00ED3A14"/>
    <w:rsid w:val="00ED3F32"/>
    <w:rsid w:val="00ED4562"/>
    <w:rsid w:val="00ED4F29"/>
    <w:rsid w:val="00ED5294"/>
    <w:rsid w:val="00ED546B"/>
    <w:rsid w:val="00ED608D"/>
    <w:rsid w:val="00ED628B"/>
    <w:rsid w:val="00ED7E54"/>
    <w:rsid w:val="00EE106C"/>
    <w:rsid w:val="00EE1077"/>
    <w:rsid w:val="00EE2482"/>
    <w:rsid w:val="00EE32BD"/>
    <w:rsid w:val="00EE43CC"/>
    <w:rsid w:val="00EE45D1"/>
    <w:rsid w:val="00EF0372"/>
    <w:rsid w:val="00EF1693"/>
    <w:rsid w:val="00EF1CBE"/>
    <w:rsid w:val="00EF2340"/>
    <w:rsid w:val="00EF378C"/>
    <w:rsid w:val="00EF3CDD"/>
    <w:rsid w:val="00EF445F"/>
    <w:rsid w:val="00EF45CE"/>
    <w:rsid w:val="00EF52E6"/>
    <w:rsid w:val="00EF601E"/>
    <w:rsid w:val="00EF7497"/>
    <w:rsid w:val="00EF7A30"/>
    <w:rsid w:val="00F00F8B"/>
    <w:rsid w:val="00F01049"/>
    <w:rsid w:val="00F012FA"/>
    <w:rsid w:val="00F0241B"/>
    <w:rsid w:val="00F0310F"/>
    <w:rsid w:val="00F036E6"/>
    <w:rsid w:val="00F0518A"/>
    <w:rsid w:val="00F0778C"/>
    <w:rsid w:val="00F12464"/>
    <w:rsid w:val="00F14957"/>
    <w:rsid w:val="00F1512F"/>
    <w:rsid w:val="00F15D6B"/>
    <w:rsid w:val="00F16031"/>
    <w:rsid w:val="00F16ABC"/>
    <w:rsid w:val="00F2684D"/>
    <w:rsid w:val="00F26C14"/>
    <w:rsid w:val="00F30AAD"/>
    <w:rsid w:val="00F32E6D"/>
    <w:rsid w:val="00F41266"/>
    <w:rsid w:val="00F41A32"/>
    <w:rsid w:val="00F43EF7"/>
    <w:rsid w:val="00F4416F"/>
    <w:rsid w:val="00F44F96"/>
    <w:rsid w:val="00F46A91"/>
    <w:rsid w:val="00F476C8"/>
    <w:rsid w:val="00F4776B"/>
    <w:rsid w:val="00F47BFA"/>
    <w:rsid w:val="00F507CC"/>
    <w:rsid w:val="00F5082F"/>
    <w:rsid w:val="00F5176C"/>
    <w:rsid w:val="00F51E56"/>
    <w:rsid w:val="00F54722"/>
    <w:rsid w:val="00F56C9F"/>
    <w:rsid w:val="00F56E6A"/>
    <w:rsid w:val="00F56F1D"/>
    <w:rsid w:val="00F60841"/>
    <w:rsid w:val="00F6120D"/>
    <w:rsid w:val="00F63553"/>
    <w:rsid w:val="00F65200"/>
    <w:rsid w:val="00F655F3"/>
    <w:rsid w:val="00F65860"/>
    <w:rsid w:val="00F65946"/>
    <w:rsid w:val="00F65D8D"/>
    <w:rsid w:val="00F6723F"/>
    <w:rsid w:val="00F6731F"/>
    <w:rsid w:val="00F67B1A"/>
    <w:rsid w:val="00F67FF1"/>
    <w:rsid w:val="00F70C83"/>
    <w:rsid w:val="00F71C2F"/>
    <w:rsid w:val="00F73122"/>
    <w:rsid w:val="00F735A6"/>
    <w:rsid w:val="00F744A3"/>
    <w:rsid w:val="00F74508"/>
    <w:rsid w:val="00F74742"/>
    <w:rsid w:val="00F75679"/>
    <w:rsid w:val="00F76605"/>
    <w:rsid w:val="00F81D88"/>
    <w:rsid w:val="00F822FA"/>
    <w:rsid w:val="00F9005F"/>
    <w:rsid w:val="00F9019E"/>
    <w:rsid w:val="00F905CA"/>
    <w:rsid w:val="00F90D04"/>
    <w:rsid w:val="00F92C22"/>
    <w:rsid w:val="00F93466"/>
    <w:rsid w:val="00F968D0"/>
    <w:rsid w:val="00FA0372"/>
    <w:rsid w:val="00FA03FA"/>
    <w:rsid w:val="00FA097E"/>
    <w:rsid w:val="00FA1667"/>
    <w:rsid w:val="00FA3DB1"/>
    <w:rsid w:val="00FA539F"/>
    <w:rsid w:val="00FA5B7C"/>
    <w:rsid w:val="00FA5EFA"/>
    <w:rsid w:val="00FA6B4A"/>
    <w:rsid w:val="00FA7953"/>
    <w:rsid w:val="00FB32E7"/>
    <w:rsid w:val="00FB5ADA"/>
    <w:rsid w:val="00FC0A61"/>
    <w:rsid w:val="00FC25F9"/>
    <w:rsid w:val="00FC3BE8"/>
    <w:rsid w:val="00FC5E7F"/>
    <w:rsid w:val="00FC65DD"/>
    <w:rsid w:val="00FD3861"/>
    <w:rsid w:val="00FD7D46"/>
    <w:rsid w:val="00FE5151"/>
    <w:rsid w:val="00FE52F4"/>
    <w:rsid w:val="00FE679E"/>
    <w:rsid w:val="00FF4CF3"/>
    <w:rsid w:val="00FF537D"/>
    <w:rsid w:val="00FF55C1"/>
    <w:rsid w:val="01211AD4"/>
    <w:rsid w:val="01274F14"/>
    <w:rsid w:val="01303A9E"/>
    <w:rsid w:val="01383FD0"/>
    <w:rsid w:val="01451617"/>
    <w:rsid w:val="0190158D"/>
    <w:rsid w:val="01B77047"/>
    <w:rsid w:val="0203063D"/>
    <w:rsid w:val="02043122"/>
    <w:rsid w:val="02055635"/>
    <w:rsid w:val="02346456"/>
    <w:rsid w:val="024E269D"/>
    <w:rsid w:val="027B1CE2"/>
    <w:rsid w:val="029F57DD"/>
    <w:rsid w:val="02D738A3"/>
    <w:rsid w:val="034464B8"/>
    <w:rsid w:val="036576B8"/>
    <w:rsid w:val="03C71EFB"/>
    <w:rsid w:val="03D735B0"/>
    <w:rsid w:val="03FA6CDF"/>
    <w:rsid w:val="04365FFA"/>
    <w:rsid w:val="04494A43"/>
    <w:rsid w:val="04500542"/>
    <w:rsid w:val="046D244C"/>
    <w:rsid w:val="046F1BE2"/>
    <w:rsid w:val="04822D08"/>
    <w:rsid w:val="04C851F1"/>
    <w:rsid w:val="04DE21B6"/>
    <w:rsid w:val="04FB048C"/>
    <w:rsid w:val="052C29BF"/>
    <w:rsid w:val="05337A63"/>
    <w:rsid w:val="055C5785"/>
    <w:rsid w:val="05913412"/>
    <w:rsid w:val="05F06637"/>
    <w:rsid w:val="062C7228"/>
    <w:rsid w:val="06517EE9"/>
    <w:rsid w:val="06631EC2"/>
    <w:rsid w:val="06C55EEB"/>
    <w:rsid w:val="06C56AD4"/>
    <w:rsid w:val="07004918"/>
    <w:rsid w:val="070B6221"/>
    <w:rsid w:val="07654B87"/>
    <w:rsid w:val="07BA720E"/>
    <w:rsid w:val="07CB7156"/>
    <w:rsid w:val="07E13B30"/>
    <w:rsid w:val="07EE2CA7"/>
    <w:rsid w:val="07EF709A"/>
    <w:rsid w:val="081F2D4C"/>
    <w:rsid w:val="084E2ACF"/>
    <w:rsid w:val="084F19C0"/>
    <w:rsid w:val="08635040"/>
    <w:rsid w:val="08A83B98"/>
    <w:rsid w:val="08B2562B"/>
    <w:rsid w:val="08B5584D"/>
    <w:rsid w:val="08BC41C1"/>
    <w:rsid w:val="09060CCF"/>
    <w:rsid w:val="09190838"/>
    <w:rsid w:val="095C7B83"/>
    <w:rsid w:val="098F731B"/>
    <w:rsid w:val="0996625D"/>
    <w:rsid w:val="09DE2A70"/>
    <w:rsid w:val="0A1F4EA7"/>
    <w:rsid w:val="0A8F047A"/>
    <w:rsid w:val="0AAF0151"/>
    <w:rsid w:val="0AB51489"/>
    <w:rsid w:val="0ABF0DA2"/>
    <w:rsid w:val="0ACE0B6C"/>
    <w:rsid w:val="0AE53B72"/>
    <w:rsid w:val="0AEE6792"/>
    <w:rsid w:val="0B1F52D6"/>
    <w:rsid w:val="0B33524B"/>
    <w:rsid w:val="0BD17250"/>
    <w:rsid w:val="0BE64801"/>
    <w:rsid w:val="0C5745FC"/>
    <w:rsid w:val="0C7965AF"/>
    <w:rsid w:val="0C8E3524"/>
    <w:rsid w:val="0C95751F"/>
    <w:rsid w:val="0CAA6E21"/>
    <w:rsid w:val="0CBE378C"/>
    <w:rsid w:val="0CD426C0"/>
    <w:rsid w:val="0D336E17"/>
    <w:rsid w:val="0D63355E"/>
    <w:rsid w:val="0D6402AD"/>
    <w:rsid w:val="0D6E00F5"/>
    <w:rsid w:val="0DE27351"/>
    <w:rsid w:val="0E133FA6"/>
    <w:rsid w:val="0E195228"/>
    <w:rsid w:val="0E2217A8"/>
    <w:rsid w:val="0E925E78"/>
    <w:rsid w:val="0EA20C5D"/>
    <w:rsid w:val="0EA54211"/>
    <w:rsid w:val="0EAB227A"/>
    <w:rsid w:val="0EAD5EAE"/>
    <w:rsid w:val="0EB36468"/>
    <w:rsid w:val="0EDB1EAC"/>
    <w:rsid w:val="0EDB759D"/>
    <w:rsid w:val="0F361774"/>
    <w:rsid w:val="0F3B7D92"/>
    <w:rsid w:val="0F587009"/>
    <w:rsid w:val="0F66630C"/>
    <w:rsid w:val="0F760781"/>
    <w:rsid w:val="0FCB5DCA"/>
    <w:rsid w:val="0FF066A8"/>
    <w:rsid w:val="0FF10449"/>
    <w:rsid w:val="10485433"/>
    <w:rsid w:val="104C2911"/>
    <w:rsid w:val="107B6F12"/>
    <w:rsid w:val="11053C87"/>
    <w:rsid w:val="11316C22"/>
    <w:rsid w:val="115E01DA"/>
    <w:rsid w:val="11604A5C"/>
    <w:rsid w:val="1176169D"/>
    <w:rsid w:val="117A4318"/>
    <w:rsid w:val="117C68E7"/>
    <w:rsid w:val="118263A1"/>
    <w:rsid w:val="119603EC"/>
    <w:rsid w:val="11A331FA"/>
    <w:rsid w:val="11A87B15"/>
    <w:rsid w:val="11C224F8"/>
    <w:rsid w:val="11DA3D05"/>
    <w:rsid w:val="120038A1"/>
    <w:rsid w:val="121A67F7"/>
    <w:rsid w:val="121E029E"/>
    <w:rsid w:val="124D4083"/>
    <w:rsid w:val="12701BF6"/>
    <w:rsid w:val="1287461C"/>
    <w:rsid w:val="12D777F2"/>
    <w:rsid w:val="12DE47E6"/>
    <w:rsid w:val="12F639E2"/>
    <w:rsid w:val="133D1517"/>
    <w:rsid w:val="134E49AB"/>
    <w:rsid w:val="136532E8"/>
    <w:rsid w:val="13CC1FE7"/>
    <w:rsid w:val="141407F8"/>
    <w:rsid w:val="14747306"/>
    <w:rsid w:val="14953687"/>
    <w:rsid w:val="14B24AC5"/>
    <w:rsid w:val="14D251DA"/>
    <w:rsid w:val="155913AC"/>
    <w:rsid w:val="15BC3411"/>
    <w:rsid w:val="1614567C"/>
    <w:rsid w:val="16271ECD"/>
    <w:rsid w:val="16A76302"/>
    <w:rsid w:val="16C521B5"/>
    <w:rsid w:val="16F3593D"/>
    <w:rsid w:val="173A3666"/>
    <w:rsid w:val="17405D8B"/>
    <w:rsid w:val="17482177"/>
    <w:rsid w:val="17794290"/>
    <w:rsid w:val="17DF684D"/>
    <w:rsid w:val="17F31E94"/>
    <w:rsid w:val="181736F0"/>
    <w:rsid w:val="18301873"/>
    <w:rsid w:val="185D59F5"/>
    <w:rsid w:val="18652B97"/>
    <w:rsid w:val="18D24826"/>
    <w:rsid w:val="1930763A"/>
    <w:rsid w:val="193564B7"/>
    <w:rsid w:val="198F35F7"/>
    <w:rsid w:val="199667D2"/>
    <w:rsid w:val="19C02A41"/>
    <w:rsid w:val="19C63AD7"/>
    <w:rsid w:val="19DC2403"/>
    <w:rsid w:val="19E94399"/>
    <w:rsid w:val="19EC5D5F"/>
    <w:rsid w:val="19EF6331"/>
    <w:rsid w:val="1A2417DD"/>
    <w:rsid w:val="1A3B555D"/>
    <w:rsid w:val="1AA40BC5"/>
    <w:rsid w:val="1AA52927"/>
    <w:rsid w:val="1AD945D1"/>
    <w:rsid w:val="1AFC093E"/>
    <w:rsid w:val="1B63274F"/>
    <w:rsid w:val="1B751D18"/>
    <w:rsid w:val="1B837689"/>
    <w:rsid w:val="1BA35581"/>
    <w:rsid w:val="1BBC1B6B"/>
    <w:rsid w:val="1BE1312F"/>
    <w:rsid w:val="1BE54206"/>
    <w:rsid w:val="1BFD0B5F"/>
    <w:rsid w:val="1C1224F7"/>
    <w:rsid w:val="1C211FCC"/>
    <w:rsid w:val="1C215860"/>
    <w:rsid w:val="1C3B088A"/>
    <w:rsid w:val="1CD120FF"/>
    <w:rsid w:val="1CDF6B41"/>
    <w:rsid w:val="1CED6CF9"/>
    <w:rsid w:val="1D2C0399"/>
    <w:rsid w:val="1D2F3F5E"/>
    <w:rsid w:val="1D3121A1"/>
    <w:rsid w:val="1D52110B"/>
    <w:rsid w:val="1D567D06"/>
    <w:rsid w:val="1D5E5041"/>
    <w:rsid w:val="1D6775FF"/>
    <w:rsid w:val="1D6920D8"/>
    <w:rsid w:val="1D9E02DC"/>
    <w:rsid w:val="1DCF493A"/>
    <w:rsid w:val="1DF127C5"/>
    <w:rsid w:val="1E994839"/>
    <w:rsid w:val="1EA43D4B"/>
    <w:rsid w:val="1ECB6CF3"/>
    <w:rsid w:val="1ED63936"/>
    <w:rsid w:val="1EE82E44"/>
    <w:rsid w:val="1F095BCD"/>
    <w:rsid w:val="1F324176"/>
    <w:rsid w:val="1F3839D1"/>
    <w:rsid w:val="1F980D5B"/>
    <w:rsid w:val="1FB35C2A"/>
    <w:rsid w:val="1FB7392F"/>
    <w:rsid w:val="1FD83FC9"/>
    <w:rsid w:val="1FE741BD"/>
    <w:rsid w:val="200A7C06"/>
    <w:rsid w:val="20443B05"/>
    <w:rsid w:val="20540405"/>
    <w:rsid w:val="2056015F"/>
    <w:rsid w:val="20AB7349"/>
    <w:rsid w:val="20AC2D10"/>
    <w:rsid w:val="20B11C5C"/>
    <w:rsid w:val="20BE2EDB"/>
    <w:rsid w:val="20CF18B8"/>
    <w:rsid w:val="20DC1B4D"/>
    <w:rsid w:val="20E75FEA"/>
    <w:rsid w:val="211B0EE6"/>
    <w:rsid w:val="21386BBD"/>
    <w:rsid w:val="219A49A8"/>
    <w:rsid w:val="21BE7C5E"/>
    <w:rsid w:val="21C77D00"/>
    <w:rsid w:val="21CA74E9"/>
    <w:rsid w:val="21DE261D"/>
    <w:rsid w:val="21EC2BAB"/>
    <w:rsid w:val="21F22C88"/>
    <w:rsid w:val="220D46BA"/>
    <w:rsid w:val="22951021"/>
    <w:rsid w:val="22A60EB5"/>
    <w:rsid w:val="22D23494"/>
    <w:rsid w:val="22D81D21"/>
    <w:rsid w:val="230F0A4B"/>
    <w:rsid w:val="23165F69"/>
    <w:rsid w:val="232B1CE8"/>
    <w:rsid w:val="232F19D7"/>
    <w:rsid w:val="238263F4"/>
    <w:rsid w:val="23AF4937"/>
    <w:rsid w:val="23D64254"/>
    <w:rsid w:val="24011960"/>
    <w:rsid w:val="24054A11"/>
    <w:rsid w:val="241137D9"/>
    <w:rsid w:val="24183C1D"/>
    <w:rsid w:val="245A05CA"/>
    <w:rsid w:val="247B4D12"/>
    <w:rsid w:val="24895FF2"/>
    <w:rsid w:val="24B66F7B"/>
    <w:rsid w:val="24B95CB1"/>
    <w:rsid w:val="25101C98"/>
    <w:rsid w:val="2549427F"/>
    <w:rsid w:val="25974A42"/>
    <w:rsid w:val="25E037D0"/>
    <w:rsid w:val="2614749F"/>
    <w:rsid w:val="262E41C8"/>
    <w:rsid w:val="268C368D"/>
    <w:rsid w:val="26B92AA7"/>
    <w:rsid w:val="26F23C5A"/>
    <w:rsid w:val="27251824"/>
    <w:rsid w:val="273F2C97"/>
    <w:rsid w:val="2750534C"/>
    <w:rsid w:val="276D2FA1"/>
    <w:rsid w:val="277838F6"/>
    <w:rsid w:val="279F2C36"/>
    <w:rsid w:val="283C7C55"/>
    <w:rsid w:val="28453812"/>
    <w:rsid w:val="28A65873"/>
    <w:rsid w:val="28A91911"/>
    <w:rsid w:val="28EC1885"/>
    <w:rsid w:val="290B2653"/>
    <w:rsid w:val="29161CF1"/>
    <w:rsid w:val="291F27EC"/>
    <w:rsid w:val="29212C84"/>
    <w:rsid w:val="2933177B"/>
    <w:rsid w:val="29394C50"/>
    <w:rsid w:val="2974095E"/>
    <w:rsid w:val="29927401"/>
    <w:rsid w:val="299608E4"/>
    <w:rsid w:val="299B6946"/>
    <w:rsid w:val="29B80978"/>
    <w:rsid w:val="29C04EC5"/>
    <w:rsid w:val="29D34CE3"/>
    <w:rsid w:val="29DE1E4D"/>
    <w:rsid w:val="2A0A7696"/>
    <w:rsid w:val="2A0D0F0C"/>
    <w:rsid w:val="2A176C00"/>
    <w:rsid w:val="2A6B1D80"/>
    <w:rsid w:val="2ADB6EB7"/>
    <w:rsid w:val="2AFB54C5"/>
    <w:rsid w:val="2B055F8A"/>
    <w:rsid w:val="2B0C03A4"/>
    <w:rsid w:val="2B200651"/>
    <w:rsid w:val="2B3841A3"/>
    <w:rsid w:val="2B6F658C"/>
    <w:rsid w:val="2BA33DC6"/>
    <w:rsid w:val="2BF16B92"/>
    <w:rsid w:val="2D511017"/>
    <w:rsid w:val="2DA67B66"/>
    <w:rsid w:val="2DD45655"/>
    <w:rsid w:val="2DFD7CDE"/>
    <w:rsid w:val="2E8818C4"/>
    <w:rsid w:val="2E922D73"/>
    <w:rsid w:val="2EBA1864"/>
    <w:rsid w:val="2EC85D5E"/>
    <w:rsid w:val="2ED50D09"/>
    <w:rsid w:val="2EF22E53"/>
    <w:rsid w:val="2EF51D26"/>
    <w:rsid w:val="2F0748E7"/>
    <w:rsid w:val="2F0A6734"/>
    <w:rsid w:val="2F3D79D9"/>
    <w:rsid w:val="2F4219B8"/>
    <w:rsid w:val="2F9C54E2"/>
    <w:rsid w:val="2FC00586"/>
    <w:rsid w:val="2FC36919"/>
    <w:rsid w:val="2FC935F5"/>
    <w:rsid w:val="3014598E"/>
    <w:rsid w:val="3019494D"/>
    <w:rsid w:val="301B4DB2"/>
    <w:rsid w:val="302F5F5A"/>
    <w:rsid w:val="305C6B22"/>
    <w:rsid w:val="30B27717"/>
    <w:rsid w:val="30DB42DF"/>
    <w:rsid w:val="30E74DA6"/>
    <w:rsid w:val="30EC34E0"/>
    <w:rsid w:val="31172A76"/>
    <w:rsid w:val="31841167"/>
    <w:rsid w:val="31962F66"/>
    <w:rsid w:val="32484C4E"/>
    <w:rsid w:val="32605D06"/>
    <w:rsid w:val="32E90B44"/>
    <w:rsid w:val="32F6606D"/>
    <w:rsid w:val="33A43C30"/>
    <w:rsid w:val="33CE2C57"/>
    <w:rsid w:val="33DE6B77"/>
    <w:rsid w:val="33EC512B"/>
    <w:rsid w:val="340D033E"/>
    <w:rsid w:val="341C101E"/>
    <w:rsid w:val="346F43F1"/>
    <w:rsid w:val="347D281C"/>
    <w:rsid w:val="34FA467B"/>
    <w:rsid w:val="35441A8C"/>
    <w:rsid w:val="35484BCD"/>
    <w:rsid w:val="355A3D41"/>
    <w:rsid w:val="35691819"/>
    <w:rsid w:val="35A238E7"/>
    <w:rsid w:val="35A304A9"/>
    <w:rsid w:val="35D573AE"/>
    <w:rsid w:val="364D7488"/>
    <w:rsid w:val="365A6926"/>
    <w:rsid w:val="36741E16"/>
    <w:rsid w:val="36CC7811"/>
    <w:rsid w:val="36D654B6"/>
    <w:rsid w:val="36DD32BF"/>
    <w:rsid w:val="370C7272"/>
    <w:rsid w:val="371E4419"/>
    <w:rsid w:val="372F21F8"/>
    <w:rsid w:val="37355B09"/>
    <w:rsid w:val="37450A23"/>
    <w:rsid w:val="37482467"/>
    <w:rsid w:val="375A10AE"/>
    <w:rsid w:val="375F18CE"/>
    <w:rsid w:val="376D3A14"/>
    <w:rsid w:val="377543D4"/>
    <w:rsid w:val="379E050A"/>
    <w:rsid w:val="379F42F8"/>
    <w:rsid w:val="37A227C0"/>
    <w:rsid w:val="37A563A1"/>
    <w:rsid w:val="37FE1083"/>
    <w:rsid w:val="38112289"/>
    <w:rsid w:val="381439C0"/>
    <w:rsid w:val="382C54C9"/>
    <w:rsid w:val="3842422E"/>
    <w:rsid w:val="384E7A64"/>
    <w:rsid w:val="389567FE"/>
    <w:rsid w:val="389B0595"/>
    <w:rsid w:val="38A47140"/>
    <w:rsid w:val="38F80946"/>
    <w:rsid w:val="39197560"/>
    <w:rsid w:val="39275FEC"/>
    <w:rsid w:val="393153A6"/>
    <w:rsid w:val="3939253C"/>
    <w:rsid w:val="39875A90"/>
    <w:rsid w:val="39A53523"/>
    <w:rsid w:val="39A75360"/>
    <w:rsid w:val="39C661B5"/>
    <w:rsid w:val="3A24180E"/>
    <w:rsid w:val="3A3D44A3"/>
    <w:rsid w:val="3A5B53F8"/>
    <w:rsid w:val="3A6570A1"/>
    <w:rsid w:val="3A883352"/>
    <w:rsid w:val="3A98285C"/>
    <w:rsid w:val="3AA7541F"/>
    <w:rsid w:val="3AB16AFD"/>
    <w:rsid w:val="3ABD3CF2"/>
    <w:rsid w:val="3AD23706"/>
    <w:rsid w:val="3AD54D74"/>
    <w:rsid w:val="3ADF1772"/>
    <w:rsid w:val="3AE83617"/>
    <w:rsid w:val="3AFC44E4"/>
    <w:rsid w:val="3B377223"/>
    <w:rsid w:val="3B5B73B5"/>
    <w:rsid w:val="3C200787"/>
    <w:rsid w:val="3CE43D58"/>
    <w:rsid w:val="3D056DE5"/>
    <w:rsid w:val="3D150381"/>
    <w:rsid w:val="3D242DC0"/>
    <w:rsid w:val="3D3357D0"/>
    <w:rsid w:val="3D3861CD"/>
    <w:rsid w:val="3D444D9B"/>
    <w:rsid w:val="3D603B0C"/>
    <w:rsid w:val="3D9A53D2"/>
    <w:rsid w:val="3DA82763"/>
    <w:rsid w:val="3EB24A80"/>
    <w:rsid w:val="3EF344A0"/>
    <w:rsid w:val="3F0C5499"/>
    <w:rsid w:val="3F106D4D"/>
    <w:rsid w:val="3F266B61"/>
    <w:rsid w:val="3F271710"/>
    <w:rsid w:val="3F564F2E"/>
    <w:rsid w:val="3F5A618E"/>
    <w:rsid w:val="403C0BE5"/>
    <w:rsid w:val="406538E2"/>
    <w:rsid w:val="40AE2408"/>
    <w:rsid w:val="40D61F9F"/>
    <w:rsid w:val="40E6513A"/>
    <w:rsid w:val="41207F0A"/>
    <w:rsid w:val="41277CAD"/>
    <w:rsid w:val="415E7BFF"/>
    <w:rsid w:val="417254CB"/>
    <w:rsid w:val="418A329E"/>
    <w:rsid w:val="41DE7B28"/>
    <w:rsid w:val="421C406A"/>
    <w:rsid w:val="421C69ED"/>
    <w:rsid w:val="423D3A47"/>
    <w:rsid w:val="423F7E57"/>
    <w:rsid w:val="428B61F9"/>
    <w:rsid w:val="43052501"/>
    <w:rsid w:val="433112AC"/>
    <w:rsid w:val="43313437"/>
    <w:rsid w:val="433238B4"/>
    <w:rsid w:val="434E0C0A"/>
    <w:rsid w:val="438D6152"/>
    <w:rsid w:val="43B97629"/>
    <w:rsid w:val="43C54EEF"/>
    <w:rsid w:val="43E02C27"/>
    <w:rsid w:val="443B1E1A"/>
    <w:rsid w:val="444875EB"/>
    <w:rsid w:val="44535F71"/>
    <w:rsid w:val="44A17A7E"/>
    <w:rsid w:val="44EE06E7"/>
    <w:rsid w:val="452B7DF8"/>
    <w:rsid w:val="4536649F"/>
    <w:rsid w:val="453C2484"/>
    <w:rsid w:val="453D6989"/>
    <w:rsid w:val="453F4987"/>
    <w:rsid w:val="45617CBE"/>
    <w:rsid w:val="456E21D5"/>
    <w:rsid w:val="45BA70B1"/>
    <w:rsid w:val="45EA2CE8"/>
    <w:rsid w:val="45F74EDF"/>
    <w:rsid w:val="4600059B"/>
    <w:rsid w:val="46160E93"/>
    <w:rsid w:val="462D006C"/>
    <w:rsid w:val="464E252C"/>
    <w:rsid w:val="46AB5174"/>
    <w:rsid w:val="46B700F8"/>
    <w:rsid w:val="46BB44BC"/>
    <w:rsid w:val="46D272F4"/>
    <w:rsid w:val="473A4BD7"/>
    <w:rsid w:val="47510996"/>
    <w:rsid w:val="47570AD2"/>
    <w:rsid w:val="47580314"/>
    <w:rsid w:val="47B34831"/>
    <w:rsid w:val="47EB41FA"/>
    <w:rsid w:val="47EF7803"/>
    <w:rsid w:val="4804144A"/>
    <w:rsid w:val="48070487"/>
    <w:rsid w:val="48501411"/>
    <w:rsid w:val="48695334"/>
    <w:rsid w:val="486A7361"/>
    <w:rsid w:val="48863996"/>
    <w:rsid w:val="48890152"/>
    <w:rsid w:val="488A12DA"/>
    <w:rsid w:val="48C05E0B"/>
    <w:rsid w:val="48C93CA5"/>
    <w:rsid w:val="48F87457"/>
    <w:rsid w:val="490671E3"/>
    <w:rsid w:val="490E1280"/>
    <w:rsid w:val="4922407A"/>
    <w:rsid w:val="497A63F6"/>
    <w:rsid w:val="497B7D9F"/>
    <w:rsid w:val="498E6CD6"/>
    <w:rsid w:val="49BD25AC"/>
    <w:rsid w:val="49C93F25"/>
    <w:rsid w:val="49D14B65"/>
    <w:rsid w:val="4A7B0E59"/>
    <w:rsid w:val="4A803067"/>
    <w:rsid w:val="4AB74840"/>
    <w:rsid w:val="4AC65755"/>
    <w:rsid w:val="4AD728D0"/>
    <w:rsid w:val="4ADF597A"/>
    <w:rsid w:val="4AE30D8B"/>
    <w:rsid w:val="4B2D7D43"/>
    <w:rsid w:val="4B91508D"/>
    <w:rsid w:val="4B937275"/>
    <w:rsid w:val="4BB90631"/>
    <w:rsid w:val="4C450FB8"/>
    <w:rsid w:val="4C747E14"/>
    <w:rsid w:val="4CA84AAD"/>
    <w:rsid w:val="4CAC0E3F"/>
    <w:rsid w:val="4CEA5082"/>
    <w:rsid w:val="4D1246AB"/>
    <w:rsid w:val="4D2B53D3"/>
    <w:rsid w:val="4D421E62"/>
    <w:rsid w:val="4D807BBE"/>
    <w:rsid w:val="4E01515D"/>
    <w:rsid w:val="4E2D4BE1"/>
    <w:rsid w:val="4E405991"/>
    <w:rsid w:val="4E644A95"/>
    <w:rsid w:val="4E656BC0"/>
    <w:rsid w:val="4E65774D"/>
    <w:rsid w:val="4F0023CD"/>
    <w:rsid w:val="4F056DE1"/>
    <w:rsid w:val="4F15353E"/>
    <w:rsid w:val="4F19757E"/>
    <w:rsid w:val="4F223D03"/>
    <w:rsid w:val="4F6701AB"/>
    <w:rsid w:val="4F9E5377"/>
    <w:rsid w:val="4FCB101C"/>
    <w:rsid w:val="4FCD5342"/>
    <w:rsid w:val="4FE6405E"/>
    <w:rsid w:val="50540AFB"/>
    <w:rsid w:val="50602A1B"/>
    <w:rsid w:val="50612797"/>
    <w:rsid w:val="50BB53A5"/>
    <w:rsid w:val="50DC73F1"/>
    <w:rsid w:val="50FB1272"/>
    <w:rsid w:val="51174AAA"/>
    <w:rsid w:val="51C54E50"/>
    <w:rsid w:val="51DE290C"/>
    <w:rsid w:val="51E311A7"/>
    <w:rsid w:val="521356D1"/>
    <w:rsid w:val="5217652D"/>
    <w:rsid w:val="529D10AF"/>
    <w:rsid w:val="53494392"/>
    <w:rsid w:val="535809C3"/>
    <w:rsid w:val="53990FBE"/>
    <w:rsid w:val="53E76275"/>
    <w:rsid w:val="54372316"/>
    <w:rsid w:val="547B4505"/>
    <w:rsid w:val="548E6390"/>
    <w:rsid w:val="549E4993"/>
    <w:rsid w:val="54C51393"/>
    <w:rsid w:val="54D9333A"/>
    <w:rsid w:val="54ED6EEB"/>
    <w:rsid w:val="55782BE6"/>
    <w:rsid w:val="55966BD2"/>
    <w:rsid w:val="55D07DDD"/>
    <w:rsid w:val="56B23CA6"/>
    <w:rsid w:val="570755A7"/>
    <w:rsid w:val="573072C4"/>
    <w:rsid w:val="57471187"/>
    <w:rsid w:val="576F023D"/>
    <w:rsid w:val="577B6EE4"/>
    <w:rsid w:val="57AC5A21"/>
    <w:rsid w:val="57D2146B"/>
    <w:rsid w:val="57EF1F3E"/>
    <w:rsid w:val="581C0CA5"/>
    <w:rsid w:val="5828202C"/>
    <w:rsid w:val="584E2F27"/>
    <w:rsid w:val="5886355F"/>
    <w:rsid w:val="58891F15"/>
    <w:rsid w:val="58913390"/>
    <w:rsid w:val="58A35601"/>
    <w:rsid w:val="58BA7B88"/>
    <w:rsid w:val="58E46A61"/>
    <w:rsid w:val="591C62AA"/>
    <w:rsid w:val="593C1AF7"/>
    <w:rsid w:val="597E34F4"/>
    <w:rsid w:val="59DD23FD"/>
    <w:rsid w:val="59E24A9F"/>
    <w:rsid w:val="5A67590A"/>
    <w:rsid w:val="5A737CDB"/>
    <w:rsid w:val="5B761405"/>
    <w:rsid w:val="5BEC19E4"/>
    <w:rsid w:val="5BF8521E"/>
    <w:rsid w:val="5C0A7D4F"/>
    <w:rsid w:val="5C1B1303"/>
    <w:rsid w:val="5C241BA9"/>
    <w:rsid w:val="5C2453F7"/>
    <w:rsid w:val="5C4D09E5"/>
    <w:rsid w:val="5D0852CE"/>
    <w:rsid w:val="5D2928D3"/>
    <w:rsid w:val="5D2F26AA"/>
    <w:rsid w:val="5D433B15"/>
    <w:rsid w:val="5D502207"/>
    <w:rsid w:val="5DBD180F"/>
    <w:rsid w:val="5E0369A2"/>
    <w:rsid w:val="5E1C522E"/>
    <w:rsid w:val="5E3B5015"/>
    <w:rsid w:val="5E443015"/>
    <w:rsid w:val="5E820631"/>
    <w:rsid w:val="5E822C00"/>
    <w:rsid w:val="5ECD71E6"/>
    <w:rsid w:val="5ECF201B"/>
    <w:rsid w:val="5EDA7CAB"/>
    <w:rsid w:val="5EE501EE"/>
    <w:rsid w:val="5F332FFE"/>
    <w:rsid w:val="5F4315E3"/>
    <w:rsid w:val="5FDE769B"/>
    <w:rsid w:val="5FFB11ED"/>
    <w:rsid w:val="60136665"/>
    <w:rsid w:val="602350BD"/>
    <w:rsid w:val="60380678"/>
    <w:rsid w:val="605D60B2"/>
    <w:rsid w:val="60604FB9"/>
    <w:rsid w:val="609540A8"/>
    <w:rsid w:val="609F4B0D"/>
    <w:rsid w:val="60AC408B"/>
    <w:rsid w:val="60B33EB4"/>
    <w:rsid w:val="60BB530A"/>
    <w:rsid w:val="611A1018"/>
    <w:rsid w:val="611A335C"/>
    <w:rsid w:val="61216701"/>
    <w:rsid w:val="612B1527"/>
    <w:rsid w:val="619E1C26"/>
    <w:rsid w:val="61B661D6"/>
    <w:rsid w:val="624F2F20"/>
    <w:rsid w:val="62581DED"/>
    <w:rsid w:val="626B5F89"/>
    <w:rsid w:val="627B32D8"/>
    <w:rsid w:val="62971E0C"/>
    <w:rsid w:val="62B90CFD"/>
    <w:rsid w:val="62FF6042"/>
    <w:rsid w:val="631F3899"/>
    <w:rsid w:val="63226337"/>
    <w:rsid w:val="632D650D"/>
    <w:rsid w:val="63382CE9"/>
    <w:rsid w:val="63612F0B"/>
    <w:rsid w:val="63863E37"/>
    <w:rsid w:val="63DC4A37"/>
    <w:rsid w:val="643709EB"/>
    <w:rsid w:val="64A77044"/>
    <w:rsid w:val="64C753D2"/>
    <w:rsid w:val="64E82635"/>
    <w:rsid w:val="64F168C1"/>
    <w:rsid w:val="64F459D0"/>
    <w:rsid w:val="65086F1E"/>
    <w:rsid w:val="6553668F"/>
    <w:rsid w:val="65555035"/>
    <w:rsid w:val="65647826"/>
    <w:rsid w:val="6582338C"/>
    <w:rsid w:val="65B22786"/>
    <w:rsid w:val="65CF7848"/>
    <w:rsid w:val="65E531E0"/>
    <w:rsid w:val="65F6754E"/>
    <w:rsid w:val="661735C0"/>
    <w:rsid w:val="66692167"/>
    <w:rsid w:val="66872C44"/>
    <w:rsid w:val="669E19F6"/>
    <w:rsid w:val="66A4324F"/>
    <w:rsid w:val="66C35C8B"/>
    <w:rsid w:val="66DD6DB6"/>
    <w:rsid w:val="677D58AE"/>
    <w:rsid w:val="67C03DCB"/>
    <w:rsid w:val="67EE62F1"/>
    <w:rsid w:val="67FE0ABC"/>
    <w:rsid w:val="68272B8D"/>
    <w:rsid w:val="682B4CB5"/>
    <w:rsid w:val="684A0973"/>
    <w:rsid w:val="685C088A"/>
    <w:rsid w:val="688D6550"/>
    <w:rsid w:val="68A36922"/>
    <w:rsid w:val="68A638C2"/>
    <w:rsid w:val="68C1245B"/>
    <w:rsid w:val="68CF44E4"/>
    <w:rsid w:val="68D474B9"/>
    <w:rsid w:val="68D9247A"/>
    <w:rsid w:val="692837A3"/>
    <w:rsid w:val="69520021"/>
    <w:rsid w:val="696E18C3"/>
    <w:rsid w:val="69774602"/>
    <w:rsid w:val="698D01CC"/>
    <w:rsid w:val="699A4315"/>
    <w:rsid w:val="699A7243"/>
    <w:rsid w:val="69B50573"/>
    <w:rsid w:val="69BE7D9A"/>
    <w:rsid w:val="6A2D2B79"/>
    <w:rsid w:val="6A3376F7"/>
    <w:rsid w:val="6A4533FD"/>
    <w:rsid w:val="6A477F04"/>
    <w:rsid w:val="6A496835"/>
    <w:rsid w:val="6A8E7740"/>
    <w:rsid w:val="6AD5648B"/>
    <w:rsid w:val="6AE90C42"/>
    <w:rsid w:val="6B122298"/>
    <w:rsid w:val="6B44347E"/>
    <w:rsid w:val="6B4B7148"/>
    <w:rsid w:val="6B7409C3"/>
    <w:rsid w:val="6C026F3C"/>
    <w:rsid w:val="6C1769F6"/>
    <w:rsid w:val="6C19025F"/>
    <w:rsid w:val="6C2C4F32"/>
    <w:rsid w:val="6C396029"/>
    <w:rsid w:val="6C3B64A7"/>
    <w:rsid w:val="6C4C04D0"/>
    <w:rsid w:val="6CD83A9C"/>
    <w:rsid w:val="6D220952"/>
    <w:rsid w:val="6D256766"/>
    <w:rsid w:val="6D6830E8"/>
    <w:rsid w:val="6D7F405A"/>
    <w:rsid w:val="6DB9174A"/>
    <w:rsid w:val="6DC248E6"/>
    <w:rsid w:val="6DC54E3E"/>
    <w:rsid w:val="6DE47F9E"/>
    <w:rsid w:val="6DEF09BC"/>
    <w:rsid w:val="6E1F0E23"/>
    <w:rsid w:val="6E34361D"/>
    <w:rsid w:val="6E8A1B32"/>
    <w:rsid w:val="6F5222A2"/>
    <w:rsid w:val="6FA6229E"/>
    <w:rsid w:val="6FB96E19"/>
    <w:rsid w:val="6FCA266F"/>
    <w:rsid w:val="6FF900E7"/>
    <w:rsid w:val="70294286"/>
    <w:rsid w:val="70637BEC"/>
    <w:rsid w:val="707C740E"/>
    <w:rsid w:val="708C7ADE"/>
    <w:rsid w:val="70C96F94"/>
    <w:rsid w:val="70D05D03"/>
    <w:rsid w:val="70F93881"/>
    <w:rsid w:val="711575EE"/>
    <w:rsid w:val="715349F8"/>
    <w:rsid w:val="71945E92"/>
    <w:rsid w:val="71A072F4"/>
    <w:rsid w:val="71BF1449"/>
    <w:rsid w:val="71D445CE"/>
    <w:rsid w:val="71DF3747"/>
    <w:rsid w:val="721A1FF2"/>
    <w:rsid w:val="72356C20"/>
    <w:rsid w:val="72382AB4"/>
    <w:rsid w:val="723E4008"/>
    <w:rsid w:val="725929D4"/>
    <w:rsid w:val="72A4317D"/>
    <w:rsid w:val="72AC1216"/>
    <w:rsid w:val="72B00049"/>
    <w:rsid w:val="72B70F99"/>
    <w:rsid w:val="73192710"/>
    <w:rsid w:val="732D44FD"/>
    <w:rsid w:val="73981574"/>
    <w:rsid w:val="73A03AE9"/>
    <w:rsid w:val="73B92936"/>
    <w:rsid w:val="73FB49FD"/>
    <w:rsid w:val="74376D48"/>
    <w:rsid w:val="74446098"/>
    <w:rsid w:val="746B414F"/>
    <w:rsid w:val="7472539D"/>
    <w:rsid w:val="747678BB"/>
    <w:rsid w:val="749036DA"/>
    <w:rsid w:val="74A13F3D"/>
    <w:rsid w:val="74DC45A8"/>
    <w:rsid w:val="74F57957"/>
    <w:rsid w:val="750227FB"/>
    <w:rsid w:val="752B3379"/>
    <w:rsid w:val="75693A34"/>
    <w:rsid w:val="759C3169"/>
    <w:rsid w:val="75B770CD"/>
    <w:rsid w:val="75CD34AB"/>
    <w:rsid w:val="75CF7ADF"/>
    <w:rsid w:val="76281D23"/>
    <w:rsid w:val="764B4F25"/>
    <w:rsid w:val="76686C67"/>
    <w:rsid w:val="766C48DD"/>
    <w:rsid w:val="76CE603E"/>
    <w:rsid w:val="77162A8D"/>
    <w:rsid w:val="774025C7"/>
    <w:rsid w:val="77894212"/>
    <w:rsid w:val="779B7DB1"/>
    <w:rsid w:val="7800271B"/>
    <w:rsid w:val="782E08A0"/>
    <w:rsid w:val="78440AB3"/>
    <w:rsid w:val="785B79C8"/>
    <w:rsid w:val="78751BD5"/>
    <w:rsid w:val="787A7054"/>
    <w:rsid w:val="788F0084"/>
    <w:rsid w:val="78911015"/>
    <w:rsid w:val="78A73067"/>
    <w:rsid w:val="78A9768A"/>
    <w:rsid w:val="78AA4077"/>
    <w:rsid w:val="78CA0ADB"/>
    <w:rsid w:val="78D85865"/>
    <w:rsid w:val="792C66E3"/>
    <w:rsid w:val="793B5B55"/>
    <w:rsid w:val="794E20EA"/>
    <w:rsid w:val="79947274"/>
    <w:rsid w:val="79FE73E8"/>
    <w:rsid w:val="7A237A12"/>
    <w:rsid w:val="7A6054E2"/>
    <w:rsid w:val="7A8B7D4E"/>
    <w:rsid w:val="7A98230D"/>
    <w:rsid w:val="7B4269B8"/>
    <w:rsid w:val="7B60499C"/>
    <w:rsid w:val="7B6276D7"/>
    <w:rsid w:val="7BBF0CBF"/>
    <w:rsid w:val="7BCD0EC9"/>
    <w:rsid w:val="7C0C430A"/>
    <w:rsid w:val="7C361D53"/>
    <w:rsid w:val="7C515A2B"/>
    <w:rsid w:val="7CBF1AA2"/>
    <w:rsid w:val="7CC91285"/>
    <w:rsid w:val="7CEE34AC"/>
    <w:rsid w:val="7CF92CB6"/>
    <w:rsid w:val="7D841C93"/>
    <w:rsid w:val="7DA92046"/>
    <w:rsid w:val="7DDF015B"/>
    <w:rsid w:val="7DEE0A06"/>
    <w:rsid w:val="7E745C2A"/>
    <w:rsid w:val="7EA95F25"/>
    <w:rsid w:val="7EBF6D37"/>
    <w:rsid w:val="7ED31DC1"/>
    <w:rsid w:val="7EF47C86"/>
    <w:rsid w:val="7F0B50E4"/>
    <w:rsid w:val="7F3B5B00"/>
    <w:rsid w:val="7F3C785D"/>
    <w:rsid w:val="7F510FB4"/>
    <w:rsid w:val="7FCB0BE9"/>
    <w:rsid w:val="7FE147D1"/>
    <w:rsid w:val="7FEB6CD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65"/>
    <w:autoRedefine/>
    <w:qFormat/>
    <w:uiPriority w:val="99"/>
    <w:pPr>
      <w:keepNext/>
      <w:keepLines/>
      <w:numPr>
        <w:ilvl w:val="0"/>
        <w:numId w:val="1"/>
      </w:numPr>
      <w:adjustRightInd w:val="0"/>
      <w:spacing w:before="340" w:after="330" w:line="578" w:lineRule="atLeast"/>
      <w:textAlignment w:val="baseline"/>
      <w:outlineLvl w:val="0"/>
    </w:pPr>
    <w:rPr>
      <w:b/>
      <w:bCs/>
      <w:kern w:val="44"/>
      <w:sz w:val="44"/>
      <w:szCs w:val="44"/>
    </w:rPr>
  </w:style>
  <w:style w:type="paragraph" w:styleId="6">
    <w:name w:val="heading 2"/>
    <w:basedOn w:val="1"/>
    <w:next w:val="1"/>
    <w:link w:val="66"/>
    <w:autoRedefine/>
    <w:qFormat/>
    <w:uiPriority w:val="99"/>
    <w:pPr>
      <w:keepNext/>
      <w:keepLines/>
      <w:adjustRightInd w:val="0"/>
      <w:spacing w:before="260" w:after="260" w:line="416" w:lineRule="atLeast"/>
      <w:textAlignment w:val="baseline"/>
      <w:outlineLvl w:val="1"/>
    </w:pPr>
    <w:rPr>
      <w:rFonts w:ascii="Arial" w:hAnsi="Arial" w:eastAsia="黑体"/>
      <w:b/>
      <w:bCs/>
      <w:kern w:val="0"/>
      <w:sz w:val="32"/>
      <w:szCs w:val="32"/>
    </w:rPr>
  </w:style>
  <w:style w:type="paragraph" w:styleId="7">
    <w:name w:val="heading 3"/>
    <w:basedOn w:val="1"/>
    <w:next w:val="8"/>
    <w:link w:val="67"/>
    <w:autoRedefine/>
    <w:qFormat/>
    <w:uiPriority w:val="99"/>
    <w:pPr>
      <w:keepNext/>
      <w:keepLines/>
      <w:adjustRightInd w:val="0"/>
      <w:spacing w:before="260" w:after="260" w:line="416" w:lineRule="atLeast"/>
      <w:textAlignment w:val="baseline"/>
      <w:outlineLvl w:val="2"/>
    </w:pPr>
    <w:rPr>
      <w:b/>
      <w:bCs/>
      <w:kern w:val="0"/>
      <w:sz w:val="32"/>
      <w:szCs w:val="32"/>
    </w:rPr>
  </w:style>
  <w:style w:type="paragraph" w:styleId="9">
    <w:name w:val="heading 4"/>
    <w:basedOn w:val="1"/>
    <w:next w:val="1"/>
    <w:link w:val="68"/>
    <w:autoRedefine/>
    <w:qFormat/>
    <w:uiPriority w:val="99"/>
    <w:pPr>
      <w:keepNext/>
      <w:keepLines/>
      <w:adjustRightInd w:val="0"/>
      <w:spacing w:before="280" w:after="290" w:line="376" w:lineRule="atLeast"/>
      <w:textAlignment w:val="baseline"/>
      <w:outlineLvl w:val="3"/>
    </w:pPr>
    <w:rPr>
      <w:rFonts w:ascii="Arial" w:hAnsi="Arial" w:eastAsia="黑体"/>
      <w:b/>
      <w:bCs/>
      <w:sz w:val="28"/>
      <w:szCs w:val="28"/>
    </w:rPr>
  </w:style>
  <w:style w:type="paragraph" w:styleId="10">
    <w:name w:val="heading 5"/>
    <w:basedOn w:val="1"/>
    <w:next w:val="1"/>
    <w:link w:val="69"/>
    <w:autoRedefine/>
    <w:qFormat/>
    <w:uiPriority w:val="99"/>
    <w:pPr>
      <w:keepNext/>
      <w:keepLines/>
      <w:adjustRightInd w:val="0"/>
      <w:spacing w:before="280" w:after="290" w:line="376" w:lineRule="atLeast"/>
      <w:textAlignment w:val="baseline"/>
      <w:outlineLvl w:val="4"/>
    </w:pPr>
    <w:rPr>
      <w:b/>
      <w:bCs/>
      <w:kern w:val="0"/>
      <w:sz w:val="28"/>
      <w:szCs w:val="28"/>
    </w:rPr>
  </w:style>
  <w:style w:type="paragraph" w:styleId="11">
    <w:name w:val="heading 6"/>
    <w:basedOn w:val="1"/>
    <w:next w:val="1"/>
    <w:link w:val="70"/>
    <w:autoRedefine/>
    <w:qFormat/>
    <w:uiPriority w:val="99"/>
    <w:pPr>
      <w:keepNext/>
      <w:keepLines/>
      <w:adjustRightInd w:val="0"/>
      <w:spacing w:before="240" w:after="64" w:line="320" w:lineRule="atLeast"/>
      <w:textAlignment w:val="baseline"/>
      <w:outlineLvl w:val="5"/>
    </w:pPr>
    <w:rPr>
      <w:rFonts w:ascii="Cambria" w:hAnsi="Cambria"/>
      <w:b/>
      <w:bCs/>
      <w:kern w:val="0"/>
      <w:sz w:val="24"/>
      <w:szCs w:val="24"/>
    </w:rPr>
  </w:style>
  <w:style w:type="paragraph" w:styleId="12">
    <w:name w:val="heading 7"/>
    <w:basedOn w:val="1"/>
    <w:next w:val="1"/>
    <w:link w:val="71"/>
    <w:autoRedefine/>
    <w:qFormat/>
    <w:uiPriority w:val="99"/>
    <w:pPr>
      <w:keepNext/>
      <w:keepLines/>
      <w:adjustRightInd w:val="0"/>
      <w:spacing w:before="240" w:after="64" w:line="320" w:lineRule="atLeast"/>
      <w:textAlignment w:val="baseline"/>
      <w:outlineLvl w:val="6"/>
    </w:pPr>
    <w:rPr>
      <w:b/>
      <w:bCs/>
      <w:kern w:val="0"/>
      <w:sz w:val="24"/>
      <w:szCs w:val="24"/>
    </w:rPr>
  </w:style>
  <w:style w:type="paragraph" w:styleId="13">
    <w:name w:val="heading 8"/>
    <w:basedOn w:val="1"/>
    <w:next w:val="1"/>
    <w:link w:val="72"/>
    <w:autoRedefine/>
    <w:qFormat/>
    <w:uiPriority w:val="99"/>
    <w:pPr>
      <w:keepNext/>
      <w:keepLines/>
      <w:adjustRightInd w:val="0"/>
      <w:spacing w:before="240" w:after="64" w:line="320" w:lineRule="atLeast"/>
      <w:textAlignment w:val="baseline"/>
      <w:outlineLvl w:val="7"/>
    </w:pPr>
    <w:rPr>
      <w:rFonts w:ascii="Cambria" w:hAnsi="Cambria"/>
      <w:kern w:val="0"/>
      <w:sz w:val="24"/>
      <w:szCs w:val="24"/>
    </w:rPr>
  </w:style>
  <w:style w:type="paragraph" w:styleId="14">
    <w:name w:val="heading 9"/>
    <w:basedOn w:val="1"/>
    <w:next w:val="1"/>
    <w:link w:val="73"/>
    <w:autoRedefine/>
    <w:qFormat/>
    <w:uiPriority w:val="99"/>
    <w:pPr>
      <w:keepNext/>
      <w:keepLines/>
      <w:adjustRightInd w:val="0"/>
      <w:spacing w:before="240" w:after="64" w:line="320" w:lineRule="atLeast"/>
      <w:textAlignment w:val="baseline"/>
      <w:outlineLvl w:val="8"/>
    </w:pPr>
    <w:rPr>
      <w:rFonts w:ascii="Cambria" w:hAnsi="Cambria"/>
      <w:kern w:val="0"/>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64"/>
    <w:autoRedefine/>
    <w:qFormat/>
    <w:uiPriority w:val="99"/>
    <w:rPr>
      <w:kern w:val="0"/>
    </w:rPr>
  </w:style>
  <w:style w:type="paragraph" w:customStyle="1" w:styleId="3">
    <w:name w:val="style4"/>
    <w:basedOn w:val="1"/>
    <w:next w:val="4"/>
    <w:autoRedefine/>
    <w:qFormat/>
    <w:uiPriority w:val="99"/>
    <w:pPr>
      <w:widowControl/>
      <w:spacing w:before="280" w:after="280"/>
    </w:pPr>
    <w:rPr>
      <w:rFonts w:ascii="宋体"/>
      <w:sz w:val="18"/>
    </w:rPr>
  </w:style>
  <w:style w:type="paragraph" w:customStyle="1" w:styleId="4">
    <w:name w:val="2"/>
    <w:next w:val="1"/>
    <w:autoRedefine/>
    <w:qFormat/>
    <w:uiPriority w:val="99"/>
    <w:pPr>
      <w:widowControl w:val="0"/>
      <w:jc w:val="both"/>
    </w:pPr>
    <w:rPr>
      <w:rFonts w:ascii="Times New Roman" w:hAnsi="Times New Roman" w:eastAsia="宋体" w:cs="Times New Roman"/>
      <w:sz w:val="21"/>
      <w:szCs w:val="22"/>
      <w:lang w:val="en-US" w:eastAsia="zh-CN" w:bidi="ar-SA"/>
    </w:rPr>
  </w:style>
  <w:style w:type="paragraph" w:styleId="8">
    <w:name w:val="Normal Indent"/>
    <w:basedOn w:val="1"/>
    <w:link w:val="74"/>
    <w:autoRedefine/>
    <w:qFormat/>
    <w:uiPriority w:val="99"/>
    <w:pPr>
      <w:ind w:firstLine="420"/>
    </w:pPr>
  </w:style>
  <w:style w:type="paragraph" w:styleId="15">
    <w:name w:val="List 3"/>
    <w:basedOn w:val="1"/>
    <w:autoRedefine/>
    <w:qFormat/>
    <w:uiPriority w:val="99"/>
    <w:pPr>
      <w:ind w:left="100" w:leftChars="400" w:hanging="200" w:hangingChars="200"/>
    </w:pPr>
  </w:style>
  <w:style w:type="paragraph" w:styleId="16">
    <w:name w:val="toc 7"/>
    <w:basedOn w:val="1"/>
    <w:next w:val="1"/>
    <w:autoRedefine/>
    <w:semiHidden/>
    <w:qFormat/>
    <w:uiPriority w:val="99"/>
    <w:pPr>
      <w:ind w:left="1260"/>
      <w:jc w:val="left"/>
    </w:pPr>
    <w:rPr>
      <w:sz w:val="18"/>
      <w:szCs w:val="18"/>
    </w:rPr>
  </w:style>
  <w:style w:type="paragraph" w:styleId="17">
    <w:name w:val="Document Map"/>
    <w:basedOn w:val="1"/>
    <w:link w:val="75"/>
    <w:autoRedefine/>
    <w:semiHidden/>
    <w:qFormat/>
    <w:uiPriority w:val="99"/>
    <w:pPr>
      <w:shd w:val="clear" w:color="auto" w:fill="000080"/>
    </w:pPr>
    <w:rPr>
      <w:kern w:val="0"/>
      <w:sz w:val="2"/>
      <w:szCs w:val="2"/>
    </w:rPr>
  </w:style>
  <w:style w:type="paragraph" w:styleId="18">
    <w:name w:val="annotation text"/>
    <w:basedOn w:val="1"/>
    <w:link w:val="76"/>
    <w:autoRedefine/>
    <w:semiHidden/>
    <w:qFormat/>
    <w:uiPriority w:val="99"/>
    <w:pPr>
      <w:jc w:val="left"/>
    </w:pPr>
  </w:style>
  <w:style w:type="paragraph" w:styleId="19">
    <w:name w:val="Body Text Indent"/>
    <w:basedOn w:val="1"/>
    <w:next w:val="20"/>
    <w:link w:val="77"/>
    <w:autoRedefine/>
    <w:qFormat/>
    <w:uiPriority w:val="99"/>
    <w:pPr>
      <w:spacing w:after="156"/>
      <w:ind w:firstLine="480"/>
    </w:pPr>
    <w:rPr>
      <w:sz w:val="24"/>
      <w:szCs w:val="24"/>
    </w:rPr>
  </w:style>
  <w:style w:type="paragraph" w:styleId="20">
    <w:name w:val="envelope return"/>
    <w:basedOn w:val="1"/>
    <w:autoRedefine/>
    <w:qFormat/>
    <w:locked/>
    <w:uiPriority w:val="99"/>
    <w:pPr>
      <w:snapToGrid w:val="0"/>
    </w:pPr>
    <w:rPr>
      <w:rFonts w:ascii="Arial" w:hAnsi="Arial" w:cs="Arial"/>
    </w:rPr>
  </w:style>
  <w:style w:type="paragraph" w:styleId="21">
    <w:name w:val="List 2"/>
    <w:basedOn w:val="1"/>
    <w:autoRedefine/>
    <w:qFormat/>
    <w:uiPriority w:val="99"/>
    <w:pPr>
      <w:ind w:left="100" w:leftChars="200" w:hanging="200" w:hangingChars="200"/>
    </w:pPr>
  </w:style>
  <w:style w:type="paragraph" w:styleId="22">
    <w:name w:val="List Continue"/>
    <w:basedOn w:val="1"/>
    <w:autoRedefine/>
    <w:qFormat/>
    <w:uiPriority w:val="99"/>
    <w:pPr>
      <w:spacing w:after="120"/>
      <w:ind w:left="420" w:leftChars="200"/>
    </w:pPr>
  </w:style>
  <w:style w:type="paragraph" w:styleId="23">
    <w:name w:val="Block Text"/>
    <w:basedOn w:val="1"/>
    <w:autoRedefine/>
    <w:qFormat/>
    <w:uiPriority w:val="99"/>
    <w:pPr>
      <w:autoSpaceDE w:val="0"/>
      <w:autoSpaceDN w:val="0"/>
      <w:adjustRightInd w:val="0"/>
      <w:spacing w:line="300" w:lineRule="auto"/>
      <w:ind w:left="29" w:leftChars="12" w:right="6" w:firstLine="560" w:firstLineChars="200"/>
    </w:pPr>
    <w:rPr>
      <w:kern w:val="0"/>
      <w:sz w:val="28"/>
      <w:szCs w:val="28"/>
    </w:rPr>
  </w:style>
  <w:style w:type="paragraph" w:styleId="24">
    <w:name w:val="toc 5"/>
    <w:basedOn w:val="1"/>
    <w:next w:val="1"/>
    <w:autoRedefine/>
    <w:semiHidden/>
    <w:qFormat/>
    <w:uiPriority w:val="99"/>
    <w:pPr>
      <w:ind w:left="840"/>
      <w:jc w:val="left"/>
    </w:pPr>
    <w:rPr>
      <w:sz w:val="18"/>
      <w:szCs w:val="18"/>
    </w:rPr>
  </w:style>
  <w:style w:type="paragraph" w:styleId="25">
    <w:name w:val="toc 3"/>
    <w:basedOn w:val="1"/>
    <w:next w:val="1"/>
    <w:autoRedefine/>
    <w:semiHidden/>
    <w:qFormat/>
    <w:uiPriority w:val="99"/>
    <w:pPr>
      <w:ind w:left="420"/>
      <w:jc w:val="left"/>
    </w:pPr>
    <w:rPr>
      <w:i/>
      <w:iCs/>
      <w:sz w:val="20"/>
      <w:szCs w:val="20"/>
    </w:rPr>
  </w:style>
  <w:style w:type="paragraph" w:styleId="26">
    <w:name w:val="Plain Text"/>
    <w:basedOn w:val="1"/>
    <w:link w:val="78"/>
    <w:autoRedefine/>
    <w:qFormat/>
    <w:uiPriority w:val="99"/>
    <w:rPr>
      <w:rFonts w:ascii="宋体" w:hAnsi="Courier New"/>
      <w:kern w:val="0"/>
    </w:rPr>
  </w:style>
  <w:style w:type="paragraph" w:styleId="27">
    <w:name w:val="toc 8"/>
    <w:basedOn w:val="1"/>
    <w:next w:val="1"/>
    <w:autoRedefine/>
    <w:semiHidden/>
    <w:qFormat/>
    <w:uiPriority w:val="99"/>
    <w:pPr>
      <w:ind w:left="1470"/>
      <w:jc w:val="left"/>
    </w:pPr>
    <w:rPr>
      <w:sz w:val="18"/>
      <w:szCs w:val="18"/>
    </w:rPr>
  </w:style>
  <w:style w:type="paragraph" w:styleId="28">
    <w:name w:val="Date"/>
    <w:basedOn w:val="1"/>
    <w:next w:val="1"/>
    <w:link w:val="79"/>
    <w:autoRedefine/>
    <w:qFormat/>
    <w:uiPriority w:val="99"/>
    <w:pPr>
      <w:widowControl/>
      <w:ind w:left="100"/>
      <w:jc w:val="left"/>
    </w:pPr>
    <w:rPr>
      <w:kern w:val="0"/>
    </w:rPr>
  </w:style>
  <w:style w:type="paragraph" w:styleId="29">
    <w:name w:val="Body Text Indent 2"/>
    <w:basedOn w:val="1"/>
    <w:link w:val="80"/>
    <w:autoRedefine/>
    <w:qFormat/>
    <w:uiPriority w:val="99"/>
    <w:pPr>
      <w:ind w:left="1436" w:leftChars="684"/>
    </w:pPr>
    <w:rPr>
      <w:kern w:val="0"/>
    </w:rPr>
  </w:style>
  <w:style w:type="paragraph" w:styleId="30">
    <w:name w:val="List Continue 5"/>
    <w:basedOn w:val="1"/>
    <w:autoRedefine/>
    <w:qFormat/>
    <w:uiPriority w:val="99"/>
    <w:pPr>
      <w:spacing w:after="120"/>
      <w:ind w:left="2100" w:leftChars="1000"/>
    </w:pPr>
  </w:style>
  <w:style w:type="paragraph" w:styleId="31">
    <w:name w:val="Balloon Text"/>
    <w:basedOn w:val="1"/>
    <w:link w:val="81"/>
    <w:autoRedefine/>
    <w:semiHidden/>
    <w:qFormat/>
    <w:uiPriority w:val="99"/>
    <w:rPr>
      <w:sz w:val="18"/>
      <w:szCs w:val="18"/>
    </w:rPr>
  </w:style>
  <w:style w:type="paragraph" w:styleId="32">
    <w:name w:val="footer"/>
    <w:basedOn w:val="1"/>
    <w:link w:val="82"/>
    <w:autoRedefine/>
    <w:qFormat/>
    <w:uiPriority w:val="99"/>
    <w:pPr>
      <w:tabs>
        <w:tab w:val="center" w:pos="4153"/>
        <w:tab w:val="right" w:pos="8306"/>
      </w:tabs>
      <w:snapToGrid w:val="0"/>
      <w:jc w:val="left"/>
    </w:pPr>
    <w:rPr>
      <w:sz w:val="18"/>
      <w:szCs w:val="18"/>
    </w:rPr>
  </w:style>
  <w:style w:type="paragraph" w:styleId="33">
    <w:name w:val="header"/>
    <w:basedOn w:val="1"/>
    <w:link w:val="83"/>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34">
    <w:name w:val="toc 1"/>
    <w:basedOn w:val="1"/>
    <w:next w:val="1"/>
    <w:autoRedefine/>
    <w:semiHidden/>
    <w:qFormat/>
    <w:uiPriority w:val="99"/>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35">
    <w:name w:val="List Continue 4"/>
    <w:basedOn w:val="1"/>
    <w:autoRedefine/>
    <w:qFormat/>
    <w:uiPriority w:val="99"/>
    <w:pPr>
      <w:spacing w:after="120"/>
      <w:ind w:left="1680" w:leftChars="800"/>
    </w:pPr>
  </w:style>
  <w:style w:type="paragraph" w:styleId="36">
    <w:name w:val="toc 4"/>
    <w:basedOn w:val="1"/>
    <w:next w:val="1"/>
    <w:autoRedefine/>
    <w:semiHidden/>
    <w:qFormat/>
    <w:uiPriority w:val="99"/>
    <w:pPr>
      <w:tabs>
        <w:tab w:val="left" w:pos="1080"/>
        <w:tab w:val="right" w:leader="dot" w:pos="9125"/>
      </w:tabs>
      <w:adjustRightInd w:val="0"/>
      <w:snapToGrid w:val="0"/>
      <w:spacing w:line="360" w:lineRule="auto"/>
      <w:jc w:val="left"/>
    </w:pPr>
    <w:rPr>
      <w:sz w:val="18"/>
      <w:szCs w:val="18"/>
    </w:rPr>
  </w:style>
  <w:style w:type="paragraph" w:styleId="37">
    <w:name w:val="List"/>
    <w:basedOn w:val="1"/>
    <w:autoRedefine/>
    <w:qFormat/>
    <w:uiPriority w:val="99"/>
    <w:pPr>
      <w:ind w:left="200" w:hanging="200" w:hangingChars="200"/>
    </w:pPr>
  </w:style>
  <w:style w:type="paragraph" w:styleId="38">
    <w:name w:val="footnote text"/>
    <w:basedOn w:val="1"/>
    <w:link w:val="84"/>
    <w:autoRedefine/>
    <w:semiHidden/>
    <w:qFormat/>
    <w:uiPriority w:val="99"/>
    <w:pPr>
      <w:snapToGrid w:val="0"/>
      <w:jc w:val="left"/>
    </w:pPr>
    <w:rPr>
      <w:kern w:val="0"/>
      <w:sz w:val="18"/>
      <w:szCs w:val="18"/>
    </w:rPr>
  </w:style>
  <w:style w:type="paragraph" w:styleId="39">
    <w:name w:val="toc 6"/>
    <w:basedOn w:val="1"/>
    <w:next w:val="1"/>
    <w:autoRedefine/>
    <w:semiHidden/>
    <w:qFormat/>
    <w:uiPriority w:val="99"/>
    <w:pPr>
      <w:ind w:left="1050"/>
      <w:jc w:val="left"/>
    </w:pPr>
    <w:rPr>
      <w:sz w:val="18"/>
      <w:szCs w:val="18"/>
    </w:rPr>
  </w:style>
  <w:style w:type="paragraph" w:styleId="40">
    <w:name w:val="List 5"/>
    <w:basedOn w:val="1"/>
    <w:autoRedefine/>
    <w:qFormat/>
    <w:uiPriority w:val="99"/>
    <w:pPr>
      <w:ind w:left="100" w:leftChars="800" w:hanging="200" w:hangingChars="200"/>
    </w:pPr>
  </w:style>
  <w:style w:type="paragraph" w:styleId="41">
    <w:name w:val="Body Text Indent 3"/>
    <w:basedOn w:val="1"/>
    <w:link w:val="85"/>
    <w:autoRedefine/>
    <w:qFormat/>
    <w:uiPriority w:val="99"/>
    <w:pPr>
      <w:spacing w:after="120"/>
      <w:ind w:left="420" w:leftChars="200"/>
    </w:pPr>
    <w:rPr>
      <w:kern w:val="0"/>
      <w:sz w:val="16"/>
      <w:szCs w:val="16"/>
    </w:rPr>
  </w:style>
  <w:style w:type="paragraph" w:styleId="42">
    <w:name w:val="toc 2"/>
    <w:basedOn w:val="1"/>
    <w:next w:val="1"/>
    <w:autoRedefine/>
    <w:semiHidden/>
    <w:qFormat/>
    <w:uiPriority w:val="99"/>
    <w:pPr>
      <w:ind w:left="210"/>
      <w:jc w:val="left"/>
    </w:pPr>
    <w:rPr>
      <w:smallCaps/>
      <w:sz w:val="20"/>
      <w:szCs w:val="20"/>
    </w:rPr>
  </w:style>
  <w:style w:type="paragraph" w:styleId="43">
    <w:name w:val="toc 9"/>
    <w:basedOn w:val="1"/>
    <w:next w:val="1"/>
    <w:autoRedefine/>
    <w:semiHidden/>
    <w:qFormat/>
    <w:uiPriority w:val="99"/>
    <w:pPr>
      <w:ind w:left="1680"/>
      <w:jc w:val="left"/>
    </w:pPr>
    <w:rPr>
      <w:sz w:val="18"/>
      <w:szCs w:val="18"/>
    </w:rPr>
  </w:style>
  <w:style w:type="paragraph" w:styleId="44">
    <w:name w:val="Body Text 2"/>
    <w:basedOn w:val="1"/>
    <w:link w:val="86"/>
    <w:autoRedefine/>
    <w:qFormat/>
    <w:uiPriority w:val="99"/>
    <w:rPr>
      <w:kern w:val="0"/>
    </w:rPr>
  </w:style>
  <w:style w:type="paragraph" w:styleId="45">
    <w:name w:val="List 4"/>
    <w:basedOn w:val="1"/>
    <w:autoRedefine/>
    <w:qFormat/>
    <w:uiPriority w:val="99"/>
    <w:pPr>
      <w:ind w:left="100" w:leftChars="600" w:hanging="200" w:hangingChars="200"/>
    </w:pPr>
  </w:style>
  <w:style w:type="paragraph" w:styleId="46">
    <w:name w:val="List Continue 2"/>
    <w:basedOn w:val="1"/>
    <w:autoRedefine/>
    <w:qFormat/>
    <w:uiPriority w:val="99"/>
    <w:pPr>
      <w:spacing w:after="120"/>
      <w:ind w:left="840" w:leftChars="400"/>
    </w:pPr>
  </w:style>
  <w:style w:type="paragraph" w:styleId="47">
    <w:name w:val="HTML Preformatted"/>
    <w:basedOn w:val="1"/>
    <w:link w:val="87"/>
    <w:autoRedefine/>
    <w:qFormat/>
    <w:uiPriority w:val="99"/>
    <w:rPr>
      <w:rFonts w:ascii="Courier New" w:hAnsi="Courier New"/>
      <w:sz w:val="20"/>
      <w:szCs w:val="20"/>
    </w:rPr>
  </w:style>
  <w:style w:type="paragraph" w:styleId="4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49">
    <w:name w:val="List Continue 3"/>
    <w:basedOn w:val="1"/>
    <w:autoRedefine/>
    <w:qFormat/>
    <w:uiPriority w:val="99"/>
    <w:pPr>
      <w:spacing w:after="120"/>
      <w:ind w:left="1260" w:leftChars="600"/>
    </w:pPr>
  </w:style>
  <w:style w:type="paragraph" w:styleId="50">
    <w:name w:val="annotation subject"/>
    <w:basedOn w:val="18"/>
    <w:next w:val="18"/>
    <w:link w:val="88"/>
    <w:autoRedefine/>
    <w:semiHidden/>
    <w:qFormat/>
    <w:uiPriority w:val="99"/>
    <w:rPr>
      <w:b/>
      <w:bCs/>
    </w:rPr>
  </w:style>
  <w:style w:type="paragraph" w:styleId="51">
    <w:name w:val="Body Text First Indent"/>
    <w:basedOn w:val="2"/>
    <w:link w:val="89"/>
    <w:autoRedefine/>
    <w:qFormat/>
    <w:uiPriority w:val="99"/>
    <w:pPr>
      <w:spacing w:line="360" w:lineRule="auto"/>
      <w:ind w:firstLine="482"/>
    </w:pPr>
  </w:style>
  <w:style w:type="paragraph" w:styleId="52">
    <w:name w:val="Body Text First Indent 2"/>
    <w:basedOn w:val="19"/>
    <w:link w:val="90"/>
    <w:autoRedefine/>
    <w:qFormat/>
    <w:locked/>
    <w:uiPriority w:val="99"/>
    <w:pPr>
      <w:ind w:firstLine="420" w:firstLineChars="200"/>
    </w:pPr>
    <w:rPr>
      <w:sz w:val="21"/>
      <w:szCs w:val="21"/>
    </w:rPr>
  </w:style>
  <w:style w:type="table" w:styleId="54">
    <w:name w:val="Table Grid"/>
    <w:basedOn w:val="53"/>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autoRedefine/>
    <w:qFormat/>
    <w:locked/>
    <w:uiPriority w:val="22"/>
    <w:rPr>
      <w:b/>
      <w:bCs/>
    </w:rPr>
  </w:style>
  <w:style w:type="character" w:styleId="57">
    <w:name w:val="page number"/>
    <w:autoRedefine/>
    <w:qFormat/>
    <w:uiPriority w:val="99"/>
  </w:style>
  <w:style w:type="character" w:styleId="58">
    <w:name w:val="FollowedHyperlink"/>
    <w:autoRedefine/>
    <w:qFormat/>
    <w:locked/>
    <w:uiPriority w:val="99"/>
    <w:rPr>
      <w:color w:val="auto"/>
      <w:u w:val="none"/>
    </w:rPr>
  </w:style>
  <w:style w:type="character" w:styleId="59">
    <w:name w:val="Hyperlink"/>
    <w:autoRedefine/>
    <w:qFormat/>
    <w:uiPriority w:val="99"/>
    <w:rPr>
      <w:color w:val="auto"/>
      <w:u w:val="none"/>
    </w:rPr>
  </w:style>
  <w:style w:type="character" w:styleId="60">
    <w:name w:val="annotation reference"/>
    <w:autoRedefine/>
    <w:semiHidden/>
    <w:qFormat/>
    <w:uiPriority w:val="99"/>
    <w:rPr>
      <w:sz w:val="21"/>
      <w:szCs w:val="21"/>
    </w:rPr>
  </w:style>
  <w:style w:type="character" w:styleId="61">
    <w:name w:val="footnote reference"/>
    <w:autoRedefine/>
    <w:semiHidden/>
    <w:qFormat/>
    <w:uiPriority w:val="99"/>
    <w:rPr>
      <w:vertAlign w:val="superscript"/>
    </w:rPr>
  </w:style>
  <w:style w:type="paragraph" w:customStyle="1" w:styleId="62">
    <w:name w:val="正文缩进1"/>
    <w:basedOn w:val="1"/>
    <w:autoRedefine/>
    <w:qFormat/>
    <w:uiPriority w:val="0"/>
    <w:pPr>
      <w:widowControl/>
      <w:ind w:firstLine="420"/>
      <w:jc w:val="left"/>
    </w:pPr>
    <w:rPr>
      <w:kern w:val="0"/>
    </w:rPr>
  </w:style>
  <w:style w:type="paragraph" w:customStyle="1" w:styleId="63">
    <w:name w:val="Char"/>
    <w:basedOn w:val="1"/>
    <w:autoRedefine/>
    <w:qFormat/>
    <w:uiPriority w:val="0"/>
    <w:pPr>
      <w:widowControl/>
      <w:spacing w:line="240" w:lineRule="exact"/>
      <w:jc w:val="left"/>
    </w:pPr>
    <w:rPr>
      <w:rFonts w:ascii="Verdana" w:hAnsi="Verdana"/>
      <w:kern w:val="0"/>
      <w:lang w:eastAsia="en-US"/>
    </w:rPr>
  </w:style>
  <w:style w:type="character" w:customStyle="1" w:styleId="64">
    <w:name w:val="正文文本 Char"/>
    <w:link w:val="2"/>
    <w:autoRedefine/>
    <w:semiHidden/>
    <w:qFormat/>
    <w:locked/>
    <w:uiPriority w:val="99"/>
    <w:rPr>
      <w:rFonts w:ascii="Times New Roman" w:hAnsi="Times New Roman" w:cs="Times New Roman"/>
      <w:sz w:val="21"/>
      <w:szCs w:val="21"/>
    </w:rPr>
  </w:style>
  <w:style w:type="character" w:customStyle="1" w:styleId="65">
    <w:name w:val="标题 1 Char"/>
    <w:link w:val="5"/>
    <w:autoRedefine/>
    <w:qFormat/>
    <w:locked/>
    <w:uiPriority w:val="99"/>
    <w:rPr>
      <w:b/>
      <w:bCs/>
      <w:kern w:val="44"/>
      <w:sz w:val="44"/>
      <w:szCs w:val="44"/>
    </w:rPr>
  </w:style>
  <w:style w:type="character" w:customStyle="1" w:styleId="66">
    <w:name w:val="标题 2 Char"/>
    <w:link w:val="6"/>
    <w:autoRedefine/>
    <w:qFormat/>
    <w:locked/>
    <w:uiPriority w:val="99"/>
    <w:rPr>
      <w:rFonts w:ascii="Arial" w:hAnsi="Arial" w:eastAsia="黑体" w:cs="Arial"/>
      <w:b/>
      <w:bCs/>
      <w:sz w:val="32"/>
      <w:szCs w:val="32"/>
    </w:rPr>
  </w:style>
  <w:style w:type="character" w:customStyle="1" w:styleId="67">
    <w:name w:val="标题 3 Char"/>
    <w:link w:val="7"/>
    <w:autoRedefine/>
    <w:semiHidden/>
    <w:qFormat/>
    <w:locked/>
    <w:uiPriority w:val="99"/>
    <w:rPr>
      <w:rFonts w:ascii="Times New Roman" w:hAnsi="Times New Roman" w:cs="Times New Roman"/>
      <w:b/>
      <w:bCs/>
      <w:sz w:val="32"/>
      <w:szCs w:val="32"/>
    </w:rPr>
  </w:style>
  <w:style w:type="character" w:customStyle="1" w:styleId="68">
    <w:name w:val="标题 4 Char"/>
    <w:link w:val="9"/>
    <w:autoRedefine/>
    <w:qFormat/>
    <w:locked/>
    <w:uiPriority w:val="99"/>
    <w:rPr>
      <w:rFonts w:ascii="Arial" w:hAnsi="Arial" w:eastAsia="黑体" w:cs="Arial"/>
      <w:b/>
      <w:bCs/>
      <w:kern w:val="2"/>
      <w:sz w:val="28"/>
      <w:szCs w:val="28"/>
      <w:lang w:val="en-US" w:eastAsia="zh-CN"/>
    </w:rPr>
  </w:style>
  <w:style w:type="character" w:customStyle="1" w:styleId="69">
    <w:name w:val="标题 5 Char"/>
    <w:link w:val="10"/>
    <w:autoRedefine/>
    <w:semiHidden/>
    <w:qFormat/>
    <w:locked/>
    <w:uiPriority w:val="99"/>
    <w:rPr>
      <w:rFonts w:ascii="Times New Roman" w:hAnsi="Times New Roman" w:cs="Times New Roman"/>
      <w:b/>
      <w:bCs/>
      <w:sz w:val="28"/>
      <w:szCs w:val="28"/>
    </w:rPr>
  </w:style>
  <w:style w:type="character" w:customStyle="1" w:styleId="70">
    <w:name w:val="标题 6 Char"/>
    <w:link w:val="11"/>
    <w:autoRedefine/>
    <w:semiHidden/>
    <w:qFormat/>
    <w:locked/>
    <w:uiPriority w:val="99"/>
    <w:rPr>
      <w:rFonts w:ascii="Cambria" w:hAnsi="Cambria" w:eastAsia="宋体" w:cs="Cambria"/>
      <w:b/>
      <w:bCs/>
      <w:sz w:val="24"/>
      <w:szCs w:val="24"/>
    </w:rPr>
  </w:style>
  <w:style w:type="character" w:customStyle="1" w:styleId="71">
    <w:name w:val="标题 7 Char"/>
    <w:link w:val="12"/>
    <w:autoRedefine/>
    <w:semiHidden/>
    <w:qFormat/>
    <w:locked/>
    <w:uiPriority w:val="99"/>
    <w:rPr>
      <w:rFonts w:ascii="Times New Roman" w:hAnsi="Times New Roman" w:cs="Times New Roman"/>
      <w:b/>
      <w:bCs/>
      <w:sz w:val="24"/>
      <w:szCs w:val="24"/>
    </w:rPr>
  </w:style>
  <w:style w:type="character" w:customStyle="1" w:styleId="72">
    <w:name w:val="标题 8 Char"/>
    <w:link w:val="13"/>
    <w:autoRedefine/>
    <w:semiHidden/>
    <w:qFormat/>
    <w:locked/>
    <w:uiPriority w:val="99"/>
    <w:rPr>
      <w:rFonts w:ascii="Cambria" w:hAnsi="Cambria" w:eastAsia="宋体" w:cs="Cambria"/>
      <w:sz w:val="24"/>
      <w:szCs w:val="24"/>
    </w:rPr>
  </w:style>
  <w:style w:type="character" w:customStyle="1" w:styleId="73">
    <w:name w:val="标题 9 Char"/>
    <w:link w:val="14"/>
    <w:autoRedefine/>
    <w:semiHidden/>
    <w:qFormat/>
    <w:locked/>
    <w:uiPriority w:val="99"/>
    <w:rPr>
      <w:rFonts w:ascii="Cambria" w:hAnsi="Cambria" w:eastAsia="宋体" w:cs="Cambria"/>
      <w:sz w:val="21"/>
      <w:szCs w:val="21"/>
    </w:rPr>
  </w:style>
  <w:style w:type="character" w:customStyle="1" w:styleId="74">
    <w:name w:val="正文缩进 Char"/>
    <w:link w:val="8"/>
    <w:autoRedefine/>
    <w:qFormat/>
    <w:locked/>
    <w:uiPriority w:val="99"/>
    <w:rPr>
      <w:kern w:val="2"/>
      <w:sz w:val="21"/>
      <w:szCs w:val="21"/>
    </w:rPr>
  </w:style>
  <w:style w:type="character" w:customStyle="1" w:styleId="75">
    <w:name w:val="文档结构图 Char"/>
    <w:link w:val="17"/>
    <w:autoRedefine/>
    <w:semiHidden/>
    <w:qFormat/>
    <w:locked/>
    <w:uiPriority w:val="99"/>
    <w:rPr>
      <w:rFonts w:ascii="Times New Roman" w:hAnsi="Times New Roman" w:cs="Times New Roman"/>
      <w:sz w:val="2"/>
      <w:szCs w:val="2"/>
    </w:rPr>
  </w:style>
  <w:style w:type="character" w:customStyle="1" w:styleId="76">
    <w:name w:val="批注文字 Char"/>
    <w:link w:val="18"/>
    <w:autoRedefine/>
    <w:qFormat/>
    <w:locked/>
    <w:uiPriority w:val="99"/>
    <w:rPr>
      <w:kern w:val="2"/>
      <w:sz w:val="21"/>
      <w:szCs w:val="21"/>
    </w:rPr>
  </w:style>
  <w:style w:type="character" w:customStyle="1" w:styleId="77">
    <w:name w:val="正文文本缩进 Char"/>
    <w:link w:val="19"/>
    <w:autoRedefine/>
    <w:qFormat/>
    <w:locked/>
    <w:uiPriority w:val="99"/>
    <w:rPr>
      <w:kern w:val="2"/>
      <w:sz w:val="24"/>
      <w:szCs w:val="24"/>
    </w:rPr>
  </w:style>
  <w:style w:type="character" w:customStyle="1" w:styleId="78">
    <w:name w:val="纯文本 Char"/>
    <w:link w:val="26"/>
    <w:autoRedefine/>
    <w:semiHidden/>
    <w:qFormat/>
    <w:locked/>
    <w:uiPriority w:val="99"/>
    <w:rPr>
      <w:rFonts w:ascii="宋体" w:hAnsi="Courier New" w:cs="宋体"/>
      <w:sz w:val="21"/>
      <w:szCs w:val="21"/>
    </w:rPr>
  </w:style>
  <w:style w:type="character" w:customStyle="1" w:styleId="79">
    <w:name w:val="日期 Char"/>
    <w:link w:val="28"/>
    <w:autoRedefine/>
    <w:semiHidden/>
    <w:qFormat/>
    <w:locked/>
    <w:uiPriority w:val="99"/>
    <w:rPr>
      <w:rFonts w:ascii="Times New Roman" w:hAnsi="Times New Roman" w:cs="Times New Roman"/>
      <w:sz w:val="21"/>
      <w:szCs w:val="21"/>
    </w:rPr>
  </w:style>
  <w:style w:type="character" w:customStyle="1" w:styleId="80">
    <w:name w:val="正文文本缩进 2 Char"/>
    <w:link w:val="29"/>
    <w:autoRedefine/>
    <w:semiHidden/>
    <w:qFormat/>
    <w:locked/>
    <w:uiPriority w:val="99"/>
    <w:rPr>
      <w:rFonts w:ascii="Times New Roman" w:hAnsi="Times New Roman" w:cs="Times New Roman"/>
      <w:sz w:val="21"/>
      <w:szCs w:val="21"/>
    </w:rPr>
  </w:style>
  <w:style w:type="character" w:customStyle="1" w:styleId="81">
    <w:name w:val="批注框文本 Char"/>
    <w:link w:val="31"/>
    <w:autoRedefine/>
    <w:qFormat/>
    <w:locked/>
    <w:uiPriority w:val="99"/>
    <w:rPr>
      <w:rFonts w:eastAsia="宋体"/>
      <w:kern w:val="2"/>
      <w:sz w:val="18"/>
      <w:szCs w:val="18"/>
      <w:lang w:val="en-US" w:eastAsia="zh-CN"/>
    </w:rPr>
  </w:style>
  <w:style w:type="character" w:customStyle="1" w:styleId="82">
    <w:name w:val="页脚 Char"/>
    <w:link w:val="32"/>
    <w:autoRedefine/>
    <w:qFormat/>
    <w:locked/>
    <w:uiPriority w:val="99"/>
    <w:rPr>
      <w:kern w:val="2"/>
      <w:sz w:val="18"/>
      <w:szCs w:val="18"/>
    </w:rPr>
  </w:style>
  <w:style w:type="character" w:customStyle="1" w:styleId="83">
    <w:name w:val="页眉 Char"/>
    <w:link w:val="33"/>
    <w:autoRedefine/>
    <w:semiHidden/>
    <w:qFormat/>
    <w:locked/>
    <w:uiPriority w:val="99"/>
    <w:rPr>
      <w:rFonts w:ascii="Times New Roman" w:hAnsi="Times New Roman" w:cs="Times New Roman"/>
      <w:sz w:val="18"/>
      <w:szCs w:val="18"/>
    </w:rPr>
  </w:style>
  <w:style w:type="character" w:customStyle="1" w:styleId="84">
    <w:name w:val="脚注文本 Char"/>
    <w:link w:val="38"/>
    <w:autoRedefine/>
    <w:semiHidden/>
    <w:qFormat/>
    <w:locked/>
    <w:uiPriority w:val="99"/>
    <w:rPr>
      <w:rFonts w:ascii="Times New Roman" w:hAnsi="Times New Roman" w:cs="Times New Roman"/>
      <w:sz w:val="18"/>
      <w:szCs w:val="18"/>
    </w:rPr>
  </w:style>
  <w:style w:type="character" w:customStyle="1" w:styleId="85">
    <w:name w:val="正文文本缩进 3 Char"/>
    <w:link w:val="41"/>
    <w:autoRedefine/>
    <w:semiHidden/>
    <w:qFormat/>
    <w:locked/>
    <w:uiPriority w:val="99"/>
    <w:rPr>
      <w:rFonts w:ascii="Times New Roman" w:hAnsi="Times New Roman" w:cs="Times New Roman"/>
      <w:sz w:val="16"/>
      <w:szCs w:val="16"/>
    </w:rPr>
  </w:style>
  <w:style w:type="character" w:customStyle="1" w:styleId="86">
    <w:name w:val="正文文本 2 Char"/>
    <w:link w:val="44"/>
    <w:autoRedefine/>
    <w:semiHidden/>
    <w:qFormat/>
    <w:locked/>
    <w:uiPriority w:val="99"/>
    <w:rPr>
      <w:rFonts w:ascii="Times New Roman" w:hAnsi="Times New Roman" w:cs="Times New Roman"/>
      <w:sz w:val="21"/>
      <w:szCs w:val="21"/>
    </w:rPr>
  </w:style>
  <w:style w:type="character" w:customStyle="1" w:styleId="87">
    <w:name w:val="HTML 预设格式 Char"/>
    <w:link w:val="47"/>
    <w:autoRedefine/>
    <w:qFormat/>
    <w:locked/>
    <w:uiPriority w:val="99"/>
    <w:rPr>
      <w:rFonts w:ascii="Courier New" w:hAnsi="Courier New" w:cs="Courier New"/>
      <w:kern w:val="2"/>
    </w:rPr>
  </w:style>
  <w:style w:type="character" w:customStyle="1" w:styleId="88">
    <w:name w:val="批注主题 Char"/>
    <w:link w:val="50"/>
    <w:autoRedefine/>
    <w:semiHidden/>
    <w:qFormat/>
    <w:locked/>
    <w:uiPriority w:val="99"/>
    <w:rPr>
      <w:rFonts w:ascii="Times New Roman" w:hAnsi="Times New Roman" w:cs="Times New Roman"/>
      <w:b/>
      <w:bCs/>
      <w:kern w:val="2"/>
      <w:sz w:val="21"/>
      <w:szCs w:val="21"/>
    </w:rPr>
  </w:style>
  <w:style w:type="character" w:customStyle="1" w:styleId="89">
    <w:name w:val="正文首行缩进 Char"/>
    <w:link w:val="51"/>
    <w:autoRedefine/>
    <w:semiHidden/>
    <w:qFormat/>
    <w:locked/>
    <w:uiPriority w:val="99"/>
    <w:rPr>
      <w:rFonts w:ascii="Times New Roman" w:hAnsi="Times New Roman" w:cs="Times New Roman"/>
      <w:sz w:val="21"/>
      <w:szCs w:val="21"/>
    </w:rPr>
  </w:style>
  <w:style w:type="character" w:customStyle="1" w:styleId="90">
    <w:name w:val="正文首行缩进 2 Char"/>
    <w:link w:val="52"/>
    <w:autoRedefine/>
    <w:qFormat/>
    <w:locked/>
    <w:uiPriority w:val="99"/>
    <w:rPr>
      <w:rFonts w:ascii="Times New Roman" w:hAnsi="Times New Roman" w:cs="Times New Roman"/>
      <w:kern w:val="2"/>
      <w:sz w:val="21"/>
      <w:szCs w:val="21"/>
    </w:rPr>
  </w:style>
  <w:style w:type="paragraph" w:customStyle="1" w:styleId="91">
    <w:name w:val="无间隔1"/>
    <w:autoRedefine/>
    <w:qFormat/>
    <w:uiPriority w:val="0"/>
    <w:rPr>
      <w:rFonts w:ascii="Times New Roman" w:hAnsi="Times New Roman" w:eastAsia="宋体" w:cs="Times New Roman"/>
      <w:sz w:val="22"/>
      <w:szCs w:val="22"/>
      <w:lang w:val="en-US" w:eastAsia="en-US" w:bidi="en-US"/>
    </w:rPr>
  </w:style>
  <w:style w:type="paragraph" w:customStyle="1" w:styleId="92">
    <w:name w:val="一级条标题"/>
    <w:basedOn w:val="93"/>
    <w:next w:val="94"/>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93">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4">
    <w:name w:val="段"/>
    <w:basedOn w:val="1"/>
    <w:next w:val="1"/>
    <w:autoRedefine/>
    <w:qFormat/>
    <w:uiPriority w:val="0"/>
    <w:pPr>
      <w:widowControl/>
      <w:autoSpaceDE w:val="0"/>
      <w:autoSpaceDN w:val="0"/>
      <w:ind w:firstLine="200" w:firstLineChars="200"/>
    </w:pPr>
    <w:rPr>
      <w:rFonts w:hint="eastAsia" w:ascii="宋体"/>
      <w:kern w:val="0"/>
    </w:rPr>
  </w:style>
  <w:style w:type="character" w:customStyle="1" w:styleId="95">
    <w:name w:val="font31"/>
    <w:autoRedefine/>
    <w:qFormat/>
    <w:uiPriority w:val="99"/>
    <w:rPr>
      <w:rFonts w:ascii="仿宋" w:hAnsi="仿宋" w:eastAsia="仿宋" w:cs="仿宋"/>
      <w:color w:val="000000"/>
      <w:sz w:val="20"/>
      <w:szCs w:val="20"/>
      <w:u w:val="none"/>
    </w:rPr>
  </w:style>
  <w:style w:type="character" w:customStyle="1" w:styleId="96">
    <w:name w:val="font51"/>
    <w:autoRedefine/>
    <w:qFormat/>
    <w:uiPriority w:val="99"/>
    <w:rPr>
      <w:rFonts w:ascii="宋体" w:hAnsi="宋体" w:eastAsia="宋体" w:cs="宋体"/>
      <w:color w:val="000000"/>
      <w:sz w:val="24"/>
      <w:szCs w:val="24"/>
      <w:u w:val="none"/>
    </w:rPr>
  </w:style>
  <w:style w:type="character" w:customStyle="1" w:styleId="97">
    <w:name w:val="font101"/>
    <w:autoRedefine/>
    <w:qFormat/>
    <w:uiPriority w:val="99"/>
    <w:rPr>
      <w:rFonts w:ascii="仿宋" w:hAnsi="仿宋" w:eastAsia="仿宋" w:cs="仿宋"/>
      <w:color w:val="000000"/>
      <w:sz w:val="20"/>
      <w:szCs w:val="20"/>
      <w:u w:val="none"/>
    </w:rPr>
  </w:style>
  <w:style w:type="character" w:customStyle="1" w:styleId="98">
    <w:name w:val="font111"/>
    <w:autoRedefine/>
    <w:qFormat/>
    <w:uiPriority w:val="99"/>
    <w:rPr>
      <w:rFonts w:ascii="宋体" w:hAnsi="宋体" w:eastAsia="宋体" w:cs="宋体"/>
      <w:color w:val="000000"/>
      <w:sz w:val="20"/>
      <w:szCs w:val="20"/>
      <w:u w:val="none"/>
    </w:rPr>
  </w:style>
  <w:style w:type="character" w:customStyle="1" w:styleId="99">
    <w:name w:val="font81"/>
    <w:autoRedefine/>
    <w:qFormat/>
    <w:uiPriority w:val="99"/>
    <w:rPr>
      <w:rFonts w:ascii="Arial" w:hAnsi="Arial" w:cs="Arial"/>
      <w:color w:val="000000"/>
      <w:sz w:val="20"/>
      <w:szCs w:val="20"/>
      <w:u w:val="none"/>
    </w:rPr>
  </w:style>
  <w:style w:type="character" w:customStyle="1" w:styleId="100">
    <w:name w:val="style1"/>
    <w:autoRedefine/>
    <w:qFormat/>
    <w:uiPriority w:val="99"/>
  </w:style>
  <w:style w:type="character" w:customStyle="1" w:styleId="101">
    <w:name w:val="font71"/>
    <w:autoRedefine/>
    <w:qFormat/>
    <w:uiPriority w:val="99"/>
    <w:rPr>
      <w:rFonts w:ascii="Wingdings 2" w:hAnsi="Wingdings 2" w:cs="Wingdings 2"/>
      <w:color w:val="000000"/>
      <w:sz w:val="20"/>
      <w:szCs w:val="20"/>
      <w:u w:val="none"/>
    </w:rPr>
  </w:style>
  <w:style w:type="character" w:customStyle="1" w:styleId="102">
    <w:name w:val="font91"/>
    <w:autoRedefine/>
    <w:qFormat/>
    <w:uiPriority w:val="99"/>
    <w:rPr>
      <w:rFonts w:ascii="宋体" w:hAnsi="宋体" w:eastAsia="宋体" w:cs="宋体"/>
      <w:color w:val="000000"/>
      <w:sz w:val="20"/>
      <w:szCs w:val="20"/>
      <w:u w:val="none"/>
    </w:rPr>
  </w:style>
  <w:style w:type="character" w:customStyle="1" w:styleId="103">
    <w:name w:val="font01"/>
    <w:autoRedefine/>
    <w:qFormat/>
    <w:uiPriority w:val="99"/>
    <w:rPr>
      <w:rFonts w:ascii="宋体" w:hAnsi="宋体" w:eastAsia="宋体" w:cs="宋体"/>
      <w:color w:val="FF0000"/>
      <w:sz w:val="24"/>
      <w:szCs w:val="24"/>
      <w:u w:val="none"/>
    </w:rPr>
  </w:style>
  <w:style w:type="character" w:customStyle="1" w:styleId="104">
    <w:name w:val="标题 1 Char Char"/>
    <w:autoRedefine/>
    <w:qFormat/>
    <w:uiPriority w:val="99"/>
    <w:rPr>
      <w:rFonts w:ascii="宋体" w:hAnsi="宋体" w:eastAsia="宋体" w:cs="宋体"/>
      <w:b/>
      <w:bCs/>
      <w:spacing w:val="-2"/>
      <w:sz w:val="24"/>
      <w:szCs w:val="24"/>
      <w:lang w:val="en-US" w:eastAsia="zh-CN"/>
    </w:rPr>
  </w:style>
  <w:style w:type="character" w:customStyle="1" w:styleId="105">
    <w:name w:val="纯文本 Char_0_0"/>
    <w:link w:val="106"/>
    <w:autoRedefine/>
    <w:qFormat/>
    <w:locked/>
    <w:uiPriority w:val="99"/>
    <w:rPr>
      <w:rFonts w:ascii="宋体" w:hAnsi="Courier New" w:cs="宋体"/>
      <w:kern w:val="2"/>
      <w:sz w:val="21"/>
      <w:szCs w:val="21"/>
    </w:rPr>
  </w:style>
  <w:style w:type="paragraph" w:customStyle="1" w:styleId="106">
    <w:name w:val="纯文本_0_0"/>
    <w:basedOn w:val="107"/>
    <w:link w:val="105"/>
    <w:autoRedefine/>
    <w:qFormat/>
    <w:uiPriority w:val="99"/>
    <w:rPr>
      <w:rFonts w:ascii="宋体" w:hAnsi="Courier New" w:cs="Times New Roman"/>
    </w:rPr>
  </w:style>
  <w:style w:type="paragraph" w:customStyle="1" w:styleId="107">
    <w:name w:val="正文_7_1_0"/>
    <w:autoRedefine/>
    <w:qFormat/>
    <w:uiPriority w:val="99"/>
    <w:pPr>
      <w:widowControl w:val="0"/>
      <w:jc w:val="both"/>
    </w:pPr>
    <w:rPr>
      <w:rFonts w:ascii="Calibri" w:hAnsi="Calibri" w:eastAsia="宋体" w:cs="Calibri"/>
      <w:kern w:val="2"/>
      <w:sz w:val="21"/>
      <w:szCs w:val="21"/>
      <w:lang w:val="en-US" w:eastAsia="zh-CN" w:bidi="ar-SA"/>
    </w:rPr>
  </w:style>
  <w:style w:type="character" w:customStyle="1" w:styleId="108">
    <w:name w:val="Style Heading 3 + Char"/>
    <w:link w:val="109"/>
    <w:autoRedefine/>
    <w:qFormat/>
    <w:locked/>
    <w:uiPriority w:val="99"/>
    <w:rPr>
      <w:rFonts w:eastAsia="宋体"/>
      <w:b/>
      <w:bCs/>
      <w:kern w:val="2"/>
      <w:sz w:val="28"/>
      <w:szCs w:val="28"/>
      <w:lang w:val="en-US" w:eastAsia="zh-CN"/>
    </w:rPr>
  </w:style>
  <w:style w:type="paragraph" w:customStyle="1" w:styleId="109">
    <w:name w:val="Style Heading 3 +"/>
    <w:basedOn w:val="7"/>
    <w:link w:val="108"/>
    <w:autoRedefine/>
    <w:qFormat/>
    <w:uiPriority w:val="99"/>
    <w:pPr>
      <w:adjustRightInd/>
      <w:spacing w:before="120" w:after="120" w:line="120" w:lineRule="atLeast"/>
      <w:textAlignment w:val="auto"/>
    </w:pPr>
    <w:rPr>
      <w:kern w:val="2"/>
      <w:sz w:val="28"/>
      <w:szCs w:val="28"/>
    </w:rPr>
  </w:style>
  <w:style w:type="character" w:customStyle="1" w:styleId="110">
    <w:name w:val="font11"/>
    <w:autoRedefine/>
    <w:qFormat/>
    <w:uiPriority w:val="99"/>
    <w:rPr>
      <w:rFonts w:ascii="宋体" w:hAnsi="宋体" w:eastAsia="宋体" w:cs="宋体"/>
      <w:color w:val="000000"/>
      <w:sz w:val="24"/>
      <w:szCs w:val="24"/>
      <w:u w:val="none"/>
    </w:rPr>
  </w:style>
  <w:style w:type="character" w:customStyle="1" w:styleId="111">
    <w:name w:val="font21"/>
    <w:autoRedefine/>
    <w:qFormat/>
    <w:uiPriority w:val="99"/>
    <w:rPr>
      <w:rFonts w:ascii="楷体_GB2312" w:eastAsia="楷体_GB2312" w:cs="楷体_GB2312"/>
      <w:color w:val="000000"/>
      <w:sz w:val="24"/>
      <w:szCs w:val="24"/>
      <w:u w:val="none"/>
    </w:rPr>
  </w:style>
  <w:style w:type="character" w:customStyle="1" w:styleId="112">
    <w:name w:val="font41"/>
    <w:autoRedefine/>
    <w:qFormat/>
    <w:uiPriority w:val="99"/>
    <w:rPr>
      <w:rFonts w:ascii="仿宋" w:hAnsi="仿宋" w:eastAsia="仿宋" w:cs="仿宋"/>
      <w:color w:val="000000"/>
      <w:sz w:val="20"/>
      <w:szCs w:val="20"/>
      <w:u w:val="none"/>
    </w:rPr>
  </w:style>
  <w:style w:type="paragraph" w:customStyle="1" w:styleId="113">
    <w:name w:val="Char Char Char1 Char"/>
    <w:basedOn w:val="1"/>
    <w:autoRedefine/>
    <w:qFormat/>
    <w:uiPriority w:val="99"/>
  </w:style>
  <w:style w:type="paragraph" w:customStyle="1" w:styleId="114">
    <w:name w:val="标题 41"/>
    <w:autoRedefine/>
    <w:qFormat/>
    <w:uiPriority w:val="0"/>
    <w:pPr>
      <w:widowControl w:val="0"/>
      <w:jc w:val="both"/>
    </w:pPr>
    <w:rPr>
      <w:rFonts w:ascii="Times New Roman" w:hAnsi="Arial Unicode MS" w:eastAsia="Arial Unicode MS" w:cs="Arial Unicode MS"/>
      <w:color w:val="000000"/>
      <w:u w:color="000000"/>
      <w:lang w:val="en-US" w:eastAsia="zh-CN" w:bidi="ar-SA"/>
    </w:rPr>
  </w:style>
  <w:style w:type="paragraph" w:customStyle="1" w:styleId="115">
    <w:name w:val="纯文本2"/>
    <w:basedOn w:val="1"/>
    <w:autoRedefine/>
    <w:qFormat/>
    <w:uiPriority w:val="99"/>
    <w:rPr>
      <w:rFonts w:ascii="宋体" w:hAnsi="Courier New" w:cs="宋体"/>
      <w:sz w:val="28"/>
      <w:szCs w:val="28"/>
    </w:rPr>
  </w:style>
  <w:style w:type="paragraph" w:customStyle="1" w:styleId="116">
    <w:name w:val="Default"/>
    <w:autoRedefine/>
    <w:qFormat/>
    <w:uiPriority w:val="99"/>
    <w:pPr>
      <w:widowControl w:val="0"/>
      <w:autoSpaceDE w:val="0"/>
      <w:autoSpaceDN w:val="0"/>
      <w:adjustRightInd w:val="0"/>
    </w:pPr>
    <w:rPr>
      <w:rFonts w:ascii="......." w:hAnsi="Calibri" w:eastAsia="......." w:cs="......."/>
      <w:color w:val="000000"/>
      <w:sz w:val="24"/>
      <w:szCs w:val="24"/>
      <w:lang w:val="en-US" w:eastAsia="zh-CN" w:bidi="ar-SA"/>
    </w:rPr>
  </w:style>
  <w:style w:type="paragraph" w:customStyle="1" w:styleId="117">
    <w:name w:val="6"/>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8">
    <w:name w:val="正文缩进2格"/>
    <w:basedOn w:val="1"/>
    <w:autoRedefine/>
    <w:qFormat/>
    <w:uiPriority w:val="99"/>
    <w:pPr>
      <w:spacing w:line="600" w:lineRule="exact"/>
      <w:ind w:firstLine="639" w:firstLineChars="206"/>
    </w:pPr>
    <w:rPr>
      <w:rFonts w:ascii="仿宋_GB2312" w:hAnsi="宋体" w:eastAsia="仿宋_GB2312" w:cs="仿宋_GB2312"/>
      <w:sz w:val="31"/>
      <w:szCs w:val="31"/>
    </w:rPr>
  </w:style>
  <w:style w:type="paragraph" w:customStyle="1" w:styleId="119">
    <w:name w:val="1"/>
    <w:basedOn w:val="1"/>
    <w:next w:val="26"/>
    <w:autoRedefine/>
    <w:qFormat/>
    <w:uiPriority w:val="99"/>
    <w:rPr>
      <w:rFonts w:ascii="宋体" w:hAnsi="Courier New" w:cs="宋体"/>
    </w:rPr>
  </w:style>
  <w:style w:type="paragraph" w:customStyle="1" w:styleId="120">
    <w:name w:val="Normal_12_0"/>
    <w:autoRedefine/>
    <w:qFormat/>
    <w:uiPriority w:val="99"/>
    <w:rPr>
      <w:rFonts w:ascii="黑体" w:hAnsi="黑体" w:eastAsia="黑体" w:cs="黑体"/>
      <w:b/>
      <w:bCs/>
      <w:sz w:val="32"/>
      <w:szCs w:val="32"/>
      <w:lang w:val="en-US" w:eastAsia="zh-CN" w:bidi="ar-SA"/>
    </w:rPr>
  </w:style>
  <w:style w:type="paragraph" w:customStyle="1" w:styleId="121">
    <w:name w:val="p0"/>
    <w:basedOn w:val="1"/>
    <w:autoRedefine/>
    <w:qFormat/>
    <w:uiPriority w:val="99"/>
    <w:pPr>
      <w:widowControl/>
    </w:pPr>
    <w:rPr>
      <w:kern w:val="0"/>
    </w:rPr>
  </w:style>
  <w:style w:type="paragraph" w:customStyle="1" w:styleId="122">
    <w:name w:val="列出段落1"/>
    <w:basedOn w:val="1"/>
    <w:autoRedefine/>
    <w:qFormat/>
    <w:uiPriority w:val="99"/>
    <w:pPr>
      <w:ind w:firstLine="420" w:firstLineChars="200"/>
    </w:pPr>
  </w:style>
  <w:style w:type="paragraph" w:customStyle="1" w:styleId="123">
    <w:name w:val="样式 标题 1 + 宋体 段前: 0 磅 段后: 0 磅 行距: 单倍行距"/>
    <w:basedOn w:val="5"/>
    <w:next w:val="1"/>
    <w:autoRedefine/>
    <w:qFormat/>
    <w:uiPriority w:val="99"/>
    <w:pPr>
      <w:spacing w:beforeLines="100" w:afterLines="100"/>
    </w:pPr>
    <w:rPr>
      <w:rFonts w:ascii="仿宋_GB2312" w:hAnsi="宋体" w:cs="仿宋_GB2312"/>
    </w:rPr>
  </w:style>
  <w:style w:type="paragraph" w:customStyle="1" w:styleId="124">
    <w:name w:val="图文"/>
    <w:basedOn w:val="1"/>
    <w:autoRedefine/>
    <w:qFormat/>
    <w:uiPriority w:val="99"/>
    <w:pPr>
      <w:adjustRightInd w:val="0"/>
      <w:snapToGrid w:val="0"/>
      <w:spacing w:after="50" w:line="360" w:lineRule="auto"/>
    </w:pPr>
    <w:rPr>
      <w:sz w:val="24"/>
      <w:szCs w:val="24"/>
    </w:rPr>
  </w:style>
  <w:style w:type="paragraph" w:customStyle="1" w:styleId="125">
    <w:name w:val="列出段落11"/>
    <w:basedOn w:val="1"/>
    <w:autoRedefine/>
    <w:qFormat/>
    <w:uiPriority w:val="99"/>
    <w:pPr>
      <w:ind w:firstLine="200" w:firstLineChars="200"/>
    </w:pPr>
    <w:rPr>
      <w:rFonts w:ascii="Calibri" w:hAnsi="Calibri" w:cs="Calibri"/>
    </w:rPr>
  </w:style>
  <w:style w:type="paragraph" w:styleId="126">
    <w:name w:val="List Paragraph"/>
    <w:basedOn w:val="1"/>
    <w:autoRedefine/>
    <w:qFormat/>
    <w:uiPriority w:val="99"/>
    <w:pPr>
      <w:ind w:firstLine="420" w:firstLineChars="200"/>
    </w:pPr>
  </w:style>
  <w:style w:type="paragraph" w:customStyle="1" w:styleId="127">
    <w:name w:val="Char2"/>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28">
    <w:name w:val="默认段落字体 Para Char Char Char Char"/>
    <w:basedOn w:val="1"/>
    <w:autoRedefine/>
    <w:qFormat/>
    <w:uiPriority w:val="99"/>
  </w:style>
  <w:style w:type="paragraph" w:customStyle="1" w:styleId="129">
    <w:name w:val="Char Char Char Char"/>
    <w:basedOn w:val="1"/>
    <w:autoRedefine/>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30">
    <w:name w:val="二级目录"/>
    <w:next w:val="1"/>
    <w:autoRedefine/>
    <w:qFormat/>
    <w:uiPriority w:val="99"/>
    <w:pPr>
      <w:tabs>
        <w:tab w:val="left" w:pos="720"/>
      </w:tabs>
      <w:ind w:left="720" w:hanging="720"/>
      <w:outlineLvl w:val="1"/>
    </w:pPr>
    <w:rPr>
      <w:rFonts w:ascii="Times New Roman" w:hAnsi="Times New Roman" w:eastAsia="宋体" w:cs="Times New Roman"/>
      <w:b/>
      <w:bCs/>
      <w:kern w:val="2"/>
      <w:sz w:val="30"/>
      <w:szCs w:val="30"/>
      <w:lang w:val="en-US" w:eastAsia="zh-CN" w:bidi="ar-SA"/>
    </w:rPr>
  </w:style>
  <w:style w:type="paragraph" w:customStyle="1" w:styleId="131">
    <w:name w:val="简单回函地址"/>
    <w:basedOn w:val="1"/>
    <w:autoRedefine/>
    <w:qFormat/>
    <w:uiPriority w:val="99"/>
  </w:style>
  <w:style w:type="paragraph" w:customStyle="1" w:styleId="132">
    <w:name w:val="Plain Text1"/>
    <w:basedOn w:val="1"/>
    <w:qFormat/>
    <w:uiPriority w:val="99"/>
    <w:pPr>
      <w:widowControl/>
      <w:adjustRightInd w:val="0"/>
      <w:jc w:val="left"/>
      <w:textAlignment w:val="baseline"/>
    </w:pPr>
    <w:rPr>
      <w:rFonts w:ascii="宋体" w:hAnsi="Courier New" w:eastAsia="楷体_GB2312" w:cs="宋体"/>
      <w:kern w:val="0"/>
      <w:sz w:val="26"/>
      <w:szCs w:val="26"/>
    </w:rPr>
  </w:style>
  <w:style w:type="paragraph" w:customStyle="1" w:styleId="133">
    <w:name w:val="文档正文"/>
    <w:basedOn w:val="1"/>
    <w:qFormat/>
    <w:uiPriority w:val="99"/>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34">
    <w:name w:val="样式 标题 2 + 黑色 行距: 1.5 倍行距"/>
    <w:basedOn w:val="6"/>
    <w:qFormat/>
    <w:uiPriority w:val="99"/>
    <w:pPr>
      <w:adjustRightInd/>
      <w:spacing w:line="360" w:lineRule="auto"/>
      <w:ind w:firstLine="3502" w:firstLineChars="1246"/>
      <w:textAlignment w:val="auto"/>
    </w:pPr>
    <w:rPr>
      <w:rFonts w:ascii="楷体_GB2312" w:hAnsi="宋体" w:eastAsia="楷体_GB2312" w:cs="楷体_GB2312"/>
      <w:kern w:val="2"/>
      <w:sz w:val="28"/>
      <w:szCs w:val="28"/>
    </w:rPr>
  </w:style>
  <w:style w:type="paragraph" w:customStyle="1" w:styleId="135">
    <w:name w:val="Body Text First Indent 21"/>
    <w:qFormat/>
    <w:uiPriority w:val="99"/>
    <w:pPr>
      <w:widowControl w:val="0"/>
      <w:spacing w:line="480" w:lineRule="auto"/>
      <w:ind w:firstLine="420" w:firstLineChars="200"/>
      <w:jc w:val="both"/>
    </w:pPr>
    <w:rPr>
      <w:rFonts w:ascii="仿宋" w:hAnsi="仿宋" w:eastAsia="仿宋" w:cs="仿宋"/>
      <w:kern w:val="2"/>
      <w:sz w:val="24"/>
      <w:szCs w:val="24"/>
      <w:lang w:val="en-US" w:eastAsia="zh-CN" w:bidi="ar-SA"/>
    </w:rPr>
  </w:style>
  <w:style w:type="paragraph" w:customStyle="1" w:styleId="136">
    <w:name w:val="正文_0"/>
    <w:qFormat/>
    <w:uiPriority w:val="99"/>
    <w:rPr>
      <w:rFonts w:ascii="Times New Roman" w:hAnsi="Times New Roman" w:eastAsia="宋体" w:cs="Times New Roman"/>
      <w:sz w:val="21"/>
      <w:szCs w:val="21"/>
      <w:lang w:val="en-US" w:eastAsia="zh-CN" w:bidi="ar-SA"/>
    </w:rPr>
  </w:style>
  <w:style w:type="paragraph" w:customStyle="1" w:styleId="137">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38">
    <w:name w:val="ZX-正文"/>
    <w:qFormat/>
    <w:uiPriority w:val="0"/>
    <w:pPr>
      <w:spacing w:beforeLines="50"/>
      <w:ind w:firstLine="480" w:firstLineChars="200"/>
    </w:pPr>
    <w:rPr>
      <w:rFonts w:ascii="Trebuchet MS" w:hAnsi="FuturaA Bk BT" w:eastAsia="宋体" w:cs="Times New Roman"/>
      <w:kern w:val="2"/>
      <w:sz w:val="24"/>
      <w:lang w:val="en-US" w:eastAsia="zh-CN" w:bidi="ar-SA"/>
    </w:rPr>
  </w:style>
  <w:style w:type="paragraph" w:customStyle="1" w:styleId="139">
    <w:name w:val="Body"/>
    <w:qFormat/>
    <w:uiPriority w:val="0"/>
    <w:rPr>
      <w:rFonts w:hint="eastAsia" w:ascii="Arial Unicode MS" w:hAnsi="Arial Unicode MS" w:eastAsia="Helvetica" w:cs="Arial Unicode MS"/>
      <w:color w:val="000000"/>
      <w:sz w:val="22"/>
      <w:szCs w:val="22"/>
      <w:lang w:val="en-US" w:eastAsia="zh-CN" w:bidi="ar-SA"/>
    </w:rPr>
  </w:style>
  <w:style w:type="paragraph" w:customStyle="1" w:styleId="140">
    <w:name w:val="Body text|1"/>
    <w:basedOn w:val="1"/>
    <w:qFormat/>
    <w:uiPriority w:val="0"/>
    <w:pPr>
      <w:spacing w:line="434" w:lineRule="auto"/>
      <w:ind w:firstLine="400"/>
    </w:pPr>
    <w:rPr>
      <w:rFonts w:ascii="宋体" w:hAnsi="宋体" w:cs="宋体"/>
      <w:sz w:val="20"/>
      <w:szCs w:val="20"/>
      <w:lang w:val="zh-TW" w:eastAsia="zh-TW" w:bidi="zh-TW"/>
    </w:rPr>
  </w:style>
  <w:style w:type="paragraph" w:customStyle="1" w:styleId="141">
    <w:name w:val="_Style 17"/>
    <w:basedOn w:val="1"/>
    <w:next w:val="126"/>
    <w:qFormat/>
    <w:uiPriority w:val="99"/>
    <w:pPr>
      <w:ind w:firstLine="420" w:firstLineChars="200"/>
    </w:pPr>
    <w:rPr>
      <w:rFonts w:ascii="Calibri" w:hAnsi="Calibri"/>
    </w:rPr>
  </w:style>
  <w:style w:type="paragraph" w:customStyle="1" w:styleId="142">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24916</Words>
  <Characters>25419</Characters>
  <Lines>190</Lines>
  <Paragraphs>53</Paragraphs>
  <TotalTime>21</TotalTime>
  <ScaleCrop>false</ScaleCrop>
  <LinksUpToDate>false</LinksUpToDate>
  <CharactersWithSpaces>25964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2021-04-13T03:26:00Z</dcterms:created>
  <dc:creator>ql</dc:creator>
  <cp:lastModifiedBy>A</cp:lastModifiedBy>
  <cp:lastPrinted>2022-10-18T07:21:00Z</cp:lastPrinted>
  <dcterms:modified xsi:type="dcterms:W3CDTF">2024-01-11T09:05:06Z</dcterms:modified>
  <dc:title>崇川区闸管所2020年闸（站）液压式启闭机维修保养项目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16DC2CE9B56045F4ADA3049A8990BDF8_13</vt:lpwstr>
  </property>
</Properties>
</file>