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pacing w:val="20"/>
          <w:sz w:val="44"/>
          <w:u w:val="single"/>
        </w:rPr>
      </w:pPr>
    </w:p>
    <w:p>
      <w:pPr>
        <w:pStyle w:val="6"/>
        <w:rPr>
          <w:rFonts w:ascii="宋体" w:hAnsi="宋体"/>
          <w:b/>
          <w:spacing w:val="20"/>
          <w:sz w:val="44"/>
          <w:u w:val="single"/>
        </w:rPr>
      </w:pPr>
    </w:p>
    <w:p>
      <w:pPr>
        <w:pStyle w:val="6"/>
      </w:pPr>
    </w:p>
    <w:p>
      <w:pPr>
        <w:spacing w:after="240" w:afterLines="100"/>
        <w:jc w:val="center"/>
        <w:rPr>
          <w:rFonts w:ascii="宋体" w:hAnsi="宋体"/>
          <w:b/>
          <w:color w:val="000000"/>
          <w:spacing w:val="23"/>
          <w:w w:val="90"/>
          <w:sz w:val="48"/>
          <w:szCs w:val="28"/>
          <w:u w:val="single"/>
        </w:rPr>
      </w:pPr>
      <w:r>
        <w:rPr>
          <w:rFonts w:hint="eastAsia" w:ascii="宋体" w:hAnsi="宋体"/>
          <w:b/>
          <w:color w:val="000000"/>
          <w:spacing w:val="23"/>
          <w:w w:val="90"/>
          <w:sz w:val="48"/>
          <w:szCs w:val="28"/>
          <w:u w:val="single"/>
        </w:rPr>
        <w:t>南通市妇幼保健院</w:t>
      </w:r>
    </w:p>
    <w:p>
      <w:pPr>
        <w:spacing w:after="240" w:afterLines="100"/>
        <w:jc w:val="center"/>
        <w:rPr>
          <w:rFonts w:ascii="宋体" w:hAnsi="宋体"/>
          <w:b/>
          <w:color w:val="000000"/>
          <w:spacing w:val="23"/>
          <w:w w:val="90"/>
          <w:sz w:val="48"/>
          <w:szCs w:val="28"/>
          <w:u w:val="single"/>
        </w:rPr>
      </w:pPr>
      <w:r>
        <w:rPr>
          <w:rFonts w:hint="eastAsia" w:ascii="宋体" w:hAnsi="宋体"/>
          <w:b/>
          <w:color w:val="000000"/>
          <w:spacing w:val="23"/>
          <w:w w:val="90"/>
          <w:sz w:val="48"/>
          <w:szCs w:val="28"/>
          <w:u w:val="single"/>
        </w:rPr>
        <w:t>（南通市妇幼保健计划生育服务中心）</w:t>
      </w:r>
    </w:p>
    <w:p>
      <w:pPr>
        <w:spacing w:after="240" w:afterLines="100"/>
        <w:jc w:val="center"/>
        <w:rPr>
          <w:rFonts w:ascii="宋体" w:hAnsi="宋体"/>
          <w:b/>
          <w:color w:val="000000"/>
          <w:spacing w:val="20"/>
          <w:sz w:val="48"/>
          <w:szCs w:val="28"/>
          <w:u w:val="single"/>
        </w:rPr>
      </w:pPr>
      <w:r>
        <w:rPr>
          <w:rFonts w:hint="eastAsia" w:ascii="宋体" w:hAnsi="宋体"/>
          <w:b/>
          <w:color w:val="000000"/>
          <w:spacing w:val="23"/>
          <w:w w:val="90"/>
          <w:sz w:val="48"/>
          <w:szCs w:val="28"/>
          <w:u w:val="single"/>
        </w:rPr>
        <w:t>两癌筛查(小程序)项目</w:t>
      </w:r>
    </w:p>
    <w:p>
      <w:pPr>
        <w:pStyle w:val="6"/>
      </w:pPr>
    </w:p>
    <w:p>
      <w:pPr>
        <w:autoSpaceDE w:val="0"/>
        <w:autoSpaceDN w:val="0"/>
        <w:adjustRightInd w:val="0"/>
        <w:jc w:val="center"/>
        <w:rPr>
          <w:szCs w:val="21"/>
        </w:rPr>
      </w:pPr>
    </w:p>
    <w:p>
      <w:pPr>
        <w:pStyle w:val="6"/>
        <w:rPr>
          <w:szCs w:val="21"/>
        </w:rPr>
      </w:pPr>
    </w:p>
    <w:p>
      <w:pPr>
        <w:pStyle w:val="6"/>
        <w:rPr>
          <w:szCs w:val="21"/>
        </w:rPr>
      </w:pPr>
    </w:p>
    <w:p>
      <w:pPr>
        <w:pStyle w:val="6"/>
        <w:rPr>
          <w:szCs w:val="21"/>
        </w:rPr>
      </w:pPr>
    </w:p>
    <w:p>
      <w:pPr>
        <w:tabs>
          <w:tab w:val="left" w:pos="1050"/>
          <w:tab w:val="right" w:leader="dot" w:pos="9402"/>
        </w:tabs>
        <w:spacing w:line="1600" w:lineRule="exact"/>
        <w:jc w:val="center"/>
        <w:rPr>
          <w:rFonts w:ascii="宋体" w:hAnsi="宋体" w:cs="宋体"/>
          <w:sz w:val="52"/>
          <w:szCs w:val="52"/>
        </w:rPr>
      </w:pPr>
      <w:r>
        <w:rPr>
          <w:rFonts w:hint="eastAsia" w:ascii="宋体" w:hAnsi="宋体" w:cs="宋体"/>
          <w:b/>
          <w:bCs/>
          <w:sz w:val="56"/>
          <w:szCs w:val="56"/>
        </w:rPr>
        <w:t>竞争性磋商文件</w:t>
      </w:r>
    </w:p>
    <w:p>
      <w:pPr>
        <w:tabs>
          <w:tab w:val="left" w:pos="1050"/>
          <w:tab w:val="right" w:leader="dot" w:pos="9402"/>
        </w:tabs>
        <w:spacing w:line="520" w:lineRule="exact"/>
        <w:jc w:val="center"/>
        <w:rPr>
          <w:rFonts w:ascii="宋体" w:hAnsi="宋体" w:cs="宋体"/>
          <w:sz w:val="36"/>
          <w:szCs w:val="36"/>
        </w:rPr>
      </w:pPr>
      <w:r>
        <w:rPr>
          <w:rFonts w:hint="eastAsia" w:ascii="宋体" w:hAnsi="宋体" w:cs="宋体"/>
          <w:sz w:val="36"/>
          <w:szCs w:val="36"/>
        </w:rPr>
        <w:t>（资格后审）</w:t>
      </w:r>
    </w:p>
    <w:p>
      <w:pPr>
        <w:tabs>
          <w:tab w:val="left" w:pos="1050"/>
          <w:tab w:val="right" w:leader="dot" w:pos="9402"/>
        </w:tabs>
        <w:spacing w:line="520" w:lineRule="exact"/>
        <w:jc w:val="center"/>
        <w:rPr>
          <w:rFonts w:ascii="宋体" w:hAnsi="宋体" w:cs="宋体"/>
          <w:sz w:val="32"/>
          <w:szCs w:val="32"/>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djustRightInd w:val="0"/>
        <w:snapToGrid w:val="0"/>
        <w:spacing w:line="640" w:lineRule="exact"/>
        <w:rPr>
          <w:rFonts w:hint="eastAsia"/>
          <w:szCs w:val="21"/>
        </w:rPr>
      </w:pPr>
    </w:p>
    <w:p>
      <w:pPr>
        <w:adjustRightInd w:val="0"/>
        <w:snapToGrid w:val="0"/>
        <w:spacing w:line="640" w:lineRule="exact"/>
        <w:ind w:firstLine="1285" w:firstLineChars="400"/>
        <w:rPr>
          <w:rFonts w:ascii="宋体" w:hAnsi="宋体" w:cs="宋体"/>
          <w:b/>
          <w:bCs/>
          <w:sz w:val="32"/>
          <w:szCs w:val="32"/>
        </w:rPr>
      </w:pPr>
      <w:r>
        <w:rPr>
          <w:rFonts w:hint="eastAsia" w:ascii="宋体" w:hAnsi="宋体" w:cs="宋体"/>
          <w:b/>
          <w:bCs/>
          <w:sz w:val="32"/>
          <w:szCs w:val="32"/>
        </w:rPr>
        <w:t>采 购 单 位：南通市妇幼保健院（南通市妇幼保健计划生育服务中心）</w:t>
      </w:r>
    </w:p>
    <w:p>
      <w:pPr>
        <w:adjustRightInd w:val="0"/>
        <w:snapToGrid w:val="0"/>
        <w:spacing w:line="640" w:lineRule="exact"/>
        <w:ind w:firstLine="1269" w:firstLineChars="395"/>
        <w:rPr>
          <w:rFonts w:ascii="宋体" w:hAnsi="宋体" w:cs="宋体"/>
          <w:b/>
          <w:bCs/>
          <w:sz w:val="32"/>
          <w:szCs w:val="32"/>
          <w:u w:val="single"/>
        </w:rPr>
      </w:pPr>
      <w:r>
        <w:rPr>
          <w:rFonts w:hint="eastAsia" w:ascii="宋体" w:hAnsi="宋体" w:cs="宋体"/>
          <w:b/>
          <w:bCs/>
          <w:sz w:val="32"/>
          <w:szCs w:val="32"/>
        </w:rPr>
        <w:t xml:space="preserve">代 理 机 构：江苏方桂圆工程项目管理有限公司 </w:t>
      </w:r>
    </w:p>
    <w:p>
      <w:pPr>
        <w:adjustRightInd w:val="0"/>
        <w:snapToGrid w:val="0"/>
        <w:spacing w:line="640" w:lineRule="exact"/>
        <w:ind w:firstLine="1269" w:firstLineChars="395"/>
        <w:rPr>
          <w:rFonts w:ascii="宋体" w:hAnsi="宋体" w:cs="宋体"/>
          <w:b/>
          <w:bCs/>
          <w:sz w:val="32"/>
          <w:szCs w:val="32"/>
          <w:u w:val="single"/>
        </w:rPr>
      </w:pPr>
      <w:r>
        <w:rPr>
          <w:rFonts w:hint="eastAsia" w:ascii="宋体" w:hAnsi="宋体" w:cs="宋体"/>
          <w:b/>
          <w:bCs/>
          <w:sz w:val="32"/>
          <w:szCs w:val="32"/>
        </w:rPr>
        <w:t>日       期：二〇二三年十一月</w:t>
      </w:r>
    </w:p>
    <w:p>
      <w:pPr>
        <w:spacing w:line="500" w:lineRule="exact"/>
        <w:jc w:val="center"/>
        <w:rPr>
          <w:rFonts w:ascii="宋体" w:hAnsi="宋体"/>
          <w:spacing w:val="20"/>
          <w:sz w:val="28"/>
          <w:szCs w:val="28"/>
        </w:rPr>
      </w:pPr>
    </w:p>
    <w:p>
      <w:pPr>
        <w:spacing w:after="240" w:afterLines="100" w:line="360" w:lineRule="auto"/>
        <w:jc w:val="center"/>
        <w:rPr>
          <w:rFonts w:ascii="宋体" w:hAnsi="宋体" w:cs="宋体"/>
          <w:kern w:val="44"/>
          <w:sz w:val="44"/>
          <w:szCs w:val="44"/>
        </w:rPr>
        <w:sectPr>
          <w:footerReference r:id="rId3" w:type="default"/>
          <w:pgSz w:w="11907" w:h="16839"/>
          <w:pgMar w:top="1418" w:right="1588" w:bottom="1418" w:left="1588" w:header="851" w:footer="851" w:gutter="0"/>
          <w:cols w:space="720" w:num="1"/>
          <w:docGrid w:linePitch="286" w:charSpace="0"/>
        </w:sectPr>
      </w:pPr>
      <w:bookmarkStart w:id="0" w:name="_Toc312608845"/>
      <w:bookmarkStart w:id="1" w:name="_Toc257275442"/>
      <w:bookmarkStart w:id="2" w:name="_Toc241913651"/>
    </w:p>
    <w:p>
      <w:pPr>
        <w:spacing w:after="240" w:afterLines="100" w:line="360" w:lineRule="auto"/>
        <w:jc w:val="center"/>
        <w:rPr>
          <w:rFonts w:ascii="宋体" w:hAnsi="宋体" w:cs="宋体"/>
          <w:kern w:val="44"/>
          <w:sz w:val="44"/>
          <w:szCs w:val="44"/>
        </w:rPr>
      </w:pPr>
      <w:r>
        <w:rPr>
          <w:rFonts w:hint="eastAsia" w:ascii="宋体" w:hAnsi="宋体" w:cs="宋体"/>
          <w:kern w:val="44"/>
          <w:sz w:val="44"/>
          <w:szCs w:val="44"/>
        </w:rPr>
        <w:t>文件备案表</w:t>
      </w:r>
    </w:p>
    <w:bookmarkEnd w:id="0"/>
    <w:bookmarkEnd w:id="1"/>
    <w:bookmarkEnd w:id="2"/>
    <w:p>
      <w:pPr>
        <w:pStyle w:val="62"/>
        <w:ind w:firstLine="240" w:firstLineChars="100"/>
      </w:pPr>
      <w:r>
        <w:rPr>
          <w:rFonts w:hint="eastAsia" w:ascii="宋体" w:hAnsi="宋体" w:cs="宋体"/>
          <w:sz w:val="24"/>
          <w:szCs w:val="24"/>
        </w:rPr>
        <w:t>项目名称：南通市妇幼保健院（南通市妇幼保健计划生育服务中心）两癌筛查（小程序）项目</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218" w:hRule="atLeast"/>
          <w:jc w:val="center"/>
        </w:trPr>
        <w:tc>
          <w:tcPr>
            <w:tcW w:w="8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p>
            <w:pPr>
              <w:tabs>
                <w:tab w:val="left" w:pos="5070"/>
              </w:tabs>
              <w:spacing w:line="360" w:lineRule="auto"/>
              <w:jc w:val="center"/>
              <w:rPr>
                <w:rFonts w:ascii="宋体" w:hAnsi="宋体" w:cs="宋体"/>
                <w:sz w:val="24"/>
              </w:rPr>
            </w:pPr>
          </w:p>
          <w:p>
            <w:pPr>
              <w:tabs>
                <w:tab w:val="left" w:pos="5070"/>
              </w:tabs>
              <w:spacing w:line="360" w:lineRule="auto"/>
              <w:jc w:val="center"/>
              <w:rPr>
                <w:rFonts w:ascii="宋体" w:hAnsi="宋体" w:cs="宋体"/>
                <w:sz w:val="24"/>
              </w:rPr>
            </w:pPr>
          </w:p>
          <w:p>
            <w:pPr>
              <w:tabs>
                <w:tab w:val="left" w:pos="5070"/>
              </w:tabs>
              <w:spacing w:line="360" w:lineRule="auto"/>
              <w:jc w:val="center"/>
              <w:rPr>
                <w:rFonts w:ascii="宋体" w:hAnsi="宋体" w:cs="宋体"/>
                <w:sz w:val="24"/>
              </w:rPr>
            </w:pPr>
            <w:r>
              <w:rPr>
                <w:rFonts w:hint="eastAsia" w:ascii="宋体" w:hAnsi="宋体" w:cs="宋体"/>
                <w:sz w:val="24"/>
              </w:rPr>
              <w:t>编制人：毛琴</w:t>
            </w:r>
          </w:p>
          <w:p>
            <w:pPr>
              <w:tabs>
                <w:tab w:val="left" w:pos="5070"/>
              </w:tabs>
              <w:spacing w:line="360" w:lineRule="auto"/>
              <w:rPr>
                <w:rFonts w:ascii="宋体" w:hAnsi="宋体" w:cs="宋体"/>
                <w:sz w:val="24"/>
              </w:rPr>
            </w:pPr>
          </w:p>
          <w:p>
            <w:pPr>
              <w:tabs>
                <w:tab w:val="left" w:pos="5070"/>
              </w:tabs>
              <w:spacing w:line="360" w:lineRule="auto"/>
              <w:jc w:val="center"/>
              <w:rPr>
                <w:rFonts w:ascii="宋体" w:hAnsi="宋体" w:cs="宋体"/>
                <w:sz w:val="24"/>
              </w:rPr>
            </w:pPr>
            <w:r>
              <w:rPr>
                <w:rFonts w:hint="eastAsia" w:ascii="宋体" w:hAnsi="宋体" w:cs="宋体"/>
                <w:sz w:val="24"/>
              </w:rPr>
              <w:t>日  期：</w:t>
            </w:r>
            <w:r>
              <w:rPr>
                <w:rFonts w:ascii="宋体" w:hAnsi="宋体" w:cs="宋体"/>
                <w:sz w:val="24"/>
              </w:rPr>
              <w:t>202</w:t>
            </w:r>
            <w:r>
              <w:rPr>
                <w:rFonts w:hint="eastAsia" w:ascii="宋体" w:hAnsi="宋体" w:cs="宋体"/>
                <w:sz w:val="24"/>
              </w:rPr>
              <w:t>3年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302" w:hRule="atLeast"/>
          <w:jc w:val="center"/>
        </w:trPr>
        <w:tc>
          <w:tcPr>
            <w:tcW w:w="87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p>
            <w:pPr>
              <w:spacing w:line="360" w:lineRule="auto"/>
              <w:rPr>
                <w:rFonts w:ascii="宋体" w:hAnsi="宋体" w:cs="宋体"/>
                <w:sz w:val="24"/>
              </w:rPr>
            </w:pPr>
          </w:p>
          <w:p>
            <w:pPr>
              <w:pStyle w:val="22"/>
              <w:ind w:firstLine="480"/>
              <w:rPr>
                <w:rFonts w:ascii="宋体" w:hAnsi="宋体" w:cs="宋体"/>
                <w:sz w:val="24"/>
              </w:rPr>
            </w:pPr>
          </w:p>
          <w:p>
            <w:pPr>
              <w:pStyle w:val="22"/>
              <w:ind w:firstLine="480"/>
              <w:rPr>
                <w:rFonts w:ascii="宋体" w:hAnsi="宋体" w:cs="宋体"/>
                <w:sz w:val="24"/>
              </w:rPr>
            </w:pPr>
          </w:p>
          <w:p>
            <w:pPr>
              <w:pStyle w:val="22"/>
              <w:ind w:firstLine="480"/>
              <w:rPr>
                <w:rFonts w:ascii="宋体" w:hAnsi="宋体" w:cs="宋体"/>
                <w:sz w:val="24"/>
              </w:rPr>
            </w:pPr>
          </w:p>
          <w:p>
            <w:pPr>
              <w:spacing w:line="360" w:lineRule="auto"/>
              <w:jc w:val="center"/>
              <w:rPr>
                <w:rFonts w:ascii="宋体" w:hAnsi="宋体" w:cs="宋体"/>
                <w:sz w:val="24"/>
              </w:rPr>
            </w:pPr>
            <w:r>
              <w:rPr>
                <w:rFonts w:hint="eastAsia" w:ascii="宋体" w:hAnsi="宋体" w:cs="宋体"/>
                <w:sz w:val="24"/>
              </w:rPr>
              <w:t>采购单位(盖章)             法定代表人(签字或盖章)</w:t>
            </w:r>
          </w:p>
          <w:p>
            <w:pPr>
              <w:spacing w:line="360" w:lineRule="auto"/>
              <w:jc w:val="center"/>
              <w:rPr>
                <w:rFonts w:ascii="宋体" w:hAnsi="宋体" w:cs="宋体"/>
                <w:sz w:val="24"/>
              </w:rPr>
            </w:pPr>
          </w:p>
          <w:p>
            <w:pPr>
              <w:spacing w:line="360" w:lineRule="auto"/>
              <w:jc w:val="center"/>
              <w:rPr>
                <w:rFonts w:ascii="宋体" w:hAnsi="宋体" w:cs="宋体"/>
                <w:sz w:val="24"/>
              </w:rPr>
            </w:pPr>
          </w:p>
          <w:p>
            <w:pPr>
              <w:pStyle w:val="22"/>
            </w:pPr>
          </w:p>
          <w:p>
            <w:pPr>
              <w:pStyle w:val="22"/>
            </w:pPr>
          </w:p>
          <w:p>
            <w:pPr>
              <w:spacing w:line="360" w:lineRule="auto"/>
              <w:jc w:val="center"/>
              <w:rPr>
                <w:rFonts w:ascii="宋体" w:hAnsi="宋体" w:cs="宋体"/>
                <w:sz w:val="24"/>
              </w:rPr>
            </w:pPr>
            <w:r>
              <w:rPr>
                <w:rFonts w:hint="eastAsia" w:ascii="宋体" w:hAnsi="宋体" w:cs="宋体"/>
                <w:sz w:val="24"/>
              </w:rPr>
              <w:t>代理机构(盖章)             法定代表人(签字或盖章)</w:t>
            </w:r>
          </w:p>
          <w:p>
            <w:pPr>
              <w:tabs>
                <w:tab w:val="left" w:pos="5070"/>
              </w:tabs>
              <w:spacing w:line="360" w:lineRule="auto"/>
              <w:jc w:val="center"/>
              <w:rPr>
                <w:rFonts w:ascii="宋体" w:hAnsi="宋体" w:cs="宋体"/>
                <w:sz w:val="24"/>
              </w:rPr>
            </w:pPr>
          </w:p>
          <w:p>
            <w:pPr>
              <w:pStyle w:val="22"/>
              <w:ind w:left="0" w:leftChars="0" w:firstLine="0" w:firstLineChars="0"/>
            </w:pPr>
          </w:p>
          <w:p>
            <w:pPr>
              <w:pStyle w:val="22"/>
            </w:pPr>
          </w:p>
          <w:p>
            <w:pPr>
              <w:tabs>
                <w:tab w:val="left" w:pos="5070"/>
              </w:tabs>
              <w:spacing w:line="360" w:lineRule="auto"/>
              <w:jc w:val="center"/>
              <w:rPr>
                <w:rFonts w:ascii="宋体" w:hAnsi="宋体" w:cs="宋体"/>
                <w:sz w:val="24"/>
              </w:rPr>
            </w:pPr>
            <w:r>
              <w:rPr>
                <w:rFonts w:hint="eastAsia" w:ascii="宋体" w:hAnsi="宋体" w:cs="宋体"/>
                <w:sz w:val="24"/>
              </w:rPr>
              <w:t>日  期：</w:t>
            </w:r>
            <w:r>
              <w:rPr>
                <w:rFonts w:ascii="宋体" w:hAnsi="宋体" w:cs="宋体"/>
                <w:sz w:val="24"/>
              </w:rPr>
              <w:t>202</w:t>
            </w:r>
            <w:r>
              <w:rPr>
                <w:rFonts w:hint="eastAsia" w:ascii="宋体" w:hAnsi="宋体" w:cs="宋体"/>
                <w:sz w:val="24"/>
              </w:rPr>
              <w:t>3年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w:t>
            </w:r>
          </w:p>
          <w:p>
            <w:pPr>
              <w:spacing w:line="360" w:lineRule="auto"/>
              <w:rPr>
                <w:rFonts w:ascii="宋体" w:hAnsi="宋体" w:cs="宋体"/>
                <w:sz w:val="24"/>
              </w:rPr>
            </w:pPr>
          </w:p>
        </w:tc>
      </w:tr>
    </w:tbl>
    <w:p>
      <w:pPr>
        <w:spacing w:line="360" w:lineRule="auto"/>
        <w:jc w:val="center"/>
        <w:rPr>
          <w:rFonts w:ascii="楷体_GB2312" w:eastAsia="楷体_GB2312"/>
          <w:b/>
          <w:bCs/>
          <w:sz w:val="44"/>
          <w:szCs w:val="44"/>
          <w:lang w:val="zh-CN"/>
        </w:rPr>
        <w:sectPr>
          <w:footerReference r:id="rId4" w:type="default"/>
          <w:pgSz w:w="11907" w:h="16839"/>
          <w:pgMar w:top="1418" w:right="1588" w:bottom="1418" w:left="1588" w:header="851" w:footer="851" w:gutter="0"/>
          <w:pgNumType w:start="2"/>
          <w:cols w:space="720" w:num="1"/>
          <w:docGrid w:linePitch="286" w:charSpace="0"/>
        </w:sectPr>
      </w:pPr>
    </w:p>
    <w:p>
      <w:pPr>
        <w:spacing w:line="360" w:lineRule="auto"/>
        <w:jc w:val="center"/>
        <w:rPr>
          <w:rFonts w:ascii="仿宋" w:hAnsi="仿宋" w:eastAsia="仿宋" w:cs="仿宋"/>
          <w:b/>
          <w:bCs/>
          <w:sz w:val="44"/>
          <w:szCs w:val="44"/>
          <w:lang w:val="zh-CN"/>
        </w:rPr>
      </w:pPr>
      <w:r>
        <w:rPr>
          <w:rFonts w:hint="eastAsia" w:ascii="仿宋" w:hAnsi="仿宋" w:eastAsia="仿宋" w:cs="仿宋"/>
          <w:b/>
          <w:bCs/>
          <w:sz w:val="44"/>
          <w:szCs w:val="44"/>
          <w:lang w:val="zh-CN"/>
        </w:rPr>
        <w:t>目   录</w:t>
      </w:r>
    </w:p>
    <w:p>
      <w:pPr>
        <w:autoSpaceDE w:val="0"/>
        <w:autoSpaceDN w:val="0"/>
        <w:adjustRightInd w:val="0"/>
        <w:spacing w:line="480" w:lineRule="auto"/>
        <w:ind w:firstLine="556"/>
        <w:rPr>
          <w:rFonts w:ascii="仿宋" w:hAnsi="仿宋" w:eastAsia="仿宋" w:cs="仿宋"/>
          <w:b/>
          <w:bCs/>
          <w:sz w:val="32"/>
          <w:szCs w:val="32"/>
        </w:rPr>
      </w:pPr>
    </w:p>
    <w:p>
      <w:pPr>
        <w:autoSpaceDE w:val="0"/>
        <w:autoSpaceDN w:val="0"/>
        <w:adjustRightInd w:val="0"/>
        <w:spacing w:line="480" w:lineRule="auto"/>
        <w:ind w:firstLine="537"/>
        <w:rPr>
          <w:rFonts w:ascii="仿宋" w:hAnsi="仿宋" w:eastAsia="仿宋" w:cs="仿宋"/>
          <w:b/>
          <w:bCs/>
          <w:sz w:val="32"/>
          <w:szCs w:val="32"/>
          <w:lang w:val="zh-CN"/>
        </w:rPr>
      </w:pPr>
      <w:r>
        <w:rPr>
          <w:rFonts w:hint="eastAsia" w:ascii="仿宋" w:hAnsi="仿宋" w:eastAsia="仿宋" w:cs="仿宋"/>
          <w:b/>
          <w:bCs/>
          <w:sz w:val="32"/>
          <w:szCs w:val="32"/>
        </w:rPr>
        <w:t>第一部分  竞争性磋商</w:t>
      </w:r>
      <w:r>
        <w:rPr>
          <w:rFonts w:hint="eastAsia" w:ascii="仿宋" w:hAnsi="仿宋" w:eastAsia="仿宋" w:cs="仿宋"/>
          <w:b/>
          <w:bCs/>
          <w:sz w:val="32"/>
          <w:szCs w:val="32"/>
          <w:lang w:val="zh-CN"/>
        </w:rPr>
        <w:t>公告</w:t>
      </w:r>
    </w:p>
    <w:p>
      <w:pPr>
        <w:autoSpaceDE w:val="0"/>
        <w:autoSpaceDN w:val="0"/>
        <w:adjustRightInd w:val="0"/>
        <w:spacing w:line="480" w:lineRule="auto"/>
        <w:ind w:firstLine="537"/>
        <w:rPr>
          <w:rFonts w:ascii="仿宋" w:hAnsi="仿宋" w:eastAsia="仿宋" w:cs="仿宋"/>
          <w:b/>
          <w:bCs/>
          <w:sz w:val="32"/>
          <w:szCs w:val="32"/>
          <w:lang w:val="zh-CN"/>
        </w:rPr>
      </w:pPr>
      <w:r>
        <w:rPr>
          <w:rFonts w:hint="eastAsia" w:ascii="仿宋" w:hAnsi="仿宋" w:eastAsia="仿宋" w:cs="仿宋"/>
          <w:b/>
          <w:bCs/>
          <w:sz w:val="32"/>
          <w:szCs w:val="32"/>
        </w:rPr>
        <w:t>第二部分  磋商</w:t>
      </w:r>
      <w:r>
        <w:rPr>
          <w:rFonts w:hint="eastAsia" w:ascii="仿宋" w:hAnsi="仿宋" w:eastAsia="仿宋" w:cs="仿宋"/>
          <w:b/>
          <w:bCs/>
          <w:sz w:val="32"/>
          <w:szCs w:val="32"/>
          <w:lang w:val="zh-CN"/>
        </w:rPr>
        <w:t>须知</w:t>
      </w:r>
    </w:p>
    <w:p>
      <w:pPr>
        <w:autoSpaceDE w:val="0"/>
        <w:autoSpaceDN w:val="0"/>
        <w:adjustRightInd w:val="0"/>
        <w:spacing w:line="480" w:lineRule="auto"/>
        <w:ind w:firstLine="537"/>
        <w:rPr>
          <w:rFonts w:ascii="仿宋" w:hAnsi="仿宋" w:eastAsia="仿宋" w:cs="仿宋"/>
          <w:b/>
          <w:bCs/>
          <w:sz w:val="32"/>
          <w:szCs w:val="32"/>
          <w:lang w:val="zh-CN"/>
        </w:rPr>
      </w:pPr>
      <w:r>
        <w:rPr>
          <w:rFonts w:hint="eastAsia" w:ascii="仿宋" w:hAnsi="仿宋" w:eastAsia="仿宋" w:cs="仿宋"/>
          <w:b/>
          <w:bCs/>
          <w:sz w:val="32"/>
          <w:szCs w:val="32"/>
        </w:rPr>
        <w:t xml:space="preserve">第三部分  </w:t>
      </w:r>
      <w:r>
        <w:rPr>
          <w:rFonts w:hint="eastAsia" w:ascii="仿宋" w:hAnsi="仿宋" w:eastAsia="仿宋" w:cs="仿宋"/>
          <w:b/>
          <w:bCs/>
          <w:sz w:val="32"/>
          <w:szCs w:val="32"/>
          <w:lang w:val="zh-CN"/>
        </w:rPr>
        <w:t>项目需求</w:t>
      </w:r>
    </w:p>
    <w:p>
      <w:pPr>
        <w:autoSpaceDE w:val="0"/>
        <w:autoSpaceDN w:val="0"/>
        <w:adjustRightInd w:val="0"/>
        <w:spacing w:line="480" w:lineRule="auto"/>
        <w:ind w:firstLine="537"/>
        <w:rPr>
          <w:rFonts w:ascii="仿宋" w:hAnsi="仿宋" w:eastAsia="仿宋" w:cs="仿宋"/>
          <w:b/>
          <w:bCs/>
          <w:sz w:val="32"/>
          <w:szCs w:val="32"/>
          <w:lang w:val="zh-CN"/>
        </w:rPr>
      </w:pPr>
      <w:r>
        <w:rPr>
          <w:rFonts w:hint="eastAsia" w:ascii="仿宋" w:hAnsi="仿宋" w:eastAsia="仿宋" w:cs="仿宋"/>
          <w:b/>
          <w:bCs/>
          <w:sz w:val="32"/>
          <w:szCs w:val="32"/>
        </w:rPr>
        <w:t>第四部分  磋商</w:t>
      </w:r>
      <w:r>
        <w:rPr>
          <w:rFonts w:hint="eastAsia" w:ascii="仿宋" w:hAnsi="仿宋" w:eastAsia="仿宋" w:cs="仿宋"/>
          <w:b/>
          <w:bCs/>
          <w:sz w:val="32"/>
          <w:szCs w:val="32"/>
          <w:lang w:val="zh-CN"/>
        </w:rPr>
        <w:t>程序和内容</w:t>
      </w:r>
    </w:p>
    <w:p>
      <w:pPr>
        <w:autoSpaceDE w:val="0"/>
        <w:autoSpaceDN w:val="0"/>
        <w:adjustRightInd w:val="0"/>
        <w:spacing w:line="480" w:lineRule="auto"/>
        <w:ind w:firstLine="537"/>
        <w:rPr>
          <w:rFonts w:ascii="仿宋" w:hAnsi="仿宋" w:eastAsia="仿宋" w:cs="仿宋"/>
          <w:b/>
          <w:bCs/>
          <w:sz w:val="32"/>
          <w:szCs w:val="32"/>
        </w:rPr>
      </w:pPr>
      <w:r>
        <w:rPr>
          <w:rFonts w:hint="eastAsia" w:ascii="仿宋" w:hAnsi="仿宋" w:eastAsia="仿宋" w:cs="仿宋"/>
          <w:b/>
          <w:bCs/>
          <w:sz w:val="32"/>
          <w:szCs w:val="32"/>
        </w:rPr>
        <w:t>第五部分  合同签订与验收付款</w:t>
      </w:r>
    </w:p>
    <w:p>
      <w:pPr>
        <w:autoSpaceDE w:val="0"/>
        <w:autoSpaceDN w:val="0"/>
        <w:adjustRightInd w:val="0"/>
        <w:spacing w:line="480" w:lineRule="auto"/>
        <w:ind w:firstLine="537"/>
        <w:rPr>
          <w:rFonts w:ascii="仿宋" w:hAnsi="仿宋" w:eastAsia="仿宋" w:cs="仿宋"/>
          <w:b/>
          <w:bCs/>
          <w:sz w:val="32"/>
          <w:szCs w:val="32"/>
        </w:rPr>
      </w:pPr>
      <w:r>
        <w:rPr>
          <w:rFonts w:hint="eastAsia" w:ascii="仿宋" w:hAnsi="仿宋" w:eastAsia="仿宋" w:cs="仿宋"/>
          <w:b/>
          <w:bCs/>
          <w:sz w:val="32"/>
          <w:szCs w:val="32"/>
        </w:rPr>
        <w:t>第六部分  质疑提出和处理</w:t>
      </w:r>
    </w:p>
    <w:p>
      <w:pPr>
        <w:autoSpaceDE w:val="0"/>
        <w:autoSpaceDN w:val="0"/>
        <w:adjustRightInd w:val="0"/>
        <w:spacing w:line="480" w:lineRule="auto"/>
        <w:ind w:firstLine="537"/>
        <w:rPr>
          <w:rFonts w:ascii="仿宋" w:hAnsi="仿宋" w:eastAsia="仿宋" w:cs="仿宋"/>
          <w:b/>
          <w:bCs/>
          <w:sz w:val="32"/>
          <w:szCs w:val="32"/>
          <w:lang w:val="zh-CN"/>
        </w:rPr>
      </w:pPr>
      <w:r>
        <w:rPr>
          <w:rFonts w:hint="eastAsia" w:ascii="仿宋" w:hAnsi="仿宋" w:eastAsia="仿宋" w:cs="仿宋"/>
          <w:b/>
          <w:bCs/>
          <w:sz w:val="32"/>
          <w:szCs w:val="32"/>
        </w:rPr>
        <w:t>第七部分  响应</w:t>
      </w:r>
      <w:r>
        <w:rPr>
          <w:rFonts w:hint="eastAsia" w:ascii="仿宋" w:hAnsi="仿宋" w:eastAsia="仿宋" w:cs="仿宋"/>
          <w:b/>
          <w:bCs/>
          <w:sz w:val="32"/>
          <w:szCs w:val="32"/>
          <w:lang w:val="zh-CN"/>
        </w:rPr>
        <w:t>文件</w:t>
      </w:r>
      <w:r>
        <w:rPr>
          <w:rFonts w:hint="eastAsia" w:ascii="仿宋" w:hAnsi="仿宋" w:eastAsia="仿宋" w:cs="仿宋"/>
          <w:b/>
          <w:bCs/>
          <w:sz w:val="32"/>
          <w:szCs w:val="32"/>
        </w:rPr>
        <w:t>组成</w:t>
      </w:r>
    </w:p>
    <w:p>
      <w:pPr>
        <w:autoSpaceDE w:val="0"/>
        <w:autoSpaceDN w:val="0"/>
        <w:adjustRightInd w:val="0"/>
        <w:snapToGrid w:val="0"/>
        <w:jc w:val="center"/>
        <w:outlineLvl w:val="0"/>
        <w:rPr>
          <w:rFonts w:ascii="仿宋_GB2312" w:eastAsia="仿宋_GB2312"/>
          <w:b/>
          <w:bCs/>
          <w:sz w:val="36"/>
          <w:szCs w:val="36"/>
          <w:lang w:val="zh-CN"/>
        </w:rPr>
      </w:pPr>
      <w:r>
        <w:rPr>
          <w:rFonts w:hint="eastAsia" w:ascii="仿宋" w:hAnsi="仿宋" w:eastAsia="仿宋" w:cs="仿宋"/>
          <w:b/>
          <w:bCs/>
          <w:sz w:val="36"/>
          <w:szCs w:val="36"/>
          <w:lang w:val="zh-CN"/>
        </w:rPr>
        <w:br w:type="page"/>
      </w:r>
      <w:r>
        <w:rPr>
          <w:rFonts w:hint="eastAsia" w:ascii="仿宋_GB2312" w:eastAsia="仿宋_GB2312"/>
          <w:b/>
          <w:bCs/>
          <w:sz w:val="36"/>
          <w:szCs w:val="36"/>
          <w:lang w:val="zh-CN"/>
        </w:rPr>
        <w:t xml:space="preserve">第一部分  </w:t>
      </w:r>
      <w:bookmarkStart w:id="3" w:name="OLE_LINK1"/>
      <w:r>
        <w:rPr>
          <w:rFonts w:hint="eastAsia" w:ascii="仿宋_GB2312" w:eastAsia="仿宋_GB2312"/>
          <w:b/>
          <w:bCs/>
          <w:sz w:val="36"/>
          <w:szCs w:val="36"/>
          <w:lang w:val="zh-CN"/>
        </w:rPr>
        <w:t>竞争性磋商公告</w:t>
      </w:r>
    </w:p>
    <w:p>
      <w:pPr>
        <w:snapToGrid w:val="0"/>
        <w:spacing w:line="480" w:lineRule="exact"/>
        <w:ind w:firstLine="482" w:firstLineChars="200"/>
        <w:rPr>
          <w:b/>
          <w:sz w:val="24"/>
        </w:rPr>
      </w:pPr>
      <w:bookmarkStart w:id="4" w:name="_Hlk137773266"/>
      <w:r>
        <w:rPr>
          <w:b/>
          <w:sz w:val="24"/>
        </w:rPr>
        <w:t>一、项目基本情况</w:t>
      </w:r>
    </w:p>
    <w:p>
      <w:pPr>
        <w:snapToGrid w:val="0"/>
        <w:spacing w:line="480" w:lineRule="exact"/>
        <w:ind w:firstLine="480" w:firstLineChars="200"/>
        <w:rPr>
          <w:sz w:val="24"/>
        </w:rPr>
      </w:pPr>
      <w:r>
        <w:rPr>
          <w:sz w:val="24"/>
        </w:rPr>
        <w:t>项目名称：</w:t>
      </w:r>
      <w:r>
        <w:rPr>
          <w:rFonts w:hint="eastAsia"/>
          <w:sz w:val="24"/>
        </w:rPr>
        <w:t>南通市妇幼保健院（南通市妇幼保健计划生育服务中心）两癌筛查（小程序）项目</w:t>
      </w:r>
    </w:p>
    <w:p>
      <w:pPr>
        <w:snapToGrid w:val="0"/>
        <w:spacing w:line="480" w:lineRule="exact"/>
        <w:ind w:firstLine="480" w:firstLineChars="200"/>
        <w:rPr>
          <w:sz w:val="24"/>
        </w:rPr>
      </w:pPr>
      <w:r>
        <w:rPr>
          <w:rFonts w:hint="eastAsia"/>
          <w:sz w:val="24"/>
        </w:rPr>
        <w:t>采购方式：竞争性磋商</w:t>
      </w:r>
    </w:p>
    <w:p>
      <w:pPr>
        <w:snapToGrid w:val="0"/>
        <w:spacing w:line="480" w:lineRule="exact"/>
        <w:ind w:firstLine="480" w:firstLineChars="200"/>
        <w:rPr>
          <w:color w:val="000000"/>
          <w:sz w:val="24"/>
        </w:rPr>
      </w:pPr>
      <w:r>
        <w:rPr>
          <w:color w:val="000000"/>
          <w:sz w:val="24"/>
        </w:rPr>
        <w:t>预算金额：</w:t>
      </w:r>
      <w:r>
        <w:rPr>
          <w:rFonts w:hint="eastAsia"/>
          <w:color w:val="000000"/>
          <w:sz w:val="24"/>
        </w:rPr>
        <w:t>10万元</w:t>
      </w:r>
    </w:p>
    <w:p>
      <w:pPr>
        <w:snapToGrid w:val="0"/>
        <w:spacing w:line="480" w:lineRule="exact"/>
        <w:ind w:firstLine="480" w:firstLineChars="200"/>
        <w:rPr>
          <w:color w:val="000000"/>
          <w:sz w:val="24"/>
        </w:rPr>
      </w:pPr>
      <w:r>
        <w:rPr>
          <w:rFonts w:hint="eastAsia"/>
          <w:color w:val="000000"/>
          <w:sz w:val="24"/>
        </w:rPr>
        <w:t>最高限价：10万元</w:t>
      </w:r>
    </w:p>
    <w:p>
      <w:pPr>
        <w:snapToGrid w:val="0"/>
        <w:spacing w:line="480" w:lineRule="exact"/>
        <w:ind w:firstLine="480" w:firstLineChars="200"/>
        <w:rPr>
          <w:sz w:val="24"/>
        </w:rPr>
      </w:pPr>
      <w:r>
        <w:rPr>
          <w:sz w:val="24"/>
        </w:rPr>
        <w:t>采购需求：详见</w:t>
      </w:r>
      <w:r>
        <w:rPr>
          <w:spacing w:val="7"/>
          <w:kern w:val="0"/>
          <w:sz w:val="24"/>
        </w:rPr>
        <w:t>第三部分</w:t>
      </w:r>
      <w:r>
        <w:rPr>
          <w:sz w:val="24"/>
        </w:rPr>
        <w:t>项目需求</w:t>
      </w:r>
    </w:p>
    <w:p>
      <w:pPr>
        <w:snapToGrid w:val="0"/>
        <w:spacing w:line="480" w:lineRule="exact"/>
        <w:ind w:firstLine="480" w:firstLineChars="200"/>
        <w:rPr>
          <w:sz w:val="24"/>
        </w:rPr>
      </w:pPr>
      <w:r>
        <w:rPr>
          <w:sz w:val="24"/>
        </w:rPr>
        <w:t>本项目不接受联合体</w:t>
      </w:r>
      <w:r>
        <w:rPr>
          <w:rFonts w:hint="eastAsia"/>
          <w:sz w:val="24"/>
        </w:rPr>
        <w:t>响应</w:t>
      </w:r>
      <w:r>
        <w:rPr>
          <w:sz w:val="24"/>
        </w:rPr>
        <w:t>。</w:t>
      </w:r>
    </w:p>
    <w:p>
      <w:pPr>
        <w:snapToGrid w:val="0"/>
        <w:spacing w:line="480" w:lineRule="exact"/>
        <w:ind w:firstLine="482" w:firstLineChars="200"/>
        <w:rPr>
          <w:b/>
          <w:sz w:val="24"/>
        </w:rPr>
      </w:pPr>
      <w:r>
        <w:rPr>
          <w:b/>
          <w:sz w:val="24"/>
        </w:rPr>
        <w:t>二、申请人的资格要求：</w:t>
      </w:r>
    </w:p>
    <w:p>
      <w:pPr>
        <w:snapToGrid w:val="0"/>
        <w:spacing w:line="480" w:lineRule="exact"/>
        <w:ind w:firstLine="480" w:firstLineChars="200"/>
        <w:rPr>
          <w:sz w:val="24"/>
          <w:highlight w:val="yellow"/>
        </w:rPr>
      </w:pPr>
      <w:r>
        <w:rPr>
          <w:rFonts w:hint="eastAsia"/>
          <w:sz w:val="24"/>
        </w:rPr>
        <w:t>1、具有独立承担民事责任的能力；具有良好的商业信誉和健全的财务会计制度；具有履行合同所必需的设备和专业技术能力；有依法缴纳税收和社会保障资金的良好记录；参加本项目采购活动前三年内，在经营活动中没有重大违法记录；法律、行政法规规定的其他条件。</w:t>
      </w:r>
    </w:p>
    <w:p>
      <w:pPr>
        <w:snapToGrid w:val="0"/>
        <w:spacing w:line="480" w:lineRule="exact"/>
        <w:ind w:firstLine="480" w:firstLineChars="200"/>
        <w:rPr>
          <w:sz w:val="24"/>
        </w:rPr>
      </w:pPr>
      <w:r>
        <w:rPr>
          <w:rFonts w:hint="eastAsia"/>
          <w:sz w:val="24"/>
        </w:rPr>
        <w:t>2、供应商未被列入失信被执行人、异常经营名录、税收违法黑名单【以在“信用中国”网站（www.creditchina.gov.cn）查询的提交首次响应文件截止日前三年内的信用记录为准】。</w:t>
      </w:r>
    </w:p>
    <w:p>
      <w:pPr>
        <w:snapToGrid w:val="0"/>
        <w:spacing w:line="480" w:lineRule="exact"/>
        <w:ind w:firstLine="480" w:firstLineChars="200"/>
        <w:rPr>
          <w:sz w:val="24"/>
        </w:rPr>
      </w:pPr>
      <w:r>
        <w:rPr>
          <w:rFonts w:hint="eastAsia"/>
          <w:sz w:val="24"/>
        </w:rPr>
        <w:t>具体要求详见本采购文件第七部分响应文件组成中的资格审查文件要求。</w:t>
      </w:r>
    </w:p>
    <w:p>
      <w:pPr>
        <w:snapToGrid w:val="0"/>
        <w:spacing w:line="480" w:lineRule="exact"/>
        <w:ind w:firstLine="480" w:firstLineChars="200"/>
        <w:rPr>
          <w:sz w:val="24"/>
        </w:rPr>
      </w:pPr>
      <w:r>
        <w:rPr>
          <w:rFonts w:hint="eastAsia"/>
          <w:sz w:val="24"/>
        </w:rPr>
        <w:t>注：单位负责人为同一人或者存在控股、管理关系的不同单位，不得参加同一标段投标或者未划分标段的同一招标项目的招标。</w:t>
      </w:r>
    </w:p>
    <w:p>
      <w:pPr>
        <w:snapToGrid w:val="0"/>
        <w:spacing w:line="480" w:lineRule="exact"/>
        <w:ind w:firstLine="482" w:firstLineChars="200"/>
        <w:rPr>
          <w:b/>
          <w:sz w:val="24"/>
        </w:rPr>
      </w:pPr>
      <w:r>
        <w:rPr>
          <w:b/>
          <w:sz w:val="24"/>
        </w:rPr>
        <w:t>三、获取</w:t>
      </w:r>
      <w:r>
        <w:rPr>
          <w:rFonts w:hint="eastAsia"/>
          <w:b/>
          <w:sz w:val="24"/>
        </w:rPr>
        <w:t>采购</w:t>
      </w:r>
      <w:r>
        <w:rPr>
          <w:b/>
          <w:sz w:val="24"/>
        </w:rPr>
        <w:t>文件</w:t>
      </w:r>
    </w:p>
    <w:p>
      <w:pPr>
        <w:snapToGrid w:val="0"/>
        <w:spacing w:line="480" w:lineRule="exact"/>
        <w:ind w:firstLine="480" w:firstLineChars="200"/>
        <w:rPr>
          <w:sz w:val="24"/>
        </w:rPr>
      </w:pPr>
      <w:r>
        <w:rPr>
          <w:sz w:val="24"/>
        </w:rPr>
        <w:t>时间：</w:t>
      </w:r>
      <w:r>
        <w:rPr>
          <w:rFonts w:hint="eastAsia"/>
          <w:sz w:val="24"/>
        </w:rPr>
        <w:t>自本项目竞争性磋商公告发布之日起</w:t>
      </w:r>
      <w:r>
        <w:rPr>
          <w:sz w:val="24"/>
        </w:rPr>
        <w:t>至</w:t>
      </w:r>
      <w:r>
        <w:rPr>
          <w:b/>
          <w:bCs/>
          <w:sz w:val="24"/>
        </w:rPr>
        <w:t>2023年</w:t>
      </w:r>
      <w:r>
        <w:rPr>
          <w:rFonts w:hint="eastAsia"/>
          <w:b/>
          <w:bCs/>
          <w:sz w:val="24"/>
          <w:lang w:val="en-US" w:eastAsia="zh-CN"/>
        </w:rPr>
        <w:t>11</w:t>
      </w:r>
      <w:r>
        <w:rPr>
          <w:b/>
          <w:bCs/>
          <w:sz w:val="24"/>
        </w:rPr>
        <w:t>月</w:t>
      </w:r>
      <w:r>
        <w:rPr>
          <w:rFonts w:hint="eastAsia"/>
          <w:b/>
          <w:bCs/>
          <w:sz w:val="24"/>
          <w:lang w:val="en-US" w:eastAsia="zh-CN"/>
        </w:rPr>
        <w:t>30</w:t>
      </w:r>
      <w:r>
        <w:rPr>
          <w:b/>
          <w:bCs/>
          <w:sz w:val="24"/>
        </w:rPr>
        <w:t>日</w:t>
      </w:r>
      <w:r>
        <w:rPr>
          <w:sz w:val="24"/>
        </w:rPr>
        <w:t>。</w:t>
      </w:r>
    </w:p>
    <w:p>
      <w:pPr>
        <w:snapToGrid w:val="0"/>
        <w:spacing w:line="480" w:lineRule="exact"/>
        <w:ind w:firstLine="480" w:firstLineChars="200"/>
        <w:rPr>
          <w:bCs/>
          <w:sz w:val="24"/>
        </w:rPr>
      </w:pPr>
      <w:r>
        <w:rPr>
          <w:rFonts w:hint="eastAsia"/>
          <w:sz w:val="24"/>
        </w:rPr>
        <w:t>方式：携带营业执照副本复印件和授权书原件至江苏方桂圆工程项目管理有限公司（南通市世纪大道恒隆国际大厦A座701室）获取采购文件（每日工作时间：上午9:00—11:30，下午14:00—17:30，节假日除外），采购文件300元/份。联系电话：13515206113。</w:t>
      </w:r>
      <w:r>
        <w:rPr>
          <w:rFonts w:hint="eastAsia"/>
          <w:bCs/>
          <w:sz w:val="24"/>
        </w:rPr>
        <w:t>未按要求获取采购文件的供应商不得参与本项目磋商。</w:t>
      </w:r>
    </w:p>
    <w:p>
      <w:pPr>
        <w:snapToGrid w:val="0"/>
        <w:spacing w:line="480" w:lineRule="exact"/>
        <w:ind w:firstLine="480" w:firstLineChars="200"/>
        <w:rPr>
          <w:bCs/>
          <w:sz w:val="24"/>
        </w:rPr>
      </w:pPr>
      <w:r>
        <w:rPr>
          <w:rFonts w:hint="eastAsia"/>
          <w:bCs/>
          <w:sz w:val="24"/>
        </w:rPr>
        <w:t>有关本次磋商的事项若存在变动或修改，敬请及时关注南通市卫生健康委员会官网（http://wjw.nantong.gov.cn）和南通市妇幼保健院官网（http://www.ntfybj.com）发布的信息更正公告，恕不另行通知，如有遗漏采购单位概不负责。</w:t>
      </w:r>
    </w:p>
    <w:p>
      <w:pPr>
        <w:snapToGrid w:val="0"/>
        <w:spacing w:line="480" w:lineRule="exact"/>
        <w:ind w:firstLine="482" w:firstLineChars="200"/>
        <w:rPr>
          <w:b/>
          <w:sz w:val="24"/>
        </w:rPr>
      </w:pPr>
      <w:r>
        <w:rPr>
          <w:b/>
          <w:sz w:val="24"/>
        </w:rPr>
        <w:t>四、</w:t>
      </w:r>
      <w:r>
        <w:rPr>
          <w:rFonts w:hint="eastAsia"/>
          <w:b/>
          <w:sz w:val="24"/>
        </w:rPr>
        <w:t>响应</w:t>
      </w:r>
      <w:r>
        <w:rPr>
          <w:b/>
          <w:sz w:val="24"/>
        </w:rPr>
        <w:t>文件</w:t>
      </w:r>
      <w:r>
        <w:rPr>
          <w:rFonts w:hint="eastAsia"/>
          <w:b/>
          <w:sz w:val="24"/>
        </w:rPr>
        <w:t>提交</w:t>
      </w:r>
    </w:p>
    <w:p>
      <w:pPr>
        <w:snapToGrid w:val="0"/>
        <w:spacing w:line="480" w:lineRule="exact"/>
        <w:ind w:firstLine="480" w:firstLineChars="200"/>
        <w:rPr>
          <w:sz w:val="24"/>
        </w:rPr>
      </w:pPr>
      <w:r>
        <w:rPr>
          <w:rFonts w:hint="eastAsia"/>
          <w:sz w:val="24"/>
        </w:rPr>
        <w:t>响应文件提交截止时间：</w:t>
      </w:r>
      <w:r>
        <w:rPr>
          <w:b/>
          <w:bCs/>
          <w:sz w:val="24"/>
          <w:u w:val="single"/>
        </w:rPr>
        <w:t>2023年</w:t>
      </w:r>
      <w:r>
        <w:rPr>
          <w:rFonts w:hint="eastAsia"/>
          <w:b/>
          <w:bCs/>
          <w:sz w:val="24"/>
          <w:u w:val="single"/>
          <w:lang w:val="en-US" w:eastAsia="zh-CN"/>
        </w:rPr>
        <w:t>12</w:t>
      </w:r>
      <w:r>
        <w:rPr>
          <w:b/>
          <w:bCs/>
          <w:sz w:val="24"/>
          <w:u w:val="single"/>
        </w:rPr>
        <w:t>月</w:t>
      </w:r>
      <w:r>
        <w:rPr>
          <w:rFonts w:hint="eastAsia"/>
          <w:b/>
          <w:bCs/>
          <w:sz w:val="24"/>
          <w:u w:val="single"/>
          <w:lang w:val="en-US" w:eastAsia="zh-CN"/>
        </w:rPr>
        <w:t>5</w:t>
      </w:r>
      <w:r>
        <w:rPr>
          <w:b/>
          <w:bCs/>
          <w:sz w:val="24"/>
          <w:u w:val="single"/>
        </w:rPr>
        <w:t>日</w:t>
      </w:r>
      <w:r>
        <w:rPr>
          <w:rFonts w:hint="eastAsia"/>
          <w:b/>
          <w:bCs/>
          <w:sz w:val="24"/>
          <w:u w:val="single"/>
        </w:rPr>
        <w:t>14</w:t>
      </w:r>
      <w:r>
        <w:rPr>
          <w:b/>
          <w:bCs/>
          <w:sz w:val="24"/>
          <w:u w:val="single"/>
        </w:rPr>
        <w:t>点</w:t>
      </w:r>
      <w:r>
        <w:rPr>
          <w:rFonts w:hint="eastAsia"/>
          <w:b/>
          <w:bCs/>
          <w:sz w:val="24"/>
          <w:u w:val="single"/>
        </w:rPr>
        <w:t>30</w:t>
      </w:r>
      <w:r>
        <w:rPr>
          <w:b/>
          <w:bCs/>
          <w:sz w:val="24"/>
          <w:u w:val="single"/>
        </w:rPr>
        <w:t>分</w:t>
      </w:r>
      <w:r>
        <w:rPr>
          <w:sz w:val="24"/>
        </w:rPr>
        <w:t>（北京时间）</w:t>
      </w:r>
      <w:r>
        <w:rPr>
          <w:rFonts w:hint="eastAsia"/>
          <w:sz w:val="24"/>
        </w:rPr>
        <w:t>，</w:t>
      </w:r>
      <w:r>
        <w:rPr>
          <w:sz w:val="24"/>
        </w:rPr>
        <w:t>逾时拒绝接收</w:t>
      </w:r>
      <w:r>
        <w:rPr>
          <w:rFonts w:hint="eastAsia"/>
          <w:sz w:val="24"/>
        </w:rPr>
        <w:t>磋商</w:t>
      </w:r>
      <w:r>
        <w:rPr>
          <w:sz w:val="24"/>
        </w:rPr>
        <w:t>响应文件</w:t>
      </w:r>
      <w:r>
        <w:rPr>
          <w:rFonts w:hint="eastAsia"/>
          <w:sz w:val="24"/>
        </w:rPr>
        <w:t>。提交</w:t>
      </w:r>
      <w:r>
        <w:rPr>
          <w:sz w:val="24"/>
        </w:rPr>
        <w:t>地点：</w:t>
      </w:r>
      <w:r>
        <w:rPr>
          <w:rFonts w:hint="eastAsia"/>
          <w:sz w:val="24"/>
        </w:rPr>
        <w:t>江苏方桂圆工程项目管理有限公司（南通市世纪大道恒隆国际大厦A座701室）</w:t>
      </w:r>
      <w:r>
        <w:rPr>
          <w:sz w:val="24"/>
        </w:rPr>
        <w:t>，如有变动另行通知。</w:t>
      </w:r>
    </w:p>
    <w:p>
      <w:pPr>
        <w:snapToGrid w:val="0"/>
        <w:spacing w:line="480" w:lineRule="exact"/>
        <w:ind w:firstLine="482" w:firstLineChars="200"/>
        <w:rPr>
          <w:b/>
          <w:sz w:val="24"/>
        </w:rPr>
      </w:pPr>
      <w:r>
        <w:rPr>
          <w:rFonts w:hint="eastAsia"/>
          <w:b/>
          <w:sz w:val="24"/>
        </w:rPr>
        <w:t>五、开启</w:t>
      </w:r>
    </w:p>
    <w:p>
      <w:pPr>
        <w:snapToGrid w:val="0"/>
        <w:spacing w:line="480" w:lineRule="exact"/>
        <w:ind w:firstLine="480" w:firstLineChars="200"/>
        <w:rPr>
          <w:sz w:val="24"/>
        </w:rPr>
      </w:pPr>
      <w:r>
        <w:rPr>
          <w:rFonts w:hint="eastAsia"/>
          <w:sz w:val="24"/>
        </w:rPr>
        <w:t>时间：</w:t>
      </w:r>
      <w:r>
        <w:rPr>
          <w:sz w:val="24"/>
          <w:u w:val="single"/>
        </w:rPr>
        <w:t>2023年</w:t>
      </w:r>
      <w:r>
        <w:rPr>
          <w:rFonts w:hint="eastAsia"/>
          <w:sz w:val="24"/>
          <w:u w:val="single"/>
          <w:lang w:val="en-US" w:eastAsia="zh-CN"/>
        </w:rPr>
        <w:t>12</w:t>
      </w:r>
      <w:r>
        <w:rPr>
          <w:sz w:val="24"/>
          <w:u w:val="single"/>
        </w:rPr>
        <w:t>月</w:t>
      </w:r>
      <w:r>
        <w:rPr>
          <w:rFonts w:hint="eastAsia"/>
          <w:sz w:val="24"/>
          <w:u w:val="single"/>
          <w:lang w:val="en-US" w:eastAsia="zh-CN"/>
        </w:rPr>
        <w:t>5</w:t>
      </w:r>
      <w:r>
        <w:rPr>
          <w:sz w:val="24"/>
          <w:u w:val="single"/>
        </w:rPr>
        <w:t>日</w:t>
      </w:r>
      <w:r>
        <w:rPr>
          <w:rFonts w:hint="eastAsia"/>
          <w:sz w:val="24"/>
          <w:u w:val="single"/>
        </w:rPr>
        <w:t>14</w:t>
      </w:r>
      <w:r>
        <w:rPr>
          <w:sz w:val="24"/>
          <w:u w:val="single"/>
        </w:rPr>
        <w:t>点</w:t>
      </w:r>
      <w:r>
        <w:rPr>
          <w:rFonts w:hint="eastAsia"/>
          <w:sz w:val="24"/>
          <w:u w:val="single"/>
        </w:rPr>
        <w:t>30</w:t>
      </w:r>
      <w:r>
        <w:rPr>
          <w:sz w:val="24"/>
          <w:u w:val="single"/>
        </w:rPr>
        <w:t>分</w:t>
      </w:r>
      <w:r>
        <w:rPr>
          <w:sz w:val="24"/>
        </w:rPr>
        <w:t>（北京时间）</w:t>
      </w:r>
    </w:p>
    <w:p>
      <w:pPr>
        <w:snapToGrid w:val="0"/>
        <w:spacing w:line="480" w:lineRule="exact"/>
        <w:ind w:firstLine="480" w:firstLineChars="200"/>
        <w:rPr>
          <w:sz w:val="24"/>
        </w:rPr>
      </w:pPr>
      <w:r>
        <w:rPr>
          <w:rFonts w:hint="eastAsia"/>
          <w:sz w:val="24"/>
        </w:rPr>
        <w:t>地点：江苏方桂圆工程项目管理有限公司开标室</w:t>
      </w:r>
      <w:r>
        <w:rPr>
          <w:sz w:val="24"/>
        </w:rPr>
        <w:t>，如有变动另行通知。</w:t>
      </w:r>
    </w:p>
    <w:p>
      <w:pPr>
        <w:snapToGrid w:val="0"/>
        <w:spacing w:line="480" w:lineRule="exact"/>
        <w:ind w:firstLine="482" w:firstLineChars="200"/>
        <w:rPr>
          <w:b/>
          <w:sz w:val="24"/>
        </w:rPr>
      </w:pPr>
      <w:r>
        <w:rPr>
          <w:rFonts w:hint="eastAsia"/>
          <w:b/>
          <w:sz w:val="24"/>
        </w:rPr>
        <w:t>六</w:t>
      </w:r>
      <w:r>
        <w:rPr>
          <w:b/>
          <w:sz w:val="24"/>
        </w:rPr>
        <w:t>、公告期限</w:t>
      </w:r>
    </w:p>
    <w:p>
      <w:pPr>
        <w:snapToGrid w:val="0"/>
        <w:spacing w:line="480" w:lineRule="exact"/>
        <w:ind w:firstLine="480" w:firstLineChars="200"/>
        <w:rPr>
          <w:sz w:val="24"/>
        </w:rPr>
      </w:pPr>
      <w:r>
        <w:rPr>
          <w:sz w:val="24"/>
        </w:rPr>
        <w:t>自本公告发布之日起</w:t>
      </w:r>
      <w:r>
        <w:rPr>
          <w:rFonts w:hint="eastAsia"/>
          <w:sz w:val="24"/>
        </w:rPr>
        <w:t>3</w:t>
      </w:r>
      <w:r>
        <w:rPr>
          <w:sz w:val="24"/>
        </w:rPr>
        <w:t>个工作日。</w:t>
      </w:r>
    </w:p>
    <w:p>
      <w:pPr>
        <w:snapToGrid w:val="0"/>
        <w:spacing w:line="480" w:lineRule="exact"/>
        <w:ind w:firstLine="482" w:firstLineChars="200"/>
        <w:rPr>
          <w:b/>
          <w:sz w:val="24"/>
        </w:rPr>
      </w:pPr>
      <w:r>
        <w:rPr>
          <w:rFonts w:hint="eastAsia"/>
          <w:b/>
          <w:sz w:val="24"/>
        </w:rPr>
        <w:t>七</w:t>
      </w:r>
      <w:r>
        <w:rPr>
          <w:b/>
          <w:sz w:val="24"/>
        </w:rPr>
        <w:t>、其他补充事宜</w:t>
      </w:r>
    </w:p>
    <w:p>
      <w:pPr>
        <w:snapToGrid w:val="0"/>
        <w:spacing w:line="480" w:lineRule="exact"/>
        <w:ind w:firstLine="480" w:firstLineChars="200"/>
        <w:rPr>
          <w:sz w:val="24"/>
        </w:rPr>
      </w:pPr>
      <w:r>
        <w:rPr>
          <w:sz w:val="24"/>
        </w:rPr>
        <w:t>1</w:t>
      </w:r>
      <w:r>
        <w:rPr>
          <w:rFonts w:hint="eastAsia"/>
          <w:sz w:val="24"/>
        </w:rPr>
        <w:t>、投标</w:t>
      </w:r>
      <w:r>
        <w:rPr>
          <w:sz w:val="24"/>
        </w:rPr>
        <w:t>保证金：免收</w:t>
      </w:r>
    </w:p>
    <w:p>
      <w:pPr>
        <w:snapToGrid w:val="0"/>
        <w:spacing w:line="480" w:lineRule="exact"/>
        <w:ind w:firstLine="480" w:firstLineChars="200"/>
        <w:rPr>
          <w:b/>
          <w:sz w:val="24"/>
        </w:rPr>
      </w:pPr>
      <w:r>
        <w:rPr>
          <w:sz w:val="24"/>
        </w:rPr>
        <w:t>2</w:t>
      </w:r>
      <w:r>
        <w:rPr>
          <w:rFonts w:hint="eastAsia"/>
          <w:sz w:val="24"/>
        </w:rPr>
        <w:t>、</w:t>
      </w:r>
      <w:r>
        <w:rPr>
          <w:sz w:val="24"/>
        </w:rPr>
        <w:t>项目</w:t>
      </w:r>
      <w:r>
        <w:rPr>
          <w:rFonts w:hint="eastAsia"/>
          <w:sz w:val="24"/>
        </w:rPr>
        <w:t>磋商</w:t>
      </w:r>
      <w:r>
        <w:rPr>
          <w:sz w:val="24"/>
        </w:rPr>
        <w:t>活动模式：</w:t>
      </w:r>
      <w:r>
        <w:rPr>
          <w:bCs/>
          <w:sz w:val="24"/>
        </w:rPr>
        <w:t>现场模式</w:t>
      </w:r>
    </w:p>
    <w:p>
      <w:pPr>
        <w:snapToGrid w:val="0"/>
        <w:spacing w:line="480" w:lineRule="exact"/>
        <w:ind w:firstLine="480" w:firstLineChars="200"/>
        <w:rPr>
          <w:sz w:val="24"/>
        </w:rPr>
      </w:pPr>
      <w:r>
        <w:rPr>
          <w:sz w:val="24"/>
        </w:rPr>
        <w:t>3</w:t>
      </w:r>
      <w:r>
        <w:rPr>
          <w:rFonts w:hint="eastAsia"/>
          <w:sz w:val="24"/>
        </w:rPr>
        <w:t>、</w:t>
      </w:r>
      <w:r>
        <w:rPr>
          <w:sz w:val="24"/>
        </w:rPr>
        <w:t>项目演示、样品、答辩等：</w:t>
      </w:r>
      <w:r>
        <w:rPr>
          <w:rFonts w:hint="eastAsia"/>
          <w:sz w:val="24"/>
        </w:rPr>
        <w:t>无</w:t>
      </w:r>
    </w:p>
    <w:p>
      <w:pPr>
        <w:snapToGrid w:val="0"/>
        <w:spacing w:line="480" w:lineRule="exact"/>
        <w:ind w:firstLine="480" w:firstLineChars="200"/>
        <w:rPr>
          <w:sz w:val="24"/>
        </w:rPr>
      </w:pPr>
      <w:r>
        <w:rPr>
          <w:rFonts w:hint="eastAsia"/>
          <w:sz w:val="24"/>
        </w:rPr>
        <w:t>4、</w:t>
      </w:r>
      <w:r>
        <w:rPr>
          <w:sz w:val="24"/>
        </w:rPr>
        <w:t>供应商应依照规定提交各类声明函、承诺函，不再同时提供原件备查或提供有关部门出具的相关证明文件。但成交供应商，应做好提交声明函、承诺函相应原件的核查准备；核查后发现虚假或违背承诺的，依照相关法律法规规定处理。</w:t>
      </w:r>
    </w:p>
    <w:p>
      <w:pPr>
        <w:snapToGrid w:val="0"/>
        <w:spacing w:line="480" w:lineRule="exact"/>
        <w:ind w:firstLine="482" w:firstLineChars="200"/>
        <w:rPr>
          <w:b/>
          <w:sz w:val="24"/>
        </w:rPr>
      </w:pPr>
      <w:r>
        <w:rPr>
          <w:rFonts w:hint="eastAsia"/>
          <w:b/>
          <w:sz w:val="24"/>
        </w:rPr>
        <w:t>八</w:t>
      </w:r>
      <w:r>
        <w:rPr>
          <w:b/>
          <w:sz w:val="24"/>
        </w:rPr>
        <w:t>、</w:t>
      </w:r>
      <w:r>
        <w:rPr>
          <w:rFonts w:hint="eastAsia"/>
          <w:b/>
          <w:sz w:val="24"/>
        </w:rPr>
        <w:t>凡</w:t>
      </w:r>
      <w:r>
        <w:rPr>
          <w:b/>
          <w:sz w:val="24"/>
        </w:rPr>
        <w:t>对本次</w:t>
      </w:r>
      <w:r>
        <w:rPr>
          <w:rFonts w:hint="eastAsia"/>
          <w:b/>
          <w:sz w:val="24"/>
        </w:rPr>
        <w:t>采购</w:t>
      </w:r>
      <w:r>
        <w:rPr>
          <w:b/>
          <w:sz w:val="24"/>
        </w:rPr>
        <w:t>提出询问，请按以下方式联系。</w:t>
      </w:r>
    </w:p>
    <w:p>
      <w:pPr>
        <w:snapToGrid w:val="0"/>
        <w:spacing w:line="480" w:lineRule="exact"/>
        <w:ind w:firstLine="480" w:firstLineChars="200"/>
        <w:rPr>
          <w:sz w:val="24"/>
        </w:rPr>
      </w:pPr>
      <w:r>
        <w:rPr>
          <w:sz w:val="24"/>
        </w:rPr>
        <w:t>1</w:t>
      </w:r>
      <w:r>
        <w:rPr>
          <w:rFonts w:hint="eastAsia"/>
          <w:sz w:val="24"/>
        </w:rPr>
        <w:t>、</w:t>
      </w:r>
      <w:r>
        <w:rPr>
          <w:sz w:val="24"/>
        </w:rPr>
        <w:t>采购人信息</w:t>
      </w:r>
    </w:p>
    <w:p>
      <w:pPr>
        <w:snapToGrid w:val="0"/>
        <w:spacing w:line="480" w:lineRule="exact"/>
        <w:ind w:firstLine="480" w:firstLineChars="200"/>
        <w:rPr>
          <w:sz w:val="24"/>
          <w:u w:val="single"/>
        </w:rPr>
      </w:pPr>
      <w:r>
        <w:rPr>
          <w:sz w:val="24"/>
        </w:rPr>
        <w:t>名 称：</w:t>
      </w:r>
      <w:r>
        <w:rPr>
          <w:rFonts w:hint="eastAsia"/>
          <w:sz w:val="24"/>
        </w:rPr>
        <w:t>南通市妇幼保健院（南通市妇幼保健计划生育服务中心）；</w:t>
      </w:r>
    </w:p>
    <w:p>
      <w:pPr>
        <w:adjustRightInd w:val="0"/>
        <w:snapToGrid w:val="0"/>
        <w:spacing w:line="480" w:lineRule="exact"/>
        <w:ind w:firstLine="480" w:firstLineChars="200"/>
        <w:rPr>
          <w:sz w:val="24"/>
        </w:rPr>
      </w:pPr>
      <w:r>
        <w:rPr>
          <w:rFonts w:hint="eastAsia"/>
          <w:sz w:val="24"/>
        </w:rPr>
        <w:t>地址：南通市崇川区世纪大道399号；</w:t>
      </w:r>
    </w:p>
    <w:p>
      <w:pPr>
        <w:adjustRightInd w:val="0"/>
        <w:snapToGrid w:val="0"/>
        <w:spacing w:line="480" w:lineRule="exact"/>
        <w:ind w:firstLine="480" w:firstLineChars="200"/>
        <w:rPr>
          <w:sz w:val="24"/>
        </w:rPr>
      </w:pPr>
      <w:r>
        <w:rPr>
          <w:sz w:val="24"/>
        </w:rPr>
        <w:t>联系</w:t>
      </w:r>
      <w:r>
        <w:rPr>
          <w:rFonts w:hint="eastAsia"/>
          <w:sz w:val="24"/>
        </w:rPr>
        <w:t>人</w:t>
      </w:r>
      <w:r>
        <w:rPr>
          <w:sz w:val="24"/>
        </w:rPr>
        <w:t>：</w:t>
      </w:r>
      <w:r>
        <w:rPr>
          <w:rFonts w:hint="eastAsia"/>
          <w:sz w:val="24"/>
        </w:rPr>
        <w:t>羌主任  15190915558。</w:t>
      </w:r>
    </w:p>
    <w:p>
      <w:pPr>
        <w:widowControl/>
        <w:shd w:val="clear" w:color="auto" w:fill="FFFFFF"/>
        <w:adjustRightInd w:val="0"/>
        <w:snapToGrid w:val="0"/>
        <w:spacing w:line="480" w:lineRule="exact"/>
        <w:ind w:firstLine="480" w:firstLineChars="200"/>
        <w:jc w:val="left"/>
        <w:rPr>
          <w:sz w:val="24"/>
        </w:rPr>
      </w:pPr>
      <w:r>
        <w:rPr>
          <w:sz w:val="24"/>
        </w:rPr>
        <w:t>2</w:t>
      </w:r>
      <w:r>
        <w:rPr>
          <w:rFonts w:hint="eastAsia"/>
          <w:sz w:val="24"/>
        </w:rPr>
        <w:t>、</w:t>
      </w:r>
      <w:r>
        <w:rPr>
          <w:sz w:val="24"/>
        </w:rPr>
        <w:t>采购代理机构信息</w:t>
      </w:r>
    </w:p>
    <w:p>
      <w:pPr>
        <w:widowControl/>
        <w:shd w:val="clear" w:color="auto" w:fill="FFFFFF"/>
        <w:adjustRightInd w:val="0"/>
        <w:snapToGrid w:val="0"/>
        <w:spacing w:line="480" w:lineRule="exact"/>
        <w:ind w:firstLine="480" w:firstLineChars="200"/>
        <w:jc w:val="left"/>
        <w:rPr>
          <w:sz w:val="24"/>
        </w:rPr>
      </w:pPr>
      <w:r>
        <w:rPr>
          <w:sz w:val="24"/>
        </w:rPr>
        <w:t>名 称：</w:t>
      </w:r>
      <w:r>
        <w:rPr>
          <w:rFonts w:hint="eastAsia"/>
          <w:sz w:val="24"/>
        </w:rPr>
        <w:t>江苏方桂圆工程项目管理有限公司；</w:t>
      </w:r>
    </w:p>
    <w:p>
      <w:pPr>
        <w:widowControl/>
        <w:shd w:val="clear" w:color="auto" w:fill="FFFFFF"/>
        <w:adjustRightInd w:val="0"/>
        <w:snapToGrid w:val="0"/>
        <w:spacing w:line="480" w:lineRule="exact"/>
        <w:ind w:firstLine="480" w:firstLineChars="200"/>
        <w:jc w:val="left"/>
        <w:rPr>
          <w:sz w:val="24"/>
        </w:rPr>
      </w:pPr>
      <w:r>
        <w:rPr>
          <w:sz w:val="24"/>
        </w:rPr>
        <w:t>地</w:t>
      </w:r>
      <w:r>
        <w:rPr>
          <w:rFonts w:hint="eastAsia"/>
          <w:sz w:val="24"/>
        </w:rPr>
        <w:t xml:space="preserve"> </w:t>
      </w:r>
      <w:r>
        <w:rPr>
          <w:sz w:val="24"/>
        </w:rPr>
        <w:t>址：</w:t>
      </w:r>
      <w:r>
        <w:rPr>
          <w:rFonts w:hint="eastAsia"/>
          <w:sz w:val="24"/>
        </w:rPr>
        <w:t>南通市世纪大道恒隆国际大厦A座7楼；</w:t>
      </w:r>
    </w:p>
    <w:p>
      <w:pPr>
        <w:widowControl/>
        <w:shd w:val="clear" w:color="auto" w:fill="FFFFFF"/>
        <w:adjustRightInd w:val="0"/>
        <w:snapToGrid w:val="0"/>
        <w:spacing w:line="480" w:lineRule="exact"/>
        <w:ind w:firstLine="480" w:firstLineChars="200"/>
        <w:jc w:val="left"/>
        <w:rPr>
          <w:sz w:val="24"/>
        </w:rPr>
      </w:pPr>
      <w:r>
        <w:rPr>
          <w:sz w:val="24"/>
        </w:rPr>
        <w:t>联系</w:t>
      </w:r>
      <w:r>
        <w:rPr>
          <w:rFonts w:hint="eastAsia"/>
          <w:sz w:val="24"/>
        </w:rPr>
        <w:t>人</w:t>
      </w:r>
      <w:r>
        <w:rPr>
          <w:sz w:val="24"/>
        </w:rPr>
        <w:t>：</w:t>
      </w:r>
      <w:r>
        <w:rPr>
          <w:rFonts w:hint="eastAsia"/>
          <w:sz w:val="24"/>
        </w:rPr>
        <w:t>毛琴  13515206113；</w:t>
      </w:r>
    </w:p>
    <w:p>
      <w:pPr>
        <w:widowControl/>
        <w:shd w:val="clear" w:color="auto" w:fill="FFFFFF"/>
        <w:adjustRightInd w:val="0"/>
        <w:snapToGrid w:val="0"/>
        <w:spacing w:line="480" w:lineRule="exact"/>
        <w:ind w:firstLine="480" w:firstLineChars="200"/>
        <w:jc w:val="left"/>
        <w:rPr>
          <w:sz w:val="24"/>
        </w:rPr>
      </w:pPr>
      <w:r>
        <w:rPr>
          <w:rFonts w:hint="eastAsia"/>
          <w:sz w:val="24"/>
        </w:rPr>
        <w:t>邮箱：</w:t>
      </w:r>
      <w:r>
        <w:fldChar w:fldCharType="begin"/>
      </w:r>
      <w:r>
        <w:instrText xml:space="preserve"> HYPERLINK "mailto:fgyjszx2@163.com" </w:instrText>
      </w:r>
      <w:r>
        <w:fldChar w:fldCharType="separate"/>
      </w:r>
      <w:r>
        <w:rPr>
          <w:rFonts w:hint="eastAsia"/>
          <w:sz w:val="24"/>
        </w:rPr>
        <w:t>fgyjszx2@163.com</w:t>
      </w:r>
      <w:r>
        <w:rPr>
          <w:rFonts w:hint="eastAsia"/>
          <w:sz w:val="24"/>
        </w:rPr>
        <w:fldChar w:fldCharType="end"/>
      </w:r>
      <w:r>
        <w:rPr>
          <w:rFonts w:hint="eastAsia"/>
          <w:sz w:val="24"/>
        </w:rPr>
        <w:t>。</w:t>
      </w:r>
    </w:p>
    <w:p>
      <w:pPr>
        <w:jc w:val="center"/>
        <w:rPr>
          <w:rFonts w:ascii="仿宋_GB2312" w:eastAsia="仿宋_GB2312"/>
          <w:b/>
          <w:sz w:val="28"/>
          <w:szCs w:val="28"/>
        </w:rPr>
      </w:pPr>
      <w:r>
        <w:br w:type="page"/>
      </w:r>
      <w:bookmarkEnd w:id="3"/>
      <w:bookmarkEnd w:id="4"/>
      <w:r>
        <w:rPr>
          <w:rFonts w:hint="eastAsia" w:ascii="仿宋_GB2312" w:eastAsia="仿宋_GB2312"/>
          <w:b/>
          <w:bCs/>
          <w:sz w:val="36"/>
          <w:szCs w:val="36"/>
          <w:lang w:val="zh-CN"/>
        </w:rPr>
        <w:t>第二部分 磋商须知</w:t>
      </w:r>
    </w:p>
    <w:p>
      <w:pPr>
        <w:snapToGrid w:val="0"/>
        <w:spacing w:line="480" w:lineRule="exact"/>
        <w:ind w:firstLine="482" w:firstLineChars="200"/>
        <w:contextualSpacing/>
        <w:outlineLvl w:val="0"/>
        <w:rPr>
          <w:b/>
          <w:sz w:val="24"/>
        </w:rPr>
      </w:pPr>
      <w:r>
        <w:rPr>
          <w:b/>
          <w:sz w:val="24"/>
        </w:rPr>
        <w:t>一、本磋商文件由采购人或采购代理机构解释。</w:t>
      </w:r>
    </w:p>
    <w:p>
      <w:pPr>
        <w:snapToGrid w:val="0"/>
        <w:spacing w:line="480" w:lineRule="exact"/>
        <w:ind w:firstLine="480" w:firstLineChars="200"/>
        <w:contextualSpacing/>
        <w:rPr>
          <w:b/>
          <w:sz w:val="24"/>
        </w:rPr>
      </w:pPr>
      <w:r>
        <w:rPr>
          <w:sz w:val="24"/>
        </w:rPr>
        <w:t>供应商在</w:t>
      </w:r>
      <w:r>
        <w:rPr>
          <w:rFonts w:hint="eastAsia"/>
          <w:sz w:val="24"/>
        </w:rPr>
        <w:t>获取</w:t>
      </w:r>
      <w:r>
        <w:rPr>
          <w:sz w:val="24"/>
        </w:rPr>
        <w:t>磋商文件后，应仔细检查磋商文件的所有内容，如对</w:t>
      </w:r>
      <w:r>
        <w:rPr>
          <w:rFonts w:hint="eastAsia"/>
          <w:sz w:val="24"/>
        </w:rPr>
        <w:t>本项目</w:t>
      </w:r>
      <w:r>
        <w:rPr>
          <w:sz w:val="24"/>
        </w:rPr>
        <w:t>采购活动事项有疑问的，应向采购人或采购代理机构以书面形式提出，否则视同供应商理解并接受本磋商文件所有内容，并由此引起的损失自负。供应商不得在磋商结束后针对磋商文件所有内容提出质疑事项。</w:t>
      </w:r>
    </w:p>
    <w:p>
      <w:pPr>
        <w:snapToGrid w:val="0"/>
        <w:spacing w:line="480" w:lineRule="exact"/>
        <w:ind w:firstLine="480" w:firstLineChars="200"/>
        <w:contextualSpacing/>
        <w:rPr>
          <w:sz w:val="24"/>
        </w:rPr>
      </w:pPr>
      <w:r>
        <w:rPr>
          <w:sz w:val="24"/>
        </w:rPr>
        <w:t>供应商应认真审阅磋商文件中所有的事项、格式、条款和规范要求等，如果供应商没有按照磋商文件要求提交响应文件，或者响应文件没有对磋商文件做出实质性响应，将被拒绝参与磋商。</w:t>
      </w:r>
    </w:p>
    <w:p>
      <w:pPr>
        <w:snapToGrid w:val="0"/>
        <w:spacing w:line="480" w:lineRule="exact"/>
        <w:ind w:firstLine="482" w:firstLineChars="200"/>
        <w:contextualSpacing/>
        <w:rPr>
          <w:b/>
          <w:sz w:val="24"/>
        </w:rPr>
      </w:pPr>
      <w:r>
        <w:rPr>
          <w:b/>
          <w:sz w:val="24"/>
        </w:rPr>
        <w:t>二、磋商文件的澄清、修改、答疑</w:t>
      </w:r>
    </w:p>
    <w:p>
      <w:pPr>
        <w:pStyle w:val="11"/>
        <w:snapToGrid w:val="0"/>
        <w:spacing w:line="480" w:lineRule="exact"/>
        <w:ind w:left="0" w:leftChars="0" w:firstLine="480" w:firstLineChars="200"/>
        <w:contextualSpacing/>
        <w:rPr>
          <w:sz w:val="24"/>
        </w:rPr>
      </w:pPr>
      <w:r>
        <w:rPr>
          <w:sz w:val="24"/>
        </w:rPr>
        <w:t>采购人可以对已发出的磋商文件进行必要的澄清或者修改，澄清或者修改的内容作为磋商文件的组成部分。澄清或者修改的内容可能影响响应文件编制的，采购人将在提交首次响应文件截止之日5日前，以网上公告书面形式通知所有接收磋商文件的供应商，不足5日的，应当顺延提交首次响应文件截止</w:t>
      </w:r>
      <w:r>
        <w:rPr>
          <w:rFonts w:hint="eastAsia"/>
          <w:sz w:val="24"/>
        </w:rPr>
        <w:t>日期</w:t>
      </w:r>
      <w:r>
        <w:rPr>
          <w:sz w:val="24"/>
        </w:rPr>
        <w:t>。</w:t>
      </w:r>
    </w:p>
    <w:p>
      <w:pPr>
        <w:pStyle w:val="11"/>
        <w:snapToGrid w:val="0"/>
        <w:spacing w:line="480" w:lineRule="exact"/>
        <w:ind w:left="0" w:leftChars="0" w:firstLine="480" w:firstLineChars="200"/>
        <w:contextualSpacing/>
        <w:rPr>
          <w:sz w:val="24"/>
          <w:lang w:val="zh-CN"/>
        </w:rPr>
      </w:pPr>
      <w:r>
        <w:rPr>
          <w:sz w:val="24"/>
        </w:rPr>
        <w:t>供应商由于对磋商文件的任何推论和误解以及采购人或采购代理机构对有</w:t>
      </w:r>
      <w:r>
        <w:rPr>
          <w:sz w:val="24"/>
          <w:lang w:val="zh-CN"/>
        </w:rPr>
        <w:t>关问题的口头解释所造成的后果，均由供应商自负。</w:t>
      </w:r>
    </w:p>
    <w:p>
      <w:pPr>
        <w:pStyle w:val="11"/>
        <w:snapToGrid w:val="0"/>
        <w:spacing w:line="480" w:lineRule="exact"/>
        <w:ind w:left="0" w:leftChars="0" w:firstLine="480" w:firstLineChars="200"/>
        <w:contextualSpacing/>
        <w:rPr>
          <w:sz w:val="24"/>
        </w:rPr>
      </w:pPr>
      <w:r>
        <w:rPr>
          <w:sz w:val="24"/>
          <w:lang w:val="zh-CN"/>
        </w:rPr>
        <w:t>采购单位可视情组织答疑会。</w:t>
      </w:r>
    </w:p>
    <w:p>
      <w:pPr>
        <w:autoSpaceDE w:val="0"/>
        <w:autoSpaceDN w:val="0"/>
        <w:adjustRightInd w:val="0"/>
        <w:snapToGrid w:val="0"/>
        <w:spacing w:after="120" w:line="480" w:lineRule="exact"/>
        <w:ind w:firstLine="562"/>
        <w:contextualSpacing/>
        <w:rPr>
          <w:b/>
          <w:bCs/>
          <w:sz w:val="24"/>
        </w:rPr>
      </w:pPr>
      <w:r>
        <w:rPr>
          <w:b/>
          <w:bCs/>
          <w:sz w:val="24"/>
          <w:lang w:val="zh-CN"/>
        </w:rPr>
        <w:t>三、响应文件的编写、递交、上传</w:t>
      </w:r>
    </w:p>
    <w:p>
      <w:pPr>
        <w:autoSpaceDE w:val="0"/>
        <w:autoSpaceDN w:val="0"/>
        <w:adjustRightInd w:val="0"/>
        <w:snapToGrid w:val="0"/>
        <w:spacing w:line="480" w:lineRule="exact"/>
        <w:ind w:right="210" w:firstLine="482" w:firstLineChars="200"/>
        <w:rPr>
          <w:b/>
          <w:sz w:val="24"/>
        </w:rPr>
      </w:pPr>
      <w:r>
        <w:rPr>
          <w:b/>
          <w:sz w:val="24"/>
        </w:rPr>
        <w:t>（一）响应文件的编写</w:t>
      </w:r>
    </w:p>
    <w:p>
      <w:pPr>
        <w:autoSpaceDE w:val="0"/>
        <w:autoSpaceDN w:val="0"/>
        <w:adjustRightInd w:val="0"/>
        <w:snapToGrid w:val="0"/>
        <w:spacing w:line="480" w:lineRule="exact"/>
        <w:ind w:firstLine="480" w:firstLineChars="200"/>
        <w:contextualSpacing/>
        <w:jc w:val="left"/>
        <w:rPr>
          <w:sz w:val="24"/>
        </w:rPr>
      </w:pPr>
      <w:r>
        <w:rPr>
          <w:sz w:val="24"/>
          <w:lang w:val="zh-CN"/>
        </w:rPr>
        <w:t>供应商按</w:t>
      </w:r>
      <w:r>
        <w:rPr>
          <w:rFonts w:ascii="宋体" w:hAnsi="宋体"/>
          <w:sz w:val="24"/>
          <w:lang w:val="zh-CN"/>
        </w:rPr>
        <w:t>“第七部分 响应文件组成”</w:t>
      </w:r>
      <w:r>
        <w:rPr>
          <w:sz w:val="24"/>
          <w:lang w:val="zh-CN"/>
        </w:rPr>
        <w:t>要求编写响应文件。</w:t>
      </w:r>
    </w:p>
    <w:p>
      <w:pPr>
        <w:snapToGrid w:val="0"/>
        <w:spacing w:line="480" w:lineRule="exact"/>
        <w:ind w:firstLine="482" w:firstLineChars="200"/>
        <w:contextualSpacing/>
        <w:rPr>
          <w:b/>
          <w:sz w:val="24"/>
        </w:rPr>
      </w:pPr>
      <w:r>
        <w:rPr>
          <w:b/>
          <w:sz w:val="24"/>
        </w:rPr>
        <w:t>（二）响应文件的递交</w:t>
      </w:r>
    </w:p>
    <w:p>
      <w:pPr>
        <w:snapToGrid w:val="0"/>
        <w:spacing w:line="480" w:lineRule="exact"/>
        <w:ind w:firstLine="480" w:firstLineChars="200"/>
        <w:contextualSpacing/>
        <w:rPr>
          <w:color w:val="000000"/>
          <w:sz w:val="24"/>
        </w:rPr>
      </w:pPr>
      <w:r>
        <w:rPr>
          <w:sz w:val="24"/>
        </w:rPr>
        <w:t>1、</w:t>
      </w:r>
      <w:r>
        <w:rPr>
          <w:color w:val="000000"/>
          <w:sz w:val="24"/>
        </w:rPr>
        <w:t>响应文件三部分内容（资格审查文件、商务技术文件、报价文件）须分别单独密封，</w:t>
      </w:r>
      <w:r>
        <w:rPr>
          <w:color w:val="000000"/>
          <w:sz w:val="24"/>
          <w:lang w:val="zh-CN"/>
        </w:rPr>
        <w:t>并牢</w:t>
      </w:r>
      <w:r>
        <w:rPr>
          <w:color w:val="000000"/>
          <w:sz w:val="24"/>
        </w:rPr>
        <w:t>固装订成册，不得相互混淆，文件自编目录并连续标注页码，不得将内容拆开。报价文件不得出现于其他磋商文件中。</w:t>
      </w:r>
    </w:p>
    <w:p>
      <w:pPr>
        <w:snapToGrid w:val="0"/>
        <w:spacing w:line="480" w:lineRule="exact"/>
        <w:ind w:firstLine="480" w:firstLineChars="200"/>
        <w:rPr>
          <w:color w:val="000000"/>
          <w:sz w:val="24"/>
        </w:rPr>
      </w:pPr>
      <w:r>
        <w:rPr>
          <w:color w:val="000000"/>
          <w:sz w:val="24"/>
        </w:rPr>
        <w:t>2、响应文件每一部分内容均须提供“</w:t>
      </w:r>
      <w:r>
        <w:rPr>
          <w:b/>
          <w:color w:val="000000"/>
          <w:sz w:val="24"/>
        </w:rPr>
        <w:t>一正</w:t>
      </w:r>
      <w:r>
        <w:rPr>
          <w:rFonts w:hint="eastAsia"/>
          <w:b/>
          <w:color w:val="000000"/>
          <w:sz w:val="24"/>
        </w:rPr>
        <w:t>两</w:t>
      </w:r>
      <w:r>
        <w:rPr>
          <w:b/>
          <w:color w:val="000000"/>
          <w:sz w:val="24"/>
        </w:rPr>
        <w:t>副”</w:t>
      </w:r>
      <w:r>
        <w:rPr>
          <w:color w:val="000000"/>
          <w:sz w:val="24"/>
        </w:rPr>
        <w:t>纸质响应文件，并将正本、副本及图纸类等（如需提供图纸等其它资料的话）合并密封，统一装在一个密封袋或密封箱内（如有A3大小的图纸类，可单独密封）。</w:t>
      </w:r>
    </w:p>
    <w:p>
      <w:pPr>
        <w:snapToGrid w:val="0"/>
        <w:spacing w:line="480" w:lineRule="exact"/>
        <w:ind w:firstLine="480" w:firstLineChars="200"/>
        <w:contextualSpacing/>
        <w:rPr>
          <w:color w:val="000000"/>
          <w:sz w:val="24"/>
        </w:rPr>
      </w:pPr>
      <w:r>
        <w:rPr>
          <w:color w:val="000000"/>
          <w:sz w:val="24"/>
        </w:rPr>
        <w:t>3、纸质响应文件须</w:t>
      </w:r>
      <w:r>
        <w:rPr>
          <w:color w:val="000000"/>
          <w:sz w:val="24"/>
          <w:lang w:val="zh-CN"/>
        </w:rPr>
        <w:t>采用A4纸（</w:t>
      </w:r>
      <w:r>
        <w:rPr>
          <w:color w:val="000000"/>
          <w:sz w:val="24"/>
        </w:rPr>
        <w:t>图纸等除外），正本须打印并由法定代表人或授权人签字并加盖单位印章。副本可复印，但须加盖单位印章。文件内容中不得行间插字、涂改、增删，如修补错漏处，须由响应文件签署人签字并加盖公章。</w:t>
      </w:r>
    </w:p>
    <w:p>
      <w:pPr>
        <w:snapToGrid w:val="0"/>
        <w:spacing w:line="480" w:lineRule="exact"/>
        <w:ind w:firstLine="480" w:firstLineChars="200"/>
        <w:contextualSpacing/>
        <w:rPr>
          <w:color w:val="000000"/>
          <w:sz w:val="24"/>
        </w:rPr>
      </w:pPr>
      <w:r>
        <w:rPr>
          <w:color w:val="000000"/>
          <w:sz w:val="24"/>
        </w:rPr>
        <w:t>4、响应文件密封后应标明响应文件项目名称、项目编号、</w:t>
      </w:r>
      <w:r>
        <w:rPr>
          <w:rFonts w:hint="eastAsia"/>
          <w:color w:val="000000"/>
          <w:sz w:val="24"/>
        </w:rPr>
        <w:t>分包号、</w:t>
      </w:r>
      <w:r>
        <w:rPr>
          <w:color w:val="000000"/>
          <w:sz w:val="24"/>
        </w:rPr>
        <w:t>边缝处加盖单位骑缝章或骑缝签字。</w:t>
      </w:r>
    </w:p>
    <w:p>
      <w:pPr>
        <w:snapToGrid w:val="0"/>
        <w:spacing w:line="480" w:lineRule="exact"/>
        <w:ind w:firstLine="480" w:firstLineChars="200"/>
        <w:contextualSpacing/>
        <w:rPr>
          <w:sz w:val="24"/>
        </w:rPr>
      </w:pPr>
      <w:r>
        <w:rPr>
          <w:sz w:val="24"/>
        </w:rPr>
        <w:t>5、递交时间：供应商须在规定的响应文件接收截止时间前送达指定地点。</w:t>
      </w:r>
    </w:p>
    <w:p>
      <w:pPr>
        <w:snapToGrid w:val="0"/>
        <w:spacing w:line="480" w:lineRule="exact"/>
        <w:ind w:firstLine="480" w:firstLineChars="200"/>
        <w:contextualSpacing/>
        <w:rPr>
          <w:bCs/>
          <w:sz w:val="24"/>
        </w:rPr>
      </w:pPr>
      <w:r>
        <w:rPr>
          <w:bCs/>
          <w:sz w:val="24"/>
        </w:rPr>
        <w:t>友情提醒：采购代理机构将拒绝接收未按照磋商文件要求密封的响应文件，拒绝接收在响应文件接收截止时间后递交的响应文件。</w:t>
      </w:r>
    </w:p>
    <w:p>
      <w:pPr>
        <w:snapToGrid w:val="0"/>
        <w:spacing w:line="460" w:lineRule="exact"/>
        <w:ind w:firstLine="482" w:firstLineChars="200"/>
        <w:outlineLvl w:val="1"/>
        <w:rPr>
          <w:rFonts w:ascii="宋体" w:hAnsi="宋体" w:cs="宋体"/>
          <w:b/>
          <w:bCs/>
          <w:sz w:val="24"/>
        </w:rPr>
      </w:pPr>
      <w:r>
        <w:rPr>
          <w:rFonts w:hint="eastAsia" w:ascii="宋体" w:hAnsi="宋体" w:cs="宋体"/>
          <w:b/>
          <w:bCs/>
          <w:sz w:val="24"/>
        </w:rPr>
        <w:t>四、响应文件的有效期</w:t>
      </w:r>
    </w:p>
    <w:p>
      <w:pPr>
        <w:snapToGrid w:val="0"/>
        <w:spacing w:line="460" w:lineRule="exact"/>
        <w:ind w:firstLine="480" w:firstLineChars="200"/>
        <w:rPr>
          <w:rFonts w:ascii="宋体" w:hAnsi="宋体" w:cs="宋体"/>
          <w:sz w:val="24"/>
        </w:rPr>
      </w:pPr>
      <w:r>
        <w:rPr>
          <w:rFonts w:hint="eastAsia" w:ascii="宋体" w:hAnsi="宋体" w:cs="宋体"/>
          <w:sz w:val="24"/>
        </w:rPr>
        <w:t>1、从响应文件接收截止之日算起，</w:t>
      </w:r>
      <w:r>
        <w:rPr>
          <w:rFonts w:hint="eastAsia" w:ascii="宋体" w:hAnsi="宋体" w:cs="宋体"/>
          <w:b/>
          <w:sz w:val="24"/>
          <w:u w:val="single"/>
        </w:rPr>
        <w:t xml:space="preserve"> </w:t>
      </w:r>
      <w:r>
        <w:rPr>
          <w:rFonts w:ascii="宋体" w:hAnsi="宋体" w:cs="宋体"/>
          <w:b/>
          <w:sz w:val="24"/>
          <w:u w:val="single"/>
        </w:rPr>
        <w:t>45</w:t>
      </w:r>
      <w:r>
        <w:rPr>
          <w:rFonts w:hint="eastAsia" w:ascii="宋体" w:hAnsi="宋体" w:cs="宋体"/>
          <w:b/>
          <w:sz w:val="24"/>
          <w:u w:val="single"/>
        </w:rPr>
        <w:t xml:space="preserve">  </w:t>
      </w:r>
      <w:r>
        <w:rPr>
          <w:rFonts w:hint="eastAsia" w:ascii="宋体" w:hAnsi="宋体" w:cs="宋体"/>
          <w:sz w:val="24"/>
        </w:rPr>
        <w:t>个“日历天”内响应文件应保持有效。有效期短于这个规定期限的，响应将被拒绝。</w:t>
      </w:r>
    </w:p>
    <w:p>
      <w:pPr>
        <w:snapToGrid w:val="0"/>
        <w:spacing w:line="460" w:lineRule="exact"/>
        <w:ind w:firstLine="470" w:firstLineChars="196"/>
        <w:outlineLvl w:val="1"/>
        <w:rPr>
          <w:rFonts w:ascii="宋体" w:hAnsi="宋体" w:cs="宋体"/>
          <w:b/>
          <w:sz w:val="24"/>
        </w:rPr>
      </w:pPr>
      <w:r>
        <w:rPr>
          <w:rFonts w:hint="eastAsia" w:ascii="宋体" w:hAnsi="宋体" w:cs="宋体"/>
          <w:sz w:val="24"/>
        </w:rPr>
        <w:t>2、在特殊情况下，采购代理机构可与响应供应商协商延长响应文件的有效期。这种要求和答复都应以书面、传真、或电报的形式进行。同意延长有效期的响应供应商不能修改响应文件，拒绝接受延期要求的响应供应商的响应文件将被拒绝。</w:t>
      </w:r>
    </w:p>
    <w:p>
      <w:pPr>
        <w:snapToGrid w:val="0"/>
        <w:spacing w:line="480" w:lineRule="exact"/>
        <w:ind w:firstLine="602" w:firstLineChars="250"/>
        <w:contextualSpacing/>
        <w:rPr>
          <w:b/>
          <w:sz w:val="24"/>
        </w:rPr>
      </w:pPr>
      <w:r>
        <w:rPr>
          <w:rFonts w:hint="eastAsia"/>
          <w:b/>
          <w:sz w:val="24"/>
        </w:rPr>
        <w:t>五</w:t>
      </w:r>
      <w:r>
        <w:rPr>
          <w:b/>
          <w:sz w:val="24"/>
        </w:rPr>
        <w:t>、报价准备</w:t>
      </w:r>
    </w:p>
    <w:p>
      <w:pPr>
        <w:pStyle w:val="44"/>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1、磋商结束后，供应商就所有内容进行最后报价，少报无效。</w:t>
      </w:r>
    </w:p>
    <w:p>
      <w:pPr>
        <w:pStyle w:val="44"/>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2、</w:t>
      </w:r>
      <w:r>
        <w:rPr>
          <w:rFonts w:hint="eastAsia" w:ascii="Times New Roman" w:hAnsi="Times New Roman" w:eastAsia="宋体"/>
          <w:sz w:val="24"/>
          <w:szCs w:val="24"/>
        </w:rPr>
        <w:t>报价应包括但不限于：供应商为完成本项目规定的各项工作所承担的全部费用、利润和税金及政策性文件规定合同包含内的所有风险责任等各项费用，不论其在招标文件中是否提及。即招标物交付使用前的所有费用以及免保期内的服务费用等包含响应竞争性磋商文件采购要求的所有费用。</w:t>
      </w:r>
    </w:p>
    <w:p>
      <w:pPr>
        <w:pStyle w:val="44"/>
        <w:snapToGrid w:val="0"/>
        <w:spacing w:line="480" w:lineRule="exact"/>
        <w:ind w:firstLine="494"/>
        <w:contextualSpacing/>
        <w:rPr>
          <w:rFonts w:ascii="Times New Roman" w:hAnsi="Times New Roman" w:eastAsia="宋体"/>
          <w:sz w:val="24"/>
          <w:szCs w:val="24"/>
        </w:rPr>
      </w:pPr>
      <w:r>
        <w:rPr>
          <w:rFonts w:hint="eastAsia" w:ascii="Times New Roman" w:hAnsi="Times New Roman" w:eastAsia="宋体"/>
          <w:sz w:val="24"/>
          <w:szCs w:val="24"/>
        </w:rPr>
        <w:t>3</w:t>
      </w:r>
      <w:r>
        <w:rPr>
          <w:rFonts w:ascii="Times New Roman" w:hAnsi="Times New Roman" w:eastAsia="宋体"/>
          <w:sz w:val="24"/>
          <w:szCs w:val="24"/>
        </w:rPr>
        <w:t>、最后报价将作为磋商小组评定成交供应商的组成依据。</w:t>
      </w:r>
    </w:p>
    <w:p>
      <w:pPr>
        <w:pStyle w:val="44"/>
        <w:snapToGrid w:val="0"/>
        <w:spacing w:line="480" w:lineRule="exact"/>
        <w:ind w:firstLine="494"/>
        <w:contextualSpacing/>
        <w:rPr>
          <w:rFonts w:ascii="Times New Roman" w:hAnsi="Times New Roman" w:eastAsia="宋体"/>
          <w:sz w:val="24"/>
          <w:szCs w:val="24"/>
        </w:rPr>
      </w:pPr>
      <w:r>
        <w:rPr>
          <w:rFonts w:hint="eastAsia" w:ascii="Times New Roman" w:hAnsi="Times New Roman" w:eastAsia="宋体"/>
          <w:sz w:val="24"/>
          <w:szCs w:val="24"/>
        </w:rPr>
        <w:t>4、最低的磋商报价是成交的重要条件，但不是成交的唯一条件。</w:t>
      </w:r>
      <w:r>
        <w:rPr>
          <w:rFonts w:hint="eastAsia" w:ascii="Times New Roman" w:hAnsi="Times New Roman" w:eastAsia="宋体"/>
          <w:b/>
          <w:sz w:val="24"/>
          <w:szCs w:val="24"/>
          <w:u w:val="thick" w:color="FF0000"/>
        </w:rPr>
        <w:t>注：本项目有最后报价，如成交，则按同比例计算到项目首次报价的各项明细价格中。</w:t>
      </w:r>
    </w:p>
    <w:p>
      <w:pPr>
        <w:snapToGrid w:val="0"/>
        <w:spacing w:line="480" w:lineRule="exact"/>
        <w:ind w:firstLine="482" w:firstLineChars="200"/>
        <w:rPr>
          <w:sz w:val="24"/>
        </w:rPr>
      </w:pPr>
      <w:r>
        <w:rPr>
          <w:rFonts w:hint="eastAsia"/>
          <w:b/>
          <w:sz w:val="24"/>
          <w:lang w:val="zh-CN"/>
        </w:rPr>
        <w:t>六</w:t>
      </w:r>
      <w:r>
        <w:rPr>
          <w:b/>
          <w:sz w:val="24"/>
          <w:lang w:val="zh-CN"/>
        </w:rPr>
        <w:t>、</w:t>
      </w:r>
      <w:r>
        <w:rPr>
          <w:b/>
          <w:bCs/>
          <w:sz w:val="24"/>
        </w:rPr>
        <w:t>相关费用</w:t>
      </w:r>
    </w:p>
    <w:p>
      <w:pPr>
        <w:snapToGrid w:val="0"/>
        <w:spacing w:line="440" w:lineRule="exact"/>
        <w:ind w:firstLine="480" w:firstLineChars="200"/>
        <w:outlineLvl w:val="1"/>
        <w:rPr>
          <w:bCs/>
          <w:sz w:val="24"/>
        </w:rPr>
      </w:pPr>
      <w:r>
        <w:rPr>
          <w:rFonts w:hint="eastAsia"/>
          <w:sz w:val="24"/>
        </w:rPr>
        <w:t>本项目招标代理服务费（按计价格[2002]1980号文规定收费标准的4折计取，不足1200元按1200元计）及专家评审费（按实列支）由中标人承担，请</w:t>
      </w:r>
      <w:r>
        <w:rPr>
          <w:rFonts w:hint="eastAsia" w:ascii="宋体" w:hAnsi="宋体"/>
          <w:bCs/>
          <w:color w:val="000000"/>
          <w:sz w:val="24"/>
        </w:rPr>
        <w:t>供应商</w:t>
      </w:r>
      <w:r>
        <w:rPr>
          <w:rFonts w:hint="eastAsia"/>
          <w:sz w:val="24"/>
        </w:rPr>
        <w:t>在成本中自行考虑。上述费用领取中标通知书前向招标代理公司一次性缴清。</w:t>
      </w:r>
    </w:p>
    <w:p>
      <w:pPr>
        <w:snapToGrid w:val="0"/>
        <w:spacing w:line="440" w:lineRule="exact"/>
        <w:ind w:firstLine="482" w:firstLineChars="200"/>
        <w:outlineLvl w:val="1"/>
        <w:rPr>
          <w:b/>
          <w:bCs/>
          <w:sz w:val="24"/>
          <w:lang w:val="zh-CN"/>
        </w:rPr>
      </w:pPr>
      <w:r>
        <w:rPr>
          <w:rFonts w:hint="eastAsia"/>
          <w:b/>
          <w:bCs/>
          <w:sz w:val="24"/>
        </w:rPr>
        <w:t>七</w:t>
      </w:r>
      <w:r>
        <w:rPr>
          <w:b/>
          <w:bCs/>
          <w:sz w:val="24"/>
        </w:rPr>
        <w:t>、</w:t>
      </w:r>
      <w:r>
        <w:rPr>
          <w:b/>
          <w:bCs/>
          <w:sz w:val="24"/>
          <w:lang w:val="zh-CN"/>
        </w:rPr>
        <w:t>履约保证金</w:t>
      </w:r>
    </w:p>
    <w:p>
      <w:pPr>
        <w:snapToGrid w:val="0"/>
        <w:spacing w:line="440" w:lineRule="exact"/>
        <w:ind w:firstLine="494" w:firstLineChars="206"/>
        <w:outlineLvl w:val="1"/>
        <w:rPr>
          <w:sz w:val="24"/>
          <w:u w:val="single"/>
        </w:rPr>
      </w:pPr>
      <w:r>
        <w:rPr>
          <w:sz w:val="24"/>
        </w:rPr>
        <w:t>1</w:t>
      </w:r>
      <w:r>
        <w:rPr>
          <w:rFonts w:hint="eastAsia"/>
          <w:sz w:val="24"/>
        </w:rPr>
        <w:t>、本项目成交后的履约保证金为</w:t>
      </w:r>
      <w:r>
        <w:rPr>
          <w:rFonts w:hint="eastAsia"/>
          <w:b/>
          <w:bCs/>
          <w:sz w:val="24"/>
          <w:u w:val="single"/>
        </w:rPr>
        <w:t>注：本项目不收取履约保证金，第二部分第七条的条款不适用于本项目。</w:t>
      </w:r>
    </w:p>
    <w:p>
      <w:pPr>
        <w:snapToGrid w:val="0"/>
        <w:spacing w:line="440" w:lineRule="exact"/>
        <w:ind w:firstLine="494" w:firstLineChars="206"/>
        <w:outlineLvl w:val="1"/>
        <w:rPr>
          <w:sz w:val="24"/>
        </w:rPr>
      </w:pPr>
      <w:r>
        <w:rPr>
          <w:rFonts w:hint="eastAsia"/>
          <w:sz w:val="24"/>
        </w:rPr>
        <w:t>2、成交供应商可以选择以</w:t>
      </w:r>
      <w:r>
        <w:rPr>
          <w:rFonts w:hint="eastAsia"/>
          <w:sz w:val="24"/>
          <w:u w:val="single"/>
        </w:rPr>
        <w:t>支票、汇票、本票或者金融机构、担保机构出具的保函、履约保证金保险</w:t>
      </w:r>
      <w:r>
        <w:rPr>
          <w:rFonts w:hint="eastAsia"/>
          <w:sz w:val="24"/>
        </w:rPr>
        <w:t>等非现金形式缴纳履约保证金。</w:t>
      </w:r>
    </w:p>
    <w:p>
      <w:pPr>
        <w:snapToGrid w:val="0"/>
        <w:spacing w:line="440" w:lineRule="exact"/>
        <w:ind w:firstLine="494" w:firstLineChars="206"/>
        <w:outlineLvl w:val="1"/>
        <w:rPr>
          <w:sz w:val="24"/>
        </w:rPr>
      </w:pPr>
      <w:r>
        <w:rPr>
          <w:rFonts w:hint="eastAsia"/>
          <w:sz w:val="24"/>
        </w:rPr>
        <w:t>3、成交供应商在成交通知书发出之日起30日内，凭“成交通知书”和“履约保证金”的缴纳凭证，与采购人签订合同，超期或未有协商，则视为自动放弃成交资格。</w:t>
      </w:r>
    </w:p>
    <w:p>
      <w:pPr>
        <w:snapToGrid w:val="0"/>
        <w:spacing w:line="440" w:lineRule="exact"/>
        <w:ind w:firstLine="494" w:firstLineChars="206"/>
        <w:outlineLvl w:val="1"/>
        <w:rPr>
          <w:sz w:val="24"/>
        </w:rPr>
      </w:pPr>
      <w:r>
        <w:rPr>
          <w:rFonts w:hint="eastAsia"/>
          <w:sz w:val="24"/>
        </w:rPr>
        <w:t>4、成交供应商在按要求保质保量的完成该项目合同并通过验收后，采购人凭成交供应商提交的申请，一次性无息退还该合同项目的履约保证金。</w:t>
      </w:r>
    </w:p>
    <w:p>
      <w:pPr>
        <w:snapToGrid w:val="0"/>
        <w:spacing w:line="440" w:lineRule="exact"/>
        <w:ind w:firstLine="494" w:firstLineChars="206"/>
        <w:outlineLvl w:val="1"/>
        <w:rPr>
          <w:sz w:val="24"/>
        </w:rPr>
      </w:pPr>
      <w:r>
        <w:rPr>
          <w:rFonts w:hint="eastAsia"/>
          <w:sz w:val="24"/>
        </w:rPr>
        <w:t>5、由于成交供应商原因，在签订合同后出现不按合同履行的情况，采购单位有权将履约保证金作为违约金，全额不予退还，同时采购单位亦有权终止合同，成交供应商还须承担相应的法律赔偿责任。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440" w:lineRule="exact"/>
        <w:ind w:firstLine="482" w:firstLineChars="200"/>
        <w:outlineLvl w:val="1"/>
        <w:rPr>
          <w:sz w:val="24"/>
        </w:rPr>
      </w:pPr>
      <w:r>
        <w:rPr>
          <w:rFonts w:hint="eastAsia"/>
          <w:b/>
          <w:bCs/>
          <w:sz w:val="24"/>
        </w:rPr>
        <w:t>八、</w:t>
      </w:r>
      <w:r>
        <w:rPr>
          <w:rFonts w:hint="eastAsia" w:cs="宋体"/>
          <w:b/>
          <w:bCs/>
          <w:sz w:val="24"/>
        </w:rPr>
        <w:t>项目涉及到的现场勘察</w:t>
      </w:r>
    </w:p>
    <w:p>
      <w:pPr>
        <w:snapToGrid w:val="0"/>
        <w:spacing w:line="440" w:lineRule="exact"/>
        <w:ind w:firstLine="480" w:firstLineChars="200"/>
        <w:rPr>
          <w:sz w:val="24"/>
        </w:rPr>
      </w:pPr>
      <w:r>
        <w:rPr>
          <w:sz w:val="24"/>
        </w:rPr>
        <w:t>1</w:t>
      </w:r>
      <w:r>
        <w:rPr>
          <w:rFonts w:hint="eastAsia"/>
          <w:sz w:val="24"/>
        </w:rPr>
        <w:t>、本项目</w:t>
      </w:r>
      <w:r>
        <w:rPr>
          <w:rFonts w:hint="eastAsia" w:cs="宋体"/>
          <w:sz w:val="24"/>
        </w:rPr>
        <w:t>采购文件所提供的项目相关数据仅供参考，根据自身需要，供应商可在竞争性磋商响应文件递交日前自行实地察看有关现场和对周围环境进行勘察，以获取编制竞争性磋商响应文件所需的信息。勘察现场如有费用产生，由供应商自行承担。</w:t>
      </w:r>
    </w:p>
    <w:p>
      <w:pPr>
        <w:snapToGrid w:val="0"/>
        <w:spacing w:line="440" w:lineRule="exact"/>
        <w:ind w:firstLine="480" w:firstLineChars="200"/>
        <w:rPr>
          <w:sz w:val="24"/>
        </w:rPr>
      </w:pPr>
      <w:r>
        <w:rPr>
          <w:sz w:val="24"/>
        </w:rPr>
        <w:t>2</w:t>
      </w:r>
      <w:r>
        <w:rPr>
          <w:rFonts w:hint="eastAsia"/>
          <w:sz w:val="24"/>
        </w:rPr>
        <w:t>、</w:t>
      </w:r>
      <w:r>
        <w:rPr>
          <w:rFonts w:hint="eastAsia" w:cs="宋体"/>
          <w:sz w:val="24"/>
        </w:rPr>
        <w:t>采购人向供应商提供有关现场的资料和数据，是采购人现有的并认为能使供应商可利用的资料。采购人对供应商由此而做出的推论、理解和结论概不负责。</w:t>
      </w:r>
    </w:p>
    <w:p>
      <w:pPr>
        <w:snapToGrid w:val="0"/>
        <w:spacing w:line="480" w:lineRule="exact"/>
        <w:ind w:firstLine="480" w:firstLineChars="200"/>
        <w:contextualSpacing/>
        <w:rPr>
          <w:rFonts w:cs="宋体"/>
          <w:sz w:val="24"/>
        </w:rPr>
      </w:pPr>
      <w:r>
        <w:rPr>
          <w:sz w:val="24"/>
        </w:rPr>
        <w:t>3</w:t>
      </w:r>
      <w:r>
        <w:rPr>
          <w:rFonts w:hint="eastAsia"/>
          <w:sz w:val="24"/>
        </w:rPr>
        <w:t>、</w:t>
      </w:r>
      <w:r>
        <w:rPr>
          <w:rFonts w:hint="eastAsia" w:cs="宋体"/>
          <w:sz w:val="24"/>
        </w:rPr>
        <w:t>潜在供应商为响应本项目而勘察项目现场，但不得因此使采购人承担有关的责任和蒙受损失。供应商须承担勘察现场而带来的一切责任及风险。</w:t>
      </w:r>
    </w:p>
    <w:p>
      <w:pPr>
        <w:snapToGrid w:val="0"/>
        <w:spacing w:line="480" w:lineRule="exact"/>
        <w:ind w:firstLine="480" w:firstLineChars="200"/>
        <w:contextualSpacing/>
        <w:rPr>
          <w:sz w:val="24"/>
          <w:u w:val="single"/>
        </w:rPr>
      </w:pPr>
      <w:r>
        <w:rPr>
          <w:rFonts w:hint="eastAsia" w:cs="宋体"/>
          <w:sz w:val="24"/>
        </w:rPr>
        <w:t>4、供应商应在现场勘察时，熟悉现场及周围交通道路等情况，以获得一切可能影响投标响应内容的直接资料。供应商成交后，不得以不完全了解现场情况为理由而向采购人提出任何索赔的要求，对此采购人不承担任何责任，且不作任何答复。</w:t>
      </w:r>
    </w:p>
    <w:p>
      <w:pPr>
        <w:autoSpaceDE w:val="0"/>
        <w:autoSpaceDN w:val="0"/>
        <w:adjustRightInd w:val="0"/>
        <w:snapToGrid w:val="0"/>
        <w:spacing w:line="300" w:lineRule="auto"/>
        <w:jc w:val="center"/>
        <w:outlineLvl w:val="0"/>
        <w:rPr>
          <w:rFonts w:ascii="仿宋_GB2312" w:eastAsia="仿宋_GB2312"/>
          <w:b/>
          <w:bCs/>
          <w:szCs w:val="21"/>
          <w:lang w:val="zh-CN"/>
        </w:rPr>
      </w:pPr>
      <w:r>
        <w:rPr>
          <w:rFonts w:ascii="仿宋_GB2312" w:eastAsia="仿宋_GB2312"/>
          <w:b/>
          <w:bCs/>
          <w:sz w:val="36"/>
          <w:szCs w:val="36"/>
          <w:lang w:val="zh-CN"/>
        </w:rPr>
        <w:br w:type="page"/>
      </w:r>
      <w:r>
        <w:rPr>
          <w:rFonts w:hint="eastAsia" w:ascii="仿宋_GB2312" w:eastAsia="仿宋_GB2312"/>
          <w:b/>
          <w:bCs/>
          <w:sz w:val="36"/>
          <w:szCs w:val="36"/>
          <w:lang w:val="zh-CN"/>
        </w:rPr>
        <w:t>第三部分 项目需求</w:t>
      </w:r>
    </w:p>
    <w:p>
      <w:pPr>
        <w:snapToGrid w:val="0"/>
        <w:spacing w:line="360" w:lineRule="auto"/>
        <w:contextualSpacing/>
        <w:jc w:val="left"/>
        <w:rPr>
          <w:rFonts w:ascii="仿宋" w:hAnsi="仿宋" w:eastAsia="仿宋" w:cs="仿宋"/>
          <w:color w:val="555555"/>
          <w:sz w:val="24"/>
          <w:shd w:val="clear" w:color="auto" w:fill="FFFFFF"/>
          <w:lang w:val="zh-CN"/>
        </w:rPr>
      </w:pPr>
      <w:r>
        <w:rPr>
          <w:rFonts w:hint="eastAsia" w:ascii="宋体" w:hAnsi="宋体"/>
          <w:b/>
          <w:sz w:val="24"/>
          <w:lang w:val="zh-CN"/>
        </w:rPr>
        <w:t>（一）采购标的需实现的功能或者目标,以及为落实政府采购政策需满足的要求</w:t>
      </w:r>
    </w:p>
    <w:p>
      <w:pPr>
        <w:snapToGrid w:val="0"/>
        <w:spacing w:line="360" w:lineRule="auto"/>
        <w:ind w:firstLine="480" w:firstLineChars="200"/>
        <w:contextualSpacing/>
        <w:jc w:val="left"/>
        <w:rPr>
          <w:rFonts w:ascii="宋体" w:hAnsi="宋体"/>
          <w:sz w:val="24"/>
        </w:rPr>
      </w:pPr>
      <w:r>
        <w:rPr>
          <w:rFonts w:hint="eastAsia" w:ascii="宋体" w:hAnsi="宋体"/>
          <w:sz w:val="24"/>
        </w:rPr>
        <w:t>为响应“十四五”全民健康信息化规划，根据《关于做好2023年度妇女“两癌”筛查项目工作的通知》（苏卫办妇幼〔2023〕3号）文件要求，对南通市妇女两癌筛查服务项目提供统一的便民筛查预约服务入口，统筹布局，深化共建共用，增强全民健康信息化发展的系统性、整体性和协调性，提升全市妇女两癌筛查的便捷性及群众满意度。</w:t>
      </w:r>
    </w:p>
    <w:p>
      <w:pPr>
        <w:snapToGrid w:val="0"/>
        <w:spacing w:line="360" w:lineRule="auto"/>
        <w:ind w:firstLine="480" w:firstLineChars="200"/>
        <w:contextualSpacing/>
        <w:jc w:val="left"/>
        <w:rPr>
          <w:rFonts w:ascii="宋体" w:hAnsi="宋体"/>
          <w:sz w:val="24"/>
        </w:rPr>
      </w:pPr>
      <w:r>
        <w:rPr>
          <w:rFonts w:hint="eastAsia" w:ascii="宋体" w:hAnsi="宋体"/>
          <w:sz w:val="24"/>
        </w:rPr>
        <w:t>对接江苏省妇幼健康信息系统，完成两癌筛查的建档、预约检查、报告查询。</w:t>
      </w:r>
    </w:p>
    <w:p>
      <w:pPr>
        <w:snapToGrid w:val="0"/>
        <w:spacing w:line="360" w:lineRule="auto"/>
        <w:ind w:firstLine="480" w:firstLineChars="200"/>
        <w:contextualSpacing/>
        <w:jc w:val="left"/>
        <w:rPr>
          <w:rFonts w:ascii="宋体" w:hAnsi="宋体"/>
          <w:sz w:val="24"/>
        </w:rPr>
      </w:pPr>
      <w:r>
        <w:rPr>
          <w:rFonts w:hint="eastAsia" w:ascii="宋体" w:hAnsi="宋体"/>
          <w:sz w:val="24"/>
        </w:rPr>
        <w:t>根据《网络安全法》《数据安全法》《个人信息保护法》《密码法》《关键信息基础设施安全保护条例》及配套标准规范要求，落实安全体系，实现本系统互联网第三等级保护，纳入互联网医院平台统一管理。</w:t>
      </w:r>
    </w:p>
    <w:p>
      <w:pPr>
        <w:snapToGrid w:val="0"/>
        <w:spacing w:line="360" w:lineRule="auto"/>
        <w:ind w:firstLine="480" w:firstLineChars="200"/>
        <w:contextualSpacing/>
        <w:jc w:val="left"/>
        <w:rPr>
          <w:rFonts w:ascii="宋体" w:hAnsi="宋体"/>
          <w:sz w:val="24"/>
        </w:rPr>
      </w:pPr>
      <w:r>
        <w:rPr>
          <w:rFonts w:hint="eastAsia" w:ascii="宋体" w:hAnsi="宋体"/>
          <w:sz w:val="24"/>
        </w:rPr>
        <w:t>通过统一两癌筛查门户服务集成，广大筛查妇女可以在平台上进行筛查医疗机构的选择、完成两癌筛查的建档、预约及报告查询。</w:t>
      </w:r>
    </w:p>
    <w:p>
      <w:pPr>
        <w:snapToGrid w:val="0"/>
        <w:spacing w:line="360" w:lineRule="auto"/>
        <w:ind w:firstLine="480" w:firstLineChars="200"/>
        <w:contextualSpacing/>
        <w:jc w:val="left"/>
        <w:rPr>
          <w:rFonts w:ascii="宋体" w:hAnsi="宋体"/>
          <w:sz w:val="24"/>
        </w:rPr>
      </w:pPr>
      <w:r>
        <w:rPr>
          <w:rFonts w:hint="eastAsia" w:ascii="宋体" w:hAnsi="宋体"/>
          <w:sz w:val="24"/>
        </w:rPr>
        <w:t>通过搭建统一的医疗门户入口，实现区域内便民检查健康筛查数据、诊疗数据共享，最终实现妇女的健康管理与各医疗卫生机构之间的业务协同，为居民提供全生命周期的健康相关信息，为居民提供网络化、信息化的健康服务与健康管理。</w:t>
      </w:r>
    </w:p>
    <w:p>
      <w:pPr>
        <w:snapToGrid w:val="0"/>
        <w:spacing w:line="360" w:lineRule="auto"/>
        <w:ind w:firstLine="482" w:firstLineChars="200"/>
        <w:contextualSpacing/>
        <w:jc w:val="left"/>
        <w:rPr>
          <w:rFonts w:ascii="宋体" w:hAnsi="宋体"/>
          <w:b/>
          <w:sz w:val="24"/>
        </w:rPr>
      </w:pPr>
      <w:r>
        <w:rPr>
          <w:rFonts w:hint="eastAsia" w:ascii="宋体" w:hAnsi="宋体"/>
          <w:b/>
          <w:sz w:val="24"/>
        </w:rPr>
        <w:t>一、项目建设内容</w:t>
      </w:r>
    </w:p>
    <w:tbl>
      <w:tblPr>
        <w:tblStyle w:val="23"/>
        <w:tblpPr w:leftFromText="180" w:rightFromText="180" w:vertAnchor="text" w:tblpXSpec="center" w:tblpY="1"/>
        <w:tblOverlap w:val="never"/>
        <w:tblW w:w="8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26"/>
        <w:gridCol w:w="1384"/>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0" w:hRule="atLeast"/>
          <w:jc w:val="center"/>
        </w:trPr>
        <w:tc>
          <w:tcPr>
            <w:tcW w:w="2410" w:type="dxa"/>
            <w:gridSpan w:val="2"/>
            <w:tcBorders>
              <w:tl2br w:val="nil"/>
              <w:tr2bl w:val="nil"/>
            </w:tcBorders>
            <w:tcMar>
              <w:top w:w="0" w:type="dxa"/>
              <w:left w:w="108" w:type="dxa"/>
              <w:bottom w:w="0" w:type="dxa"/>
              <w:right w:w="108" w:type="dxa"/>
            </w:tcMar>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功能模块</w:t>
            </w:r>
          </w:p>
        </w:tc>
        <w:tc>
          <w:tcPr>
            <w:tcW w:w="6095" w:type="dxa"/>
            <w:tcBorders>
              <w:tl2br w:val="nil"/>
              <w:tr2bl w:val="nil"/>
            </w:tcBorders>
            <w:tcMar>
              <w:top w:w="0" w:type="dxa"/>
              <w:left w:w="108" w:type="dxa"/>
              <w:bottom w:w="0" w:type="dxa"/>
              <w:right w:w="108" w:type="dxa"/>
            </w:tcMar>
            <w:vAlign w:val="center"/>
          </w:tcPr>
          <w:p>
            <w:pPr>
              <w:widowControl/>
              <w:jc w:val="center"/>
              <w:rPr>
                <w:rFonts w:ascii="宋体" w:hAnsi="宋体" w:cs="宋体"/>
                <w:b/>
                <w:kern w:val="0"/>
                <w:sz w:val="24"/>
              </w:rPr>
            </w:pPr>
            <w:r>
              <w:rPr>
                <w:rFonts w:hint="eastAsia" w:ascii="宋体" w:hAnsi="宋体" w:cs="宋体"/>
                <w:b/>
                <w:color w:val="000000"/>
                <w:kern w:val="0"/>
                <w:sz w:val="24"/>
              </w:rPr>
              <w:t>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4"/>
              </w:rPr>
              <w:t>用户端</w:t>
            </w: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两癌筛查建档</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000000"/>
                <w:kern w:val="0"/>
                <w:sz w:val="24"/>
              </w:rPr>
            </w:pPr>
            <w:r>
              <w:rPr>
                <w:rFonts w:hint="eastAsia" w:ascii="宋体" w:hAnsi="宋体" w:cs="宋体"/>
                <w:color w:val="000000"/>
                <w:kern w:val="0"/>
                <w:sz w:val="24"/>
              </w:rPr>
              <w:t>辖区内的待筛查妇女在移动端进行基本信息的录入，包含筛查妇女的姓名、手机号码、身份证信息等。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continue"/>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筛查预约</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000000"/>
                <w:kern w:val="0"/>
                <w:sz w:val="24"/>
              </w:rPr>
            </w:pPr>
            <w:r>
              <w:rPr>
                <w:rFonts w:hint="eastAsia" w:ascii="宋体" w:hAnsi="宋体" w:cs="宋体"/>
                <w:color w:val="000000"/>
                <w:kern w:val="0"/>
                <w:sz w:val="24"/>
              </w:rPr>
              <w:t>建档完成后，根据居住地所属区域分配筛查机构，支持待检妇女进行在线预约筛查日期及时段。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continue"/>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报告列表</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000000"/>
                <w:kern w:val="0"/>
                <w:sz w:val="24"/>
              </w:rPr>
            </w:pPr>
            <w:r>
              <w:rPr>
                <w:rFonts w:hint="eastAsia" w:ascii="宋体" w:hAnsi="宋体" w:cs="宋体"/>
                <w:color w:val="000000"/>
                <w:kern w:val="0"/>
                <w:sz w:val="24"/>
              </w:rPr>
              <w:t>支持对历次筛查结果进行展示，包含报告的生成时间等。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continue"/>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报告查询</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000000"/>
                <w:kern w:val="0"/>
                <w:sz w:val="24"/>
              </w:rPr>
            </w:pPr>
            <w:r>
              <w:rPr>
                <w:rFonts w:hint="eastAsia" w:ascii="宋体" w:hAnsi="宋体" w:cs="宋体"/>
                <w:color w:val="000000"/>
                <w:kern w:val="0"/>
                <w:sz w:val="24"/>
              </w:rPr>
              <w:t>对于宫颈癌、乳腺癌的筛查结果进行展示，对于异常结果进行展示说明。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continue"/>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快速挂号</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000000"/>
                <w:kern w:val="0"/>
                <w:sz w:val="24"/>
              </w:rPr>
            </w:pPr>
            <w:r>
              <w:rPr>
                <w:rFonts w:hint="eastAsia" w:ascii="宋体" w:hAnsi="宋体" w:cs="宋体"/>
                <w:color w:val="000000"/>
                <w:kern w:val="0"/>
                <w:sz w:val="24"/>
              </w:rPr>
              <w:t>支持在两癌筛查小程序实</w:t>
            </w:r>
            <w:r>
              <w:rPr>
                <w:rFonts w:hint="eastAsia" w:ascii="宋体" w:hAnsi="宋体" w:cs="宋体"/>
                <w:color w:val="auto"/>
                <w:kern w:val="0"/>
                <w:sz w:val="24"/>
              </w:rPr>
              <w:t>现我院快</w:t>
            </w:r>
            <w:r>
              <w:rPr>
                <w:rFonts w:hint="eastAsia" w:ascii="宋体" w:hAnsi="宋体" w:cs="宋体"/>
                <w:color w:val="000000"/>
                <w:kern w:val="0"/>
                <w:sz w:val="24"/>
              </w:rPr>
              <w:t>速科室挂号的推荐。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4"/>
              </w:rPr>
              <w:t>管理端</w:t>
            </w: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账号管理</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000000"/>
                <w:kern w:val="0"/>
                <w:sz w:val="24"/>
              </w:rPr>
            </w:pPr>
            <w:r>
              <w:rPr>
                <w:rFonts w:hint="eastAsia" w:ascii="宋体" w:hAnsi="宋体" w:cs="宋体"/>
                <w:color w:val="000000"/>
                <w:kern w:val="0"/>
                <w:sz w:val="24"/>
              </w:rPr>
              <w:t>支持对账号进行机构管理，支持对账号进行新增，编辑，删除等操作。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continue"/>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筛查机构管理</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000000"/>
                <w:kern w:val="0"/>
                <w:sz w:val="24"/>
              </w:rPr>
            </w:pPr>
            <w:r>
              <w:rPr>
                <w:rFonts w:hint="eastAsia" w:ascii="宋体" w:hAnsi="宋体" w:cs="宋体"/>
                <w:color w:val="000000"/>
                <w:kern w:val="0"/>
                <w:sz w:val="24"/>
              </w:rPr>
              <w:t>支持新增筛查机构管理，维护筛查机构的基本信息，包含机构名称，机构地点，机构电话等，支持对筛查机构进行开启、关闭管理。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continue"/>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预约信息</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000000"/>
                <w:kern w:val="0"/>
                <w:sz w:val="24"/>
              </w:rPr>
            </w:pPr>
            <w:r>
              <w:rPr>
                <w:rFonts w:hint="eastAsia" w:ascii="宋体" w:hAnsi="宋体" w:cs="宋体"/>
                <w:color w:val="000000"/>
                <w:kern w:val="0"/>
                <w:sz w:val="24"/>
              </w:rPr>
              <w:t>支持在管理后台对预约的筛查信息进行查询，通过日期筛查，姓名，手机等多种方式筛查，支持导出Excel功能。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continue"/>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号源管理</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auto"/>
                <w:kern w:val="0"/>
                <w:sz w:val="24"/>
              </w:rPr>
            </w:pPr>
            <w:r>
              <w:rPr>
                <w:rFonts w:hint="eastAsia" w:ascii="宋体" w:hAnsi="宋体" w:cs="宋体"/>
                <w:color w:val="auto"/>
                <w:kern w:val="0"/>
                <w:sz w:val="24"/>
              </w:rPr>
              <w:t>支持对每个筛查机构进行号源排班管理，通过上下午进行区分，便于进行筛查的人员分流。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妇幼平台数据对接</w:t>
            </w: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建档信息注册</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auto"/>
                <w:kern w:val="0"/>
                <w:sz w:val="24"/>
              </w:rPr>
            </w:pPr>
            <w:r>
              <w:rPr>
                <w:rFonts w:hint="eastAsia" w:ascii="宋体" w:hAnsi="宋体" w:cs="宋体"/>
                <w:color w:val="auto"/>
                <w:kern w:val="0"/>
                <w:sz w:val="24"/>
              </w:rPr>
              <w:t>通过接口与江苏省妇幼健康信息系统进行对接，将建档信息实时同步到江苏省妇幼健康信息系统，省去了筛查现场录入的步骤，缩短了排队等候时间。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vMerge w:val="continue"/>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p>
        </w:tc>
        <w:tc>
          <w:tcPr>
            <w:tcW w:w="1384"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检查报告查询</w:t>
            </w:r>
          </w:p>
        </w:tc>
        <w:tc>
          <w:tcPr>
            <w:tcW w:w="6095" w:type="dxa"/>
            <w:tcBorders>
              <w:tl2br w:val="nil"/>
              <w:tr2bl w:val="nil"/>
            </w:tcBorders>
            <w:tcMar>
              <w:top w:w="0" w:type="dxa"/>
              <w:left w:w="108" w:type="dxa"/>
              <w:bottom w:w="0" w:type="dxa"/>
              <w:right w:w="108" w:type="dxa"/>
            </w:tcMar>
            <w:vAlign w:val="center"/>
          </w:tcPr>
          <w:p>
            <w:pPr>
              <w:widowControl/>
              <w:rPr>
                <w:rFonts w:ascii="宋体" w:hAnsi="宋体" w:cs="宋体"/>
                <w:color w:val="auto"/>
                <w:kern w:val="0"/>
                <w:sz w:val="24"/>
              </w:rPr>
            </w:pPr>
            <w:r>
              <w:rPr>
                <w:rFonts w:hint="eastAsia" w:ascii="宋体" w:hAnsi="宋体" w:cs="宋体"/>
                <w:color w:val="auto"/>
                <w:kern w:val="0"/>
                <w:sz w:val="24"/>
              </w:rPr>
              <w:t>通过与江苏省妇幼健康信息系统的对接，可以直接获取最新的检查报告，无需筛查机构电话告知检查结果或发放纸质检查报告。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1026" w:type="dxa"/>
            <w:tcBorders>
              <w:tl2br w:val="nil"/>
              <w:tr2bl w:val="nil"/>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其他</w:t>
            </w:r>
          </w:p>
        </w:tc>
        <w:tc>
          <w:tcPr>
            <w:tcW w:w="1384" w:type="dxa"/>
            <w:tcBorders>
              <w:tl2br w:val="nil"/>
              <w:tr2bl w:val="nil"/>
            </w:tcBorders>
            <w:tcMar>
              <w:top w:w="0" w:type="dxa"/>
              <w:left w:w="108" w:type="dxa"/>
              <w:bottom w:w="0" w:type="dxa"/>
              <w:right w:w="108" w:type="dxa"/>
            </w:tcMar>
            <w:vAlign w:val="center"/>
          </w:tcPr>
          <w:p>
            <w:pPr>
              <w:widowControl/>
              <w:jc w:val="center"/>
              <w:rPr>
                <w:rFonts w:hint="eastAsia" w:ascii="宋体" w:hAnsi="宋体" w:cs="宋体"/>
                <w:color w:val="000000"/>
                <w:kern w:val="0"/>
                <w:sz w:val="24"/>
              </w:rPr>
            </w:pPr>
          </w:p>
        </w:tc>
        <w:tc>
          <w:tcPr>
            <w:tcW w:w="6095" w:type="dxa"/>
            <w:tcBorders>
              <w:tl2br w:val="nil"/>
              <w:tr2bl w:val="nil"/>
            </w:tcBorders>
            <w:tcMar>
              <w:top w:w="0" w:type="dxa"/>
              <w:left w:w="108" w:type="dxa"/>
              <w:bottom w:w="0" w:type="dxa"/>
              <w:right w:w="108" w:type="dxa"/>
            </w:tcMar>
            <w:vAlign w:val="center"/>
          </w:tcPr>
          <w:p>
            <w:pPr>
              <w:widowControl/>
              <w:rPr>
                <w:rFonts w:hint="eastAsia" w:ascii="宋体" w:hAnsi="宋体" w:cs="宋体"/>
                <w:color w:val="000000"/>
                <w:kern w:val="0"/>
                <w:sz w:val="24"/>
              </w:rPr>
            </w:pPr>
            <w:r>
              <w:rPr>
                <w:rFonts w:hint="eastAsia" w:ascii="宋体" w:hAnsi="宋体" w:cs="宋体"/>
                <w:color w:val="000000"/>
                <w:kern w:val="0"/>
                <w:sz w:val="24"/>
              </w:rPr>
              <w:t>与我院现有互联网医院对接，打通用户体系。</w:t>
            </w:r>
          </w:p>
        </w:tc>
      </w:tr>
    </w:tbl>
    <w:p>
      <w:pPr>
        <w:snapToGrid w:val="0"/>
        <w:spacing w:before="240" w:line="360" w:lineRule="auto"/>
        <w:ind w:firstLine="482" w:firstLineChars="200"/>
        <w:contextualSpacing/>
        <w:jc w:val="left"/>
        <w:rPr>
          <w:rFonts w:ascii="宋体" w:hAnsi="宋体"/>
          <w:b/>
          <w:sz w:val="24"/>
        </w:rPr>
      </w:pPr>
      <w:r>
        <w:rPr>
          <w:rFonts w:hint="eastAsia" w:ascii="宋体" w:hAnsi="宋体"/>
          <w:b/>
          <w:sz w:val="24"/>
        </w:rPr>
        <w:t>二、具体功能要求</w:t>
      </w:r>
    </w:p>
    <w:p>
      <w:pPr>
        <w:snapToGrid w:val="0"/>
        <w:spacing w:line="360" w:lineRule="auto"/>
        <w:ind w:firstLine="482" w:firstLineChars="200"/>
        <w:contextualSpacing/>
        <w:jc w:val="left"/>
        <w:rPr>
          <w:rFonts w:ascii="宋体" w:hAnsi="宋体"/>
          <w:b/>
          <w:sz w:val="24"/>
        </w:rPr>
      </w:pPr>
      <w:bookmarkStart w:id="5" w:name="_Toc32333"/>
      <w:bookmarkStart w:id="6" w:name="_Toc14059"/>
      <w:bookmarkStart w:id="7" w:name="_Toc148945528"/>
      <w:r>
        <w:rPr>
          <w:rFonts w:hint="eastAsia" w:ascii="宋体" w:hAnsi="宋体"/>
          <w:b/>
          <w:sz w:val="24"/>
        </w:rPr>
        <w:t>1、统一门户</w:t>
      </w:r>
      <w:bookmarkEnd w:id="5"/>
      <w:bookmarkEnd w:id="6"/>
      <w:r>
        <w:rPr>
          <w:rFonts w:hint="eastAsia" w:ascii="宋体" w:hAnsi="宋体"/>
          <w:b/>
          <w:sz w:val="24"/>
        </w:rPr>
        <w:t>筛查用户建档</w:t>
      </w:r>
      <w:bookmarkEnd w:id="7"/>
      <w:r>
        <w:rPr>
          <w:rFonts w:hint="eastAsia" w:ascii="宋体" w:hAnsi="宋体"/>
          <w:b/>
          <w:sz w:val="24"/>
        </w:rPr>
        <w:t>功能：</w:t>
      </w:r>
    </w:p>
    <w:p>
      <w:pPr>
        <w:spacing w:after="120" w:line="360" w:lineRule="auto"/>
        <w:ind w:firstLine="480" w:firstLineChars="200"/>
        <w:jc w:val="left"/>
        <w:rPr>
          <w:rFonts w:ascii="宋体" w:hAnsi="宋体" w:cs="宋体"/>
          <w:sz w:val="24"/>
        </w:rPr>
      </w:pPr>
      <w:r>
        <w:rPr>
          <w:rFonts w:hint="eastAsia" w:ascii="宋体" w:hAnsi="宋体" w:cs="宋体"/>
          <w:sz w:val="24"/>
        </w:rPr>
        <w:t>搭建区域便民服务统一门户平台，组建南通市两癌筛查统一门户平台用户体系，集成接入辖区内的所有两癌筛查机构的预约、报告查询等应用及服务，整合辖区医疗资源，将便民就医推广到每个居民身边。</w:t>
      </w:r>
    </w:p>
    <w:p>
      <w:pPr>
        <w:snapToGrid w:val="0"/>
        <w:spacing w:line="360" w:lineRule="auto"/>
        <w:ind w:firstLine="482" w:firstLineChars="200"/>
        <w:contextualSpacing/>
        <w:jc w:val="left"/>
        <w:rPr>
          <w:rFonts w:ascii="宋体" w:hAnsi="宋体"/>
          <w:b/>
          <w:sz w:val="24"/>
        </w:rPr>
      </w:pPr>
      <w:bookmarkStart w:id="8" w:name="_Toc148945529"/>
      <w:r>
        <w:rPr>
          <w:rFonts w:hint="eastAsia" w:ascii="宋体" w:hAnsi="宋体"/>
          <w:b/>
          <w:sz w:val="24"/>
        </w:rPr>
        <w:t>2、病史录入</w:t>
      </w:r>
      <w:bookmarkEnd w:id="8"/>
      <w:r>
        <w:rPr>
          <w:rFonts w:hint="eastAsia" w:ascii="宋体" w:hAnsi="宋体"/>
          <w:b/>
          <w:sz w:val="24"/>
        </w:rPr>
        <w:t>功能：</w:t>
      </w:r>
    </w:p>
    <w:p>
      <w:pPr>
        <w:spacing w:after="120" w:line="360" w:lineRule="auto"/>
        <w:ind w:firstLine="480" w:firstLineChars="200"/>
        <w:jc w:val="left"/>
        <w:rPr>
          <w:rFonts w:ascii="宋体" w:hAnsi="宋体" w:cs="宋体"/>
          <w:sz w:val="24"/>
        </w:rPr>
      </w:pPr>
      <w:r>
        <w:rPr>
          <w:rFonts w:hint="eastAsia" w:ascii="宋体" w:hAnsi="宋体" w:cs="宋体"/>
          <w:sz w:val="24"/>
        </w:rPr>
        <w:t>基于两癌筛查项目的病历基础情况，既往史基础情况，通过便捷化的移动端供筛查妇女进行填写，填完完毕后，数据将实时保存，护士进行审核后完成建档及病历录入。</w:t>
      </w:r>
    </w:p>
    <w:p>
      <w:pPr>
        <w:widowControl/>
        <w:tabs>
          <w:tab w:val="left" w:pos="141"/>
        </w:tabs>
        <w:autoSpaceDE w:val="0"/>
        <w:spacing w:line="360" w:lineRule="auto"/>
        <w:ind w:firstLine="482" w:firstLineChars="200"/>
        <w:outlineLvl w:val="2"/>
        <w:rPr>
          <w:rFonts w:ascii="宋体" w:hAnsi="宋体" w:cs="宋体"/>
          <w:b/>
          <w:color w:val="000000"/>
          <w:kern w:val="0"/>
          <w:sz w:val="24"/>
        </w:rPr>
      </w:pPr>
      <w:bookmarkStart w:id="9" w:name="_Toc1652"/>
      <w:bookmarkStart w:id="10" w:name="_Toc28041"/>
      <w:bookmarkStart w:id="11" w:name="_Toc148945530"/>
      <w:r>
        <w:rPr>
          <w:rFonts w:hint="eastAsia" w:ascii="宋体" w:hAnsi="宋体" w:cs="宋体"/>
          <w:b/>
          <w:color w:val="000000"/>
          <w:kern w:val="0"/>
          <w:sz w:val="24"/>
        </w:rPr>
        <w:t>3、门诊预约</w:t>
      </w:r>
      <w:bookmarkEnd w:id="9"/>
      <w:bookmarkEnd w:id="10"/>
      <w:r>
        <w:rPr>
          <w:rFonts w:hint="eastAsia" w:ascii="宋体" w:hAnsi="宋体" w:cs="宋体"/>
          <w:b/>
          <w:color w:val="000000"/>
          <w:kern w:val="0"/>
          <w:sz w:val="24"/>
        </w:rPr>
        <w:t>功能：</w:t>
      </w:r>
      <w:bookmarkEnd w:id="11"/>
    </w:p>
    <w:p>
      <w:pPr>
        <w:spacing w:line="360" w:lineRule="auto"/>
        <w:ind w:firstLine="480" w:firstLineChars="200"/>
        <w:rPr>
          <w:rFonts w:ascii="宋体" w:hAnsi="宋体" w:cs="宋体"/>
          <w:color w:val="000000"/>
          <w:sz w:val="24"/>
        </w:rPr>
      </w:pPr>
      <w:r>
        <w:rPr>
          <w:rFonts w:hint="eastAsia" w:ascii="宋体" w:hAnsi="宋体" w:cs="宋体"/>
          <w:color w:val="000000"/>
          <w:sz w:val="24"/>
        </w:rPr>
        <w:t>（1）筛查预约</w:t>
      </w:r>
    </w:p>
    <w:p>
      <w:pPr>
        <w:spacing w:line="360" w:lineRule="auto"/>
        <w:ind w:firstLine="480" w:firstLineChars="200"/>
        <w:rPr>
          <w:rFonts w:ascii="宋体" w:hAnsi="宋体" w:cs="宋体"/>
          <w:color w:val="000000"/>
          <w:sz w:val="24"/>
        </w:rPr>
      </w:pPr>
      <w:r>
        <w:rPr>
          <w:rFonts w:hint="eastAsia" w:ascii="宋体" w:hAnsi="宋体" w:cs="宋体"/>
          <w:color w:val="000000"/>
          <w:sz w:val="24"/>
        </w:rPr>
        <w:t>筛查妇女在便民服务平台进入建档及基础病史、既往史的录入后，根据筛查机构进行分配后，提供筛查日期供预约选择。</w:t>
      </w:r>
    </w:p>
    <w:p>
      <w:pPr>
        <w:spacing w:line="360" w:lineRule="auto"/>
        <w:ind w:firstLine="480" w:firstLineChars="200"/>
        <w:rPr>
          <w:rFonts w:ascii="宋体" w:hAnsi="宋体" w:cs="宋体"/>
          <w:color w:val="000000"/>
          <w:sz w:val="24"/>
        </w:rPr>
      </w:pPr>
      <w:r>
        <w:rPr>
          <w:rFonts w:hint="eastAsia" w:ascii="宋体" w:hAnsi="宋体" w:cs="宋体"/>
          <w:color w:val="000000"/>
          <w:sz w:val="24"/>
        </w:rPr>
        <w:t>（2）患者自预约审核</w:t>
      </w:r>
    </w:p>
    <w:p>
      <w:pPr>
        <w:spacing w:line="360" w:lineRule="auto"/>
        <w:ind w:firstLine="480" w:firstLineChars="200"/>
        <w:rPr>
          <w:rFonts w:ascii="宋体" w:hAnsi="宋体" w:cs="宋体"/>
          <w:sz w:val="24"/>
        </w:rPr>
      </w:pPr>
      <w:r>
        <w:rPr>
          <w:rFonts w:hint="eastAsia" w:ascii="宋体" w:hAnsi="宋体" w:cs="宋体"/>
          <w:color w:val="000000"/>
          <w:sz w:val="24"/>
        </w:rPr>
        <w:t>根据两癌筛查的政策规定，同一个筛查妇女在三年内不允许重复参与免费两癌筛查计划，系统将根据预约信息，进行数据匹配，对于不符合要求的进行合理化的提示。</w:t>
      </w:r>
    </w:p>
    <w:p>
      <w:pPr>
        <w:spacing w:line="360" w:lineRule="auto"/>
        <w:ind w:firstLine="480" w:firstLineChars="200"/>
        <w:rPr>
          <w:rFonts w:ascii="宋体" w:hAnsi="宋体" w:cs="宋体"/>
          <w:color w:val="000000"/>
          <w:sz w:val="24"/>
        </w:rPr>
      </w:pPr>
      <w:r>
        <w:rPr>
          <w:rFonts w:hint="eastAsia" w:ascii="宋体" w:hAnsi="宋体" w:cs="宋体"/>
          <w:color w:val="000000"/>
          <w:sz w:val="24"/>
        </w:rPr>
        <w:t>（3）筛查预约功能清单</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7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1384" w:type="dxa"/>
            <w:shd w:val="clear" w:color="auto" w:fill="D9D9D9"/>
            <w:noWrap/>
            <w:vAlign w:val="center"/>
          </w:tcPr>
          <w:p>
            <w:pPr>
              <w:widowControl/>
              <w:jc w:val="center"/>
              <w:rPr>
                <w:rFonts w:ascii="宋体" w:hAnsi="宋体" w:cs="宋体"/>
                <w:b/>
                <w:kern w:val="0"/>
                <w:sz w:val="24"/>
              </w:rPr>
            </w:pPr>
            <w:r>
              <w:rPr>
                <w:rFonts w:hint="eastAsia" w:ascii="宋体" w:hAnsi="宋体" w:cs="宋体"/>
                <w:b/>
                <w:kern w:val="0"/>
                <w:sz w:val="24"/>
              </w:rPr>
              <w:t>功能模块</w:t>
            </w:r>
          </w:p>
        </w:tc>
        <w:tc>
          <w:tcPr>
            <w:tcW w:w="1675" w:type="dxa"/>
            <w:shd w:val="clear" w:color="auto" w:fill="D9D9D9"/>
            <w:noWrap/>
            <w:vAlign w:val="center"/>
          </w:tcPr>
          <w:p>
            <w:pPr>
              <w:widowControl/>
              <w:jc w:val="center"/>
              <w:rPr>
                <w:rFonts w:ascii="宋体" w:hAnsi="宋体" w:cs="宋体"/>
                <w:b/>
                <w:kern w:val="0"/>
                <w:sz w:val="24"/>
              </w:rPr>
            </w:pPr>
            <w:r>
              <w:rPr>
                <w:rFonts w:hint="eastAsia" w:ascii="宋体" w:hAnsi="宋体" w:cs="宋体"/>
                <w:b/>
                <w:kern w:val="0"/>
                <w:sz w:val="24"/>
              </w:rPr>
              <w:t>子模块</w:t>
            </w:r>
          </w:p>
        </w:tc>
        <w:tc>
          <w:tcPr>
            <w:tcW w:w="5670" w:type="dxa"/>
            <w:shd w:val="clear" w:color="auto" w:fill="D9D9D9"/>
            <w:noWrap/>
            <w:vAlign w:val="center"/>
          </w:tcPr>
          <w:p>
            <w:pPr>
              <w:widowControl/>
              <w:jc w:val="center"/>
              <w:rPr>
                <w:rFonts w:ascii="宋体" w:hAnsi="宋体" w:cs="宋体"/>
                <w:b/>
                <w:kern w:val="0"/>
                <w:sz w:val="24"/>
              </w:rPr>
            </w:pPr>
            <w:r>
              <w:rPr>
                <w:rFonts w:hint="eastAsia" w:ascii="宋体" w:hAnsi="宋体" w:cs="宋体"/>
                <w:b/>
                <w:kern w:val="0"/>
                <w:sz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84" w:type="dxa"/>
            <w:vMerge w:val="restart"/>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筛查预约</w:t>
            </w:r>
          </w:p>
        </w:tc>
        <w:tc>
          <w:tcPr>
            <w:tcW w:w="1675" w:type="dxa"/>
            <w:noWrap/>
            <w:vAlign w:val="center"/>
          </w:tcPr>
          <w:p>
            <w:pPr>
              <w:widowControl/>
              <w:jc w:val="center"/>
              <w:rPr>
                <w:rFonts w:ascii="宋体" w:hAnsi="宋体" w:cs="宋体"/>
                <w:color w:val="auto"/>
                <w:kern w:val="0"/>
                <w:sz w:val="24"/>
              </w:rPr>
            </w:pPr>
            <w:r>
              <w:rPr>
                <w:rFonts w:hint="eastAsia" w:ascii="宋体" w:hAnsi="宋体" w:cs="宋体"/>
                <w:color w:val="auto"/>
                <w:sz w:val="24"/>
              </w:rPr>
              <w:t>按照日期进行选择</w:t>
            </w:r>
          </w:p>
        </w:tc>
        <w:tc>
          <w:tcPr>
            <w:tcW w:w="5670" w:type="dxa"/>
            <w:noWrap/>
            <w:vAlign w:val="center"/>
          </w:tcPr>
          <w:p>
            <w:pPr>
              <w:widowControl/>
              <w:jc w:val="left"/>
              <w:rPr>
                <w:rFonts w:ascii="宋体" w:hAnsi="宋体" w:cs="宋体"/>
                <w:color w:val="auto"/>
                <w:kern w:val="0"/>
                <w:sz w:val="24"/>
              </w:rPr>
            </w:pPr>
            <w:r>
              <w:rPr>
                <w:rFonts w:hint="eastAsia" w:ascii="宋体" w:hAnsi="宋体" w:cs="宋体"/>
                <w:color w:val="auto"/>
                <w:sz w:val="24"/>
              </w:rPr>
              <w:t>筛查妇女选择筛查机构后，系统查询当前机构未来数日的号源情况后，妇女选择并进行预约检查。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84" w:type="dxa"/>
            <w:vMerge w:val="continue"/>
            <w:vAlign w:val="center"/>
          </w:tcPr>
          <w:p>
            <w:pPr>
              <w:widowControl/>
              <w:jc w:val="left"/>
              <w:rPr>
                <w:rFonts w:ascii="宋体" w:hAnsi="宋体" w:cs="宋体"/>
                <w:color w:val="auto"/>
                <w:kern w:val="0"/>
                <w:sz w:val="24"/>
              </w:rPr>
            </w:pPr>
          </w:p>
        </w:tc>
        <w:tc>
          <w:tcPr>
            <w:tcW w:w="1675" w:type="dxa"/>
            <w:noWrap/>
            <w:vAlign w:val="center"/>
          </w:tcPr>
          <w:p>
            <w:pPr>
              <w:widowControl/>
              <w:jc w:val="center"/>
              <w:rPr>
                <w:rFonts w:ascii="宋体" w:hAnsi="宋体" w:cs="宋体"/>
                <w:color w:val="auto"/>
                <w:kern w:val="0"/>
                <w:sz w:val="24"/>
              </w:rPr>
            </w:pPr>
            <w:r>
              <w:rPr>
                <w:rFonts w:hint="eastAsia" w:ascii="宋体" w:hAnsi="宋体" w:cs="宋体"/>
                <w:color w:val="auto"/>
                <w:sz w:val="24"/>
              </w:rPr>
              <w:t>预约记录查询</w:t>
            </w:r>
          </w:p>
        </w:tc>
        <w:tc>
          <w:tcPr>
            <w:tcW w:w="5670" w:type="dxa"/>
            <w:vAlign w:val="center"/>
          </w:tcPr>
          <w:p>
            <w:pPr>
              <w:widowControl/>
              <w:jc w:val="left"/>
              <w:rPr>
                <w:rFonts w:ascii="宋体" w:hAnsi="宋体" w:cs="宋体"/>
                <w:color w:val="auto"/>
                <w:kern w:val="0"/>
                <w:sz w:val="24"/>
              </w:rPr>
            </w:pPr>
            <w:r>
              <w:rPr>
                <w:rFonts w:hint="eastAsia" w:ascii="宋体" w:hAnsi="宋体" w:cs="宋体"/>
                <w:color w:val="auto"/>
                <w:sz w:val="24"/>
              </w:rPr>
              <w:t>对于预约完成后的号源，系统将支持查询历史预约记录，并支持进行取消预约的操作。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384" w:type="dxa"/>
            <w:vMerge w:val="continue"/>
            <w:vAlign w:val="center"/>
          </w:tcPr>
          <w:p>
            <w:pPr>
              <w:widowControl/>
              <w:jc w:val="left"/>
              <w:rPr>
                <w:rFonts w:ascii="宋体" w:hAnsi="宋体" w:cs="宋体"/>
                <w:color w:val="auto"/>
                <w:kern w:val="0"/>
                <w:sz w:val="24"/>
              </w:rPr>
            </w:pPr>
          </w:p>
        </w:tc>
        <w:tc>
          <w:tcPr>
            <w:tcW w:w="1675" w:type="dxa"/>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预约审核</w:t>
            </w:r>
          </w:p>
        </w:tc>
        <w:tc>
          <w:tcPr>
            <w:tcW w:w="5670" w:type="dxa"/>
            <w:vAlign w:val="center"/>
          </w:tcPr>
          <w:p>
            <w:pPr>
              <w:widowControl/>
              <w:jc w:val="left"/>
              <w:rPr>
                <w:rFonts w:ascii="宋体" w:hAnsi="宋体" w:cs="宋体"/>
                <w:color w:val="auto"/>
                <w:kern w:val="0"/>
                <w:sz w:val="24"/>
              </w:rPr>
            </w:pPr>
            <w:r>
              <w:rPr>
                <w:rFonts w:hint="eastAsia" w:ascii="宋体" w:hAnsi="宋体" w:cs="宋体"/>
                <w:color w:val="auto"/>
                <w:kern w:val="0"/>
                <w:sz w:val="24"/>
              </w:rPr>
              <w:t>当妇女预约完成并到机构进行检查的时候，支持医护工作人员在管理端对妇女建档的数据进行审核并通过数据对接江苏省妇幼健康信息系统生成建档号。</w:t>
            </w:r>
          </w:p>
        </w:tc>
      </w:tr>
    </w:tbl>
    <w:p>
      <w:pPr>
        <w:widowControl/>
        <w:tabs>
          <w:tab w:val="left" w:pos="141"/>
        </w:tabs>
        <w:autoSpaceDE w:val="0"/>
        <w:spacing w:line="360" w:lineRule="auto"/>
        <w:ind w:firstLine="482" w:firstLineChars="200"/>
        <w:outlineLvl w:val="2"/>
        <w:rPr>
          <w:rFonts w:ascii="宋体" w:hAnsi="宋体" w:cs="宋体"/>
          <w:b/>
          <w:color w:val="auto"/>
          <w:kern w:val="0"/>
          <w:sz w:val="24"/>
        </w:rPr>
      </w:pPr>
      <w:bookmarkStart w:id="12" w:name="_Toc148945531"/>
      <w:r>
        <w:rPr>
          <w:rFonts w:hint="eastAsia" w:ascii="宋体" w:hAnsi="宋体" w:cs="宋体"/>
          <w:b/>
          <w:color w:val="auto"/>
          <w:kern w:val="0"/>
          <w:sz w:val="24"/>
        </w:rPr>
        <w:t>4、报告查询</w:t>
      </w:r>
      <w:bookmarkEnd w:id="12"/>
    </w:p>
    <w:p>
      <w:pPr>
        <w:spacing w:line="360" w:lineRule="auto"/>
        <w:ind w:firstLine="480" w:firstLineChars="200"/>
        <w:rPr>
          <w:rFonts w:ascii="宋体" w:hAnsi="宋体" w:cs="宋体"/>
          <w:color w:val="000000"/>
          <w:sz w:val="24"/>
        </w:rPr>
      </w:pPr>
      <w:bookmarkStart w:id="13" w:name="_Toc7713"/>
      <w:bookmarkStart w:id="14" w:name="_Toc24275"/>
      <w:bookmarkStart w:id="15" w:name="_Toc9176"/>
      <w:bookmarkStart w:id="16" w:name="_Toc7248"/>
      <w:bookmarkStart w:id="17" w:name="_Toc29351"/>
      <w:r>
        <w:rPr>
          <w:rFonts w:hint="eastAsia" w:ascii="宋体" w:hAnsi="宋体" w:cs="宋体"/>
          <w:color w:val="auto"/>
          <w:sz w:val="24"/>
        </w:rPr>
        <w:t>两癌筛查便民平台与</w:t>
      </w:r>
      <w:r>
        <w:rPr>
          <w:rFonts w:hint="eastAsia" w:ascii="宋体" w:hAnsi="宋体" w:cs="宋体"/>
          <w:color w:val="auto"/>
          <w:kern w:val="0"/>
          <w:sz w:val="24"/>
        </w:rPr>
        <w:t>江苏省妇幼健康信息系统</w:t>
      </w:r>
      <w:r>
        <w:rPr>
          <w:rFonts w:hint="eastAsia" w:ascii="宋体" w:hAnsi="宋体" w:cs="宋体"/>
          <w:color w:val="auto"/>
          <w:sz w:val="24"/>
        </w:rPr>
        <w:t>实现对接，当筛查对象检查/检验报告生成后，支持调用接口的形式将筛查结果通过电子化的</w:t>
      </w:r>
      <w:r>
        <w:rPr>
          <w:rFonts w:hint="eastAsia" w:ascii="宋体" w:hAnsi="宋体" w:cs="宋体"/>
          <w:color w:val="000000"/>
          <w:sz w:val="24"/>
        </w:rPr>
        <w:t>展示。</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妇女在医院执行了检查/检验/体检项目后，对疑问项目支持患者通过平台跳转到南通市妇幼保健院进行线上问诊，线下预约挂号的快速跳转，实现便捷化的挂号就诊服务。</w:t>
      </w:r>
    </w:p>
    <w:p>
      <w:pPr>
        <w:widowControl/>
        <w:tabs>
          <w:tab w:val="left" w:pos="141"/>
        </w:tabs>
        <w:autoSpaceDE w:val="0"/>
        <w:spacing w:line="360" w:lineRule="auto"/>
        <w:ind w:firstLine="482" w:firstLineChars="200"/>
        <w:outlineLvl w:val="2"/>
        <w:rPr>
          <w:rFonts w:ascii="宋体" w:hAnsi="宋体" w:cs="宋体"/>
          <w:b/>
          <w:color w:val="auto"/>
          <w:kern w:val="0"/>
          <w:sz w:val="24"/>
        </w:rPr>
      </w:pPr>
      <w:bookmarkStart w:id="18" w:name="_Toc148945532"/>
      <w:r>
        <w:rPr>
          <w:rFonts w:hint="eastAsia" w:ascii="宋体" w:hAnsi="宋体" w:cs="宋体"/>
          <w:b/>
          <w:color w:val="000000"/>
          <w:kern w:val="0"/>
          <w:sz w:val="24"/>
        </w:rPr>
        <w:t>5、消息通</w:t>
      </w:r>
      <w:r>
        <w:rPr>
          <w:rFonts w:hint="eastAsia" w:ascii="宋体" w:hAnsi="宋体" w:cs="宋体"/>
          <w:b/>
          <w:color w:val="auto"/>
          <w:kern w:val="0"/>
          <w:sz w:val="24"/>
        </w:rPr>
        <w:t>知</w:t>
      </w:r>
      <w:bookmarkEnd w:id="18"/>
    </w:p>
    <w:p>
      <w:pPr>
        <w:spacing w:line="360" w:lineRule="auto"/>
        <w:ind w:firstLine="480" w:firstLineChars="200"/>
        <w:rPr>
          <w:rFonts w:ascii="宋体" w:hAnsi="宋体" w:cs="宋体"/>
          <w:color w:val="000000"/>
          <w:sz w:val="24"/>
        </w:rPr>
      </w:pPr>
      <w:r>
        <w:rPr>
          <w:rFonts w:hint="eastAsia" w:ascii="宋体" w:hAnsi="宋体" w:cs="宋体"/>
          <w:color w:val="auto"/>
          <w:sz w:val="24"/>
        </w:rPr>
        <w:t>筛查对象预约成功后，系统将自动向用户发送一条消息，确认其预约已成功提交。消息内容将包括预约成功提示，并提供预约的具体信息，如预约日期、时间、筛查地点等。同时，还会提醒用户注意事项，例如提前准备、取消预约等。消息将通过微信小程序的消</w:t>
      </w:r>
      <w:r>
        <w:rPr>
          <w:rFonts w:hint="eastAsia" w:ascii="宋体" w:hAnsi="宋体" w:cs="宋体"/>
          <w:color w:val="000000"/>
          <w:sz w:val="24"/>
        </w:rPr>
        <w:t>息通知功能或模板消息功能发送给用户。用户可以在微信小程序的消息中心接收到通知，并显示未读消息数量，或在小程序首页的通知栏或页面上以红点或提醒标识的方式提示有新消息。</w:t>
      </w:r>
    </w:p>
    <w:bookmarkEnd w:id="13"/>
    <w:bookmarkEnd w:id="14"/>
    <w:bookmarkEnd w:id="15"/>
    <w:bookmarkEnd w:id="16"/>
    <w:bookmarkEnd w:id="17"/>
    <w:p>
      <w:pPr>
        <w:widowControl/>
        <w:tabs>
          <w:tab w:val="left" w:pos="141"/>
        </w:tabs>
        <w:autoSpaceDE w:val="0"/>
        <w:spacing w:line="360" w:lineRule="auto"/>
        <w:ind w:firstLine="482" w:firstLineChars="200"/>
        <w:outlineLvl w:val="2"/>
        <w:rPr>
          <w:rFonts w:ascii="宋体" w:hAnsi="宋体" w:cs="宋体"/>
          <w:b/>
          <w:color w:val="000000"/>
          <w:kern w:val="0"/>
          <w:sz w:val="24"/>
        </w:rPr>
      </w:pPr>
      <w:bookmarkStart w:id="19" w:name="_Toc148945533"/>
      <w:r>
        <w:rPr>
          <w:rFonts w:hint="eastAsia" w:ascii="宋体" w:hAnsi="宋体" w:cs="宋体"/>
          <w:b/>
          <w:color w:val="000000"/>
          <w:kern w:val="0"/>
          <w:sz w:val="24"/>
        </w:rPr>
        <w:t>6、妇幼平台数据服务对接</w:t>
      </w:r>
      <w:bookmarkEnd w:id="19"/>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通过与妇幼平台的实际对接，可以实现建档信息、病史信息和检查报告的数据共享和同步，减少了用户的操作和重复工作，提高了工作效率和用户体验。同时，确保了数据的准确性和一致性，避免了信息传输和录入的错误。这样的对接方式更加省时省力，为用户提供便捷的服务。</w:t>
      </w:r>
    </w:p>
    <w:p>
      <w:pPr>
        <w:widowControl/>
        <w:spacing w:line="360" w:lineRule="auto"/>
        <w:ind w:firstLine="480" w:firstLineChars="200"/>
        <w:jc w:val="left"/>
        <w:rPr>
          <w:rFonts w:hint="eastAsia" w:ascii="宋体" w:hAnsi="宋体" w:cs="宋体"/>
          <w:color w:val="000000"/>
          <w:sz w:val="24"/>
        </w:rPr>
      </w:pPr>
    </w:p>
    <w:p>
      <w:pPr>
        <w:widowControl/>
        <w:spacing w:line="360" w:lineRule="auto"/>
        <w:ind w:firstLine="480" w:firstLineChars="200"/>
        <w:jc w:val="left"/>
        <w:rPr>
          <w:rFonts w:hint="eastAsia" w:ascii="宋体" w:hAnsi="宋体" w:cs="宋体"/>
          <w:color w:val="000000"/>
          <w:sz w:val="24"/>
        </w:rPr>
      </w:pPr>
    </w:p>
    <w:p>
      <w:pPr>
        <w:widowControl/>
        <w:spacing w:line="360" w:lineRule="auto"/>
        <w:ind w:firstLine="480" w:firstLineChars="200"/>
        <w:jc w:val="left"/>
        <w:rPr>
          <w:rFonts w:hint="eastAsia" w:ascii="宋体" w:hAnsi="宋体" w:cs="宋体"/>
          <w:color w:val="000000"/>
          <w:sz w:val="24"/>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259"/>
        <w:gridCol w:w="6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jc w:val="center"/>
        </w:trPr>
        <w:tc>
          <w:tcPr>
            <w:tcW w:w="808" w:type="dxa"/>
            <w:shd w:val="clear" w:color="auto" w:fill="auto"/>
            <w:vAlign w:val="center"/>
          </w:tcPr>
          <w:p>
            <w:pPr>
              <w:widowControl/>
              <w:spacing w:line="276" w:lineRule="auto"/>
              <w:jc w:val="center"/>
              <w:rPr>
                <w:rFonts w:ascii="宋体" w:hAnsi="宋体" w:cs="宋体"/>
                <w:b/>
                <w:color w:val="000000"/>
                <w:kern w:val="0"/>
                <w:sz w:val="24"/>
                <w:lang w:eastAsia="en-US"/>
              </w:rPr>
            </w:pPr>
            <w:r>
              <w:rPr>
                <w:rFonts w:hint="eastAsia" w:ascii="宋体" w:hAnsi="宋体" w:cs="宋体"/>
                <w:b/>
                <w:color w:val="000000"/>
                <w:kern w:val="0"/>
                <w:sz w:val="24"/>
                <w:lang w:eastAsia="en-US"/>
              </w:rPr>
              <w:t>序号</w:t>
            </w:r>
          </w:p>
        </w:tc>
        <w:tc>
          <w:tcPr>
            <w:tcW w:w="1259" w:type="dxa"/>
            <w:shd w:val="clear" w:color="auto" w:fill="auto"/>
            <w:vAlign w:val="center"/>
          </w:tcPr>
          <w:p>
            <w:pPr>
              <w:widowControl/>
              <w:spacing w:line="276" w:lineRule="auto"/>
              <w:jc w:val="center"/>
              <w:rPr>
                <w:rFonts w:ascii="宋体" w:hAnsi="宋体" w:cs="宋体"/>
                <w:b/>
                <w:color w:val="000000"/>
                <w:kern w:val="0"/>
                <w:sz w:val="24"/>
                <w:lang w:eastAsia="en-US"/>
              </w:rPr>
            </w:pPr>
            <w:r>
              <w:rPr>
                <w:rFonts w:hint="eastAsia" w:ascii="宋体" w:hAnsi="宋体" w:cs="宋体"/>
                <w:b/>
                <w:color w:val="000000"/>
                <w:kern w:val="0"/>
                <w:sz w:val="24"/>
                <w:lang w:eastAsia="en-US"/>
              </w:rPr>
              <w:t>对接内容</w:t>
            </w:r>
          </w:p>
        </w:tc>
        <w:tc>
          <w:tcPr>
            <w:tcW w:w="6543" w:type="dxa"/>
            <w:shd w:val="clear" w:color="auto" w:fill="auto"/>
            <w:vAlign w:val="center"/>
          </w:tcPr>
          <w:p>
            <w:pPr>
              <w:widowControl/>
              <w:spacing w:line="276" w:lineRule="auto"/>
              <w:jc w:val="center"/>
              <w:rPr>
                <w:rFonts w:ascii="宋体" w:hAnsi="宋体" w:cs="宋体"/>
                <w:b/>
                <w:color w:val="000000"/>
                <w:kern w:val="0"/>
                <w:sz w:val="24"/>
                <w:lang w:eastAsia="en-US"/>
              </w:rPr>
            </w:pPr>
            <w:r>
              <w:rPr>
                <w:rFonts w:hint="eastAsia" w:ascii="宋体" w:hAnsi="宋体" w:cs="宋体"/>
                <w:b/>
                <w:color w:val="000000"/>
                <w:kern w:val="0"/>
                <w:sz w:val="24"/>
                <w:lang w:eastAsia="en-US"/>
              </w:rPr>
              <w:t>集成能力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808" w:type="dxa"/>
            <w:shd w:val="clear" w:color="auto" w:fill="auto"/>
            <w:vAlign w:val="center"/>
          </w:tcPr>
          <w:p>
            <w:pPr>
              <w:widowControl/>
              <w:spacing w:line="276" w:lineRule="auto"/>
              <w:jc w:val="center"/>
              <w:rPr>
                <w:rFonts w:ascii="宋体" w:hAnsi="宋体" w:cs="宋体"/>
                <w:color w:val="000000"/>
                <w:kern w:val="0"/>
                <w:sz w:val="24"/>
                <w:lang w:eastAsia="en-US"/>
              </w:rPr>
            </w:pPr>
            <w:r>
              <w:rPr>
                <w:rFonts w:hint="eastAsia" w:ascii="宋体" w:hAnsi="宋体" w:cs="宋体"/>
                <w:color w:val="000000"/>
                <w:kern w:val="0"/>
                <w:sz w:val="24"/>
                <w:lang w:eastAsia="en-US"/>
              </w:rPr>
              <w:t>1</w:t>
            </w:r>
          </w:p>
        </w:tc>
        <w:tc>
          <w:tcPr>
            <w:tcW w:w="1259" w:type="dxa"/>
            <w:shd w:val="clear" w:color="auto" w:fill="auto"/>
            <w:vAlign w:val="center"/>
          </w:tcPr>
          <w:p>
            <w:pPr>
              <w:widowControl/>
              <w:spacing w:line="276" w:lineRule="auto"/>
              <w:jc w:val="center"/>
              <w:textAlignment w:val="center"/>
              <w:rPr>
                <w:rFonts w:ascii="宋体" w:hAnsi="宋体" w:cs="宋体"/>
                <w:color w:val="000000"/>
                <w:sz w:val="24"/>
              </w:rPr>
            </w:pPr>
            <w:r>
              <w:rPr>
                <w:rFonts w:hint="eastAsia" w:ascii="宋体" w:hAnsi="宋体" w:cs="宋体"/>
                <w:color w:val="000000"/>
                <w:kern w:val="0"/>
                <w:sz w:val="24"/>
              </w:rPr>
              <w:t>建档信息注册</w:t>
            </w:r>
          </w:p>
        </w:tc>
        <w:tc>
          <w:tcPr>
            <w:tcW w:w="6543" w:type="dxa"/>
            <w:shd w:val="clear" w:color="auto" w:fill="auto"/>
            <w:vAlign w:val="center"/>
          </w:tcPr>
          <w:p>
            <w:pPr>
              <w:widowControl/>
              <w:rPr>
                <w:rFonts w:ascii="宋体" w:hAnsi="宋体" w:cs="宋体"/>
                <w:color w:val="auto"/>
                <w:kern w:val="0"/>
                <w:sz w:val="24"/>
              </w:rPr>
            </w:pPr>
            <w:r>
              <w:rPr>
                <w:rFonts w:hint="eastAsia" w:ascii="宋体" w:hAnsi="宋体" w:cs="宋体"/>
                <w:color w:val="auto"/>
                <w:kern w:val="0"/>
                <w:sz w:val="24"/>
              </w:rPr>
              <w:t>用户可以通过小程序进行建档，填写个人基本信息，如姓名、身份证号码、联系方式等。</w:t>
            </w:r>
          </w:p>
          <w:p>
            <w:pPr>
              <w:widowControl/>
              <w:spacing w:after="100" w:afterAutospacing="1"/>
              <w:rPr>
                <w:rFonts w:ascii="宋体" w:hAnsi="宋体" w:cs="宋体"/>
                <w:color w:val="auto"/>
                <w:sz w:val="24"/>
              </w:rPr>
            </w:pPr>
            <w:r>
              <w:rPr>
                <w:rFonts w:hint="eastAsia" w:ascii="宋体" w:hAnsi="宋体" w:cs="宋体"/>
                <w:color w:val="auto"/>
                <w:kern w:val="0"/>
                <w:sz w:val="24"/>
              </w:rPr>
              <w:t>注册信息将通过接口与江苏省妇幼健康信息系统进行对接，实现建档信息的同步和保存，并通过妇幼平台获取建档编号。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08" w:type="dxa"/>
            <w:shd w:val="clear" w:color="auto" w:fill="auto"/>
            <w:vAlign w:val="center"/>
          </w:tcPr>
          <w:p>
            <w:pPr>
              <w:widowControl/>
              <w:spacing w:line="276" w:lineRule="auto"/>
              <w:jc w:val="center"/>
              <w:rPr>
                <w:rFonts w:ascii="宋体" w:hAnsi="宋体" w:cs="宋体"/>
                <w:color w:val="000000"/>
                <w:kern w:val="0"/>
                <w:sz w:val="24"/>
                <w:lang w:eastAsia="en-US"/>
              </w:rPr>
            </w:pPr>
            <w:r>
              <w:rPr>
                <w:rFonts w:hint="eastAsia" w:ascii="宋体" w:hAnsi="宋体" w:cs="宋体"/>
                <w:color w:val="000000"/>
                <w:kern w:val="0"/>
                <w:sz w:val="24"/>
                <w:lang w:eastAsia="en-US"/>
              </w:rPr>
              <w:t>2</w:t>
            </w:r>
          </w:p>
        </w:tc>
        <w:tc>
          <w:tcPr>
            <w:tcW w:w="1259" w:type="dxa"/>
            <w:shd w:val="clear" w:color="auto" w:fill="auto"/>
            <w:vAlign w:val="center"/>
          </w:tcPr>
          <w:p>
            <w:pPr>
              <w:widowControl/>
              <w:spacing w:line="276" w:lineRule="auto"/>
              <w:jc w:val="center"/>
              <w:textAlignment w:val="center"/>
              <w:rPr>
                <w:rFonts w:ascii="宋体" w:hAnsi="宋体" w:cs="宋体"/>
                <w:color w:val="000000"/>
                <w:sz w:val="24"/>
              </w:rPr>
            </w:pPr>
            <w:r>
              <w:rPr>
                <w:rFonts w:hint="eastAsia" w:ascii="宋体" w:hAnsi="宋体" w:cs="宋体"/>
                <w:color w:val="000000"/>
                <w:kern w:val="0"/>
                <w:sz w:val="24"/>
              </w:rPr>
              <w:t>病史信息录入</w:t>
            </w:r>
          </w:p>
        </w:tc>
        <w:tc>
          <w:tcPr>
            <w:tcW w:w="6543" w:type="dxa"/>
            <w:shd w:val="clear" w:color="auto" w:fill="auto"/>
            <w:vAlign w:val="center"/>
          </w:tcPr>
          <w:p>
            <w:pPr>
              <w:widowControl/>
              <w:rPr>
                <w:rFonts w:ascii="宋体" w:hAnsi="宋体" w:cs="宋体"/>
                <w:color w:val="auto"/>
                <w:kern w:val="0"/>
                <w:sz w:val="24"/>
              </w:rPr>
            </w:pPr>
            <w:r>
              <w:rPr>
                <w:rFonts w:hint="eastAsia" w:ascii="宋体" w:hAnsi="宋体" w:cs="宋体"/>
                <w:color w:val="auto"/>
                <w:kern w:val="0"/>
                <w:sz w:val="24"/>
              </w:rPr>
              <w:t>各用户在小程序中可以录入自己的病史信息，包括既往疾病史、家族疾病史等。</w:t>
            </w:r>
          </w:p>
          <w:p>
            <w:pPr>
              <w:widowControl/>
              <w:rPr>
                <w:rFonts w:ascii="宋体" w:hAnsi="宋体" w:cs="宋体"/>
                <w:color w:val="auto"/>
                <w:sz w:val="24"/>
              </w:rPr>
            </w:pPr>
            <w:r>
              <w:rPr>
                <w:rFonts w:hint="eastAsia" w:ascii="宋体" w:hAnsi="宋体" w:cs="宋体"/>
                <w:color w:val="auto"/>
                <w:kern w:val="0"/>
                <w:sz w:val="24"/>
              </w:rPr>
              <w:t>录入的病史信息将与建档信息关联，并通过接口与江苏省妇幼健康信息系统进行数据传输和保存，实现数据的免录入。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808" w:type="dxa"/>
            <w:shd w:val="clear" w:color="auto" w:fill="auto"/>
            <w:vAlign w:val="center"/>
          </w:tcPr>
          <w:p>
            <w:pPr>
              <w:widowControl/>
              <w:spacing w:line="276" w:lineRule="auto"/>
              <w:jc w:val="center"/>
              <w:rPr>
                <w:rFonts w:ascii="宋体" w:hAnsi="宋体" w:cs="宋体"/>
                <w:color w:val="000000"/>
                <w:kern w:val="0"/>
                <w:sz w:val="24"/>
                <w:lang w:eastAsia="en-US"/>
              </w:rPr>
            </w:pPr>
            <w:r>
              <w:rPr>
                <w:rFonts w:hint="eastAsia" w:ascii="宋体" w:hAnsi="宋体" w:cs="宋体"/>
                <w:color w:val="000000"/>
                <w:kern w:val="0"/>
                <w:sz w:val="24"/>
                <w:lang w:eastAsia="en-US"/>
              </w:rPr>
              <w:t>3</w:t>
            </w:r>
          </w:p>
        </w:tc>
        <w:tc>
          <w:tcPr>
            <w:tcW w:w="1259" w:type="dxa"/>
            <w:shd w:val="clear" w:color="auto" w:fill="auto"/>
            <w:vAlign w:val="center"/>
          </w:tcPr>
          <w:p>
            <w:pPr>
              <w:widowControl/>
              <w:spacing w:line="276" w:lineRule="auto"/>
              <w:jc w:val="center"/>
              <w:textAlignment w:val="center"/>
              <w:rPr>
                <w:rFonts w:ascii="宋体" w:hAnsi="宋体" w:cs="宋体"/>
                <w:color w:val="000000"/>
                <w:kern w:val="0"/>
                <w:sz w:val="24"/>
              </w:rPr>
            </w:pPr>
            <w:r>
              <w:rPr>
                <w:rFonts w:hint="eastAsia" w:ascii="宋体" w:hAnsi="宋体" w:cs="宋体"/>
                <w:color w:val="000000"/>
                <w:kern w:val="0"/>
                <w:sz w:val="24"/>
              </w:rPr>
              <w:t>检查报告查询</w:t>
            </w:r>
          </w:p>
        </w:tc>
        <w:tc>
          <w:tcPr>
            <w:tcW w:w="6543" w:type="dxa"/>
            <w:shd w:val="clear" w:color="auto" w:fill="auto"/>
            <w:vAlign w:val="center"/>
          </w:tcPr>
          <w:p>
            <w:pPr>
              <w:widowControl/>
              <w:rPr>
                <w:rFonts w:ascii="宋体" w:hAnsi="宋体" w:cs="宋体"/>
                <w:color w:val="auto"/>
                <w:kern w:val="0"/>
                <w:sz w:val="24"/>
              </w:rPr>
            </w:pPr>
            <w:r>
              <w:rPr>
                <w:rFonts w:hint="eastAsia" w:ascii="宋体" w:hAnsi="宋体" w:cs="宋体"/>
                <w:color w:val="auto"/>
                <w:kern w:val="0"/>
                <w:sz w:val="24"/>
              </w:rPr>
              <w:t>用户可以通过小程序查询自己的检查报告，包括两癌筛查相关的检查项目和结果。</w:t>
            </w:r>
          </w:p>
          <w:p>
            <w:pPr>
              <w:widowControl/>
              <w:rPr>
                <w:rFonts w:ascii="宋体" w:hAnsi="宋体" w:cs="宋体"/>
                <w:color w:val="auto"/>
                <w:sz w:val="24"/>
              </w:rPr>
            </w:pPr>
            <w:r>
              <w:rPr>
                <w:rFonts w:hint="eastAsia" w:ascii="宋体" w:hAnsi="宋体" w:cs="宋体"/>
                <w:color w:val="auto"/>
                <w:kern w:val="0"/>
                <w:sz w:val="24"/>
              </w:rPr>
              <w:t>查询功能将通过与江苏省妇幼健康信息系统的接口对接，实现实时查询和展示最新的检查报告。</w:t>
            </w:r>
          </w:p>
        </w:tc>
      </w:tr>
    </w:tbl>
    <w:p>
      <w:pPr>
        <w:snapToGrid w:val="0"/>
        <w:spacing w:before="120" w:beforeLines="50" w:line="360" w:lineRule="auto"/>
        <w:contextualSpacing/>
        <w:jc w:val="left"/>
        <w:rPr>
          <w:rFonts w:ascii="宋体" w:hAnsi="宋体"/>
          <w:sz w:val="24"/>
        </w:rPr>
      </w:pPr>
      <w:r>
        <w:rPr>
          <w:rFonts w:hint="eastAsia" w:ascii="宋体" w:hAnsi="宋体"/>
          <w:b/>
          <w:sz w:val="24"/>
          <w:lang w:val="zh-CN"/>
        </w:rPr>
        <w:t>（二）采购标的需执行的国家相关标准、行业标准、地方标准或者其他标准、规范</w:t>
      </w:r>
    </w:p>
    <w:p>
      <w:pPr>
        <w:snapToGrid w:val="0"/>
        <w:spacing w:line="360" w:lineRule="auto"/>
        <w:ind w:firstLine="480" w:firstLineChars="200"/>
        <w:contextualSpacing/>
        <w:jc w:val="left"/>
        <w:rPr>
          <w:rFonts w:ascii="宋体" w:hAnsi="宋体"/>
          <w:sz w:val="24"/>
        </w:rPr>
      </w:pPr>
      <w:r>
        <w:rPr>
          <w:rFonts w:hint="eastAsia" w:ascii="宋体" w:hAnsi="宋体"/>
          <w:sz w:val="24"/>
        </w:rPr>
        <w:t>产品的技术标准按国家标准执行，无国家标准的，按行业标准执行，无国家和行业标准的，按企业标准执行；但在磋商文件中有特别要求的，按磋商文件中规定的要求执行，并且符合相关法律、法规规定的要求。</w:t>
      </w:r>
    </w:p>
    <w:p>
      <w:pPr>
        <w:snapToGrid w:val="0"/>
        <w:spacing w:before="120" w:beforeLines="50" w:line="360" w:lineRule="auto"/>
        <w:contextualSpacing/>
        <w:jc w:val="left"/>
        <w:rPr>
          <w:rFonts w:ascii="宋体" w:hAnsi="宋体"/>
          <w:sz w:val="24"/>
        </w:rPr>
      </w:pPr>
      <w:r>
        <w:rPr>
          <w:rFonts w:hint="eastAsia" w:ascii="宋体" w:hAnsi="宋体"/>
          <w:b/>
          <w:sz w:val="24"/>
          <w:lang w:val="zh-CN"/>
        </w:rPr>
        <w:t>（三）采购标的需满足的质量、安全、技术规格、物理特性等要求</w:t>
      </w:r>
    </w:p>
    <w:p>
      <w:pPr>
        <w:snapToGrid w:val="0"/>
        <w:spacing w:line="360" w:lineRule="auto"/>
        <w:ind w:firstLine="480" w:firstLineChars="200"/>
        <w:contextualSpacing/>
        <w:jc w:val="left"/>
        <w:rPr>
          <w:rFonts w:ascii="宋体" w:hAnsi="宋体"/>
          <w:sz w:val="24"/>
        </w:rPr>
      </w:pPr>
      <w:r>
        <w:rPr>
          <w:rFonts w:hint="eastAsia" w:ascii="宋体" w:hAnsi="宋体"/>
          <w:sz w:val="24"/>
        </w:rPr>
        <w:t>投标人应保证提供的产品不得侵犯第三方专利权、商标权和设计权、版权等。否则，投标人应负全部责任，并承担由此引起的一切后果。</w:t>
      </w:r>
    </w:p>
    <w:p>
      <w:pPr>
        <w:snapToGrid w:val="0"/>
        <w:spacing w:line="360" w:lineRule="auto"/>
        <w:ind w:firstLine="480" w:firstLineChars="200"/>
        <w:contextualSpacing/>
        <w:jc w:val="left"/>
        <w:rPr>
          <w:rFonts w:ascii="宋体" w:hAnsi="宋体"/>
          <w:sz w:val="24"/>
        </w:rPr>
      </w:pPr>
      <w:r>
        <w:rPr>
          <w:rFonts w:hint="eastAsia" w:ascii="宋体" w:hAnsi="宋体"/>
          <w:sz w:val="24"/>
        </w:rPr>
        <w:t>对知识产权的要求：投标人承诺全部承担今后凡因本项目相关部件知识产权方面可能产生的任何问题、纠纷乃至赔偿等。项目中涉及的已注册应用软件产品，其知识产权归原厂商所有。</w:t>
      </w:r>
    </w:p>
    <w:p>
      <w:pPr>
        <w:snapToGrid w:val="0"/>
        <w:spacing w:line="360" w:lineRule="auto"/>
        <w:ind w:firstLine="480" w:firstLineChars="200"/>
        <w:contextualSpacing/>
        <w:jc w:val="left"/>
        <w:rPr>
          <w:rFonts w:ascii="宋体" w:hAnsi="宋体"/>
          <w:sz w:val="24"/>
        </w:rPr>
      </w:pPr>
      <w:r>
        <w:rPr>
          <w:rFonts w:hint="eastAsia" w:ascii="宋体" w:hAnsi="宋体"/>
          <w:sz w:val="24"/>
        </w:rPr>
        <w:t>对系统的保密范围要求：投标人承诺在实施和维护过程中，任何涉及医院的信息，包括但不限于医院数据、医院特有的功能需求等，未得到医院同意的情况下不得对任何第三方展示、举例乃至销售，否则投标人将承担由此产生的一切后果。</w:t>
      </w:r>
    </w:p>
    <w:p>
      <w:pPr>
        <w:snapToGrid w:val="0"/>
        <w:spacing w:before="120" w:beforeLines="50" w:line="360" w:lineRule="auto"/>
        <w:contextualSpacing/>
        <w:jc w:val="left"/>
        <w:rPr>
          <w:rFonts w:ascii="宋体" w:hAnsi="宋体"/>
          <w:sz w:val="24"/>
        </w:rPr>
      </w:pPr>
      <w:r>
        <w:rPr>
          <w:rFonts w:hint="eastAsia" w:ascii="宋体" w:hAnsi="宋体"/>
          <w:b/>
          <w:sz w:val="24"/>
          <w:lang w:val="zh-CN"/>
        </w:rPr>
        <w:t>（四）采购标的数量、采购项目交付或者实施的时间和地点</w:t>
      </w:r>
    </w:p>
    <w:tbl>
      <w:tblPr>
        <w:tblStyle w:val="23"/>
        <w:tblW w:w="822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38"/>
        <w:gridCol w:w="2518"/>
        <w:gridCol w:w="2765"/>
        <w:gridCol w:w="17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4" w:hRule="atLeast"/>
          <w:jc w:val="center"/>
        </w:trPr>
        <w:tc>
          <w:tcPr>
            <w:tcW w:w="123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65"/>
              <w:spacing w:before="78" w:beforeAutospacing="0" w:after="78" w:afterAutospacing="0"/>
              <w:jc w:val="center"/>
              <w:rPr>
                <w:rFonts w:hint="default" w:cs="宋体"/>
              </w:rPr>
            </w:pPr>
            <w:r>
              <w:rPr>
                <w:rFonts w:cs="宋体"/>
                <w:b/>
                <w:bCs/>
              </w:rPr>
              <w:t>序号</w:t>
            </w:r>
          </w:p>
        </w:tc>
        <w:tc>
          <w:tcPr>
            <w:tcW w:w="2518" w:type="dxa"/>
            <w:tcBorders>
              <w:top w:val="single" w:color="auto" w:sz="8" w:space="0"/>
              <w:left w:val="nil"/>
              <w:bottom w:val="single" w:color="auto" w:sz="8" w:space="0"/>
              <w:right w:val="single" w:color="auto" w:sz="8" w:space="0"/>
            </w:tcBorders>
            <w:tcMar>
              <w:left w:w="108" w:type="dxa"/>
              <w:right w:w="108" w:type="dxa"/>
            </w:tcMar>
            <w:vAlign w:val="center"/>
          </w:tcPr>
          <w:p>
            <w:pPr>
              <w:pStyle w:val="65"/>
              <w:spacing w:before="78" w:beforeAutospacing="0" w:after="78" w:afterAutospacing="0"/>
              <w:jc w:val="center"/>
              <w:rPr>
                <w:rFonts w:hint="default" w:cs="宋体"/>
              </w:rPr>
            </w:pPr>
            <w:r>
              <w:rPr>
                <w:rFonts w:cs="宋体"/>
                <w:b/>
                <w:bCs/>
              </w:rPr>
              <w:t>产品名称</w:t>
            </w:r>
          </w:p>
        </w:tc>
        <w:tc>
          <w:tcPr>
            <w:tcW w:w="2765" w:type="dxa"/>
            <w:tcBorders>
              <w:top w:val="single" w:color="auto" w:sz="8" w:space="0"/>
              <w:left w:val="nil"/>
              <w:bottom w:val="single" w:color="auto" w:sz="8" w:space="0"/>
              <w:right w:val="single" w:color="auto" w:sz="8" w:space="0"/>
            </w:tcBorders>
            <w:tcMar>
              <w:left w:w="108" w:type="dxa"/>
              <w:right w:w="108" w:type="dxa"/>
            </w:tcMar>
            <w:vAlign w:val="center"/>
          </w:tcPr>
          <w:p>
            <w:pPr>
              <w:pStyle w:val="65"/>
              <w:spacing w:before="78" w:beforeAutospacing="0" w:after="78" w:afterAutospacing="0"/>
              <w:jc w:val="center"/>
              <w:rPr>
                <w:rFonts w:hint="default" w:cs="宋体"/>
              </w:rPr>
            </w:pPr>
            <w:r>
              <w:rPr>
                <w:rFonts w:cs="宋体"/>
                <w:b/>
                <w:bCs/>
              </w:rPr>
              <w:t>规格、配置参数</w:t>
            </w:r>
          </w:p>
        </w:tc>
        <w:tc>
          <w:tcPr>
            <w:tcW w:w="1701" w:type="dxa"/>
            <w:tcBorders>
              <w:top w:val="single" w:color="auto" w:sz="8" w:space="0"/>
              <w:left w:val="nil"/>
              <w:bottom w:val="single" w:color="auto" w:sz="8" w:space="0"/>
              <w:right w:val="single" w:color="auto" w:sz="8" w:space="0"/>
            </w:tcBorders>
            <w:tcMar>
              <w:left w:w="108" w:type="dxa"/>
              <w:right w:w="108" w:type="dxa"/>
            </w:tcMar>
            <w:vAlign w:val="center"/>
          </w:tcPr>
          <w:p>
            <w:pPr>
              <w:pStyle w:val="65"/>
              <w:spacing w:before="78" w:beforeAutospacing="0" w:after="78" w:afterAutospacing="0"/>
              <w:jc w:val="center"/>
              <w:rPr>
                <w:rFonts w:hint="default" w:cs="宋体"/>
              </w:rPr>
            </w:pPr>
            <w:r>
              <w:rPr>
                <w:rFonts w:cs="宋体"/>
                <w:b/>
                <w:bCs/>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3" w:hRule="atLeast"/>
          <w:jc w:val="center"/>
        </w:trPr>
        <w:tc>
          <w:tcPr>
            <w:tcW w:w="1238" w:type="dxa"/>
            <w:tcBorders>
              <w:top w:val="nil"/>
              <w:left w:val="single" w:color="auto" w:sz="8" w:space="0"/>
              <w:bottom w:val="single" w:color="auto" w:sz="8" w:space="0"/>
              <w:right w:val="single" w:color="auto" w:sz="8" w:space="0"/>
            </w:tcBorders>
            <w:tcMar>
              <w:left w:w="108" w:type="dxa"/>
              <w:right w:w="108" w:type="dxa"/>
            </w:tcMar>
            <w:vAlign w:val="center"/>
          </w:tcPr>
          <w:p>
            <w:pPr>
              <w:pStyle w:val="65"/>
              <w:spacing w:before="78" w:beforeAutospacing="0" w:after="78" w:afterAutospacing="0"/>
              <w:jc w:val="center"/>
              <w:rPr>
                <w:rFonts w:hint="default" w:cs="宋体"/>
              </w:rPr>
            </w:pPr>
            <w:r>
              <w:rPr>
                <w:rFonts w:cs="宋体"/>
              </w:rPr>
              <w:t>1</w:t>
            </w:r>
          </w:p>
        </w:tc>
        <w:tc>
          <w:tcPr>
            <w:tcW w:w="2518" w:type="dxa"/>
            <w:tcBorders>
              <w:top w:val="nil"/>
              <w:left w:val="nil"/>
              <w:bottom w:val="single" w:color="auto" w:sz="8" w:space="0"/>
              <w:right w:val="single" w:color="auto" w:sz="8" w:space="0"/>
            </w:tcBorders>
            <w:tcMar>
              <w:left w:w="108" w:type="dxa"/>
              <w:right w:w="108" w:type="dxa"/>
            </w:tcMar>
            <w:vAlign w:val="center"/>
          </w:tcPr>
          <w:p>
            <w:pPr>
              <w:pStyle w:val="65"/>
              <w:spacing w:before="78" w:beforeAutospacing="0" w:after="78" w:afterAutospacing="0"/>
              <w:jc w:val="center"/>
              <w:rPr>
                <w:rFonts w:hint="default" w:cs="宋体"/>
              </w:rPr>
            </w:pPr>
            <w:r>
              <w:rPr>
                <w:rFonts w:cs="宋体"/>
              </w:rPr>
              <w:t>两癌筛查(小程序)</w:t>
            </w:r>
          </w:p>
        </w:tc>
        <w:tc>
          <w:tcPr>
            <w:tcW w:w="2765" w:type="dxa"/>
            <w:tcBorders>
              <w:top w:val="nil"/>
              <w:left w:val="nil"/>
              <w:bottom w:val="single" w:color="auto" w:sz="8" w:space="0"/>
              <w:right w:val="single" w:color="auto" w:sz="8" w:space="0"/>
            </w:tcBorders>
            <w:tcMar>
              <w:left w:w="108" w:type="dxa"/>
              <w:right w:w="108" w:type="dxa"/>
            </w:tcMar>
            <w:vAlign w:val="center"/>
          </w:tcPr>
          <w:p>
            <w:pPr>
              <w:pStyle w:val="65"/>
              <w:spacing w:before="78" w:beforeAutospacing="0" w:after="78" w:afterAutospacing="0"/>
              <w:jc w:val="center"/>
              <w:rPr>
                <w:rFonts w:hint="default" w:cs="宋体"/>
              </w:rPr>
            </w:pPr>
            <w:r>
              <w:rPr>
                <w:rFonts w:cs="宋体"/>
              </w:rPr>
              <w:t>详见需求</w:t>
            </w:r>
          </w:p>
        </w:tc>
        <w:tc>
          <w:tcPr>
            <w:tcW w:w="1701" w:type="dxa"/>
            <w:tcBorders>
              <w:top w:val="nil"/>
              <w:left w:val="nil"/>
              <w:bottom w:val="single" w:color="auto" w:sz="8" w:space="0"/>
              <w:right w:val="single" w:color="auto" w:sz="8" w:space="0"/>
            </w:tcBorders>
            <w:tcMar>
              <w:left w:w="108" w:type="dxa"/>
              <w:right w:w="108" w:type="dxa"/>
            </w:tcMar>
            <w:vAlign w:val="center"/>
          </w:tcPr>
          <w:p>
            <w:pPr>
              <w:pStyle w:val="65"/>
              <w:spacing w:before="78" w:beforeAutospacing="0" w:after="78" w:afterAutospacing="0"/>
              <w:jc w:val="center"/>
              <w:rPr>
                <w:rFonts w:hint="default" w:cs="宋体"/>
              </w:rPr>
            </w:pPr>
            <w:r>
              <w:rPr>
                <w:rFonts w:cs="宋体"/>
              </w:rPr>
              <w:t>1套</w:t>
            </w:r>
          </w:p>
        </w:tc>
      </w:tr>
    </w:tbl>
    <w:p>
      <w:pPr>
        <w:snapToGrid w:val="0"/>
        <w:spacing w:before="120" w:beforeLines="50" w:line="360" w:lineRule="auto"/>
        <w:ind w:firstLine="482" w:firstLineChars="200"/>
        <w:contextualSpacing/>
        <w:jc w:val="left"/>
        <w:rPr>
          <w:rFonts w:ascii="宋体" w:hAnsi="宋体"/>
          <w:b/>
          <w:bCs/>
          <w:sz w:val="24"/>
        </w:rPr>
      </w:pPr>
      <w:r>
        <w:rPr>
          <w:rFonts w:hint="eastAsia" w:ascii="宋体" w:hAnsi="宋体"/>
          <w:b/>
          <w:bCs/>
          <w:sz w:val="24"/>
        </w:rPr>
        <w:t>产品交付时间：自合同签订之日起四个月。</w:t>
      </w:r>
    </w:p>
    <w:p>
      <w:pPr>
        <w:snapToGrid w:val="0"/>
        <w:spacing w:before="120" w:beforeLines="50" w:line="360" w:lineRule="auto"/>
        <w:ind w:firstLine="482" w:firstLineChars="200"/>
        <w:contextualSpacing/>
        <w:jc w:val="left"/>
        <w:rPr>
          <w:rFonts w:ascii="宋体" w:hAnsi="宋体"/>
          <w:sz w:val="24"/>
        </w:rPr>
      </w:pPr>
      <w:r>
        <w:rPr>
          <w:rFonts w:hint="eastAsia" w:ascii="宋体" w:hAnsi="宋体"/>
          <w:b/>
          <w:bCs/>
          <w:sz w:val="24"/>
        </w:rPr>
        <w:t>服务地点</w:t>
      </w:r>
      <w:r>
        <w:rPr>
          <w:rFonts w:hint="eastAsia" w:ascii="宋体" w:hAnsi="宋体"/>
          <w:sz w:val="24"/>
        </w:rPr>
        <w:t>：南通市妇幼保健院（南通市妇幼保健计划生育服务中心）指定地点。</w:t>
      </w:r>
    </w:p>
    <w:p>
      <w:pPr>
        <w:snapToGrid w:val="0"/>
        <w:spacing w:before="120" w:beforeLines="50" w:line="360" w:lineRule="auto"/>
        <w:contextualSpacing/>
        <w:jc w:val="left"/>
        <w:rPr>
          <w:rFonts w:ascii="宋体" w:hAnsi="宋体"/>
          <w:sz w:val="24"/>
        </w:rPr>
      </w:pPr>
      <w:r>
        <w:rPr>
          <w:rFonts w:hint="eastAsia" w:ascii="宋体" w:hAnsi="宋体"/>
          <w:b/>
          <w:sz w:val="24"/>
          <w:lang w:val="zh-CN"/>
        </w:rPr>
        <w:t>（五）采购标的需满足的服务标准、期限、效率等要求</w:t>
      </w:r>
    </w:p>
    <w:p>
      <w:pPr>
        <w:snapToGrid w:val="0"/>
        <w:spacing w:line="360" w:lineRule="auto"/>
        <w:ind w:firstLine="482" w:firstLineChars="200"/>
        <w:contextualSpacing/>
        <w:jc w:val="left"/>
        <w:rPr>
          <w:rFonts w:ascii="宋体" w:hAnsi="宋体"/>
          <w:sz w:val="24"/>
        </w:rPr>
      </w:pPr>
      <w:r>
        <w:rPr>
          <w:rFonts w:ascii="宋体" w:hAnsi="宋体"/>
          <w:b/>
          <w:bCs/>
          <w:sz w:val="24"/>
        </w:rPr>
        <w:t>1、项目预算：</w:t>
      </w:r>
      <w:r>
        <w:rPr>
          <w:rFonts w:ascii="宋体" w:hAnsi="宋体"/>
          <w:sz w:val="24"/>
        </w:rPr>
        <w:t>10万元。</w:t>
      </w:r>
    </w:p>
    <w:p>
      <w:pPr>
        <w:snapToGrid w:val="0"/>
        <w:spacing w:line="360" w:lineRule="auto"/>
        <w:ind w:firstLine="482" w:firstLineChars="200"/>
        <w:contextualSpacing/>
        <w:jc w:val="left"/>
        <w:rPr>
          <w:rFonts w:ascii="宋体" w:hAnsi="宋体"/>
          <w:b/>
          <w:bCs/>
          <w:sz w:val="24"/>
        </w:rPr>
      </w:pPr>
      <w:r>
        <w:rPr>
          <w:rFonts w:ascii="宋体" w:hAnsi="宋体"/>
          <w:b/>
          <w:bCs/>
          <w:sz w:val="24"/>
        </w:rPr>
        <w:t>2、售后服务：</w:t>
      </w:r>
    </w:p>
    <w:p>
      <w:pPr>
        <w:snapToGrid w:val="0"/>
        <w:spacing w:line="360" w:lineRule="auto"/>
        <w:ind w:firstLine="480" w:firstLineChars="200"/>
        <w:contextualSpacing/>
        <w:jc w:val="left"/>
        <w:rPr>
          <w:rFonts w:ascii="宋体" w:hAnsi="宋体"/>
          <w:sz w:val="24"/>
        </w:rPr>
      </w:pPr>
      <w:r>
        <w:rPr>
          <w:rFonts w:ascii="宋体" w:hAnsi="宋体"/>
          <w:sz w:val="24"/>
        </w:rPr>
        <w:t>（1）投标人应充分考虑满足投标项目的建设要求，提出完整的项目管理、项目实施、项目培训、售后服务方案。</w:t>
      </w:r>
    </w:p>
    <w:p>
      <w:pPr>
        <w:snapToGrid w:val="0"/>
        <w:spacing w:line="360" w:lineRule="auto"/>
        <w:ind w:firstLine="480" w:firstLineChars="200"/>
        <w:contextualSpacing/>
        <w:jc w:val="left"/>
        <w:rPr>
          <w:rFonts w:ascii="宋体" w:hAnsi="宋体"/>
          <w:sz w:val="24"/>
        </w:rPr>
      </w:pPr>
      <w:r>
        <w:rPr>
          <w:rFonts w:ascii="宋体" w:hAnsi="宋体"/>
          <w:sz w:val="24"/>
        </w:rPr>
        <w:t>（2）投标人需提供不少于2年的软件系统免费维护期，免费维护期从系统验收通过之日起计算；免费维护期内免上门费、维修费等。</w:t>
      </w:r>
    </w:p>
    <w:p>
      <w:pPr>
        <w:snapToGrid w:val="0"/>
        <w:spacing w:before="120" w:beforeLines="50" w:line="360" w:lineRule="auto"/>
        <w:contextualSpacing/>
        <w:jc w:val="left"/>
        <w:rPr>
          <w:rFonts w:ascii="宋体" w:hAnsi="宋体"/>
          <w:sz w:val="24"/>
        </w:rPr>
      </w:pPr>
      <w:r>
        <w:rPr>
          <w:rFonts w:hint="eastAsia" w:ascii="宋体" w:hAnsi="宋体"/>
          <w:b/>
          <w:sz w:val="24"/>
          <w:lang w:val="zh-CN"/>
        </w:rPr>
        <w:t>（六）采购标的验收标准</w:t>
      </w:r>
    </w:p>
    <w:p>
      <w:pPr>
        <w:snapToGrid w:val="0"/>
        <w:spacing w:line="360" w:lineRule="auto"/>
        <w:ind w:firstLine="480" w:firstLineChars="200"/>
        <w:contextualSpacing/>
        <w:jc w:val="left"/>
        <w:rPr>
          <w:rFonts w:ascii="宋体" w:hAnsi="宋体"/>
          <w:sz w:val="24"/>
        </w:rPr>
      </w:pPr>
      <w:r>
        <w:rPr>
          <w:rFonts w:hint="eastAsia" w:ascii="宋体" w:hAnsi="宋体"/>
          <w:sz w:val="24"/>
        </w:rPr>
        <w:t>在项目内容安装调试完成后，使用科室进行初步验收，初步验收通过后，采购单位成立验收小组按照采购合同的约定对供应商履约情况进行确认验收。验收合格后出具验收报告，并作为支付货款的依据。</w:t>
      </w:r>
    </w:p>
    <w:p>
      <w:pPr>
        <w:snapToGrid w:val="0"/>
        <w:spacing w:line="360" w:lineRule="auto"/>
        <w:ind w:firstLine="480" w:firstLineChars="200"/>
        <w:contextualSpacing/>
        <w:jc w:val="left"/>
        <w:rPr>
          <w:rFonts w:ascii="宋体" w:hAnsi="宋体"/>
          <w:sz w:val="24"/>
        </w:rPr>
      </w:pPr>
      <w:r>
        <w:rPr>
          <w:rFonts w:hint="eastAsia" w:ascii="宋体" w:hAnsi="宋体"/>
          <w:sz w:val="24"/>
        </w:rPr>
        <w:t>双方签署最终验收文件时，成交商应提交全套、完整的软件配置、操作手册、技术资料等，以及所有与用户、软件等相关联的说明、表格等资料，并有责任帮助整理、装订、归档。</w:t>
      </w:r>
    </w:p>
    <w:p>
      <w:pPr>
        <w:snapToGrid w:val="0"/>
        <w:spacing w:before="120" w:beforeLines="50" w:line="360" w:lineRule="auto"/>
        <w:contextualSpacing/>
        <w:jc w:val="left"/>
        <w:rPr>
          <w:rFonts w:ascii="宋体" w:hAnsi="宋体"/>
          <w:sz w:val="24"/>
        </w:rPr>
      </w:pPr>
      <w:r>
        <w:rPr>
          <w:rFonts w:hint="eastAsia" w:ascii="宋体" w:hAnsi="宋体"/>
          <w:b/>
          <w:sz w:val="24"/>
          <w:lang w:val="zh-CN"/>
        </w:rPr>
        <w:t>（七）采购标的其他技术、服务等要求</w:t>
      </w:r>
    </w:p>
    <w:p>
      <w:pPr>
        <w:snapToGrid w:val="0"/>
        <w:spacing w:line="360" w:lineRule="auto"/>
        <w:ind w:firstLine="480" w:firstLineChars="200"/>
        <w:contextualSpacing/>
        <w:jc w:val="left"/>
        <w:rPr>
          <w:rFonts w:ascii="宋体" w:hAnsi="宋体"/>
          <w:sz w:val="24"/>
        </w:rPr>
      </w:pPr>
      <w:r>
        <w:rPr>
          <w:rFonts w:hint="eastAsia" w:ascii="宋体" w:hAnsi="宋体"/>
          <w:sz w:val="24"/>
        </w:rPr>
        <w:t>以上条款的内容如果需要修改或者有其他未涉及的事项，由双方协商解决。</w:t>
      </w:r>
    </w:p>
    <w:p>
      <w:pPr>
        <w:snapToGrid w:val="0"/>
        <w:spacing w:before="120" w:beforeLines="50" w:line="360" w:lineRule="auto"/>
        <w:contextualSpacing/>
        <w:jc w:val="left"/>
        <w:rPr>
          <w:rFonts w:ascii="宋体" w:hAnsi="宋体"/>
          <w:sz w:val="24"/>
        </w:rPr>
      </w:pPr>
      <w:r>
        <w:rPr>
          <w:rFonts w:hint="eastAsia" w:ascii="宋体" w:hAnsi="宋体"/>
          <w:b/>
          <w:sz w:val="24"/>
          <w:lang w:val="zh-CN"/>
        </w:rPr>
        <w:t>（八）付款方式</w:t>
      </w:r>
    </w:p>
    <w:p>
      <w:pPr>
        <w:snapToGrid w:val="0"/>
        <w:spacing w:line="360" w:lineRule="auto"/>
        <w:ind w:firstLine="480" w:firstLineChars="200"/>
        <w:contextualSpacing/>
        <w:jc w:val="left"/>
        <w:rPr>
          <w:rFonts w:ascii="宋体" w:hAnsi="宋体"/>
          <w:sz w:val="24"/>
        </w:rPr>
      </w:pPr>
      <w:r>
        <w:rPr>
          <w:rFonts w:hint="eastAsia" w:ascii="宋体" w:hAnsi="宋体"/>
          <w:sz w:val="24"/>
        </w:rPr>
        <w:t>合同签订后15天内支付全款的30%，产品验收合格后15天内支付全款的60%，免费维护期结束后15天内支付全款的10%。每次付款前乙方需开具有效的增值税发票。</w:t>
      </w:r>
    </w:p>
    <w:p>
      <w:pPr>
        <w:pStyle w:val="44"/>
        <w:snapToGrid w:val="0"/>
        <w:spacing w:line="480" w:lineRule="exact"/>
        <w:ind w:firstLine="482" w:firstLineChars="200"/>
        <w:jc w:val="center"/>
        <w:rPr>
          <w:rFonts w:ascii="宋体" w:eastAsia="宋体" w:cs="宋体"/>
          <w:b/>
          <w:kern w:val="0"/>
          <w:sz w:val="24"/>
          <w:szCs w:val="24"/>
          <w:lang w:val="zh-CN"/>
        </w:rPr>
      </w:pPr>
    </w:p>
    <w:p>
      <w:pPr>
        <w:pStyle w:val="44"/>
        <w:snapToGrid w:val="0"/>
        <w:spacing w:line="480" w:lineRule="exact"/>
        <w:ind w:firstLine="482" w:firstLineChars="200"/>
        <w:jc w:val="center"/>
        <w:rPr>
          <w:b/>
          <w:bCs/>
          <w:sz w:val="36"/>
          <w:szCs w:val="36"/>
          <w:lang w:val="zh-CN"/>
        </w:rPr>
      </w:pPr>
      <w:r>
        <w:rPr>
          <w:rFonts w:hint="eastAsia" w:ascii="宋体" w:eastAsia="宋体" w:cs="宋体"/>
          <w:b/>
          <w:kern w:val="0"/>
          <w:sz w:val="24"/>
          <w:szCs w:val="24"/>
          <w:lang w:val="zh-CN"/>
        </w:rPr>
        <w:br w:type="page"/>
      </w:r>
      <w:r>
        <w:rPr>
          <w:rFonts w:hint="eastAsia"/>
          <w:b/>
          <w:bCs/>
          <w:sz w:val="36"/>
          <w:szCs w:val="36"/>
          <w:lang w:val="zh-CN"/>
        </w:rPr>
        <w:t>第四部分  评审程序和内容</w:t>
      </w:r>
    </w:p>
    <w:p>
      <w:pPr>
        <w:tabs>
          <w:tab w:val="left" w:pos="3585"/>
        </w:tabs>
        <w:snapToGrid w:val="0"/>
        <w:spacing w:line="480" w:lineRule="exact"/>
        <w:ind w:firstLine="463" w:firstLineChars="192"/>
        <w:rPr>
          <w:b/>
          <w:sz w:val="24"/>
        </w:rPr>
      </w:pPr>
      <w:r>
        <w:rPr>
          <w:rFonts w:hint="eastAsia"/>
          <w:b/>
          <w:bCs/>
          <w:sz w:val="24"/>
        </w:rPr>
        <w:t>一、</w:t>
      </w:r>
      <w:r>
        <w:rPr>
          <w:rFonts w:hint="eastAsia"/>
          <w:b/>
          <w:sz w:val="24"/>
        </w:rPr>
        <w:t>采购人委托代理机构组织磋商</w:t>
      </w:r>
    </w:p>
    <w:p>
      <w:pPr>
        <w:tabs>
          <w:tab w:val="left" w:pos="3585"/>
        </w:tabs>
        <w:snapToGrid w:val="0"/>
        <w:spacing w:line="480" w:lineRule="exact"/>
        <w:ind w:firstLine="460" w:firstLineChars="192"/>
        <w:rPr>
          <w:rFonts w:cs="宋体"/>
          <w:kern w:val="0"/>
          <w:sz w:val="24"/>
        </w:rPr>
      </w:pPr>
      <w:r>
        <w:rPr>
          <w:kern w:val="0"/>
          <w:sz w:val="24"/>
          <w:lang w:val="zh-CN"/>
        </w:rPr>
        <w:t>响应供应商</w:t>
      </w:r>
      <w:r>
        <w:rPr>
          <w:rFonts w:hint="eastAsia" w:cs="宋体"/>
          <w:kern w:val="0"/>
          <w:sz w:val="24"/>
          <w:lang w:val="zh-CN"/>
        </w:rPr>
        <w:t>须持有效身份</w:t>
      </w:r>
      <w:r>
        <w:rPr>
          <w:rFonts w:hint="eastAsia" w:cs="宋体"/>
          <w:kern w:val="0"/>
          <w:sz w:val="24"/>
        </w:rPr>
        <w:t>证明</w:t>
      </w:r>
      <w:r>
        <w:rPr>
          <w:kern w:val="0"/>
          <w:sz w:val="24"/>
          <w:lang w:val="zh-CN"/>
        </w:rPr>
        <w:t>参加磋商会</w:t>
      </w:r>
      <w:r>
        <w:rPr>
          <w:rFonts w:hint="eastAsia" w:cs="宋体"/>
          <w:kern w:val="0"/>
          <w:sz w:val="24"/>
          <w:lang w:val="zh-CN"/>
        </w:rPr>
        <w:t>。</w:t>
      </w:r>
    </w:p>
    <w:p>
      <w:pPr>
        <w:snapToGrid w:val="0"/>
        <w:spacing w:line="480" w:lineRule="exact"/>
        <w:ind w:firstLine="482" w:firstLineChars="200"/>
        <w:rPr>
          <w:b/>
          <w:bCs/>
          <w:sz w:val="24"/>
        </w:rPr>
      </w:pPr>
      <w:r>
        <w:rPr>
          <w:rFonts w:hint="eastAsia"/>
          <w:b/>
          <w:kern w:val="0"/>
          <w:sz w:val="24"/>
          <w:lang w:val="zh-CN"/>
        </w:rPr>
        <w:t>二、</w:t>
      </w:r>
      <w:r>
        <w:rPr>
          <w:b/>
          <w:kern w:val="0"/>
          <w:sz w:val="24"/>
          <w:lang w:val="zh-CN"/>
        </w:rPr>
        <w:t>竞争性磋商小组</w:t>
      </w:r>
      <w:r>
        <w:rPr>
          <w:rFonts w:hint="eastAsia"/>
          <w:b/>
          <w:bCs/>
          <w:sz w:val="24"/>
        </w:rPr>
        <w:t>由采购人依法组建</w:t>
      </w:r>
      <w:r>
        <w:rPr>
          <w:rFonts w:hint="eastAsia"/>
          <w:b/>
          <w:sz w:val="24"/>
        </w:rPr>
        <w:t>，按照</w:t>
      </w:r>
      <w:r>
        <w:rPr>
          <w:rFonts w:hint="eastAsia"/>
          <w:b/>
          <w:bCs/>
          <w:sz w:val="24"/>
        </w:rPr>
        <w:t>公平、公正、择优的原则进行</w:t>
      </w:r>
      <w:r>
        <w:rPr>
          <w:rFonts w:hint="eastAsia"/>
          <w:b/>
          <w:sz w:val="24"/>
        </w:rPr>
        <w:t>独立</w:t>
      </w:r>
      <w:r>
        <w:rPr>
          <w:rFonts w:hint="eastAsia"/>
          <w:b/>
          <w:bCs/>
          <w:sz w:val="24"/>
        </w:rPr>
        <w:t>评审。</w:t>
      </w:r>
    </w:p>
    <w:p>
      <w:pPr>
        <w:snapToGrid w:val="0"/>
        <w:spacing w:line="480" w:lineRule="exact"/>
        <w:ind w:firstLine="570"/>
        <w:rPr>
          <w:b/>
          <w:bCs/>
          <w:sz w:val="24"/>
        </w:rPr>
      </w:pPr>
      <w:r>
        <w:rPr>
          <w:rFonts w:hint="eastAsia"/>
          <w:b/>
          <w:bCs/>
          <w:sz w:val="24"/>
        </w:rPr>
        <w:t>（一）评审内容</w:t>
      </w:r>
    </w:p>
    <w:p>
      <w:pPr>
        <w:snapToGrid w:val="0"/>
        <w:spacing w:line="480" w:lineRule="exact"/>
        <w:ind w:firstLine="480" w:firstLineChars="200"/>
        <w:jc w:val="left"/>
        <w:rPr>
          <w:bCs/>
          <w:sz w:val="24"/>
        </w:rPr>
      </w:pPr>
      <w:r>
        <w:rPr>
          <w:bCs/>
          <w:sz w:val="24"/>
        </w:rPr>
        <w:t>1、是否递交</w:t>
      </w:r>
      <w:r>
        <w:rPr>
          <w:rFonts w:hint="eastAsia"/>
          <w:bCs/>
          <w:sz w:val="24"/>
        </w:rPr>
        <w:t>响应文件</w:t>
      </w:r>
      <w:r>
        <w:rPr>
          <w:bCs/>
          <w:sz w:val="24"/>
        </w:rPr>
        <w:t>；</w:t>
      </w:r>
    </w:p>
    <w:p>
      <w:pPr>
        <w:snapToGrid w:val="0"/>
        <w:spacing w:line="480" w:lineRule="exact"/>
        <w:ind w:firstLine="480" w:firstLineChars="200"/>
        <w:jc w:val="left"/>
        <w:rPr>
          <w:bCs/>
          <w:sz w:val="24"/>
        </w:rPr>
      </w:pPr>
      <w:r>
        <w:rPr>
          <w:bCs/>
          <w:sz w:val="24"/>
        </w:rPr>
        <w:t>2、</w:t>
      </w:r>
      <w:r>
        <w:rPr>
          <w:rFonts w:hint="eastAsia"/>
          <w:bCs/>
          <w:sz w:val="24"/>
        </w:rPr>
        <w:t>供应商</w:t>
      </w:r>
      <w:r>
        <w:rPr>
          <w:bCs/>
          <w:sz w:val="24"/>
        </w:rPr>
        <w:t>资格是否符合</w:t>
      </w:r>
      <w:r>
        <w:rPr>
          <w:rFonts w:hint="eastAsia"/>
          <w:bCs/>
          <w:sz w:val="24"/>
        </w:rPr>
        <w:t>；</w:t>
      </w:r>
    </w:p>
    <w:p>
      <w:pPr>
        <w:snapToGrid w:val="0"/>
        <w:spacing w:line="480" w:lineRule="exact"/>
        <w:ind w:firstLine="480" w:firstLineChars="200"/>
        <w:jc w:val="left"/>
        <w:rPr>
          <w:sz w:val="24"/>
        </w:rPr>
      </w:pPr>
      <w:r>
        <w:rPr>
          <w:sz w:val="24"/>
        </w:rPr>
        <w:t>3、</w:t>
      </w:r>
      <w:r>
        <w:rPr>
          <w:rFonts w:hint="eastAsia"/>
          <w:sz w:val="24"/>
        </w:rPr>
        <w:t>响应文件</w:t>
      </w:r>
      <w:r>
        <w:rPr>
          <w:sz w:val="24"/>
        </w:rPr>
        <w:t>是否完整</w:t>
      </w:r>
      <w:r>
        <w:rPr>
          <w:rFonts w:hint="eastAsia"/>
          <w:sz w:val="24"/>
        </w:rPr>
        <w:t>；</w:t>
      </w:r>
    </w:p>
    <w:p>
      <w:pPr>
        <w:snapToGrid w:val="0"/>
        <w:spacing w:line="480" w:lineRule="exact"/>
        <w:ind w:firstLine="480" w:firstLineChars="200"/>
        <w:jc w:val="left"/>
        <w:rPr>
          <w:sz w:val="24"/>
        </w:rPr>
      </w:pPr>
      <w:r>
        <w:rPr>
          <w:sz w:val="24"/>
        </w:rPr>
        <w:t>4、</w:t>
      </w:r>
      <w:r>
        <w:rPr>
          <w:rFonts w:hint="eastAsia"/>
          <w:sz w:val="24"/>
        </w:rPr>
        <w:t>响应文件</w:t>
      </w:r>
      <w:r>
        <w:rPr>
          <w:sz w:val="24"/>
        </w:rPr>
        <w:t>是否恰当地签署；</w:t>
      </w:r>
    </w:p>
    <w:p>
      <w:pPr>
        <w:snapToGrid w:val="0"/>
        <w:spacing w:line="480" w:lineRule="exact"/>
        <w:ind w:firstLine="480" w:firstLineChars="200"/>
        <w:jc w:val="left"/>
        <w:rPr>
          <w:sz w:val="24"/>
        </w:rPr>
      </w:pPr>
      <w:r>
        <w:rPr>
          <w:sz w:val="24"/>
        </w:rPr>
        <w:t>5、是否作出实质性响应（是否有实质性响应，只根据</w:t>
      </w:r>
      <w:r>
        <w:rPr>
          <w:rFonts w:hint="eastAsia"/>
          <w:sz w:val="24"/>
        </w:rPr>
        <w:t>响应文件</w:t>
      </w:r>
      <w:r>
        <w:rPr>
          <w:sz w:val="24"/>
        </w:rPr>
        <w:t>本身，而不寻求外部证据）；</w:t>
      </w:r>
    </w:p>
    <w:p>
      <w:pPr>
        <w:snapToGrid w:val="0"/>
        <w:spacing w:line="480" w:lineRule="exact"/>
        <w:ind w:firstLine="480" w:firstLineChars="200"/>
        <w:jc w:val="left"/>
        <w:rPr>
          <w:sz w:val="24"/>
        </w:rPr>
      </w:pPr>
      <w:r>
        <w:rPr>
          <w:sz w:val="24"/>
        </w:rPr>
        <w:t>6、是否有计算错误。</w:t>
      </w:r>
    </w:p>
    <w:p>
      <w:pPr>
        <w:snapToGrid w:val="0"/>
        <w:spacing w:line="480" w:lineRule="exact"/>
        <w:ind w:firstLine="482" w:firstLineChars="200"/>
        <w:rPr>
          <w:b/>
          <w:bCs/>
          <w:sz w:val="24"/>
        </w:rPr>
      </w:pPr>
      <w:r>
        <w:rPr>
          <w:rFonts w:hint="eastAsia"/>
          <w:b/>
          <w:bCs/>
          <w:sz w:val="24"/>
        </w:rPr>
        <w:t>（二）相应的规定</w:t>
      </w:r>
    </w:p>
    <w:p>
      <w:pPr>
        <w:snapToGrid w:val="0"/>
        <w:spacing w:line="480" w:lineRule="exact"/>
        <w:ind w:firstLine="480" w:firstLineChars="200"/>
        <w:rPr>
          <w:sz w:val="24"/>
        </w:rPr>
      </w:pPr>
      <w:r>
        <w:rPr>
          <w:sz w:val="24"/>
        </w:rPr>
        <w:t>1、</w:t>
      </w:r>
      <w:r>
        <w:rPr>
          <w:rFonts w:hint="eastAsia"/>
          <w:sz w:val="24"/>
        </w:rPr>
        <w:t>响应文件</w:t>
      </w:r>
      <w:r>
        <w:rPr>
          <w:sz w:val="24"/>
        </w:rPr>
        <w:t>中报价</w:t>
      </w:r>
      <w:r>
        <w:rPr>
          <w:rFonts w:hint="eastAsia"/>
          <w:sz w:val="24"/>
        </w:rPr>
        <w:t>总</w:t>
      </w:r>
      <w:r>
        <w:rPr>
          <w:sz w:val="24"/>
        </w:rPr>
        <w:t>表内容与</w:t>
      </w:r>
      <w:r>
        <w:rPr>
          <w:rFonts w:hint="eastAsia"/>
          <w:sz w:val="24"/>
        </w:rPr>
        <w:t>响应文件</w:t>
      </w:r>
      <w:r>
        <w:rPr>
          <w:sz w:val="24"/>
        </w:rPr>
        <w:t>中相应内容不一致的，以</w:t>
      </w:r>
      <w:r>
        <w:rPr>
          <w:rFonts w:hint="eastAsia"/>
          <w:sz w:val="24"/>
        </w:rPr>
        <w:t>报价总表</w:t>
      </w:r>
      <w:r>
        <w:rPr>
          <w:sz w:val="24"/>
        </w:rPr>
        <w:t>为准；</w:t>
      </w:r>
    </w:p>
    <w:p>
      <w:pPr>
        <w:snapToGrid w:val="0"/>
        <w:spacing w:line="480" w:lineRule="exact"/>
        <w:ind w:firstLine="480" w:firstLineChars="200"/>
        <w:rPr>
          <w:sz w:val="24"/>
        </w:rPr>
      </w:pPr>
      <w:r>
        <w:rPr>
          <w:sz w:val="24"/>
        </w:rPr>
        <w:t>2、大写金额和小写金额不一致的，以大写金额为准；</w:t>
      </w:r>
    </w:p>
    <w:p>
      <w:pPr>
        <w:snapToGrid w:val="0"/>
        <w:spacing w:line="480" w:lineRule="exact"/>
        <w:ind w:firstLine="480" w:firstLineChars="200"/>
        <w:rPr>
          <w:sz w:val="24"/>
        </w:rPr>
      </w:pPr>
      <w:r>
        <w:rPr>
          <w:sz w:val="24"/>
        </w:rPr>
        <w:t>3、单价金额小数点或者百分比有明显错位的，以</w:t>
      </w:r>
      <w:r>
        <w:rPr>
          <w:rFonts w:hint="eastAsia"/>
          <w:sz w:val="24"/>
        </w:rPr>
        <w:t>报价总表</w:t>
      </w:r>
      <w:r>
        <w:rPr>
          <w:sz w:val="24"/>
        </w:rPr>
        <w:t>的总价为准，并修改单价；</w:t>
      </w:r>
    </w:p>
    <w:p>
      <w:pPr>
        <w:snapToGrid w:val="0"/>
        <w:spacing w:line="480" w:lineRule="exact"/>
        <w:ind w:firstLine="480" w:firstLineChars="200"/>
        <w:rPr>
          <w:sz w:val="24"/>
        </w:rPr>
      </w:pPr>
      <w:r>
        <w:rPr>
          <w:sz w:val="24"/>
        </w:rPr>
        <w:t>4、总价金额与按单价汇总金额不一致的，以单价金额计算结果为准。</w:t>
      </w:r>
    </w:p>
    <w:p>
      <w:pPr>
        <w:snapToGrid w:val="0"/>
        <w:spacing w:line="480" w:lineRule="exact"/>
        <w:ind w:firstLine="480" w:firstLineChars="200"/>
        <w:rPr>
          <w:sz w:val="24"/>
        </w:rPr>
      </w:pPr>
      <w:r>
        <w:rPr>
          <w:sz w:val="24"/>
        </w:rPr>
        <w:t>同时出现两种以上不一致的，按照前款规定的顺序修正。修正后的报价按照财政部第87号令第五十一条第二款的规定经</w:t>
      </w:r>
      <w:r>
        <w:rPr>
          <w:rFonts w:hint="eastAsia"/>
          <w:sz w:val="24"/>
        </w:rPr>
        <w:t>供应商</w:t>
      </w:r>
      <w:r>
        <w:rPr>
          <w:sz w:val="24"/>
        </w:rPr>
        <w:t>确认后产生约束力，</w:t>
      </w:r>
      <w:r>
        <w:rPr>
          <w:rFonts w:hint="eastAsia"/>
          <w:sz w:val="24"/>
        </w:rPr>
        <w:t>供应商</w:t>
      </w:r>
      <w:r>
        <w:rPr>
          <w:sz w:val="24"/>
        </w:rPr>
        <w:t>不确认的，其</w:t>
      </w:r>
      <w:r>
        <w:rPr>
          <w:rFonts w:hint="eastAsia"/>
          <w:sz w:val="24"/>
        </w:rPr>
        <w:t>响应</w:t>
      </w:r>
      <w:r>
        <w:rPr>
          <w:sz w:val="24"/>
        </w:rPr>
        <w:t>无效。</w:t>
      </w:r>
    </w:p>
    <w:p>
      <w:pPr>
        <w:tabs>
          <w:tab w:val="left" w:pos="3585"/>
        </w:tabs>
        <w:snapToGrid w:val="0"/>
        <w:spacing w:line="480" w:lineRule="exact"/>
        <w:ind w:firstLine="482" w:firstLineChars="200"/>
        <w:rPr>
          <w:b/>
          <w:bCs/>
          <w:sz w:val="24"/>
        </w:rPr>
      </w:pPr>
      <w:r>
        <w:rPr>
          <w:rFonts w:hint="eastAsia"/>
          <w:b/>
          <w:bCs/>
          <w:sz w:val="24"/>
        </w:rPr>
        <w:t>三、</w:t>
      </w:r>
      <w:r>
        <w:rPr>
          <w:rFonts w:hint="eastAsia"/>
          <w:b/>
          <w:sz w:val="24"/>
        </w:rPr>
        <w:t>陈述、演示、</w:t>
      </w:r>
      <w:r>
        <w:rPr>
          <w:rFonts w:hint="eastAsia"/>
          <w:b/>
          <w:bCs/>
          <w:sz w:val="24"/>
        </w:rPr>
        <w:t>答疑、澄清</w:t>
      </w:r>
    </w:p>
    <w:p>
      <w:pPr>
        <w:snapToGrid w:val="0"/>
        <w:spacing w:line="480" w:lineRule="exact"/>
        <w:ind w:firstLine="570"/>
        <w:rPr>
          <w:b/>
          <w:sz w:val="24"/>
        </w:rPr>
      </w:pPr>
      <w:r>
        <w:rPr>
          <w:rFonts w:hint="eastAsia"/>
          <w:sz w:val="24"/>
          <w:shd w:val="clear" w:color="auto" w:fill="FFFFFF"/>
        </w:rPr>
        <w:t>如磋商小组认为有必要，供应商按磋商小组的要求作陈述、演示、</w:t>
      </w:r>
      <w:r>
        <w:rPr>
          <w:rFonts w:hint="eastAsia"/>
          <w:sz w:val="24"/>
        </w:rPr>
        <w:t>答疑及澄清其响应内容。时间由磋商小组掌握。</w:t>
      </w:r>
    </w:p>
    <w:p>
      <w:pPr>
        <w:snapToGrid w:val="0"/>
        <w:spacing w:line="480" w:lineRule="exact"/>
        <w:ind w:firstLine="570"/>
        <w:rPr>
          <w:sz w:val="24"/>
        </w:rPr>
      </w:pPr>
      <w:r>
        <w:rPr>
          <w:rFonts w:hint="eastAsia"/>
          <w:sz w:val="24"/>
        </w:rPr>
        <w:t>重要澄清答复应是书面的，但不得对响应内容进行实质性修改。</w:t>
      </w:r>
    </w:p>
    <w:p>
      <w:pPr>
        <w:snapToGrid w:val="0"/>
        <w:spacing w:line="480" w:lineRule="exact"/>
        <w:ind w:firstLine="570"/>
        <w:rPr>
          <w:b/>
          <w:sz w:val="24"/>
        </w:rPr>
      </w:pPr>
      <w:r>
        <w:rPr>
          <w:rFonts w:hint="eastAsia"/>
          <w:b/>
          <w:sz w:val="24"/>
        </w:rPr>
        <w:t>四、出现下列情形之一的，作无效响应处理</w:t>
      </w:r>
    </w:p>
    <w:p>
      <w:pPr>
        <w:snapToGrid w:val="0"/>
        <w:spacing w:line="480" w:lineRule="exact"/>
        <w:ind w:firstLine="480" w:firstLineChars="200"/>
        <w:rPr>
          <w:sz w:val="24"/>
        </w:rPr>
      </w:pPr>
      <w:r>
        <w:rPr>
          <w:rFonts w:hint="eastAsia"/>
          <w:sz w:val="24"/>
        </w:rPr>
        <w:t>1、响应文件</w:t>
      </w:r>
      <w:r>
        <w:rPr>
          <w:sz w:val="24"/>
        </w:rPr>
        <w:t>未按</w:t>
      </w:r>
      <w:r>
        <w:rPr>
          <w:rFonts w:hint="eastAsia"/>
          <w:sz w:val="24"/>
        </w:rPr>
        <w:t>采购文件</w:t>
      </w:r>
      <w:r>
        <w:rPr>
          <w:sz w:val="24"/>
        </w:rPr>
        <w:t>要求密封、签署、盖章及主要资料不齐全</w:t>
      </w:r>
      <w:r>
        <w:rPr>
          <w:rFonts w:hint="eastAsia"/>
          <w:sz w:val="24"/>
        </w:rPr>
        <w:t>或加</w:t>
      </w:r>
      <w:r>
        <w:rPr>
          <w:sz w:val="24"/>
        </w:rPr>
        <w:t>盖电子签章</w:t>
      </w:r>
      <w:r>
        <w:rPr>
          <w:rFonts w:hint="eastAsia"/>
          <w:sz w:val="24"/>
        </w:rPr>
        <w:t>；</w:t>
      </w:r>
    </w:p>
    <w:p>
      <w:pPr>
        <w:snapToGrid w:val="0"/>
        <w:spacing w:line="480" w:lineRule="exact"/>
        <w:ind w:firstLine="480" w:firstLineChars="200"/>
        <w:rPr>
          <w:sz w:val="24"/>
        </w:rPr>
      </w:pPr>
      <w:r>
        <w:rPr>
          <w:rFonts w:hint="eastAsia"/>
          <w:sz w:val="24"/>
        </w:rPr>
        <w:t>2、</w:t>
      </w:r>
      <w:r>
        <w:rPr>
          <w:sz w:val="24"/>
        </w:rPr>
        <w:t>不具备</w:t>
      </w:r>
      <w:r>
        <w:rPr>
          <w:rFonts w:hint="eastAsia"/>
          <w:sz w:val="24"/>
        </w:rPr>
        <w:t>采购文件</w:t>
      </w:r>
      <w:r>
        <w:rPr>
          <w:sz w:val="24"/>
        </w:rPr>
        <w:t>中规定的资格要求的</w:t>
      </w:r>
      <w:r>
        <w:rPr>
          <w:rFonts w:hint="eastAsia"/>
          <w:sz w:val="24"/>
        </w:rPr>
        <w:t>；</w:t>
      </w:r>
    </w:p>
    <w:p>
      <w:pPr>
        <w:snapToGrid w:val="0"/>
        <w:spacing w:line="480" w:lineRule="exact"/>
        <w:ind w:firstLine="480" w:firstLineChars="200"/>
        <w:rPr>
          <w:sz w:val="24"/>
        </w:rPr>
      </w:pPr>
      <w:r>
        <w:rPr>
          <w:rFonts w:hint="eastAsia"/>
          <w:sz w:val="24"/>
        </w:rPr>
        <w:t>3、</w:t>
      </w:r>
      <w:r>
        <w:rPr>
          <w:sz w:val="24"/>
        </w:rPr>
        <w:t>未通过符合性</w:t>
      </w:r>
      <w:r>
        <w:rPr>
          <w:rFonts w:hint="eastAsia"/>
          <w:sz w:val="24"/>
        </w:rPr>
        <w:t>审查</w:t>
      </w:r>
      <w:r>
        <w:rPr>
          <w:sz w:val="24"/>
        </w:rPr>
        <w:t>的；</w:t>
      </w:r>
    </w:p>
    <w:p>
      <w:pPr>
        <w:snapToGrid w:val="0"/>
        <w:spacing w:line="480" w:lineRule="exact"/>
        <w:ind w:firstLine="480" w:firstLineChars="200"/>
        <w:rPr>
          <w:sz w:val="24"/>
        </w:rPr>
      </w:pPr>
      <w:r>
        <w:rPr>
          <w:rFonts w:hint="eastAsia"/>
          <w:sz w:val="24"/>
        </w:rPr>
        <w:t>4、</w:t>
      </w:r>
      <w:r>
        <w:rPr>
          <w:sz w:val="24"/>
        </w:rPr>
        <w:t>报价超过</w:t>
      </w:r>
      <w:r>
        <w:rPr>
          <w:rFonts w:hint="eastAsia"/>
          <w:sz w:val="24"/>
        </w:rPr>
        <w:t>采购文件</w:t>
      </w:r>
      <w:r>
        <w:rPr>
          <w:sz w:val="24"/>
        </w:rPr>
        <w:t>中规定的预算金额或者最高限价的；</w:t>
      </w:r>
    </w:p>
    <w:p>
      <w:pPr>
        <w:snapToGrid w:val="0"/>
        <w:spacing w:line="480" w:lineRule="exact"/>
        <w:ind w:firstLine="480" w:firstLineChars="200"/>
        <w:rPr>
          <w:sz w:val="24"/>
        </w:rPr>
      </w:pPr>
      <w:r>
        <w:rPr>
          <w:rFonts w:hint="eastAsia"/>
          <w:sz w:val="24"/>
        </w:rPr>
        <w:t>5、</w:t>
      </w:r>
      <w:r>
        <w:rPr>
          <w:sz w:val="24"/>
        </w:rPr>
        <w:t>同一</w:t>
      </w:r>
      <w:r>
        <w:rPr>
          <w:rFonts w:hint="eastAsia"/>
          <w:sz w:val="24"/>
        </w:rPr>
        <w:t>供应商</w:t>
      </w:r>
      <w:r>
        <w:rPr>
          <w:sz w:val="24"/>
        </w:rPr>
        <w:t>提交两个（含两个）以上不同的</w:t>
      </w:r>
      <w:r>
        <w:rPr>
          <w:rFonts w:hint="eastAsia"/>
          <w:sz w:val="24"/>
        </w:rPr>
        <w:t>响应</w:t>
      </w:r>
      <w:r>
        <w:rPr>
          <w:sz w:val="24"/>
        </w:rPr>
        <w:t>报价的</w:t>
      </w:r>
      <w:r>
        <w:rPr>
          <w:rFonts w:hint="eastAsia"/>
          <w:sz w:val="24"/>
        </w:rPr>
        <w:t>；</w:t>
      </w:r>
    </w:p>
    <w:p>
      <w:pPr>
        <w:snapToGrid w:val="0"/>
        <w:spacing w:line="480" w:lineRule="exact"/>
        <w:ind w:firstLine="480" w:firstLineChars="200"/>
        <w:rPr>
          <w:sz w:val="24"/>
        </w:rPr>
      </w:pPr>
      <w:r>
        <w:rPr>
          <w:rFonts w:hint="eastAsia"/>
          <w:sz w:val="24"/>
        </w:rPr>
        <w:t>6、报价文件出现在其他响应文件中的；</w:t>
      </w:r>
    </w:p>
    <w:p>
      <w:pPr>
        <w:snapToGrid w:val="0"/>
        <w:spacing w:line="480" w:lineRule="exact"/>
        <w:ind w:firstLine="480" w:firstLineChars="200"/>
        <w:rPr>
          <w:sz w:val="24"/>
        </w:rPr>
      </w:pPr>
      <w:r>
        <w:rPr>
          <w:rFonts w:hint="eastAsia"/>
          <w:sz w:val="24"/>
        </w:rPr>
        <w:t>7、响应文件</w:t>
      </w:r>
      <w:r>
        <w:rPr>
          <w:sz w:val="24"/>
        </w:rPr>
        <w:t>含有采购人不能接受的附加条件的；</w:t>
      </w:r>
    </w:p>
    <w:p>
      <w:pPr>
        <w:snapToGrid w:val="0"/>
        <w:spacing w:line="480" w:lineRule="exact"/>
        <w:ind w:firstLine="480" w:firstLineChars="200"/>
        <w:rPr>
          <w:sz w:val="24"/>
        </w:rPr>
      </w:pPr>
      <w:r>
        <w:rPr>
          <w:rFonts w:hint="eastAsia"/>
          <w:sz w:val="24"/>
        </w:rPr>
        <w:t>8、</w:t>
      </w:r>
      <w:r>
        <w:rPr>
          <w:sz w:val="24"/>
        </w:rPr>
        <w:t>不符合</w:t>
      </w:r>
      <w:r>
        <w:rPr>
          <w:rFonts w:hint="eastAsia"/>
          <w:sz w:val="24"/>
        </w:rPr>
        <w:t>采购文件</w:t>
      </w:r>
      <w:r>
        <w:rPr>
          <w:sz w:val="24"/>
        </w:rPr>
        <w:t>中规定的其他实质性要求</w:t>
      </w:r>
      <w:r>
        <w:rPr>
          <w:rFonts w:hint="eastAsia"/>
          <w:sz w:val="24"/>
        </w:rPr>
        <w:t>和条件的；</w:t>
      </w:r>
    </w:p>
    <w:p>
      <w:pPr>
        <w:snapToGrid w:val="0"/>
        <w:spacing w:line="480" w:lineRule="exact"/>
        <w:ind w:firstLine="480" w:firstLineChars="200"/>
        <w:rPr>
          <w:sz w:val="24"/>
        </w:rPr>
      </w:pPr>
      <w:r>
        <w:rPr>
          <w:rFonts w:hint="eastAsia"/>
          <w:sz w:val="24"/>
        </w:rPr>
        <w:t>9、供应商的商务技术部分得分相差悬殊，磋商小组认为得分畸低者没有实质性响应的；</w:t>
      </w:r>
    </w:p>
    <w:p>
      <w:pPr>
        <w:snapToGrid w:val="0"/>
        <w:spacing w:line="480" w:lineRule="exact"/>
        <w:ind w:firstLine="480" w:firstLineChars="200"/>
        <w:rPr>
          <w:sz w:val="24"/>
        </w:rPr>
      </w:pPr>
      <w:r>
        <w:rPr>
          <w:rFonts w:hint="eastAsia"/>
          <w:sz w:val="24"/>
        </w:rPr>
        <w:t>10、响应供应商未在规定时间内提交最后报价的；</w:t>
      </w:r>
    </w:p>
    <w:p>
      <w:pPr>
        <w:snapToGrid w:val="0"/>
        <w:spacing w:line="480" w:lineRule="exact"/>
        <w:ind w:firstLine="480" w:firstLineChars="200"/>
        <w:rPr>
          <w:sz w:val="24"/>
        </w:rPr>
      </w:pPr>
      <w:r>
        <w:rPr>
          <w:rFonts w:hint="eastAsia"/>
          <w:sz w:val="24"/>
        </w:rPr>
        <w:t>11、磋商小组</w:t>
      </w:r>
      <w:r>
        <w:rPr>
          <w:sz w:val="24"/>
        </w:rPr>
        <w:t>认为</w:t>
      </w:r>
      <w:r>
        <w:rPr>
          <w:rFonts w:hint="eastAsia"/>
          <w:sz w:val="24"/>
        </w:rPr>
        <w:t>供应商</w:t>
      </w:r>
      <w:r>
        <w:rPr>
          <w:sz w:val="24"/>
        </w:rPr>
        <w:t>的报价明显低于其他通过符合性审查</w:t>
      </w:r>
      <w:r>
        <w:rPr>
          <w:rFonts w:hint="eastAsia"/>
          <w:sz w:val="24"/>
        </w:rPr>
        <w:t>供应商</w:t>
      </w:r>
      <w:r>
        <w:rPr>
          <w:sz w:val="24"/>
        </w:rPr>
        <w:t>的报价，有可能影响产品质量或者不能诚信履约的，要求其在合理的时间内提供说明，必要时提交相关证明材料；</w:t>
      </w:r>
      <w:r>
        <w:rPr>
          <w:rFonts w:hint="eastAsia"/>
          <w:sz w:val="24"/>
        </w:rPr>
        <w:t>供应商</w:t>
      </w:r>
      <w:r>
        <w:rPr>
          <w:sz w:val="24"/>
        </w:rPr>
        <w:t>不能证明其报价合理性的，</w:t>
      </w:r>
      <w:r>
        <w:rPr>
          <w:rFonts w:hint="eastAsia"/>
          <w:sz w:val="24"/>
        </w:rPr>
        <w:t>磋商小组</w:t>
      </w:r>
      <w:r>
        <w:rPr>
          <w:sz w:val="24"/>
        </w:rPr>
        <w:t>应当将其作为无效</w:t>
      </w:r>
      <w:r>
        <w:rPr>
          <w:rFonts w:hint="eastAsia"/>
          <w:sz w:val="24"/>
        </w:rPr>
        <w:t>响应</w:t>
      </w:r>
      <w:r>
        <w:rPr>
          <w:sz w:val="24"/>
        </w:rPr>
        <w:t>处理</w:t>
      </w:r>
      <w:r>
        <w:rPr>
          <w:rFonts w:hint="eastAsia"/>
          <w:sz w:val="24"/>
        </w:rPr>
        <w:t>；</w:t>
      </w:r>
    </w:p>
    <w:p>
      <w:pPr>
        <w:snapToGrid w:val="0"/>
        <w:spacing w:line="480" w:lineRule="exact"/>
        <w:ind w:firstLine="480" w:firstLineChars="200"/>
        <w:rPr>
          <w:sz w:val="24"/>
        </w:rPr>
      </w:pPr>
      <w:r>
        <w:rPr>
          <w:rFonts w:hint="eastAsia"/>
          <w:sz w:val="24"/>
        </w:rPr>
        <w:t>12、不</w:t>
      </w:r>
      <w:r>
        <w:rPr>
          <w:sz w:val="24"/>
        </w:rPr>
        <w:t>同的</w:t>
      </w:r>
      <w:r>
        <w:rPr>
          <w:rFonts w:hint="eastAsia"/>
          <w:sz w:val="24"/>
        </w:rPr>
        <w:t>供应商响应文件</w:t>
      </w:r>
      <w:r>
        <w:rPr>
          <w:sz w:val="24"/>
        </w:rPr>
        <w:t>制作机器码、文件创建标识码一致的</w:t>
      </w:r>
      <w:r>
        <w:rPr>
          <w:rFonts w:hint="eastAsia"/>
          <w:sz w:val="24"/>
        </w:rPr>
        <w:t>；</w:t>
      </w:r>
    </w:p>
    <w:p>
      <w:pPr>
        <w:snapToGrid w:val="0"/>
        <w:spacing w:line="480" w:lineRule="exact"/>
        <w:ind w:firstLine="480" w:firstLineChars="200"/>
        <w:rPr>
          <w:sz w:val="24"/>
        </w:rPr>
      </w:pPr>
      <w:r>
        <w:rPr>
          <w:rFonts w:hint="eastAsia"/>
          <w:sz w:val="24"/>
        </w:rPr>
        <w:t>13、</w:t>
      </w:r>
      <w:r>
        <w:rPr>
          <w:sz w:val="24"/>
        </w:rPr>
        <w:t>其他法律、法规及本</w:t>
      </w:r>
      <w:r>
        <w:rPr>
          <w:rFonts w:hint="eastAsia"/>
          <w:sz w:val="24"/>
        </w:rPr>
        <w:t>采购文件</w:t>
      </w:r>
      <w:r>
        <w:rPr>
          <w:sz w:val="24"/>
        </w:rPr>
        <w:t>规定的属无效</w:t>
      </w:r>
      <w:r>
        <w:rPr>
          <w:rFonts w:hint="eastAsia"/>
          <w:sz w:val="24"/>
        </w:rPr>
        <w:t>响应</w:t>
      </w:r>
      <w:r>
        <w:rPr>
          <w:sz w:val="24"/>
        </w:rPr>
        <w:t>的情形。</w:t>
      </w:r>
      <w:r>
        <w:rPr>
          <w:rFonts w:hint="eastAsia"/>
          <w:sz w:val="24"/>
        </w:rPr>
        <w:t xml:space="preserve"> </w:t>
      </w:r>
    </w:p>
    <w:p>
      <w:pPr>
        <w:snapToGrid w:val="0"/>
        <w:spacing w:line="480" w:lineRule="exact"/>
        <w:ind w:firstLine="570"/>
        <w:rPr>
          <w:b/>
          <w:sz w:val="24"/>
        </w:rPr>
      </w:pPr>
      <w:r>
        <w:rPr>
          <w:rFonts w:hint="eastAsia"/>
          <w:b/>
          <w:sz w:val="24"/>
        </w:rPr>
        <w:t>五、出现下列情形之一的，作废标处理</w:t>
      </w:r>
    </w:p>
    <w:p>
      <w:pPr>
        <w:snapToGrid w:val="0"/>
        <w:spacing w:line="480" w:lineRule="exact"/>
        <w:ind w:firstLine="480" w:firstLineChars="200"/>
        <w:rPr>
          <w:sz w:val="24"/>
        </w:rPr>
      </w:pPr>
      <w:r>
        <w:rPr>
          <w:sz w:val="24"/>
        </w:rPr>
        <w:t>1、符合专业条件的</w:t>
      </w:r>
      <w:r>
        <w:rPr>
          <w:rFonts w:hint="eastAsia"/>
          <w:sz w:val="24"/>
        </w:rPr>
        <w:t>供应商</w:t>
      </w:r>
      <w:r>
        <w:rPr>
          <w:sz w:val="24"/>
        </w:rPr>
        <w:t>或者对</w:t>
      </w:r>
      <w:r>
        <w:rPr>
          <w:rFonts w:hint="eastAsia"/>
          <w:sz w:val="24"/>
        </w:rPr>
        <w:t>采购文件</w:t>
      </w:r>
      <w:r>
        <w:rPr>
          <w:sz w:val="24"/>
        </w:rPr>
        <w:t>作实质响应的</w:t>
      </w:r>
      <w:r>
        <w:rPr>
          <w:rFonts w:hint="eastAsia"/>
          <w:sz w:val="24"/>
        </w:rPr>
        <w:t>供应商</w:t>
      </w:r>
      <w:r>
        <w:rPr>
          <w:sz w:val="24"/>
        </w:rPr>
        <w:t>不足</w:t>
      </w:r>
      <w:r>
        <w:rPr>
          <w:rFonts w:hint="eastAsia"/>
          <w:sz w:val="24"/>
        </w:rPr>
        <w:t xml:space="preserve"> </w:t>
      </w:r>
      <w:r>
        <w:rPr>
          <w:rFonts w:hint="eastAsia"/>
          <w:sz w:val="24"/>
          <w:u w:val="single"/>
        </w:rPr>
        <w:t xml:space="preserve"> </w:t>
      </w:r>
      <w:r>
        <w:rPr>
          <w:sz w:val="24"/>
          <w:u w:val="single"/>
        </w:rPr>
        <w:t>3</w:t>
      </w:r>
      <w:r>
        <w:rPr>
          <w:rFonts w:hint="eastAsia"/>
          <w:sz w:val="24"/>
          <w:u w:val="single"/>
        </w:rPr>
        <w:t xml:space="preserve"> </w:t>
      </w:r>
      <w:r>
        <w:rPr>
          <w:sz w:val="24"/>
        </w:rPr>
        <w:t>家的；</w:t>
      </w:r>
    </w:p>
    <w:p>
      <w:pPr>
        <w:snapToGrid w:val="0"/>
        <w:spacing w:line="480" w:lineRule="exact"/>
        <w:ind w:firstLine="480" w:firstLineChars="200"/>
        <w:rPr>
          <w:sz w:val="24"/>
        </w:rPr>
      </w:pPr>
      <w:r>
        <w:rPr>
          <w:rFonts w:hint="eastAsia"/>
          <w:sz w:val="24"/>
        </w:rPr>
        <w:t>2、</w:t>
      </w:r>
      <w:r>
        <w:rPr>
          <w:sz w:val="24"/>
        </w:rPr>
        <w:t>出现影响采购公正的违法违规行为的；</w:t>
      </w:r>
    </w:p>
    <w:p>
      <w:pPr>
        <w:snapToGrid w:val="0"/>
        <w:spacing w:line="480" w:lineRule="exact"/>
        <w:ind w:firstLine="480" w:firstLineChars="200"/>
        <w:rPr>
          <w:sz w:val="24"/>
        </w:rPr>
      </w:pPr>
      <w:r>
        <w:rPr>
          <w:sz w:val="24"/>
        </w:rPr>
        <w:t>3、</w:t>
      </w:r>
      <w:r>
        <w:rPr>
          <w:rFonts w:hint="eastAsia"/>
          <w:sz w:val="24"/>
        </w:rPr>
        <w:t>供应商</w:t>
      </w:r>
      <w:r>
        <w:rPr>
          <w:sz w:val="24"/>
        </w:rPr>
        <w:t>的报价均超过了采购预算，采购人不能支付的；</w:t>
      </w:r>
    </w:p>
    <w:p>
      <w:pPr>
        <w:snapToGrid w:val="0"/>
        <w:spacing w:line="480" w:lineRule="exact"/>
        <w:ind w:firstLine="480" w:firstLineChars="200"/>
        <w:rPr>
          <w:sz w:val="24"/>
        </w:rPr>
      </w:pPr>
      <w:r>
        <w:rPr>
          <w:sz w:val="24"/>
        </w:rPr>
        <w:t>4、因重大变故，采购任务取消的</w:t>
      </w:r>
      <w:r>
        <w:rPr>
          <w:rFonts w:hint="eastAsia"/>
          <w:sz w:val="24"/>
        </w:rPr>
        <w:t>；</w:t>
      </w:r>
    </w:p>
    <w:p>
      <w:pPr>
        <w:snapToGrid w:val="0"/>
        <w:spacing w:line="480" w:lineRule="exact"/>
        <w:ind w:firstLine="480" w:firstLineChars="200"/>
        <w:rPr>
          <w:kern w:val="0"/>
          <w:sz w:val="24"/>
          <w:szCs w:val="20"/>
        </w:rPr>
      </w:pPr>
      <w:r>
        <w:rPr>
          <w:rFonts w:hint="eastAsia"/>
          <w:kern w:val="0"/>
          <w:sz w:val="24"/>
          <w:szCs w:val="20"/>
        </w:rPr>
        <w:t>5、磋商小组</w:t>
      </w:r>
      <w:r>
        <w:rPr>
          <w:kern w:val="0"/>
          <w:sz w:val="24"/>
          <w:szCs w:val="20"/>
        </w:rPr>
        <w:t>认定</w:t>
      </w:r>
      <w:r>
        <w:rPr>
          <w:rFonts w:hint="eastAsia"/>
          <w:kern w:val="0"/>
          <w:sz w:val="24"/>
          <w:szCs w:val="20"/>
        </w:rPr>
        <w:t>采购文件</w:t>
      </w:r>
      <w:r>
        <w:rPr>
          <w:kern w:val="0"/>
          <w:sz w:val="24"/>
          <w:szCs w:val="20"/>
        </w:rPr>
        <w:t>存在歧义、重大缺陷导致评审工作无法进行</w:t>
      </w:r>
      <w:r>
        <w:rPr>
          <w:rFonts w:hint="eastAsia"/>
          <w:kern w:val="0"/>
          <w:sz w:val="24"/>
          <w:szCs w:val="20"/>
        </w:rPr>
        <w:t>；</w:t>
      </w:r>
    </w:p>
    <w:p>
      <w:pPr>
        <w:snapToGrid w:val="0"/>
        <w:spacing w:line="480" w:lineRule="exact"/>
        <w:ind w:firstLine="480" w:firstLineChars="200"/>
        <w:rPr>
          <w:kern w:val="0"/>
          <w:sz w:val="24"/>
          <w:szCs w:val="20"/>
        </w:rPr>
      </w:pPr>
      <w:r>
        <w:rPr>
          <w:rFonts w:hint="eastAsia"/>
          <w:kern w:val="0"/>
          <w:sz w:val="24"/>
          <w:szCs w:val="20"/>
        </w:rPr>
        <w:t>6、</w:t>
      </w:r>
      <w:r>
        <w:rPr>
          <w:kern w:val="0"/>
          <w:sz w:val="24"/>
          <w:szCs w:val="20"/>
        </w:rPr>
        <w:t>因系统故障原因造成</w:t>
      </w:r>
      <w:r>
        <w:rPr>
          <w:rFonts w:hint="eastAsia"/>
          <w:kern w:val="0"/>
          <w:sz w:val="24"/>
          <w:szCs w:val="20"/>
        </w:rPr>
        <w:t>评审工作无法继续进行的</w:t>
      </w:r>
      <w:r>
        <w:rPr>
          <w:kern w:val="0"/>
          <w:sz w:val="24"/>
          <w:szCs w:val="20"/>
        </w:rPr>
        <w:t>。</w:t>
      </w:r>
    </w:p>
    <w:p>
      <w:pPr>
        <w:snapToGrid w:val="0"/>
        <w:spacing w:line="480" w:lineRule="exact"/>
        <w:ind w:firstLine="555"/>
        <w:rPr>
          <w:sz w:val="24"/>
        </w:rPr>
      </w:pPr>
      <w:r>
        <w:rPr>
          <w:rFonts w:hint="eastAsia"/>
          <w:sz w:val="24"/>
        </w:rPr>
        <w:t>上述均保留磋商小组认定可以确定为无效响应或废标的其他情况。</w:t>
      </w:r>
    </w:p>
    <w:p>
      <w:pPr>
        <w:snapToGrid w:val="0"/>
        <w:spacing w:line="480" w:lineRule="exact"/>
        <w:ind w:firstLine="555"/>
        <w:rPr>
          <w:b/>
          <w:sz w:val="24"/>
        </w:rPr>
      </w:pPr>
      <w:r>
        <w:rPr>
          <w:rFonts w:hint="eastAsia"/>
          <w:b/>
          <w:sz w:val="24"/>
        </w:rPr>
        <w:t>六</w:t>
      </w:r>
      <w:r>
        <w:rPr>
          <w:rFonts w:hint="eastAsia"/>
          <w:sz w:val="24"/>
        </w:rPr>
        <w:t>、</w:t>
      </w:r>
      <w:r>
        <w:rPr>
          <w:rFonts w:hint="eastAsia"/>
          <w:b/>
          <w:sz w:val="24"/>
        </w:rPr>
        <w:t>变更为其他方式采购的情形</w:t>
      </w:r>
    </w:p>
    <w:p>
      <w:pPr>
        <w:autoSpaceDE w:val="0"/>
        <w:autoSpaceDN w:val="0"/>
        <w:adjustRightInd w:val="0"/>
        <w:snapToGrid w:val="0"/>
        <w:spacing w:line="480" w:lineRule="exact"/>
        <w:ind w:firstLine="480" w:firstLineChars="200"/>
        <w:rPr>
          <w:sz w:val="24"/>
          <w:lang w:val="zh-CN"/>
        </w:rPr>
      </w:pPr>
      <w:r>
        <w:rPr>
          <w:rFonts w:hint="eastAsia"/>
          <w:sz w:val="24"/>
        </w:rPr>
        <w:t>响应</w:t>
      </w:r>
      <w:r>
        <w:rPr>
          <w:sz w:val="24"/>
        </w:rPr>
        <w:t>截止时间出现：</w:t>
      </w:r>
      <w:r>
        <w:rPr>
          <w:rFonts w:hint="eastAsia"/>
          <w:sz w:val="24"/>
        </w:rPr>
        <w:t>响应</w:t>
      </w:r>
      <w:r>
        <w:rPr>
          <w:sz w:val="24"/>
        </w:rPr>
        <w:t>的供应商不足</w:t>
      </w:r>
      <w:r>
        <w:rPr>
          <w:rFonts w:hint="eastAsia"/>
          <w:sz w:val="24"/>
        </w:rPr>
        <w:t xml:space="preserve"> </w:t>
      </w:r>
      <w:r>
        <w:rPr>
          <w:rFonts w:hint="eastAsia"/>
          <w:sz w:val="24"/>
          <w:u w:val="single"/>
        </w:rPr>
        <w:t xml:space="preserve"> </w:t>
      </w:r>
      <w:r>
        <w:rPr>
          <w:sz w:val="24"/>
          <w:u w:val="single"/>
        </w:rPr>
        <w:t>3</w:t>
      </w:r>
      <w:r>
        <w:rPr>
          <w:rFonts w:hint="eastAsia"/>
          <w:sz w:val="24"/>
          <w:u w:val="single"/>
        </w:rPr>
        <w:t xml:space="preserve"> </w:t>
      </w:r>
      <w:r>
        <w:rPr>
          <w:sz w:val="24"/>
        </w:rPr>
        <w:t>家的，及评</w:t>
      </w:r>
      <w:r>
        <w:rPr>
          <w:rFonts w:hint="eastAsia"/>
          <w:sz w:val="24"/>
        </w:rPr>
        <w:t>审</w:t>
      </w:r>
      <w:r>
        <w:rPr>
          <w:sz w:val="24"/>
        </w:rPr>
        <w:t>中出现符合专业条件的供应商或对</w:t>
      </w:r>
      <w:r>
        <w:rPr>
          <w:rFonts w:hint="eastAsia"/>
          <w:sz w:val="24"/>
        </w:rPr>
        <w:t>采购文件</w:t>
      </w:r>
      <w:r>
        <w:rPr>
          <w:sz w:val="24"/>
        </w:rPr>
        <w:t>作实质响应的</w:t>
      </w:r>
      <w:r>
        <w:rPr>
          <w:rFonts w:hint="eastAsia"/>
          <w:sz w:val="24"/>
        </w:rPr>
        <w:t>供应商</w:t>
      </w:r>
      <w:r>
        <w:rPr>
          <w:sz w:val="24"/>
        </w:rPr>
        <w:t>不足</w:t>
      </w:r>
      <w:r>
        <w:rPr>
          <w:rFonts w:hint="eastAsia"/>
          <w:sz w:val="24"/>
          <w:u w:val="single"/>
        </w:rPr>
        <w:t xml:space="preserve"> </w:t>
      </w:r>
      <w:r>
        <w:rPr>
          <w:sz w:val="24"/>
          <w:u w:val="single"/>
        </w:rPr>
        <w:t>3</w:t>
      </w:r>
      <w:r>
        <w:rPr>
          <w:rFonts w:hint="eastAsia"/>
          <w:sz w:val="24"/>
          <w:u w:val="single"/>
        </w:rPr>
        <w:t xml:space="preserve"> </w:t>
      </w:r>
      <w:r>
        <w:rPr>
          <w:sz w:val="24"/>
        </w:rPr>
        <w:t>家如下情形时，除采购任务取消外，采购人报告</w:t>
      </w:r>
      <w:r>
        <w:rPr>
          <w:rFonts w:hint="eastAsia"/>
          <w:sz w:val="24"/>
        </w:rPr>
        <w:t>主管部门</w:t>
      </w:r>
      <w:r>
        <w:rPr>
          <w:sz w:val="24"/>
        </w:rPr>
        <w:t>，视情采取其他方式采购。</w:t>
      </w:r>
      <w:r>
        <w:rPr>
          <w:sz w:val="24"/>
          <w:lang w:val="zh-CN"/>
        </w:rPr>
        <w:t>本次</w:t>
      </w:r>
      <w:r>
        <w:rPr>
          <w:rFonts w:hint="eastAsia"/>
          <w:sz w:val="24"/>
          <w:lang w:val="zh-CN"/>
        </w:rPr>
        <w:t>采购文件</w:t>
      </w:r>
      <w:r>
        <w:rPr>
          <w:sz w:val="24"/>
          <w:lang w:val="zh-CN"/>
        </w:rPr>
        <w:t>中对供应商资质、技术等要求，将作为</w:t>
      </w:r>
      <w:r>
        <w:rPr>
          <w:sz w:val="24"/>
        </w:rPr>
        <w:t>其他</w:t>
      </w:r>
      <w:r>
        <w:rPr>
          <w:sz w:val="24"/>
          <w:lang w:val="zh-CN"/>
        </w:rPr>
        <w:t>方式采购的基本要求和依据。原已经</w:t>
      </w:r>
      <w:r>
        <w:rPr>
          <w:rFonts w:hint="eastAsia"/>
          <w:sz w:val="24"/>
          <w:lang w:val="zh-CN"/>
        </w:rPr>
        <w:t>响应</w:t>
      </w:r>
      <w:r>
        <w:rPr>
          <w:sz w:val="24"/>
          <w:lang w:val="zh-CN"/>
        </w:rPr>
        <w:t>并符合要求的供应商，根据自愿原则，参加</w:t>
      </w:r>
      <w:r>
        <w:rPr>
          <w:sz w:val="24"/>
        </w:rPr>
        <w:t>其他</w:t>
      </w:r>
      <w:r>
        <w:rPr>
          <w:sz w:val="24"/>
          <w:lang w:val="zh-CN"/>
        </w:rPr>
        <w:t>方式采购。</w:t>
      </w:r>
    </w:p>
    <w:p>
      <w:pPr>
        <w:pStyle w:val="58"/>
        <w:snapToGrid w:val="0"/>
        <w:spacing w:before="0" w:after="0" w:line="500" w:lineRule="exact"/>
        <w:ind w:left="0" w:right="0" w:firstLine="482" w:firstLineChars="200"/>
        <w:jc w:val="left"/>
        <w:rPr>
          <w:rFonts w:ascii="Times New Roman" w:hAnsi="Times New Roman"/>
          <w:b/>
        </w:rPr>
      </w:pPr>
      <w:r>
        <w:rPr>
          <w:rFonts w:hint="eastAsia" w:ascii="Times New Roman" w:hAnsi="Times New Roman"/>
          <w:b/>
        </w:rPr>
        <w:t>七、磋商程序及评审方法和标准</w:t>
      </w:r>
    </w:p>
    <w:p>
      <w:pPr>
        <w:snapToGrid w:val="0"/>
        <w:spacing w:line="480" w:lineRule="exact"/>
        <w:ind w:firstLine="480" w:firstLineChars="200"/>
        <w:rPr>
          <w:rFonts w:cs="宋体"/>
          <w:sz w:val="24"/>
        </w:rPr>
      </w:pPr>
      <w:r>
        <w:rPr>
          <w:rFonts w:hint="eastAsia" w:cs="宋体"/>
          <w:sz w:val="24"/>
        </w:rPr>
        <w:t xml:space="preserve">本项目采用综合评分法，经磋商确定最终采购需求和提交最后报价的供应商后，由磋商小组采用综合评分法对提交最后报价的供应商的响应文件和最后报价进行综合评分。评审时，磋商小组各成员独立对每个有效响应的文件进行评价、打分，然后汇总每个供应商每项评分因素的得分。  </w:t>
      </w:r>
    </w:p>
    <w:p>
      <w:pPr>
        <w:snapToGrid w:val="0"/>
        <w:spacing w:line="480" w:lineRule="exact"/>
        <w:ind w:firstLine="480" w:firstLineChars="200"/>
        <w:rPr>
          <w:rFonts w:cs="宋体"/>
          <w:sz w:val="24"/>
        </w:rPr>
      </w:pPr>
      <w:r>
        <w:rPr>
          <w:rFonts w:hint="eastAsia" w:cs="宋体"/>
          <w:sz w:val="24"/>
        </w:rPr>
        <w:t>商务技术部分评审结束后进入最后报价环节，最后报价将作为评审价。代理机构宣布最后报价填报通知后，所有的响应供应商须在规定时间内填写并提交最后报价，未在规定时间内提交最后报价的，视作无效响应处理。</w:t>
      </w:r>
    </w:p>
    <w:p>
      <w:pPr>
        <w:snapToGrid w:val="0"/>
        <w:spacing w:line="480" w:lineRule="exact"/>
        <w:ind w:firstLine="480" w:firstLineChars="200"/>
        <w:rPr>
          <w:rFonts w:cs="宋体"/>
          <w:sz w:val="24"/>
        </w:rPr>
      </w:pPr>
      <w:r>
        <w:rPr>
          <w:rFonts w:hint="eastAsia" w:cs="宋体"/>
          <w:sz w:val="24"/>
        </w:rPr>
        <w:t>最后报价是供应商响应文件的有效组成部分，提交最后报价的供应商不得少于3家；只有符合《政府采购竞争性磋商采购方式管理暂行办法》第三条第四项及《财政部关于竞争性磋商采购方式管理暂行办法有关问题的补充通知》（财库[2015]124号）规定情形的，提交最后报价的供应商可以为2家。</w:t>
      </w:r>
    </w:p>
    <w:p>
      <w:pPr>
        <w:snapToGrid w:val="0"/>
        <w:spacing w:line="480" w:lineRule="exact"/>
        <w:ind w:firstLine="480" w:firstLineChars="200"/>
        <w:rPr>
          <w:rFonts w:cs="宋体"/>
          <w:sz w:val="24"/>
        </w:rPr>
      </w:pPr>
      <w:r>
        <w:rPr>
          <w:rFonts w:hint="eastAsia" w:cs="宋体"/>
          <w:sz w:val="24"/>
        </w:rPr>
        <w:t>供应商商务、技术部分和价格部分的合计分值，为该供应商的评审总得分。</w:t>
      </w:r>
    </w:p>
    <w:p>
      <w:pPr>
        <w:snapToGrid w:val="0"/>
        <w:spacing w:line="480" w:lineRule="exact"/>
        <w:ind w:firstLine="480" w:firstLineChars="200"/>
        <w:rPr>
          <w:rFonts w:cs="宋体"/>
          <w:sz w:val="24"/>
        </w:rPr>
      </w:pPr>
      <w:r>
        <w:rPr>
          <w:rFonts w:hint="eastAsia" w:cs="宋体"/>
          <w:sz w:val="24"/>
        </w:rPr>
        <w:t>评审结果按评审后得分由高到低顺序排列。得分相同的，按响应报价由低到高顺序排列。得分且响应报价相同的并列。响应文件满足磋商文件全部实质性要求，且按照评审因素的量化指标评审得分前三名的供应商为成交候选人。</w:t>
      </w:r>
    </w:p>
    <w:p>
      <w:pPr>
        <w:snapToGrid w:val="0"/>
        <w:spacing w:line="480" w:lineRule="exact"/>
        <w:ind w:firstLine="480" w:firstLineChars="200"/>
        <w:rPr>
          <w:rFonts w:cs="宋体"/>
          <w:sz w:val="24"/>
        </w:rPr>
      </w:pPr>
      <w:r>
        <w:rPr>
          <w:rFonts w:hint="eastAsia" w:cs="宋体"/>
          <w:sz w:val="24"/>
        </w:rPr>
        <w:t>评委在认真审阅响应文件的基础上，根据各响应文件的响应程度独立评判，不得统一打分。</w:t>
      </w:r>
    </w:p>
    <w:p>
      <w:pPr>
        <w:snapToGrid w:val="0"/>
        <w:spacing w:line="480" w:lineRule="exact"/>
        <w:ind w:firstLine="570"/>
        <w:rPr>
          <w:b/>
          <w:kern w:val="0"/>
          <w:sz w:val="24"/>
        </w:rPr>
      </w:pPr>
      <w:r>
        <w:rPr>
          <w:rFonts w:hint="eastAsia"/>
          <w:b/>
          <w:kern w:val="0"/>
          <w:sz w:val="24"/>
        </w:rPr>
        <w:t>（一）磋商小组对供应商资格进行审查</w:t>
      </w:r>
    </w:p>
    <w:p>
      <w:pPr>
        <w:snapToGrid w:val="0"/>
        <w:spacing w:line="480" w:lineRule="exact"/>
        <w:ind w:firstLine="480" w:firstLineChars="200"/>
        <w:rPr>
          <w:rFonts w:cs="宋体"/>
          <w:sz w:val="24"/>
        </w:rPr>
      </w:pPr>
      <w:r>
        <w:rPr>
          <w:rFonts w:hint="eastAsia" w:cs="宋体"/>
          <w:sz w:val="24"/>
        </w:rPr>
        <w:t>供应商资格不合格的，其响应文件判定为无效响应文件。</w:t>
      </w:r>
    </w:p>
    <w:p>
      <w:pPr>
        <w:snapToGrid w:val="0"/>
        <w:spacing w:line="480" w:lineRule="exact"/>
        <w:ind w:firstLine="570"/>
        <w:rPr>
          <w:b/>
          <w:kern w:val="0"/>
          <w:sz w:val="24"/>
        </w:rPr>
      </w:pPr>
      <w:r>
        <w:rPr>
          <w:rFonts w:hint="eastAsia"/>
          <w:b/>
          <w:kern w:val="0"/>
          <w:sz w:val="24"/>
        </w:rPr>
        <w:t>（二）磋商小组对符合资格供应商的响应文件进行符合性审查</w:t>
      </w:r>
    </w:p>
    <w:p>
      <w:pPr>
        <w:snapToGrid w:val="0"/>
        <w:spacing w:line="480" w:lineRule="exact"/>
        <w:ind w:firstLine="480" w:firstLineChars="200"/>
        <w:rPr>
          <w:rFonts w:cs="宋体"/>
          <w:sz w:val="24"/>
        </w:rPr>
      </w:pPr>
      <w:r>
        <w:rPr>
          <w:rFonts w:hint="eastAsia" w:cs="宋体"/>
          <w:sz w:val="24"/>
        </w:rPr>
        <w:t xml:space="preserve">未通过符合性审查的响应文件，将被判为不满足磋商文件实质性要求。 </w:t>
      </w:r>
    </w:p>
    <w:p>
      <w:pPr>
        <w:snapToGrid w:val="0"/>
        <w:spacing w:line="480" w:lineRule="exact"/>
        <w:ind w:firstLine="570"/>
        <w:rPr>
          <w:b/>
          <w:kern w:val="0"/>
          <w:sz w:val="24"/>
          <w:lang w:val="zh-CN"/>
        </w:rPr>
      </w:pPr>
      <w:r>
        <w:rPr>
          <w:rFonts w:hint="eastAsia"/>
          <w:b/>
          <w:kern w:val="0"/>
          <w:sz w:val="24"/>
        </w:rPr>
        <w:t>（</w:t>
      </w:r>
      <w:r>
        <w:rPr>
          <w:rFonts w:hint="eastAsia"/>
          <w:b/>
          <w:kern w:val="0"/>
          <w:sz w:val="24"/>
          <w:lang w:val="zh-CN"/>
        </w:rPr>
        <w:t>三</w:t>
      </w:r>
      <w:r>
        <w:rPr>
          <w:rFonts w:hint="eastAsia"/>
          <w:b/>
          <w:kern w:val="0"/>
          <w:sz w:val="24"/>
        </w:rPr>
        <w:t>）</w:t>
      </w:r>
      <w:r>
        <w:rPr>
          <w:rFonts w:hint="eastAsia"/>
          <w:b/>
          <w:kern w:val="0"/>
          <w:sz w:val="24"/>
          <w:lang w:val="zh-CN"/>
        </w:rPr>
        <w:t>商务技术分：</w:t>
      </w:r>
      <w:r>
        <w:rPr>
          <w:rFonts w:hint="eastAsia"/>
          <w:b/>
          <w:kern w:val="0"/>
          <w:sz w:val="24"/>
        </w:rPr>
        <w:t>80</w:t>
      </w:r>
      <w:r>
        <w:rPr>
          <w:rFonts w:hint="eastAsia"/>
          <w:b/>
          <w:kern w:val="0"/>
          <w:sz w:val="24"/>
          <w:lang w:val="zh-CN"/>
        </w:rPr>
        <w:t>分</w:t>
      </w:r>
    </w:p>
    <w:p>
      <w:pPr>
        <w:autoSpaceDE w:val="0"/>
        <w:autoSpaceDN w:val="0"/>
        <w:adjustRightInd w:val="0"/>
        <w:snapToGrid w:val="0"/>
        <w:spacing w:line="480" w:lineRule="exact"/>
        <w:ind w:firstLine="480" w:firstLineChars="200"/>
        <w:rPr>
          <w:rFonts w:ascii="宋体" w:hAnsi="宋体"/>
          <w:sz w:val="24"/>
        </w:rPr>
      </w:pPr>
      <w:r>
        <w:rPr>
          <w:rFonts w:hint="eastAsia" w:ascii="宋体" w:hAnsi="宋体"/>
          <w:sz w:val="24"/>
        </w:rPr>
        <w:t>供应商得分为磋商小组成员评分的算术平均分,分值保留小数点后两位。</w:t>
      </w:r>
    </w:p>
    <w:p>
      <w:pPr>
        <w:autoSpaceDE w:val="0"/>
        <w:autoSpaceDN w:val="0"/>
        <w:adjustRightInd w:val="0"/>
        <w:snapToGrid w:val="0"/>
        <w:spacing w:line="480" w:lineRule="exact"/>
        <w:ind w:firstLine="480" w:firstLineChars="200"/>
        <w:rPr>
          <w:rFonts w:ascii="宋体" w:hAnsi="宋体"/>
          <w:sz w:val="24"/>
        </w:rPr>
      </w:pPr>
    </w:p>
    <w:p>
      <w:pPr>
        <w:autoSpaceDE w:val="0"/>
        <w:autoSpaceDN w:val="0"/>
        <w:adjustRightInd w:val="0"/>
        <w:snapToGrid w:val="0"/>
        <w:spacing w:line="480" w:lineRule="exact"/>
        <w:ind w:firstLine="480" w:firstLineChars="200"/>
        <w:rPr>
          <w:rFonts w:ascii="宋体" w:hAnsi="宋体"/>
          <w:sz w:val="24"/>
        </w:rPr>
      </w:pPr>
    </w:p>
    <w:p>
      <w:pPr>
        <w:autoSpaceDE w:val="0"/>
        <w:autoSpaceDN w:val="0"/>
        <w:adjustRightInd w:val="0"/>
        <w:snapToGrid w:val="0"/>
        <w:spacing w:line="480" w:lineRule="exact"/>
        <w:ind w:firstLine="480" w:firstLineChars="200"/>
        <w:rPr>
          <w:rFonts w:ascii="宋体" w:hAnsi="宋体"/>
          <w:sz w:val="24"/>
        </w:rPr>
      </w:pP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953"/>
        <w:gridCol w:w="6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16" w:type="pct"/>
            <w:vAlign w:val="center"/>
          </w:tcPr>
          <w:p>
            <w:pPr>
              <w:ind w:left="105" w:leftChars="50" w:right="105" w:rightChars="50"/>
              <w:jc w:val="center"/>
              <w:rPr>
                <w:rFonts w:ascii="宋体" w:hAnsi="宋体" w:cs="宋体"/>
                <w:b/>
                <w:sz w:val="24"/>
              </w:rPr>
            </w:pPr>
            <w:r>
              <w:rPr>
                <w:rFonts w:hint="eastAsia" w:ascii="宋体" w:hAnsi="宋体" w:cs="宋体"/>
                <w:b/>
                <w:sz w:val="24"/>
              </w:rPr>
              <w:t>评审</w:t>
            </w:r>
          </w:p>
          <w:p>
            <w:pPr>
              <w:ind w:left="105" w:leftChars="50" w:right="105" w:rightChars="50"/>
              <w:jc w:val="center"/>
              <w:rPr>
                <w:rFonts w:ascii="宋体" w:hAnsi="宋体" w:cs="宋体"/>
                <w:b/>
                <w:sz w:val="24"/>
              </w:rPr>
            </w:pPr>
            <w:r>
              <w:rPr>
                <w:rFonts w:hint="eastAsia" w:ascii="宋体" w:hAnsi="宋体" w:cs="宋体"/>
                <w:b/>
                <w:sz w:val="24"/>
              </w:rPr>
              <w:t>项目</w:t>
            </w:r>
          </w:p>
        </w:tc>
        <w:tc>
          <w:tcPr>
            <w:tcW w:w="533" w:type="pct"/>
            <w:vAlign w:val="center"/>
          </w:tcPr>
          <w:p>
            <w:pPr>
              <w:ind w:left="105" w:leftChars="50" w:right="105" w:rightChars="50"/>
              <w:jc w:val="center"/>
              <w:rPr>
                <w:rFonts w:ascii="宋体" w:hAnsi="宋体" w:cs="宋体"/>
                <w:b/>
                <w:sz w:val="24"/>
              </w:rPr>
            </w:pPr>
            <w:r>
              <w:rPr>
                <w:rFonts w:hint="eastAsia" w:ascii="宋体" w:hAnsi="宋体" w:cs="宋体"/>
                <w:b/>
                <w:sz w:val="24"/>
              </w:rPr>
              <w:t>满分</w:t>
            </w:r>
          </w:p>
          <w:p>
            <w:pPr>
              <w:ind w:left="105" w:leftChars="50" w:right="105" w:rightChars="50"/>
              <w:jc w:val="center"/>
              <w:rPr>
                <w:rFonts w:ascii="宋体" w:hAnsi="宋体" w:cs="宋体"/>
                <w:b/>
                <w:sz w:val="24"/>
              </w:rPr>
            </w:pPr>
            <w:r>
              <w:rPr>
                <w:rFonts w:hint="eastAsia" w:ascii="宋体" w:hAnsi="宋体" w:cs="宋体"/>
                <w:b/>
                <w:sz w:val="24"/>
              </w:rPr>
              <w:t>分值</w:t>
            </w:r>
          </w:p>
        </w:tc>
        <w:tc>
          <w:tcPr>
            <w:tcW w:w="3750" w:type="pct"/>
            <w:vAlign w:val="center"/>
          </w:tcPr>
          <w:p>
            <w:pPr>
              <w:ind w:left="105" w:leftChars="50" w:right="105" w:rightChars="50"/>
              <w:jc w:val="center"/>
              <w:rPr>
                <w:rFonts w:ascii="宋体" w:hAnsi="宋体" w:cs="宋体"/>
                <w:b/>
                <w:sz w:val="24"/>
              </w:rPr>
            </w:pPr>
            <w:r>
              <w:rPr>
                <w:rFonts w:hint="eastAsia" w:ascii="宋体" w:hAnsi="宋体" w:cs="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0" w:hRule="atLeast"/>
          <w:jc w:val="center"/>
        </w:trPr>
        <w:tc>
          <w:tcPr>
            <w:tcW w:w="716" w:type="pct"/>
            <w:vAlign w:val="center"/>
          </w:tcPr>
          <w:p>
            <w:pPr>
              <w:widowControl/>
              <w:adjustRightInd w:val="0"/>
              <w:jc w:val="center"/>
              <w:rPr>
                <w:rFonts w:ascii="宋体" w:hAnsi="宋体"/>
                <w:sz w:val="24"/>
              </w:rPr>
            </w:pPr>
            <w:r>
              <w:rPr>
                <w:rFonts w:hint="eastAsia" w:ascii="宋体" w:hAnsi="宋体"/>
                <w:sz w:val="24"/>
              </w:rPr>
              <w:t>企业资质实力</w:t>
            </w:r>
          </w:p>
        </w:tc>
        <w:tc>
          <w:tcPr>
            <w:tcW w:w="533" w:type="pct"/>
            <w:vAlign w:val="center"/>
          </w:tcPr>
          <w:p>
            <w:pPr>
              <w:widowControl/>
              <w:adjustRightInd w:val="0"/>
              <w:jc w:val="center"/>
              <w:rPr>
                <w:rFonts w:ascii="宋体" w:hAnsi="宋体"/>
                <w:sz w:val="24"/>
              </w:rPr>
            </w:pPr>
            <w:r>
              <w:rPr>
                <w:rFonts w:hint="eastAsia" w:ascii="宋体" w:hAnsi="宋体"/>
                <w:sz w:val="24"/>
              </w:rPr>
              <w:t>10分</w:t>
            </w:r>
          </w:p>
        </w:tc>
        <w:tc>
          <w:tcPr>
            <w:tcW w:w="3750" w:type="pct"/>
            <w:vAlign w:val="center"/>
          </w:tcPr>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供应商应具备优异的的企业资质，有较强的技术实力、产品通过相关认证要求：</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1、具有软件企业鉴定证书，得1分；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2、具有CMMI5级证书，得1分；具有CMMI3级证书，得0.5分；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3、具有信息系统安全等级保护备案证明（三级）证书，得1分；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4、具有省级高新技术企业认证证书，得1分；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5、具有知识产权管理体系认证证书，得1分；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6、提供有效的ISO 27001信息安全管理体系认证，且认证范围为医疗行业的，得1分；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7、提供有效的ISO 9001质量管理体系认证，且认证范围为医疗行业的，得1分；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8、提供有效的信息技术服务管理体系认证证书ISO20000，且认证范围为医疗行业的，得1分；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9、具有CCRC-信息安全服务资质认证证书，得1分；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10、具有五星售后服务认证证书，得1分；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注：提供以上相关证书复印件并加盖公章，没有或未提供证明材料本项不得分。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jc w:val="center"/>
        </w:trPr>
        <w:tc>
          <w:tcPr>
            <w:tcW w:w="716" w:type="pct"/>
            <w:vAlign w:val="center"/>
          </w:tcPr>
          <w:p>
            <w:pPr>
              <w:widowControl/>
              <w:adjustRightInd w:val="0"/>
              <w:jc w:val="center"/>
              <w:rPr>
                <w:rFonts w:ascii="宋体" w:hAnsi="宋体"/>
                <w:sz w:val="24"/>
              </w:rPr>
            </w:pPr>
            <w:r>
              <w:rPr>
                <w:rFonts w:hint="eastAsia" w:ascii="宋体" w:hAnsi="宋体"/>
                <w:sz w:val="24"/>
              </w:rPr>
              <w:t>企业技术实力</w:t>
            </w:r>
          </w:p>
        </w:tc>
        <w:tc>
          <w:tcPr>
            <w:tcW w:w="533" w:type="pct"/>
            <w:vAlign w:val="center"/>
          </w:tcPr>
          <w:p>
            <w:pPr>
              <w:widowControl/>
              <w:adjustRightInd w:val="0"/>
              <w:jc w:val="center"/>
              <w:rPr>
                <w:rFonts w:ascii="宋体" w:hAnsi="宋体"/>
                <w:sz w:val="24"/>
              </w:rPr>
            </w:pPr>
            <w:r>
              <w:rPr>
                <w:rFonts w:hint="eastAsia" w:ascii="宋体" w:hAnsi="宋体"/>
                <w:sz w:val="24"/>
              </w:rPr>
              <w:t>5分</w:t>
            </w:r>
          </w:p>
        </w:tc>
        <w:tc>
          <w:tcPr>
            <w:tcW w:w="3750" w:type="pct"/>
            <w:vAlign w:val="center"/>
          </w:tcPr>
          <w:p>
            <w:pPr>
              <w:pStyle w:val="21"/>
              <w:tabs>
                <w:tab w:val="left" w:pos="2020"/>
                <w:tab w:val="center" w:pos="4535"/>
              </w:tabs>
              <w:spacing w:line="360" w:lineRule="exact"/>
              <w:ind w:firstLine="0" w:firstLineChars="0"/>
              <w:outlineLvl w:val="0"/>
              <w:rPr>
                <w:rFonts w:ascii="宋体" w:hAnsi="宋体" w:eastAsia="宋体"/>
                <w:bCs/>
                <w:color w:val="000000"/>
                <w:kern w:val="2"/>
                <w:szCs w:val="24"/>
              </w:rPr>
            </w:pPr>
            <w:r>
              <w:rPr>
                <w:rFonts w:hint="eastAsia" w:ascii="宋体" w:hAnsi="宋体" w:eastAsia="宋体"/>
                <w:bCs/>
                <w:color w:val="000000"/>
                <w:kern w:val="2"/>
                <w:szCs w:val="24"/>
              </w:rPr>
              <w:t>供应商应具备较强的自主研发及技术能力，所提供的技术服务或软件应取得对应的产权，要求：</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rPr>
            </w:pPr>
            <w:r>
              <w:rPr>
                <w:rFonts w:hint="eastAsia" w:ascii="宋体" w:hAnsi="宋体" w:eastAsia="宋体"/>
                <w:bCs/>
                <w:color w:val="000000"/>
                <w:kern w:val="2"/>
                <w:szCs w:val="24"/>
              </w:rPr>
              <w:t>1、提供“体检预约”关键字段的软件著作权证书得1分；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rPr>
            </w:pPr>
            <w:r>
              <w:rPr>
                <w:rFonts w:hint="eastAsia" w:ascii="宋体" w:hAnsi="宋体" w:eastAsia="宋体"/>
                <w:bCs/>
                <w:color w:val="000000"/>
                <w:kern w:val="2"/>
                <w:szCs w:val="24"/>
              </w:rPr>
              <w:t>2、提供“报告查询”关键字段的软件著作权证书得1分；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rPr>
            </w:pPr>
            <w:r>
              <w:rPr>
                <w:rFonts w:hint="eastAsia" w:ascii="宋体" w:hAnsi="宋体" w:eastAsia="宋体"/>
                <w:bCs/>
                <w:color w:val="000000"/>
                <w:kern w:val="2"/>
                <w:szCs w:val="24"/>
              </w:rPr>
              <w:t>3、提供“医疗服务”关键字段的软件著作权证书得1分；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rPr>
            </w:pPr>
            <w:r>
              <w:rPr>
                <w:rFonts w:hint="eastAsia" w:ascii="宋体" w:hAnsi="宋体" w:eastAsia="宋体"/>
                <w:bCs/>
                <w:color w:val="000000"/>
                <w:kern w:val="2"/>
                <w:szCs w:val="24"/>
              </w:rPr>
              <w:t>4、提供“管理后台”关键字段的软件著作权证书得1分；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rPr>
            </w:pPr>
            <w:r>
              <w:rPr>
                <w:rFonts w:hint="eastAsia" w:ascii="宋体" w:hAnsi="宋体" w:eastAsia="宋体"/>
                <w:bCs/>
                <w:color w:val="000000"/>
                <w:kern w:val="2"/>
                <w:szCs w:val="24"/>
              </w:rPr>
              <w:t>5、提供“就诊人员信息管理”关键字段的软件著作权证书得1分；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rPr>
            </w:pPr>
            <w:r>
              <w:rPr>
                <w:rFonts w:hint="eastAsia" w:ascii="宋体" w:hAnsi="宋体" w:eastAsia="宋体"/>
                <w:bCs/>
                <w:color w:val="000000"/>
                <w:kern w:val="2"/>
                <w:szCs w:val="24"/>
                <w:lang w:val="zh-CN"/>
              </w:rPr>
              <w:t>注：提供以上相关证书复印件并加盖公章</w:t>
            </w:r>
            <w:r>
              <w:rPr>
                <w:rFonts w:hint="eastAsia" w:ascii="宋体" w:hAnsi="宋体" w:eastAsia="宋体"/>
                <w:bCs/>
                <w:color w:val="000000"/>
                <w:kern w:val="2"/>
                <w:szCs w:val="24"/>
              </w:rPr>
              <w:t>，没有或未提供证明材料本项不得分。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716" w:type="pct"/>
            <w:tcBorders>
              <w:bottom w:val="single" w:color="auto" w:sz="4" w:space="0"/>
            </w:tcBorders>
            <w:vAlign w:val="center"/>
          </w:tcPr>
          <w:p>
            <w:pPr>
              <w:widowControl/>
              <w:adjustRightInd w:val="0"/>
              <w:jc w:val="center"/>
              <w:rPr>
                <w:rFonts w:ascii="宋体" w:hAnsi="宋体"/>
                <w:sz w:val="24"/>
                <w:lang w:val="zh-CN"/>
              </w:rPr>
            </w:pPr>
            <w:r>
              <w:rPr>
                <w:rFonts w:hint="eastAsia" w:ascii="宋体" w:hAnsi="宋体"/>
                <w:sz w:val="24"/>
                <w:lang w:val="zh-CN"/>
              </w:rPr>
              <w:t>类似业绩</w:t>
            </w:r>
          </w:p>
        </w:tc>
        <w:tc>
          <w:tcPr>
            <w:tcW w:w="533" w:type="pct"/>
            <w:tcBorders>
              <w:bottom w:val="single" w:color="auto" w:sz="4" w:space="0"/>
            </w:tcBorders>
            <w:vAlign w:val="center"/>
          </w:tcPr>
          <w:p>
            <w:pPr>
              <w:widowControl/>
              <w:adjustRightInd w:val="0"/>
              <w:jc w:val="center"/>
              <w:rPr>
                <w:rFonts w:ascii="宋体" w:hAnsi="宋体"/>
                <w:sz w:val="24"/>
              </w:rPr>
            </w:pPr>
            <w:r>
              <w:rPr>
                <w:rFonts w:hint="eastAsia" w:ascii="宋体" w:hAnsi="宋体"/>
                <w:sz w:val="24"/>
              </w:rPr>
              <w:t>5分</w:t>
            </w:r>
          </w:p>
        </w:tc>
        <w:tc>
          <w:tcPr>
            <w:tcW w:w="3750" w:type="pct"/>
            <w:tcBorders>
              <w:bottom w:val="single" w:color="auto" w:sz="4" w:space="0"/>
            </w:tcBorders>
            <w:vAlign w:val="center"/>
          </w:tcPr>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1、供应商在江苏省内建设微信公众号智慧医院合作案例，每家得1分，最多得5分。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注：证明材料须提供合作协议，提供关键页复印件并加盖公章。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716" w:type="pct"/>
            <w:vAlign w:val="center"/>
          </w:tcPr>
          <w:p>
            <w:pPr>
              <w:widowControl/>
              <w:adjustRightInd w:val="0"/>
              <w:jc w:val="center"/>
              <w:rPr>
                <w:rFonts w:ascii="宋体" w:hAnsi="宋体"/>
                <w:sz w:val="24"/>
              </w:rPr>
            </w:pPr>
            <w:r>
              <w:rPr>
                <w:rFonts w:hint="eastAsia" w:ascii="宋体" w:hAnsi="宋体"/>
                <w:sz w:val="24"/>
              </w:rPr>
              <w:t>产品技术指标</w:t>
            </w:r>
          </w:p>
        </w:tc>
        <w:tc>
          <w:tcPr>
            <w:tcW w:w="533" w:type="pct"/>
            <w:vAlign w:val="center"/>
          </w:tcPr>
          <w:p>
            <w:pPr>
              <w:widowControl/>
              <w:adjustRightInd w:val="0"/>
              <w:jc w:val="center"/>
              <w:rPr>
                <w:rFonts w:ascii="宋体" w:hAnsi="宋体"/>
                <w:sz w:val="24"/>
              </w:rPr>
            </w:pPr>
            <w:r>
              <w:rPr>
                <w:rFonts w:hint="eastAsia" w:ascii="宋体" w:hAnsi="宋体"/>
                <w:sz w:val="24"/>
              </w:rPr>
              <w:t>15分</w:t>
            </w:r>
          </w:p>
        </w:tc>
        <w:tc>
          <w:tcPr>
            <w:tcW w:w="3750" w:type="pct"/>
            <w:vAlign w:val="center"/>
          </w:tcPr>
          <w:p>
            <w:pPr>
              <w:pStyle w:val="21"/>
              <w:tabs>
                <w:tab w:val="left" w:pos="2020"/>
                <w:tab w:val="center" w:pos="4535"/>
              </w:tabs>
              <w:spacing w:line="360" w:lineRule="exact"/>
              <w:ind w:firstLine="0" w:firstLineChars="0"/>
              <w:outlineLvl w:val="0"/>
              <w:rPr>
                <w:rFonts w:ascii="宋体" w:hAnsi="宋体" w:eastAsia="宋体"/>
                <w:bCs/>
                <w:color w:val="000000"/>
                <w:kern w:val="2"/>
                <w:szCs w:val="24"/>
                <w:lang w:eastAsia="zh-Hans"/>
              </w:rPr>
            </w:pPr>
            <w:r>
              <w:rPr>
                <w:rFonts w:hint="eastAsia" w:ascii="宋体" w:hAnsi="宋体" w:eastAsia="宋体"/>
                <w:bCs/>
                <w:color w:val="000000"/>
                <w:kern w:val="2"/>
                <w:szCs w:val="24"/>
              </w:rPr>
              <w:t>供应商</w:t>
            </w:r>
            <w:r>
              <w:rPr>
                <w:rFonts w:hint="eastAsia" w:ascii="宋体" w:hAnsi="宋体" w:eastAsia="宋体"/>
                <w:bCs/>
                <w:color w:val="000000"/>
                <w:kern w:val="2"/>
                <w:szCs w:val="24"/>
                <w:lang w:eastAsia="zh-Hans"/>
              </w:rPr>
              <w:t>产品应符合采购人具体业务需求：</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eastAsia="zh-Hans"/>
              </w:rPr>
            </w:pPr>
            <w:r>
              <w:rPr>
                <w:rFonts w:hint="eastAsia" w:ascii="宋体" w:hAnsi="宋体" w:eastAsia="宋体"/>
                <w:bCs/>
                <w:color w:val="000000"/>
                <w:kern w:val="2"/>
                <w:szCs w:val="24"/>
                <w:lang w:eastAsia="zh-Hans"/>
              </w:rPr>
              <w:t>1、要求对功能要求中带“★”技术参数要求完全符合，满分5分。与招标文件功能要求中带“★”功能有负偏离的，一项扣1分，扣完5分为止，“★”项须提供产品截图</w:t>
            </w:r>
            <w:r>
              <w:rPr>
                <w:rFonts w:hint="eastAsia" w:ascii="宋体" w:hAnsi="宋体" w:eastAsia="宋体"/>
                <w:bCs/>
                <w:color w:val="000000"/>
                <w:kern w:val="2"/>
                <w:szCs w:val="24"/>
              </w:rPr>
              <w:t>加盖供应商公章</w:t>
            </w:r>
            <w:r>
              <w:rPr>
                <w:rFonts w:hint="eastAsia" w:ascii="宋体" w:hAnsi="宋体" w:eastAsia="宋体"/>
                <w:bCs/>
                <w:color w:val="000000"/>
                <w:kern w:val="2"/>
                <w:szCs w:val="24"/>
                <w:lang w:eastAsia="zh-Hans"/>
              </w:rPr>
              <w:t>。</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eastAsia="zh-Hans"/>
              </w:rPr>
            </w:pPr>
            <w:r>
              <w:rPr>
                <w:rFonts w:hint="eastAsia" w:ascii="宋体" w:hAnsi="宋体" w:eastAsia="宋体"/>
                <w:bCs/>
                <w:color w:val="000000"/>
                <w:kern w:val="2"/>
                <w:szCs w:val="24"/>
                <w:lang w:eastAsia="zh-Hans"/>
              </w:rPr>
              <w:t>2、根据产品的技术先进性、使用便捷性、人性化设计、可维护性等综合评</w:t>
            </w:r>
            <w:r>
              <w:rPr>
                <w:rFonts w:hint="eastAsia" w:ascii="宋体" w:hAnsi="宋体" w:eastAsia="宋体"/>
                <w:bCs/>
                <w:color w:val="000000"/>
                <w:kern w:val="2"/>
                <w:szCs w:val="24"/>
              </w:rPr>
              <w:t>分</w:t>
            </w:r>
            <w:r>
              <w:rPr>
                <w:rFonts w:hint="eastAsia" w:ascii="宋体" w:hAnsi="宋体" w:eastAsia="宋体"/>
                <w:bCs/>
                <w:color w:val="000000"/>
                <w:kern w:val="2"/>
                <w:szCs w:val="24"/>
                <w:lang w:eastAsia="zh-Hans"/>
              </w:rPr>
              <w:t>，最高不超过10分。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jc w:val="center"/>
        </w:trPr>
        <w:tc>
          <w:tcPr>
            <w:tcW w:w="716" w:type="pct"/>
            <w:vAlign w:val="center"/>
          </w:tcPr>
          <w:p>
            <w:pPr>
              <w:widowControl/>
              <w:adjustRightInd w:val="0"/>
              <w:jc w:val="center"/>
              <w:rPr>
                <w:rFonts w:ascii="宋体" w:hAnsi="宋体"/>
                <w:sz w:val="24"/>
                <w:lang w:val="zh-CN"/>
              </w:rPr>
            </w:pPr>
            <w:r>
              <w:rPr>
                <w:rFonts w:hint="eastAsia" w:ascii="宋体" w:hAnsi="宋体"/>
                <w:sz w:val="24"/>
                <w:lang w:val="zh-CN"/>
              </w:rPr>
              <w:t>技术方案</w:t>
            </w:r>
          </w:p>
        </w:tc>
        <w:tc>
          <w:tcPr>
            <w:tcW w:w="533" w:type="pct"/>
            <w:vAlign w:val="center"/>
          </w:tcPr>
          <w:p>
            <w:pPr>
              <w:widowControl/>
              <w:adjustRightInd w:val="0"/>
              <w:jc w:val="center"/>
              <w:rPr>
                <w:rFonts w:ascii="宋体" w:hAnsi="宋体"/>
                <w:sz w:val="24"/>
              </w:rPr>
            </w:pPr>
            <w:r>
              <w:rPr>
                <w:rFonts w:hint="eastAsia" w:ascii="宋体" w:hAnsi="宋体"/>
                <w:sz w:val="24"/>
              </w:rPr>
              <w:t>20分</w:t>
            </w:r>
          </w:p>
        </w:tc>
        <w:tc>
          <w:tcPr>
            <w:tcW w:w="3750" w:type="pct"/>
            <w:vAlign w:val="center"/>
          </w:tcPr>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1、根据供应商技术方案的完整性、可行性、安全性、拓展性等进行综合评分，最高</w:t>
            </w:r>
            <w:r>
              <w:rPr>
                <w:rFonts w:hint="eastAsia" w:ascii="宋体" w:hAnsi="宋体" w:eastAsia="宋体"/>
                <w:bCs/>
                <w:color w:val="000000"/>
                <w:kern w:val="2"/>
                <w:szCs w:val="24"/>
                <w:lang w:eastAsia="zh-Hans"/>
              </w:rPr>
              <w:t>不超过</w:t>
            </w:r>
            <w:r>
              <w:rPr>
                <w:rFonts w:hint="eastAsia" w:ascii="宋体" w:hAnsi="宋体" w:eastAsia="宋体"/>
                <w:bCs/>
                <w:color w:val="000000"/>
                <w:kern w:val="2"/>
                <w:szCs w:val="24"/>
                <w:lang w:val="zh-CN"/>
              </w:rPr>
              <w:t>10分。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2、根据供应商组织实施方案的科学性、合理性、规范性和可操作性（包括但不限于项目实施计划、实施组织与管理、系统运维等内容）进行综合评分，最高不超过5分。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3、根据供应商培训方案的完整性、针对性和可操作性（包括但不限于培训目的、培训对象、培训方式、培训内容等）进行综合评分，最高不超过5分。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jc w:val="center"/>
        </w:trPr>
        <w:tc>
          <w:tcPr>
            <w:tcW w:w="716" w:type="pct"/>
            <w:vAlign w:val="center"/>
          </w:tcPr>
          <w:p>
            <w:pPr>
              <w:widowControl/>
              <w:adjustRightInd w:val="0"/>
              <w:jc w:val="center"/>
              <w:rPr>
                <w:rFonts w:ascii="宋体" w:hAnsi="宋体"/>
                <w:sz w:val="24"/>
                <w:lang w:val="zh-CN"/>
              </w:rPr>
            </w:pPr>
            <w:r>
              <w:rPr>
                <w:rFonts w:hint="eastAsia" w:ascii="宋体" w:hAnsi="宋体"/>
                <w:sz w:val="24"/>
                <w:lang w:val="zh-CN"/>
              </w:rPr>
              <w:t>售后服务</w:t>
            </w:r>
          </w:p>
        </w:tc>
        <w:tc>
          <w:tcPr>
            <w:tcW w:w="533" w:type="pct"/>
            <w:vAlign w:val="center"/>
          </w:tcPr>
          <w:p>
            <w:pPr>
              <w:widowControl/>
              <w:adjustRightInd w:val="0"/>
              <w:jc w:val="center"/>
              <w:rPr>
                <w:rFonts w:ascii="宋体" w:hAnsi="宋体"/>
                <w:sz w:val="24"/>
              </w:rPr>
            </w:pPr>
            <w:r>
              <w:rPr>
                <w:rFonts w:hint="eastAsia" w:ascii="宋体" w:hAnsi="宋体"/>
                <w:sz w:val="24"/>
              </w:rPr>
              <w:t>15分</w:t>
            </w:r>
          </w:p>
        </w:tc>
        <w:tc>
          <w:tcPr>
            <w:tcW w:w="3750" w:type="pct"/>
            <w:vAlign w:val="center"/>
          </w:tcPr>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根据供应商提供的售后服务方案（包括但不限于应急响应时间、服务承诺、维保服务人员及维保内容范围、培训服务等）进行评审：</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 xml:space="preserve">1、售后服务保障科学、合理，售后服务系统完善、针对性强，优于采购需求的得15分； </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 xml:space="preserve">2、售后服务保障科学、合理，售后服务系统完善，满足采购需求的得10分； </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 xml:space="preserve">3、售后服务保障措施、售后服务系统不够具体完善，基本满足采购需求的得5分； </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4、未提供售后服务及应急处理方案不得分。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jc w:val="center"/>
        </w:trPr>
        <w:tc>
          <w:tcPr>
            <w:tcW w:w="716" w:type="pct"/>
            <w:vAlign w:val="center"/>
          </w:tcPr>
          <w:p>
            <w:pPr>
              <w:widowControl/>
              <w:adjustRightInd w:val="0"/>
              <w:jc w:val="center"/>
              <w:rPr>
                <w:rFonts w:ascii="宋体" w:hAnsi="宋体"/>
                <w:sz w:val="24"/>
                <w:lang w:val="zh-CN"/>
              </w:rPr>
            </w:pPr>
            <w:r>
              <w:rPr>
                <w:rFonts w:hint="eastAsia" w:ascii="宋体" w:hAnsi="宋体"/>
                <w:sz w:val="24"/>
                <w:lang w:val="zh-CN"/>
              </w:rPr>
              <w:t>服务团队</w:t>
            </w:r>
          </w:p>
        </w:tc>
        <w:tc>
          <w:tcPr>
            <w:tcW w:w="533" w:type="pct"/>
            <w:vAlign w:val="center"/>
          </w:tcPr>
          <w:p>
            <w:pPr>
              <w:widowControl/>
              <w:adjustRightInd w:val="0"/>
              <w:jc w:val="center"/>
              <w:rPr>
                <w:rFonts w:ascii="宋体" w:hAnsi="宋体"/>
                <w:sz w:val="24"/>
              </w:rPr>
            </w:pPr>
            <w:r>
              <w:rPr>
                <w:rFonts w:hint="eastAsia" w:ascii="宋体" w:hAnsi="宋体"/>
                <w:sz w:val="24"/>
              </w:rPr>
              <w:t>10分</w:t>
            </w:r>
          </w:p>
        </w:tc>
        <w:tc>
          <w:tcPr>
            <w:tcW w:w="3750" w:type="pct"/>
            <w:vAlign w:val="center"/>
          </w:tcPr>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1、提供中级网络工程师资格认证证书：提供1名得1分，最多得2分。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2、提供PMP项目管理专业人士资格认证证书：提供1名得2分，最多得4分。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3、提供中级软件系统集成工程师资格认证证书：提供1名得2分，最多得4分。</w:t>
            </w:r>
          </w:p>
          <w:p>
            <w:pPr>
              <w:pStyle w:val="21"/>
              <w:tabs>
                <w:tab w:val="left" w:pos="2020"/>
                <w:tab w:val="center" w:pos="4535"/>
              </w:tabs>
              <w:spacing w:line="360" w:lineRule="exact"/>
              <w:ind w:firstLine="0" w:firstLineChars="0"/>
              <w:outlineLvl w:val="0"/>
              <w:rPr>
                <w:rFonts w:ascii="宋体" w:hAnsi="宋体" w:eastAsia="宋体"/>
                <w:bCs/>
                <w:color w:val="000000"/>
                <w:kern w:val="2"/>
                <w:szCs w:val="24"/>
                <w:lang w:val="zh-CN"/>
              </w:rPr>
            </w:pPr>
            <w:r>
              <w:rPr>
                <w:rFonts w:hint="eastAsia" w:ascii="宋体" w:hAnsi="宋体" w:eastAsia="宋体"/>
                <w:bCs/>
                <w:color w:val="000000"/>
                <w:kern w:val="2"/>
                <w:szCs w:val="24"/>
                <w:lang w:val="zh-CN"/>
              </w:rPr>
              <w:t>注：提供人员相关证书复印件加盖公章及供应商为该人员缴纳的</w:t>
            </w:r>
            <w:r>
              <w:rPr>
                <w:rFonts w:hint="eastAsia" w:ascii="宋体" w:hAnsi="宋体" w:eastAsia="宋体"/>
                <w:bCs/>
                <w:color w:val="000000"/>
                <w:kern w:val="2"/>
                <w:szCs w:val="24"/>
              </w:rPr>
              <w:t>2023年7月至10月任意一个月的社保缴费记录</w:t>
            </w:r>
            <w:r>
              <w:rPr>
                <w:rFonts w:hint="eastAsia" w:ascii="宋体" w:hAnsi="宋体" w:eastAsia="宋体"/>
                <w:bCs/>
                <w:color w:val="000000"/>
                <w:kern w:val="2"/>
                <w:szCs w:val="24"/>
                <w:lang w:val="zh-CN"/>
              </w:rPr>
              <w:t>，否则不得分。</w:t>
            </w:r>
          </w:p>
        </w:tc>
      </w:tr>
    </w:tbl>
    <w:p>
      <w:pPr>
        <w:snapToGrid w:val="0"/>
        <w:spacing w:line="520" w:lineRule="exact"/>
        <w:outlineLvl w:val="2"/>
        <w:rPr>
          <w:rFonts w:ascii="宋体" w:hAnsi="宋体" w:cs="宋体"/>
          <w:b/>
          <w:sz w:val="24"/>
        </w:rPr>
      </w:pPr>
      <w:r>
        <w:rPr>
          <w:rFonts w:hint="eastAsia" w:ascii="宋体" w:hAnsi="宋体" w:cs="宋体"/>
          <w:b/>
          <w:sz w:val="24"/>
        </w:rPr>
        <w:t>注：①以上所提供材料如为复印件均须加盖供应商公章。</w:t>
      </w:r>
    </w:p>
    <w:p>
      <w:pPr>
        <w:snapToGrid w:val="0"/>
        <w:spacing w:line="520" w:lineRule="exact"/>
        <w:ind w:firstLine="482" w:firstLineChars="200"/>
        <w:outlineLvl w:val="2"/>
        <w:rPr>
          <w:rFonts w:ascii="宋体" w:hAnsi="宋体" w:cs="宋体"/>
          <w:b/>
          <w:color w:val="FF0000"/>
          <w:sz w:val="24"/>
        </w:rPr>
      </w:pPr>
      <w:r>
        <w:rPr>
          <w:rFonts w:hint="eastAsia" w:ascii="宋体" w:hAnsi="宋体" w:cs="宋体"/>
          <w:b/>
          <w:sz w:val="24"/>
        </w:rPr>
        <w:t>②请供应商根据评分标准制作评分索引并放在评审内容的前面，评分索引中应标明每个评分点的页码范围，如投标文件内容顺序混乱，导致评委无法查看，后果自负。</w:t>
      </w:r>
    </w:p>
    <w:p>
      <w:pPr>
        <w:snapToGrid w:val="0"/>
        <w:spacing w:line="520" w:lineRule="exact"/>
        <w:ind w:firstLine="482" w:firstLineChars="200"/>
        <w:outlineLvl w:val="2"/>
        <w:rPr>
          <w:rFonts w:ascii="宋体" w:hAnsi="宋体" w:cs="宋体"/>
          <w:b/>
          <w:sz w:val="24"/>
        </w:rPr>
      </w:pPr>
      <w:r>
        <w:rPr>
          <w:rFonts w:hint="eastAsia" w:ascii="宋体" w:hAnsi="宋体" w:cs="宋体"/>
          <w:b/>
          <w:sz w:val="24"/>
        </w:rPr>
        <w:t xml:space="preserve">③请供应商制作投标文件时保证图片、文字材料的完整、清晰可辨，任何原因导致评委看不清楚或无法查看，后果由供应商自负。 </w:t>
      </w:r>
    </w:p>
    <w:p>
      <w:pPr>
        <w:snapToGrid w:val="0"/>
        <w:spacing w:line="480" w:lineRule="exact"/>
        <w:ind w:firstLine="482" w:firstLineChars="200"/>
        <w:rPr>
          <w:b/>
          <w:kern w:val="0"/>
          <w:sz w:val="24"/>
        </w:rPr>
      </w:pPr>
      <w:r>
        <w:rPr>
          <w:rFonts w:hint="eastAsia" w:ascii="宋体" w:hAnsi="宋体" w:cs="宋体"/>
          <w:b/>
          <w:sz w:val="24"/>
        </w:rPr>
        <w:t>④供应商制作投标文件时所用的所有原件材料均须准备好中标公告结束后5日内被采购人核查，如核查时供应商不能提供相关原件材料作弄虚作假处理，供应商自行承担相应法律后果。</w:t>
      </w:r>
    </w:p>
    <w:p>
      <w:pPr>
        <w:snapToGrid w:val="0"/>
        <w:spacing w:line="480" w:lineRule="exact"/>
        <w:ind w:firstLine="570"/>
        <w:rPr>
          <w:b/>
          <w:kern w:val="0"/>
          <w:sz w:val="24"/>
        </w:rPr>
      </w:pPr>
      <w:r>
        <w:rPr>
          <w:rFonts w:hint="eastAsia"/>
          <w:b/>
          <w:kern w:val="0"/>
          <w:sz w:val="24"/>
        </w:rPr>
        <w:t>（</w:t>
      </w:r>
      <w:r>
        <w:rPr>
          <w:rFonts w:hint="eastAsia"/>
          <w:b/>
          <w:kern w:val="0"/>
          <w:sz w:val="24"/>
          <w:lang w:val="zh-CN"/>
        </w:rPr>
        <w:t>四</w:t>
      </w:r>
      <w:r>
        <w:rPr>
          <w:rFonts w:hint="eastAsia"/>
          <w:b/>
          <w:kern w:val="0"/>
          <w:sz w:val="24"/>
        </w:rPr>
        <w:t>）价格分：20</w:t>
      </w:r>
      <w:r>
        <w:rPr>
          <w:rFonts w:hint="eastAsia"/>
          <w:b/>
          <w:kern w:val="0"/>
          <w:sz w:val="24"/>
          <w:lang w:val="zh-CN"/>
        </w:rPr>
        <w:t>分</w:t>
      </w:r>
    </w:p>
    <w:p>
      <w:pPr>
        <w:autoSpaceDE w:val="0"/>
        <w:autoSpaceDN w:val="0"/>
        <w:adjustRightInd w:val="0"/>
        <w:snapToGrid w:val="0"/>
        <w:spacing w:line="480" w:lineRule="exact"/>
        <w:ind w:firstLine="480" w:firstLineChars="200"/>
        <w:rPr>
          <w:sz w:val="24"/>
        </w:rPr>
      </w:pPr>
      <w:r>
        <w:rPr>
          <w:rFonts w:hint="eastAsia"/>
          <w:sz w:val="24"/>
        </w:rPr>
        <w:t>本项目最高限价：10万元，超过限价作无效响应处理。</w:t>
      </w:r>
    </w:p>
    <w:p>
      <w:pPr>
        <w:autoSpaceDE w:val="0"/>
        <w:autoSpaceDN w:val="0"/>
        <w:adjustRightInd w:val="0"/>
        <w:snapToGrid w:val="0"/>
        <w:spacing w:line="480" w:lineRule="exact"/>
        <w:ind w:firstLine="480" w:firstLineChars="200"/>
        <w:rPr>
          <w:sz w:val="24"/>
        </w:rPr>
      </w:pPr>
      <w:r>
        <w:rPr>
          <w:sz w:val="24"/>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480" w:lineRule="exact"/>
        <w:ind w:firstLine="480" w:firstLineChars="200"/>
        <w:rPr>
          <w:sz w:val="24"/>
        </w:rPr>
      </w:pPr>
      <w:r>
        <w:rPr>
          <w:sz w:val="24"/>
        </w:rPr>
        <w:t>磋商报价得分=（磋商基准价/最后磋商报价）×价格权值×100</w:t>
      </w:r>
    </w:p>
    <w:p>
      <w:pPr>
        <w:autoSpaceDE w:val="0"/>
        <w:autoSpaceDN w:val="0"/>
        <w:adjustRightInd w:val="0"/>
        <w:snapToGrid w:val="0"/>
        <w:spacing w:line="480" w:lineRule="exact"/>
        <w:ind w:firstLine="480" w:firstLineChars="200"/>
        <w:rPr>
          <w:sz w:val="24"/>
        </w:rPr>
      </w:pPr>
      <w:r>
        <w:rPr>
          <w:sz w:val="24"/>
        </w:rPr>
        <w:t>项目评审过程中，不得去掉最后报价中的最高报价和最低报价。</w:t>
      </w:r>
    </w:p>
    <w:p>
      <w:pPr>
        <w:snapToGrid w:val="0"/>
        <w:spacing w:line="480" w:lineRule="exact"/>
        <w:ind w:firstLine="570"/>
        <w:rPr>
          <w:b/>
          <w:kern w:val="0"/>
          <w:sz w:val="24"/>
        </w:rPr>
      </w:pPr>
      <w:r>
        <w:rPr>
          <w:rFonts w:hint="eastAsia"/>
          <w:b/>
          <w:kern w:val="0"/>
          <w:sz w:val="24"/>
        </w:rPr>
        <w:t>（五）成交供应商的确定</w:t>
      </w:r>
    </w:p>
    <w:p>
      <w:pPr>
        <w:snapToGrid w:val="0"/>
        <w:spacing w:line="480" w:lineRule="exact"/>
        <w:ind w:firstLine="570"/>
        <w:rPr>
          <w:bCs/>
          <w:sz w:val="24"/>
        </w:rPr>
      </w:pPr>
      <w:r>
        <w:rPr>
          <w:rFonts w:hint="eastAsia"/>
          <w:bCs/>
          <w:sz w:val="24"/>
        </w:rPr>
        <w:t>磋商小组认为供应商的报价明显低于其他通过符合性审查供应商的报价，有可能影响产品质量或者不能诚信履约的，应当要求其在合理的时间内提供书面说明，必要时提交相关证明材料；供应商不能证明其报价合理性的，磋商小组应当将其作为无效响应处理。</w:t>
      </w:r>
    </w:p>
    <w:p>
      <w:pPr>
        <w:snapToGrid w:val="0"/>
        <w:spacing w:line="480" w:lineRule="exact"/>
        <w:ind w:firstLine="570"/>
        <w:rPr>
          <w:bCs/>
          <w:sz w:val="24"/>
        </w:rPr>
      </w:pPr>
      <w:r>
        <w:rPr>
          <w:rFonts w:hint="eastAsia"/>
          <w:bCs/>
          <w:sz w:val="24"/>
        </w:rPr>
        <w:t>磋商小组对成交候选人报价总表和分项报价明细表进行审核，应审核供应商报价是否前后一致、大小写金额是否一致、总价金额与单价汇总金额是否一致。对过高过低报价的并作为成交候选人的，应重点审核分项报价明细表是否有重大重复报价或漏项报价等情况，一经发现，现场请成交候选人予以澄清，明显过错或不能澄清的，经超半数以上评委认定，有权取消供应商成交候选人资格。</w:t>
      </w:r>
    </w:p>
    <w:p>
      <w:pPr>
        <w:adjustRightInd w:val="0"/>
        <w:snapToGrid w:val="0"/>
        <w:spacing w:line="500" w:lineRule="exact"/>
        <w:ind w:firstLine="570"/>
        <w:rPr>
          <w:rFonts w:hAnsi="宋体" w:cs="宋体"/>
          <w:bCs/>
          <w:sz w:val="24"/>
        </w:rPr>
      </w:pPr>
      <w:r>
        <w:rPr>
          <w:rFonts w:hint="eastAsia" w:hAnsi="宋体" w:cs="宋体"/>
          <w:bCs/>
          <w:sz w:val="24"/>
        </w:rPr>
        <w:t>磋商小组汇总各评委评分后，按照得分从高到低的顺序推荐三名成交候选人，并编写评审报告。</w:t>
      </w:r>
    </w:p>
    <w:p>
      <w:pPr>
        <w:adjustRightInd w:val="0"/>
        <w:snapToGrid w:val="0"/>
        <w:spacing w:line="500" w:lineRule="exact"/>
        <w:ind w:firstLine="570"/>
        <w:rPr>
          <w:rFonts w:ascii="宋体" w:hAnsi="宋体" w:cs="宋体"/>
          <w:bCs/>
          <w:sz w:val="24"/>
        </w:rPr>
      </w:pPr>
      <w:r>
        <w:rPr>
          <w:rFonts w:hint="eastAsia" w:ascii="宋体" w:hAnsi="宋体" w:cs="宋体"/>
          <w:b/>
          <w:sz w:val="24"/>
        </w:rPr>
        <w:t>采购人委托</w:t>
      </w:r>
      <w:r>
        <w:rPr>
          <w:rFonts w:hint="eastAsia" w:hAnsi="宋体" w:cs="宋体"/>
          <w:b/>
          <w:sz w:val="24"/>
        </w:rPr>
        <w:t>磋商小组</w:t>
      </w:r>
      <w:r>
        <w:rPr>
          <w:rFonts w:hint="eastAsia" w:hAnsi="宋体" w:cs="宋体"/>
          <w:bCs/>
          <w:sz w:val="24"/>
        </w:rPr>
        <w:t>直接确定排名第一的成交候选人为成交供应商。成交</w:t>
      </w:r>
      <w:r>
        <w:rPr>
          <w:rFonts w:hint="eastAsia" w:ascii="宋体" w:hAnsi="宋体" w:cs="宋体"/>
          <w:bCs/>
          <w:sz w:val="24"/>
        </w:rPr>
        <w:t>候选人并列的，由采购人或者采购人委托磋商小组按照现场抽签方式确定</w:t>
      </w:r>
      <w:r>
        <w:rPr>
          <w:rFonts w:hint="eastAsia" w:hAnsi="宋体" w:cs="宋体"/>
          <w:bCs/>
          <w:sz w:val="24"/>
        </w:rPr>
        <w:t>成交</w:t>
      </w:r>
      <w:r>
        <w:rPr>
          <w:rFonts w:hint="eastAsia" w:ascii="宋体" w:hAnsi="宋体" w:cs="宋体"/>
          <w:bCs/>
          <w:sz w:val="24"/>
        </w:rPr>
        <w:t>人。</w:t>
      </w:r>
    </w:p>
    <w:p>
      <w:pPr>
        <w:snapToGrid w:val="0"/>
        <w:spacing w:line="480" w:lineRule="exact"/>
        <w:ind w:firstLine="570"/>
        <w:rPr>
          <w:b/>
          <w:kern w:val="0"/>
          <w:sz w:val="24"/>
        </w:rPr>
      </w:pPr>
      <w:r>
        <w:rPr>
          <w:rFonts w:hint="eastAsia"/>
          <w:b/>
          <w:kern w:val="0"/>
          <w:sz w:val="24"/>
        </w:rPr>
        <w:t>（六）</w:t>
      </w:r>
      <w:r>
        <w:rPr>
          <w:b/>
          <w:kern w:val="0"/>
          <w:sz w:val="24"/>
        </w:rPr>
        <w:t>采购代理机构</w:t>
      </w:r>
      <w:r>
        <w:rPr>
          <w:rFonts w:hint="eastAsia"/>
          <w:b/>
          <w:kern w:val="0"/>
          <w:sz w:val="24"/>
        </w:rPr>
        <w:t>宣布评审结果。</w:t>
      </w:r>
    </w:p>
    <w:p>
      <w:pPr>
        <w:snapToGrid w:val="0"/>
        <w:spacing w:line="480" w:lineRule="exact"/>
        <w:ind w:firstLine="570"/>
        <w:rPr>
          <w:b/>
          <w:kern w:val="0"/>
          <w:sz w:val="24"/>
        </w:rPr>
      </w:pPr>
      <w:r>
        <w:rPr>
          <w:rFonts w:hint="eastAsia"/>
          <w:b/>
          <w:kern w:val="0"/>
          <w:sz w:val="24"/>
        </w:rPr>
        <w:t>（七）公告成交结果</w:t>
      </w:r>
    </w:p>
    <w:p>
      <w:pPr>
        <w:adjustRightInd w:val="0"/>
        <w:snapToGrid w:val="0"/>
        <w:spacing w:line="500" w:lineRule="exact"/>
        <w:ind w:firstLine="570"/>
        <w:rPr>
          <w:rFonts w:eastAsia="方正仿宋_GBK"/>
          <w:sz w:val="28"/>
          <w:szCs w:val="28"/>
        </w:rPr>
      </w:pPr>
      <w:r>
        <w:rPr>
          <w:rFonts w:hint="eastAsia" w:hAnsi="宋体" w:cs="宋体"/>
          <w:bCs/>
          <w:sz w:val="24"/>
        </w:rPr>
        <w:t>自确定成交供应商之日起2个工作日内，在南通市卫生健康委员会官网（http://wjw.nantong.gov.cn）和南通市妇幼保健院官网（http://www.ntfybj.com）公告成交结果，公告期限为1个工作日。</w:t>
      </w:r>
    </w:p>
    <w:p>
      <w:pPr>
        <w:snapToGrid w:val="0"/>
        <w:spacing w:line="480" w:lineRule="exact"/>
        <w:ind w:firstLine="570"/>
        <w:rPr>
          <w:b/>
          <w:kern w:val="0"/>
          <w:sz w:val="24"/>
        </w:rPr>
      </w:pPr>
      <w:r>
        <w:rPr>
          <w:rFonts w:hint="eastAsia"/>
          <w:b/>
          <w:kern w:val="0"/>
          <w:sz w:val="24"/>
        </w:rPr>
        <w:t>（八）发放成交通知书</w:t>
      </w:r>
    </w:p>
    <w:p>
      <w:pPr>
        <w:snapToGrid w:val="0"/>
        <w:spacing w:line="480" w:lineRule="exact"/>
        <w:ind w:firstLine="480" w:firstLineChars="200"/>
        <w:contextualSpacing/>
        <w:rPr>
          <w:rFonts w:ascii="宋体" w:hAnsi="宋体" w:cs="宋体"/>
          <w:sz w:val="24"/>
          <w:u w:val="single"/>
        </w:rPr>
      </w:pPr>
      <w:r>
        <w:rPr>
          <w:rFonts w:hint="eastAsia" w:hAnsi="宋体" w:cs="宋体"/>
          <w:sz w:val="24"/>
        </w:rPr>
        <w:t>成交</w:t>
      </w:r>
      <w:r>
        <w:rPr>
          <w:rFonts w:hint="eastAsia" w:ascii="宋体" w:hAnsi="宋体" w:cs="宋体"/>
          <w:sz w:val="24"/>
        </w:rPr>
        <w:t>通知书发放条件和途径</w:t>
      </w:r>
      <w:r>
        <w:rPr>
          <w:rFonts w:hint="eastAsia" w:hAnsi="宋体" w:cs="宋体"/>
          <w:sz w:val="24"/>
        </w:rPr>
        <w:t>，成交</w:t>
      </w:r>
      <w:r>
        <w:rPr>
          <w:rFonts w:hint="eastAsia" w:ascii="宋体" w:hAnsi="宋体" w:cs="宋体"/>
          <w:sz w:val="24"/>
        </w:rPr>
        <w:t>结果公告公示期结束后，供应商可至代理单位领取</w:t>
      </w:r>
      <w:r>
        <w:rPr>
          <w:rFonts w:hint="eastAsia" w:hAnsi="宋体" w:cs="宋体"/>
          <w:sz w:val="24"/>
        </w:rPr>
        <w:t>成交</w:t>
      </w:r>
      <w:r>
        <w:rPr>
          <w:rFonts w:hint="eastAsia" w:ascii="宋体" w:hAnsi="宋体" w:cs="宋体"/>
          <w:sz w:val="24"/>
        </w:rPr>
        <w:t>通知书。领取地址：</w:t>
      </w:r>
      <w:r>
        <w:rPr>
          <w:rFonts w:hint="eastAsia"/>
          <w:sz w:val="24"/>
          <w:u w:val="single"/>
        </w:rPr>
        <w:t>南通市世纪大道恒隆国际大厦A座701室</w:t>
      </w:r>
      <w:r>
        <w:rPr>
          <w:sz w:val="24"/>
          <w:u w:val="single"/>
        </w:rPr>
        <w:t xml:space="preserve"> </w:t>
      </w:r>
      <w:r>
        <w:rPr>
          <w:sz w:val="24"/>
        </w:rPr>
        <w:t>，电话：</w:t>
      </w:r>
      <w:r>
        <w:rPr>
          <w:rFonts w:hint="eastAsia"/>
          <w:sz w:val="24"/>
          <w:u w:val="single"/>
        </w:rPr>
        <w:t>13515206113</w:t>
      </w:r>
      <w:r>
        <w:rPr>
          <w:rFonts w:hint="eastAsia" w:ascii="宋体" w:hAnsi="宋体" w:cs="宋体"/>
          <w:sz w:val="24"/>
          <w:u w:val="single"/>
        </w:rPr>
        <w:t>。</w:t>
      </w:r>
    </w:p>
    <w:p>
      <w:pPr>
        <w:adjustRightInd w:val="0"/>
        <w:snapToGrid w:val="0"/>
        <w:spacing w:line="500" w:lineRule="exact"/>
        <w:ind w:firstLine="570"/>
        <w:rPr>
          <w:rFonts w:hAnsi="宋体" w:cs="宋体"/>
          <w:bCs/>
          <w:sz w:val="24"/>
        </w:rPr>
      </w:pPr>
      <w:r>
        <w:rPr>
          <w:rFonts w:hint="eastAsia" w:hAnsi="宋体" w:cs="宋体"/>
          <w:bCs/>
          <w:sz w:val="24"/>
        </w:rPr>
        <w:t>成交通知书发出后，采购人不得违法改变成交结果，成交供应商无正当理由不得放弃成交。</w:t>
      </w:r>
    </w:p>
    <w:p>
      <w:pPr>
        <w:snapToGrid w:val="0"/>
        <w:spacing w:line="480" w:lineRule="exact"/>
        <w:ind w:firstLine="570"/>
        <w:rPr>
          <w:b/>
          <w:kern w:val="0"/>
          <w:sz w:val="24"/>
        </w:rPr>
      </w:pPr>
      <w:r>
        <w:rPr>
          <w:rFonts w:hint="eastAsia"/>
          <w:b/>
          <w:kern w:val="0"/>
          <w:sz w:val="24"/>
        </w:rPr>
        <w:t>八、其他注意事项</w:t>
      </w:r>
    </w:p>
    <w:p>
      <w:pPr>
        <w:snapToGrid w:val="0"/>
        <w:spacing w:line="480" w:lineRule="exact"/>
        <w:ind w:firstLine="480" w:firstLineChars="200"/>
        <w:rPr>
          <w:sz w:val="24"/>
        </w:rPr>
      </w:pPr>
      <w:r>
        <w:rPr>
          <w:rFonts w:hint="eastAsia"/>
          <w:sz w:val="24"/>
        </w:rPr>
        <w:t>1、</w:t>
      </w:r>
      <w:r>
        <w:rPr>
          <w:sz w:val="24"/>
        </w:rPr>
        <w:t>在</w:t>
      </w:r>
      <w:r>
        <w:rPr>
          <w:rFonts w:hint="eastAsia"/>
          <w:sz w:val="24"/>
        </w:rPr>
        <w:t>磋商</w:t>
      </w:r>
      <w:r>
        <w:rPr>
          <w:sz w:val="24"/>
        </w:rPr>
        <w:t>响应、</w:t>
      </w:r>
      <w:r>
        <w:rPr>
          <w:rFonts w:hint="eastAsia"/>
          <w:sz w:val="24"/>
        </w:rPr>
        <w:t>评审</w:t>
      </w:r>
      <w:r>
        <w:rPr>
          <w:sz w:val="24"/>
        </w:rPr>
        <w:t>时间，供应商不得向</w:t>
      </w:r>
      <w:r>
        <w:rPr>
          <w:rFonts w:hint="eastAsia"/>
          <w:sz w:val="24"/>
        </w:rPr>
        <w:t>磋商小组</w:t>
      </w:r>
      <w:r>
        <w:rPr>
          <w:sz w:val="24"/>
        </w:rPr>
        <w:t>询问情况，不得进行旨在影响</w:t>
      </w:r>
      <w:r>
        <w:rPr>
          <w:rFonts w:hint="eastAsia"/>
          <w:sz w:val="24"/>
        </w:rPr>
        <w:t>评审</w:t>
      </w:r>
      <w:r>
        <w:rPr>
          <w:sz w:val="24"/>
        </w:rPr>
        <w:t>结果的活动。</w:t>
      </w:r>
    </w:p>
    <w:p>
      <w:pPr>
        <w:snapToGrid w:val="0"/>
        <w:spacing w:line="480" w:lineRule="exact"/>
        <w:ind w:firstLine="480" w:firstLineChars="200"/>
        <w:rPr>
          <w:sz w:val="24"/>
        </w:rPr>
      </w:pPr>
      <w:r>
        <w:rPr>
          <w:rFonts w:hint="eastAsia"/>
          <w:sz w:val="24"/>
        </w:rPr>
        <w:t>2、磋商小组不得向供应商解释落标原因。</w:t>
      </w:r>
    </w:p>
    <w:p>
      <w:pPr>
        <w:snapToGrid w:val="0"/>
        <w:spacing w:line="480" w:lineRule="exact"/>
        <w:ind w:firstLine="480" w:firstLineChars="200"/>
        <w:rPr>
          <w:sz w:val="24"/>
        </w:rPr>
      </w:pPr>
      <w:r>
        <w:rPr>
          <w:sz w:val="24"/>
        </w:rPr>
        <w:t>3、在</w:t>
      </w:r>
      <w:r>
        <w:rPr>
          <w:rFonts w:hint="eastAsia"/>
          <w:sz w:val="24"/>
        </w:rPr>
        <w:t>磋商</w:t>
      </w:r>
      <w:r>
        <w:rPr>
          <w:sz w:val="24"/>
        </w:rPr>
        <w:t>响应、</w:t>
      </w:r>
      <w:r>
        <w:rPr>
          <w:rFonts w:hint="eastAsia"/>
          <w:sz w:val="24"/>
        </w:rPr>
        <w:t>评审</w:t>
      </w:r>
      <w:r>
        <w:rPr>
          <w:sz w:val="24"/>
        </w:rPr>
        <w:t>过程中，如果供应商联合故意抬高报价或出现其他不正当行为，采购人有权中止</w:t>
      </w:r>
      <w:r>
        <w:rPr>
          <w:rFonts w:hint="eastAsia"/>
          <w:sz w:val="24"/>
        </w:rPr>
        <w:t>磋商</w:t>
      </w:r>
      <w:r>
        <w:rPr>
          <w:sz w:val="24"/>
        </w:rPr>
        <w:t>或评</w:t>
      </w:r>
      <w:r>
        <w:rPr>
          <w:rFonts w:hint="eastAsia"/>
          <w:sz w:val="24"/>
        </w:rPr>
        <w:t>审</w:t>
      </w:r>
      <w:r>
        <w:rPr>
          <w:sz w:val="24"/>
        </w:rPr>
        <w:t>。</w:t>
      </w:r>
    </w:p>
    <w:p>
      <w:pPr>
        <w:snapToGrid w:val="0"/>
        <w:spacing w:line="480" w:lineRule="exact"/>
        <w:ind w:firstLine="480" w:firstLineChars="200"/>
        <w:rPr>
          <w:sz w:val="24"/>
        </w:rPr>
      </w:pPr>
      <w:r>
        <w:rPr>
          <w:rFonts w:hint="eastAsia"/>
          <w:sz w:val="24"/>
        </w:rPr>
        <w:t>4</w:t>
      </w:r>
      <w:r>
        <w:rPr>
          <w:sz w:val="24"/>
        </w:rPr>
        <w:t>、凡在</w:t>
      </w:r>
      <w:r>
        <w:rPr>
          <w:rFonts w:hint="eastAsia"/>
          <w:sz w:val="24"/>
        </w:rPr>
        <w:t>磋商</w:t>
      </w:r>
      <w:r>
        <w:rPr>
          <w:sz w:val="24"/>
        </w:rPr>
        <w:t>响应、</w:t>
      </w:r>
      <w:r>
        <w:rPr>
          <w:rFonts w:hint="eastAsia"/>
          <w:sz w:val="24"/>
        </w:rPr>
        <w:t>评审</w:t>
      </w:r>
      <w:r>
        <w:rPr>
          <w:sz w:val="24"/>
        </w:rPr>
        <w:t>过程中，已提示是否异议的事项，供应商当时没有提出异议的，事后不得针对上述事项提出质疑。</w:t>
      </w:r>
    </w:p>
    <w:p>
      <w:pPr>
        <w:snapToGrid w:val="0"/>
        <w:spacing w:line="480" w:lineRule="exact"/>
        <w:ind w:firstLine="570"/>
        <w:rPr>
          <w:sz w:val="24"/>
          <w:highlight w:val="yellow"/>
        </w:rPr>
      </w:pPr>
    </w:p>
    <w:p>
      <w:pPr>
        <w:snapToGrid w:val="0"/>
        <w:spacing w:line="300" w:lineRule="auto"/>
        <w:jc w:val="center"/>
        <w:outlineLvl w:val="0"/>
        <w:rPr>
          <w:rFonts w:ascii="仿宋_GB2312" w:hAnsi="宋体" w:eastAsia="仿宋_GB2312"/>
          <w:b/>
          <w:sz w:val="36"/>
          <w:szCs w:val="36"/>
        </w:rPr>
        <w:sectPr>
          <w:footerReference r:id="rId5" w:type="default"/>
          <w:pgSz w:w="11907" w:h="16839"/>
          <w:pgMar w:top="1418" w:right="1588" w:bottom="1418" w:left="1588" w:header="851" w:footer="851" w:gutter="0"/>
          <w:cols w:space="720" w:num="1"/>
          <w:docGrid w:linePitch="286" w:charSpace="0"/>
        </w:sectPr>
      </w:pPr>
    </w:p>
    <w:p>
      <w:pPr>
        <w:snapToGrid w:val="0"/>
        <w:spacing w:line="300" w:lineRule="auto"/>
        <w:jc w:val="center"/>
        <w:outlineLvl w:val="0"/>
        <w:rPr>
          <w:rFonts w:ascii="仿宋_GB2312" w:hAnsi="宋体" w:eastAsia="仿宋_GB2312"/>
          <w:b/>
          <w:sz w:val="36"/>
          <w:szCs w:val="36"/>
        </w:rPr>
      </w:pPr>
      <w:r>
        <w:rPr>
          <w:rFonts w:hint="eastAsia" w:ascii="仿宋_GB2312" w:hAnsi="宋体" w:eastAsia="仿宋_GB2312"/>
          <w:b/>
          <w:sz w:val="36"/>
          <w:szCs w:val="36"/>
        </w:rPr>
        <w:t>第五部分  合同签订与验收付款</w:t>
      </w:r>
    </w:p>
    <w:p>
      <w:pPr>
        <w:snapToGrid w:val="0"/>
        <w:spacing w:line="480" w:lineRule="exact"/>
        <w:ind w:firstLine="480" w:firstLineChars="200"/>
        <w:rPr>
          <w:sz w:val="24"/>
          <w:lang w:val="zh-CN"/>
        </w:rPr>
      </w:pPr>
      <w:r>
        <w:rPr>
          <w:sz w:val="24"/>
          <w:lang w:val="zh-CN"/>
        </w:rPr>
        <w:t>一、</w:t>
      </w:r>
      <w:r>
        <w:rPr>
          <w:b/>
          <w:bCs/>
          <w:sz w:val="24"/>
          <w:lang w:val="zh-CN"/>
        </w:rPr>
        <w:t>成交供应商和采购单位</w:t>
      </w:r>
      <w:r>
        <w:rPr>
          <w:rFonts w:hint="eastAsia" w:ascii="宋体" w:hAnsi="宋体"/>
          <w:b/>
          <w:bCs/>
          <w:sz w:val="24"/>
        </w:rPr>
        <w:t>需在</w:t>
      </w:r>
      <w:r>
        <w:rPr>
          <w:b/>
          <w:bCs/>
          <w:sz w:val="24"/>
          <w:lang w:val="zh-CN"/>
        </w:rPr>
        <w:t>《成交通知书》</w:t>
      </w:r>
      <w:r>
        <w:rPr>
          <w:rFonts w:hint="eastAsia"/>
          <w:b/>
          <w:bCs/>
          <w:sz w:val="24"/>
        </w:rPr>
        <w:t>发出之日起30日内</w:t>
      </w:r>
      <w:r>
        <w:rPr>
          <w:rFonts w:hint="eastAsia" w:ascii="宋体" w:hAnsi="宋体"/>
          <w:b/>
          <w:bCs/>
          <w:sz w:val="24"/>
        </w:rPr>
        <w:t>签订合同</w:t>
      </w:r>
      <w:r>
        <w:rPr>
          <w:b/>
          <w:bCs/>
          <w:sz w:val="24"/>
          <w:lang w:val="zh-CN"/>
        </w:rPr>
        <w:t>。</w:t>
      </w:r>
      <w:r>
        <w:rPr>
          <w:sz w:val="24"/>
          <w:lang w:val="zh-CN"/>
        </w:rPr>
        <w:t>合同签订后成交供应商方可履约，否则引起的一切后果由成交人自行承担。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2" w:firstLineChars="200"/>
        <w:rPr>
          <w:sz w:val="24"/>
        </w:rPr>
      </w:pPr>
      <w:r>
        <w:rPr>
          <w:b/>
          <w:sz w:val="24"/>
        </w:rPr>
        <w:t>二</w:t>
      </w:r>
      <w:r>
        <w:rPr>
          <w:sz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sz w:val="24"/>
        </w:rPr>
      </w:pPr>
      <w:r>
        <w:rPr>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sz w:val="24"/>
        </w:rPr>
      </w:pPr>
      <w:r>
        <w:rPr>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6"/>
        <w:kinsoku w:val="0"/>
        <w:topLinePunct/>
        <w:autoSpaceDE w:val="0"/>
        <w:autoSpaceDN w:val="0"/>
        <w:snapToGrid w:val="0"/>
        <w:spacing w:line="480" w:lineRule="exact"/>
        <w:ind w:right="210" w:firstLine="513" w:firstLineChars="214"/>
        <w:contextualSpacing/>
        <w:rPr>
          <w:b/>
          <w:sz w:val="24"/>
          <w:szCs w:val="24"/>
        </w:rPr>
      </w:pPr>
      <w:r>
        <w:rPr>
          <w:sz w:val="24"/>
          <w:szCs w:val="24"/>
          <w:lang w:val="zh-CN"/>
        </w:rPr>
        <w:t>五、</w:t>
      </w:r>
      <w:r>
        <w:rPr>
          <w:bCs/>
          <w:sz w:val="24"/>
          <w:szCs w:val="24"/>
        </w:rPr>
        <w:t>不响应付款方式的，视同响应文件无效处理。</w:t>
      </w:r>
      <w:r>
        <w:rPr>
          <w:rFonts w:hint="eastAsia"/>
          <w:bCs/>
          <w:sz w:val="24"/>
        </w:rPr>
        <w:t>实际付款方式以最终签订采购合同为准。</w:t>
      </w:r>
    </w:p>
    <w:p>
      <w:pPr>
        <w:pStyle w:val="6"/>
        <w:kinsoku w:val="0"/>
        <w:topLinePunct/>
        <w:autoSpaceDE w:val="0"/>
        <w:autoSpaceDN w:val="0"/>
        <w:snapToGrid w:val="0"/>
        <w:spacing w:line="480" w:lineRule="exact"/>
        <w:ind w:right="210" w:firstLine="513" w:firstLineChars="214"/>
        <w:contextualSpacing/>
        <w:rPr>
          <w:sz w:val="24"/>
          <w:szCs w:val="24"/>
        </w:rPr>
      </w:pPr>
      <w:r>
        <w:rPr>
          <w:rFonts w:hint="eastAsia"/>
          <w:sz w:val="24"/>
          <w:szCs w:val="24"/>
        </w:rPr>
        <w:t>六、合同主要条款</w:t>
      </w:r>
    </w:p>
    <w:p>
      <w:pPr>
        <w:pStyle w:val="6"/>
        <w:kinsoku w:val="0"/>
        <w:topLinePunct/>
        <w:autoSpaceDE w:val="0"/>
        <w:autoSpaceDN w:val="0"/>
        <w:snapToGrid w:val="0"/>
        <w:spacing w:line="480" w:lineRule="exact"/>
        <w:ind w:right="210" w:firstLine="599" w:firstLineChars="214"/>
        <w:contextualSpacing/>
        <w:rPr>
          <w:rFonts w:ascii="仿宋_GB2312" w:eastAsia="仿宋_GB2312"/>
          <w:sz w:val="28"/>
          <w:szCs w:val="28"/>
          <w:lang w:val="zh-CN"/>
        </w:rPr>
      </w:pPr>
    </w:p>
    <w:p>
      <w:pPr>
        <w:tabs>
          <w:tab w:val="left" w:pos="1050"/>
          <w:tab w:val="right" w:leader="dot" w:pos="9402"/>
        </w:tabs>
        <w:spacing w:before="120" w:beforeLines="50" w:after="120" w:afterLines="50" w:line="520" w:lineRule="exact"/>
        <w:jc w:val="center"/>
        <w:rPr>
          <w:rFonts w:cs="宋体"/>
          <w:b/>
          <w:bCs/>
          <w:w w:val="80"/>
          <w:sz w:val="36"/>
          <w:szCs w:val="36"/>
          <w:highlight w:val="yellow"/>
        </w:rPr>
      </w:pPr>
      <w:r>
        <w:rPr>
          <w:b/>
          <w:bCs/>
          <w:w w:val="80"/>
          <w:sz w:val="36"/>
          <w:szCs w:val="36"/>
        </w:rPr>
        <w:br w:type="page"/>
      </w:r>
      <w:r>
        <w:rPr>
          <w:rFonts w:hint="eastAsia" w:cs="宋体"/>
          <w:b/>
          <w:bCs/>
          <w:sz w:val="32"/>
          <w:szCs w:val="32"/>
        </w:rPr>
        <w:t>合同主要条款</w:t>
      </w:r>
    </w:p>
    <w:p>
      <w:pPr>
        <w:adjustRightInd w:val="0"/>
        <w:spacing w:line="360" w:lineRule="auto"/>
        <w:textAlignment w:val="baseline"/>
        <w:rPr>
          <w:rFonts w:ascii="宋体" w:hAnsi="宋体" w:cs="Arial"/>
          <w:highlight w:val="yellow"/>
        </w:rPr>
      </w:pPr>
    </w:p>
    <w:p>
      <w:pPr>
        <w:spacing w:line="360" w:lineRule="auto"/>
        <w:rPr>
          <w:rFonts w:ascii="宋体" w:hAnsi="宋体" w:cs="宋体"/>
          <w:sz w:val="24"/>
        </w:rPr>
      </w:pPr>
      <w:r>
        <w:rPr>
          <w:rFonts w:hint="eastAsia" w:ascii="宋体" w:hAnsi="宋体" w:cs="宋体"/>
          <w:sz w:val="24"/>
        </w:rPr>
        <w:t xml:space="preserve">采购单位（或称甲方）：                      </w:t>
      </w:r>
    </w:p>
    <w:p>
      <w:pPr>
        <w:spacing w:line="360" w:lineRule="auto"/>
        <w:rPr>
          <w:rFonts w:ascii="宋体" w:hAnsi="宋体" w:cs="宋体"/>
          <w:sz w:val="24"/>
        </w:rPr>
      </w:pPr>
      <w:r>
        <w:rPr>
          <w:rFonts w:hint="eastAsia" w:ascii="宋体" w:hAnsi="宋体" w:cs="宋体"/>
          <w:sz w:val="24"/>
        </w:rPr>
        <w:t xml:space="preserve">成交供应商（或称乙方）：                      </w:t>
      </w:r>
    </w:p>
    <w:p>
      <w:pPr>
        <w:spacing w:line="360" w:lineRule="auto"/>
        <w:rPr>
          <w:rFonts w:ascii="宋体" w:hAnsi="宋体" w:cs="宋体"/>
          <w:sz w:val="24"/>
        </w:rPr>
      </w:pPr>
      <w:r>
        <w:rPr>
          <w:rFonts w:hint="eastAsia" w:ascii="宋体" w:hAnsi="宋体" w:cs="宋体"/>
          <w:sz w:val="24"/>
        </w:rPr>
        <w:t>签订时间：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ascii="宋体" w:hAnsi="宋体" w:cs="宋体"/>
          <w:sz w:val="24"/>
        </w:rPr>
      </w:pPr>
      <w:r>
        <w:rPr>
          <w:rFonts w:hint="eastAsia" w:ascii="宋体" w:hAnsi="宋体" w:cs="宋体"/>
          <w:sz w:val="24"/>
        </w:rPr>
        <w:t>签订地点：</w:t>
      </w:r>
    </w:p>
    <w:p>
      <w:pPr>
        <w:spacing w:before="120" w:beforeLines="50" w:line="360" w:lineRule="auto"/>
        <w:ind w:firstLine="480" w:firstLineChars="200"/>
        <w:rPr>
          <w:rFonts w:ascii="宋体" w:hAnsi="宋体" w:cs="宋体"/>
          <w:sz w:val="24"/>
        </w:rPr>
      </w:pPr>
      <w:r>
        <w:rPr>
          <w:rFonts w:hint="eastAsia" w:ascii="宋体" w:hAnsi="宋体" w:cs="宋体"/>
          <w:sz w:val="24"/>
        </w:rPr>
        <w:t>依照《中华人民共和国民法典》及国家的有关法律、行政法规，遵循平等、自愿、公平和诚实信用的原则，双方就</w:t>
      </w:r>
      <w:r>
        <w:rPr>
          <w:rFonts w:hint="eastAsia" w:ascii="宋体" w:hAnsi="宋体" w:cs="宋体"/>
          <w:sz w:val="24"/>
          <w:u w:val="single"/>
        </w:rPr>
        <w:t>南通市妇幼保健院（南通市妇幼保健计划生育服务中心）两癌筛查（小程序）项目</w:t>
      </w:r>
      <w:r>
        <w:rPr>
          <w:rFonts w:hint="eastAsia" w:ascii="宋体" w:hAnsi="宋体" w:cs="宋体"/>
          <w:sz w:val="24"/>
        </w:rPr>
        <w:t>协商一致，订立本合同。</w:t>
      </w:r>
    </w:p>
    <w:p>
      <w:pPr>
        <w:spacing w:line="360" w:lineRule="auto"/>
        <w:ind w:firstLine="482" w:firstLineChars="200"/>
        <w:rPr>
          <w:rFonts w:ascii="宋体" w:hAnsi="宋体" w:cs="宋体"/>
          <w:b/>
          <w:bCs/>
          <w:sz w:val="24"/>
        </w:rPr>
      </w:pPr>
      <w:r>
        <w:rPr>
          <w:rFonts w:hint="eastAsia" w:ascii="宋体" w:hAnsi="宋体" w:cs="宋体"/>
          <w:b/>
          <w:bCs/>
          <w:sz w:val="24"/>
        </w:rPr>
        <w:t>1、合同内容</w:t>
      </w:r>
    </w:p>
    <w:p>
      <w:pPr>
        <w:spacing w:line="360" w:lineRule="auto"/>
        <w:ind w:firstLine="480" w:firstLineChars="200"/>
        <w:rPr>
          <w:rFonts w:ascii="宋体" w:hAnsi="宋体" w:cs="宋体"/>
          <w:sz w:val="24"/>
        </w:rPr>
      </w:pPr>
      <w:r>
        <w:rPr>
          <w:rFonts w:hint="eastAsia" w:ascii="宋体" w:hAnsi="宋体" w:cs="宋体"/>
          <w:sz w:val="24"/>
        </w:rPr>
        <w:t>1.1 本合同由以下文件组成：</w:t>
      </w:r>
    </w:p>
    <w:p>
      <w:pPr>
        <w:spacing w:line="360" w:lineRule="auto"/>
        <w:ind w:firstLine="480" w:firstLineChars="200"/>
        <w:rPr>
          <w:rFonts w:ascii="宋体" w:hAnsi="宋体" w:cs="宋体"/>
          <w:sz w:val="24"/>
        </w:rPr>
      </w:pPr>
      <w:r>
        <w:rPr>
          <w:rFonts w:hint="eastAsia" w:ascii="宋体" w:hAnsi="宋体" w:cs="宋体"/>
          <w:sz w:val="24"/>
        </w:rPr>
        <w:t>（1）本合同书及本合同书签署后各方以书面形式确认的补充协议、会议纪要等；</w:t>
      </w:r>
    </w:p>
    <w:p>
      <w:pPr>
        <w:spacing w:line="360" w:lineRule="auto"/>
        <w:ind w:firstLine="480" w:firstLineChars="200"/>
        <w:rPr>
          <w:rFonts w:ascii="宋体" w:hAnsi="宋体" w:cs="宋体"/>
          <w:sz w:val="24"/>
        </w:rPr>
      </w:pPr>
      <w:r>
        <w:rPr>
          <w:rFonts w:hint="eastAsia" w:ascii="宋体" w:hAnsi="宋体" w:cs="宋体"/>
          <w:sz w:val="24"/>
        </w:rPr>
        <w:t>（2）采购文件；</w:t>
      </w:r>
    </w:p>
    <w:p>
      <w:pPr>
        <w:spacing w:line="360" w:lineRule="auto"/>
        <w:ind w:firstLine="480" w:firstLineChars="200"/>
        <w:rPr>
          <w:rFonts w:ascii="宋体" w:hAnsi="宋体" w:cs="宋体"/>
          <w:sz w:val="24"/>
        </w:rPr>
      </w:pPr>
      <w:r>
        <w:rPr>
          <w:rFonts w:hint="eastAsia" w:ascii="宋体" w:hAnsi="宋体" w:cs="宋体"/>
          <w:sz w:val="24"/>
        </w:rPr>
        <w:t>（3）中标通知书；</w:t>
      </w:r>
    </w:p>
    <w:p>
      <w:pPr>
        <w:spacing w:line="360" w:lineRule="auto"/>
        <w:ind w:firstLine="480" w:firstLineChars="200"/>
        <w:rPr>
          <w:rFonts w:ascii="宋体" w:hAnsi="宋体" w:cs="宋体"/>
          <w:sz w:val="24"/>
        </w:rPr>
      </w:pPr>
      <w:r>
        <w:rPr>
          <w:rFonts w:hint="eastAsia" w:ascii="宋体" w:hAnsi="宋体" w:cs="宋体"/>
          <w:sz w:val="24"/>
        </w:rPr>
        <w:t>（4）乙方在招投标过程中所作的其他承诺、声明、书面澄清等；</w:t>
      </w:r>
    </w:p>
    <w:p>
      <w:pPr>
        <w:spacing w:line="360" w:lineRule="auto"/>
        <w:ind w:firstLine="480" w:firstLineChars="200"/>
        <w:rPr>
          <w:rFonts w:ascii="宋体" w:hAnsi="宋体" w:cs="宋体"/>
          <w:sz w:val="24"/>
        </w:rPr>
      </w:pPr>
      <w:r>
        <w:rPr>
          <w:rFonts w:hint="eastAsia" w:ascii="宋体" w:hAnsi="宋体" w:cs="宋体"/>
          <w:sz w:val="24"/>
        </w:rPr>
        <w:t>（5）乙方中标的磋商响应文件；</w:t>
      </w:r>
    </w:p>
    <w:p>
      <w:pPr>
        <w:spacing w:line="360" w:lineRule="auto"/>
        <w:ind w:firstLine="480" w:firstLineChars="200"/>
        <w:rPr>
          <w:rFonts w:ascii="宋体" w:hAnsi="宋体" w:cs="宋体"/>
          <w:sz w:val="24"/>
        </w:rPr>
      </w:pPr>
      <w:r>
        <w:rPr>
          <w:rFonts w:hint="eastAsia" w:ascii="宋体" w:hAnsi="宋体" w:cs="宋体"/>
          <w:sz w:val="24"/>
        </w:rPr>
        <w:t>（6）其他合同附件；</w:t>
      </w:r>
    </w:p>
    <w:p>
      <w:pPr>
        <w:spacing w:line="360" w:lineRule="auto"/>
        <w:ind w:firstLine="480" w:firstLineChars="200"/>
        <w:rPr>
          <w:rFonts w:ascii="宋体" w:hAnsi="宋体" w:cs="宋体"/>
          <w:sz w:val="24"/>
        </w:rPr>
      </w:pPr>
      <w:r>
        <w:rPr>
          <w:rFonts w:hint="eastAsia" w:ascii="宋体" w:hAnsi="宋体" w:cs="宋体"/>
          <w:sz w:val="24"/>
        </w:rPr>
        <w:t>上述文件均为本合同不可分割的组成部分，与本合同具有同等法律效力。上述文件之间有冲突的，以排列序位在前的文件为准，同一序位的文件以形成时间在后的为准。</w:t>
      </w:r>
    </w:p>
    <w:p>
      <w:pPr>
        <w:spacing w:line="360" w:lineRule="auto"/>
        <w:ind w:firstLine="480" w:firstLineChars="200"/>
        <w:rPr>
          <w:rFonts w:ascii="宋体" w:hAnsi="宋体" w:cs="宋体"/>
          <w:sz w:val="24"/>
        </w:rPr>
      </w:pPr>
      <w:r>
        <w:rPr>
          <w:rFonts w:hint="eastAsia" w:ascii="宋体" w:hAnsi="宋体" w:cs="宋体"/>
          <w:sz w:val="24"/>
        </w:rPr>
        <w:t>1.2乙方根据合同约定按时向甲方提供</w:t>
      </w:r>
      <w:r>
        <w:rPr>
          <w:rFonts w:hint="eastAsia" w:ascii="宋体" w:hAnsi="宋体" w:cs="宋体"/>
          <w:sz w:val="24"/>
          <w:u w:val="single"/>
        </w:rPr>
        <w:t>南通市妇幼保健院（南通市妇幼保健计划生育服务中心）两癌筛查（小程序）</w:t>
      </w:r>
      <w:r>
        <w:rPr>
          <w:rFonts w:hint="eastAsia" w:ascii="宋体" w:hAnsi="宋体" w:cs="宋体"/>
          <w:sz w:val="24"/>
        </w:rPr>
        <w:t>项目设计、开发服务以及相应的维护、培训服务等，具体内容和要求见采购招标文件。</w:t>
      </w:r>
    </w:p>
    <w:p>
      <w:pPr>
        <w:spacing w:line="360" w:lineRule="auto"/>
        <w:ind w:firstLine="482" w:firstLineChars="200"/>
        <w:rPr>
          <w:rFonts w:ascii="宋体" w:hAnsi="宋体" w:cs="宋体"/>
          <w:b/>
          <w:bCs/>
          <w:sz w:val="24"/>
        </w:rPr>
      </w:pPr>
      <w:r>
        <w:rPr>
          <w:rFonts w:hint="eastAsia" w:ascii="宋体" w:hAnsi="宋体" w:cs="宋体"/>
          <w:b/>
          <w:bCs/>
          <w:sz w:val="24"/>
        </w:rPr>
        <w:t>2、价格与支付</w:t>
      </w:r>
    </w:p>
    <w:p>
      <w:pPr>
        <w:spacing w:line="360" w:lineRule="auto"/>
        <w:ind w:firstLine="480" w:firstLineChars="200"/>
        <w:rPr>
          <w:rFonts w:ascii="宋体" w:hAnsi="宋体" w:cs="宋体"/>
          <w:sz w:val="24"/>
        </w:rPr>
      </w:pPr>
      <w:r>
        <w:rPr>
          <w:rFonts w:hint="eastAsia" w:ascii="宋体" w:hAnsi="宋体" w:cs="宋体"/>
          <w:sz w:val="24"/>
        </w:rPr>
        <w:t>2.1价格</w:t>
      </w:r>
    </w:p>
    <w:p>
      <w:pPr>
        <w:spacing w:line="360" w:lineRule="auto"/>
        <w:ind w:firstLine="480" w:firstLineChars="200"/>
        <w:rPr>
          <w:rFonts w:ascii="宋体" w:hAnsi="宋体" w:cs="宋体"/>
          <w:sz w:val="24"/>
        </w:rPr>
      </w:pPr>
      <w:r>
        <w:rPr>
          <w:rFonts w:hint="eastAsia" w:ascii="宋体" w:hAnsi="宋体" w:cs="宋体"/>
          <w:sz w:val="24"/>
        </w:rPr>
        <w:t>本合同总金额为成交价【</w:t>
      </w:r>
      <w:r>
        <w:rPr>
          <w:rFonts w:hint="eastAsia" w:ascii="宋体" w:hAnsi="宋体" w:cs="宋体"/>
          <w:sz w:val="24"/>
          <w:u w:val="single"/>
        </w:rPr>
        <w:t>人民币       （ ￥       元）</w:t>
      </w:r>
      <w:r>
        <w:rPr>
          <w:rFonts w:hint="eastAsia" w:ascii="宋体" w:hAnsi="宋体" w:cs="宋体"/>
          <w:sz w:val="24"/>
        </w:rPr>
        <w:t>】 ，该合同价格包括所有产品（包括项目开发实施过程中所需的第三方产品（数据库、中间件等内容，如有）以及乙方自有产品（如有）的报价）、开发实施、实现本项目功能所需要的约定第三方软件及接口升级改造（如有），项目涉及的劳务、制作、维护、升级、培训、配合甲方委托的第三方的安全评测评估（如有）、保险、利润、税金、报验、人员、交通、食宿、加班、人员签证、工作许可证、验收、配合甲方委托的第三方检测（如有）等一切费用，并综合考虑可能影响价格的各项因素。</w:t>
      </w:r>
    </w:p>
    <w:p>
      <w:pPr>
        <w:spacing w:line="360" w:lineRule="auto"/>
        <w:ind w:firstLine="480" w:firstLineChars="200"/>
        <w:rPr>
          <w:rFonts w:ascii="宋体" w:hAnsi="宋体" w:cs="宋体"/>
          <w:sz w:val="24"/>
        </w:rPr>
      </w:pPr>
      <w:r>
        <w:rPr>
          <w:rFonts w:hint="eastAsia" w:ascii="宋体" w:hAnsi="宋体" w:cs="宋体"/>
          <w:sz w:val="24"/>
        </w:rPr>
        <w:t>2.2付款方式:</w:t>
      </w:r>
    </w:p>
    <w:p>
      <w:pPr>
        <w:spacing w:line="360" w:lineRule="auto"/>
        <w:ind w:firstLine="420"/>
        <w:rPr>
          <w:rFonts w:ascii="宋体" w:hAnsi="宋体" w:cs="宋体"/>
          <w:sz w:val="24"/>
        </w:rPr>
      </w:pPr>
      <w:r>
        <w:rPr>
          <w:rFonts w:hint="eastAsia" w:ascii="宋体" w:hAnsi="宋体" w:cs="宋体"/>
          <w:sz w:val="24"/>
          <w:lang w:val="zh-CN"/>
        </w:rPr>
        <w:t>在采购合同签订生效后15天内支付全款的30%，产品验收合格后15天内支付全款的60%，免费维护期结束后15天内支付全款的10%。</w:t>
      </w:r>
      <w:r>
        <w:rPr>
          <w:rFonts w:hint="eastAsia" w:ascii="宋体" w:hAnsi="宋体"/>
          <w:sz w:val="24"/>
        </w:rPr>
        <w:t>每次付款前乙方需开具有效的增值税发票。</w:t>
      </w:r>
    </w:p>
    <w:p>
      <w:pPr>
        <w:spacing w:line="360" w:lineRule="auto"/>
        <w:ind w:firstLine="482" w:firstLineChars="200"/>
        <w:rPr>
          <w:rFonts w:ascii="宋体" w:hAnsi="宋体" w:cs="宋体"/>
          <w:b/>
          <w:bCs/>
          <w:sz w:val="24"/>
        </w:rPr>
      </w:pPr>
      <w:r>
        <w:rPr>
          <w:rFonts w:hint="eastAsia" w:ascii="宋体" w:hAnsi="宋体" w:cs="宋体"/>
          <w:b/>
          <w:bCs/>
          <w:sz w:val="24"/>
        </w:rPr>
        <w:t>3、质量与验收</w:t>
      </w:r>
    </w:p>
    <w:p>
      <w:pPr>
        <w:spacing w:line="360" w:lineRule="auto"/>
        <w:ind w:firstLine="480" w:firstLineChars="200"/>
        <w:rPr>
          <w:rFonts w:ascii="宋体" w:hAnsi="宋体" w:cs="宋体"/>
          <w:sz w:val="24"/>
        </w:rPr>
      </w:pPr>
      <w:r>
        <w:rPr>
          <w:rFonts w:hint="eastAsia" w:ascii="宋体" w:hAnsi="宋体" w:cs="宋体"/>
          <w:sz w:val="24"/>
        </w:rPr>
        <w:t>3.1 质量</w:t>
      </w:r>
    </w:p>
    <w:p>
      <w:pPr>
        <w:spacing w:line="360" w:lineRule="auto"/>
        <w:ind w:firstLine="480" w:firstLineChars="200"/>
        <w:rPr>
          <w:rFonts w:ascii="宋体" w:hAnsi="宋体" w:cs="宋体"/>
          <w:sz w:val="24"/>
        </w:rPr>
      </w:pPr>
      <w:r>
        <w:rPr>
          <w:rFonts w:hint="eastAsia" w:ascii="宋体" w:hAnsi="宋体" w:cs="宋体"/>
          <w:sz w:val="24"/>
        </w:rPr>
        <w:t>3.1.1 乙方应向甲方提供符合合同约定的各项服务和交付物，具体质量要求见采购招标文件。</w:t>
      </w:r>
    </w:p>
    <w:p>
      <w:pPr>
        <w:spacing w:line="360" w:lineRule="auto"/>
        <w:ind w:firstLine="480" w:firstLineChars="200"/>
        <w:rPr>
          <w:rFonts w:ascii="宋体" w:hAnsi="宋体" w:cs="宋体"/>
          <w:sz w:val="24"/>
        </w:rPr>
      </w:pPr>
      <w:r>
        <w:rPr>
          <w:rFonts w:hint="eastAsia" w:ascii="宋体" w:hAnsi="宋体" w:cs="宋体"/>
          <w:sz w:val="24"/>
        </w:rPr>
        <w:t>3.1.2 若项目招标文件中对质量要求的规定存在不一致之处，由甲方决定具体适用的质量要求标准。</w:t>
      </w:r>
    </w:p>
    <w:p>
      <w:pPr>
        <w:spacing w:line="360" w:lineRule="auto"/>
        <w:ind w:firstLine="480" w:firstLineChars="200"/>
        <w:rPr>
          <w:rFonts w:ascii="宋体" w:hAnsi="宋体" w:cs="宋体"/>
          <w:sz w:val="24"/>
        </w:rPr>
      </w:pPr>
      <w:r>
        <w:rPr>
          <w:rFonts w:hint="eastAsia" w:ascii="宋体" w:hAnsi="宋体" w:cs="宋体"/>
          <w:sz w:val="24"/>
        </w:rPr>
        <w:t>3.2 验收</w:t>
      </w:r>
    </w:p>
    <w:p>
      <w:pPr>
        <w:spacing w:line="360" w:lineRule="auto"/>
        <w:ind w:firstLine="480" w:firstLineChars="200"/>
        <w:rPr>
          <w:rFonts w:ascii="宋体" w:hAnsi="宋体" w:cs="宋体"/>
          <w:sz w:val="24"/>
        </w:rPr>
      </w:pPr>
      <w:r>
        <w:rPr>
          <w:rFonts w:hint="eastAsia" w:ascii="宋体" w:hAnsi="宋体" w:cs="宋体"/>
          <w:sz w:val="24"/>
        </w:rPr>
        <w:t>3.2.1本项目为一次性验收，具体验收标准、验收时间、方式等以甲方通知为准。</w:t>
      </w:r>
    </w:p>
    <w:p>
      <w:pPr>
        <w:spacing w:line="360" w:lineRule="auto"/>
        <w:ind w:firstLine="480" w:firstLineChars="200"/>
        <w:rPr>
          <w:rFonts w:ascii="宋体" w:hAnsi="宋体" w:cs="宋体"/>
          <w:sz w:val="24"/>
        </w:rPr>
      </w:pPr>
      <w:r>
        <w:rPr>
          <w:rFonts w:hint="eastAsia" w:ascii="宋体" w:hAnsi="宋体" w:cs="宋体"/>
          <w:sz w:val="24"/>
        </w:rPr>
        <w:t>3.2.2因乙方过错导致任一项验收不合格的，乙方应负责在甲方限定的期限内完成整改，因整改而导致的费用和损失由乙方自行承担。</w:t>
      </w:r>
    </w:p>
    <w:p>
      <w:pPr>
        <w:spacing w:line="360" w:lineRule="auto"/>
        <w:ind w:firstLine="480" w:firstLineChars="200"/>
        <w:rPr>
          <w:rFonts w:ascii="宋体" w:hAnsi="宋体" w:cs="宋体"/>
          <w:sz w:val="24"/>
        </w:rPr>
      </w:pPr>
      <w:r>
        <w:rPr>
          <w:rFonts w:hint="eastAsia" w:ascii="宋体" w:hAnsi="宋体" w:cs="宋体"/>
          <w:sz w:val="24"/>
        </w:rPr>
        <w:t>3.2.3验收意见以书面形式做出并加盖公章。</w:t>
      </w:r>
    </w:p>
    <w:p>
      <w:pPr>
        <w:spacing w:line="360" w:lineRule="auto"/>
        <w:ind w:firstLine="480" w:firstLineChars="200"/>
        <w:rPr>
          <w:rFonts w:ascii="宋体" w:hAnsi="宋体" w:cs="宋体"/>
          <w:sz w:val="24"/>
        </w:rPr>
      </w:pPr>
      <w:r>
        <w:rPr>
          <w:rFonts w:hint="eastAsia" w:ascii="宋体" w:hAnsi="宋体" w:cs="宋体"/>
          <w:sz w:val="24"/>
        </w:rPr>
        <w:t xml:space="preserve">3.3 售后服务 </w:t>
      </w:r>
    </w:p>
    <w:p>
      <w:pPr>
        <w:spacing w:line="360" w:lineRule="auto"/>
        <w:ind w:firstLine="480" w:firstLineChars="200"/>
        <w:rPr>
          <w:rFonts w:ascii="宋体" w:hAnsi="宋体" w:cs="宋体"/>
          <w:sz w:val="24"/>
        </w:rPr>
      </w:pPr>
      <w:r>
        <w:rPr>
          <w:rFonts w:hint="eastAsia" w:ascii="宋体" w:hAnsi="宋体" w:cs="宋体"/>
          <w:sz w:val="24"/>
        </w:rPr>
        <w:t>乙方为本项目提供不少于2年的售后服务期，售后服务期自项目最终验收合格之日起计算，售后服务期内乙方提供项目各项服务，对于甲方的需求，乙方有义务及时响应，具体服务内容见采购文件。</w:t>
      </w:r>
    </w:p>
    <w:p>
      <w:pPr>
        <w:spacing w:line="360" w:lineRule="auto"/>
        <w:ind w:firstLine="482" w:firstLineChars="200"/>
        <w:rPr>
          <w:rFonts w:ascii="宋体" w:hAnsi="宋体" w:cs="宋体"/>
          <w:b/>
          <w:bCs/>
          <w:sz w:val="24"/>
        </w:rPr>
      </w:pPr>
      <w:r>
        <w:rPr>
          <w:rFonts w:hint="eastAsia" w:ascii="宋体" w:hAnsi="宋体" w:cs="宋体"/>
          <w:b/>
          <w:bCs/>
          <w:sz w:val="24"/>
        </w:rPr>
        <w:t>4、甲乙两方权利义务</w:t>
      </w:r>
    </w:p>
    <w:p>
      <w:pPr>
        <w:spacing w:line="360" w:lineRule="auto"/>
        <w:ind w:firstLine="480" w:firstLineChars="200"/>
        <w:rPr>
          <w:rFonts w:ascii="宋体" w:hAnsi="宋体" w:cs="宋体"/>
          <w:sz w:val="24"/>
        </w:rPr>
      </w:pPr>
      <w:r>
        <w:rPr>
          <w:rFonts w:hint="eastAsia" w:ascii="宋体" w:hAnsi="宋体" w:cs="宋体"/>
          <w:sz w:val="24"/>
        </w:rPr>
        <w:t>4.1 乙方应当根据甲方要求安排项目人员开发，并将项目负责人等主要项目人员名单报甲方备案。乙方应当确保其安排的项目人员充足且合格，并具有提供服务的必要经验。若乙方需要变更项目负责人，应提前以书面形式向甲方提出申请，得到甲方许可后方可进行。若甲方认为乙方所指派人员不合格的，有权要求乙方更换。</w:t>
      </w:r>
    </w:p>
    <w:p>
      <w:pPr>
        <w:spacing w:line="360" w:lineRule="auto"/>
        <w:ind w:firstLine="480" w:firstLineChars="200"/>
        <w:rPr>
          <w:rFonts w:ascii="宋体" w:hAnsi="宋体" w:cs="宋体"/>
          <w:sz w:val="24"/>
        </w:rPr>
      </w:pPr>
      <w:r>
        <w:rPr>
          <w:rFonts w:hint="eastAsia" w:ascii="宋体" w:hAnsi="宋体" w:cs="宋体"/>
          <w:sz w:val="24"/>
        </w:rPr>
        <w:t>4.2 如双方确认需驻场开发，在现场工作的乙方项目人员应当遵守甲方的一般工作规范和安全要求，但甲方应当事先以书面方式将此规范和要求告知乙方。乙方项目人员在项目实施过程中发生任何意外事故、重大疾病、猝死等均应由乙方自行处理并承担所有责任，除非前述损害系甲方原因所致。</w:t>
      </w:r>
    </w:p>
    <w:p>
      <w:pPr>
        <w:spacing w:line="360" w:lineRule="auto"/>
        <w:ind w:firstLine="480" w:firstLineChars="200"/>
        <w:rPr>
          <w:rFonts w:ascii="宋体" w:hAnsi="宋体" w:cs="宋体"/>
          <w:sz w:val="24"/>
        </w:rPr>
      </w:pPr>
      <w:r>
        <w:rPr>
          <w:rFonts w:hint="eastAsia" w:ascii="宋体" w:hAnsi="宋体" w:cs="宋体"/>
          <w:sz w:val="24"/>
        </w:rPr>
        <w:t>4.3 其他对乙方项目人员的要求见采购文件。</w:t>
      </w:r>
    </w:p>
    <w:p>
      <w:pPr>
        <w:tabs>
          <w:tab w:val="left" w:pos="567"/>
        </w:tabs>
        <w:spacing w:line="360" w:lineRule="auto"/>
        <w:ind w:firstLine="480" w:firstLineChars="200"/>
        <w:rPr>
          <w:rFonts w:ascii="宋体" w:hAnsi="宋体" w:cs="宋体"/>
          <w:sz w:val="24"/>
        </w:rPr>
      </w:pPr>
      <w:r>
        <w:rPr>
          <w:rFonts w:hint="eastAsia" w:ascii="宋体" w:hAnsi="宋体" w:cs="宋体"/>
          <w:sz w:val="24"/>
        </w:rPr>
        <w:t>4.4 乙方授权以下联系人代表乙方处理与本合同中有关的各事项，该联系人的行为视为乙方的行为，相应法律责任由乙方承担。乙方联系人变更的，应提前5个工作日以书面形式通知甲方。</w:t>
      </w:r>
    </w:p>
    <w:p>
      <w:pPr>
        <w:tabs>
          <w:tab w:val="left" w:pos="567"/>
        </w:tabs>
        <w:spacing w:line="360" w:lineRule="auto"/>
        <w:ind w:firstLine="480"/>
        <w:rPr>
          <w:rFonts w:ascii="宋体" w:hAnsi="宋体" w:cs="宋体"/>
          <w:sz w:val="24"/>
        </w:rPr>
      </w:pPr>
      <w:r>
        <w:rPr>
          <w:rFonts w:hint="eastAsia" w:ascii="宋体" w:hAnsi="宋体" w:cs="宋体"/>
          <w:sz w:val="24"/>
        </w:rPr>
        <w:t>联系人姓名：</w:t>
      </w:r>
    </w:p>
    <w:p>
      <w:pPr>
        <w:tabs>
          <w:tab w:val="left" w:pos="567"/>
        </w:tabs>
        <w:spacing w:line="360" w:lineRule="auto"/>
        <w:ind w:firstLine="480"/>
        <w:rPr>
          <w:rFonts w:ascii="宋体" w:hAnsi="宋体" w:cs="宋体"/>
          <w:sz w:val="24"/>
        </w:rPr>
      </w:pPr>
      <w:r>
        <w:rPr>
          <w:rFonts w:hint="eastAsia" w:ascii="宋体" w:hAnsi="宋体" w:cs="宋体"/>
          <w:sz w:val="24"/>
        </w:rPr>
        <w:t>职      务：</w:t>
      </w:r>
    </w:p>
    <w:p>
      <w:pPr>
        <w:tabs>
          <w:tab w:val="left" w:pos="567"/>
        </w:tabs>
        <w:spacing w:line="360" w:lineRule="auto"/>
        <w:ind w:firstLine="480"/>
        <w:rPr>
          <w:rFonts w:ascii="宋体" w:hAnsi="宋体" w:cs="宋体"/>
          <w:sz w:val="24"/>
        </w:rPr>
      </w:pPr>
      <w:r>
        <w:rPr>
          <w:rFonts w:hint="eastAsia" w:ascii="宋体" w:hAnsi="宋体" w:cs="宋体"/>
          <w:sz w:val="24"/>
        </w:rPr>
        <w:t>电话（传真）：</w:t>
      </w:r>
    </w:p>
    <w:p>
      <w:pPr>
        <w:tabs>
          <w:tab w:val="left" w:pos="567"/>
        </w:tabs>
        <w:spacing w:line="360" w:lineRule="auto"/>
        <w:ind w:firstLine="480"/>
        <w:rPr>
          <w:rFonts w:ascii="宋体" w:hAnsi="宋体" w:cs="宋体"/>
          <w:sz w:val="24"/>
        </w:rPr>
      </w:pPr>
      <w:r>
        <w:rPr>
          <w:rFonts w:hint="eastAsia" w:ascii="宋体" w:hAnsi="宋体" w:cs="宋体"/>
          <w:sz w:val="24"/>
        </w:rPr>
        <w:t>地      址：</w:t>
      </w:r>
    </w:p>
    <w:p>
      <w:pPr>
        <w:tabs>
          <w:tab w:val="left" w:pos="567"/>
        </w:tabs>
        <w:spacing w:line="360" w:lineRule="auto"/>
        <w:ind w:firstLine="480"/>
        <w:rPr>
          <w:rFonts w:ascii="宋体" w:hAnsi="宋体" w:cs="宋体"/>
          <w:sz w:val="24"/>
        </w:rPr>
      </w:pPr>
      <w:r>
        <w:rPr>
          <w:rFonts w:hint="eastAsia" w:ascii="宋体" w:hAnsi="宋体" w:cs="宋体"/>
          <w:sz w:val="24"/>
        </w:rPr>
        <w:t>邮      件：</w:t>
      </w:r>
    </w:p>
    <w:p>
      <w:pPr>
        <w:spacing w:line="360" w:lineRule="auto"/>
        <w:ind w:firstLine="480" w:firstLineChars="200"/>
        <w:rPr>
          <w:rFonts w:ascii="宋体" w:hAnsi="宋体" w:cs="宋体"/>
          <w:sz w:val="24"/>
        </w:rPr>
      </w:pPr>
      <w:r>
        <w:rPr>
          <w:rFonts w:hint="eastAsia" w:ascii="宋体" w:hAnsi="宋体" w:cs="宋体"/>
          <w:sz w:val="24"/>
        </w:rPr>
        <w:t>4.5 甲方可针对乙方在项目实施过程中的问题发出项目限期整改通知单，乙方应在收到整改通知单后2个工作日内向甲方以书面方式提交具体整改计划（整改计划应经过甲方审核认可），并在甲方规定的期限内整改完毕。乙方过错导致乙方未按时提交具体整改计划的，或乙方未在甲方规定期限内整改完毕的，均视为乙方违约，甲方有权按照第5条追究乙方违约责任。</w:t>
      </w:r>
    </w:p>
    <w:p>
      <w:pPr>
        <w:spacing w:line="360" w:lineRule="auto"/>
        <w:ind w:firstLine="480" w:firstLineChars="200"/>
        <w:rPr>
          <w:rFonts w:ascii="宋体" w:hAnsi="宋体" w:cs="宋体"/>
          <w:sz w:val="24"/>
        </w:rPr>
      </w:pPr>
      <w:r>
        <w:rPr>
          <w:rFonts w:hint="eastAsia" w:ascii="宋体" w:hAnsi="宋体" w:cs="宋体"/>
          <w:sz w:val="24"/>
        </w:rPr>
        <w:t>4.6 乙方承诺如下：</w:t>
      </w:r>
    </w:p>
    <w:p>
      <w:pPr>
        <w:spacing w:line="360" w:lineRule="auto"/>
        <w:ind w:firstLine="480" w:firstLineChars="200"/>
        <w:rPr>
          <w:rFonts w:ascii="宋体" w:hAnsi="宋体" w:cs="宋体"/>
          <w:sz w:val="24"/>
        </w:rPr>
      </w:pPr>
      <w:r>
        <w:rPr>
          <w:rFonts w:hint="eastAsia" w:ascii="宋体" w:hAnsi="宋体" w:cs="宋体"/>
          <w:sz w:val="24"/>
        </w:rPr>
        <w:t>（1）按时提供符合本合同所规定的全部要求的各项服务和产品（若各项要求之间存在冲突的，由甲方决定适用何种要求）；</w:t>
      </w:r>
    </w:p>
    <w:p>
      <w:pPr>
        <w:spacing w:line="360" w:lineRule="auto"/>
        <w:ind w:firstLine="480" w:firstLineChars="200"/>
        <w:rPr>
          <w:rFonts w:ascii="宋体" w:hAnsi="宋体" w:cs="宋体"/>
          <w:sz w:val="24"/>
        </w:rPr>
      </w:pPr>
      <w:r>
        <w:rPr>
          <w:rFonts w:hint="eastAsia" w:ascii="宋体" w:hAnsi="宋体" w:cs="宋体"/>
          <w:sz w:val="24"/>
        </w:rPr>
        <w:t>（2）乙方提供的服务和产品不会侵犯任何第三方知识产权和其他合法权益，不会对甲方造成任何损害。本项目中乙方提供的所有软件，应保证是合法的商品软件，如包含第三方软件，乙方应保证是合法可用的，且甲方无需为使用该第三方软件支付任何其他费用；</w:t>
      </w:r>
    </w:p>
    <w:p>
      <w:pPr>
        <w:spacing w:line="360" w:lineRule="auto"/>
        <w:ind w:firstLine="480" w:firstLineChars="200"/>
        <w:rPr>
          <w:rFonts w:ascii="宋体" w:hAnsi="宋体" w:cs="宋体"/>
          <w:sz w:val="24"/>
        </w:rPr>
      </w:pPr>
      <w:r>
        <w:rPr>
          <w:rFonts w:hint="eastAsia" w:ascii="宋体" w:hAnsi="宋体" w:cs="宋体"/>
          <w:sz w:val="24"/>
        </w:rPr>
        <w:t>（3）系统运行过程中不会出现因乙方过错导致的重大故障（该等重大故障包括但不限于发生全部或部分系统瘫痪、出现系统错误、出现系统漏洞、某项功能失灵等）；</w:t>
      </w:r>
    </w:p>
    <w:p>
      <w:pPr>
        <w:spacing w:line="360" w:lineRule="auto"/>
        <w:ind w:firstLine="480" w:firstLineChars="200"/>
        <w:rPr>
          <w:rFonts w:ascii="宋体" w:hAnsi="宋体" w:cs="宋体"/>
          <w:sz w:val="24"/>
        </w:rPr>
      </w:pPr>
      <w:r>
        <w:rPr>
          <w:rFonts w:hint="eastAsia" w:ascii="宋体" w:hAnsi="宋体" w:cs="宋体"/>
          <w:sz w:val="24"/>
        </w:rPr>
        <w:t>（4）确保甲方可以长期、独立、不受任何干扰的使用项目系统。</w:t>
      </w:r>
    </w:p>
    <w:p>
      <w:pPr>
        <w:spacing w:line="360" w:lineRule="auto"/>
        <w:ind w:firstLine="480" w:firstLineChars="200"/>
        <w:rPr>
          <w:rFonts w:ascii="宋体" w:hAnsi="宋体" w:cs="宋体"/>
          <w:sz w:val="24"/>
        </w:rPr>
      </w:pPr>
      <w:r>
        <w:rPr>
          <w:rFonts w:hint="eastAsia" w:ascii="宋体" w:hAnsi="宋体" w:cs="宋体"/>
          <w:sz w:val="24"/>
        </w:rPr>
        <w:t>（5）双方确认因乙方过错导致违反上述承诺的，乙方应自行承担所有责任，若造成甲方或第三方损失的，乙方应赔偿甲方损失。</w:t>
      </w:r>
    </w:p>
    <w:p>
      <w:pPr>
        <w:spacing w:line="360" w:lineRule="auto"/>
        <w:ind w:firstLine="480" w:firstLineChars="200"/>
        <w:rPr>
          <w:rFonts w:ascii="宋体" w:hAnsi="宋体" w:cs="宋体"/>
          <w:sz w:val="24"/>
        </w:rPr>
      </w:pPr>
      <w:r>
        <w:rPr>
          <w:rFonts w:hint="eastAsia" w:ascii="宋体" w:hAnsi="宋体" w:cs="宋体"/>
          <w:sz w:val="24"/>
        </w:rPr>
        <w:t>本款承诺不受本合同效力之影响。</w:t>
      </w:r>
    </w:p>
    <w:p>
      <w:pPr>
        <w:spacing w:line="360" w:lineRule="auto"/>
        <w:ind w:firstLine="480" w:firstLineChars="200"/>
        <w:rPr>
          <w:rFonts w:ascii="宋体" w:hAnsi="宋体" w:cs="宋体"/>
          <w:sz w:val="24"/>
        </w:rPr>
      </w:pPr>
      <w:r>
        <w:rPr>
          <w:rFonts w:hint="eastAsia" w:ascii="宋体" w:hAnsi="宋体" w:cs="宋体"/>
          <w:sz w:val="24"/>
        </w:rPr>
        <w:t>4.7 甲方有权监督本项目进度，对乙方按照合同约定所完成工作内容予以监督。</w:t>
      </w:r>
    </w:p>
    <w:p>
      <w:pPr>
        <w:spacing w:line="360" w:lineRule="auto"/>
        <w:ind w:firstLine="480" w:firstLineChars="200"/>
        <w:rPr>
          <w:rFonts w:ascii="宋体" w:hAnsi="宋体" w:cs="宋体"/>
          <w:sz w:val="24"/>
        </w:rPr>
      </w:pPr>
      <w:r>
        <w:rPr>
          <w:rFonts w:hint="eastAsia" w:ascii="宋体" w:hAnsi="宋体" w:cs="宋体"/>
          <w:sz w:val="24"/>
        </w:rPr>
        <w:t>4.8 甲方应按本合同第2条的约定向乙方支付款项。</w:t>
      </w:r>
    </w:p>
    <w:p>
      <w:pPr>
        <w:spacing w:line="360" w:lineRule="auto"/>
        <w:ind w:firstLine="482" w:firstLineChars="200"/>
        <w:rPr>
          <w:rFonts w:ascii="宋体" w:hAnsi="宋体" w:cs="宋体"/>
          <w:b/>
          <w:bCs/>
          <w:sz w:val="24"/>
        </w:rPr>
      </w:pPr>
      <w:r>
        <w:rPr>
          <w:rFonts w:hint="eastAsia" w:ascii="宋体" w:hAnsi="宋体" w:cs="宋体"/>
          <w:b/>
          <w:bCs/>
          <w:sz w:val="24"/>
        </w:rPr>
        <w:t>5、违约责任</w:t>
      </w:r>
    </w:p>
    <w:p>
      <w:pPr>
        <w:spacing w:line="360" w:lineRule="auto"/>
        <w:ind w:firstLine="480" w:firstLineChars="200"/>
        <w:rPr>
          <w:rFonts w:ascii="宋体" w:hAnsi="宋体" w:cs="宋体"/>
          <w:sz w:val="24"/>
        </w:rPr>
      </w:pPr>
      <w:r>
        <w:rPr>
          <w:rFonts w:hint="eastAsia" w:ascii="宋体" w:hAnsi="宋体" w:cs="宋体"/>
          <w:sz w:val="24"/>
        </w:rPr>
        <w:t>5.1双方确认因乙方过错导致项目逾期交付的，每逾期一天，乙方每天应向甲方支付合同总金额的万分之三作为违约金；项目逾期通过最终验收的，每逾期一天，乙方每天应向甲方支付合同总金额的万分之三作为违约金。</w:t>
      </w:r>
    </w:p>
    <w:p>
      <w:pPr>
        <w:spacing w:line="360" w:lineRule="auto"/>
        <w:ind w:firstLine="480" w:firstLineChars="200"/>
        <w:rPr>
          <w:rFonts w:ascii="宋体" w:hAnsi="宋体" w:cs="宋体"/>
          <w:sz w:val="24"/>
        </w:rPr>
      </w:pPr>
      <w:r>
        <w:rPr>
          <w:rFonts w:hint="eastAsia" w:ascii="宋体" w:hAnsi="宋体" w:cs="宋体"/>
          <w:sz w:val="24"/>
        </w:rPr>
        <w:t>5.2双方确认因乙方过错导致违反本合同项下的任一项义务、责任的，即视为乙方违约，甲方有权依据对应条款追究乙方的违约责任。</w:t>
      </w:r>
    </w:p>
    <w:p>
      <w:pPr>
        <w:spacing w:line="360" w:lineRule="auto"/>
        <w:ind w:firstLine="480" w:firstLineChars="200"/>
        <w:rPr>
          <w:rFonts w:ascii="宋体" w:hAnsi="宋体" w:cs="宋体"/>
          <w:sz w:val="24"/>
        </w:rPr>
      </w:pPr>
      <w:r>
        <w:rPr>
          <w:rFonts w:hint="eastAsia" w:ascii="宋体" w:hAnsi="宋体" w:cs="宋体"/>
          <w:sz w:val="24"/>
        </w:rPr>
        <w:t>5.3甲方未按约定时间履行付款义务的，每逾期一天，甲方应按逾期应付款金额的万分之三向乙方支付违约金。</w:t>
      </w:r>
    </w:p>
    <w:p>
      <w:pPr>
        <w:spacing w:line="360" w:lineRule="auto"/>
        <w:ind w:firstLine="480" w:firstLineChars="200"/>
        <w:rPr>
          <w:rFonts w:ascii="宋体" w:hAnsi="宋体" w:cs="宋体"/>
          <w:sz w:val="24"/>
        </w:rPr>
      </w:pPr>
      <w:r>
        <w:rPr>
          <w:rFonts w:hint="eastAsia" w:ascii="宋体" w:hAnsi="宋体" w:cs="宋体"/>
          <w:sz w:val="24"/>
        </w:rPr>
        <w:t>5.4因甲方的原因导致项目进度延迟的，免除乙方相应的违约责任；若因此造成乙方损失的，双方协商处理。</w:t>
      </w:r>
    </w:p>
    <w:p>
      <w:pPr>
        <w:spacing w:line="360" w:lineRule="auto"/>
        <w:ind w:firstLine="480" w:firstLineChars="200"/>
        <w:rPr>
          <w:rFonts w:ascii="宋体" w:hAnsi="宋体" w:cs="宋体"/>
          <w:sz w:val="24"/>
        </w:rPr>
      </w:pPr>
      <w:r>
        <w:rPr>
          <w:rFonts w:hint="eastAsia" w:ascii="宋体" w:hAnsi="宋体" w:cs="宋体"/>
          <w:sz w:val="24"/>
        </w:rPr>
        <w:t>5.5因甲方需要使用项目系统而获得乙方已经单独拥有知识产权的成果的长期无偿使用权的，甲方不得转让或者转授权，不得进行反向工程、反向编译、反汇编或出租等行为，否则乙方有权要求甲方立即停止侵权行为并支付10万元的违约金，违约金不足以弥补乙方损失的，乙方有权要求进一步赔偿。</w:t>
      </w:r>
    </w:p>
    <w:p>
      <w:pPr>
        <w:spacing w:line="360" w:lineRule="auto"/>
        <w:ind w:firstLine="482" w:firstLineChars="200"/>
        <w:rPr>
          <w:rFonts w:ascii="宋体" w:hAnsi="宋体" w:cs="宋体"/>
          <w:b/>
          <w:bCs/>
          <w:sz w:val="24"/>
        </w:rPr>
      </w:pPr>
      <w:r>
        <w:rPr>
          <w:rFonts w:hint="eastAsia" w:ascii="宋体" w:hAnsi="宋体" w:cs="宋体"/>
          <w:b/>
          <w:bCs/>
          <w:sz w:val="24"/>
        </w:rPr>
        <w:t>6、索赔</w:t>
      </w:r>
    </w:p>
    <w:p>
      <w:pPr>
        <w:spacing w:line="360" w:lineRule="auto"/>
        <w:ind w:firstLine="480" w:firstLineChars="200"/>
        <w:rPr>
          <w:rFonts w:ascii="宋体" w:hAnsi="宋体" w:cs="宋体"/>
          <w:sz w:val="24"/>
        </w:rPr>
      </w:pPr>
      <w:r>
        <w:rPr>
          <w:rFonts w:hint="eastAsia" w:ascii="宋体" w:hAnsi="宋体" w:cs="宋体"/>
          <w:sz w:val="24"/>
        </w:rPr>
        <w:t>在合同履行期间和质量保证期内若发生质量问题的，乙方在接到甲方通知8小时内提出妥善解决方案，并立即开展实施，由此发生的一切损失和费用由乙方承担。如逾期不予答复和处理，视为违约，甲方有权要求乙方承担违约责任。</w:t>
      </w:r>
    </w:p>
    <w:p>
      <w:pPr>
        <w:spacing w:line="360" w:lineRule="auto"/>
        <w:ind w:firstLine="482" w:firstLineChars="200"/>
        <w:rPr>
          <w:rFonts w:ascii="宋体" w:hAnsi="宋体" w:cs="宋体"/>
          <w:b/>
          <w:bCs/>
          <w:sz w:val="24"/>
        </w:rPr>
      </w:pPr>
      <w:r>
        <w:rPr>
          <w:rFonts w:hint="eastAsia" w:ascii="宋体" w:hAnsi="宋体" w:cs="宋体"/>
          <w:b/>
          <w:bCs/>
          <w:sz w:val="24"/>
        </w:rPr>
        <w:t>7、知识产权</w:t>
      </w:r>
    </w:p>
    <w:p>
      <w:pPr>
        <w:spacing w:line="360" w:lineRule="auto"/>
        <w:ind w:firstLine="480" w:firstLineChars="200"/>
        <w:rPr>
          <w:rFonts w:ascii="宋体" w:hAnsi="宋体" w:cs="宋体"/>
          <w:sz w:val="24"/>
        </w:rPr>
      </w:pPr>
      <w:r>
        <w:rPr>
          <w:rFonts w:hint="eastAsia" w:ascii="宋体" w:hAnsi="宋体" w:cs="宋体"/>
          <w:sz w:val="24"/>
        </w:rPr>
        <w:t>甲方对所有乙方为本项目提供的服务和交付物及交付物中所有本项目原创的软件代码（乙方自有的软件产品除外）、版权、专利权、设计、专有知识、派生知识、方法、技术、工艺及文档材料共同享有所有的产权、所有权及其它知识产权和权益。但乙方拥有就项目相关成果独立开展市场活动的权力。</w:t>
      </w:r>
    </w:p>
    <w:p>
      <w:pPr>
        <w:spacing w:line="360" w:lineRule="auto"/>
        <w:ind w:firstLine="482" w:firstLineChars="200"/>
        <w:rPr>
          <w:rFonts w:ascii="宋体" w:hAnsi="宋体" w:cs="宋体"/>
          <w:sz w:val="24"/>
        </w:rPr>
      </w:pPr>
      <w:r>
        <w:rPr>
          <w:rFonts w:hint="eastAsia" w:ascii="宋体" w:hAnsi="宋体" w:cs="宋体"/>
          <w:b/>
          <w:bCs/>
          <w:sz w:val="24"/>
        </w:rPr>
        <w:t>8、保密资料</w:t>
      </w:r>
      <w:r>
        <w:rPr>
          <w:rFonts w:hint="eastAsia" w:ascii="宋体" w:hAnsi="宋体" w:cs="宋体"/>
          <w:sz w:val="24"/>
        </w:rPr>
        <w:t>（本条款不受本合同效力之影响）</w:t>
      </w:r>
    </w:p>
    <w:p>
      <w:pPr>
        <w:spacing w:line="360" w:lineRule="auto"/>
        <w:ind w:firstLine="480" w:firstLineChars="200"/>
        <w:rPr>
          <w:rFonts w:ascii="宋体" w:hAnsi="宋体" w:cs="宋体"/>
          <w:sz w:val="24"/>
        </w:rPr>
      </w:pPr>
      <w:r>
        <w:rPr>
          <w:rFonts w:hint="eastAsia" w:ascii="宋体" w:hAnsi="宋体" w:cs="宋体"/>
          <w:sz w:val="24"/>
        </w:rPr>
        <w:t>8.1 甲方对其向乙方提供/披露的各类技术、信息数据、商业资料、规格说明、图纸、文件及专有技术等 (统称“保密资料”)享有合法所有权。</w:t>
      </w:r>
    </w:p>
    <w:p>
      <w:pPr>
        <w:spacing w:line="360" w:lineRule="auto"/>
        <w:ind w:firstLine="480" w:firstLineChars="200"/>
        <w:rPr>
          <w:rFonts w:ascii="宋体" w:hAnsi="宋体" w:cs="宋体"/>
          <w:sz w:val="24"/>
        </w:rPr>
      </w:pPr>
      <w:r>
        <w:rPr>
          <w:rFonts w:hint="eastAsia" w:ascii="宋体" w:hAnsi="宋体" w:cs="宋体"/>
          <w:sz w:val="24"/>
        </w:rPr>
        <w:t>8.2 乙方应将上述甲方保密资料作为商业秘密予以保护。如发生泄密，甲方有权追究乙方泄密责任。</w:t>
      </w:r>
    </w:p>
    <w:p>
      <w:pPr>
        <w:spacing w:line="360" w:lineRule="auto"/>
        <w:ind w:firstLine="480" w:firstLineChars="200"/>
        <w:rPr>
          <w:rFonts w:ascii="宋体" w:hAnsi="宋体" w:cs="宋体"/>
          <w:sz w:val="24"/>
        </w:rPr>
      </w:pPr>
      <w:r>
        <w:rPr>
          <w:rFonts w:hint="eastAsia" w:ascii="宋体" w:hAnsi="宋体" w:cs="宋体"/>
          <w:sz w:val="24"/>
        </w:rPr>
        <w:t>8.2.1除本合同授权实施的行为外，乙方不得将保密资料部分地或全部地对外披露，乙方可仅为本合同的目的向其确有知悉必要的雇员披露甲方提供的保密资料，但同时须指示其雇员遵守本条规定的保密及不披露义务。乙方对于其雇员或代理人在合同内容中保密义务项下的行为负责。</w:t>
      </w:r>
    </w:p>
    <w:p>
      <w:pPr>
        <w:spacing w:line="360" w:lineRule="auto"/>
        <w:ind w:firstLine="480" w:firstLineChars="200"/>
        <w:rPr>
          <w:rFonts w:ascii="宋体" w:hAnsi="宋体" w:cs="宋体"/>
          <w:sz w:val="24"/>
        </w:rPr>
      </w:pPr>
      <w:r>
        <w:rPr>
          <w:rFonts w:hint="eastAsia" w:ascii="宋体" w:hAnsi="宋体" w:cs="宋体"/>
          <w:sz w:val="24"/>
        </w:rPr>
        <w:t>8.2.2 乙方应当妥善保管保密资料，并对保密资料在乙方期间发生的被盗、泄露或其他有损保密资料保密性的事件承担全部责任。乙方仅得为履行本合同之目的对保密资料进行复制。乙方应当在本合同终止或解除时将保密资料原件全部返还甲方，并销毁所有复制件。</w:t>
      </w:r>
    </w:p>
    <w:p>
      <w:pPr>
        <w:spacing w:line="360" w:lineRule="auto"/>
        <w:ind w:firstLine="480" w:firstLineChars="200"/>
        <w:rPr>
          <w:rFonts w:ascii="宋体" w:hAnsi="宋体" w:cs="宋体"/>
          <w:sz w:val="24"/>
        </w:rPr>
      </w:pPr>
      <w:r>
        <w:rPr>
          <w:rFonts w:hint="eastAsia" w:ascii="宋体" w:hAnsi="宋体" w:cs="宋体"/>
          <w:sz w:val="24"/>
        </w:rPr>
        <w:t>8.2.3 为保障甲方保密资料安全，甲方有权要求乙方及可能接触到保密资料的乙方雇员单独出具相应保密承诺。</w:t>
      </w:r>
    </w:p>
    <w:p>
      <w:pPr>
        <w:spacing w:line="360" w:lineRule="auto"/>
        <w:ind w:firstLine="480" w:firstLineChars="200"/>
        <w:rPr>
          <w:rFonts w:ascii="宋体" w:hAnsi="宋体" w:cs="宋体"/>
          <w:sz w:val="24"/>
        </w:rPr>
      </w:pPr>
      <w:r>
        <w:rPr>
          <w:rFonts w:hint="eastAsia" w:ascii="宋体" w:hAnsi="宋体" w:cs="宋体"/>
          <w:sz w:val="24"/>
        </w:rPr>
        <w:t>8.3 出现下述情况时，本条对保密资料的限制不适用。当保密资料：</w:t>
      </w:r>
    </w:p>
    <w:p>
      <w:pPr>
        <w:spacing w:line="360" w:lineRule="auto"/>
        <w:ind w:firstLine="480" w:firstLineChars="200"/>
        <w:rPr>
          <w:rFonts w:ascii="宋体" w:hAnsi="宋体" w:cs="宋体"/>
          <w:sz w:val="24"/>
        </w:rPr>
      </w:pPr>
      <w:r>
        <w:rPr>
          <w:rFonts w:hint="eastAsia" w:ascii="宋体" w:hAnsi="宋体" w:cs="宋体"/>
          <w:sz w:val="24"/>
        </w:rPr>
        <w:t>（1）并非乙方的过错而已经进入公有领域的。</w:t>
      </w:r>
    </w:p>
    <w:p>
      <w:pPr>
        <w:spacing w:line="360" w:lineRule="auto"/>
        <w:ind w:firstLine="480" w:firstLineChars="200"/>
        <w:rPr>
          <w:rFonts w:ascii="宋体" w:hAnsi="宋体" w:cs="宋体"/>
          <w:sz w:val="24"/>
        </w:rPr>
      </w:pPr>
      <w:r>
        <w:rPr>
          <w:rFonts w:hint="eastAsia" w:ascii="宋体" w:hAnsi="宋体" w:cs="宋体"/>
          <w:sz w:val="24"/>
        </w:rPr>
        <w:t>（2）由乙方从没有违反对甲方的保密义务的第三方合法取得的。</w:t>
      </w:r>
    </w:p>
    <w:p>
      <w:pPr>
        <w:spacing w:line="360" w:lineRule="auto"/>
        <w:ind w:firstLine="480" w:firstLineChars="200"/>
        <w:rPr>
          <w:rFonts w:ascii="宋体" w:hAnsi="宋体" w:cs="宋体"/>
          <w:sz w:val="24"/>
        </w:rPr>
      </w:pPr>
      <w:r>
        <w:rPr>
          <w:rFonts w:hint="eastAsia" w:ascii="宋体" w:hAnsi="宋体" w:cs="宋体"/>
          <w:sz w:val="24"/>
        </w:rPr>
        <w:t>（3）法律要求乙方披露的。但乙方应在合理的时间提前通知甲方，使其得以采取其认为必要的保护措施。</w:t>
      </w:r>
    </w:p>
    <w:p>
      <w:pPr>
        <w:spacing w:line="360" w:lineRule="auto"/>
        <w:ind w:firstLine="480" w:firstLineChars="200"/>
        <w:rPr>
          <w:rFonts w:ascii="宋体" w:hAnsi="宋体" w:cs="宋体"/>
          <w:sz w:val="24"/>
        </w:rPr>
      </w:pPr>
      <w:r>
        <w:rPr>
          <w:rFonts w:hint="eastAsia" w:ascii="宋体" w:hAnsi="宋体" w:cs="宋体"/>
          <w:sz w:val="24"/>
        </w:rPr>
        <w:t>8.4 乙方（包括乙方任何使用、获得本协议涉密事项的所有人员、关联单位、客户等）过错导致泄露甲方保密资料的，每发生一次，乙方应向甲方支付违约金</w:t>
      </w:r>
      <w:r>
        <w:rPr>
          <w:rFonts w:hint="eastAsia" w:ascii="宋体" w:hAnsi="宋体" w:cs="宋体"/>
          <w:sz w:val="24"/>
          <w:u w:val="single"/>
        </w:rPr>
        <w:t xml:space="preserve">2 </w:t>
      </w:r>
      <w:r>
        <w:rPr>
          <w:rFonts w:hint="eastAsia" w:ascii="宋体" w:hAnsi="宋体" w:cs="宋体"/>
          <w:sz w:val="24"/>
        </w:rPr>
        <w:t>万元，违约金不足以赔偿甲方损失的，乙方应全额赔偿甲方损失；同时甲方有权采取一切必要法律措施防止继续泄密，由此产生的费用由乙方承担。</w:t>
      </w:r>
    </w:p>
    <w:p>
      <w:pPr>
        <w:spacing w:line="360" w:lineRule="auto"/>
        <w:ind w:firstLine="482" w:firstLineChars="200"/>
        <w:rPr>
          <w:rFonts w:ascii="宋体" w:hAnsi="宋体" w:cs="宋体"/>
          <w:b/>
          <w:bCs/>
          <w:sz w:val="24"/>
        </w:rPr>
      </w:pPr>
      <w:r>
        <w:rPr>
          <w:rFonts w:hint="eastAsia" w:ascii="宋体" w:hAnsi="宋体" w:cs="宋体"/>
          <w:b/>
          <w:bCs/>
          <w:sz w:val="24"/>
        </w:rPr>
        <w:t>9、合同的解除和转让</w:t>
      </w:r>
    </w:p>
    <w:p>
      <w:pPr>
        <w:spacing w:line="360" w:lineRule="auto"/>
        <w:ind w:firstLine="480" w:firstLineChars="200"/>
        <w:rPr>
          <w:rFonts w:ascii="宋体" w:hAnsi="宋体" w:cs="宋体"/>
          <w:sz w:val="24"/>
        </w:rPr>
      </w:pPr>
      <w:r>
        <w:rPr>
          <w:rFonts w:hint="eastAsia" w:ascii="宋体" w:hAnsi="宋体" w:cs="宋体"/>
          <w:sz w:val="24"/>
        </w:rPr>
        <w:t>9.1 因不可抗力致使不能实现合同目的，各方皆有权解除合同，提出方应当在不可抗力发生之后三十天内书面通知对方以主张解除合同，合同在书面通知到达对方时解除，合同解除后乙方应返还已收取的合同价款（扣除其中甲方继续使用部分对应价款后）。</w:t>
      </w:r>
    </w:p>
    <w:p>
      <w:pPr>
        <w:spacing w:line="360" w:lineRule="auto"/>
        <w:ind w:firstLine="480" w:firstLineChars="200"/>
        <w:rPr>
          <w:rFonts w:ascii="宋体" w:hAnsi="宋体" w:cs="宋体"/>
          <w:sz w:val="24"/>
        </w:rPr>
      </w:pPr>
      <w:r>
        <w:rPr>
          <w:rFonts w:hint="eastAsia" w:ascii="宋体" w:hAnsi="宋体" w:cs="宋体"/>
          <w:sz w:val="24"/>
        </w:rPr>
        <w:t>9.2 如乙方过错导致有下列情形之一，甲方有权解除本合同；合同解除后，乙方应返还已收取的合同价款（扣除其中甲方继续使用部分的对应价款后），并向甲方支付合同总金额的10%作为违约金：</w:t>
      </w:r>
    </w:p>
    <w:p>
      <w:pPr>
        <w:spacing w:line="360" w:lineRule="auto"/>
        <w:ind w:firstLine="480" w:firstLineChars="200"/>
        <w:rPr>
          <w:rFonts w:ascii="宋体" w:hAnsi="宋体" w:cs="宋体"/>
          <w:sz w:val="24"/>
        </w:rPr>
      </w:pPr>
      <w:r>
        <w:rPr>
          <w:rFonts w:hint="eastAsia" w:ascii="宋体" w:hAnsi="宋体" w:cs="宋体"/>
          <w:sz w:val="24"/>
        </w:rPr>
        <w:t>（1）项目逾期交付超过30天的；</w:t>
      </w:r>
    </w:p>
    <w:p>
      <w:pPr>
        <w:spacing w:line="360" w:lineRule="auto"/>
        <w:ind w:firstLine="480" w:firstLineChars="200"/>
        <w:rPr>
          <w:rFonts w:ascii="宋体" w:hAnsi="宋体" w:cs="宋体"/>
          <w:sz w:val="24"/>
        </w:rPr>
      </w:pPr>
      <w:r>
        <w:rPr>
          <w:rFonts w:hint="eastAsia" w:ascii="宋体" w:hAnsi="宋体" w:cs="宋体"/>
          <w:sz w:val="24"/>
        </w:rPr>
        <w:t>（2）项目逾期通过最终验收超过30天的；</w:t>
      </w:r>
    </w:p>
    <w:p>
      <w:pPr>
        <w:spacing w:line="360" w:lineRule="auto"/>
        <w:ind w:firstLine="480" w:firstLineChars="200"/>
        <w:rPr>
          <w:rFonts w:ascii="宋体" w:hAnsi="宋体" w:cs="宋体"/>
          <w:sz w:val="24"/>
        </w:rPr>
      </w:pPr>
      <w:r>
        <w:rPr>
          <w:rFonts w:hint="eastAsia" w:ascii="宋体" w:hAnsi="宋体" w:cs="宋体"/>
          <w:sz w:val="24"/>
        </w:rPr>
        <w:t>（3）项目任一项验收不合格，乙方又未在甲方限定的时间期限内完成整改的；</w:t>
      </w:r>
    </w:p>
    <w:p>
      <w:pPr>
        <w:spacing w:line="360" w:lineRule="auto"/>
        <w:ind w:firstLine="480" w:firstLineChars="200"/>
        <w:rPr>
          <w:rFonts w:ascii="宋体" w:hAnsi="宋体" w:cs="宋体"/>
          <w:sz w:val="24"/>
        </w:rPr>
      </w:pPr>
      <w:r>
        <w:rPr>
          <w:rFonts w:hint="eastAsia" w:ascii="宋体" w:hAnsi="宋体" w:cs="宋体"/>
          <w:sz w:val="24"/>
        </w:rPr>
        <w:t>（4）甲方发出项目限期整改通知单后，乙方未按时提出具体整改计划的，或乙方提出整改计划后未在甲方限定的期限内整改完毕的；</w:t>
      </w:r>
    </w:p>
    <w:p>
      <w:pPr>
        <w:spacing w:line="360" w:lineRule="auto"/>
        <w:ind w:firstLine="480" w:firstLineChars="200"/>
        <w:rPr>
          <w:rFonts w:ascii="宋体" w:hAnsi="宋体" w:cs="宋体"/>
          <w:sz w:val="24"/>
        </w:rPr>
      </w:pPr>
      <w:r>
        <w:rPr>
          <w:rFonts w:hint="eastAsia" w:ascii="宋体" w:hAnsi="宋体" w:cs="宋体"/>
          <w:sz w:val="24"/>
        </w:rPr>
        <w:t>（5）乙方违约导致甲方重大损失或合同目的无法实现的；</w:t>
      </w:r>
    </w:p>
    <w:p>
      <w:pPr>
        <w:spacing w:line="360" w:lineRule="auto"/>
        <w:ind w:firstLine="480" w:firstLineChars="200"/>
        <w:rPr>
          <w:rFonts w:ascii="宋体" w:hAnsi="宋体" w:cs="宋体"/>
          <w:sz w:val="24"/>
        </w:rPr>
      </w:pPr>
      <w:r>
        <w:rPr>
          <w:rFonts w:hint="eastAsia" w:ascii="宋体" w:hAnsi="宋体" w:cs="宋体"/>
          <w:sz w:val="24"/>
        </w:rPr>
        <w:t>（6）乙方向第三方转包、分包、转让本项目的。</w:t>
      </w:r>
    </w:p>
    <w:p>
      <w:pPr>
        <w:spacing w:line="360" w:lineRule="auto"/>
        <w:ind w:firstLine="480" w:firstLineChars="200"/>
        <w:rPr>
          <w:rFonts w:ascii="宋体" w:hAnsi="宋体" w:cs="宋体"/>
          <w:sz w:val="24"/>
        </w:rPr>
      </w:pPr>
      <w:r>
        <w:rPr>
          <w:rFonts w:hint="eastAsia" w:ascii="宋体" w:hAnsi="宋体" w:cs="宋体"/>
          <w:sz w:val="24"/>
        </w:rPr>
        <w:t>9.3 未经甲方书面同意并取得书面同意证明，乙方不得将合同进行转让，不得由第三方完成义务及责任。</w:t>
      </w:r>
    </w:p>
    <w:p>
      <w:pPr>
        <w:spacing w:line="360" w:lineRule="auto"/>
        <w:ind w:firstLine="482" w:firstLineChars="200"/>
        <w:rPr>
          <w:rFonts w:ascii="宋体" w:hAnsi="宋体" w:cs="宋体"/>
          <w:sz w:val="24"/>
        </w:rPr>
      </w:pPr>
      <w:r>
        <w:rPr>
          <w:rFonts w:hint="eastAsia" w:ascii="宋体" w:hAnsi="宋体" w:cs="宋体"/>
          <w:b/>
          <w:bCs/>
          <w:sz w:val="24"/>
        </w:rPr>
        <w:t>10、争议的解决</w:t>
      </w:r>
    </w:p>
    <w:p>
      <w:pPr>
        <w:spacing w:line="360" w:lineRule="auto"/>
        <w:ind w:firstLine="480" w:firstLineChars="200"/>
        <w:rPr>
          <w:rFonts w:ascii="宋体" w:hAnsi="宋体" w:cs="宋体"/>
          <w:sz w:val="24"/>
        </w:rPr>
      </w:pPr>
      <w:r>
        <w:rPr>
          <w:rFonts w:hint="eastAsia" w:ascii="宋体" w:hAnsi="宋体" w:cs="宋体"/>
          <w:sz w:val="24"/>
        </w:rPr>
        <w:t>各方因合同发生争议并协商不成，任何一方可以向甲方所在地人民法院起诉。</w:t>
      </w:r>
    </w:p>
    <w:p>
      <w:pPr>
        <w:spacing w:line="360" w:lineRule="auto"/>
        <w:ind w:firstLine="482" w:firstLineChars="200"/>
        <w:rPr>
          <w:rFonts w:ascii="宋体" w:hAnsi="宋体" w:cs="宋体"/>
          <w:b/>
          <w:bCs/>
          <w:sz w:val="24"/>
        </w:rPr>
      </w:pPr>
      <w:r>
        <w:rPr>
          <w:rFonts w:hint="eastAsia" w:ascii="宋体" w:hAnsi="宋体" w:cs="宋体"/>
          <w:b/>
          <w:bCs/>
          <w:sz w:val="24"/>
        </w:rPr>
        <w:t>11、合同生效及其他</w:t>
      </w:r>
    </w:p>
    <w:p>
      <w:pPr>
        <w:spacing w:line="360" w:lineRule="auto"/>
        <w:ind w:firstLine="480" w:firstLineChars="200"/>
        <w:rPr>
          <w:rFonts w:ascii="宋体" w:hAnsi="宋体" w:cs="宋体"/>
          <w:sz w:val="24"/>
          <w:highlight w:val="none"/>
        </w:rPr>
      </w:pPr>
      <w:r>
        <w:rPr>
          <w:rFonts w:hint="eastAsia" w:ascii="宋体" w:hAnsi="宋体" w:cs="宋体"/>
          <w:sz w:val="24"/>
        </w:rPr>
        <w:t>11.1 合同经各方</w:t>
      </w:r>
      <w:r>
        <w:rPr>
          <w:rFonts w:hint="eastAsia" w:ascii="宋体" w:hAnsi="宋体" w:cs="宋体"/>
          <w:sz w:val="24"/>
          <w:highlight w:val="none"/>
        </w:rPr>
        <w:t>代表签字并加盖公章后即生效。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11.2 合同份数：本合同一式</w:t>
      </w:r>
      <w:r>
        <w:rPr>
          <w:rFonts w:hint="eastAsia" w:ascii="宋体" w:hAnsi="宋体" w:cs="宋体"/>
          <w:sz w:val="24"/>
          <w:highlight w:val="none"/>
          <w:u w:val="single"/>
        </w:rPr>
        <w:t xml:space="preserve">    </w:t>
      </w:r>
      <w:r>
        <w:rPr>
          <w:rFonts w:hint="eastAsia" w:ascii="宋体" w:hAnsi="宋体" w:cs="宋体"/>
          <w:sz w:val="24"/>
          <w:highlight w:val="none"/>
        </w:rPr>
        <w:t>份，甲乙两方各执</w:t>
      </w:r>
      <w:r>
        <w:rPr>
          <w:rFonts w:hint="eastAsia" w:ascii="宋体" w:hAnsi="宋体" w:cs="宋体"/>
          <w:sz w:val="24"/>
          <w:highlight w:val="none"/>
          <w:u w:val="single"/>
        </w:rPr>
        <w:t xml:space="preserve">    </w:t>
      </w:r>
      <w:r>
        <w:rPr>
          <w:rFonts w:hint="eastAsia" w:ascii="宋体" w:hAnsi="宋体" w:cs="宋体"/>
          <w:sz w:val="24"/>
          <w:highlight w:val="none"/>
        </w:rPr>
        <w:t>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11.3 合同在执行过程中出现的未尽事宜，各方在不违背本合同的原则下协商解决，协商结果以书面形式盖章记录在案，作为本合同的附件，与本合同具有同等效力。</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11.4甲方保留调整合同条款的权利。</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rPr>
      </w:pPr>
      <w:r>
        <w:rPr>
          <w:rFonts w:hint="eastAsia" w:ascii="宋体" w:hAnsi="宋体" w:cs="宋体"/>
          <w:sz w:val="24"/>
        </w:rPr>
        <w:t xml:space="preserve">甲方：（盖章）                     乙方：（盖章）         </w:t>
      </w:r>
    </w:p>
    <w:p>
      <w:pPr>
        <w:spacing w:line="360" w:lineRule="auto"/>
        <w:ind w:firstLine="480" w:firstLineChars="200"/>
        <w:rPr>
          <w:rFonts w:ascii="宋体" w:hAnsi="宋体" w:cs="宋体"/>
          <w:sz w:val="24"/>
        </w:rPr>
      </w:pPr>
    </w:p>
    <w:p>
      <w:pPr>
        <w:pStyle w:val="60"/>
        <w:ind w:firstLine="480" w:firstLineChars="200"/>
        <w:rPr>
          <w:rFonts w:ascii="宋体" w:hAnsi="宋体" w:cs="宋体"/>
          <w:szCs w:val="21"/>
        </w:rPr>
      </w:pPr>
      <w:r>
        <w:rPr>
          <w:rFonts w:hint="eastAsia" w:ascii="宋体" w:hAnsi="宋体" w:cs="宋体"/>
          <w:sz w:val="24"/>
        </w:rPr>
        <w:t>代理人：                           代理人：</w:t>
      </w:r>
      <w:r>
        <w:rPr>
          <w:rFonts w:hint="eastAsia" w:ascii="宋体" w:hAnsi="宋体" w:cs="宋体"/>
          <w:szCs w:val="21"/>
        </w:rPr>
        <w:t xml:space="preserve"> </w:t>
      </w:r>
    </w:p>
    <w:p>
      <w:pPr>
        <w:pStyle w:val="60"/>
        <w:ind w:firstLineChars="200"/>
        <w:rPr>
          <w:rFonts w:ascii="宋体" w:hAnsi="宋体" w:cs="宋体"/>
          <w:szCs w:val="21"/>
        </w:rPr>
      </w:pPr>
    </w:p>
    <w:p>
      <w:pPr>
        <w:pStyle w:val="60"/>
        <w:ind w:firstLine="420" w:firstLineChars="200"/>
        <w:rPr>
          <w:rFonts w:ascii="宋体" w:hAnsi="宋体" w:cs="宋体"/>
          <w:sz w:val="24"/>
        </w:rPr>
      </w:pPr>
      <w:r>
        <w:rPr>
          <w:rFonts w:hint="eastAsia" w:ascii="宋体" w:hAnsi="宋体" w:cs="宋体"/>
          <w:szCs w:val="21"/>
        </w:rPr>
        <w:t xml:space="preserve">日期： </w:t>
      </w:r>
      <w:r>
        <w:rPr>
          <w:rFonts w:ascii="宋体" w:hAnsi="宋体" w:cs="宋体"/>
          <w:szCs w:val="21"/>
        </w:rPr>
        <w:t xml:space="preserve">                                  </w:t>
      </w:r>
      <w:r>
        <w:rPr>
          <w:rFonts w:hint="eastAsia" w:ascii="宋体" w:hAnsi="宋体" w:cs="宋体"/>
          <w:szCs w:val="21"/>
        </w:rPr>
        <w:t>日期：</w:t>
      </w:r>
    </w:p>
    <w:p>
      <w:pPr>
        <w:spacing w:line="420" w:lineRule="exact"/>
        <w:rPr>
          <w:rFonts w:ascii="宋体" w:hAnsi="宋体" w:cs="宋体"/>
          <w:sz w:val="24"/>
        </w:rPr>
      </w:pPr>
    </w:p>
    <w:p>
      <w:pPr>
        <w:spacing w:line="420" w:lineRule="exact"/>
        <w:ind w:firstLine="480" w:firstLineChars="200"/>
        <w:rPr>
          <w:rFonts w:ascii="宋体" w:hAnsi="宋体" w:cs="宋体"/>
          <w:sz w:val="24"/>
        </w:rPr>
      </w:pPr>
    </w:p>
    <w:p>
      <w:pPr>
        <w:snapToGrid w:val="0"/>
        <w:spacing w:line="400" w:lineRule="atLeast"/>
        <w:ind w:firstLine="482" w:firstLineChars="200"/>
        <w:jc w:val="center"/>
        <w:outlineLvl w:val="0"/>
        <w:rPr>
          <w:rFonts w:ascii="宋体" w:hAnsi="宋体" w:cs="宋体"/>
          <w:b/>
          <w:sz w:val="24"/>
        </w:rPr>
        <w:sectPr>
          <w:pgSz w:w="11907" w:h="16839"/>
          <w:pgMar w:top="1418" w:right="1588" w:bottom="1418" w:left="1588" w:header="851" w:footer="851" w:gutter="0"/>
          <w:cols w:space="720" w:num="1"/>
          <w:docGrid w:linePitch="286" w:charSpace="0"/>
        </w:sectPr>
      </w:pPr>
      <w:bookmarkStart w:id="20" w:name="_GoBack"/>
      <w:bookmarkEnd w:id="20"/>
    </w:p>
    <w:p>
      <w:pPr>
        <w:snapToGrid w:val="0"/>
        <w:spacing w:line="400" w:lineRule="atLeast"/>
        <w:jc w:val="center"/>
        <w:outlineLvl w:val="0"/>
        <w:rPr>
          <w:rFonts w:ascii="仿宋_GB2312" w:hAnsi="宋体" w:eastAsia="仿宋_GB2312"/>
          <w:b/>
          <w:sz w:val="36"/>
          <w:szCs w:val="36"/>
        </w:rPr>
      </w:pPr>
      <w:r>
        <w:rPr>
          <w:rFonts w:hint="eastAsia" w:ascii="仿宋_GB2312" w:hAnsi="宋体" w:eastAsia="仿宋_GB2312"/>
          <w:b/>
          <w:sz w:val="36"/>
          <w:szCs w:val="36"/>
        </w:rPr>
        <w:t>第六部分  质疑提出和处理</w:t>
      </w:r>
    </w:p>
    <w:p>
      <w:pPr>
        <w:pStyle w:val="11"/>
        <w:snapToGrid w:val="0"/>
        <w:spacing w:line="400" w:lineRule="atLeast"/>
        <w:ind w:left="0" w:leftChars="0" w:firstLine="640" w:firstLineChars="200"/>
        <w:contextualSpacing/>
        <w:rPr>
          <w:rFonts w:ascii="仿宋_GB2312" w:hAnsi="宋体" w:eastAsia="仿宋_GB2312"/>
          <w:sz w:val="32"/>
          <w:szCs w:val="32"/>
        </w:rPr>
      </w:pPr>
    </w:p>
    <w:p>
      <w:pPr>
        <w:pStyle w:val="11"/>
        <w:snapToGrid w:val="0"/>
        <w:spacing w:line="480" w:lineRule="exact"/>
        <w:ind w:firstLine="480" w:firstLineChars="200"/>
        <w:contextualSpacing/>
        <w:rPr>
          <w:sz w:val="24"/>
        </w:rPr>
      </w:pPr>
      <w:r>
        <w:rPr>
          <w:sz w:val="24"/>
        </w:rPr>
        <w:t>一、质疑的提出</w:t>
      </w:r>
    </w:p>
    <w:p>
      <w:pPr>
        <w:pStyle w:val="11"/>
        <w:snapToGrid w:val="0"/>
        <w:spacing w:line="480" w:lineRule="exact"/>
        <w:ind w:firstLine="480" w:firstLineChars="200"/>
        <w:contextualSpacing/>
        <w:rPr>
          <w:sz w:val="24"/>
        </w:rPr>
      </w:pPr>
      <w:r>
        <w:rPr>
          <w:sz w:val="24"/>
        </w:rPr>
        <w:t xml:space="preserve">(一)质疑人的身份要求      </w:t>
      </w:r>
    </w:p>
    <w:p>
      <w:pPr>
        <w:pStyle w:val="11"/>
        <w:snapToGrid w:val="0"/>
        <w:spacing w:line="480" w:lineRule="exact"/>
        <w:ind w:firstLine="480" w:firstLineChars="200"/>
        <w:contextualSpacing/>
        <w:rPr>
          <w:sz w:val="24"/>
        </w:rPr>
      </w:pPr>
      <w:r>
        <w:rPr>
          <w:sz w:val="24"/>
        </w:rPr>
        <w:t>1.提出质疑的供应商应当是参与所质疑项目采购活动的供应商。</w:t>
      </w:r>
    </w:p>
    <w:p>
      <w:pPr>
        <w:pStyle w:val="11"/>
        <w:snapToGrid w:val="0"/>
        <w:spacing w:line="480" w:lineRule="exact"/>
        <w:ind w:firstLine="480" w:firstLineChars="200"/>
        <w:contextualSpacing/>
        <w:rPr>
          <w:sz w:val="24"/>
        </w:rPr>
      </w:pPr>
      <w:r>
        <w:rPr>
          <w:sz w:val="24"/>
        </w:rPr>
        <w:t>2.潜在供应商已依法获取其可质疑的采购文件的，可以对该文件提出质疑。对采购文件提出质疑的，应当在获取采购文件或者采购文件公告期限届满之日起7个工作日内提出。</w:t>
      </w:r>
    </w:p>
    <w:p>
      <w:pPr>
        <w:pStyle w:val="11"/>
        <w:snapToGrid w:val="0"/>
        <w:spacing w:line="480" w:lineRule="exact"/>
        <w:ind w:firstLine="480" w:firstLineChars="200"/>
        <w:contextualSpacing/>
        <w:rPr>
          <w:sz w:val="24"/>
        </w:rPr>
      </w:pPr>
      <w:r>
        <w:rPr>
          <w:sz w:val="24"/>
        </w:rPr>
        <w:t xml:space="preserve">(二)质疑提出的格式要求   </w:t>
      </w:r>
    </w:p>
    <w:p>
      <w:pPr>
        <w:pStyle w:val="11"/>
        <w:snapToGrid w:val="0"/>
        <w:spacing w:line="480" w:lineRule="exact"/>
        <w:ind w:firstLine="480" w:firstLineChars="200"/>
        <w:contextualSpacing/>
        <w:rPr>
          <w:sz w:val="24"/>
        </w:rPr>
      </w:pPr>
      <w:r>
        <w:rPr>
          <w:sz w:val="24"/>
        </w:rPr>
        <w:t>1.质疑必须按《政府采购法》、《政府采购法实施条例》及《江苏省政府采购供应商监督管理暂行办法》的相关规定提交，质疑实行实名制，不得进行虚假、恶意质疑，未按上述要求提交的质疑函，采购人和采购代理机构有权不予受理。</w:t>
      </w:r>
    </w:p>
    <w:p>
      <w:pPr>
        <w:pStyle w:val="11"/>
        <w:snapToGrid w:val="0"/>
        <w:spacing w:line="480" w:lineRule="exact"/>
        <w:ind w:firstLine="480" w:firstLineChars="200"/>
        <w:contextualSpacing/>
        <w:rPr>
          <w:sz w:val="24"/>
        </w:rPr>
      </w:pPr>
      <w:r>
        <w:rPr>
          <w:sz w:val="24"/>
        </w:rPr>
        <w:t xml:space="preserve">2.质疑函应包括：    </w:t>
      </w:r>
    </w:p>
    <w:p>
      <w:pPr>
        <w:pStyle w:val="11"/>
        <w:snapToGrid w:val="0"/>
        <w:spacing w:line="480" w:lineRule="exact"/>
        <w:ind w:firstLine="480" w:firstLineChars="200"/>
        <w:contextualSpacing/>
        <w:rPr>
          <w:sz w:val="24"/>
        </w:rPr>
      </w:pPr>
      <w:r>
        <w:rPr>
          <w:sz w:val="24"/>
        </w:rPr>
        <w:t>（1）质疑</w:t>
      </w:r>
      <w:r>
        <w:rPr>
          <w:rFonts w:hint="eastAsia"/>
          <w:sz w:val="24"/>
        </w:rPr>
        <w:t>供应商</w:t>
      </w:r>
      <w:r>
        <w:rPr>
          <w:sz w:val="24"/>
        </w:rPr>
        <w:t>的名称、地址、邮编、联系人及联系电话；</w:t>
      </w:r>
    </w:p>
    <w:p>
      <w:pPr>
        <w:pStyle w:val="11"/>
        <w:snapToGrid w:val="0"/>
        <w:spacing w:line="480" w:lineRule="exact"/>
        <w:ind w:firstLine="480" w:firstLineChars="200"/>
        <w:contextualSpacing/>
        <w:rPr>
          <w:sz w:val="24"/>
        </w:rPr>
      </w:pPr>
      <w:r>
        <w:rPr>
          <w:sz w:val="24"/>
        </w:rPr>
        <w:t>（2）质疑项目的名称、编号；</w:t>
      </w:r>
    </w:p>
    <w:p>
      <w:pPr>
        <w:pStyle w:val="11"/>
        <w:snapToGrid w:val="0"/>
        <w:spacing w:line="480" w:lineRule="exact"/>
        <w:ind w:firstLine="480" w:firstLineChars="200"/>
        <w:contextualSpacing/>
        <w:rPr>
          <w:sz w:val="24"/>
        </w:rPr>
      </w:pPr>
      <w:r>
        <w:rPr>
          <w:sz w:val="24"/>
        </w:rPr>
        <w:t>（3）具体、明确的质疑事项和与质疑事项相关的请求；</w:t>
      </w:r>
    </w:p>
    <w:p>
      <w:pPr>
        <w:pStyle w:val="11"/>
        <w:snapToGrid w:val="0"/>
        <w:spacing w:line="480" w:lineRule="exact"/>
        <w:ind w:firstLine="480" w:firstLineChars="200"/>
        <w:contextualSpacing/>
        <w:rPr>
          <w:sz w:val="24"/>
        </w:rPr>
      </w:pPr>
      <w:r>
        <w:rPr>
          <w:sz w:val="24"/>
        </w:rPr>
        <w:t>（4）事实依据；</w:t>
      </w:r>
    </w:p>
    <w:p>
      <w:pPr>
        <w:pStyle w:val="11"/>
        <w:snapToGrid w:val="0"/>
        <w:spacing w:line="480" w:lineRule="exact"/>
        <w:ind w:firstLine="480" w:firstLineChars="200"/>
        <w:contextualSpacing/>
        <w:rPr>
          <w:sz w:val="24"/>
        </w:rPr>
      </w:pPr>
      <w:r>
        <w:rPr>
          <w:sz w:val="24"/>
        </w:rPr>
        <w:t xml:space="preserve">（5）必要的法律依据；                          </w:t>
      </w:r>
    </w:p>
    <w:p>
      <w:pPr>
        <w:pStyle w:val="11"/>
        <w:snapToGrid w:val="0"/>
        <w:spacing w:line="480" w:lineRule="exact"/>
        <w:ind w:firstLine="480" w:firstLineChars="200"/>
        <w:contextualSpacing/>
        <w:rPr>
          <w:sz w:val="24"/>
        </w:rPr>
      </w:pPr>
      <w:r>
        <w:rPr>
          <w:sz w:val="24"/>
        </w:rPr>
        <w:t>（6）提出质疑的日期。</w:t>
      </w:r>
    </w:p>
    <w:p>
      <w:pPr>
        <w:pStyle w:val="11"/>
        <w:snapToGrid w:val="0"/>
        <w:spacing w:line="480" w:lineRule="exact"/>
        <w:ind w:firstLine="480" w:firstLineChars="200"/>
        <w:contextualSpacing/>
        <w:rPr>
          <w:sz w:val="24"/>
        </w:rPr>
      </w:pPr>
      <w:r>
        <w:rPr>
          <w:sz w:val="24"/>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采购代理机构将不予受理。质疑人委托代理质疑的，应当提交授权委托书，并载明委托代理的具体权限和事项。</w:t>
      </w:r>
    </w:p>
    <w:p>
      <w:pPr>
        <w:pStyle w:val="11"/>
        <w:snapToGrid w:val="0"/>
        <w:spacing w:line="480" w:lineRule="exact"/>
        <w:ind w:firstLine="480" w:firstLineChars="200"/>
        <w:contextualSpacing/>
        <w:rPr>
          <w:sz w:val="24"/>
        </w:rPr>
      </w:pPr>
      <w:r>
        <w:rPr>
          <w:sz w:val="24"/>
        </w:rPr>
        <w:t>3.质疑函需遵循的原则：</w:t>
      </w:r>
    </w:p>
    <w:p>
      <w:pPr>
        <w:pStyle w:val="11"/>
        <w:snapToGrid w:val="0"/>
        <w:spacing w:line="480" w:lineRule="exact"/>
        <w:ind w:firstLine="480" w:firstLineChars="200"/>
        <w:contextualSpacing/>
        <w:rPr>
          <w:sz w:val="24"/>
        </w:rPr>
      </w:pPr>
      <w:r>
        <w:rPr>
          <w:sz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11"/>
        <w:snapToGrid w:val="0"/>
        <w:spacing w:line="480" w:lineRule="exact"/>
        <w:ind w:firstLine="480" w:firstLineChars="200"/>
        <w:contextualSpacing/>
        <w:rPr>
          <w:sz w:val="24"/>
        </w:rPr>
      </w:pPr>
      <w:r>
        <w:rPr>
          <w:sz w:val="24"/>
        </w:rPr>
        <w:t>（三）质疑提出的时效要求</w:t>
      </w:r>
    </w:p>
    <w:p>
      <w:pPr>
        <w:pStyle w:val="11"/>
        <w:snapToGrid w:val="0"/>
        <w:spacing w:line="480" w:lineRule="exact"/>
        <w:ind w:left="0" w:leftChars="0" w:firstLine="480" w:firstLineChars="200"/>
        <w:contextualSpacing/>
        <w:rPr>
          <w:sz w:val="24"/>
        </w:rPr>
      </w:pPr>
      <w:r>
        <w:rPr>
          <w:sz w:val="24"/>
        </w:rPr>
        <w:t>1.</w:t>
      </w:r>
      <w:r>
        <w:rPr>
          <w:rFonts w:hint="eastAsia"/>
          <w:sz w:val="24"/>
        </w:rPr>
        <w:t>供应商</w:t>
      </w:r>
      <w:r>
        <w:rPr>
          <w:sz w:val="24"/>
        </w:rPr>
        <w:t xml:space="preserve">认为采购文件、采购过程和采购结果使自己的权益受到损害的，可以在知道或应知其权益受到损害之日起七个工作日内，以书面形式向采购人、采购代理机构提出质疑。上述应知其权益受到损害之日，是指：                       </w:t>
      </w:r>
    </w:p>
    <w:p>
      <w:pPr>
        <w:pStyle w:val="11"/>
        <w:snapToGrid w:val="0"/>
        <w:spacing w:line="480" w:lineRule="exact"/>
        <w:ind w:firstLine="480" w:firstLineChars="200"/>
        <w:contextualSpacing/>
        <w:rPr>
          <w:sz w:val="24"/>
        </w:rPr>
      </w:pPr>
      <w:r>
        <w:rPr>
          <w:sz w:val="24"/>
        </w:rPr>
        <w:t>（1）对可以质疑的采购文件提出质疑的，为收到采购文件之日或者采购文件公告期限届满之日；</w:t>
      </w:r>
    </w:p>
    <w:p>
      <w:pPr>
        <w:pStyle w:val="11"/>
        <w:snapToGrid w:val="0"/>
        <w:spacing w:line="480" w:lineRule="exact"/>
        <w:ind w:firstLine="480" w:firstLineChars="200"/>
        <w:contextualSpacing/>
        <w:rPr>
          <w:sz w:val="24"/>
        </w:rPr>
      </w:pPr>
      <w:r>
        <w:rPr>
          <w:sz w:val="24"/>
        </w:rPr>
        <w:t>（2）对采购过程提出质疑的，为各采购程序环节结束之日；</w:t>
      </w:r>
    </w:p>
    <w:p>
      <w:pPr>
        <w:pStyle w:val="11"/>
        <w:snapToGrid w:val="0"/>
        <w:spacing w:line="480" w:lineRule="exact"/>
        <w:ind w:firstLine="480" w:firstLineChars="200"/>
        <w:contextualSpacing/>
        <w:rPr>
          <w:sz w:val="24"/>
        </w:rPr>
      </w:pPr>
      <w:r>
        <w:rPr>
          <w:sz w:val="24"/>
        </w:rPr>
        <w:t>（3）对中标或者成交结果提出质疑的，为中标或者成交结果公告期限届满之日。</w:t>
      </w:r>
    </w:p>
    <w:p>
      <w:pPr>
        <w:pStyle w:val="11"/>
        <w:snapToGrid w:val="0"/>
        <w:spacing w:line="480" w:lineRule="exact"/>
        <w:ind w:firstLine="480" w:firstLineChars="200"/>
        <w:contextualSpacing/>
        <w:rPr>
          <w:sz w:val="24"/>
        </w:rPr>
      </w:pPr>
      <w:r>
        <w:rPr>
          <w:rFonts w:hint="eastAsia"/>
          <w:sz w:val="24"/>
        </w:rPr>
        <w:t>供应商</w:t>
      </w:r>
      <w:r>
        <w:rPr>
          <w:sz w:val="24"/>
        </w:rPr>
        <w:t>认为采购文件使自己的权益受到损害的，可以向采购人、采购代理机构提出质疑；</w:t>
      </w:r>
      <w:r>
        <w:rPr>
          <w:rFonts w:hint="eastAsia"/>
          <w:sz w:val="24"/>
        </w:rPr>
        <w:t>供应商</w:t>
      </w:r>
      <w:r>
        <w:rPr>
          <w:sz w:val="24"/>
        </w:rPr>
        <w:t>认为采购过程和采购结果使自己的权益受到损害的，可以以书面形式向采购人、采购代理机构提出质疑。</w:t>
      </w:r>
    </w:p>
    <w:p>
      <w:pPr>
        <w:pStyle w:val="11"/>
        <w:snapToGrid w:val="0"/>
        <w:spacing w:line="480" w:lineRule="exact"/>
        <w:ind w:firstLine="480" w:firstLineChars="200"/>
        <w:contextualSpacing/>
        <w:rPr>
          <w:sz w:val="24"/>
        </w:rPr>
      </w:pPr>
      <w:r>
        <w:rPr>
          <w:sz w:val="24"/>
        </w:rPr>
        <w:t>2.</w:t>
      </w:r>
      <w:r>
        <w:rPr>
          <w:rFonts w:hint="eastAsia"/>
          <w:sz w:val="24"/>
        </w:rPr>
        <w:t>供应商</w:t>
      </w:r>
      <w:r>
        <w:rPr>
          <w:sz w:val="24"/>
        </w:rPr>
        <w:t xml:space="preserve">应在法定质疑期一次性提出针对同一采购程序环节的质疑。                         </w:t>
      </w:r>
    </w:p>
    <w:p>
      <w:pPr>
        <w:pStyle w:val="11"/>
        <w:snapToGrid w:val="0"/>
        <w:spacing w:line="480" w:lineRule="exact"/>
        <w:ind w:firstLine="480" w:firstLineChars="200"/>
        <w:contextualSpacing/>
        <w:rPr>
          <w:sz w:val="24"/>
        </w:rPr>
      </w:pPr>
      <w:r>
        <w:rPr>
          <w:sz w:val="24"/>
        </w:rPr>
        <w:t>二、《质疑函》的受理和答复</w:t>
      </w:r>
    </w:p>
    <w:p>
      <w:pPr>
        <w:pStyle w:val="11"/>
        <w:snapToGrid w:val="0"/>
        <w:spacing w:line="480" w:lineRule="exact"/>
        <w:ind w:firstLine="480" w:firstLineChars="200"/>
        <w:contextualSpacing/>
        <w:rPr>
          <w:sz w:val="24"/>
        </w:rPr>
      </w:pPr>
      <w:r>
        <w:rPr>
          <w:sz w:val="24"/>
        </w:rPr>
        <w:t>1.采购人、采购代理机构收到质疑函后，将对质疑的形式和内容进行审查，如质疑函内容、格式不符合规定，需告知质疑人进行补正。</w:t>
      </w:r>
    </w:p>
    <w:p>
      <w:pPr>
        <w:pStyle w:val="11"/>
        <w:snapToGrid w:val="0"/>
        <w:spacing w:line="480" w:lineRule="exact"/>
        <w:ind w:firstLine="480" w:firstLineChars="200"/>
        <w:contextualSpacing/>
        <w:rPr>
          <w:sz w:val="24"/>
        </w:rPr>
      </w:pPr>
      <w:r>
        <w:rPr>
          <w:sz w:val="24"/>
        </w:rPr>
        <w:t>2. 质疑人应当在法定质疑期限内进行补正并重新提交质疑函，拒不补正或者在法定期限内未重新提交质疑函的，为无效质疑，不予受理。</w:t>
      </w:r>
    </w:p>
    <w:p>
      <w:pPr>
        <w:pStyle w:val="11"/>
        <w:snapToGrid w:val="0"/>
        <w:spacing w:line="480" w:lineRule="exact"/>
        <w:ind w:firstLine="480" w:firstLineChars="200"/>
        <w:contextualSpacing/>
        <w:rPr>
          <w:sz w:val="24"/>
        </w:rPr>
      </w:pPr>
      <w:r>
        <w:rPr>
          <w:sz w:val="24"/>
        </w:rPr>
        <w:t>3.采购人、采购代理机构答复供应商质疑应当采用书面方式并依法送达，质疑供应商或其委托代理人拒绝签收的视为已经送达。</w:t>
      </w:r>
    </w:p>
    <w:p>
      <w:pPr>
        <w:pStyle w:val="11"/>
        <w:snapToGrid w:val="0"/>
        <w:spacing w:line="480" w:lineRule="exact"/>
        <w:ind w:firstLine="480" w:firstLineChars="200"/>
        <w:contextualSpacing/>
        <w:rPr>
          <w:sz w:val="24"/>
        </w:rPr>
      </w:pPr>
      <w:r>
        <w:rPr>
          <w:sz w:val="24"/>
        </w:rPr>
        <w:t>4.采购人负责供应商质疑答复。采购人委托采购代理机构采购的，采购代理机构在委托授权范围内作出答复。</w:t>
      </w:r>
    </w:p>
    <w:p>
      <w:pPr>
        <w:pStyle w:val="11"/>
        <w:snapToGrid w:val="0"/>
        <w:spacing w:line="480" w:lineRule="exact"/>
        <w:ind w:firstLine="480" w:firstLineChars="200"/>
        <w:contextualSpacing/>
        <w:rPr>
          <w:sz w:val="24"/>
        </w:rPr>
      </w:pPr>
      <w:r>
        <w:rPr>
          <w:sz w:val="24"/>
        </w:rPr>
        <w:t>三、质疑处理</w:t>
      </w:r>
    </w:p>
    <w:p>
      <w:pPr>
        <w:pStyle w:val="11"/>
        <w:snapToGrid w:val="0"/>
        <w:spacing w:line="480" w:lineRule="exact"/>
        <w:ind w:firstLine="480" w:firstLineChars="200"/>
        <w:contextualSpacing/>
        <w:rPr>
          <w:sz w:val="24"/>
        </w:rPr>
      </w:pPr>
      <w:r>
        <w:rPr>
          <w:sz w:val="24"/>
        </w:rPr>
        <w:t>1. 质疑成立的处理</w:t>
      </w:r>
    </w:p>
    <w:p>
      <w:pPr>
        <w:pStyle w:val="11"/>
        <w:snapToGrid w:val="0"/>
        <w:spacing w:line="480" w:lineRule="exact"/>
        <w:ind w:firstLine="480" w:firstLineChars="200"/>
        <w:contextualSpacing/>
        <w:rPr>
          <w:sz w:val="24"/>
        </w:rPr>
      </w:pPr>
      <w:r>
        <w:rPr>
          <w:sz w:val="24"/>
        </w:rPr>
        <w:t>（1）对于内容、格式符合规定的质疑函，采购人、采购代理机构在收到</w:t>
      </w:r>
      <w:r>
        <w:rPr>
          <w:rFonts w:hint="eastAsia"/>
          <w:sz w:val="24"/>
        </w:rPr>
        <w:t>响应</w:t>
      </w:r>
      <w:r>
        <w:rPr>
          <w:sz w:val="24"/>
        </w:rPr>
        <w:t xml:space="preserve">供应商的书面质疑后七个工作日内作出书面答复，但答复的内容不得涉及商业秘密。                       </w:t>
      </w:r>
    </w:p>
    <w:p>
      <w:pPr>
        <w:pStyle w:val="11"/>
        <w:snapToGrid w:val="0"/>
        <w:spacing w:line="480" w:lineRule="exact"/>
        <w:ind w:firstLine="480" w:firstLineChars="200"/>
        <w:contextualSpacing/>
        <w:rPr>
          <w:sz w:val="24"/>
        </w:rPr>
      </w:pPr>
      <w:r>
        <w:rPr>
          <w:sz w:val="24"/>
        </w:rPr>
        <w:t>（2）对采购文件提出的质疑，依法通过澄清或者修改可以继续开展采购活动的，澄清或者修改采购文件后继续开展采购活动；否则应当修改采购文件后重新开展采购活动。</w:t>
      </w:r>
    </w:p>
    <w:p>
      <w:pPr>
        <w:pStyle w:val="11"/>
        <w:snapToGrid w:val="0"/>
        <w:spacing w:line="480" w:lineRule="exact"/>
        <w:ind w:firstLine="480" w:firstLineChars="200"/>
        <w:contextualSpacing/>
        <w:rPr>
          <w:sz w:val="24"/>
        </w:rPr>
      </w:pPr>
      <w:r>
        <w:rPr>
          <w:sz w:val="24"/>
        </w:rPr>
        <w:t>（3）对采购过程、中标或者成交结果提出的质疑，合格供应商符合法定数量时，可以从合格的候选人中另行确定中标、成交供应商的，应当依法另行确定中标、成交供应商；否则应当重新开展采购活动。</w:t>
      </w:r>
    </w:p>
    <w:p>
      <w:pPr>
        <w:pStyle w:val="11"/>
        <w:snapToGrid w:val="0"/>
        <w:spacing w:line="480" w:lineRule="exact"/>
        <w:ind w:firstLine="480" w:firstLineChars="200"/>
        <w:contextualSpacing/>
        <w:rPr>
          <w:sz w:val="24"/>
        </w:rPr>
      </w:pPr>
      <w:r>
        <w:rPr>
          <w:sz w:val="24"/>
        </w:rPr>
        <w:t>质疑答复导致中标、成交结果改变的，采购人或者采购代理机构应当将有关情况书面报告本级财政部门。</w:t>
      </w:r>
    </w:p>
    <w:p>
      <w:pPr>
        <w:pStyle w:val="11"/>
        <w:snapToGrid w:val="0"/>
        <w:spacing w:line="480" w:lineRule="exact"/>
        <w:ind w:firstLine="480" w:firstLineChars="200"/>
        <w:contextualSpacing/>
        <w:rPr>
          <w:sz w:val="24"/>
        </w:rPr>
      </w:pPr>
      <w:r>
        <w:rPr>
          <w:sz w:val="24"/>
        </w:rPr>
        <w:t>2.质疑不成立的处理</w:t>
      </w:r>
    </w:p>
    <w:p>
      <w:pPr>
        <w:pStyle w:val="11"/>
        <w:snapToGrid w:val="0"/>
        <w:spacing w:line="480" w:lineRule="exact"/>
        <w:ind w:firstLine="480" w:firstLineChars="200"/>
        <w:contextualSpacing/>
        <w:rPr>
          <w:sz w:val="24"/>
        </w:rPr>
      </w:pPr>
      <w:r>
        <w:rPr>
          <w:sz w:val="24"/>
        </w:rPr>
        <w:t xml:space="preserve">若质疑不成立，或者成立未对中标、成交结果构成影响的，继续开展采购活动。                  </w:t>
      </w:r>
    </w:p>
    <w:p>
      <w:pPr>
        <w:pStyle w:val="11"/>
        <w:snapToGrid w:val="0"/>
        <w:spacing w:line="480" w:lineRule="exact"/>
        <w:ind w:firstLine="480" w:firstLineChars="200"/>
        <w:contextualSpacing/>
        <w:rPr>
          <w:sz w:val="24"/>
        </w:rPr>
      </w:pPr>
      <w:r>
        <w:rPr>
          <w:sz w:val="24"/>
        </w:rPr>
        <w:t xml:space="preserve">3.虚假质疑的处理          </w:t>
      </w:r>
    </w:p>
    <w:p>
      <w:pPr>
        <w:pStyle w:val="11"/>
        <w:snapToGrid w:val="0"/>
        <w:spacing w:line="480" w:lineRule="exact"/>
        <w:ind w:firstLine="480" w:firstLineChars="200"/>
        <w:contextualSpacing/>
        <w:rPr>
          <w:sz w:val="24"/>
        </w:rPr>
      </w:pPr>
      <w:r>
        <w:rPr>
          <w:sz w:val="24"/>
        </w:rPr>
        <w:t>（1）</w:t>
      </w:r>
      <w:r>
        <w:rPr>
          <w:rFonts w:hint="eastAsia"/>
          <w:sz w:val="24"/>
        </w:rPr>
        <w:t>供应商</w:t>
      </w:r>
      <w:r>
        <w:rPr>
          <w:sz w:val="24"/>
        </w:rPr>
        <w:t>提出书面质疑必须有理、有据，不得恶意质疑或提交虚假质疑。否则，一经查实，采购人有权依据政府采购的有关规定，报请政府采购监管部门对该</w:t>
      </w:r>
      <w:r>
        <w:rPr>
          <w:rFonts w:hint="eastAsia"/>
          <w:sz w:val="24"/>
        </w:rPr>
        <w:t>供应商</w:t>
      </w:r>
      <w:r>
        <w:rPr>
          <w:sz w:val="24"/>
        </w:rPr>
        <w:t xml:space="preserve">进行相应的行政处罚。                          </w:t>
      </w:r>
    </w:p>
    <w:p>
      <w:pPr>
        <w:pStyle w:val="11"/>
        <w:snapToGrid w:val="0"/>
        <w:spacing w:line="480" w:lineRule="exact"/>
        <w:ind w:firstLine="480" w:firstLineChars="200"/>
        <w:contextualSpacing/>
        <w:rPr>
          <w:sz w:val="24"/>
        </w:rPr>
      </w:pPr>
      <w:r>
        <w:rPr>
          <w:sz w:val="24"/>
        </w:rPr>
        <w:t>（2）在江苏省范围内一年累计三次以上质疑，均查无实据的供应商将按失信行为记入该注册供应商诚信档案中。</w:t>
      </w:r>
    </w:p>
    <w:p>
      <w:pPr>
        <w:pStyle w:val="11"/>
        <w:snapToGrid w:val="0"/>
        <w:spacing w:line="480" w:lineRule="exact"/>
        <w:ind w:firstLine="480" w:firstLineChars="200"/>
        <w:contextualSpacing/>
        <w:rPr>
          <w:sz w:val="24"/>
        </w:rPr>
      </w:pPr>
      <w:r>
        <w:rPr>
          <w:sz w:val="24"/>
        </w:rPr>
        <w:t>（3）采购人、采购代理机构受理质疑和答复相关咨询，联系电话详见</w:t>
      </w:r>
      <w:r>
        <w:rPr>
          <w:rFonts w:hint="eastAsia"/>
          <w:sz w:val="24"/>
        </w:rPr>
        <w:t>采购</w:t>
      </w:r>
      <w:r>
        <w:rPr>
          <w:sz w:val="24"/>
        </w:rPr>
        <w:t>公告。</w:t>
      </w:r>
    </w:p>
    <w:p>
      <w:pPr>
        <w:pStyle w:val="42"/>
        <w:ind w:firstLine="480"/>
        <w:rPr>
          <w:sz w:val="24"/>
        </w:rPr>
      </w:pPr>
    </w:p>
    <w:p>
      <w:pPr>
        <w:pStyle w:val="42"/>
        <w:ind w:firstLine="480"/>
        <w:rPr>
          <w:sz w:val="24"/>
        </w:rPr>
      </w:pPr>
    </w:p>
    <w:p>
      <w:pPr>
        <w:pStyle w:val="42"/>
        <w:ind w:firstLine="480"/>
        <w:rPr>
          <w:sz w:val="24"/>
        </w:rPr>
      </w:pPr>
    </w:p>
    <w:p>
      <w:pPr>
        <w:pStyle w:val="42"/>
        <w:ind w:firstLine="480"/>
        <w:rPr>
          <w:sz w:val="24"/>
        </w:rPr>
      </w:pPr>
    </w:p>
    <w:p>
      <w:pPr>
        <w:pStyle w:val="42"/>
        <w:ind w:firstLine="480"/>
        <w:rPr>
          <w:sz w:val="24"/>
        </w:rPr>
      </w:pPr>
    </w:p>
    <w:p>
      <w:pPr>
        <w:pStyle w:val="42"/>
        <w:ind w:firstLine="480"/>
        <w:rPr>
          <w:sz w:val="24"/>
        </w:rPr>
      </w:pPr>
    </w:p>
    <w:p>
      <w:pPr>
        <w:pStyle w:val="42"/>
        <w:ind w:firstLine="480"/>
        <w:rPr>
          <w:sz w:val="24"/>
        </w:rPr>
      </w:pPr>
    </w:p>
    <w:p>
      <w:pPr>
        <w:pStyle w:val="42"/>
        <w:ind w:firstLine="480"/>
        <w:rPr>
          <w:sz w:val="24"/>
        </w:rPr>
      </w:pPr>
    </w:p>
    <w:p>
      <w:pPr>
        <w:pStyle w:val="42"/>
        <w:ind w:firstLine="480"/>
        <w:rPr>
          <w:sz w:val="24"/>
        </w:rPr>
        <w:sectPr>
          <w:pgSz w:w="11907" w:h="16839"/>
          <w:pgMar w:top="1418" w:right="1588" w:bottom="1418" w:left="1588" w:header="851" w:footer="851" w:gutter="0"/>
          <w:cols w:space="720" w:num="1"/>
          <w:docGrid w:linePitch="286" w:charSpace="0"/>
        </w:sect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r>
        <w:rPr>
          <w:rFonts w:hint="eastAsia" w:ascii="仿宋_GB2312" w:eastAsia="仿宋_GB2312"/>
          <w:b/>
          <w:bCs/>
          <w:sz w:val="36"/>
          <w:szCs w:val="36"/>
          <w:lang w:val="zh-CN"/>
        </w:rPr>
        <w:t>第七部分  响应文件组成</w:t>
      </w:r>
    </w:p>
    <w:p>
      <w:pPr>
        <w:snapToGrid w:val="0"/>
        <w:spacing w:line="480" w:lineRule="exact"/>
        <w:ind w:firstLine="482" w:firstLineChars="200"/>
        <w:jc w:val="left"/>
        <w:rPr>
          <w:b/>
          <w:sz w:val="24"/>
        </w:rPr>
      </w:pPr>
      <w:r>
        <w:rPr>
          <w:b/>
          <w:sz w:val="24"/>
        </w:rPr>
        <w:t>响应文件由资格审查</w:t>
      </w:r>
      <w:r>
        <w:rPr>
          <w:rFonts w:hint="eastAsia"/>
          <w:b/>
          <w:sz w:val="24"/>
        </w:rPr>
        <w:t>文件</w:t>
      </w:r>
      <w:r>
        <w:rPr>
          <w:b/>
          <w:sz w:val="24"/>
        </w:rPr>
        <w:t>、商务技术文件</w:t>
      </w:r>
      <w:r>
        <w:rPr>
          <w:rFonts w:hint="eastAsia"/>
          <w:b/>
          <w:sz w:val="24"/>
        </w:rPr>
        <w:t>、报价</w:t>
      </w:r>
      <w:r>
        <w:rPr>
          <w:b/>
          <w:sz w:val="24"/>
        </w:rPr>
        <w:t>文件三部分组成</w:t>
      </w:r>
      <w:r>
        <w:rPr>
          <w:rFonts w:hint="eastAsia" w:ascii="宋体" w:hAnsi="宋体"/>
          <w:b/>
          <w:sz w:val="24"/>
        </w:rPr>
        <w:t>，相关</w:t>
      </w:r>
      <w:r>
        <w:rPr>
          <w:rFonts w:hint="eastAsia" w:ascii="宋体" w:hAnsi="宋体"/>
          <w:b/>
          <w:sz w:val="24"/>
          <w:lang w:val="zh-CN"/>
        </w:rPr>
        <w:t>格式参见附件</w:t>
      </w:r>
      <w:r>
        <w:rPr>
          <w:rFonts w:hint="eastAsia" w:ascii="宋体" w:hAnsi="宋体"/>
          <w:b/>
          <w:sz w:val="24"/>
        </w:rPr>
        <w:t>。</w:t>
      </w:r>
    </w:p>
    <w:p>
      <w:pPr>
        <w:snapToGrid w:val="0"/>
        <w:spacing w:line="480" w:lineRule="exact"/>
        <w:ind w:firstLine="472" w:firstLineChars="196"/>
        <w:contextualSpacing/>
        <w:rPr>
          <w:b/>
          <w:sz w:val="24"/>
        </w:rPr>
      </w:pPr>
      <w:r>
        <w:rPr>
          <w:b/>
          <w:sz w:val="24"/>
        </w:rPr>
        <w:t>一、资格审查</w:t>
      </w:r>
      <w:r>
        <w:rPr>
          <w:rFonts w:hint="eastAsia"/>
          <w:b/>
          <w:sz w:val="24"/>
        </w:rPr>
        <w:t>文件</w:t>
      </w:r>
      <w:r>
        <w:rPr>
          <w:b/>
          <w:sz w:val="24"/>
        </w:rPr>
        <w:t>（不能出现报价、商务技术标）</w:t>
      </w:r>
    </w:p>
    <w:p>
      <w:pPr>
        <w:numPr>
          <w:ilvl w:val="0"/>
          <w:numId w:val="1"/>
        </w:numPr>
        <w:snapToGrid w:val="0"/>
        <w:spacing w:line="440" w:lineRule="exact"/>
        <w:ind w:firstLine="480" w:firstLineChars="200"/>
        <w:contextualSpacing/>
        <w:rPr>
          <w:kern w:val="0"/>
          <w:sz w:val="24"/>
          <w:szCs w:val="20"/>
          <w:lang w:val="zh-CN"/>
        </w:rPr>
      </w:pPr>
      <w:r>
        <w:rPr>
          <w:rFonts w:hint="eastAsia" w:ascii="宋体" w:hAnsi="宋体" w:cs="宋体"/>
          <w:sz w:val="24"/>
        </w:rPr>
        <w:t>《声明函》（格式见附件1）</w:t>
      </w:r>
      <w:r>
        <w:rPr>
          <w:rFonts w:hint="eastAsia"/>
          <w:kern w:val="0"/>
          <w:sz w:val="24"/>
          <w:szCs w:val="20"/>
          <w:lang w:val="zh-CN"/>
        </w:rPr>
        <w:t>；</w:t>
      </w:r>
    </w:p>
    <w:p>
      <w:pPr>
        <w:numPr>
          <w:ilvl w:val="0"/>
          <w:numId w:val="1"/>
        </w:numPr>
        <w:snapToGrid w:val="0"/>
        <w:spacing w:line="440" w:lineRule="exact"/>
        <w:ind w:firstLine="480" w:firstLineChars="200"/>
        <w:contextualSpacing/>
        <w:rPr>
          <w:kern w:val="0"/>
          <w:sz w:val="24"/>
          <w:szCs w:val="20"/>
          <w:lang w:val="zh-CN"/>
        </w:rPr>
      </w:pPr>
      <w:r>
        <w:rPr>
          <w:kern w:val="0"/>
          <w:sz w:val="24"/>
          <w:szCs w:val="20"/>
          <w:lang w:val="zh-CN"/>
        </w:rPr>
        <w:t>法定代表人身份证明书</w:t>
      </w:r>
      <w:r>
        <w:rPr>
          <w:rFonts w:hint="eastAsia" w:ascii="宋体" w:hAnsi="宋体" w:cs="宋体"/>
          <w:sz w:val="24"/>
        </w:rPr>
        <w:t>（格式见附件2）</w:t>
      </w:r>
      <w:r>
        <w:rPr>
          <w:kern w:val="0"/>
          <w:sz w:val="24"/>
          <w:szCs w:val="20"/>
          <w:lang w:val="zh-CN"/>
        </w:rPr>
        <w:t>；</w:t>
      </w:r>
    </w:p>
    <w:p>
      <w:pPr>
        <w:numPr>
          <w:ilvl w:val="0"/>
          <w:numId w:val="1"/>
        </w:numPr>
        <w:snapToGrid w:val="0"/>
        <w:spacing w:line="440" w:lineRule="exact"/>
        <w:ind w:firstLine="480" w:firstLineChars="200"/>
        <w:contextualSpacing/>
        <w:rPr>
          <w:kern w:val="0"/>
          <w:sz w:val="24"/>
          <w:szCs w:val="20"/>
          <w:lang w:val="zh-CN"/>
        </w:rPr>
      </w:pPr>
      <w:r>
        <w:rPr>
          <w:kern w:val="0"/>
          <w:sz w:val="24"/>
          <w:szCs w:val="20"/>
          <w:lang w:val="zh-CN"/>
        </w:rPr>
        <w:t>法定代表人授权委托书</w:t>
      </w:r>
      <w:r>
        <w:rPr>
          <w:rFonts w:hint="eastAsia" w:ascii="宋体" w:hAnsi="宋体" w:cs="宋体"/>
          <w:sz w:val="24"/>
        </w:rPr>
        <w:t>（格式见附件3）</w:t>
      </w:r>
      <w:r>
        <w:rPr>
          <w:kern w:val="0"/>
          <w:sz w:val="24"/>
          <w:szCs w:val="20"/>
          <w:lang w:val="zh-CN"/>
        </w:rPr>
        <w:t>；</w:t>
      </w:r>
    </w:p>
    <w:p>
      <w:pPr>
        <w:numPr>
          <w:ilvl w:val="0"/>
          <w:numId w:val="1"/>
        </w:numPr>
        <w:snapToGrid w:val="0"/>
        <w:spacing w:line="440" w:lineRule="exact"/>
        <w:ind w:firstLine="480" w:firstLineChars="200"/>
        <w:contextualSpacing/>
        <w:rPr>
          <w:kern w:val="0"/>
          <w:sz w:val="24"/>
          <w:szCs w:val="20"/>
          <w:lang w:val="zh-CN"/>
        </w:rPr>
      </w:pPr>
      <w:r>
        <w:rPr>
          <w:rFonts w:hint="eastAsia"/>
          <w:kern w:val="0"/>
          <w:sz w:val="24"/>
          <w:szCs w:val="20"/>
          <w:lang w:val="zh-CN"/>
        </w:rPr>
        <w:t>供应商未被列入失信被执行人、异常经营名录、税收违法黑名单【以在“信用中国”网站（www.creditchina.gov.cn）查询的提交首次响应文件截止日前三年内的信用记录为准】</w:t>
      </w:r>
      <w:r>
        <w:rPr>
          <w:kern w:val="0"/>
          <w:sz w:val="24"/>
          <w:szCs w:val="20"/>
          <w:lang w:val="zh-CN"/>
        </w:rPr>
        <w:t>；</w:t>
      </w:r>
    </w:p>
    <w:p>
      <w:pPr>
        <w:numPr>
          <w:ilvl w:val="0"/>
          <w:numId w:val="1"/>
        </w:numPr>
        <w:snapToGrid w:val="0"/>
        <w:spacing w:line="440" w:lineRule="exact"/>
        <w:ind w:firstLine="480" w:firstLineChars="200"/>
        <w:contextualSpacing/>
        <w:rPr>
          <w:kern w:val="0"/>
          <w:sz w:val="24"/>
          <w:szCs w:val="20"/>
          <w:lang w:val="zh-CN"/>
        </w:rPr>
      </w:pPr>
      <w:r>
        <w:rPr>
          <w:rFonts w:hint="eastAsia"/>
          <w:kern w:val="0"/>
          <w:sz w:val="24"/>
          <w:szCs w:val="20"/>
          <w:lang w:val="zh-CN"/>
        </w:rPr>
        <w:t>供应商有效的营业执照。</w:t>
      </w:r>
    </w:p>
    <w:p>
      <w:pPr>
        <w:pStyle w:val="44"/>
        <w:snapToGrid w:val="0"/>
        <w:spacing w:line="480" w:lineRule="exact"/>
        <w:ind w:firstLine="482" w:firstLineChars="200"/>
        <w:rPr>
          <w:rFonts w:ascii="Times New Roman" w:hAnsi="Times New Roman" w:eastAsia="宋体"/>
          <w:b/>
          <w:bCs/>
          <w:kern w:val="0"/>
          <w:sz w:val="24"/>
          <w:szCs w:val="24"/>
          <w:lang w:val="zh-CN"/>
        </w:rPr>
      </w:pPr>
      <w:r>
        <w:rPr>
          <w:rFonts w:ascii="Times New Roman" w:hAnsi="Times New Roman" w:eastAsia="宋体"/>
          <w:b/>
          <w:sz w:val="24"/>
          <w:szCs w:val="24"/>
        </w:rPr>
        <w:t>二、商务技术文件</w:t>
      </w:r>
      <w:r>
        <w:rPr>
          <w:rFonts w:ascii="Times New Roman" w:hAnsi="Times New Roman" w:eastAsia="宋体"/>
          <w:b/>
          <w:bCs/>
          <w:kern w:val="0"/>
          <w:sz w:val="24"/>
          <w:szCs w:val="24"/>
          <w:lang w:val="zh-CN"/>
        </w:rPr>
        <w:t>（不能出现报价）</w:t>
      </w:r>
    </w:p>
    <w:p>
      <w:pPr>
        <w:numPr>
          <w:ilvl w:val="0"/>
          <w:numId w:val="2"/>
        </w:numPr>
        <w:snapToGrid w:val="0"/>
        <w:spacing w:line="440" w:lineRule="exact"/>
        <w:ind w:firstLine="480" w:firstLineChars="200"/>
        <w:contextualSpacing/>
        <w:rPr>
          <w:kern w:val="0"/>
          <w:sz w:val="24"/>
          <w:szCs w:val="20"/>
          <w:lang w:val="zh-CN"/>
        </w:rPr>
      </w:pPr>
      <w:r>
        <w:rPr>
          <w:rFonts w:hint="eastAsia"/>
          <w:kern w:val="0"/>
          <w:sz w:val="24"/>
          <w:szCs w:val="20"/>
          <w:lang w:val="zh-CN"/>
        </w:rPr>
        <w:t>磋商响应函</w:t>
      </w:r>
      <w:r>
        <w:rPr>
          <w:rFonts w:hint="eastAsia" w:ascii="宋体" w:hAnsi="宋体" w:cs="宋体"/>
          <w:sz w:val="24"/>
        </w:rPr>
        <w:t>（格式见附件4）</w:t>
      </w:r>
      <w:r>
        <w:rPr>
          <w:rFonts w:hint="eastAsia"/>
          <w:kern w:val="0"/>
          <w:sz w:val="24"/>
          <w:szCs w:val="20"/>
          <w:lang w:val="zh-CN"/>
        </w:rPr>
        <w:t>；</w:t>
      </w:r>
    </w:p>
    <w:p>
      <w:pPr>
        <w:numPr>
          <w:ilvl w:val="0"/>
          <w:numId w:val="2"/>
        </w:numPr>
        <w:snapToGrid w:val="0"/>
        <w:spacing w:line="440" w:lineRule="exact"/>
        <w:ind w:firstLine="480" w:firstLineChars="200"/>
        <w:contextualSpacing/>
        <w:rPr>
          <w:kern w:val="0"/>
          <w:sz w:val="24"/>
          <w:szCs w:val="20"/>
          <w:lang w:val="zh-CN"/>
        </w:rPr>
      </w:pPr>
      <w:r>
        <w:rPr>
          <w:rFonts w:hint="eastAsia"/>
          <w:kern w:val="0"/>
          <w:sz w:val="24"/>
          <w:szCs w:val="20"/>
          <w:lang w:val="zh-CN"/>
        </w:rPr>
        <w:t>供应商一般情况表</w:t>
      </w:r>
      <w:r>
        <w:rPr>
          <w:rFonts w:hint="eastAsia" w:ascii="宋体" w:hAnsi="宋体" w:cs="宋体"/>
          <w:sz w:val="24"/>
        </w:rPr>
        <w:t>（格式见附件5）</w:t>
      </w:r>
      <w:r>
        <w:rPr>
          <w:kern w:val="0"/>
          <w:sz w:val="24"/>
          <w:szCs w:val="20"/>
          <w:lang w:val="zh-CN"/>
        </w:rPr>
        <w:t>；</w:t>
      </w:r>
    </w:p>
    <w:p>
      <w:pPr>
        <w:numPr>
          <w:ilvl w:val="0"/>
          <w:numId w:val="2"/>
        </w:numPr>
        <w:snapToGrid w:val="0"/>
        <w:spacing w:line="440" w:lineRule="exact"/>
        <w:ind w:firstLine="480" w:firstLineChars="200"/>
        <w:contextualSpacing/>
        <w:rPr>
          <w:kern w:val="0"/>
          <w:sz w:val="24"/>
          <w:szCs w:val="20"/>
          <w:lang w:val="zh-CN"/>
        </w:rPr>
      </w:pPr>
      <w:r>
        <w:rPr>
          <w:rFonts w:hint="eastAsia"/>
          <w:kern w:val="0"/>
          <w:sz w:val="24"/>
          <w:szCs w:val="20"/>
          <w:lang w:val="zh-CN"/>
        </w:rPr>
        <w:t>商务技术服务条款响应表</w:t>
      </w:r>
      <w:r>
        <w:rPr>
          <w:rFonts w:hint="eastAsia" w:ascii="宋体" w:hAnsi="宋体" w:cs="宋体"/>
          <w:sz w:val="24"/>
        </w:rPr>
        <w:t>（格式见附件6）</w:t>
      </w:r>
      <w:r>
        <w:rPr>
          <w:kern w:val="0"/>
          <w:sz w:val="24"/>
          <w:szCs w:val="20"/>
          <w:lang w:val="zh-CN"/>
        </w:rPr>
        <w:t>；</w:t>
      </w:r>
    </w:p>
    <w:p>
      <w:pPr>
        <w:numPr>
          <w:ilvl w:val="0"/>
          <w:numId w:val="2"/>
        </w:numPr>
        <w:snapToGrid w:val="0"/>
        <w:spacing w:line="440" w:lineRule="exact"/>
        <w:ind w:firstLine="480" w:firstLineChars="200"/>
        <w:contextualSpacing/>
        <w:rPr>
          <w:kern w:val="0"/>
          <w:sz w:val="24"/>
          <w:szCs w:val="20"/>
          <w:lang w:val="zh-CN"/>
        </w:rPr>
      </w:pPr>
      <w:r>
        <w:rPr>
          <w:rFonts w:hint="eastAsia"/>
          <w:kern w:val="0"/>
          <w:sz w:val="24"/>
          <w:szCs w:val="20"/>
          <w:lang w:val="zh-CN"/>
        </w:rPr>
        <w:t>响应方案、货物（服务）清单；</w:t>
      </w:r>
    </w:p>
    <w:p>
      <w:pPr>
        <w:numPr>
          <w:ilvl w:val="0"/>
          <w:numId w:val="2"/>
        </w:numPr>
        <w:snapToGrid w:val="0"/>
        <w:spacing w:line="440" w:lineRule="exact"/>
        <w:ind w:firstLine="480" w:firstLineChars="200"/>
        <w:contextualSpacing/>
        <w:rPr>
          <w:kern w:val="0"/>
          <w:sz w:val="24"/>
          <w:szCs w:val="20"/>
          <w:lang w:val="zh-CN"/>
        </w:rPr>
      </w:pPr>
      <w:r>
        <w:rPr>
          <w:kern w:val="0"/>
          <w:sz w:val="24"/>
          <w:szCs w:val="20"/>
          <w:lang w:val="zh-CN"/>
        </w:rPr>
        <w:t>商务技术评分标准中须提供的相关得分佐证材料；</w:t>
      </w:r>
    </w:p>
    <w:p>
      <w:pPr>
        <w:numPr>
          <w:ilvl w:val="0"/>
          <w:numId w:val="2"/>
        </w:numPr>
        <w:snapToGrid w:val="0"/>
        <w:spacing w:line="440" w:lineRule="exact"/>
        <w:ind w:firstLine="480" w:firstLineChars="200"/>
        <w:contextualSpacing/>
        <w:rPr>
          <w:kern w:val="0"/>
          <w:sz w:val="24"/>
          <w:szCs w:val="20"/>
          <w:lang w:val="zh-CN"/>
        </w:rPr>
      </w:pPr>
      <w:r>
        <w:rPr>
          <w:rFonts w:hint="eastAsia"/>
          <w:kern w:val="0"/>
          <w:sz w:val="24"/>
          <w:szCs w:val="20"/>
          <w:lang w:val="zh-CN"/>
        </w:rPr>
        <w:t>供应商</w:t>
      </w:r>
      <w:r>
        <w:rPr>
          <w:kern w:val="0"/>
          <w:sz w:val="24"/>
          <w:szCs w:val="20"/>
          <w:lang w:val="zh-CN"/>
        </w:rPr>
        <w:t>认为需要提交的其他商务技术材料。</w:t>
      </w:r>
    </w:p>
    <w:p>
      <w:pPr>
        <w:pStyle w:val="44"/>
        <w:snapToGrid w:val="0"/>
        <w:spacing w:line="480" w:lineRule="exact"/>
        <w:ind w:firstLine="482" w:firstLineChars="200"/>
        <w:rPr>
          <w:rFonts w:ascii="Times New Roman" w:hAnsi="Times New Roman" w:eastAsia="宋体"/>
          <w:b/>
          <w:sz w:val="24"/>
          <w:szCs w:val="24"/>
        </w:rPr>
      </w:pPr>
      <w:r>
        <w:rPr>
          <w:rFonts w:ascii="Times New Roman" w:hAnsi="Times New Roman" w:eastAsia="宋体"/>
          <w:b/>
          <w:sz w:val="24"/>
          <w:szCs w:val="24"/>
        </w:rPr>
        <w:t>三、</w:t>
      </w:r>
      <w:r>
        <w:rPr>
          <w:rFonts w:hint="eastAsia" w:ascii="Times New Roman" w:hAnsi="Times New Roman" w:eastAsia="宋体"/>
          <w:b/>
          <w:sz w:val="24"/>
          <w:szCs w:val="24"/>
        </w:rPr>
        <w:t>报价</w:t>
      </w:r>
      <w:r>
        <w:rPr>
          <w:rFonts w:ascii="Times New Roman" w:hAnsi="Times New Roman" w:eastAsia="宋体"/>
          <w:b/>
          <w:sz w:val="24"/>
          <w:szCs w:val="24"/>
        </w:rPr>
        <w:t>文件</w:t>
      </w:r>
    </w:p>
    <w:p>
      <w:pPr>
        <w:tabs>
          <w:tab w:val="left" w:pos="3375"/>
        </w:tabs>
        <w:autoSpaceDE w:val="0"/>
        <w:autoSpaceDN w:val="0"/>
        <w:adjustRightInd w:val="0"/>
        <w:snapToGrid w:val="0"/>
        <w:spacing w:line="480" w:lineRule="exact"/>
        <w:ind w:left="1" w:firstLine="480" w:firstLineChars="200"/>
        <w:rPr>
          <w:sz w:val="24"/>
        </w:rPr>
      </w:pPr>
      <w:r>
        <w:rPr>
          <w:sz w:val="24"/>
        </w:rPr>
        <w:t>1、报价总表</w:t>
      </w:r>
      <w:r>
        <w:rPr>
          <w:rFonts w:hint="eastAsia" w:ascii="宋体" w:hAnsi="宋体" w:cs="宋体"/>
          <w:sz w:val="24"/>
        </w:rPr>
        <w:t>（格式见附件7）</w:t>
      </w:r>
      <w:r>
        <w:rPr>
          <w:sz w:val="24"/>
        </w:rPr>
        <w:t>；</w:t>
      </w:r>
    </w:p>
    <w:p>
      <w:pPr>
        <w:tabs>
          <w:tab w:val="left" w:pos="3375"/>
        </w:tabs>
        <w:autoSpaceDE w:val="0"/>
        <w:autoSpaceDN w:val="0"/>
        <w:adjustRightInd w:val="0"/>
        <w:snapToGrid w:val="0"/>
        <w:spacing w:line="480" w:lineRule="exact"/>
        <w:ind w:left="1" w:firstLine="480" w:firstLineChars="200"/>
        <w:rPr>
          <w:sz w:val="24"/>
        </w:rPr>
      </w:pPr>
      <w:r>
        <w:rPr>
          <w:sz w:val="24"/>
        </w:rPr>
        <w:t>2、</w:t>
      </w:r>
      <w:r>
        <w:rPr>
          <w:rFonts w:hint="eastAsia"/>
          <w:sz w:val="24"/>
        </w:rPr>
        <w:t>分项</w:t>
      </w:r>
      <w:r>
        <w:rPr>
          <w:sz w:val="24"/>
        </w:rPr>
        <w:t>报价明细表</w:t>
      </w:r>
      <w:r>
        <w:rPr>
          <w:rFonts w:hint="eastAsia" w:ascii="宋体" w:hAnsi="宋体" w:cs="宋体"/>
          <w:sz w:val="24"/>
        </w:rPr>
        <w:t>（格式见附件8）</w:t>
      </w:r>
      <w:r>
        <w:rPr>
          <w:rFonts w:hint="eastAsia"/>
          <w:sz w:val="24"/>
        </w:rPr>
        <w:t>。</w:t>
      </w:r>
    </w:p>
    <w:p>
      <w:pPr>
        <w:snapToGrid w:val="0"/>
        <w:spacing w:line="480" w:lineRule="exact"/>
        <w:ind w:firstLine="460" w:firstLineChars="192"/>
        <w:contextualSpacing/>
        <w:rPr>
          <w:kern w:val="0"/>
          <w:sz w:val="24"/>
          <w:lang w:val="zh-CN"/>
        </w:rPr>
      </w:pPr>
    </w:p>
    <w:p>
      <w:pPr>
        <w:snapToGrid w:val="0"/>
        <w:spacing w:line="300" w:lineRule="auto"/>
        <w:ind w:firstLine="540" w:firstLineChars="192"/>
        <w:contextualSpacing/>
        <w:rPr>
          <w:rFonts w:ascii="宋体" w:hAnsi="宋体" w:cs="宋体"/>
          <w:b/>
          <w:kern w:val="0"/>
          <w:sz w:val="28"/>
          <w:szCs w:val="28"/>
          <w:lang w:val="zh-CN"/>
        </w:rPr>
      </w:pPr>
    </w:p>
    <w:p>
      <w:pPr>
        <w:snapToGrid w:val="0"/>
        <w:spacing w:line="400" w:lineRule="exact"/>
        <w:contextualSpacing/>
        <w:rPr>
          <w:rFonts w:eastAsia="方正黑体_GBK"/>
          <w:kern w:val="0"/>
          <w:sz w:val="32"/>
          <w:szCs w:val="32"/>
          <w:lang w:val="zh-CN"/>
        </w:rPr>
      </w:pPr>
      <w:r>
        <w:rPr>
          <w:rFonts w:ascii="Calibri" w:hAnsi="Calibri"/>
          <w:b/>
          <w:bCs/>
          <w:sz w:val="32"/>
          <w:szCs w:val="32"/>
        </w:rPr>
        <w:br w:type="page"/>
      </w:r>
      <w:r>
        <w:rPr>
          <w:rFonts w:hint="eastAsia" w:eastAsia="方正黑体_GBK"/>
          <w:kern w:val="0"/>
          <w:sz w:val="32"/>
          <w:szCs w:val="32"/>
          <w:lang w:val="zh-CN"/>
        </w:rPr>
        <w:t>附件1</w:t>
      </w:r>
    </w:p>
    <w:p>
      <w:pPr>
        <w:jc w:val="center"/>
        <w:rPr>
          <w:rFonts w:ascii="宋体" w:hAnsi="宋体"/>
          <w:b/>
          <w:color w:val="000000"/>
          <w:sz w:val="30"/>
          <w:szCs w:val="30"/>
        </w:rPr>
      </w:pPr>
    </w:p>
    <w:p>
      <w:pPr>
        <w:jc w:val="center"/>
        <w:rPr>
          <w:rFonts w:ascii="宋体" w:hAnsi="宋体"/>
          <w:b/>
          <w:color w:val="000000"/>
          <w:sz w:val="30"/>
          <w:szCs w:val="30"/>
        </w:rPr>
      </w:pPr>
      <w:r>
        <w:rPr>
          <w:rFonts w:hint="eastAsia" w:ascii="宋体" w:hAnsi="宋体"/>
          <w:b/>
          <w:color w:val="000000"/>
          <w:sz w:val="30"/>
          <w:szCs w:val="30"/>
        </w:rPr>
        <w:t>声明函</w:t>
      </w:r>
    </w:p>
    <w:p>
      <w:pPr>
        <w:spacing w:line="460" w:lineRule="exact"/>
        <w:rPr>
          <w:rFonts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pacing w:line="520" w:lineRule="exact"/>
        <w:ind w:firstLine="480" w:firstLineChars="200"/>
        <w:rPr>
          <w:rFonts w:ascii="宋体" w:hAnsi="宋体"/>
          <w:b/>
          <w:bCs/>
          <w:color w:val="000000"/>
          <w:sz w:val="24"/>
        </w:rPr>
      </w:pPr>
      <w:r>
        <w:rPr>
          <w:rFonts w:hint="eastAsia" w:ascii="宋体" w:hAnsi="宋体"/>
          <w:bCs/>
          <w:color w:val="000000"/>
          <w:sz w:val="24"/>
        </w:rPr>
        <w:t>我单位参加</w:t>
      </w:r>
      <w:r>
        <w:rPr>
          <w:rFonts w:hint="eastAsia" w:ascii="宋体" w:hAnsi="宋体"/>
          <w:bCs/>
          <w:color w:val="000000"/>
          <w:sz w:val="24"/>
          <w:u w:val="single"/>
        </w:rPr>
        <w:t xml:space="preserve">   </w:t>
      </w:r>
      <w:r>
        <w:rPr>
          <w:rFonts w:hint="eastAsia" w:ascii="宋体" w:hAnsi="宋体"/>
          <w:bCs/>
          <w:color w:val="000000"/>
          <w:sz w:val="24"/>
          <w:szCs w:val="21"/>
          <w:u w:val="single"/>
        </w:rPr>
        <w:t xml:space="preserve">（项目名称） </w:t>
      </w:r>
      <w:r>
        <w:rPr>
          <w:rFonts w:hint="eastAsia" w:ascii="宋体" w:hAnsi="宋体"/>
          <w:bCs/>
          <w:color w:val="000000"/>
          <w:sz w:val="24"/>
          <w:szCs w:val="21"/>
        </w:rPr>
        <w:t>采购活动。郑重声明如下：</w:t>
      </w:r>
    </w:p>
    <w:p>
      <w:pPr>
        <w:spacing w:line="520" w:lineRule="exact"/>
        <w:ind w:firstLine="482"/>
        <w:rPr>
          <w:rFonts w:ascii="宋体" w:hAnsi="宋体" w:cs="宋体"/>
          <w:color w:val="000000"/>
          <w:sz w:val="24"/>
        </w:rPr>
      </w:pPr>
      <w:r>
        <w:rPr>
          <w:rFonts w:hint="eastAsia" w:ascii="宋体" w:hAnsi="宋体" w:cs="宋体"/>
          <w:bCs/>
          <w:color w:val="000000"/>
          <w:sz w:val="24"/>
        </w:rPr>
        <w:t>1.我单位具有独立承担民事责任的能力；</w:t>
      </w:r>
    </w:p>
    <w:p>
      <w:pPr>
        <w:spacing w:line="520" w:lineRule="exact"/>
        <w:ind w:firstLine="482"/>
        <w:rPr>
          <w:rFonts w:ascii="宋体" w:hAnsi="宋体" w:cs="宋体"/>
          <w:color w:val="000000"/>
          <w:sz w:val="24"/>
        </w:rPr>
      </w:pPr>
      <w:r>
        <w:rPr>
          <w:rFonts w:hint="eastAsia" w:ascii="宋体" w:hAnsi="宋体" w:cs="宋体"/>
          <w:color w:val="000000"/>
          <w:sz w:val="24"/>
        </w:rPr>
        <w:t>2.我单位具有良好的商业信誉和健全的财务会计制度；</w:t>
      </w:r>
    </w:p>
    <w:p>
      <w:pPr>
        <w:spacing w:line="520" w:lineRule="exact"/>
        <w:ind w:firstLine="482"/>
        <w:rPr>
          <w:rFonts w:ascii="宋体" w:hAnsi="宋体" w:cs="宋体"/>
          <w:color w:val="000000"/>
          <w:sz w:val="24"/>
        </w:rPr>
      </w:pPr>
      <w:r>
        <w:rPr>
          <w:rFonts w:hint="eastAsia" w:ascii="宋体" w:hAnsi="宋体" w:cs="宋体"/>
          <w:color w:val="000000"/>
          <w:sz w:val="24"/>
        </w:rPr>
        <w:t>3.我单位具有履行合同所必需的设备和专业技术能力；</w:t>
      </w:r>
    </w:p>
    <w:p>
      <w:pPr>
        <w:spacing w:line="520" w:lineRule="exact"/>
        <w:ind w:firstLine="482"/>
        <w:rPr>
          <w:rFonts w:ascii="宋体" w:hAnsi="宋体" w:cs="宋体"/>
          <w:color w:val="000000"/>
          <w:sz w:val="24"/>
        </w:rPr>
      </w:pPr>
      <w:r>
        <w:rPr>
          <w:rFonts w:hint="eastAsia" w:ascii="宋体" w:hAnsi="宋体" w:cs="宋体"/>
          <w:color w:val="000000"/>
          <w:sz w:val="24"/>
        </w:rPr>
        <w:t>4.我单位有依法缴纳税收和社会保障资金的良好记录；</w:t>
      </w:r>
    </w:p>
    <w:p>
      <w:pPr>
        <w:spacing w:line="520" w:lineRule="exact"/>
        <w:ind w:firstLine="482"/>
        <w:rPr>
          <w:rFonts w:ascii="宋体" w:hAnsi="宋体" w:cs="宋体"/>
          <w:color w:val="000000"/>
          <w:sz w:val="24"/>
        </w:rPr>
      </w:pPr>
      <w:r>
        <w:rPr>
          <w:rFonts w:hint="eastAsia" w:ascii="宋体" w:hAnsi="宋体" w:cs="宋体"/>
          <w:color w:val="000000"/>
          <w:sz w:val="24"/>
        </w:rPr>
        <w:t>5.我单位参加本项目采购活动前三年内，在经营活动中没有重大违法记录；</w:t>
      </w:r>
    </w:p>
    <w:p>
      <w:pPr>
        <w:spacing w:line="520" w:lineRule="exact"/>
        <w:ind w:firstLine="482"/>
        <w:rPr>
          <w:rFonts w:ascii="宋体" w:hAnsi="宋体"/>
          <w:color w:val="000000"/>
          <w:sz w:val="24"/>
        </w:rPr>
      </w:pPr>
      <w:r>
        <w:rPr>
          <w:rFonts w:hint="eastAsia" w:ascii="宋体" w:hAnsi="宋体" w:cs="宋体"/>
          <w:color w:val="000000"/>
          <w:sz w:val="24"/>
        </w:rPr>
        <w:t>6.我单位满足法律、行政法规规定的其他条件。</w:t>
      </w:r>
    </w:p>
    <w:p>
      <w:pPr>
        <w:spacing w:line="500" w:lineRule="exact"/>
        <w:rPr>
          <w:rFonts w:ascii="宋体" w:hAnsi="宋体"/>
          <w:bCs/>
          <w:color w:val="000000"/>
          <w:sz w:val="24"/>
          <w:szCs w:val="21"/>
        </w:rPr>
      </w:pPr>
    </w:p>
    <w:p>
      <w:pPr>
        <w:spacing w:line="500" w:lineRule="exact"/>
        <w:rPr>
          <w:rFonts w:ascii="宋体" w:hAnsi="宋体"/>
          <w:bCs/>
          <w:color w:val="000000"/>
          <w:sz w:val="24"/>
          <w:szCs w:val="21"/>
        </w:rPr>
      </w:pPr>
    </w:p>
    <w:p>
      <w:pPr>
        <w:spacing w:line="460" w:lineRule="exact"/>
        <w:jc w:val="center"/>
        <w:rPr>
          <w:rFonts w:ascii="宋体" w:hAnsi="宋体"/>
          <w:bCs/>
          <w:color w:val="000000"/>
          <w:sz w:val="24"/>
          <w:szCs w:val="21"/>
        </w:rPr>
      </w:pPr>
      <w:r>
        <w:rPr>
          <w:rFonts w:hint="eastAsia" w:ascii="宋体" w:hAnsi="宋体"/>
          <w:bCs/>
          <w:color w:val="000000"/>
          <w:sz w:val="24"/>
          <w:szCs w:val="21"/>
        </w:rPr>
        <w:t xml:space="preserve">                                     声明人名称（公章）：</w:t>
      </w:r>
    </w:p>
    <w:p>
      <w:pPr>
        <w:spacing w:line="460" w:lineRule="exact"/>
        <w:jc w:val="right"/>
        <w:rPr>
          <w:rFonts w:ascii="宋体" w:hAnsi="宋体"/>
          <w:bCs/>
          <w:color w:val="000000"/>
          <w:sz w:val="24"/>
          <w:szCs w:val="21"/>
        </w:rPr>
      </w:pPr>
      <w:r>
        <w:rPr>
          <w:rFonts w:hint="eastAsia" w:ascii="宋体" w:hAnsi="宋体"/>
          <w:bCs/>
          <w:color w:val="000000"/>
          <w:sz w:val="24"/>
          <w:szCs w:val="21"/>
        </w:rPr>
        <w:t xml:space="preserve">                                日期：______年</w:t>
      </w:r>
      <w:r>
        <w:rPr>
          <w:rFonts w:hint="eastAsia" w:ascii="宋体" w:hAnsi="宋体"/>
          <w:bCs/>
          <w:color w:val="000000"/>
          <w:sz w:val="24"/>
          <w:szCs w:val="21"/>
          <w:u w:val="single"/>
        </w:rPr>
        <w:t xml:space="preserve">    </w:t>
      </w:r>
      <w:r>
        <w:rPr>
          <w:rFonts w:hint="eastAsia" w:ascii="宋体" w:hAnsi="宋体"/>
          <w:bCs/>
          <w:color w:val="000000"/>
          <w:sz w:val="24"/>
          <w:szCs w:val="21"/>
        </w:rPr>
        <w:t>月</w:t>
      </w:r>
      <w:r>
        <w:rPr>
          <w:rFonts w:hint="eastAsia" w:ascii="宋体" w:hAnsi="宋体"/>
          <w:bCs/>
          <w:color w:val="000000"/>
          <w:sz w:val="24"/>
          <w:szCs w:val="21"/>
          <w:u w:val="single"/>
        </w:rPr>
        <w:t xml:space="preserve">    </w:t>
      </w:r>
      <w:r>
        <w:rPr>
          <w:rFonts w:hint="eastAsia" w:ascii="宋体" w:hAnsi="宋体"/>
          <w:bCs/>
          <w:color w:val="000000"/>
          <w:sz w:val="24"/>
          <w:szCs w:val="21"/>
        </w:rPr>
        <w:t>日</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contextualSpacing/>
        <w:rPr>
          <w:rFonts w:ascii="宋体" w:hAnsi="宋体" w:cs="宋体"/>
          <w:b/>
          <w:kern w:val="0"/>
          <w:sz w:val="28"/>
          <w:szCs w:val="28"/>
          <w:lang w:val="zh-CN"/>
        </w:rPr>
      </w:pPr>
    </w:p>
    <w:p>
      <w:pPr>
        <w:snapToGrid w:val="0"/>
        <w:spacing w:line="400" w:lineRule="exact"/>
        <w:contextualSpacing/>
        <w:rPr>
          <w:rFonts w:eastAsia="方正黑体_GBK"/>
          <w:kern w:val="0"/>
          <w:sz w:val="32"/>
          <w:szCs w:val="32"/>
          <w:lang w:val="zh-CN"/>
        </w:rPr>
      </w:pPr>
      <w:r>
        <w:rPr>
          <w:rFonts w:eastAsia="方正黑体_GBK"/>
          <w:kern w:val="0"/>
          <w:sz w:val="32"/>
          <w:szCs w:val="32"/>
          <w:lang w:val="zh-CN"/>
        </w:rPr>
        <w:br w:type="page"/>
      </w:r>
      <w:r>
        <w:rPr>
          <w:rFonts w:eastAsia="方正黑体_GBK"/>
          <w:kern w:val="0"/>
          <w:sz w:val="32"/>
          <w:szCs w:val="32"/>
          <w:lang w:val="zh-CN"/>
        </w:rPr>
        <w:t>附件2</w:t>
      </w:r>
    </w:p>
    <w:p>
      <w:pPr>
        <w:spacing w:line="560" w:lineRule="exact"/>
        <w:jc w:val="center"/>
        <w:rPr>
          <w:rFonts w:ascii="宋体" w:hAnsi="宋体"/>
          <w:b/>
          <w:bCs/>
          <w:sz w:val="32"/>
          <w:szCs w:val="32"/>
        </w:rPr>
      </w:pPr>
      <w:r>
        <w:rPr>
          <w:rFonts w:hint="eastAsia" w:ascii="宋体" w:hAnsi="宋体"/>
          <w:b/>
          <w:bCs/>
          <w:sz w:val="32"/>
          <w:szCs w:val="32"/>
        </w:rPr>
        <w:t>法定代表人身份证明</w:t>
      </w:r>
    </w:p>
    <w:p>
      <w:pPr>
        <w:spacing w:line="480" w:lineRule="exact"/>
        <w:rPr>
          <w:rFonts w:ascii="宋体" w:hAnsi="宋体"/>
          <w:sz w:val="24"/>
        </w:rPr>
      </w:pPr>
    </w:p>
    <w:p>
      <w:pPr>
        <w:spacing w:line="480" w:lineRule="exact"/>
        <w:ind w:firstLine="480" w:firstLineChars="200"/>
        <w:rPr>
          <w:rFonts w:ascii="宋体" w:hAnsi="宋体"/>
          <w:sz w:val="24"/>
        </w:rPr>
      </w:pPr>
      <w:r>
        <w:rPr>
          <w:rFonts w:ascii="宋体" w:hAnsi="宋体"/>
          <w:sz w:val="24"/>
          <w:u w:val="single"/>
        </w:rPr>
        <w:t xml:space="preserve">        </w:t>
      </w:r>
      <w:r>
        <w:rPr>
          <w:rFonts w:hint="eastAsia" w:ascii="宋体" w:hAnsi="宋体"/>
          <w:sz w:val="24"/>
        </w:rPr>
        <w:t>先生/女士：</w:t>
      </w:r>
      <w:r>
        <w:rPr>
          <w:rFonts w:ascii="宋体" w:hAnsi="宋体"/>
          <w:sz w:val="24"/>
        </w:rPr>
        <w:t xml:space="preserve"> </w:t>
      </w:r>
      <w:r>
        <w:rPr>
          <w:rFonts w:hint="eastAsia" w:ascii="宋体" w:hAnsi="宋体"/>
          <w:sz w:val="24"/>
        </w:rPr>
        <w:t>现任我单位</w:t>
      </w:r>
      <w:r>
        <w:rPr>
          <w:rFonts w:ascii="宋体" w:hAnsi="宋体"/>
          <w:sz w:val="24"/>
          <w:u w:val="single"/>
        </w:rPr>
        <w:t xml:space="preserve">        </w:t>
      </w:r>
      <w:r>
        <w:rPr>
          <w:rFonts w:hint="eastAsia" w:ascii="宋体" w:hAnsi="宋体"/>
          <w:sz w:val="24"/>
        </w:rPr>
        <w:t>职务，为法定代表人，特此证明。</w:t>
      </w:r>
    </w:p>
    <w:p>
      <w:pPr>
        <w:spacing w:line="480" w:lineRule="exact"/>
        <w:ind w:firstLine="480"/>
        <w:rPr>
          <w:rFonts w:ascii="宋体" w:hAnsi="宋体"/>
          <w:sz w:val="24"/>
          <w:u w:val="single"/>
        </w:rPr>
      </w:pPr>
      <w:r>
        <w:rPr>
          <w:rFonts w:hint="eastAsia" w:ascii="宋体" w:hAnsi="宋体"/>
          <w:sz w:val="24"/>
        </w:rPr>
        <w:t>身份证号码：</w:t>
      </w:r>
      <w:r>
        <w:rPr>
          <w:rFonts w:ascii="宋体" w:hAnsi="宋体"/>
          <w:sz w:val="24"/>
          <w:u w:val="single"/>
        </w:rPr>
        <w:t xml:space="preserve">                                               </w:t>
      </w:r>
    </w:p>
    <w:p>
      <w:pPr>
        <w:spacing w:line="480" w:lineRule="exact"/>
        <w:ind w:firstLine="480"/>
        <w:rPr>
          <w:rFonts w:ascii="宋体" w:hAnsi="宋体"/>
          <w:sz w:val="24"/>
        </w:rPr>
      </w:pPr>
    </w:p>
    <w:p>
      <w:pPr>
        <w:spacing w:line="600" w:lineRule="exact"/>
        <w:rPr>
          <w:rFonts w:ascii="宋体" w:hAnsi="宋体"/>
          <w:b/>
          <w:sz w:val="24"/>
        </w:rPr>
      </w:pPr>
      <w:r>
        <w:rPr>
          <w:rFonts w:hint="eastAsia" w:ascii="宋体" w:hAnsi="宋体"/>
          <w:b/>
          <w:sz w:val="24"/>
        </w:rPr>
        <w:t>注：提供法定代表人的身份证复印件加盖公章</w:t>
      </w:r>
    </w:p>
    <w:p>
      <w:pPr>
        <w:spacing w:line="480" w:lineRule="exact"/>
        <w:ind w:firstLine="480" w:firstLineChars="200"/>
        <w:rPr>
          <w:rFonts w:eastAsia="仿宋_GB2312"/>
          <w:sz w:val="24"/>
        </w:rPr>
      </w:pPr>
    </w:p>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ind w:firstLine="540" w:firstLineChars="192"/>
        <w:contextualSpacing/>
        <w:rPr>
          <w:rFonts w:ascii="宋体" w:hAnsi="宋体" w:cs="宋体"/>
          <w:b/>
          <w:kern w:val="0"/>
          <w:sz w:val="28"/>
          <w:szCs w:val="28"/>
          <w:lang w:val="zh-CN"/>
        </w:rPr>
      </w:pPr>
    </w:p>
    <w:p>
      <w:pPr>
        <w:snapToGrid w:val="0"/>
        <w:spacing w:line="400" w:lineRule="exact"/>
        <w:contextualSpacing/>
        <w:rPr>
          <w:rFonts w:ascii="宋体" w:hAnsi="宋体" w:cs="宋体"/>
          <w:b/>
          <w:kern w:val="0"/>
          <w:sz w:val="28"/>
          <w:szCs w:val="28"/>
          <w:lang w:val="zh-CN"/>
        </w:rPr>
      </w:pPr>
    </w:p>
    <w:p>
      <w:pPr>
        <w:snapToGrid w:val="0"/>
        <w:spacing w:line="400" w:lineRule="exact"/>
        <w:contextualSpacing/>
        <w:rPr>
          <w:rFonts w:eastAsia="方正黑体_GBK"/>
          <w:kern w:val="0"/>
          <w:sz w:val="32"/>
          <w:szCs w:val="32"/>
          <w:lang w:val="zh-CN"/>
        </w:rPr>
      </w:pPr>
      <w:r>
        <w:rPr>
          <w:rFonts w:eastAsia="方正黑体_GBK"/>
          <w:kern w:val="0"/>
          <w:sz w:val="32"/>
          <w:szCs w:val="32"/>
          <w:lang w:val="zh-CN"/>
        </w:rPr>
        <w:t>附件3</w:t>
      </w:r>
    </w:p>
    <w:p>
      <w:pPr>
        <w:jc w:val="center"/>
        <w:rPr>
          <w:rFonts w:ascii="Calibri" w:hAnsi="Calibri"/>
          <w:sz w:val="32"/>
          <w:szCs w:val="32"/>
        </w:rPr>
      </w:pPr>
      <w:r>
        <w:rPr>
          <w:rFonts w:hint="eastAsia" w:ascii="Calibri" w:hAnsi="Calibri"/>
          <w:b/>
          <w:bCs/>
          <w:sz w:val="32"/>
          <w:szCs w:val="32"/>
        </w:rPr>
        <w:t>法定代表人授权委托书</w:t>
      </w:r>
    </w:p>
    <w:p>
      <w:pPr>
        <w:rPr>
          <w:rFonts w:ascii="Calibri" w:hAnsi="Calibri"/>
          <w:sz w:val="32"/>
          <w:szCs w:val="32"/>
        </w:rPr>
      </w:pPr>
    </w:p>
    <w:p>
      <w:pPr>
        <w:spacing w:line="360" w:lineRule="auto"/>
        <w:ind w:firstLine="560" w:firstLineChars="200"/>
        <w:rPr>
          <w:rFonts w:ascii="宋体" w:hAnsi="宋体"/>
          <w:sz w:val="28"/>
          <w:szCs w:val="28"/>
        </w:rPr>
      </w:pPr>
      <w:r>
        <w:rPr>
          <w:rFonts w:hint="eastAsia" w:ascii="宋体" w:hAnsi="宋体"/>
          <w:sz w:val="28"/>
          <w:szCs w:val="28"/>
        </w:rPr>
        <w:t>本人------（姓名）系————（授权单位名称）的法定代表人，现委托-------（姓名）（身份证号——————）为我方代理人，以我方名义全权处理与本次采购项目（----------）有关的一切事务，其法律后果由我方承担。</w:t>
      </w:r>
    </w:p>
    <w:p>
      <w:pPr>
        <w:spacing w:line="360" w:lineRule="auto"/>
        <w:ind w:firstLine="560" w:firstLineChars="200"/>
        <w:rPr>
          <w:rFonts w:ascii="宋体" w:hAnsi="宋体"/>
          <w:sz w:val="28"/>
          <w:szCs w:val="28"/>
        </w:rPr>
      </w:pPr>
      <w:r>
        <w:rPr>
          <w:rFonts w:hint="eastAsia" w:ascii="宋体" w:hAnsi="宋体"/>
          <w:sz w:val="28"/>
          <w:szCs w:val="28"/>
        </w:rPr>
        <w:t>本授权书于---年---月---日起生效。代理人无转委托权。</w:t>
      </w:r>
    </w:p>
    <w:p>
      <w:pPr>
        <w:spacing w:line="360" w:lineRule="auto"/>
        <w:ind w:firstLine="420" w:firstLineChars="150"/>
        <w:rPr>
          <w:rFonts w:ascii="宋体" w:hAnsi="宋体"/>
          <w:sz w:val="28"/>
          <w:szCs w:val="28"/>
        </w:rPr>
      </w:pPr>
      <w:r>
        <w:rPr>
          <w:rFonts w:hint="eastAsia" w:ascii="宋体" w:hAnsi="宋体"/>
          <w:sz w:val="28"/>
          <w:szCs w:val="28"/>
        </w:rPr>
        <w:t>代理人(被授权人):------</w:t>
      </w:r>
    </w:p>
    <w:p>
      <w:pPr>
        <w:spacing w:line="360" w:lineRule="auto"/>
        <w:ind w:firstLine="420" w:firstLineChars="150"/>
        <w:rPr>
          <w:rFonts w:ascii="宋体" w:hAnsi="宋体"/>
          <w:sz w:val="28"/>
          <w:szCs w:val="28"/>
        </w:rPr>
      </w:pPr>
      <w:r>
        <w:rPr>
          <w:rFonts w:hint="eastAsia" w:ascii="宋体" w:hAnsi="宋体"/>
          <w:sz w:val="28"/>
          <w:szCs w:val="28"/>
        </w:rPr>
        <w:t>授权单位名称（盖章）：-----</w:t>
      </w:r>
    </w:p>
    <w:p>
      <w:pPr>
        <w:spacing w:line="360" w:lineRule="auto"/>
        <w:ind w:firstLine="420" w:firstLineChars="150"/>
        <w:rPr>
          <w:rFonts w:ascii="宋体" w:hAnsi="宋体"/>
          <w:sz w:val="28"/>
          <w:szCs w:val="28"/>
        </w:rPr>
      </w:pPr>
      <w:r>
        <w:rPr>
          <w:rFonts w:hint="eastAsia" w:ascii="宋体" w:hAnsi="宋体"/>
          <w:sz w:val="28"/>
          <w:szCs w:val="28"/>
        </w:rPr>
        <w:t>授权单位法定代表人（签字或盖章）：-----</w:t>
      </w:r>
    </w:p>
    <w:p>
      <w:pPr>
        <w:spacing w:line="360" w:lineRule="auto"/>
        <w:jc w:val="right"/>
        <w:rPr>
          <w:rFonts w:ascii="宋体" w:hAnsi="宋体"/>
          <w:sz w:val="28"/>
          <w:szCs w:val="28"/>
        </w:rPr>
      </w:pPr>
    </w:p>
    <w:p>
      <w:pPr>
        <w:spacing w:line="360" w:lineRule="auto"/>
        <w:jc w:val="right"/>
        <w:rPr>
          <w:rFonts w:ascii="宋体" w:hAnsi="宋体"/>
          <w:sz w:val="28"/>
          <w:szCs w:val="28"/>
        </w:rPr>
      </w:pPr>
      <w:r>
        <w:rPr>
          <w:rFonts w:hint="eastAsia" w:ascii="宋体" w:hAnsi="宋体"/>
          <w:sz w:val="28"/>
          <w:szCs w:val="28"/>
        </w:rPr>
        <w:t>XXXX年XX月XX日</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r>
        <w:rPr>
          <w:rFonts w:hint="eastAsia" w:ascii="宋体" w:hAnsi="宋体" w:cs="宋体"/>
          <w:b/>
          <w:kern w:val="0"/>
          <w:sz w:val="28"/>
          <w:szCs w:val="28"/>
        </w:rPr>
        <w:t>注：提供磋商</w:t>
      </w:r>
      <w:r>
        <w:rPr>
          <w:rFonts w:ascii="宋体" w:hAnsi="宋体" w:cs="宋体"/>
          <w:b/>
          <w:kern w:val="0"/>
          <w:sz w:val="28"/>
          <w:szCs w:val="28"/>
        </w:rPr>
        <w:t>代表本人身份证复印件</w:t>
      </w:r>
      <w:r>
        <w:rPr>
          <w:rFonts w:hint="eastAsia" w:ascii="宋体" w:hAnsi="宋体" w:cs="宋体"/>
          <w:b/>
          <w:kern w:val="0"/>
          <w:sz w:val="28"/>
          <w:szCs w:val="28"/>
        </w:rPr>
        <w:t>加盖公章</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contextualSpacing/>
        <w:rPr>
          <w:rFonts w:eastAsia="方正黑体_GBK"/>
          <w:kern w:val="0"/>
          <w:sz w:val="32"/>
          <w:szCs w:val="32"/>
        </w:rPr>
      </w:pPr>
      <w:r>
        <w:rPr>
          <w:rFonts w:hint="eastAsia" w:ascii="宋体" w:hAnsi="宋体" w:cs="宋体"/>
          <w:b/>
          <w:kern w:val="0"/>
          <w:sz w:val="28"/>
          <w:szCs w:val="28"/>
        </w:rPr>
        <w:br w:type="page"/>
      </w:r>
      <w:r>
        <w:rPr>
          <w:rFonts w:eastAsia="方正黑体_GBK"/>
          <w:kern w:val="0"/>
          <w:sz w:val="32"/>
          <w:szCs w:val="32"/>
          <w:lang w:val="zh-CN"/>
        </w:rPr>
        <w:t>附件</w:t>
      </w:r>
      <w:r>
        <w:rPr>
          <w:rFonts w:hint="eastAsia" w:eastAsia="方正黑体_GBK"/>
          <w:kern w:val="0"/>
          <w:sz w:val="32"/>
          <w:szCs w:val="32"/>
        </w:rPr>
        <w:t>4</w:t>
      </w:r>
    </w:p>
    <w:p>
      <w:pPr>
        <w:jc w:val="center"/>
        <w:rPr>
          <w:rFonts w:ascii="Calibri" w:hAnsi="Calibri"/>
          <w:b/>
          <w:bCs/>
          <w:sz w:val="32"/>
          <w:szCs w:val="32"/>
        </w:rPr>
      </w:pPr>
      <w:r>
        <w:rPr>
          <w:rFonts w:hint="eastAsia" w:ascii="Calibri" w:hAnsi="Calibri"/>
          <w:b/>
          <w:bCs/>
          <w:sz w:val="32"/>
          <w:szCs w:val="32"/>
        </w:rPr>
        <w:t>磋商响应函（格式不得变动）</w:t>
      </w:r>
    </w:p>
    <w:p>
      <w:pPr>
        <w:snapToGrid w:val="0"/>
        <w:spacing w:line="520" w:lineRule="exact"/>
        <w:jc w:val="left"/>
        <w:rPr>
          <w:rFonts w:ascii="宋体" w:hAnsi="宋体" w:cs="宋体"/>
          <w:sz w:val="24"/>
          <w:u w:val="single"/>
        </w:rPr>
      </w:pPr>
      <w:r>
        <w:rPr>
          <w:rFonts w:hint="eastAsia" w:ascii="宋体" w:hAnsi="宋体" w:cs="宋体"/>
          <w:sz w:val="24"/>
          <w:u w:val="single"/>
        </w:rPr>
        <w:t xml:space="preserve">    </w:t>
      </w:r>
      <w:r>
        <w:rPr>
          <w:sz w:val="24"/>
          <w:u w:val="single"/>
        </w:rPr>
        <w:t>（采购人）</w:t>
      </w:r>
      <w:r>
        <w:rPr>
          <w:rFonts w:hint="eastAsia" w:ascii="宋体" w:hAnsi="宋体" w:cs="宋体"/>
          <w:sz w:val="24"/>
          <w:u w:val="single"/>
        </w:rPr>
        <w:t xml:space="preserve">   </w:t>
      </w:r>
      <w:r>
        <w:rPr>
          <w:rFonts w:hint="eastAsia" w:ascii="宋体" w:hAnsi="宋体" w:cs="宋体"/>
          <w:sz w:val="24"/>
        </w:rPr>
        <w:t>：</w:t>
      </w:r>
    </w:p>
    <w:p>
      <w:pPr>
        <w:snapToGrid w:val="0"/>
        <w:spacing w:line="520" w:lineRule="exact"/>
        <w:ind w:firstLine="480" w:firstLineChars="200"/>
        <w:outlineLvl w:val="3"/>
        <w:rPr>
          <w:rFonts w:ascii="宋体" w:hAnsi="宋体" w:cs="宋体"/>
          <w:sz w:val="24"/>
        </w:rPr>
      </w:pPr>
      <w:r>
        <w:rPr>
          <w:rFonts w:hint="eastAsia" w:ascii="宋体" w:hAnsi="宋体" w:cs="宋体"/>
          <w:sz w:val="24"/>
        </w:rPr>
        <w:t>依据贵单位委托代理机构组织的</w:t>
      </w:r>
      <w:r>
        <w:rPr>
          <w:rFonts w:hint="eastAsia" w:ascii="宋体" w:hAnsi="宋体" w:cs="宋体"/>
          <w:sz w:val="24"/>
          <w:u w:val="single"/>
        </w:rPr>
        <w:t xml:space="preserve">               </w:t>
      </w:r>
      <w:r>
        <w:rPr>
          <w:rFonts w:hint="eastAsia" w:ascii="宋体" w:hAnsi="宋体" w:cs="宋体"/>
          <w:sz w:val="24"/>
        </w:rPr>
        <w:t>（项目名称)项目竞争性磋商的邀请，我方授权</w:t>
      </w:r>
      <w:r>
        <w:rPr>
          <w:rFonts w:hint="eastAsia" w:ascii="宋体" w:hAnsi="宋体" w:cs="宋体"/>
          <w:sz w:val="24"/>
          <w:u w:val="single"/>
        </w:rPr>
        <w:t xml:space="preserve">    </w:t>
      </w: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（职务）为全权代表参加该项目的磋商工作，全权处理本次竞争性磋商的有关事宜。同时，我公司声明如下：</w:t>
      </w:r>
    </w:p>
    <w:p>
      <w:pPr>
        <w:snapToGrid w:val="0"/>
        <w:spacing w:line="520" w:lineRule="exact"/>
        <w:ind w:firstLine="480" w:firstLineChars="200"/>
        <w:outlineLvl w:val="3"/>
        <w:rPr>
          <w:rFonts w:ascii="宋体" w:hAnsi="宋体" w:cs="宋体"/>
          <w:sz w:val="24"/>
        </w:rPr>
      </w:pPr>
      <w:r>
        <w:rPr>
          <w:rFonts w:hint="eastAsia" w:ascii="宋体" w:hAnsi="宋体" w:cs="宋体"/>
          <w:sz w:val="24"/>
        </w:rPr>
        <w:t>1、同意并接受竞争性磋商文件的各项要求，遵守竞争性磋商文件中的各项规定。</w:t>
      </w:r>
    </w:p>
    <w:p>
      <w:pPr>
        <w:snapToGrid w:val="0"/>
        <w:spacing w:line="520" w:lineRule="exact"/>
        <w:ind w:firstLine="480" w:firstLineChars="200"/>
        <w:outlineLvl w:val="3"/>
        <w:rPr>
          <w:rFonts w:ascii="宋体" w:hAnsi="宋体" w:cs="宋体"/>
          <w:sz w:val="24"/>
        </w:rPr>
      </w:pPr>
      <w:r>
        <w:rPr>
          <w:rFonts w:hint="eastAsia" w:ascii="宋体" w:hAnsi="宋体" w:cs="宋体"/>
          <w:sz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ascii="宋体" w:hAnsi="宋体" w:cs="宋体"/>
          <w:sz w:val="24"/>
        </w:rPr>
      </w:pPr>
      <w:r>
        <w:rPr>
          <w:rFonts w:hint="eastAsia" w:ascii="宋体" w:hAnsi="宋体" w:cs="宋体"/>
          <w:sz w:val="24"/>
        </w:rPr>
        <w:t>3、我公司已毫无保留地向贵方提供一切所需的证明材料。</w:t>
      </w:r>
    </w:p>
    <w:p>
      <w:pPr>
        <w:snapToGrid w:val="0"/>
        <w:spacing w:line="520" w:lineRule="exact"/>
        <w:ind w:firstLine="480" w:firstLineChars="200"/>
        <w:outlineLvl w:val="3"/>
        <w:rPr>
          <w:rFonts w:ascii="宋体" w:hAnsi="宋体" w:cs="宋体"/>
          <w:sz w:val="24"/>
        </w:rPr>
      </w:pPr>
      <w:r>
        <w:rPr>
          <w:rFonts w:hint="eastAsia" w:ascii="宋体" w:hAnsi="宋体" w:cs="宋体"/>
          <w:sz w:val="24"/>
        </w:rPr>
        <w:t>4、我公司承诺在本次磋商响应中提供的一切文件，无论是原件还是复印件均真实有效，绝无任何虚假、伪造和夸大的成份。否则，愿承担相应的后果和法律责任。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ascii="宋体" w:hAnsi="宋体" w:cs="宋体"/>
          <w:bCs/>
          <w:sz w:val="24"/>
        </w:rPr>
      </w:pPr>
      <w:r>
        <w:rPr>
          <w:rFonts w:hint="eastAsia" w:ascii="宋体" w:hAnsi="宋体" w:cs="宋体"/>
          <w:bCs/>
          <w:sz w:val="24"/>
        </w:rPr>
        <w:t>5、我公司尊重磋商小组所作的评定结果，同时清楚理解到报价最低并非意味着必定获得成交资格。</w:t>
      </w:r>
    </w:p>
    <w:p>
      <w:pPr>
        <w:snapToGrid w:val="0"/>
        <w:spacing w:line="520" w:lineRule="exact"/>
        <w:ind w:firstLine="480" w:firstLineChars="200"/>
        <w:outlineLvl w:val="3"/>
        <w:rPr>
          <w:rFonts w:ascii="宋体" w:hAnsi="宋体" w:cs="宋体"/>
          <w:bCs/>
          <w:sz w:val="24"/>
        </w:rPr>
      </w:pPr>
      <w:r>
        <w:rPr>
          <w:rFonts w:hint="eastAsia" w:ascii="宋体" w:hAnsi="宋体" w:cs="宋体"/>
          <w:bCs/>
          <w:sz w:val="24"/>
        </w:rPr>
        <w:t>6、一旦成交，我方将根据竞争性磋商文件的规定，严格履行合同规定的责任和义务，并保证在竞争性磋商文件中规定的时间期限内完成合同项目。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ascii="宋体" w:hAnsi="宋体" w:cs="宋体"/>
          <w:sz w:val="24"/>
        </w:rPr>
      </w:pPr>
    </w:p>
    <w:p>
      <w:pPr>
        <w:snapToGrid w:val="0"/>
        <w:spacing w:line="520" w:lineRule="exact"/>
        <w:jc w:val="center"/>
        <w:outlineLvl w:val="3"/>
        <w:rPr>
          <w:rFonts w:ascii="宋体" w:hAnsi="宋体" w:cs="宋体"/>
          <w:sz w:val="24"/>
        </w:rPr>
      </w:pPr>
      <w:r>
        <w:rPr>
          <w:rFonts w:hint="eastAsia" w:ascii="宋体" w:hAnsi="宋体" w:cs="宋体"/>
          <w:sz w:val="24"/>
        </w:rPr>
        <w:t xml:space="preserve">                       供应商名称：</w:t>
      </w:r>
      <w:r>
        <w:rPr>
          <w:rFonts w:hint="eastAsia" w:ascii="宋体" w:hAnsi="宋体" w:cs="宋体"/>
          <w:sz w:val="24"/>
          <w:u w:val="single"/>
        </w:rPr>
        <w:t xml:space="preserve">                    </w:t>
      </w:r>
      <w:r>
        <w:rPr>
          <w:rFonts w:hint="eastAsia" w:ascii="宋体" w:hAnsi="宋体" w:cs="宋体"/>
          <w:sz w:val="24"/>
        </w:rPr>
        <w:t>（加盖公章）</w:t>
      </w:r>
    </w:p>
    <w:p>
      <w:pPr>
        <w:snapToGrid w:val="0"/>
        <w:spacing w:line="520" w:lineRule="exact"/>
        <w:jc w:val="right"/>
        <w:outlineLvl w:val="3"/>
        <w:rPr>
          <w:rFonts w:ascii="宋体" w:hAnsi="宋体" w:cs="宋体"/>
          <w:sz w:val="24"/>
        </w:rPr>
      </w:pPr>
      <w:r>
        <w:rPr>
          <w:rFonts w:hint="eastAsia" w:ascii="宋体" w:hAnsi="宋体" w:cs="宋体"/>
          <w:sz w:val="24"/>
        </w:rPr>
        <w:t>法定代表人或被授权人：</w:t>
      </w:r>
      <w:r>
        <w:rPr>
          <w:rFonts w:hint="eastAsia" w:ascii="宋体" w:hAnsi="宋体" w:cs="宋体"/>
          <w:sz w:val="24"/>
          <w:u w:val="single"/>
        </w:rPr>
        <w:t xml:space="preserve">         </w:t>
      </w:r>
      <w:r>
        <w:rPr>
          <w:rFonts w:hint="eastAsia" w:ascii="宋体" w:hAnsi="宋体" w:cs="宋体"/>
          <w:sz w:val="24"/>
        </w:rPr>
        <w:t>（签字或盖章）</w:t>
      </w:r>
    </w:p>
    <w:p>
      <w:pPr>
        <w:snapToGrid w:val="0"/>
        <w:spacing w:line="400" w:lineRule="exact"/>
        <w:contextualSpacing/>
        <w:rPr>
          <w:rFonts w:eastAsia="方正黑体_GBK"/>
          <w:kern w:val="0"/>
          <w:sz w:val="32"/>
          <w:szCs w:val="32"/>
        </w:rPr>
      </w:pPr>
      <w:r>
        <w:rPr>
          <w:rFonts w:hint="eastAsia" w:ascii="宋体" w:hAnsi="宋体" w:cs="宋体"/>
          <w:sz w:val="24"/>
        </w:rPr>
        <w:t xml:space="preserve">                                         年      月     日</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contextualSpacing/>
        <w:rPr>
          <w:rFonts w:eastAsia="方正黑体_GBK"/>
          <w:kern w:val="0"/>
          <w:sz w:val="32"/>
          <w:szCs w:val="32"/>
        </w:rPr>
      </w:pPr>
      <w:r>
        <w:rPr>
          <w:b/>
          <w:bCs/>
          <w:sz w:val="32"/>
          <w:szCs w:val="32"/>
        </w:rPr>
        <w:br w:type="page"/>
      </w:r>
      <w:r>
        <w:rPr>
          <w:rFonts w:eastAsia="方正黑体_GBK"/>
          <w:kern w:val="0"/>
          <w:sz w:val="32"/>
          <w:szCs w:val="32"/>
          <w:lang w:val="zh-CN"/>
        </w:rPr>
        <w:t>附件</w:t>
      </w:r>
      <w:r>
        <w:rPr>
          <w:rFonts w:hint="eastAsia" w:eastAsia="方正黑体_GBK"/>
          <w:kern w:val="0"/>
          <w:sz w:val="32"/>
          <w:szCs w:val="32"/>
        </w:rPr>
        <w:t>5</w:t>
      </w:r>
    </w:p>
    <w:p>
      <w:pPr>
        <w:tabs>
          <w:tab w:val="left" w:pos="1260"/>
        </w:tabs>
        <w:snapToGrid w:val="0"/>
        <w:spacing w:line="300" w:lineRule="auto"/>
        <w:contextualSpacing/>
        <w:jc w:val="center"/>
        <w:rPr>
          <w:rFonts w:ascii="宋体" w:hAnsi="宋体"/>
          <w:b/>
          <w:sz w:val="32"/>
          <w:szCs w:val="32"/>
        </w:rPr>
      </w:pPr>
      <w:r>
        <w:rPr>
          <w:rFonts w:hint="eastAsia" w:ascii="宋体" w:hAnsi="宋体"/>
          <w:b/>
          <w:sz w:val="32"/>
          <w:szCs w:val="32"/>
        </w:rPr>
        <w:t>供应商一般情况表</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1"/>
        <w:gridCol w:w="638"/>
        <w:gridCol w:w="765"/>
        <w:gridCol w:w="765"/>
        <w:gridCol w:w="510"/>
        <w:gridCol w:w="1178"/>
        <w:gridCol w:w="141"/>
        <w:gridCol w:w="1188"/>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企业名称</w:t>
            </w:r>
          </w:p>
        </w:tc>
        <w:tc>
          <w:tcPr>
            <w:tcW w:w="3819" w:type="pct"/>
            <w:gridSpan w:val="8"/>
          </w:tcPr>
          <w:p>
            <w:pPr>
              <w:tabs>
                <w:tab w:val="left" w:pos="993"/>
              </w:tabs>
              <w:spacing w:line="52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总部地址</w:t>
            </w:r>
          </w:p>
        </w:tc>
        <w:tc>
          <w:tcPr>
            <w:tcW w:w="3819" w:type="pct"/>
            <w:gridSpan w:val="8"/>
          </w:tcPr>
          <w:p>
            <w:pPr>
              <w:tabs>
                <w:tab w:val="left" w:pos="993"/>
              </w:tabs>
              <w:spacing w:line="52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分支机构</w:t>
            </w:r>
          </w:p>
        </w:tc>
        <w:tc>
          <w:tcPr>
            <w:tcW w:w="3819" w:type="pct"/>
            <w:gridSpan w:val="8"/>
          </w:tcPr>
          <w:p>
            <w:pPr>
              <w:tabs>
                <w:tab w:val="left" w:pos="993"/>
              </w:tabs>
              <w:spacing w:line="52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当地代表处地址</w:t>
            </w:r>
          </w:p>
        </w:tc>
        <w:tc>
          <w:tcPr>
            <w:tcW w:w="3819" w:type="pct"/>
            <w:gridSpan w:val="8"/>
          </w:tcPr>
          <w:p>
            <w:pPr>
              <w:tabs>
                <w:tab w:val="left" w:pos="993"/>
              </w:tabs>
              <w:spacing w:line="52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电话</w:t>
            </w:r>
          </w:p>
        </w:tc>
        <w:tc>
          <w:tcPr>
            <w:tcW w:w="1272" w:type="pct"/>
            <w:gridSpan w:val="3"/>
          </w:tcPr>
          <w:p>
            <w:pPr>
              <w:tabs>
                <w:tab w:val="left" w:pos="993"/>
              </w:tabs>
              <w:spacing w:line="520" w:lineRule="exact"/>
              <w:rPr>
                <w:rFonts w:ascii="宋体" w:hAnsi="宋体" w:cs="宋体"/>
                <w:color w:val="000000"/>
                <w:sz w:val="24"/>
              </w:rPr>
            </w:pPr>
          </w:p>
        </w:tc>
        <w:tc>
          <w:tcPr>
            <w:tcW w:w="990" w:type="pct"/>
            <w:gridSpan w:val="2"/>
          </w:tcPr>
          <w:p>
            <w:pPr>
              <w:tabs>
                <w:tab w:val="left" w:pos="993"/>
              </w:tabs>
              <w:spacing w:line="520" w:lineRule="exact"/>
              <w:rPr>
                <w:rFonts w:ascii="宋体" w:hAnsi="宋体" w:cs="宋体"/>
                <w:color w:val="000000"/>
                <w:sz w:val="24"/>
              </w:rPr>
            </w:pPr>
            <w:r>
              <w:rPr>
                <w:rFonts w:hint="eastAsia" w:ascii="宋体" w:hAnsi="宋体" w:cs="宋体"/>
                <w:color w:val="000000"/>
                <w:sz w:val="24"/>
              </w:rPr>
              <w:t>联系人</w:t>
            </w:r>
          </w:p>
        </w:tc>
        <w:tc>
          <w:tcPr>
            <w:tcW w:w="1557" w:type="pct"/>
            <w:gridSpan w:val="3"/>
          </w:tcPr>
          <w:p>
            <w:pPr>
              <w:tabs>
                <w:tab w:val="left" w:pos="993"/>
              </w:tabs>
              <w:spacing w:line="52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传真</w:t>
            </w:r>
          </w:p>
        </w:tc>
        <w:tc>
          <w:tcPr>
            <w:tcW w:w="1272" w:type="pct"/>
            <w:gridSpan w:val="3"/>
          </w:tcPr>
          <w:p>
            <w:pPr>
              <w:tabs>
                <w:tab w:val="left" w:pos="993"/>
              </w:tabs>
              <w:spacing w:line="520" w:lineRule="exact"/>
              <w:rPr>
                <w:rFonts w:ascii="宋体" w:hAnsi="宋体" w:cs="宋体"/>
                <w:color w:val="000000"/>
                <w:sz w:val="24"/>
              </w:rPr>
            </w:pPr>
          </w:p>
        </w:tc>
        <w:tc>
          <w:tcPr>
            <w:tcW w:w="990" w:type="pct"/>
            <w:gridSpan w:val="2"/>
          </w:tcPr>
          <w:p>
            <w:pPr>
              <w:tabs>
                <w:tab w:val="left" w:pos="993"/>
              </w:tabs>
              <w:spacing w:line="520" w:lineRule="exact"/>
              <w:rPr>
                <w:rFonts w:ascii="宋体" w:hAnsi="宋体" w:cs="宋体"/>
                <w:color w:val="000000"/>
                <w:sz w:val="24"/>
              </w:rPr>
            </w:pPr>
            <w:r>
              <w:rPr>
                <w:rFonts w:hint="eastAsia" w:ascii="宋体" w:hAnsi="宋体" w:cs="宋体"/>
                <w:color w:val="000000"/>
                <w:sz w:val="24"/>
              </w:rPr>
              <w:t>电子邮件</w:t>
            </w:r>
          </w:p>
        </w:tc>
        <w:tc>
          <w:tcPr>
            <w:tcW w:w="1557" w:type="pct"/>
            <w:gridSpan w:val="3"/>
          </w:tcPr>
          <w:p>
            <w:pPr>
              <w:tabs>
                <w:tab w:val="left" w:pos="993"/>
              </w:tabs>
              <w:spacing w:line="52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注册地</w:t>
            </w:r>
          </w:p>
        </w:tc>
        <w:tc>
          <w:tcPr>
            <w:tcW w:w="1272" w:type="pct"/>
            <w:gridSpan w:val="3"/>
          </w:tcPr>
          <w:p>
            <w:pPr>
              <w:tabs>
                <w:tab w:val="left" w:pos="993"/>
              </w:tabs>
              <w:spacing w:line="520" w:lineRule="exact"/>
              <w:rPr>
                <w:rFonts w:ascii="宋体" w:hAnsi="宋体" w:cs="宋体"/>
                <w:color w:val="000000"/>
                <w:sz w:val="24"/>
              </w:rPr>
            </w:pPr>
          </w:p>
        </w:tc>
        <w:tc>
          <w:tcPr>
            <w:tcW w:w="990" w:type="pct"/>
            <w:gridSpan w:val="2"/>
          </w:tcPr>
          <w:p>
            <w:pPr>
              <w:tabs>
                <w:tab w:val="left" w:pos="993"/>
              </w:tabs>
              <w:spacing w:line="520" w:lineRule="exact"/>
              <w:rPr>
                <w:rFonts w:ascii="宋体" w:hAnsi="宋体" w:cs="宋体"/>
                <w:color w:val="000000"/>
                <w:sz w:val="24"/>
              </w:rPr>
            </w:pPr>
            <w:r>
              <w:rPr>
                <w:rFonts w:hint="eastAsia" w:ascii="宋体" w:hAnsi="宋体" w:cs="宋体"/>
                <w:color w:val="000000"/>
                <w:sz w:val="24"/>
              </w:rPr>
              <w:t>注册年份</w:t>
            </w:r>
          </w:p>
        </w:tc>
        <w:tc>
          <w:tcPr>
            <w:tcW w:w="1557" w:type="pct"/>
            <w:gridSpan w:val="3"/>
          </w:tcPr>
          <w:p>
            <w:pPr>
              <w:tabs>
                <w:tab w:val="left" w:pos="993"/>
              </w:tabs>
              <w:spacing w:line="52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资质等级</w:t>
            </w:r>
          </w:p>
        </w:tc>
        <w:tc>
          <w:tcPr>
            <w:tcW w:w="3819" w:type="pct"/>
            <w:gridSpan w:val="8"/>
          </w:tcPr>
          <w:p>
            <w:pPr>
              <w:tabs>
                <w:tab w:val="left" w:pos="993"/>
              </w:tabs>
              <w:spacing w:line="520" w:lineRule="exact"/>
              <w:rPr>
                <w:rFonts w:ascii="宋体" w:hAnsi="宋体" w:cs="宋体"/>
                <w:color w:val="000000"/>
                <w:sz w:val="24"/>
              </w:rPr>
            </w:pPr>
            <w:r>
              <w:rPr>
                <w:rFonts w:hint="eastAsia" w:ascii="宋体" w:hAnsi="宋体" w:cs="宋体"/>
                <w:color w:val="000000"/>
                <w:sz w:val="24"/>
              </w:rPr>
              <w:t>公司具备的相关资质等级及相应的证书号</w:t>
            </w:r>
          </w:p>
          <w:p>
            <w:pPr>
              <w:tabs>
                <w:tab w:val="left" w:pos="993"/>
              </w:tabs>
              <w:spacing w:line="520" w:lineRule="exact"/>
              <w:rPr>
                <w:rFonts w:ascii="宋体" w:hAnsi="宋体" w:cs="宋体"/>
                <w:color w:val="000000"/>
                <w:sz w:val="24"/>
              </w:rPr>
            </w:pPr>
            <w:r>
              <w:rPr>
                <w:rFonts w:hint="eastAsia" w:ascii="宋体" w:hAnsi="宋体" w:cs="宋体"/>
                <w:color w:val="000000"/>
                <w:sz w:val="24"/>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质量管理体系</w:t>
            </w:r>
          </w:p>
        </w:tc>
        <w:tc>
          <w:tcPr>
            <w:tcW w:w="3819" w:type="pct"/>
            <w:gridSpan w:val="8"/>
          </w:tcPr>
          <w:p>
            <w:pPr>
              <w:tabs>
                <w:tab w:val="left" w:pos="993"/>
              </w:tabs>
              <w:spacing w:line="520" w:lineRule="exact"/>
              <w:rPr>
                <w:rFonts w:ascii="宋体" w:hAnsi="宋体" w:cs="宋体"/>
                <w:color w:val="000000"/>
                <w:sz w:val="24"/>
              </w:rPr>
            </w:pPr>
            <w:r>
              <w:rPr>
                <w:rFonts w:hint="eastAsia" w:ascii="宋体" w:hAnsi="宋体" w:cs="宋体"/>
                <w:color w:val="000000"/>
                <w:sz w:val="24"/>
              </w:rPr>
              <w:t>公司</w:t>
            </w:r>
            <w:r>
              <w:rPr>
                <w:rFonts w:hint="eastAsia" w:ascii="宋体" w:hAnsi="宋体" w:cs="宋体"/>
                <w:color w:val="000000"/>
                <w:sz w:val="24"/>
                <w:u w:val="single"/>
              </w:rPr>
              <w:t xml:space="preserve">   （是否通过，何种）   </w:t>
            </w:r>
            <w:r>
              <w:rPr>
                <w:rFonts w:hint="eastAsia" w:ascii="宋体" w:hAnsi="宋体" w:cs="宋体"/>
                <w:color w:val="000000"/>
                <w:sz w:val="24"/>
              </w:rPr>
              <w:t>质量保证体系认证（如通过请附相关在有效期内的证书复印件）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项目负责人</w:t>
            </w:r>
          </w:p>
        </w:tc>
        <w:tc>
          <w:tcPr>
            <w:tcW w:w="823" w:type="pct"/>
            <w:gridSpan w:val="2"/>
          </w:tcPr>
          <w:p>
            <w:pPr>
              <w:tabs>
                <w:tab w:val="left" w:pos="993"/>
              </w:tabs>
              <w:spacing w:line="520" w:lineRule="exact"/>
              <w:jc w:val="center"/>
              <w:rPr>
                <w:rFonts w:ascii="宋体" w:hAnsi="宋体" w:cs="宋体"/>
                <w:color w:val="000000"/>
                <w:sz w:val="24"/>
              </w:rPr>
            </w:pPr>
          </w:p>
        </w:tc>
        <w:tc>
          <w:tcPr>
            <w:tcW w:w="748" w:type="pct"/>
            <w:gridSpan w:val="2"/>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年龄</w:t>
            </w:r>
          </w:p>
        </w:tc>
        <w:tc>
          <w:tcPr>
            <w:tcW w:w="774" w:type="pct"/>
            <w:gridSpan w:val="2"/>
          </w:tcPr>
          <w:p>
            <w:pPr>
              <w:tabs>
                <w:tab w:val="left" w:pos="993"/>
              </w:tabs>
              <w:spacing w:line="520" w:lineRule="exact"/>
              <w:jc w:val="center"/>
              <w:rPr>
                <w:rFonts w:ascii="宋体" w:hAnsi="宋体" w:cs="宋体"/>
                <w:color w:val="000000"/>
                <w:sz w:val="24"/>
              </w:rPr>
            </w:pPr>
          </w:p>
        </w:tc>
        <w:tc>
          <w:tcPr>
            <w:tcW w:w="697" w:type="pct"/>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性别</w:t>
            </w:r>
          </w:p>
        </w:tc>
        <w:tc>
          <w:tcPr>
            <w:tcW w:w="776" w:type="pct"/>
          </w:tcPr>
          <w:p>
            <w:pPr>
              <w:tabs>
                <w:tab w:val="left" w:pos="993"/>
              </w:tabs>
              <w:spacing w:line="52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职务职称</w:t>
            </w:r>
          </w:p>
        </w:tc>
        <w:tc>
          <w:tcPr>
            <w:tcW w:w="1571" w:type="pct"/>
            <w:gridSpan w:val="4"/>
          </w:tcPr>
          <w:p>
            <w:pPr>
              <w:tabs>
                <w:tab w:val="left" w:pos="993"/>
              </w:tabs>
              <w:spacing w:line="520" w:lineRule="exact"/>
              <w:rPr>
                <w:rFonts w:ascii="宋体" w:hAnsi="宋体" w:cs="宋体"/>
                <w:color w:val="000000"/>
                <w:sz w:val="24"/>
              </w:rPr>
            </w:pPr>
          </w:p>
        </w:tc>
        <w:tc>
          <w:tcPr>
            <w:tcW w:w="774" w:type="pct"/>
            <w:gridSpan w:val="2"/>
          </w:tcPr>
          <w:p>
            <w:pPr>
              <w:tabs>
                <w:tab w:val="left" w:pos="993"/>
              </w:tabs>
              <w:spacing w:line="520" w:lineRule="exact"/>
              <w:rPr>
                <w:rFonts w:ascii="宋体" w:hAnsi="宋体" w:cs="宋体"/>
                <w:color w:val="000000"/>
                <w:sz w:val="24"/>
              </w:rPr>
            </w:pPr>
            <w:r>
              <w:rPr>
                <w:rFonts w:hint="eastAsia" w:ascii="宋体" w:hAnsi="宋体" w:cs="宋体"/>
                <w:color w:val="000000"/>
                <w:sz w:val="24"/>
              </w:rPr>
              <w:t>执业资格</w:t>
            </w:r>
          </w:p>
        </w:tc>
        <w:tc>
          <w:tcPr>
            <w:tcW w:w="1473" w:type="pct"/>
            <w:gridSpan w:val="2"/>
          </w:tcPr>
          <w:p>
            <w:pPr>
              <w:tabs>
                <w:tab w:val="left" w:pos="993"/>
              </w:tabs>
              <w:spacing w:line="52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1180" w:type="pct"/>
            <w:vAlign w:val="center"/>
          </w:tcPr>
          <w:p>
            <w:pPr>
              <w:tabs>
                <w:tab w:val="left" w:pos="993"/>
              </w:tabs>
              <w:spacing w:line="520" w:lineRule="exact"/>
              <w:jc w:val="center"/>
              <w:rPr>
                <w:rFonts w:ascii="宋体" w:hAnsi="宋体" w:cs="宋体"/>
                <w:color w:val="000000"/>
                <w:sz w:val="24"/>
              </w:rPr>
            </w:pPr>
            <w:r>
              <w:rPr>
                <w:rFonts w:hint="eastAsia" w:ascii="宋体" w:hAnsi="宋体" w:cs="宋体"/>
                <w:color w:val="000000"/>
                <w:sz w:val="24"/>
              </w:rPr>
              <w:t>经营范围</w:t>
            </w:r>
          </w:p>
        </w:tc>
        <w:tc>
          <w:tcPr>
            <w:tcW w:w="3819" w:type="pct"/>
            <w:gridSpan w:val="8"/>
          </w:tcPr>
          <w:p>
            <w:pPr>
              <w:tabs>
                <w:tab w:val="left" w:pos="993"/>
              </w:tabs>
              <w:spacing w:line="520" w:lineRule="exact"/>
              <w:rPr>
                <w:rFonts w:ascii="宋体" w:hAnsi="宋体" w:cs="宋体"/>
                <w:color w:val="000000"/>
                <w:sz w:val="24"/>
              </w:rPr>
            </w:pPr>
            <w:r>
              <w:rPr>
                <w:rFonts w:hint="eastAsia" w:ascii="宋体" w:hAnsi="宋体" w:cs="宋体"/>
                <w:color w:val="000000"/>
                <w:sz w:val="24"/>
              </w:rPr>
              <w:t>营业执照载明：</w:t>
            </w:r>
          </w:p>
          <w:p>
            <w:pPr>
              <w:tabs>
                <w:tab w:val="left" w:pos="993"/>
              </w:tabs>
              <w:spacing w:line="520" w:lineRule="exact"/>
              <w:rPr>
                <w:rFonts w:ascii="宋体" w:hAnsi="宋体" w:cs="宋体"/>
                <w:color w:val="000000"/>
                <w:sz w:val="24"/>
                <w:u w:val="single"/>
              </w:rPr>
            </w:pPr>
            <w:r>
              <w:rPr>
                <w:rFonts w:hint="eastAsia" w:ascii="宋体" w:hAnsi="宋体" w:cs="宋体"/>
                <w:color w:val="000000"/>
                <w:sz w:val="24"/>
              </w:rPr>
              <w:t>1.</w:t>
            </w:r>
            <w:r>
              <w:rPr>
                <w:rFonts w:hint="eastAsia" w:ascii="宋体" w:hAnsi="宋体" w:cs="宋体"/>
                <w:color w:val="000000"/>
                <w:sz w:val="24"/>
                <w:u w:val="single"/>
              </w:rPr>
              <w:t xml:space="preserve">                                               </w:t>
            </w:r>
          </w:p>
          <w:p>
            <w:pPr>
              <w:tabs>
                <w:tab w:val="left" w:pos="993"/>
              </w:tabs>
              <w:spacing w:line="520" w:lineRule="exact"/>
              <w:rPr>
                <w:rFonts w:ascii="宋体" w:hAnsi="宋体" w:cs="宋体"/>
                <w:color w:val="000000"/>
                <w:sz w:val="24"/>
                <w:u w:val="single"/>
              </w:rPr>
            </w:pPr>
            <w:r>
              <w:rPr>
                <w:rFonts w:hint="eastAsia" w:ascii="宋体" w:hAnsi="宋体" w:cs="宋体"/>
                <w:color w:val="000000"/>
                <w:sz w:val="24"/>
              </w:rPr>
              <w:t>2.</w:t>
            </w:r>
            <w:r>
              <w:rPr>
                <w:rFonts w:hint="eastAsia" w:ascii="宋体" w:hAnsi="宋体" w:cs="宋体"/>
                <w:color w:val="000000"/>
                <w:sz w:val="24"/>
                <w:u w:val="single"/>
              </w:rPr>
              <w:t xml:space="preserve">                                               </w:t>
            </w:r>
          </w:p>
          <w:p>
            <w:pPr>
              <w:tabs>
                <w:tab w:val="left" w:pos="993"/>
              </w:tabs>
              <w:spacing w:line="520" w:lineRule="exact"/>
              <w:rPr>
                <w:rFonts w:ascii="宋体" w:hAnsi="宋体" w:cs="宋体"/>
                <w:color w:val="000000"/>
                <w:sz w:val="24"/>
                <w:u w:val="single"/>
              </w:rPr>
            </w:pPr>
            <w:r>
              <w:rPr>
                <w:rFonts w:hint="eastAsia" w:ascii="宋体" w:hAnsi="宋体" w:cs="宋体"/>
                <w:color w:val="000000"/>
                <w:sz w:val="24"/>
              </w:rPr>
              <w:t>3.</w:t>
            </w:r>
            <w:r>
              <w:rPr>
                <w:rFonts w:hint="eastAsia" w:ascii="宋体" w:hAnsi="宋体" w:cs="宋体"/>
                <w:color w:val="000000"/>
                <w:sz w:val="24"/>
                <w:u w:val="single"/>
              </w:rPr>
              <w:t xml:space="preserve">                                               </w:t>
            </w:r>
          </w:p>
          <w:p>
            <w:pPr>
              <w:tabs>
                <w:tab w:val="left" w:pos="993"/>
              </w:tabs>
              <w:spacing w:line="520" w:lineRule="exact"/>
              <w:rPr>
                <w:rFonts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54" w:type="pct"/>
            <w:gridSpan w:val="2"/>
            <w:vAlign w:val="center"/>
          </w:tcPr>
          <w:p>
            <w:pPr>
              <w:tabs>
                <w:tab w:val="left" w:pos="993"/>
              </w:tabs>
              <w:spacing w:line="520" w:lineRule="exact"/>
              <w:rPr>
                <w:rFonts w:ascii="宋体" w:hAnsi="宋体" w:cs="宋体"/>
                <w:color w:val="000000"/>
                <w:sz w:val="24"/>
              </w:rPr>
            </w:pPr>
            <w:r>
              <w:rPr>
                <w:rFonts w:hint="eastAsia" w:ascii="宋体" w:hAnsi="宋体" w:cs="宋体"/>
                <w:color w:val="000000"/>
                <w:sz w:val="24"/>
              </w:rPr>
              <w:t>从事类似相关项目的经历及年数</w:t>
            </w:r>
          </w:p>
        </w:tc>
        <w:tc>
          <w:tcPr>
            <w:tcW w:w="3445" w:type="pct"/>
            <w:gridSpan w:val="7"/>
          </w:tcPr>
          <w:p>
            <w:pPr>
              <w:tabs>
                <w:tab w:val="left" w:pos="993"/>
              </w:tabs>
              <w:spacing w:line="52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54" w:type="pct"/>
            <w:gridSpan w:val="2"/>
            <w:vAlign w:val="center"/>
          </w:tcPr>
          <w:p>
            <w:pPr>
              <w:tabs>
                <w:tab w:val="left" w:pos="993"/>
              </w:tabs>
              <w:spacing w:line="520" w:lineRule="exact"/>
              <w:rPr>
                <w:rFonts w:ascii="宋体" w:hAnsi="宋体" w:cs="宋体"/>
                <w:color w:val="000000"/>
                <w:sz w:val="24"/>
              </w:rPr>
            </w:pPr>
            <w:r>
              <w:rPr>
                <w:rFonts w:hint="eastAsia" w:ascii="宋体" w:hAnsi="宋体" w:cs="宋体"/>
                <w:color w:val="000000"/>
                <w:sz w:val="24"/>
              </w:rPr>
              <w:t>其他认为有必要提供的内容，可自行添加</w:t>
            </w:r>
          </w:p>
        </w:tc>
        <w:tc>
          <w:tcPr>
            <w:tcW w:w="3445" w:type="pct"/>
            <w:gridSpan w:val="7"/>
          </w:tcPr>
          <w:p>
            <w:pPr>
              <w:tabs>
                <w:tab w:val="left" w:pos="993"/>
              </w:tabs>
              <w:spacing w:line="520" w:lineRule="exact"/>
              <w:rPr>
                <w:rFonts w:ascii="宋体" w:hAnsi="宋体" w:cs="宋体"/>
                <w:color w:val="000000"/>
                <w:sz w:val="24"/>
              </w:rPr>
            </w:pPr>
          </w:p>
        </w:tc>
      </w:tr>
    </w:tbl>
    <w:p>
      <w:pPr>
        <w:snapToGrid w:val="0"/>
        <w:spacing w:line="300" w:lineRule="auto"/>
        <w:contextualSpacing/>
        <w:jc w:val="left"/>
        <w:rPr>
          <w:rFonts w:eastAsia="方正黑体_GBK"/>
          <w:kern w:val="0"/>
          <w:sz w:val="32"/>
          <w:szCs w:val="32"/>
        </w:rPr>
      </w:pPr>
      <w:r>
        <w:rPr>
          <w:rFonts w:eastAsia="方正黑体_GBK"/>
          <w:kern w:val="0"/>
          <w:sz w:val="32"/>
          <w:szCs w:val="32"/>
        </w:rPr>
        <w:br w:type="page"/>
      </w:r>
      <w:r>
        <w:rPr>
          <w:rFonts w:eastAsia="方正黑体_GBK"/>
          <w:kern w:val="0"/>
          <w:sz w:val="32"/>
          <w:szCs w:val="32"/>
          <w:lang w:val="zh-CN"/>
        </w:rPr>
        <w:t>附件</w:t>
      </w:r>
      <w:r>
        <w:rPr>
          <w:rFonts w:hint="eastAsia" w:eastAsia="方正黑体_GBK"/>
          <w:kern w:val="0"/>
          <w:sz w:val="32"/>
          <w:szCs w:val="32"/>
        </w:rPr>
        <w:t>6</w:t>
      </w:r>
    </w:p>
    <w:p>
      <w:pPr>
        <w:snapToGrid w:val="0"/>
        <w:spacing w:line="300" w:lineRule="auto"/>
        <w:contextualSpacing/>
        <w:jc w:val="center"/>
        <w:rPr>
          <w:rFonts w:ascii="宋体" w:hAnsi="宋体"/>
          <w:b/>
          <w:sz w:val="32"/>
          <w:szCs w:val="32"/>
        </w:rPr>
      </w:pPr>
      <w:r>
        <w:rPr>
          <w:rFonts w:hint="eastAsia" w:ascii="宋体" w:hAnsi="宋体"/>
          <w:b/>
          <w:sz w:val="32"/>
          <w:szCs w:val="32"/>
        </w:rPr>
        <w:t>商务技术服务条款响应表</w:t>
      </w:r>
    </w:p>
    <w:p>
      <w:pPr>
        <w:ind w:firstLine="560" w:firstLineChars="200"/>
        <w:jc w:val="center"/>
        <w:rPr>
          <w:rFonts w:ascii="宋体" w:hAnsi="宋体"/>
          <w:sz w:val="28"/>
          <w:szCs w:val="28"/>
        </w:rPr>
      </w:pPr>
    </w:p>
    <w:p>
      <w:pPr>
        <w:spacing w:line="320" w:lineRule="exact"/>
        <w:rPr>
          <w:rFonts w:ascii="宋体" w:hAnsi="宋体" w:cs="宋体"/>
          <w:sz w:val="24"/>
          <w:u w:val="single"/>
        </w:rPr>
      </w:pPr>
      <w:r>
        <w:rPr>
          <w:rFonts w:hint="eastAsia" w:ascii="宋体" w:hAnsi="宋体" w:cs="宋体"/>
          <w:sz w:val="24"/>
        </w:rPr>
        <w:t>项目名称：</w:t>
      </w: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3942"/>
        <w:gridCol w:w="1445"/>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535" w:type="pct"/>
            <w:noWrap/>
            <w:vAlign w:val="center"/>
          </w:tcPr>
          <w:p>
            <w:pPr>
              <w:jc w:val="center"/>
              <w:rPr>
                <w:rFonts w:ascii="宋体" w:hAnsi="宋体" w:cs="宋体"/>
                <w:sz w:val="24"/>
              </w:rPr>
            </w:pPr>
            <w:r>
              <w:rPr>
                <w:rFonts w:hint="eastAsia" w:ascii="宋体" w:hAnsi="宋体" w:cs="宋体"/>
                <w:sz w:val="24"/>
              </w:rPr>
              <w:t>序号</w:t>
            </w:r>
          </w:p>
        </w:tc>
        <w:tc>
          <w:tcPr>
            <w:tcW w:w="2313" w:type="pct"/>
            <w:noWrap/>
            <w:vAlign w:val="center"/>
          </w:tcPr>
          <w:p>
            <w:pPr>
              <w:jc w:val="center"/>
              <w:rPr>
                <w:rFonts w:ascii="宋体" w:hAnsi="宋体" w:cs="宋体"/>
                <w:sz w:val="24"/>
              </w:rPr>
            </w:pPr>
            <w:r>
              <w:rPr>
                <w:rFonts w:hint="eastAsia" w:ascii="宋体" w:hAnsi="宋体" w:cs="宋体"/>
                <w:sz w:val="24"/>
              </w:rPr>
              <w:t>磋商文件要求的</w:t>
            </w:r>
          </w:p>
          <w:p>
            <w:pPr>
              <w:jc w:val="center"/>
              <w:rPr>
                <w:rFonts w:ascii="宋体" w:hAnsi="宋体" w:cs="宋体"/>
                <w:sz w:val="24"/>
              </w:rPr>
            </w:pPr>
            <w:r>
              <w:rPr>
                <w:rFonts w:hint="eastAsia" w:ascii="宋体" w:hAnsi="宋体" w:cs="宋体"/>
                <w:sz w:val="24"/>
              </w:rPr>
              <w:t>商务、技术服务条款</w:t>
            </w:r>
          </w:p>
        </w:tc>
        <w:tc>
          <w:tcPr>
            <w:tcW w:w="848" w:type="pct"/>
            <w:noWrap/>
            <w:vAlign w:val="center"/>
          </w:tcPr>
          <w:p>
            <w:pPr>
              <w:jc w:val="center"/>
              <w:rPr>
                <w:rFonts w:ascii="宋体" w:hAnsi="宋体" w:cs="宋体"/>
                <w:sz w:val="24"/>
              </w:rPr>
            </w:pPr>
            <w:r>
              <w:rPr>
                <w:rFonts w:hint="eastAsia" w:ascii="宋体" w:hAnsi="宋体" w:cs="宋体"/>
                <w:sz w:val="24"/>
              </w:rPr>
              <w:t>偏离度</w:t>
            </w:r>
          </w:p>
        </w:tc>
        <w:tc>
          <w:tcPr>
            <w:tcW w:w="1302" w:type="pct"/>
            <w:noWrap/>
            <w:vAlign w:val="center"/>
          </w:tcPr>
          <w:p>
            <w:pPr>
              <w:jc w:val="center"/>
              <w:rPr>
                <w:rFonts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pct"/>
            <w:noWrap/>
            <w:vAlign w:val="center"/>
          </w:tcPr>
          <w:p>
            <w:pPr>
              <w:spacing w:line="360" w:lineRule="auto"/>
              <w:jc w:val="center"/>
              <w:rPr>
                <w:rFonts w:ascii="宋体" w:hAnsi="宋体" w:cs="宋体"/>
                <w:b/>
                <w:bCs/>
                <w:sz w:val="24"/>
              </w:rPr>
            </w:pPr>
          </w:p>
        </w:tc>
        <w:tc>
          <w:tcPr>
            <w:tcW w:w="2313" w:type="pct"/>
            <w:noWrap/>
            <w:vAlign w:val="center"/>
          </w:tcPr>
          <w:p>
            <w:pPr>
              <w:spacing w:line="360" w:lineRule="auto"/>
              <w:jc w:val="center"/>
              <w:rPr>
                <w:rFonts w:ascii="宋体" w:hAnsi="宋体" w:cs="宋体"/>
                <w:b/>
                <w:bCs/>
                <w:sz w:val="24"/>
              </w:rPr>
            </w:pPr>
          </w:p>
        </w:tc>
        <w:tc>
          <w:tcPr>
            <w:tcW w:w="848" w:type="pct"/>
            <w:noWrap/>
            <w:vAlign w:val="center"/>
          </w:tcPr>
          <w:p>
            <w:pPr>
              <w:spacing w:line="360" w:lineRule="auto"/>
              <w:jc w:val="center"/>
              <w:rPr>
                <w:rFonts w:ascii="宋体" w:hAnsi="宋体" w:cs="宋体"/>
                <w:b/>
                <w:bCs/>
                <w:sz w:val="24"/>
              </w:rPr>
            </w:pPr>
          </w:p>
        </w:tc>
        <w:tc>
          <w:tcPr>
            <w:tcW w:w="1302" w:type="pct"/>
            <w:noWrap/>
            <w:vAlign w:val="center"/>
          </w:tcPr>
          <w:p>
            <w:pPr>
              <w:spacing w:line="360" w:lineRule="auto"/>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pct"/>
            <w:noWrap/>
            <w:vAlign w:val="center"/>
          </w:tcPr>
          <w:p>
            <w:pPr>
              <w:spacing w:line="360" w:lineRule="auto"/>
              <w:jc w:val="center"/>
              <w:rPr>
                <w:rFonts w:ascii="宋体" w:hAnsi="宋体" w:cs="宋体"/>
                <w:b/>
                <w:bCs/>
                <w:sz w:val="24"/>
              </w:rPr>
            </w:pPr>
          </w:p>
        </w:tc>
        <w:tc>
          <w:tcPr>
            <w:tcW w:w="2313" w:type="pct"/>
            <w:noWrap/>
            <w:vAlign w:val="center"/>
          </w:tcPr>
          <w:p>
            <w:pPr>
              <w:spacing w:line="360" w:lineRule="auto"/>
              <w:jc w:val="center"/>
              <w:rPr>
                <w:rFonts w:ascii="宋体" w:hAnsi="宋体" w:cs="宋体"/>
                <w:b/>
                <w:bCs/>
                <w:sz w:val="24"/>
              </w:rPr>
            </w:pPr>
          </w:p>
        </w:tc>
        <w:tc>
          <w:tcPr>
            <w:tcW w:w="848" w:type="pct"/>
            <w:noWrap/>
            <w:vAlign w:val="center"/>
          </w:tcPr>
          <w:p>
            <w:pPr>
              <w:spacing w:line="360" w:lineRule="auto"/>
              <w:jc w:val="center"/>
              <w:rPr>
                <w:rFonts w:ascii="宋体" w:hAnsi="宋体" w:cs="宋体"/>
                <w:b/>
                <w:bCs/>
                <w:sz w:val="24"/>
              </w:rPr>
            </w:pPr>
          </w:p>
        </w:tc>
        <w:tc>
          <w:tcPr>
            <w:tcW w:w="1302" w:type="pct"/>
            <w:noWrap/>
            <w:vAlign w:val="center"/>
          </w:tcPr>
          <w:p>
            <w:pPr>
              <w:spacing w:line="360" w:lineRule="auto"/>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pct"/>
            <w:noWrap/>
            <w:vAlign w:val="center"/>
          </w:tcPr>
          <w:p>
            <w:pPr>
              <w:spacing w:line="360" w:lineRule="auto"/>
              <w:jc w:val="center"/>
              <w:rPr>
                <w:rFonts w:ascii="宋体" w:hAnsi="宋体" w:cs="宋体"/>
                <w:b/>
                <w:bCs/>
                <w:sz w:val="24"/>
              </w:rPr>
            </w:pPr>
          </w:p>
        </w:tc>
        <w:tc>
          <w:tcPr>
            <w:tcW w:w="2313" w:type="pct"/>
            <w:noWrap/>
            <w:vAlign w:val="center"/>
          </w:tcPr>
          <w:p>
            <w:pPr>
              <w:spacing w:line="360" w:lineRule="auto"/>
              <w:jc w:val="center"/>
              <w:rPr>
                <w:rFonts w:ascii="宋体" w:hAnsi="宋体" w:cs="宋体"/>
                <w:b/>
                <w:bCs/>
                <w:sz w:val="24"/>
              </w:rPr>
            </w:pPr>
          </w:p>
        </w:tc>
        <w:tc>
          <w:tcPr>
            <w:tcW w:w="848" w:type="pct"/>
            <w:noWrap/>
            <w:vAlign w:val="center"/>
          </w:tcPr>
          <w:p>
            <w:pPr>
              <w:spacing w:line="360" w:lineRule="auto"/>
              <w:jc w:val="center"/>
              <w:rPr>
                <w:rFonts w:ascii="宋体" w:hAnsi="宋体" w:cs="宋体"/>
                <w:b/>
                <w:bCs/>
                <w:sz w:val="24"/>
              </w:rPr>
            </w:pPr>
          </w:p>
        </w:tc>
        <w:tc>
          <w:tcPr>
            <w:tcW w:w="1302" w:type="pct"/>
            <w:noWrap/>
            <w:vAlign w:val="center"/>
          </w:tcPr>
          <w:p>
            <w:pPr>
              <w:spacing w:line="360" w:lineRule="auto"/>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 w:type="pct"/>
            <w:noWrap/>
            <w:vAlign w:val="center"/>
          </w:tcPr>
          <w:p>
            <w:pPr>
              <w:spacing w:line="360" w:lineRule="auto"/>
              <w:jc w:val="center"/>
              <w:rPr>
                <w:rFonts w:ascii="宋体" w:hAnsi="宋体" w:cs="宋体"/>
                <w:b/>
                <w:bCs/>
                <w:sz w:val="24"/>
              </w:rPr>
            </w:pPr>
            <w:r>
              <w:rPr>
                <w:rFonts w:hint="eastAsia" w:ascii="宋体" w:hAnsi="宋体" w:cs="宋体"/>
                <w:b/>
                <w:bCs/>
                <w:sz w:val="24"/>
              </w:rPr>
              <w:t>...</w:t>
            </w:r>
          </w:p>
        </w:tc>
        <w:tc>
          <w:tcPr>
            <w:tcW w:w="2313" w:type="pct"/>
            <w:noWrap/>
            <w:vAlign w:val="center"/>
          </w:tcPr>
          <w:p>
            <w:pPr>
              <w:spacing w:line="360" w:lineRule="auto"/>
              <w:jc w:val="center"/>
              <w:rPr>
                <w:rFonts w:ascii="宋体" w:hAnsi="宋体" w:cs="宋体"/>
                <w:b/>
                <w:bCs/>
                <w:sz w:val="24"/>
              </w:rPr>
            </w:pPr>
          </w:p>
        </w:tc>
        <w:tc>
          <w:tcPr>
            <w:tcW w:w="848" w:type="pct"/>
            <w:noWrap/>
            <w:vAlign w:val="center"/>
          </w:tcPr>
          <w:p>
            <w:pPr>
              <w:spacing w:line="360" w:lineRule="auto"/>
              <w:jc w:val="center"/>
              <w:rPr>
                <w:rFonts w:ascii="宋体" w:hAnsi="宋体" w:cs="宋体"/>
                <w:b/>
                <w:bCs/>
                <w:sz w:val="24"/>
              </w:rPr>
            </w:pPr>
          </w:p>
        </w:tc>
        <w:tc>
          <w:tcPr>
            <w:tcW w:w="1302" w:type="pct"/>
            <w:noWrap/>
            <w:vAlign w:val="center"/>
          </w:tcPr>
          <w:p>
            <w:pPr>
              <w:spacing w:line="360" w:lineRule="auto"/>
              <w:jc w:val="center"/>
              <w:rPr>
                <w:rFonts w:ascii="宋体" w:hAnsi="宋体" w:cs="宋体"/>
                <w:b/>
                <w:bCs/>
                <w:sz w:val="24"/>
              </w:rPr>
            </w:pPr>
          </w:p>
        </w:tc>
      </w:tr>
    </w:tbl>
    <w:p>
      <w:pPr>
        <w:spacing w:line="260" w:lineRule="exact"/>
        <w:rPr>
          <w:sz w:val="24"/>
          <w:u w:val="single"/>
        </w:rPr>
      </w:pPr>
    </w:p>
    <w:p>
      <w:pPr>
        <w:snapToGrid w:val="0"/>
        <w:spacing w:line="300" w:lineRule="auto"/>
        <w:contextualSpacing/>
        <w:rPr>
          <w:rFonts w:ascii="宋体" w:hAnsi="宋体"/>
          <w:b/>
          <w:sz w:val="24"/>
        </w:rPr>
      </w:pPr>
    </w:p>
    <w:p>
      <w:pPr>
        <w:snapToGrid w:val="0"/>
        <w:spacing w:line="480" w:lineRule="exact"/>
        <w:jc w:val="left"/>
        <w:outlineLvl w:val="4"/>
        <w:rPr>
          <w:bCs/>
          <w:sz w:val="24"/>
        </w:rPr>
      </w:pPr>
      <w:r>
        <w:rPr>
          <w:bCs/>
          <w:sz w:val="24"/>
        </w:rPr>
        <w:t>供应商：（加盖公章）</w:t>
      </w:r>
    </w:p>
    <w:p>
      <w:pPr>
        <w:snapToGrid w:val="0"/>
        <w:spacing w:line="480" w:lineRule="exact"/>
        <w:jc w:val="left"/>
        <w:outlineLvl w:val="4"/>
        <w:rPr>
          <w:bCs/>
          <w:sz w:val="24"/>
        </w:rPr>
      </w:pPr>
      <w:r>
        <w:rPr>
          <w:bCs/>
          <w:sz w:val="24"/>
        </w:rPr>
        <w:t>法定代表人或被授权人：（签字或盖章）</w:t>
      </w:r>
    </w:p>
    <w:p>
      <w:pPr>
        <w:snapToGrid w:val="0"/>
        <w:spacing w:line="480" w:lineRule="exact"/>
        <w:jc w:val="left"/>
        <w:outlineLvl w:val="4"/>
        <w:rPr>
          <w:bCs/>
          <w:sz w:val="24"/>
        </w:rPr>
      </w:pPr>
      <w:r>
        <w:rPr>
          <w:bCs/>
          <w:sz w:val="24"/>
        </w:rPr>
        <w:t>年  月  日</w:t>
      </w:r>
    </w:p>
    <w:p>
      <w:pPr>
        <w:snapToGrid w:val="0"/>
        <w:spacing w:line="300" w:lineRule="auto"/>
        <w:contextualSpacing/>
        <w:rPr>
          <w:rFonts w:ascii="宋体" w:hAnsi="宋体"/>
          <w:b/>
          <w:sz w:val="24"/>
        </w:rPr>
      </w:pPr>
    </w:p>
    <w:p>
      <w:pPr>
        <w:snapToGrid w:val="0"/>
        <w:spacing w:line="300" w:lineRule="auto"/>
        <w:contextualSpacing/>
        <w:rPr>
          <w:rFonts w:ascii="宋体" w:hAnsi="宋体"/>
          <w:b/>
          <w:sz w:val="24"/>
        </w:rPr>
      </w:pPr>
    </w:p>
    <w:p>
      <w:pPr>
        <w:snapToGrid w:val="0"/>
        <w:spacing w:line="300" w:lineRule="auto"/>
        <w:contextualSpacing/>
        <w:rPr>
          <w:rFonts w:ascii="宋体" w:hAnsi="宋体"/>
          <w:b/>
          <w:sz w:val="24"/>
        </w:rPr>
      </w:pPr>
      <w:r>
        <w:rPr>
          <w:rFonts w:hint="eastAsia" w:ascii="宋体" w:hAnsi="宋体"/>
          <w:b/>
          <w:sz w:val="24"/>
        </w:rPr>
        <w:t>注：</w:t>
      </w:r>
    </w:p>
    <w:p>
      <w:pPr>
        <w:snapToGrid w:val="0"/>
        <w:spacing w:line="360" w:lineRule="auto"/>
        <w:ind w:firstLine="480" w:firstLineChars="200"/>
        <w:contextualSpacing/>
        <w:rPr>
          <w:rFonts w:ascii="宋体" w:hAnsi="宋体" w:cs="宋体"/>
          <w:sz w:val="24"/>
        </w:rPr>
      </w:pPr>
      <w:r>
        <w:rPr>
          <w:rFonts w:hint="eastAsia" w:ascii="宋体" w:hAnsi="宋体" w:cs="宋体"/>
          <w:sz w:val="24"/>
        </w:rPr>
        <w:t>1.供应商应逐一对照本磋商文件第三部分项目需求及第五部分合同条款的各项要求，如供应商提供的货物或服务与磋商文件规定的要求有偏离的，必须在《商务技术服务条款响应表》上明示，如不明示的视同完全响应磋商文件的所有要求。</w:t>
      </w:r>
    </w:p>
    <w:p>
      <w:pPr>
        <w:snapToGrid w:val="0"/>
        <w:spacing w:line="360" w:lineRule="auto"/>
        <w:ind w:firstLine="480" w:firstLineChars="200"/>
        <w:contextualSpacing/>
        <w:rPr>
          <w:rFonts w:ascii="宋体" w:hAnsi="宋体" w:cs="宋体"/>
          <w:sz w:val="24"/>
        </w:rPr>
      </w:pPr>
      <w:r>
        <w:rPr>
          <w:rFonts w:hint="eastAsia" w:ascii="宋体" w:hAnsi="宋体" w:cs="宋体"/>
          <w:sz w:val="24"/>
        </w:rPr>
        <w:t>2.供应商在“偏离度”一栏据实选填“正偏离”或“负偏离”，若完全响应则不填。若有“偏离”的，在“说明”一栏予以说明，是否响应经三分之二评委认定。</w:t>
      </w:r>
    </w:p>
    <w:p>
      <w:pPr>
        <w:snapToGrid w:val="0"/>
        <w:spacing w:line="360" w:lineRule="auto"/>
        <w:ind w:firstLine="480" w:firstLineChars="200"/>
        <w:contextualSpacing/>
        <w:rPr>
          <w:rFonts w:ascii="宋体" w:hAnsi="宋体" w:cs="宋体"/>
          <w:szCs w:val="21"/>
        </w:rPr>
      </w:pPr>
      <w:r>
        <w:rPr>
          <w:rFonts w:hint="eastAsia" w:ascii="宋体" w:hAnsi="宋体" w:cs="宋体"/>
          <w:sz w:val="24"/>
        </w:rPr>
        <w:t>3.供应商若提供其他增值服务，可以在表中自行据实填写。</w:t>
      </w:r>
    </w:p>
    <w:p>
      <w:pPr>
        <w:snapToGrid w:val="0"/>
        <w:spacing w:line="400" w:lineRule="exact"/>
        <w:ind w:firstLine="480" w:firstLineChars="200"/>
        <w:contextualSpacing/>
        <w:rPr>
          <w:rFonts w:eastAsia="方正黑体_GBK"/>
          <w:kern w:val="0"/>
          <w:sz w:val="32"/>
          <w:szCs w:val="32"/>
        </w:rPr>
        <w:sectPr>
          <w:headerReference r:id="rId6" w:type="default"/>
          <w:pgSz w:w="11907" w:h="16839"/>
          <w:pgMar w:top="1440" w:right="1800" w:bottom="1440" w:left="1800" w:header="720" w:footer="720" w:gutter="0"/>
          <w:cols w:space="720" w:num="1"/>
          <w:docGrid w:linePitch="286" w:charSpace="0"/>
        </w:sectPr>
      </w:pPr>
      <w:r>
        <w:rPr>
          <w:rFonts w:hint="eastAsia" w:ascii="宋体" w:hAnsi="宋体" w:cs="宋体"/>
          <w:sz w:val="24"/>
        </w:rPr>
        <w:t>4.供应商如果虚假响应，将承担一切可能的风险。</w:t>
      </w:r>
    </w:p>
    <w:p>
      <w:pPr>
        <w:snapToGrid w:val="0"/>
        <w:spacing w:line="400" w:lineRule="exact"/>
        <w:contextualSpacing/>
        <w:rPr>
          <w:rFonts w:eastAsia="方正黑体_GBK"/>
          <w:kern w:val="0"/>
          <w:sz w:val="32"/>
          <w:szCs w:val="32"/>
        </w:rPr>
      </w:pPr>
      <w:r>
        <w:rPr>
          <w:rFonts w:eastAsia="方正黑体_GBK"/>
          <w:kern w:val="0"/>
          <w:sz w:val="32"/>
          <w:szCs w:val="32"/>
          <w:lang w:val="zh-CN"/>
        </w:rPr>
        <w:t>附件</w:t>
      </w:r>
      <w:r>
        <w:rPr>
          <w:rFonts w:hint="eastAsia" w:eastAsia="方正黑体_GBK"/>
          <w:kern w:val="0"/>
          <w:sz w:val="32"/>
          <w:szCs w:val="32"/>
        </w:rPr>
        <w:t>7</w:t>
      </w:r>
    </w:p>
    <w:p>
      <w:pPr>
        <w:widowControl/>
        <w:spacing w:before="100" w:beforeAutospacing="1" w:after="100" w:afterAutospacing="1" w:line="500" w:lineRule="atLeast"/>
        <w:jc w:val="center"/>
        <w:rPr>
          <w:rFonts w:ascii="宋体" w:hAnsi="宋体" w:cs="宋体"/>
          <w:kern w:val="0"/>
          <w:sz w:val="32"/>
          <w:szCs w:val="32"/>
        </w:rPr>
      </w:pPr>
      <w:r>
        <w:rPr>
          <w:rFonts w:hint="eastAsia" w:ascii="宋体" w:hAnsi="宋体" w:cs="宋体"/>
          <w:b/>
          <w:bCs/>
          <w:kern w:val="0"/>
          <w:sz w:val="32"/>
          <w:szCs w:val="32"/>
        </w:rPr>
        <w:t>报价总表（首次）</w:t>
      </w:r>
    </w:p>
    <w:tbl>
      <w:tblPr>
        <w:tblStyle w:val="2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8"/>
        <w:gridCol w:w="5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898" w:type="dxa"/>
            <w:vAlign w:val="center"/>
          </w:tcPr>
          <w:p>
            <w:pPr>
              <w:jc w:val="center"/>
              <w:rPr>
                <w:rFonts w:ascii="等线" w:hAnsi="等线" w:eastAsia="等线"/>
                <w:szCs w:val="22"/>
              </w:rPr>
            </w:pPr>
            <w:r>
              <w:rPr>
                <w:rFonts w:hint="eastAsia" w:ascii="宋体" w:hAnsi="宋体" w:cs="宋体"/>
                <w:kern w:val="0"/>
                <w:sz w:val="28"/>
                <w:szCs w:val="28"/>
              </w:rPr>
              <w:t>项目</w:t>
            </w:r>
            <w:r>
              <w:rPr>
                <w:rFonts w:ascii="宋体" w:hAnsi="宋体" w:cs="宋体"/>
                <w:kern w:val="0"/>
                <w:sz w:val="28"/>
                <w:szCs w:val="28"/>
              </w:rPr>
              <w:t>名称</w:t>
            </w:r>
          </w:p>
        </w:tc>
        <w:tc>
          <w:tcPr>
            <w:tcW w:w="5857" w:type="dxa"/>
            <w:vAlign w:val="center"/>
          </w:tcPr>
          <w:p>
            <w:pPr>
              <w:jc w:val="center"/>
              <w:rPr>
                <w:rFonts w:ascii="等线" w:hAnsi="等线" w:eastAsia="等线"/>
                <w:szCs w:val="22"/>
              </w:rPr>
            </w:pPr>
            <w:r>
              <w:rPr>
                <w:rFonts w:hint="eastAsia" w:ascii="宋体" w:hAnsi="宋体" w:cs="宋体"/>
                <w:kern w:val="0"/>
                <w:sz w:val="28"/>
                <w:szCs w:val="28"/>
              </w:rPr>
              <w:t>南通市妇幼保健院（南通市妇幼保健计划生育服务中心）两癌筛查（小程序）项目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2898" w:type="dxa"/>
            <w:vAlign w:val="center"/>
          </w:tcPr>
          <w:p>
            <w:pPr>
              <w:jc w:val="center"/>
              <w:rPr>
                <w:rFonts w:ascii="等线" w:hAnsi="等线" w:eastAsia="等线"/>
                <w:szCs w:val="22"/>
              </w:rPr>
            </w:pPr>
            <w:r>
              <w:rPr>
                <w:rFonts w:hint="eastAsia" w:ascii="宋体" w:hAnsi="宋体" w:cs="宋体"/>
                <w:kern w:val="0"/>
                <w:sz w:val="28"/>
                <w:szCs w:val="28"/>
              </w:rPr>
              <w:t>磋商</w:t>
            </w:r>
            <w:r>
              <w:rPr>
                <w:rFonts w:ascii="宋体" w:hAnsi="宋体" w:cs="宋体"/>
                <w:kern w:val="0"/>
                <w:sz w:val="28"/>
                <w:szCs w:val="28"/>
              </w:rPr>
              <w:t>总报价</w:t>
            </w:r>
          </w:p>
        </w:tc>
        <w:tc>
          <w:tcPr>
            <w:tcW w:w="5857" w:type="dxa"/>
            <w:vAlign w:val="center"/>
          </w:tcPr>
          <w:p>
            <w:pPr>
              <w:rPr>
                <w:rFonts w:ascii="宋体" w:hAnsi="宋体" w:cs="宋体"/>
                <w:kern w:val="0"/>
                <w:sz w:val="28"/>
                <w:szCs w:val="28"/>
              </w:rPr>
            </w:pPr>
            <w:r>
              <w:rPr>
                <w:rFonts w:ascii="宋体" w:hAnsi="宋体" w:cs="宋体"/>
                <w:kern w:val="0"/>
                <w:sz w:val="28"/>
                <w:szCs w:val="28"/>
              </w:rPr>
              <w:t>大写（人民币）：</w:t>
            </w:r>
          </w:p>
          <w:p>
            <w:pPr>
              <w:rPr>
                <w:rFonts w:ascii="宋体" w:hAnsi="宋体" w:cs="宋体"/>
                <w:kern w:val="0"/>
                <w:sz w:val="28"/>
                <w:szCs w:val="28"/>
              </w:rPr>
            </w:pPr>
          </w:p>
          <w:p>
            <w:pPr>
              <w:pStyle w:val="42"/>
              <w:ind w:left="0" w:leftChars="0" w:firstLine="0" w:firstLineChars="0"/>
              <w:rPr>
                <w:rFonts w:hint="eastAsia"/>
              </w:rPr>
            </w:pPr>
          </w:p>
          <w:p>
            <w:pPr>
              <w:rPr>
                <w:rFonts w:ascii="等线" w:hAnsi="等线" w:eastAsia="等线"/>
                <w:szCs w:val="22"/>
                <w:u w:val="single"/>
              </w:rPr>
            </w:pPr>
            <w:r>
              <w:rPr>
                <w:rFonts w:ascii="宋体" w:hAnsi="宋体" w:cs="宋体"/>
                <w:kern w:val="0"/>
                <w:sz w:val="28"/>
                <w:szCs w:val="28"/>
              </w:rPr>
              <w:t>小写：</w:t>
            </w:r>
            <w:r>
              <w:rPr>
                <w:rFonts w:hint="eastAsia" w:ascii="宋体" w:hAnsi="宋体" w:cs="宋体"/>
                <w:kern w:val="0"/>
                <w:sz w:val="28"/>
                <w:szCs w:val="28"/>
              </w:rPr>
              <w:t xml:space="preserve">     </w:t>
            </w:r>
            <w:r>
              <w:rPr>
                <w:rFonts w:ascii="宋体" w:hAnsi="宋体" w:cs="宋体"/>
                <w:kern w:val="0"/>
                <w:sz w:val="28"/>
                <w:szCs w:val="28"/>
              </w:rPr>
              <w:t>元</w:t>
            </w:r>
          </w:p>
        </w:tc>
      </w:tr>
    </w:tbl>
    <w:p>
      <w:pPr>
        <w:snapToGrid w:val="0"/>
        <w:spacing w:line="400" w:lineRule="exact"/>
        <w:contextualSpacing/>
        <w:rPr>
          <w:rFonts w:ascii="宋体" w:hAnsi="宋体" w:cs="宋体"/>
          <w:b/>
          <w:kern w:val="0"/>
          <w:sz w:val="28"/>
          <w:szCs w:val="28"/>
        </w:rPr>
      </w:pPr>
    </w:p>
    <w:p>
      <w:pPr>
        <w:snapToGrid w:val="0"/>
        <w:spacing w:line="440" w:lineRule="exact"/>
        <w:jc w:val="left"/>
        <w:rPr>
          <w:rFonts w:ascii="宋体" w:hAnsi="宋体" w:cs="宋体"/>
          <w:sz w:val="24"/>
        </w:rPr>
      </w:pPr>
      <w:r>
        <w:rPr>
          <w:rFonts w:hint="eastAsia" w:ascii="宋体" w:hAnsi="宋体" w:cs="宋体"/>
          <w:sz w:val="24"/>
        </w:rPr>
        <w:t>供应商：（加盖公章）</w:t>
      </w:r>
    </w:p>
    <w:p>
      <w:pPr>
        <w:snapToGrid w:val="0"/>
        <w:spacing w:line="440" w:lineRule="exact"/>
        <w:jc w:val="left"/>
        <w:rPr>
          <w:rFonts w:ascii="宋体" w:hAnsi="宋体" w:cs="宋体"/>
          <w:sz w:val="24"/>
        </w:rPr>
      </w:pPr>
      <w:r>
        <w:rPr>
          <w:rFonts w:hint="eastAsia" w:ascii="宋体" w:hAnsi="宋体" w:cs="宋体"/>
          <w:sz w:val="24"/>
        </w:rPr>
        <w:t>法定代表人或被授权人：（签字或盖章）</w:t>
      </w:r>
    </w:p>
    <w:p>
      <w:pPr>
        <w:snapToGrid w:val="0"/>
        <w:spacing w:line="440" w:lineRule="exact"/>
        <w:jc w:val="left"/>
        <w:rPr>
          <w:rFonts w:ascii="宋体" w:hAnsi="宋体" w:cs="宋体"/>
          <w:sz w:val="24"/>
        </w:rPr>
      </w:pPr>
      <w:r>
        <w:rPr>
          <w:rFonts w:hint="eastAsia" w:ascii="宋体" w:hAnsi="宋体" w:cs="宋体"/>
          <w:sz w:val="24"/>
        </w:rPr>
        <w:t>日期：</w:t>
      </w:r>
    </w:p>
    <w:p>
      <w:pPr>
        <w:pStyle w:val="42"/>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contextualSpacing/>
        <w:rPr>
          <w:rFonts w:ascii="宋体" w:hAnsi="宋体" w:cs="宋体"/>
          <w:b/>
          <w:kern w:val="0"/>
          <w:sz w:val="28"/>
          <w:szCs w:val="28"/>
        </w:rPr>
      </w:pPr>
      <w:r>
        <w:rPr>
          <w:rFonts w:hint="eastAsia" w:ascii="宋体" w:hAnsi="宋体" w:cs="宋体"/>
          <w:b/>
          <w:kern w:val="0"/>
          <w:sz w:val="24"/>
          <w:lang w:val="zh-CN"/>
        </w:rPr>
        <w:t>注：第二次报价将在开标现场填写，响应文件密封提交时只需填写“报价总表（首次）”。且二次报价时，分项报价明细表价格按同比例下浮。</w:t>
      </w: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ind w:firstLine="540" w:firstLineChars="192"/>
        <w:contextualSpacing/>
        <w:rPr>
          <w:rFonts w:ascii="宋体" w:hAnsi="宋体" w:cs="宋体"/>
          <w:b/>
          <w:kern w:val="0"/>
          <w:sz w:val="28"/>
          <w:szCs w:val="28"/>
        </w:rPr>
      </w:pPr>
    </w:p>
    <w:p>
      <w:pPr>
        <w:snapToGrid w:val="0"/>
        <w:spacing w:line="400" w:lineRule="exact"/>
        <w:contextualSpacing/>
        <w:rPr>
          <w:rFonts w:ascii="宋体" w:hAnsi="宋体" w:cs="宋体"/>
          <w:b/>
          <w:kern w:val="0"/>
          <w:sz w:val="28"/>
          <w:szCs w:val="28"/>
        </w:rPr>
      </w:pPr>
    </w:p>
    <w:p>
      <w:pPr>
        <w:snapToGrid w:val="0"/>
        <w:spacing w:line="400" w:lineRule="exact"/>
        <w:contextualSpacing/>
        <w:rPr>
          <w:rFonts w:ascii="宋体" w:hAnsi="宋体" w:eastAsia="方正黑体_GBK" w:cs="宋体"/>
          <w:kern w:val="0"/>
          <w:sz w:val="28"/>
          <w:szCs w:val="28"/>
        </w:rPr>
      </w:pPr>
      <w:r>
        <w:rPr>
          <w:rFonts w:eastAsia="方正黑体_GBK"/>
          <w:kern w:val="0"/>
          <w:sz w:val="32"/>
          <w:szCs w:val="32"/>
        </w:rPr>
        <w:br w:type="page"/>
      </w:r>
      <w:r>
        <w:rPr>
          <w:rFonts w:eastAsia="方正黑体_GBK"/>
          <w:kern w:val="0"/>
          <w:sz w:val="32"/>
          <w:szCs w:val="32"/>
          <w:lang w:val="zh-CN"/>
        </w:rPr>
        <w:t>附件</w:t>
      </w:r>
      <w:r>
        <w:rPr>
          <w:rFonts w:hint="eastAsia" w:eastAsia="方正黑体_GBK"/>
          <w:kern w:val="0"/>
          <w:sz w:val="32"/>
          <w:szCs w:val="32"/>
        </w:rPr>
        <w:t>8</w:t>
      </w:r>
    </w:p>
    <w:p>
      <w:pPr>
        <w:spacing w:after="120" w:afterLines="50" w:line="400" w:lineRule="exact"/>
        <w:jc w:val="center"/>
        <w:rPr>
          <w:rFonts w:ascii="Calibri" w:hAnsi="Calibri"/>
          <w:b/>
          <w:bCs/>
          <w:sz w:val="32"/>
          <w:szCs w:val="32"/>
        </w:rPr>
      </w:pPr>
    </w:p>
    <w:p>
      <w:pPr>
        <w:spacing w:after="120" w:afterLines="50" w:line="400" w:lineRule="exact"/>
        <w:jc w:val="center"/>
        <w:rPr>
          <w:rFonts w:ascii="Calibri" w:hAnsi="Calibri"/>
          <w:b/>
          <w:bCs/>
          <w:sz w:val="32"/>
          <w:szCs w:val="32"/>
        </w:rPr>
      </w:pPr>
      <w:r>
        <w:rPr>
          <w:rFonts w:hint="eastAsia" w:ascii="Calibri" w:hAnsi="Calibri"/>
          <w:b/>
          <w:bCs/>
          <w:sz w:val="32"/>
          <w:szCs w:val="32"/>
        </w:rPr>
        <w:t>分项报价明细表</w:t>
      </w:r>
    </w:p>
    <w:p>
      <w:pPr>
        <w:pStyle w:val="42"/>
        <w:ind w:left="0" w:leftChars="0" w:firstLine="0" w:firstLineChars="0"/>
        <w:rPr>
          <w:sz w:val="32"/>
          <w:szCs w:val="40"/>
        </w:rPr>
      </w:pPr>
      <w:r>
        <w:rPr>
          <w:rFonts w:hint="eastAsia"/>
          <w:sz w:val="32"/>
          <w:szCs w:val="40"/>
        </w:rPr>
        <w:t>（格式自拟，必须提供）</w:t>
      </w:r>
    </w:p>
    <w:p>
      <w:pPr>
        <w:snapToGrid w:val="0"/>
        <w:spacing w:line="440" w:lineRule="exact"/>
        <w:jc w:val="left"/>
        <w:rPr>
          <w:rFonts w:ascii="宋体" w:hAnsi="宋体" w:cs="宋体"/>
          <w:sz w:val="24"/>
        </w:rPr>
      </w:pPr>
    </w:p>
    <w:p>
      <w:pPr>
        <w:snapToGrid w:val="0"/>
        <w:spacing w:line="440" w:lineRule="exact"/>
        <w:jc w:val="left"/>
        <w:rPr>
          <w:rFonts w:ascii="宋体" w:hAnsi="宋体" w:cs="宋体"/>
          <w:sz w:val="24"/>
        </w:rPr>
      </w:pPr>
    </w:p>
    <w:p>
      <w:pPr>
        <w:snapToGrid w:val="0"/>
        <w:spacing w:line="440" w:lineRule="exact"/>
        <w:jc w:val="left"/>
        <w:rPr>
          <w:rFonts w:ascii="宋体" w:hAnsi="宋体" w:cs="宋体"/>
          <w:sz w:val="24"/>
        </w:rPr>
      </w:pPr>
      <w:r>
        <w:rPr>
          <w:rFonts w:hint="eastAsia" w:ascii="宋体" w:hAnsi="宋体" w:cs="宋体"/>
          <w:sz w:val="24"/>
        </w:rPr>
        <w:t>供应商：（加盖公章）</w:t>
      </w:r>
    </w:p>
    <w:p>
      <w:pPr>
        <w:snapToGrid w:val="0"/>
        <w:spacing w:line="440" w:lineRule="exact"/>
        <w:jc w:val="left"/>
        <w:rPr>
          <w:rFonts w:ascii="宋体" w:hAnsi="宋体" w:cs="宋体"/>
          <w:sz w:val="24"/>
        </w:rPr>
      </w:pPr>
      <w:r>
        <w:rPr>
          <w:rFonts w:hint="eastAsia" w:ascii="宋体" w:hAnsi="宋体" w:cs="宋体"/>
          <w:sz w:val="24"/>
        </w:rPr>
        <w:t>法定代表人或被授权人：（签字或盖章）</w:t>
      </w:r>
    </w:p>
    <w:p>
      <w:pPr>
        <w:snapToGrid w:val="0"/>
        <w:spacing w:line="440" w:lineRule="exact"/>
        <w:jc w:val="left"/>
        <w:rPr>
          <w:rFonts w:ascii="宋体" w:hAnsi="宋体" w:cs="宋体"/>
          <w:sz w:val="24"/>
        </w:rPr>
      </w:pPr>
      <w:r>
        <w:rPr>
          <w:rFonts w:hint="eastAsia" w:ascii="宋体" w:hAnsi="宋体" w:cs="宋体"/>
          <w:sz w:val="24"/>
        </w:rPr>
        <w:t>日期：</w:t>
      </w:r>
    </w:p>
    <w:p>
      <w:pPr>
        <w:snapToGrid w:val="0"/>
        <w:spacing w:line="300" w:lineRule="auto"/>
        <w:outlineLvl w:val="0"/>
        <w:rPr>
          <w:rFonts w:ascii="宋体" w:hAnsi="宋体" w:cs="宋体"/>
          <w:b/>
          <w:kern w:val="0"/>
          <w:sz w:val="24"/>
          <w:lang w:val="zh-CN"/>
        </w:rPr>
      </w:pPr>
    </w:p>
    <w:p>
      <w:pPr>
        <w:snapToGrid w:val="0"/>
        <w:spacing w:line="300" w:lineRule="auto"/>
        <w:outlineLvl w:val="0"/>
        <w:rPr>
          <w:rFonts w:ascii="宋体" w:hAnsi="宋体" w:cs="宋体"/>
          <w:b/>
          <w:kern w:val="0"/>
          <w:sz w:val="24"/>
          <w:lang w:val="zh-CN"/>
        </w:rPr>
      </w:pPr>
      <w:r>
        <w:rPr>
          <w:rFonts w:hint="eastAsia" w:ascii="宋体" w:hAnsi="宋体" w:cs="宋体"/>
          <w:b/>
          <w:kern w:val="0"/>
          <w:sz w:val="24"/>
          <w:lang w:val="zh-CN"/>
        </w:rPr>
        <w:t>注：本表各分项报价总计应当与报价总表（首次）总报价相等。</w:t>
      </w:r>
    </w:p>
    <w:sectPr>
      <w:pgSz w:w="11907" w:h="16839"/>
      <w:pgMar w:top="1418" w:right="1588" w:bottom="1418" w:left="1588"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98D96E-49C8-431F-8794-1B367A75AD6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BCB2A02-9849-4883-B1B2-E531F9F7441A}"/>
  </w:font>
  <w:font w:name="Arial">
    <w:panose1 w:val="020B0604020202020204"/>
    <w:charset w:val="00"/>
    <w:family w:val="swiss"/>
    <w:pitch w:val="default"/>
    <w:sig w:usb0="E0002AFF" w:usb1="C0007843" w:usb2="00000009" w:usb3="00000000" w:csb0="400001FF" w:csb1="FFFF0000"/>
    <w:embedRegular r:id="rId3" w:fontKey="{91356BDA-0C57-4CD9-B73E-3E414F0CE8AB}"/>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embedRegular r:id="rId4" w:fontKey="{18771954-808D-46B9-AB1D-2AADB5E581CF}"/>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embedRegular r:id="rId5" w:fontKey="{CAFF9987-4C87-4FC5-AEDF-09871E77A4EF}"/>
  </w:font>
  <w:font w:name="楷体_GB2312">
    <w:altName w:val="楷体"/>
    <w:panose1 w:val="00000000000000000000"/>
    <w:charset w:val="86"/>
    <w:family w:val="modern"/>
    <w:pitch w:val="default"/>
    <w:sig w:usb0="00000000" w:usb1="00000000" w:usb2="00000010" w:usb3="00000000" w:csb0="00040000" w:csb1="00000000"/>
    <w:embedRegular r:id="rId6" w:fontKey="{758F64F6-5838-43DE-BFDD-68655325B6E5}"/>
  </w:font>
  <w:font w:name="仿宋">
    <w:panose1 w:val="02010609060101010101"/>
    <w:charset w:val="86"/>
    <w:family w:val="modern"/>
    <w:pitch w:val="default"/>
    <w:sig w:usb0="800002BF" w:usb1="38CF7CFA" w:usb2="00000016" w:usb3="00000000" w:csb0="00040001" w:csb1="00000000"/>
    <w:embedRegular r:id="rId7" w:fontKey="{D6EF83A4-29AC-43C9-9A0F-43F7CE1E32D4}"/>
  </w:font>
  <w:font w:name="方正仿宋_GBK">
    <w:altName w:val="Arial Unicode MS"/>
    <w:panose1 w:val="03000509000000000000"/>
    <w:charset w:val="86"/>
    <w:family w:val="script"/>
    <w:pitch w:val="default"/>
    <w:sig w:usb0="00000000" w:usb1="00000000" w:usb2="00000010" w:usb3="00000000" w:csb0="00040000" w:csb1="00000000"/>
    <w:embedRegular r:id="rId8" w:fontKey="{AABA5E24-936E-431A-8843-F26A78E820A0}"/>
  </w:font>
  <w:font w:name="方正黑体_GBK">
    <w:altName w:val="微软雅黑"/>
    <w:panose1 w:val="00000000000000000000"/>
    <w:charset w:val="86"/>
    <w:family w:val="script"/>
    <w:pitch w:val="default"/>
    <w:sig w:usb0="00000000" w:usb1="00000000" w:usb2="00000000" w:usb3="00000000" w:csb0="00040000" w:csb1="00000000"/>
    <w:embedRegular r:id="rId9" w:fontKey="{BD2247EE-D407-4A9C-8E13-4939328ED653}"/>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1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Bwl0KECAIAABIEAAAOAAAAAAAAAAEAIAAAAB4BAABkcnMv&#10;ZTJvRG9jLnhtbFBLBQYAAAAABgAGAFkBAACYBQAAAAA=&#10;">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PaAEAMCAAAE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V8me1oecq+4918XuNXapNEkN/g7VlyAc3tbgdvqGCNtaQ8n0Zulm9ujqgBMSyLZ9hyX3gX3EHqir&#10;yCZAdkMwOj/N8fI0uotCpZaL+WIx5SPFZ+Mm9YB8vO4pxDcarUhBIYnfvoeHw12IQ+lYkro53Jim&#10;4TzkjfsrwZgp09NPjAfusdt2XJ00bbE8shDCYZz4M3FQI32VouVRKqTjnyNF89axFWnqxoDGYDsG&#10;4BRfLGSUYghv4zCde09mVzPuaPYN27UxvZAHDmeWPBy9FedBTtP3eN9XPXze1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mPaAEAMCAAAEBAAADgAAAAAAAAABACAAAAAeAQAAZHJzL2Uyb0Rv&#10;Yy54bWxQSwUGAAAAAAYABgBZAQAAkwUAAAAA&#10;">
              <v:fill on="f" focussize="0,0"/>
              <v:stroke on="f"/>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856BF"/>
    <w:multiLevelType w:val="singleLevel"/>
    <w:tmpl w:val="101856BF"/>
    <w:lvl w:ilvl="0" w:tentative="0">
      <w:start w:val="1"/>
      <w:numFmt w:val="decimal"/>
      <w:suff w:val="nothing"/>
      <w:lvlText w:val="%1、"/>
      <w:lvlJc w:val="left"/>
    </w:lvl>
  </w:abstractNum>
  <w:abstractNum w:abstractNumId="1">
    <w:nsid w:val="1BE43624"/>
    <w:multiLevelType w:val="singleLevel"/>
    <w:tmpl w:val="1BE4362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ZlMjhkY2RlYjAyZTFkZjk4MWVmYWM5MjEwN2M0ZmYifQ=="/>
  </w:docVars>
  <w:rsids>
    <w:rsidRoot w:val="00E1428C"/>
    <w:rsid w:val="00004FB3"/>
    <w:rsid w:val="00006222"/>
    <w:rsid w:val="00006A2C"/>
    <w:rsid w:val="00006B64"/>
    <w:rsid w:val="00007342"/>
    <w:rsid w:val="00011F29"/>
    <w:rsid w:val="00012F0F"/>
    <w:rsid w:val="00013DC0"/>
    <w:rsid w:val="000164A2"/>
    <w:rsid w:val="00027214"/>
    <w:rsid w:val="00033A03"/>
    <w:rsid w:val="00035F29"/>
    <w:rsid w:val="000363E7"/>
    <w:rsid w:val="000371E6"/>
    <w:rsid w:val="00040BC7"/>
    <w:rsid w:val="0004687B"/>
    <w:rsid w:val="00046AE8"/>
    <w:rsid w:val="00051C4B"/>
    <w:rsid w:val="0006533C"/>
    <w:rsid w:val="000674BE"/>
    <w:rsid w:val="000707B4"/>
    <w:rsid w:val="000733BC"/>
    <w:rsid w:val="000733D5"/>
    <w:rsid w:val="00077641"/>
    <w:rsid w:val="000811BB"/>
    <w:rsid w:val="0008288C"/>
    <w:rsid w:val="000860E4"/>
    <w:rsid w:val="0009149E"/>
    <w:rsid w:val="0009265A"/>
    <w:rsid w:val="00096D7E"/>
    <w:rsid w:val="000C00D9"/>
    <w:rsid w:val="000C6148"/>
    <w:rsid w:val="000C6432"/>
    <w:rsid w:val="000D0543"/>
    <w:rsid w:val="000D3C5A"/>
    <w:rsid w:val="000E2F2C"/>
    <w:rsid w:val="000F23EA"/>
    <w:rsid w:val="000F28DF"/>
    <w:rsid w:val="000F78B9"/>
    <w:rsid w:val="00104AF2"/>
    <w:rsid w:val="0011035B"/>
    <w:rsid w:val="001104D2"/>
    <w:rsid w:val="00116E44"/>
    <w:rsid w:val="00121774"/>
    <w:rsid w:val="001244CE"/>
    <w:rsid w:val="0012592D"/>
    <w:rsid w:val="0012699C"/>
    <w:rsid w:val="00132D06"/>
    <w:rsid w:val="00137F66"/>
    <w:rsid w:val="0014489A"/>
    <w:rsid w:val="001463C7"/>
    <w:rsid w:val="001467F4"/>
    <w:rsid w:val="00150D31"/>
    <w:rsid w:val="00154178"/>
    <w:rsid w:val="00155581"/>
    <w:rsid w:val="00156591"/>
    <w:rsid w:val="001570D4"/>
    <w:rsid w:val="00160309"/>
    <w:rsid w:val="0016109E"/>
    <w:rsid w:val="001639C2"/>
    <w:rsid w:val="00172DE8"/>
    <w:rsid w:val="001731C5"/>
    <w:rsid w:val="0017335C"/>
    <w:rsid w:val="00173C44"/>
    <w:rsid w:val="0017626E"/>
    <w:rsid w:val="001805C4"/>
    <w:rsid w:val="00184575"/>
    <w:rsid w:val="001869A8"/>
    <w:rsid w:val="00187BE1"/>
    <w:rsid w:val="001903D4"/>
    <w:rsid w:val="0019251D"/>
    <w:rsid w:val="00192DB5"/>
    <w:rsid w:val="001930B5"/>
    <w:rsid w:val="001A18D5"/>
    <w:rsid w:val="001A1AC6"/>
    <w:rsid w:val="001A3EDD"/>
    <w:rsid w:val="001A67C9"/>
    <w:rsid w:val="001C0BB8"/>
    <w:rsid w:val="001C6AFF"/>
    <w:rsid w:val="001D279A"/>
    <w:rsid w:val="001D4EC2"/>
    <w:rsid w:val="001D6723"/>
    <w:rsid w:val="001E1433"/>
    <w:rsid w:val="001E53BC"/>
    <w:rsid w:val="001F120D"/>
    <w:rsid w:val="001F3AEC"/>
    <w:rsid w:val="001F41C9"/>
    <w:rsid w:val="001F4F3E"/>
    <w:rsid w:val="001F7EC5"/>
    <w:rsid w:val="002007BF"/>
    <w:rsid w:val="00202319"/>
    <w:rsid w:val="002043C8"/>
    <w:rsid w:val="00204B7C"/>
    <w:rsid w:val="002106EA"/>
    <w:rsid w:val="002131C8"/>
    <w:rsid w:val="00214B6D"/>
    <w:rsid w:val="00215DD8"/>
    <w:rsid w:val="00223407"/>
    <w:rsid w:val="00223853"/>
    <w:rsid w:val="002244DA"/>
    <w:rsid w:val="00227E29"/>
    <w:rsid w:val="002330E2"/>
    <w:rsid w:val="00234DAB"/>
    <w:rsid w:val="00241BB8"/>
    <w:rsid w:val="002468F0"/>
    <w:rsid w:val="00250900"/>
    <w:rsid w:val="002602DD"/>
    <w:rsid w:val="0026242C"/>
    <w:rsid w:val="00270162"/>
    <w:rsid w:val="00270410"/>
    <w:rsid w:val="00283B49"/>
    <w:rsid w:val="002840DC"/>
    <w:rsid w:val="002871A5"/>
    <w:rsid w:val="00291471"/>
    <w:rsid w:val="00293804"/>
    <w:rsid w:val="00294605"/>
    <w:rsid w:val="002A1054"/>
    <w:rsid w:val="002A4875"/>
    <w:rsid w:val="002A7F5E"/>
    <w:rsid w:val="002B1C92"/>
    <w:rsid w:val="002B64B0"/>
    <w:rsid w:val="002C02A7"/>
    <w:rsid w:val="002C1C6B"/>
    <w:rsid w:val="002C221F"/>
    <w:rsid w:val="002C29D9"/>
    <w:rsid w:val="002C4C6D"/>
    <w:rsid w:val="002C56EA"/>
    <w:rsid w:val="002C72A6"/>
    <w:rsid w:val="002C7639"/>
    <w:rsid w:val="002D69A0"/>
    <w:rsid w:val="002E0E57"/>
    <w:rsid w:val="002E1B37"/>
    <w:rsid w:val="002E27F7"/>
    <w:rsid w:val="002E42CD"/>
    <w:rsid w:val="002E56B3"/>
    <w:rsid w:val="002E7263"/>
    <w:rsid w:val="002F0CF8"/>
    <w:rsid w:val="002F4256"/>
    <w:rsid w:val="002F524B"/>
    <w:rsid w:val="002F56C3"/>
    <w:rsid w:val="002F60B7"/>
    <w:rsid w:val="002F6EC6"/>
    <w:rsid w:val="002F7413"/>
    <w:rsid w:val="003009D5"/>
    <w:rsid w:val="00300A5F"/>
    <w:rsid w:val="00302E16"/>
    <w:rsid w:val="00310100"/>
    <w:rsid w:val="00314C38"/>
    <w:rsid w:val="00320476"/>
    <w:rsid w:val="00320C34"/>
    <w:rsid w:val="00321CBF"/>
    <w:rsid w:val="00322B57"/>
    <w:rsid w:val="00334C59"/>
    <w:rsid w:val="0033605E"/>
    <w:rsid w:val="0035199B"/>
    <w:rsid w:val="00355DE5"/>
    <w:rsid w:val="003602C3"/>
    <w:rsid w:val="00361079"/>
    <w:rsid w:val="003615D1"/>
    <w:rsid w:val="00362FF2"/>
    <w:rsid w:val="00371C88"/>
    <w:rsid w:val="00380C37"/>
    <w:rsid w:val="00381D8F"/>
    <w:rsid w:val="00385B36"/>
    <w:rsid w:val="0039137F"/>
    <w:rsid w:val="00391D81"/>
    <w:rsid w:val="00395FAE"/>
    <w:rsid w:val="003A17CA"/>
    <w:rsid w:val="003B1C66"/>
    <w:rsid w:val="003B425E"/>
    <w:rsid w:val="003B4D36"/>
    <w:rsid w:val="003B5148"/>
    <w:rsid w:val="003C3EC7"/>
    <w:rsid w:val="003D06E5"/>
    <w:rsid w:val="003D199E"/>
    <w:rsid w:val="003D4401"/>
    <w:rsid w:val="003D600D"/>
    <w:rsid w:val="003D64B6"/>
    <w:rsid w:val="003D71E6"/>
    <w:rsid w:val="003F1853"/>
    <w:rsid w:val="003F3E0C"/>
    <w:rsid w:val="003F5D1B"/>
    <w:rsid w:val="003F5D98"/>
    <w:rsid w:val="003F7843"/>
    <w:rsid w:val="00403B9D"/>
    <w:rsid w:val="00407777"/>
    <w:rsid w:val="00407BFC"/>
    <w:rsid w:val="004101B0"/>
    <w:rsid w:val="00410D0B"/>
    <w:rsid w:val="00411775"/>
    <w:rsid w:val="00417B67"/>
    <w:rsid w:val="00421A25"/>
    <w:rsid w:val="0043099C"/>
    <w:rsid w:val="00432FD1"/>
    <w:rsid w:val="004358AD"/>
    <w:rsid w:val="00435AA8"/>
    <w:rsid w:val="00443C88"/>
    <w:rsid w:val="0044543D"/>
    <w:rsid w:val="00446291"/>
    <w:rsid w:val="004464E9"/>
    <w:rsid w:val="00446EDD"/>
    <w:rsid w:val="00452A22"/>
    <w:rsid w:val="00456B89"/>
    <w:rsid w:val="00461B41"/>
    <w:rsid w:val="00462EA0"/>
    <w:rsid w:val="00472FA9"/>
    <w:rsid w:val="00476030"/>
    <w:rsid w:val="0048021C"/>
    <w:rsid w:val="00480AC6"/>
    <w:rsid w:val="00481750"/>
    <w:rsid w:val="0048181A"/>
    <w:rsid w:val="00482602"/>
    <w:rsid w:val="00482671"/>
    <w:rsid w:val="00483895"/>
    <w:rsid w:val="0049075A"/>
    <w:rsid w:val="00495061"/>
    <w:rsid w:val="00495EB8"/>
    <w:rsid w:val="00496FC3"/>
    <w:rsid w:val="00497322"/>
    <w:rsid w:val="004A704F"/>
    <w:rsid w:val="004B4B6D"/>
    <w:rsid w:val="004C1B27"/>
    <w:rsid w:val="004C385B"/>
    <w:rsid w:val="004D0F6B"/>
    <w:rsid w:val="004D144D"/>
    <w:rsid w:val="004D1CDD"/>
    <w:rsid w:val="004D21FC"/>
    <w:rsid w:val="004D2202"/>
    <w:rsid w:val="004D2E8C"/>
    <w:rsid w:val="004D3773"/>
    <w:rsid w:val="004D5292"/>
    <w:rsid w:val="004E152F"/>
    <w:rsid w:val="004E2A00"/>
    <w:rsid w:val="004E3BF5"/>
    <w:rsid w:val="004F1985"/>
    <w:rsid w:val="004F421C"/>
    <w:rsid w:val="00500A55"/>
    <w:rsid w:val="00503BA7"/>
    <w:rsid w:val="0050700C"/>
    <w:rsid w:val="00513B39"/>
    <w:rsid w:val="00513C61"/>
    <w:rsid w:val="00514BAD"/>
    <w:rsid w:val="00515B97"/>
    <w:rsid w:val="0052071E"/>
    <w:rsid w:val="00521230"/>
    <w:rsid w:val="00530A3C"/>
    <w:rsid w:val="00534F0F"/>
    <w:rsid w:val="00542B48"/>
    <w:rsid w:val="0054329E"/>
    <w:rsid w:val="00551258"/>
    <w:rsid w:val="00554692"/>
    <w:rsid w:val="00556006"/>
    <w:rsid w:val="005569D2"/>
    <w:rsid w:val="00561A91"/>
    <w:rsid w:val="00564C43"/>
    <w:rsid w:val="00574BC3"/>
    <w:rsid w:val="00581010"/>
    <w:rsid w:val="00581AA7"/>
    <w:rsid w:val="0058580D"/>
    <w:rsid w:val="00585EF4"/>
    <w:rsid w:val="00585FAF"/>
    <w:rsid w:val="00586D80"/>
    <w:rsid w:val="00586E7E"/>
    <w:rsid w:val="00587878"/>
    <w:rsid w:val="005909CE"/>
    <w:rsid w:val="005A1415"/>
    <w:rsid w:val="005A646A"/>
    <w:rsid w:val="005B02F9"/>
    <w:rsid w:val="005B0E49"/>
    <w:rsid w:val="005B159F"/>
    <w:rsid w:val="005B1F16"/>
    <w:rsid w:val="005B5D7D"/>
    <w:rsid w:val="005B71B9"/>
    <w:rsid w:val="005C06AF"/>
    <w:rsid w:val="005C0BF8"/>
    <w:rsid w:val="005C20F7"/>
    <w:rsid w:val="005C2ABD"/>
    <w:rsid w:val="005C38A7"/>
    <w:rsid w:val="005D015B"/>
    <w:rsid w:val="005D0C2B"/>
    <w:rsid w:val="005D2DCB"/>
    <w:rsid w:val="005F1266"/>
    <w:rsid w:val="005F16EC"/>
    <w:rsid w:val="005F4B25"/>
    <w:rsid w:val="005F4F51"/>
    <w:rsid w:val="005F60A5"/>
    <w:rsid w:val="005F70F9"/>
    <w:rsid w:val="006001DA"/>
    <w:rsid w:val="00603D1A"/>
    <w:rsid w:val="006069FE"/>
    <w:rsid w:val="00606BE4"/>
    <w:rsid w:val="006078EC"/>
    <w:rsid w:val="00614C21"/>
    <w:rsid w:val="00615983"/>
    <w:rsid w:val="00615F7F"/>
    <w:rsid w:val="00616192"/>
    <w:rsid w:val="00626C50"/>
    <w:rsid w:val="006301DF"/>
    <w:rsid w:val="00635909"/>
    <w:rsid w:val="00635ECA"/>
    <w:rsid w:val="006527FD"/>
    <w:rsid w:val="00655F61"/>
    <w:rsid w:val="00664545"/>
    <w:rsid w:val="006672A4"/>
    <w:rsid w:val="00667586"/>
    <w:rsid w:val="00670CCF"/>
    <w:rsid w:val="00670E4B"/>
    <w:rsid w:val="0067358B"/>
    <w:rsid w:val="006746C4"/>
    <w:rsid w:val="006771C9"/>
    <w:rsid w:val="00677826"/>
    <w:rsid w:val="00685A96"/>
    <w:rsid w:val="00686BE1"/>
    <w:rsid w:val="00690CE4"/>
    <w:rsid w:val="0069299B"/>
    <w:rsid w:val="006A4C2F"/>
    <w:rsid w:val="006A5C54"/>
    <w:rsid w:val="006A5D76"/>
    <w:rsid w:val="006B1022"/>
    <w:rsid w:val="006B6DA9"/>
    <w:rsid w:val="006C5AA4"/>
    <w:rsid w:val="006D12EF"/>
    <w:rsid w:val="006D2BE4"/>
    <w:rsid w:val="006D6598"/>
    <w:rsid w:val="006D6A87"/>
    <w:rsid w:val="006D6D47"/>
    <w:rsid w:val="006D6F3B"/>
    <w:rsid w:val="006E5AD6"/>
    <w:rsid w:val="007110EF"/>
    <w:rsid w:val="00714C6D"/>
    <w:rsid w:val="007155C8"/>
    <w:rsid w:val="00717570"/>
    <w:rsid w:val="00717CC3"/>
    <w:rsid w:val="00726914"/>
    <w:rsid w:val="007300A3"/>
    <w:rsid w:val="007306B8"/>
    <w:rsid w:val="00731236"/>
    <w:rsid w:val="00735176"/>
    <w:rsid w:val="00747E37"/>
    <w:rsid w:val="0075320C"/>
    <w:rsid w:val="007536EF"/>
    <w:rsid w:val="00753BF0"/>
    <w:rsid w:val="00756A6D"/>
    <w:rsid w:val="00760802"/>
    <w:rsid w:val="00760CB0"/>
    <w:rsid w:val="00760DDB"/>
    <w:rsid w:val="00765BEA"/>
    <w:rsid w:val="007738FD"/>
    <w:rsid w:val="00773A5D"/>
    <w:rsid w:val="00776D95"/>
    <w:rsid w:val="00793250"/>
    <w:rsid w:val="00794B53"/>
    <w:rsid w:val="007975A1"/>
    <w:rsid w:val="007A116D"/>
    <w:rsid w:val="007A29EE"/>
    <w:rsid w:val="007B0654"/>
    <w:rsid w:val="007B10D0"/>
    <w:rsid w:val="007B1F16"/>
    <w:rsid w:val="007B5B52"/>
    <w:rsid w:val="007B6989"/>
    <w:rsid w:val="007B77F4"/>
    <w:rsid w:val="007C456E"/>
    <w:rsid w:val="007C4B7A"/>
    <w:rsid w:val="007D11B6"/>
    <w:rsid w:val="007D1696"/>
    <w:rsid w:val="007D6F6B"/>
    <w:rsid w:val="007E04C2"/>
    <w:rsid w:val="007E3A62"/>
    <w:rsid w:val="007E4448"/>
    <w:rsid w:val="007F098A"/>
    <w:rsid w:val="007F1A35"/>
    <w:rsid w:val="007F7F83"/>
    <w:rsid w:val="00800DC9"/>
    <w:rsid w:val="0080270D"/>
    <w:rsid w:val="00803663"/>
    <w:rsid w:val="00811C64"/>
    <w:rsid w:val="00813958"/>
    <w:rsid w:val="0081539D"/>
    <w:rsid w:val="00820BBA"/>
    <w:rsid w:val="00826495"/>
    <w:rsid w:val="00826A8E"/>
    <w:rsid w:val="008274C5"/>
    <w:rsid w:val="008276AF"/>
    <w:rsid w:val="00827AB4"/>
    <w:rsid w:val="00834E31"/>
    <w:rsid w:val="00835269"/>
    <w:rsid w:val="008419BE"/>
    <w:rsid w:val="00843E6D"/>
    <w:rsid w:val="0084496E"/>
    <w:rsid w:val="00847AB1"/>
    <w:rsid w:val="00851F7D"/>
    <w:rsid w:val="008535D2"/>
    <w:rsid w:val="008619A1"/>
    <w:rsid w:val="00861AD4"/>
    <w:rsid w:val="00861D87"/>
    <w:rsid w:val="0086246D"/>
    <w:rsid w:val="00862904"/>
    <w:rsid w:val="008660CD"/>
    <w:rsid w:val="0087299F"/>
    <w:rsid w:val="00874CFB"/>
    <w:rsid w:val="008858B1"/>
    <w:rsid w:val="00887FD2"/>
    <w:rsid w:val="00895657"/>
    <w:rsid w:val="008966C9"/>
    <w:rsid w:val="00897A59"/>
    <w:rsid w:val="008A2A50"/>
    <w:rsid w:val="008A4BAB"/>
    <w:rsid w:val="008A69D7"/>
    <w:rsid w:val="008A778E"/>
    <w:rsid w:val="008B7D19"/>
    <w:rsid w:val="008C67B4"/>
    <w:rsid w:val="008D099A"/>
    <w:rsid w:val="008D19E0"/>
    <w:rsid w:val="008E05A2"/>
    <w:rsid w:val="008E0F02"/>
    <w:rsid w:val="008E61F1"/>
    <w:rsid w:val="008E645B"/>
    <w:rsid w:val="008F141B"/>
    <w:rsid w:val="008F5E85"/>
    <w:rsid w:val="008F6A98"/>
    <w:rsid w:val="009015EF"/>
    <w:rsid w:val="00901DB7"/>
    <w:rsid w:val="00904499"/>
    <w:rsid w:val="00904AA6"/>
    <w:rsid w:val="00904B26"/>
    <w:rsid w:val="00906B25"/>
    <w:rsid w:val="00906EE0"/>
    <w:rsid w:val="009209D2"/>
    <w:rsid w:val="009313F0"/>
    <w:rsid w:val="009357B9"/>
    <w:rsid w:val="00937D34"/>
    <w:rsid w:val="00941FC0"/>
    <w:rsid w:val="0094601E"/>
    <w:rsid w:val="009501A5"/>
    <w:rsid w:val="0095029E"/>
    <w:rsid w:val="009508E6"/>
    <w:rsid w:val="009600CC"/>
    <w:rsid w:val="009606F2"/>
    <w:rsid w:val="009666EA"/>
    <w:rsid w:val="00970A22"/>
    <w:rsid w:val="00973D4B"/>
    <w:rsid w:val="009741C1"/>
    <w:rsid w:val="0097456E"/>
    <w:rsid w:val="00981AB2"/>
    <w:rsid w:val="009835B6"/>
    <w:rsid w:val="0098598E"/>
    <w:rsid w:val="0098759D"/>
    <w:rsid w:val="0099104D"/>
    <w:rsid w:val="009A2102"/>
    <w:rsid w:val="009A376E"/>
    <w:rsid w:val="009A6905"/>
    <w:rsid w:val="009B0D30"/>
    <w:rsid w:val="009B2C76"/>
    <w:rsid w:val="009B3BF1"/>
    <w:rsid w:val="009B4AAA"/>
    <w:rsid w:val="009C1E60"/>
    <w:rsid w:val="009C260F"/>
    <w:rsid w:val="009C2B05"/>
    <w:rsid w:val="009C44F2"/>
    <w:rsid w:val="009C5FA5"/>
    <w:rsid w:val="009C62C2"/>
    <w:rsid w:val="009D3960"/>
    <w:rsid w:val="009D3E30"/>
    <w:rsid w:val="009D6C42"/>
    <w:rsid w:val="009D76F6"/>
    <w:rsid w:val="009D7863"/>
    <w:rsid w:val="009E25F3"/>
    <w:rsid w:val="009E2A30"/>
    <w:rsid w:val="009E33FD"/>
    <w:rsid w:val="00A005C1"/>
    <w:rsid w:val="00A044A5"/>
    <w:rsid w:val="00A062B5"/>
    <w:rsid w:val="00A06A12"/>
    <w:rsid w:val="00A140A1"/>
    <w:rsid w:val="00A1630F"/>
    <w:rsid w:val="00A21B17"/>
    <w:rsid w:val="00A22E72"/>
    <w:rsid w:val="00A31C8C"/>
    <w:rsid w:val="00A377EC"/>
    <w:rsid w:val="00A43E5B"/>
    <w:rsid w:val="00A446A8"/>
    <w:rsid w:val="00A4492E"/>
    <w:rsid w:val="00A45CD1"/>
    <w:rsid w:val="00A5669E"/>
    <w:rsid w:val="00A57106"/>
    <w:rsid w:val="00A60435"/>
    <w:rsid w:val="00A63925"/>
    <w:rsid w:val="00A63EC2"/>
    <w:rsid w:val="00A70DDB"/>
    <w:rsid w:val="00A730FE"/>
    <w:rsid w:val="00A769D3"/>
    <w:rsid w:val="00A76F77"/>
    <w:rsid w:val="00A81774"/>
    <w:rsid w:val="00A839D1"/>
    <w:rsid w:val="00A85F9C"/>
    <w:rsid w:val="00A9167C"/>
    <w:rsid w:val="00AA246F"/>
    <w:rsid w:val="00AA2866"/>
    <w:rsid w:val="00AA2A90"/>
    <w:rsid w:val="00AA664D"/>
    <w:rsid w:val="00AB0BBE"/>
    <w:rsid w:val="00AB44AD"/>
    <w:rsid w:val="00AB751F"/>
    <w:rsid w:val="00AB78CB"/>
    <w:rsid w:val="00AC05F9"/>
    <w:rsid w:val="00AC0D38"/>
    <w:rsid w:val="00AC3BE8"/>
    <w:rsid w:val="00AD03F1"/>
    <w:rsid w:val="00AD16CF"/>
    <w:rsid w:val="00AD2CDE"/>
    <w:rsid w:val="00AE29D8"/>
    <w:rsid w:val="00AE2A26"/>
    <w:rsid w:val="00AF0BB1"/>
    <w:rsid w:val="00AF201C"/>
    <w:rsid w:val="00AF3DFF"/>
    <w:rsid w:val="00AF400D"/>
    <w:rsid w:val="00AF6A51"/>
    <w:rsid w:val="00B04FC9"/>
    <w:rsid w:val="00B12DBC"/>
    <w:rsid w:val="00B13F4C"/>
    <w:rsid w:val="00B30803"/>
    <w:rsid w:val="00B31C19"/>
    <w:rsid w:val="00B37478"/>
    <w:rsid w:val="00B46CB3"/>
    <w:rsid w:val="00B51AD0"/>
    <w:rsid w:val="00B61E2A"/>
    <w:rsid w:val="00B65DBF"/>
    <w:rsid w:val="00B70F8B"/>
    <w:rsid w:val="00B7386A"/>
    <w:rsid w:val="00B74502"/>
    <w:rsid w:val="00B76EB7"/>
    <w:rsid w:val="00B771F9"/>
    <w:rsid w:val="00B92EB2"/>
    <w:rsid w:val="00BA2B95"/>
    <w:rsid w:val="00BA4B7B"/>
    <w:rsid w:val="00BA502B"/>
    <w:rsid w:val="00BB1214"/>
    <w:rsid w:val="00BC1546"/>
    <w:rsid w:val="00BC3874"/>
    <w:rsid w:val="00BC6CD4"/>
    <w:rsid w:val="00BC7BC3"/>
    <w:rsid w:val="00BD0960"/>
    <w:rsid w:val="00BD3F6A"/>
    <w:rsid w:val="00BD4BED"/>
    <w:rsid w:val="00BD5610"/>
    <w:rsid w:val="00BE40B8"/>
    <w:rsid w:val="00BF01E2"/>
    <w:rsid w:val="00BF185F"/>
    <w:rsid w:val="00BF5FB2"/>
    <w:rsid w:val="00BF63C9"/>
    <w:rsid w:val="00BF7E9A"/>
    <w:rsid w:val="00C009B5"/>
    <w:rsid w:val="00C00D7C"/>
    <w:rsid w:val="00C0231B"/>
    <w:rsid w:val="00C10771"/>
    <w:rsid w:val="00C13466"/>
    <w:rsid w:val="00C134F4"/>
    <w:rsid w:val="00C14E6E"/>
    <w:rsid w:val="00C15055"/>
    <w:rsid w:val="00C261EA"/>
    <w:rsid w:val="00C3671A"/>
    <w:rsid w:val="00C40391"/>
    <w:rsid w:val="00C44C42"/>
    <w:rsid w:val="00C46925"/>
    <w:rsid w:val="00C558CC"/>
    <w:rsid w:val="00C55FAC"/>
    <w:rsid w:val="00C56C38"/>
    <w:rsid w:val="00C6161E"/>
    <w:rsid w:val="00C63986"/>
    <w:rsid w:val="00C67D60"/>
    <w:rsid w:val="00C70515"/>
    <w:rsid w:val="00C84D6D"/>
    <w:rsid w:val="00C85E5E"/>
    <w:rsid w:val="00C86F1B"/>
    <w:rsid w:val="00C87555"/>
    <w:rsid w:val="00C91BC1"/>
    <w:rsid w:val="00C93767"/>
    <w:rsid w:val="00C95930"/>
    <w:rsid w:val="00C96E7C"/>
    <w:rsid w:val="00CA1A4C"/>
    <w:rsid w:val="00CA1D19"/>
    <w:rsid w:val="00CA3A76"/>
    <w:rsid w:val="00CB3FC1"/>
    <w:rsid w:val="00CB6600"/>
    <w:rsid w:val="00CB6D2C"/>
    <w:rsid w:val="00CB7762"/>
    <w:rsid w:val="00CC30E1"/>
    <w:rsid w:val="00CC34FF"/>
    <w:rsid w:val="00CD3768"/>
    <w:rsid w:val="00CD5D9B"/>
    <w:rsid w:val="00CD756F"/>
    <w:rsid w:val="00CE3B6F"/>
    <w:rsid w:val="00D016D5"/>
    <w:rsid w:val="00D10242"/>
    <w:rsid w:val="00D11C98"/>
    <w:rsid w:val="00D13E9D"/>
    <w:rsid w:val="00D148F7"/>
    <w:rsid w:val="00D200BC"/>
    <w:rsid w:val="00D23F94"/>
    <w:rsid w:val="00D246AB"/>
    <w:rsid w:val="00D30EAF"/>
    <w:rsid w:val="00D34249"/>
    <w:rsid w:val="00D34759"/>
    <w:rsid w:val="00D41370"/>
    <w:rsid w:val="00D505FA"/>
    <w:rsid w:val="00D50A14"/>
    <w:rsid w:val="00D532E1"/>
    <w:rsid w:val="00D60B7C"/>
    <w:rsid w:val="00D60E69"/>
    <w:rsid w:val="00D65F8D"/>
    <w:rsid w:val="00D66C13"/>
    <w:rsid w:val="00D71A37"/>
    <w:rsid w:val="00D816AA"/>
    <w:rsid w:val="00D83BDC"/>
    <w:rsid w:val="00D851A1"/>
    <w:rsid w:val="00D92EF6"/>
    <w:rsid w:val="00D96A6E"/>
    <w:rsid w:val="00DA3C94"/>
    <w:rsid w:val="00DA58E4"/>
    <w:rsid w:val="00DB0E66"/>
    <w:rsid w:val="00DB4F16"/>
    <w:rsid w:val="00DC2653"/>
    <w:rsid w:val="00DC4C2A"/>
    <w:rsid w:val="00DC6996"/>
    <w:rsid w:val="00DD426E"/>
    <w:rsid w:val="00DD600D"/>
    <w:rsid w:val="00DD6E72"/>
    <w:rsid w:val="00DE1C7C"/>
    <w:rsid w:val="00DE2FA0"/>
    <w:rsid w:val="00DE5D98"/>
    <w:rsid w:val="00DE6465"/>
    <w:rsid w:val="00DE6711"/>
    <w:rsid w:val="00DF3DE4"/>
    <w:rsid w:val="00DF756F"/>
    <w:rsid w:val="00E0036C"/>
    <w:rsid w:val="00E00B2E"/>
    <w:rsid w:val="00E023DF"/>
    <w:rsid w:val="00E05508"/>
    <w:rsid w:val="00E1428C"/>
    <w:rsid w:val="00E1739C"/>
    <w:rsid w:val="00E2422A"/>
    <w:rsid w:val="00E32B08"/>
    <w:rsid w:val="00E35707"/>
    <w:rsid w:val="00E35DD8"/>
    <w:rsid w:val="00E37623"/>
    <w:rsid w:val="00E53E98"/>
    <w:rsid w:val="00E5704E"/>
    <w:rsid w:val="00E60777"/>
    <w:rsid w:val="00E64C57"/>
    <w:rsid w:val="00E7103C"/>
    <w:rsid w:val="00E72DEE"/>
    <w:rsid w:val="00E74F32"/>
    <w:rsid w:val="00E846EF"/>
    <w:rsid w:val="00E84B4C"/>
    <w:rsid w:val="00E86621"/>
    <w:rsid w:val="00E93AC5"/>
    <w:rsid w:val="00E9459D"/>
    <w:rsid w:val="00EA5D83"/>
    <w:rsid w:val="00EB1DC5"/>
    <w:rsid w:val="00EB340B"/>
    <w:rsid w:val="00EB5C12"/>
    <w:rsid w:val="00EC014B"/>
    <w:rsid w:val="00EC12FA"/>
    <w:rsid w:val="00EC4DA7"/>
    <w:rsid w:val="00ED2EED"/>
    <w:rsid w:val="00EE0BE9"/>
    <w:rsid w:val="00EE2198"/>
    <w:rsid w:val="00EE3A0B"/>
    <w:rsid w:val="00EE567C"/>
    <w:rsid w:val="00EE5ADB"/>
    <w:rsid w:val="00EE627E"/>
    <w:rsid w:val="00EF0F24"/>
    <w:rsid w:val="00EF17C7"/>
    <w:rsid w:val="00EF32E8"/>
    <w:rsid w:val="00F11E42"/>
    <w:rsid w:val="00F12347"/>
    <w:rsid w:val="00F13A5A"/>
    <w:rsid w:val="00F16830"/>
    <w:rsid w:val="00F24DD9"/>
    <w:rsid w:val="00F2528C"/>
    <w:rsid w:val="00F348A6"/>
    <w:rsid w:val="00F36F9F"/>
    <w:rsid w:val="00F42EF2"/>
    <w:rsid w:val="00F433FF"/>
    <w:rsid w:val="00F4414C"/>
    <w:rsid w:val="00F44F9D"/>
    <w:rsid w:val="00F473B3"/>
    <w:rsid w:val="00F549CF"/>
    <w:rsid w:val="00F63670"/>
    <w:rsid w:val="00F65276"/>
    <w:rsid w:val="00F70B2E"/>
    <w:rsid w:val="00F721D0"/>
    <w:rsid w:val="00F73F1B"/>
    <w:rsid w:val="00F742B5"/>
    <w:rsid w:val="00F80CE5"/>
    <w:rsid w:val="00F82C93"/>
    <w:rsid w:val="00F85D18"/>
    <w:rsid w:val="00F9388E"/>
    <w:rsid w:val="00F9420A"/>
    <w:rsid w:val="00F94A0B"/>
    <w:rsid w:val="00F95688"/>
    <w:rsid w:val="00FA0B61"/>
    <w:rsid w:val="00FA335C"/>
    <w:rsid w:val="00FB157B"/>
    <w:rsid w:val="00FB6D1F"/>
    <w:rsid w:val="00FC4C5B"/>
    <w:rsid w:val="00FD08BC"/>
    <w:rsid w:val="00FD0A4D"/>
    <w:rsid w:val="00FD24A6"/>
    <w:rsid w:val="00FE1227"/>
    <w:rsid w:val="00FE21A8"/>
    <w:rsid w:val="00FE4859"/>
    <w:rsid w:val="00FE4936"/>
    <w:rsid w:val="00FF3F0A"/>
    <w:rsid w:val="00FF7076"/>
    <w:rsid w:val="012873D3"/>
    <w:rsid w:val="012B3A29"/>
    <w:rsid w:val="013414A4"/>
    <w:rsid w:val="015D704A"/>
    <w:rsid w:val="01C225F2"/>
    <w:rsid w:val="01DB2E0E"/>
    <w:rsid w:val="02BF4385"/>
    <w:rsid w:val="02F30FA1"/>
    <w:rsid w:val="03205746"/>
    <w:rsid w:val="044032E9"/>
    <w:rsid w:val="04602B3A"/>
    <w:rsid w:val="05230884"/>
    <w:rsid w:val="057B1144"/>
    <w:rsid w:val="059D6515"/>
    <w:rsid w:val="066D5415"/>
    <w:rsid w:val="06F91383"/>
    <w:rsid w:val="08726F8B"/>
    <w:rsid w:val="08A3063C"/>
    <w:rsid w:val="092F0220"/>
    <w:rsid w:val="09694699"/>
    <w:rsid w:val="09BD6B8A"/>
    <w:rsid w:val="09DA17C7"/>
    <w:rsid w:val="09E337CB"/>
    <w:rsid w:val="09E8138B"/>
    <w:rsid w:val="0B844E71"/>
    <w:rsid w:val="0BCE0E2D"/>
    <w:rsid w:val="0C610FDC"/>
    <w:rsid w:val="0CDF3572"/>
    <w:rsid w:val="0D432C63"/>
    <w:rsid w:val="0D4475E3"/>
    <w:rsid w:val="0D57008A"/>
    <w:rsid w:val="0D850A98"/>
    <w:rsid w:val="0D915670"/>
    <w:rsid w:val="0D990F4F"/>
    <w:rsid w:val="0DA56F93"/>
    <w:rsid w:val="0E7E1C83"/>
    <w:rsid w:val="0F7718EE"/>
    <w:rsid w:val="0FAE4B37"/>
    <w:rsid w:val="10537FD8"/>
    <w:rsid w:val="10DB11B5"/>
    <w:rsid w:val="12FA67BA"/>
    <w:rsid w:val="132E42E0"/>
    <w:rsid w:val="142011A6"/>
    <w:rsid w:val="14A77B14"/>
    <w:rsid w:val="150B5374"/>
    <w:rsid w:val="15A557F6"/>
    <w:rsid w:val="15F07F9B"/>
    <w:rsid w:val="16277A0B"/>
    <w:rsid w:val="162B1525"/>
    <w:rsid w:val="163F6D8E"/>
    <w:rsid w:val="16852D6C"/>
    <w:rsid w:val="17725D52"/>
    <w:rsid w:val="17B24919"/>
    <w:rsid w:val="17B4163D"/>
    <w:rsid w:val="18A0544E"/>
    <w:rsid w:val="18AF29F3"/>
    <w:rsid w:val="18CA0853"/>
    <w:rsid w:val="1B5344D6"/>
    <w:rsid w:val="1D16642A"/>
    <w:rsid w:val="1DDF6D7F"/>
    <w:rsid w:val="1DE13B91"/>
    <w:rsid w:val="1E097B16"/>
    <w:rsid w:val="1E650156"/>
    <w:rsid w:val="1F356A1F"/>
    <w:rsid w:val="20DA3FE1"/>
    <w:rsid w:val="20E71C8B"/>
    <w:rsid w:val="20EE6FC1"/>
    <w:rsid w:val="214A468E"/>
    <w:rsid w:val="21606878"/>
    <w:rsid w:val="22027AEB"/>
    <w:rsid w:val="23223D0E"/>
    <w:rsid w:val="23A42D0F"/>
    <w:rsid w:val="23C010B4"/>
    <w:rsid w:val="24462A2D"/>
    <w:rsid w:val="246B6173"/>
    <w:rsid w:val="26683101"/>
    <w:rsid w:val="26B36D0C"/>
    <w:rsid w:val="26C70FC3"/>
    <w:rsid w:val="27D40264"/>
    <w:rsid w:val="28F531CF"/>
    <w:rsid w:val="2A4D1FDF"/>
    <w:rsid w:val="2A4E3D69"/>
    <w:rsid w:val="2AD27817"/>
    <w:rsid w:val="2AE97CDD"/>
    <w:rsid w:val="2BB01839"/>
    <w:rsid w:val="2C102611"/>
    <w:rsid w:val="2C271DE5"/>
    <w:rsid w:val="2C29369E"/>
    <w:rsid w:val="2C5A7B6E"/>
    <w:rsid w:val="2E4A46A0"/>
    <w:rsid w:val="2EF72DA2"/>
    <w:rsid w:val="2F3515C3"/>
    <w:rsid w:val="2F7D5D39"/>
    <w:rsid w:val="2FEF1A26"/>
    <w:rsid w:val="2FFF7AF9"/>
    <w:rsid w:val="30226805"/>
    <w:rsid w:val="316209C8"/>
    <w:rsid w:val="317407C0"/>
    <w:rsid w:val="317A2145"/>
    <w:rsid w:val="32C612FD"/>
    <w:rsid w:val="340B6A8C"/>
    <w:rsid w:val="345F23FD"/>
    <w:rsid w:val="34F417FE"/>
    <w:rsid w:val="359D61A7"/>
    <w:rsid w:val="35A85644"/>
    <w:rsid w:val="360A467B"/>
    <w:rsid w:val="36212FBF"/>
    <w:rsid w:val="372E7B0F"/>
    <w:rsid w:val="37FF6954"/>
    <w:rsid w:val="398B7F95"/>
    <w:rsid w:val="3A1379D5"/>
    <w:rsid w:val="3A744576"/>
    <w:rsid w:val="3A7A7584"/>
    <w:rsid w:val="3A990BD3"/>
    <w:rsid w:val="3B4144A3"/>
    <w:rsid w:val="3B62097B"/>
    <w:rsid w:val="3B915C47"/>
    <w:rsid w:val="3BB367AF"/>
    <w:rsid w:val="3BCA412D"/>
    <w:rsid w:val="3C024B7D"/>
    <w:rsid w:val="3C105A18"/>
    <w:rsid w:val="3C7F4EBC"/>
    <w:rsid w:val="3C9D1C25"/>
    <w:rsid w:val="3CF5550F"/>
    <w:rsid w:val="3E0A3EC6"/>
    <w:rsid w:val="3F676452"/>
    <w:rsid w:val="3F813C7F"/>
    <w:rsid w:val="3F8C0042"/>
    <w:rsid w:val="3FFD6174"/>
    <w:rsid w:val="401B62F5"/>
    <w:rsid w:val="406E4841"/>
    <w:rsid w:val="40E26775"/>
    <w:rsid w:val="40E64EB4"/>
    <w:rsid w:val="41655958"/>
    <w:rsid w:val="435528D9"/>
    <w:rsid w:val="441962C2"/>
    <w:rsid w:val="45143FEB"/>
    <w:rsid w:val="46470050"/>
    <w:rsid w:val="474F068C"/>
    <w:rsid w:val="4794337F"/>
    <w:rsid w:val="48313435"/>
    <w:rsid w:val="48374FFD"/>
    <w:rsid w:val="487E1EBD"/>
    <w:rsid w:val="48B41C37"/>
    <w:rsid w:val="49602681"/>
    <w:rsid w:val="496C4C13"/>
    <w:rsid w:val="4AFA3073"/>
    <w:rsid w:val="4B1A6EAF"/>
    <w:rsid w:val="4C46012D"/>
    <w:rsid w:val="4C725A5F"/>
    <w:rsid w:val="4D66371E"/>
    <w:rsid w:val="4EE942B4"/>
    <w:rsid w:val="4F137FAB"/>
    <w:rsid w:val="4F7723FF"/>
    <w:rsid w:val="508436A7"/>
    <w:rsid w:val="50BF2106"/>
    <w:rsid w:val="50CA6B9A"/>
    <w:rsid w:val="513C0E40"/>
    <w:rsid w:val="515212A6"/>
    <w:rsid w:val="517939DB"/>
    <w:rsid w:val="525A265E"/>
    <w:rsid w:val="5475139F"/>
    <w:rsid w:val="551D6A4D"/>
    <w:rsid w:val="55DC12C9"/>
    <w:rsid w:val="573D3418"/>
    <w:rsid w:val="57C25BFE"/>
    <w:rsid w:val="57FD3B20"/>
    <w:rsid w:val="597C1F53"/>
    <w:rsid w:val="5A170196"/>
    <w:rsid w:val="5BEF76E9"/>
    <w:rsid w:val="5C0059C4"/>
    <w:rsid w:val="5CC70097"/>
    <w:rsid w:val="5CDC0B6F"/>
    <w:rsid w:val="5CDC2A68"/>
    <w:rsid w:val="5CE337FB"/>
    <w:rsid w:val="5D4A309B"/>
    <w:rsid w:val="5D5850AB"/>
    <w:rsid w:val="5D5D42BA"/>
    <w:rsid w:val="5DC47A53"/>
    <w:rsid w:val="5EE13511"/>
    <w:rsid w:val="5F1662FE"/>
    <w:rsid w:val="5F4A5EE3"/>
    <w:rsid w:val="5F6B2C36"/>
    <w:rsid w:val="60464B44"/>
    <w:rsid w:val="6321794E"/>
    <w:rsid w:val="64254DFD"/>
    <w:rsid w:val="64A5125F"/>
    <w:rsid w:val="653A4779"/>
    <w:rsid w:val="65600268"/>
    <w:rsid w:val="662314AB"/>
    <w:rsid w:val="66AB22D9"/>
    <w:rsid w:val="66D41533"/>
    <w:rsid w:val="67BD3540"/>
    <w:rsid w:val="68226616"/>
    <w:rsid w:val="69005E96"/>
    <w:rsid w:val="69F20F61"/>
    <w:rsid w:val="6A4373D4"/>
    <w:rsid w:val="6AE27346"/>
    <w:rsid w:val="6AE72D1A"/>
    <w:rsid w:val="6C0D6CE9"/>
    <w:rsid w:val="6CDA7624"/>
    <w:rsid w:val="6CE81713"/>
    <w:rsid w:val="6D070BEB"/>
    <w:rsid w:val="6D0B6015"/>
    <w:rsid w:val="6D7777CF"/>
    <w:rsid w:val="6D7B76B4"/>
    <w:rsid w:val="6DB932C1"/>
    <w:rsid w:val="6DC73024"/>
    <w:rsid w:val="6DF243D5"/>
    <w:rsid w:val="6E1F0847"/>
    <w:rsid w:val="6E3A43BC"/>
    <w:rsid w:val="6ED6D8F6"/>
    <w:rsid w:val="6F3F5890"/>
    <w:rsid w:val="6F9158D4"/>
    <w:rsid w:val="73A07A74"/>
    <w:rsid w:val="73DD6014"/>
    <w:rsid w:val="74862D95"/>
    <w:rsid w:val="74BA20C7"/>
    <w:rsid w:val="74DD1DA7"/>
    <w:rsid w:val="76DA75EE"/>
    <w:rsid w:val="76FEF62A"/>
    <w:rsid w:val="770B0D76"/>
    <w:rsid w:val="788D4480"/>
    <w:rsid w:val="78A32008"/>
    <w:rsid w:val="78BE7677"/>
    <w:rsid w:val="78F1280D"/>
    <w:rsid w:val="78F80A1B"/>
    <w:rsid w:val="791A5BDE"/>
    <w:rsid w:val="799B4C47"/>
    <w:rsid w:val="79F378A0"/>
    <w:rsid w:val="7A982B2F"/>
    <w:rsid w:val="7B4A6DD9"/>
    <w:rsid w:val="7BE06FAA"/>
    <w:rsid w:val="7BE405B7"/>
    <w:rsid w:val="7CEF29C7"/>
    <w:rsid w:val="7D3A560F"/>
    <w:rsid w:val="7D5E1559"/>
    <w:rsid w:val="7DBB751F"/>
    <w:rsid w:val="7E1F194A"/>
    <w:rsid w:val="7E2251EA"/>
    <w:rsid w:val="7EC71C1D"/>
    <w:rsid w:val="7EFF3E2E"/>
    <w:rsid w:val="7F6F781F"/>
    <w:rsid w:val="8EBE6346"/>
    <w:rsid w:val="AF974DFF"/>
    <w:rsid w:val="BA7EA4F0"/>
    <w:rsid w:val="BFDBF7D4"/>
    <w:rsid w:val="CE7FA736"/>
    <w:rsid w:val="CEFFD33F"/>
    <w:rsid w:val="CF934A96"/>
    <w:rsid w:val="D3BE41C3"/>
    <w:rsid w:val="D5F763A7"/>
    <w:rsid w:val="D6FBA767"/>
    <w:rsid w:val="DFDFBD19"/>
    <w:rsid w:val="E7FFE2AF"/>
    <w:rsid w:val="EECF37D5"/>
    <w:rsid w:val="EFFF8D5F"/>
    <w:rsid w:val="F3FBA9CD"/>
    <w:rsid w:val="F7EE2461"/>
    <w:rsid w:val="F9B16DDF"/>
    <w:rsid w:val="F9C7E538"/>
    <w:rsid w:val="FDB09786"/>
    <w:rsid w:val="FEFF5A6D"/>
    <w:rsid w:val="FFAAA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qFormat="1" w:unhideWhenUsed="0" w:uiPriority="99" w:semiHidden="0" w:name="Body Text First Indent"/>
    <w:lsdException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paragraph" w:styleId="5">
    <w:name w:val="heading 4"/>
    <w:basedOn w:val="1"/>
    <w:next w:val="1"/>
    <w:link w:val="32"/>
    <w:qFormat/>
    <w:uiPriority w:val="0"/>
    <w:pPr>
      <w:keepNext/>
      <w:jc w:val="center"/>
      <w:outlineLvl w:val="3"/>
    </w:pPr>
    <w:rPr>
      <w:rFonts w:eastAsia="新宋体"/>
      <w:sz w:val="30"/>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3"/>
    <w:uiPriority w:val="0"/>
    <w:pPr>
      <w:ind w:firstLine="420"/>
    </w:pPr>
    <w:rPr>
      <w:szCs w:val="20"/>
    </w:rPr>
  </w:style>
  <w:style w:type="paragraph" w:styleId="7">
    <w:name w:val="Document Map"/>
    <w:basedOn w:val="1"/>
    <w:link w:val="34"/>
    <w:semiHidden/>
    <w:qFormat/>
    <w:uiPriority w:val="0"/>
    <w:pPr>
      <w:shd w:val="clear" w:color="auto" w:fill="000080"/>
    </w:pPr>
  </w:style>
  <w:style w:type="paragraph" w:styleId="8">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9">
    <w:name w:val="annotation text"/>
    <w:basedOn w:val="1"/>
    <w:unhideWhenUsed/>
    <w:qFormat/>
    <w:uiPriority w:val="99"/>
    <w:pPr>
      <w:jc w:val="left"/>
    </w:pPr>
  </w:style>
  <w:style w:type="paragraph" w:styleId="10">
    <w:name w:val="Body Text"/>
    <w:basedOn w:val="1"/>
    <w:qFormat/>
    <w:uiPriority w:val="0"/>
    <w:rPr>
      <w:rFonts w:ascii="仿宋_GB2312" w:eastAsia="仿宋_GB2312"/>
      <w:kern w:val="0"/>
      <w:sz w:val="24"/>
      <w:szCs w:val="20"/>
    </w:rPr>
  </w:style>
  <w:style w:type="paragraph" w:styleId="11">
    <w:name w:val="Body Text Indent"/>
    <w:basedOn w:val="1"/>
    <w:next w:val="12"/>
    <w:link w:val="35"/>
    <w:uiPriority w:val="0"/>
    <w:pPr>
      <w:spacing w:after="120"/>
      <w:ind w:left="420" w:leftChars="200"/>
    </w:pPr>
  </w:style>
  <w:style w:type="paragraph" w:styleId="12">
    <w:name w:val="envelope return"/>
    <w:basedOn w:val="1"/>
    <w:unhideWhenUsed/>
    <w:qFormat/>
    <w:uiPriority w:val="99"/>
    <w:pPr>
      <w:snapToGrid w:val="0"/>
    </w:pPr>
    <w:rPr>
      <w:rFonts w:ascii="Arial" w:hAnsi="Arial"/>
    </w:rPr>
  </w:style>
  <w:style w:type="paragraph" w:styleId="13">
    <w:name w:val="Plain Text"/>
    <w:basedOn w:val="1"/>
    <w:qFormat/>
    <w:uiPriority w:val="0"/>
    <w:rPr>
      <w:rFonts w:ascii="宋体" w:hAnsi="Courier New"/>
      <w:kern w:val="0"/>
      <w:sz w:val="20"/>
      <w:szCs w:val="21"/>
    </w:rPr>
  </w:style>
  <w:style w:type="paragraph" w:styleId="14">
    <w:name w:val="Date"/>
    <w:basedOn w:val="1"/>
    <w:next w:val="1"/>
    <w:link w:val="36"/>
    <w:uiPriority w:val="0"/>
    <w:pPr>
      <w:ind w:left="100" w:leftChars="2500"/>
    </w:pPr>
  </w:style>
  <w:style w:type="paragraph" w:styleId="15">
    <w:name w:val="Body Text Indent 2"/>
    <w:basedOn w:val="1"/>
    <w:qFormat/>
    <w:uiPriority w:val="0"/>
    <w:pPr>
      <w:spacing w:line="360" w:lineRule="auto"/>
      <w:ind w:firstLine="420" w:firstLineChars="210"/>
    </w:pPr>
    <w:rPr>
      <w:rFonts w:ascii="宋体" w:hAnsi="宋体"/>
    </w:rPr>
  </w:style>
  <w:style w:type="paragraph" w:styleId="16">
    <w:name w:val="Balloon Text"/>
    <w:basedOn w:val="1"/>
    <w:link w:val="37"/>
    <w:semiHidden/>
    <w:qFormat/>
    <w:uiPriority w:val="0"/>
    <w:rPr>
      <w:sz w:val="18"/>
      <w:szCs w:val="18"/>
    </w:rPr>
  </w:style>
  <w:style w:type="paragraph" w:styleId="17">
    <w:name w:val="footer"/>
    <w:basedOn w:val="1"/>
    <w:link w:val="38"/>
    <w:qFormat/>
    <w:uiPriority w:val="99"/>
    <w:pPr>
      <w:tabs>
        <w:tab w:val="center" w:pos="4153"/>
        <w:tab w:val="right" w:pos="8306"/>
      </w:tabs>
      <w:snapToGrid w:val="0"/>
      <w:jc w:val="left"/>
    </w:pPr>
    <w:rPr>
      <w:sz w:val="18"/>
      <w:szCs w:val="18"/>
    </w:rPr>
  </w:style>
  <w:style w:type="paragraph" w:styleId="18">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19">
    <w:name w:val="Body Text Indent 3"/>
    <w:basedOn w:val="1"/>
    <w:link w:val="40"/>
    <w:qFormat/>
    <w:uiPriority w:val="0"/>
    <w:pPr>
      <w:spacing w:line="520" w:lineRule="exact"/>
      <w:ind w:firstLine="539" w:firstLineChars="184"/>
    </w:pPr>
    <w:rPr>
      <w:rFonts w:ascii="宋体"/>
      <w:b/>
      <w:spacing w:val="6"/>
      <w:sz w:val="28"/>
    </w:rPr>
  </w:style>
  <w:style w:type="paragraph" w:styleId="2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1">
    <w:name w:val="Body Text First Indent"/>
    <w:basedOn w:val="10"/>
    <w:qFormat/>
    <w:uiPriority w:val="99"/>
    <w:pPr>
      <w:ind w:firstLine="420" w:firstLineChars="100"/>
    </w:pPr>
  </w:style>
  <w:style w:type="paragraph" w:styleId="22">
    <w:name w:val="Body Text First Indent 2"/>
    <w:basedOn w:val="11"/>
    <w:next w:val="19"/>
    <w:link w:val="41"/>
    <w:unhideWhenUsed/>
    <w:uiPriority w:val="99"/>
    <w:pPr>
      <w:ind w:firstLine="420" w:firstLineChars="200"/>
    </w:pPr>
  </w:style>
  <w:style w:type="table" w:styleId="24">
    <w:name w:val="Table Grid"/>
    <w:basedOn w:val="2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uiPriority w:val="0"/>
  </w:style>
  <w:style w:type="character" w:styleId="28">
    <w:name w:val="Hyperlink"/>
    <w:uiPriority w:val="0"/>
    <w:rPr>
      <w:color w:val="0000FF"/>
      <w:sz w:val="24"/>
      <w:u w:val="none"/>
    </w:rPr>
  </w:style>
  <w:style w:type="character" w:customStyle="1" w:styleId="29">
    <w:name w:val="标题 1 字符"/>
    <w:link w:val="2"/>
    <w:uiPriority w:val="0"/>
    <w:rPr>
      <w:b/>
      <w:bCs/>
      <w:kern w:val="44"/>
      <w:sz w:val="44"/>
      <w:szCs w:val="44"/>
    </w:rPr>
  </w:style>
  <w:style w:type="character" w:customStyle="1" w:styleId="30">
    <w:name w:val="标题 2 字符"/>
    <w:link w:val="3"/>
    <w:qFormat/>
    <w:uiPriority w:val="0"/>
    <w:rPr>
      <w:rFonts w:ascii="Arial" w:hAnsi="Arial" w:eastAsia="黑体"/>
      <w:b/>
      <w:bCs/>
      <w:kern w:val="2"/>
      <w:sz w:val="32"/>
      <w:szCs w:val="32"/>
    </w:rPr>
  </w:style>
  <w:style w:type="character" w:customStyle="1" w:styleId="31">
    <w:name w:val="标题 3 字符"/>
    <w:link w:val="4"/>
    <w:qFormat/>
    <w:uiPriority w:val="0"/>
    <w:rPr>
      <w:b/>
      <w:bCs/>
      <w:kern w:val="2"/>
      <w:sz w:val="32"/>
      <w:szCs w:val="32"/>
    </w:rPr>
  </w:style>
  <w:style w:type="character" w:customStyle="1" w:styleId="32">
    <w:name w:val="标题 4 字符"/>
    <w:link w:val="5"/>
    <w:qFormat/>
    <w:uiPriority w:val="0"/>
    <w:rPr>
      <w:rFonts w:eastAsia="新宋体"/>
      <w:kern w:val="2"/>
      <w:sz w:val="30"/>
      <w:szCs w:val="21"/>
    </w:rPr>
  </w:style>
  <w:style w:type="character" w:customStyle="1" w:styleId="33">
    <w:name w:val="正文缩进 字符"/>
    <w:link w:val="6"/>
    <w:qFormat/>
    <w:uiPriority w:val="0"/>
    <w:rPr>
      <w:kern w:val="2"/>
      <w:sz w:val="21"/>
    </w:rPr>
  </w:style>
  <w:style w:type="character" w:customStyle="1" w:styleId="34">
    <w:name w:val="文档结构图 字符"/>
    <w:link w:val="7"/>
    <w:semiHidden/>
    <w:qFormat/>
    <w:uiPriority w:val="0"/>
    <w:rPr>
      <w:kern w:val="2"/>
      <w:sz w:val="21"/>
      <w:szCs w:val="24"/>
      <w:shd w:val="clear" w:color="auto" w:fill="000080"/>
    </w:rPr>
  </w:style>
  <w:style w:type="character" w:customStyle="1" w:styleId="35">
    <w:name w:val="正文文本缩进 字符"/>
    <w:link w:val="11"/>
    <w:qFormat/>
    <w:uiPriority w:val="0"/>
    <w:rPr>
      <w:kern w:val="2"/>
      <w:sz w:val="21"/>
      <w:szCs w:val="24"/>
    </w:rPr>
  </w:style>
  <w:style w:type="character" w:customStyle="1" w:styleId="36">
    <w:name w:val="日期 字符"/>
    <w:link w:val="14"/>
    <w:qFormat/>
    <w:uiPriority w:val="0"/>
    <w:rPr>
      <w:kern w:val="2"/>
      <w:sz w:val="21"/>
      <w:szCs w:val="24"/>
    </w:rPr>
  </w:style>
  <w:style w:type="character" w:customStyle="1" w:styleId="37">
    <w:name w:val="批注框文本 字符"/>
    <w:link w:val="16"/>
    <w:semiHidden/>
    <w:qFormat/>
    <w:uiPriority w:val="0"/>
    <w:rPr>
      <w:kern w:val="2"/>
      <w:sz w:val="18"/>
      <w:szCs w:val="18"/>
    </w:rPr>
  </w:style>
  <w:style w:type="character" w:customStyle="1" w:styleId="38">
    <w:name w:val="页脚 字符"/>
    <w:link w:val="17"/>
    <w:qFormat/>
    <w:uiPriority w:val="99"/>
    <w:rPr>
      <w:kern w:val="2"/>
      <w:sz w:val="18"/>
      <w:szCs w:val="18"/>
    </w:rPr>
  </w:style>
  <w:style w:type="character" w:customStyle="1" w:styleId="39">
    <w:name w:val="页眉 字符"/>
    <w:link w:val="18"/>
    <w:qFormat/>
    <w:uiPriority w:val="0"/>
    <w:rPr>
      <w:kern w:val="2"/>
      <w:sz w:val="18"/>
      <w:szCs w:val="18"/>
    </w:rPr>
  </w:style>
  <w:style w:type="character" w:customStyle="1" w:styleId="40">
    <w:name w:val="正文文本缩进 3 字符"/>
    <w:link w:val="19"/>
    <w:qFormat/>
    <w:uiPriority w:val="0"/>
    <w:rPr>
      <w:rFonts w:ascii="宋体"/>
      <w:b/>
      <w:spacing w:val="6"/>
      <w:kern w:val="2"/>
      <w:sz w:val="28"/>
      <w:szCs w:val="24"/>
    </w:rPr>
  </w:style>
  <w:style w:type="character" w:customStyle="1" w:styleId="41">
    <w:name w:val="正文首行缩进 2 字符"/>
    <w:link w:val="22"/>
    <w:semiHidden/>
    <w:uiPriority w:val="99"/>
  </w:style>
  <w:style w:type="paragraph" w:customStyle="1" w:styleId="42">
    <w:name w:val="正文文本首行缩进 21"/>
    <w:basedOn w:val="11"/>
    <w:unhideWhenUsed/>
    <w:qFormat/>
    <w:uiPriority w:val="99"/>
    <w:pPr>
      <w:ind w:firstLine="420" w:firstLineChars="200"/>
    </w:pPr>
  </w:style>
  <w:style w:type="character" w:customStyle="1" w:styleId="43">
    <w:name w:val="正文缩进2格 Char"/>
    <w:link w:val="44"/>
    <w:locked/>
    <w:uiPriority w:val="0"/>
    <w:rPr>
      <w:rFonts w:ascii="仿宋_GB2312" w:hAnsi="宋体" w:eastAsia="仿宋_GB2312"/>
      <w:kern w:val="2"/>
      <w:sz w:val="31"/>
      <w:szCs w:val="28"/>
    </w:rPr>
  </w:style>
  <w:style w:type="paragraph" w:customStyle="1" w:styleId="44">
    <w:name w:val="正文缩进2格"/>
    <w:basedOn w:val="1"/>
    <w:link w:val="43"/>
    <w:uiPriority w:val="0"/>
    <w:pPr>
      <w:spacing w:line="600" w:lineRule="exact"/>
      <w:ind w:firstLine="639" w:firstLineChars="206"/>
    </w:pPr>
    <w:rPr>
      <w:rFonts w:ascii="仿宋_GB2312" w:hAnsi="宋体" w:eastAsia="仿宋_GB2312"/>
      <w:sz w:val="31"/>
      <w:szCs w:val="28"/>
    </w:rPr>
  </w:style>
  <w:style w:type="character" w:customStyle="1" w:styleId="45">
    <w:name w:val="标题 3.1 Char"/>
    <w:link w:val="46"/>
    <w:qFormat/>
    <w:locked/>
    <w:uiPriority w:val="0"/>
    <w:rPr>
      <w:rFonts w:ascii="宋体" w:hAnsi="宋体"/>
      <w:b/>
      <w:bCs/>
      <w:color w:val="000000"/>
      <w:kern w:val="2"/>
      <w:sz w:val="32"/>
      <w:szCs w:val="32"/>
    </w:rPr>
  </w:style>
  <w:style w:type="paragraph" w:customStyle="1" w:styleId="46">
    <w:name w:val="标题 3.1"/>
    <w:basedOn w:val="4"/>
    <w:link w:val="45"/>
    <w:uiPriority w:val="0"/>
    <w:pPr>
      <w:tabs>
        <w:tab w:val="left" w:pos="1440"/>
        <w:tab w:val="left" w:pos="1620"/>
      </w:tabs>
      <w:spacing w:line="600" w:lineRule="exact"/>
    </w:pPr>
    <w:rPr>
      <w:rFonts w:ascii="宋体" w:hAnsi="宋体"/>
      <w:color w:val="000000"/>
    </w:rPr>
  </w:style>
  <w:style w:type="paragraph" w:customStyle="1" w:styleId="47">
    <w:name w:val="Char"/>
    <w:basedOn w:val="1"/>
    <w:uiPriority w:val="0"/>
    <w:rPr>
      <w:rFonts w:ascii="Tahoma" w:hAnsi="Tahoma"/>
      <w:sz w:val="24"/>
      <w:szCs w:val="20"/>
    </w:rPr>
  </w:style>
  <w:style w:type="paragraph" w:customStyle="1" w:styleId="48">
    <w:name w:val="正文缩进4格"/>
    <w:basedOn w:val="44"/>
    <w:uiPriority w:val="0"/>
    <w:pPr>
      <w:ind w:left="2" w:firstLine="538" w:firstLineChars="192"/>
    </w:pPr>
    <w:rPr>
      <w:color w:val="000000"/>
      <w:sz w:val="28"/>
    </w:rPr>
  </w:style>
  <w:style w:type="paragraph" w:customStyle="1" w:styleId="49">
    <w:name w:val="Char Char Char Char"/>
    <w:basedOn w:val="1"/>
    <w:uiPriority w:val="0"/>
    <w:rPr>
      <w:rFonts w:ascii="Tahoma" w:hAnsi="Tahoma"/>
      <w:sz w:val="24"/>
      <w:szCs w:val="20"/>
    </w:rPr>
  </w:style>
  <w:style w:type="paragraph" w:customStyle="1" w:styleId="50">
    <w:name w:val="Char1"/>
    <w:basedOn w:val="1"/>
    <w:qFormat/>
    <w:uiPriority w:val="0"/>
    <w:pPr>
      <w:tabs>
        <w:tab w:val="left" w:pos="840"/>
      </w:tabs>
      <w:ind w:left="840" w:hanging="420"/>
    </w:pPr>
    <w:rPr>
      <w:sz w:val="24"/>
    </w:rPr>
  </w:style>
  <w:style w:type="paragraph" w:customStyle="1" w:styleId="51">
    <w:name w:val="Char Char1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52">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Char Char 字元 字元 字元 Char Char Char Char"/>
    <w:basedOn w:val="1"/>
    <w:qFormat/>
    <w:uiPriority w:val="0"/>
    <w:pPr>
      <w:adjustRightInd w:val="0"/>
      <w:spacing w:line="360" w:lineRule="auto"/>
    </w:pPr>
    <w:rPr>
      <w:kern w:val="0"/>
      <w:sz w:val="24"/>
      <w:szCs w:val="20"/>
    </w:rPr>
  </w:style>
  <w:style w:type="paragraph" w:customStyle="1" w:styleId="54">
    <w:name w:val="para"/>
    <w:basedOn w:val="1"/>
    <w:uiPriority w:val="0"/>
    <w:pPr>
      <w:widowControl/>
      <w:spacing w:before="100" w:beforeAutospacing="1" w:after="100" w:afterAutospacing="1"/>
      <w:jc w:val="left"/>
    </w:pPr>
    <w:rPr>
      <w:rFonts w:ascii="Arial" w:hAnsi="Arial" w:cs="Arial"/>
      <w:kern w:val="0"/>
      <w:sz w:val="18"/>
      <w:szCs w:val="18"/>
    </w:rPr>
  </w:style>
  <w:style w:type="paragraph" w:customStyle="1" w:styleId="55">
    <w:name w:val="Char2"/>
    <w:basedOn w:val="1"/>
    <w:uiPriority w:val="0"/>
    <w:rPr>
      <w:rFonts w:ascii="Tahoma" w:hAnsi="Tahoma"/>
      <w:sz w:val="24"/>
      <w:szCs w:val="20"/>
    </w:rPr>
  </w:style>
  <w:style w:type="paragraph" w:customStyle="1" w:styleId="56">
    <w:name w:val="msonormalcxsplast"/>
    <w:basedOn w:val="1"/>
    <w:uiPriority w:val="0"/>
    <w:pPr>
      <w:widowControl/>
      <w:spacing w:before="100" w:beforeAutospacing="1" w:after="100" w:afterAutospacing="1"/>
      <w:jc w:val="left"/>
    </w:pPr>
    <w:rPr>
      <w:rFonts w:ascii="宋体" w:hAnsi="宋体" w:cs="宋体"/>
      <w:kern w:val="0"/>
      <w:sz w:val="24"/>
    </w:rPr>
  </w:style>
  <w:style w:type="character" w:customStyle="1" w:styleId="57">
    <w:name w:val="普通正文 Char"/>
    <w:link w:val="58"/>
    <w:qFormat/>
    <w:uiPriority w:val="0"/>
    <w:rPr>
      <w:rFonts w:ascii="Arial" w:hAnsi="Arial"/>
      <w:sz w:val="24"/>
      <w:szCs w:val="24"/>
    </w:rPr>
  </w:style>
  <w:style w:type="paragraph" w:customStyle="1" w:styleId="58">
    <w:name w:val="普通正文"/>
    <w:basedOn w:val="1"/>
    <w:link w:val="57"/>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5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BodyText1I"/>
    <w:basedOn w:val="61"/>
    <w:qFormat/>
    <w:uiPriority w:val="0"/>
    <w:pPr>
      <w:ind w:firstLine="420" w:firstLineChars="100"/>
    </w:pPr>
  </w:style>
  <w:style w:type="paragraph" w:customStyle="1" w:styleId="61">
    <w:name w:val="BodyText"/>
    <w:basedOn w:val="1"/>
    <w:next w:val="1"/>
    <w:qFormat/>
    <w:uiPriority w:val="0"/>
    <w:pPr>
      <w:spacing w:after="120"/>
      <w:textAlignment w:val="baseline"/>
    </w:pPr>
  </w:style>
  <w:style w:type="paragraph" w:customStyle="1" w:styleId="62">
    <w:name w:val="正文1"/>
    <w:qFormat/>
    <w:uiPriority w:val="0"/>
    <w:pPr>
      <w:jc w:val="both"/>
    </w:pPr>
    <w:rPr>
      <w:rFonts w:ascii="Times New Roman" w:hAnsi="Times New Roman" w:eastAsia="宋体" w:cs="Times New Roman"/>
      <w:kern w:val="2"/>
      <w:sz w:val="21"/>
      <w:szCs w:val="21"/>
      <w:lang w:val="en-US" w:eastAsia="zh-CN" w:bidi="ar-SA"/>
    </w:rPr>
  </w:style>
  <w:style w:type="paragraph" w:styleId="63">
    <w:name w:val="List Paragraph"/>
    <w:basedOn w:val="1"/>
    <w:qFormat/>
    <w:uiPriority w:val="34"/>
    <w:pPr>
      <w:ind w:firstLine="420" w:firstLineChars="200"/>
    </w:pPr>
  </w:style>
  <w:style w:type="table" w:customStyle="1" w:styleId="64">
    <w:name w:val="网格型3"/>
    <w:basedOn w:val="23"/>
    <w:unhideWhenUsed/>
    <w:qFormat/>
    <w:uiPriority w:val="99"/>
    <w:rPr>
      <w:rFonts w:hint="eastAsia" w:ascii="等线" w:hAnsi="等线" w:eastAsia="等线" w:cs="等线"/>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5">
    <w:name w:val="普通(网站) Char"/>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66">
    <w:name w:val="Default"/>
    <w:unhideWhenUsed/>
    <w:qFormat/>
    <w:uiPriority w:val="0"/>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3290</Words>
  <Characters>18757</Characters>
  <Lines>156</Lines>
  <Paragraphs>44</Paragraphs>
  <TotalTime>1052</TotalTime>
  <ScaleCrop>false</ScaleCrop>
  <LinksUpToDate>false</LinksUpToDate>
  <CharactersWithSpaces>22003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2023-11-16T08:14:00Z</dcterms:created>
  <dc:creator>User</dc:creator>
  <cp:lastModifiedBy>MQ</cp:lastModifiedBy>
  <cp:lastPrinted>2023-08-23T10:25:00Z</cp:lastPrinted>
  <dcterms:modified xsi:type="dcterms:W3CDTF">2023-11-20T01:16:10Z</dcterms:modified>
  <dc:title>南通市环境监测中心站火焰原子吸收光谱仪项目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77AFA9575369487A95CB153F1E402974_13</vt:lpwstr>
  </property>
</Properties>
</file>