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16"/>
        <w:jc w:val="center"/>
        <w:rPr>
          <w:rFonts w:hint="eastAsia" w:ascii="宋体" w:hAnsi="宋体" w:eastAsia="宋体" w:cs="宋体"/>
          <w:b/>
          <w:bCs/>
          <w:w w:val="80"/>
          <w:sz w:val="96"/>
          <w:szCs w:val="96"/>
          <w:lang w:eastAsia="zh-CN"/>
        </w:rPr>
      </w:pPr>
      <w:r>
        <w:rPr>
          <w:rFonts w:hint="eastAsia" w:ascii="宋体" w:hAnsi="宋体" w:cs="宋体"/>
          <w:b/>
          <w:bCs/>
          <w:sz w:val="48"/>
          <w:szCs w:val="48"/>
          <w:lang w:eastAsia="zh-CN"/>
        </w:rPr>
        <w:t>南通市妇幼保健院劳务派遣机构采购项目</w:t>
      </w:r>
    </w:p>
    <w:p/>
    <w:p>
      <w:pPr>
        <w:pStyle w:val="50"/>
      </w:pPr>
    </w:p>
    <w:p/>
    <w:p/>
    <w:p>
      <w:pPr>
        <w:pStyle w:val="50"/>
      </w:pPr>
    </w:p>
    <w:p>
      <w:pPr>
        <w:pStyle w:val="39"/>
      </w:pPr>
    </w:p>
    <w:p>
      <w:pPr>
        <w:pStyle w:val="39"/>
      </w:pPr>
    </w:p>
    <w:p>
      <w:pPr>
        <w:pStyle w:val="39"/>
      </w:pPr>
    </w:p>
    <w:p>
      <w:pPr>
        <w:pStyle w:val="39"/>
      </w:pPr>
    </w:p>
    <w:p/>
    <w:p>
      <w:pPr>
        <w:pStyle w:val="50"/>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50"/>
      </w:pPr>
    </w:p>
    <w:p>
      <w:pPr>
        <w:pStyle w:val="16"/>
      </w:pPr>
    </w:p>
    <w:p/>
    <w:p>
      <w:pPr>
        <w:snapToGrid w:val="0"/>
        <w:spacing w:line="360" w:lineRule="auto"/>
        <w:jc w:val="center"/>
        <w:rPr>
          <w:sz w:val="32"/>
          <w:szCs w:val="32"/>
        </w:rPr>
      </w:pPr>
    </w:p>
    <w:p>
      <w:pPr>
        <w:spacing w:line="360" w:lineRule="auto"/>
        <w:jc w:val="center"/>
        <w:rPr>
          <w:rFonts w:ascii="宋体"/>
          <w:b/>
          <w:bCs/>
          <w:sz w:val="44"/>
          <w:szCs w:val="44"/>
        </w:rPr>
      </w:pPr>
    </w:p>
    <w:p>
      <w:pPr>
        <w:pStyle w:val="5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pPr>
    </w:p>
    <w:p>
      <w:pPr>
        <w:adjustRightInd w:val="0"/>
        <w:snapToGrid w:val="0"/>
        <w:spacing w:line="360" w:lineRule="auto"/>
        <w:ind w:firstLine="1205" w:firstLineChars="400"/>
        <w:jc w:val="left"/>
        <w:rPr>
          <w:rFonts w:ascii="宋体" w:hAnsi="宋体" w:cs="宋体"/>
          <w:b/>
          <w:bCs/>
          <w:sz w:val="30"/>
          <w:szCs w:val="30"/>
        </w:rPr>
      </w:pPr>
      <w:bookmarkStart w:id="0" w:name="_Toc11500279"/>
      <w:bookmarkStart w:id="1" w:name="_Toc94585339"/>
      <w:bookmarkStart w:id="2" w:name="_Toc11554638"/>
      <w:bookmarkStart w:id="3" w:name="_Toc521203417"/>
      <w:bookmarkStart w:id="4" w:name="_Toc12670502"/>
      <w:bookmarkStart w:id="5" w:name="_Toc11499583"/>
      <w:bookmarkStart w:id="6" w:name="_Toc94544827"/>
      <w:bookmarkStart w:id="7" w:name="_Toc8895738"/>
      <w:bookmarkStart w:id="8" w:name="_Toc94544743"/>
      <w:bookmarkStart w:id="9" w:name="_Toc521201596"/>
      <w:r>
        <w:rPr>
          <w:rFonts w:hint="eastAsia" w:ascii="宋体" w:hAnsi="宋体" w:cs="宋体"/>
          <w:b/>
          <w:bCs/>
          <w:sz w:val="30"/>
          <w:szCs w:val="30"/>
        </w:rPr>
        <w:t>采购单位：南通市妇幼保健院</w:t>
      </w:r>
    </w:p>
    <w:p>
      <w:pPr>
        <w:adjustRightInd w:val="0"/>
        <w:snapToGrid w:val="0"/>
        <w:spacing w:line="360" w:lineRule="auto"/>
        <w:ind w:firstLine="1205" w:firstLineChars="400"/>
        <w:jc w:val="left"/>
        <w:rPr>
          <w:rFonts w:ascii="宋体" w:hAnsi="宋体" w:cs="宋体"/>
          <w:b/>
          <w:bCs/>
          <w:sz w:val="30"/>
          <w:szCs w:val="30"/>
        </w:rPr>
      </w:pPr>
      <w:r>
        <w:rPr>
          <w:rFonts w:hint="eastAsia" w:ascii="宋体" w:hAnsi="宋体" w:cs="宋体"/>
          <w:b/>
          <w:bCs/>
          <w:sz w:val="30"/>
          <w:szCs w:val="30"/>
        </w:rPr>
        <w:t>代理机构：中证房地产评估造价集团有限公司</w:t>
      </w:r>
    </w:p>
    <w:p>
      <w:pPr>
        <w:adjustRightInd w:val="0"/>
        <w:snapToGrid w:val="0"/>
        <w:spacing w:line="360" w:lineRule="auto"/>
        <w:ind w:firstLine="2108" w:firstLineChars="700"/>
        <w:rPr>
          <w:rFonts w:ascii="宋体" w:hAnsi="宋体" w:cs="宋体"/>
          <w:b/>
          <w:bCs/>
          <w:w w:val="80"/>
          <w:sz w:val="52"/>
          <w:szCs w:val="52"/>
        </w:rPr>
      </w:pPr>
      <w:r>
        <w:rPr>
          <w:rFonts w:hint="eastAsia" w:ascii="宋体" w:hAnsi="宋体" w:cs="宋体"/>
          <w:b/>
          <w:bCs/>
          <w:sz w:val="30"/>
          <w:szCs w:val="30"/>
        </w:rPr>
        <w:t>二〇二</w:t>
      </w:r>
      <w:r>
        <w:rPr>
          <w:rFonts w:hint="eastAsia" w:ascii="宋体" w:hAnsi="宋体" w:cs="宋体"/>
          <w:b/>
          <w:bCs/>
          <w:sz w:val="30"/>
          <w:szCs w:val="30"/>
          <w:lang w:val="en-US" w:eastAsia="zh-CN"/>
        </w:rPr>
        <w:t>三</w:t>
      </w:r>
      <w:r>
        <w:rPr>
          <w:rFonts w:hint="eastAsia" w:ascii="宋体" w:hAnsi="宋体" w:cs="宋体"/>
          <w:b/>
          <w:bCs/>
          <w:sz w:val="30"/>
          <w:szCs w:val="30"/>
        </w:rPr>
        <w:t>年</w:t>
      </w:r>
      <w:r>
        <w:rPr>
          <w:rFonts w:hint="eastAsia" w:ascii="宋体" w:hAnsi="宋体" w:cs="宋体"/>
          <w:b/>
          <w:bCs/>
          <w:sz w:val="30"/>
          <w:szCs w:val="30"/>
          <w:lang w:val="en-US" w:eastAsia="zh-CN"/>
        </w:rPr>
        <w:t>二</w:t>
      </w:r>
      <w:r>
        <w:rPr>
          <w:rFonts w:hint="eastAsia" w:ascii="宋体" w:hAnsi="宋体" w:cs="宋体"/>
          <w:b/>
          <w:bCs/>
          <w:sz w:val="30"/>
          <w:szCs w:val="30"/>
          <w:lang w:eastAsia="zh-CN"/>
        </w:rPr>
        <w:t>月</w:t>
      </w:r>
      <w:r>
        <w:rPr>
          <w:rFonts w:hint="eastAsia" w:ascii="宋体" w:hAnsi="宋体" w:cs="宋体"/>
          <w:b/>
          <w:bCs/>
          <w:sz w:val="30"/>
          <w:szCs w:val="30"/>
          <w:lang w:val="en-US" w:eastAsia="zh-CN"/>
        </w:rPr>
        <w:t>十四</w:t>
      </w:r>
      <w:r>
        <w:rPr>
          <w:rFonts w:hint="eastAsia" w:ascii="宋体" w:hAnsi="宋体" w:cs="宋体"/>
          <w:b/>
          <w:bCs/>
          <w:sz w:val="30"/>
          <w:szCs w:val="30"/>
        </w:rPr>
        <w:t xml:space="preserve">日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3"/>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南通市妇幼保健院劳务派遣机构采购项目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sz w:val="24"/>
          <w:szCs w:val="24"/>
          <w:u w:val="single" w:color="000000"/>
        </w:rPr>
        <w:t xml:space="preserve"> 202</w:t>
      </w:r>
      <w:r>
        <w:rPr>
          <w:rFonts w:hint="eastAsia" w:ascii="宋体" w:hAnsi="宋体" w:cs="宋体"/>
          <w:b/>
          <w:bCs/>
          <w:sz w:val="24"/>
          <w:szCs w:val="24"/>
          <w:u w:val="single" w:color="000000"/>
          <w:lang w:val="en-US" w:eastAsia="zh-CN"/>
        </w:rPr>
        <w:t>3</w:t>
      </w:r>
      <w:r>
        <w:rPr>
          <w:rFonts w:hint="eastAsia" w:ascii="宋体" w:hAnsi="宋体" w:cs="宋体"/>
          <w:b/>
          <w:bCs/>
          <w:sz w:val="24"/>
          <w:szCs w:val="24"/>
          <w:u w:val="single" w:color="000000"/>
        </w:rPr>
        <w:t>年</w:t>
      </w:r>
      <w:r>
        <w:rPr>
          <w:rFonts w:hint="eastAsia" w:ascii="宋体" w:hAnsi="宋体" w:cs="宋体"/>
          <w:b/>
          <w:bCs/>
          <w:sz w:val="24"/>
          <w:szCs w:val="24"/>
          <w:u w:val="single" w:color="000000"/>
          <w:lang w:val="en-US" w:eastAsia="zh-CN"/>
        </w:rPr>
        <w:t>2</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24</w:t>
      </w:r>
      <w:r>
        <w:rPr>
          <w:rFonts w:hint="eastAsia" w:ascii="宋体" w:hAnsi="宋体" w:cs="宋体"/>
          <w:b/>
          <w:bCs/>
          <w:sz w:val="24"/>
          <w:szCs w:val="24"/>
          <w:u w:val="single" w:color="000000"/>
        </w:rPr>
        <w:t>日</w:t>
      </w:r>
      <w:r>
        <w:rPr>
          <w:rFonts w:hint="eastAsia" w:ascii="宋体" w:hAnsi="宋体" w:cs="宋体"/>
          <w:b/>
          <w:bCs/>
          <w:sz w:val="24"/>
          <w:szCs w:val="24"/>
          <w:u w:val="single" w:color="000000"/>
          <w:lang w:val="en-US" w:eastAsia="zh-CN"/>
        </w:rPr>
        <w:t>14</w:t>
      </w:r>
      <w:r>
        <w:rPr>
          <w:rFonts w:hint="eastAsia" w:ascii="宋体" w:hAnsi="宋体" w:cs="宋体"/>
          <w:b/>
          <w:bCs/>
          <w:sz w:val="24"/>
          <w:szCs w:val="24"/>
          <w:u w:val="single" w:color="000000"/>
        </w:rPr>
        <w:t>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2"/>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南通市妇幼保健院劳务派遣机构采购项目</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预算金额：</w:t>
      </w:r>
      <w:r>
        <w:rPr>
          <w:rFonts w:hint="eastAsia" w:ascii="宋体" w:hAnsi="宋体" w:cs="宋体"/>
          <w:color w:val="auto"/>
          <w:sz w:val="24"/>
          <w:szCs w:val="24"/>
        </w:rPr>
        <w:t>单价最高限价为</w:t>
      </w:r>
      <w:r>
        <w:rPr>
          <w:rFonts w:hint="eastAsia" w:ascii="宋体" w:hAnsi="宋体" w:cs="宋体"/>
          <w:color w:val="auto"/>
          <w:sz w:val="24"/>
          <w:szCs w:val="24"/>
          <w:lang w:val="en-US" w:eastAsia="zh-CN"/>
        </w:rPr>
        <w:t>40</w:t>
      </w:r>
      <w:r>
        <w:rPr>
          <w:rFonts w:hint="eastAsia" w:ascii="宋体" w:hAnsi="宋体" w:cs="宋体"/>
          <w:color w:val="auto"/>
          <w:sz w:val="24"/>
          <w:szCs w:val="24"/>
        </w:rPr>
        <w:t>元/人/月</w:t>
      </w:r>
      <w:r>
        <w:rPr>
          <w:rFonts w:hint="eastAsia" w:ascii="宋体" w:hAnsi="宋体" w:cs="宋体"/>
          <w:color w:val="auto"/>
          <w:sz w:val="24"/>
          <w:szCs w:val="24"/>
          <w:lang w:eastAsia="zh-CN"/>
        </w:rPr>
        <w:t>，</w:t>
      </w:r>
      <w:r>
        <w:rPr>
          <w:rFonts w:hint="eastAsia" w:ascii="宋体" w:hAnsi="宋体" w:cs="宋体"/>
          <w:color w:val="auto"/>
          <w:sz w:val="24"/>
          <w:szCs w:val="24"/>
        </w:rPr>
        <w:t>投标时人数暂按</w:t>
      </w:r>
      <w:r>
        <w:rPr>
          <w:rFonts w:hint="eastAsia" w:ascii="宋体" w:hAnsi="宋体" w:cs="宋体"/>
          <w:color w:val="auto"/>
          <w:sz w:val="24"/>
          <w:szCs w:val="24"/>
          <w:lang w:val="en-US" w:eastAsia="zh-CN"/>
        </w:rPr>
        <w:t>90</w:t>
      </w:r>
      <w:r>
        <w:rPr>
          <w:rFonts w:hint="eastAsia" w:ascii="宋体" w:hAnsi="宋体" w:cs="宋体"/>
          <w:color w:val="auto"/>
          <w:sz w:val="24"/>
          <w:szCs w:val="24"/>
        </w:rPr>
        <w:t>人计</w:t>
      </w:r>
      <w:r>
        <w:rPr>
          <w:rFonts w:hint="eastAsia" w:ascii="宋体" w:hAnsi="宋体" w:cs="宋体"/>
          <w:sz w:val="24"/>
          <w:szCs w:val="24"/>
        </w:rPr>
        <w:t>，具体人数照实结算。最终报价超过采购预算的为无效响应文件。</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采购需求：详见第三章项目需求</w:t>
      </w:r>
    </w:p>
    <w:p>
      <w:pPr>
        <w:snapToGrid w:val="0"/>
        <w:spacing w:line="360" w:lineRule="auto"/>
        <w:ind w:firstLine="508" w:firstLineChars="200"/>
        <w:textAlignment w:val="baseline"/>
        <w:rPr>
          <w:rFonts w:ascii="宋体" w:hAnsi="宋体" w:cs="宋体"/>
          <w:sz w:val="24"/>
          <w:szCs w:val="24"/>
        </w:rPr>
      </w:pPr>
      <w:r>
        <w:rPr>
          <w:rFonts w:hint="eastAsia" w:ascii="宋体" w:hAnsi="宋体" w:cs="宋体"/>
          <w:spacing w:val="7"/>
          <w:sz w:val="24"/>
          <w:szCs w:val="24"/>
          <w:shd w:val="clear" w:color="auto" w:fill="FFFFFF"/>
        </w:rPr>
        <w:t>本项目不接受联合体。</w:t>
      </w:r>
    </w:p>
    <w:p>
      <w:pPr>
        <w:pStyle w:val="2"/>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pPr>
      <w:r>
        <w:rPr>
          <w:rFonts w:hint="eastAsia" w:ascii="宋体" w:hAnsi="宋体" w:cs="宋体"/>
          <w:sz w:val="24"/>
          <w:szCs w:val="24"/>
        </w:rPr>
        <w:t>其他资格要求：</w:t>
      </w:r>
    </w:p>
    <w:p>
      <w:pPr>
        <w:snapToGrid w:val="0"/>
        <w:spacing w:line="360" w:lineRule="auto"/>
        <w:ind w:firstLine="480" w:firstLineChars="200"/>
        <w:textAlignment w:val="baseline"/>
        <w:rPr>
          <w:rFonts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w:t>
      </w:r>
      <w:r>
        <w:rPr>
          <w:rFonts w:hint="eastAsia" w:ascii="宋体" w:hAnsi="宋体" w:cs="宋体"/>
          <w:sz w:val="24"/>
          <w:szCs w:val="24"/>
          <w:lang w:val="en-US" w:eastAsia="zh-CN"/>
        </w:rPr>
        <w:t>及人力资源和社会保障部门批准的在核验有效期内的《劳务派遣经营许可证》复印件</w:t>
      </w:r>
      <w:r>
        <w:rPr>
          <w:rFonts w:hint="eastAsia" w:ascii="宋体" w:hAnsi="宋体" w:cs="宋体"/>
          <w:sz w:val="24"/>
          <w:szCs w:val="24"/>
        </w:rPr>
        <w:t>。</w:t>
      </w:r>
    </w:p>
    <w:p>
      <w:pPr>
        <w:snapToGrid w:val="0"/>
        <w:spacing w:line="360" w:lineRule="auto"/>
        <w:ind w:left="8" w:firstLine="470" w:firstLineChars="196"/>
        <w:jc w:val="left"/>
        <w:textAlignment w:val="baseline"/>
        <w:rPr>
          <w:rFonts w:ascii="宋体" w:hAnsi="宋体" w:cs="宋体"/>
          <w:sz w:val="24"/>
          <w:szCs w:val="24"/>
        </w:rPr>
      </w:pPr>
      <w:r>
        <w:rPr>
          <w:rFonts w:hint="eastAsia" w:ascii="宋体" w:hAnsi="宋体" w:cs="宋体"/>
          <w:sz w:val="24"/>
          <w:szCs w:val="24"/>
        </w:rPr>
        <w:t>2、提供供应商的法定代表人或负责人身份证明及身份证原件的复印件或扫描件（须加盖供应商公章，格式参见竞争性磋商文件第八章）。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5、关于资格文件的声明函（格式参见竞争性磋商文件第八章）。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【特别提醒】请各供应商认真对照资格要求，如不符合要求</w:t>
      </w:r>
      <w:r>
        <w:rPr>
          <w:rFonts w:hint="eastAsia" w:ascii="宋体" w:hAnsi="宋体" w:cs="宋体"/>
          <w:sz w:val="24"/>
          <w:szCs w:val="24"/>
          <w:lang w:eastAsia="zh-CN"/>
        </w:rPr>
        <w:t>，</w:t>
      </w:r>
      <w:r>
        <w:rPr>
          <w:rFonts w:hint="eastAsia" w:ascii="宋体" w:hAnsi="宋体" w:cs="宋体"/>
          <w:sz w:val="24"/>
          <w:szCs w:val="24"/>
        </w:rPr>
        <w:t>无意或故意参与磋商的，所产生的一切后果由供应商承担。若供应商提供的相关材料为虚假或伪造，将作无效响应处理，并报财政部门将其列入政府采购黑名单。</w:t>
      </w:r>
    </w:p>
    <w:p>
      <w:pPr>
        <w:pStyle w:val="50"/>
        <w:snapToGrid w:val="0"/>
        <w:spacing w:after="0" w:line="360" w:lineRule="auto"/>
        <w:ind w:firstLine="482"/>
        <w:textAlignment w:val="baseline"/>
        <w:rPr>
          <w:rFonts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50"/>
        <w:snapToGrid w:val="0"/>
        <w:spacing w:after="0" w:line="360" w:lineRule="auto"/>
        <w:ind w:firstLine="482"/>
        <w:textAlignment w:val="baseline"/>
        <w:rPr>
          <w:rFonts w:ascii="宋体" w:hAnsi="宋体" w:cs="宋体"/>
          <w:b/>
          <w:bCs/>
          <w:sz w:val="24"/>
          <w:szCs w:val="24"/>
        </w:rPr>
      </w:pPr>
      <w:r>
        <w:rPr>
          <w:rFonts w:hint="eastAsia" w:ascii="宋体" w:hAnsi="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2"/>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ascii="宋体" w:hAnsi="宋体" w:cs="宋体"/>
          <w:b/>
          <w:bCs/>
          <w:sz w:val="24"/>
          <w:szCs w:val="24"/>
        </w:rPr>
      </w:pPr>
      <w:r>
        <w:rPr>
          <w:rFonts w:hint="eastAsia" w:ascii="宋体" w:hAnsi="宋体" w:cs="宋体"/>
          <w:b/>
          <w:bCs/>
          <w:sz w:val="24"/>
          <w:szCs w:val="24"/>
        </w:rPr>
        <w:t>时  间：</w:t>
      </w:r>
      <w:r>
        <w:rPr>
          <w:rFonts w:hint="eastAsia" w:ascii="宋体" w:hAnsi="宋体" w:cs="宋体"/>
          <w:b/>
          <w:bCs/>
          <w:sz w:val="24"/>
          <w:szCs w:val="24"/>
          <w:u w:val="single"/>
        </w:rPr>
        <w:t>自公告发布之日起</w:t>
      </w:r>
      <w:r>
        <w:rPr>
          <w:rFonts w:hint="eastAsia" w:ascii="宋体" w:hAnsi="宋体" w:cs="宋体"/>
          <w:b/>
          <w:bCs/>
          <w:sz w:val="24"/>
          <w:szCs w:val="24"/>
        </w:rPr>
        <w:t>至</w:t>
      </w:r>
      <w:r>
        <w:rPr>
          <w:rFonts w:hint="eastAsia" w:ascii="宋体" w:hAnsi="宋体" w:cs="宋体"/>
          <w:b/>
          <w:bCs/>
          <w:sz w:val="24"/>
          <w:szCs w:val="24"/>
          <w:u w:val="single" w:color="000000"/>
        </w:rPr>
        <w:t xml:space="preserve"> 202</w:t>
      </w:r>
      <w:r>
        <w:rPr>
          <w:rFonts w:hint="eastAsia" w:ascii="宋体" w:hAnsi="宋体" w:cs="宋体"/>
          <w:b/>
          <w:bCs/>
          <w:sz w:val="24"/>
          <w:szCs w:val="24"/>
          <w:u w:val="single" w:color="000000"/>
          <w:lang w:val="en-US" w:eastAsia="zh-CN"/>
        </w:rPr>
        <w:t>3</w:t>
      </w:r>
      <w:r>
        <w:rPr>
          <w:rFonts w:hint="eastAsia" w:ascii="宋体" w:hAnsi="宋体" w:cs="宋体"/>
          <w:b/>
          <w:bCs/>
          <w:sz w:val="24"/>
          <w:szCs w:val="24"/>
          <w:u w:val="single" w:color="000000"/>
        </w:rPr>
        <w:t>年</w:t>
      </w:r>
      <w:r>
        <w:rPr>
          <w:rFonts w:hint="eastAsia" w:ascii="宋体" w:hAnsi="宋体" w:cs="宋体"/>
          <w:b/>
          <w:bCs/>
          <w:sz w:val="24"/>
          <w:szCs w:val="24"/>
          <w:u w:val="single" w:color="000000"/>
          <w:lang w:val="en-US" w:eastAsia="zh-CN"/>
        </w:rPr>
        <w:t>2</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24</w:t>
      </w:r>
      <w:r>
        <w:rPr>
          <w:rFonts w:hint="eastAsia" w:ascii="宋体" w:hAnsi="宋体" w:cs="宋体"/>
          <w:b/>
          <w:bCs/>
          <w:sz w:val="24"/>
          <w:szCs w:val="24"/>
          <w:u w:val="single" w:color="000000"/>
        </w:rPr>
        <w:t>日</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ascii="宋体" w:hAnsi="宋体" w:cs="宋体"/>
          <w:sz w:val="24"/>
          <w:szCs w:val="24"/>
        </w:rPr>
      </w:pPr>
      <w:r>
        <w:rPr>
          <w:rFonts w:hint="eastAsia" w:ascii="宋体" w:hAnsi="宋体" w:cs="宋体"/>
          <w:sz w:val="24"/>
          <w:szCs w:val="24"/>
        </w:rPr>
        <w:t>售  价：每套300元，在递交磋商响应文件的同时提交给招标代理机构。</w:t>
      </w:r>
    </w:p>
    <w:p>
      <w:pPr>
        <w:pStyle w:val="2"/>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 xml:space="preserve">截止时间： </w:t>
      </w:r>
      <w:r>
        <w:rPr>
          <w:rFonts w:hint="eastAsia" w:ascii="宋体" w:hAnsi="宋体" w:cs="宋体"/>
          <w:b/>
          <w:bCs/>
          <w:sz w:val="24"/>
          <w:szCs w:val="24"/>
          <w:u w:val="single" w:color="000000"/>
        </w:rPr>
        <w:t xml:space="preserve"> 202</w:t>
      </w:r>
      <w:r>
        <w:rPr>
          <w:rFonts w:hint="eastAsia" w:ascii="宋体" w:hAnsi="宋体" w:cs="宋体"/>
          <w:b/>
          <w:bCs/>
          <w:sz w:val="24"/>
          <w:szCs w:val="24"/>
          <w:u w:val="single" w:color="000000"/>
          <w:lang w:val="en-US" w:eastAsia="zh-CN"/>
        </w:rPr>
        <w:t>3</w:t>
      </w:r>
      <w:r>
        <w:rPr>
          <w:rFonts w:hint="eastAsia" w:ascii="宋体" w:hAnsi="宋体" w:cs="宋体"/>
          <w:b/>
          <w:bCs/>
          <w:sz w:val="24"/>
          <w:szCs w:val="24"/>
          <w:u w:val="single" w:color="000000"/>
        </w:rPr>
        <w:t>年</w:t>
      </w:r>
      <w:r>
        <w:rPr>
          <w:rFonts w:hint="eastAsia" w:ascii="宋体" w:hAnsi="宋体" w:cs="宋体"/>
          <w:b/>
          <w:bCs/>
          <w:sz w:val="24"/>
          <w:szCs w:val="24"/>
          <w:u w:val="single" w:color="000000"/>
          <w:lang w:val="en-US" w:eastAsia="zh-CN"/>
        </w:rPr>
        <w:t>2</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24</w:t>
      </w:r>
      <w:r>
        <w:rPr>
          <w:rFonts w:hint="eastAsia" w:ascii="宋体" w:hAnsi="宋体" w:cs="宋体"/>
          <w:b/>
          <w:bCs/>
          <w:sz w:val="24"/>
          <w:szCs w:val="24"/>
          <w:u w:val="single" w:color="000000"/>
        </w:rPr>
        <w:t>日</w:t>
      </w:r>
      <w:r>
        <w:rPr>
          <w:rFonts w:hint="eastAsia" w:ascii="宋体" w:hAnsi="宋体" w:cs="宋体"/>
          <w:b/>
          <w:bCs/>
          <w:sz w:val="24"/>
          <w:szCs w:val="24"/>
          <w:u w:val="single" w:color="000000"/>
          <w:lang w:val="en-US" w:eastAsia="zh-CN"/>
        </w:rPr>
        <w:t>14</w:t>
      </w:r>
      <w:r>
        <w:rPr>
          <w:rFonts w:hint="eastAsia" w:ascii="宋体" w:hAnsi="宋体" w:cs="宋体"/>
          <w:b/>
          <w:bCs/>
          <w:sz w:val="24"/>
          <w:szCs w:val="24"/>
          <w:u w:val="single" w:color="000000"/>
        </w:rPr>
        <w:t>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sz w:val="24"/>
          <w:szCs w:val="24"/>
          <w:u w:val="single"/>
        </w:rPr>
      </w:pPr>
      <w:r>
        <w:rPr>
          <w:rFonts w:hint="eastAsia" w:ascii="宋体" w:hAnsi="宋体" w:cs="宋体"/>
          <w:b/>
          <w:bCs/>
          <w:sz w:val="24"/>
          <w:szCs w:val="24"/>
        </w:rPr>
        <w:t xml:space="preserve">地    点： </w:t>
      </w:r>
      <w:r>
        <w:rPr>
          <w:rFonts w:hint="eastAsia" w:ascii="宋体" w:hAnsi="宋体" w:cs="宋体"/>
          <w:b/>
          <w:bCs/>
          <w:sz w:val="24"/>
          <w:szCs w:val="24"/>
          <w:u w:val="single"/>
        </w:rPr>
        <w:t>南通市崇川区工农路358号12层中证开标室（浙商银行楼上</w:t>
      </w:r>
      <w:r>
        <w:rPr>
          <w:rFonts w:hint="eastAsia" w:ascii="宋体" w:hAnsi="宋体" w:cs="宋体"/>
          <w:sz w:val="24"/>
          <w:szCs w:val="24"/>
          <w:u w:val="single"/>
        </w:rPr>
        <w:t>）</w:t>
      </w:r>
    </w:p>
    <w:p>
      <w:pPr>
        <w:pStyle w:val="2"/>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 xml:space="preserve">时  间： </w:t>
      </w:r>
      <w:r>
        <w:rPr>
          <w:rFonts w:hint="eastAsia" w:ascii="宋体" w:hAnsi="宋体" w:cs="宋体"/>
          <w:b/>
          <w:bCs/>
          <w:sz w:val="24"/>
          <w:szCs w:val="24"/>
          <w:u w:val="single" w:color="000000"/>
        </w:rPr>
        <w:t xml:space="preserve"> 202</w:t>
      </w:r>
      <w:r>
        <w:rPr>
          <w:rFonts w:hint="eastAsia" w:ascii="宋体" w:hAnsi="宋体" w:cs="宋体"/>
          <w:b/>
          <w:bCs/>
          <w:sz w:val="24"/>
          <w:szCs w:val="24"/>
          <w:u w:val="single" w:color="000000"/>
          <w:lang w:val="en-US" w:eastAsia="zh-CN"/>
        </w:rPr>
        <w:t>3</w:t>
      </w:r>
      <w:r>
        <w:rPr>
          <w:rFonts w:hint="eastAsia" w:ascii="宋体" w:hAnsi="宋体" w:cs="宋体"/>
          <w:b/>
          <w:bCs/>
          <w:sz w:val="24"/>
          <w:szCs w:val="24"/>
          <w:u w:val="single" w:color="000000"/>
        </w:rPr>
        <w:t>年</w:t>
      </w:r>
      <w:r>
        <w:rPr>
          <w:rFonts w:hint="eastAsia" w:ascii="宋体" w:hAnsi="宋体" w:cs="宋体"/>
          <w:b/>
          <w:bCs/>
          <w:sz w:val="24"/>
          <w:szCs w:val="24"/>
          <w:u w:val="single" w:color="000000"/>
          <w:lang w:val="en-US" w:eastAsia="zh-CN"/>
        </w:rPr>
        <w:t>2</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24</w:t>
      </w:r>
      <w:r>
        <w:rPr>
          <w:rFonts w:hint="eastAsia" w:ascii="宋体" w:hAnsi="宋体" w:cs="宋体"/>
          <w:b/>
          <w:bCs/>
          <w:sz w:val="24"/>
          <w:szCs w:val="24"/>
          <w:u w:val="single" w:color="000000"/>
        </w:rPr>
        <w:t>日</w:t>
      </w:r>
      <w:r>
        <w:rPr>
          <w:rFonts w:hint="eastAsia" w:ascii="宋体" w:hAnsi="宋体" w:cs="宋体"/>
          <w:b/>
          <w:bCs/>
          <w:sz w:val="24"/>
          <w:szCs w:val="24"/>
          <w:u w:val="single" w:color="000000"/>
          <w:lang w:val="en-US" w:eastAsia="zh-CN"/>
        </w:rPr>
        <w:t>14</w:t>
      </w:r>
      <w:r>
        <w:rPr>
          <w:rFonts w:hint="eastAsia" w:ascii="宋体" w:hAnsi="宋体" w:cs="宋体"/>
          <w:b/>
          <w:bCs/>
          <w:sz w:val="24"/>
          <w:szCs w:val="24"/>
          <w:u w:val="single" w:color="000000"/>
        </w:rPr>
        <w:t>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 xml:space="preserve">地  点： </w:t>
      </w:r>
      <w:r>
        <w:rPr>
          <w:rFonts w:hint="eastAsia" w:ascii="宋体" w:hAnsi="宋体" w:cs="宋体"/>
          <w:b/>
          <w:bCs/>
          <w:sz w:val="24"/>
          <w:szCs w:val="24"/>
          <w:u w:val="single"/>
        </w:rPr>
        <w:t>南通市崇川区工农路358号12层中证开标室（浙商银行楼上）</w:t>
      </w:r>
    </w:p>
    <w:p>
      <w:pPr>
        <w:pStyle w:val="91"/>
        <w:snapToGrid w:val="0"/>
        <w:spacing w:line="360" w:lineRule="auto"/>
        <w:ind w:firstLine="482"/>
        <w:rPr>
          <w:rFonts w:hint="default" w:hAnsi="宋体" w:cs="宋体"/>
          <w:b/>
          <w:sz w:val="24"/>
          <w:szCs w:val="24"/>
        </w:rPr>
      </w:pPr>
      <w:r>
        <w:rPr>
          <w:rFonts w:hAnsi="宋体" w:cs="宋体"/>
          <w:b/>
          <w:sz w:val="24"/>
          <w:szCs w:val="24"/>
        </w:rPr>
        <w:t>特别提醒：</w:t>
      </w:r>
    </w:p>
    <w:p>
      <w:pPr>
        <w:pStyle w:val="91"/>
        <w:numPr>
          <w:ilvl w:val="0"/>
          <w:numId w:val="0"/>
        </w:numPr>
        <w:snapToGrid w:val="0"/>
        <w:spacing w:line="360" w:lineRule="auto"/>
        <w:ind w:left="420" w:leftChars="0"/>
        <w:rPr>
          <w:rFonts w:hAnsi="宋体" w:cs="宋体"/>
          <w:b/>
          <w:sz w:val="24"/>
          <w:szCs w:val="24"/>
        </w:rPr>
      </w:pPr>
      <w:r>
        <w:rPr>
          <w:rFonts w:hAnsi="宋体" w:cs="宋体"/>
          <w:b/>
          <w:sz w:val="24"/>
          <w:szCs w:val="24"/>
        </w:rPr>
        <w:t>各投标单位只允许委派一人参加投标，其余人员一律不得入内。因大楼停车位有限，</w:t>
      </w:r>
    </w:p>
    <w:p>
      <w:pPr>
        <w:pStyle w:val="91"/>
        <w:numPr>
          <w:ilvl w:val="0"/>
          <w:numId w:val="0"/>
        </w:numPr>
        <w:snapToGrid w:val="0"/>
        <w:spacing w:line="360" w:lineRule="auto"/>
        <w:rPr>
          <w:rFonts w:hint="default" w:hAnsi="宋体" w:cs="宋体"/>
          <w:b/>
          <w:sz w:val="24"/>
          <w:szCs w:val="24"/>
        </w:rPr>
      </w:pPr>
      <w:r>
        <w:rPr>
          <w:rFonts w:hAnsi="宋体" w:cs="宋体"/>
          <w:b/>
          <w:sz w:val="24"/>
          <w:szCs w:val="24"/>
        </w:rPr>
        <w:t>请各潜在投标人合理选择交通工具，或提前到达投标地点。</w:t>
      </w:r>
    </w:p>
    <w:p>
      <w:pPr>
        <w:pStyle w:val="2"/>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自本公告发布之日起</w:t>
      </w:r>
      <w:r>
        <w:rPr>
          <w:rFonts w:ascii="宋体" w:hAnsi="宋体" w:cs="宋体"/>
          <w:kern w:val="0"/>
          <w:sz w:val="24"/>
          <w:szCs w:val="24"/>
        </w:rPr>
        <w:t>10</w:t>
      </w:r>
      <w:r>
        <w:rPr>
          <w:rFonts w:hint="eastAsia" w:ascii="宋体" w:hAnsi="宋体" w:cs="宋体"/>
          <w:kern w:val="0"/>
          <w:sz w:val="24"/>
          <w:szCs w:val="24"/>
        </w:rPr>
        <w:t>日。</w:t>
      </w:r>
    </w:p>
    <w:p>
      <w:pPr>
        <w:pStyle w:val="2"/>
        <w:numPr>
          <w:ilvl w:val="0"/>
          <w:numId w:val="2"/>
        </w:numPr>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其他补充事宜：</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2"/>
        </w:numPr>
        <w:snapToGrid w:val="0"/>
        <w:spacing w:line="360" w:lineRule="auto"/>
        <w:textAlignment w:val="baseline"/>
        <w:rPr>
          <w:rFonts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4"/>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 xml:space="preserve">地    址： 南通市崇川区世纪大道399号 </w:t>
      </w:r>
    </w:p>
    <w:p>
      <w:pPr>
        <w:numPr>
          <w:ilvl w:val="0"/>
          <w:numId w:val="5"/>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名    称：中证房地产评估造价集团有限公司</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址：南通市崇川区工农路358号12层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联系方式：张林丽    13646287155</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项目联系人：</w:t>
      </w:r>
      <w:r>
        <w:rPr>
          <w:rFonts w:hint="eastAsia" w:cs="宋体"/>
          <w:sz w:val="24"/>
          <w:szCs w:val="24"/>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ascii="宋体" w:hAnsi="宋体"/>
          <w:sz w:val="24"/>
          <w:szCs w:val="24"/>
        </w:rPr>
      </w:pPr>
      <w:r>
        <w:rPr>
          <w:rFonts w:hint="eastAsia" w:ascii="宋体" w:hAnsi="宋体" w:cs="宋体"/>
          <w:sz w:val="24"/>
          <w:szCs w:val="24"/>
        </w:rPr>
        <w:t>电      话：13646287155</w:t>
      </w:r>
    </w:p>
    <w:p>
      <w:pPr>
        <w:pStyle w:val="50"/>
        <w:ind w:firstLine="480"/>
        <w:rPr>
          <w:rFonts w:ascii="宋体" w:hAnsi="宋体"/>
          <w:sz w:val="24"/>
          <w:szCs w:val="24"/>
        </w:rPr>
      </w:pPr>
    </w:p>
    <w:p>
      <w:pPr>
        <w:pStyle w:val="50"/>
        <w:ind w:firstLine="480"/>
        <w:rPr>
          <w:rFonts w:ascii="宋体" w:hAnsi="宋体"/>
          <w:sz w:val="24"/>
          <w:szCs w:val="24"/>
        </w:rPr>
      </w:pPr>
    </w:p>
    <w:p>
      <w:pPr>
        <w:snapToGrid w:val="0"/>
        <w:spacing w:line="360" w:lineRule="auto"/>
        <w:ind w:firstLine="420" w:firstLineChars="200"/>
        <w:rPr>
          <w:rFonts w:ascii="宋体" w:hAnsi="宋体" w:cs="宋体"/>
          <w:sz w:val="24"/>
          <w:szCs w:val="24"/>
        </w:rPr>
      </w:pPr>
      <w:r>
        <w:rPr>
          <w:rFonts w:hint="eastAsia" w:ascii="宋体" w:hAnsi="宋体" w:cs="宋体"/>
          <w:szCs w:val="24"/>
        </w:rPr>
        <w:t xml:space="preserve">                                                      </w:t>
      </w:r>
      <w:r>
        <w:rPr>
          <w:rFonts w:hint="eastAsia" w:ascii="宋体" w:hAnsi="宋体" w:cs="宋体"/>
          <w:sz w:val="24"/>
          <w:szCs w:val="24"/>
        </w:rPr>
        <w:t>二0二</w:t>
      </w:r>
      <w:r>
        <w:rPr>
          <w:rFonts w:hint="eastAsia" w:ascii="宋体" w:hAnsi="宋体" w:cs="宋体"/>
          <w:sz w:val="24"/>
          <w:szCs w:val="24"/>
          <w:lang w:val="en-US" w:eastAsia="zh-CN"/>
        </w:rPr>
        <w:t>三</w:t>
      </w:r>
      <w:r>
        <w:rPr>
          <w:rFonts w:hint="eastAsia" w:ascii="宋体" w:hAnsi="宋体" w:cs="宋体"/>
          <w:sz w:val="24"/>
          <w:szCs w:val="24"/>
        </w:rPr>
        <w:t>年</w:t>
      </w:r>
      <w:r>
        <w:rPr>
          <w:rFonts w:hint="eastAsia" w:ascii="宋体" w:hAnsi="宋体" w:cs="宋体"/>
          <w:sz w:val="24"/>
          <w:szCs w:val="24"/>
          <w:lang w:val="en-US" w:eastAsia="zh-CN"/>
        </w:rPr>
        <w:t>二</w:t>
      </w:r>
      <w:r>
        <w:rPr>
          <w:rFonts w:hint="eastAsia" w:ascii="宋体" w:hAnsi="宋体" w:cs="宋体"/>
          <w:sz w:val="24"/>
          <w:szCs w:val="24"/>
        </w:rPr>
        <w:t>月</w:t>
      </w:r>
      <w:r>
        <w:rPr>
          <w:rFonts w:hint="eastAsia" w:ascii="宋体" w:hAnsi="宋体" w:cs="宋体"/>
          <w:sz w:val="24"/>
          <w:szCs w:val="24"/>
          <w:lang w:val="en-US" w:eastAsia="zh-CN"/>
        </w:rPr>
        <w:t>十四</w:t>
      </w:r>
      <w:r>
        <w:rPr>
          <w:rFonts w:hint="eastAsia" w:ascii="宋体" w:hAnsi="宋体" w:cs="宋体"/>
          <w:sz w:val="24"/>
          <w:szCs w:val="24"/>
        </w:rPr>
        <w:t>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11499584"/>
      <w:bookmarkStart w:id="12" w:name="_Toc8895739"/>
      <w:bookmarkStart w:id="13" w:name="_Toc94544744"/>
      <w:bookmarkStart w:id="14" w:name="_Toc11554639"/>
      <w:bookmarkStart w:id="15" w:name="_Toc12670503"/>
      <w:bookmarkStart w:id="16" w:name="_Toc94585340"/>
      <w:bookmarkStart w:id="17" w:name="_Toc521201597"/>
      <w:bookmarkStart w:id="18" w:name="_Toc11500280"/>
      <w:bookmarkStart w:id="19" w:name="_Toc521203418"/>
      <w:bookmarkStart w:id="20" w:name="_Toc94544828"/>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94544871"/>
      <w:bookmarkStart w:id="23" w:name="_Toc11500281"/>
      <w:bookmarkStart w:id="24" w:name="_Toc521201598"/>
      <w:bookmarkStart w:id="25" w:name="_Toc94544745"/>
      <w:bookmarkStart w:id="26" w:name="_Toc521203419"/>
      <w:bookmarkStart w:id="27" w:name="_Toc11499585"/>
      <w:bookmarkStart w:id="28" w:name="_Toc12670504"/>
      <w:bookmarkStart w:id="29" w:name="_Toc8895740"/>
      <w:bookmarkStart w:id="30" w:name="_Toc11554640"/>
      <w:bookmarkStart w:id="31" w:name="_Toc94585341"/>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、本竞争性磋商文件仅适用于中证房地产评估造价集团有限公司组织的竞争性磋商采购活动。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w:t>
      </w:r>
      <w:r>
        <w:rPr>
          <w:rFonts w:hint="eastAsia" w:ascii="宋体" w:hAnsi="宋体" w:cs="宋体"/>
          <w:color w:val="000000"/>
          <w:sz w:val="24"/>
          <w:szCs w:val="24"/>
          <w:lang w:eastAsia="zh-CN"/>
        </w:rPr>
        <w:t>作出</w:t>
      </w:r>
      <w:r>
        <w:rPr>
          <w:rFonts w:hint="eastAsia" w:ascii="宋体" w:hAnsi="宋体" w:cs="宋体"/>
          <w:color w:val="000000"/>
          <w:sz w:val="24"/>
          <w:szCs w:val="24"/>
        </w:rPr>
        <w:t>实质性响应，将被拒绝参与项目的磋商。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6、磋商文件项目需求提供的可能</w:t>
      </w:r>
      <w:r>
        <w:rPr>
          <w:rFonts w:hint="eastAsia" w:ascii="宋体" w:hAnsi="宋体" w:cs="宋体"/>
          <w:color w:val="000000"/>
          <w:sz w:val="24"/>
          <w:szCs w:val="24"/>
          <w:lang w:eastAsia="zh-CN"/>
        </w:rPr>
        <w:t>涉及的</w:t>
      </w:r>
      <w:r>
        <w:rPr>
          <w:rFonts w:hint="eastAsia" w:ascii="宋体" w:hAnsi="宋体" w:cs="宋体"/>
          <w:color w:val="000000"/>
          <w:sz w:val="24"/>
          <w:szCs w:val="24"/>
        </w:rPr>
        <w:t>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rFonts w:hint="eastAsia" w:cs="宋体"/>
          <w:sz w:val="24"/>
          <w:szCs w:val="24"/>
          <w:lang w:eastAsia="zh-CN"/>
        </w:rPr>
        <w:t>”“</w:t>
      </w:r>
      <w:r>
        <w:rPr>
          <w:rFonts w:hint="eastAsia" w:cs="宋体"/>
          <w:sz w:val="24"/>
          <w:szCs w:val="24"/>
        </w:rPr>
        <w:t>以下</w:t>
      </w:r>
      <w:r>
        <w:rPr>
          <w:rFonts w:hint="eastAsia" w:cs="宋体"/>
          <w:sz w:val="24"/>
          <w:szCs w:val="24"/>
          <w:lang w:eastAsia="zh-CN"/>
        </w:rPr>
        <w:t>”“</w:t>
      </w:r>
      <w:r>
        <w:rPr>
          <w:rFonts w:hint="eastAsia" w:cs="宋体"/>
          <w:sz w:val="24"/>
          <w:szCs w:val="24"/>
        </w:rPr>
        <w:t>内</w:t>
      </w:r>
      <w:r>
        <w:rPr>
          <w:rFonts w:hint="eastAsia" w:cs="宋体"/>
          <w:sz w:val="24"/>
          <w:szCs w:val="24"/>
          <w:lang w:eastAsia="zh-CN"/>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rFonts w:hint="eastAsia" w:cs="宋体"/>
          <w:sz w:val="24"/>
          <w:szCs w:val="24"/>
          <w:lang w:eastAsia="zh-CN"/>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w:t>
      </w:r>
      <w:r>
        <w:rPr>
          <w:rFonts w:hint="eastAsia" w:ascii="宋体" w:hAnsi="宋体" w:cs="宋体"/>
          <w:b/>
          <w:color w:val="000000"/>
          <w:sz w:val="24"/>
          <w:szCs w:val="24"/>
          <w:lang w:eastAsia="zh-CN"/>
        </w:rPr>
        <w:t>涉及的</w:t>
      </w:r>
      <w:r>
        <w:rPr>
          <w:rFonts w:hint="eastAsia" w:ascii="宋体" w:hAnsi="宋体" w:cs="宋体"/>
          <w:b/>
          <w:color w:val="000000"/>
          <w:sz w:val="24"/>
          <w:szCs w:val="24"/>
        </w:rPr>
        <w:t>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w:t>
      </w:r>
      <w:r>
        <w:rPr>
          <w:rFonts w:hint="eastAsia" w:ascii="宋体" w:hAnsi="宋体" w:cs="宋体"/>
          <w:sz w:val="24"/>
          <w:szCs w:val="24"/>
          <w:lang w:eastAsia="zh-CN"/>
        </w:rPr>
        <w:t>作</w:t>
      </w:r>
      <w:r>
        <w:rPr>
          <w:rFonts w:hint="eastAsia" w:ascii="宋体" w:hAnsi="宋体" w:cs="宋体"/>
          <w:sz w:val="24"/>
          <w:szCs w:val="24"/>
        </w:rPr>
        <w:t>参考，根据自身需要，供应商可在磋商文件递交之日前对有关现场和周围环境进行勘察，以获取编制响应文件和签署合同所需的信息。</w:t>
      </w:r>
      <w:r>
        <w:rPr>
          <w:rFonts w:hint="eastAsia" w:ascii="宋体" w:hAnsi="宋体" w:cs="宋体"/>
          <w:sz w:val="24"/>
          <w:szCs w:val="24"/>
          <w:lang w:eastAsia="zh-CN"/>
        </w:rPr>
        <w:t>勘查现场</w:t>
      </w:r>
      <w:r>
        <w:rPr>
          <w:rFonts w:hint="eastAsia" w:ascii="宋体" w:hAnsi="宋体" w:cs="宋体"/>
          <w:sz w:val="24"/>
          <w:szCs w:val="24"/>
        </w:rPr>
        <w:t>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w:t>
      </w:r>
      <w:r>
        <w:rPr>
          <w:rFonts w:hint="eastAsia" w:ascii="宋体" w:hAnsi="宋体" w:cs="宋体"/>
          <w:sz w:val="24"/>
          <w:szCs w:val="24"/>
          <w:lang w:eastAsia="zh-CN"/>
        </w:rPr>
        <w:t>勘查现场</w:t>
      </w:r>
      <w:r>
        <w:rPr>
          <w:rFonts w:hint="eastAsia" w:ascii="宋体" w:hAnsi="宋体" w:cs="宋体"/>
          <w:sz w:val="24"/>
          <w:szCs w:val="24"/>
        </w:rPr>
        <w:t>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w:t>
      </w:r>
      <w:r>
        <w:rPr>
          <w:rFonts w:hint="eastAsia" w:ascii="宋体" w:hAnsi="宋体" w:cs="宋体"/>
          <w:sz w:val="24"/>
          <w:szCs w:val="24"/>
          <w:lang w:eastAsia="zh-CN"/>
        </w:rPr>
        <w:t>”“</w:t>
      </w:r>
      <w:r>
        <w:rPr>
          <w:rFonts w:hint="eastAsia" w:ascii="宋体" w:hAnsi="宋体" w:cs="宋体"/>
          <w:sz w:val="24"/>
          <w:szCs w:val="24"/>
        </w:rPr>
        <w:t>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ascii="宋体" w:hAnsi="宋体" w:cs="宋体"/>
          <w:sz w:val="24"/>
        </w:rPr>
      </w:pPr>
      <w:r>
        <w:rPr>
          <w:rFonts w:ascii="宋体" w:hAnsi="宋体" w:cs="宋体"/>
          <w:sz w:val="24"/>
        </w:rPr>
        <w:t>3</w:t>
      </w:r>
      <w:r>
        <w:rPr>
          <w:rFonts w:hint="eastAsia" w:ascii="宋体" w:hAnsi="宋体" w:cs="宋体"/>
          <w:sz w:val="24"/>
        </w:rPr>
        <w:t>、磋商报价表必须加盖单位公章且必须经法定代表人或被授权人签字或盖章。报价表中的报价出现前后不一致的，将执行财政部第87号令《政府采购货物和服务招标投标管理办法》第59条的规定修正</w:t>
      </w:r>
      <w:r>
        <w:rPr>
          <w:rFonts w:hint="eastAsia" w:ascii="宋体" w:hAnsi="宋体" w:cs="宋体"/>
          <w:sz w:val="24"/>
          <w:lang w:eastAsia="zh-CN"/>
        </w:rPr>
        <w:t>：</w:t>
      </w:r>
    </w:p>
    <w:p>
      <w:pPr>
        <w:snapToGrid w:val="0"/>
        <w:spacing w:line="360" w:lineRule="auto"/>
        <w:ind w:firstLine="494" w:firstLineChars="206"/>
        <w:rPr>
          <w:rFonts w:ascii="宋体" w:hAnsi="宋体" w:cs="宋体"/>
          <w:sz w:val="24"/>
        </w:rPr>
      </w:pPr>
      <w:r>
        <w:rPr>
          <w:rFonts w:hint="eastAsia" w:ascii="宋体" w:hAnsi="宋体" w:cs="宋体"/>
          <w:sz w:val="24"/>
        </w:rPr>
        <w:t>3.1开标一览表</w:t>
      </w:r>
      <w:r>
        <w:rPr>
          <w:rFonts w:hint="eastAsia" w:ascii="宋体" w:hAnsi="宋体" w:cs="宋体"/>
          <w:sz w:val="24"/>
          <w:lang w:eastAsia="zh-CN"/>
        </w:rPr>
        <w:t>（</w:t>
      </w:r>
      <w:r>
        <w:rPr>
          <w:rFonts w:hint="eastAsia" w:ascii="宋体" w:hAnsi="宋体" w:cs="宋体"/>
          <w:sz w:val="24"/>
        </w:rPr>
        <w:t>报价表</w:t>
      </w:r>
      <w:r>
        <w:rPr>
          <w:rFonts w:hint="eastAsia" w:ascii="宋体" w:hAnsi="宋体" w:cs="宋体"/>
          <w:sz w:val="24"/>
          <w:lang w:eastAsia="zh-CN"/>
        </w:rPr>
        <w:t>）</w:t>
      </w:r>
      <w:r>
        <w:rPr>
          <w:rFonts w:hint="eastAsia" w:ascii="宋体" w:hAnsi="宋体" w:cs="宋体"/>
          <w:sz w:val="24"/>
        </w:rPr>
        <w:t>内容与投标文件中相应内容不一致的，以开标一览表</w:t>
      </w:r>
      <w:r>
        <w:rPr>
          <w:rFonts w:hint="eastAsia" w:ascii="宋体" w:hAnsi="宋体" w:cs="宋体"/>
          <w:sz w:val="24"/>
          <w:lang w:eastAsia="zh-CN"/>
        </w:rPr>
        <w:t>（</w:t>
      </w:r>
      <w:r>
        <w:rPr>
          <w:rFonts w:hint="eastAsia" w:ascii="宋体" w:hAnsi="宋体" w:cs="宋体"/>
          <w:sz w:val="24"/>
        </w:rPr>
        <w:t>报价表</w:t>
      </w:r>
      <w:r>
        <w:rPr>
          <w:rFonts w:hint="eastAsia" w:ascii="宋体" w:hAnsi="宋体" w:cs="宋体"/>
          <w:sz w:val="24"/>
          <w:lang w:eastAsia="zh-CN"/>
        </w:rPr>
        <w:t>）</w:t>
      </w:r>
      <w:r>
        <w:rPr>
          <w:rFonts w:hint="eastAsia" w:ascii="宋体" w:hAnsi="宋体" w:cs="宋体"/>
          <w:sz w:val="24"/>
        </w:rPr>
        <w:t>为准</w:t>
      </w:r>
      <w:r>
        <w:rPr>
          <w:rFonts w:hint="eastAsia" w:ascii="宋体" w:hAnsi="宋体" w:cs="宋体"/>
          <w:sz w:val="24"/>
          <w:lang w:eastAsia="zh-CN"/>
        </w:rPr>
        <w:t>；</w:t>
      </w:r>
    </w:p>
    <w:p>
      <w:pPr>
        <w:snapToGrid w:val="0"/>
        <w:spacing w:line="360" w:lineRule="auto"/>
        <w:ind w:firstLine="494" w:firstLineChars="206"/>
        <w:rPr>
          <w:rFonts w:ascii="宋体" w:hAnsi="宋体" w:cs="宋体"/>
          <w:sz w:val="24"/>
        </w:rPr>
      </w:pPr>
      <w:r>
        <w:rPr>
          <w:rFonts w:hint="eastAsia" w:ascii="宋体" w:hAnsi="宋体" w:cs="宋体"/>
          <w:sz w:val="24"/>
        </w:rPr>
        <w:t>3.2 大写金额和小写金额不一致的，以大写金额为准</w:t>
      </w:r>
      <w:r>
        <w:rPr>
          <w:rFonts w:hint="eastAsia" w:ascii="宋体" w:hAnsi="宋体" w:cs="宋体"/>
          <w:sz w:val="24"/>
          <w:lang w:eastAsia="zh-CN"/>
        </w:rPr>
        <w:t>；</w:t>
      </w:r>
    </w:p>
    <w:p>
      <w:pPr>
        <w:snapToGrid w:val="0"/>
        <w:spacing w:line="360" w:lineRule="auto"/>
        <w:ind w:firstLine="494" w:firstLineChars="206"/>
        <w:rPr>
          <w:rFonts w:ascii="宋体" w:hAnsi="宋体" w:cs="宋体"/>
          <w:sz w:val="24"/>
        </w:rPr>
      </w:pPr>
      <w:r>
        <w:rPr>
          <w:rFonts w:hint="eastAsia" w:ascii="宋体" w:hAnsi="宋体" w:cs="宋体"/>
          <w:sz w:val="24"/>
        </w:rPr>
        <w:t>3.3单价金额小数点或者百分比有明显错位的，以开标一览表</w:t>
      </w:r>
      <w:r>
        <w:rPr>
          <w:rFonts w:hint="eastAsia" w:ascii="宋体" w:hAnsi="宋体" w:cs="宋体"/>
          <w:sz w:val="24"/>
          <w:lang w:eastAsia="zh-CN"/>
        </w:rPr>
        <w:t>（</w:t>
      </w:r>
      <w:r>
        <w:rPr>
          <w:rFonts w:hint="eastAsia" w:ascii="宋体" w:hAnsi="宋体" w:cs="宋体"/>
          <w:sz w:val="24"/>
        </w:rPr>
        <w:t>报价表</w:t>
      </w:r>
      <w:r>
        <w:rPr>
          <w:rFonts w:hint="eastAsia" w:ascii="宋体" w:hAnsi="宋体" w:cs="宋体"/>
          <w:sz w:val="24"/>
          <w:lang w:eastAsia="zh-CN"/>
        </w:rPr>
        <w:t>）</w:t>
      </w:r>
      <w:r>
        <w:rPr>
          <w:rFonts w:hint="eastAsia" w:ascii="宋体" w:hAnsi="宋体" w:cs="宋体"/>
          <w:sz w:val="24"/>
        </w:rPr>
        <w:t>的</w:t>
      </w:r>
      <w:r>
        <w:rPr>
          <w:rFonts w:hint="eastAsia" w:ascii="宋体" w:hAnsi="宋体" w:cs="宋体"/>
          <w:sz w:val="24"/>
          <w:lang w:eastAsia="zh-CN"/>
        </w:rPr>
        <w:t>单价</w:t>
      </w:r>
      <w:r>
        <w:rPr>
          <w:rFonts w:hint="eastAsia" w:ascii="宋体" w:hAnsi="宋体" w:cs="宋体"/>
          <w:sz w:val="24"/>
        </w:rPr>
        <w:t>为准，并修改单价</w:t>
      </w:r>
      <w:r>
        <w:rPr>
          <w:rFonts w:hint="eastAsia" w:ascii="宋体" w:hAnsi="宋体" w:cs="宋体"/>
          <w:sz w:val="24"/>
          <w:lang w:eastAsia="zh-CN"/>
        </w:rPr>
        <w:t>；</w:t>
      </w:r>
    </w:p>
    <w:p>
      <w:pPr>
        <w:snapToGrid w:val="0"/>
        <w:spacing w:line="360" w:lineRule="auto"/>
        <w:ind w:firstLine="494" w:firstLineChars="206"/>
        <w:rPr>
          <w:rFonts w:ascii="宋体" w:hAnsi="宋体" w:cs="宋体"/>
          <w:sz w:val="24"/>
        </w:rPr>
      </w:pPr>
      <w:r>
        <w:rPr>
          <w:rFonts w:hint="eastAsia" w:ascii="宋体" w:hAnsi="宋体" w:cs="宋体"/>
          <w:sz w:val="24"/>
        </w:rPr>
        <w:t>3.4</w:t>
      </w:r>
      <w:r>
        <w:rPr>
          <w:rFonts w:hint="eastAsia" w:ascii="宋体" w:hAnsi="宋体" w:cs="宋体"/>
          <w:sz w:val="24"/>
          <w:lang w:eastAsia="zh-CN"/>
        </w:rPr>
        <w:t>单价</w:t>
      </w:r>
      <w:r>
        <w:rPr>
          <w:rFonts w:hint="eastAsia" w:ascii="宋体" w:hAnsi="宋体" w:cs="宋体"/>
          <w:sz w:val="24"/>
        </w:rPr>
        <w:t>金额与按单价汇总金额不一致的，以单价金额计算结果为准。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w:t>
      </w:r>
      <w:r>
        <w:rPr>
          <w:rFonts w:hint="eastAsia" w:ascii="宋体" w:hAnsi="宋体" w:cs="宋体"/>
          <w:sz w:val="24"/>
          <w:lang w:eastAsia="zh-CN"/>
        </w:rPr>
        <w:t>不一</w:t>
      </w:r>
      <w:r>
        <w:rPr>
          <w:rFonts w:hint="eastAsia" w:ascii="宋体" w:hAnsi="宋体" w:cs="宋体"/>
          <w:sz w:val="24"/>
        </w:rPr>
        <w:t xml:space="preserve">致的，按照前款规定的顺序修正。修正后的报价按照本办法第五十一条第二款的规定经供应商确认后产生约束力，供应商不确认的，其响应无效。 </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bCs/>
          <w:color w:val="000000"/>
          <w:sz w:val="24"/>
        </w:rPr>
        <w:t>本项目</w:t>
      </w:r>
      <w:r>
        <w:rPr>
          <w:rFonts w:hint="eastAsia" w:ascii="宋体" w:hAnsi="宋体" w:cs="宋体"/>
          <w:sz w:val="24"/>
        </w:rPr>
        <w:t>磋商报价</w:t>
      </w:r>
      <w:r>
        <w:rPr>
          <w:rFonts w:hint="eastAsia" w:ascii="宋体" w:hAnsi="宋体" w:cs="宋体"/>
          <w:bCs/>
          <w:color w:val="000000"/>
          <w:sz w:val="24"/>
        </w:rPr>
        <w:t>为</w:t>
      </w:r>
      <w:r>
        <w:rPr>
          <w:rFonts w:hint="eastAsia" w:ascii="宋体" w:hAnsi="宋体" w:cs="宋体"/>
          <w:bCs/>
          <w:color w:val="000000"/>
          <w:sz w:val="24"/>
          <w:lang w:val="zh-CN"/>
        </w:rPr>
        <w:t>固定单价报价</w:t>
      </w:r>
      <w:r>
        <w:rPr>
          <w:rFonts w:hint="eastAsia" w:ascii="宋体" w:hAnsi="宋体" w:cs="宋体"/>
          <w:sz w:val="24"/>
        </w:rPr>
        <w:t>，该价格一次性包定</w:t>
      </w:r>
      <w:r>
        <w:rPr>
          <w:rFonts w:hint="eastAsia" w:ascii="宋体" w:hAnsi="宋体" w:cs="宋体"/>
          <w:sz w:val="24"/>
          <w:szCs w:val="24"/>
        </w:rPr>
        <w:t>，成交供应商须考虑合同期内最低工资标准上涨、加班费等费用，服务期内合同价不调整。</w:t>
      </w:r>
    </w:p>
    <w:p>
      <w:pPr>
        <w:snapToGrid w:val="0"/>
        <w:spacing w:line="360" w:lineRule="auto"/>
        <w:ind w:firstLine="468" w:firstLineChars="195"/>
        <w:outlineLvl w:val="1"/>
        <w:rPr>
          <w:rFonts w:ascii="宋体" w:hAnsi="宋体" w:cs="宋体"/>
          <w:b w:val="0"/>
          <w:bCs w:val="0"/>
          <w:color w:val="auto"/>
          <w:sz w:val="24"/>
          <w:szCs w:val="24"/>
        </w:rPr>
      </w:pPr>
      <w:r>
        <w:rPr>
          <w:rFonts w:hint="eastAsia" w:ascii="宋体" w:hAnsi="宋体" w:cs="宋体"/>
          <w:b w:val="0"/>
          <w:bCs w:val="0"/>
          <w:color w:val="auto"/>
          <w:sz w:val="24"/>
          <w:szCs w:val="24"/>
        </w:rPr>
        <w:t>5、磋商报价（以人民币计价）应包括但不限于所有与本项目实施有关的所有费用包括为达到采购人要求所包含的所有风险、责任等各项费用。</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cs="宋体"/>
          <w:sz w:val="24"/>
        </w:rPr>
        <w:t>7、</w:t>
      </w:r>
      <w:r>
        <w:rPr>
          <w:rFonts w:hint="eastAsia" w:ascii="宋体" w:hAnsi="宋体" w:cs="宋体"/>
          <w:bCs/>
          <w:sz w:val="24"/>
        </w:rPr>
        <w:t>本次磋商项目的报价采用两轮报价，首次报价不得超过项目预算金额。除非在磋商中磋商小组对采购人需求内容作了调整增加，或对采购内容</w:t>
      </w:r>
      <w:r>
        <w:rPr>
          <w:rFonts w:hint="eastAsia" w:ascii="宋体" w:hAnsi="宋体" w:cs="宋体"/>
          <w:bCs/>
          <w:sz w:val="24"/>
          <w:lang w:eastAsia="zh-CN"/>
        </w:rPr>
        <w:t>做了实质性</w:t>
      </w:r>
      <w:r>
        <w:rPr>
          <w:rFonts w:hint="eastAsia" w:ascii="宋体" w:hAnsi="宋体" w:cs="宋体"/>
          <w:bCs/>
          <w:sz w:val="24"/>
        </w:rPr>
        <w:t>变更，否则采购人不接受供应商高于自己前一轮的磋商报价，并作无效报价处理。最终报价将作为磋商小组评定成交供应商的依据。</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8、本项目竞争性磋商的最终报价作为成交价。同时，供应商的最终成交价在合同实施期间不因市场变化因素而变动。</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、最低的磋商</w:t>
      </w:r>
      <w:r>
        <w:rPr>
          <w:rFonts w:hint="eastAsia" w:ascii="宋体" w:hAnsi="宋体" w:cs="宋体"/>
          <w:sz w:val="24"/>
          <w:szCs w:val="24"/>
          <w:lang w:eastAsia="zh-CN"/>
        </w:rPr>
        <w:t>单价</w:t>
      </w:r>
      <w:r>
        <w:rPr>
          <w:rFonts w:hint="eastAsia" w:ascii="宋体" w:hAnsi="宋体" w:cs="宋体"/>
          <w:sz w:val="24"/>
          <w:szCs w:val="24"/>
        </w:rPr>
        <w:t>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cs="宋体"/>
          <w:sz w:val="24"/>
          <w:szCs w:val="24"/>
        </w:rPr>
        <w:t>1、从磋商响应文件接收截止之日算起，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w:t>
      </w:r>
      <w:r>
        <w:rPr>
          <w:rFonts w:hint="eastAsia" w:cs="宋体"/>
          <w:sz w:val="24"/>
          <w:szCs w:val="24"/>
          <w:lang w:eastAsia="zh-CN"/>
        </w:rPr>
        <w:t>或</w:t>
      </w:r>
      <w:r>
        <w:rPr>
          <w:rFonts w:hint="eastAsia" w:cs="宋体"/>
          <w:sz w:val="24"/>
          <w:szCs w:val="24"/>
        </w:rPr>
        <w:t>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cs="宋体"/>
          <w:sz w:val="24"/>
          <w:szCs w:val="24"/>
        </w:rPr>
      </w:pPr>
      <w:r>
        <w:rPr>
          <w:rFonts w:hint="eastAsia" w:cs="宋体"/>
          <w:sz w:val="24"/>
          <w:szCs w:val="24"/>
        </w:rPr>
        <w:t>1、各投标供应商须在递交磋商响应文件的同时缴纳磋商文件资料费300元。无论是否成交，该费用不予退还。</w:t>
      </w:r>
    </w:p>
    <w:p>
      <w:pPr>
        <w:snapToGrid w:val="0"/>
        <w:spacing w:line="360" w:lineRule="auto"/>
        <w:ind w:firstLine="480" w:firstLineChars="200"/>
        <w:rPr>
          <w:rFonts w:cs="宋体"/>
          <w:sz w:val="24"/>
          <w:szCs w:val="24"/>
        </w:rPr>
      </w:pPr>
      <w:r>
        <w:rPr>
          <w:rFonts w:hint="eastAsia" w:cs="宋体"/>
          <w:sz w:val="24"/>
          <w:szCs w:val="24"/>
        </w:rPr>
        <w:t>2、本项目采购代理费（按照国家计委[2002]1980号、发改价格[2011]534号的规定标准的40%收取，不满1200元按1200元收取）由成交供应商承担，请参加磋商的投标供应商在成本中自行考虑。上述费用领取成交通知书前，向代理公司一次性缴清。</w:t>
      </w:r>
    </w:p>
    <w:p>
      <w:pPr>
        <w:snapToGrid w:val="0"/>
        <w:spacing w:line="360" w:lineRule="auto"/>
        <w:ind w:firstLine="480" w:firstLineChars="200"/>
        <w:rPr>
          <w:rFonts w:cs="宋体"/>
          <w:sz w:val="24"/>
          <w:szCs w:val="24"/>
        </w:rPr>
      </w:pPr>
      <w:r>
        <w:rPr>
          <w:rFonts w:hint="eastAsia" w:cs="宋体"/>
          <w:sz w:val="24"/>
          <w:szCs w:val="24"/>
        </w:rPr>
        <w:t>3、磋商程序顺利进行后，除供应商的原件可退回外，其余所有的响应文件都将作为档案保存，不论成交与否</w:t>
      </w:r>
      <w:r>
        <w:rPr>
          <w:rFonts w:hint="eastAsia" w:cs="宋体"/>
          <w:sz w:val="24"/>
          <w:szCs w:val="24"/>
          <w:lang w:eastAsia="zh-CN"/>
        </w:rPr>
        <w:t>，</w:t>
      </w:r>
      <w:r>
        <w:rPr>
          <w:rFonts w:hint="eastAsia" w:cs="宋体"/>
          <w:sz w:val="24"/>
          <w:szCs w:val="24"/>
        </w:rPr>
        <w:t>代理机构均不退回（未拆封的除外）。</w:t>
      </w:r>
    </w:p>
    <w:p>
      <w:pPr>
        <w:snapToGrid w:val="0"/>
        <w:spacing w:line="360" w:lineRule="auto"/>
        <w:ind w:firstLine="480" w:firstLineChars="200"/>
        <w:rPr>
          <w:rFonts w:cs="宋体"/>
          <w:sz w:val="24"/>
          <w:szCs w:val="24"/>
        </w:rPr>
      </w:pPr>
      <w:r>
        <w:rPr>
          <w:rFonts w:hint="eastAsia" w:cs="宋体"/>
          <w:sz w:val="24"/>
          <w:szCs w:val="24"/>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十一、本项目不设履约保证金</w:t>
      </w:r>
    </w:p>
    <w:p>
      <w:pPr>
        <w:snapToGrid w:val="0"/>
        <w:spacing w:line="360" w:lineRule="auto"/>
        <w:ind w:firstLine="496" w:firstLineChars="206"/>
        <w:textAlignment w:val="baseline"/>
        <w:rPr>
          <w:rFonts w:ascii="宋体" w:hAnsi="宋体" w:cs="宋体"/>
          <w:b/>
          <w:color w:val="000000"/>
          <w:sz w:val="24"/>
          <w:szCs w:val="24"/>
        </w:rPr>
      </w:pPr>
      <w:r>
        <w:rPr>
          <w:rFonts w:hint="eastAsia" w:ascii="宋体" w:hAnsi="宋体" w:cs="宋体"/>
          <w:b/>
          <w:color w:val="000000"/>
          <w:sz w:val="24"/>
          <w:szCs w:val="24"/>
        </w:rPr>
        <w:t>十二、付款方式</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①采购人每月</w:t>
      </w:r>
      <w:r>
        <w:rPr>
          <w:rFonts w:hint="eastAsia" w:ascii="Times New Roman" w:hAnsi="Times New Roman" w:eastAsia="宋体"/>
          <w:color w:val="auto"/>
          <w:sz w:val="24"/>
          <w:szCs w:val="24"/>
          <w:u w:val="single"/>
          <w:lang w:val="en-US" w:eastAsia="zh-CN"/>
        </w:rPr>
        <w:t xml:space="preserve"> 8 </w:t>
      </w:r>
      <w:r>
        <w:rPr>
          <w:rFonts w:hint="eastAsia" w:ascii="Times New Roman" w:hAnsi="Times New Roman" w:eastAsia="宋体"/>
          <w:color w:val="auto"/>
          <w:sz w:val="24"/>
          <w:szCs w:val="24"/>
          <w:lang w:val="en-US" w:eastAsia="zh-CN"/>
        </w:rPr>
        <w:t>日前提供劳务费结算表，成交供应商收到采购人劳务费结算表后应出具正规的劳务票据，采购人收到成交供应商出具的劳务票据后，应在三个工作日内将劳务派遣人员的劳动报酬、 社会保险费、住房公积金及服务费等费用汇入成交供应商账户。</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②成交供应商在收到采购人汇款后，应在三个工作日内将劳务派遣人员工资费用送银行打在劳务派遣人员个人银行卡上.</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③甲、乙任何一方如超出规定结算日期，影响劳务派遣人员领取工资的，由责任方承担相应责任。</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④如采购人规定劳务派遣人员工资发放日期的，应在此前五个工作日将劳务派遣人员的劳务费用结算表提交成交供应商。</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⑤如采购人不及时将劳务派遣人员工资等费用汇给成交供应商的，由此违反国家相关规定并对劳务派遣人员造成损失的由采购人负责。成交供应商亦可与采购人解除本协议，劳务派遣人员的后续 一切事宜及法律责任均由采购人负责。</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w:t>
      </w:r>
      <w:r>
        <w:rPr>
          <w:rFonts w:hint="eastAsia" w:ascii="宋体" w:hAnsi="宋体" w:cs="宋体"/>
          <w:sz w:val="24"/>
          <w:szCs w:val="24"/>
          <w:lang w:eastAsia="zh-CN"/>
        </w:rPr>
        <w:t>》《</w:t>
      </w:r>
      <w:r>
        <w:rPr>
          <w:rFonts w:hint="eastAsia" w:ascii="宋体" w:hAnsi="宋体" w:cs="宋体"/>
          <w:sz w:val="24"/>
          <w:szCs w:val="24"/>
        </w:rPr>
        <w:t>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94544746"/>
      <w:bookmarkStart w:id="34" w:name="_Toc13803483"/>
      <w:bookmarkStart w:id="35" w:name="_Toc11499586"/>
      <w:bookmarkStart w:id="36" w:name="_Toc11500282"/>
      <w:bookmarkStart w:id="37" w:name="_Toc12670505"/>
      <w:bookmarkStart w:id="38" w:name="_Toc521201599"/>
      <w:bookmarkStart w:id="39" w:name="_Toc94544872"/>
      <w:bookmarkStart w:id="40" w:name="_Toc94585342"/>
      <w:bookmarkStart w:id="41" w:name="_Toc11554641"/>
      <w:bookmarkStart w:id="42" w:name="_Toc8895741"/>
      <w:bookmarkStart w:id="43" w:name="_Toc521203420"/>
      <w:bookmarkStart w:id="44" w:name="_Toc363573856"/>
      <w:r>
        <w:rPr>
          <w:rFonts w:hint="eastAsia" w:ascii="宋体" w:hAnsi="宋体" w:cs="宋体"/>
          <w:b/>
          <w:bCs/>
          <w:w w:val="80"/>
          <w:sz w:val="44"/>
          <w:szCs w:val="44"/>
        </w:rPr>
        <w:t>第三章  项目需求</w:t>
      </w:r>
    </w:p>
    <w:p>
      <w:pPr>
        <w:pStyle w:val="16"/>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做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b/>
          <w:bCs/>
          <w:sz w:val="28"/>
          <w:szCs w:val="28"/>
        </w:rPr>
      </w:pPr>
      <w:r>
        <w:rPr>
          <w:rFonts w:hint="eastAsia" w:ascii="宋体" w:hAnsi="宋体"/>
          <w:b/>
          <w:bCs/>
          <w:sz w:val="28"/>
          <w:szCs w:val="28"/>
        </w:rPr>
        <w:t>一、采购标的需实现的功能或者目标</w:t>
      </w:r>
      <w:r>
        <w:rPr>
          <w:rFonts w:hint="eastAsia" w:ascii="宋体" w:hAnsi="宋体"/>
          <w:b/>
          <w:bCs/>
          <w:sz w:val="28"/>
          <w:szCs w:val="28"/>
          <w:lang w:eastAsia="zh-CN"/>
        </w:rPr>
        <w:t>，</w:t>
      </w:r>
      <w:r>
        <w:rPr>
          <w:rFonts w:hint="eastAsia" w:ascii="宋体" w:hAnsi="宋体"/>
          <w:b/>
          <w:bCs/>
          <w:sz w:val="28"/>
          <w:szCs w:val="28"/>
        </w:rPr>
        <w:t>以及为落实政府采购政策需满足的要求</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项目简要说明：</w:t>
      </w:r>
      <w:r>
        <w:rPr>
          <w:rFonts w:hint="eastAsia" w:asciiTheme="minorEastAsia" w:hAnsiTheme="minorEastAsia" w:eastAsiaTheme="minorEastAsia" w:cstheme="minorEastAsia"/>
          <w:sz w:val="24"/>
          <w:szCs w:val="24"/>
          <w:lang w:val="en-US" w:eastAsia="zh-CN"/>
        </w:rPr>
        <w:t>南通市妇幼保健院拟</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家劳务派遣机构提供劳务派遣服务，具体包括</w:t>
      </w:r>
      <w:r>
        <w:rPr>
          <w:rFonts w:hint="eastAsia" w:asciiTheme="minorEastAsia" w:hAnsiTheme="minorEastAsia" w:eastAsiaTheme="minorEastAsia" w:cstheme="minorEastAsia"/>
          <w:sz w:val="24"/>
          <w:szCs w:val="24"/>
          <w:lang w:val="en-US" w:eastAsia="zh-CN"/>
        </w:rPr>
        <w:t>派遣人员工资发放、缴纳五险一金、档案管理、合同管理，劳动争议处理、员工工伤办理等</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服务时</w:t>
      </w:r>
      <w:r>
        <w:rPr>
          <w:rFonts w:hint="eastAsia" w:asciiTheme="minorEastAsia" w:hAnsiTheme="minorEastAsia" w:eastAsiaTheme="minorEastAsia" w:cstheme="minorEastAsia"/>
          <w:sz w:val="24"/>
          <w:szCs w:val="24"/>
          <w:highlight w:val="none"/>
          <w:lang w:val="en-US" w:eastAsia="zh-CN"/>
        </w:rPr>
        <w:t>间：本项目合同服务期暂定三年，但合同一年一签。</w:t>
      </w:r>
      <w:r>
        <w:rPr>
          <w:rFonts w:hint="eastAsia" w:asciiTheme="minorEastAsia" w:hAnsiTheme="minorEastAsia" w:eastAsiaTheme="minorEastAsia" w:cstheme="minorEastAsia"/>
          <w:sz w:val="24"/>
          <w:szCs w:val="24"/>
          <w:lang w:val="en-US" w:eastAsia="zh-CN"/>
        </w:rPr>
        <w:t>如成交供应商在合同期内履约情况优秀（即年度综合考核得分≥90分），则在第一年合同期满时，且采购人、成交供应商双方愿意，成交供应商承诺不增加服务费用的前提下，双方可续签下一年度合同，</w:t>
      </w:r>
      <w:r>
        <w:rPr>
          <w:rFonts w:hint="eastAsia" w:asciiTheme="minorEastAsia" w:hAnsiTheme="minorEastAsia" w:eastAsiaTheme="minorEastAsia" w:cstheme="minorEastAsia"/>
          <w:sz w:val="24"/>
          <w:szCs w:val="24"/>
          <w:highlight w:val="none"/>
          <w:lang w:val="en-US" w:eastAsia="zh-CN"/>
        </w:rPr>
        <w:t>但最多续签两次。</w:t>
      </w:r>
      <w:r>
        <w:rPr>
          <w:rFonts w:hint="eastAsia" w:asciiTheme="minorEastAsia" w:hAnsiTheme="minorEastAsia" w:eastAsiaTheme="minorEastAsia" w:cstheme="minorEastAsia"/>
          <w:sz w:val="24"/>
          <w:szCs w:val="24"/>
          <w:lang w:val="en-US" w:eastAsia="zh-CN"/>
        </w:rPr>
        <w:t>如成交供应商在合同期内年度综合考核得分＜90分，则采购人不再与成交供应商续签合同。</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服务和管理：中标的劳务派遣机构应根据用人单位要求，完成劳务派遣事项（派遣人员工资发放、缴纳五险一金、档案管理、合同管理，劳动争议处理、员工工伤办理等），为用人单位及派遣人员提供劳动法规政策咨询，会同用人单位处理相关争议。</w:t>
      </w:r>
    </w:p>
    <w:p>
      <w:pPr>
        <w:keepNext w:val="0"/>
        <w:keepLines w:val="0"/>
        <w:pageBreakBefore w:val="0"/>
        <w:numPr>
          <w:ilvl w:val="0"/>
          <w:numId w:val="6"/>
        </w:numPr>
        <w:kinsoku/>
        <w:wordWrap/>
        <w:overflowPunct/>
        <w:topLinePunct w:val="0"/>
        <w:autoSpaceDE/>
        <w:autoSpaceDN/>
        <w:bidi w:val="0"/>
        <w:adjustRightInd/>
        <w:spacing w:line="360" w:lineRule="auto"/>
        <w:textAlignment w:val="auto"/>
        <w:rPr>
          <w:rFonts w:hint="eastAsia" w:ascii="宋体" w:hAnsi="宋体"/>
          <w:b/>
          <w:bCs/>
          <w:sz w:val="28"/>
          <w:szCs w:val="28"/>
        </w:rPr>
      </w:pPr>
      <w:r>
        <w:rPr>
          <w:rFonts w:hint="eastAsia" w:ascii="宋体" w:hAnsi="宋体"/>
          <w:b/>
          <w:bCs/>
          <w:sz w:val="28"/>
          <w:szCs w:val="28"/>
        </w:rPr>
        <w:t>采购标的需执行的国家相关标准、行业标准、地方标准或者其他标准、规范</w:t>
      </w:r>
    </w:p>
    <w:p>
      <w:pPr>
        <w:keepNext w:val="0"/>
        <w:keepLines w:val="0"/>
        <w:pageBreakBefore w:val="0"/>
        <w:numPr>
          <w:ilvl w:val="0"/>
          <w:numId w:val="6"/>
        </w:numPr>
        <w:kinsoku/>
        <w:wordWrap/>
        <w:overflowPunct/>
        <w:topLinePunct w:val="0"/>
        <w:autoSpaceDE/>
        <w:autoSpaceDN/>
        <w:bidi w:val="0"/>
        <w:adjustRightInd/>
        <w:spacing w:line="360" w:lineRule="auto"/>
        <w:textAlignment w:val="auto"/>
        <w:rPr>
          <w:rFonts w:hint="eastAsia" w:ascii="宋体" w:hAnsi="宋体"/>
          <w:b/>
          <w:bCs/>
          <w:sz w:val="28"/>
          <w:szCs w:val="28"/>
        </w:rPr>
      </w:pPr>
      <w:r>
        <w:rPr>
          <w:rFonts w:hint="eastAsia" w:ascii="宋体" w:hAnsi="宋体"/>
          <w:b/>
          <w:bCs/>
          <w:sz w:val="28"/>
          <w:szCs w:val="28"/>
        </w:rPr>
        <w:t>采购标的需满足的质量、安全、技术规格、物理特性等要求</w:t>
      </w: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仿宋_GB2312" w:hAnsi="宋体" w:eastAsia="仿宋_GB2312"/>
          <w:b/>
          <w:sz w:val="28"/>
          <w:szCs w:val="28"/>
        </w:rPr>
      </w:pPr>
      <w:r>
        <w:rPr>
          <w:rFonts w:hint="eastAsia" w:ascii="仿宋_GB2312" w:hAnsi="宋体" w:eastAsia="仿宋_GB2312"/>
          <w:b/>
          <w:sz w:val="28"/>
          <w:szCs w:val="28"/>
        </w:rPr>
        <w:t>劳务派遣机构负责人员的</w:t>
      </w:r>
      <w:r>
        <w:rPr>
          <w:rFonts w:hint="eastAsia" w:ascii="仿宋_GB2312" w:hAnsi="宋体" w:eastAsia="仿宋_GB2312"/>
          <w:b/>
          <w:sz w:val="28"/>
          <w:szCs w:val="28"/>
          <w:lang w:val="en-US" w:eastAsia="zh-CN"/>
        </w:rPr>
        <w:t>派遣</w:t>
      </w:r>
      <w:r>
        <w:rPr>
          <w:rFonts w:hint="eastAsia" w:ascii="仿宋_GB2312" w:hAnsi="宋体" w:eastAsia="仿宋_GB2312"/>
          <w:b/>
          <w:sz w:val="28"/>
          <w:szCs w:val="28"/>
        </w:rPr>
        <w:t>工作</w:t>
      </w:r>
    </w:p>
    <w:p>
      <w:pPr>
        <w:keepNext w:val="0"/>
        <w:keepLines w:val="0"/>
        <w:pageBreakBefore w:val="0"/>
        <w:numPr>
          <w:ilvl w:val="0"/>
          <w:numId w:val="7"/>
        </w:numPr>
        <w:kinsoku/>
        <w:wordWrap/>
        <w:overflowPunct/>
        <w:topLinePunct w:val="0"/>
        <w:autoSpaceDE/>
        <w:autoSpaceDN/>
        <w:bidi w:val="0"/>
        <w:adjustRightInd/>
        <w:snapToGrid w:val="0"/>
        <w:spacing w:line="360" w:lineRule="auto"/>
        <w:ind w:firstLine="480" w:firstLineChars="200"/>
        <w:contextualSpacing/>
        <w:textAlignment w:val="auto"/>
        <w:rPr>
          <w:rFonts w:hint="eastAsia" w:ascii="Times New Roman" w:hAnsi="Times New Roman" w:eastAsia="宋体" w:cs="仿宋_GB2312"/>
          <w:color w:val="auto"/>
          <w:kern w:val="2"/>
          <w:sz w:val="24"/>
          <w:szCs w:val="24"/>
          <w:lang w:val="en-US" w:eastAsia="zh-CN" w:bidi="ar-SA"/>
        </w:rPr>
      </w:pPr>
      <w:r>
        <w:rPr>
          <w:rFonts w:hint="eastAsia" w:asciiTheme="minorEastAsia" w:hAnsiTheme="minorEastAsia" w:eastAsiaTheme="minorEastAsia" w:cstheme="minorEastAsia"/>
          <w:sz w:val="24"/>
          <w:szCs w:val="24"/>
          <w:highlight w:val="none"/>
        </w:rPr>
        <w:t>劳务派遣机构必须根据《劳动合同法》的有关规定与派遣至</w:t>
      </w:r>
      <w:r>
        <w:rPr>
          <w:rFonts w:hint="eastAsia" w:asciiTheme="minorEastAsia" w:hAnsiTheme="minorEastAsia" w:eastAsiaTheme="minorEastAsia" w:cstheme="minorEastAsia"/>
          <w:sz w:val="24"/>
          <w:szCs w:val="24"/>
          <w:highlight w:val="none"/>
          <w:lang w:val="en-US" w:eastAsia="zh-CN"/>
        </w:rPr>
        <w:t>用人</w:t>
      </w:r>
      <w:r>
        <w:rPr>
          <w:rFonts w:hint="eastAsia" w:asciiTheme="minorEastAsia" w:hAnsiTheme="minorEastAsia" w:eastAsiaTheme="minorEastAsia" w:cstheme="minorEastAsia"/>
          <w:sz w:val="24"/>
          <w:szCs w:val="24"/>
          <w:highlight w:val="none"/>
        </w:rPr>
        <w:t>单位的派遣人员签订劳动合同，</w:t>
      </w:r>
      <w:r>
        <w:rPr>
          <w:rFonts w:hint="eastAsia" w:ascii="Times New Roman" w:hAnsi="Times New Roman" w:eastAsia="宋体" w:cs="仿宋_GB2312"/>
          <w:color w:val="auto"/>
          <w:kern w:val="2"/>
          <w:sz w:val="24"/>
          <w:szCs w:val="24"/>
          <w:lang w:val="en-US" w:eastAsia="zh-CN" w:bidi="ar-SA"/>
        </w:rPr>
        <w:t>及时提供派遣员工劳动合同期满情况</w:t>
      </w:r>
      <w:r>
        <w:rPr>
          <w:rFonts w:hint="eastAsia" w:cs="仿宋_GB2312"/>
          <w:color w:val="auto"/>
          <w:kern w:val="2"/>
          <w:sz w:val="24"/>
          <w:szCs w:val="24"/>
          <w:lang w:val="en-US" w:eastAsia="zh-CN" w:bidi="ar-SA"/>
        </w:rPr>
        <w:t>，并积极配合</w:t>
      </w:r>
      <w:r>
        <w:rPr>
          <w:rFonts w:hint="eastAsia" w:asciiTheme="minorEastAsia" w:hAnsiTheme="minorEastAsia" w:eastAsiaTheme="minorEastAsia" w:cstheme="minorEastAsia"/>
          <w:sz w:val="24"/>
          <w:szCs w:val="24"/>
          <w:highlight w:val="none"/>
          <w:lang w:eastAsia="zh-CN"/>
        </w:rPr>
        <w:t>用人单位</w:t>
      </w:r>
      <w:r>
        <w:rPr>
          <w:rFonts w:hint="eastAsia" w:asciiTheme="minorEastAsia" w:hAnsiTheme="minorEastAsia" w:eastAsiaTheme="minorEastAsia" w:cstheme="minorEastAsia"/>
          <w:sz w:val="24"/>
          <w:szCs w:val="24"/>
          <w:highlight w:val="none"/>
          <w:lang w:val="en-US" w:eastAsia="zh-CN"/>
        </w:rPr>
        <w:t>进行人员管理</w:t>
      </w:r>
      <w:r>
        <w:rPr>
          <w:rFonts w:hint="eastAsia" w:cs="仿宋_GB2312"/>
          <w:color w:val="auto"/>
          <w:kern w:val="2"/>
          <w:sz w:val="24"/>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（二）劳务派遣机构负责按照用人单位核定的工资单，发放派遣人员的工资，按时为其缴纳社会保险和公积金，并按用人单位的要求及时提供支付凭证。</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（三）劳务派遣机构负责劳务派遣员工人事档案的管理。</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（四）劳务派遣机构</w:t>
      </w:r>
      <w:r>
        <w:rPr>
          <w:rFonts w:hint="eastAsia" w:asciiTheme="minorEastAsia" w:hAnsiTheme="minorEastAsia" w:eastAsiaTheme="minorEastAsia" w:cstheme="minorEastAsia"/>
          <w:sz w:val="24"/>
          <w:szCs w:val="24"/>
          <w:highlight w:val="none"/>
          <w:lang w:val="en-US" w:eastAsia="zh-CN"/>
        </w:rPr>
        <w:t>应及时</w:t>
      </w:r>
      <w:r>
        <w:rPr>
          <w:rFonts w:hint="eastAsia" w:cs="仿宋_GB2312"/>
          <w:color w:val="auto"/>
          <w:kern w:val="2"/>
          <w:sz w:val="24"/>
          <w:szCs w:val="24"/>
          <w:lang w:val="en-US" w:eastAsia="zh-CN" w:bidi="ar-SA"/>
        </w:rPr>
        <w:t>办理派遣人员工伤、劳动争议等情况</w:t>
      </w:r>
      <w:r>
        <w:rPr>
          <w:rFonts w:hint="eastAsia" w:asciiTheme="minorEastAsia" w:hAnsiTheme="minorEastAsia" w:eastAsiaTheme="minorEastAsia" w:cstheme="minorEastAsia"/>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default"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none"/>
        </w:rPr>
        <w:t>（五）劳务派遣机构必须</w:t>
      </w:r>
      <w:r>
        <w:rPr>
          <w:rFonts w:hint="eastAsia" w:ascii="Times New Roman" w:hAnsi="Times New Roman" w:eastAsia="宋体" w:cs="仿宋_GB2312"/>
          <w:color w:val="auto"/>
          <w:kern w:val="2"/>
          <w:sz w:val="24"/>
          <w:szCs w:val="24"/>
          <w:lang w:val="en-US" w:eastAsia="zh-CN" w:bidi="ar-SA"/>
        </w:rPr>
        <w:t>对派遣至</w:t>
      </w:r>
      <w:r>
        <w:rPr>
          <w:rFonts w:hint="eastAsia" w:cs="仿宋_GB2312"/>
          <w:color w:val="auto"/>
          <w:kern w:val="2"/>
          <w:sz w:val="24"/>
          <w:szCs w:val="24"/>
          <w:lang w:val="en-US" w:eastAsia="zh-CN" w:bidi="ar-SA"/>
        </w:rPr>
        <w:t>用人单位</w:t>
      </w:r>
      <w:r>
        <w:rPr>
          <w:rFonts w:hint="eastAsia" w:ascii="Times New Roman" w:hAnsi="Times New Roman" w:eastAsia="宋体" w:cs="仿宋_GB2312"/>
          <w:color w:val="auto"/>
          <w:kern w:val="2"/>
          <w:sz w:val="24"/>
          <w:szCs w:val="24"/>
          <w:lang w:val="en-US" w:eastAsia="zh-CN" w:bidi="ar-SA"/>
        </w:rPr>
        <w:t>的派遣人员进行遵纪守法、职业道德、安全等进行必要的教育</w:t>
      </w:r>
      <w:r>
        <w:rPr>
          <w:rFonts w:hint="eastAsia" w:cs="仿宋_GB2312"/>
          <w:color w:val="auto"/>
          <w:kern w:val="2"/>
          <w:sz w:val="24"/>
          <w:szCs w:val="24"/>
          <w:lang w:val="en-US" w:eastAsia="zh-CN" w:bidi="ar-SA"/>
        </w:rPr>
        <w:t>。</w:t>
      </w:r>
    </w:p>
    <w:p>
      <w:pPr>
        <w:keepNext w:val="0"/>
        <w:keepLines w:val="0"/>
        <w:pageBreakBefore w:val="0"/>
        <w:numPr>
          <w:ilvl w:val="0"/>
          <w:numId w:val="6"/>
        </w:numPr>
        <w:kinsoku/>
        <w:wordWrap/>
        <w:overflowPunct/>
        <w:topLinePunct w:val="0"/>
        <w:autoSpaceDE/>
        <w:autoSpaceDN/>
        <w:bidi w:val="0"/>
        <w:adjustRightInd/>
        <w:snapToGrid w:val="0"/>
        <w:spacing w:line="360" w:lineRule="auto"/>
        <w:textAlignment w:val="auto"/>
        <w:rPr>
          <w:rFonts w:hint="eastAsia" w:ascii="宋体" w:hAnsi="宋体" w:cs="Courier New"/>
          <w:b/>
          <w:bCs/>
          <w:sz w:val="28"/>
          <w:szCs w:val="28"/>
        </w:rPr>
      </w:pPr>
      <w:r>
        <w:rPr>
          <w:rFonts w:hint="eastAsia" w:ascii="宋体" w:hAnsi="宋体" w:cs="Courier New"/>
          <w:b/>
          <w:bCs/>
          <w:sz w:val="28"/>
          <w:szCs w:val="28"/>
        </w:rPr>
        <w:t>采购标的数量、采购项目交付或者实施的时间和地点</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lang w:val="en-US" w:eastAsia="zh-CN"/>
        </w:rPr>
        <w:t>合同签订后</w:t>
      </w:r>
      <w:r>
        <w:rPr>
          <w:rFonts w:hint="eastAsia" w:asciiTheme="minorEastAsia" w:hAnsiTheme="minorEastAsia" w:eastAsiaTheme="minorEastAsia" w:cstheme="minorEastAsia"/>
          <w:sz w:val="24"/>
          <w:szCs w:val="24"/>
        </w:rPr>
        <w:t>实施</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地点：南通市</w:t>
      </w:r>
      <w:r>
        <w:rPr>
          <w:rFonts w:hint="eastAsia" w:asciiTheme="minorEastAsia" w:hAnsiTheme="minorEastAsia" w:eastAsiaTheme="minorEastAsia" w:cstheme="minorEastAsia"/>
          <w:sz w:val="24"/>
          <w:szCs w:val="24"/>
          <w:lang w:val="en-US" w:eastAsia="zh-CN"/>
        </w:rPr>
        <w:t>妇幼保健院</w:t>
      </w:r>
    </w:p>
    <w:p>
      <w:pPr>
        <w:keepNext w:val="0"/>
        <w:keepLines w:val="0"/>
        <w:pageBreakBefore w:val="0"/>
        <w:numPr>
          <w:ilvl w:val="0"/>
          <w:numId w:val="6"/>
        </w:numPr>
        <w:kinsoku/>
        <w:wordWrap/>
        <w:overflowPunct/>
        <w:topLinePunct w:val="0"/>
        <w:autoSpaceDE/>
        <w:autoSpaceDN/>
        <w:bidi w:val="0"/>
        <w:adjustRightInd/>
        <w:snapToGrid w:val="0"/>
        <w:spacing w:line="360" w:lineRule="auto"/>
        <w:textAlignment w:val="auto"/>
        <w:rPr>
          <w:rFonts w:hint="eastAsia" w:ascii="宋体" w:hAnsi="宋体" w:cs="Courier New"/>
          <w:b/>
          <w:bCs/>
          <w:sz w:val="28"/>
          <w:szCs w:val="28"/>
        </w:rPr>
      </w:pPr>
      <w:r>
        <w:rPr>
          <w:rFonts w:hint="eastAsia" w:ascii="宋体" w:hAnsi="宋体" w:cs="Courier New"/>
          <w:b/>
          <w:bCs/>
          <w:sz w:val="28"/>
          <w:szCs w:val="28"/>
        </w:rPr>
        <w:t>采购标的验收标准</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符合采购要求</w:t>
      </w:r>
    </w:p>
    <w:p>
      <w:pPr>
        <w:keepNext w:val="0"/>
        <w:keepLines w:val="0"/>
        <w:pageBreakBefore w:val="0"/>
        <w:numPr>
          <w:ilvl w:val="0"/>
          <w:numId w:val="6"/>
        </w:numPr>
        <w:kinsoku/>
        <w:wordWrap/>
        <w:overflowPunct/>
        <w:topLinePunct w:val="0"/>
        <w:autoSpaceDE/>
        <w:autoSpaceDN/>
        <w:bidi w:val="0"/>
        <w:adjustRightInd/>
        <w:snapToGrid w:val="0"/>
        <w:spacing w:line="360" w:lineRule="auto"/>
        <w:textAlignment w:val="auto"/>
        <w:rPr>
          <w:rFonts w:hint="eastAsia" w:ascii="宋体" w:hAnsi="宋体" w:cs="Courier New"/>
          <w:b/>
          <w:bCs/>
          <w:sz w:val="28"/>
          <w:szCs w:val="28"/>
        </w:rPr>
      </w:pPr>
      <w:r>
        <w:rPr>
          <w:rFonts w:hint="eastAsia" w:ascii="宋体" w:hAnsi="宋体" w:cs="Courier New"/>
          <w:b/>
          <w:bCs/>
          <w:sz w:val="28"/>
          <w:szCs w:val="28"/>
        </w:rPr>
        <w:t>采购标的其他技术、服务等要求</w:t>
      </w:r>
    </w:p>
    <w:p>
      <w:pPr>
        <w:keepNext w:val="0"/>
        <w:keepLines w:val="0"/>
        <w:pageBreakBefore w:val="0"/>
        <w:kinsoku/>
        <w:wordWrap/>
        <w:overflowPunct/>
        <w:topLinePunct w:val="0"/>
        <w:autoSpaceDE/>
        <w:autoSpaceDN/>
        <w:bidi w:val="0"/>
        <w:adjustRightInd/>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参加磋商的供应商所报“管理服务费”的价格应包含用人单位交办所有事项的相关管理费用，报价单位为“元/人/月”。出现人员增、减时，按管理服务费统一标准进行核算。</w:t>
      </w:r>
    </w:p>
    <w:p>
      <w:pPr>
        <w:keepNext w:val="0"/>
        <w:keepLines w:val="0"/>
        <w:pageBreakBefore w:val="0"/>
        <w:numPr>
          <w:ilvl w:val="0"/>
          <w:numId w:val="6"/>
        </w:numPr>
        <w:kinsoku/>
        <w:wordWrap/>
        <w:overflowPunct/>
        <w:topLinePunct w:val="0"/>
        <w:autoSpaceDE/>
        <w:autoSpaceDN/>
        <w:bidi w:val="0"/>
        <w:adjustRightInd/>
        <w:snapToGrid w:val="0"/>
        <w:spacing w:line="360" w:lineRule="auto"/>
        <w:textAlignment w:val="auto"/>
        <w:rPr>
          <w:rFonts w:hint="eastAsia" w:ascii="宋体" w:hAnsi="宋体" w:cs="Courier New"/>
          <w:b/>
          <w:bCs/>
          <w:sz w:val="28"/>
          <w:szCs w:val="28"/>
        </w:rPr>
      </w:pPr>
      <w:r>
        <w:rPr>
          <w:rFonts w:hint="eastAsia" w:ascii="宋体" w:hAnsi="宋体" w:cs="Courier New"/>
          <w:b/>
          <w:bCs/>
          <w:sz w:val="28"/>
          <w:szCs w:val="28"/>
        </w:rPr>
        <w:t>付款条件</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①采购人每月</w:t>
      </w:r>
      <w:r>
        <w:rPr>
          <w:rFonts w:hint="eastAsia" w:ascii="Times New Roman" w:hAnsi="Times New Roman" w:eastAsia="宋体"/>
          <w:color w:val="auto"/>
          <w:sz w:val="24"/>
          <w:szCs w:val="24"/>
          <w:u w:val="single"/>
          <w:lang w:val="en-US" w:eastAsia="zh-CN"/>
        </w:rPr>
        <w:t xml:space="preserve"> 8 </w:t>
      </w:r>
      <w:r>
        <w:rPr>
          <w:rFonts w:hint="eastAsia" w:ascii="Times New Roman" w:hAnsi="Times New Roman" w:eastAsia="宋体"/>
          <w:color w:val="auto"/>
          <w:sz w:val="24"/>
          <w:szCs w:val="24"/>
          <w:lang w:val="en-US" w:eastAsia="zh-CN"/>
        </w:rPr>
        <w:t>日前提供劳务费结算表，成交供应商收到采购人劳务费结算表后应出具正规的劳务票据，采购人收到成交供应商出具的劳务票据后，应在三个工作日内将劳务派遣人员的劳动报酬、社会保险费、住房公积金及服务费等费用汇入成交供应商账户。</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②成交供应商在收到采购人汇款后，应在三个工作日内将劳务派遣人员工资费用送银行打在劳务派遣人员个人银行卡上。</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③甲、乙任何一方如超出规定结算日期，影响劳务派遣人员领取工资的，由责任方承担相应责任。</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④如采购人规定劳务派遣人员工资发放日期的，应在此前五个工作日将劳务派遣人员的劳务费用结算表提交成交供应商。</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⑤如采购人不及时将劳务派遣人员工资等费用汇给成交供应商的，由此违反国家相关规定并对劳务派遣人员造成损失的由采购人负责。成交供应商亦可与采购人解除本协议，劳务派遣人员的后续一切事宜及法律责任均由采购人负责。</w:t>
      </w:r>
    </w:p>
    <w:p>
      <w:pPr>
        <w:spacing w:line="460" w:lineRule="exact"/>
        <w:jc w:val="center"/>
        <w:rPr>
          <w:rFonts w:hint="eastAsia" w:ascii="宋体" w:hAnsi="宋体" w:cs="宋体"/>
          <w:b/>
          <w:bCs/>
          <w:w w:val="80"/>
          <w:sz w:val="44"/>
          <w:szCs w:val="44"/>
        </w:rPr>
      </w:pPr>
    </w:p>
    <w:p>
      <w:pPr>
        <w:spacing w:line="360" w:lineRule="auto"/>
        <w:jc w:val="center"/>
        <w:rPr>
          <w:rFonts w:hint="eastAsia" w:ascii="宋体" w:hAnsi="宋体"/>
          <w:b/>
          <w:bCs/>
          <w:sz w:val="36"/>
          <w:szCs w:val="36"/>
        </w:rPr>
      </w:pPr>
      <w:r>
        <w:rPr>
          <w:rFonts w:hint="eastAsia" w:ascii="宋体" w:hAnsi="宋体"/>
          <w:b/>
          <w:bCs/>
          <w:sz w:val="36"/>
          <w:szCs w:val="36"/>
          <w:lang w:eastAsia="zh-CN"/>
        </w:rPr>
        <w:t>附件：南通市妇幼保健院劳务派遣机构采购项目</w:t>
      </w:r>
      <w:r>
        <w:rPr>
          <w:rFonts w:hint="eastAsia" w:ascii="宋体" w:hAnsi="宋体"/>
          <w:b/>
          <w:bCs/>
          <w:sz w:val="36"/>
          <w:szCs w:val="36"/>
        </w:rPr>
        <w:t>考核表</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序号</w:t>
            </w:r>
          </w:p>
        </w:tc>
        <w:tc>
          <w:tcPr>
            <w:tcW w:w="1513"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考核项目</w:t>
            </w:r>
          </w:p>
        </w:tc>
        <w:tc>
          <w:tcPr>
            <w:tcW w:w="4095"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考核具体内容</w:t>
            </w:r>
          </w:p>
        </w:tc>
        <w:tc>
          <w:tcPr>
            <w:tcW w:w="753" w:type="dxa"/>
            <w:noWrap w:val="0"/>
            <w:vAlign w:val="center"/>
          </w:tcPr>
          <w:p>
            <w:pPr>
              <w:pStyle w:val="16"/>
              <w:rPr>
                <w:rFonts w:ascii="宋体" w:hAnsi="宋体" w:cs="宋体"/>
                <w:sz w:val="24"/>
                <w:szCs w:val="24"/>
              </w:rPr>
            </w:pPr>
            <w:r>
              <w:rPr>
                <w:rFonts w:hint="eastAsia" w:ascii="宋体" w:hAnsi="宋体" w:cs="宋体"/>
                <w:sz w:val="24"/>
                <w:szCs w:val="24"/>
              </w:rPr>
              <w:t>分值</w:t>
            </w:r>
          </w:p>
        </w:tc>
        <w:tc>
          <w:tcPr>
            <w:tcW w:w="837"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考核得分</w:t>
            </w:r>
          </w:p>
        </w:tc>
        <w:tc>
          <w:tcPr>
            <w:tcW w:w="1033"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考核人</w:t>
            </w:r>
          </w:p>
        </w:tc>
        <w:tc>
          <w:tcPr>
            <w:tcW w:w="1247"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559"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13" w:type="dxa"/>
            <w:vMerge w:val="restart"/>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项目内容</w:t>
            </w:r>
          </w:p>
        </w:tc>
        <w:tc>
          <w:tcPr>
            <w:tcW w:w="4095" w:type="dxa"/>
            <w:noWrap w:val="0"/>
            <w:vAlign w:val="center"/>
          </w:tcPr>
          <w:p>
            <w:pPr>
              <w:pStyle w:val="16"/>
              <w:jc w:val="left"/>
              <w:rPr>
                <w:rFonts w:hint="default" w:ascii="Times New Roman" w:hAnsi="Times New Roman" w:eastAsia="宋体" w:cs="仿宋_GB2312"/>
                <w:color w:val="auto"/>
                <w:kern w:val="2"/>
                <w:sz w:val="24"/>
                <w:szCs w:val="24"/>
                <w:lang w:val="en-US" w:eastAsia="zh-CN" w:bidi="ar-SA"/>
              </w:rPr>
            </w:pPr>
            <w:r>
              <w:rPr>
                <w:rFonts w:hint="default" w:ascii="Times New Roman" w:hAnsi="Times New Roman" w:eastAsia="宋体" w:cs="仿宋_GB2312"/>
                <w:color w:val="auto"/>
                <w:kern w:val="2"/>
                <w:sz w:val="24"/>
                <w:szCs w:val="24"/>
                <w:lang w:val="en-US" w:eastAsia="zh-CN" w:bidi="ar-SA"/>
              </w:rPr>
              <w:t>根据《劳动合同法》的有关规定与派遣至</w:t>
            </w:r>
            <w:r>
              <w:rPr>
                <w:rFonts w:hint="eastAsia" w:cs="仿宋_GB2312"/>
                <w:color w:val="auto"/>
                <w:kern w:val="2"/>
                <w:sz w:val="24"/>
                <w:szCs w:val="24"/>
                <w:lang w:val="en-US" w:eastAsia="zh-CN" w:bidi="ar-SA"/>
              </w:rPr>
              <w:t>用人单位</w:t>
            </w:r>
            <w:r>
              <w:rPr>
                <w:rFonts w:hint="default" w:ascii="Times New Roman" w:hAnsi="Times New Roman" w:eastAsia="宋体" w:cs="仿宋_GB2312"/>
                <w:color w:val="auto"/>
                <w:kern w:val="2"/>
                <w:sz w:val="24"/>
                <w:szCs w:val="24"/>
                <w:lang w:val="en-US" w:eastAsia="zh-CN" w:bidi="ar-SA"/>
              </w:rPr>
              <w:t>的派遣人员签订劳动合同</w:t>
            </w:r>
            <w:r>
              <w:rPr>
                <w:rFonts w:hint="eastAsia" w:cs="仿宋_GB2312"/>
                <w:color w:val="auto"/>
                <w:kern w:val="2"/>
                <w:sz w:val="24"/>
                <w:szCs w:val="24"/>
                <w:lang w:val="en-US" w:eastAsia="zh-CN" w:bidi="ar-SA"/>
              </w:rPr>
              <w:t>，</w:t>
            </w:r>
            <w:r>
              <w:rPr>
                <w:rFonts w:hint="eastAsia" w:ascii="Times New Roman" w:hAnsi="Times New Roman" w:eastAsia="宋体" w:cs="仿宋_GB2312"/>
                <w:color w:val="auto"/>
                <w:kern w:val="2"/>
                <w:sz w:val="24"/>
                <w:szCs w:val="24"/>
                <w:lang w:val="en-US" w:eastAsia="zh-CN" w:bidi="ar-SA"/>
              </w:rPr>
              <w:t>及时提供派遣员工劳动合同期满情况</w:t>
            </w:r>
          </w:p>
        </w:tc>
        <w:tc>
          <w:tcPr>
            <w:tcW w:w="753"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eastAsia="宋体" w:cs="宋体"/>
                <w:sz w:val="24"/>
                <w:szCs w:val="24"/>
              </w:rPr>
            </w:pPr>
          </w:p>
        </w:tc>
        <w:tc>
          <w:tcPr>
            <w:tcW w:w="1033" w:type="dxa"/>
            <w:noWrap w:val="0"/>
            <w:vAlign w:val="center"/>
          </w:tcPr>
          <w:p>
            <w:pPr>
              <w:pStyle w:val="16"/>
              <w:jc w:val="center"/>
              <w:rPr>
                <w:rFonts w:hint="eastAsia" w:ascii="宋体" w:hAnsi="宋体" w:eastAsia="宋体" w:cs="宋体"/>
                <w:sz w:val="24"/>
                <w:szCs w:val="24"/>
              </w:rPr>
            </w:pPr>
          </w:p>
        </w:tc>
        <w:tc>
          <w:tcPr>
            <w:tcW w:w="1247" w:type="dxa"/>
            <w:noWrap w:val="0"/>
            <w:vAlign w:val="center"/>
          </w:tcPr>
          <w:p>
            <w:pPr>
              <w:pStyle w:val="1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59"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513" w:type="dxa"/>
            <w:vMerge w:val="continue"/>
            <w:noWrap w:val="0"/>
            <w:vAlign w:val="center"/>
          </w:tcPr>
          <w:p>
            <w:pPr>
              <w:pStyle w:val="16"/>
              <w:jc w:val="center"/>
              <w:rPr>
                <w:rFonts w:hint="default" w:ascii="宋体" w:hAnsi="宋体" w:eastAsia="宋体" w:cs="宋体"/>
                <w:sz w:val="24"/>
                <w:szCs w:val="24"/>
                <w:lang w:val="en-US" w:eastAsia="zh-CN"/>
              </w:rPr>
            </w:pPr>
          </w:p>
        </w:tc>
        <w:tc>
          <w:tcPr>
            <w:tcW w:w="4095" w:type="dxa"/>
            <w:noWrap w:val="0"/>
            <w:vAlign w:val="center"/>
          </w:tcPr>
          <w:p>
            <w:pPr>
              <w:pStyle w:val="16"/>
              <w:jc w:val="left"/>
              <w:rPr>
                <w:rFonts w:hint="default" w:ascii="Times New Roman" w:hAnsi="Times New Roman" w:eastAsia="宋体" w:cs="仿宋_GB2312"/>
                <w:color w:val="auto"/>
                <w:kern w:val="2"/>
                <w:sz w:val="24"/>
                <w:szCs w:val="24"/>
                <w:lang w:val="en-US" w:eastAsia="zh-CN" w:bidi="ar-SA"/>
              </w:rPr>
            </w:pPr>
            <w:r>
              <w:rPr>
                <w:rFonts w:hint="default" w:ascii="Times New Roman" w:hAnsi="Times New Roman" w:eastAsia="宋体" w:cs="仿宋_GB2312"/>
                <w:color w:val="auto"/>
                <w:kern w:val="2"/>
                <w:sz w:val="24"/>
                <w:szCs w:val="24"/>
                <w:lang w:val="en-US" w:eastAsia="zh-CN" w:bidi="ar-SA"/>
              </w:rPr>
              <w:t>按照用人单位核定的工资单，发放派遣人员的工资，按时为其缴纳社会保险和公积金，并按用人单位的要求及时提供支付凭证</w:t>
            </w:r>
          </w:p>
        </w:tc>
        <w:tc>
          <w:tcPr>
            <w:tcW w:w="753"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eastAsia="宋体" w:cs="宋体"/>
                <w:sz w:val="24"/>
                <w:szCs w:val="24"/>
              </w:rPr>
            </w:pPr>
          </w:p>
        </w:tc>
        <w:tc>
          <w:tcPr>
            <w:tcW w:w="1033" w:type="dxa"/>
            <w:noWrap w:val="0"/>
            <w:vAlign w:val="center"/>
          </w:tcPr>
          <w:p>
            <w:pPr>
              <w:pStyle w:val="16"/>
              <w:jc w:val="center"/>
              <w:rPr>
                <w:rFonts w:hint="eastAsia" w:ascii="宋体" w:hAnsi="宋体" w:eastAsia="宋体" w:cs="宋体"/>
                <w:sz w:val="24"/>
                <w:szCs w:val="24"/>
              </w:rPr>
            </w:pPr>
          </w:p>
        </w:tc>
        <w:tc>
          <w:tcPr>
            <w:tcW w:w="1247" w:type="dxa"/>
            <w:noWrap w:val="0"/>
            <w:vAlign w:val="center"/>
          </w:tcPr>
          <w:p>
            <w:pPr>
              <w:pStyle w:val="1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59" w:type="dxa"/>
            <w:noWrap w:val="0"/>
            <w:vAlign w:val="center"/>
          </w:tcPr>
          <w:p>
            <w:pPr>
              <w:pStyle w:val="16"/>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513" w:type="dxa"/>
            <w:vMerge w:val="continue"/>
            <w:noWrap w:val="0"/>
            <w:vAlign w:val="center"/>
          </w:tcPr>
          <w:p>
            <w:pPr>
              <w:pStyle w:val="16"/>
              <w:jc w:val="center"/>
              <w:rPr>
                <w:rFonts w:hint="eastAsia" w:ascii="宋体" w:hAnsi="宋体" w:cs="宋体"/>
                <w:sz w:val="24"/>
                <w:szCs w:val="24"/>
              </w:rPr>
            </w:pPr>
          </w:p>
        </w:tc>
        <w:tc>
          <w:tcPr>
            <w:tcW w:w="4095" w:type="dxa"/>
            <w:noWrap w:val="0"/>
            <w:vAlign w:val="center"/>
          </w:tcPr>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Times New Roman" w:hAnsi="Times New Roman" w:eastAsia="宋体" w:cs="仿宋_GB2312"/>
                <w:color w:val="auto"/>
                <w:kern w:val="2"/>
                <w:sz w:val="24"/>
                <w:szCs w:val="24"/>
                <w:lang w:val="en-US" w:eastAsia="zh-CN" w:bidi="ar-SA"/>
              </w:rPr>
            </w:pPr>
            <w:r>
              <w:rPr>
                <w:rFonts w:hint="eastAsia" w:ascii="Times New Roman" w:hAnsi="Times New Roman" w:eastAsia="宋体" w:cs="仿宋_GB2312"/>
                <w:color w:val="auto"/>
                <w:kern w:val="2"/>
                <w:sz w:val="24"/>
                <w:szCs w:val="24"/>
                <w:lang w:val="en-US" w:eastAsia="zh-CN" w:bidi="ar-SA"/>
              </w:rPr>
              <w:t>负责劳务派遣员工人事档案的管理</w:t>
            </w:r>
          </w:p>
        </w:tc>
        <w:tc>
          <w:tcPr>
            <w:tcW w:w="753"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cs="宋体"/>
                <w:sz w:val="24"/>
                <w:szCs w:val="24"/>
              </w:rPr>
            </w:pPr>
          </w:p>
        </w:tc>
        <w:tc>
          <w:tcPr>
            <w:tcW w:w="1033" w:type="dxa"/>
            <w:noWrap w:val="0"/>
            <w:vAlign w:val="center"/>
          </w:tcPr>
          <w:p>
            <w:pPr>
              <w:pStyle w:val="16"/>
              <w:jc w:val="center"/>
              <w:rPr>
                <w:rFonts w:hint="eastAsia" w:ascii="宋体" w:hAnsi="宋体" w:cs="宋体"/>
                <w:sz w:val="24"/>
                <w:szCs w:val="24"/>
              </w:rPr>
            </w:pPr>
          </w:p>
        </w:tc>
        <w:tc>
          <w:tcPr>
            <w:tcW w:w="1247" w:type="dxa"/>
            <w:noWrap w:val="0"/>
            <w:vAlign w:val="center"/>
          </w:tcPr>
          <w:p>
            <w:pPr>
              <w:pStyle w:val="16"/>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9" w:type="dxa"/>
            <w:noWrap w:val="0"/>
            <w:vAlign w:val="center"/>
          </w:tcPr>
          <w:p>
            <w:pPr>
              <w:pStyle w:val="16"/>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13" w:type="dxa"/>
            <w:vMerge w:val="continue"/>
            <w:noWrap w:val="0"/>
            <w:vAlign w:val="center"/>
          </w:tcPr>
          <w:p>
            <w:pPr>
              <w:pStyle w:val="16"/>
              <w:jc w:val="center"/>
              <w:rPr>
                <w:rFonts w:hint="eastAsia" w:ascii="宋体" w:hAnsi="宋体" w:cs="宋体"/>
                <w:sz w:val="24"/>
                <w:szCs w:val="24"/>
              </w:rPr>
            </w:pPr>
          </w:p>
        </w:tc>
        <w:tc>
          <w:tcPr>
            <w:tcW w:w="4095" w:type="dxa"/>
            <w:noWrap w:val="0"/>
            <w:vAlign w:val="center"/>
          </w:tcPr>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default" w:ascii="Times New Roman" w:hAnsi="Times New Roman" w:eastAsia="宋体" w:cs="仿宋_GB2312"/>
                <w:color w:val="auto"/>
                <w:kern w:val="2"/>
                <w:sz w:val="24"/>
                <w:szCs w:val="24"/>
                <w:lang w:val="en-US" w:eastAsia="zh-CN" w:bidi="ar-SA"/>
              </w:rPr>
            </w:pPr>
            <w:r>
              <w:rPr>
                <w:rFonts w:hint="eastAsia" w:cs="仿宋_GB2312"/>
                <w:color w:val="auto"/>
                <w:kern w:val="2"/>
                <w:sz w:val="24"/>
                <w:szCs w:val="24"/>
                <w:lang w:val="en-US" w:eastAsia="zh-CN" w:bidi="ar-SA"/>
              </w:rPr>
              <w:t>办理工伤、劳动争议等</w:t>
            </w:r>
          </w:p>
        </w:tc>
        <w:tc>
          <w:tcPr>
            <w:tcW w:w="753"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cs="宋体"/>
                <w:sz w:val="24"/>
                <w:szCs w:val="24"/>
              </w:rPr>
            </w:pPr>
          </w:p>
        </w:tc>
        <w:tc>
          <w:tcPr>
            <w:tcW w:w="1033" w:type="dxa"/>
            <w:noWrap w:val="0"/>
            <w:vAlign w:val="center"/>
          </w:tcPr>
          <w:p>
            <w:pPr>
              <w:pStyle w:val="16"/>
              <w:jc w:val="center"/>
              <w:rPr>
                <w:rFonts w:hint="eastAsia" w:ascii="宋体" w:hAnsi="宋体" w:cs="宋体"/>
                <w:sz w:val="24"/>
                <w:szCs w:val="24"/>
              </w:rPr>
            </w:pPr>
          </w:p>
        </w:tc>
        <w:tc>
          <w:tcPr>
            <w:tcW w:w="1247" w:type="dxa"/>
            <w:noWrap w:val="0"/>
            <w:vAlign w:val="center"/>
          </w:tcPr>
          <w:p>
            <w:pPr>
              <w:pStyle w:val="16"/>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59" w:type="dxa"/>
            <w:noWrap w:val="0"/>
            <w:vAlign w:val="center"/>
          </w:tcPr>
          <w:p>
            <w:pPr>
              <w:pStyle w:val="16"/>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13" w:type="dxa"/>
            <w:vMerge w:val="continue"/>
            <w:noWrap w:val="0"/>
            <w:vAlign w:val="center"/>
          </w:tcPr>
          <w:p>
            <w:pPr>
              <w:pStyle w:val="16"/>
              <w:jc w:val="center"/>
              <w:rPr>
                <w:rFonts w:hint="eastAsia" w:ascii="宋体" w:hAnsi="宋体" w:cs="宋体"/>
                <w:sz w:val="24"/>
                <w:szCs w:val="24"/>
              </w:rPr>
            </w:pPr>
          </w:p>
        </w:tc>
        <w:tc>
          <w:tcPr>
            <w:tcW w:w="4095" w:type="dxa"/>
            <w:noWrap w:val="0"/>
            <w:vAlign w:val="center"/>
          </w:tcPr>
          <w:p>
            <w:pPr>
              <w:pStyle w:val="16"/>
              <w:jc w:val="left"/>
              <w:rPr>
                <w:rFonts w:hint="eastAsia" w:ascii="Times New Roman" w:hAnsi="Times New Roman" w:eastAsia="宋体" w:cs="仿宋_GB2312"/>
                <w:color w:val="auto"/>
                <w:kern w:val="2"/>
                <w:sz w:val="24"/>
                <w:szCs w:val="24"/>
                <w:lang w:val="en-US" w:eastAsia="zh-CN" w:bidi="ar-SA"/>
              </w:rPr>
            </w:pPr>
            <w:r>
              <w:rPr>
                <w:rFonts w:hint="eastAsia" w:ascii="Times New Roman" w:hAnsi="Times New Roman" w:eastAsia="宋体" w:cs="仿宋_GB2312"/>
                <w:color w:val="auto"/>
                <w:kern w:val="2"/>
                <w:sz w:val="24"/>
                <w:szCs w:val="24"/>
                <w:lang w:val="en-US" w:eastAsia="zh-CN" w:bidi="ar-SA"/>
              </w:rPr>
              <w:t>对派遣至</w:t>
            </w:r>
            <w:r>
              <w:rPr>
                <w:rFonts w:hint="eastAsia" w:cs="仿宋_GB2312"/>
                <w:color w:val="auto"/>
                <w:kern w:val="2"/>
                <w:sz w:val="24"/>
                <w:szCs w:val="24"/>
                <w:lang w:val="en-US" w:eastAsia="zh-CN" w:bidi="ar-SA"/>
              </w:rPr>
              <w:t>用人单位</w:t>
            </w:r>
            <w:r>
              <w:rPr>
                <w:rFonts w:hint="eastAsia" w:ascii="Times New Roman" w:hAnsi="Times New Roman" w:eastAsia="宋体" w:cs="仿宋_GB2312"/>
                <w:color w:val="auto"/>
                <w:kern w:val="2"/>
                <w:sz w:val="24"/>
                <w:szCs w:val="24"/>
                <w:lang w:val="en-US" w:eastAsia="zh-CN" w:bidi="ar-SA"/>
              </w:rPr>
              <w:t>的派遣人员进行遵纪守法、职业道德、安全等进行必要的教育</w:t>
            </w:r>
          </w:p>
        </w:tc>
        <w:tc>
          <w:tcPr>
            <w:tcW w:w="753" w:type="dxa"/>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cs="宋体"/>
                <w:sz w:val="24"/>
                <w:szCs w:val="24"/>
              </w:rPr>
            </w:pPr>
          </w:p>
        </w:tc>
        <w:tc>
          <w:tcPr>
            <w:tcW w:w="1033" w:type="dxa"/>
            <w:noWrap w:val="0"/>
            <w:vAlign w:val="center"/>
          </w:tcPr>
          <w:p>
            <w:pPr>
              <w:pStyle w:val="16"/>
              <w:jc w:val="center"/>
              <w:rPr>
                <w:rFonts w:hint="eastAsia" w:ascii="宋体" w:hAnsi="宋体" w:cs="宋体"/>
                <w:sz w:val="24"/>
                <w:szCs w:val="24"/>
              </w:rPr>
            </w:pPr>
          </w:p>
        </w:tc>
        <w:tc>
          <w:tcPr>
            <w:tcW w:w="1247" w:type="dxa"/>
            <w:noWrap w:val="0"/>
            <w:vAlign w:val="center"/>
          </w:tcPr>
          <w:p>
            <w:pPr>
              <w:pStyle w:val="16"/>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6"/>
              <w:jc w:val="center"/>
              <w:rPr>
                <w:rFonts w:hint="eastAsia" w:ascii="宋体" w:hAnsi="宋体" w:cs="宋体"/>
                <w:sz w:val="24"/>
                <w:szCs w:val="24"/>
                <w:lang w:val="en-US" w:eastAsia="zh-CN"/>
              </w:rPr>
            </w:pPr>
          </w:p>
        </w:tc>
        <w:tc>
          <w:tcPr>
            <w:tcW w:w="9478" w:type="dxa"/>
            <w:gridSpan w:val="6"/>
            <w:noWrap w:val="0"/>
            <w:vAlign w:val="center"/>
          </w:tcPr>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分，则采购人不再与成交供应商续签合同。</w:t>
            </w:r>
          </w:p>
          <w:p>
            <w:pPr>
              <w:pStyle w:val="16"/>
              <w:jc w:val="center"/>
              <w:rPr>
                <w:rFonts w:hint="eastAsia" w:ascii="宋体" w:hAnsi="宋体" w:cs="宋体"/>
                <w:sz w:val="24"/>
                <w:szCs w:val="24"/>
              </w:rPr>
            </w:pPr>
          </w:p>
        </w:tc>
      </w:tr>
    </w:tbl>
    <w:p>
      <w:pPr>
        <w:spacing w:line="460" w:lineRule="exact"/>
        <w:jc w:val="both"/>
        <w:rPr>
          <w:rFonts w:hint="eastAsia" w:ascii="宋体" w:hAnsi="宋体" w:cs="宋体"/>
          <w:b/>
          <w:bCs/>
          <w:w w:val="80"/>
          <w:sz w:val="44"/>
          <w:szCs w:val="44"/>
        </w:rPr>
      </w:pPr>
    </w:p>
    <w:p>
      <w:pPr>
        <w:spacing w:line="460" w:lineRule="exact"/>
        <w:jc w:val="center"/>
        <w:rPr>
          <w:rFonts w:hint="eastAsia" w:ascii="宋体" w:hAnsi="宋体" w:cs="宋体"/>
          <w:b/>
          <w:bCs/>
          <w:w w:val="80"/>
          <w:sz w:val="44"/>
          <w:szCs w:val="44"/>
        </w:rPr>
      </w:pPr>
    </w:p>
    <w:p>
      <w:pPr>
        <w:spacing w:line="460" w:lineRule="exact"/>
        <w:jc w:val="center"/>
        <w:rPr>
          <w:rFonts w:hint="eastAsia" w:ascii="宋体" w:hAnsi="宋体" w:cs="宋体"/>
          <w:b/>
          <w:bCs/>
          <w:w w:val="80"/>
          <w:sz w:val="44"/>
          <w:szCs w:val="44"/>
        </w:rPr>
      </w:pPr>
    </w:p>
    <w:p>
      <w:pPr>
        <w:spacing w:line="460" w:lineRule="exact"/>
        <w:jc w:val="center"/>
        <w:rPr>
          <w:rFonts w:hint="eastAsia" w:ascii="宋体" w:hAnsi="宋体" w:cs="宋体"/>
          <w:b/>
          <w:bCs/>
          <w:w w:val="80"/>
          <w:sz w:val="44"/>
          <w:szCs w:val="44"/>
        </w:rPr>
      </w:pPr>
    </w:p>
    <w:p>
      <w:pPr>
        <w:spacing w:line="460" w:lineRule="exact"/>
        <w:jc w:val="center"/>
        <w:rPr>
          <w:rFonts w:hint="eastAsia" w:ascii="宋体" w:hAnsi="宋体" w:cs="宋体"/>
          <w:b/>
          <w:bCs/>
          <w:w w:val="80"/>
          <w:sz w:val="44"/>
          <w:szCs w:val="44"/>
        </w:rPr>
      </w:pPr>
    </w:p>
    <w:p>
      <w:pPr>
        <w:spacing w:line="460" w:lineRule="exact"/>
        <w:jc w:val="center"/>
        <w:rPr>
          <w:rFonts w:hint="eastAsia" w:ascii="宋体" w:hAnsi="宋体" w:cs="宋体"/>
          <w:b/>
          <w:bCs/>
          <w:w w:val="80"/>
          <w:sz w:val="44"/>
          <w:szCs w:val="44"/>
        </w:rPr>
      </w:pPr>
    </w:p>
    <w:p>
      <w:pPr>
        <w:spacing w:line="460" w:lineRule="exact"/>
        <w:jc w:val="center"/>
        <w:rPr>
          <w:rFonts w:hint="eastAsia" w:ascii="宋体" w:hAnsi="宋体" w:cs="宋体"/>
          <w:b/>
          <w:bCs/>
          <w:w w:val="80"/>
          <w:sz w:val="44"/>
          <w:szCs w:val="44"/>
        </w:rPr>
      </w:pPr>
    </w:p>
    <w:p>
      <w:pPr>
        <w:spacing w:line="460" w:lineRule="exact"/>
        <w:jc w:val="center"/>
        <w:rPr>
          <w:rFonts w:hint="eastAsia" w:ascii="宋体" w:hAnsi="宋体" w:cs="宋体"/>
          <w:b/>
          <w:bCs/>
          <w:w w:val="80"/>
          <w:sz w:val="44"/>
          <w:szCs w:val="44"/>
        </w:r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37322565"/>
      <w:bookmarkStart w:id="46" w:name="_Toc43217893"/>
      <w:bookmarkStart w:id="47" w:name="_Toc38121794"/>
      <w:bookmarkStart w:id="48" w:name="_Toc182848996"/>
      <w:bookmarkStart w:id="49" w:name="_Toc85627670"/>
      <w:bookmarkStart w:id="50" w:name="_Toc8895742"/>
      <w:bookmarkStart w:id="51" w:name="_Toc11554642"/>
      <w:bookmarkStart w:id="52" w:name="_Toc13803484"/>
      <w:bookmarkStart w:id="53" w:name="_Toc94544873"/>
      <w:bookmarkStart w:id="54" w:name="_Toc11500283"/>
      <w:bookmarkStart w:id="55" w:name="_Toc12670506"/>
      <w:bookmarkStart w:id="56" w:name="_Toc94544747"/>
      <w:bookmarkStart w:id="57" w:name="_Toc11499587"/>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w:t>
      </w:r>
      <w:r>
        <w:rPr>
          <w:rFonts w:hint="eastAsia" w:ascii="宋体" w:hAnsi="宋体" w:cs="宋体"/>
          <w:sz w:val="24"/>
          <w:szCs w:val="24"/>
          <w:lang w:eastAsia="zh-CN"/>
        </w:rPr>
        <w:t>》《</w:t>
      </w:r>
      <w:r>
        <w:rPr>
          <w:rFonts w:hint="eastAsia" w:ascii="宋体" w:hAnsi="宋体" w:cs="宋体"/>
          <w:sz w:val="24"/>
          <w:szCs w:val="24"/>
        </w:rPr>
        <w:t>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hint="eastAsia" w:ascii="宋体" w:hAnsi="宋体" w:cs="宋体"/>
          <w:sz w:val="24"/>
          <w:szCs w:val="24"/>
          <w:lang w:eastAsia="zh-CN"/>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w:t>
      </w:r>
      <w:r>
        <w:rPr>
          <w:rFonts w:hint="eastAsia" w:ascii="宋体" w:hAnsi="宋体" w:cs="宋体"/>
          <w:sz w:val="24"/>
          <w:szCs w:val="24"/>
          <w:lang w:eastAsia="zh-CN"/>
        </w:rPr>
        <w:t>》《</w:t>
      </w:r>
      <w:r>
        <w:rPr>
          <w:rFonts w:hint="eastAsia" w:ascii="宋体" w:hAnsi="宋体" w:cs="宋体"/>
          <w:sz w:val="24"/>
          <w:szCs w:val="24"/>
        </w:rPr>
        <w:t>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w:t>
      </w:r>
      <w:r>
        <w:rPr>
          <w:rFonts w:hint="eastAsia" w:ascii="宋体" w:hAnsi="宋体" w:cs="宋体"/>
          <w:sz w:val="24"/>
          <w:szCs w:val="24"/>
          <w:lang w:eastAsia="zh-CN"/>
        </w:rPr>
        <w:t>需</w:t>
      </w:r>
      <w:r>
        <w:rPr>
          <w:rFonts w:hint="eastAsia" w:ascii="宋体" w:hAnsi="宋体" w:cs="宋体"/>
          <w:sz w:val="24"/>
          <w:szCs w:val="24"/>
        </w:rPr>
        <w:t>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w:t>
      </w:r>
      <w:r>
        <w:rPr>
          <w:rFonts w:hint="eastAsia" w:ascii="宋体" w:hAnsi="宋体" w:cs="宋体"/>
          <w:sz w:val="24"/>
          <w:szCs w:val="24"/>
          <w:lang w:eastAsia="zh-CN"/>
        </w:rPr>
        <w:t>做了实质性</w:t>
      </w:r>
      <w:r>
        <w:rPr>
          <w:rFonts w:hint="eastAsia" w:ascii="宋体" w:hAnsi="宋体" w:cs="宋体"/>
          <w:sz w:val="24"/>
          <w:szCs w:val="24"/>
        </w:rPr>
        <w:t>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w:t>
      </w:r>
      <w:r>
        <w:rPr>
          <w:rFonts w:hint="eastAsia" w:ascii="宋体" w:hAnsi="宋体" w:cs="宋体"/>
          <w:sz w:val="24"/>
          <w:szCs w:val="24"/>
          <w:lang w:eastAsia="zh-CN"/>
        </w:rPr>
        <w:t>法定代表人</w:t>
      </w:r>
      <w:r>
        <w:rPr>
          <w:rFonts w:hint="eastAsia" w:ascii="宋体" w:hAnsi="宋体" w:cs="宋体"/>
          <w:sz w:val="24"/>
          <w:szCs w:val="24"/>
        </w:rPr>
        <w:t>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第三阶段：以供应商价格招标文件内的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85</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15</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hint="default" w:eastAsia="宋体"/>
          <w:lang w:val="en-US" w:eastAsia="zh-CN"/>
        </w:rPr>
      </w:pPr>
      <w:r>
        <w:rPr>
          <w:rFonts w:hint="eastAsia" w:ascii="宋体" w:hAnsi="宋体" w:cs="宋体"/>
          <w:sz w:val="24"/>
          <w:szCs w:val="24"/>
        </w:rPr>
        <w:t>（一）技术磋商响应评审：（</w:t>
      </w:r>
      <w:r>
        <w:rPr>
          <w:rFonts w:hint="eastAsia" w:ascii="宋体" w:hAnsi="宋体" w:cs="宋体"/>
          <w:sz w:val="24"/>
          <w:szCs w:val="24"/>
          <w:lang w:val="en-US" w:eastAsia="zh-CN"/>
        </w:rPr>
        <w:t>85</w:t>
      </w:r>
      <w:r>
        <w:rPr>
          <w:rFonts w:hint="eastAsia" w:ascii="宋体" w:hAnsi="宋体" w:cs="宋体"/>
          <w:sz w:val="24"/>
          <w:szCs w:val="24"/>
        </w:rPr>
        <w:t>分）</w:t>
      </w:r>
    </w:p>
    <w:tbl>
      <w:tblPr>
        <w:tblStyle w:val="51"/>
        <w:tblW w:w="8798" w:type="dxa"/>
        <w:tblInd w:w="93" w:type="dxa"/>
        <w:tblLayout w:type="autofit"/>
        <w:tblCellMar>
          <w:top w:w="0" w:type="dxa"/>
          <w:left w:w="108" w:type="dxa"/>
          <w:bottom w:w="0" w:type="dxa"/>
          <w:right w:w="108" w:type="dxa"/>
        </w:tblCellMar>
      </w:tblPr>
      <w:tblGrid>
        <w:gridCol w:w="630"/>
        <w:gridCol w:w="1386"/>
        <w:gridCol w:w="608"/>
        <w:gridCol w:w="6174"/>
      </w:tblGrid>
      <w:tr>
        <w:tblPrEx>
          <w:tblCellMar>
            <w:top w:w="0" w:type="dxa"/>
            <w:left w:w="108" w:type="dxa"/>
            <w:bottom w:w="0" w:type="dxa"/>
            <w:right w:w="108" w:type="dxa"/>
          </w:tblCellMar>
        </w:tblPrEx>
        <w:trPr>
          <w:trHeight w:val="641"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序号</w:t>
            </w:r>
          </w:p>
        </w:tc>
        <w:tc>
          <w:tcPr>
            <w:tcW w:w="1386"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评分点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名称 </w:t>
            </w:r>
          </w:p>
        </w:tc>
        <w:tc>
          <w:tcPr>
            <w:tcW w:w="608"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分值</w:t>
            </w:r>
          </w:p>
        </w:tc>
        <w:tc>
          <w:tcPr>
            <w:tcW w:w="6174"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评审标准</w:t>
            </w:r>
          </w:p>
        </w:tc>
      </w:tr>
      <w:tr>
        <w:tblPrEx>
          <w:tblCellMar>
            <w:top w:w="0" w:type="dxa"/>
            <w:left w:w="108" w:type="dxa"/>
            <w:bottom w:w="0" w:type="dxa"/>
            <w:right w:w="108" w:type="dxa"/>
          </w:tblCellMar>
        </w:tblPrEx>
        <w:trPr>
          <w:trHeight w:val="641"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86" w:type="dxa"/>
            <w:tcBorders>
              <w:top w:val="single" w:color="auto" w:sz="4" w:space="0"/>
              <w:left w:val="nil"/>
              <w:bottom w:val="single" w:color="auto" w:sz="4" w:space="0"/>
              <w:right w:val="single" w:color="auto" w:sz="4" w:space="0"/>
            </w:tcBorders>
            <w:shd w:val="clear" w:color="auto" w:fill="auto"/>
            <w:noWrap/>
            <w:vAlign w:val="center"/>
          </w:tcPr>
          <w:p>
            <w:pPr>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企业实力</w:t>
            </w:r>
          </w:p>
        </w:tc>
        <w:tc>
          <w:tcPr>
            <w:tcW w:w="608" w:type="dxa"/>
            <w:tcBorders>
              <w:top w:val="single" w:color="auto" w:sz="4" w:space="0"/>
              <w:left w:val="nil"/>
              <w:bottom w:val="single" w:color="auto" w:sz="4" w:space="0"/>
              <w:right w:val="single" w:color="auto" w:sz="4" w:space="0"/>
            </w:tcBorders>
            <w:shd w:val="clear" w:color="auto" w:fill="auto"/>
            <w:noWrap/>
            <w:vAlign w:val="center"/>
          </w:tcPr>
          <w:p>
            <w:pPr>
              <w:jc w:val="left"/>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74"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投标人的团队实力，包括但不限于公司团队规模、组织架构、2022年度缴纳社会保险的劳务派遣(或服务外包)的总人数清单、2018年至今服务过的主要客户等其他能展现公司实力的材料，优秀得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分，良好得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分，一般得4分，差得0分。（提供相关的佐证材料）</w:t>
            </w:r>
          </w:p>
        </w:tc>
      </w:tr>
      <w:tr>
        <w:tblPrEx>
          <w:tblCellMar>
            <w:top w:w="0" w:type="dxa"/>
            <w:left w:w="108" w:type="dxa"/>
            <w:bottom w:w="0" w:type="dxa"/>
            <w:right w:w="108" w:type="dxa"/>
          </w:tblCellMar>
        </w:tblPrEx>
        <w:trPr>
          <w:trHeight w:val="1882"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jc w:val="both"/>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386" w:type="dxa"/>
            <w:tcBorders>
              <w:top w:val="nil"/>
              <w:left w:val="nil"/>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企业体系认证</w:t>
            </w:r>
          </w:p>
        </w:tc>
        <w:tc>
          <w:tcPr>
            <w:tcW w:w="608" w:type="dxa"/>
            <w:tcBorders>
              <w:top w:val="nil"/>
              <w:left w:val="nil"/>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6174" w:type="dxa"/>
            <w:tcBorders>
              <w:top w:val="nil"/>
              <w:left w:val="nil"/>
              <w:bottom w:val="single" w:color="auto" w:sz="4" w:space="0"/>
              <w:right w:val="single" w:color="auto" w:sz="4" w:space="0"/>
            </w:tcBorders>
            <w:shd w:val="clear" w:color="auto" w:fill="auto"/>
            <w:noWrap w:val="0"/>
            <w:vAlign w:val="center"/>
          </w:tcPr>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根据投标人提供的在有效期内质量管理体系、环境管理体系、职业健康安全管理体系进行综合评分。每提供一个得</w:t>
            </w:r>
            <w:r>
              <w:rPr>
                <w:rFonts w:hint="eastAsia" w:ascii="宋体" w:hAnsi="宋体" w:cs="宋体"/>
                <w:sz w:val="24"/>
                <w:szCs w:val="24"/>
                <w:lang w:val="en-US" w:eastAsia="zh-CN"/>
              </w:rPr>
              <w:t>1</w:t>
            </w:r>
            <w:r>
              <w:rPr>
                <w:rFonts w:hint="eastAsia" w:ascii="宋体" w:hAnsi="宋体" w:eastAsia="宋体" w:cs="宋体"/>
                <w:sz w:val="24"/>
                <w:szCs w:val="24"/>
              </w:rPr>
              <w:t>分，最高得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提供证书复印件，并提供在中国认监委官网查询的详细</w:t>
            </w:r>
            <w:r>
              <w:rPr>
                <w:rFonts w:hint="eastAsia" w:ascii="宋体" w:hAnsi="宋体" w:eastAsia="宋体" w:cs="宋体"/>
                <w:sz w:val="24"/>
                <w:szCs w:val="24"/>
                <w:lang w:eastAsia="zh-CN"/>
              </w:rPr>
              <w:t>网址，</w:t>
            </w:r>
            <w:r>
              <w:rPr>
                <w:rFonts w:hint="eastAsia" w:ascii="宋体" w:hAnsi="宋体" w:eastAsia="宋体" w:cs="宋体"/>
                <w:sz w:val="24"/>
                <w:szCs w:val="24"/>
                <w:lang w:val="en-US" w:eastAsia="zh-CN"/>
              </w:rPr>
              <w:t>原件备查</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96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jc w:val="both"/>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386"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具体服务方案和承诺</w:t>
            </w:r>
          </w:p>
        </w:tc>
        <w:tc>
          <w:tcPr>
            <w:tcW w:w="608"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60" w:lineRule="auto"/>
              <w:rPr>
                <w:rFonts w:hint="default" w:ascii="宋体" w:hAnsi="宋体" w:eastAsia="宋体" w:cs="宋体"/>
                <w:color w:val="FF0000"/>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p>
        </w:tc>
        <w:tc>
          <w:tcPr>
            <w:tcW w:w="617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1.派遣人员社保办理</w:t>
            </w:r>
            <w:r>
              <w:rPr>
                <w:rFonts w:hint="eastAsia" w:ascii="宋体" w:hAnsi="宋体" w:cs="宋体"/>
                <w:sz w:val="24"/>
                <w:szCs w:val="24"/>
                <w:lang w:val="en-US" w:eastAsia="zh-CN"/>
              </w:rPr>
              <w:t>、薪酬发放</w:t>
            </w:r>
            <w:r>
              <w:rPr>
                <w:rFonts w:hint="eastAsia" w:ascii="宋体" w:hAnsi="宋体" w:eastAsia="宋体" w:cs="宋体"/>
                <w:sz w:val="24"/>
                <w:szCs w:val="24"/>
                <w:lang w:val="en-US" w:eastAsia="zh-CN"/>
              </w:rPr>
              <w:t>等服务方案和承诺，优秀得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分，良好得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分，一般得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分，差得0分；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2.派遣</w:t>
            </w:r>
            <w:r>
              <w:rPr>
                <w:rFonts w:hint="eastAsia" w:ascii="宋体" w:hAnsi="宋体" w:cs="宋体"/>
                <w:sz w:val="24"/>
                <w:szCs w:val="24"/>
                <w:lang w:val="en-US" w:eastAsia="zh-CN"/>
              </w:rPr>
              <w:t>人员</w:t>
            </w:r>
            <w:r>
              <w:rPr>
                <w:rFonts w:hint="eastAsia" w:ascii="宋体" w:hAnsi="宋体" w:eastAsia="宋体" w:cs="宋体"/>
                <w:sz w:val="24"/>
                <w:szCs w:val="24"/>
                <w:lang w:val="en-US" w:eastAsia="zh-CN"/>
              </w:rPr>
              <w:t>的退工管理、劳动合同管理等服务方案和承诺，优秀得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分，良好得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分，一般得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分，差得0分；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.派遣</w:t>
            </w:r>
            <w:r>
              <w:rPr>
                <w:rFonts w:hint="eastAsia" w:ascii="宋体" w:hAnsi="宋体" w:cs="宋体"/>
                <w:sz w:val="24"/>
                <w:szCs w:val="24"/>
                <w:lang w:val="en-US" w:eastAsia="zh-CN"/>
              </w:rPr>
              <w:t>人员</w:t>
            </w:r>
            <w:r>
              <w:rPr>
                <w:rFonts w:hint="eastAsia" w:ascii="宋体" w:hAnsi="宋体" w:eastAsia="宋体" w:cs="宋体"/>
                <w:sz w:val="24"/>
                <w:szCs w:val="24"/>
                <w:lang w:val="en-US" w:eastAsia="zh-CN"/>
              </w:rPr>
              <w:t>的档案管理方案、信息化技术支持服务方案和承诺，优秀得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分，良好得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分，一般得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分，差得0分；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.派遣</w:t>
            </w:r>
            <w:r>
              <w:rPr>
                <w:rFonts w:hint="eastAsia" w:ascii="宋体" w:hAnsi="宋体" w:cs="宋体"/>
                <w:sz w:val="24"/>
                <w:szCs w:val="24"/>
                <w:lang w:val="en-US" w:eastAsia="zh-CN"/>
              </w:rPr>
              <w:t>人员</w:t>
            </w:r>
            <w:r>
              <w:rPr>
                <w:rFonts w:hint="eastAsia" w:ascii="宋体" w:hAnsi="宋体" w:eastAsia="宋体" w:cs="宋体"/>
                <w:sz w:val="24"/>
                <w:szCs w:val="24"/>
                <w:lang w:val="en-US" w:eastAsia="zh-CN"/>
              </w:rPr>
              <w:t>的劳动争议等事务处理方案，应急事件的处理预案等，优秀得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分，良好得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分，一般得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分，差得0分；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lang w:val="en-US"/>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.政策咨询、安全教育等其他服务方案和承诺，优秀得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分，良好得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分，一般得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分，差得0分。</w:t>
            </w:r>
          </w:p>
        </w:tc>
      </w:tr>
      <w:tr>
        <w:tblPrEx>
          <w:tblCellMar>
            <w:top w:w="0" w:type="dxa"/>
            <w:left w:w="108" w:type="dxa"/>
            <w:bottom w:w="0" w:type="dxa"/>
            <w:right w:w="108" w:type="dxa"/>
          </w:tblCellMar>
        </w:tblPrEx>
        <w:trPr>
          <w:trHeight w:val="9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jc w:val="both"/>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386" w:type="dxa"/>
            <w:tcBorders>
              <w:top w:val="nil"/>
              <w:left w:val="nil"/>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企业诚信信誉</w:t>
            </w:r>
          </w:p>
        </w:tc>
        <w:tc>
          <w:tcPr>
            <w:tcW w:w="608" w:type="dxa"/>
            <w:tcBorders>
              <w:top w:val="nil"/>
              <w:left w:val="nil"/>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5分</w:t>
            </w:r>
          </w:p>
        </w:tc>
        <w:tc>
          <w:tcPr>
            <w:tcW w:w="617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2018年以来</w:t>
            </w:r>
            <w:r>
              <w:rPr>
                <w:rFonts w:hint="eastAsia" w:ascii="宋体" w:hAnsi="宋体" w:eastAsia="宋体" w:cs="宋体"/>
                <w:sz w:val="24"/>
                <w:szCs w:val="24"/>
              </w:rPr>
              <w:t>获得省</w:t>
            </w:r>
            <w:r>
              <w:rPr>
                <w:rFonts w:hint="eastAsia" w:ascii="宋体" w:hAnsi="宋体" w:eastAsia="宋体" w:cs="宋体"/>
                <w:sz w:val="24"/>
                <w:szCs w:val="24"/>
                <w:lang w:val="en-US" w:eastAsia="zh-CN"/>
              </w:rPr>
              <w:t>级</w:t>
            </w:r>
            <w:r>
              <w:rPr>
                <w:rFonts w:hint="eastAsia" w:ascii="宋体" w:hAnsi="宋体" w:eastAsia="宋体" w:cs="宋体"/>
                <w:sz w:val="24"/>
                <w:szCs w:val="24"/>
              </w:rPr>
              <w:t>相关荣誉的得</w:t>
            </w:r>
            <w:r>
              <w:rPr>
                <w:rFonts w:hint="eastAsia" w:ascii="宋体" w:hAnsi="宋体" w:eastAsia="宋体" w:cs="宋体"/>
                <w:sz w:val="24"/>
                <w:szCs w:val="24"/>
                <w:lang w:val="en-US" w:eastAsia="zh-CN"/>
              </w:rPr>
              <w:t>3</w:t>
            </w:r>
            <w:r>
              <w:rPr>
                <w:rFonts w:hint="eastAsia" w:ascii="宋体" w:hAnsi="宋体" w:eastAsia="宋体" w:cs="宋体"/>
                <w:sz w:val="24"/>
                <w:szCs w:val="24"/>
              </w:rPr>
              <w:t>分/个</w:t>
            </w:r>
            <w:r>
              <w:rPr>
                <w:rFonts w:hint="eastAsia" w:ascii="宋体" w:hAnsi="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val="en-US" w:eastAsia="zh-CN"/>
              </w:rPr>
              <w:t>级</w:t>
            </w:r>
            <w:r>
              <w:rPr>
                <w:rFonts w:hint="eastAsia" w:ascii="宋体" w:hAnsi="宋体" w:eastAsia="宋体" w:cs="宋体"/>
                <w:sz w:val="24"/>
                <w:szCs w:val="24"/>
              </w:rPr>
              <w:t>相关荣誉的得</w:t>
            </w:r>
            <w:r>
              <w:rPr>
                <w:rFonts w:hint="eastAsia" w:ascii="宋体" w:hAnsi="宋体" w:eastAsia="宋体" w:cs="宋体"/>
                <w:sz w:val="24"/>
                <w:szCs w:val="24"/>
                <w:lang w:val="en-US" w:eastAsia="zh-CN"/>
              </w:rPr>
              <w:t>1</w:t>
            </w:r>
            <w:r>
              <w:rPr>
                <w:rFonts w:hint="eastAsia" w:ascii="宋体" w:hAnsi="宋体" w:eastAsia="宋体" w:cs="宋体"/>
                <w:sz w:val="24"/>
                <w:szCs w:val="24"/>
              </w:rPr>
              <w:t>分/个。最高得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val="en-US" w:eastAsia="zh-CN"/>
              </w:rPr>
              <w:t>需</w:t>
            </w:r>
            <w:r>
              <w:rPr>
                <w:rFonts w:hint="eastAsia" w:ascii="宋体" w:hAnsi="宋体" w:eastAsia="宋体" w:cs="宋体"/>
                <w:sz w:val="24"/>
                <w:szCs w:val="24"/>
              </w:rPr>
              <w:t>提供获奖证书、发文或含网址的官网截图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原件备查</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1668"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jc w:val="both"/>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5</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业绩</w:t>
            </w:r>
          </w:p>
        </w:tc>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20分 </w:t>
            </w:r>
          </w:p>
        </w:tc>
        <w:tc>
          <w:tcPr>
            <w:tcW w:w="6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人提供2018年以来机关事业单位劳务派遣服务业绩，与同一单位的劳务派遣合同认定为同一业绩。每提供一个劳务派遣人数在100人次（含）以上的业绩，得2分；每提供一个劳务派遣人数在500人次（含）以上的业绩，得</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分。满分1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注：需同时提供客户单位盖章的认可证明和合同复印件为准，否则不得分。认可证明上需有说明服务人数，并有客户单位对接人姓名和电话。</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2.投标人提供2018年以来医院及卫生所等医疗机构相关服务业绩，每提供一个业绩的2分，满分10分。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注：</w:t>
            </w:r>
            <w:r>
              <w:rPr>
                <w:rFonts w:hint="eastAsia" w:ascii="宋体" w:hAnsi="宋体" w:eastAsia="宋体" w:cs="宋体"/>
                <w:b w:val="0"/>
                <w:bCs w:val="0"/>
                <w:sz w:val="24"/>
                <w:szCs w:val="24"/>
                <w:lang w:eastAsia="zh-CN"/>
              </w:rPr>
              <w:t>须提供合同，业绩时间以</w:t>
            </w:r>
            <w:r>
              <w:rPr>
                <w:rFonts w:hint="eastAsia" w:ascii="宋体" w:hAnsi="宋体" w:eastAsia="宋体" w:cs="宋体"/>
                <w:b w:val="0"/>
                <w:bCs w:val="0"/>
                <w:sz w:val="24"/>
                <w:szCs w:val="24"/>
                <w:lang w:val="en-US" w:eastAsia="zh-CN"/>
              </w:rPr>
              <w:t>合同签订</w:t>
            </w:r>
            <w:r>
              <w:rPr>
                <w:rFonts w:hint="eastAsia" w:ascii="宋体" w:hAnsi="宋体" w:eastAsia="宋体" w:cs="宋体"/>
                <w:b w:val="0"/>
                <w:bCs w:val="0"/>
                <w:sz w:val="24"/>
                <w:szCs w:val="24"/>
                <w:lang w:eastAsia="zh-CN"/>
              </w:rPr>
              <w:t>时间为准</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1、2项提供的同一业绩不重复得分,原件备查</w:t>
            </w:r>
            <w:r>
              <w:rPr>
                <w:rFonts w:hint="eastAsia" w:ascii="宋体" w:hAnsi="宋体" w:eastAsia="宋体" w:cs="宋体"/>
                <w:b w:val="0"/>
                <w:bCs w:val="0"/>
                <w:sz w:val="24"/>
                <w:szCs w:val="24"/>
                <w:lang w:eastAsia="zh-CN"/>
              </w:rPr>
              <w:t>。</w:t>
            </w:r>
          </w:p>
        </w:tc>
      </w:tr>
      <w:tr>
        <w:tblPrEx>
          <w:tblCellMar>
            <w:top w:w="0" w:type="dxa"/>
            <w:left w:w="108" w:type="dxa"/>
            <w:bottom w:w="0" w:type="dxa"/>
            <w:right w:w="108" w:type="dxa"/>
          </w:tblCellMar>
        </w:tblPrEx>
        <w:trPr>
          <w:trHeight w:val="1138"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合理化建议</w:t>
            </w:r>
          </w:p>
        </w:tc>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5分</w:t>
            </w:r>
          </w:p>
        </w:tc>
        <w:tc>
          <w:tcPr>
            <w:tcW w:w="6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评委比较各供应商就本项目提出的合理化建议是否具有可操作性，进行打分，最优得5分。</w:t>
            </w:r>
          </w:p>
        </w:tc>
      </w:tr>
      <w:tr>
        <w:tblPrEx>
          <w:tblCellMar>
            <w:top w:w="0" w:type="dxa"/>
            <w:left w:w="108" w:type="dxa"/>
            <w:bottom w:w="0" w:type="dxa"/>
            <w:right w:w="108" w:type="dxa"/>
          </w:tblCellMar>
        </w:tblPrEx>
        <w:trPr>
          <w:trHeight w:val="1668"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宋体"/>
                <w:sz w:val="24"/>
                <w:szCs w:val="24"/>
                <w:lang w:val="en-US" w:eastAsia="zh-CN"/>
              </w:rPr>
              <w:t>风险管控</w:t>
            </w:r>
          </w:p>
        </w:tc>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tc>
        <w:tc>
          <w:tcPr>
            <w:tcW w:w="6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年为员工购买雇主责任险和团体意外险合计达200人及以上的，并承诺为招标人劳务派遣员工进行风险管控的，得4分</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（需提供202</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年为员工购买雇主责任险和团</w:t>
            </w:r>
            <w:r>
              <w:rPr>
                <w:rFonts w:hint="eastAsia" w:ascii="宋体" w:hAnsi="宋体" w:cs="宋体"/>
                <w:b w:val="0"/>
                <w:bCs w:val="0"/>
                <w:sz w:val="24"/>
                <w:szCs w:val="24"/>
                <w:lang w:val="en-US" w:eastAsia="zh-CN"/>
              </w:rPr>
              <w:t>体</w:t>
            </w:r>
            <w:r>
              <w:rPr>
                <w:rFonts w:hint="eastAsia" w:ascii="宋体" w:hAnsi="宋体" w:eastAsia="宋体" w:cs="宋体"/>
                <w:b w:val="0"/>
                <w:bCs w:val="0"/>
                <w:sz w:val="24"/>
                <w:szCs w:val="24"/>
                <w:lang w:val="en-US" w:eastAsia="zh-CN"/>
              </w:rPr>
              <w:t>意</w:t>
            </w:r>
            <w:r>
              <w:rPr>
                <w:rFonts w:hint="eastAsia" w:ascii="宋体" w:hAnsi="宋体" w:cs="宋体"/>
                <w:b w:val="0"/>
                <w:bCs w:val="0"/>
                <w:sz w:val="24"/>
                <w:szCs w:val="24"/>
                <w:lang w:val="en-US" w:eastAsia="zh-CN"/>
              </w:rPr>
              <w:t>外</w:t>
            </w:r>
            <w:r>
              <w:rPr>
                <w:rFonts w:hint="eastAsia" w:ascii="宋体" w:hAnsi="宋体" w:eastAsia="宋体" w:cs="宋体"/>
                <w:b w:val="0"/>
                <w:bCs w:val="0"/>
                <w:sz w:val="24"/>
                <w:szCs w:val="24"/>
                <w:lang w:val="en-US" w:eastAsia="zh-CN"/>
              </w:rPr>
              <w:t>险的合同复印件加盖公章，承诺书格式自拟，原件备查）</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15</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1、本次项目最高限价为人民</w:t>
      </w:r>
      <w:r>
        <w:rPr>
          <w:rFonts w:hint="eastAsia" w:ascii="宋体" w:hAnsi="宋体" w:cs="宋体"/>
          <w:b/>
          <w:bCs w:val="0"/>
          <w:color w:val="auto"/>
          <w:sz w:val="24"/>
          <w:szCs w:val="24"/>
        </w:rPr>
        <w:t>币</w:t>
      </w:r>
      <w:r>
        <w:rPr>
          <w:rFonts w:hint="eastAsia" w:ascii="宋体" w:hAnsi="宋体" w:cs="宋体"/>
          <w:b/>
          <w:bCs w:val="0"/>
          <w:color w:val="auto"/>
          <w:sz w:val="24"/>
          <w:szCs w:val="24"/>
          <w:lang w:val="en-US" w:eastAsia="zh-CN"/>
        </w:rPr>
        <w:t>40</w:t>
      </w:r>
      <w:r>
        <w:rPr>
          <w:rFonts w:hint="eastAsia" w:ascii="宋体" w:hAnsi="宋体" w:cs="宋体"/>
          <w:b/>
          <w:bCs w:val="0"/>
          <w:color w:val="auto"/>
          <w:sz w:val="24"/>
          <w:szCs w:val="24"/>
        </w:rPr>
        <w:t>元/人/月，</w:t>
      </w:r>
      <w:r>
        <w:rPr>
          <w:rFonts w:hint="eastAsia" w:ascii="宋体" w:hAnsi="宋体" w:cs="宋体"/>
          <w:b/>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w:t>
      </w:r>
      <w:r>
        <w:rPr>
          <w:rFonts w:hint="eastAsia" w:ascii="宋体" w:hAnsi="宋体" w:cs="宋体"/>
          <w:sz w:val="24"/>
          <w:szCs w:val="24"/>
          <w:lang w:val="en-US" w:eastAsia="zh-CN"/>
        </w:rPr>
        <w:t>15</w:t>
      </w:r>
      <w:r>
        <w:rPr>
          <w:rFonts w:hint="eastAsia" w:ascii="宋体" w:hAnsi="宋体" w:cs="宋体"/>
          <w:sz w:val="24"/>
          <w:szCs w:val="24"/>
        </w:rPr>
        <w:t>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b/>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15</w:t>
      </w:r>
      <w:r>
        <w:rPr>
          <w:rFonts w:hint="eastAsia" w:ascii="宋体" w:hAnsi="宋体" w:cs="宋体"/>
          <w:b/>
          <w:sz w:val="24"/>
          <w:szCs w:val="24"/>
        </w:rPr>
        <w:t>%×100</w:t>
      </w:r>
    </w:p>
    <w:bookmarkEnd w:id="50"/>
    <w:bookmarkEnd w:id="51"/>
    <w:bookmarkEnd w:id="52"/>
    <w:bookmarkEnd w:id="53"/>
    <w:bookmarkEnd w:id="54"/>
    <w:bookmarkEnd w:id="55"/>
    <w:bookmarkEnd w:id="56"/>
    <w:bookmarkEnd w:id="57"/>
    <w:p>
      <w:pPr>
        <w:snapToGrid w:val="0"/>
        <w:spacing w:line="360" w:lineRule="auto"/>
        <w:ind w:firstLine="482" w:firstLineChars="200"/>
        <w:outlineLvl w:val="1"/>
        <w:rPr>
          <w:rFonts w:ascii="宋体"/>
          <w:b/>
          <w:bCs/>
          <w:sz w:val="24"/>
          <w:szCs w:val="24"/>
        </w:rPr>
      </w:pPr>
      <w:bookmarkStart w:id="59" w:name="_Toc94585343"/>
      <w:bookmarkStart w:id="60" w:name="_Toc363573858"/>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w:t>
      </w:r>
      <w:r>
        <w:rPr>
          <w:rFonts w:hint="eastAsia" w:ascii="宋体" w:hAnsi="宋体" w:cs="宋体"/>
          <w:sz w:val="24"/>
          <w:szCs w:val="24"/>
          <w:lang w:eastAsia="zh-CN"/>
        </w:rPr>
        <w:t>，</w:t>
      </w:r>
      <w:r>
        <w:rPr>
          <w:rFonts w:hint="eastAsia" w:ascii="宋体" w:hAnsi="宋体" w:cs="宋体"/>
          <w:sz w:val="24"/>
          <w:szCs w:val="24"/>
        </w:rPr>
        <w:t>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ascii="宋体" w:hAnsi="宋体"/>
          <w:b/>
          <w:sz w:val="24"/>
        </w:rPr>
      </w:pPr>
      <w:r>
        <w:rPr>
          <w:rFonts w:hint="eastAsia" w:ascii="宋体" w:hAnsi="宋体"/>
          <w:b/>
          <w:sz w:val="24"/>
        </w:rPr>
        <w:t>九、其他注意事项</w:t>
      </w:r>
    </w:p>
    <w:p>
      <w:pPr>
        <w:snapToGrid w:val="0"/>
        <w:spacing w:line="480" w:lineRule="exact"/>
        <w:ind w:firstLine="570"/>
        <w:rPr>
          <w:sz w:val="24"/>
        </w:rPr>
      </w:pPr>
      <w:r>
        <w:rPr>
          <w:sz w:val="24"/>
        </w:rPr>
        <w:t>1、在</w:t>
      </w:r>
      <w:r>
        <w:rPr>
          <w:rFonts w:hint="eastAsia"/>
          <w:sz w:val="24"/>
        </w:rPr>
        <w:t>磋商响应</w:t>
      </w:r>
      <w:r>
        <w:rPr>
          <w:rFonts w:hint="eastAsia" w:ascii="宋体" w:hAnsi="宋体" w:cs="宋体"/>
          <w:sz w:val="24"/>
        </w:rPr>
        <w:t>﹑</w:t>
      </w:r>
      <w:r>
        <w:rPr>
          <w:sz w:val="24"/>
        </w:rPr>
        <w:t>开标时间，</w:t>
      </w:r>
      <w:r>
        <w:rPr>
          <w:rFonts w:hint="eastAsia"/>
          <w:sz w:val="24"/>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rPr>
        <w:t>供应商</w:t>
      </w:r>
      <w:r>
        <w:rPr>
          <w:sz w:val="24"/>
        </w:rPr>
        <w:t>解释落标原因。</w:t>
      </w:r>
    </w:p>
    <w:p>
      <w:pPr>
        <w:snapToGrid w:val="0"/>
        <w:spacing w:line="480" w:lineRule="exact"/>
        <w:ind w:firstLine="570"/>
        <w:rPr>
          <w:sz w:val="24"/>
        </w:rPr>
      </w:pPr>
      <w:r>
        <w:rPr>
          <w:sz w:val="24"/>
        </w:rPr>
        <w:t>3、在</w:t>
      </w:r>
      <w:r>
        <w:rPr>
          <w:rFonts w:hint="eastAsia"/>
          <w:sz w:val="24"/>
        </w:rPr>
        <w:t>磋商响应</w:t>
      </w:r>
      <w:r>
        <w:rPr>
          <w:rFonts w:hint="eastAsia" w:ascii="宋体" w:hAnsi="宋体" w:cs="宋体"/>
          <w:sz w:val="24"/>
        </w:rPr>
        <w:t>﹑</w:t>
      </w:r>
      <w:r>
        <w:rPr>
          <w:sz w:val="24"/>
        </w:rPr>
        <w:t>评标过程中，如果</w:t>
      </w:r>
      <w:r>
        <w:rPr>
          <w:rFonts w:hint="eastAsia"/>
          <w:sz w:val="24"/>
        </w:rPr>
        <w:t>供应商</w:t>
      </w:r>
      <w:r>
        <w:rPr>
          <w:sz w:val="24"/>
        </w:rPr>
        <w:t>联合故意抬高报价或出现其他不正当行为，采购人有权中止</w:t>
      </w:r>
      <w:r>
        <w:rPr>
          <w:rFonts w:hint="eastAsia"/>
          <w:sz w:val="24"/>
        </w:rPr>
        <w:t>磋商响应</w:t>
      </w:r>
      <w:r>
        <w:rPr>
          <w:sz w:val="24"/>
        </w:rPr>
        <w:t>或评标。</w:t>
      </w:r>
    </w:p>
    <w:p>
      <w:pPr>
        <w:snapToGrid w:val="0"/>
        <w:spacing w:line="480" w:lineRule="exact"/>
        <w:ind w:firstLine="570"/>
        <w:rPr>
          <w:sz w:val="24"/>
        </w:rPr>
      </w:pPr>
      <w:r>
        <w:rPr>
          <w:sz w:val="24"/>
        </w:rPr>
        <w:t>4、凡在投</w:t>
      </w:r>
      <w:r>
        <w:rPr>
          <w:rFonts w:hint="eastAsia"/>
          <w:sz w:val="24"/>
        </w:rPr>
        <w:t>磋商响应</w:t>
      </w:r>
      <w:r>
        <w:rPr>
          <w:sz w:val="24"/>
        </w:rPr>
        <w:t>、开标过程中，已提示是否异议的事项，</w:t>
      </w:r>
      <w:r>
        <w:rPr>
          <w:rFonts w:hint="eastAsia"/>
          <w:sz w:val="24"/>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rFonts w:hint="eastAsia"/>
          <w:sz w:val="24"/>
          <w:lang w:eastAsia="zh-CN"/>
        </w:rPr>
        <w:t>二次招标过程中</w:t>
      </w: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bookmarkStart w:id="66" w:name="_GoBack"/>
      <w:bookmarkEnd w:id="66"/>
      <w:r>
        <w:rPr>
          <w:sz w:val="24"/>
          <w:lang w:val="zh-CN"/>
        </w:rPr>
        <w:t>。</w:t>
      </w:r>
    </w:p>
    <w:p>
      <w:pPr>
        <w:pStyle w:val="115"/>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5"/>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bookmarkEnd w:id="59"/>
    <w:bookmarkEnd w:id="60"/>
    <w:p>
      <w:pPr>
        <w:pStyle w:val="3"/>
        <w:keepNext w:val="0"/>
        <w:keepLines w:val="0"/>
        <w:numPr>
          <w:ilvl w:val="0"/>
          <w:numId w:val="0"/>
        </w:numPr>
        <w:snapToGrid w:val="0"/>
        <w:spacing w:before="0" w:after="0" w:line="360" w:lineRule="auto"/>
        <w:jc w:val="center"/>
        <w:rPr>
          <w:rFonts w:hint="eastAsia" w:ascii="宋体" w:hAnsi="宋体" w:cs="宋体"/>
          <w:w w:val="80"/>
        </w:rPr>
      </w:pPr>
    </w:p>
    <w:p>
      <w:pPr>
        <w:pStyle w:val="3"/>
        <w:keepNext w:val="0"/>
        <w:keepLines w:val="0"/>
        <w:numPr>
          <w:ilvl w:val="0"/>
          <w:numId w:val="0"/>
        </w:numPr>
        <w:snapToGrid w:val="0"/>
        <w:spacing w:before="0" w:after="0" w:line="360" w:lineRule="auto"/>
        <w:jc w:val="center"/>
        <w:rPr>
          <w:rFonts w:hint="eastAsia" w:ascii="宋体" w:hAnsi="宋体" w:cs="宋体"/>
          <w:w w:val="80"/>
        </w:rPr>
      </w:pPr>
    </w:p>
    <w:p>
      <w:pPr>
        <w:rPr>
          <w:rFonts w:hint="eastAsia" w:ascii="宋体" w:hAnsi="宋体" w:cs="宋体"/>
          <w:w w:val="80"/>
        </w:rPr>
      </w:pPr>
    </w:p>
    <w:p>
      <w:pPr>
        <w:pStyle w:val="2"/>
        <w:rPr>
          <w:rFonts w:hint="eastAsia"/>
        </w:rPr>
      </w:pPr>
    </w:p>
    <w:p>
      <w:pPr>
        <w:pStyle w:val="39"/>
        <w:ind w:left="0" w:leftChars="0" w:firstLine="0" w:firstLineChars="0"/>
        <w:rPr>
          <w:rFonts w:hint="eastAsia" w:ascii="宋体" w:hAnsi="宋体" w:cs="宋体"/>
          <w:w w:val="80"/>
        </w:rPr>
      </w:pPr>
    </w:p>
    <w:p>
      <w:pPr>
        <w:pStyle w:val="39"/>
        <w:ind w:left="0" w:leftChars="0" w:firstLine="0" w:firstLineChars="0"/>
        <w:rPr>
          <w:rFonts w:hint="eastAsia" w:ascii="宋体" w:hAnsi="宋体" w:cs="宋体"/>
          <w:w w:val="80"/>
        </w:rPr>
      </w:pPr>
    </w:p>
    <w:p>
      <w:pPr>
        <w:pStyle w:val="39"/>
        <w:ind w:left="0" w:leftChars="0" w:firstLine="0" w:firstLineChars="0"/>
        <w:rPr>
          <w:rFonts w:hint="eastAsia" w:ascii="宋体" w:hAnsi="宋体" w:cs="宋体"/>
          <w:w w:val="80"/>
        </w:rPr>
      </w:pPr>
    </w:p>
    <w:p>
      <w:pPr>
        <w:pStyle w:val="39"/>
        <w:ind w:left="0" w:leftChars="0" w:firstLine="0" w:firstLineChars="0"/>
        <w:rPr>
          <w:rFonts w:hint="eastAsia" w:ascii="宋体" w:hAnsi="宋体" w:cs="宋体"/>
          <w:w w:val="80"/>
        </w:rPr>
      </w:pPr>
    </w:p>
    <w:p>
      <w:pPr>
        <w:pStyle w:val="39"/>
        <w:ind w:left="0" w:leftChars="0" w:firstLine="0" w:firstLineChars="0"/>
        <w:rPr>
          <w:rFonts w:hint="eastAsia" w:ascii="宋体" w:hAnsi="宋体" w:cs="宋体"/>
          <w:w w:val="80"/>
        </w:rPr>
      </w:pPr>
    </w:p>
    <w:p>
      <w:pPr>
        <w:pStyle w:val="3"/>
        <w:keepNext w:val="0"/>
        <w:keepLines w:val="0"/>
        <w:numPr>
          <w:ilvl w:val="0"/>
          <w:numId w:val="0"/>
        </w:numPr>
        <w:snapToGrid w:val="0"/>
        <w:spacing w:before="0" w:after="0" w:line="360" w:lineRule="auto"/>
        <w:jc w:val="center"/>
        <w:rPr>
          <w:rFonts w:ascii="宋体" w:hAnsi="宋体"/>
          <w:sz w:val="24"/>
          <w:szCs w:val="24"/>
        </w:rPr>
      </w:pPr>
      <w:r>
        <w:rPr>
          <w:rFonts w:hint="eastAsia" w:ascii="宋体" w:hAnsi="宋体" w:cs="宋体"/>
          <w:w w:val="80"/>
        </w:rPr>
        <w:t>第五章  合同主要条款</w:t>
      </w:r>
      <w:bookmarkStart w:id="61" w:name="_Toc39047827"/>
      <w:bookmarkStart w:id="62" w:name="_Toc20744795"/>
      <w:bookmarkStart w:id="63" w:name="_Toc20744258"/>
    </w:p>
    <w:bookmarkEnd w:id="61"/>
    <w:bookmarkEnd w:id="62"/>
    <w:bookmarkEnd w:id="63"/>
    <w:p>
      <w:pPr>
        <w:spacing w:line="360" w:lineRule="auto"/>
        <w:jc w:val="center"/>
        <w:outlineLvl w:val="0"/>
        <w:rPr>
          <w:rFonts w:ascii="宋体" w:hAnsi="宋体" w:cs="宋体"/>
          <w:b/>
          <w:iCs/>
          <w:w w:val="80"/>
          <w:sz w:val="44"/>
          <w:szCs w:val="44"/>
        </w:rPr>
      </w:pPr>
      <w:bookmarkStart w:id="64" w:name="_Toc29250"/>
      <w:r>
        <w:rPr>
          <w:rFonts w:hint="eastAsia" w:ascii="宋体" w:hAnsi="宋体" w:cs="宋体"/>
          <w:b/>
          <w:iCs/>
          <w:w w:val="80"/>
          <w:sz w:val="44"/>
          <w:szCs w:val="44"/>
        </w:rPr>
        <w:t>合 同 书</w:t>
      </w:r>
      <w:bookmarkEnd w:id="64"/>
    </w:p>
    <w:p>
      <w:pPr>
        <w:pStyle w:val="115"/>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rPr>
        <w:t>采购单位（或称</w:t>
      </w:r>
      <w:r>
        <w:rPr>
          <w:rFonts w:hint="eastAsia" w:ascii="Times New Roman" w:hAnsi="Times New Roman" w:eastAsia="宋体"/>
          <w:sz w:val="24"/>
          <w:szCs w:val="24"/>
          <w:lang w:eastAsia="zh-CN"/>
        </w:rPr>
        <w:t>采购人</w:t>
      </w:r>
      <w:r>
        <w:rPr>
          <w:rFonts w:hint="eastAsia" w:ascii="Times New Roman" w:hAnsi="Times New Roman" w:eastAsia="宋体"/>
          <w:sz w:val="24"/>
          <w:szCs w:val="24"/>
        </w:rPr>
        <w:t xml:space="preserve">）：南通市妇幼保健院  </w:t>
      </w:r>
    </w:p>
    <w:p>
      <w:pPr>
        <w:pStyle w:val="115"/>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rPr>
        <w:t>成交供应商（或称</w:t>
      </w:r>
      <w:r>
        <w:rPr>
          <w:rFonts w:hint="eastAsia" w:ascii="Times New Roman" w:hAnsi="Times New Roman" w:eastAsia="宋体"/>
          <w:sz w:val="24"/>
          <w:szCs w:val="24"/>
          <w:lang w:eastAsia="zh-CN"/>
        </w:rPr>
        <w:t>成交供应商</w:t>
      </w:r>
      <w:r>
        <w:rPr>
          <w:rFonts w:hint="eastAsia" w:ascii="Times New Roman" w:hAnsi="Times New Roman" w:eastAsia="宋体"/>
          <w:sz w:val="24"/>
          <w:szCs w:val="24"/>
        </w:rPr>
        <w:t>）：</w:t>
      </w:r>
      <w:r>
        <w:rPr>
          <w:rFonts w:ascii="Times New Roman" w:hAnsi="Times New Roman" w:eastAsia="宋体"/>
          <w:sz w:val="24"/>
          <w:szCs w:val="24"/>
        </w:rPr>
        <w:t xml:space="preserve">          </w:t>
      </w:r>
      <w:r>
        <w:rPr>
          <w:rFonts w:hint="eastAsia" w:ascii="Times New Roman" w:hAnsi="Times New Roman" w:eastAsia="宋体"/>
          <w:sz w:val="24"/>
          <w:szCs w:val="24"/>
        </w:rPr>
        <w:t xml:space="preserve"> </w:t>
      </w:r>
      <w:r>
        <w:rPr>
          <w:rFonts w:ascii="Times New Roman" w:hAnsi="Times New Roman" w:eastAsia="宋体"/>
          <w:sz w:val="24"/>
          <w:szCs w:val="24"/>
        </w:rPr>
        <w:t xml:space="preserve">               </w:t>
      </w:r>
    </w:p>
    <w:p>
      <w:pPr>
        <w:pStyle w:val="115"/>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rPr>
        <w:t>签订时间：</w:t>
      </w:r>
      <w:r>
        <w:rPr>
          <w:rFonts w:ascii="Times New Roman" w:hAnsi="Times New Roman" w:eastAsia="宋体"/>
          <w:sz w:val="24"/>
          <w:szCs w:val="24"/>
        </w:rPr>
        <w:t xml:space="preserve">  </w:t>
      </w:r>
      <w:r>
        <w:rPr>
          <w:rFonts w:hint="eastAsia" w:ascii="Times New Roman" w:hAnsi="Times New Roman" w:eastAsia="宋体"/>
          <w:sz w:val="24"/>
          <w:szCs w:val="24"/>
        </w:rPr>
        <w:t>202</w:t>
      </w:r>
      <w:r>
        <w:rPr>
          <w:rFonts w:hint="eastAsia" w:ascii="Times New Roman" w:hAnsi="Times New Roman" w:eastAsia="宋体"/>
          <w:sz w:val="24"/>
          <w:szCs w:val="24"/>
          <w:lang w:val="en-US" w:eastAsia="zh-CN"/>
        </w:rPr>
        <w:t>3</w:t>
      </w:r>
      <w:r>
        <w:rPr>
          <w:rFonts w:ascii="Times New Roman" w:hAnsi="Times New Roman" w:eastAsia="宋体"/>
          <w:sz w:val="24"/>
          <w:szCs w:val="24"/>
        </w:rPr>
        <w:t xml:space="preserve">  </w:t>
      </w:r>
      <w:r>
        <w:rPr>
          <w:rFonts w:hint="eastAsia" w:ascii="Times New Roman" w:hAnsi="Times New Roman" w:eastAsia="宋体"/>
          <w:sz w:val="24"/>
          <w:szCs w:val="24"/>
        </w:rPr>
        <w:t>年</w:t>
      </w:r>
      <w:r>
        <w:rPr>
          <w:rFonts w:ascii="Times New Roman" w:hAnsi="Times New Roman" w:eastAsia="宋体"/>
          <w:sz w:val="24"/>
          <w:szCs w:val="24"/>
        </w:rPr>
        <w:t xml:space="preserve">   </w:t>
      </w:r>
      <w:r>
        <w:rPr>
          <w:rFonts w:hint="eastAsia" w:ascii="Times New Roman" w:hAnsi="Times New Roman" w:eastAsia="宋体"/>
          <w:sz w:val="24"/>
          <w:szCs w:val="24"/>
        </w:rPr>
        <w:t>月</w:t>
      </w:r>
      <w:r>
        <w:rPr>
          <w:rFonts w:ascii="Times New Roman" w:hAnsi="Times New Roman" w:eastAsia="宋体"/>
          <w:sz w:val="24"/>
          <w:szCs w:val="24"/>
        </w:rPr>
        <w:t xml:space="preserve">   </w:t>
      </w:r>
      <w:r>
        <w:rPr>
          <w:rFonts w:hint="eastAsia" w:ascii="Times New Roman" w:hAnsi="Times New Roman" w:eastAsia="宋体"/>
          <w:sz w:val="24"/>
          <w:szCs w:val="24"/>
        </w:rPr>
        <w:t>日</w:t>
      </w:r>
    </w:p>
    <w:p>
      <w:pPr>
        <w:pStyle w:val="115"/>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rPr>
        <w:t>签订地点：</w:t>
      </w:r>
      <w:r>
        <w:rPr>
          <w:rFonts w:ascii="Times New Roman" w:hAnsi="Times New Roman" w:eastAsia="宋体"/>
          <w:sz w:val="24"/>
          <w:szCs w:val="24"/>
        </w:rPr>
        <w:t xml:space="preserve">                                 </w:t>
      </w:r>
    </w:p>
    <w:p>
      <w:pPr>
        <w:pStyle w:val="115"/>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rPr>
        <w:t>根据《中华人民共和国政府采购法</w:t>
      </w:r>
      <w:r>
        <w:rPr>
          <w:rFonts w:hint="eastAsia" w:ascii="Times New Roman" w:hAnsi="Times New Roman" w:eastAsia="宋体"/>
          <w:sz w:val="24"/>
          <w:szCs w:val="24"/>
          <w:lang w:eastAsia="zh-CN"/>
        </w:rPr>
        <w:t>》《</w:t>
      </w:r>
      <w:r>
        <w:rPr>
          <w:rFonts w:hint="eastAsia" w:ascii="Times New Roman" w:hAnsi="Times New Roman" w:eastAsia="宋体"/>
          <w:sz w:val="24"/>
          <w:szCs w:val="24"/>
        </w:rPr>
        <w:t>中华人民共和国民法典》及（项目名称）</w:t>
      </w:r>
      <w:r>
        <w:rPr>
          <w:rFonts w:hint="eastAsia" w:ascii="Times New Roman" w:hAnsi="Times New Roman" w:eastAsia="宋体"/>
          <w:sz w:val="24"/>
          <w:szCs w:val="24"/>
          <w:lang w:eastAsia="zh-CN"/>
        </w:rPr>
        <w:t>南通市妇幼保健院劳务派遣机构采购项目</w:t>
      </w:r>
      <w:r>
        <w:rPr>
          <w:rFonts w:hint="eastAsia" w:ascii="Times New Roman" w:hAnsi="Times New Roman" w:eastAsia="宋体"/>
          <w:sz w:val="24"/>
          <w:szCs w:val="24"/>
        </w:rPr>
        <w:t>的采购结果、竞争性磋商响应文件和竞争性磋商文件，经双方协商一致，签订本合同。</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采购人因工作生产需要，诚邀成交供应商建立劳务派遣合作关系。根据《中华人民共和国劳动法》和《中华人民共和国劳动合同法》及相关法律法规的有关规定，经甲、乙双方共同协 商达成协议如下：</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一、本项目合同服务期暂定三年，（预计自</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年</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月</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日起至</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年</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月</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日止）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分，则采购人不再与成交供应商续签合同。</w:t>
      </w:r>
    </w:p>
    <w:p>
      <w:pPr>
        <w:pStyle w:val="115"/>
        <w:snapToGrid w:val="0"/>
        <w:spacing w:line="480" w:lineRule="exact"/>
        <w:ind w:firstLine="494"/>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协议期满，甲、乙双方即终止执行（劳务派遣人员劳动合同与本协议时间不一致，超出本协议的，甲、乙双方应继续按照本协议条款执行）。采购人因工作需要续延劳务派遣协议的，经双方协商同意，可重新签订劳务派遣协议。协议终止后，甲、乙双方不再合作的，采购人应将劳务派遣人员的所有费用与成交供应商结清。如采购人继续使用劳务派遣人员或更换劳务单位，采购人应承认劳务派遣人员工龄前后连续计算，承继劳务派遣人员的一切法律责任和义务。 </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二、成交供应商与劳务派遣人员签订劳动合同后，采购人方可使用。劳务派遣人员一旦与采购人建立用工关系后，采购人应为其缴纳社会保险。</w:t>
      </w:r>
    </w:p>
    <w:p>
      <w:pPr>
        <w:pStyle w:val="115"/>
        <w:snapToGrid w:val="0"/>
        <w:spacing w:line="480" w:lineRule="exact"/>
        <w:ind w:firstLine="494"/>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三、采购人一般应安排劳务派遣人员在临时性、辅助性或替代性的岗位工作，保证劳务派遣人员应享受的合法权益。采购人应将采购人的工作内容、工作要求、工作职责、工作环境、工时制度、计薪方式及劳动报酬等相关规章制度告知劳务派遣人员，并确保劳务派遣人员已知晓。</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mc:AlternateContent>
          <mc:Choice Requires="wps">
            <w:drawing>
              <wp:anchor distT="0" distB="0" distL="114300" distR="114300" simplePos="0" relativeHeight="251660288" behindDoc="1" locked="0" layoutInCell="1" allowOverlap="1">
                <wp:simplePos x="0" y="0"/>
                <wp:positionH relativeFrom="column">
                  <wp:posOffset>609600</wp:posOffset>
                </wp:positionH>
                <wp:positionV relativeFrom="paragraph">
                  <wp:posOffset>46990</wp:posOffset>
                </wp:positionV>
                <wp:extent cx="536575" cy="1847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6575" cy="184785"/>
                        </a:xfrm>
                        <a:prstGeom prst="rect">
                          <a:avLst/>
                        </a:prstGeom>
                        <a:noFill/>
                        <a:ln>
                          <a:noFill/>
                        </a:ln>
                      </wps:spPr>
                      <wps:txbx>
                        <w:txbxContent>
                          <w:p>
                            <w:pPr>
                              <w:spacing w:before="20" w:line="220" w:lineRule="auto"/>
                              <w:rPr>
                                <w:rFonts w:ascii="宋体" w:hAnsi="宋体" w:eastAsia="宋体" w:cs="宋体"/>
                                <w:sz w:val="21"/>
                                <w:szCs w:val="21"/>
                              </w:rPr>
                            </w:pPr>
                          </w:p>
                        </w:txbxContent>
                      </wps:txbx>
                      <wps:bodyPr lIns="0" tIns="0" rIns="0" bIns="0" upright="1"/>
                    </wps:wsp>
                  </a:graphicData>
                </a:graphic>
              </wp:anchor>
            </w:drawing>
          </mc:Choice>
          <mc:Fallback>
            <w:pict>
              <v:shape id="_x0000_s1026" o:spid="_x0000_s1026" o:spt="202" type="#_x0000_t202" style="position:absolute;left:0pt;margin-left:48pt;margin-top:3.7pt;height:14.55pt;width:42.25pt;z-index:-251656192;mso-width-relative:page;mso-height-relative:page;" filled="f" stroked="f" coordsize="21600,21600" o:gfxdata="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WNP3NYAAAAHAQAADwAAAAAAAAABACAAAAAiAAAAZHJzL2Rvd25yZXYueG1sUEsBAhQA&#10;FAAAAAgAh07iQCYxnl67AQAAcQMAAA4AAAAAAAAAAQAgAAAAJQEAAGRycy9lMm9Eb2MueG1sUEsF&#10;BgAAAAAGAAYAWQEAAFIFAAAAAA==&#10;">
                <v:fill on="f" focussize="0,0"/>
                <v:stroke on="f"/>
                <v:imagedata o:title=""/>
                <o:lock v:ext="edit" aspectratio="f"/>
                <v:textbox inset="0mm,0mm,0mm,0mm">
                  <w:txbxContent>
                    <w:p>
                      <w:pPr>
                        <w:spacing w:before="20" w:line="220" w:lineRule="auto"/>
                        <w:rPr>
                          <w:rFonts w:ascii="宋体" w:hAnsi="宋体" w:eastAsia="宋体" w:cs="宋体"/>
                          <w:sz w:val="21"/>
                          <w:szCs w:val="21"/>
                        </w:rPr>
                      </w:pPr>
                    </w:p>
                  </w:txbxContent>
                </v:textbox>
              </v:shape>
            </w:pict>
          </mc:Fallback>
        </mc:AlternateContent>
      </w:r>
      <w:r>
        <w:rPr>
          <w:rFonts w:hint="eastAsia" w:ascii="Times New Roman" w:hAnsi="Times New Roman" w:eastAsia="宋体"/>
          <w:sz w:val="24"/>
          <w:szCs w:val="24"/>
          <w:lang w:val="en-US" w:eastAsia="zh-CN"/>
        </w:rPr>
        <w:t>四、劳务费结算</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1.采购人应按照《劳动合同法》及《江苏省工资支付条例》的有关规定按月及时足额地向成交供应商支付劳务派遣人员劳动报酬，其标准详见采购人向成交供应商每月提供的工资表，</w:t>
      </w:r>
      <w:r>
        <w:rPr>
          <w:rFonts w:hint="eastAsia" w:ascii="Times New Roman" w:hAnsi="Times New Roman" w:eastAsia="宋体"/>
          <w:sz w:val="24"/>
          <w:szCs w:val="24"/>
          <w:highlight w:val="none"/>
          <w:lang w:val="en-US" w:eastAsia="zh-CN"/>
        </w:rPr>
        <w:t>但不得低于南通市区最低工资标准，</w:t>
      </w:r>
      <w:r>
        <w:rPr>
          <w:rFonts w:hint="eastAsia" w:ascii="Times New Roman" w:hAnsi="Times New Roman" w:eastAsia="宋体"/>
          <w:sz w:val="24"/>
          <w:szCs w:val="24"/>
          <w:lang w:val="en-US" w:eastAsia="zh-CN"/>
        </w:rPr>
        <w:t>成交供应商负责按月发放。</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采购人按国家及地方政府规定的标准每月向成交供应商支付劳务派遣人员的住房公积金、社会保险（包括养老、医疗、失业、工伤、生育保险费）等费用，成交供应商负责按月为劳务派遣人员做好缴纳社会保险、住房公积金的相关手续。如采购人未及时将劳务派遣人员社会保险等费用汇给成交供应商，致使劳务派遣人员缴纳社会保险和住房公积金受到影响或停保的，一切责任由采购人承担。</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3.采购人按月支付给成交供应商劳务派遣服务费用，其标准按劳务派遣人员每人每月</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元定额支付（含税）。</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4.劳务费用的结算过程：</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①采购人每月</w:t>
      </w:r>
      <w:r>
        <w:rPr>
          <w:rFonts w:hint="eastAsia" w:ascii="Times New Roman" w:hAnsi="Times New Roman" w:eastAsia="宋体"/>
          <w:color w:val="auto"/>
          <w:sz w:val="24"/>
          <w:szCs w:val="24"/>
          <w:u w:val="single"/>
          <w:lang w:val="en-US" w:eastAsia="zh-CN"/>
        </w:rPr>
        <w:t xml:space="preserve"> 8 </w:t>
      </w:r>
      <w:r>
        <w:rPr>
          <w:rFonts w:hint="eastAsia" w:ascii="Times New Roman" w:hAnsi="Times New Roman" w:eastAsia="宋体"/>
          <w:color w:val="auto"/>
          <w:sz w:val="24"/>
          <w:szCs w:val="24"/>
          <w:lang w:val="en-US" w:eastAsia="zh-CN"/>
        </w:rPr>
        <w:t>日前提供劳务费结算表，成交供应商收到采购人劳务费结算表后应出具正规的劳务票据，采购人收到成交供应商出具的劳务票据后，应在三个工作日内将劳务派遣人员的劳动报酬、社会保险费、住房公积金及服务费等费用汇入成交供应商账户。</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②成交供应商在收到采购人汇款后，应在三个工作日内将劳务派遣人员工资费用送银行打在劳务派遣人员个人银行卡上.</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③甲、乙任何一方如超出规定结算日期，影响劳务派遣人员领取工资的，由责任方承担相应责任。</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④如采购人规定劳务派遣人员工资发放日期的，应在此前五个工作日将劳务派遣人员的劳务费用结算表提交成交供应商。</w:t>
      </w:r>
    </w:p>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⑤如采购人不及时将劳务派遣人员工资等费用汇给成交供应商的，由此违反国家相关规定并对劳务派遣人员造成损失的由采购人负责。成交供应商亦可与采购人解除本协议，劳务派遣人员的后续一切事宜及法律责任均由采购人负责。</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五、采购人应对劳务派遣人员进行上岗前的政治思想教育和安全、业务、操作等方面的培训。为劳务派遣人员提供相应安全的工作场所、劳动条件和劳动保护，按照规定发放劳动保护用品，按照国家有关规定执行工作时间、休息休假等制度。劳务派遣人员因工作事故造成的财产损失以及他人伤害的，成交供应商不承担连带责任。</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六、成交供应商应教育劳务派遣人员服从采购人的管理和工作调配，遵守采购人的各项规章制度，按照规定定额完成采购人下达的生产（工作）任务，维护采购人的利益和企业形象。</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七、劳务派遣人员因工负伤、致残、职业病及死亡，由成交供应商负责办理工伤保险的申报、认定和向工伤保险经办机构结算等相关手续。采购人承担《工伤保险条例》及相关政策规定要求用人单位应承担的工伤待遇及处理费用。</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八、甲、乙双方的职责</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采购人：</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1.用工前负责向成交供应商提供劳务派遣人员参保的相关材料；</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2.负责对劳务派遣人员进行现场管理；</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3.负责劳务派遣人员的考勤考核工作；</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4.按月准时向成交供应商提供劳务派遣人员的工资表和结算劳务费用；</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5.每月22日前向成交供应商通报劳务派遣人员的变动情况；</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6.按国家规定给予劳务派遣人员应享受的休息、休假待遇；</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7.按国家规定足额支付劳务派遣人员的加班费、中夜班补贴等；</w:t>
      </w:r>
    </w:p>
    <w:p>
      <w:pPr>
        <w:pStyle w:val="115"/>
        <w:snapToGrid w:val="0"/>
        <w:spacing w:line="480" w:lineRule="exact"/>
        <w:ind w:firstLine="494"/>
        <w:contextualSpacing/>
        <w:rPr>
          <w:rFonts w:hint="eastAsia" w:ascii="Times New Roman" w:hAnsi="Times New Roman" w:eastAsia="宋体"/>
          <w:i w:val="0"/>
          <w:iCs w:val="0"/>
          <w:sz w:val="24"/>
          <w:szCs w:val="24"/>
          <w:lang w:val="en-US" w:eastAsia="zh-CN"/>
        </w:rPr>
      </w:pPr>
      <w:r>
        <w:rPr>
          <w:rFonts w:hint="eastAsia" w:ascii="Times New Roman" w:hAnsi="Times New Roman" w:eastAsia="宋体"/>
          <w:i w:val="0"/>
          <w:iCs w:val="0"/>
          <w:sz w:val="24"/>
          <w:szCs w:val="24"/>
          <w:lang w:val="en-US" w:eastAsia="zh-CN"/>
        </w:rPr>
        <w:t>8.劳务人员发生工伤事故（疑似工伤事故），成交供应商须按规定时间送工伤部门认定；</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9.承担解除变更或终止劳动合同、发生劳动纠纷等情形时应按规定支付劳务派遣人员的经济补偿费用；</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成交供应商：</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1.负责与劳务派遣人员签订劳动合同；</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2.负责按采购人提供的工资费用按月按时足额发放劳务派遣人员的工资；</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3.负责为劳务派遣人员办理社会保险缴费及基数调整手续；</w:t>
      </w:r>
    </w:p>
    <w:p>
      <w:pPr>
        <w:pStyle w:val="115"/>
        <w:snapToGrid w:val="0"/>
        <w:spacing w:line="480" w:lineRule="exact"/>
        <w:ind w:firstLine="494"/>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4.负责为劳务派遣人员办理住房公积金缴存手续；</w:t>
      </w:r>
    </w:p>
    <w:p>
      <w:pPr>
        <w:pStyle w:val="115"/>
        <w:snapToGrid w:val="0"/>
        <w:spacing w:line="480" w:lineRule="exact"/>
        <w:ind w:left="0" w:leftChars="0" w:firstLine="480" w:firstLineChars="200"/>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5.负责为劳务派遣人员办理工伤事故的申报、认定及工伤保险待遇费用结算经办工作；</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6.负责协调与处理采购人与派遣劳务派遣人员发生的劳动纠纷；</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7.负责劳务派遣人员的人事档案管理，为劳务派遣人员办理劳动合同解除、变更、终止和退休等手续，以及档案、社保等转移手续；</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8.接受采购人对派遣劳务派遣人员的劳动关系手续、缴纳社会保险费、发放劳动报酬、 档案保管等方面情况的检查和监督；如成交供应商引起的差错，由成交供应商承担责任。</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九、因采购人原因造成成交供应商无法及时按规定与劳务派遣人员签订或续签劳动合同的，由采购人承担相应的法律责任。由成交供应商原因造成的，成交供应商承担相应的法律责任。</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十、采购人依法制定、修改或者决定，直接涉及劳务派遣人员切身利益的规章制度和重大事项，应主动、如实告知劳务派遣人员，或采取公告栏、书面文本、电子邮件、本单位网站等便于劳务派遣人员知晓的方式公示。</w:t>
      </w:r>
    </w:p>
    <w:p>
      <w:pPr>
        <w:pStyle w:val="115"/>
        <w:snapToGrid w:val="0"/>
        <w:spacing w:line="480" w:lineRule="exact"/>
        <w:ind w:firstLine="494"/>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十一、双方认为需要规定的其他条款。</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十二、因采购人违反国家法律法规、侵害了劳务派遣人员的合法权益，致使成交供应商成为被告的，采购人承担连带赔偿责任。</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十三、本协议履行期间，甲、乙双方如有变更，需经双方协商一致形成书面文字，并经双方签字、盖章后方可生效。</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十四、 甲、乙双方应严守本协议。本协议未尽事宜，甲、乙双方可根据国家的法律法规协商解决。</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十五、本协议甲、乙双方均有负责保密的义务，不得向任何第三方泄露本协议条款， 任何一方如违反此条例造成的损失，受害方有权追究另一方的法律责任。</w:t>
      </w:r>
    </w:p>
    <w:p>
      <w:pPr>
        <w:pStyle w:val="115"/>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十六、 本协议一式两份，甲、乙双方各执一份，甲、乙双方签字、盖章后生效。</w:t>
      </w:r>
    </w:p>
    <w:p>
      <w:pPr>
        <w:pStyle w:val="115"/>
        <w:snapToGrid w:val="0"/>
        <w:spacing w:line="480" w:lineRule="exact"/>
        <w:ind w:firstLine="494"/>
        <w:contextualSpacing/>
        <w:rPr>
          <w:rFonts w:hint="eastAsia" w:ascii="Times New Roman" w:hAnsi="Times New Roman" w:eastAsia="宋体"/>
          <w:sz w:val="24"/>
          <w:szCs w:val="24"/>
          <w:lang w:val="en-US" w:eastAsia="zh-CN"/>
        </w:rPr>
      </w:pPr>
    </w:p>
    <w:p>
      <w:pPr>
        <w:spacing w:line="315" w:lineRule="auto"/>
        <w:rPr>
          <w:rFonts w:ascii="Arial"/>
          <w:sz w:val="21"/>
        </w:rPr>
      </w:pPr>
    </w:p>
    <w:p>
      <w:pPr>
        <w:spacing w:before="72" w:line="219" w:lineRule="auto"/>
        <w:ind w:left="5119"/>
        <w:rPr>
          <w:rFonts w:hint="eastAsia" w:ascii="Times New Roman" w:hAnsi="Times New Roman" w:eastAsia="宋体" w:cs="仿宋_GB2312"/>
          <w:kern w:val="2"/>
          <w:sz w:val="24"/>
          <w:szCs w:val="24"/>
          <w:lang w:val="en-US" w:eastAsia="zh-CN" w:bidi="ar-SA"/>
        </w:rPr>
      </w:pPr>
      <w:r>
        <w:rPr>
          <w:rFonts w:hint="eastAsia" w:ascii="Times New Roman" w:hAnsi="Times New Roman" w:eastAsia="宋体" w:cs="仿宋_GB2312"/>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33020</wp:posOffset>
                </wp:positionV>
                <wp:extent cx="1505585" cy="6870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05585" cy="687070"/>
                        </a:xfrm>
                        <a:prstGeom prst="rect">
                          <a:avLst/>
                        </a:prstGeom>
                        <a:noFill/>
                        <a:ln>
                          <a:noFill/>
                        </a:ln>
                      </wps:spPr>
                      <wps:txbx>
                        <w:txbxContent>
                          <w:p>
                            <w:pPr>
                              <w:spacing w:before="19" w:line="219" w:lineRule="auto"/>
                              <w:ind w:left="20"/>
                              <w:rPr>
                                <w:rFonts w:ascii="宋体" w:hAnsi="宋体" w:eastAsia="宋体" w:cs="宋体"/>
                                <w:sz w:val="24"/>
                                <w:szCs w:val="24"/>
                              </w:rPr>
                            </w:pPr>
                            <w:r>
                              <w:rPr>
                                <w:rFonts w:ascii="宋体" w:hAnsi="宋体" w:eastAsia="宋体" w:cs="宋体"/>
                                <w:spacing w:val="4"/>
                                <w:sz w:val="24"/>
                                <w:szCs w:val="24"/>
                              </w:rPr>
                              <w:t>甲方(盖章):</w:t>
                            </w:r>
                          </w:p>
                          <w:p>
                            <w:pPr>
                              <w:spacing w:before="61"/>
                              <w:ind w:left="30"/>
                              <w:rPr>
                                <w:sz w:val="24"/>
                                <w:szCs w:val="24"/>
                              </w:rPr>
                            </w:pPr>
                            <w:r>
                              <w:rPr>
                                <w:rFonts w:ascii="宋体" w:hAnsi="宋体" w:eastAsia="宋体" w:cs="宋体"/>
                                <w:spacing w:val="6"/>
                                <w:sz w:val="24"/>
                                <w:szCs w:val="24"/>
                              </w:rPr>
                              <w:t>代表(签字)</w:t>
                            </w:r>
                          </w:p>
                        </w:txbxContent>
                      </wps:txbx>
                      <wps:bodyPr lIns="0" tIns="0" rIns="0" bIns="0" upright="1"/>
                    </wps:wsp>
                  </a:graphicData>
                </a:graphic>
              </wp:anchor>
            </w:drawing>
          </mc:Choice>
          <mc:Fallback>
            <w:pict>
              <v:shape id="_x0000_s1026" o:spid="_x0000_s1026" o:spt="202" type="#_x0000_t202" style="position:absolute;left:0pt;margin-left:78.45pt;margin-top:2.6pt;height:54.1pt;width:118.55pt;z-index:251661312;mso-width-relative:page;mso-height-relative:page;" filled="f" stroked="f" coordsize="21600,21600" o:gfxdata="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QCn7tYAAAAJAQAADwAAAAAAAAABACAAAAAiAAAAZHJzL2Rvd25yZXYueG1sUEsBAhQA&#10;FAAAAAgAh07iQPrpPZ67AQAAcgMAAA4AAAAAAAAAAQAgAAAAJQEAAGRycy9lMm9Eb2MueG1sUEsF&#10;BgAAAAAGAAYAWQEAAFIFAAAAAA==&#10;">
                <v:fill on="f" focussize="0,0"/>
                <v:stroke on="f"/>
                <v:imagedata o:title=""/>
                <o:lock v:ext="edit" aspectratio="f"/>
                <v:textbox inset="0mm,0mm,0mm,0mm">
                  <w:txbxContent>
                    <w:p>
                      <w:pPr>
                        <w:spacing w:before="19" w:line="219" w:lineRule="auto"/>
                        <w:ind w:left="20"/>
                        <w:rPr>
                          <w:rFonts w:ascii="宋体" w:hAnsi="宋体" w:eastAsia="宋体" w:cs="宋体"/>
                          <w:sz w:val="24"/>
                          <w:szCs w:val="24"/>
                        </w:rPr>
                      </w:pPr>
                      <w:r>
                        <w:rPr>
                          <w:rFonts w:ascii="宋体" w:hAnsi="宋体" w:eastAsia="宋体" w:cs="宋体"/>
                          <w:spacing w:val="4"/>
                          <w:sz w:val="24"/>
                          <w:szCs w:val="24"/>
                        </w:rPr>
                        <w:t>甲方(盖章):</w:t>
                      </w:r>
                    </w:p>
                    <w:p>
                      <w:pPr>
                        <w:spacing w:before="61"/>
                        <w:ind w:left="30"/>
                        <w:rPr>
                          <w:sz w:val="24"/>
                          <w:szCs w:val="24"/>
                        </w:rPr>
                      </w:pPr>
                      <w:r>
                        <w:rPr>
                          <w:rFonts w:ascii="宋体" w:hAnsi="宋体" w:eastAsia="宋体" w:cs="宋体"/>
                          <w:spacing w:val="6"/>
                          <w:sz w:val="24"/>
                          <w:szCs w:val="24"/>
                        </w:rPr>
                        <w:t>代表(签字)</w:t>
                      </w:r>
                    </w:p>
                  </w:txbxContent>
                </v:textbox>
              </v:shape>
            </w:pict>
          </mc:Fallback>
        </mc:AlternateContent>
      </w:r>
      <w:r>
        <w:rPr>
          <w:rFonts w:hint="eastAsia" w:cs="仿宋_GB2312"/>
          <w:kern w:val="2"/>
          <w:sz w:val="24"/>
          <w:szCs w:val="24"/>
          <w:lang w:val="en-US" w:eastAsia="zh-CN" w:bidi="ar-SA"/>
        </w:rPr>
        <w:t>成交供应商（</w:t>
      </w:r>
      <w:r>
        <w:rPr>
          <w:rFonts w:hint="eastAsia" w:ascii="Times New Roman" w:hAnsi="Times New Roman" w:eastAsia="宋体" w:cs="仿宋_GB2312"/>
          <w:kern w:val="2"/>
          <w:sz w:val="24"/>
          <w:szCs w:val="24"/>
          <w:lang w:val="en-US" w:eastAsia="zh-CN" w:bidi="ar-SA"/>
        </w:rPr>
        <w:t>盖章</w:t>
      </w:r>
      <w:r>
        <w:rPr>
          <w:rFonts w:hint="eastAsia" w:cs="仿宋_GB2312"/>
          <w:kern w:val="2"/>
          <w:sz w:val="24"/>
          <w:szCs w:val="24"/>
          <w:lang w:val="en-US" w:eastAsia="zh-CN" w:bidi="ar-SA"/>
        </w:rPr>
        <w:t>）</w:t>
      </w:r>
      <w:r>
        <w:rPr>
          <w:rFonts w:hint="eastAsia" w:ascii="Times New Roman" w:hAnsi="Times New Roman" w:eastAsia="宋体" w:cs="仿宋_GB2312"/>
          <w:kern w:val="2"/>
          <w:sz w:val="24"/>
          <w:szCs w:val="24"/>
          <w:lang w:val="en-US" w:eastAsia="zh-CN" w:bidi="ar-SA"/>
        </w:rPr>
        <w:t>:</w:t>
      </w:r>
    </w:p>
    <w:p>
      <w:pPr>
        <w:spacing w:before="92"/>
        <w:ind w:left="5119"/>
        <w:rPr>
          <w:rFonts w:hint="eastAsia" w:ascii="Times New Roman" w:hAnsi="Times New Roman" w:eastAsia="宋体" w:cs="仿宋_GB2312"/>
          <w:kern w:val="2"/>
          <w:sz w:val="24"/>
          <w:szCs w:val="24"/>
          <w:lang w:val="en-US" w:eastAsia="zh-CN" w:bidi="ar-SA"/>
        </w:rPr>
      </w:pPr>
      <w:r>
        <w:rPr>
          <w:rFonts w:hint="eastAsia" w:ascii="Times New Roman" w:hAnsi="Times New Roman" w:eastAsia="宋体" w:cs="仿宋_GB2312"/>
          <w:kern w:val="2"/>
          <w:sz w:val="24"/>
          <w:szCs w:val="24"/>
          <w:lang w:val="en-US" w:eastAsia="zh-CN" w:bidi="ar-SA"/>
        </w:rPr>
        <w:t>代表</w:t>
      </w:r>
      <w:r>
        <w:rPr>
          <w:rFonts w:hint="eastAsia" w:cs="仿宋_GB2312"/>
          <w:kern w:val="2"/>
          <w:sz w:val="24"/>
          <w:szCs w:val="24"/>
          <w:lang w:val="en-US" w:eastAsia="zh-CN" w:bidi="ar-SA"/>
        </w:rPr>
        <w:t>（</w:t>
      </w:r>
      <w:r>
        <w:rPr>
          <w:rFonts w:hint="eastAsia" w:ascii="Times New Roman" w:hAnsi="Times New Roman" w:eastAsia="宋体" w:cs="仿宋_GB2312"/>
          <w:kern w:val="2"/>
          <w:sz w:val="24"/>
          <w:szCs w:val="24"/>
          <w:lang w:val="en-US" w:eastAsia="zh-CN" w:bidi="ar-SA"/>
        </w:rPr>
        <w:t>签字）</w:t>
      </w:r>
    </w:p>
    <w:p>
      <w:pPr>
        <w:pStyle w:val="115"/>
        <w:snapToGrid w:val="0"/>
        <w:spacing w:line="480" w:lineRule="exact"/>
        <w:ind w:firstLine="494"/>
        <w:contextualSpacing/>
        <w:rPr>
          <w:rFonts w:hint="eastAsia" w:ascii="Times New Roman" w:hAnsi="Times New Roman" w:eastAsia="宋体" w:cs="仿宋_GB2312"/>
          <w:kern w:val="2"/>
          <w:sz w:val="24"/>
          <w:szCs w:val="24"/>
          <w:lang w:val="en-US" w:eastAsia="zh-CN" w:bidi="ar-SA"/>
        </w:rPr>
      </w:pPr>
    </w:p>
    <w:p>
      <w:pPr>
        <w:spacing w:line="360" w:lineRule="auto"/>
        <w:jc w:val="center"/>
        <w:rPr>
          <w:rFonts w:hint="eastAsia" w:ascii="宋体" w:hAnsi="宋体"/>
          <w:b/>
          <w:bCs/>
          <w:sz w:val="36"/>
          <w:szCs w:val="36"/>
          <w:lang w:eastAsia="zh-CN"/>
        </w:rPr>
      </w:pPr>
    </w:p>
    <w:p>
      <w:pPr>
        <w:spacing w:line="360" w:lineRule="auto"/>
        <w:jc w:val="center"/>
        <w:rPr>
          <w:rFonts w:hint="eastAsia" w:ascii="宋体" w:hAnsi="宋体"/>
          <w:b/>
          <w:bCs/>
          <w:sz w:val="36"/>
          <w:szCs w:val="36"/>
          <w:lang w:eastAsia="zh-CN"/>
        </w:rPr>
      </w:pPr>
    </w:p>
    <w:p>
      <w:pPr>
        <w:spacing w:line="360" w:lineRule="auto"/>
        <w:jc w:val="center"/>
        <w:rPr>
          <w:rFonts w:hint="eastAsia" w:ascii="宋体" w:hAnsi="宋体"/>
          <w:b/>
          <w:bCs/>
          <w:sz w:val="36"/>
          <w:szCs w:val="36"/>
          <w:lang w:eastAsia="zh-CN"/>
        </w:rPr>
      </w:pPr>
    </w:p>
    <w:p>
      <w:pPr>
        <w:spacing w:line="360" w:lineRule="auto"/>
        <w:jc w:val="center"/>
        <w:rPr>
          <w:rFonts w:hint="eastAsia" w:ascii="宋体" w:hAnsi="宋体"/>
          <w:b/>
          <w:bCs/>
          <w:sz w:val="36"/>
          <w:szCs w:val="36"/>
        </w:rPr>
      </w:pPr>
      <w:r>
        <w:rPr>
          <w:rFonts w:hint="eastAsia" w:ascii="宋体" w:hAnsi="宋体"/>
          <w:b/>
          <w:bCs/>
          <w:sz w:val="36"/>
          <w:szCs w:val="36"/>
          <w:lang w:eastAsia="zh-CN"/>
        </w:rPr>
        <w:t>附件：南通市妇幼保健院劳务派遣机构采购项目</w:t>
      </w:r>
      <w:r>
        <w:rPr>
          <w:rFonts w:hint="eastAsia" w:ascii="宋体" w:hAnsi="宋体"/>
          <w:b/>
          <w:bCs/>
          <w:sz w:val="36"/>
          <w:szCs w:val="36"/>
        </w:rPr>
        <w:t>考核表</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序号</w:t>
            </w:r>
          </w:p>
        </w:tc>
        <w:tc>
          <w:tcPr>
            <w:tcW w:w="1513"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考核项目</w:t>
            </w:r>
          </w:p>
        </w:tc>
        <w:tc>
          <w:tcPr>
            <w:tcW w:w="4095"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考核具体内容</w:t>
            </w:r>
          </w:p>
        </w:tc>
        <w:tc>
          <w:tcPr>
            <w:tcW w:w="753" w:type="dxa"/>
            <w:noWrap w:val="0"/>
            <w:vAlign w:val="center"/>
          </w:tcPr>
          <w:p>
            <w:pPr>
              <w:pStyle w:val="16"/>
              <w:rPr>
                <w:rFonts w:ascii="宋体" w:hAnsi="宋体" w:cs="宋体"/>
                <w:sz w:val="24"/>
                <w:szCs w:val="24"/>
              </w:rPr>
            </w:pPr>
            <w:r>
              <w:rPr>
                <w:rFonts w:hint="eastAsia" w:ascii="宋体" w:hAnsi="宋体" w:cs="宋体"/>
                <w:sz w:val="24"/>
                <w:szCs w:val="24"/>
              </w:rPr>
              <w:t>分值</w:t>
            </w:r>
          </w:p>
        </w:tc>
        <w:tc>
          <w:tcPr>
            <w:tcW w:w="837"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考核得分</w:t>
            </w:r>
          </w:p>
        </w:tc>
        <w:tc>
          <w:tcPr>
            <w:tcW w:w="1033"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考核人</w:t>
            </w:r>
          </w:p>
        </w:tc>
        <w:tc>
          <w:tcPr>
            <w:tcW w:w="1247" w:type="dxa"/>
            <w:noWrap w:val="0"/>
            <w:vAlign w:val="center"/>
          </w:tcPr>
          <w:p>
            <w:pPr>
              <w:pStyle w:val="16"/>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59"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13" w:type="dxa"/>
            <w:vMerge w:val="restart"/>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项目内容</w:t>
            </w:r>
          </w:p>
        </w:tc>
        <w:tc>
          <w:tcPr>
            <w:tcW w:w="4095" w:type="dxa"/>
            <w:noWrap w:val="0"/>
            <w:vAlign w:val="center"/>
          </w:tcPr>
          <w:p>
            <w:pPr>
              <w:pStyle w:val="16"/>
              <w:jc w:val="left"/>
              <w:rPr>
                <w:rFonts w:hint="default" w:ascii="Times New Roman" w:hAnsi="Times New Roman" w:eastAsia="宋体" w:cs="仿宋_GB2312"/>
                <w:color w:val="auto"/>
                <w:kern w:val="2"/>
                <w:sz w:val="24"/>
                <w:szCs w:val="24"/>
                <w:lang w:val="en-US" w:eastAsia="zh-CN" w:bidi="ar-SA"/>
              </w:rPr>
            </w:pPr>
            <w:r>
              <w:rPr>
                <w:rFonts w:hint="default" w:ascii="Times New Roman" w:hAnsi="Times New Roman" w:eastAsia="宋体" w:cs="仿宋_GB2312"/>
                <w:color w:val="auto"/>
                <w:kern w:val="2"/>
                <w:sz w:val="24"/>
                <w:szCs w:val="24"/>
                <w:lang w:val="en-US" w:eastAsia="zh-CN" w:bidi="ar-SA"/>
              </w:rPr>
              <w:t>根据《劳动合同法》的有关规定与派遣至</w:t>
            </w:r>
            <w:r>
              <w:rPr>
                <w:rFonts w:hint="eastAsia" w:cs="仿宋_GB2312"/>
                <w:color w:val="auto"/>
                <w:kern w:val="2"/>
                <w:sz w:val="24"/>
                <w:szCs w:val="24"/>
                <w:lang w:val="en-US" w:eastAsia="zh-CN" w:bidi="ar-SA"/>
              </w:rPr>
              <w:t>用人单位</w:t>
            </w:r>
            <w:r>
              <w:rPr>
                <w:rFonts w:hint="default" w:ascii="Times New Roman" w:hAnsi="Times New Roman" w:eastAsia="宋体" w:cs="仿宋_GB2312"/>
                <w:color w:val="auto"/>
                <w:kern w:val="2"/>
                <w:sz w:val="24"/>
                <w:szCs w:val="24"/>
                <w:lang w:val="en-US" w:eastAsia="zh-CN" w:bidi="ar-SA"/>
              </w:rPr>
              <w:t>的派遣人员签订劳动合同</w:t>
            </w:r>
            <w:r>
              <w:rPr>
                <w:rFonts w:hint="eastAsia" w:cs="仿宋_GB2312"/>
                <w:color w:val="auto"/>
                <w:kern w:val="2"/>
                <w:sz w:val="24"/>
                <w:szCs w:val="24"/>
                <w:lang w:val="en-US" w:eastAsia="zh-CN" w:bidi="ar-SA"/>
              </w:rPr>
              <w:t>，</w:t>
            </w:r>
            <w:r>
              <w:rPr>
                <w:rFonts w:hint="eastAsia" w:ascii="Times New Roman" w:hAnsi="Times New Roman" w:eastAsia="宋体" w:cs="仿宋_GB2312"/>
                <w:color w:val="auto"/>
                <w:kern w:val="2"/>
                <w:sz w:val="24"/>
                <w:szCs w:val="24"/>
                <w:lang w:val="en-US" w:eastAsia="zh-CN" w:bidi="ar-SA"/>
              </w:rPr>
              <w:t>及时提供派遣员工劳动合同期满情况</w:t>
            </w:r>
          </w:p>
        </w:tc>
        <w:tc>
          <w:tcPr>
            <w:tcW w:w="753"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eastAsia="宋体" w:cs="宋体"/>
                <w:sz w:val="24"/>
                <w:szCs w:val="24"/>
              </w:rPr>
            </w:pPr>
          </w:p>
        </w:tc>
        <w:tc>
          <w:tcPr>
            <w:tcW w:w="1033" w:type="dxa"/>
            <w:noWrap w:val="0"/>
            <w:vAlign w:val="center"/>
          </w:tcPr>
          <w:p>
            <w:pPr>
              <w:pStyle w:val="16"/>
              <w:jc w:val="center"/>
              <w:rPr>
                <w:rFonts w:hint="eastAsia" w:ascii="宋体" w:hAnsi="宋体" w:eastAsia="宋体" w:cs="宋体"/>
                <w:sz w:val="24"/>
                <w:szCs w:val="24"/>
              </w:rPr>
            </w:pPr>
          </w:p>
        </w:tc>
        <w:tc>
          <w:tcPr>
            <w:tcW w:w="1247" w:type="dxa"/>
            <w:noWrap w:val="0"/>
            <w:vAlign w:val="center"/>
          </w:tcPr>
          <w:p>
            <w:pPr>
              <w:pStyle w:val="1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59"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513" w:type="dxa"/>
            <w:vMerge w:val="continue"/>
            <w:noWrap w:val="0"/>
            <w:vAlign w:val="center"/>
          </w:tcPr>
          <w:p>
            <w:pPr>
              <w:pStyle w:val="16"/>
              <w:jc w:val="center"/>
              <w:rPr>
                <w:rFonts w:hint="default" w:ascii="宋体" w:hAnsi="宋体" w:eastAsia="宋体" w:cs="宋体"/>
                <w:sz w:val="24"/>
                <w:szCs w:val="24"/>
                <w:lang w:val="en-US" w:eastAsia="zh-CN"/>
              </w:rPr>
            </w:pPr>
          </w:p>
        </w:tc>
        <w:tc>
          <w:tcPr>
            <w:tcW w:w="4095" w:type="dxa"/>
            <w:noWrap w:val="0"/>
            <w:vAlign w:val="center"/>
          </w:tcPr>
          <w:p>
            <w:pPr>
              <w:pStyle w:val="16"/>
              <w:jc w:val="left"/>
              <w:rPr>
                <w:rFonts w:hint="default" w:ascii="Times New Roman" w:hAnsi="Times New Roman" w:eastAsia="宋体" w:cs="仿宋_GB2312"/>
                <w:color w:val="auto"/>
                <w:kern w:val="2"/>
                <w:sz w:val="24"/>
                <w:szCs w:val="24"/>
                <w:lang w:val="en-US" w:eastAsia="zh-CN" w:bidi="ar-SA"/>
              </w:rPr>
            </w:pPr>
            <w:r>
              <w:rPr>
                <w:rFonts w:hint="default" w:ascii="Times New Roman" w:hAnsi="Times New Roman" w:eastAsia="宋体" w:cs="仿宋_GB2312"/>
                <w:color w:val="auto"/>
                <w:kern w:val="2"/>
                <w:sz w:val="24"/>
                <w:szCs w:val="24"/>
                <w:lang w:val="en-US" w:eastAsia="zh-CN" w:bidi="ar-SA"/>
              </w:rPr>
              <w:t>按照用人单位核定的工资单，发放派遣人员的工资，按时为其缴纳社会保险和公积金，并按用人单位的要求及时提供支付凭证</w:t>
            </w:r>
          </w:p>
        </w:tc>
        <w:tc>
          <w:tcPr>
            <w:tcW w:w="753" w:type="dxa"/>
            <w:noWrap w:val="0"/>
            <w:vAlign w:val="center"/>
          </w:tcPr>
          <w:p>
            <w:pPr>
              <w:pStyle w:val="1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eastAsia="宋体" w:cs="宋体"/>
                <w:sz w:val="24"/>
                <w:szCs w:val="24"/>
              </w:rPr>
            </w:pPr>
          </w:p>
        </w:tc>
        <w:tc>
          <w:tcPr>
            <w:tcW w:w="1033" w:type="dxa"/>
            <w:noWrap w:val="0"/>
            <w:vAlign w:val="center"/>
          </w:tcPr>
          <w:p>
            <w:pPr>
              <w:pStyle w:val="16"/>
              <w:jc w:val="center"/>
              <w:rPr>
                <w:rFonts w:hint="eastAsia" w:ascii="宋体" w:hAnsi="宋体" w:eastAsia="宋体" w:cs="宋体"/>
                <w:sz w:val="24"/>
                <w:szCs w:val="24"/>
              </w:rPr>
            </w:pPr>
          </w:p>
        </w:tc>
        <w:tc>
          <w:tcPr>
            <w:tcW w:w="1247" w:type="dxa"/>
            <w:noWrap w:val="0"/>
            <w:vAlign w:val="center"/>
          </w:tcPr>
          <w:p>
            <w:pPr>
              <w:pStyle w:val="1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6"/>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513" w:type="dxa"/>
            <w:vMerge w:val="continue"/>
            <w:noWrap w:val="0"/>
            <w:vAlign w:val="center"/>
          </w:tcPr>
          <w:p>
            <w:pPr>
              <w:pStyle w:val="16"/>
              <w:jc w:val="center"/>
              <w:rPr>
                <w:rFonts w:hint="eastAsia" w:ascii="宋体" w:hAnsi="宋体" w:cs="宋体"/>
                <w:sz w:val="24"/>
                <w:szCs w:val="24"/>
              </w:rPr>
            </w:pPr>
          </w:p>
        </w:tc>
        <w:tc>
          <w:tcPr>
            <w:tcW w:w="4095" w:type="dxa"/>
            <w:noWrap w:val="0"/>
            <w:vAlign w:val="center"/>
          </w:tcPr>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Times New Roman" w:hAnsi="Times New Roman" w:eastAsia="宋体" w:cs="仿宋_GB2312"/>
                <w:color w:val="auto"/>
                <w:kern w:val="2"/>
                <w:sz w:val="24"/>
                <w:szCs w:val="24"/>
                <w:lang w:val="en-US" w:eastAsia="zh-CN" w:bidi="ar-SA"/>
              </w:rPr>
            </w:pPr>
            <w:r>
              <w:rPr>
                <w:rFonts w:hint="eastAsia" w:ascii="Times New Roman" w:hAnsi="Times New Roman" w:eastAsia="宋体" w:cs="仿宋_GB2312"/>
                <w:color w:val="auto"/>
                <w:kern w:val="2"/>
                <w:sz w:val="24"/>
                <w:szCs w:val="24"/>
                <w:lang w:val="en-US" w:eastAsia="zh-CN" w:bidi="ar-SA"/>
              </w:rPr>
              <w:t>负责劳务派遣员工人事档案的管理</w:t>
            </w:r>
          </w:p>
        </w:tc>
        <w:tc>
          <w:tcPr>
            <w:tcW w:w="753"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cs="宋体"/>
                <w:sz w:val="24"/>
                <w:szCs w:val="24"/>
              </w:rPr>
            </w:pPr>
          </w:p>
        </w:tc>
        <w:tc>
          <w:tcPr>
            <w:tcW w:w="1033" w:type="dxa"/>
            <w:noWrap w:val="0"/>
            <w:vAlign w:val="center"/>
          </w:tcPr>
          <w:p>
            <w:pPr>
              <w:pStyle w:val="16"/>
              <w:jc w:val="center"/>
              <w:rPr>
                <w:rFonts w:hint="eastAsia" w:ascii="宋体" w:hAnsi="宋体" w:cs="宋体"/>
                <w:sz w:val="24"/>
                <w:szCs w:val="24"/>
              </w:rPr>
            </w:pPr>
          </w:p>
        </w:tc>
        <w:tc>
          <w:tcPr>
            <w:tcW w:w="1247" w:type="dxa"/>
            <w:noWrap w:val="0"/>
            <w:vAlign w:val="center"/>
          </w:tcPr>
          <w:p>
            <w:pPr>
              <w:pStyle w:val="16"/>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9" w:type="dxa"/>
            <w:noWrap w:val="0"/>
            <w:vAlign w:val="center"/>
          </w:tcPr>
          <w:p>
            <w:pPr>
              <w:pStyle w:val="16"/>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13" w:type="dxa"/>
            <w:vMerge w:val="continue"/>
            <w:noWrap w:val="0"/>
            <w:vAlign w:val="center"/>
          </w:tcPr>
          <w:p>
            <w:pPr>
              <w:pStyle w:val="16"/>
              <w:jc w:val="center"/>
              <w:rPr>
                <w:rFonts w:hint="eastAsia" w:ascii="宋体" w:hAnsi="宋体" w:cs="宋体"/>
                <w:sz w:val="24"/>
                <w:szCs w:val="24"/>
              </w:rPr>
            </w:pPr>
          </w:p>
        </w:tc>
        <w:tc>
          <w:tcPr>
            <w:tcW w:w="4095" w:type="dxa"/>
            <w:noWrap w:val="0"/>
            <w:vAlign w:val="center"/>
          </w:tcPr>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default" w:ascii="Times New Roman" w:hAnsi="Times New Roman" w:eastAsia="宋体" w:cs="仿宋_GB2312"/>
                <w:color w:val="auto"/>
                <w:kern w:val="2"/>
                <w:sz w:val="24"/>
                <w:szCs w:val="24"/>
                <w:lang w:val="en-US" w:eastAsia="zh-CN" w:bidi="ar-SA"/>
              </w:rPr>
            </w:pPr>
            <w:r>
              <w:rPr>
                <w:rFonts w:hint="eastAsia" w:cs="仿宋_GB2312"/>
                <w:color w:val="auto"/>
                <w:kern w:val="2"/>
                <w:sz w:val="24"/>
                <w:szCs w:val="24"/>
                <w:lang w:val="en-US" w:eastAsia="zh-CN" w:bidi="ar-SA"/>
              </w:rPr>
              <w:t>办理工伤、劳动争议等</w:t>
            </w:r>
          </w:p>
        </w:tc>
        <w:tc>
          <w:tcPr>
            <w:tcW w:w="753"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cs="宋体"/>
                <w:sz w:val="24"/>
                <w:szCs w:val="24"/>
              </w:rPr>
            </w:pPr>
          </w:p>
        </w:tc>
        <w:tc>
          <w:tcPr>
            <w:tcW w:w="1033" w:type="dxa"/>
            <w:noWrap w:val="0"/>
            <w:vAlign w:val="center"/>
          </w:tcPr>
          <w:p>
            <w:pPr>
              <w:pStyle w:val="16"/>
              <w:jc w:val="center"/>
              <w:rPr>
                <w:rFonts w:hint="eastAsia" w:ascii="宋体" w:hAnsi="宋体" w:cs="宋体"/>
                <w:sz w:val="24"/>
                <w:szCs w:val="24"/>
              </w:rPr>
            </w:pPr>
          </w:p>
        </w:tc>
        <w:tc>
          <w:tcPr>
            <w:tcW w:w="1247" w:type="dxa"/>
            <w:noWrap w:val="0"/>
            <w:vAlign w:val="center"/>
          </w:tcPr>
          <w:p>
            <w:pPr>
              <w:pStyle w:val="16"/>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59" w:type="dxa"/>
            <w:noWrap w:val="0"/>
            <w:vAlign w:val="center"/>
          </w:tcPr>
          <w:p>
            <w:pPr>
              <w:pStyle w:val="16"/>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13" w:type="dxa"/>
            <w:vMerge w:val="continue"/>
            <w:noWrap w:val="0"/>
            <w:vAlign w:val="center"/>
          </w:tcPr>
          <w:p>
            <w:pPr>
              <w:pStyle w:val="16"/>
              <w:jc w:val="center"/>
              <w:rPr>
                <w:rFonts w:hint="eastAsia" w:ascii="宋体" w:hAnsi="宋体" w:cs="宋体"/>
                <w:sz w:val="24"/>
                <w:szCs w:val="24"/>
              </w:rPr>
            </w:pPr>
          </w:p>
        </w:tc>
        <w:tc>
          <w:tcPr>
            <w:tcW w:w="4095" w:type="dxa"/>
            <w:noWrap w:val="0"/>
            <w:vAlign w:val="center"/>
          </w:tcPr>
          <w:p>
            <w:pPr>
              <w:pStyle w:val="16"/>
              <w:jc w:val="left"/>
              <w:rPr>
                <w:rFonts w:hint="eastAsia" w:ascii="Times New Roman" w:hAnsi="Times New Roman" w:eastAsia="宋体" w:cs="仿宋_GB2312"/>
                <w:color w:val="auto"/>
                <w:kern w:val="2"/>
                <w:sz w:val="24"/>
                <w:szCs w:val="24"/>
                <w:lang w:val="en-US" w:eastAsia="zh-CN" w:bidi="ar-SA"/>
              </w:rPr>
            </w:pPr>
            <w:r>
              <w:rPr>
                <w:rFonts w:hint="eastAsia" w:ascii="Times New Roman" w:hAnsi="Times New Roman" w:eastAsia="宋体" w:cs="仿宋_GB2312"/>
                <w:color w:val="auto"/>
                <w:kern w:val="2"/>
                <w:sz w:val="24"/>
                <w:szCs w:val="24"/>
                <w:lang w:val="en-US" w:eastAsia="zh-CN" w:bidi="ar-SA"/>
              </w:rPr>
              <w:t>对派遣至</w:t>
            </w:r>
            <w:r>
              <w:rPr>
                <w:rFonts w:hint="eastAsia" w:cs="仿宋_GB2312"/>
                <w:color w:val="auto"/>
                <w:kern w:val="2"/>
                <w:sz w:val="24"/>
                <w:szCs w:val="24"/>
                <w:lang w:val="en-US" w:eastAsia="zh-CN" w:bidi="ar-SA"/>
              </w:rPr>
              <w:t>用人单位</w:t>
            </w:r>
            <w:r>
              <w:rPr>
                <w:rFonts w:hint="eastAsia" w:ascii="Times New Roman" w:hAnsi="Times New Roman" w:eastAsia="宋体" w:cs="仿宋_GB2312"/>
                <w:color w:val="auto"/>
                <w:kern w:val="2"/>
                <w:sz w:val="24"/>
                <w:szCs w:val="24"/>
                <w:lang w:val="en-US" w:eastAsia="zh-CN" w:bidi="ar-SA"/>
              </w:rPr>
              <w:t>的派遣人员进行遵纪守法、职业道德、安全等进行必要的教育</w:t>
            </w:r>
          </w:p>
        </w:tc>
        <w:tc>
          <w:tcPr>
            <w:tcW w:w="753" w:type="dxa"/>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20</w:t>
            </w:r>
          </w:p>
        </w:tc>
        <w:tc>
          <w:tcPr>
            <w:tcW w:w="837" w:type="dxa"/>
            <w:noWrap w:val="0"/>
            <w:vAlign w:val="center"/>
          </w:tcPr>
          <w:p>
            <w:pPr>
              <w:pStyle w:val="16"/>
              <w:jc w:val="center"/>
              <w:rPr>
                <w:rFonts w:hint="eastAsia" w:ascii="宋体" w:hAnsi="宋体" w:cs="宋体"/>
                <w:sz w:val="24"/>
                <w:szCs w:val="24"/>
              </w:rPr>
            </w:pPr>
          </w:p>
        </w:tc>
        <w:tc>
          <w:tcPr>
            <w:tcW w:w="1033" w:type="dxa"/>
            <w:noWrap w:val="0"/>
            <w:vAlign w:val="center"/>
          </w:tcPr>
          <w:p>
            <w:pPr>
              <w:pStyle w:val="16"/>
              <w:jc w:val="center"/>
              <w:rPr>
                <w:rFonts w:hint="eastAsia" w:ascii="宋体" w:hAnsi="宋体" w:cs="宋体"/>
                <w:sz w:val="24"/>
                <w:szCs w:val="24"/>
              </w:rPr>
            </w:pPr>
          </w:p>
        </w:tc>
        <w:tc>
          <w:tcPr>
            <w:tcW w:w="1247" w:type="dxa"/>
            <w:noWrap w:val="0"/>
            <w:vAlign w:val="center"/>
          </w:tcPr>
          <w:p>
            <w:pPr>
              <w:pStyle w:val="16"/>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6"/>
              <w:jc w:val="center"/>
              <w:rPr>
                <w:rFonts w:hint="eastAsia" w:ascii="宋体" w:hAnsi="宋体" w:cs="宋体"/>
                <w:sz w:val="24"/>
                <w:szCs w:val="24"/>
                <w:lang w:val="en-US" w:eastAsia="zh-CN"/>
              </w:rPr>
            </w:pPr>
          </w:p>
        </w:tc>
        <w:tc>
          <w:tcPr>
            <w:tcW w:w="9478" w:type="dxa"/>
            <w:gridSpan w:val="6"/>
            <w:noWrap w:val="0"/>
            <w:vAlign w:val="center"/>
          </w:tcPr>
          <w:p>
            <w:pPr>
              <w:pStyle w:val="115"/>
              <w:snapToGrid w:val="0"/>
              <w:spacing w:line="480" w:lineRule="exact"/>
              <w:ind w:firstLine="494"/>
              <w:contextualSpacing/>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分，则采购人不再与成交供应商续签合同。</w:t>
            </w:r>
          </w:p>
          <w:p>
            <w:pPr>
              <w:pStyle w:val="16"/>
              <w:jc w:val="center"/>
              <w:rPr>
                <w:rFonts w:hint="eastAsia" w:ascii="宋体" w:hAnsi="宋体" w:cs="宋体"/>
                <w:sz w:val="24"/>
                <w:szCs w:val="24"/>
              </w:rPr>
            </w:pPr>
          </w:p>
        </w:tc>
      </w:tr>
    </w:tbl>
    <w:p>
      <w:pPr>
        <w:pStyle w:val="115"/>
        <w:snapToGrid w:val="0"/>
        <w:spacing w:line="480" w:lineRule="exact"/>
        <w:ind w:firstLine="494"/>
        <w:contextualSpacing/>
        <w:rPr>
          <w:rFonts w:hint="eastAsia" w:ascii="Times New Roman" w:hAnsi="Times New Roman" w:eastAsia="宋体" w:cs="仿宋_GB2312"/>
          <w:kern w:val="2"/>
          <w:sz w:val="24"/>
          <w:szCs w:val="24"/>
          <w:lang w:val="en-US" w:eastAsia="zh-CN" w:bidi="ar-SA"/>
        </w:rPr>
        <w:sectPr>
          <w:headerReference r:id="rId6" w:type="default"/>
          <w:pgSz w:w="11906" w:h="16838"/>
          <w:pgMar w:top="1440" w:right="1361" w:bottom="1440" w:left="1361" w:header="850" w:footer="992" w:gutter="0"/>
          <w:cols w:space="0" w:num="1"/>
          <w:rtlGutter w:val="0"/>
          <w:docGrid w:linePitch="0" w:charSpace="0"/>
        </w:sectPr>
      </w:pPr>
    </w:p>
    <w:p>
      <w:pPr>
        <w:pStyle w:val="50"/>
        <w:ind w:firstLine="0" w:firstLineChars="0"/>
        <w:rPr>
          <w:rFonts w:ascii="宋体" w:hAnsi="宋体" w:cs="宋体"/>
          <w:color w:val="000000"/>
          <w:sz w:val="24"/>
          <w:szCs w:val="24"/>
        </w:rPr>
      </w:pPr>
      <w:r>
        <w:rPr>
          <w:rFonts w:hint="eastAsia" w:ascii="宋体" w:hAnsi="宋体" w:cs="宋体"/>
          <w:b/>
          <w:color w:val="000000"/>
          <w:w w:val="80"/>
          <w:sz w:val="44"/>
          <w:szCs w:val="44"/>
        </w:rPr>
        <w:t xml:space="preserve">                  第六章   合同授予</w:t>
      </w: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w:t>
      </w:r>
      <w:r>
        <w:rPr>
          <w:rFonts w:ascii="宋体" w:hAnsi="宋体" w:cs="宋体"/>
          <w:color w:val="000000"/>
          <w:sz w:val="24"/>
          <w:szCs w:val="24"/>
        </w:rPr>
        <w:t>30</w:t>
      </w:r>
      <w:r>
        <w:rPr>
          <w:rFonts w:hint="eastAsia" w:ascii="宋体" w:hAnsi="宋体" w:cs="宋体"/>
          <w:color w:val="000000"/>
          <w:sz w:val="24"/>
          <w:szCs w:val="24"/>
        </w:rPr>
        <w:t>日内必须按照磋商文件确定的事项签订采购合同。合</w:t>
      </w:r>
      <w:r>
        <w:rPr>
          <w:rFonts w:hint="eastAsia" w:ascii="宋体" w:hAnsi="宋体" w:cs="宋体"/>
          <w:sz w:val="24"/>
          <w:szCs w:val="24"/>
        </w:rPr>
        <w:t>同一式肆份，</w:t>
      </w:r>
      <w:r>
        <w:rPr>
          <w:rFonts w:hint="eastAsia" w:ascii="宋体" w:hAnsi="宋体" w:cs="宋体"/>
          <w:sz w:val="24"/>
          <w:szCs w:val="24"/>
          <w:lang w:eastAsia="zh-CN"/>
        </w:rPr>
        <w:t>采购人</w:t>
      </w:r>
      <w:r>
        <w:rPr>
          <w:rFonts w:hint="eastAsia" w:ascii="宋体" w:hAnsi="宋体" w:cs="宋体"/>
          <w:sz w:val="24"/>
          <w:szCs w:val="24"/>
        </w:rPr>
        <w:t>执</w:t>
      </w:r>
      <w:r>
        <w:rPr>
          <w:rFonts w:hint="eastAsia" w:ascii="宋体" w:hAnsi="宋体" w:cs="宋体"/>
          <w:sz w:val="24"/>
          <w:szCs w:val="24"/>
          <w:u w:val="single"/>
        </w:rPr>
        <w:t>贰</w:t>
      </w:r>
      <w:r>
        <w:rPr>
          <w:rFonts w:hint="eastAsia" w:ascii="宋体" w:hAnsi="宋体" w:cs="宋体"/>
          <w:sz w:val="24"/>
          <w:szCs w:val="24"/>
        </w:rPr>
        <w:t>份，</w:t>
      </w:r>
      <w:r>
        <w:rPr>
          <w:rFonts w:hint="eastAsia" w:ascii="宋体" w:hAnsi="宋体" w:cs="宋体"/>
          <w:sz w:val="24"/>
          <w:szCs w:val="24"/>
          <w:lang w:eastAsia="zh-CN"/>
        </w:rPr>
        <w:t>成交供应商</w:t>
      </w:r>
      <w:r>
        <w:rPr>
          <w:rFonts w:hint="eastAsia" w:ascii="宋体" w:hAnsi="宋体" w:cs="宋体"/>
          <w:sz w:val="24"/>
          <w:szCs w:val="24"/>
        </w:rPr>
        <w:t>执</w:t>
      </w:r>
      <w:r>
        <w:rPr>
          <w:rFonts w:hint="eastAsia" w:ascii="宋体" w:hAnsi="宋体" w:cs="宋体"/>
          <w:sz w:val="24"/>
          <w:szCs w:val="24"/>
          <w:u w:val="single"/>
        </w:rPr>
        <w:t>贰</w:t>
      </w:r>
      <w:r>
        <w:rPr>
          <w:rFonts w:hint="eastAsia" w:ascii="宋体" w:hAnsi="宋体" w:cs="宋体"/>
          <w:sz w:val="24"/>
          <w:szCs w:val="24"/>
        </w:rPr>
        <w:t>份</w:t>
      </w:r>
      <w:r>
        <w:rPr>
          <w:rFonts w:hint="eastAsia" w:ascii="宋体" w:hAnsi="宋体"/>
          <w:sz w:val="24"/>
          <w:szCs w:val="24"/>
        </w:rPr>
        <w:t>。</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二、在项目内容安装调试完成后，使用科室进行初步验收，初步验收通过后，采购单位成立验收小组按照采购合同的约定对供应商履约情况进行确认验收。验收合格后出具验收报告，并作为支付货款的依据。</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双方签署最终验收文件时，成交商应提交全套、完整的软件配置、操作手册、技术资料等，以及所有与用户、软件等相关联的说明、表格等资料，并有责任帮助整理、装订、归档。</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w:t>
      </w:r>
      <w:r>
        <w:rPr>
          <w:rFonts w:hint="eastAsia" w:ascii="宋体" w:hAnsi="宋体" w:cs="宋体"/>
          <w:sz w:val="24"/>
          <w:szCs w:val="24"/>
          <w:lang w:eastAsia="zh-CN"/>
        </w:rPr>
        <w:t>”“</w:t>
      </w:r>
      <w:r>
        <w:rPr>
          <w:rFonts w:hint="eastAsia" w:ascii="宋体" w:hAnsi="宋体" w:cs="宋体"/>
          <w:sz w:val="24"/>
          <w:szCs w:val="24"/>
        </w:rPr>
        <w:t>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w:t>
      </w:r>
      <w:r>
        <w:rPr>
          <w:rFonts w:hint="eastAsia" w:ascii="宋体" w:hAnsi="宋体" w:cs="宋体"/>
          <w:sz w:val="24"/>
          <w:szCs w:val="24"/>
          <w:lang w:eastAsia="zh-CN"/>
        </w:rPr>
        <w:t>》《</w:t>
      </w:r>
      <w:r>
        <w:rPr>
          <w:rFonts w:hint="eastAsia" w:ascii="宋体" w:hAnsi="宋体" w:cs="宋体"/>
          <w:sz w:val="24"/>
          <w:szCs w:val="24"/>
        </w:rPr>
        <w:t>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3"/>
        <w:keepNext w:val="0"/>
        <w:keepLines w:val="0"/>
        <w:numPr>
          <w:ilvl w:val="0"/>
          <w:numId w:val="0"/>
        </w:numPr>
        <w:snapToGrid w:val="0"/>
        <w:spacing w:before="0" w:after="156" w:afterLines="50" w:line="520" w:lineRule="exact"/>
        <w:ind w:left="420"/>
        <w:jc w:val="center"/>
        <w:rPr>
          <w:rFonts w:ascii="宋体"/>
        </w:rPr>
      </w:pPr>
      <w:bookmarkStart w:id="65" w:name="_Toc363573860"/>
      <w:r>
        <w:rPr>
          <w:rFonts w:ascii="宋体"/>
          <w:w w:val="80"/>
          <w:sz w:val="24"/>
          <w:szCs w:val="24"/>
        </w:rPr>
        <w:br w:type="page"/>
      </w:r>
      <w:r>
        <w:rPr>
          <w:rFonts w:hint="eastAsia" w:ascii="宋体" w:hAnsi="宋体" w:cs="宋体"/>
          <w:w w:val="80"/>
        </w:rPr>
        <w:t>第八章 响应文件组成及格式</w:t>
      </w:r>
      <w:bookmarkEnd w:id="65"/>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8"/>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9"/>
        </w:numPr>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w:t>
      </w:r>
      <w:r>
        <w:rPr>
          <w:rFonts w:hint="eastAsia" w:ascii="宋体" w:hAnsi="宋体" w:cs="宋体"/>
          <w:sz w:val="24"/>
          <w:szCs w:val="24"/>
          <w:lang w:val="en-US" w:eastAsia="zh-CN"/>
        </w:rPr>
        <w:t>及人力资源和社会保障部门批准的在核验有效期内的《劳务派遣经营许可证》复印件</w:t>
      </w:r>
      <w:r>
        <w:rPr>
          <w:rFonts w:hint="eastAsia" w:ascii="宋体" w:hAnsi="宋体" w:cs="宋体"/>
          <w:sz w:val="24"/>
          <w:szCs w:val="24"/>
        </w:rPr>
        <w:t>。</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4、供应商2022年以来任意一个月依法缴纳税收和社会保障资金的相关材料复印件或扫描件；</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5、供应商具有履行合同所必需的设备和专业技术能力的书面声明（格式参见第八章）；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6、供应商须提供参与本次项目政府采购活动前三年内，在经营活动中没有重大违法记录的书面《无重大违法记录声明函》（格式参见竞争性磋商文件第八章）；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7、关于资格文件的声明函（格式参见竞争性磋商文件第八章）。</w:t>
      </w:r>
    </w:p>
    <w:p>
      <w:pPr>
        <w:pStyle w:val="16"/>
      </w:pPr>
      <w:r>
        <w:rPr>
          <w:rFonts w:hint="eastAsia" w:ascii="宋体" w:hAnsi="宋体" w:cs="宋体"/>
          <w:sz w:val="24"/>
          <w:szCs w:val="24"/>
        </w:rPr>
        <w:t xml:space="preserve">    8、供应商一般情况表（格式参见竞争性磋商文件第八章）。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rPr>
        <w:t>3、评标办法和项目需求中未涉及的事项，供应商认为需要提交的其他资料。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widowControl/>
        <w:snapToGrid w:val="0"/>
        <w:spacing w:line="360" w:lineRule="auto"/>
        <w:jc w:val="left"/>
        <w:rPr>
          <w:rFonts w:ascii="宋体"/>
          <w:b/>
          <w:bCs/>
          <w:sz w:val="28"/>
          <w:szCs w:val="28"/>
        </w:rPr>
      </w:pP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jc w:val="center"/>
        <w:outlineLvl w:val="3"/>
        <w:rPr>
          <w:rFonts w:ascii="宋体" w:hAnsi="宋体" w:cs="宋体"/>
          <w:b/>
          <w:bCs/>
          <w:sz w:val="28"/>
          <w:szCs w:val="28"/>
        </w:rPr>
      </w:pPr>
    </w:p>
    <w:p>
      <w:pPr>
        <w:snapToGrid w:val="0"/>
        <w:spacing w:line="520" w:lineRule="exact"/>
        <w:jc w:val="center"/>
        <w:outlineLvl w:val="3"/>
        <w:rPr>
          <w:rFonts w:ascii="宋体"/>
          <w:b/>
          <w:bCs/>
          <w:sz w:val="28"/>
          <w:szCs w:val="28"/>
        </w:rPr>
      </w:pP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6"/>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vAlign w:val="center"/>
          </w:tcPr>
          <w:p>
            <w:pPr>
              <w:spacing w:line="520" w:lineRule="exact"/>
              <w:ind w:firstLine="484" w:firstLineChars="202"/>
              <w:rPr>
                <w:rFonts w:ascii="宋体" w:hAnsi="宋体" w:cs="宋体"/>
                <w:color w:val="000000"/>
                <w:sz w:val="24"/>
                <w:szCs w:val="24"/>
              </w:rPr>
            </w:pPr>
          </w:p>
        </w:tc>
        <w:tc>
          <w:tcPr>
            <w:tcW w:w="1875" w:type="dxa"/>
            <w:gridSpan w:val="2"/>
            <w:vAlign w:val="center"/>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vAlign w:val="center"/>
          </w:tcPr>
          <w:p>
            <w:pPr>
              <w:spacing w:line="520" w:lineRule="exact"/>
              <w:ind w:firstLine="484" w:firstLineChars="202"/>
              <w:rPr>
                <w:rFonts w:ascii="宋体" w:hAnsi="宋体" w:cs="宋体"/>
                <w:color w:val="000000"/>
                <w:sz w:val="24"/>
                <w:szCs w:val="24"/>
              </w:rPr>
            </w:pPr>
          </w:p>
        </w:tc>
        <w:tc>
          <w:tcPr>
            <w:tcW w:w="1875" w:type="dxa"/>
            <w:gridSpan w:val="2"/>
            <w:vAlign w:val="center"/>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vAlign w:val="center"/>
          </w:tcPr>
          <w:p>
            <w:pPr>
              <w:spacing w:line="520" w:lineRule="exact"/>
              <w:ind w:firstLine="484" w:firstLineChars="202"/>
              <w:rPr>
                <w:rFonts w:ascii="宋体" w:hAnsi="宋体" w:cs="宋体"/>
                <w:color w:val="000000"/>
                <w:sz w:val="24"/>
                <w:szCs w:val="24"/>
              </w:rPr>
            </w:pPr>
          </w:p>
        </w:tc>
        <w:tc>
          <w:tcPr>
            <w:tcW w:w="1875" w:type="dxa"/>
            <w:gridSpan w:val="2"/>
            <w:vAlign w:val="center"/>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vAlign w:val="center"/>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vAlign w:val="center"/>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vAlign w:val="center"/>
          </w:tcPr>
          <w:p>
            <w:pPr>
              <w:spacing w:line="520" w:lineRule="exact"/>
              <w:ind w:firstLine="484" w:firstLineChars="202"/>
              <w:rPr>
                <w:rFonts w:ascii="宋体" w:hAnsi="宋体" w:cs="宋体"/>
                <w:color w:val="000000"/>
                <w:sz w:val="24"/>
                <w:szCs w:val="24"/>
              </w:rPr>
            </w:pPr>
          </w:p>
        </w:tc>
        <w:tc>
          <w:tcPr>
            <w:tcW w:w="1417" w:type="dxa"/>
            <w:gridSpan w:val="2"/>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vAlign w:val="center"/>
          </w:tcPr>
          <w:p>
            <w:pPr>
              <w:spacing w:line="520" w:lineRule="exact"/>
              <w:ind w:firstLine="484" w:firstLineChars="202"/>
              <w:rPr>
                <w:rFonts w:ascii="宋体" w:hAnsi="宋体" w:cs="宋体"/>
                <w:color w:val="000000"/>
                <w:sz w:val="24"/>
                <w:szCs w:val="24"/>
              </w:rPr>
            </w:pPr>
          </w:p>
        </w:tc>
        <w:tc>
          <w:tcPr>
            <w:tcW w:w="1320"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vAlign w:val="center"/>
          </w:tcPr>
          <w:p>
            <w:pPr>
              <w:spacing w:line="520" w:lineRule="exact"/>
              <w:ind w:firstLine="484" w:firstLineChars="202"/>
              <w:rPr>
                <w:rFonts w:ascii="宋体" w:hAnsi="宋体" w:cs="宋体"/>
                <w:color w:val="000000"/>
                <w:sz w:val="24"/>
                <w:szCs w:val="24"/>
              </w:rPr>
            </w:pPr>
          </w:p>
        </w:tc>
        <w:tc>
          <w:tcPr>
            <w:tcW w:w="1466" w:type="dxa"/>
            <w:gridSpan w:val="2"/>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vAlign w:val="center"/>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vAlign w:val="center"/>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竞争性磋商响应供应商：</w:t>
      </w:r>
      <w:r>
        <w:rPr>
          <w:rFonts w:hint="eastAsia" w:hAnsi="宋体" w:cs="仿宋_GB2312"/>
          <w:sz w:val="24"/>
        </w:rPr>
        <w:t>（单位盖章）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rPr>
        <w:t>7、竞争性磋商响应函（格式不得变动）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hint="eastAsia" w:ascii="宋体" w:hAnsi="宋体" w:cs="宋体"/>
          <w:sz w:val="24"/>
          <w:szCs w:val="24"/>
          <w:lang w:eastAsia="zh-CN"/>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w:t>
      </w:r>
      <w:r>
        <w:rPr>
          <w:rFonts w:hint="eastAsia" w:ascii="宋体" w:hAnsi="宋体" w:cs="宋体"/>
          <w:sz w:val="24"/>
          <w:szCs w:val="24"/>
          <w:lang w:eastAsia="zh-CN"/>
        </w:rPr>
        <w:t>的成分</w:t>
      </w:r>
      <w:r>
        <w:rPr>
          <w:rFonts w:hint="eastAsia" w:ascii="宋体" w:hAnsi="宋体" w:cs="宋体"/>
          <w:sz w:val="24"/>
          <w:szCs w:val="24"/>
        </w:rPr>
        <w:t>。否则，愿承担相应的后果和法律责任。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ascii="宋体" w:hAnsi="宋体" w:cs="宋体"/>
          <w:b/>
          <w:bCs/>
          <w:sz w:val="28"/>
          <w:szCs w:val="28"/>
        </w:rPr>
      </w:pPr>
      <w:r>
        <w:rPr>
          <w:rFonts w:ascii="宋体"/>
          <w:b/>
          <w:bCs/>
          <w:sz w:val="28"/>
          <w:szCs w:val="28"/>
        </w:rPr>
        <w:br w:type="page"/>
      </w:r>
      <w:r>
        <w:rPr>
          <w:rFonts w:hint="eastAsia" w:ascii="宋体" w:hAnsi="宋体" w:cs="宋体"/>
          <w:b/>
          <w:bCs/>
          <w:sz w:val="28"/>
          <w:szCs w:val="28"/>
        </w:rPr>
        <w:t>8、磋商响应报价总表</w:t>
      </w:r>
    </w:p>
    <w:p>
      <w:pPr>
        <w:pStyle w:val="16"/>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南通市妇幼保健院劳务派遣机构采购项目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w:t>
            </w:r>
            <w:r>
              <w:rPr>
                <w:rFonts w:hint="eastAsia" w:ascii="宋体" w:hAnsi="宋体" w:cs="宋体"/>
                <w:sz w:val="24"/>
                <w:szCs w:val="24"/>
                <w:lang w:eastAsia="zh-CN"/>
              </w:rPr>
              <w:t>单价</w:t>
            </w:r>
            <w:r>
              <w:rPr>
                <w:rFonts w:hint="eastAsia" w:ascii="宋体" w:hAnsi="宋体" w:cs="宋体"/>
                <w:sz w:val="24"/>
                <w:szCs w:val="24"/>
              </w:rPr>
              <w:t>报价（首次）</w:t>
            </w:r>
          </w:p>
        </w:tc>
        <w:tc>
          <w:tcPr>
            <w:tcW w:w="7564" w:type="dxa"/>
            <w:vAlign w:val="center"/>
          </w:tcPr>
          <w:p>
            <w:pPr>
              <w:snapToGrid w:val="0"/>
              <w:spacing w:line="480" w:lineRule="exact"/>
              <w:jc w:val="both"/>
              <w:textAlignment w:val="baseline"/>
              <w:rPr>
                <w:rFonts w:hint="eastAsia" w:ascii="宋体" w:hAnsi="宋体" w:eastAsia="宋体" w:cs="宋体"/>
                <w:sz w:val="24"/>
                <w:szCs w:val="24"/>
                <w:lang w:eastAsia="zh-CN"/>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eastAsia="宋体" w:cs="宋体"/>
                <w:sz w:val="24"/>
                <w:szCs w:val="24"/>
                <w:lang w:eastAsia="zh-CN"/>
              </w:rPr>
              <w:t>元/人/月</w:t>
            </w:r>
          </w:p>
          <w:p>
            <w:pPr>
              <w:snapToGrid w:val="0"/>
              <w:spacing w:line="480" w:lineRule="exact"/>
              <w:jc w:val="both"/>
              <w:textAlignment w:val="baseline"/>
              <w:rPr>
                <w:sz w:val="20"/>
                <w:szCs w:val="22"/>
              </w:rPr>
            </w:pPr>
            <w:r>
              <w:rPr>
                <w:rFonts w:hint="eastAsia" w:ascii="宋体" w:hAnsi="宋体" w:eastAsia="宋体" w:cs="宋体"/>
                <w:sz w:val="24"/>
                <w:szCs w:val="24"/>
                <w:lang w:eastAsia="zh-CN"/>
              </w:rPr>
              <w:t xml:space="preserve">小写：￥ </w:t>
            </w:r>
            <w:r>
              <w:rPr>
                <w:rFonts w:hint="eastAsia" w:ascii="宋体" w:hAnsi="宋体" w:cs="宋体"/>
                <w:snapToGrid w:val="0"/>
                <w:sz w:val="24"/>
                <w:szCs w:val="24"/>
                <w:u w:val="single"/>
              </w:rPr>
              <w:t xml:space="preserve">              </w:t>
            </w:r>
            <w:r>
              <w:rPr>
                <w:rFonts w:hint="eastAsia" w:ascii="宋体" w:hAnsi="宋体" w:eastAsia="宋体" w:cs="宋体"/>
                <w:sz w:val="24"/>
                <w:szCs w:val="24"/>
                <w:lang w:eastAsia="zh-CN"/>
              </w:rPr>
              <w:t xml:space="preserve">元/人/月     </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w:t>
            </w:r>
            <w:r>
              <w:rPr>
                <w:rFonts w:hint="eastAsia" w:ascii="宋体" w:hAnsi="宋体" w:cs="宋体"/>
                <w:sz w:val="24"/>
                <w:szCs w:val="24"/>
                <w:lang w:eastAsia="zh-CN"/>
              </w:rPr>
              <w:t>单价</w:t>
            </w:r>
            <w:r>
              <w:rPr>
                <w:rFonts w:hint="eastAsia" w:ascii="宋体" w:hAnsi="宋体" w:cs="宋体"/>
                <w:sz w:val="24"/>
                <w:szCs w:val="24"/>
              </w:rPr>
              <w:t>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（第二次）</w:t>
            </w:r>
          </w:p>
          <w:p>
            <w:pPr>
              <w:snapToGrid w:val="0"/>
              <w:spacing w:line="480" w:lineRule="exact"/>
              <w:jc w:val="center"/>
              <w:textAlignment w:val="baseline"/>
              <w:rPr>
                <w:sz w:val="20"/>
                <w:szCs w:val="22"/>
              </w:rPr>
            </w:pPr>
            <w:r>
              <w:rPr>
                <w:rFonts w:hint="eastAsia" w:ascii="宋体" w:hAnsi="宋体" w:cs="宋体"/>
                <w:b/>
                <w:bCs/>
                <w:sz w:val="24"/>
                <w:szCs w:val="24"/>
                <w:u w:val="single" w:color="000000"/>
              </w:rPr>
              <w:t>（磋商现场填写）</w:t>
            </w:r>
          </w:p>
        </w:tc>
        <w:tc>
          <w:tcPr>
            <w:tcW w:w="7564" w:type="dxa"/>
            <w:vAlign w:val="center"/>
          </w:tcPr>
          <w:p>
            <w:pPr>
              <w:snapToGrid w:val="0"/>
              <w:spacing w:line="480" w:lineRule="exact"/>
              <w:jc w:val="both"/>
              <w:textAlignment w:val="baseline"/>
              <w:rPr>
                <w:rFonts w:hint="eastAsia" w:ascii="宋体" w:hAnsi="宋体" w:eastAsia="宋体" w:cs="宋体"/>
                <w:sz w:val="24"/>
                <w:szCs w:val="24"/>
                <w:lang w:eastAsia="zh-CN"/>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eastAsia="宋体" w:cs="宋体"/>
                <w:sz w:val="24"/>
                <w:szCs w:val="24"/>
                <w:lang w:eastAsia="zh-CN"/>
              </w:rPr>
              <w:t>元/人/月</w:t>
            </w:r>
          </w:p>
          <w:p>
            <w:pPr>
              <w:snapToGrid w:val="0"/>
              <w:spacing w:line="420" w:lineRule="exact"/>
              <w:ind w:left="1130" w:hanging="1130" w:hangingChars="471"/>
              <w:textAlignment w:val="baseline"/>
              <w:rPr>
                <w:rFonts w:cs="宋体"/>
                <w:sz w:val="20"/>
                <w:szCs w:val="22"/>
              </w:rPr>
            </w:pPr>
            <w:r>
              <w:rPr>
                <w:rFonts w:hint="eastAsia" w:ascii="宋体" w:hAnsi="宋体" w:eastAsia="宋体" w:cs="宋体"/>
                <w:sz w:val="24"/>
                <w:szCs w:val="24"/>
                <w:lang w:eastAsia="zh-CN"/>
              </w:rPr>
              <w:t xml:space="preserve">小写：￥ </w:t>
            </w:r>
            <w:r>
              <w:rPr>
                <w:rFonts w:hint="eastAsia" w:ascii="宋体" w:hAnsi="宋体" w:cs="宋体"/>
                <w:snapToGrid w:val="0"/>
                <w:sz w:val="24"/>
                <w:szCs w:val="24"/>
                <w:u w:val="single"/>
              </w:rPr>
              <w:t xml:space="preserve">              </w:t>
            </w:r>
            <w:r>
              <w:rPr>
                <w:rFonts w:hint="eastAsia" w:ascii="宋体" w:hAnsi="宋体" w:eastAsia="宋体" w:cs="宋体"/>
                <w:sz w:val="24"/>
                <w:szCs w:val="24"/>
                <w:lang w:eastAsia="zh-CN"/>
              </w:rPr>
              <w:t xml:space="preserve">元/人/月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50"/>
        <w:snapToGrid w:val="0"/>
        <w:ind w:firstLine="0" w:firstLineChars="0"/>
        <w:textAlignment w:val="baseline"/>
        <w:rPr>
          <w:szCs w:val="24"/>
        </w:rPr>
      </w:pPr>
    </w:p>
    <w:p>
      <w:pPr>
        <w:pStyle w:val="112"/>
        <w:snapToGrid w:val="0"/>
        <w:spacing w:line="360" w:lineRule="auto"/>
        <w:ind w:firstLine="241" w:firstLineChars="100"/>
        <w:textAlignment w:val="baseline"/>
        <w:rPr>
          <w:rFonts w:ascii="Times New Roman" w:hAnsi="宋体"/>
          <w:b/>
          <w:color w:val="auto"/>
          <w:sz w:val="24"/>
        </w:rPr>
      </w:pPr>
      <w:r>
        <w:rPr>
          <w:rFonts w:hint="eastAsia" w:ascii="Times New Roman" w:hAnsi="宋体"/>
          <w:b/>
          <w:sz w:val="24"/>
        </w:rPr>
        <w:t>注：1、最终</w:t>
      </w:r>
      <w:r>
        <w:rPr>
          <w:rFonts w:hint="eastAsia" w:ascii="Times New Roman" w:hAnsi="宋体"/>
          <w:b/>
          <w:sz w:val="24"/>
          <w:lang w:eastAsia="zh-CN"/>
        </w:rPr>
        <w:t>单价</w:t>
      </w:r>
      <w:r>
        <w:rPr>
          <w:rFonts w:hint="eastAsia" w:ascii="Times New Roman" w:hAnsi="宋体"/>
          <w:b/>
          <w:sz w:val="24"/>
        </w:rPr>
        <w:t>报价将在磋商现场填写，响应文件密封提交时只需填写首次磋商</w:t>
      </w:r>
      <w:r>
        <w:rPr>
          <w:rFonts w:hint="eastAsia" w:ascii="Times New Roman" w:hAnsi="宋体"/>
          <w:b/>
          <w:sz w:val="24"/>
          <w:lang w:eastAsia="zh-CN"/>
        </w:rPr>
        <w:t>单价</w:t>
      </w:r>
      <w:r>
        <w:rPr>
          <w:rFonts w:hint="eastAsia" w:ascii="Times New Roman" w:hAnsi="宋体"/>
          <w:b/>
          <w:color w:val="auto"/>
          <w:sz w:val="24"/>
        </w:rPr>
        <w:t>报价。2、本表式不得自行改动。</w:t>
      </w:r>
    </w:p>
    <w:p>
      <w:pPr>
        <w:snapToGrid w:val="0"/>
        <w:spacing w:line="360" w:lineRule="auto"/>
        <w:ind w:firstLine="711" w:firstLineChars="295"/>
        <w:outlineLvl w:val="1"/>
        <w:rPr>
          <w:rFonts w:ascii="宋体" w:hAnsi="宋体" w:cs="宋体"/>
          <w:b/>
          <w:bCs/>
          <w:color w:val="auto"/>
          <w:sz w:val="24"/>
          <w:szCs w:val="24"/>
        </w:rPr>
      </w:pPr>
      <w:r>
        <w:rPr>
          <w:rFonts w:hint="eastAsia" w:hAnsi="宋体" w:cs="宋体"/>
          <w:b/>
          <w:color w:val="auto"/>
          <w:sz w:val="24"/>
        </w:rPr>
        <w:t>3</w:t>
      </w:r>
      <w:r>
        <w:rPr>
          <w:rFonts w:hint="eastAsia" w:ascii="宋体" w:hAnsi="宋体" w:cs="宋体"/>
          <w:b/>
          <w:bCs/>
          <w:color w:val="auto"/>
          <w:sz w:val="24"/>
          <w:szCs w:val="24"/>
        </w:rPr>
        <w:t>、磋商报价（以人民币计价）应包括但不限于所有与本项目实施有关的所有费用包括为达到采购人要求所包含的所有风险、责任等各项费用。</w:t>
      </w:r>
    </w:p>
    <w:p>
      <w:pPr>
        <w:snapToGrid w:val="0"/>
        <w:spacing w:line="360" w:lineRule="auto"/>
        <w:ind w:firstLine="411" w:firstLineChars="195"/>
        <w:outlineLvl w:val="1"/>
        <w:rPr>
          <w:b/>
          <w:bCs/>
          <w:color w:val="auto"/>
        </w:rPr>
      </w:pP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2"/>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2"/>
        <w:tabs>
          <w:tab w:val="left" w:pos="5665"/>
          <w:tab w:val="right" w:pos="8360"/>
        </w:tabs>
        <w:snapToGrid w:val="0"/>
        <w:spacing w:line="360" w:lineRule="auto"/>
        <w:ind w:right="42"/>
        <w:textAlignment w:val="baseline"/>
        <w:rPr>
          <w:rFonts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50"/>
        <w:ind w:firstLine="0" w:firstLineChars="0"/>
        <w:rPr>
          <w:b/>
          <w:bCs/>
        </w:rPr>
      </w:pPr>
    </w:p>
    <w:sectPr>
      <w:headerReference r:id="rId7" w:type="default"/>
      <w:footerReference r:id="rId8"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0"/>
                            <w:jc w:val="center"/>
                          </w:pPr>
                          <w:r>
                            <w:rPr>
                              <w:b/>
                              <w:bCs/>
                            </w:rPr>
                            <w:fldChar w:fldCharType="begin"/>
                          </w:r>
                          <w:r>
                            <w:rPr>
                              <w:b/>
                              <w:bCs/>
                            </w:rPr>
                            <w:instrText xml:space="preserve">PAGE</w:instrText>
                          </w:r>
                          <w:r>
                            <w:rPr>
                              <w:b/>
                              <w:bCs/>
                            </w:rPr>
                            <w:fldChar w:fldCharType="separate"/>
                          </w:r>
                          <w:r>
                            <w:rPr>
                              <w:b/>
                              <w:bCs/>
                            </w:rPr>
                            <w:t>- 10 -</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0"/>
                      <w:jc w:val="center"/>
                    </w:pPr>
                    <w:r>
                      <w:rPr>
                        <w:b/>
                        <w:bCs/>
                      </w:rPr>
                      <w:fldChar w:fldCharType="begin"/>
                    </w:r>
                    <w:r>
                      <w:rPr>
                        <w:b/>
                        <w:bCs/>
                      </w:rPr>
                      <w:instrText xml:space="preserve">PAGE</w:instrText>
                    </w:r>
                    <w:r>
                      <w:rPr>
                        <w:b/>
                        <w:bCs/>
                      </w:rPr>
                      <w:fldChar w:fldCharType="separate"/>
                    </w:r>
                    <w:r>
                      <w:rPr>
                        <w:b/>
                        <w:bCs/>
                      </w:rPr>
                      <w:t>- 10 -</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38</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pPr>
    <w:r>
      <w:rPr>
        <w:rFonts w:hint="eastAsia"/>
        <w:sz w:val="18"/>
        <w:szCs w:val="18"/>
        <w:u w:val="single"/>
        <w:lang w:eastAsia="zh-CN"/>
      </w:rPr>
      <w:t>南通市妇幼保健院劳务派遣机构采购项目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pPr>
    <w:r>
      <w:rPr>
        <w:rFonts w:hint="eastAsia" w:eastAsia="宋体"/>
        <w:sz w:val="18"/>
        <w:szCs w:val="18"/>
        <w:u w:val="single"/>
        <w:lang w:eastAsia="zh-CN"/>
      </w:rPr>
      <w:t>南通市妇幼保健院劳务派遣机构采购项目</w:t>
    </w:r>
    <w:r>
      <w:rPr>
        <w:rFonts w:hint="eastAsia"/>
        <w:sz w:val="18"/>
        <w:szCs w:val="18"/>
        <w:u w:val="single"/>
      </w:rPr>
      <w:t xml:space="preserve"> </w:t>
    </w:r>
    <w:r>
      <w:rPr>
        <w:rFonts w:hint="eastAsia" w:ascii="Times New Roman"/>
        <w:sz w:val="18"/>
        <w:szCs w:val="18"/>
        <w:u w:val="single"/>
        <w:lang w:val="zh-CN"/>
      </w:rPr>
      <w:t xml:space="preserve">             </w:t>
    </w:r>
    <w:r>
      <w:rPr>
        <w:rFonts w:hint="eastAsia"/>
        <w:sz w:val="18"/>
        <w:szCs w:val="18"/>
        <w:u w:val="single"/>
      </w:rPr>
      <w:t xml:space="preserve">              </w:t>
    </w:r>
    <w:r>
      <w:rPr>
        <w:rFonts w:hint="eastAsia" w:ascii="Times New Roman"/>
        <w:sz w:val="18"/>
        <w:szCs w:val="18"/>
        <w:u w:val="single"/>
        <w:lang w:val="zh-CN"/>
      </w:rPr>
      <w:t xml:space="preserve">  </w:t>
    </w:r>
    <w:r>
      <w:rPr>
        <w:rFonts w:hint="eastAsia"/>
        <w:sz w:val="18"/>
        <w:szCs w:val="18"/>
        <w:u w:val="single"/>
      </w:rPr>
      <w:t xml:space="preserve">   </w:t>
    </w:r>
    <w:r>
      <w:rPr>
        <w:rFonts w:hint="eastAsia" w:ascii="Times New Roman"/>
        <w:sz w:val="18"/>
        <w:szCs w:val="18"/>
        <w:u w:val="single"/>
        <w:lang w:val="zh-CN"/>
      </w:rPr>
      <w:t xml:space="preserve"> </w:t>
    </w:r>
    <w:r>
      <w:rPr>
        <w:rFonts w:hint="eastAsia"/>
        <w:sz w:val="18"/>
        <w:szCs w:val="18"/>
        <w:u w:val="single"/>
      </w:rPr>
      <w:t xml:space="preserve">   </w:t>
    </w:r>
    <w:r>
      <w:rPr>
        <w:rFonts w:hint="eastAsia" w:ascii="Times New Roman" w:eastAsia="宋体"/>
        <w:sz w:val="18"/>
        <w:szCs w:val="18"/>
        <w:u w:val="single"/>
        <w:lang w:val="en-US" w:eastAsia="zh-CN"/>
      </w:rPr>
      <w:t xml:space="preserve">           </w:t>
    </w:r>
    <w:r>
      <w:rPr>
        <w:rFonts w:hint="eastAsia"/>
        <w:sz w:val="18"/>
        <w:szCs w:val="18"/>
        <w:u w:val="single"/>
      </w:rPr>
      <w:t xml:space="preserve">    </w:t>
    </w:r>
    <w:r>
      <w:rPr>
        <w:rFonts w:hint="eastAsia" w:ascii="Times New Roman"/>
        <w:sz w:val="18"/>
        <w:szCs w:val="18"/>
        <w:u w:val="single"/>
        <w:lang w:val="zh-CN"/>
      </w:rPr>
      <w:t>竞争性磋商文件</w:t>
    </w:r>
  </w:p>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7E0F1"/>
    <w:multiLevelType w:val="singleLevel"/>
    <w:tmpl w:val="F987E0F1"/>
    <w:lvl w:ilvl="0" w:tentative="0">
      <w:start w:val="1"/>
      <w:numFmt w:val="decimal"/>
      <w:suff w:val="nothing"/>
      <w:lvlText w:val="%1、"/>
      <w:lvlJc w:val="left"/>
    </w:lvl>
  </w:abstractNum>
  <w:abstractNum w:abstractNumId="1">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C0DFDC2"/>
    <w:multiLevelType w:val="singleLevel"/>
    <w:tmpl w:val="2C0DFDC2"/>
    <w:lvl w:ilvl="0" w:tentative="0">
      <w:start w:val="1"/>
      <w:numFmt w:val="decimal"/>
      <w:suff w:val="nothing"/>
      <w:lvlText w:val="%1、"/>
      <w:lvlJc w:val="left"/>
    </w:lvl>
  </w:abstractNum>
  <w:abstractNum w:abstractNumId="4">
    <w:nsid w:val="358A0AB6"/>
    <w:multiLevelType w:val="singleLevel"/>
    <w:tmpl w:val="358A0AB6"/>
    <w:lvl w:ilvl="0" w:tentative="0">
      <w:start w:val="7"/>
      <w:numFmt w:val="chineseCounting"/>
      <w:suff w:val="nothing"/>
      <w:lvlText w:val="%1、"/>
      <w:lvlJc w:val="left"/>
      <w:rPr>
        <w:rFonts w:hint="eastAsia"/>
      </w:rPr>
    </w:lvl>
  </w:abstractNum>
  <w:abstractNum w:abstractNumId="5">
    <w:nsid w:val="36F0B08F"/>
    <w:multiLevelType w:val="singleLevel"/>
    <w:tmpl w:val="36F0B08F"/>
    <w:lvl w:ilvl="0" w:tentative="0">
      <w:start w:val="1"/>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abstractNum w:abstractNumId="7">
    <w:nsid w:val="6F1A29ED"/>
    <w:multiLevelType w:val="singleLevel"/>
    <w:tmpl w:val="6F1A29ED"/>
    <w:lvl w:ilvl="0" w:tentative="0">
      <w:start w:val="1"/>
      <w:numFmt w:val="chineseCounting"/>
      <w:suff w:val="nothing"/>
      <w:lvlText w:val="%1、"/>
      <w:lvlJc w:val="left"/>
      <w:rPr>
        <w:rFonts w:hint="eastAsia"/>
      </w:rPr>
    </w:lvl>
  </w:abstractNum>
  <w:abstractNum w:abstractNumId="8">
    <w:nsid w:val="6FD46636"/>
    <w:multiLevelType w:val="multilevel"/>
    <w:tmpl w:val="6FD46636"/>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4"/>
  </w:num>
  <w:num w:numId="3">
    <w:abstractNumId w:val="6"/>
  </w:num>
  <w:num w:numId="4">
    <w:abstractNumId w:val="3"/>
  </w:num>
  <w:num w:numId="5">
    <w:abstractNumId w:val="2"/>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MwYzcyYTYzZDNmYTk0N2YyODEwYjA1OTg2YjAifQ=="/>
    <w:docVar w:name="KSO_WPS_MARK_KEY" w:val="f696d88f-05c8-4b9a-bc86-1fcccb3c2acf"/>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11F"/>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4E09"/>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0F1"/>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38B9"/>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2E9C"/>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5760"/>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4D5"/>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5798"/>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4AEB"/>
    <w:rsid w:val="004D601E"/>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39A0"/>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9F1"/>
    <w:rsid w:val="00711C49"/>
    <w:rsid w:val="00714F75"/>
    <w:rsid w:val="00715679"/>
    <w:rsid w:val="00717AF1"/>
    <w:rsid w:val="00717BA7"/>
    <w:rsid w:val="00720D67"/>
    <w:rsid w:val="0072436A"/>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1658"/>
    <w:rsid w:val="007A2340"/>
    <w:rsid w:val="007A29CA"/>
    <w:rsid w:val="007A3F59"/>
    <w:rsid w:val="007A40A5"/>
    <w:rsid w:val="007A4338"/>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1FE9"/>
    <w:rsid w:val="007D288E"/>
    <w:rsid w:val="007D5DD6"/>
    <w:rsid w:val="007D6568"/>
    <w:rsid w:val="007D6D4E"/>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0500"/>
    <w:rsid w:val="00821F15"/>
    <w:rsid w:val="00822664"/>
    <w:rsid w:val="00824DCB"/>
    <w:rsid w:val="0082509F"/>
    <w:rsid w:val="00826621"/>
    <w:rsid w:val="00826720"/>
    <w:rsid w:val="00830B70"/>
    <w:rsid w:val="00832642"/>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2A0E"/>
    <w:rsid w:val="008E3424"/>
    <w:rsid w:val="008E3EB1"/>
    <w:rsid w:val="008E41B2"/>
    <w:rsid w:val="008E6B35"/>
    <w:rsid w:val="008F2292"/>
    <w:rsid w:val="008F362D"/>
    <w:rsid w:val="008F37FA"/>
    <w:rsid w:val="008F444E"/>
    <w:rsid w:val="008F44CB"/>
    <w:rsid w:val="008F45E4"/>
    <w:rsid w:val="008F4CB3"/>
    <w:rsid w:val="008F4EC0"/>
    <w:rsid w:val="008F6EB2"/>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0DA1"/>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068A"/>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702"/>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0B0"/>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7402F"/>
    <w:rsid w:val="00B83C32"/>
    <w:rsid w:val="00B85816"/>
    <w:rsid w:val="00B875C0"/>
    <w:rsid w:val="00B90075"/>
    <w:rsid w:val="00B902A6"/>
    <w:rsid w:val="00B90608"/>
    <w:rsid w:val="00B9166F"/>
    <w:rsid w:val="00B920AD"/>
    <w:rsid w:val="00B93E24"/>
    <w:rsid w:val="00B94C8E"/>
    <w:rsid w:val="00B94F64"/>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3C62"/>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0036"/>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0FAC"/>
    <w:rsid w:val="00E314D7"/>
    <w:rsid w:val="00E32D29"/>
    <w:rsid w:val="00E34192"/>
    <w:rsid w:val="00E35583"/>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2F9D"/>
    <w:rsid w:val="00F2684D"/>
    <w:rsid w:val="00F26C14"/>
    <w:rsid w:val="00F30A6A"/>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2836"/>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9A3081"/>
    <w:rsid w:val="01A26771"/>
    <w:rsid w:val="01B77047"/>
    <w:rsid w:val="01D84888"/>
    <w:rsid w:val="0203063D"/>
    <w:rsid w:val="02043122"/>
    <w:rsid w:val="02055635"/>
    <w:rsid w:val="02346456"/>
    <w:rsid w:val="024E269D"/>
    <w:rsid w:val="025263E9"/>
    <w:rsid w:val="026E2AF7"/>
    <w:rsid w:val="02763994"/>
    <w:rsid w:val="027B1CE2"/>
    <w:rsid w:val="02906F11"/>
    <w:rsid w:val="029A7D90"/>
    <w:rsid w:val="029F57DD"/>
    <w:rsid w:val="02D738A3"/>
    <w:rsid w:val="02D92666"/>
    <w:rsid w:val="02F2197A"/>
    <w:rsid w:val="03125B78"/>
    <w:rsid w:val="034464B8"/>
    <w:rsid w:val="035C5045"/>
    <w:rsid w:val="036576B8"/>
    <w:rsid w:val="038E2464"/>
    <w:rsid w:val="039E740C"/>
    <w:rsid w:val="03C71EFB"/>
    <w:rsid w:val="03D735B0"/>
    <w:rsid w:val="03FA6CDF"/>
    <w:rsid w:val="03FF4043"/>
    <w:rsid w:val="03FF434E"/>
    <w:rsid w:val="04073203"/>
    <w:rsid w:val="04365FFA"/>
    <w:rsid w:val="04494A43"/>
    <w:rsid w:val="04500542"/>
    <w:rsid w:val="04695C6C"/>
    <w:rsid w:val="046D244C"/>
    <w:rsid w:val="046F1BE2"/>
    <w:rsid w:val="04822D08"/>
    <w:rsid w:val="04A22F2C"/>
    <w:rsid w:val="04C851F1"/>
    <w:rsid w:val="04DC4690"/>
    <w:rsid w:val="04DD5D12"/>
    <w:rsid w:val="04DF1A8A"/>
    <w:rsid w:val="04E946B7"/>
    <w:rsid w:val="04FB048C"/>
    <w:rsid w:val="05137986"/>
    <w:rsid w:val="052878D5"/>
    <w:rsid w:val="052C29BF"/>
    <w:rsid w:val="05337A63"/>
    <w:rsid w:val="05393890"/>
    <w:rsid w:val="055C5785"/>
    <w:rsid w:val="05687CD1"/>
    <w:rsid w:val="05913412"/>
    <w:rsid w:val="05935166"/>
    <w:rsid w:val="059E28FF"/>
    <w:rsid w:val="05A00C76"/>
    <w:rsid w:val="05C25634"/>
    <w:rsid w:val="05E25CD6"/>
    <w:rsid w:val="05F06637"/>
    <w:rsid w:val="060C4B01"/>
    <w:rsid w:val="062C7228"/>
    <w:rsid w:val="06344057"/>
    <w:rsid w:val="06517EE9"/>
    <w:rsid w:val="06631EC2"/>
    <w:rsid w:val="067A7CBC"/>
    <w:rsid w:val="067F1777"/>
    <w:rsid w:val="0680104B"/>
    <w:rsid w:val="06897EFF"/>
    <w:rsid w:val="06A44D39"/>
    <w:rsid w:val="06BC6527"/>
    <w:rsid w:val="06C47189"/>
    <w:rsid w:val="06C55EEB"/>
    <w:rsid w:val="06C56AD4"/>
    <w:rsid w:val="06E65352"/>
    <w:rsid w:val="07004918"/>
    <w:rsid w:val="070B6221"/>
    <w:rsid w:val="07195727"/>
    <w:rsid w:val="0744651C"/>
    <w:rsid w:val="07654B87"/>
    <w:rsid w:val="0781507A"/>
    <w:rsid w:val="07A1396F"/>
    <w:rsid w:val="07BA720E"/>
    <w:rsid w:val="07CB7156"/>
    <w:rsid w:val="07E07EE5"/>
    <w:rsid w:val="07E13B30"/>
    <w:rsid w:val="07EE2CA7"/>
    <w:rsid w:val="07EF709A"/>
    <w:rsid w:val="08141ECD"/>
    <w:rsid w:val="081F2D4C"/>
    <w:rsid w:val="08202AE5"/>
    <w:rsid w:val="0837398B"/>
    <w:rsid w:val="084E2ACF"/>
    <w:rsid w:val="084F19C0"/>
    <w:rsid w:val="08635040"/>
    <w:rsid w:val="0865674A"/>
    <w:rsid w:val="087D5842"/>
    <w:rsid w:val="08A83B98"/>
    <w:rsid w:val="08B2562B"/>
    <w:rsid w:val="08B5584D"/>
    <w:rsid w:val="08BC41C1"/>
    <w:rsid w:val="09190838"/>
    <w:rsid w:val="091A677A"/>
    <w:rsid w:val="091A749D"/>
    <w:rsid w:val="09281B42"/>
    <w:rsid w:val="09393B70"/>
    <w:rsid w:val="095A3DD5"/>
    <w:rsid w:val="095C7B83"/>
    <w:rsid w:val="096B5FE2"/>
    <w:rsid w:val="098F731B"/>
    <w:rsid w:val="0996625D"/>
    <w:rsid w:val="099B68C7"/>
    <w:rsid w:val="09A3577C"/>
    <w:rsid w:val="09DE2A70"/>
    <w:rsid w:val="09E810D6"/>
    <w:rsid w:val="09F2568E"/>
    <w:rsid w:val="0A0855DF"/>
    <w:rsid w:val="0A1F4EA7"/>
    <w:rsid w:val="0A4707FD"/>
    <w:rsid w:val="0A8F047A"/>
    <w:rsid w:val="0AA01CBB"/>
    <w:rsid w:val="0AA862BE"/>
    <w:rsid w:val="0AAF0151"/>
    <w:rsid w:val="0AB51489"/>
    <w:rsid w:val="0ABF0DA2"/>
    <w:rsid w:val="0ACE0B6C"/>
    <w:rsid w:val="0AEA1189"/>
    <w:rsid w:val="0AEE6792"/>
    <w:rsid w:val="0AFB22B5"/>
    <w:rsid w:val="0B2823DD"/>
    <w:rsid w:val="0B33524B"/>
    <w:rsid w:val="0B351879"/>
    <w:rsid w:val="0B3C7C36"/>
    <w:rsid w:val="0B495EAF"/>
    <w:rsid w:val="0B5C3E3F"/>
    <w:rsid w:val="0B8D66E4"/>
    <w:rsid w:val="0B9F01C5"/>
    <w:rsid w:val="0BB73761"/>
    <w:rsid w:val="0BC666DB"/>
    <w:rsid w:val="0BD17250"/>
    <w:rsid w:val="0BD87766"/>
    <w:rsid w:val="0BE64801"/>
    <w:rsid w:val="0C061FF2"/>
    <w:rsid w:val="0C5C7E64"/>
    <w:rsid w:val="0C7965AF"/>
    <w:rsid w:val="0C8E3524"/>
    <w:rsid w:val="0C95751F"/>
    <w:rsid w:val="0CBE378C"/>
    <w:rsid w:val="0CCE2B10"/>
    <w:rsid w:val="0CD426C0"/>
    <w:rsid w:val="0CE9794A"/>
    <w:rsid w:val="0D2546FA"/>
    <w:rsid w:val="0D335069"/>
    <w:rsid w:val="0D63355E"/>
    <w:rsid w:val="0D6402AD"/>
    <w:rsid w:val="0D6E00F5"/>
    <w:rsid w:val="0D9642F0"/>
    <w:rsid w:val="0DB37F58"/>
    <w:rsid w:val="0DC55FF1"/>
    <w:rsid w:val="0DE27351"/>
    <w:rsid w:val="0DFE5677"/>
    <w:rsid w:val="0E0E518E"/>
    <w:rsid w:val="0E133FA6"/>
    <w:rsid w:val="0E15651D"/>
    <w:rsid w:val="0E195228"/>
    <w:rsid w:val="0E2217A8"/>
    <w:rsid w:val="0E2C2987"/>
    <w:rsid w:val="0E925E78"/>
    <w:rsid w:val="0E9B2EC6"/>
    <w:rsid w:val="0EA20C5D"/>
    <w:rsid w:val="0EA54211"/>
    <w:rsid w:val="0EAB227A"/>
    <w:rsid w:val="0EAD5EAE"/>
    <w:rsid w:val="0EB36468"/>
    <w:rsid w:val="0EDB1EAC"/>
    <w:rsid w:val="0EDB32C2"/>
    <w:rsid w:val="0EDB759D"/>
    <w:rsid w:val="0F024CF3"/>
    <w:rsid w:val="0F087E2F"/>
    <w:rsid w:val="0F206A4D"/>
    <w:rsid w:val="0F361774"/>
    <w:rsid w:val="0F3B7D92"/>
    <w:rsid w:val="0F4075C9"/>
    <w:rsid w:val="0F4C2412"/>
    <w:rsid w:val="0F501F02"/>
    <w:rsid w:val="0F587009"/>
    <w:rsid w:val="0F66630C"/>
    <w:rsid w:val="0F760781"/>
    <w:rsid w:val="0F7D25CB"/>
    <w:rsid w:val="0FA83AEC"/>
    <w:rsid w:val="0FC01DAB"/>
    <w:rsid w:val="0FC65D20"/>
    <w:rsid w:val="0FCB5DCA"/>
    <w:rsid w:val="0FF066A8"/>
    <w:rsid w:val="0FF10449"/>
    <w:rsid w:val="10485433"/>
    <w:rsid w:val="104C2911"/>
    <w:rsid w:val="105C0433"/>
    <w:rsid w:val="10606175"/>
    <w:rsid w:val="107514F4"/>
    <w:rsid w:val="107B6F12"/>
    <w:rsid w:val="1088747A"/>
    <w:rsid w:val="10A02A15"/>
    <w:rsid w:val="10DE52EC"/>
    <w:rsid w:val="10ED3781"/>
    <w:rsid w:val="11053C87"/>
    <w:rsid w:val="110F7B9B"/>
    <w:rsid w:val="112847B9"/>
    <w:rsid w:val="11316C22"/>
    <w:rsid w:val="11592BC4"/>
    <w:rsid w:val="11604A5C"/>
    <w:rsid w:val="11641C95"/>
    <w:rsid w:val="1176169D"/>
    <w:rsid w:val="117C68E7"/>
    <w:rsid w:val="118263A1"/>
    <w:rsid w:val="119603EC"/>
    <w:rsid w:val="11A331FA"/>
    <w:rsid w:val="11A87B15"/>
    <w:rsid w:val="11BF511D"/>
    <w:rsid w:val="11C224F8"/>
    <w:rsid w:val="11CC5D32"/>
    <w:rsid w:val="11DA3D05"/>
    <w:rsid w:val="11DC5CCF"/>
    <w:rsid w:val="11E365EE"/>
    <w:rsid w:val="11E84674"/>
    <w:rsid w:val="120038A1"/>
    <w:rsid w:val="121A67F7"/>
    <w:rsid w:val="121E029E"/>
    <w:rsid w:val="12323B41"/>
    <w:rsid w:val="12386C7D"/>
    <w:rsid w:val="1246139A"/>
    <w:rsid w:val="124D4083"/>
    <w:rsid w:val="12636D93"/>
    <w:rsid w:val="12701BF6"/>
    <w:rsid w:val="12863E8D"/>
    <w:rsid w:val="1287461C"/>
    <w:rsid w:val="128D2BCA"/>
    <w:rsid w:val="12D777F2"/>
    <w:rsid w:val="12DE47E6"/>
    <w:rsid w:val="12F17558"/>
    <w:rsid w:val="12F639E2"/>
    <w:rsid w:val="12F72695"/>
    <w:rsid w:val="12FE7EC7"/>
    <w:rsid w:val="1319260B"/>
    <w:rsid w:val="133D1517"/>
    <w:rsid w:val="134F427F"/>
    <w:rsid w:val="13510A26"/>
    <w:rsid w:val="136532E8"/>
    <w:rsid w:val="13A20852"/>
    <w:rsid w:val="13B50586"/>
    <w:rsid w:val="13CC1FE7"/>
    <w:rsid w:val="13D80718"/>
    <w:rsid w:val="13E1581F"/>
    <w:rsid w:val="141407F8"/>
    <w:rsid w:val="14593607"/>
    <w:rsid w:val="145E6E6F"/>
    <w:rsid w:val="146E4BD8"/>
    <w:rsid w:val="14747306"/>
    <w:rsid w:val="147541B9"/>
    <w:rsid w:val="147E0D40"/>
    <w:rsid w:val="1481490C"/>
    <w:rsid w:val="14953687"/>
    <w:rsid w:val="149C4E5E"/>
    <w:rsid w:val="14C60571"/>
    <w:rsid w:val="14D251DA"/>
    <w:rsid w:val="155913AC"/>
    <w:rsid w:val="15795281"/>
    <w:rsid w:val="15BC3411"/>
    <w:rsid w:val="15C22CE2"/>
    <w:rsid w:val="15C947BC"/>
    <w:rsid w:val="160E1B5C"/>
    <w:rsid w:val="1614567C"/>
    <w:rsid w:val="16271ECD"/>
    <w:rsid w:val="16421E79"/>
    <w:rsid w:val="16461969"/>
    <w:rsid w:val="164A5CC2"/>
    <w:rsid w:val="165F6ECF"/>
    <w:rsid w:val="1686445B"/>
    <w:rsid w:val="169F376F"/>
    <w:rsid w:val="16A24CDB"/>
    <w:rsid w:val="16A76302"/>
    <w:rsid w:val="16B014D8"/>
    <w:rsid w:val="16B32D77"/>
    <w:rsid w:val="16B665E1"/>
    <w:rsid w:val="16C521B5"/>
    <w:rsid w:val="16F05D79"/>
    <w:rsid w:val="16F3593D"/>
    <w:rsid w:val="173A3666"/>
    <w:rsid w:val="17405D8B"/>
    <w:rsid w:val="17482177"/>
    <w:rsid w:val="17794290"/>
    <w:rsid w:val="177C13BA"/>
    <w:rsid w:val="17BB6387"/>
    <w:rsid w:val="17DF684D"/>
    <w:rsid w:val="17E05DED"/>
    <w:rsid w:val="17F31E94"/>
    <w:rsid w:val="17F83137"/>
    <w:rsid w:val="181736F0"/>
    <w:rsid w:val="181D0DEF"/>
    <w:rsid w:val="18297794"/>
    <w:rsid w:val="182B5FDF"/>
    <w:rsid w:val="18301873"/>
    <w:rsid w:val="184E0FA9"/>
    <w:rsid w:val="185D59F5"/>
    <w:rsid w:val="185F7735"/>
    <w:rsid w:val="18652B97"/>
    <w:rsid w:val="18860743"/>
    <w:rsid w:val="189015C1"/>
    <w:rsid w:val="18932E60"/>
    <w:rsid w:val="18B352B0"/>
    <w:rsid w:val="18BD7EDC"/>
    <w:rsid w:val="18C82B09"/>
    <w:rsid w:val="18D24826"/>
    <w:rsid w:val="1930763A"/>
    <w:rsid w:val="193564B7"/>
    <w:rsid w:val="19834C82"/>
    <w:rsid w:val="198F35F7"/>
    <w:rsid w:val="199667D2"/>
    <w:rsid w:val="1997072D"/>
    <w:rsid w:val="19C02A41"/>
    <w:rsid w:val="19C63AD7"/>
    <w:rsid w:val="19D21766"/>
    <w:rsid w:val="19DB4ABE"/>
    <w:rsid w:val="19DC2403"/>
    <w:rsid w:val="19DE010A"/>
    <w:rsid w:val="19E73463"/>
    <w:rsid w:val="19E94399"/>
    <w:rsid w:val="19EC5D5F"/>
    <w:rsid w:val="19EF6331"/>
    <w:rsid w:val="1A2417DD"/>
    <w:rsid w:val="1A3B555D"/>
    <w:rsid w:val="1A50725A"/>
    <w:rsid w:val="1A5328A6"/>
    <w:rsid w:val="1A6F007A"/>
    <w:rsid w:val="1A7F369B"/>
    <w:rsid w:val="1AA40BC5"/>
    <w:rsid w:val="1AA52927"/>
    <w:rsid w:val="1AA749A0"/>
    <w:rsid w:val="1ABD5F72"/>
    <w:rsid w:val="1ADA2FC8"/>
    <w:rsid w:val="1AF000F5"/>
    <w:rsid w:val="1AF51BB0"/>
    <w:rsid w:val="1AFC093E"/>
    <w:rsid w:val="1B3C77DE"/>
    <w:rsid w:val="1B522B5E"/>
    <w:rsid w:val="1B5F527B"/>
    <w:rsid w:val="1B63274F"/>
    <w:rsid w:val="1B636B19"/>
    <w:rsid w:val="1B751D18"/>
    <w:rsid w:val="1B837689"/>
    <w:rsid w:val="1BA35581"/>
    <w:rsid w:val="1BA710FC"/>
    <w:rsid w:val="1BA874C5"/>
    <w:rsid w:val="1BBC1B6B"/>
    <w:rsid w:val="1BDE43F2"/>
    <w:rsid w:val="1BE1312F"/>
    <w:rsid w:val="1BE54206"/>
    <w:rsid w:val="1BF54352"/>
    <w:rsid w:val="1BFD0B5F"/>
    <w:rsid w:val="1C00080C"/>
    <w:rsid w:val="1C0C1583"/>
    <w:rsid w:val="1C1224F7"/>
    <w:rsid w:val="1C211FCC"/>
    <w:rsid w:val="1C215860"/>
    <w:rsid w:val="1C2F4C4D"/>
    <w:rsid w:val="1C3B088A"/>
    <w:rsid w:val="1C4F52EF"/>
    <w:rsid w:val="1C5A43C0"/>
    <w:rsid w:val="1CA078F9"/>
    <w:rsid w:val="1CA119CD"/>
    <w:rsid w:val="1CB338D9"/>
    <w:rsid w:val="1CC17F9B"/>
    <w:rsid w:val="1CC25AC1"/>
    <w:rsid w:val="1CCC06EE"/>
    <w:rsid w:val="1CD120FF"/>
    <w:rsid w:val="1CD83537"/>
    <w:rsid w:val="1CDF6B41"/>
    <w:rsid w:val="1CED6CF9"/>
    <w:rsid w:val="1CF71C0F"/>
    <w:rsid w:val="1D2F3F5E"/>
    <w:rsid w:val="1D3121A1"/>
    <w:rsid w:val="1D52110B"/>
    <w:rsid w:val="1D567D06"/>
    <w:rsid w:val="1D5E5041"/>
    <w:rsid w:val="1D6920D8"/>
    <w:rsid w:val="1D720138"/>
    <w:rsid w:val="1D721295"/>
    <w:rsid w:val="1D880AB9"/>
    <w:rsid w:val="1D945CC4"/>
    <w:rsid w:val="1DA515C2"/>
    <w:rsid w:val="1DCA0339"/>
    <w:rsid w:val="1DDE2DCF"/>
    <w:rsid w:val="1DF127C5"/>
    <w:rsid w:val="1DFB74DD"/>
    <w:rsid w:val="1E205195"/>
    <w:rsid w:val="1E285CE7"/>
    <w:rsid w:val="1E2F53D8"/>
    <w:rsid w:val="1E56423E"/>
    <w:rsid w:val="1E8829E9"/>
    <w:rsid w:val="1E894AE9"/>
    <w:rsid w:val="1E994839"/>
    <w:rsid w:val="1EA43D4B"/>
    <w:rsid w:val="1ECB6CF3"/>
    <w:rsid w:val="1ED63936"/>
    <w:rsid w:val="1EE82E44"/>
    <w:rsid w:val="1F044C17"/>
    <w:rsid w:val="1F095BCD"/>
    <w:rsid w:val="1F0C571A"/>
    <w:rsid w:val="1F0E4FEE"/>
    <w:rsid w:val="1F242A63"/>
    <w:rsid w:val="1F324176"/>
    <w:rsid w:val="1F3839D1"/>
    <w:rsid w:val="1F980D5B"/>
    <w:rsid w:val="1F981CFA"/>
    <w:rsid w:val="1FB35C2A"/>
    <w:rsid w:val="1FB7392F"/>
    <w:rsid w:val="1FBA5176"/>
    <w:rsid w:val="1FD83FC9"/>
    <w:rsid w:val="1FDB5818"/>
    <w:rsid w:val="1FF57F5C"/>
    <w:rsid w:val="200A7C06"/>
    <w:rsid w:val="20443B05"/>
    <w:rsid w:val="20540405"/>
    <w:rsid w:val="2056015F"/>
    <w:rsid w:val="20AB7349"/>
    <w:rsid w:val="20AC2D10"/>
    <w:rsid w:val="20B11C5C"/>
    <w:rsid w:val="20BE2EDB"/>
    <w:rsid w:val="20CC2159"/>
    <w:rsid w:val="20CF18B8"/>
    <w:rsid w:val="20D34741"/>
    <w:rsid w:val="20DC1B4D"/>
    <w:rsid w:val="20E75FEA"/>
    <w:rsid w:val="20EE3329"/>
    <w:rsid w:val="211B0EE6"/>
    <w:rsid w:val="21386BBD"/>
    <w:rsid w:val="21676C37"/>
    <w:rsid w:val="2172795D"/>
    <w:rsid w:val="218E68BA"/>
    <w:rsid w:val="219A49A8"/>
    <w:rsid w:val="21BE7C5E"/>
    <w:rsid w:val="21C77D00"/>
    <w:rsid w:val="21CA74E9"/>
    <w:rsid w:val="21DE261D"/>
    <w:rsid w:val="21EC2BAB"/>
    <w:rsid w:val="21F229A5"/>
    <w:rsid w:val="21F22C88"/>
    <w:rsid w:val="220D46BA"/>
    <w:rsid w:val="22574EFE"/>
    <w:rsid w:val="22600256"/>
    <w:rsid w:val="227E0004"/>
    <w:rsid w:val="228F28EA"/>
    <w:rsid w:val="22A60EB5"/>
    <w:rsid w:val="22C02D9E"/>
    <w:rsid w:val="22D23494"/>
    <w:rsid w:val="22D447A0"/>
    <w:rsid w:val="22D81D21"/>
    <w:rsid w:val="22DA1DB7"/>
    <w:rsid w:val="22EB44B3"/>
    <w:rsid w:val="23056708"/>
    <w:rsid w:val="230F0A4B"/>
    <w:rsid w:val="23165F69"/>
    <w:rsid w:val="23241284"/>
    <w:rsid w:val="232B1CE8"/>
    <w:rsid w:val="232F19D7"/>
    <w:rsid w:val="235356C5"/>
    <w:rsid w:val="238263F4"/>
    <w:rsid w:val="239D1036"/>
    <w:rsid w:val="23A61C99"/>
    <w:rsid w:val="23AF4937"/>
    <w:rsid w:val="23BE32A5"/>
    <w:rsid w:val="23D42CAA"/>
    <w:rsid w:val="23D64254"/>
    <w:rsid w:val="24011960"/>
    <w:rsid w:val="24054A11"/>
    <w:rsid w:val="241137D9"/>
    <w:rsid w:val="245A05CA"/>
    <w:rsid w:val="247B4D12"/>
    <w:rsid w:val="24895FF2"/>
    <w:rsid w:val="24912949"/>
    <w:rsid w:val="24B14D99"/>
    <w:rsid w:val="24B66F7B"/>
    <w:rsid w:val="24B95CB1"/>
    <w:rsid w:val="24FF3D57"/>
    <w:rsid w:val="25101C98"/>
    <w:rsid w:val="251315B0"/>
    <w:rsid w:val="251D242F"/>
    <w:rsid w:val="25453733"/>
    <w:rsid w:val="2547125A"/>
    <w:rsid w:val="2549427F"/>
    <w:rsid w:val="255355C0"/>
    <w:rsid w:val="2593449F"/>
    <w:rsid w:val="25974A42"/>
    <w:rsid w:val="25BA7C7E"/>
    <w:rsid w:val="25E037D0"/>
    <w:rsid w:val="25EE0FAE"/>
    <w:rsid w:val="260E1D77"/>
    <w:rsid w:val="2614749F"/>
    <w:rsid w:val="262E41C8"/>
    <w:rsid w:val="263C68E5"/>
    <w:rsid w:val="266170E3"/>
    <w:rsid w:val="268C368D"/>
    <w:rsid w:val="26A60202"/>
    <w:rsid w:val="26AE3CBD"/>
    <w:rsid w:val="26B92AA7"/>
    <w:rsid w:val="26CC5EBA"/>
    <w:rsid w:val="26F23C5A"/>
    <w:rsid w:val="27113DF2"/>
    <w:rsid w:val="27251824"/>
    <w:rsid w:val="273F2C97"/>
    <w:rsid w:val="27473793"/>
    <w:rsid w:val="2750534C"/>
    <w:rsid w:val="27602AA7"/>
    <w:rsid w:val="27675BE3"/>
    <w:rsid w:val="276D2FA1"/>
    <w:rsid w:val="277838F6"/>
    <w:rsid w:val="279F2C36"/>
    <w:rsid w:val="27A209C9"/>
    <w:rsid w:val="27B84691"/>
    <w:rsid w:val="27F84A8D"/>
    <w:rsid w:val="28081174"/>
    <w:rsid w:val="283C7C55"/>
    <w:rsid w:val="28453812"/>
    <w:rsid w:val="285C6DCA"/>
    <w:rsid w:val="2884700D"/>
    <w:rsid w:val="28926C90"/>
    <w:rsid w:val="28950B0C"/>
    <w:rsid w:val="28A644E9"/>
    <w:rsid w:val="28A65873"/>
    <w:rsid w:val="28A91911"/>
    <w:rsid w:val="28B210E0"/>
    <w:rsid w:val="28DE064F"/>
    <w:rsid w:val="28EC1885"/>
    <w:rsid w:val="29161CF1"/>
    <w:rsid w:val="29194CBB"/>
    <w:rsid w:val="291F27EC"/>
    <w:rsid w:val="29212C84"/>
    <w:rsid w:val="292F2731"/>
    <w:rsid w:val="2933177B"/>
    <w:rsid w:val="29394C50"/>
    <w:rsid w:val="29564161"/>
    <w:rsid w:val="296F6FD1"/>
    <w:rsid w:val="2974095E"/>
    <w:rsid w:val="29927401"/>
    <w:rsid w:val="299608E4"/>
    <w:rsid w:val="299B6946"/>
    <w:rsid w:val="29B80978"/>
    <w:rsid w:val="29C04EC5"/>
    <w:rsid w:val="29C4731D"/>
    <w:rsid w:val="29D34CE3"/>
    <w:rsid w:val="29D62BAC"/>
    <w:rsid w:val="29DE1E4D"/>
    <w:rsid w:val="2A0A7696"/>
    <w:rsid w:val="2A0D0F0C"/>
    <w:rsid w:val="2A176C00"/>
    <w:rsid w:val="2A1F4553"/>
    <w:rsid w:val="2A24600D"/>
    <w:rsid w:val="2A2B114A"/>
    <w:rsid w:val="2A355B25"/>
    <w:rsid w:val="2A4F636D"/>
    <w:rsid w:val="2A524929"/>
    <w:rsid w:val="2A6B1D80"/>
    <w:rsid w:val="2A862824"/>
    <w:rsid w:val="2A892866"/>
    <w:rsid w:val="2A9D36CA"/>
    <w:rsid w:val="2AB54EB7"/>
    <w:rsid w:val="2AD74E2E"/>
    <w:rsid w:val="2ADB6EB7"/>
    <w:rsid w:val="2AE45217"/>
    <w:rsid w:val="2AFB54C5"/>
    <w:rsid w:val="2B055F8A"/>
    <w:rsid w:val="2B0C03A4"/>
    <w:rsid w:val="2B200651"/>
    <w:rsid w:val="2B2838DB"/>
    <w:rsid w:val="2B3841A3"/>
    <w:rsid w:val="2B397896"/>
    <w:rsid w:val="2B4F0E68"/>
    <w:rsid w:val="2B5319D1"/>
    <w:rsid w:val="2B6F658C"/>
    <w:rsid w:val="2B944ACD"/>
    <w:rsid w:val="2BA33DC6"/>
    <w:rsid w:val="2BD355F5"/>
    <w:rsid w:val="2BD80E5D"/>
    <w:rsid w:val="2BEF3E44"/>
    <w:rsid w:val="2BF16B92"/>
    <w:rsid w:val="2BF33EE9"/>
    <w:rsid w:val="2BFF63EA"/>
    <w:rsid w:val="2C0003B4"/>
    <w:rsid w:val="2C091017"/>
    <w:rsid w:val="2C680433"/>
    <w:rsid w:val="2C7C2C69"/>
    <w:rsid w:val="2CA60F5C"/>
    <w:rsid w:val="2D0068BE"/>
    <w:rsid w:val="2D1759B5"/>
    <w:rsid w:val="2D511017"/>
    <w:rsid w:val="2D7050C6"/>
    <w:rsid w:val="2D735A67"/>
    <w:rsid w:val="2D780CB6"/>
    <w:rsid w:val="2D7B4196"/>
    <w:rsid w:val="2D8079FF"/>
    <w:rsid w:val="2D842D39"/>
    <w:rsid w:val="2DA67B66"/>
    <w:rsid w:val="2DF53F49"/>
    <w:rsid w:val="2DF91031"/>
    <w:rsid w:val="2DFD7CDE"/>
    <w:rsid w:val="2E162111"/>
    <w:rsid w:val="2E6305ED"/>
    <w:rsid w:val="2E8818C4"/>
    <w:rsid w:val="2E8E1CA7"/>
    <w:rsid w:val="2E922D73"/>
    <w:rsid w:val="2EBA1864"/>
    <w:rsid w:val="2EC85D5E"/>
    <w:rsid w:val="2ED50D09"/>
    <w:rsid w:val="2EDC0C65"/>
    <w:rsid w:val="2EF22E53"/>
    <w:rsid w:val="2EF51D26"/>
    <w:rsid w:val="2F0748E7"/>
    <w:rsid w:val="2F0A6734"/>
    <w:rsid w:val="2F2B399A"/>
    <w:rsid w:val="2F3D79D9"/>
    <w:rsid w:val="2F4219B8"/>
    <w:rsid w:val="2F452CAE"/>
    <w:rsid w:val="2F8F217B"/>
    <w:rsid w:val="2F9B0B20"/>
    <w:rsid w:val="2F9C54E2"/>
    <w:rsid w:val="2FB475A5"/>
    <w:rsid w:val="2FC36919"/>
    <w:rsid w:val="2FC935F5"/>
    <w:rsid w:val="2FDD2EE6"/>
    <w:rsid w:val="2FF16992"/>
    <w:rsid w:val="3014598E"/>
    <w:rsid w:val="30191A45"/>
    <w:rsid w:val="3019494D"/>
    <w:rsid w:val="301B4DB2"/>
    <w:rsid w:val="301D32E3"/>
    <w:rsid w:val="302F5F5A"/>
    <w:rsid w:val="305C6B22"/>
    <w:rsid w:val="30A03DD0"/>
    <w:rsid w:val="30AB4D93"/>
    <w:rsid w:val="30B27717"/>
    <w:rsid w:val="30DA11D4"/>
    <w:rsid w:val="30DB42DF"/>
    <w:rsid w:val="30E74DA6"/>
    <w:rsid w:val="30EC34E0"/>
    <w:rsid w:val="30F1651D"/>
    <w:rsid w:val="31172A76"/>
    <w:rsid w:val="311741D6"/>
    <w:rsid w:val="31327262"/>
    <w:rsid w:val="313F372D"/>
    <w:rsid w:val="314D5E4A"/>
    <w:rsid w:val="314F08CF"/>
    <w:rsid w:val="31717D8A"/>
    <w:rsid w:val="31841167"/>
    <w:rsid w:val="318F0210"/>
    <w:rsid w:val="31905D36"/>
    <w:rsid w:val="31962F66"/>
    <w:rsid w:val="31C0661C"/>
    <w:rsid w:val="31DB16A7"/>
    <w:rsid w:val="322D6B40"/>
    <w:rsid w:val="32340DB8"/>
    <w:rsid w:val="323C33AF"/>
    <w:rsid w:val="32484C4E"/>
    <w:rsid w:val="32544FB6"/>
    <w:rsid w:val="32605D06"/>
    <w:rsid w:val="3293380E"/>
    <w:rsid w:val="32B803DE"/>
    <w:rsid w:val="32C75788"/>
    <w:rsid w:val="32E46FF0"/>
    <w:rsid w:val="32E90B44"/>
    <w:rsid w:val="330469DC"/>
    <w:rsid w:val="331309CD"/>
    <w:rsid w:val="33A43C30"/>
    <w:rsid w:val="33CE2C57"/>
    <w:rsid w:val="33DE6B77"/>
    <w:rsid w:val="33EC512B"/>
    <w:rsid w:val="341C101E"/>
    <w:rsid w:val="346F43F1"/>
    <w:rsid w:val="347D281C"/>
    <w:rsid w:val="34850DEF"/>
    <w:rsid w:val="348B49DE"/>
    <w:rsid w:val="34D66156"/>
    <w:rsid w:val="34FA467B"/>
    <w:rsid w:val="35441A8C"/>
    <w:rsid w:val="35484BCD"/>
    <w:rsid w:val="355A0B35"/>
    <w:rsid w:val="355A3D41"/>
    <w:rsid w:val="356419B4"/>
    <w:rsid w:val="35691819"/>
    <w:rsid w:val="35777939"/>
    <w:rsid w:val="35812566"/>
    <w:rsid w:val="35A238E7"/>
    <w:rsid w:val="35A304A9"/>
    <w:rsid w:val="35BF6BEA"/>
    <w:rsid w:val="35D573AE"/>
    <w:rsid w:val="36085CF8"/>
    <w:rsid w:val="3627310D"/>
    <w:rsid w:val="364D7488"/>
    <w:rsid w:val="365A6926"/>
    <w:rsid w:val="36741E16"/>
    <w:rsid w:val="368C11C2"/>
    <w:rsid w:val="36AC3612"/>
    <w:rsid w:val="36CC7811"/>
    <w:rsid w:val="36D654B6"/>
    <w:rsid w:val="36DD32BF"/>
    <w:rsid w:val="36DD37CC"/>
    <w:rsid w:val="36F01751"/>
    <w:rsid w:val="370C7272"/>
    <w:rsid w:val="371B60A2"/>
    <w:rsid w:val="371E4419"/>
    <w:rsid w:val="372F21F8"/>
    <w:rsid w:val="37355B09"/>
    <w:rsid w:val="37357164"/>
    <w:rsid w:val="37450A23"/>
    <w:rsid w:val="37482467"/>
    <w:rsid w:val="375A10AE"/>
    <w:rsid w:val="375F18CE"/>
    <w:rsid w:val="376D3A14"/>
    <w:rsid w:val="377543D4"/>
    <w:rsid w:val="379E050A"/>
    <w:rsid w:val="379F42F8"/>
    <w:rsid w:val="37A227C0"/>
    <w:rsid w:val="37A563A1"/>
    <w:rsid w:val="37AC319E"/>
    <w:rsid w:val="37B00EE0"/>
    <w:rsid w:val="37B24C58"/>
    <w:rsid w:val="37E868CC"/>
    <w:rsid w:val="37FE1083"/>
    <w:rsid w:val="38112289"/>
    <w:rsid w:val="381439C0"/>
    <w:rsid w:val="382C54C9"/>
    <w:rsid w:val="382D2531"/>
    <w:rsid w:val="3842422E"/>
    <w:rsid w:val="3848736B"/>
    <w:rsid w:val="384D2BD3"/>
    <w:rsid w:val="384E7A64"/>
    <w:rsid w:val="38593326"/>
    <w:rsid w:val="3862042D"/>
    <w:rsid w:val="38774FC6"/>
    <w:rsid w:val="38787C50"/>
    <w:rsid w:val="38877AC5"/>
    <w:rsid w:val="389567FE"/>
    <w:rsid w:val="389B0595"/>
    <w:rsid w:val="389C7947"/>
    <w:rsid w:val="38A47140"/>
    <w:rsid w:val="38CC1D4A"/>
    <w:rsid w:val="38F80946"/>
    <w:rsid w:val="39197560"/>
    <w:rsid w:val="39275FEC"/>
    <w:rsid w:val="393153A6"/>
    <w:rsid w:val="3939253C"/>
    <w:rsid w:val="395A7356"/>
    <w:rsid w:val="396106E4"/>
    <w:rsid w:val="398268AC"/>
    <w:rsid w:val="39875A90"/>
    <w:rsid w:val="39A03024"/>
    <w:rsid w:val="39A53523"/>
    <w:rsid w:val="39A75360"/>
    <w:rsid w:val="39B36A66"/>
    <w:rsid w:val="39BF18AF"/>
    <w:rsid w:val="39C661B5"/>
    <w:rsid w:val="39C742BF"/>
    <w:rsid w:val="3A24180E"/>
    <w:rsid w:val="3A3B7187"/>
    <w:rsid w:val="3A3D44A3"/>
    <w:rsid w:val="3A4F678F"/>
    <w:rsid w:val="3A577D39"/>
    <w:rsid w:val="3A5C534F"/>
    <w:rsid w:val="3A6570A1"/>
    <w:rsid w:val="3A6F5083"/>
    <w:rsid w:val="3A883352"/>
    <w:rsid w:val="3A98285C"/>
    <w:rsid w:val="3AA7541F"/>
    <w:rsid w:val="3AB16AFD"/>
    <w:rsid w:val="3ABD3CF2"/>
    <w:rsid w:val="3AC234D7"/>
    <w:rsid w:val="3AC3064C"/>
    <w:rsid w:val="3ACD1DA9"/>
    <w:rsid w:val="3AD23706"/>
    <w:rsid w:val="3AD54D74"/>
    <w:rsid w:val="3ADD023E"/>
    <w:rsid w:val="3ADF1772"/>
    <w:rsid w:val="3AE83617"/>
    <w:rsid w:val="3AFC44E4"/>
    <w:rsid w:val="3B144638"/>
    <w:rsid w:val="3B1672AC"/>
    <w:rsid w:val="3B2E2848"/>
    <w:rsid w:val="3B377223"/>
    <w:rsid w:val="3C200787"/>
    <w:rsid w:val="3C20213A"/>
    <w:rsid w:val="3C5E715D"/>
    <w:rsid w:val="3C673978"/>
    <w:rsid w:val="3CE43D58"/>
    <w:rsid w:val="3CFE26EE"/>
    <w:rsid w:val="3D056DE5"/>
    <w:rsid w:val="3D150381"/>
    <w:rsid w:val="3D242DC0"/>
    <w:rsid w:val="3D3357D0"/>
    <w:rsid w:val="3D3861CD"/>
    <w:rsid w:val="3D444D9B"/>
    <w:rsid w:val="3D603B0C"/>
    <w:rsid w:val="3D6267D9"/>
    <w:rsid w:val="3D6E33D0"/>
    <w:rsid w:val="3D741B32"/>
    <w:rsid w:val="3D9A53D2"/>
    <w:rsid w:val="3DA82763"/>
    <w:rsid w:val="3DC56D68"/>
    <w:rsid w:val="3DD11BB1"/>
    <w:rsid w:val="3DDD67A7"/>
    <w:rsid w:val="3DE73182"/>
    <w:rsid w:val="3E23240C"/>
    <w:rsid w:val="3E7013C9"/>
    <w:rsid w:val="3EA03A5D"/>
    <w:rsid w:val="3EAD7F28"/>
    <w:rsid w:val="3EB24A80"/>
    <w:rsid w:val="3EB43064"/>
    <w:rsid w:val="3EC7548D"/>
    <w:rsid w:val="3EEB0A50"/>
    <w:rsid w:val="3EF06066"/>
    <w:rsid w:val="3EF344A0"/>
    <w:rsid w:val="3F0C5499"/>
    <w:rsid w:val="3F106D4D"/>
    <w:rsid w:val="3F171845"/>
    <w:rsid w:val="3F266B61"/>
    <w:rsid w:val="3F271710"/>
    <w:rsid w:val="3F3013EB"/>
    <w:rsid w:val="3F564F2E"/>
    <w:rsid w:val="3F5A618E"/>
    <w:rsid w:val="3F6759A1"/>
    <w:rsid w:val="3F8A5DC7"/>
    <w:rsid w:val="3FBE4396"/>
    <w:rsid w:val="3FC01EDD"/>
    <w:rsid w:val="3FE94F8F"/>
    <w:rsid w:val="3FFF2A05"/>
    <w:rsid w:val="40060536"/>
    <w:rsid w:val="403C0BE5"/>
    <w:rsid w:val="403F2E01"/>
    <w:rsid w:val="406538E2"/>
    <w:rsid w:val="40730CFD"/>
    <w:rsid w:val="407471B5"/>
    <w:rsid w:val="409F6227"/>
    <w:rsid w:val="40AE2408"/>
    <w:rsid w:val="40BE641C"/>
    <w:rsid w:val="40CB6D8B"/>
    <w:rsid w:val="40D61F9F"/>
    <w:rsid w:val="40E1210B"/>
    <w:rsid w:val="40E6513A"/>
    <w:rsid w:val="40E8793D"/>
    <w:rsid w:val="40F2256A"/>
    <w:rsid w:val="41055DF9"/>
    <w:rsid w:val="411C3143"/>
    <w:rsid w:val="41207F0A"/>
    <w:rsid w:val="41277CAD"/>
    <w:rsid w:val="414F176A"/>
    <w:rsid w:val="415E7BFF"/>
    <w:rsid w:val="416F3BBA"/>
    <w:rsid w:val="417254CB"/>
    <w:rsid w:val="418A329E"/>
    <w:rsid w:val="41D43A1D"/>
    <w:rsid w:val="41D659E7"/>
    <w:rsid w:val="41DE7B28"/>
    <w:rsid w:val="421C406A"/>
    <w:rsid w:val="421C69ED"/>
    <w:rsid w:val="42295B17"/>
    <w:rsid w:val="422E137F"/>
    <w:rsid w:val="423D3A47"/>
    <w:rsid w:val="423F334F"/>
    <w:rsid w:val="423F7E57"/>
    <w:rsid w:val="42415557"/>
    <w:rsid w:val="425828A0"/>
    <w:rsid w:val="4283791D"/>
    <w:rsid w:val="42850112"/>
    <w:rsid w:val="428B61F9"/>
    <w:rsid w:val="42D068DB"/>
    <w:rsid w:val="42D9753D"/>
    <w:rsid w:val="42E12896"/>
    <w:rsid w:val="42FE6FA4"/>
    <w:rsid w:val="432B1D63"/>
    <w:rsid w:val="433112AC"/>
    <w:rsid w:val="43313437"/>
    <w:rsid w:val="433238B4"/>
    <w:rsid w:val="434A043B"/>
    <w:rsid w:val="434E0C0A"/>
    <w:rsid w:val="43671804"/>
    <w:rsid w:val="436808C1"/>
    <w:rsid w:val="43747266"/>
    <w:rsid w:val="438D6152"/>
    <w:rsid w:val="43C54EEF"/>
    <w:rsid w:val="43E02C27"/>
    <w:rsid w:val="441822E7"/>
    <w:rsid w:val="443B1E1A"/>
    <w:rsid w:val="444875EB"/>
    <w:rsid w:val="44535F71"/>
    <w:rsid w:val="44A17A7E"/>
    <w:rsid w:val="44AD6ED3"/>
    <w:rsid w:val="44DA134B"/>
    <w:rsid w:val="44E623E5"/>
    <w:rsid w:val="44EE06E7"/>
    <w:rsid w:val="44F00B6E"/>
    <w:rsid w:val="44F12C03"/>
    <w:rsid w:val="452457E1"/>
    <w:rsid w:val="452847AC"/>
    <w:rsid w:val="452B7DF8"/>
    <w:rsid w:val="453C2484"/>
    <w:rsid w:val="453D6989"/>
    <w:rsid w:val="453F4987"/>
    <w:rsid w:val="45605CF4"/>
    <w:rsid w:val="45617CBE"/>
    <w:rsid w:val="456E21D5"/>
    <w:rsid w:val="457A7218"/>
    <w:rsid w:val="45BA70B1"/>
    <w:rsid w:val="45BD3146"/>
    <w:rsid w:val="45E561F9"/>
    <w:rsid w:val="45EA2CE8"/>
    <w:rsid w:val="45F74EDF"/>
    <w:rsid w:val="4600059B"/>
    <w:rsid w:val="46115240"/>
    <w:rsid w:val="46160E93"/>
    <w:rsid w:val="462D006C"/>
    <w:rsid w:val="46404F83"/>
    <w:rsid w:val="464473C4"/>
    <w:rsid w:val="464E252C"/>
    <w:rsid w:val="46582E6F"/>
    <w:rsid w:val="46933EA7"/>
    <w:rsid w:val="469F0A9E"/>
    <w:rsid w:val="46AB5174"/>
    <w:rsid w:val="46B700F8"/>
    <w:rsid w:val="46BB44BC"/>
    <w:rsid w:val="46C6591C"/>
    <w:rsid w:val="46CD560B"/>
    <w:rsid w:val="46D272F4"/>
    <w:rsid w:val="46DC3AA0"/>
    <w:rsid w:val="4714323A"/>
    <w:rsid w:val="473A4BD7"/>
    <w:rsid w:val="47510996"/>
    <w:rsid w:val="47570AD2"/>
    <w:rsid w:val="47580314"/>
    <w:rsid w:val="478B4B7E"/>
    <w:rsid w:val="4791488A"/>
    <w:rsid w:val="47B34831"/>
    <w:rsid w:val="47CF53B3"/>
    <w:rsid w:val="47D429C9"/>
    <w:rsid w:val="47EB41FA"/>
    <w:rsid w:val="47EF7803"/>
    <w:rsid w:val="47EF7DF7"/>
    <w:rsid w:val="47F00E85"/>
    <w:rsid w:val="4804144A"/>
    <w:rsid w:val="48070487"/>
    <w:rsid w:val="480D4491"/>
    <w:rsid w:val="483671E0"/>
    <w:rsid w:val="484A400D"/>
    <w:rsid w:val="48501411"/>
    <w:rsid w:val="48695334"/>
    <w:rsid w:val="486A7361"/>
    <w:rsid w:val="48890152"/>
    <w:rsid w:val="48A04659"/>
    <w:rsid w:val="48C05E0B"/>
    <w:rsid w:val="48C93CA5"/>
    <w:rsid w:val="48CC18F2"/>
    <w:rsid w:val="48F7696F"/>
    <w:rsid w:val="48F87457"/>
    <w:rsid w:val="49033566"/>
    <w:rsid w:val="490671E3"/>
    <w:rsid w:val="490B241B"/>
    <w:rsid w:val="490E1280"/>
    <w:rsid w:val="4922407A"/>
    <w:rsid w:val="49296D45"/>
    <w:rsid w:val="49303C2F"/>
    <w:rsid w:val="497A63F6"/>
    <w:rsid w:val="497B7D9F"/>
    <w:rsid w:val="498E6CD6"/>
    <w:rsid w:val="49BC1967"/>
    <w:rsid w:val="49BD25AC"/>
    <w:rsid w:val="49C93F25"/>
    <w:rsid w:val="49D14B65"/>
    <w:rsid w:val="49D767A1"/>
    <w:rsid w:val="49F70BF1"/>
    <w:rsid w:val="49FA5FEB"/>
    <w:rsid w:val="4A121587"/>
    <w:rsid w:val="4A233794"/>
    <w:rsid w:val="4A2F038B"/>
    <w:rsid w:val="4A743FEF"/>
    <w:rsid w:val="4A7B0E59"/>
    <w:rsid w:val="4A803067"/>
    <w:rsid w:val="4AB74840"/>
    <w:rsid w:val="4AC05487"/>
    <w:rsid w:val="4AC65755"/>
    <w:rsid w:val="4ACB3476"/>
    <w:rsid w:val="4AD728D0"/>
    <w:rsid w:val="4ADF597A"/>
    <w:rsid w:val="4AE30D8B"/>
    <w:rsid w:val="4AF07B1A"/>
    <w:rsid w:val="4B2477C4"/>
    <w:rsid w:val="4B2D7D43"/>
    <w:rsid w:val="4B3043BA"/>
    <w:rsid w:val="4B3A0D95"/>
    <w:rsid w:val="4B410375"/>
    <w:rsid w:val="4B6B0F4E"/>
    <w:rsid w:val="4B91508D"/>
    <w:rsid w:val="4B937275"/>
    <w:rsid w:val="4B9506C1"/>
    <w:rsid w:val="4BA206E8"/>
    <w:rsid w:val="4BA6642B"/>
    <w:rsid w:val="4BA9144B"/>
    <w:rsid w:val="4BB73B85"/>
    <w:rsid w:val="4BB90631"/>
    <w:rsid w:val="4BCF3BD3"/>
    <w:rsid w:val="4BF929FE"/>
    <w:rsid w:val="4C450FB8"/>
    <w:rsid w:val="4C567E51"/>
    <w:rsid w:val="4C747E14"/>
    <w:rsid w:val="4C8536AB"/>
    <w:rsid w:val="4CA84AAD"/>
    <w:rsid w:val="4CAC0E3F"/>
    <w:rsid w:val="4CAF57B3"/>
    <w:rsid w:val="4CBD7ED0"/>
    <w:rsid w:val="4CC44C05"/>
    <w:rsid w:val="4CDF1BF4"/>
    <w:rsid w:val="4CE216E4"/>
    <w:rsid w:val="4CEA5082"/>
    <w:rsid w:val="4CEF795D"/>
    <w:rsid w:val="4D027691"/>
    <w:rsid w:val="4D2B4E39"/>
    <w:rsid w:val="4D2B53D3"/>
    <w:rsid w:val="4D421E62"/>
    <w:rsid w:val="4D4B54DB"/>
    <w:rsid w:val="4D5F2D35"/>
    <w:rsid w:val="4D807BBE"/>
    <w:rsid w:val="4D9C5D37"/>
    <w:rsid w:val="4DB12E65"/>
    <w:rsid w:val="4DF72F6D"/>
    <w:rsid w:val="4E01515D"/>
    <w:rsid w:val="4E047438"/>
    <w:rsid w:val="4E241889"/>
    <w:rsid w:val="4E303014"/>
    <w:rsid w:val="4E405991"/>
    <w:rsid w:val="4E4B5067"/>
    <w:rsid w:val="4E4F6905"/>
    <w:rsid w:val="4E644A95"/>
    <w:rsid w:val="4E656BC0"/>
    <w:rsid w:val="4E65774D"/>
    <w:rsid w:val="4E881E17"/>
    <w:rsid w:val="4EEA4880"/>
    <w:rsid w:val="4EEC05F8"/>
    <w:rsid w:val="4F0023CD"/>
    <w:rsid w:val="4F056DE1"/>
    <w:rsid w:val="4F0771E0"/>
    <w:rsid w:val="4F15353E"/>
    <w:rsid w:val="4F19757E"/>
    <w:rsid w:val="4F223D03"/>
    <w:rsid w:val="4F4C72E9"/>
    <w:rsid w:val="4F6701AB"/>
    <w:rsid w:val="4F702FD7"/>
    <w:rsid w:val="4F7800DE"/>
    <w:rsid w:val="4F786330"/>
    <w:rsid w:val="4F8922EB"/>
    <w:rsid w:val="4F9E5377"/>
    <w:rsid w:val="4FCB101C"/>
    <w:rsid w:val="4FD572DE"/>
    <w:rsid w:val="4FE6405E"/>
    <w:rsid w:val="4FE8335B"/>
    <w:rsid w:val="4FE92D8A"/>
    <w:rsid w:val="4FED4628"/>
    <w:rsid w:val="502D2C76"/>
    <w:rsid w:val="50357D7D"/>
    <w:rsid w:val="503A10EE"/>
    <w:rsid w:val="503C110B"/>
    <w:rsid w:val="50540AFB"/>
    <w:rsid w:val="50602A1B"/>
    <w:rsid w:val="50612797"/>
    <w:rsid w:val="507C3BFE"/>
    <w:rsid w:val="50BB53A5"/>
    <w:rsid w:val="50DC73F1"/>
    <w:rsid w:val="50F1639A"/>
    <w:rsid w:val="50FB1272"/>
    <w:rsid w:val="51051E45"/>
    <w:rsid w:val="51174AAA"/>
    <w:rsid w:val="51330760"/>
    <w:rsid w:val="5154356D"/>
    <w:rsid w:val="515C2DD9"/>
    <w:rsid w:val="51656440"/>
    <w:rsid w:val="519136D9"/>
    <w:rsid w:val="51C54E50"/>
    <w:rsid w:val="51D81308"/>
    <w:rsid w:val="51DE290C"/>
    <w:rsid w:val="51E311A7"/>
    <w:rsid w:val="520774F7"/>
    <w:rsid w:val="521265C8"/>
    <w:rsid w:val="521356D1"/>
    <w:rsid w:val="52187956"/>
    <w:rsid w:val="52320A18"/>
    <w:rsid w:val="528A2602"/>
    <w:rsid w:val="529D10AF"/>
    <w:rsid w:val="52AA4A52"/>
    <w:rsid w:val="52B7716F"/>
    <w:rsid w:val="52D03C5E"/>
    <w:rsid w:val="52F65EE9"/>
    <w:rsid w:val="531225F7"/>
    <w:rsid w:val="531836A1"/>
    <w:rsid w:val="531B76FE"/>
    <w:rsid w:val="5346796B"/>
    <w:rsid w:val="53494392"/>
    <w:rsid w:val="535809C3"/>
    <w:rsid w:val="53614F47"/>
    <w:rsid w:val="53B8319F"/>
    <w:rsid w:val="53C9715A"/>
    <w:rsid w:val="53D63625"/>
    <w:rsid w:val="53DD2C05"/>
    <w:rsid w:val="53E76275"/>
    <w:rsid w:val="5404530E"/>
    <w:rsid w:val="540B7773"/>
    <w:rsid w:val="54372316"/>
    <w:rsid w:val="54505185"/>
    <w:rsid w:val="5474356A"/>
    <w:rsid w:val="547B4505"/>
    <w:rsid w:val="548E6390"/>
    <w:rsid w:val="549E4993"/>
    <w:rsid w:val="54C51393"/>
    <w:rsid w:val="54D9333A"/>
    <w:rsid w:val="54ED6EEB"/>
    <w:rsid w:val="551B1C37"/>
    <w:rsid w:val="552F7491"/>
    <w:rsid w:val="554051FA"/>
    <w:rsid w:val="55592760"/>
    <w:rsid w:val="555D4285"/>
    <w:rsid w:val="556F1F83"/>
    <w:rsid w:val="55780E38"/>
    <w:rsid w:val="559612BE"/>
    <w:rsid w:val="55966BD2"/>
    <w:rsid w:val="55A45A9F"/>
    <w:rsid w:val="55A7171D"/>
    <w:rsid w:val="55B45371"/>
    <w:rsid w:val="55C7591B"/>
    <w:rsid w:val="55D07DDD"/>
    <w:rsid w:val="55F304BE"/>
    <w:rsid w:val="56446F6C"/>
    <w:rsid w:val="56680EAC"/>
    <w:rsid w:val="568B6949"/>
    <w:rsid w:val="56B23CA6"/>
    <w:rsid w:val="56C379F5"/>
    <w:rsid w:val="56DF0A43"/>
    <w:rsid w:val="56FE536D"/>
    <w:rsid w:val="56FF36D3"/>
    <w:rsid w:val="570755A7"/>
    <w:rsid w:val="570861EB"/>
    <w:rsid w:val="573072C4"/>
    <w:rsid w:val="57471187"/>
    <w:rsid w:val="576F023D"/>
    <w:rsid w:val="577B6EE4"/>
    <w:rsid w:val="577E200A"/>
    <w:rsid w:val="578F476D"/>
    <w:rsid w:val="57AC5A21"/>
    <w:rsid w:val="57C2639A"/>
    <w:rsid w:val="57D2146B"/>
    <w:rsid w:val="57EC1669"/>
    <w:rsid w:val="57EF1F3E"/>
    <w:rsid w:val="581C0CA5"/>
    <w:rsid w:val="5828202C"/>
    <w:rsid w:val="584E2F27"/>
    <w:rsid w:val="585D494D"/>
    <w:rsid w:val="5886355F"/>
    <w:rsid w:val="58891F15"/>
    <w:rsid w:val="58913390"/>
    <w:rsid w:val="58922210"/>
    <w:rsid w:val="58A35601"/>
    <w:rsid w:val="58AC2BA6"/>
    <w:rsid w:val="58B01343"/>
    <w:rsid w:val="58B57CAD"/>
    <w:rsid w:val="58BA7B88"/>
    <w:rsid w:val="58D740C7"/>
    <w:rsid w:val="58D809E2"/>
    <w:rsid w:val="58E46A61"/>
    <w:rsid w:val="591C62AA"/>
    <w:rsid w:val="591E3AA4"/>
    <w:rsid w:val="593C1AF7"/>
    <w:rsid w:val="594A4899"/>
    <w:rsid w:val="596C1A28"/>
    <w:rsid w:val="596F2552"/>
    <w:rsid w:val="597E34F4"/>
    <w:rsid w:val="59B83EF9"/>
    <w:rsid w:val="59D16D68"/>
    <w:rsid w:val="59DD23FD"/>
    <w:rsid w:val="59E24A9F"/>
    <w:rsid w:val="59F9539B"/>
    <w:rsid w:val="5A040EEC"/>
    <w:rsid w:val="5A0A04CC"/>
    <w:rsid w:val="5A737CDB"/>
    <w:rsid w:val="5AF50835"/>
    <w:rsid w:val="5B2B06FA"/>
    <w:rsid w:val="5B394BC5"/>
    <w:rsid w:val="5B3C6C49"/>
    <w:rsid w:val="5B5419FF"/>
    <w:rsid w:val="5B761405"/>
    <w:rsid w:val="5B7C697B"/>
    <w:rsid w:val="5B7E082A"/>
    <w:rsid w:val="5BAC35E9"/>
    <w:rsid w:val="5BEC19E4"/>
    <w:rsid w:val="5BF8521E"/>
    <w:rsid w:val="5C0A7D4F"/>
    <w:rsid w:val="5C1B1303"/>
    <w:rsid w:val="5C241BA9"/>
    <w:rsid w:val="5C2453F7"/>
    <w:rsid w:val="5C4D09E5"/>
    <w:rsid w:val="5C5E240A"/>
    <w:rsid w:val="5C8B72C7"/>
    <w:rsid w:val="5C8B76A2"/>
    <w:rsid w:val="5CAA564F"/>
    <w:rsid w:val="5CBC5AAE"/>
    <w:rsid w:val="5CE84AF5"/>
    <w:rsid w:val="5CEE6E94"/>
    <w:rsid w:val="5D0852CE"/>
    <w:rsid w:val="5D2928D3"/>
    <w:rsid w:val="5D2D075A"/>
    <w:rsid w:val="5D2F26AA"/>
    <w:rsid w:val="5D2F3A4B"/>
    <w:rsid w:val="5D35760E"/>
    <w:rsid w:val="5D433B15"/>
    <w:rsid w:val="5D502207"/>
    <w:rsid w:val="5D861C18"/>
    <w:rsid w:val="5DBD180F"/>
    <w:rsid w:val="5DC23711"/>
    <w:rsid w:val="5E0369A2"/>
    <w:rsid w:val="5E082F75"/>
    <w:rsid w:val="5E0A45F7"/>
    <w:rsid w:val="5E1C522E"/>
    <w:rsid w:val="5E23390B"/>
    <w:rsid w:val="5E331DA0"/>
    <w:rsid w:val="5E3B5015"/>
    <w:rsid w:val="5E60690D"/>
    <w:rsid w:val="5E624433"/>
    <w:rsid w:val="5E6463FD"/>
    <w:rsid w:val="5E820631"/>
    <w:rsid w:val="5E822C00"/>
    <w:rsid w:val="5E8720EC"/>
    <w:rsid w:val="5E9D36BD"/>
    <w:rsid w:val="5ECD71E6"/>
    <w:rsid w:val="5ECF201B"/>
    <w:rsid w:val="5ED03A93"/>
    <w:rsid w:val="5ED57CA3"/>
    <w:rsid w:val="5EDA7CAB"/>
    <w:rsid w:val="5EE17A4E"/>
    <w:rsid w:val="5EE4309A"/>
    <w:rsid w:val="5EE501EE"/>
    <w:rsid w:val="5EE50BC0"/>
    <w:rsid w:val="5F0454EA"/>
    <w:rsid w:val="5F332FFE"/>
    <w:rsid w:val="5F3D27AA"/>
    <w:rsid w:val="5F4315E3"/>
    <w:rsid w:val="5F6661A5"/>
    <w:rsid w:val="5F6B7317"/>
    <w:rsid w:val="5F6F4BC7"/>
    <w:rsid w:val="5F751F44"/>
    <w:rsid w:val="5F7C7776"/>
    <w:rsid w:val="5F9F5213"/>
    <w:rsid w:val="5FA04479"/>
    <w:rsid w:val="5FAC3308"/>
    <w:rsid w:val="5FAD16DE"/>
    <w:rsid w:val="5FAF0602"/>
    <w:rsid w:val="5FC93C50"/>
    <w:rsid w:val="5FDE769B"/>
    <w:rsid w:val="5FED5F7E"/>
    <w:rsid w:val="5FFB11ED"/>
    <w:rsid w:val="60136665"/>
    <w:rsid w:val="602350BD"/>
    <w:rsid w:val="60380678"/>
    <w:rsid w:val="605D60B2"/>
    <w:rsid w:val="60604FB9"/>
    <w:rsid w:val="60787F3E"/>
    <w:rsid w:val="609540A8"/>
    <w:rsid w:val="60996106"/>
    <w:rsid w:val="60A07495"/>
    <w:rsid w:val="60AA3E6F"/>
    <w:rsid w:val="60B33EB4"/>
    <w:rsid w:val="60BB530A"/>
    <w:rsid w:val="610C13C4"/>
    <w:rsid w:val="611A1018"/>
    <w:rsid w:val="611A335C"/>
    <w:rsid w:val="61216701"/>
    <w:rsid w:val="612B1527"/>
    <w:rsid w:val="61581B1D"/>
    <w:rsid w:val="61610431"/>
    <w:rsid w:val="61D05B58"/>
    <w:rsid w:val="61D45648"/>
    <w:rsid w:val="62426A55"/>
    <w:rsid w:val="626867CF"/>
    <w:rsid w:val="626B5F89"/>
    <w:rsid w:val="62744735"/>
    <w:rsid w:val="627B32D8"/>
    <w:rsid w:val="627E742D"/>
    <w:rsid w:val="62971E0C"/>
    <w:rsid w:val="62973236"/>
    <w:rsid w:val="629F6A6C"/>
    <w:rsid w:val="62B90CFD"/>
    <w:rsid w:val="62D43425"/>
    <w:rsid w:val="62DF24F6"/>
    <w:rsid w:val="62E01DCA"/>
    <w:rsid w:val="62FB30A8"/>
    <w:rsid w:val="62FF6042"/>
    <w:rsid w:val="631D6B7A"/>
    <w:rsid w:val="631F3899"/>
    <w:rsid w:val="63226337"/>
    <w:rsid w:val="632D650D"/>
    <w:rsid w:val="63382CE9"/>
    <w:rsid w:val="634E142A"/>
    <w:rsid w:val="637075F2"/>
    <w:rsid w:val="63863E37"/>
    <w:rsid w:val="639C20ED"/>
    <w:rsid w:val="63C60FC0"/>
    <w:rsid w:val="63DC4A37"/>
    <w:rsid w:val="63EE6769"/>
    <w:rsid w:val="640B10C9"/>
    <w:rsid w:val="641E0DFC"/>
    <w:rsid w:val="642B176B"/>
    <w:rsid w:val="642F125B"/>
    <w:rsid w:val="643709EB"/>
    <w:rsid w:val="644F5270"/>
    <w:rsid w:val="647B7FFD"/>
    <w:rsid w:val="649410BE"/>
    <w:rsid w:val="64A137DB"/>
    <w:rsid w:val="64C5571C"/>
    <w:rsid w:val="64C753D2"/>
    <w:rsid w:val="64E82635"/>
    <w:rsid w:val="64E9765C"/>
    <w:rsid w:val="64F168C1"/>
    <w:rsid w:val="64F25DE5"/>
    <w:rsid w:val="64F459D0"/>
    <w:rsid w:val="652A32A7"/>
    <w:rsid w:val="652C12F7"/>
    <w:rsid w:val="654C1999"/>
    <w:rsid w:val="6553668F"/>
    <w:rsid w:val="65555035"/>
    <w:rsid w:val="65647826"/>
    <w:rsid w:val="656A1E1F"/>
    <w:rsid w:val="656E7B61"/>
    <w:rsid w:val="657607C4"/>
    <w:rsid w:val="6582338C"/>
    <w:rsid w:val="65AB4911"/>
    <w:rsid w:val="65B22786"/>
    <w:rsid w:val="65CF7848"/>
    <w:rsid w:val="65E531E0"/>
    <w:rsid w:val="65F6754E"/>
    <w:rsid w:val="661735C0"/>
    <w:rsid w:val="66692167"/>
    <w:rsid w:val="66872C44"/>
    <w:rsid w:val="669E19F6"/>
    <w:rsid w:val="66A4324F"/>
    <w:rsid w:val="66D24120"/>
    <w:rsid w:val="66DD6DB6"/>
    <w:rsid w:val="66EF060B"/>
    <w:rsid w:val="6728210F"/>
    <w:rsid w:val="675B2367"/>
    <w:rsid w:val="675F12D3"/>
    <w:rsid w:val="675F3C06"/>
    <w:rsid w:val="677D58AE"/>
    <w:rsid w:val="67AE693B"/>
    <w:rsid w:val="67C03DCB"/>
    <w:rsid w:val="67EE62F1"/>
    <w:rsid w:val="67F67F0B"/>
    <w:rsid w:val="67FE0ABC"/>
    <w:rsid w:val="68272B8D"/>
    <w:rsid w:val="682B4CB5"/>
    <w:rsid w:val="684133A2"/>
    <w:rsid w:val="684A0973"/>
    <w:rsid w:val="685C088A"/>
    <w:rsid w:val="688D6550"/>
    <w:rsid w:val="68A36922"/>
    <w:rsid w:val="68A638C2"/>
    <w:rsid w:val="68AB4C28"/>
    <w:rsid w:val="68AC4DF8"/>
    <w:rsid w:val="68C1245B"/>
    <w:rsid w:val="68CF44E4"/>
    <w:rsid w:val="68D474B9"/>
    <w:rsid w:val="68D777CC"/>
    <w:rsid w:val="68D9247A"/>
    <w:rsid w:val="68ED6FEF"/>
    <w:rsid w:val="68F4037D"/>
    <w:rsid w:val="690802CD"/>
    <w:rsid w:val="690C3919"/>
    <w:rsid w:val="692837A3"/>
    <w:rsid w:val="692E23BD"/>
    <w:rsid w:val="69520021"/>
    <w:rsid w:val="69540E1C"/>
    <w:rsid w:val="69692B1A"/>
    <w:rsid w:val="696E18C3"/>
    <w:rsid w:val="69774602"/>
    <w:rsid w:val="69877444"/>
    <w:rsid w:val="698D01CC"/>
    <w:rsid w:val="69913E1E"/>
    <w:rsid w:val="699A4315"/>
    <w:rsid w:val="699A7243"/>
    <w:rsid w:val="699D0A15"/>
    <w:rsid w:val="69A41DA4"/>
    <w:rsid w:val="69A73642"/>
    <w:rsid w:val="69B50573"/>
    <w:rsid w:val="69BE7D9A"/>
    <w:rsid w:val="69D02B99"/>
    <w:rsid w:val="6A2D2B79"/>
    <w:rsid w:val="6A3376F7"/>
    <w:rsid w:val="6A427A88"/>
    <w:rsid w:val="6A4533FD"/>
    <w:rsid w:val="6A477F04"/>
    <w:rsid w:val="6A496835"/>
    <w:rsid w:val="6A61635A"/>
    <w:rsid w:val="6A8E7740"/>
    <w:rsid w:val="6AD541DF"/>
    <w:rsid w:val="6AD5648B"/>
    <w:rsid w:val="6AD93CCF"/>
    <w:rsid w:val="6AE90C42"/>
    <w:rsid w:val="6AFD3314"/>
    <w:rsid w:val="6B122298"/>
    <w:rsid w:val="6B19056F"/>
    <w:rsid w:val="6B44347E"/>
    <w:rsid w:val="6B451364"/>
    <w:rsid w:val="6B4B7148"/>
    <w:rsid w:val="6B6537B4"/>
    <w:rsid w:val="6B7409C3"/>
    <w:rsid w:val="6B971D86"/>
    <w:rsid w:val="6B981494"/>
    <w:rsid w:val="6BA37E39"/>
    <w:rsid w:val="6BF10177"/>
    <w:rsid w:val="6C026F3C"/>
    <w:rsid w:val="6C1769F6"/>
    <w:rsid w:val="6C19025F"/>
    <w:rsid w:val="6C2C4F32"/>
    <w:rsid w:val="6C396029"/>
    <w:rsid w:val="6C3B64A7"/>
    <w:rsid w:val="6C47110C"/>
    <w:rsid w:val="6CA200F0"/>
    <w:rsid w:val="6CA9147F"/>
    <w:rsid w:val="6CB06CB1"/>
    <w:rsid w:val="6CD83A9C"/>
    <w:rsid w:val="6CE150BD"/>
    <w:rsid w:val="6D220952"/>
    <w:rsid w:val="6D256766"/>
    <w:rsid w:val="6D3A657B"/>
    <w:rsid w:val="6D4A2147"/>
    <w:rsid w:val="6D4A4A10"/>
    <w:rsid w:val="6D6830E8"/>
    <w:rsid w:val="6D6A3304"/>
    <w:rsid w:val="6D7F405A"/>
    <w:rsid w:val="6D875C64"/>
    <w:rsid w:val="6DA41436"/>
    <w:rsid w:val="6DA76F19"/>
    <w:rsid w:val="6DB9174A"/>
    <w:rsid w:val="6DC248E6"/>
    <w:rsid w:val="6DC54E3E"/>
    <w:rsid w:val="6DD15131"/>
    <w:rsid w:val="6DEF09BC"/>
    <w:rsid w:val="6E182D60"/>
    <w:rsid w:val="6E1A0886"/>
    <w:rsid w:val="6E1F0E23"/>
    <w:rsid w:val="6E250FD9"/>
    <w:rsid w:val="6E5C0E9F"/>
    <w:rsid w:val="6E775CD9"/>
    <w:rsid w:val="6E8A1B32"/>
    <w:rsid w:val="6EB81E4D"/>
    <w:rsid w:val="6EBD1212"/>
    <w:rsid w:val="6F152DFC"/>
    <w:rsid w:val="6F6049BF"/>
    <w:rsid w:val="6FA6229E"/>
    <w:rsid w:val="6FA81EC2"/>
    <w:rsid w:val="6FB96E19"/>
    <w:rsid w:val="6FCA266F"/>
    <w:rsid w:val="6FF900E7"/>
    <w:rsid w:val="70187047"/>
    <w:rsid w:val="701F03D6"/>
    <w:rsid w:val="70223A22"/>
    <w:rsid w:val="70294286"/>
    <w:rsid w:val="706109EE"/>
    <w:rsid w:val="706B0A04"/>
    <w:rsid w:val="707A560C"/>
    <w:rsid w:val="707C740E"/>
    <w:rsid w:val="708C7ADE"/>
    <w:rsid w:val="709928BF"/>
    <w:rsid w:val="70A97C9F"/>
    <w:rsid w:val="70C96F94"/>
    <w:rsid w:val="70D05D03"/>
    <w:rsid w:val="70F93881"/>
    <w:rsid w:val="71096990"/>
    <w:rsid w:val="711575EE"/>
    <w:rsid w:val="711F4406"/>
    <w:rsid w:val="712A221C"/>
    <w:rsid w:val="715349F8"/>
    <w:rsid w:val="717C1858"/>
    <w:rsid w:val="718A5D23"/>
    <w:rsid w:val="718F3339"/>
    <w:rsid w:val="71945E92"/>
    <w:rsid w:val="71B903B6"/>
    <w:rsid w:val="71BF1449"/>
    <w:rsid w:val="71C254BD"/>
    <w:rsid w:val="71DF3747"/>
    <w:rsid w:val="720E0702"/>
    <w:rsid w:val="721A1FF2"/>
    <w:rsid w:val="72356C20"/>
    <w:rsid w:val="72382AB4"/>
    <w:rsid w:val="723E4008"/>
    <w:rsid w:val="724A54B2"/>
    <w:rsid w:val="72536115"/>
    <w:rsid w:val="725929D4"/>
    <w:rsid w:val="72A4317D"/>
    <w:rsid w:val="72AC1216"/>
    <w:rsid w:val="72B00049"/>
    <w:rsid w:val="72B70F99"/>
    <w:rsid w:val="72BB3CBA"/>
    <w:rsid w:val="72FB3685"/>
    <w:rsid w:val="73027B3B"/>
    <w:rsid w:val="73165394"/>
    <w:rsid w:val="73192710"/>
    <w:rsid w:val="732D44FD"/>
    <w:rsid w:val="73467A28"/>
    <w:rsid w:val="73981574"/>
    <w:rsid w:val="73A03AE9"/>
    <w:rsid w:val="73B92936"/>
    <w:rsid w:val="73BC5F3C"/>
    <w:rsid w:val="73C44DF0"/>
    <w:rsid w:val="73C66DBA"/>
    <w:rsid w:val="73FB49FD"/>
    <w:rsid w:val="742C578B"/>
    <w:rsid w:val="742F2BB2"/>
    <w:rsid w:val="74376D48"/>
    <w:rsid w:val="74446098"/>
    <w:rsid w:val="74546174"/>
    <w:rsid w:val="746B414F"/>
    <w:rsid w:val="7472539D"/>
    <w:rsid w:val="74730CF0"/>
    <w:rsid w:val="747678BB"/>
    <w:rsid w:val="7487654A"/>
    <w:rsid w:val="749036DA"/>
    <w:rsid w:val="74980757"/>
    <w:rsid w:val="74A13F3D"/>
    <w:rsid w:val="74BB4445"/>
    <w:rsid w:val="74DC45A8"/>
    <w:rsid w:val="750227FB"/>
    <w:rsid w:val="755C79D6"/>
    <w:rsid w:val="75693A34"/>
    <w:rsid w:val="75882579"/>
    <w:rsid w:val="75893D8D"/>
    <w:rsid w:val="758D193E"/>
    <w:rsid w:val="759251A6"/>
    <w:rsid w:val="75952EE8"/>
    <w:rsid w:val="759C3169"/>
    <w:rsid w:val="75A4625F"/>
    <w:rsid w:val="75B770CD"/>
    <w:rsid w:val="75C537CD"/>
    <w:rsid w:val="75CD34AB"/>
    <w:rsid w:val="75CF7ADF"/>
    <w:rsid w:val="760D6F22"/>
    <w:rsid w:val="762229CE"/>
    <w:rsid w:val="7645046A"/>
    <w:rsid w:val="764B4F25"/>
    <w:rsid w:val="766034F6"/>
    <w:rsid w:val="76655B13"/>
    <w:rsid w:val="76686C67"/>
    <w:rsid w:val="766C48DD"/>
    <w:rsid w:val="76CE603E"/>
    <w:rsid w:val="76EC4D8A"/>
    <w:rsid w:val="77140350"/>
    <w:rsid w:val="77162A8D"/>
    <w:rsid w:val="77244524"/>
    <w:rsid w:val="774025C7"/>
    <w:rsid w:val="774150D6"/>
    <w:rsid w:val="77894212"/>
    <w:rsid w:val="77994E25"/>
    <w:rsid w:val="779C055E"/>
    <w:rsid w:val="77A967D7"/>
    <w:rsid w:val="77C35AEB"/>
    <w:rsid w:val="77CE623E"/>
    <w:rsid w:val="77D575CC"/>
    <w:rsid w:val="7800271B"/>
    <w:rsid w:val="78250553"/>
    <w:rsid w:val="782E08A0"/>
    <w:rsid w:val="782F4F2E"/>
    <w:rsid w:val="7836450F"/>
    <w:rsid w:val="78434E7D"/>
    <w:rsid w:val="78440AB3"/>
    <w:rsid w:val="78462278"/>
    <w:rsid w:val="785B79C8"/>
    <w:rsid w:val="78751BD5"/>
    <w:rsid w:val="787A7054"/>
    <w:rsid w:val="788F0084"/>
    <w:rsid w:val="78A73067"/>
    <w:rsid w:val="78A9768A"/>
    <w:rsid w:val="78AA4077"/>
    <w:rsid w:val="78AE1FE3"/>
    <w:rsid w:val="78BE2756"/>
    <w:rsid w:val="78C561E4"/>
    <w:rsid w:val="78CA0ADB"/>
    <w:rsid w:val="78CF4963"/>
    <w:rsid w:val="78D85865"/>
    <w:rsid w:val="78FD6DDA"/>
    <w:rsid w:val="790E2D96"/>
    <w:rsid w:val="792C66E3"/>
    <w:rsid w:val="79336CA0"/>
    <w:rsid w:val="793842B6"/>
    <w:rsid w:val="793F3897"/>
    <w:rsid w:val="79570BE0"/>
    <w:rsid w:val="798017B9"/>
    <w:rsid w:val="79947274"/>
    <w:rsid w:val="79C67B14"/>
    <w:rsid w:val="79E93803"/>
    <w:rsid w:val="79EB30D7"/>
    <w:rsid w:val="79FE73E8"/>
    <w:rsid w:val="7A100D8F"/>
    <w:rsid w:val="7A237A12"/>
    <w:rsid w:val="7A326F58"/>
    <w:rsid w:val="7A6054E2"/>
    <w:rsid w:val="7A8B7D4E"/>
    <w:rsid w:val="7A98230D"/>
    <w:rsid w:val="7A9E283F"/>
    <w:rsid w:val="7ACE4ED2"/>
    <w:rsid w:val="7AE55D78"/>
    <w:rsid w:val="7B3D5BB4"/>
    <w:rsid w:val="7B4269B8"/>
    <w:rsid w:val="7B5B428C"/>
    <w:rsid w:val="7B60499C"/>
    <w:rsid w:val="7B6276D7"/>
    <w:rsid w:val="7B875081"/>
    <w:rsid w:val="7BBF0CBF"/>
    <w:rsid w:val="7BCB1412"/>
    <w:rsid w:val="7BCD0EC9"/>
    <w:rsid w:val="7C0C430A"/>
    <w:rsid w:val="7C0C5586"/>
    <w:rsid w:val="7C1A5EF5"/>
    <w:rsid w:val="7C361D53"/>
    <w:rsid w:val="7C515A2B"/>
    <w:rsid w:val="7C765821"/>
    <w:rsid w:val="7CBF1AA2"/>
    <w:rsid w:val="7CC3033B"/>
    <w:rsid w:val="7CEE34AC"/>
    <w:rsid w:val="7CEF2EDE"/>
    <w:rsid w:val="7CF92CB6"/>
    <w:rsid w:val="7D282C27"/>
    <w:rsid w:val="7D4476CE"/>
    <w:rsid w:val="7D450D50"/>
    <w:rsid w:val="7D841C93"/>
    <w:rsid w:val="7DA92046"/>
    <w:rsid w:val="7DDF015B"/>
    <w:rsid w:val="7DEE0A06"/>
    <w:rsid w:val="7E265025"/>
    <w:rsid w:val="7E484F9C"/>
    <w:rsid w:val="7E745C2A"/>
    <w:rsid w:val="7E786F03"/>
    <w:rsid w:val="7E81225C"/>
    <w:rsid w:val="7EA95F25"/>
    <w:rsid w:val="7EBF6D37"/>
    <w:rsid w:val="7ED31DC1"/>
    <w:rsid w:val="7EF47C86"/>
    <w:rsid w:val="7F2826D7"/>
    <w:rsid w:val="7F3B5B00"/>
    <w:rsid w:val="7F3C785D"/>
    <w:rsid w:val="7F510FB4"/>
    <w:rsid w:val="7FC00B62"/>
    <w:rsid w:val="7FCB0BE9"/>
    <w:rsid w:val="7FE147D1"/>
    <w:rsid w:val="7FEB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2"/>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2">
    <w:name w:val="heading 2"/>
    <w:basedOn w:val="1"/>
    <w:next w:val="1"/>
    <w:link w:val="63"/>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4">
    <w:name w:val="heading 3"/>
    <w:basedOn w:val="1"/>
    <w:next w:val="5"/>
    <w:link w:val="64"/>
    <w:qFormat/>
    <w:uiPriority w:val="99"/>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65"/>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7">
    <w:name w:val="heading 5"/>
    <w:basedOn w:val="1"/>
    <w:next w:val="1"/>
    <w:link w:val="66"/>
    <w:qFormat/>
    <w:uiPriority w:val="99"/>
    <w:pPr>
      <w:keepNext/>
      <w:keepLines/>
      <w:adjustRightInd w:val="0"/>
      <w:spacing w:before="280" w:after="290" w:line="376" w:lineRule="atLeast"/>
      <w:textAlignment w:val="baseline"/>
      <w:outlineLvl w:val="4"/>
    </w:pPr>
    <w:rPr>
      <w:b/>
      <w:bCs/>
      <w:kern w:val="0"/>
      <w:sz w:val="28"/>
      <w:szCs w:val="28"/>
    </w:rPr>
  </w:style>
  <w:style w:type="paragraph" w:styleId="8">
    <w:name w:val="heading 6"/>
    <w:basedOn w:val="1"/>
    <w:next w:val="1"/>
    <w:link w:val="67"/>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9">
    <w:name w:val="heading 7"/>
    <w:basedOn w:val="1"/>
    <w:next w:val="1"/>
    <w:link w:val="68"/>
    <w:qFormat/>
    <w:uiPriority w:val="99"/>
    <w:pPr>
      <w:keepNext/>
      <w:keepLines/>
      <w:adjustRightInd w:val="0"/>
      <w:spacing w:before="240" w:after="64" w:line="320" w:lineRule="atLeast"/>
      <w:textAlignment w:val="baseline"/>
      <w:outlineLvl w:val="6"/>
    </w:pPr>
    <w:rPr>
      <w:b/>
      <w:bCs/>
      <w:kern w:val="0"/>
      <w:sz w:val="24"/>
      <w:szCs w:val="24"/>
    </w:rPr>
  </w:style>
  <w:style w:type="paragraph" w:styleId="10">
    <w:name w:val="heading 8"/>
    <w:basedOn w:val="1"/>
    <w:next w:val="1"/>
    <w:link w:val="69"/>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1">
    <w:name w:val="heading 9"/>
    <w:basedOn w:val="1"/>
    <w:next w:val="1"/>
    <w:link w:val="70"/>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
    <w:qFormat/>
    <w:uiPriority w:val="99"/>
    <w:pPr>
      <w:ind w:firstLine="420"/>
    </w:p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sz w:val="18"/>
      <w:szCs w:val="18"/>
    </w:rPr>
  </w:style>
  <w:style w:type="paragraph" w:styleId="14">
    <w:name w:val="Document Map"/>
    <w:basedOn w:val="1"/>
    <w:link w:val="72"/>
    <w:semiHidden/>
    <w:qFormat/>
    <w:uiPriority w:val="99"/>
    <w:pPr>
      <w:shd w:val="clear" w:color="auto" w:fill="000080"/>
    </w:pPr>
    <w:rPr>
      <w:kern w:val="0"/>
      <w:sz w:val="2"/>
      <w:szCs w:val="2"/>
    </w:rPr>
  </w:style>
  <w:style w:type="paragraph" w:styleId="15">
    <w:name w:val="annotation text"/>
    <w:basedOn w:val="1"/>
    <w:link w:val="73"/>
    <w:semiHidden/>
    <w:qFormat/>
    <w:uiPriority w:val="99"/>
    <w:pPr>
      <w:jc w:val="left"/>
    </w:pPr>
  </w:style>
  <w:style w:type="paragraph" w:styleId="16">
    <w:name w:val="Body Text"/>
    <w:basedOn w:val="1"/>
    <w:next w:val="1"/>
    <w:link w:val="61"/>
    <w:qFormat/>
    <w:uiPriority w:val="99"/>
    <w:rPr>
      <w:kern w:val="0"/>
    </w:rPr>
  </w:style>
  <w:style w:type="paragraph" w:styleId="17">
    <w:name w:val="Body Text Indent"/>
    <w:basedOn w:val="1"/>
    <w:next w:val="18"/>
    <w:link w:val="74"/>
    <w:qFormat/>
    <w:uiPriority w:val="99"/>
    <w:pPr>
      <w:spacing w:after="156"/>
      <w:ind w:firstLine="480"/>
    </w:pPr>
    <w:rPr>
      <w:sz w:val="24"/>
      <w:szCs w:val="24"/>
    </w:rPr>
  </w:style>
  <w:style w:type="paragraph" w:styleId="18">
    <w:name w:val="envelope return"/>
    <w:basedOn w:val="1"/>
    <w:qFormat/>
    <w:locked/>
    <w:uiPriority w:val="99"/>
    <w:pPr>
      <w:snapToGrid w:val="0"/>
    </w:pPr>
    <w:rPr>
      <w:rFonts w:ascii="Arial" w:hAnsi="Arial" w:cs="Arial"/>
    </w:rPr>
  </w:style>
  <w:style w:type="paragraph" w:styleId="19">
    <w:name w:val="List 2"/>
    <w:basedOn w:val="1"/>
    <w:qFormat/>
    <w:uiPriority w:val="99"/>
    <w:pPr>
      <w:ind w:left="100" w:leftChars="200" w:hanging="200" w:hangingChars="200"/>
    </w:pPr>
  </w:style>
  <w:style w:type="paragraph" w:styleId="20">
    <w:name w:val="List Continue"/>
    <w:basedOn w:val="1"/>
    <w:qFormat/>
    <w:uiPriority w:val="99"/>
    <w:pPr>
      <w:spacing w:after="120"/>
      <w:ind w:left="420" w:leftChars="200"/>
    </w:pPr>
  </w:style>
  <w:style w:type="paragraph" w:styleId="21">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75"/>
    <w:qFormat/>
    <w:uiPriority w:val="99"/>
    <w:rPr>
      <w:rFonts w:ascii="宋体" w:hAnsi="Courier New"/>
      <w:kern w:val="0"/>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6"/>
    <w:qFormat/>
    <w:uiPriority w:val="99"/>
    <w:pPr>
      <w:widowControl/>
      <w:ind w:left="100"/>
      <w:jc w:val="left"/>
    </w:pPr>
    <w:rPr>
      <w:kern w:val="0"/>
    </w:rPr>
  </w:style>
  <w:style w:type="paragraph" w:styleId="27">
    <w:name w:val="Body Text Indent 2"/>
    <w:basedOn w:val="1"/>
    <w:link w:val="77"/>
    <w:qFormat/>
    <w:uiPriority w:val="99"/>
    <w:pPr>
      <w:ind w:left="1436" w:leftChars="684"/>
    </w:pPr>
    <w:rPr>
      <w:kern w:val="0"/>
    </w:rPr>
  </w:style>
  <w:style w:type="paragraph" w:styleId="28">
    <w:name w:val="List Continue 5"/>
    <w:basedOn w:val="1"/>
    <w:qFormat/>
    <w:uiPriority w:val="99"/>
    <w:pPr>
      <w:spacing w:after="120"/>
      <w:ind w:left="2100" w:leftChars="1000"/>
    </w:pPr>
  </w:style>
  <w:style w:type="paragraph" w:styleId="29">
    <w:name w:val="Balloon Text"/>
    <w:basedOn w:val="1"/>
    <w:link w:val="78"/>
    <w:semiHidden/>
    <w:qFormat/>
    <w:uiPriority w:val="99"/>
    <w:rPr>
      <w:sz w:val="18"/>
      <w:szCs w:val="18"/>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3">
    <w:name w:val="List Continue 4"/>
    <w:basedOn w:val="1"/>
    <w:qFormat/>
    <w:uiPriority w:val="99"/>
    <w:pPr>
      <w:spacing w:after="120"/>
      <w:ind w:left="1680" w:leftChars="800"/>
    </w:pPr>
  </w:style>
  <w:style w:type="paragraph" w:styleId="34">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5">
    <w:name w:val="List"/>
    <w:basedOn w:val="1"/>
    <w:qFormat/>
    <w:uiPriority w:val="99"/>
    <w:pPr>
      <w:ind w:left="200" w:hanging="200" w:hangingChars="200"/>
    </w:pPr>
  </w:style>
  <w:style w:type="paragraph" w:styleId="36">
    <w:name w:val="footnote text"/>
    <w:basedOn w:val="1"/>
    <w:link w:val="81"/>
    <w:semiHidden/>
    <w:qFormat/>
    <w:uiPriority w:val="99"/>
    <w:pPr>
      <w:snapToGrid w:val="0"/>
      <w:jc w:val="left"/>
    </w:pPr>
    <w:rPr>
      <w:kern w:val="0"/>
      <w:sz w:val="18"/>
      <w:szCs w:val="18"/>
    </w:rPr>
  </w:style>
  <w:style w:type="paragraph" w:styleId="37">
    <w:name w:val="toc 6"/>
    <w:basedOn w:val="1"/>
    <w:next w:val="1"/>
    <w:semiHidden/>
    <w:qFormat/>
    <w:uiPriority w:val="99"/>
    <w:pPr>
      <w:ind w:left="1050"/>
      <w:jc w:val="left"/>
    </w:pPr>
    <w:rPr>
      <w:sz w:val="18"/>
      <w:szCs w:val="18"/>
    </w:rPr>
  </w:style>
  <w:style w:type="paragraph" w:styleId="38">
    <w:name w:val="List 5"/>
    <w:basedOn w:val="1"/>
    <w:qFormat/>
    <w:uiPriority w:val="99"/>
    <w:pPr>
      <w:ind w:left="100" w:leftChars="800" w:hanging="200" w:hangingChars="200"/>
    </w:pPr>
  </w:style>
  <w:style w:type="paragraph" w:styleId="39">
    <w:name w:val="Body Text Indent 3"/>
    <w:basedOn w:val="1"/>
    <w:link w:val="82"/>
    <w:qFormat/>
    <w:uiPriority w:val="99"/>
    <w:pPr>
      <w:spacing w:after="120"/>
      <w:ind w:left="420" w:leftChars="200"/>
    </w:pPr>
    <w:rPr>
      <w:kern w:val="0"/>
      <w:sz w:val="16"/>
      <w:szCs w:val="16"/>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3"/>
    <w:qFormat/>
    <w:uiPriority w:val="99"/>
    <w:rPr>
      <w:kern w:val="0"/>
    </w:rPr>
  </w:style>
  <w:style w:type="paragraph" w:styleId="43">
    <w:name w:val="List 4"/>
    <w:basedOn w:val="1"/>
    <w:qFormat/>
    <w:uiPriority w:val="99"/>
    <w:pPr>
      <w:ind w:left="100" w:leftChars="600" w:hanging="200" w:hangingChars="200"/>
    </w:pPr>
  </w:style>
  <w:style w:type="paragraph" w:styleId="44">
    <w:name w:val="List Continue 2"/>
    <w:basedOn w:val="1"/>
    <w:qFormat/>
    <w:uiPriority w:val="99"/>
    <w:pPr>
      <w:spacing w:after="120"/>
      <w:ind w:left="840" w:leftChars="400"/>
    </w:pPr>
  </w:style>
  <w:style w:type="paragraph" w:styleId="45">
    <w:name w:val="HTML Preformatted"/>
    <w:basedOn w:val="1"/>
    <w:link w:val="84"/>
    <w:qFormat/>
    <w:uiPriority w:val="99"/>
    <w:rPr>
      <w:rFonts w:ascii="Courier New" w:hAnsi="Courier New"/>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List Continue 3"/>
    <w:basedOn w:val="1"/>
    <w:qFormat/>
    <w:uiPriority w:val="99"/>
    <w:pPr>
      <w:spacing w:after="120"/>
      <w:ind w:left="1260" w:leftChars="600"/>
    </w:pPr>
  </w:style>
  <w:style w:type="paragraph" w:styleId="48">
    <w:name w:val="annotation subject"/>
    <w:basedOn w:val="15"/>
    <w:next w:val="15"/>
    <w:link w:val="85"/>
    <w:semiHidden/>
    <w:qFormat/>
    <w:uiPriority w:val="99"/>
    <w:rPr>
      <w:b/>
      <w:bCs/>
    </w:rPr>
  </w:style>
  <w:style w:type="paragraph" w:styleId="49">
    <w:name w:val="Body Text First Indent"/>
    <w:basedOn w:val="16"/>
    <w:link w:val="86"/>
    <w:qFormat/>
    <w:uiPriority w:val="99"/>
    <w:pPr>
      <w:spacing w:line="360" w:lineRule="auto"/>
      <w:ind w:firstLine="482"/>
    </w:pPr>
  </w:style>
  <w:style w:type="paragraph" w:styleId="50">
    <w:name w:val="Body Text First Indent 2"/>
    <w:basedOn w:val="17"/>
    <w:next w:val="39"/>
    <w:link w:val="87"/>
    <w:qFormat/>
    <w:locked/>
    <w:uiPriority w:val="99"/>
    <w:pPr>
      <w:ind w:firstLine="420" w:firstLineChars="200"/>
    </w:pPr>
    <w:rPr>
      <w:sz w:val="21"/>
      <w:szCs w:val="21"/>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Char"/>
    <w:basedOn w:val="1"/>
    <w:qFormat/>
    <w:uiPriority w:val="0"/>
    <w:pPr>
      <w:widowControl/>
      <w:spacing w:after="160" w:line="240" w:lineRule="exact"/>
      <w:jc w:val="left"/>
    </w:pPr>
    <w:rPr>
      <w:rFonts w:ascii="Verdana" w:hAnsi="Verdana"/>
      <w:kern w:val="0"/>
      <w:lang w:eastAsia="en-US"/>
    </w:rPr>
  </w:style>
  <w:style w:type="character" w:customStyle="1" w:styleId="61">
    <w:name w:val="正文文本 字符"/>
    <w:link w:val="16"/>
    <w:semiHidden/>
    <w:qFormat/>
    <w:locked/>
    <w:uiPriority w:val="99"/>
    <w:rPr>
      <w:rFonts w:ascii="Times New Roman" w:hAnsi="Times New Roman" w:cs="Times New Roman"/>
      <w:sz w:val="21"/>
      <w:szCs w:val="21"/>
    </w:rPr>
  </w:style>
  <w:style w:type="character" w:customStyle="1" w:styleId="62">
    <w:name w:val="标题 1 字符"/>
    <w:link w:val="3"/>
    <w:qFormat/>
    <w:locked/>
    <w:uiPriority w:val="99"/>
    <w:rPr>
      <w:b/>
      <w:bCs/>
      <w:kern w:val="44"/>
      <w:sz w:val="44"/>
      <w:szCs w:val="44"/>
    </w:rPr>
  </w:style>
  <w:style w:type="character" w:customStyle="1" w:styleId="63">
    <w:name w:val="标题 2 字符"/>
    <w:link w:val="2"/>
    <w:qFormat/>
    <w:locked/>
    <w:uiPriority w:val="99"/>
    <w:rPr>
      <w:rFonts w:ascii="Arial" w:hAnsi="Arial" w:eastAsia="黑体" w:cs="Arial"/>
      <w:b/>
      <w:bCs/>
      <w:sz w:val="32"/>
      <w:szCs w:val="32"/>
    </w:rPr>
  </w:style>
  <w:style w:type="character" w:customStyle="1" w:styleId="64">
    <w:name w:val="标题 3 字符"/>
    <w:link w:val="4"/>
    <w:semiHidden/>
    <w:qFormat/>
    <w:locked/>
    <w:uiPriority w:val="99"/>
    <w:rPr>
      <w:rFonts w:ascii="Times New Roman" w:hAnsi="Times New Roman" w:cs="Times New Roman"/>
      <w:b/>
      <w:bCs/>
      <w:sz w:val="32"/>
      <w:szCs w:val="32"/>
    </w:rPr>
  </w:style>
  <w:style w:type="character" w:customStyle="1" w:styleId="65">
    <w:name w:val="标题 4 字符"/>
    <w:link w:val="6"/>
    <w:qFormat/>
    <w:locked/>
    <w:uiPriority w:val="99"/>
    <w:rPr>
      <w:rFonts w:ascii="Arial" w:hAnsi="Arial" w:eastAsia="黑体" w:cs="Arial"/>
      <w:b/>
      <w:bCs/>
      <w:kern w:val="2"/>
      <w:sz w:val="28"/>
      <w:szCs w:val="28"/>
      <w:lang w:val="en-US" w:eastAsia="zh-CN"/>
    </w:rPr>
  </w:style>
  <w:style w:type="character" w:customStyle="1" w:styleId="66">
    <w:name w:val="标题 5 字符"/>
    <w:link w:val="7"/>
    <w:semiHidden/>
    <w:qFormat/>
    <w:locked/>
    <w:uiPriority w:val="99"/>
    <w:rPr>
      <w:rFonts w:ascii="Times New Roman" w:hAnsi="Times New Roman" w:cs="Times New Roman"/>
      <w:b/>
      <w:bCs/>
      <w:sz w:val="28"/>
      <w:szCs w:val="28"/>
    </w:rPr>
  </w:style>
  <w:style w:type="character" w:customStyle="1" w:styleId="67">
    <w:name w:val="标题 6 字符"/>
    <w:link w:val="8"/>
    <w:semiHidden/>
    <w:qFormat/>
    <w:locked/>
    <w:uiPriority w:val="99"/>
    <w:rPr>
      <w:rFonts w:ascii="Cambria" w:hAnsi="Cambria" w:eastAsia="宋体" w:cs="Cambria"/>
      <w:b/>
      <w:bCs/>
      <w:sz w:val="24"/>
      <w:szCs w:val="24"/>
    </w:rPr>
  </w:style>
  <w:style w:type="character" w:customStyle="1" w:styleId="68">
    <w:name w:val="标题 7 字符"/>
    <w:link w:val="9"/>
    <w:semiHidden/>
    <w:qFormat/>
    <w:locked/>
    <w:uiPriority w:val="99"/>
    <w:rPr>
      <w:rFonts w:ascii="Times New Roman" w:hAnsi="Times New Roman" w:cs="Times New Roman"/>
      <w:b/>
      <w:bCs/>
      <w:sz w:val="24"/>
      <w:szCs w:val="24"/>
    </w:rPr>
  </w:style>
  <w:style w:type="character" w:customStyle="1" w:styleId="69">
    <w:name w:val="标题 8 字符"/>
    <w:link w:val="10"/>
    <w:semiHidden/>
    <w:qFormat/>
    <w:locked/>
    <w:uiPriority w:val="99"/>
    <w:rPr>
      <w:rFonts w:ascii="Cambria" w:hAnsi="Cambria" w:eastAsia="宋体" w:cs="Cambria"/>
      <w:sz w:val="24"/>
      <w:szCs w:val="24"/>
    </w:rPr>
  </w:style>
  <w:style w:type="character" w:customStyle="1" w:styleId="70">
    <w:name w:val="标题 9 字符"/>
    <w:link w:val="11"/>
    <w:semiHidden/>
    <w:qFormat/>
    <w:locked/>
    <w:uiPriority w:val="99"/>
    <w:rPr>
      <w:rFonts w:ascii="Cambria" w:hAnsi="Cambria" w:eastAsia="宋体" w:cs="Cambria"/>
      <w:sz w:val="21"/>
      <w:szCs w:val="21"/>
    </w:rPr>
  </w:style>
  <w:style w:type="character" w:customStyle="1" w:styleId="71">
    <w:name w:val="正文缩进 字符"/>
    <w:link w:val="5"/>
    <w:qFormat/>
    <w:locked/>
    <w:uiPriority w:val="99"/>
    <w:rPr>
      <w:kern w:val="2"/>
      <w:sz w:val="21"/>
      <w:szCs w:val="21"/>
    </w:rPr>
  </w:style>
  <w:style w:type="character" w:customStyle="1" w:styleId="72">
    <w:name w:val="文档结构图 字符"/>
    <w:link w:val="14"/>
    <w:semiHidden/>
    <w:qFormat/>
    <w:locked/>
    <w:uiPriority w:val="99"/>
    <w:rPr>
      <w:rFonts w:ascii="Times New Roman" w:hAnsi="Times New Roman" w:cs="Times New Roman"/>
      <w:sz w:val="2"/>
      <w:szCs w:val="2"/>
    </w:rPr>
  </w:style>
  <w:style w:type="character" w:customStyle="1" w:styleId="73">
    <w:name w:val="批注文字 字符"/>
    <w:link w:val="15"/>
    <w:qFormat/>
    <w:locked/>
    <w:uiPriority w:val="99"/>
    <w:rPr>
      <w:kern w:val="2"/>
      <w:sz w:val="21"/>
      <w:szCs w:val="21"/>
    </w:rPr>
  </w:style>
  <w:style w:type="character" w:customStyle="1" w:styleId="74">
    <w:name w:val="正文文本缩进 字符"/>
    <w:link w:val="17"/>
    <w:qFormat/>
    <w:locked/>
    <w:uiPriority w:val="99"/>
    <w:rPr>
      <w:kern w:val="2"/>
      <w:sz w:val="24"/>
      <w:szCs w:val="24"/>
    </w:rPr>
  </w:style>
  <w:style w:type="character" w:customStyle="1" w:styleId="75">
    <w:name w:val="纯文本 字符"/>
    <w:link w:val="24"/>
    <w:semiHidden/>
    <w:qFormat/>
    <w:locked/>
    <w:uiPriority w:val="99"/>
    <w:rPr>
      <w:rFonts w:ascii="宋体" w:hAnsi="Courier New" w:cs="宋体"/>
      <w:sz w:val="21"/>
      <w:szCs w:val="21"/>
    </w:rPr>
  </w:style>
  <w:style w:type="character" w:customStyle="1" w:styleId="76">
    <w:name w:val="日期 字符"/>
    <w:link w:val="26"/>
    <w:semiHidden/>
    <w:qFormat/>
    <w:locked/>
    <w:uiPriority w:val="99"/>
    <w:rPr>
      <w:rFonts w:ascii="Times New Roman" w:hAnsi="Times New Roman" w:cs="Times New Roman"/>
      <w:sz w:val="21"/>
      <w:szCs w:val="21"/>
    </w:rPr>
  </w:style>
  <w:style w:type="character" w:customStyle="1" w:styleId="77">
    <w:name w:val="正文文本缩进 2 字符"/>
    <w:link w:val="27"/>
    <w:semiHidden/>
    <w:qFormat/>
    <w:locked/>
    <w:uiPriority w:val="99"/>
    <w:rPr>
      <w:rFonts w:ascii="Times New Roman" w:hAnsi="Times New Roman" w:cs="Times New Roman"/>
      <w:sz w:val="21"/>
      <w:szCs w:val="21"/>
    </w:rPr>
  </w:style>
  <w:style w:type="character" w:customStyle="1" w:styleId="78">
    <w:name w:val="批注框文本 字符"/>
    <w:link w:val="29"/>
    <w:qFormat/>
    <w:locked/>
    <w:uiPriority w:val="99"/>
    <w:rPr>
      <w:rFonts w:eastAsia="宋体"/>
      <w:kern w:val="2"/>
      <w:sz w:val="18"/>
      <w:szCs w:val="18"/>
      <w:lang w:val="en-US" w:eastAsia="zh-CN"/>
    </w:rPr>
  </w:style>
  <w:style w:type="character" w:customStyle="1" w:styleId="79">
    <w:name w:val="页脚 字符"/>
    <w:link w:val="30"/>
    <w:qFormat/>
    <w:locked/>
    <w:uiPriority w:val="99"/>
    <w:rPr>
      <w:kern w:val="2"/>
      <w:sz w:val="18"/>
      <w:szCs w:val="18"/>
    </w:rPr>
  </w:style>
  <w:style w:type="character" w:customStyle="1" w:styleId="80">
    <w:name w:val="页眉 字符"/>
    <w:link w:val="31"/>
    <w:semiHidden/>
    <w:qFormat/>
    <w:locked/>
    <w:uiPriority w:val="99"/>
    <w:rPr>
      <w:rFonts w:ascii="Times New Roman" w:hAnsi="Times New Roman" w:cs="Times New Roman"/>
      <w:sz w:val="18"/>
      <w:szCs w:val="18"/>
    </w:rPr>
  </w:style>
  <w:style w:type="character" w:customStyle="1" w:styleId="81">
    <w:name w:val="脚注文本 字符"/>
    <w:link w:val="36"/>
    <w:semiHidden/>
    <w:qFormat/>
    <w:locked/>
    <w:uiPriority w:val="99"/>
    <w:rPr>
      <w:rFonts w:ascii="Times New Roman" w:hAnsi="Times New Roman" w:cs="Times New Roman"/>
      <w:sz w:val="18"/>
      <w:szCs w:val="18"/>
    </w:rPr>
  </w:style>
  <w:style w:type="character" w:customStyle="1" w:styleId="82">
    <w:name w:val="正文文本缩进 3 字符"/>
    <w:link w:val="39"/>
    <w:semiHidden/>
    <w:qFormat/>
    <w:locked/>
    <w:uiPriority w:val="99"/>
    <w:rPr>
      <w:rFonts w:ascii="Times New Roman" w:hAnsi="Times New Roman" w:cs="Times New Roman"/>
      <w:sz w:val="16"/>
      <w:szCs w:val="16"/>
    </w:rPr>
  </w:style>
  <w:style w:type="character" w:customStyle="1" w:styleId="83">
    <w:name w:val="正文文本 2 字符"/>
    <w:link w:val="42"/>
    <w:semiHidden/>
    <w:qFormat/>
    <w:locked/>
    <w:uiPriority w:val="99"/>
    <w:rPr>
      <w:rFonts w:ascii="Times New Roman" w:hAnsi="Times New Roman" w:cs="Times New Roman"/>
      <w:sz w:val="21"/>
      <w:szCs w:val="21"/>
    </w:rPr>
  </w:style>
  <w:style w:type="character" w:customStyle="1" w:styleId="84">
    <w:name w:val="HTML 预设格式 字符"/>
    <w:link w:val="45"/>
    <w:qFormat/>
    <w:locked/>
    <w:uiPriority w:val="99"/>
    <w:rPr>
      <w:rFonts w:ascii="Courier New" w:hAnsi="Courier New" w:cs="Courier New"/>
      <w:kern w:val="2"/>
    </w:rPr>
  </w:style>
  <w:style w:type="character" w:customStyle="1" w:styleId="85">
    <w:name w:val="批注主题 字符"/>
    <w:link w:val="48"/>
    <w:semiHidden/>
    <w:qFormat/>
    <w:locked/>
    <w:uiPriority w:val="99"/>
    <w:rPr>
      <w:rFonts w:ascii="Times New Roman" w:hAnsi="Times New Roman" w:cs="Times New Roman"/>
      <w:b/>
      <w:bCs/>
      <w:kern w:val="2"/>
      <w:sz w:val="21"/>
      <w:szCs w:val="21"/>
    </w:rPr>
  </w:style>
  <w:style w:type="character" w:customStyle="1" w:styleId="86">
    <w:name w:val="正文首行缩进 字符"/>
    <w:link w:val="49"/>
    <w:semiHidden/>
    <w:qFormat/>
    <w:locked/>
    <w:uiPriority w:val="99"/>
    <w:rPr>
      <w:rFonts w:ascii="Times New Roman" w:hAnsi="Times New Roman" w:cs="Times New Roman"/>
      <w:sz w:val="21"/>
      <w:szCs w:val="21"/>
    </w:rPr>
  </w:style>
  <w:style w:type="character" w:customStyle="1" w:styleId="87">
    <w:name w:val="正文首行缩进 2 字符"/>
    <w:link w:val="50"/>
    <w:qFormat/>
    <w:locked/>
    <w:uiPriority w:val="99"/>
    <w:rPr>
      <w:rFonts w:ascii="Times New Roman" w:hAnsi="Times New Roman" w:cs="Times New Roman"/>
      <w:kern w:val="2"/>
      <w:sz w:val="21"/>
      <w:szCs w:val="21"/>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paragraph" w:customStyle="1" w:styleId="89">
    <w:name w:val="一级条标题"/>
    <w:basedOn w:val="90"/>
    <w:next w:val="9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1">
    <w:name w:val="段"/>
    <w:basedOn w:val="1"/>
    <w:next w:val="1"/>
    <w:qFormat/>
    <w:uiPriority w:val="0"/>
    <w:pPr>
      <w:widowControl/>
      <w:autoSpaceDE w:val="0"/>
      <w:autoSpaceDN w:val="0"/>
      <w:ind w:firstLine="200" w:firstLineChars="200"/>
    </w:pPr>
    <w:rPr>
      <w:rFonts w:hint="eastAsia" w:ascii="宋体"/>
      <w:kern w:val="0"/>
    </w:rPr>
  </w:style>
  <w:style w:type="character" w:customStyle="1" w:styleId="92">
    <w:name w:val="font31"/>
    <w:qFormat/>
    <w:uiPriority w:val="99"/>
    <w:rPr>
      <w:rFonts w:ascii="仿宋" w:hAnsi="仿宋" w:eastAsia="仿宋" w:cs="仿宋"/>
      <w:color w:val="000000"/>
      <w:sz w:val="20"/>
      <w:szCs w:val="20"/>
      <w:u w:val="none"/>
    </w:rPr>
  </w:style>
  <w:style w:type="character" w:customStyle="1" w:styleId="93">
    <w:name w:val="font51"/>
    <w:qFormat/>
    <w:uiPriority w:val="99"/>
    <w:rPr>
      <w:rFonts w:ascii="宋体" w:hAnsi="宋体" w:eastAsia="宋体" w:cs="宋体"/>
      <w:color w:val="000000"/>
      <w:sz w:val="24"/>
      <w:szCs w:val="24"/>
      <w:u w:val="none"/>
    </w:rPr>
  </w:style>
  <w:style w:type="character" w:customStyle="1" w:styleId="94">
    <w:name w:val="font101"/>
    <w:qFormat/>
    <w:uiPriority w:val="99"/>
    <w:rPr>
      <w:rFonts w:ascii="仿宋" w:hAnsi="仿宋" w:eastAsia="仿宋" w:cs="仿宋"/>
      <w:color w:val="000000"/>
      <w:sz w:val="20"/>
      <w:szCs w:val="20"/>
      <w:u w:val="none"/>
    </w:rPr>
  </w:style>
  <w:style w:type="character" w:customStyle="1" w:styleId="95">
    <w:name w:val="font111"/>
    <w:qFormat/>
    <w:uiPriority w:val="99"/>
    <w:rPr>
      <w:rFonts w:ascii="宋体" w:hAnsi="宋体" w:eastAsia="宋体" w:cs="宋体"/>
      <w:color w:val="000000"/>
      <w:sz w:val="20"/>
      <w:szCs w:val="20"/>
      <w:u w:val="none"/>
    </w:rPr>
  </w:style>
  <w:style w:type="character" w:customStyle="1" w:styleId="96">
    <w:name w:val="font81"/>
    <w:qFormat/>
    <w:uiPriority w:val="99"/>
    <w:rPr>
      <w:rFonts w:ascii="Arial" w:hAnsi="Arial" w:cs="Arial"/>
      <w:color w:val="000000"/>
      <w:sz w:val="20"/>
      <w:szCs w:val="20"/>
      <w:u w:val="none"/>
    </w:rPr>
  </w:style>
  <w:style w:type="character" w:customStyle="1" w:styleId="97">
    <w:name w:val="style1"/>
    <w:qFormat/>
    <w:uiPriority w:val="99"/>
  </w:style>
  <w:style w:type="character" w:customStyle="1" w:styleId="98">
    <w:name w:val="font71"/>
    <w:qFormat/>
    <w:uiPriority w:val="99"/>
    <w:rPr>
      <w:rFonts w:ascii="Wingdings 2" w:hAnsi="Wingdings 2" w:cs="Wingdings 2"/>
      <w:color w:val="000000"/>
      <w:sz w:val="20"/>
      <w:szCs w:val="20"/>
      <w:u w:val="none"/>
    </w:rPr>
  </w:style>
  <w:style w:type="character" w:customStyle="1" w:styleId="99">
    <w:name w:val="font91"/>
    <w:qFormat/>
    <w:uiPriority w:val="99"/>
    <w:rPr>
      <w:rFonts w:ascii="宋体" w:hAnsi="宋体" w:eastAsia="宋体" w:cs="宋体"/>
      <w:color w:val="000000"/>
      <w:sz w:val="20"/>
      <w:szCs w:val="20"/>
      <w:u w:val="none"/>
    </w:rPr>
  </w:style>
  <w:style w:type="character" w:customStyle="1" w:styleId="100">
    <w:name w:val="font01"/>
    <w:qFormat/>
    <w:uiPriority w:val="99"/>
    <w:rPr>
      <w:rFonts w:ascii="宋体" w:hAnsi="宋体" w:eastAsia="宋体" w:cs="宋体"/>
      <w:color w:val="FF0000"/>
      <w:sz w:val="24"/>
      <w:szCs w:val="24"/>
      <w:u w:val="none"/>
    </w:rPr>
  </w:style>
  <w:style w:type="character" w:customStyle="1" w:styleId="101">
    <w:name w:val="标题 1 Char Char"/>
    <w:qFormat/>
    <w:uiPriority w:val="99"/>
    <w:rPr>
      <w:rFonts w:ascii="宋体" w:hAnsi="宋体" w:eastAsia="宋体" w:cs="宋体"/>
      <w:b/>
      <w:bCs/>
      <w:spacing w:val="-2"/>
      <w:sz w:val="24"/>
      <w:szCs w:val="24"/>
      <w:lang w:val="en-US" w:eastAsia="zh-CN"/>
    </w:rPr>
  </w:style>
  <w:style w:type="character" w:customStyle="1" w:styleId="102">
    <w:name w:val="纯文本 Char_0_0"/>
    <w:link w:val="103"/>
    <w:qFormat/>
    <w:locked/>
    <w:uiPriority w:val="99"/>
    <w:rPr>
      <w:rFonts w:ascii="宋体" w:hAnsi="Courier New" w:cs="宋体"/>
      <w:kern w:val="2"/>
      <w:sz w:val="21"/>
      <w:szCs w:val="21"/>
    </w:rPr>
  </w:style>
  <w:style w:type="paragraph" w:customStyle="1" w:styleId="103">
    <w:name w:val="纯文本_0_0"/>
    <w:basedOn w:val="104"/>
    <w:link w:val="102"/>
    <w:qFormat/>
    <w:uiPriority w:val="99"/>
    <w:rPr>
      <w:rFonts w:ascii="宋体" w:hAnsi="Courier New" w:cs="Times New Roman"/>
    </w:rPr>
  </w:style>
  <w:style w:type="paragraph" w:customStyle="1" w:styleId="104">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5">
    <w:name w:val="Style Heading 3 + Char"/>
    <w:link w:val="106"/>
    <w:qFormat/>
    <w:locked/>
    <w:uiPriority w:val="99"/>
    <w:rPr>
      <w:rFonts w:eastAsia="宋体"/>
      <w:b/>
      <w:bCs/>
      <w:kern w:val="2"/>
      <w:sz w:val="28"/>
      <w:szCs w:val="28"/>
      <w:lang w:val="en-US" w:eastAsia="zh-CN"/>
    </w:rPr>
  </w:style>
  <w:style w:type="paragraph" w:customStyle="1" w:styleId="106">
    <w:name w:val="Style Heading 3 +"/>
    <w:basedOn w:val="4"/>
    <w:link w:val="105"/>
    <w:qFormat/>
    <w:uiPriority w:val="99"/>
    <w:pPr>
      <w:adjustRightInd/>
      <w:spacing w:before="120" w:after="120" w:line="120" w:lineRule="atLeast"/>
      <w:textAlignment w:val="auto"/>
    </w:pPr>
    <w:rPr>
      <w:kern w:val="2"/>
      <w:sz w:val="28"/>
      <w:szCs w:val="28"/>
    </w:rPr>
  </w:style>
  <w:style w:type="character" w:customStyle="1" w:styleId="107">
    <w:name w:val="font11"/>
    <w:qFormat/>
    <w:uiPriority w:val="99"/>
    <w:rPr>
      <w:rFonts w:ascii="宋体" w:hAnsi="宋体" w:eastAsia="宋体" w:cs="宋体"/>
      <w:color w:val="000000"/>
      <w:sz w:val="24"/>
      <w:szCs w:val="24"/>
      <w:u w:val="none"/>
    </w:rPr>
  </w:style>
  <w:style w:type="character" w:customStyle="1" w:styleId="108">
    <w:name w:val="font21"/>
    <w:qFormat/>
    <w:uiPriority w:val="99"/>
    <w:rPr>
      <w:rFonts w:ascii="楷体_GB2312" w:eastAsia="楷体_GB2312" w:cs="楷体_GB2312"/>
      <w:color w:val="000000"/>
      <w:sz w:val="24"/>
      <w:szCs w:val="24"/>
      <w:u w:val="none"/>
    </w:rPr>
  </w:style>
  <w:style w:type="character" w:customStyle="1" w:styleId="109">
    <w:name w:val="font41"/>
    <w:qFormat/>
    <w:uiPriority w:val="99"/>
    <w:rPr>
      <w:rFonts w:ascii="仿宋" w:hAnsi="仿宋" w:eastAsia="仿宋" w:cs="仿宋"/>
      <w:color w:val="000000"/>
      <w:sz w:val="20"/>
      <w:szCs w:val="20"/>
      <w:u w:val="none"/>
    </w:rPr>
  </w:style>
  <w:style w:type="paragraph" w:customStyle="1" w:styleId="110">
    <w:name w:val="Char Char Char1 Char"/>
    <w:basedOn w:val="1"/>
    <w:qFormat/>
    <w:uiPriority w:val="99"/>
  </w:style>
  <w:style w:type="paragraph" w:customStyle="1" w:styleId="111">
    <w:name w:val="标题 41"/>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112">
    <w:name w:val="纯文本2"/>
    <w:basedOn w:val="1"/>
    <w:qFormat/>
    <w:uiPriority w:val="99"/>
    <w:rPr>
      <w:rFonts w:ascii="宋体" w:hAnsi="Courier New" w:cs="宋体"/>
      <w:sz w:val="28"/>
      <w:szCs w:val="28"/>
    </w:rPr>
  </w:style>
  <w:style w:type="paragraph" w:customStyle="1" w:styleId="113">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4">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6">
    <w:name w:val="1"/>
    <w:basedOn w:val="1"/>
    <w:next w:val="24"/>
    <w:qFormat/>
    <w:uiPriority w:val="99"/>
    <w:rPr>
      <w:rFonts w:ascii="宋体" w:hAnsi="Courier New" w:cs="宋体"/>
    </w:rPr>
  </w:style>
  <w:style w:type="paragraph" w:customStyle="1" w:styleId="117">
    <w:name w:val="Normal_12_0"/>
    <w:qFormat/>
    <w:uiPriority w:val="99"/>
    <w:rPr>
      <w:rFonts w:ascii="黑体" w:hAnsi="黑体" w:eastAsia="黑体" w:cs="黑体"/>
      <w:b/>
      <w:bCs/>
      <w:sz w:val="32"/>
      <w:szCs w:val="32"/>
      <w:lang w:val="en-US" w:eastAsia="zh-CN" w:bidi="ar-SA"/>
    </w:rPr>
  </w:style>
  <w:style w:type="paragraph" w:customStyle="1" w:styleId="118">
    <w:name w:val="p0"/>
    <w:basedOn w:val="1"/>
    <w:qFormat/>
    <w:uiPriority w:val="99"/>
    <w:pPr>
      <w:widowControl/>
    </w:pPr>
    <w:rPr>
      <w:kern w:val="0"/>
    </w:rPr>
  </w:style>
  <w:style w:type="paragraph" w:customStyle="1" w:styleId="119">
    <w:name w:val="列出段落1"/>
    <w:basedOn w:val="1"/>
    <w:qFormat/>
    <w:uiPriority w:val="99"/>
    <w:pPr>
      <w:ind w:firstLine="420" w:firstLineChars="200"/>
    </w:pPr>
  </w:style>
  <w:style w:type="paragraph" w:customStyle="1" w:styleId="120">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21">
    <w:name w:val="图文"/>
    <w:basedOn w:val="1"/>
    <w:qFormat/>
    <w:uiPriority w:val="99"/>
    <w:pPr>
      <w:adjustRightInd w:val="0"/>
      <w:snapToGrid w:val="0"/>
      <w:spacing w:after="50" w:line="360" w:lineRule="auto"/>
    </w:pPr>
    <w:rPr>
      <w:sz w:val="24"/>
      <w:szCs w:val="24"/>
    </w:rPr>
  </w:style>
  <w:style w:type="paragraph" w:customStyle="1" w:styleId="122">
    <w:name w:val="列出段落11"/>
    <w:basedOn w:val="1"/>
    <w:qFormat/>
    <w:uiPriority w:val="99"/>
    <w:pPr>
      <w:ind w:firstLine="200" w:firstLineChars="200"/>
    </w:pPr>
    <w:rPr>
      <w:rFonts w:ascii="Calibri" w:hAnsi="Calibri" w:cs="Calibri"/>
    </w:rPr>
  </w:style>
  <w:style w:type="paragraph" w:styleId="123">
    <w:name w:val="List Paragraph"/>
    <w:basedOn w:val="1"/>
    <w:qFormat/>
    <w:uiPriority w:val="99"/>
    <w:pPr>
      <w:ind w:firstLine="420" w:firstLineChars="200"/>
    </w:pPr>
  </w:style>
  <w:style w:type="paragraph" w:customStyle="1" w:styleId="124">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默认段落字体 Para Char Char Char Char"/>
    <w:basedOn w:val="1"/>
    <w:qFormat/>
    <w:uiPriority w:val="99"/>
  </w:style>
  <w:style w:type="paragraph" w:customStyle="1" w:styleId="12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7">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8">
    <w:name w:val="简单回函地址"/>
    <w:basedOn w:val="1"/>
    <w:qFormat/>
    <w:uiPriority w:val="99"/>
  </w:style>
  <w:style w:type="paragraph" w:customStyle="1" w:styleId="129">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1">
    <w:name w:val="样式 标题 2 + 黑色 行距: 1.5 倍行距"/>
    <w:basedOn w:val="2"/>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2">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3">
    <w:name w:val="正文_0"/>
    <w:qFormat/>
    <w:uiPriority w:val="99"/>
    <w:rPr>
      <w:rFonts w:ascii="Times New Roman" w:hAnsi="Times New Roman" w:eastAsia="宋体" w:cs="Times New Roman"/>
      <w:sz w:val="21"/>
      <w:szCs w:val="21"/>
      <w:lang w:val="en-US" w:eastAsia="zh-CN" w:bidi="ar-SA"/>
    </w:rPr>
  </w:style>
  <w:style w:type="paragraph" w:customStyle="1" w:styleId="134">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5">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6">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7">
    <w:name w:val="Body text|1"/>
    <w:basedOn w:val="1"/>
    <w:qFormat/>
    <w:uiPriority w:val="0"/>
    <w:pPr>
      <w:spacing w:line="434" w:lineRule="auto"/>
      <w:ind w:firstLine="400"/>
    </w:pPr>
    <w:rPr>
      <w:rFonts w:ascii="宋体" w:hAnsi="宋体" w:cs="宋体"/>
      <w:sz w:val="20"/>
      <w:szCs w:val="20"/>
      <w:lang w:val="zh-TW" w:eastAsia="zh-TW" w:bidi="zh-TW"/>
    </w:rPr>
  </w:style>
  <w:style w:type="paragraph" w:customStyle="1" w:styleId="138">
    <w:name w:val="_Style 17"/>
    <w:basedOn w:val="1"/>
    <w:next w:val="123"/>
    <w:qFormat/>
    <w:uiPriority w:val="99"/>
    <w:pPr>
      <w:ind w:firstLine="420" w:firstLineChars="200"/>
    </w:pPr>
    <w:rPr>
      <w:rFonts w:ascii="Calibri" w:hAnsi="Calibri"/>
    </w:rPr>
  </w:style>
  <w:style w:type="paragraph" w:customStyle="1" w:styleId="13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0">
    <w:name w:val="目录 82"/>
    <w:next w:val="1"/>
    <w:qFormat/>
    <w:uiPriority w:val="0"/>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21064</Words>
  <Characters>21448</Characters>
  <Lines>209</Lines>
  <Paragraphs>58</Paragraphs>
  <TotalTime>8</TotalTime>
  <ScaleCrop>false</ScaleCrop>
  <LinksUpToDate>false</LinksUpToDate>
  <CharactersWithSpaces>22555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A</cp:lastModifiedBy>
  <cp:lastPrinted>2022-10-18T07:21:00Z</cp:lastPrinted>
  <dcterms:modified xsi:type="dcterms:W3CDTF">2023-02-14T06:15:03Z</dcterms:modified>
  <dc:title>崇川区闸管所2020年闸（站）液压式启闭机维修保养项目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FA07670B4A4F4BED8151A3BC23ACC575</vt:lpwstr>
  </property>
</Properties>
</file>