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8"/>
        <w:tabs>
          <w:tab w:val="left" w:pos="420"/>
        </w:tabs>
        <w:spacing w:before="120"/>
        <w:ind w:firstLine="210"/>
      </w:pPr>
    </w:p>
    <w:p>
      <w:pPr>
        <w:tabs>
          <w:tab w:val="left" w:pos="1050"/>
          <w:tab w:val="right" w:leader="dot" w:pos="9402"/>
        </w:tabs>
        <w:spacing w:after="190" w:afterLines="50"/>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南通市妇幼保健院电话回访系统升级维护项目</w:t>
      </w:r>
    </w:p>
    <w:p>
      <w:pPr>
        <w:tabs>
          <w:tab w:val="left" w:pos="1050"/>
          <w:tab w:val="right" w:leader="dot" w:pos="9402"/>
        </w:tabs>
        <w:spacing w:line="1600" w:lineRule="exact"/>
        <w:jc w:val="center"/>
        <w:rPr>
          <w:rFonts w:ascii="方正小标宋简体" w:hAnsi="Calibri" w:eastAsia="方正小标宋简体"/>
          <w:sz w:val="56"/>
          <w:szCs w:val="56"/>
        </w:rPr>
      </w:pPr>
      <w:r>
        <w:rPr>
          <w:rFonts w:hint="eastAsia" w:ascii="方正小标宋简体" w:hAnsi="宋体" w:eastAsia="方正小标宋简体" w:cs="方正小标宋简体"/>
          <w:sz w:val="56"/>
          <w:szCs w:val="56"/>
        </w:rPr>
        <w:t>竞争性磋商文件</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7"/>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highlight w:val="none"/>
        </w:rPr>
        <w:t>项目编号：</w:t>
      </w:r>
      <w:r>
        <w:rPr>
          <w:rFonts w:ascii="宋体" w:hAnsi="宋体" w:eastAsia="宋体" w:cs="宋体"/>
          <w:kern w:val="0"/>
          <w:sz w:val="32"/>
          <w:szCs w:val="32"/>
          <w:highlight w:val="none"/>
        </w:rPr>
        <w:t>2</w:t>
      </w:r>
      <w:r>
        <w:rPr>
          <w:rFonts w:ascii="宋体" w:hAnsi="宋体" w:eastAsia="宋体" w:cs="宋体"/>
          <w:kern w:val="0"/>
          <w:sz w:val="32"/>
          <w:szCs w:val="32"/>
        </w:rPr>
        <w:t>022XXCS006</w:t>
      </w: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采购代理机构：江苏海审工程咨询有限公司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二〇二三年</w:t>
      </w:r>
      <w:r>
        <w:rPr>
          <w:rFonts w:hint="eastAsia" w:ascii="宋体" w:hAnsi="宋体" w:eastAsia="宋体" w:cs="宋体"/>
          <w:kern w:val="0"/>
          <w:sz w:val="32"/>
          <w:szCs w:val="32"/>
          <w:lang w:val="en-US" w:eastAsia="zh-CN"/>
        </w:rPr>
        <w:t>一</w:t>
      </w:r>
      <w:r>
        <w:rPr>
          <w:rFonts w:hint="eastAsia" w:ascii="宋体" w:hAnsi="宋体" w:eastAsia="宋体" w:cs="宋体"/>
          <w:kern w:val="0"/>
          <w:sz w:val="32"/>
          <w:szCs w:val="32"/>
        </w:rPr>
        <w:t>月</w:t>
      </w:r>
      <w:r>
        <w:rPr>
          <w:rFonts w:hint="default" w:ascii="宋体" w:hAnsi="宋体" w:eastAsia="宋体" w:cs="宋体"/>
          <w:kern w:val="0"/>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2471420</wp:posOffset>
                </wp:positionH>
                <wp:positionV relativeFrom="paragraph">
                  <wp:posOffset>514985</wp:posOffset>
                </wp:positionV>
                <wp:extent cx="809625" cy="482600"/>
                <wp:effectExtent l="0" t="0" r="9525" b="12700"/>
                <wp:wrapNone/>
                <wp:docPr id="3" name="文本框 3"/>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pPr>
                              <w:pStyle w:val="58"/>
                              <w:tabs>
                                <w:tab w:val="left" w:pos="420"/>
                              </w:tabs>
                              <w:spacing w:before="120"/>
                              <w:ind w:firstLine="210"/>
                            </w:pPr>
                          </w:p>
                        </w:txbxContent>
                      </wps:txbx>
                      <wps:bodyPr upright="1"/>
                    </wps:wsp>
                  </a:graphicData>
                </a:graphic>
              </wp:anchor>
            </w:drawing>
          </mc:Choice>
          <mc:Fallback>
            <w:pict>
              <v:shape id="_x0000_s1026" o:spid="_x0000_s1026" o:spt="202" type="#_x0000_t202" style="position:absolute;left:0pt;margin-left:194.6pt;margin-top:40.55pt;height:38pt;width:63.75pt;z-index:251660288;mso-width-relative:page;mso-height-relative:page;" fillcolor="#FFFFFF" filled="t"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uBe5dgAAAAKAQAADwAAAAAAAAABACAAAAAiAAAAZHJzL2Rv&#10;d25yZXYueG1sUEsBAhQAFAAAAAgAh07iQKjASXrIAQAAhAMAAA4AAAAAAAAAAQAgAAAAJwEAAGRy&#10;cy9lMm9Eb2MueG1sUEsFBgAAAAAGAAYAWQEAAGEFAAAAAA==&#10;">
                <v:fill on="t" focussize="0,0"/>
                <v:stroke on="f"/>
                <v:imagedata o:title=""/>
                <o:lock v:ext="edit" aspectratio="f"/>
                <v:textbox>
                  <w:txbxContent>
                    <w:p>
                      <w:pPr>
                        <w:pStyle w:val="58"/>
                        <w:tabs>
                          <w:tab w:val="left" w:pos="420"/>
                        </w:tabs>
                        <w:spacing w:before="120"/>
                        <w:ind w:firstLine="210"/>
                      </w:pPr>
                    </w:p>
                  </w:txbxContent>
                </v:textbox>
              </v:shape>
            </w:pict>
          </mc:Fallback>
        </mc:AlternateContent>
      </w:r>
      <w:r>
        <w:rPr>
          <w:rFonts w:hint="default" w:ascii="宋体" w:hAnsi="宋体" w:eastAsia="宋体" w:cs="宋体"/>
          <w:kern w:val="0"/>
          <w:sz w:val="32"/>
          <w:szCs w:val="32"/>
          <w:lang w:val="en-US"/>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9321800</wp:posOffset>
                </wp:positionV>
                <wp:extent cx="809625" cy="482600"/>
                <wp:effectExtent l="0" t="0" r="9525" b="12700"/>
                <wp:wrapNone/>
                <wp:docPr id="1" name="文本框 1"/>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203.6pt;margin-top:734pt;height:38pt;width:63.75pt;z-index:251661312;mso-width-relative:page;mso-height-relative:page;" fillcolor="#FFFFFF" filled="t"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PiJfojGAQAAhAMAAA4AAABkcnMvZTJvRG9jLnhtbK1T&#10;wY7TMBC9I/EPlu80aQVViZqutFTlggBp2Q9wHSexZHssj9umPwB/wIkLd76r38HYCWVZ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33A+F6BZWlR80Czy5aK4weMVJCgfyCpFoLRzU4bkzeh278zgR0FzXmXn9QjHfkHZlwC&#10;O0jHxvQYUfmmTGWS4FFYWsVhP0xq99CcyYSDD7rrqcNsQ5FANJxcbLpIafoP97R++PN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N3oG2QAAAA0BAAAPAAAAAAAAAAEAIAAAACIAAABkcnMvZG93&#10;bnJldi54bWxQSwECFAAUAAAACACHTuJA+Il+iMYBAACEAwAADgAAAAAAAAABACAAAAAoAQAAZHJz&#10;L2Uyb0RvYy54bWxQSwUGAAAAAAYABgBZAQAAYAUAAAAA&#10;">
                <v:fill on="t" focussize="0,0"/>
                <v:stroke on="f"/>
                <v:imagedata o:title=""/>
                <o:lock v:ext="edit" aspectratio="f"/>
                <v:textbox>
                  <w:txbxContent>
                    <w:p/>
                  </w:txbxContent>
                </v:textbox>
              </v:shape>
            </w:pict>
          </mc:Fallback>
        </mc:AlternateContent>
      </w:r>
      <w:r>
        <w:rPr>
          <w:rFonts w:hint="eastAsia" w:ascii="宋体" w:hAnsi="宋体" w:eastAsia="宋体" w:cs="宋体"/>
          <w:kern w:val="0"/>
          <w:sz w:val="32"/>
          <w:szCs w:val="32"/>
          <w:lang w:val="en-US" w:eastAsia="zh-CN"/>
        </w:rPr>
        <w:t>十</w:t>
      </w:r>
      <w:r>
        <w:rPr>
          <w:rFonts w:hint="eastAsia" w:ascii="宋体" w:hAnsi="宋体" w:eastAsia="宋体" w:cs="宋体"/>
          <w:kern w:val="0"/>
          <w:sz w:val="32"/>
          <w:szCs w:val="32"/>
        </w:rPr>
        <w:t>日</w: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pPr>
        <w:sectPr>
          <w:headerReference r:id="rId4" w:type="first"/>
          <w:footerReference r:id="rId6" w:type="first"/>
          <w:headerReference r:id="rId3" w:type="default"/>
          <w:footerReference r:id="rId5" w:type="default"/>
          <w:pgSz w:w="11906" w:h="16838"/>
          <w:pgMar w:top="1418" w:right="851" w:bottom="709" w:left="1418" w:header="851" w:footer="449" w:gutter="0"/>
          <w:pgNumType w:start="1"/>
          <w:cols w:space="720" w:num="1"/>
          <w:docGrid w:type="lines" w:linePitch="380" w:charSpace="-5735"/>
        </w:sectPr>
      </w:pPr>
    </w:p>
    <w:p>
      <w:pPr>
        <w:pStyle w:val="77"/>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9"/>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418" w:right="851" w:bottom="709" w:left="1418" w:header="851" w:footer="449" w:gutter="0"/>
          <w:cols w:space="720" w:num="1"/>
          <w:docGrid w:type="lines" w:linePitch="380" w:charSpace="-5735"/>
        </w:sect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尊敬的投标供应商（以下称供应商或投标人）：</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海审工程咨询有限公司（以下称代理机构）受南通市妇幼保健院（以下称采购单位）的委托，就南通市妇幼保健院电话回访系统升级维护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项目名称：南通市妇幼保健院电话回访系统升级维护项目；</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项目编号：</w:t>
      </w:r>
      <w:r>
        <w:rPr>
          <w:rFonts w:cs="宋体" w:asciiTheme="majorEastAsia" w:hAnsiTheme="majorEastAsia" w:eastAsiaTheme="majorEastAsia"/>
          <w:sz w:val="24"/>
          <w:szCs w:val="24"/>
          <w:highlight w:val="none"/>
        </w:rPr>
        <w:t>2022XXCS006</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采购方式：竞争性磋商</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20万元</w:t>
      </w:r>
      <w:bookmarkEnd w:id="2"/>
      <w:r>
        <w:rPr>
          <w:rFonts w:hint="eastAsia" w:cs="宋体" w:asciiTheme="majorEastAsia" w:hAnsiTheme="majorEastAsia" w:eastAsiaTheme="majorEastAsia"/>
          <w:sz w:val="24"/>
          <w:szCs w:val="24"/>
        </w:rPr>
        <w:t>，投标报价超过采购预算的为无效响应文件。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numPr>
          <w:ilvl w:val="0"/>
          <w:numId w:val="2"/>
        </w:numPr>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潜在供应商资格</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（一）谈判供应商资格要求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1、具有独立承担民事责任的能力（法人或者其他组织的营业执照等证明文件，自然人的身份证明）；</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2、具有良好的商业信誉和健全的财务会计制度（提供2021年度</w:t>
      </w:r>
      <w:r>
        <w:rPr>
          <w:rFonts w:hint="eastAsia" w:cs="宋体" w:asciiTheme="majorEastAsia" w:hAnsiTheme="majorEastAsia" w:eastAsiaTheme="majorEastAsia"/>
          <w:sz w:val="24"/>
          <w:szCs w:val="24"/>
          <w:lang w:val="en-US" w:eastAsia="zh-CN"/>
        </w:rPr>
        <w:t>或2022</w:t>
      </w:r>
      <w:r>
        <w:rPr>
          <w:rFonts w:hint="eastAsia" w:cs="宋体" w:asciiTheme="majorEastAsia" w:hAnsiTheme="majorEastAsia" w:eastAsiaTheme="majorEastAsia"/>
          <w:sz w:val="24"/>
          <w:szCs w:val="24"/>
        </w:rPr>
        <w:t>年度有效的财务状况报告（成立不满一年不需提供））；</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3、具有依法缴纳税收和社会保障资金的良好记录；</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4、具有履行合同所必需的设备和专业技术能力（格式见第七章）；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5、提供参与本次项目采购活动前三年内在经营活动中没有重大违法记录的书面《无重大违法记录声明函》（格式见第七章）；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7、本项目不接受联合体投标，中标后不得分包、转包。</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（二）本项目的特定资格要求：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pPr>
        <w:pStyle w:val="2"/>
        <w:ind w:left="70" w:firstLine="480"/>
        <w:rPr>
          <w:rFonts w:eastAsiaTheme="majorEastAsia"/>
        </w:rPr>
      </w:pPr>
      <w:r>
        <w:rPr>
          <w:rFonts w:hint="eastAsia" w:cs="宋体" w:asciiTheme="majorEastAsia" w:hAnsiTheme="majorEastAsia" w:eastAsiaTheme="majorEastAsia"/>
          <w:sz w:val="24"/>
          <w:szCs w:val="24"/>
        </w:rPr>
        <w:t>2、供应商须提供企业信用查询结果（企业信用从“信用中国（https://www.creditchina.gov.cn/”进入查询自行打印)，查询结果有效期须在自本项目公告发布之日起至本项目投标截止日内有效。提供以上网页的投标单位企业信用的截图，未提供截图或者被列入失信被执行人名单、重大税收违法案件当事人名单、政府采购严重违法失信行为记录名单的投标人资格审查均不予通过。</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（三）拒绝以下投标人参与投标：</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投标人之间存在下列互为关联关系的情形之一的，不得同时参加本项目采购：</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(1)单位负责人为同一人或者存在直接控股、管理关系的不同投标人；</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(2)为采购项目提供整体设计、规范编制或者项目管理、监理、检测等服务的投标人；</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具体资格要求详见第七章“资格审查文件”。</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投标人认真对照资格条件，如不符合要求的，无意或故意参与投标所产生的一切后果由投标人自行承担；开标过程中，投标人提供的相关证件为虚假或伪造，或者其他人员持法定代表人或被授权人的身份证参与投标，一经发现则取消投标人资格，如已成交，采购人有权取消其成交资格，并由该投标人承担由此带来可能的一切责任和损失。</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特别提醒】单位负责人为同一人或者存在直接控股、管理关系的不同投标人，不得同时参与同一采购项目相同标段的政府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成交，采购人有权取消其成交资格，并由该投标人承担由此带来的一切责任和损失。</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南通市卫生健康委员会官网（http://wjw.nantong.gov.cn/）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1、截止</w:t>
      </w:r>
      <w:r>
        <w:rPr>
          <w:rFonts w:hint="eastAsia" w:cs="宋体" w:asciiTheme="majorEastAsia" w:hAnsiTheme="majorEastAsia" w:eastAsiaTheme="majorEastAsia"/>
          <w:sz w:val="24"/>
          <w:szCs w:val="24"/>
        </w:rPr>
        <w:t>时间：</w:t>
      </w:r>
      <w:r>
        <w:rPr>
          <w:rFonts w:hint="eastAsia" w:cs="宋体" w:asciiTheme="majorEastAsia" w:hAnsiTheme="majorEastAsia" w:eastAsiaTheme="majorEastAsia"/>
          <w:b/>
          <w:sz w:val="24"/>
          <w:szCs w:val="24"/>
          <w:u w:val="single"/>
        </w:rPr>
        <w:t>202</w:t>
      </w:r>
      <w:r>
        <w:rPr>
          <w:rFonts w:hint="eastAsia" w:cs="宋体" w:asciiTheme="majorEastAsia" w:hAnsiTheme="majorEastAsia" w:eastAsiaTheme="majorEastAsia"/>
          <w:b/>
          <w:sz w:val="24"/>
          <w:szCs w:val="24"/>
          <w:u w:val="single"/>
          <w:lang w:val="en-US" w:eastAsia="zh-CN"/>
        </w:rPr>
        <w:t>3</w:t>
      </w:r>
      <w:r>
        <w:rPr>
          <w:rFonts w:hint="eastAsia" w:cs="宋体" w:asciiTheme="majorEastAsia" w:hAnsiTheme="majorEastAsia" w:eastAsiaTheme="majorEastAsia"/>
          <w:b/>
          <w:sz w:val="24"/>
          <w:szCs w:val="24"/>
          <w:u w:val="single"/>
        </w:rPr>
        <w:t>年</w:t>
      </w:r>
      <w:r>
        <w:rPr>
          <w:rFonts w:hint="eastAsia" w:cs="宋体" w:asciiTheme="majorEastAsia" w:hAnsiTheme="majorEastAsia" w:eastAsiaTheme="majorEastAsia"/>
          <w:b/>
          <w:sz w:val="24"/>
          <w:szCs w:val="24"/>
          <w:u w:val="single"/>
          <w:lang w:val="en-US" w:eastAsia="zh-CN"/>
        </w:rPr>
        <w:t>1</w:t>
      </w:r>
      <w:r>
        <w:rPr>
          <w:rFonts w:hint="eastAsia" w:cs="宋体" w:asciiTheme="majorEastAsia" w:hAnsiTheme="majorEastAsia" w:eastAsiaTheme="majorEastAsia"/>
          <w:b/>
          <w:sz w:val="24"/>
          <w:szCs w:val="24"/>
          <w:u w:val="single"/>
        </w:rPr>
        <w:t>月</w:t>
      </w:r>
      <w:r>
        <w:rPr>
          <w:rFonts w:hint="eastAsia" w:cs="宋体" w:asciiTheme="majorEastAsia" w:hAnsiTheme="majorEastAsia" w:eastAsiaTheme="majorEastAsia"/>
          <w:b/>
          <w:sz w:val="24"/>
          <w:szCs w:val="24"/>
          <w:u w:val="single"/>
          <w:lang w:val="en-US" w:eastAsia="zh-CN"/>
        </w:rPr>
        <w:t>30</w:t>
      </w:r>
      <w:r>
        <w:rPr>
          <w:rFonts w:hint="eastAsia" w:cs="宋体" w:asciiTheme="majorEastAsia" w:hAnsiTheme="majorEastAsia" w:eastAsiaTheme="majorEastAsia"/>
          <w:b/>
          <w:sz w:val="24"/>
          <w:szCs w:val="24"/>
          <w:u w:val="single"/>
        </w:rPr>
        <w:t>日</w:t>
      </w:r>
      <w:r>
        <w:rPr>
          <w:rFonts w:hint="eastAsia" w:cs="宋体" w:asciiTheme="majorEastAsia" w:hAnsiTheme="majorEastAsia" w:eastAsiaTheme="majorEastAsia"/>
          <w:b/>
          <w:sz w:val="24"/>
          <w:szCs w:val="24"/>
          <w:u w:val="single"/>
          <w:lang w:val="en-US" w:eastAsia="zh-CN"/>
        </w:rPr>
        <w:t>14</w:t>
      </w:r>
      <w:r>
        <w:rPr>
          <w:rFonts w:hint="eastAsia" w:cs="宋体" w:asciiTheme="majorEastAsia" w:hAnsiTheme="majorEastAsia" w:eastAsiaTheme="majorEastAsia"/>
          <w:b/>
          <w:sz w:val="24"/>
          <w:szCs w:val="24"/>
          <w:u w:val="single"/>
        </w:rPr>
        <w:t>时</w:t>
      </w:r>
      <w:r>
        <w:rPr>
          <w:rFonts w:hint="eastAsia" w:cs="宋体" w:asciiTheme="majorEastAsia" w:hAnsiTheme="majorEastAsia" w:eastAsiaTheme="majorEastAsia"/>
          <w:b/>
          <w:sz w:val="24"/>
          <w:szCs w:val="24"/>
          <w:u w:val="single"/>
          <w:lang w:val="en-US" w:eastAsia="zh-CN"/>
        </w:rPr>
        <w:t>30</w:t>
      </w:r>
      <w:r>
        <w:rPr>
          <w:rFonts w:hint="eastAsia" w:cs="宋体" w:asciiTheme="majorEastAsia" w:hAnsiTheme="majorEastAsia" w:eastAsiaTheme="majorEastAsia"/>
          <w:b/>
          <w:sz w:val="24"/>
          <w:szCs w:val="24"/>
          <w:u w:val="single"/>
        </w:rPr>
        <w:t>分</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color w:val="000000" w:themeColor="text1"/>
          <w:sz w:val="24"/>
          <w:szCs w:val="24"/>
          <w14:textFill>
            <w14:solidFill>
              <w14:schemeClr w14:val="tx1"/>
            </w14:solidFill>
          </w14:textFill>
        </w:rPr>
        <w:t>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2、地点：</w:t>
      </w:r>
      <w:r>
        <w:rPr>
          <w:rFonts w:hint="eastAsia" w:cs="宋体" w:asciiTheme="majorEastAsia" w:hAnsiTheme="majorEastAsia" w:eastAsiaTheme="majorEastAsia"/>
          <w:bCs/>
          <w:sz w:val="24"/>
          <w:szCs w:val="24"/>
        </w:rPr>
        <w:t>江苏海审工程咨询有限公司（</w:t>
      </w:r>
      <w:r>
        <w:rPr>
          <w:rFonts w:hint="eastAsia" w:cs="宋体" w:asciiTheme="majorEastAsia" w:hAnsiTheme="majorEastAsia" w:eastAsiaTheme="majorEastAsia"/>
          <w:sz w:val="24"/>
          <w:szCs w:val="24"/>
        </w:rPr>
        <w:t>南通市崇川区星城路299号（创源科技园3号楼501室开标室）</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sz w:val="24"/>
          <w:szCs w:val="24"/>
        </w:rPr>
        <w:t>，如有变动另行通知。</w:t>
      </w: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1、时间：</w:t>
      </w:r>
      <w:r>
        <w:rPr>
          <w:rFonts w:hint="eastAsia" w:cs="宋体" w:asciiTheme="majorEastAsia" w:hAnsiTheme="majorEastAsia" w:eastAsiaTheme="majorEastAsia"/>
          <w:b/>
          <w:sz w:val="24"/>
          <w:szCs w:val="24"/>
          <w:u w:val="single"/>
        </w:rPr>
        <w:t>同响应文件提交截止时间</w:t>
      </w:r>
      <w:r>
        <w:rPr>
          <w:rFonts w:hint="eastAsia" w:cs="宋体" w:asciiTheme="majorEastAsia" w:hAnsiTheme="majorEastAsia" w:eastAsiaTheme="majorEastAsia"/>
          <w:bCs/>
          <w:sz w:val="24"/>
          <w:szCs w:val="24"/>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
          <w:sz w:val="24"/>
          <w:szCs w:val="24"/>
          <w:u w:val="single"/>
        </w:rPr>
        <w:t>同响应文件提交地点</w:t>
      </w:r>
      <w:r>
        <w:rPr>
          <w:rFonts w:hint="eastAsia" w:cs="宋体" w:asciiTheme="majorEastAsia" w:hAnsiTheme="majorEastAsia" w:eastAsiaTheme="majorEastAsia"/>
          <w:bCs/>
          <w:sz w:val="24"/>
          <w:szCs w:val="24"/>
        </w:rPr>
        <w:t>。</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联系人：羌女士</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 ：0513-59008062</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称：江苏海审工程咨询有限公司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址：南通市崇川区星城路299号（创源科技园3号楼501室）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联系人：张倩</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联系电话：18205155828</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箱：834302239@qq.com</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1、磋商响应文件由：①资格审查文件、②技术标响应文件、③商务标响应文件共三部分组成（以下由文件序号代称）。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w:t>
      </w:r>
      <w:r>
        <w:rPr>
          <w:rFonts w:hint="eastAsia" w:ascii="宋体" w:hAnsi="宋体" w:eastAsia="宋体" w:cs="宋体"/>
          <w:sz w:val="24"/>
          <w:szCs w:val="24"/>
          <w:u w:val="single"/>
        </w:rPr>
        <w:t>1200元</w:t>
      </w:r>
      <w:r>
        <w:rPr>
          <w:rFonts w:hint="eastAsia" w:ascii="宋体" w:hAnsi="宋体" w:eastAsia="宋体" w:cs="宋体"/>
          <w:sz w:val="24"/>
          <w:szCs w:val="24"/>
        </w:rPr>
        <w:t>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按照《中华人民共和国政府采购法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napToGrid w:val="0"/>
        <w:spacing w:line="360" w:lineRule="auto"/>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和《商务响应正负偏离表》上明示，如不明示的视同完全响应。</w:t>
      </w:r>
    </w:p>
    <w:p>
      <w:pPr>
        <w:snapToGrid w:val="0"/>
        <w:spacing w:line="480" w:lineRule="exact"/>
        <w:ind w:firstLine="463" w:firstLineChars="192"/>
        <w:rPr>
          <w:rFonts w:ascii="宋体" w:hAnsi="宋体" w:eastAsia="宋体" w:cs="宋体"/>
          <w:b/>
          <w:bCs/>
          <w:color w:val="000000"/>
          <w:sz w:val="24"/>
          <w:szCs w:val="24"/>
          <w:lang w:eastAsia="zh-Hans"/>
        </w:rPr>
      </w:pPr>
      <w:bookmarkStart w:id="5" w:name="_Toc312757557"/>
      <w:bookmarkStart w:id="6" w:name="_Toc332043546"/>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eastAsia="zh-Hans"/>
        </w:rPr>
        <w:t>项目建设背景</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（一）采购标的需实现的功能或者目标,以及为落实政府采购政策需满足的要求</w:t>
      </w:r>
    </w:p>
    <w:p>
      <w:pPr>
        <w:snapToGrid w:val="0"/>
        <w:spacing w:line="360" w:lineRule="auto"/>
        <w:ind w:firstLine="480" w:firstLineChars="200"/>
        <w:rPr>
          <w:rFonts w:ascii="宋体" w:hAnsi="宋体" w:eastAsia="宋体"/>
          <w:sz w:val="24"/>
          <w:szCs w:val="24"/>
        </w:rPr>
      </w:pPr>
      <w:bookmarkStart w:id="7" w:name="_Toc137961756"/>
      <w:bookmarkStart w:id="8" w:name="_Toc146534264"/>
      <w:bookmarkStart w:id="9" w:name="_Toc234859245"/>
      <w:bookmarkStart w:id="10" w:name="_Toc142632499"/>
      <w:bookmarkStart w:id="11" w:name="_Toc124489987"/>
      <w:r>
        <w:rPr>
          <w:rFonts w:hint="eastAsia" w:ascii="宋体" w:hAnsi="宋体" w:eastAsia="宋体"/>
          <w:sz w:val="24"/>
          <w:szCs w:val="24"/>
        </w:rPr>
        <w:t>随访系统采用医院本地化部署，要求拥有自主知识产权，采用可靠的产品和技术，遵循业界统一标准，维护方便。软件必须采用模块化设计，以适应分阶段建设要求以及后期功能的扩展。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1、系统规模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30个病区位点，考虑到预留位点，随时增加和减少位点。</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2、系统架构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系统应采用B/S系统架构，随访电话采用IP话机，方便部署维护。外呼系统对接运营商数字中继1条进行外呼，接口标准为30B+D（PRI），可同时支持30路语音同时呼入呼出，采购的硬件设备需注意上述接口协议要求。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3、功能要求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随访系统功能主要要求包含以下几个方面：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（1）基础信息维护</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病区管理，分治疗组管理，员工管理，患者基本信息管理、住院出院信息管理等。基础平台包含患者服务视图及其它的功能如：含员工权限角色管理、线路配置，短信配置等。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（2）信息对接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患者信息通过与HIS、电子病历的对接，自动同步门诊和住院的患者信息，生成相应的随访名单。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（3）电话外呼</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病区或医院的回访人员，通过电脑点击患者电话进行外呼，并对随访内容进行记录。电话全程录音。系统支持灵活的问卷模板自定义功能，支持随访记录绩效考核和结果统计。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（4）随访业务分类</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医院随访主要分为三大类，每类随访记录各不相同。</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病区住院患者随访：根据各个病区的患者信息进行随访并记录。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医院住院患者随访：对医院住院患者进行抽查随访并记录。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医院门诊患者随访：对医院门诊患者进行抽查随访并记录。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除了电话随访记录，系统还支持纸质随访结果的录入。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（5）运营管理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*随访系统监控软件，可以实时查看到线路状况、回访人员外呼状态以及服务器、通讯软件的运行情况。</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（6）短信功能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系统支持短信模板的管理和短信的发送。</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（7）权限管理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系统拥有权限管理功能，不同病区人员看到其权限下对应的患者信息和随访任务。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（8）数据提取要求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满足医院未来数据中心或其他第三方系统提取数据的要求，不另外收取接口费用。</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三、系统建设功能要求</w:t>
      </w:r>
    </w:p>
    <w:tbl>
      <w:tblPr>
        <w:tblStyle w:val="60"/>
        <w:tblW w:w="5000" w:type="pct"/>
        <w:tblInd w:w="0" w:type="dxa"/>
        <w:tblLayout w:type="autofit"/>
        <w:tblCellMar>
          <w:top w:w="0" w:type="dxa"/>
          <w:left w:w="108" w:type="dxa"/>
          <w:bottom w:w="0" w:type="dxa"/>
          <w:right w:w="108" w:type="dxa"/>
        </w:tblCellMar>
      </w:tblPr>
      <w:tblGrid>
        <w:gridCol w:w="1898"/>
        <w:gridCol w:w="7389"/>
      </w:tblGrid>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功能描述</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语音处理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IVR语音导航、多级可灵活的自定制</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智能电话排队(ACD),队列等待音乐</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按不同工作时段播放不同语音信息并可预先设置法定节假日问候语音</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呼入智能路由(根据来电号码不同特征类型,提供多种来电路由的选择及自动话务分配)</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语音信箱自助留言</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坐席操作</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坐席分机登陆、注销</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标准B/S坐席操作界面</w:t>
            </w:r>
          </w:p>
        </w:tc>
      </w:tr>
      <w:tr>
        <w:tblPrEx>
          <w:tblCellMar>
            <w:top w:w="0" w:type="dxa"/>
            <w:left w:w="108" w:type="dxa"/>
            <w:bottom w:w="0" w:type="dxa"/>
            <w:right w:w="108" w:type="dxa"/>
          </w:tblCellMar>
        </w:tblPrEx>
        <w:trPr>
          <w:trHeight w:val="825"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挂断电话、界面拨号、分机空闲(示忙)、通话暂停、通话转移(转固定电话/手机)、邀请客户服务评分、记录查询、三分通话、实时聊天。</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工作中分机通信状态设置(无条件转移、遇忙转移、超时转移)</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排队用户可视化操作界面</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点击拨号</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FAQ知识库使用</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公告查看、添加</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待办事项提醒、语音信箱提醒、公告提醒、传真提醒、未接</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患者信息管理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来电弹屏(电话振铃同步弹出患者以往记录或建立新患者资料)</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患者资料管理(抓取HIS系统患者资料、修改患者资料、删除患者资料)*必须具有一定权限</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随访工单管理(新建、修改、查询、删除)</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弹屏资料与电话语音同步转移给目标坐席</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统计报表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通话详单</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1.按时间条件统计,进行查询日期选择(年、月、日)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2.呼入呼出费用(可以按照主叫号码、被叫号码条件搜索)</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3.模糊查询与精确查询切换设置</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4.数据导出</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通话记录报表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1.按时间条件统计,进行查询日期选择(年、月、日)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2.呼入呼出记录查询(可以按照主叫号码、被叫号码条件搜索)</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3.坐席通话记录查询(统计每个坐席话务信息)</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4.模糊查询与精确查询切换设置</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5.通话类型设置选择(全部、呼入、呼出、其他)</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6.通话状态设置选择(已接听、未接听)</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7</w:t>
            </w:r>
            <w:r>
              <w:rPr>
                <w:rFonts w:hint="eastAsia" w:ascii="仿宋" w:hAnsi="仿宋" w:eastAsia="仿宋" w:cs="宋体"/>
                <w:color w:val="000000"/>
                <w:kern w:val="0"/>
                <w:sz w:val="22"/>
              </w:rPr>
              <w:t>.通话记录对应录音播放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.数据导出(Excel格式存储)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系统报表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1.通话日统计、月统计、时段统计</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2.查询日期选择年、月、日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3.统计参数:呼入次数、呼入接通次数、呼入未接通次数、呼入接通率、呼出次数、呼出接通次数、呼出未接通次数、呼出接通率</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5</w:t>
            </w:r>
            <w:r>
              <w:rPr>
                <w:rFonts w:hint="eastAsia" w:ascii="仿宋" w:hAnsi="仿宋" w:eastAsia="仿宋" w:cs="宋体"/>
                <w:color w:val="000000"/>
                <w:kern w:val="0"/>
                <w:sz w:val="22"/>
              </w:rPr>
              <w:t>.数据导出(Excel格式存储)</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6</w:t>
            </w:r>
            <w:r>
              <w:rPr>
                <w:rFonts w:hint="eastAsia" w:ascii="仿宋" w:hAnsi="仿宋" w:eastAsia="仿宋" w:cs="宋体"/>
                <w:color w:val="000000"/>
                <w:kern w:val="0"/>
                <w:sz w:val="22"/>
              </w:rPr>
              <w:t>.打印报表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坐席报表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2.坐席工号选择</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3.按通话时长统计(选择＞≥＝＜≤符号,输入通话秒数)</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4.统计参数:坐席工号、通话数量、通话总时长、平均通话时长</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6.数据导出(Excel格式存储)</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7.打印报表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服务报表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2.服务评价项目:非常满意、满意、一般、不满意汇总评价次数</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3.详情统计:评价时间、坐席工号、登陆的分机、评价人电话号码、评分结果、录音</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示忙报表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2.统计数据:工号/姓名、示忙次数、示忙时间总计</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3.详情统计:工号/姓名、登陆的分机、示忙时间、取消示忙时间、单次示忙时间</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座席报表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2.根据呼入或呼出方式进行统计数据</w:t>
            </w:r>
          </w:p>
        </w:tc>
      </w:tr>
      <w:tr>
        <w:tblPrEx>
          <w:tblCellMar>
            <w:top w:w="0" w:type="dxa"/>
            <w:left w:w="108" w:type="dxa"/>
            <w:bottom w:w="0" w:type="dxa"/>
            <w:right w:w="108" w:type="dxa"/>
          </w:tblCellMar>
        </w:tblPrEx>
        <w:trPr>
          <w:trHeight w:val="48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3.详情统计:工号/姓名、登陆的分机、接听/呼出次数、接听或呼出的总时长、接听或呼出的平均时长、在线时</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队列报表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2.根据不同的队列进行统计</w:t>
            </w:r>
          </w:p>
        </w:tc>
      </w:tr>
      <w:tr>
        <w:tblPrEx>
          <w:tblCellMar>
            <w:top w:w="0" w:type="dxa"/>
            <w:left w:w="108" w:type="dxa"/>
            <w:bottom w:w="0" w:type="dxa"/>
            <w:right w:w="108" w:type="dxa"/>
          </w:tblCellMar>
        </w:tblPrEx>
        <w:trPr>
          <w:trHeight w:val="480" w:hRule="atLeast"/>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3.详细数据：呼叫时间呼入总次数接通次数失败次数漏接次数失败率漏接率平均等待时长(秒)平均通话时长(秒)</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质检管理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坐席分机状态实时监测(空闲、示忙、离线)</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实时操作管理(监听、强插、强踢、转出分机)</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录音管理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通话质检报表评分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远程登陆管理</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报表分析:坐席报表、服务报表、示忙报表、登陆报表</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系统监控</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队列实时状态图形监控统计</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队列历史状态参数:(月统计、日统计、小时统计),时间、手动示忙总次数、通话中总次数、振铃中总次数</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通信服务</w:t>
            </w:r>
          </w:p>
        </w:tc>
      </w:tr>
      <w:tr>
        <w:tblPrEx>
          <w:tblCellMar>
            <w:top w:w="0" w:type="dxa"/>
            <w:left w:w="108" w:type="dxa"/>
            <w:bottom w:w="0" w:type="dxa"/>
            <w:right w:w="108" w:type="dxa"/>
          </w:tblCellMar>
        </w:tblPrEx>
        <w:trPr>
          <w:trHeight w:val="585"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SIP启用(SIP启用服务为语音通信、状态、即时消息和其他企业通信提供了一套基于标准的SIP基础架构,从而将PSTN和互联网世界连接在一起)</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门户服务:支持从基于浏览器的客户端访问语音通信功能</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远程分机部署</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智能批量外呼随访</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bookmarkStart w:id="12" w:name="RANGE!A91"/>
            <w:r>
              <w:rPr>
                <w:rFonts w:hint="eastAsia" w:ascii="仿宋" w:hAnsi="仿宋" w:eastAsia="仿宋" w:cs="宋体"/>
                <w:color w:val="000000"/>
                <w:kern w:val="0"/>
                <w:sz w:val="22"/>
              </w:rPr>
              <w:t>自动式外呼(自动从外呼号码库中选取号码呼叫,接通后转交给座席)</w:t>
            </w:r>
            <w:bookmarkEnd w:id="12"/>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人工式外呼(由系统分配外呼号码库中的电话给座席,由座席决定发起呼叫)</w:t>
            </w:r>
          </w:p>
        </w:tc>
      </w:tr>
      <w:tr>
        <w:tblPrEx>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IVR外呼(系统成功接通用户后,向用户播放相应业务介绍语音,用户可以在收听过程中,选择以交互方式完成订单或者向人工座席进一步咨询了解)</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支持多业务并存</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支持远端坐席</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统计分析功能</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外呼管理(根据不同智能外呼能力,设置不同的外呼策略。如:时间策略,问卷策略)</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外呼黑白名单</w:t>
            </w:r>
          </w:p>
        </w:tc>
      </w:tr>
      <w:tr>
        <w:tblPrEx>
          <w:tblCellMar>
            <w:top w:w="0" w:type="dxa"/>
            <w:left w:w="108" w:type="dxa"/>
            <w:bottom w:w="0" w:type="dxa"/>
            <w:right w:w="108" w:type="dxa"/>
          </w:tblCellMar>
        </w:tblPrEx>
        <w:trPr>
          <w:trHeight w:val="270"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系统设置</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组织管理</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工号设置，部门设置,可自定义</w:t>
            </w:r>
          </w:p>
        </w:tc>
      </w:tr>
      <w:tr>
        <w:tblPrEx>
          <w:tblCellMar>
            <w:top w:w="0" w:type="dxa"/>
            <w:left w:w="108" w:type="dxa"/>
            <w:bottom w:w="0" w:type="dxa"/>
            <w:right w:w="108" w:type="dxa"/>
          </w:tblCellMar>
        </w:tblPrEx>
        <w:trPr>
          <w:trHeight w:val="270" w:hRule="atLeast"/>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角色设置(坐席班长、坐席用户、管理员、离职员工等),可自定义</w:t>
            </w:r>
          </w:p>
        </w:tc>
      </w:tr>
      <w:tr>
        <w:tblPrEx>
          <w:tblCellMar>
            <w:top w:w="0" w:type="dxa"/>
            <w:left w:w="108" w:type="dxa"/>
            <w:bottom w:w="0" w:type="dxa"/>
            <w:right w:w="108" w:type="dxa"/>
          </w:tblCellMar>
        </w:tblPrEx>
        <w:trPr>
          <w:trHeight w:val="270" w:hRule="atLeast"/>
        </w:trPr>
        <w:tc>
          <w:tcPr>
            <w:tcW w:w="1022" w:type="pct"/>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系统管理</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系统参数设置</w:t>
            </w:r>
          </w:p>
        </w:tc>
      </w:tr>
      <w:tr>
        <w:tblPrEx>
          <w:tblCellMar>
            <w:top w:w="0" w:type="dxa"/>
            <w:left w:w="108" w:type="dxa"/>
            <w:bottom w:w="0" w:type="dxa"/>
            <w:right w:w="108" w:type="dxa"/>
          </w:tblCellMar>
        </w:tblPrEx>
        <w:trPr>
          <w:trHeight w:val="270" w:hRule="atLeast"/>
        </w:trPr>
        <w:tc>
          <w:tcPr>
            <w:tcW w:w="1022" w:type="pct"/>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基本数据生成设置</w:t>
            </w:r>
          </w:p>
        </w:tc>
      </w:tr>
    </w:tbl>
    <w:p>
      <w:pPr>
        <w:adjustRightInd w:val="0"/>
        <w:snapToGrid w:val="0"/>
        <w:spacing w:line="400" w:lineRule="exact"/>
        <w:rPr>
          <w:rFonts w:ascii="仿宋" w:hAnsi="仿宋" w:eastAsia="仿宋" w:cs="宋体"/>
          <w:b/>
          <w:bCs/>
          <w:sz w:val="28"/>
          <w:szCs w:val="28"/>
        </w:rPr>
      </w:pPr>
    </w:p>
    <w:bookmarkEnd w:id="7"/>
    <w:bookmarkEnd w:id="8"/>
    <w:bookmarkEnd w:id="9"/>
    <w:bookmarkEnd w:id="10"/>
    <w:bookmarkEnd w:id="11"/>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（二）采购标的需执行的国家相关标准、行业标准、地方标准或者其他标准、规范</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产品的技术标准按国家标准执行，无国家标准的，按行业标准执行，无国家和行业标准的，按企业标准执行；但在磋商文件中有特别要求的，按磋商文件中规定的要求执行，并且符合相关法律、法规规定的要求。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（三）采购标的需满足的质量、安全、技术规格、物理特性等要求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投标人应保证提供的产品不得侵犯第三方专利权、商标权和设计权、版权等。否则，投标人应负全部责任，并承担由此引起的一切后果。</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对知识产权的要求：投标人承诺全部承担今后凡因本项目相关部件知识产权方面可能产生的任何问题、纠纷乃至赔偿等。项目中涉及的已注册应用软件产品，其知识产权归原厂商所有。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（四）采购标的数量、采购项目交付或者实施的时间和地点</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服务地点：南通市妇幼保健院指定地点；</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项目工期：合同签订后1个月内，完成项目实施。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（五）采购标的需满足的服务标准、期限、效率等要求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1、项目预算：20万元</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2、项目实施要求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（1）投标人具有优质的售后服务团队和软件开发中心。</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（2）投标人应本着认真负责态度，组织技术队伍，认真做好项目的实施工作。在签订合同前，提出具体实施、服务、维护以及今后技术支持的措施计划和承诺。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（3）投标人必须提供项目实施计划，经用户方同意后，严格执行。如果遇到问题，由项目组提出项目变更说明，经医院和系统提供商确定后，修改计划。</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（4）投标人应负责在项目验收时将系统的全部有关技术文件、资料、及安装、测试、验收报告等文档汇集成册交付用户方。</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3、售后服务要求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（1）本项目验收合格后，投标人必须提供软件不少于一年的免费功能增强性维护和软件升级、免费技术维护服务，其中包括系统维护、保证软件系统的正常运行。</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投标人具有固定的经营、开发维护人员，具备完整的技术服务团队且能提供良好的技术支持。提供一年7*24小时免费服务，医院工作日白天（8：00-17：00）故障响应时间不超过1小时，非工作日及夜间故障响应时间为不超过2小时。3小时到达现场，8小时内修复。免费期内对系统优化和常规安全检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（3）免费维护期后，维保费不超过合同总价的8%。</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（六）采购标的验收标准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在接到投标人以书面形式提出验收申请后，在5个工作日内及时组织相关专业技术人员，必要时邀请采购中心、质检等部门共同参与验收，并出具验收报告，作为支付货款的依据。</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（七）采购标的其他技术、服务等要求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以上条款的内容如果需要修改或者有其他未涉及的事项，由双方协商解决。</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（八）付款条件</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合同的签订：自采购中心中标（成交）通知书发出之日起30日内按时签约。</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付款方式：合同签订后15天内支付全款的30%，验收合格后15天内支付全款的60%，免费质保期结束后15天内支付全款的10%。</w:t>
      </w:r>
    </w:p>
    <w:bookmarkEnd w:id="5"/>
    <w:bookmarkEnd w:id="6"/>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13"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1、本次竞争性磋商按照《中华人民共和国政府采购法》、《政府采购竞争性磋商采购方式管理暂行办法》及有关法规成立磋商小组。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2、项目响应供应商的法定代表人或被授权人须持身份证准时参加磋商评审会。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1、磋商小组参照《中华人民共和国政府采购法》、《政府采购竞争性磋商采购方式管理暂行办法》以及有关政府采购的相关法规，遵循“公开、公平、公正、择优、信用”的原则进行磋商评审。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w:t>
      </w:r>
      <w:r>
        <w:rPr>
          <w:rFonts w:hint="eastAsia" w:ascii="宋体" w:hAnsi="宋体" w:eastAsia="宋体" w:cs="宋体"/>
          <w:sz w:val="24"/>
          <w:szCs w:val="24"/>
        </w:rPr>
        <w:t>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3、本次项目磋商的技术标和商务标评审总分值为100分。两部分评审因素比重如下：</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技术标分值占总分值的比重为70%（权重）（四舍五入保留两位小数）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商务标分值占总分值的比重为30%（权重）（四舍五入保留两位小数）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7" w:firstLineChars="202"/>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b/>
          <w:bCs/>
          <w:color w:val="000000" w:themeColor="text1"/>
          <w:sz w:val="24"/>
          <w:szCs w:val="24"/>
          <w14:textFill>
            <w14:solidFill>
              <w14:schemeClr w14:val="tx1"/>
            </w14:solidFill>
          </w14:textFill>
        </w:rPr>
        <w:t>4、供应商技术标最终得分取所有评委的算术平均值，得分采用四舍五入法保留小数点后两位小数。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5、技术标得分与商务标得分相加为供应商的综合得分（四舍五入保留两位小数）。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6、综合得分由高到低的顺序推荐三名成交供应商并出具评审磋商报告。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7、确定成交候选人的特殊情况处理：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13"/>
    <w:p>
      <w:pPr>
        <w:snapToGrid w:val="0"/>
        <w:spacing w:line="300" w:lineRule="auto"/>
        <w:ind w:firstLine="555"/>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sz w:val="24"/>
          <w:szCs w:val="24"/>
        </w:rPr>
        <w:t>（一）技术标满分70分，以下所设分值均为各条评分最大得分值，评标委员会根据以下几个方面进行综合评估打分</w:t>
      </w:r>
      <w:r>
        <w:rPr>
          <w:rFonts w:hint="eastAsia" w:asciiTheme="majorEastAsia" w:hAnsiTheme="majorEastAsia" w:eastAsiaTheme="majorEastAsia" w:cstheme="minorEastAsia"/>
          <w:b/>
          <w:bCs/>
          <w:color w:val="000000" w:themeColor="text1"/>
          <w:sz w:val="24"/>
          <w:szCs w:val="24"/>
          <w14:textFill>
            <w14:solidFill>
              <w14:schemeClr w14:val="tx1"/>
            </w14:solidFill>
          </w14:textFill>
        </w:rPr>
        <w:t>(供应商技术标最终得分取所有评委的算术平均值，得分采用四舍五入法保留小数点后两位小数。)</w:t>
      </w:r>
    </w:p>
    <w:tbl>
      <w:tblPr>
        <w:tblStyle w:val="60"/>
        <w:tblW w:w="9988" w:type="dxa"/>
        <w:jc w:val="center"/>
        <w:tblLayout w:type="fixed"/>
        <w:tblCellMar>
          <w:top w:w="0" w:type="dxa"/>
          <w:left w:w="108" w:type="dxa"/>
          <w:bottom w:w="0" w:type="dxa"/>
          <w:right w:w="108" w:type="dxa"/>
        </w:tblCellMar>
      </w:tblPr>
      <w:tblGrid>
        <w:gridCol w:w="712"/>
        <w:gridCol w:w="1395"/>
        <w:gridCol w:w="945"/>
        <w:gridCol w:w="6936"/>
      </w:tblGrid>
      <w:tr>
        <w:tblPrEx>
          <w:tblCellMar>
            <w:top w:w="0" w:type="dxa"/>
            <w:left w:w="108" w:type="dxa"/>
            <w:bottom w:w="0" w:type="dxa"/>
            <w:right w:w="108" w:type="dxa"/>
          </w:tblCellMar>
        </w:tblPrEx>
        <w:trPr>
          <w:cantSplit/>
          <w:trHeight w:val="56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评分点名称</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分值</w:t>
            </w:r>
          </w:p>
        </w:tc>
        <w:tc>
          <w:tcPr>
            <w:tcW w:w="6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评审标准</w:t>
            </w:r>
          </w:p>
        </w:tc>
      </w:tr>
      <w:tr>
        <w:tblPrEx>
          <w:tblCellMar>
            <w:top w:w="0" w:type="dxa"/>
            <w:left w:w="108" w:type="dxa"/>
            <w:bottom w:w="0" w:type="dxa"/>
            <w:right w:w="108" w:type="dxa"/>
          </w:tblCellMar>
        </w:tblPrEx>
        <w:trPr>
          <w:trHeight w:val="71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1"/>
                <w:szCs w:val="21"/>
              </w:rPr>
            </w:pPr>
            <w:r>
              <w:rPr>
                <w:rFonts w:hint="eastAsia" w:ascii="宋体" w:hAnsi="宋体" w:eastAsia="宋体" w:cs="宋体"/>
                <w:sz w:val="21"/>
                <w:szCs w:val="21"/>
              </w:rPr>
              <w:t>供应商能力</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w:t>
            </w:r>
            <w:r>
              <w:rPr>
                <w:rFonts w:hint="eastAsia" w:ascii="宋体" w:hAnsi="宋体" w:eastAsia="宋体" w:cs="宋体"/>
                <w:sz w:val="21"/>
                <w:szCs w:val="21"/>
              </w:rPr>
              <w:t>分</w:t>
            </w:r>
          </w:p>
        </w:tc>
        <w:tc>
          <w:tcPr>
            <w:tcW w:w="693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1"/>
                <w:szCs w:val="21"/>
              </w:rPr>
            </w:pPr>
            <w:r>
              <w:rPr>
                <w:rFonts w:hint="eastAsia" w:ascii="宋体" w:hAnsi="宋体" w:eastAsia="宋体" w:cs="宋体"/>
                <w:sz w:val="21"/>
                <w:szCs w:val="21"/>
              </w:rPr>
              <w:t>供应商具有下列证书：</w:t>
            </w:r>
          </w:p>
          <w:p>
            <w:pPr>
              <w:rPr>
                <w:rFonts w:ascii="宋体" w:hAnsi="宋体" w:eastAsia="宋体" w:cs="宋体"/>
                <w:sz w:val="21"/>
                <w:szCs w:val="21"/>
              </w:rPr>
            </w:pPr>
            <w:r>
              <w:rPr>
                <w:rFonts w:hint="eastAsia" w:ascii="宋体" w:hAnsi="宋体" w:eastAsia="宋体" w:cs="宋体"/>
                <w:sz w:val="21"/>
                <w:szCs w:val="21"/>
              </w:rPr>
              <w:t>①ISO 9001（质量管理体系认证）</w:t>
            </w:r>
          </w:p>
          <w:p>
            <w:pPr>
              <w:rPr>
                <w:rFonts w:ascii="宋体" w:hAnsi="宋体" w:eastAsia="宋体" w:cs="宋体"/>
                <w:sz w:val="21"/>
                <w:szCs w:val="21"/>
              </w:rPr>
            </w:pPr>
            <w:r>
              <w:rPr>
                <w:rFonts w:hint="eastAsia" w:ascii="宋体" w:hAnsi="宋体" w:eastAsia="宋体" w:cs="宋体"/>
                <w:sz w:val="21"/>
                <w:szCs w:val="21"/>
              </w:rPr>
              <w:t>②ISO 14001（环境管理体系认证）</w:t>
            </w:r>
          </w:p>
          <w:p>
            <w:pPr>
              <w:rPr>
                <w:rFonts w:ascii="宋体" w:hAnsi="宋体" w:eastAsia="宋体" w:cs="宋体"/>
                <w:sz w:val="21"/>
                <w:szCs w:val="21"/>
              </w:rPr>
            </w:pPr>
            <w:r>
              <w:rPr>
                <w:rFonts w:hint="eastAsia" w:ascii="宋体" w:hAnsi="宋体" w:eastAsia="宋体" w:cs="宋体"/>
                <w:sz w:val="21"/>
                <w:szCs w:val="21"/>
              </w:rPr>
              <w:t>③ISO 20000（信息技术服务管理体系认证）</w:t>
            </w:r>
          </w:p>
          <w:p>
            <w:pPr>
              <w:rPr>
                <w:rFonts w:ascii="宋体" w:hAnsi="宋体" w:eastAsia="宋体" w:cs="宋体"/>
                <w:sz w:val="21"/>
                <w:szCs w:val="21"/>
              </w:rPr>
            </w:pPr>
            <w:r>
              <w:rPr>
                <w:rFonts w:hint="eastAsia" w:ascii="宋体" w:hAnsi="宋体" w:eastAsia="宋体" w:cs="宋体"/>
                <w:sz w:val="21"/>
                <w:szCs w:val="21"/>
              </w:rPr>
              <w:t>④ISO 27001（信息安全管理认证体系证书）</w:t>
            </w:r>
          </w:p>
          <w:p>
            <w:pPr>
              <w:rPr>
                <w:rFonts w:ascii="宋体" w:hAnsi="宋体" w:eastAsia="宋体" w:cs="宋体"/>
                <w:sz w:val="21"/>
                <w:szCs w:val="21"/>
              </w:rPr>
            </w:pPr>
            <w:r>
              <w:rPr>
                <w:rFonts w:hint="eastAsia" w:ascii="宋体" w:hAnsi="宋体" w:eastAsia="宋体" w:cs="宋体"/>
                <w:sz w:val="21"/>
                <w:szCs w:val="21"/>
              </w:rPr>
              <w:t>⑤ITSS运行维护服务一级证书</w:t>
            </w:r>
          </w:p>
          <w:p>
            <w:pPr>
              <w:rPr>
                <w:rFonts w:ascii="宋体" w:hAnsi="宋体" w:eastAsia="宋体" w:cs="宋体"/>
                <w:sz w:val="21"/>
                <w:szCs w:val="21"/>
              </w:rPr>
            </w:pPr>
            <w:r>
              <w:rPr>
                <w:rFonts w:hint="eastAsia" w:ascii="宋体" w:hAnsi="宋体" w:eastAsia="宋体" w:cs="宋体"/>
                <w:sz w:val="21"/>
                <w:szCs w:val="21"/>
              </w:rPr>
              <w:t>⑥CMMI5证书</w:t>
            </w:r>
          </w:p>
          <w:p>
            <w:pPr>
              <w:rPr>
                <w:rFonts w:ascii="宋体" w:hAnsi="宋体" w:eastAsia="宋体" w:cs="宋体"/>
                <w:sz w:val="21"/>
                <w:szCs w:val="21"/>
              </w:rPr>
            </w:pPr>
            <w:r>
              <w:rPr>
                <w:rFonts w:hint="eastAsia" w:ascii="宋体" w:hAnsi="宋体" w:eastAsia="宋体" w:cs="宋体"/>
                <w:sz w:val="21"/>
                <w:szCs w:val="21"/>
              </w:rPr>
              <w:t>⑦信息安全服务资质认证CCRC(软件安全开发服务)二级及以上认证。</w:t>
            </w:r>
          </w:p>
          <w:p>
            <w:pPr>
              <w:rPr>
                <w:rFonts w:ascii="宋体" w:hAnsi="宋体" w:eastAsia="宋体" w:cs="宋体"/>
                <w:sz w:val="21"/>
                <w:szCs w:val="21"/>
              </w:rPr>
            </w:pPr>
            <w:r>
              <w:rPr>
                <w:rFonts w:hint="eastAsia" w:ascii="宋体" w:hAnsi="宋体" w:eastAsia="宋体" w:cs="宋体"/>
                <w:sz w:val="21"/>
                <w:szCs w:val="21"/>
              </w:rPr>
              <w:t>每提供一</w:t>
            </w:r>
            <w:r>
              <w:rPr>
                <w:rFonts w:hint="eastAsia" w:ascii="宋体" w:hAnsi="宋体" w:eastAsia="宋体" w:cs="宋体"/>
                <w:sz w:val="21"/>
                <w:szCs w:val="21"/>
                <w:lang w:val="en-US" w:eastAsia="zh-CN"/>
              </w:rPr>
              <w:t>项</w:t>
            </w:r>
            <w:r>
              <w:rPr>
                <w:rFonts w:hint="eastAsia" w:ascii="宋体" w:hAnsi="宋体" w:eastAsia="宋体" w:cs="宋体"/>
                <w:sz w:val="21"/>
                <w:szCs w:val="21"/>
              </w:rPr>
              <w:t>有效的证书得2分，最高得1</w:t>
            </w:r>
            <w:r>
              <w:rPr>
                <w:rFonts w:ascii="宋体" w:hAnsi="宋体" w:eastAsia="宋体" w:cs="宋体"/>
                <w:sz w:val="21"/>
                <w:szCs w:val="21"/>
              </w:rPr>
              <w:t>4</w:t>
            </w:r>
            <w:r>
              <w:rPr>
                <w:rFonts w:hint="eastAsia" w:ascii="宋体" w:hAnsi="宋体" w:eastAsia="宋体" w:cs="宋体"/>
                <w:sz w:val="21"/>
                <w:szCs w:val="21"/>
              </w:rPr>
              <w:t>分</w:t>
            </w:r>
          </w:p>
          <w:p>
            <w:pPr>
              <w:rPr>
                <w:rFonts w:ascii="宋体" w:hAnsi="宋体" w:eastAsia="宋体" w:cs="宋体"/>
                <w:sz w:val="21"/>
                <w:szCs w:val="21"/>
              </w:rPr>
            </w:pPr>
            <w:r>
              <w:rPr>
                <w:rFonts w:hint="eastAsia" w:ascii="宋体" w:hAnsi="宋体" w:eastAsia="宋体" w:cs="宋体"/>
                <w:sz w:val="21"/>
                <w:szCs w:val="21"/>
              </w:rPr>
              <w:t>备注：供应商需提供相关证明材料复印件并加盖公章。</w:t>
            </w:r>
          </w:p>
        </w:tc>
      </w:tr>
      <w:tr>
        <w:tblPrEx>
          <w:tblCellMar>
            <w:top w:w="0" w:type="dxa"/>
            <w:left w:w="108" w:type="dxa"/>
            <w:bottom w:w="0" w:type="dxa"/>
            <w:right w:w="108" w:type="dxa"/>
          </w:tblCellMar>
        </w:tblPrEx>
        <w:trPr>
          <w:trHeight w:val="738"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1"/>
                <w:szCs w:val="21"/>
              </w:rPr>
            </w:pPr>
            <w:r>
              <w:rPr>
                <w:rFonts w:hint="eastAsia" w:ascii="宋体" w:hAnsi="宋体" w:eastAsia="宋体" w:cs="宋体"/>
                <w:sz w:val="21"/>
                <w:szCs w:val="21"/>
              </w:rPr>
              <w:t>技术人员</w:t>
            </w:r>
          </w:p>
          <w:p>
            <w:pPr>
              <w:rPr>
                <w:rFonts w:ascii="宋体" w:hAnsi="宋体" w:eastAsia="宋体" w:cs="宋体"/>
                <w:sz w:val="21"/>
                <w:szCs w:val="21"/>
              </w:rPr>
            </w:pPr>
            <w:r>
              <w:rPr>
                <w:rFonts w:hint="eastAsia" w:ascii="宋体" w:hAnsi="宋体" w:eastAsia="宋体" w:cs="宋体"/>
                <w:sz w:val="21"/>
                <w:szCs w:val="21"/>
              </w:rPr>
              <w:t>配备</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Hans"/>
              </w:rPr>
              <w:t>分</w:t>
            </w:r>
          </w:p>
        </w:tc>
        <w:tc>
          <w:tcPr>
            <w:tcW w:w="693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（1）供应商拟派的项目负责人同时具备：</w:t>
            </w:r>
          </w:p>
          <w:p>
            <w:pPr>
              <w:rPr>
                <w:rFonts w:ascii="宋体" w:hAnsi="宋体" w:eastAsia="宋体" w:cs="宋体"/>
                <w:sz w:val="21"/>
                <w:szCs w:val="21"/>
                <w:highlight w:val="none"/>
              </w:rPr>
            </w:pPr>
            <w:r>
              <w:rPr>
                <w:rFonts w:hint="eastAsia" w:ascii="宋体" w:hAnsi="宋体" w:eastAsia="宋体" w:cs="宋体"/>
                <w:sz w:val="21"/>
                <w:szCs w:val="21"/>
                <w:highlight w:val="none"/>
              </w:rPr>
              <w:t>①网络工程师</w:t>
            </w:r>
          </w:p>
          <w:p>
            <w:pPr>
              <w:rPr>
                <w:rFonts w:ascii="宋体" w:hAnsi="宋体" w:eastAsia="宋体" w:cs="宋体"/>
                <w:sz w:val="21"/>
                <w:szCs w:val="21"/>
                <w:highlight w:val="none"/>
              </w:rPr>
            </w:pPr>
            <w:r>
              <w:rPr>
                <w:rFonts w:hint="eastAsia" w:ascii="宋体" w:hAnsi="宋体" w:eastAsia="宋体" w:cs="宋体"/>
                <w:sz w:val="21"/>
                <w:szCs w:val="21"/>
                <w:highlight w:val="none"/>
              </w:rPr>
              <w:t>②中级工程师（互联网技术）</w:t>
            </w:r>
          </w:p>
          <w:p>
            <w:pPr>
              <w:rPr>
                <w:rFonts w:ascii="宋体" w:hAnsi="宋体" w:eastAsia="宋体" w:cs="宋体"/>
                <w:sz w:val="21"/>
                <w:szCs w:val="21"/>
                <w:highlight w:val="none"/>
              </w:rPr>
            </w:pPr>
            <w:r>
              <w:rPr>
                <w:rFonts w:hint="eastAsia" w:ascii="宋体" w:hAnsi="宋体" w:eastAsia="宋体" w:cs="宋体"/>
                <w:sz w:val="21"/>
                <w:szCs w:val="21"/>
                <w:highlight w:val="none"/>
              </w:rPr>
              <w:t>③ITSS-信息技术应用创新服务工程师、</w:t>
            </w:r>
          </w:p>
          <w:p>
            <w:pPr>
              <w:rPr>
                <w:rFonts w:ascii="宋体" w:hAnsi="宋体" w:eastAsia="宋体" w:cs="宋体"/>
                <w:sz w:val="21"/>
                <w:szCs w:val="21"/>
                <w:highlight w:val="none"/>
              </w:rPr>
            </w:pPr>
            <w:r>
              <w:rPr>
                <w:rFonts w:hint="eastAsia" w:ascii="宋体" w:hAnsi="宋体" w:eastAsia="宋体" w:cs="宋体"/>
                <w:sz w:val="21"/>
                <w:szCs w:val="21"/>
                <w:highlight w:val="none"/>
              </w:rPr>
              <w:t>④ITSS-IT服务工程师</w:t>
            </w:r>
          </w:p>
          <w:p>
            <w:pPr>
              <w:rPr>
                <w:rFonts w:ascii="宋体" w:hAnsi="宋体" w:eastAsia="宋体" w:cs="宋体"/>
                <w:sz w:val="21"/>
                <w:szCs w:val="21"/>
                <w:highlight w:val="none"/>
              </w:rPr>
            </w:pPr>
            <w:r>
              <w:rPr>
                <w:rFonts w:hint="eastAsia" w:ascii="宋体" w:hAnsi="宋体" w:eastAsia="宋体" w:cs="宋体"/>
                <w:sz w:val="21"/>
                <w:szCs w:val="21"/>
                <w:highlight w:val="none"/>
              </w:rPr>
              <w:t>拟派项目负责人具备以上所有证书的得4分，缺一项的得1分，缺两项及以上的本项不得分。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供应商拟派的工程师（可多名）具备注册信息安全工程师证书（CISP）、软件设计师、数据库系统工程师。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以上证书提供一类（或一项）证书的得2分，本项共6分。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不同的工程师提供不同种类的证书均可加分，但是不同工程师提供相同种类的证书，不重复加分</w:t>
            </w:r>
          </w:p>
          <w:p>
            <w:pP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提供拟派项目负责人有效的身份证复印件、对应要求的证书复印件、社保机构出具的响应供应商本单位为项目负责人、工程师缴纳的连续3个月（2022年9月-2022年11月）的社会保险证明复印件并加盖公章。</w:t>
            </w:r>
          </w:p>
        </w:tc>
      </w:tr>
      <w:tr>
        <w:tblPrEx>
          <w:tblCellMar>
            <w:top w:w="0" w:type="dxa"/>
            <w:left w:w="108" w:type="dxa"/>
            <w:bottom w:w="0" w:type="dxa"/>
            <w:right w:w="108" w:type="dxa"/>
          </w:tblCellMar>
        </w:tblPrEx>
        <w:trPr>
          <w:trHeight w:val="73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1"/>
                <w:szCs w:val="21"/>
              </w:rPr>
            </w:pPr>
            <w:r>
              <w:rPr>
                <w:rFonts w:hint="eastAsia" w:ascii="仿宋" w:hAnsi="仿宋" w:eastAsia="仿宋" w:cs="宋体"/>
                <w:color w:val="000000"/>
                <w:kern w:val="0"/>
                <w:sz w:val="24"/>
                <w:szCs w:val="22"/>
              </w:rPr>
              <w:t>服务方案</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w:t>
            </w:r>
            <w:r>
              <w:rPr>
                <w:rFonts w:hint="eastAsia" w:ascii="宋体" w:hAnsi="宋体" w:eastAsia="宋体" w:cs="宋体"/>
                <w:sz w:val="21"/>
                <w:szCs w:val="21"/>
                <w:lang w:eastAsia="zh-Hans"/>
              </w:rPr>
              <w:t>分</w:t>
            </w:r>
          </w:p>
        </w:tc>
        <w:tc>
          <w:tcPr>
            <w:tcW w:w="693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根据供应商提供的服务承诺和服务方案进行打分。</w:t>
            </w:r>
          </w:p>
          <w:p>
            <w:pPr>
              <w:rPr>
                <w:rFonts w:ascii="宋体" w:hAnsi="宋体" w:eastAsia="宋体" w:cs="宋体"/>
                <w:sz w:val="21"/>
                <w:szCs w:val="21"/>
                <w:highlight w:val="none"/>
              </w:rPr>
            </w:pPr>
            <w:r>
              <w:rPr>
                <w:rFonts w:hint="eastAsia" w:ascii="宋体" w:hAnsi="宋体" w:eastAsia="宋体" w:cs="宋体"/>
                <w:sz w:val="21"/>
                <w:szCs w:val="21"/>
                <w:highlight w:val="none"/>
              </w:rPr>
              <w:t>服务响应时间优于项目需求且有详细服务方案的得</w:t>
            </w:r>
            <w:r>
              <w:rPr>
                <w:rFonts w:ascii="宋体" w:hAnsi="宋体" w:eastAsia="宋体" w:cs="宋体"/>
                <w:sz w:val="21"/>
                <w:szCs w:val="21"/>
                <w:highlight w:val="none"/>
              </w:rPr>
              <w:t>6</w:t>
            </w:r>
            <w:r>
              <w:rPr>
                <w:rFonts w:hint="eastAsia" w:ascii="宋体" w:hAnsi="宋体" w:eastAsia="宋体" w:cs="宋体"/>
                <w:sz w:val="21"/>
                <w:szCs w:val="21"/>
                <w:highlight w:val="none"/>
              </w:rPr>
              <w:t>分，服务响应时间满足需求且有较详细服务方案的得</w:t>
            </w:r>
            <w:r>
              <w:rPr>
                <w:rFonts w:ascii="宋体" w:hAnsi="宋体" w:eastAsia="宋体" w:cs="宋体"/>
                <w:sz w:val="21"/>
                <w:szCs w:val="21"/>
                <w:highlight w:val="none"/>
              </w:rPr>
              <w:t>3</w:t>
            </w:r>
            <w:r>
              <w:rPr>
                <w:rFonts w:hint="eastAsia" w:ascii="宋体" w:hAnsi="宋体" w:eastAsia="宋体" w:cs="宋体"/>
                <w:sz w:val="21"/>
                <w:szCs w:val="21"/>
                <w:highlight w:val="none"/>
              </w:rPr>
              <w:t>分，服务响应时间不满足需求且没有详细服务方案的得</w:t>
            </w:r>
            <w:r>
              <w:rPr>
                <w:rFonts w:ascii="宋体" w:hAnsi="宋体" w:eastAsia="宋体" w:cs="宋体"/>
                <w:sz w:val="21"/>
                <w:szCs w:val="21"/>
                <w:highlight w:val="none"/>
              </w:rPr>
              <w:t>0</w:t>
            </w:r>
            <w:r>
              <w:rPr>
                <w:rFonts w:hint="eastAsia" w:ascii="宋体" w:hAnsi="宋体" w:eastAsia="宋体" w:cs="宋体"/>
                <w:sz w:val="21"/>
                <w:szCs w:val="21"/>
                <w:highlight w:val="none"/>
              </w:rPr>
              <w:t>分。</w:t>
            </w:r>
          </w:p>
          <w:p>
            <w:pPr>
              <w:rPr>
                <w:rFonts w:ascii="宋体" w:hAnsi="宋体" w:eastAsia="宋体" w:cs="宋体"/>
                <w:sz w:val="21"/>
                <w:szCs w:val="21"/>
                <w:highlight w:val="none"/>
              </w:rPr>
            </w:pPr>
            <w:r>
              <w:rPr>
                <w:rFonts w:hint="eastAsia" w:ascii="宋体" w:hAnsi="宋体" w:eastAsia="宋体" w:cs="宋体"/>
                <w:sz w:val="21"/>
                <w:szCs w:val="21"/>
                <w:highlight w:val="none"/>
              </w:rPr>
              <w:t>提供平台可通过运营商数字电路E1接入的得3分，需运营商承诺并盖章证明。</w:t>
            </w:r>
          </w:p>
          <w:p>
            <w:pPr>
              <w:rPr>
                <w:rFonts w:ascii="宋体" w:hAnsi="宋体" w:eastAsia="宋体" w:cs="宋体"/>
                <w:sz w:val="21"/>
                <w:szCs w:val="21"/>
                <w:highlight w:val="none"/>
              </w:rPr>
            </w:pPr>
            <w:r>
              <w:rPr>
                <w:rFonts w:hint="eastAsia" w:ascii="宋体" w:hAnsi="宋体" w:eastAsia="宋体" w:cs="宋体"/>
                <w:sz w:val="21"/>
                <w:szCs w:val="21"/>
                <w:highlight w:val="none"/>
              </w:rPr>
              <w:t>平台支持私有化部署（与外网物理隔离）的得2分，给出承诺并盖章。</w:t>
            </w:r>
          </w:p>
          <w:p>
            <w:pPr>
              <w:rPr>
                <w:rFonts w:ascii="宋体" w:hAnsi="宋体" w:eastAsia="宋体" w:cs="宋体"/>
                <w:sz w:val="21"/>
                <w:szCs w:val="21"/>
                <w:highlight w:val="none"/>
              </w:rPr>
            </w:pPr>
            <w:r>
              <w:rPr>
                <w:rFonts w:hint="eastAsia" w:ascii="宋体" w:hAnsi="宋体" w:eastAsia="宋体" w:cs="宋体"/>
                <w:sz w:val="21"/>
                <w:szCs w:val="21"/>
                <w:highlight w:val="none"/>
              </w:rPr>
              <w:t>平台支持对接院方HIS系统的得3分，需院方HIS系统厂家出具盖章证明。</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39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1"/>
                <w:szCs w:val="21"/>
              </w:rPr>
            </w:pPr>
            <w:r>
              <w:rPr>
                <w:rFonts w:hint="eastAsia" w:ascii="仿宋" w:hAnsi="仿宋" w:eastAsia="仿宋" w:cs="宋体"/>
                <w:color w:val="000000"/>
                <w:kern w:val="0"/>
                <w:sz w:val="24"/>
                <w:szCs w:val="22"/>
              </w:rPr>
              <w:t>软件演示</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本项目演示及陈述时间不超过10分钟，自带演示所需设备设施。</w:t>
            </w:r>
          </w:p>
          <w:p>
            <w:pPr>
              <w:rPr>
                <w:rFonts w:ascii="宋体" w:hAnsi="宋体" w:eastAsia="宋体" w:cs="宋体"/>
                <w:sz w:val="21"/>
                <w:szCs w:val="21"/>
                <w:highlight w:val="none"/>
              </w:rPr>
            </w:pPr>
            <w:r>
              <w:rPr>
                <w:rFonts w:hint="eastAsia" w:ascii="宋体" w:hAnsi="宋体" w:eastAsia="宋体" w:cs="宋体"/>
                <w:sz w:val="21"/>
                <w:szCs w:val="21"/>
                <w:highlight w:val="none"/>
              </w:rPr>
              <w:t>1、满足医院三级随访系统的建设需求，具备分散随访、集中随访、抽查监督的三级随访功能；完全符合演示要求得8分，部分符合演示要求得7-4分，完全不符合要求不得分。</w:t>
            </w:r>
          </w:p>
          <w:p>
            <w:pPr>
              <w:rPr>
                <w:rFonts w:ascii="宋体" w:hAnsi="宋体" w:eastAsia="宋体" w:cs="宋体"/>
                <w:sz w:val="21"/>
                <w:szCs w:val="21"/>
                <w:highlight w:val="none"/>
              </w:rPr>
            </w:pPr>
            <w:r>
              <w:rPr>
                <w:rFonts w:hint="eastAsia" w:ascii="宋体" w:hAnsi="宋体" w:eastAsia="宋体" w:cs="宋体"/>
                <w:sz w:val="21"/>
                <w:szCs w:val="21"/>
                <w:highlight w:val="none"/>
              </w:rPr>
              <w:t>2、有针对患者的满意度调查，支持跨平台，多途径，支持门诊、在院、出院等多种调查场景，调查比例、份数可自定义控制，调查结果真实准确；完全符合演示要求得6分，部分符合演示要求得5-3分，完全不符合要求不得分。</w:t>
            </w:r>
          </w:p>
          <w:p>
            <w:pPr>
              <w:rPr>
                <w:rFonts w:ascii="宋体" w:hAnsi="宋体" w:eastAsia="宋体" w:cs="宋体"/>
                <w:sz w:val="21"/>
                <w:szCs w:val="21"/>
                <w:highlight w:val="none"/>
              </w:rPr>
            </w:pPr>
            <w:r>
              <w:rPr>
                <w:rFonts w:hint="eastAsia" w:ascii="宋体" w:hAnsi="宋体" w:eastAsia="宋体" w:cs="宋体"/>
                <w:sz w:val="21"/>
                <w:szCs w:val="21"/>
                <w:highlight w:val="none"/>
              </w:rPr>
              <w:t>3、支持患者投诉表扬，有统计分析功能，支持电话等途径接受患者投诉和表扬，有标准化管理流程，可自动化指派处理部门并发送消息提醒；支持表格、曲线图、饼图等方式统计报表汇总。完全符合演示要求得6分，部分符合演示要求得5-3分，完全不符合要求不得分。</w:t>
            </w:r>
          </w:p>
          <w:p>
            <w:pPr>
              <w:pStyle w:val="2"/>
              <w:ind w:left="0" w:leftChars="0" w:firstLine="0" w:firstLineChars="0"/>
              <w:rPr>
                <w:rFonts w:eastAsia="宋体"/>
                <w:highlight w:val="none"/>
              </w:rPr>
            </w:pPr>
            <w:r>
              <w:rPr>
                <w:rFonts w:hint="eastAsia" w:ascii="宋体" w:hAnsi="宋体" w:eastAsia="宋体" w:cs="宋体"/>
                <w:b/>
                <w:bCs/>
                <w:sz w:val="21"/>
                <w:szCs w:val="21"/>
                <w:highlight w:val="none"/>
              </w:rPr>
              <w:t>备注：因本项目技术标要求响应供应商演示人员到现场演示、陈述，故要求演示人员必须持有效身份证在响应文件提交截止时间前到达响应文件提交地点进行身份核验并签到，未在响应文件提交截止时间前到达现场签到或未参加演示、陈述的，其对应分数为0分。</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1"/>
                <w:szCs w:val="21"/>
                <w:lang w:eastAsia="zh-Hans"/>
              </w:rPr>
            </w:pPr>
            <w:r>
              <w:rPr>
                <w:rFonts w:hint="eastAsia" w:ascii="仿宋" w:hAnsi="仿宋" w:eastAsia="仿宋" w:cs="宋体"/>
                <w:color w:val="000000"/>
                <w:kern w:val="0"/>
                <w:sz w:val="24"/>
                <w:szCs w:val="22"/>
              </w:rPr>
              <w:t>业绩</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供应商具有2017年1月1日（以合同签订时间为准）以来类似内容的建设案例（随访系统或者呼叫中心建设案例），每提供1个有效案例得1分（最多认可3个有效案例），具备三级甲等医院的建设案例（随访系统或者呼叫中心建设案例）的加2分，最多得5分。</w:t>
            </w:r>
          </w:p>
          <w:p>
            <w:pPr>
              <w:rPr>
                <w:rFonts w:ascii="宋体" w:hAnsi="宋体" w:eastAsia="宋体" w:cs="宋体"/>
                <w:sz w:val="21"/>
                <w:szCs w:val="21"/>
                <w:highlight w:val="none"/>
              </w:rPr>
            </w:pPr>
            <w:r>
              <w:rPr>
                <w:rFonts w:hint="eastAsia" w:ascii="宋体" w:hAnsi="宋体" w:eastAsia="宋体" w:cs="宋体"/>
                <w:sz w:val="21"/>
                <w:szCs w:val="21"/>
                <w:highlight w:val="none"/>
              </w:rPr>
              <w:t>备注：需提供相关合同复印件并加盖公章。</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1"/>
                <w:szCs w:val="21"/>
                <w:lang w:eastAsia="zh-Hans"/>
              </w:rPr>
            </w:pPr>
            <w:r>
              <w:rPr>
                <w:rFonts w:hint="eastAsia" w:ascii="仿宋" w:hAnsi="仿宋" w:eastAsia="仿宋" w:cs="宋体"/>
                <w:color w:val="000000"/>
                <w:kern w:val="0"/>
                <w:sz w:val="24"/>
                <w:szCs w:val="22"/>
              </w:rPr>
              <w:t>售后服务</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1"/>
                <w:szCs w:val="21"/>
              </w:rPr>
            </w:pPr>
            <w:r>
              <w:rPr>
                <w:rFonts w:hint="eastAsia" w:ascii="宋体" w:hAnsi="宋体" w:eastAsia="宋体" w:cs="宋体"/>
                <w:sz w:val="21"/>
                <w:szCs w:val="21"/>
              </w:rPr>
              <w:t>售后服务方案详细完善，承诺支持服务3小时现场人员到位，售后服务管理流程完善，有良好的售后服务监督及保障机制，团队配备完备，响应时效高，完全满足维护要求的得7-5分；售后服务方案完整，有售后服务管理流程，人员配备合理，满足项目要求的得4-2分；售后服务方案基本完整，人员配备一般，基本满足项目要求的得1-0分。</w:t>
            </w:r>
          </w:p>
        </w:tc>
      </w:tr>
      <w:tr>
        <w:tblPrEx>
          <w:tblCellMar>
            <w:top w:w="0" w:type="dxa"/>
            <w:left w:w="108" w:type="dxa"/>
            <w:bottom w:w="0" w:type="dxa"/>
            <w:right w:w="108" w:type="dxa"/>
          </w:tblCellMar>
        </w:tblPrEx>
        <w:trPr>
          <w:cantSplit/>
          <w:trHeight w:val="779" w:hRule="atLeast"/>
          <w:jc w:val="center"/>
        </w:trPr>
        <w:tc>
          <w:tcPr>
            <w:tcW w:w="99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42" w:firstLineChars="200"/>
              <w:rPr>
                <w:rFonts w:ascii="宋体" w:hAnsi="宋体" w:eastAsia="宋体" w:cs="宋体"/>
                <w:b/>
                <w:bCs/>
                <w:kern w:val="0"/>
                <w:sz w:val="22"/>
                <w:szCs w:val="22"/>
                <w:highlight w:val="none"/>
              </w:rPr>
            </w:pPr>
            <w:r>
              <w:rPr>
                <w:rFonts w:hint="eastAsia" w:ascii="宋体" w:hAnsi="宋体" w:eastAsia="宋体" w:cs="宋体"/>
                <w:b/>
                <w:bCs/>
                <w:kern w:val="0"/>
                <w:sz w:val="22"/>
                <w:szCs w:val="22"/>
              </w:rPr>
              <w:t>注：1、评标办法中涉及的证明材料</w:t>
            </w:r>
            <w:r>
              <w:rPr>
                <w:rFonts w:hint="eastAsia" w:ascii="宋体" w:hAnsi="宋体" w:eastAsia="宋体" w:cs="宋体"/>
                <w:b/>
                <w:bCs/>
                <w:kern w:val="0"/>
                <w:sz w:val="22"/>
                <w:szCs w:val="22"/>
                <w:highlight w:val="none"/>
              </w:rPr>
              <w:t>，如为复印件应为有效的文件的复印件并加盖供应商单位公章，否则该项不得分。以上材料均需加盖供应商公章。</w:t>
            </w:r>
          </w:p>
          <w:p>
            <w:pPr>
              <w:widowControl/>
              <w:spacing w:line="360" w:lineRule="auto"/>
              <w:ind w:firstLine="442" w:firstLineChars="200"/>
              <w:rPr>
                <w:rFonts w:ascii="宋体" w:hAnsi="宋体" w:eastAsia="宋体" w:cs="宋体"/>
                <w:kern w:val="0"/>
                <w:sz w:val="21"/>
                <w:szCs w:val="21"/>
              </w:rPr>
            </w:pPr>
            <w:r>
              <w:rPr>
                <w:rFonts w:hint="eastAsia" w:ascii="宋体" w:hAnsi="宋体" w:eastAsia="宋体" w:cs="宋体"/>
                <w:b/>
                <w:bCs/>
                <w:color w:val="FF0000"/>
                <w:kern w:val="0"/>
                <w:sz w:val="22"/>
                <w:szCs w:val="22"/>
                <w:highlight w:val="none"/>
              </w:rPr>
              <w:t>2、投标时需要提供可以将历史数据升级到新随访平台的的承诺函（格式自拟，在技术标中自行提供），不提供视为非实质性响应。在中标后的三个日历天内提供相关数据实时提取接入的操作，无法完成操作的取消其中标资格</w:t>
            </w:r>
          </w:p>
        </w:tc>
      </w:tr>
    </w:tbl>
    <w:p>
      <w:pPr>
        <w:snapToGrid w:val="0"/>
        <w:spacing w:line="300" w:lineRule="auto"/>
        <w:ind w:firstLine="555"/>
        <w:rPr>
          <w:rFonts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sz w:val="24"/>
          <w:szCs w:val="24"/>
        </w:rPr>
        <w:t>（二）商务标评分：（30分）</w:t>
      </w:r>
    </w:p>
    <w:tbl>
      <w:tblPr>
        <w:tblStyle w:val="60"/>
        <w:tblW w:w="9988" w:type="dxa"/>
        <w:jc w:val="center"/>
        <w:tblLayout w:type="fixed"/>
        <w:tblCellMar>
          <w:top w:w="0" w:type="dxa"/>
          <w:left w:w="108" w:type="dxa"/>
          <w:bottom w:w="0" w:type="dxa"/>
          <w:right w:w="108" w:type="dxa"/>
        </w:tblCellMar>
      </w:tblPr>
      <w:tblGrid>
        <w:gridCol w:w="712"/>
        <w:gridCol w:w="1395"/>
        <w:gridCol w:w="945"/>
        <w:gridCol w:w="6936"/>
      </w:tblGrid>
      <w:tr>
        <w:tblPrEx>
          <w:tblCellMar>
            <w:top w:w="0" w:type="dxa"/>
            <w:left w:w="108" w:type="dxa"/>
            <w:bottom w:w="0" w:type="dxa"/>
            <w:right w:w="108" w:type="dxa"/>
          </w:tblCellMar>
        </w:tblPrEx>
        <w:trPr>
          <w:cantSplit/>
          <w:trHeight w:val="56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评分点名称</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分值</w:t>
            </w:r>
          </w:p>
        </w:tc>
        <w:tc>
          <w:tcPr>
            <w:tcW w:w="6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评审标准</w:t>
            </w:r>
          </w:p>
        </w:tc>
      </w:tr>
      <w:tr>
        <w:tblPrEx>
          <w:tblCellMar>
            <w:top w:w="0" w:type="dxa"/>
            <w:left w:w="108" w:type="dxa"/>
            <w:bottom w:w="0" w:type="dxa"/>
            <w:right w:w="108" w:type="dxa"/>
          </w:tblCellMar>
        </w:tblPrEx>
        <w:trPr>
          <w:trHeight w:val="847" w:hRule="atLeast"/>
          <w:jc w:val="center"/>
        </w:trPr>
        <w:tc>
          <w:tcPr>
            <w:tcW w:w="712"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395" w:type="dxa"/>
            <w:tcBorders>
              <w:left w:val="nil"/>
              <w:bottom w:val="single" w:color="auto" w:sz="4" w:space="0"/>
              <w:right w:val="single" w:color="auto" w:sz="4" w:space="0"/>
            </w:tcBorders>
            <w:shd w:val="clear" w:color="auto" w:fill="auto"/>
            <w:noWrap/>
            <w:vAlign w:val="center"/>
          </w:tcPr>
          <w:p>
            <w:pPr>
              <w:rPr>
                <w:rFonts w:ascii="宋体" w:hAnsi="宋体" w:eastAsia="宋体" w:cs="宋体"/>
                <w:sz w:val="21"/>
                <w:szCs w:val="21"/>
              </w:rPr>
            </w:pPr>
            <w:r>
              <w:rPr>
                <w:rFonts w:hint="eastAsia" w:ascii="宋体" w:hAnsi="宋体" w:eastAsia="宋体" w:cs="宋体"/>
                <w:sz w:val="21"/>
                <w:szCs w:val="21"/>
                <w:lang w:eastAsia="zh-Hans"/>
              </w:rPr>
              <w:t>投标报价</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1"/>
                <w:szCs w:val="21"/>
                <w:lang w:eastAsia="zh-Hans"/>
              </w:rPr>
            </w:pPr>
            <w:r>
              <w:rPr>
                <w:rFonts w:hint="eastAsia" w:ascii="宋体" w:hAnsi="宋体" w:eastAsia="宋体" w:cs="宋体"/>
                <w:sz w:val="21"/>
                <w:szCs w:val="21"/>
              </w:rPr>
              <w:t>3</w:t>
            </w:r>
            <w:r>
              <w:rPr>
                <w:rFonts w:hint="eastAsia" w:ascii="宋体" w:hAnsi="宋体" w:eastAsia="宋体" w:cs="宋体"/>
                <w:sz w:val="21"/>
                <w:szCs w:val="21"/>
                <w:lang w:eastAsia="zh-Hans"/>
              </w:rPr>
              <w:t>0分</w:t>
            </w:r>
          </w:p>
        </w:tc>
        <w:tc>
          <w:tcPr>
            <w:tcW w:w="6936" w:type="dxa"/>
            <w:tcBorders>
              <w:top w:val="single" w:color="auto" w:sz="4" w:space="0"/>
              <w:left w:val="nil"/>
              <w:bottom w:val="single" w:color="auto" w:sz="4" w:space="0"/>
              <w:right w:val="single" w:color="auto" w:sz="4" w:space="0"/>
            </w:tcBorders>
            <w:shd w:val="clear" w:color="auto" w:fill="auto"/>
            <w:vAlign w:val="center"/>
          </w:tcPr>
          <w:p>
            <w:pPr>
              <w:ind w:firstLine="420"/>
              <w:rPr>
                <w:rFonts w:ascii="宋体" w:hAnsi="宋体" w:eastAsia="宋体" w:cs="宋体"/>
                <w:sz w:val="21"/>
                <w:szCs w:val="21"/>
                <w:lang w:eastAsia="zh-Hans"/>
              </w:rPr>
            </w:pPr>
            <w:r>
              <w:rPr>
                <w:rFonts w:hint="eastAsia" w:ascii="宋体" w:hAnsi="宋体" w:eastAsia="宋体" w:cs="宋体"/>
                <w:sz w:val="21"/>
                <w:szCs w:val="21"/>
                <w:lang w:eastAsia="zh-Hans"/>
              </w:rPr>
              <w:t>1、本次投标报价采用固定总价报价，本项目最高限价为</w:t>
            </w:r>
            <w:r>
              <w:rPr>
                <w:rFonts w:hint="eastAsia" w:ascii="宋体" w:hAnsi="宋体" w:eastAsia="宋体" w:cs="宋体"/>
                <w:sz w:val="21"/>
                <w:szCs w:val="21"/>
              </w:rPr>
              <w:t>20万元</w:t>
            </w:r>
            <w:r>
              <w:rPr>
                <w:rFonts w:hint="eastAsia" w:ascii="宋体" w:hAnsi="宋体" w:eastAsia="宋体" w:cs="宋体"/>
                <w:sz w:val="21"/>
                <w:szCs w:val="21"/>
                <w:lang w:eastAsia="zh-Hans"/>
              </w:rPr>
              <w:t>。</w:t>
            </w:r>
          </w:p>
          <w:p>
            <w:pPr>
              <w:ind w:firstLine="420"/>
              <w:rPr>
                <w:rFonts w:ascii="宋体" w:hAnsi="宋体" w:eastAsia="宋体" w:cs="宋体"/>
                <w:sz w:val="21"/>
                <w:szCs w:val="21"/>
                <w:lang w:eastAsia="zh-Hans"/>
              </w:rPr>
            </w:pPr>
            <w:r>
              <w:rPr>
                <w:rFonts w:hint="eastAsia" w:ascii="宋体" w:hAnsi="宋体" w:eastAsia="宋体" w:cs="宋体"/>
                <w:sz w:val="21"/>
                <w:szCs w:val="21"/>
                <w:lang w:eastAsia="zh-Hans"/>
              </w:rPr>
              <w:t>2、有效报价：指投标报价不高于最高限价的报价，高于最高限价的作无效标处理。</w:t>
            </w:r>
          </w:p>
          <w:p>
            <w:pPr>
              <w:ind w:firstLine="420"/>
              <w:rPr>
                <w:rFonts w:ascii="宋体" w:hAnsi="宋体" w:eastAsia="宋体" w:cs="宋体"/>
                <w:sz w:val="21"/>
                <w:szCs w:val="21"/>
                <w:lang w:eastAsia="zh-Hans"/>
              </w:rPr>
            </w:pPr>
            <w:r>
              <w:rPr>
                <w:rFonts w:hint="eastAsia" w:ascii="宋体" w:hAnsi="宋体" w:eastAsia="宋体" w:cs="宋体"/>
                <w:sz w:val="21"/>
                <w:szCs w:val="21"/>
                <w:lang w:eastAsia="zh-Hans"/>
              </w:rPr>
              <w:t>3、报价得分：价格分统一采用低价优先法计算，即满足磋商文件要求且最终报价最低的供应商的价格为磋商基准价，其价格分为满分。其他供应商的价格分统一按照下列公式计算：</w:t>
            </w:r>
          </w:p>
          <w:p>
            <w:pPr>
              <w:ind w:firstLine="420"/>
              <w:rPr>
                <w:rFonts w:ascii="SimSong Regular" w:hAnsi="SimSong Regular" w:eastAsia="SimSong Regular" w:cs="SimSong Regular"/>
                <w:sz w:val="21"/>
                <w:szCs w:val="21"/>
                <w:lang w:eastAsia="zh-Hans"/>
              </w:rPr>
            </w:pPr>
            <w:r>
              <w:rPr>
                <w:rFonts w:hint="eastAsia" w:ascii="宋体" w:hAnsi="宋体" w:eastAsia="宋体" w:cs="宋体"/>
                <w:sz w:val="21"/>
                <w:szCs w:val="21"/>
                <w:lang w:eastAsia="zh-Hans"/>
              </w:rPr>
              <w:t>磋商报价得分=（磋商基准价/最终磋商报价）×</w:t>
            </w:r>
            <w:r>
              <w:rPr>
                <w:rFonts w:hint="eastAsia" w:ascii="宋体" w:hAnsi="宋体" w:eastAsia="宋体" w:cs="宋体"/>
                <w:sz w:val="21"/>
                <w:szCs w:val="21"/>
              </w:rPr>
              <w:t>30</w:t>
            </w:r>
            <w:r>
              <w:rPr>
                <w:rFonts w:hint="eastAsia" w:ascii="宋体" w:hAnsi="宋体" w:eastAsia="宋体" w:cs="宋体"/>
                <w:sz w:val="21"/>
                <w:szCs w:val="21"/>
                <w:lang w:eastAsia="zh-Hans"/>
              </w:rPr>
              <w:t>%×100</w:t>
            </w:r>
          </w:p>
        </w:tc>
      </w:tr>
    </w:tbl>
    <w:p>
      <w:pPr>
        <w:snapToGrid w:val="0"/>
        <w:spacing w:line="300" w:lineRule="auto"/>
        <w:ind w:firstLine="555"/>
        <w:rPr>
          <w:rFonts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rPr>
        <w:t>1、小微型企业价格扣除（本项目标的</w:t>
      </w:r>
      <w:r>
        <w:rPr>
          <w:rFonts w:hint="eastAsia" w:asciiTheme="majorEastAsia" w:hAnsiTheme="majorEastAsia" w:eastAsiaTheme="majorEastAsia" w:cstheme="minorEastAsia"/>
          <w:sz w:val="24"/>
          <w:szCs w:val="24"/>
          <w:highlight w:val="none"/>
        </w:rPr>
        <w:t>需求明确的所属行业为</w:t>
      </w:r>
      <w:r>
        <w:rPr>
          <w:rFonts w:hint="eastAsia" w:asciiTheme="majorEastAsia" w:hAnsiTheme="majorEastAsia" w:eastAsiaTheme="majorEastAsia" w:cstheme="minorEastAsia"/>
          <w:b/>
          <w:bCs/>
          <w:sz w:val="24"/>
          <w:szCs w:val="24"/>
          <w:highlight w:val="none"/>
          <w:u w:val="single"/>
        </w:rPr>
        <w:t>其他未列明行业</w:t>
      </w:r>
      <w:r>
        <w:rPr>
          <w:rFonts w:hint="eastAsia" w:asciiTheme="majorEastAsia" w:hAnsiTheme="majorEastAsia" w:eastAsiaTheme="majorEastAsia" w:cstheme="minorEastAsia"/>
          <w:sz w:val="24"/>
          <w:szCs w:val="24"/>
          <w:highlight w:val="none"/>
        </w:rPr>
        <w:t>）</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rPr>
        <w:t>（1）本项目对小型和微型企业产品给予</w:t>
      </w:r>
      <w:r>
        <w:rPr>
          <w:rFonts w:hint="eastAsia" w:asciiTheme="majorEastAsia" w:hAnsiTheme="majorEastAsia" w:eastAsiaTheme="majorEastAsia" w:cstheme="minorEastAsia"/>
          <w:sz w:val="24"/>
          <w:szCs w:val="24"/>
          <w:highlight w:val="none"/>
          <w:u w:val="single"/>
        </w:rPr>
        <w:t>10%</w:t>
      </w:r>
      <w:r>
        <w:rPr>
          <w:rFonts w:hint="eastAsia" w:asciiTheme="majorEastAsia" w:hAnsiTheme="majorEastAsia" w:eastAsiaTheme="majorEastAsia" w:cstheme="minorEastAsia"/>
          <w:sz w:val="24"/>
          <w:szCs w:val="24"/>
          <w:highlight w:val="none"/>
        </w:rPr>
        <w:t>的扣除价格，用扣除后的价格参与评审。</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rPr>
        <w:t>（2）供应商需按照采购文件的要求提供相应的《小型、微型企业声明函》。</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highlight w:val="none"/>
        </w:rPr>
        <w:t>（3）企业标准请参照《关于印发中小企业划型标准规定的通知</w:t>
      </w:r>
      <w:r>
        <w:rPr>
          <w:rFonts w:hint="eastAsia" w:asciiTheme="majorEastAsia" w:hAnsiTheme="majorEastAsia" w:eastAsiaTheme="majorEastAsia" w:cstheme="minorEastAsia"/>
          <w:sz w:val="24"/>
          <w:szCs w:val="24"/>
        </w:rPr>
        <w:t>》（工信部联企业[2011]300号）文件规定自行填写。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w:t>
      </w:r>
      <w:r>
        <w:rPr>
          <w:rFonts w:hint="eastAsia" w:asciiTheme="majorEastAsia" w:hAnsiTheme="majorEastAsia" w:eastAsiaTheme="majorEastAsia" w:cstheme="minorEastAsia"/>
          <w:sz w:val="24"/>
          <w:szCs w:val="24"/>
          <w:u w:val="single"/>
        </w:rPr>
        <w:t xml:space="preserve">  10 %</w:t>
      </w:r>
      <w:r>
        <w:rPr>
          <w:rFonts w:hint="eastAsia" w:asciiTheme="majorEastAsia" w:hAnsiTheme="majorEastAsia" w:eastAsiaTheme="majorEastAsia" w:cstheme="minorEastAsia"/>
          <w:sz w:val="24"/>
          <w:szCs w:val="24"/>
        </w:rPr>
        <w:t>的价格扣除，用扣除后的价格参与评审。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  10 %的价格扣除，用扣除后的价格参与评审。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heme="majorEastAsia" w:hAnsiTheme="majorEastAsia" w:eastAsiaTheme="majorEastAsia" w:cstheme="minorEastAsia"/>
          <w:sz w:val="24"/>
          <w:szCs w:val="24"/>
          <w:u w:val="single"/>
        </w:rPr>
        <w:t>4%</w:t>
      </w:r>
      <w:r>
        <w:rPr>
          <w:rFonts w:hint="eastAsia" w:asciiTheme="majorEastAsia" w:hAnsiTheme="majorEastAsia" w:eastAsiaTheme="majorEastAsia" w:cstheme="minorEastAsia"/>
          <w:sz w:val="24"/>
          <w:szCs w:val="24"/>
        </w:rPr>
        <w:t>的价格扣除，用扣除后的价格参与评审。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6、联合体各方均为小型、微型企业（残疾人福利单位、监狱企业）的，联合体享受6%价格扣除，用扣除后的价格参与评审。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7、专门面向中小企业采购的项目或者采购包，不再执行价格评审优惠的扶持政策。</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1、未按时交纳磋商保证金或金额不足的；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14"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14"/>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15" w:name="_Toc94585343"/>
      <w:bookmarkStart w:id="16" w:name="_Toc363573858"/>
      <w:r>
        <w:rPr>
          <w:rFonts w:hint="eastAsia" w:hAnsi="宋体" w:eastAsia="宋体"/>
          <w:sz w:val="24"/>
          <w:szCs w:val="24"/>
        </w:rPr>
        <w:t>一、成交供应商在接到《成交通知书》后3</w:t>
      </w:r>
      <w:r>
        <w:rPr>
          <w:rFonts w:hAnsi="宋体" w:eastAsia="宋体"/>
          <w:sz w:val="24"/>
          <w:szCs w:val="24"/>
        </w:rPr>
        <w:t>0</w:t>
      </w:r>
      <w:r>
        <w:rPr>
          <w:rFonts w:hint="eastAsia" w:hAnsi="宋体" w:eastAsia="宋体"/>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7" w:name="OLE_LINK2"/>
      <w:bookmarkStart w:id="18"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int="eastAsia" w:ascii="Times New Roman" w:hAnsi="宋体" w:eastAsia="宋体" w:cs="Times New Roman"/>
          <w:sz w:val="24"/>
          <w:szCs w:val="24"/>
        </w:rPr>
      </w:pPr>
      <w:r>
        <w:rPr>
          <w:rFonts w:hint="eastAsia" w:hAnsi="宋体" w:eastAsia="宋体"/>
          <w:sz w:val="24"/>
          <w:szCs w:val="24"/>
        </w:rPr>
        <w:t>四、不响应付款方式的，视同无效投标处理。款项由采购人按相关财务支付规定办</w:t>
      </w:r>
      <w:r>
        <w:rPr>
          <w:rFonts w:hint="eastAsia" w:ascii="Times New Roman" w:hAnsi="宋体" w:eastAsia="宋体" w:cs="Times New Roman"/>
          <w:sz w:val="24"/>
          <w:szCs w:val="24"/>
        </w:rPr>
        <w:t>理支付手续，不得故意拖延支付时间</w:t>
      </w:r>
      <w:bookmarkEnd w:id="17"/>
      <w:bookmarkEnd w:id="18"/>
      <w:r>
        <w:rPr>
          <w:rFonts w:hint="eastAsia" w:ascii="Times New Roman" w:hAnsi="宋体" w:eastAsia="宋体" w:cs="Times New Roman"/>
          <w:sz w:val="24"/>
          <w:szCs w:val="24"/>
        </w:rPr>
        <w:t>。</w:t>
      </w:r>
    </w:p>
    <w:p>
      <w:pPr>
        <w:spacing w:line="360" w:lineRule="auto"/>
        <w:ind w:firstLine="480" w:firstLineChars="200"/>
        <w:rPr>
          <w:rFonts w:hint="eastAsia" w:ascii="Times New Roman" w:hAnsi="宋体" w:eastAsia="宋体" w:cs="Times New Roman"/>
          <w:sz w:val="24"/>
          <w:szCs w:val="24"/>
        </w:rPr>
      </w:pPr>
      <w:r>
        <w:rPr>
          <w:rFonts w:hint="eastAsia" w:ascii="Times New Roman" w:hAnsi="宋体" w:eastAsia="宋体" w:cs="Times New Roman"/>
          <w:sz w:val="24"/>
          <w:szCs w:val="24"/>
        </w:rPr>
        <w:t>五、每次采购人付款前，</w:t>
      </w:r>
      <w:r>
        <w:rPr>
          <w:rFonts w:hint="eastAsia" w:ascii="Times New Roman" w:hAnsi="宋体" w:eastAsia="宋体" w:cs="Times New Roman"/>
          <w:sz w:val="24"/>
          <w:szCs w:val="24"/>
          <w:lang w:val="zh-CN"/>
        </w:rPr>
        <w:t>成交供应商</w:t>
      </w:r>
      <w:r>
        <w:rPr>
          <w:rFonts w:hint="eastAsia" w:ascii="Times New Roman" w:hAnsi="宋体" w:eastAsia="宋体" w:cs="Times New Roman"/>
          <w:sz w:val="24"/>
          <w:szCs w:val="24"/>
        </w:rPr>
        <w:t>根据结算金额按国家有关财税规定开出合法发票交采购人办理付款手续。</w:t>
      </w:r>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autoSpaceDE w:val="0"/>
        <w:autoSpaceDN w:val="0"/>
        <w:adjustRightInd w:val="0"/>
        <w:snapToGrid w:val="0"/>
        <w:spacing w:line="360" w:lineRule="auto"/>
        <w:contextualSpacing/>
        <w:jc w:val="center"/>
        <w:rPr>
          <w:rFonts w:ascii="宋体" w:hAnsi="宋体" w:eastAsia="宋体" w:cs="宋体"/>
          <w:b/>
          <w:color w:val="000000"/>
          <w:sz w:val="32"/>
          <w:szCs w:val="32"/>
        </w:rPr>
      </w:pPr>
      <w:r>
        <w:rPr>
          <w:rFonts w:hint="eastAsia" w:ascii="宋体" w:hAnsi="宋体" w:eastAsia="宋体" w:cs="宋体"/>
          <w:b/>
          <w:color w:val="000000"/>
          <w:sz w:val="32"/>
          <w:szCs w:val="32"/>
        </w:rPr>
        <w:t>合同书</w:t>
      </w:r>
    </w:p>
    <w:p>
      <w:pPr>
        <w:snapToGrid w:val="0"/>
        <w:spacing w:before="120" w:after="120"/>
        <w:rPr>
          <w:rFonts w:ascii="宋体" w:hAnsi="宋体" w:eastAsia="宋体"/>
          <w:sz w:val="24"/>
          <w:szCs w:val="24"/>
        </w:rPr>
      </w:pPr>
      <w:r>
        <w:rPr>
          <w:rFonts w:hint="eastAsia" w:ascii="宋体" w:hAnsi="宋体" w:eastAsia="宋体"/>
          <w:sz w:val="24"/>
          <w:szCs w:val="24"/>
        </w:rPr>
        <w:t>采购单位（或称甲方）：</w:t>
      </w:r>
      <w:r>
        <w:rPr>
          <w:rFonts w:hint="eastAsia" w:ascii="宋体" w:hAnsi="宋体" w:eastAsia="宋体"/>
          <w:sz w:val="24"/>
          <w:szCs w:val="24"/>
          <w:u w:val="single"/>
        </w:rPr>
        <w:t>南通市妇幼保健院</w:t>
      </w:r>
    </w:p>
    <w:p>
      <w:pPr>
        <w:snapToGrid w:val="0"/>
        <w:spacing w:before="120" w:after="120"/>
        <w:rPr>
          <w:rFonts w:ascii="宋体" w:hAnsi="宋体" w:cs="Arial"/>
          <w:bCs/>
          <w:kern w:val="0"/>
          <w:sz w:val="24"/>
          <w:u w:val="single"/>
          <w:lang w:bidi="ar"/>
        </w:rPr>
      </w:pPr>
      <w:r>
        <w:rPr>
          <w:rFonts w:hint="eastAsia" w:ascii="宋体" w:hAnsi="宋体" w:eastAsia="宋体"/>
          <w:sz w:val="24"/>
          <w:szCs w:val="24"/>
        </w:rPr>
        <w:t>成交供应商（或称乙方）：</w:t>
      </w:r>
      <w:r>
        <w:rPr>
          <w:rFonts w:hint="eastAsia" w:ascii="宋体" w:hAnsi="宋体" w:eastAsia="宋体"/>
          <w:sz w:val="24"/>
          <w:szCs w:val="24"/>
          <w:u w:val="single"/>
        </w:rPr>
        <w:t xml:space="preserve"> </w:t>
      </w:r>
      <w:r>
        <w:rPr>
          <w:rFonts w:hint="eastAsia" w:ascii="宋体" w:hAnsi="宋体" w:cs="Arial"/>
          <w:bCs/>
          <w:kern w:val="0"/>
          <w:sz w:val="24"/>
          <w:u w:val="single"/>
          <w:lang w:bidi="ar"/>
        </w:rPr>
        <w:t xml:space="preserve"> </w:t>
      </w:r>
      <w:r>
        <w:rPr>
          <w:rFonts w:ascii="宋体" w:hAnsi="宋体" w:cs="Arial"/>
          <w:bCs/>
          <w:kern w:val="0"/>
          <w:sz w:val="24"/>
          <w:u w:val="single"/>
          <w:lang w:bidi="ar"/>
        </w:rPr>
        <w:t xml:space="preserve">                </w:t>
      </w:r>
    </w:p>
    <w:p>
      <w:pPr>
        <w:pStyle w:val="2"/>
        <w:ind w:left="0" w:leftChars="0" w:firstLine="0" w:firstLineChars="0"/>
        <w:rPr>
          <w:rFonts w:ascii="宋体" w:hAnsi="宋体" w:eastAsia="宋体"/>
          <w:kern w:val="2"/>
          <w:sz w:val="24"/>
          <w:szCs w:val="24"/>
        </w:rPr>
      </w:pPr>
      <w:r>
        <w:rPr>
          <w:rFonts w:hint="eastAsia" w:ascii="宋体" w:hAnsi="宋体" w:eastAsia="宋体"/>
          <w:kern w:val="2"/>
          <w:sz w:val="24"/>
          <w:szCs w:val="24"/>
        </w:rPr>
        <w:t>签订地点：</w:t>
      </w:r>
    </w:p>
    <w:p>
      <w:pPr>
        <w:pStyle w:val="2"/>
        <w:ind w:left="0" w:leftChars="0" w:firstLine="480"/>
        <w:rPr>
          <w:rFonts w:ascii="宋体" w:hAnsi="宋体" w:eastAsia="宋体"/>
          <w:kern w:val="2"/>
          <w:sz w:val="24"/>
          <w:szCs w:val="24"/>
        </w:rPr>
      </w:pPr>
      <w:r>
        <w:rPr>
          <w:rFonts w:hint="eastAsia" w:ascii="宋体" w:hAnsi="宋体" w:eastAsia="宋体"/>
          <w:sz w:val="24"/>
          <w:szCs w:val="24"/>
        </w:rPr>
        <w:t>根据《中华人民共和国民法典》、《中华人民共和国政府采购法》等法律法规的规定以及</w:t>
      </w:r>
      <w:r>
        <w:rPr>
          <w:rFonts w:hint="eastAsia" w:ascii="宋体" w:hAnsi="宋体" w:eastAsia="宋体"/>
          <w:sz w:val="24"/>
          <w:szCs w:val="24"/>
          <w:u w:val="single"/>
        </w:rPr>
        <w:t>南通市妇幼保健院电话回访系统升级维护项目</w:t>
      </w:r>
      <w:r>
        <w:rPr>
          <w:rFonts w:hint="eastAsia" w:ascii="宋体" w:hAnsi="宋体" w:eastAsia="宋体"/>
          <w:sz w:val="24"/>
          <w:szCs w:val="24"/>
        </w:rPr>
        <w:t>采购结果、竞争性磋商响应文件和竞争性磋商文件，甲乙双方遵循平等、自愿、公平、诚实信用的原则，就</w:t>
      </w:r>
      <w:r>
        <w:rPr>
          <w:rFonts w:hint="eastAsia" w:ascii="宋体" w:hAnsi="宋体" w:eastAsia="宋体"/>
          <w:sz w:val="24"/>
          <w:szCs w:val="24"/>
          <w:u w:val="single"/>
        </w:rPr>
        <w:t>南通市妇幼保健院电话回访系统升级维护项目</w:t>
      </w:r>
      <w:r>
        <w:rPr>
          <w:rFonts w:hint="eastAsia" w:ascii="宋体" w:hAnsi="宋体" w:eastAsia="宋体"/>
          <w:sz w:val="24"/>
          <w:szCs w:val="24"/>
        </w:rPr>
        <w:t>事宜经双方协商一致，订立本合同。</w:t>
      </w:r>
    </w:p>
    <w:p>
      <w:pPr>
        <w:snapToGrid w:val="0"/>
        <w:spacing w:before="120" w:after="120" w:line="600" w:lineRule="exact"/>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rPr>
        <w:t>合同</w:t>
      </w:r>
      <w:r>
        <w:rPr>
          <w:rFonts w:ascii="宋体" w:hAnsi="宋体" w:eastAsia="宋体"/>
          <w:b/>
          <w:sz w:val="24"/>
          <w:szCs w:val="24"/>
        </w:rPr>
        <w:t>内容</w:t>
      </w:r>
    </w:p>
    <w:p>
      <w:pPr>
        <w:snapToGrid w:val="0"/>
        <w:spacing w:line="300" w:lineRule="auto"/>
        <w:rPr>
          <w:rFonts w:ascii="宋体" w:hAnsi="宋体" w:eastAsia="宋体"/>
          <w:sz w:val="24"/>
          <w:szCs w:val="24"/>
        </w:rPr>
      </w:pPr>
      <w:r>
        <w:rPr>
          <w:rFonts w:ascii="宋体" w:hAnsi="宋体" w:eastAsia="宋体"/>
          <w:sz w:val="24"/>
          <w:szCs w:val="24"/>
        </w:rPr>
        <w:t xml:space="preserve">1.1 </w:t>
      </w:r>
      <w:r>
        <w:rPr>
          <w:rFonts w:hint="eastAsia" w:ascii="宋体" w:hAnsi="宋体" w:eastAsia="宋体"/>
          <w:sz w:val="24"/>
          <w:szCs w:val="24"/>
        </w:rPr>
        <w:t>标的</w:t>
      </w:r>
      <w:r>
        <w:rPr>
          <w:rFonts w:ascii="宋体" w:hAnsi="宋体" w:eastAsia="宋体"/>
          <w:sz w:val="24"/>
          <w:szCs w:val="24"/>
        </w:rPr>
        <w:t>名称：</w:t>
      </w:r>
      <w:r>
        <w:rPr>
          <w:rFonts w:hint="eastAsia" w:ascii="宋体" w:hAnsi="宋体" w:eastAsia="宋体"/>
          <w:sz w:val="24"/>
          <w:szCs w:val="24"/>
        </w:rPr>
        <w:t>南通市妇幼保健院电话回访系统升级维护项目；</w:t>
      </w:r>
    </w:p>
    <w:p>
      <w:pPr>
        <w:snapToGrid w:val="0"/>
        <w:spacing w:line="300" w:lineRule="auto"/>
        <w:rPr>
          <w:rFonts w:ascii="宋体" w:hAnsi="宋体" w:eastAsia="宋体"/>
          <w:sz w:val="24"/>
          <w:szCs w:val="24"/>
        </w:rPr>
      </w:pPr>
      <w:r>
        <w:rPr>
          <w:rFonts w:ascii="宋体" w:hAnsi="宋体" w:eastAsia="宋体"/>
          <w:sz w:val="24"/>
          <w:szCs w:val="24"/>
        </w:rPr>
        <w:t xml:space="preserve">1.2 </w:t>
      </w:r>
      <w:r>
        <w:rPr>
          <w:rFonts w:hint="eastAsia" w:ascii="宋体" w:hAnsi="宋体" w:eastAsia="宋体"/>
          <w:sz w:val="24"/>
          <w:szCs w:val="24"/>
        </w:rPr>
        <w:t>服务内容及范围（规模）：详见附件1；</w:t>
      </w:r>
    </w:p>
    <w:p>
      <w:pPr>
        <w:snapToGrid w:val="0"/>
        <w:spacing w:line="300" w:lineRule="auto"/>
        <w:rPr>
          <w:rFonts w:ascii="宋体" w:hAnsi="宋体" w:eastAsia="宋体"/>
          <w:sz w:val="24"/>
          <w:szCs w:val="24"/>
        </w:rPr>
      </w:pPr>
      <w:r>
        <w:rPr>
          <w:rFonts w:hint="eastAsia" w:ascii="宋体" w:hAnsi="宋体" w:eastAsia="宋体"/>
          <w:sz w:val="24"/>
          <w:szCs w:val="24"/>
        </w:rPr>
        <w:t>1.3 履行时间（期限）：合同签订后1个月内，完成项目实施；</w:t>
      </w:r>
    </w:p>
    <w:p>
      <w:pPr>
        <w:snapToGrid w:val="0"/>
        <w:spacing w:line="300" w:lineRule="auto"/>
        <w:jc w:val="left"/>
        <w:rPr>
          <w:rFonts w:ascii="宋体" w:hAnsi="宋体" w:eastAsia="宋体"/>
          <w:sz w:val="24"/>
          <w:szCs w:val="24"/>
        </w:rPr>
      </w:pPr>
      <w:r>
        <w:rPr>
          <w:rFonts w:hint="eastAsia" w:ascii="宋体" w:hAnsi="宋体" w:eastAsia="宋体"/>
          <w:sz w:val="24"/>
          <w:szCs w:val="24"/>
        </w:rPr>
        <w:t>1.4 履行地点：南通市妇幼保健院；</w:t>
      </w:r>
    </w:p>
    <w:p>
      <w:pPr>
        <w:snapToGrid w:val="0"/>
        <w:spacing w:before="120" w:after="120" w:line="600" w:lineRule="exact"/>
        <w:rPr>
          <w:rFonts w:ascii="宋体" w:hAnsi="宋体" w:eastAsia="宋体"/>
          <w:b/>
          <w:sz w:val="24"/>
          <w:szCs w:val="24"/>
        </w:rPr>
      </w:pPr>
      <w:r>
        <w:rPr>
          <w:rFonts w:ascii="宋体" w:hAnsi="宋体" w:eastAsia="宋体"/>
          <w:b/>
          <w:sz w:val="24"/>
          <w:szCs w:val="24"/>
        </w:rPr>
        <w:t>二、合同金额</w:t>
      </w:r>
    </w:p>
    <w:p>
      <w:pPr>
        <w:snapToGrid w:val="0"/>
        <w:spacing w:line="300" w:lineRule="auto"/>
        <w:ind w:left="410" w:hanging="410" w:hangingChars="171"/>
        <w:rPr>
          <w:rFonts w:ascii="宋体" w:hAnsi="宋体" w:eastAsia="宋体" w:cs="Courier New"/>
          <w:sz w:val="24"/>
          <w:szCs w:val="24"/>
        </w:rPr>
      </w:pPr>
      <w:r>
        <w:rPr>
          <w:rFonts w:ascii="宋体" w:hAnsi="宋体" w:eastAsia="宋体" w:cs="Courier New"/>
          <w:sz w:val="24"/>
          <w:szCs w:val="24"/>
        </w:rPr>
        <w:t>2.1 本合同金额为（大写）：</w:t>
      </w:r>
      <w:r>
        <w:rPr>
          <w:rFonts w:hint="eastAsia" w:ascii="宋体" w:hAnsi="宋体" w:eastAsia="宋体" w:cs="Courier New"/>
          <w:sz w:val="24"/>
          <w:szCs w:val="24"/>
          <w:u w:val="single"/>
        </w:rPr>
        <w:t>人民币             元，</w:t>
      </w:r>
      <w:r>
        <w:rPr>
          <w:rFonts w:ascii="宋体" w:hAnsi="宋体" w:eastAsia="宋体" w:cs="Courier New"/>
          <w:sz w:val="24"/>
          <w:szCs w:val="24"/>
        </w:rPr>
        <w:t>（</w:t>
      </w:r>
      <w:r>
        <w:rPr>
          <w:rFonts w:hint="eastAsia" w:ascii="宋体" w:hAnsi="宋体" w:eastAsia="宋体" w:cs="Courier New"/>
          <w:sz w:val="24"/>
          <w:szCs w:val="24"/>
          <w:u w:val="single"/>
        </w:rPr>
        <w:t xml:space="preserve">小写¥           </w:t>
      </w:r>
      <w:r>
        <w:rPr>
          <w:rFonts w:ascii="宋体" w:hAnsi="宋体" w:eastAsia="宋体" w:cs="Courier New"/>
          <w:sz w:val="24"/>
          <w:szCs w:val="24"/>
        </w:rPr>
        <w:t>）</w:t>
      </w:r>
      <w:r>
        <w:rPr>
          <w:rFonts w:hint="eastAsia" w:ascii="宋体" w:hAnsi="宋体" w:eastAsia="宋体" w:cs="Courier New"/>
          <w:sz w:val="24"/>
          <w:szCs w:val="24"/>
        </w:rPr>
        <w:t>，合同价包括但不限于所有与本项目实施有关的所有费用包括建设系统设计、开发、实施、运行维护以及相应的软件安装调试、系统集成、项目验收、免费售后服务以及技术培训及为达到采购人要求所包含的所有风险、责任等各项费用</w:t>
      </w:r>
      <w:r>
        <w:rPr>
          <w:rFonts w:ascii="宋体" w:hAnsi="宋体" w:eastAsia="宋体" w:cs="Courier New"/>
          <w:sz w:val="24"/>
          <w:szCs w:val="24"/>
        </w:rPr>
        <w:t>。</w:t>
      </w:r>
    </w:p>
    <w:p>
      <w:pPr>
        <w:snapToGrid w:val="0"/>
        <w:spacing w:before="120" w:after="120" w:line="600" w:lineRule="exact"/>
        <w:rPr>
          <w:rFonts w:ascii="宋体" w:hAnsi="宋体" w:eastAsia="宋体"/>
          <w:b/>
          <w:sz w:val="24"/>
          <w:szCs w:val="24"/>
        </w:rPr>
      </w:pPr>
      <w:r>
        <w:rPr>
          <w:rFonts w:ascii="宋体" w:hAnsi="宋体" w:eastAsia="宋体"/>
          <w:b/>
          <w:sz w:val="24"/>
          <w:szCs w:val="24"/>
        </w:rPr>
        <w:t>三、技术资料</w:t>
      </w:r>
    </w:p>
    <w:p>
      <w:pPr>
        <w:snapToGrid w:val="0"/>
        <w:spacing w:line="300" w:lineRule="auto"/>
        <w:jc w:val="left"/>
        <w:rPr>
          <w:rFonts w:ascii="宋体" w:hAnsi="宋体" w:eastAsia="宋体"/>
          <w:sz w:val="24"/>
          <w:szCs w:val="24"/>
        </w:rPr>
      </w:pPr>
      <w:r>
        <w:rPr>
          <w:rFonts w:hint="eastAsia" w:ascii="宋体" w:hAnsi="宋体" w:eastAsia="宋体"/>
          <w:sz w:val="24"/>
          <w:szCs w:val="24"/>
        </w:rPr>
        <w:t>3.1 乙方应按谈判文件规定的时间向甲方提供服务（包含与服务相关的产品）的有关技术资料。</w:t>
      </w:r>
    </w:p>
    <w:p>
      <w:pPr>
        <w:snapToGrid w:val="0"/>
        <w:spacing w:line="300" w:lineRule="auto"/>
        <w:jc w:val="left"/>
        <w:rPr>
          <w:rFonts w:ascii="宋体" w:hAnsi="宋体" w:eastAsia="宋体"/>
          <w:sz w:val="24"/>
          <w:szCs w:val="24"/>
        </w:rPr>
      </w:pPr>
      <w:r>
        <w:rPr>
          <w:rFonts w:hint="eastAsia" w:ascii="宋体" w:hAnsi="宋体" w:eastAsia="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600" w:lineRule="exact"/>
        <w:rPr>
          <w:rFonts w:ascii="宋体" w:hAnsi="宋体" w:eastAsia="宋体"/>
          <w:b/>
          <w:sz w:val="24"/>
          <w:szCs w:val="24"/>
        </w:rPr>
      </w:pPr>
      <w:r>
        <w:rPr>
          <w:rFonts w:ascii="宋体" w:hAnsi="宋体" w:eastAsia="宋体"/>
          <w:b/>
          <w:sz w:val="24"/>
          <w:szCs w:val="24"/>
        </w:rPr>
        <w:t>四、知识产权</w:t>
      </w:r>
    </w:p>
    <w:p>
      <w:pPr>
        <w:snapToGrid w:val="0"/>
        <w:spacing w:line="300" w:lineRule="auto"/>
        <w:jc w:val="left"/>
        <w:rPr>
          <w:rFonts w:ascii="宋体" w:hAnsi="宋体" w:eastAsia="宋体"/>
          <w:sz w:val="24"/>
          <w:szCs w:val="24"/>
        </w:rPr>
      </w:pPr>
      <w:r>
        <w:rPr>
          <w:rFonts w:hint="eastAsia" w:ascii="宋体" w:hAnsi="宋体" w:eastAsia="宋体"/>
          <w:sz w:val="24"/>
          <w:szCs w:val="24"/>
        </w:rPr>
        <w:t>4.1 乙方应保证甲方在使用、接受本合同服务（包含与服务相关的产品）或其任何一部分时不受第三方提出侵犯其专利权、版权、商标权和工业设计权等知识产权的起诉。一旦出现侵权，由乙方负全部责任。</w:t>
      </w:r>
    </w:p>
    <w:p>
      <w:pPr>
        <w:snapToGrid w:val="0"/>
        <w:spacing w:before="120" w:after="120" w:line="600" w:lineRule="exact"/>
        <w:rPr>
          <w:rFonts w:ascii="宋体" w:hAnsi="宋体" w:eastAsia="宋体"/>
          <w:b/>
          <w:sz w:val="24"/>
          <w:szCs w:val="24"/>
        </w:rPr>
      </w:pPr>
      <w:r>
        <w:rPr>
          <w:rFonts w:ascii="宋体" w:hAnsi="宋体" w:eastAsia="宋体"/>
          <w:b/>
          <w:sz w:val="24"/>
          <w:szCs w:val="24"/>
        </w:rPr>
        <w:t>五、产权担保</w:t>
      </w:r>
    </w:p>
    <w:p>
      <w:pPr>
        <w:snapToGrid w:val="0"/>
        <w:spacing w:line="300" w:lineRule="auto"/>
        <w:jc w:val="left"/>
        <w:rPr>
          <w:rFonts w:ascii="宋体" w:hAnsi="宋体" w:eastAsia="宋体"/>
          <w:sz w:val="24"/>
          <w:szCs w:val="24"/>
        </w:rPr>
      </w:pPr>
      <w:r>
        <w:rPr>
          <w:rFonts w:hint="eastAsia" w:ascii="宋体" w:hAnsi="宋体" w:eastAsia="宋体"/>
          <w:sz w:val="24"/>
          <w:szCs w:val="24"/>
        </w:rPr>
        <w:t>5.1 乙方保证所交付的服务（包含与服务相关的产品）的所有权完全属于乙方且无任何抵押、查封等产权瑕疵。</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六、合同转包</w:t>
      </w:r>
    </w:p>
    <w:p>
      <w:pPr>
        <w:snapToGrid w:val="0"/>
        <w:spacing w:line="300" w:lineRule="auto"/>
        <w:jc w:val="left"/>
        <w:rPr>
          <w:rFonts w:ascii="宋体" w:hAnsi="宋体" w:eastAsia="宋体"/>
          <w:sz w:val="24"/>
          <w:szCs w:val="24"/>
        </w:rPr>
      </w:pPr>
      <w:r>
        <w:rPr>
          <w:rFonts w:hint="eastAsia" w:ascii="宋体" w:hAnsi="宋体" w:eastAsia="宋体"/>
          <w:sz w:val="24"/>
          <w:szCs w:val="24"/>
        </w:rPr>
        <w:t>6.1 乙方不得将合同标的转包给他人履行。</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七</w:t>
      </w:r>
      <w:r>
        <w:rPr>
          <w:rFonts w:ascii="宋体" w:hAnsi="宋体" w:eastAsia="宋体"/>
          <w:b/>
          <w:sz w:val="24"/>
          <w:szCs w:val="24"/>
        </w:rPr>
        <w:t>、</w:t>
      </w:r>
      <w:r>
        <w:rPr>
          <w:rFonts w:hint="eastAsia" w:ascii="宋体" w:hAnsi="宋体" w:eastAsia="宋体"/>
          <w:b/>
          <w:sz w:val="24"/>
          <w:szCs w:val="24"/>
        </w:rPr>
        <w:t>合同款项</w:t>
      </w:r>
      <w:r>
        <w:rPr>
          <w:rFonts w:ascii="宋体" w:hAnsi="宋体" w:eastAsia="宋体"/>
          <w:b/>
          <w:sz w:val="24"/>
          <w:szCs w:val="24"/>
        </w:rPr>
        <w:t>支付</w:t>
      </w:r>
    </w:p>
    <w:p>
      <w:pPr>
        <w:snapToGrid w:val="0"/>
        <w:spacing w:line="300" w:lineRule="auto"/>
        <w:jc w:val="left"/>
        <w:rPr>
          <w:rFonts w:ascii="宋体" w:hAnsi="宋体" w:eastAsia="宋体"/>
          <w:sz w:val="24"/>
          <w:szCs w:val="24"/>
        </w:rPr>
      </w:pPr>
      <w:r>
        <w:rPr>
          <w:rFonts w:ascii="宋体" w:hAnsi="宋体" w:eastAsia="宋体"/>
          <w:sz w:val="24"/>
          <w:szCs w:val="24"/>
        </w:rPr>
        <w:t xml:space="preserve">7.1 </w:t>
      </w:r>
      <w:r>
        <w:rPr>
          <w:rFonts w:hint="eastAsia" w:ascii="宋体" w:hAnsi="宋体" w:eastAsia="宋体"/>
          <w:sz w:val="24"/>
          <w:szCs w:val="24"/>
        </w:rPr>
        <w:t>付款方式：合同签订后</w:t>
      </w:r>
      <w:r>
        <w:rPr>
          <w:rFonts w:ascii="宋体" w:hAnsi="宋体" w:eastAsia="宋体"/>
          <w:sz w:val="24"/>
          <w:szCs w:val="24"/>
        </w:rPr>
        <w:t>15</w:t>
      </w:r>
      <w:r>
        <w:rPr>
          <w:rFonts w:hint="eastAsia" w:ascii="宋体" w:hAnsi="宋体" w:eastAsia="宋体"/>
          <w:sz w:val="24"/>
          <w:szCs w:val="24"/>
        </w:rPr>
        <w:t>天内支付全款的</w:t>
      </w:r>
      <w:r>
        <w:rPr>
          <w:rFonts w:ascii="宋体" w:hAnsi="宋体" w:eastAsia="宋体"/>
          <w:sz w:val="24"/>
          <w:szCs w:val="24"/>
        </w:rPr>
        <w:t>30%</w:t>
      </w:r>
      <w:r>
        <w:rPr>
          <w:rFonts w:hint="eastAsia" w:ascii="宋体" w:hAnsi="宋体" w:eastAsia="宋体"/>
          <w:sz w:val="24"/>
          <w:szCs w:val="24"/>
        </w:rPr>
        <w:t>，验收合格后</w:t>
      </w:r>
      <w:r>
        <w:rPr>
          <w:rFonts w:ascii="宋体" w:hAnsi="宋体" w:eastAsia="宋体"/>
          <w:sz w:val="24"/>
          <w:szCs w:val="24"/>
        </w:rPr>
        <w:t>15</w:t>
      </w:r>
      <w:r>
        <w:rPr>
          <w:rFonts w:hint="eastAsia" w:ascii="宋体" w:hAnsi="宋体" w:eastAsia="宋体"/>
          <w:sz w:val="24"/>
          <w:szCs w:val="24"/>
        </w:rPr>
        <w:t>天内支付全款的</w:t>
      </w:r>
      <w:r>
        <w:rPr>
          <w:rFonts w:ascii="宋体" w:hAnsi="宋体" w:eastAsia="宋体"/>
          <w:sz w:val="24"/>
          <w:szCs w:val="24"/>
        </w:rPr>
        <w:t>60%</w:t>
      </w:r>
      <w:r>
        <w:rPr>
          <w:rFonts w:hint="eastAsia" w:ascii="宋体" w:hAnsi="宋体" w:eastAsia="宋体"/>
          <w:sz w:val="24"/>
          <w:szCs w:val="24"/>
        </w:rPr>
        <w:t>，免费质保期结束后</w:t>
      </w:r>
      <w:r>
        <w:rPr>
          <w:rFonts w:ascii="宋体" w:hAnsi="宋体" w:eastAsia="宋体"/>
          <w:sz w:val="24"/>
          <w:szCs w:val="24"/>
        </w:rPr>
        <w:t>15</w:t>
      </w:r>
      <w:r>
        <w:rPr>
          <w:rFonts w:hint="eastAsia" w:ascii="宋体" w:hAnsi="宋体" w:eastAsia="宋体"/>
          <w:sz w:val="24"/>
          <w:szCs w:val="24"/>
        </w:rPr>
        <w:t>天内支付全款的</w:t>
      </w:r>
      <w:r>
        <w:rPr>
          <w:rFonts w:ascii="宋体" w:hAnsi="宋体" w:eastAsia="宋体"/>
          <w:sz w:val="24"/>
          <w:szCs w:val="24"/>
        </w:rPr>
        <w:t>10%</w:t>
      </w:r>
      <w:r>
        <w:rPr>
          <w:rFonts w:hint="eastAsia" w:ascii="宋体" w:hAnsi="宋体" w:eastAsia="宋体"/>
          <w:sz w:val="24"/>
          <w:szCs w:val="24"/>
        </w:rPr>
        <w:t>。</w:t>
      </w:r>
    </w:p>
    <w:p>
      <w:pPr>
        <w:snapToGrid w:val="0"/>
        <w:spacing w:line="300" w:lineRule="auto"/>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2 </w:t>
      </w:r>
      <w:r>
        <w:rPr>
          <w:rFonts w:hint="eastAsia" w:ascii="宋体" w:hAnsi="宋体" w:eastAsia="宋体"/>
          <w:sz w:val="24"/>
          <w:szCs w:val="24"/>
        </w:rPr>
        <w:t>发票：乙方应在甲方付款前的五日内向甲方开具相应增值税发票。</w:t>
      </w:r>
    </w:p>
    <w:p>
      <w:pPr>
        <w:snapToGrid w:val="0"/>
        <w:spacing w:line="300" w:lineRule="auto"/>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3 </w:t>
      </w:r>
      <w:r>
        <w:rPr>
          <w:rFonts w:hint="eastAsia" w:ascii="宋体" w:hAnsi="宋体" w:eastAsia="宋体"/>
          <w:sz w:val="24"/>
          <w:szCs w:val="24"/>
        </w:rPr>
        <w:t>乙方的银行账号信息：</w:t>
      </w:r>
    </w:p>
    <w:p>
      <w:pPr>
        <w:snapToGrid w:val="0"/>
        <w:spacing w:line="300" w:lineRule="auto"/>
        <w:ind w:firstLine="480" w:firstLineChars="200"/>
        <w:jc w:val="left"/>
        <w:rPr>
          <w:rFonts w:ascii="宋体" w:hAnsi="宋体" w:eastAsia="宋体"/>
          <w:sz w:val="24"/>
          <w:szCs w:val="24"/>
        </w:rPr>
      </w:pPr>
      <w:r>
        <w:rPr>
          <w:rFonts w:hint="eastAsia" w:ascii="宋体" w:hAnsi="宋体" w:eastAsia="宋体"/>
          <w:sz w:val="24"/>
          <w:szCs w:val="24"/>
        </w:rPr>
        <w:t>公司名称：</w:t>
      </w:r>
    </w:p>
    <w:p>
      <w:pPr>
        <w:snapToGrid w:val="0"/>
        <w:spacing w:line="300" w:lineRule="auto"/>
        <w:ind w:firstLine="480" w:firstLineChars="200"/>
        <w:jc w:val="left"/>
        <w:rPr>
          <w:rFonts w:ascii="宋体" w:hAnsi="宋体" w:eastAsia="宋体"/>
          <w:sz w:val="24"/>
          <w:szCs w:val="24"/>
        </w:rPr>
      </w:pPr>
      <w:r>
        <w:rPr>
          <w:rFonts w:hint="eastAsia" w:ascii="宋体" w:hAnsi="宋体" w:eastAsia="宋体"/>
          <w:sz w:val="24"/>
          <w:szCs w:val="24"/>
        </w:rPr>
        <w:t>开户银行：</w:t>
      </w:r>
    </w:p>
    <w:p>
      <w:pPr>
        <w:snapToGrid w:val="0"/>
        <w:spacing w:line="300" w:lineRule="auto"/>
        <w:ind w:firstLine="480" w:firstLineChars="200"/>
        <w:jc w:val="left"/>
        <w:rPr>
          <w:rFonts w:ascii="宋体" w:hAnsi="宋体" w:eastAsia="宋体"/>
          <w:sz w:val="24"/>
          <w:szCs w:val="24"/>
        </w:rPr>
      </w:pPr>
      <w:r>
        <w:rPr>
          <w:rFonts w:hint="eastAsia" w:ascii="宋体" w:hAnsi="宋体" w:eastAsia="宋体"/>
          <w:sz w:val="24"/>
          <w:szCs w:val="24"/>
        </w:rPr>
        <w:t>账    号：</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八、税费</w:t>
      </w:r>
    </w:p>
    <w:p>
      <w:pPr>
        <w:snapToGrid w:val="0"/>
        <w:spacing w:line="300" w:lineRule="auto"/>
        <w:jc w:val="left"/>
        <w:rPr>
          <w:rFonts w:ascii="宋体" w:hAnsi="宋体" w:eastAsia="宋体"/>
          <w:sz w:val="24"/>
          <w:szCs w:val="24"/>
        </w:rPr>
      </w:pPr>
      <w:r>
        <w:rPr>
          <w:rFonts w:hint="eastAsia" w:ascii="宋体" w:hAnsi="宋体" w:eastAsia="宋体"/>
          <w:sz w:val="24"/>
          <w:szCs w:val="24"/>
        </w:rPr>
        <w:t>8.1 本合同执行中相关的一切税费均由乙方负担。</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项目</w:t>
      </w:r>
      <w:r>
        <w:rPr>
          <w:rFonts w:ascii="宋体" w:hAnsi="宋体" w:eastAsia="宋体"/>
          <w:b/>
          <w:sz w:val="24"/>
          <w:szCs w:val="24"/>
        </w:rPr>
        <w:t>验收</w:t>
      </w:r>
    </w:p>
    <w:p>
      <w:pPr>
        <w:snapToGrid w:val="0"/>
        <w:spacing w:line="300" w:lineRule="auto"/>
        <w:jc w:val="left"/>
        <w:rPr>
          <w:rFonts w:ascii="宋体" w:hAnsi="宋体" w:eastAsia="宋体"/>
          <w:sz w:val="24"/>
          <w:szCs w:val="24"/>
        </w:rPr>
      </w:pPr>
      <w:r>
        <w:rPr>
          <w:rFonts w:hint="eastAsia" w:ascii="宋体" w:hAnsi="宋体" w:eastAsia="宋体"/>
          <w:sz w:val="24"/>
          <w:szCs w:val="24"/>
        </w:rPr>
        <w:t xml:space="preserve">9.1 </w:t>
      </w:r>
      <w:bookmarkStart w:id="19" w:name="OLE_LINK7"/>
      <w:r>
        <w:rPr>
          <w:rFonts w:hint="eastAsia" w:ascii="宋体" w:hAnsi="宋体" w:eastAsia="宋体"/>
          <w:sz w:val="24"/>
          <w:szCs w:val="24"/>
        </w:rPr>
        <w:t>在项目内容安装调试完成后，使用科室进行初步验收，初步验收通过后，采购单位成立验收小组按照采购合同的约定对供应商履约情况进行确认验收。验收合格后出具验收报告，并作为支付货款的依据。</w:t>
      </w:r>
    </w:p>
    <w:p>
      <w:pPr>
        <w:snapToGrid w:val="0"/>
        <w:spacing w:line="300" w:lineRule="auto"/>
        <w:jc w:val="left"/>
        <w:rPr>
          <w:rFonts w:hint="eastAsia"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.2 </w:t>
      </w:r>
      <w:r>
        <w:rPr>
          <w:rFonts w:hint="eastAsia" w:ascii="宋体" w:hAnsi="宋体" w:eastAsia="宋体"/>
          <w:sz w:val="24"/>
          <w:szCs w:val="24"/>
        </w:rPr>
        <w:t>双方签署最终验收文件时，成交商应提交全套、完整的软件配置、操作手册、技术资料等，以及所有与用户、软件等相关联的说明、表格等资料，并有责任帮助整理、装订、归档。</w:t>
      </w:r>
      <w:bookmarkEnd w:id="19"/>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十、维保及售后服务</w:t>
      </w:r>
    </w:p>
    <w:p>
      <w:pPr>
        <w:pStyle w:val="2"/>
        <w:ind w:left="70" w:firstLine="0" w:firstLineChars="0"/>
        <w:rPr>
          <w:rFonts w:ascii="宋体" w:hAnsi="宋体" w:eastAsia="宋体"/>
          <w:kern w:val="2"/>
          <w:sz w:val="24"/>
          <w:szCs w:val="24"/>
        </w:rPr>
      </w:pPr>
      <w:r>
        <w:rPr>
          <w:rFonts w:ascii="宋体" w:hAnsi="宋体" w:eastAsia="宋体"/>
          <w:kern w:val="2"/>
          <w:sz w:val="24"/>
          <w:szCs w:val="24"/>
        </w:rPr>
        <w:t xml:space="preserve">10.1 </w:t>
      </w:r>
      <w:r>
        <w:rPr>
          <w:rFonts w:hint="eastAsia" w:ascii="宋体" w:hAnsi="宋体" w:eastAsia="宋体"/>
          <w:kern w:val="2"/>
          <w:sz w:val="24"/>
          <w:szCs w:val="24"/>
        </w:rPr>
        <w:t>本项目验收合格后，投标人必须提供软件_</w:t>
      </w:r>
      <w:r>
        <w:rPr>
          <w:rFonts w:ascii="宋体" w:hAnsi="宋体" w:eastAsia="宋体"/>
          <w:kern w:val="2"/>
          <w:sz w:val="24"/>
          <w:szCs w:val="24"/>
        </w:rPr>
        <w:t>__</w:t>
      </w:r>
      <w:r>
        <w:rPr>
          <w:rFonts w:hint="eastAsia" w:ascii="宋体" w:hAnsi="宋体" w:eastAsia="宋体"/>
          <w:kern w:val="2"/>
          <w:sz w:val="24"/>
          <w:szCs w:val="24"/>
        </w:rPr>
        <w:t>年的免费功能增强性维护和软件升级、免费技术维护服务，其中包括系统维护、保证软件系统的正常运行。</w:t>
      </w:r>
    </w:p>
    <w:p>
      <w:pPr>
        <w:pStyle w:val="2"/>
        <w:ind w:left="70" w:firstLine="0" w:firstLineChars="0"/>
        <w:rPr>
          <w:rFonts w:ascii="宋体" w:hAnsi="宋体" w:eastAsia="宋体"/>
          <w:kern w:val="2"/>
          <w:sz w:val="24"/>
          <w:szCs w:val="24"/>
        </w:rPr>
      </w:pPr>
      <w:r>
        <w:rPr>
          <w:rFonts w:hint="eastAsia" w:ascii="宋体" w:hAnsi="宋体" w:eastAsia="宋体"/>
          <w:kern w:val="2"/>
          <w:sz w:val="24"/>
          <w:szCs w:val="24"/>
        </w:rPr>
        <w:t>1</w:t>
      </w:r>
      <w:r>
        <w:rPr>
          <w:rFonts w:ascii="宋体" w:hAnsi="宋体" w:eastAsia="宋体"/>
          <w:kern w:val="2"/>
          <w:sz w:val="24"/>
          <w:szCs w:val="24"/>
        </w:rPr>
        <w:t xml:space="preserve">0.2 </w:t>
      </w:r>
      <w:r>
        <w:rPr>
          <w:rFonts w:hint="eastAsia" w:ascii="宋体" w:hAnsi="宋体" w:eastAsia="宋体"/>
          <w:kern w:val="2"/>
          <w:sz w:val="24"/>
          <w:szCs w:val="24"/>
        </w:rPr>
        <w:t>投标人具有固定的经营、开发维护人员，具备完整的技术服务团队且能提供良好的技术支持。提供一年</w:t>
      </w:r>
      <w:r>
        <w:rPr>
          <w:rFonts w:ascii="宋体" w:hAnsi="宋体" w:eastAsia="宋体"/>
          <w:kern w:val="2"/>
          <w:sz w:val="24"/>
          <w:szCs w:val="24"/>
        </w:rPr>
        <w:t>7*24</w:t>
      </w:r>
      <w:r>
        <w:rPr>
          <w:rFonts w:hint="eastAsia" w:ascii="宋体" w:hAnsi="宋体" w:eastAsia="宋体"/>
          <w:kern w:val="2"/>
          <w:sz w:val="24"/>
          <w:szCs w:val="24"/>
        </w:rPr>
        <w:t>小时免费服务，医院工作日白天（</w:t>
      </w:r>
      <w:r>
        <w:rPr>
          <w:rFonts w:ascii="宋体" w:hAnsi="宋体" w:eastAsia="宋体"/>
          <w:kern w:val="2"/>
          <w:sz w:val="24"/>
          <w:szCs w:val="24"/>
        </w:rPr>
        <w:t>8</w:t>
      </w:r>
      <w:r>
        <w:rPr>
          <w:rFonts w:hint="eastAsia" w:ascii="宋体" w:hAnsi="宋体" w:eastAsia="宋体"/>
          <w:kern w:val="2"/>
          <w:sz w:val="24"/>
          <w:szCs w:val="24"/>
        </w:rPr>
        <w:t>：</w:t>
      </w:r>
      <w:r>
        <w:rPr>
          <w:rFonts w:ascii="宋体" w:hAnsi="宋体" w:eastAsia="宋体"/>
          <w:kern w:val="2"/>
          <w:sz w:val="24"/>
          <w:szCs w:val="24"/>
        </w:rPr>
        <w:t>00-17</w:t>
      </w:r>
      <w:r>
        <w:rPr>
          <w:rFonts w:hint="eastAsia" w:ascii="宋体" w:hAnsi="宋体" w:eastAsia="宋体"/>
          <w:kern w:val="2"/>
          <w:sz w:val="24"/>
          <w:szCs w:val="24"/>
        </w:rPr>
        <w:t>：</w:t>
      </w:r>
      <w:r>
        <w:rPr>
          <w:rFonts w:ascii="宋体" w:hAnsi="宋体" w:eastAsia="宋体"/>
          <w:kern w:val="2"/>
          <w:sz w:val="24"/>
          <w:szCs w:val="24"/>
        </w:rPr>
        <w:t>00</w:t>
      </w:r>
      <w:r>
        <w:rPr>
          <w:rFonts w:hint="eastAsia" w:ascii="宋体" w:hAnsi="宋体" w:eastAsia="宋体"/>
          <w:kern w:val="2"/>
          <w:sz w:val="24"/>
          <w:szCs w:val="24"/>
        </w:rPr>
        <w:t>）故障响应时间不超过</w:t>
      </w:r>
      <w:r>
        <w:rPr>
          <w:rFonts w:ascii="宋体" w:hAnsi="宋体" w:eastAsia="宋体"/>
          <w:kern w:val="2"/>
          <w:sz w:val="24"/>
          <w:szCs w:val="24"/>
        </w:rPr>
        <w:t>1</w:t>
      </w:r>
      <w:r>
        <w:rPr>
          <w:rFonts w:hint="eastAsia" w:ascii="宋体" w:hAnsi="宋体" w:eastAsia="宋体"/>
          <w:kern w:val="2"/>
          <w:sz w:val="24"/>
          <w:szCs w:val="24"/>
        </w:rPr>
        <w:t>小时，非工作日及夜间故障响应时间为不超过</w:t>
      </w:r>
      <w:r>
        <w:rPr>
          <w:rFonts w:ascii="宋体" w:hAnsi="宋体" w:eastAsia="宋体"/>
          <w:kern w:val="2"/>
          <w:sz w:val="24"/>
          <w:szCs w:val="24"/>
        </w:rPr>
        <w:t>2</w:t>
      </w:r>
      <w:r>
        <w:rPr>
          <w:rFonts w:hint="eastAsia" w:ascii="宋体" w:hAnsi="宋体" w:eastAsia="宋体"/>
          <w:kern w:val="2"/>
          <w:sz w:val="24"/>
          <w:szCs w:val="24"/>
        </w:rPr>
        <w:t>小时。</w:t>
      </w:r>
      <w:r>
        <w:rPr>
          <w:rFonts w:ascii="宋体" w:hAnsi="宋体" w:eastAsia="宋体"/>
          <w:kern w:val="2"/>
          <w:sz w:val="24"/>
          <w:szCs w:val="24"/>
        </w:rPr>
        <w:t>3</w:t>
      </w:r>
      <w:r>
        <w:rPr>
          <w:rFonts w:hint="eastAsia" w:ascii="宋体" w:hAnsi="宋体" w:eastAsia="宋体"/>
          <w:kern w:val="2"/>
          <w:sz w:val="24"/>
          <w:szCs w:val="24"/>
        </w:rPr>
        <w:t>小时到达现场，</w:t>
      </w:r>
      <w:r>
        <w:rPr>
          <w:rFonts w:ascii="宋体" w:hAnsi="宋体" w:eastAsia="宋体"/>
          <w:kern w:val="2"/>
          <w:sz w:val="24"/>
          <w:szCs w:val="24"/>
        </w:rPr>
        <w:t>8</w:t>
      </w:r>
      <w:r>
        <w:rPr>
          <w:rFonts w:hint="eastAsia" w:ascii="宋体" w:hAnsi="宋体" w:eastAsia="宋体"/>
          <w:kern w:val="2"/>
          <w:sz w:val="24"/>
          <w:szCs w:val="24"/>
        </w:rPr>
        <w:t>小时内修复。免费期内对系统优化和常规安全检查。</w:t>
      </w:r>
    </w:p>
    <w:p>
      <w:pPr>
        <w:pStyle w:val="2"/>
        <w:ind w:left="0" w:leftChars="0" w:firstLine="0" w:firstLineChars="0"/>
        <w:rPr>
          <w:rFonts w:hint="eastAsia" w:ascii="宋体" w:hAnsi="宋体" w:eastAsia="宋体"/>
          <w:kern w:val="2"/>
          <w:sz w:val="24"/>
          <w:szCs w:val="24"/>
        </w:rPr>
      </w:pPr>
      <w:r>
        <w:rPr>
          <w:rFonts w:hint="eastAsia" w:ascii="宋体" w:hAnsi="宋体" w:eastAsia="宋体"/>
          <w:kern w:val="2"/>
          <w:sz w:val="24"/>
          <w:szCs w:val="24"/>
        </w:rPr>
        <w:t>1</w:t>
      </w:r>
      <w:r>
        <w:rPr>
          <w:rFonts w:ascii="宋体" w:hAnsi="宋体" w:eastAsia="宋体"/>
          <w:kern w:val="2"/>
          <w:sz w:val="24"/>
          <w:szCs w:val="24"/>
        </w:rPr>
        <w:t xml:space="preserve">0.3 </w:t>
      </w:r>
      <w:r>
        <w:rPr>
          <w:rFonts w:hint="eastAsia" w:ascii="宋体" w:hAnsi="宋体" w:eastAsia="宋体"/>
          <w:kern w:val="2"/>
          <w:sz w:val="24"/>
          <w:szCs w:val="24"/>
        </w:rPr>
        <w:t>免费维护期后，维保费不超过合同总价的</w:t>
      </w:r>
      <w:r>
        <w:rPr>
          <w:rFonts w:ascii="宋体" w:hAnsi="宋体" w:eastAsia="宋体"/>
          <w:kern w:val="2"/>
          <w:sz w:val="24"/>
          <w:szCs w:val="24"/>
        </w:rPr>
        <w:t>8%</w:t>
      </w:r>
      <w:r>
        <w:rPr>
          <w:rFonts w:hint="eastAsia" w:ascii="宋体" w:hAnsi="宋体" w:eastAsia="宋体"/>
          <w:kern w:val="2"/>
          <w:sz w:val="24"/>
          <w:szCs w:val="24"/>
        </w:rPr>
        <w:t>。</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十一</w:t>
      </w:r>
      <w:r>
        <w:rPr>
          <w:rFonts w:ascii="宋体" w:hAnsi="宋体" w:eastAsia="宋体"/>
          <w:b/>
          <w:sz w:val="24"/>
          <w:szCs w:val="24"/>
        </w:rPr>
        <w:t>、违约责任</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1.1 甲方无正当理由</w:t>
      </w:r>
      <w:r>
        <w:rPr>
          <w:rFonts w:hint="eastAsia" w:ascii="宋体" w:hAnsi="宋体" w:eastAsia="宋体" w:cs="Courier New"/>
          <w:sz w:val="24"/>
          <w:szCs w:val="24"/>
        </w:rPr>
        <w:t>拒绝接受乙方提供服务</w:t>
      </w:r>
      <w:r>
        <w:rPr>
          <w:rFonts w:ascii="宋体" w:hAnsi="宋体" w:eastAsia="宋体" w:cs="Courier New"/>
          <w:sz w:val="24"/>
          <w:szCs w:val="24"/>
        </w:rPr>
        <w:t>的，甲方向乙方偿付</w:t>
      </w:r>
      <w:r>
        <w:rPr>
          <w:rFonts w:hint="eastAsia" w:ascii="宋体" w:hAnsi="宋体" w:eastAsia="宋体" w:cs="Courier New"/>
          <w:sz w:val="24"/>
          <w:szCs w:val="24"/>
        </w:rPr>
        <w:t>拒绝接受服务合同价款</w:t>
      </w:r>
      <w:r>
        <w:rPr>
          <w:rFonts w:ascii="宋体" w:hAnsi="宋体" w:eastAsia="宋体" w:cs="Courier New"/>
          <w:sz w:val="24"/>
          <w:szCs w:val="24"/>
        </w:rPr>
        <w:t>总值</w:t>
      </w:r>
      <w:r>
        <w:rPr>
          <w:rFonts w:hint="eastAsia" w:ascii="宋体" w:hAnsi="宋体" w:eastAsia="宋体" w:cs="Courier New"/>
          <w:sz w:val="24"/>
          <w:szCs w:val="24"/>
          <w:u w:val="single"/>
        </w:rPr>
        <w:t xml:space="preserve"> </w:t>
      </w:r>
      <w:r>
        <w:rPr>
          <w:rFonts w:hint="eastAsia" w:ascii="宋体" w:hAnsi="宋体" w:eastAsia="宋体" w:cs="宋体"/>
          <w:sz w:val="24"/>
          <w:u w:val="single"/>
        </w:rPr>
        <w:t>20</w:t>
      </w:r>
      <w:r>
        <w:rPr>
          <w:rFonts w:hint="eastAsia" w:ascii="宋体" w:hAnsi="宋体" w:cs="宋体"/>
          <w:sz w:val="24"/>
          <w:u w:val="single"/>
        </w:rPr>
        <w:t>%</w:t>
      </w:r>
      <w:r>
        <w:rPr>
          <w:rFonts w:hint="eastAsia" w:ascii="宋体" w:hAnsi="宋体" w:eastAsia="宋体" w:cs="Courier New"/>
          <w:sz w:val="24"/>
          <w:szCs w:val="24"/>
          <w:u w:val="single"/>
        </w:rPr>
        <w:t xml:space="preserve"> </w:t>
      </w:r>
      <w:r>
        <w:rPr>
          <w:rFonts w:ascii="宋体" w:hAnsi="宋体" w:eastAsia="宋体" w:cs="Courier New"/>
          <w:sz w:val="24"/>
          <w:szCs w:val="24"/>
        </w:rPr>
        <w:t>的违约金。</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1.2 甲方无故逾期验收和办理</w:t>
      </w:r>
      <w:r>
        <w:rPr>
          <w:rFonts w:hint="eastAsia" w:ascii="宋体" w:hAnsi="宋体" w:eastAsia="宋体" w:cs="Courier New"/>
          <w:sz w:val="24"/>
          <w:szCs w:val="24"/>
        </w:rPr>
        <w:t>合同款项</w:t>
      </w:r>
      <w:r>
        <w:rPr>
          <w:rFonts w:ascii="宋体" w:hAnsi="宋体" w:eastAsia="宋体" w:cs="Courier New"/>
          <w:sz w:val="24"/>
          <w:szCs w:val="24"/>
        </w:rPr>
        <w:t>支付手续的,甲方应按逾期付款总额每日</w:t>
      </w:r>
      <w:r>
        <w:rPr>
          <w:rFonts w:hint="eastAsia" w:ascii="宋体" w:hAnsi="宋体" w:eastAsia="宋体" w:cs="Courier New"/>
          <w:sz w:val="24"/>
          <w:szCs w:val="24"/>
          <w:u w:val="single"/>
        </w:rPr>
        <w:t xml:space="preserve"> 万分之二 </w:t>
      </w:r>
      <w:r>
        <w:rPr>
          <w:rFonts w:ascii="宋体" w:hAnsi="宋体" w:eastAsia="宋体" w:cs="Courier New"/>
          <w:sz w:val="24"/>
          <w:szCs w:val="24"/>
        </w:rPr>
        <w:t>向乙方支付违约金。</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1.3 乙方逾期</w:t>
      </w:r>
      <w:r>
        <w:rPr>
          <w:rFonts w:hint="eastAsia" w:ascii="宋体" w:hAnsi="宋体" w:eastAsia="宋体" w:cs="Courier New"/>
          <w:sz w:val="24"/>
          <w:szCs w:val="24"/>
        </w:rPr>
        <w:t>提供服务</w:t>
      </w:r>
      <w:r>
        <w:rPr>
          <w:rFonts w:ascii="宋体" w:hAnsi="宋体" w:eastAsia="宋体" w:cs="Courier New"/>
          <w:sz w:val="24"/>
          <w:szCs w:val="24"/>
        </w:rPr>
        <w:t>的，乙方应按逾期</w:t>
      </w:r>
      <w:r>
        <w:rPr>
          <w:rFonts w:hint="eastAsia" w:ascii="宋体" w:hAnsi="宋体" w:eastAsia="宋体" w:cs="Courier New"/>
          <w:sz w:val="24"/>
          <w:szCs w:val="24"/>
        </w:rPr>
        <w:t>提供服务合同</w:t>
      </w:r>
      <w:r>
        <w:rPr>
          <w:rFonts w:ascii="宋体" w:hAnsi="宋体" w:eastAsia="宋体" w:cs="Courier New"/>
          <w:sz w:val="24"/>
          <w:szCs w:val="24"/>
        </w:rPr>
        <w:t>总额每日</w:t>
      </w:r>
      <w:r>
        <w:rPr>
          <w:rFonts w:hint="eastAsia" w:ascii="宋体" w:hAnsi="宋体" w:eastAsia="宋体" w:cs="Courier New"/>
          <w:sz w:val="24"/>
          <w:szCs w:val="24"/>
          <w:u w:val="single"/>
        </w:rPr>
        <w:t xml:space="preserve"> 0.5</w:t>
      </w:r>
      <w:r>
        <w:rPr>
          <w:rFonts w:hint="eastAsia" w:ascii="宋体" w:hAnsi="宋体" w:cs="宋体"/>
          <w:sz w:val="24"/>
          <w:u w:val="single"/>
        </w:rPr>
        <w:t>%</w:t>
      </w:r>
      <w:r>
        <w:rPr>
          <w:rFonts w:hint="eastAsia" w:ascii="宋体" w:hAnsi="宋体" w:eastAsia="宋体" w:cs="Courier New"/>
          <w:sz w:val="24"/>
          <w:szCs w:val="24"/>
          <w:u w:val="single"/>
        </w:rPr>
        <w:t xml:space="preserve"> </w:t>
      </w:r>
      <w:r>
        <w:rPr>
          <w:rFonts w:ascii="宋体" w:hAnsi="宋体" w:eastAsia="宋体" w:cs="Courier New"/>
          <w:sz w:val="24"/>
          <w:szCs w:val="24"/>
        </w:rPr>
        <w:t>向甲方支付违约金，由甲方从待付</w:t>
      </w:r>
      <w:r>
        <w:rPr>
          <w:rFonts w:hint="eastAsia" w:ascii="宋体" w:hAnsi="宋体" w:eastAsia="宋体" w:cs="Courier New"/>
          <w:sz w:val="24"/>
          <w:szCs w:val="24"/>
        </w:rPr>
        <w:t>合同款项</w:t>
      </w:r>
      <w:r>
        <w:rPr>
          <w:rFonts w:ascii="宋体" w:hAnsi="宋体" w:eastAsia="宋体" w:cs="Courier New"/>
          <w:sz w:val="24"/>
          <w:szCs w:val="24"/>
        </w:rPr>
        <w:t>中扣除。逾期超过约定日期</w:t>
      </w:r>
      <w:r>
        <w:rPr>
          <w:rFonts w:hint="eastAsia" w:ascii="宋体" w:hAnsi="宋体" w:eastAsia="宋体" w:cs="Courier New"/>
          <w:sz w:val="24"/>
          <w:szCs w:val="24"/>
          <w:u w:val="single"/>
        </w:rPr>
        <w:t xml:space="preserve"> 30 </w:t>
      </w:r>
      <w:r>
        <w:rPr>
          <w:rFonts w:ascii="宋体" w:hAnsi="宋体" w:eastAsia="宋体" w:cs="Courier New"/>
          <w:sz w:val="24"/>
          <w:szCs w:val="24"/>
        </w:rPr>
        <w:t>个工作日不能</w:t>
      </w:r>
      <w:r>
        <w:rPr>
          <w:rFonts w:hint="eastAsia" w:ascii="宋体" w:hAnsi="宋体" w:eastAsia="宋体" w:cs="Courier New"/>
          <w:sz w:val="24"/>
          <w:szCs w:val="24"/>
        </w:rPr>
        <w:t>提供服务</w:t>
      </w:r>
      <w:r>
        <w:rPr>
          <w:rFonts w:ascii="宋体" w:hAnsi="宋体" w:eastAsia="宋体" w:cs="Courier New"/>
          <w:sz w:val="24"/>
          <w:szCs w:val="24"/>
        </w:rPr>
        <w:t>的，甲方可解除本合同。乙方因逾期</w:t>
      </w:r>
      <w:r>
        <w:rPr>
          <w:rFonts w:hint="eastAsia" w:ascii="宋体" w:hAnsi="宋体" w:eastAsia="宋体" w:cs="Courier New"/>
          <w:sz w:val="24"/>
          <w:szCs w:val="24"/>
        </w:rPr>
        <w:t>提供服务</w:t>
      </w:r>
      <w:r>
        <w:rPr>
          <w:rFonts w:ascii="宋体" w:hAnsi="宋体" w:eastAsia="宋体" w:cs="Courier New"/>
          <w:sz w:val="24"/>
          <w:szCs w:val="24"/>
        </w:rPr>
        <w:t>或因其他违约行为导致甲方解除合同的，乙方应向甲方支付合同</w:t>
      </w:r>
      <w:r>
        <w:rPr>
          <w:rFonts w:hint="eastAsia" w:ascii="宋体" w:hAnsi="宋体" w:eastAsia="宋体" w:cs="Courier New"/>
          <w:sz w:val="24"/>
          <w:szCs w:val="24"/>
        </w:rPr>
        <w:t>价款总额</w:t>
      </w:r>
      <w:r>
        <w:rPr>
          <w:rFonts w:hint="eastAsia" w:ascii="宋体" w:hAnsi="宋体" w:eastAsia="宋体" w:cs="宋体"/>
          <w:sz w:val="24"/>
          <w:u w:val="single"/>
        </w:rPr>
        <w:t>20</w:t>
      </w:r>
      <w:r>
        <w:rPr>
          <w:rFonts w:hint="eastAsia" w:ascii="宋体" w:hAnsi="宋体" w:cs="宋体"/>
          <w:sz w:val="24"/>
          <w:u w:val="single"/>
        </w:rPr>
        <w:t>%</w:t>
      </w:r>
      <w:r>
        <w:rPr>
          <w:rFonts w:ascii="宋体" w:hAnsi="宋体" w:eastAsia="宋体" w:cs="Courier New"/>
          <w:sz w:val="24"/>
          <w:szCs w:val="24"/>
        </w:rPr>
        <w:t xml:space="preserve">的违约金，如造成甲方损失超过违约金的，超出部分由乙方继续承担赔偿责任。 </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1.4 乙方</w:t>
      </w:r>
      <w:r>
        <w:rPr>
          <w:rFonts w:hint="eastAsia" w:ascii="宋体" w:hAnsi="宋体" w:eastAsia="宋体" w:cs="Courier New"/>
          <w:sz w:val="24"/>
          <w:szCs w:val="24"/>
        </w:rPr>
        <w:t>所提供服务的标准</w:t>
      </w:r>
      <w:r>
        <w:rPr>
          <w:rFonts w:ascii="宋体" w:hAnsi="宋体" w:eastAsia="宋体" w:cs="Courier New"/>
          <w:sz w:val="24"/>
          <w:szCs w:val="24"/>
        </w:rPr>
        <w:t>不符合合同规定及采购文件规定标准的，甲方有权</w:t>
      </w:r>
      <w:r>
        <w:rPr>
          <w:rFonts w:hint="eastAsia" w:ascii="宋体" w:hAnsi="宋体" w:eastAsia="宋体" w:cs="Courier New"/>
          <w:sz w:val="24"/>
          <w:szCs w:val="24"/>
        </w:rPr>
        <w:t>拒绝接受服务</w:t>
      </w:r>
      <w:r>
        <w:rPr>
          <w:rFonts w:ascii="宋体" w:hAnsi="宋体" w:eastAsia="宋体" w:cs="Courier New"/>
          <w:sz w:val="24"/>
          <w:szCs w:val="24"/>
        </w:rPr>
        <w:t>，</w:t>
      </w:r>
      <w:r>
        <w:rPr>
          <w:rFonts w:hint="eastAsia" w:ascii="宋体" w:hAnsi="宋体" w:eastAsia="宋体" w:cs="Courier New"/>
          <w:sz w:val="24"/>
          <w:szCs w:val="24"/>
        </w:rPr>
        <w:t>并</w:t>
      </w:r>
      <w:r>
        <w:rPr>
          <w:rFonts w:ascii="宋体" w:hAnsi="宋体" w:eastAsia="宋体" w:cs="Courier New"/>
          <w:sz w:val="24"/>
          <w:szCs w:val="24"/>
        </w:rPr>
        <w:t>可单方面解除合同。</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十二</w:t>
      </w:r>
      <w:r>
        <w:rPr>
          <w:rFonts w:ascii="宋体" w:hAnsi="宋体" w:eastAsia="宋体"/>
          <w:b/>
          <w:sz w:val="24"/>
          <w:szCs w:val="24"/>
        </w:rPr>
        <w:t>、不可抗力事件处理</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2.1 在合同有效期内，任何一方因不可抗力事件导致不能履行合同，则合同履行期可延长，其延长期与不可抗力影响期相同。</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2.2 不可抗力事件发生后，应立即通知对方，并寄送有关权威机构出具的证明。</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2.3 不可抗力事件延续120天以上，双方应通过友好协商，确定是否继续履行合同。</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十三</w:t>
      </w:r>
      <w:r>
        <w:rPr>
          <w:rFonts w:ascii="宋体" w:hAnsi="宋体" w:eastAsia="宋体"/>
          <w:b/>
          <w:sz w:val="24"/>
          <w:szCs w:val="24"/>
        </w:rPr>
        <w:t>、诉讼</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3.1 双方在执行合同中所发生的一切争议，应通过协商解决。如协商不成，可向合同签订地法院起诉，合同签订地在此约定为</w:t>
      </w:r>
      <w:r>
        <w:rPr>
          <w:rFonts w:hint="eastAsia" w:ascii="宋体" w:hAnsi="宋体" w:eastAsia="宋体" w:cs="Courier New"/>
          <w:sz w:val="24"/>
          <w:szCs w:val="24"/>
          <w:u w:val="single"/>
        </w:rPr>
        <w:t>南通市</w:t>
      </w:r>
      <w:r>
        <w:rPr>
          <w:rFonts w:ascii="宋体" w:hAnsi="宋体" w:eastAsia="宋体" w:cs="Courier New"/>
          <w:sz w:val="24"/>
          <w:szCs w:val="24"/>
        </w:rPr>
        <w:t>。</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十四、其他</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4</w:t>
      </w:r>
      <w:r>
        <w:rPr>
          <w:rFonts w:hint="eastAsia" w:ascii="宋体" w:hAnsi="宋体" w:eastAsia="宋体" w:cs="Courier New"/>
          <w:sz w:val="24"/>
          <w:szCs w:val="24"/>
        </w:rPr>
        <w:t>.1 本合同所有附件、招标文件、中标通知书均为合同的有效组成部分，与本合同具有同等法律效力。</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4</w:t>
      </w:r>
      <w:r>
        <w:rPr>
          <w:rFonts w:hint="eastAsia" w:ascii="宋体" w:hAnsi="宋体" w:eastAsia="宋体" w:cs="Courier New"/>
          <w:sz w:val="24"/>
          <w:szCs w:val="24"/>
        </w:rPr>
        <w:t>.2 如一方地址、电话、传真号码有变更，应在变更当日内书面通知对方，否则，应承担相应责任。</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4</w:t>
      </w:r>
      <w:r>
        <w:rPr>
          <w:rFonts w:hint="eastAsia" w:ascii="宋体" w:hAnsi="宋体" w:eastAsia="宋体" w:cs="Courier New"/>
          <w:sz w:val="24"/>
          <w:szCs w:val="24"/>
        </w:rPr>
        <w:t>.3 除甲方事先书面同意外，乙方不得部分或全部转让其应履行的合同项下的义务。</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4.</w:t>
      </w:r>
      <w:r>
        <w:rPr>
          <w:rFonts w:hint="eastAsia" w:ascii="宋体" w:hAnsi="宋体" w:eastAsia="宋体" w:cs="Courier New"/>
          <w:sz w:val="24"/>
          <w:szCs w:val="24"/>
        </w:rPr>
        <w:t>4</w:t>
      </w:r>
      <w:r>
        <w:rPr>
          <w:rFonts w:ascii="宋体" w:hAnsi="宋体" w:eastAsia="宋体" w:cs="Courier New"/>
          <w:sz w:val="24"/>
          <w:szCs w:val="24"/>
        </w:rPr>
        <w:t xml:space="preserve"> 本合同未尽事宜，遵照</w:t>
      </w:r>
      <w:r>
        <w:rPr>
          <w:rFonts w:hint="eastAsia" w:ascii="宋体" w:hAnsi="宋体" w:eastAsia="宋体" w:cs="Courier New"/>
          <w:sz w:val="24"/>
          <w:szCs w:val="24"/>
        </w:rPr>
        <w:t>《中华人民共和国民法典》、《中华人民共和国政府采购法》及其相关配套法律法规之规定解释</w:t>
      </w:r>
      <w:r>
        <w:rPr>
          <w:rFonts w:ascii="宋体" w:hAnsi="宋体" w:eastAsia="宋体" w:cs="Courier New"/>
          <w:sz w:val="24"/>
          <w:szCs w:val="24"/>
        </w:rPr>
        <w:t>。</w:t>
      </w:r>
    </w:p>
    <w:p>
      <w:pPr>
        <w:snapToGrid w:val="0"/>
        <w:spacing w:before="120" w:after="120" w:line="600" w:lineRule="exact"/>
        <w:rPr>
          <w:rFonts w:ascii="宋体" w:hAnsi="宋体" w:eastAsia="宋体"/>
          <w:b/>
          <w:sz w:val="24"/>
          <w:szCs w:val="24"/>
        </w:rPr>
      </w:pPr>
      <w:r>
        <w:rPr>
          <w:rFonts w:hint="eastAsia" w:ascii="宋体" w:hAnsi="宋体" w:eastAsia="宋体"/>
          <w:b/>
          <w:sz w:val="24"/>
          <w:szCs w:val="24"/>
        </w:rPr>
        <w:t>十五</w:t>
      </w:r>
      <w:r>
        <w:rPr>
          <w:rFonts w:ascii="宋体" w:hAnsi="宋体" w:eastAsia="宋体"/>
          <w:b/>
          <w:sz w:val="24"/>
          <w:szCs w:val="24"/>
        </w:rPr>
        <w:t>、合同生效</w:t>
      </w:r>
    </w:p>
    <w:p>
      <w:pPr>
        <w:snapToGrid w:val="0"/>
        <w:spacing w:line="300" w:lineRule="auto"/>
        <w:ind w:left="612" w:hanging="612" w:hangingChars="255"/>
        <w:rPr>
          <w:rFonts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5</w:t>
      </w:r>
      <w:r>
        <w:rPr>
          <w:rFonts w:hint="eastAsia" w:ascii="宋体" w:hAnsi="宋体" w:eastAsia="宋体" w:cs="Courier New"/>
          <w:sz w:val="24"/>
          <w:szCs w:val="24"/>
        </w:rPr>
        <w:t>.1 合同经双方法定代表人或授权委托代表人签字并加盖单位公章后生效。</w:t>
      </w:r>
    </w:p>
    <w:p>
      <w:pPr>
        <w:snapToGrid w:val="0"/>
        <w:spacing w:line="300" w:lineRule="auto"/>
        <w:ind w:left="612" w:hanging="612" w:hangingChars="255"/>
        <w:rPr>
          <w:rFonts w:hint="eastAsia" w:ascii="宋体" w:hAnsi="宋体" w:eastAsia="宋体" w:cs="Courier New"/>
          <w:sz w:val="24"/>
          <w:szCs w:val="24"/>
        </w:rPr>
      </w:pPr>
      <w:r>
        <w:rPr>
          <w:rFonts w:hint="eastAsia" w:ascii="宋体" w:hAnsi="宋体" w:eastAsia="宋体" w:cs="Courier New"/>
          <w:sz w:val="24"/>
          <w:szCs w:val="24"/>
        </w:rPr>
        <w:t>1</w:t>
      </w:r>
      <w:r>
        <w:rPr>
          <w:rFonts w:ascii="宋体" w:hAnsi="宋体" w:eastAsia="宋体" w:cs="Courier New"/>
          <w:sz w:val="24"/>
          <w:szCs w:val="24"/>
        </w:rPr>
        <w:t>5</w:t>
      </w:r>
      <w:r>
        <w:rPr>
          <w:rFonts w:hint="eastAsia" w:ascii="宋体" w:hAnsi="宋体" w:eastAsia="宋体" w:cs="Courier New"/>
          <w:sz w:val="24"/>
          <w:szCs w:val="24"/>
        </w:rPr>
        <w:t>.2 本合同正本一式</w:t>
      </w:r>
      <w:r>
        <w:rPr>
          <w:rFonts w:hint="eastAsia" w:ascii="宋体" w:hAnsi="宋体" w:eastAsia="宋体" w:cs="Courier New"/>
          <w:sz w:val="24"/>
          <w:szCs w:val="24"/>
          <w:u w:val="single"/>
        </w:rPr>
        <w:t xml:space="preserve"> 肆 </w:t>
      </w:r>
      <w:r>
        <w:rPr>
          <w:rFonts w:hint="eastAsia" w:ascii="宋体" w:hAnsi="宋体" w:eastAsia="宋体" w:cs="Courier New"/>
          <w:sz w:val="24"/>
          <w:szCs w:val="24"/>
        </w:rPr>
        <w:t>份，双方各执贰份。</w:t>
      </w:r>
    </w:p>
    <w:p>
      <w:pPr>
        <w:pStyle w:val="22"/>
        <w:rPr>
          <w:rFonts w:ascii="宋体" w:hAnsi="宋体" w:eastAsia="宋体" w:cs="Courier New"/>
          <w:sz w:val="24"/>
          <w:szCs w:val="24"/>
        </w:rPr>
      </w:pPr>
    </w:p>
    <w:p>
      <w:pPr>
        <w:pStyle w:val="22"/>
        <w:rPr>
          <w:rFonts w:ascii="宋体" w:hAnsi="宋体" w:eastAsia="宋体" w:cs="Courier New"/>
          <w:sz w:val="24"/>
          <w:szCs w:val="24"/>
        </w:rPr>
      </w:pPr>
      <w:r>
        <w:rPr>
          <w:rFonts w:hint="eastAsia" w:ascii="宋体" w:hAnsi="宋体" w:eastAsia="宋体" w:cs="Courier New"/>
          <w:sz w:val="24"/>
          <w:szCs w:val="24"/>
        </w:rPr>
        <w:t>（以下为签字盖章处）</w:t>
      </w:r>
    </w:p>
    <w:p>
      <w:pPr>
        <w:pStyle w:val="22"/>
        <w:rPr>
          <w:rFonts w:ascii="宋体" w:hAnsi="宋体" w:eastAsia="宋体" w:cs="Courier New"/>
          <w:sz w:val="24"/>
          <w:szCs w:val="24"/>
        </w:rPr>
      </w:pPr>
    </w:p>
    <w:p>
      <w:pPr>
        <w:snapToGrid w:val="0"/>
        <w:spacing w:before="120" w:after="120" w:line="0" w:lineRule="atLeast"/>
        <w:ind w:left="480" w:hanging="480" w:hangingChars="200"/>
        <w:rPr>
          <w:rFonts w:ascii="宋体" w:hAnsi="宋体" w:eastAsia="宋体" w:cs="Courier New"/>
          <w:sz w:val="24"/>
          <w:szCs w:val="24"/>
        </w:rPr>
      </w:pPr>
      <w:r>
        <w:rPr>
          <w:rFonts w:hint="eastAsia" w:ascii="宋体" w:hAnsi="宋体" w:eastAsia="宋体" w:cs="Courier New"/>
          <w:sz w:val="24"/>
          <w:szCs w:val="24"/>
        </w:rPr>
        <w:t xml:space="preserve"> </w:t>
      </w:r>
      <w:r>
        <w:rPr>
          <w:rFonts w:ascii="宋体" w:hAnsi="宋体" w:eastAsia="宋体" w:cs="Courier New"/>
          <w:sz w:val="24"/>
          <w:szCs w:val="24"/>
        </w:rPr>
        <w:t>甲方：</w:t>
      </w:r>
      <w:r>
        <w:rPr>
          <w:rFonts w:hint="eastAsia" w:ascii="宋体" w:hAnsi="宋体" w:eastAsia="宋体"/>
          <w:sz w:val="24"/>
          <w:szCs w:val="24"/>
        </w:rPr>
        <w:t xml:space="preserve"> </w:t>
      </w:r>
      <w:r>
        <w:rPr>
          <w:rFonts w:ascii="宋体" w:hAnsi="宋体" w:eastAsia="宋体" w:cs="Courier New"/>
          <w:sz w:val="24"/>
          <w:szCs w:val="24"/>
        </w:rPr>
        <w:t xml:space="preserve">                       </w:t>
      </w:r>
    </w:p>
    <w:p>
      <w:pPr>
        <w:widowControl/>
        <w:spacing w:before="190" w:beforeLines="50" w:line="276" w:lineRule="auto"/>
        <w:jc w:val="left"/>
        <w:rPr>
          <w:rFonts w:ascii="宋体" w:hAnsi="宋体" w:eastAsia="宋体" w:cs="Arial"/>
          <w:bCs/>
          <w:kern w:val="0"/>
          <w:sz w:val="24"/>
          <w:lang w:bidi="ar"/>
        </w:rPr>
      </w:pPr>
      <w:r>
        <w:rPr>
          <w:rFonts w:ascii="宋体" w:hAnsi="宋体" w:eastAsia="宋体" w:cs="Courier New"/>
          <w:sz w:val="24"/>
          <w:szCs w:val="24"/>
        </w:rPr>
        <w:t xml:space="preserve"> 地址</w:t>
      </w:r>
      <w:r>
        <w:rPr>
          <w:rFonts w:hint="eastAsia" w:eastAsia="宋体"/>
          <w:sz w:val="24"/>
          <w:szCs w:val="24"/>
        </w:rPr>
        <w:t>：</w:t>
      </w:r>
      <w:r>
        <w:rPr>
          <w:rFonts w:hint="eastAsia" w:ascii="宋体" w:hAnsi="宋体" w:eastAsia="宋体"/>
          <w:sz w:val="24"/>
          <w:szCs w:val="24"/>
        </w:rPr>
        <w:t xml:space="preserve"> </w:t>
      </w:r>
    </w:p>
    <w:p>
      <w:pPr>
        <w:snapToGrid w:val="0"/>
        <w:spacing w:before="120" w:after="120" w:line="0" w:lineRule="atLeast"/>
        <w:rPr>
          <w:rFonts w:ascii="宋体" w:hAnsi="宋体" w:eastAsia="宋体" w:cs="Courier New"/>
          <w:sz w:val="24"/>
          <w:szCs w:val="24"/>
        </w:rPr>
      </w:pPr>
      <w:r>
        <w:rPr>
          <w:rFonts w:ascii="宋体" w:hAnsi="宋体" w:eastAsia="宋体" w:cs="Courier New"/>
          <w:sz w:val="24"/>
          <w:szCs w:val="24"/>
        </w:rPr>
        <w:t xml:space="preserve"> 法定代表人</w:t>
      </w:r>
      <w:r>
        <w:rPr>
          <w:rFonts w:hint="eastAsia" w:ascii="宋体" w:hAnsi="宋体" w:eastAsia="宋体" w:cs="Courier New"/>
          <w:sz w:val="24"/>
          <w:szCs w:val="24"/>
        </w:rPr>
        <w:t>或授权代表</w:t>
      </w:r>
      <w:r>
        <w:rPr>
          <w:rFonts w:ascii="宋体" w:hAnsi="宋体" w:eastAsia="宋体" w:cs="Courier New"/>
          <w:sz w:val="24"/>
          <w:szCs w:val="24"/>
        </w:rPr>
        <w:t xml:space="preserve">：       </w:t>
      </w:r>
    </w:p>
    <w:p>
      <w:pPr>
        <w:snapToGrid w:val="0"/>
        <w:spacing w:before="120" w:after="120" w:line="0" w:lineRule="atLeast"/>
        <w:ind w:firstLine="240" w:firstLineChars="100"/>
        <w:rPr>
          <w:rFonts w:ascii="宋体" w:hAnsi="宋体" w:eastAsia="宋体" w:cs="Courier New"/>
          <w:sz w:val="24"/>
          <w:szCs w:val="24"/>
        </w:rPr>
      </w:pPr>
      <w:r>
        <w:rPr>
          <w:rFonts w:hint="eastAsia" w:ascii="宋体" w:hAnsi="宋体" w:eastAsia="宋体" w:cs="Courier New"/>
          <w:sz w:val="24"/>
          <w:szCs w:val="24"/>
        </w:rPr>
        <w:t xml:space="preserve">联系电话：   </w:t>
      </w:r>
    </w:p>
    <w:p>
      <w:pPr>
        <w:snapToGrid w:val="0"/>
        <w:spacing w:before="120" w:after="120" w:line="0" w:lineRule="atLeast"/>
        <w:ind w:firstLine="240" w:firstLineChars="100"/>
        <w:rPr>
          <w:rFonts w:ascii="宋体" w:hAnsi="宋体" w:eastAsia="宋体" w:cs="Courier New"/>
          <w:sz w:val="24"/>
          <w:szCs w:val="24"/>
        </w:rPr>
      </w:pPr>
    </w:p>
    <w:p>
      <w:pPr>
        <w:snapToGrid w:val="0"/>
        <w:spacing w:before="120" w:after="120" w:line="0" w:lineRule="atLeast"/>
        <w:ind w:left="480" w:hanging="480" w:hangingChars="200"/>
        <w:rPr>
          <w:rFonts w:ascii="宋体" w:hAnsi="宋体" w:eastAsia="宋体" w:cs="Courier New"/>
          <w:sz w:val="24"/>
          <w:szCs w:val="24"/>
        </w:rPr>
      </w:pPr>
      <w:r>
        <w:rPr>
          <w:rFonts w:hint="eastAsia" w:ascii="宋体" w:hAnsi="宋体" w:eastAsia="宋体" w:cs="Courier New"/>
          <w:sz w:val="24"/>
          <w:szCs w:val="24"/>
        </w:rPr>
        <w:t>乙</w:t>
      </w:r>
      <w:r>
        <w:rPr>
          <w:rFonts w:ascii="宋体" w:hAnsi="宋体" w:eastAsia="宋体" w:cs="Courier New"/>
          <w:sz w:val="24"/>
          <w:szCs w:val="24"/>
        </w:rPr>
        <w:t xml:space="preserve">方：                      </w:t>
      </w:r>
    </w:p>
    <w:p>
      <w:pPr>
        <w:snapToGrid w:val="0"/>
        <w:spacing w:before="120" w:after="120" w:line="0" w:lineRule="atLeast"/>
        <w:ind w:left="480" w:hanging="480" w:hangingChars="200"/>
        <w:rPr>
          <w:rFonts w:ascii="宋体" w:hAnsi="宋体" w:eastAsia="宋体" w:cs="Courier New"/>
          <w:sz w:val="24"/>
          <w:szCs w:val="24"/>
        </w:rPr>
      </w:pPr>
      <w:r>
        <w:rPr>
          <w:rFonts w:ascii="宋体" w:hAnsi="宋体" w:eastAsia="宋体" w:cs="Courier New"/>
          <w:sz w:val="24"/>
          <w:szCs w:val="24"/>
        </w:rPr>
        <w:t xml:space="preserve">地址： </w:t>
      </w:r>
    </w:p>
    <w:p>
      <w:pPr>
        <w:snapToGrid w:val="0"/>
        <w:spacing w:before="120" w:after="120" w:line="0" w:lineRule="atLeast"/>
        <w:ind w:left="480" w:hanging="480" w:hangingChars="200"/>
        <w:rPr>
          <w:rFonts w:ascii="宋体" w:hAnsi="宋体" w:eastAsia="宋体" w:cs="Courier New"/>
          <w:sz w:val="24"/>
          <w:szCs w:val="24"/>
        </w:rPr>
      </w:pPr>
      <w:r>
        <w:rPr>
          <w:rFonts w:ascii="宋体" w:hAnsi="宋体" w:eastAsia="宋体" w:cs="Courier New"/>
          <w:sz w:val="24"/>
          <w:szCs w:val="24"/>
        </w:rPr>
        <w:t>法定代表人</w:t>
      </w:r>
      <w:r>
        <w:rPr>
          <w:rFonts w:hint="eastAsia" w:ascii="宋体" w:hAnsi="宋体" w:eastAsia="宋体" w:cs="Courier New"/>
          <w:sz w:val="24"/>
          <w:szCs w:val="24"/>
        </w:rPr>
        <w:t>或授权代表</w:t>
      </w:r>
      <w:r>
        <w:rPr>
          <w:rFonts w:ascii="宋体" w:hAnsi="宋体" w:eastAsia="宋体" w:cs="Courier New"/>
          <w:sz w:val="24"/>
          <w:szCs w:val="24"/>
        </w:rPr>
        <w:t xml:space="preserve">：       </w:t>
      </w:r>
    </w:p>
    <w:p>
      <w:pPr>
        <w:snapToGrid w:val="0"/>
        <w:spacing w:before="120" w:after="120" w:line="0" w:lineRule="atLeast"/>
        <w:rPr>
          <w:rFonts w:ascii="宋体" w:hAnsi="宋体" w:eastAsia="宋体" w:cs="Courier New"/>
          <w:sz w:val="24"/>
          <w:szCs w:val="24"/>
        </w:rPr>
      </w:pPr>
      <w:r>
        <w:rPr>
          <w:rFonts w:hint="eastAsia" w:ascii="宋体" w:hAnsi="宋体" w:eastAsia="宋体" w:cs="Courier New"/>
          <w:sz w:val="24"/>
          <w:szCs w:val="24"/>
        </w:rPr>
        <w:t xml:space="preserve">联系电话：            </w:t>
      </w:r>
    </w:p>
    <w:p>
      <w:pPr>
        <w:spacing w:line="360" w:lineRule="auto"/>
        <w:rPr>
          <w:rFonts w:hAnsi="宋体" w:eastAsia="宋体"/>
          <w:sz w:val="24"/>
          <w:szCs w:val="24"/>
        </w:rPr>
      </w:pPr>
      <w:r>
        <w:rPr>
          <w:rFonts w:ascii="宋体" w:hAnsi="宋体" w:eastAsia="宋体" w:cs="Courier New"/>
          <w:sz w:val="24"/>
          <w:szCs w:val="24"/>
        </w:rPr>
        <w:t xml:space="preserve">签订日期：     年  </w:t>
      </w:r>
      <w:r>
        <w:rPr>
          <w:rFonts w:hint="eastAsia" w:ascii="宋体" w:hAnsi="宋体" w:eastAsia="宋体" w:cs="Courier New"/>
          <w:sz w:val="24"/>
          <w:szCs w:val="24"/>
        </w:rPr>
        <w:t xml:space="preserve">  </w:t>
      </w:r>
      <w:r>
        <w:rPr>
          <w:rFonts w:ascii="宋体" w:hAnsi="宋体" w:eastAsia="宋体" w:cs="Courier New"/>
          <w:sz w:val="24"/>
          <w:szCs w:val="24"/>
        </w:rPr>
        <w:t>月</w:t>
      </w:r>
      <w:r>
        <w:rPr>
          <w:rFonts w:hint="eastAsia" w:ascii="宋体" w:hAnsi="宋体" w:eastAsia="宋体" w:cs="Courier New"/>
          <w:sz w:val="24"/>
          <w:szCs w:val="24"/>
        </w:rPr>
        <w:t xml:space="preserve"> </w:t>
      </w:r>
      <w:r>
        <w:rPr>
          <w:rFonts w:ascii="宋体" w:hAnsi="宋体" w:eastAsia="宋体" w:cs="Courier New"/>
          <w:sz w:val="24"/>
          <w:szCs w:val="24"/>
        </w:rPr>
        <w:t xml:space="preserve"> </w:t>
      </w:r>
      <w:r>
        <w:rPr>
          <w:rFonts w:hint="eastAsia" w:ascii="宋体" w:hAnsi="宋体" w:eastAsia="宋体" w:cs="Courier New"/>
          <w:sz w:val="24"/>
          <w:szCs w:val="24"/>
        </w:rPr>
        <w:t xml:space="preserve"> </w:t>
      </w:r>
      <w:r>
        <w:rPr>
          <w:rFonts w:ascii="宋体" w:hAnsi="宋体" w:eastAsia="宋体" w:cs="Courier New"/>
          <w:sz w:val="24"/>
          <w:szCs w:val="24"/>
        </w:rPr>
        <w:t>日</w:t>
      </w:r>
    </w:p>
    <w:p>
      <w:pPr>
        <w:rPr>
          <w:rFonts w:hAnsi="宋体" w:eastAsia="宋体"/>
          <w:sz w:val="24"/>
          <w:szCs w:val="24"/>
        </w:rPr>
      </w:pPr>
      <w:r>
        <w:rPr>
          <w:rFonts w:hAnsi="宋体" w:eastAsia="宋体"/>
          <w:sz w:val="24"/>
          <w:szCs w:val="24"/>
        </w:rPr>
        <w:br w:type="page"/>
      </w:r>
    </w:p>
    <w:p>
      <w:pPr>
        <w:snapToGrid w:val="0"/>
        <w:spacing w:line="360" w:lineRule="auto"/>
        <w:rPr>
          <w:rFonts w:ascii="宋体" w:hAnsi="宋体" w:eastAsia="宋体"/>
          <w:b/>
          <w:sz w:val="24"/>
          <w:szCs w:val="24"/>
        </w:rPr>
      </w:pPr>
      <w:r>
        <w:rPr>
          <w:rFonts w:hint="eastAsia" w:ascii="宋体" w:hAnsi="宋体" w:eastAsia="宋体"/>
          <w:b/>
          <w:sz w:val="24"/>
          <w:szCs w:val="24"/>
        </w:rPr>
        <w:t>附件1</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一、系统规模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30个病区位点，考虑到预留位点，随时增加和减少位点。</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二、系统架构</w:t>
      </w:r>
    </w:p>
    <w:p>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系统应采用B/S系统架构，随访电话采用IP话机，方便部署维护。外呼系统对接运营商数字中继1条进行外呼，接口标准为30B+D（PRI），可同时支持30路语音同时呼入呼出，采购的硬件设备需注意上述接口协议要求。</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三、功能要求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随访系统功能主要要求包含以下几个方面：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（1）基础信息维护</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病区管理，分治疗组管理，员工管理，患者基本信息管理、住院出院信息管理等。基础平台包含患者服务视图及其它的功能如：含员工权限角色管理、线路配置，短信配置等。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（2）信息对接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患者信息通过与HIS、电子病历的对接，自动同步门诊和住院的患者信息，生成相应的随访名单。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（3）电话外呼</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病区或医院的回访人员，通过电脑点击患者电话进行外呼，并对随访内容进行记录。电话全程录音。系统支持灵活的问卷模板自定义功能，支持随访记录绩效考核和结果统计。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（4）随访业务分类</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医院随访主要分为三大类，每类随访记录各不相同。</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病区住院患者随访：根据各个病区的患者信息进行随访并记录。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医院住院患者随访：对医院住院患者进行抽查随访并记录。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医院门诊患者随访：对医院门诊患者进行抽查随访并记录。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除了电话随访记录，系统还支持纸质随访结果的录入。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（5）运营管理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*随访系统监控软件，可以实时查看到线路状况、回访人员外呼状态以及服务器、通讯软件的运行情况。</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（6）短信功能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系统支持短信模板的管理和短信的发送。</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（7）权限管理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系统拥有权限管理功能，不同病区人员看到其权限下对应的患者信息和随访任务。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（8）数据提取要求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满足医院未来数据中心或其他第三方系统提取数据的要求，不另外收取接口费用。</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四、系统建设功能要求</w:t>
      </w:r>
    </w:p>
    <w:tbl>
      <w:tblPr>
        <w:tblStyle w:val="60"/>
        <w:tblW w:w="5000" w:type="pct"/>
        <w:jc w:val="center"/>
        <w:tblLayout w:type="autofit"/>
        <w:tblCellMar>
          <w:top w:w="0" w:type="dxa"/>
          <w:left w:w="108" w:type="dxa"/>
          <w:bottom w:w="0" w:type="dxa"/>
          <w:right w:w="108" w:type="dxa"/>
        </w:tblCellMar>
      </w:tblPr>
      <w:tblGrid>
        <w:gridCol w:w="1898"/>
        <w:gridCol w:w="7389"/>
      </w:tblGrid>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功能描述</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语音处理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IVR语音导航、多级可灵活的自定制</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智能电话排队(ACD),队列等待音乐</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按不同工作时段播放不同语音信息并可预先设置法定节假日问候语音</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呼入智能路由(根据来电号码不同特征类型,提供多种来电路由的选择及自动话务分配)</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语音信箱自助留言</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坐席操作</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坐席分机登陆、注销</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标准B/S坐席操作界面</w:t>
            </w:r>
          </w:p>
        </w:tc>
      </w:tr>
      <w:tr>
        <w:tblPrEx>
          <w:tblCellMar>
            <w:top w:w="0" w:type="dxa"/>
            <w:left w:w="108" w:type="dxa"/>
            <w:bottom w:w="0" w:type="dxa"/>
            <w:right w:w="108" w:type="dxa"/>
          </w:tblCellMar>
        </w:tblPrEx>
        <w:trPr>
          <w:trHeight w:val="825"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挂断电话、界面拨号、分机空闲(示忙)、通话暂停、通话转移(转固定电话/手机)、邀请客户服务评分、记录查询、三分通话、实时聊天。</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工作中分机通信状态设置(无条件转移、遇忙转移、超时转移)</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排队用户可视化操作界面</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点击拨号</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FAQ知识库使用</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公告查看、添加</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待办事项提醒、语音信箱提醒、公告提醒、传真提醒、未接</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患者信息管理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来电弹屏(电话振铃同步弹出患者以往记录或建立新患者资料)</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患者资料管理(抓取HIS系统患者资料、修改患者资料、删除患者资料)*必须具有一定权限</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随访工单管理(新建、修改、查询、删除)</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弹屏资料与电话语音同步转移给目标坐席</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统计报表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通话详单</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1.按时间条件统计,进行查询日期选择(年、月、日)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2.呼入呼出费用(可以按照主叫号码、被叫号码条件搜索)</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3.模糊查询与精确查询切换设置</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4.数据导出</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通话记录报表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1.按时间条件统计,进行查询日期选择(年、月、日)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2.呼入呼出记录查询(可以按照主叫号码、被叫号码条件搜索)</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3.坐席通话记录查询(统计每个坐席话务信息)</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4.模糊查询与精确查询切换设置</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5.通话类型设置选择(全部、呼入、呼出、其他)</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6.通话状态设置选择(已接听、未接听)</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7</w:t>
            </w:r>
            <w:r>
              <w:rPr>
                <w:rFonts w:hint="eastAsia" w:ascii="仿宋" w:hAnsi="仿宋" w:eastAsia="仿宋" w:cs="宋体"/>
                <w:color w:val="000000"/>
                <w:kern w:val="0"/>
                <w:sz w:val="22"/>
              </w:rPr>
              <w:t>.通话记录对应录音播放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.数据导出(Excel格式存储)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系统报表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1.通话日统计、月统计、时段统计</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2.查询日期选择年、月、日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3.统计参数:呼入次数、呼入接通次数、呼入未接通次数、呼入接通率、呼出次数、呼出接通次数、呼出未接通次数、呼出接通率</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5</w:t>
            </w:r>
            <w:r>
              <w:rPr>
                <w:rFonts w:hint="eastAsia" w:ascii="仿宋" w:hAnsi="仿宋" w:eastAsia="仿宋" w:cs="宋体"/>
                <w:color w:val="000000"/>
                <w:kern w:val="0"/>
                <w:sz w:val="22"/>
              </w:rPr>
              <w:t>.数据导出(Excel格式存储)</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ascii="仿宋" w:hAnsi="仿宋" w:eastAsia="仿宋" w:cs="宋体"/>
                <w:color w:val="000000"/>
                <w:kern w:val="0"/>
                <w:sz w:val="22"/>
              </w:rPr>
              <w:t>6</w:t>
            </w:r>
            <w:r>
              <w:rPr>
                <w:rFonts w:hint="eastAsia" w:ascii="仿宋" w:hAnsi="仿宋" w:eastAsia="仿宋" w:cs="宋体"/>
                <w:color w:val="000000"/>
                <w:kern w:val="0"/>
                <w:sz w:val="22"/>
              </w:rPr>
              <w:t>.打印报表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坐席报表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2.坐席工号选择</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3.按通话时长统计(选择＞≥＝＜≤符号,输入通话秒数)</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4.统计参数:坐席工号、通话数量、通话总时长、平均通话时长</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6.数据导出(Excel格式存储)</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7.打印报表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服务报表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2.服务评价项目:非常满意、满意、一般、不满意汇总评价次数</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3.详情统计:评价时间、坐席工号、登陆的分机、评价人电话号码、评分结果、录音</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示忙报表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2.统计数据:工号/姓名、示忙次数、示忙时间总计</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3.详情统计:工号/姓名、登陆的分机、示忙时间、取消示忙时间、单次示忙时间</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座席报表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2.根据呼入或呼出方式进行统计数据</w:t>
            </w:r>
          </w:p>
        </w:tc>
      </w:tr>
      <w:tr>
        <w:tblPrEx>
          <w:tblCellMar>
            <w:top w:w="0" w:type="dxa"/>
            <w:left w:w="108" w:type="dxa"/>
            <w:bottom w:w="0" w:type="dxa"/>
            <w:right w:w="108" w:type="dxa"/>
          </w:tblCellMar>
        </w:tblPrEx>
        <w:trPr>
          <w:trHeight w:val="48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3.详情统计:工号/姓名、登陆的分机、接听/呼出次数、接听或呼出的总时长、接听或呼出的平均时长、在线时</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4.图形统计视图</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5.数据导出(Excel格式存储)</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6.打印报表</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队列报表</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1.统计时间选择(年、月、日)</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2.根据不同的队列进行统计</w:t>
            </w:r>
          </w:p>
        </w:tc>
      </w:tr>
      <w:tr>
        <w:tblPrEx>
          <w:tblCellMar>
            <w:top w:w="0" w:type="dxa"/>
            <w:left w:w="108" w:type="dxa"/>
            <w:bottom w:w="0" w:type="dxa"/>
            <w:right w:w="108" w:type="dxa"/>
          </w:tblCellMar>
        </w:tblPrEx>
        <w:trPr>
          <w:trHeight w:val="480" w:hRule="atLeast"/>
          <w:jc w:val="center"/>
        </w:trPr>
        <w:tc>
          <w:tcPr>
            <w:tcW w:w="1022" w:type="pct"/>
            <w:vMerge w:val="continue"/>
            <w:tcBorders>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3.详细数据：呼叫时间呼入总次数接通次数失败次数漏接次数失败率漏接率平均等待时长(秒)平均通话时长(秒)</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质检管理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坐席分机状态实时监测(空闲、示忙、离线)</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实时操作管理(监听、强插、强踢、转出分机)</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录音管理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通话质检报表评分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远程登陆管理</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报表分析:坐席报表、服务报表、示忙报表、登陆报表</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系统监控</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队列实时状态图形监控统计</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队列历史状态参数:(月统计、日统计、小时统计),时间、手动示忙总次数、通话中总次数、振铃中总次数</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通信服务</w:t>
            </w:r>
          </w:p>
        </w:tc>
      </w:tr>
      <w:tr>
        <w:tblPrEx>
          <w:tblCellMar>
            <w:top w:w="0" w:type="dxa"/>
            <w:left w:w="108" w:type="dxa"/>
            <w:bottom w:w="0" w:type="dxa"/>
            <w:right w:w="108" w:type="dxa"/>
          </w:tblCellMar>
        </w:tblPrEx>
        <w:trPr>
          <w:trHeight w:val="585"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SIP启用(SIP启用服务为语音通信、状态、即时消息和其他企业通信提供了一套基于标准的SIP基础架构,从而将PSTN和互联网世界连接在一起)</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门户服务:支持从基于浏览器的客户端访问语音通信功能</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远程分机部署</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智能批量外呼随访</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自动式外呼(自动从外呼号码库中选取号码呼叫,接通后转交给座席)</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人工式外呼(由系统分配外呼号码库中的电话给座席,由座席决定发起呼叫)</w:t>
            </w:r>
          </w:p>
        </w:tc>
      </w:tr>
      <w:tr>
        <w:tblPrEx>
          <w:tblCellMar>
            <w:top w:w="0" w:type="dxa"/>
            <w:left w:w="108" w:type="dxa"/>
            <w:bottom w:w="0" w:type="dxa"/>
            <w:right w:w="108" w:type="dxa"/>
          </w:tblCellMar>
        </w:tblPrEx>
        <w:trPr>
          <w:trHeight w:val="5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IVR外呼(系统成功接通用户后,向用户播放相应业务介绍语音,用户可以在收听过程中,选择以交互方式完成订单或者向人工座席进一步咨询了解)</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支持多业务并存</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支持远端坐席</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统计分析功能</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外呼管理(根据不同智能外呼能力,设置不同的外呼策略。如:时间策略,问卷策略)</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外呼黑白名单</w:t>
            </w:r>
          </w:p>
        </w:tc>
      </w:tr>
      <w:tr>
        <w:tblPrEx>
          <w:tblCellMar>
            <w:top w:w="0" w:type="dxa"/>
            <w:left w:w="108" w:type="dxa"/>
            <w:bottom w:w="0" w:type="dxa"/>
            <w:right w:w="108" w:type="dxa"/>
          </w:tblCellMar>
        </w:tblPrEx>
        <w:trPr>
          <w:trHeight w:val="27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
                <w:color w:val="000000"/>
                <w:kern w:val="0"/>
                <w:sz w:val="22"/>
              </w:rPr>
            </w:pPr>
            <w:r>
              <w:rPr>
                <w:rFonts w:hint="eastAsia" w:ascii="仿宋" w:hAnsi="仿宋" w:eastAsia="仿宋" w:cs="宋体"/>
                <w:b/>
                <w:color w:val="000000"/>
                <w:kern w:val="0"/>
                <w:sz w:val="22"/>
              </w:rPr>
              <w:t>系统设置</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组织管理</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工号设置，部门设置,可自定义</w:t>
            </w:r>
          </w:p>
        </w:tc>
      </w:tr>
      <w:tr>
        <w:tblPrEx>
          <w:tblCellMar>
            <w:top w:w="0" w:type="dxa"/>
            <w:left w:w="108" w:type="dxa"/>
            <w:bottom w:w="0" w:type="dxa"/>
            <w:right w:w="108" w:type="dxa"/>
          </w:tblCellMar>
        </w:tblPrEx>
        <w:trPr>
          <w:trHeight w:val="270" w:hRule="atLeast"/>
          <w:jc w:val="center"/>
        </w:trPr>
        <w:tc>
          <w:tcPr>
            <w:tcW w:w="1022" w:type="pct"/>
            <w:vMerge w:val="continue"/>
            <w:tcBorders>
              <w:left w:val="single" w:color="auto" w:sz="4" w:space="0"/>
              <w:right w:val="single" w:color="auto" w:sz="4" w:space="0"/>
            </w:tcBorders>
            <w:shd w:val="clear" w:color="000000" w:fill="FFFFFF"/>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角色设置(坐席班长、坐席用户、管理员、离职员工等),可自定义</w:t>
            </w:r>
          </w:p>
        </w:tc>
      </w:tr>
      <w:tr>
        <w:tblPrEx>
          <w:tblCellMar>
            <w:top w:w="0" w:type="dxa"/>
            <w:left w:w="108" w:type="dxa"/>
            <w:bottom w:w="0" w:type="dxa"/>
            <w:right w:w="108" w:type="dxa"/>
          </w:tblCellMar>
        </w:tblPrEx>
        <w:trPr>
          <w:trHeight w:val="270" w:hRule="atLeast"/>
          <w:jc w:val="center"/>
        </w:trPr>
        <w:tc>
          <w:tcPr>
            <w:tcW w:w="1022" w:type="pct"/>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系统管理</w:t>
            </w: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系统参数设置</w:t>
            </w:r>
          </w:p>
        </w:tc>
      </w:tr>
      <w:tr>
        <w:tblPrEx>
          <w:tblCellMar>
            <w:top w:w="0" w:type="dxa"/>
            <w:left w:w="108" w:type="dxa"/>
            <w:bottom w:w="0" w:type="dxa"/>
            <w:right w:w="108" w:type="dxa"/>
          </w:tblCellMar>
        </w:tblPrEx>
        <w:trPr>
          <w:trHeight w:val="270" w:hRule="atLeast"/>
          <w:jc w:val="center"/>
        </w:trPr>
        <w:tc>
          <w:tcPr>
            <w:tcW w:w="1022" w:type="pct"/>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kern w:val="0"/>
                <w:sz w:val="22"/>
              </w:rPr>
            </w:pPr>
          </w:p>
        </w:tc>
        <w:tc>
          <w:tcPr>
            <w:tcW w:w="3978"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color w:val="000000"/>
                <w:kern w:val="0"/>
                <w:sz w:val="22"/>
              </w:rPr>
            </w:pPr>
            <w:r>
              <w:rPr>
                <w:rFonts w:hint="eastAsia" w:ascii="仿宋" w:hAnsi="仿宋" w:eastAsia="仿宋" w:cs="宋体"/>
                <w:color w:val="000000"/>
                <w:kern w:val="0"/>
                <w:sz w:val="22"/>
              </w:rPr>
              <w:t>基本数据生成设置</w:t>
            </w:r>
          </w:p>
        </w:tc>
      </w:tr>
    </w:tbl>
    <w:p>
      <w:pPr>
        <w:spacing w:line="360" w:lineRule="auto"/>
        <w:rPr>
          <w:rFonts w:hAnsi="宋体" w:eastAsia="宋体"/>
          <w:sz w:val="24"/>
          <w:szCs w:val="24"/>
        </w:rPr>
      </w:pPr>
      <w:bookmarkStart w:id="24" w:name="_GoBack"/>
      <w:bookmarkEnd w:id="24"/>
    </w:p>
    <w:p>
      <w:pPr>
        <w:rPr>
          <w:rFonts w:hAnsi="宋体" w:eastAsia="宋体"/>
          <w:sz w:val="24"/>
          <w:szCs w:val="24"/>
        </w:rPr>
      </w:pPr>
      <w:r>
        <w:rPr>
          <w:rFonts w:hAnsi="宋体" w:eastAsia="宋体"/>
          <w:sz w:val="24"/>
          <w:szCs w:val="24"/>
        </w:rPr>
        <w:br w:type="page"/>
      </w:r>
    </w:p>
    <w:p>
      <w:pPr>
        <w:pStyle w:val="2"/>
        <w:sectPr>
          <w:footerReference r:id="rId8" w:type="default"/>
          <w:pgSz w:w="11906" w:h="16838"/>
          <w:pgMar w:top="1417" w:right="1417" w:bottom="1417" w:left="1418" w:header="851" w:footer="448" w:gutter="0"/>
          <w:cols w:space="0" w:num="1"/>
          <w:docGrid w:type="lines" w:linePitch="380" w:charSpace="0"/>
        </w:sectPr>
      </w:pPr>
    </w:p>
    <w:bookmarkEnd w:id="15"/>
    <w:bookmarkEnd w:id="16"/>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bookmarkStart w:id="20" w:name="_Toc363573859"/>
      <w:r>
        <w:rPr>
          <w:rFonts w:hint="eastAsia" w:asciiTheme="majorEastAsia" w:hAnsiTheme="majorEastAsia" w:eastAsiaTheme="majorEastAsia" w:cstheme="minorEastAsia"/>
          <w:b/>
          <w:w w:val="80"/>
          <w:sz w:val="36"/>
          <w:szCs w:val="36"/>
        </w:rPr>
        <w:t>第六章 质疑与投诉</w:t>
      </w:r>
      <w:bookmarkEnd w:id="20"/>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供应商进行质疑后，采购人回复质疑不成立，质疑人仍进行投诉的，并最终投诉不成立的，采购单位有权对其在1至3年内禁入由采购单位组织的政府采购活动。</w:t>
      </w:r>
    </w:p>
    <w:p>
      <w:pPr>
        <w:pStyle w:val="59"/>
        <w:ind w:left="520" w:firstLine="518"/>
        <w:rPr>
          <w:rFonts w:asciiTheme="majorEastAsia" w:hAnsiTheme="majorEastAsia" w:eastAsiaTheme="majorEastAsia" w:cstheme="minorEastAsia"/>
          <w:b/>
          <w:w w:val="80"/>
          <w:sz w:val="32"/>
          <w:szCs w:val="32"/>
        </w:rPr>
      </w:pPr>
      <w:bookmarkStart w:id="21" w:name="_Toc363573860"/>
    </w:p>
    <w:p>
      <w:pPr>
        <w:pStyle w:val="59"/>
        <w:ind w:left="520" w:firstLine="560"/>
        <w:rPr>
          <w:rFonts w:asciiTheme="majorEastAsia" w:hAnsiTheme="majorEastAsia" w:eastAsiaTheme="majorEastAsia"/>
        </w:rPr>
      </w:pP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21"/>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、提供企业法人或者其他组织的营业执照等证明文件复印件。</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2、提供2021年度有效的财务状况报告复印件（成立不满一年不需提供）。</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3、提供依法缴纳税收和社会保障资金的良好记录的相关材料复印件。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4、具有履行合同所必需的设备和专业技术能力（格式见第七章）。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5、提供参与本次项目采购活动前三年内在经营活动中没有重大违法记录的书面《无重大违法记录声明函》（格式见第七章）。</w:t>
      </w:r>
    </w:p>
    <w:p>
      <w:pPr>
        <w:snapToGrid w:val="0"/>
        <w:spacing w:line="360" w:lineRule="auto"/>
        <w:ind w:firstLine="480" w:firstLineChars="200"/>
      </w:pPr>
      <w:r>
        <w:rPr>
          <w:rFonts w:hint="eastAsia" w:asciiTheme="majorEastAsia" w:hAnsiTheme="majorEastAsia" w:eastAsiaTheme="majorEastAsia" w:cstheme="minorEastAsia"/>
          <w:sz w:val="24"/>
          <w:szCs w:val="24"/>
        </w:rPr>
        <w:t>6、关于资格文件的声明函（格式见第七章）。</w:t>
      </w:r>
    </w:p>
    <w:p>
      <w:pPr>
        <w:snapToGrid w:val="0"/>
        <w:spacing w:line="360" w:lineRule="auto"/>
        <w:ind w:firstLine="480" w:firstLineChars="200"/>
        <w:rPr>
          <w:rFonts w:asciiTheme="majorEastAsia" w:hAnsiTheme="majorEastAsia" w:eastAsiaTheme="majorEastAsia" w:cstheme="minorEastAsia"/>
          <w:sz w:val="24"/>
          <w:szCs w:val="24"/>
          <w:lang w:val="zh-CN"/>
        </w:rPr>
      </w:pPr>
      <w:r>
        <w:rPr>
          <w:rFonts w:hint="eastAsia" w:asciiTheme="majorEastAsia" w:hAnsiTheme="majorEastAsia" w:eastAsiaTheme="majorEastAsia" w:cstheme="minorEastAsia"/>
          <w:sz w:val="24"/>
          <w:szCs w:val="24"/>
        </w:rPr>
        <w:t>7、</w:t>
      </w:r>
      <w:r>
        <w:rPr>
          <w:rFonts w:hint="eastAsia" w:asciiTheme="majorEastAsia" w:hAnsiTheme="majorEastAsia" w:eastAsiaTheme="majorEastAsia" w:cstheme="minorEastAsia"/>
          <w:sz w:val="24"/>
          <w:szCs w:val="24"/>
          <w:lang w:val="zh-CN"/>
        </w:rPr>
        <w:t>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r>
        <w:rPr>
          <w:rFonts w:hint="eastAsia" w:asciiTheme="majorEastAsia" w:hAnsiTheme="majorEastAsia" w:eastAsiaTheme="majorEastAsia" w:cstheme="minorEastAsia"/>
          <w:sz w:val="24"/>
          <w:szCs w:val="24"/>
        </w:rPr>
        <w:t>（格式见第七章）</w:t>
      </w:r>
      <w:r>
        <w:rPr>
          <w:rFonts w:hint="eastAsia" w:asciiTheme="majorEastAsia" w:hAnsiTheme="majorEastAsia" w:eastAsiaTheme="majorEastAsia" w:cstheme="minorEastAsia"/>
          <w:sz w:val="24"/>
          <w:szCs w:val="24"/>
          <w:lang w:val="zh-CN"/>
        </w:rPr>
        <w:t>。</w:t>
      </w:r>
    </w:p>
    <w:p>
      <w:pPr>
        <w:wordWrap w:val="0"/>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须提供企业信用查询结果（企业信用从“信用中国（https://www.creditchina.gov.cn/”进入查询自行打印)，查询结果有效期须在自本项目公告发布之日起至本项目投标截止日内有效。提供以上网页的投标单位企业信用的截图，未提供截图或者被列入失信被执行人名单、重大税收违法案件当事人名单、政府采购严重违法失信行为记录名单的投标人资格审查均不予通过。</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B、技术标响应文件：（一个密封包，内含：1份“正本”和2份“副本”。）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、商务响应正负偏离表（格式参见附件）</w:t>
      </w:r>
    </w:p>
    <w:p>
      <w:pPr>
        <w:snapToGrid w:val="0"/>
        <w:spacing w:line="360" w:lineRule="auto"/>
        <w:ind w:firstLine="484" w:firstLineChars="202"/>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C、商务标响应文件：（一个密封包，内含：1份“正本”和2份“副本”。）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商务标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5、残疾人福利性单位声明函（若有）（格式参见附件）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pStyle w:val="27"/>
      </w:pPr>
    </w:p>
    <w:p>
      <w:pPr>
        <w:spacing w:line="360" w:lineRule="exact"/>
        <w:jc w:val="center"/>
        <w:rPr>
          <w:rFonts w:asciiTheme="majorEastAsia" w:hAnsiTheme="majorEastAsia" w:eastAsiaTheme="majorEastAsia" w:cstheme="minorEastAsia"/>
          <w:w w:val="80"/>
          <w:kern w:val="44"/>
          <w:sz w:val="21"/>
          <w:szCs w:val="21"/>
        </w:rPr>
      </w:pPr>
    </w:p>
    <w:p>
      <w:pPr>
        <w:snapToGrid w:val="0"/>
        <w:spacing w:line="360" w:lineRule="auto"/>
        <w:ind w:firstLine="484" w:firstLineChars="202"/>
        <w:rPr>
          <w:rFonts w:asciiTheme="majorEastAsia" w:hAnsiTheme="majorEastAsia" w:eastAsiaTheme="majorEastAsia" w:cstheme="minorEastAsia"/>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rPr>
          <w:rFonts w:ascii="等线" w:hAnsi="等线" w:eastAsia="等线" w:cs="等线"/>
          <w:b/>
          <w:color w:val="000000"/>
          <w:sz w:val="24"/>
          <w:szCs w:val="24"/>
        </w:rPr>
      </w:pPr>
    </w:p>
    <w:p>
      <w:pPr>
        <w:spacing w:line="360" w:lineRule="auto"/>
        <w:jc w:val="center"/>
        <w:rPr>
          <w:rFonts w:ascii="宋体" w:hAnsi="宋体" w:eastAsia="宋体" w:cs="宋体"/>
          <w:sz w:val="28"/>
          <w:szCs w:val="28"/>
        </w:rPr>
      </w:pPr>
      <w:bookmarkStart w:id="22" w:name="_Toc482189588"/>
      <w:bookmarkEnd w:id="22"/>
      <w:bookmarkStart w:id="23" w:name="_Toc482192402"/>
      <w:r>
        <w:rPr>
          <w:rFonts w:hint="eastAsia" w:ascii="宋体" w:hAnsi="宋体" w:eastAsia="宋体" w:cs="宋体"/>
          <w:sz w:val="28"/>
          <w:szCs w:val="28"/>
        </w:rPr>
        <w:t>封面</w:t>
      </w:r>
      <w:bookmarkEnd w:id="23"/>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竞争性磋商供应商响应文件</w:t>
      </w:r>
    </w:p>
    <w:p>
      <w:pPr>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sz w:val="24"/>
        </w:rPr>
        <w:t>资格后审</w:t>
      </w:r>
      <w:r>
        <w:rPr>
          <w:rFonts w:hint="eastAsia" w:ascii="宋体" w:hAnsi="宋体" w:eastAsia="宋体" w:cs="宋体"/>
          <w:b/>
          <w:bCs/>
          <w:kern w:val="0"/>
          <w:sz w:val="28"/>
          <w:szCs w:val="28"/>
        </w:rPr>
        <w:t>）</w:t>
      </w:r>
    </w:p>
    <w:p>
      <w:pPr>
        <w:pStyle w:val="59"/>
        <w:ind w:left="520" w:firstLine="723"/>
        <w:rPr>
          <w:rFonts w:ascii="宋体" w:hAnsi="宋体" w:cs="宋体"/>
          <w:b/>
          <w:bCs/>
          <w:sz w:val="36"/>
          <w:szCs w:val="36"/>
        </w:rPr>
      </w:pPr>
    </w:p>
    <w:p>
      <w:pPr>
        <w:pStyle w:val="59"/>
        <w:ind w:left="520" w:firstLine="723"/>
        <w:rPr>
          <w:rFonts w:ascii="宋体" w:hAnsi="宋体" w:cs="宋体"/>
          <w:b/>
          <w:bCs/>
          <w:sz w:val="36"/>
          <w:szCs w:val="36"/>
        </w:rPr>
      </w:pPr>
    </w:p>
    <w:p>
      <w:pPr>
        <w:spacing w:line="360" w:lineRule="auto"/>
        <w:jc w:val="center"/>
        <w:rPr>
          <w:rFonts w:ascii="宋体" w:hAnsi="宋体" w:eastAsia="宋体" w:cs="宋体"/>
          <w:b/>
          <w:bCs/>
          <w:kern w:val="0"/>
          <w:sz w:val="24"/>
          <w:szCs w:val="24"/>
        </w:rPr>
      </w:pPr>
    </w:p>
    <w:p>
      <w:pPr>
        <w:spacing w:line="360" w:lineRule="auto"/>
        <w:ind w:firstLine="1920" w:firstLineChars="800"/>
        <w:rPr>
          <w:rFonts w:ascii="宋体" w:hAnsi="宋体" w:eastAsia="宋体" w:cs="宋体"/>
          <w:sz w:val="24"/>
        </w:rPr>
      </w:pPr>
      <w:r>
        <w:rPr>
          <w:rFonts w:hint="eastAsia" w:ascii="宋体" w:hAnsi="宋体" w:eastAsia="宋体" w:cs="宋体"/>
          <w:sz w:val="24"/>
        </w:rPr>
        <w:t>对应投标文件填写：资格审查文件</w:t>
      </w:r>
    </w:p>
    <w:p>
      <w:pPr>
        <w:spacing w:line="360" w:lineRule="auto"/>
        <w:ind w:firstLine="1920" w:firstLineChars="800"/>
        <w:rPr>
          <w:rFonts w:ascii="宋体" w:hAnsi="宋体" w:eastAsia="宋体" w:cs="宋体"/>
          <w:sz w:val="24"/>
        </w:rPr>
      </w:pPr>
      <w:r>
        <w:rPr>
          <w:rFonts w:hint="eastAsia" w:ascii="宋体" w:hAnsi="宋体" w:eastAsia="宋体" w:cs="宋体"/>
          <w:sz w:val="24"/>
        </w:rPr>
        <w:t>对应投标文件填写：技术标响应文件</w:t>
      </w:r>
    </w:p>
    <w:p>
      <w:pPr>
        <w:spacing w:line="360" w:lineRule="auto"/>
        <w:ind w:firstLine="1920" w:firstLineChars="800"/>
        <w:rPr>
          <w:rFonts w:ascii="宋体" w:hAnsi="宋体" w:eastAsia="宋体" w:cs="宋体"/>
          <w:sz w:val="24"/>
        </w:rPr>
      </w:pPr>
      <w:r>
        <w:rPr>
          <w:rFonts w:hint="eastAsia" w:ascii="宋体" w:hAnsi="宋体" w:eastAsia="宋体" w:cs="宋体"/>
          <w:sz w:val="24"/>
        </w:rPr>
        <w:t>对应投标文件填写：商务标响应文件</w:t>
      </w:r>
    </w:p>
    <w:p>
      <w:pPr>
        <w:spacing w:line="360" w:lineRule="auto"/>
        <w:jc w:val="center"/>
        <w:rPr>
          <w:rFonts w:ascii="宋体" w:hAnsi="宋体" w:eastAsia="宋体" w:cs="宋体"/>
          <w:b/>
          <w:bCs/>
          <w:sz w:val="24"/>
          <w:szCs w:val="24"/>
        </w:rPr>
      </w:pPr>
    </w:p>
    <w:p>
      <w:pPr>
        <w:spacing w:line="360" w:lineRule="auto"/>
        <w:ind w:firstLine="843" w:firstLineChars="300"/>
        <w:jc w:val="left"/>
        <w:rPr>
          <w:rFonts w:ascii="宋体" w:hAnsi="宋体" w:eastAsia="宋体" w:cs="宋体"/>
          <w:b/>
          <w:bCs/>
          <w:sz w:val="28"/>
          <w:szCs w:val="28"/>
        </w:rPr>
      </w:pPr>
    </w:p>
    <w:p>
      <w:pPr>
        <w:pStyle w:val="59"/>
        <w:ind w:left="520" w:firstLine="562"/>
        <w:rPr>
          <w:rFonts w:ascii="宋体" w:hAnsi="宋体" w:cs="宋体"/>
          <w:b/>
          <w:bCs/>
          <w:szCs w:val="28"/>
        </w:rPr>
      </w:pPr>
    </w:p>
    <w:p>
      <w:pPr>
        <w:pStyle w:val="59"/>
        <w:ind w:left="520" w:firstLine="562"/>
        <w:rPr>
          <w:rFonts w:ascii="宋体" w:hAnsi="宋体" w:cs="宋体"/>
          <w:b/>
          <w:bCs/>
          <w:szCs w:val="28"/>
        </w:rPr>
      </w:pPr>
    </w:p>
    <w:p>
      <w:pPr>
        <w:spacing w:line="360" w:lineRule="auto"/>
        <w:ind w:firstLine="843" w:firstLineChars="300"/>
        <w:jc w:val="left"/>
        <w:rPr>
          <w:rFonts w:ascii="宋体" w:hAnsi="宋体" w:eastAsia="宋体" w:cs="宋体"/>
          <w:b/>
          <w:bCs/>
          <w:sz w:val="28"/>
          <w:szCs w:val="28"/>
        </w:rPr>
      </w:pPr>
    </w:p>
    <w:p>
      <w:pPr>
        <w:spacing w:line="360" w:lineRule="auto"/>
        <w:ind w:firstLine="1440" w:firstLineChars="600"/>
        <w:rPr>
          <w:rFonts w:ascii="宋体" w:hAnsi="宋体" w:eastAsia="宋体" w:cs="宋体"/>
          <w:sz w:val="24"/>
        </w:rPr>
      </w:pPr>
      <w:r>
        <w:rPr>
          <w:rFonts w:hint="eastAsia" w:ascii="宋体" w:hAnsi="宋体" w:eastAsia="宋体" w:cs="宋体"/>
          <w:sz w:val="24"/>
        </w:rPr>
        <w:t>投标供应商：参加投标供应商全称（公章）</w:t>
      </w:r>
    </w:p>
    <w:p>
      <w:pPr>
        <w:spacing w:line="360" w:lineRule="auto"/>
        <w:ind w:firstLine="1440" w:firstLineChars="600"/>
        <w:rPr>
          <w:rFonts w:ascii="宋体" w:hAnsi="宋体" w:eastAsia="宋体" w:cs="宋体"/>
          <w:sz w:val="24"/>
        </w:rPr>
      </w:pPr>
      <w:r>
        <w:rPr>
          <w:rFonts w:hint="eastAsia" w:ascii="宋体" w:hAnsi="宋体" w:eastAsia="宋体" w:cs="宋体"/>
          <w:sz w:val="24"/>
        </w:rPr>
        <w:t>日期：   年  月  日</w:t>
      </w:r>
    </w:p>
    <w:p>
      <w:pPr>
        <w:rPr>
          <w:rFonts w:ascii="宋体" w:hAnsi="宋体" w:eastAsia="宋体" w:cs="宋体"/>
          <w:b/>
          <w:sz w:val="28"/>
          <w:szCs w:val="28"/>
        </w:rPr>
      </w:pPr>
      <w:r>
        <w:rPr>
          <w:rFonts w:hint="eastAsia" w:ascii="宋体" w:hAnsi="宋体" w:eastAsia="宋体" w:cs="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（供应商名称）</w:t>
      </w:r>
      <w:r>
        <w:rPr>
          <w:rFonts w:hint="eastAsia" w:ascii="宋体" w:hAnsi="宋体" w:eastAsia="宋体" w:cs="宋体"/>
          <w:sz w:val="24"/>
          <w:szCs w:val="24"/>
        </w:rPr>
        <w:t>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（在下划线上如实填写：有或没有）</w:t>
      </w:r>
      <w:r>
        <w:rPr>
          <w:rFonts w:hint="eastAsia" w:ascii="宋体" w:hAnsi="宋体" w:eastAsia="宋体" w:cs="宋体"/>
          <w:sz w:val="24"/>
          <w:szCs w:val="24"/>
        </w:rPr>
        <w:t>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8"/>
        <w:overflowPunct w:val="0"/>
        <w:spacing w:line="360" w:lineRule="auto"/>
        <w:jc w:val="center"/>
        <w:rPr>
          <w:rFonts w:ascii="宋体" w:hAnsi="宋体" w:eastAsia="宋体" w:cs="宋体"/>
        </w:rPr>
      </w:pPr>
    </w:p>
    <w:p>
      <w:pPr>
        <w:pStyle w:val="8"/>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8"/>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（项目名称)</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8"/>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81"/>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380"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ascii="宋体" w:hAnsi="宋体" w:eastAsia="宋体"/>
                <w:sz w:val="24"/>
                <w:szCs w:val="24"/>
              </w:rPr>
            </w:pPr>
          </w:p>
        </w:tc>
        <w:tc>
          <w:tcPr>
            <w:tcW w:w="64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ascii="宋体" w:hAnsi="宋体" w:eastAsia="宋体"/>
                <w:sz w:val="24"/>
                <w:szCs w:val="24"/>
              </w:rPr>
            </w:pPr>
          </w:p>
        </w:tc>
        <w:tc>
          <w:tcPr>
            <w:tcW w:w="516" w:type="pct"/>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2295" w:type="pct"/>
            <w:gridSpan w:val="6"/>
            <w:tcBorders>
              <w:bottom w:val="double" w:color="auto" w:sz="4" w:space="0"/>
            </w:tcBorders>
            <w:vAlign w:val="center"/>
          </w:tcPr>
          <w:p>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380"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6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30"/>
        <w:snapToGrid w:val="0"/>
        <w:spacing w:line="300" w:lineRule="auto"/>
        <w:contextualSpacing/>
        <w:rPr>
          <w:rFonts w:hAnsi="宋体" w:eastAsia="宋体"/>
          <w:b/>
          <w:sz w:val="24"/>
          <w:szCs w:val="24"/>
        </w:rPr>
      </w:pPr>
      <w:r>
        <w:rPr>
          <w:rFonts w:hint="eastAsia" w:hAnsi="宋体" w:eastAsia="宋体"/>
          <w:b/>
          <w:sz w:val="24"/>
          <w:szCs w:val="24"/>
        </w:rPr>
        <w:t>注：</w:t>
      </w:r>
    </w:p>
    <w:p>
      <w:pPr>
        <w:pStyle w:val="30"/>
        <w:snapToGrid w:val="0"/>
        <w:spacing w:line="300" w:lineRule="auto"/>
        <w:ind w:firstLine="480" w:firstLineChars="200"/>
        <w:contextualSpacing/>
        <w:rPr>
          <w:rFonts w:hAnsi="宋体" w:eastAsia="宋体" w:cs="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30"/>
        <w:snapToGrid w:val="0"/>
        <w:spacing w:line="300" w:lineRule="auto"/>
        <w:ind w:firstLine="480" w:firstLineChars="200"/>
        <w:contextualSpacing/>
        <w:rPr>
          <w:rFonts w:hAnsi="宋体" w:eastAsia="宋体" w:cs="宋体"/>
          <w:sz w:val="24"/>
          <w:szCs w:val="24"/>
        </w:rPr>
      </w:pPr>
      <w:r>
        <w:rPr>
          <w:rFonts w:hint="eastAsia" w:hAnsi="宋体" w:eastAsia="宋体" w:cs="宋体"/>
          <w:sz w:val="24"/>
          <w:szCs w:val="24"/>
        </w:rPr>
        <w:t>2、“偏离说明”一栏选择“正偏离”、“负偏离”进行填写</w:t>
      </w:r>
      <w:r>
        <w:rPr>
          <w:rFonts w:hint="eastAsia" w:hAnsi="宋体" w:eastAsia="宋体" w:cs="宋体"/>
          <w:b/>
          <w:bCs/>
          <w:sz w:val="24"/>
          <w:szCs w:val="24"/>
        </w:rPr>
        <w:t>（本项目不接受负偏离）</w:t>
      </w:r>
      <w:r>
        <w:rPr>
          <w:rFonts w:hint="eastAsia" w:hAnsi="宋体" w:eastAsia="宋体" w:cs="宋体"/>
          <w:sz w:val="24"/>
          <w:szCs w:val="24"/>
        </w:rPr>
        <w:t>。正偏离的确认和负偏离的是否响应磋商文件，经三分之二评委认定。</w:t>
      </w:r>
    </w:p>
    <w:p>
      <w:pPr>
        <w:pStyle w:val="30"/>
        <w:snapToGrid w:val="0"/>
        <w:spacing w:line="300" w:lineRule="auto"/>
        <w:ind w:firstLine="480" w:firstLineChars="200"/>
        <w:contextualSpacing/>
        <w:rPr>
          <w:rFonts w:hAnsi="宋体" w:eastAsia="宋体" w:cs="宋体"/>
          <w:sz w:val="24"/>
          <w:szCs w:val="24"/>
        </w:rPr>
      </w:pPr>
      <w:r>
        <w:rPr>
          <w:rFonts w:hint="eastAsia" w:hAnsi="宋体" w:eastAsia="宋体" w:cs="宋体"/>
          <w:sz w:val="24"/>
          <w:szCs w:val="24"/>
        </w:rPr>
        <w:t>3、供应商若提供其他增值服务，可以在表中自行据实填写。</w:t>
      </w:r>
    </w:p>
    <w:p>
      <w:pPr>
        <w:snapToGrid w:val="0"/>
        <w:spacing w:line="460" w:lineRule="exact"/>
        <w:ind w:firstLine="480" w:firstLineChars="200"/>
        <w:contextualSpacing/>
        <w:jc w:val="right"/>
        <w:rPr>
          <w:rFonts w:ascii="宋体" w:hAnsi="宋体" w:eastAsia="宋体" w:cs="宋体"/>
          <w:bCs/>
          <w:sz w:val="24"/>
        </w:rPr>
      </w:pPr>
    </w:p>
    <w:p>
      <w:pPr>
        <w:snapToGrid w:val="0"/>
        <w:spacing w:line="460" w:lineRule="exact"/>
        <w:ind w:firstLine="480" w:firstLineChars="200"/>
        <w:contextualSpacing/>
        <w:jc w:val="right"/>
        <w:rPr>
          <w:rFonts w:ascii="宋体" w:hAnsi="宋体" w:eastAsia="宋体" w:cs="宋体"/>
          <w:bCs/>
          <w:sz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napToGrid w:val="0"/>
        <w:spacing w:line="360" w:lineRule="auto"/>
        <w:jc w:val="center"/>
        <w:outlineLvl w:val="4"/>
        <w:rPr>
          <w:rFonts w:ascii="宋体" w:hAnsi="宋体" w:eastAsia="宋体" w:cs="宋体"/>
          <w:b/>
          <w:bCs/>
          <w:sz w:val="24"/>
        </w:rPr>
      </w:pPr>
      <w:r>
        <w:rPr>
          <w:rFonts w:ascii="宋体" w:hAnsi="宋体" w:eastAsia="宋体"/>
          <w:b/>
          <w:sz w:val="28"/>
          <w:szCs w:val="28"/>
        </w:rPr>
        <w:br w:type="page"/>
      </w:r>
      <w:r>
        <w:rPr>
          <w:rFonts w:hint="eastAsia" w:ascii="宋体" w:hAnsi="宋体" w:eastAsia="宋体"/>
          <w:b/>
          <w:sz w:val="28"/>
          <w:szCs w:val="28"/>
        </w:rPr>
        <w:t>商务响应正负偏离表</w:t>
      </w:r>
    </w:p>
    <w:p>
      <w:pPr>
        <w:ind w:firstLine="480" w:firstLineChars="200"/>
        <w:jc w:val="center"/>
        <w:rPr>
          <w:rFonts w:ascii="宋体" w:hAnsi="宋体" w:eastAsia="宋体" w:cs="宋体"/>
          <w:sz w:val="28"/>
          <w:szCs w:val="28"/>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6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30"/>
        <w:snapToGrid w:val="0"/>
        <w:spacing w:line="300" w:lineRule="auto"/>
        <w:contextualSpacing/>
        <w:rPr>
          <w:rFonts w:hAnsi="宋体" w:eastAsia="宋体"/>
          <w:b/>
          <w:sz w:val="24"/>
          <w:szCs w:val="24"/>
        </w:rPr>
      </w:pPr>
      <w:r>
        <w:rPr>
          <w:rFonts w:hint="eastAsia" w:hAnsi="宋体" w:eastAsia="宋体"/>
          <w:b/>
          <w:sz w:val="24"/>
          <w:szCs w:val="24"/>
        </w:rPr>
        <w:t>注：</w:t>
      </w:r>
    </w:p>
    <w:p>
      <w:pPr>
        <w:pStyle w:val="30"/>
        <w:snapToGrid w:val="0"/>
        <w:spacing w:line="300" w:lineRule="auto"/>
        <w:ind w:firstLine="480" w:firstLineChars="200"/>
        <w:contextualSpacing/>
        <w:rPr>
          <w:rFonts w:hAnsi="宋体" w:eastAsia="宋体" w:cs="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30"/>
        <w:snapToGrid w:val="0"/>
        <w:spacing w:line="300" w:lineRule="auto"/>
        <w:ind w:firstLine="480" w:firstLineChars="200"/>
        <w:contextualSpacing/>
        <w:rPr>
          <w:rFonts w:hAnsi="宋体" w:eastAsia="宋体" w:cs="宋体"/>
          <w:sz w:val="24"/>
          <w:szCs w:val="24"/>
        </w:rPr>
      </w:pPr>
      <w:r>
        <w:rPr>
          <w:rFonts w:hint="eastAsia" w:hAnsi="宋体" w:eastAsia="宋体" w:cs="宋体"/>
          <w:sz w:val="24"/>
          <w:szCs w:val="24"/>
        </w:rPr>
        <w:t>2、“偏离说明”一栏选择“正偏离”、“负偏离”进行填写</w:t>
      </w:r>
      <w:r>
        <w:rPr>
          <w:rFonts w:hint="eastAsia" w:hAnsi="宋体" w:eastAsia="宋体" w:cs="宋体"/>
          <w:b/>
          <w:bCs/>
          <w:sz w:val="24"/>
          <w:szCs w:val="24"/>
        </w:rPr>
        <w:t>（本项目不接受负偏离）</w:t>
      </w:r>
      <w:r>
        <w:rPr>
          <w:rFonts w:hint="eastAsia" w:hAnsi="宋体" w:eastAsia="宋体" w:cs="宋体"/>
          <w:sz w:val="24"/>
          <w:szCs w:val="24"/>
        </w:rPr>
        <w:t>。正偏离的确认和负偏离的是否响应磋商文件，经三分之二评委认定。</w:t>
      </w:r>
    </w:p>
    <w:p>
      <w:pPr>
        <w:snapToGrid w:val="0"/>
        <w:spacing w:line="46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3、供应商若提供其他增值服务，可以在表中自行据实填写。</w:t>
      </w:r>
    </w:p>
    <w:p>
      <w:pPr>
        <w:snapToGrid w:val="0"/>
        <w:spacing w:line="360" w:lineRule="auto"/>
        <w:ind w:firstLine="560" w:firstLineChars="200"/>
        <w:jc w:val="right"/>
        <w:rPr>
          <w:rFonts w:ascii="宋体" w:hAnsi="宋体" w:eastAsia="宋体" w:cs="宋体"/>
          <w:sz w:val="28"/>
          <w:szCs w:val="28"/>
        </w:rPr>
      </w:pPr>
    </w:p>
    <w:p>
      <w:pPr>
        <w:snapToGrid w:val="0"/>
        <w:spacing w:line="360" w:lineRule="auto"/>
        <w:ind w:firstLine="560" w:firstLineChars="200"/>
        <w:jc w:val="right"/>
        <w:rPr>
          <w:rFonts w:ascii="宋体" w:hAnsi="宋体" w:eastAsia="宋体" w:cs="宋体"/>
          <w:sz w:val="28"/>
          <w:szCs w:val="28"/>
        </w:rPr>
      </w:pPr>
    </w:p>
    <w:p>
      <w:pPr>
        <w:snapToGrid w:val="0"/>
        <w:spacing w:line="520" w:lineRule="exact"/>
        <w:jc w:val="right"/>
        <w:rPr>
          <w:rFonts w:ascii="宋体" w:hAnsi="宋体" w:eastAsia="宋体" w:cs="宋体"/>
          <w:sz w:val="24"/>
          <w:szCs w:val="24"/>
        </w:rPr>
      </w:pPr>
      <w:r>
        <w:rPr>
          <w:rFonts w:hint="eastAsia" w:ascii="宋体" w:hAnsi="宋体" w:eastAsia="宋体" w:cs="宋体"/>
          <w:bCs/>
          <w:sz w:val="24"/>
        </w:rPr>
        <w:t xml:space="preserve">                                  </w:t>
      </w: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napToGrid w:val="0"/>
        <w:spacing w:line="460" w:lineRule="exact"/>
        <w:ind w:firstLine="480" w:firstLineChars="200"/>
        <w:contextualSpacing/>
        <w:rPr>
          <w:rFonts w:ascii="宋体" w:hAnsi="宋体" w:eastAsia="宋体" w:cs="宋体"/>
          <w:bCs/>
          <w:sz w:val="24"/>
        </w:rPr>
      </w:pPr>
    </w:p>
    <w:p>
      <w:pPr>
        <w:widowControl/>
        <w:jc w:val="left"/>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br w:type="page"/>
      </w:r>
    </w:p>
    <w:p>
      <w:pPr>
        <w:snapToGrid w:val="0"/>
        <w:spacing w:after="190"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napToGrid w:val="0"/>
        <w:spacing w:after="380"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6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1"/>
        <w:gridCol w:w="5036"/>
        <w:gridCol w:w="20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107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u w:val="single"/>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restart"/>
            <w:tcBorders>
              <w:top w:val="single" w:color="auto" w:sz="4" w:space="0"/>
              <w:left w:val="single" w:color="auto" w:sz="4" w:space="0"/>
              <w:right w:val="single" w:color="auto" w:sz="4" w:space="0"/>
            </w:tcBorders>
            <w:vAlign w:val="center"/>
          </w:tcPr>
          <w:p>
            <w:pPr>
              <w:kinsoku w:val="0"/>
              <w:topLinePunct/>
              <w:snapToGrid w:val="0"/>
              <w:spacing w:line="520" w:lineRule="exact"/>
              <w:jc w:val="left"/>
              <w:rPr>
                <w:rFonts w:ascii="方正仿宋_GBK" w:eastAsia="宋体"/>
                <w:sz w:val="24"/>
                <w:szCs w:val="24"/>
              </w:rPr>
            </w:pPr>
            <w:r>
              <w:rPr>
                <w:rFonts w:hint="eastAsia" w:ascii="方正仿宋_GBK" w:eastAsia="宋体"/>
                <w:sz w:val="24"/>
                <w:szCs w:val="24"/>
              </w:rPr>
              <w:t>作为报价标评分依据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最终报价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continue"/>
            <w:tcBorders>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9"/>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3"/>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3"/>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最终报价将在开标现场填写，商务标响应文件密封提交时只需填写“首轮报价”。</w:t>
      </w:r>
      <w:r>
        <w:rPr>
          <w:rFonts w:hint="eastAsia" w:ascii="宋体" w:hAnsi="宋体" w:eastAsia="宋体" w:cs="宋体"/>
          <w:b/>
          <w:bCs/>
          <w:sz w:val="24"/>
          <w:szCs w:val="24"/>
        </w:rPr>
        <w:t>且最终报价时，磋商响应报价明细表以首次报价为基数同比例下浮。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59"/>
        <w:ind w:left="0" w:leftChars="0" w:firstLine="0" w:firstLineChars="0"/>
        <w:jc w:val="center"/>
        <w:rPr>
          <w:rFonts w:ascii="宋体" w:hAnsi="宋体" w:cs="宋体"/>
          <w:b/>
          <w:szCs w:val="28"/>
        </w:rPr>
      </w:pPr>
      <w:r>
        <w:rPr>
          <w:rFonts w:hint="eastAsia" w:ascii="宋体" w:hAnsi="宋体" w:cs="宋体"/>
          <w:b/>
          <w:szCs w:val="28"/>
        </w:rPr>
        <w:t>磋商响应报价明细表</w:t>
      </w:r>
    </w:p>
    <w:p>
      <w:pPr>
        <w:kinsoku w:val="0"/>
        <w:topLinePunct/>
        <w:snapToGrid w:val="0"/>
        <w:spacing w:line="520" w:lineRule="exact"/>
        <w:rPr>
          <w:rFonts w:ascii="宋体" w:hAnsi="宋体" w:cs="宋体"/>
          <w:b/>
          <w:sz w:val="28"/>
          <w:szCs w:val="28"/>
        </w:rPr>
      </w:pPr>
      <w:r>
        <w:rPr>
          <w:rFonts w:hint="eastAsia" w:ascii="宋体" w:hAnsi="宋体" w:eastAsia="宋体" w:cs="宋体"/>
          <w:sz w:val="24"/>
          <w:szCs w:val="24"/>
        </w:rPr>
        <w:t>项目名称</w:t>
      </w:r>
      <w:r>
        <w:rPr>
          <w:rFonts w:ascii="方正仿宋_GBK" w:eastAsia="宋体"/>
          <w:b/>
          <w:sz w:val="24"/>
          <w:szCs w:val="24"/>
        </w:rPr>
        <w:t>：</w:t>
      </w:r>
    </w:p>
    <w:tbl>
      <w:tblPr>
        <w:tblStyle w:val="60"/>
        <w:tblW w:w="8984" w:type="dxa"/>
        <w:tblInd w:w="91" w:type="dxa"/>
        <w:tblLayout w:type="fixed"/>
        <w:tblCellMar>
          <w:top w:w="0" w:type="dxa"/>
          <w:left w:w="108" w:type="dxa"/>
          <w:bottom w:w="0" w:type="dxa"/>
          <w:right w:w="108" w:type="dxa"/>
        </w:tblCellMar>
      </w:tblPr>
      <w:tblGrid>
        <w:gridCol w:w="1149"/>
        <w:gridCol w:w="3515"/>
        <w:gridCol w:w="2848"/>
        <w:gridCol w:w="1472"/>
      </w:tblGrid>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5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分项名称</w:t>
            </w:r>
          </w:p>
        </w:tc>
        <w:tc>
          <w:tcPr>
            <w:tcW w:w="2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金额（元）</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总价</w:t>
            </w:r>
          </w:p>
        </w:tc>
        <w:tc>
          <w:tcPr>
            <w:tcW w:w="7835" w:type="dxa"/>
            <w:gridSpan w:val="3"/>
            <w:tcBorders>
              <w:top w:val="nil"/>
              <w:left w:val="nil"/>
              <w:bottom w:val="single" w:color="auto" w:sz="4" w:space="0"/>
              <w:right w:val="single" w:color="auto" w:sz="4" w:space="0"/>
            </w:tcBorders>
            <w:vAlign w:val="center"/>
          </w:tcPr>
          <w:p>
            <w:pPr>
              <w:rPr>
                <w:rFonts w:ascii="宋体" w:hAnsi="宋体" w:eastAsia="宋体" w:cs="宋体"/>
                <w:b/>
                <w:bCs/>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380" w:afterLines="100"/>
        <w:jc w:val="center"/>
        <w:rPr>
          <w:rFonts w:ascii="宋体" w:hAnsi="宋体" w:eastAsia="宋体" w:cs="宋体"/>
          <w:sz w:val="24"/>
          <w:szCs w:val="24"/>
        </w:rPr>
      </w:pPr>
      <w:r>
        <w:rPr>
          <w:rFonts w:hint="eastAsia" w:ascii="宋体" w:hAnsi="宋体" w:eastAsia="宋体"/>
          <w:b/>
          <w:sz w:val="28"/>
          <w:szCs w:val="28"/>
        </w:rPr>
        <w:t>小型、微型企业声明函（服务）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9"/>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2"/>
        <w:rPr>
          <w:rFonts w:ascii="宋体" w:hAnsi="宋体" w:eastAsia="宋体" w:cs="宋体"/>
          <w:sz w:val="24"/>
          <w:szCs w:val="24"/>
        </w:rPr>
      </w:pPr>
    </w:p>
    <w:p>
      <w:pPr>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pgSz w:w="11906" w:h="16838"/>
      <w:pgMar w:top="1417" w:right="1417" w:bottom="1417" w:left="1418" w:header="851" w:footer="448" w:gutter="0"/>
      <w:cols w:space="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F3B972-AADE-4A1C-BDA4-7C1CB245775C}"/>
  </w:font>
  <w:font w:name="黑体">
    <w:panose1 w:val="02010609060101010101"/>
    <w:charset w:val="86"/>
    <w:family w:val="auto"/>
    <w:pitch w:val="default"/>
    <w:sig w:usb0="800002BF" w:usb1="38CF7CFA" w:usb2="00000016" w:usb3="00000000" w:csb0="00040001" w:csb1="00000000"/>
    <w:embedRegular r:id="rId2" w:fontKey="{D19845D5-C4D3-4B8A-862A-A03900FAC844}"/>
  </w:font>
  <w:font w:name="Courier New">
    <w:panose1 w:val="02070309020205020404"/>
    <w:charset w:val="01"/>
    <w:family w:val="modern"/>
    <w:pitch w:val="default"/>
    <w:sig w:usb0="E0002EFF" w:usb1="C0007843" w:usb2="00000009" w:usb3="00000000" w:csb0="400001FF" w:csb1="FFFF0000"/>
    <w:embedRegular r:id="rId3" w:fontKey="{CEDB45FD-7678-4B41-B431-0227F75D013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6590F48-088C-4715-A3EE-C6EEB78E6DE3}"/>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5" w:fontKey="{990BC5AC-9353-4556-95EC-7272DE48E0BA}"/>
  </w:font>
  <w:font w:name="仿宋">
    <w:panose1 w:val="02010609060101010101"/>
    <w:charset w:val="86"/>
    <w:family w:val="modern"/>
    <w:pitch w:val="default"/>
    <w:sig w:usb0="800002BF" w:usb1="38CF7CFA" w:usb2="00000016" w:usb3="00000000" w:csb0="00040001" w:csb1="00000000"/>
    <w:embedRegular r:id="rId6" w:fontKey="{E98FEECD-0387-4A90-B5B0-C3A74F7EDA33}"/>
  </w:font>
  <w:font w:name="SimSong Regular">
    <w:altName w:val="宋体"/>
    <w:panose1 w:val="00000000000000000000"/>
    <w:charset w:val="86"/>
    <w:family w:val="auto"/>
    <w:pitch w:val="default"/>
    <w:sig w:usb0="00000000" w:usb1="00000000" w:usb2="00000016" w:usb3="00000000" w:csb0="0004000D" w:csb1="00000000"/>
    <w:embedRegular r:id="rId7" w:fontKey="{34222595-02B6-4441-8D11-BA86185B8112}"/>
  </w:font>
  <w:font w:name="等线">
    <w:panose1 w:val="02010600030101010101"/>
    <w:charset w:val="86"/>
    <w:family w:val="auto"/>
    <w:pitch w:val="default"/>
    <w:sig w:usb0="A00002BF" w:usb1="38CF7CFA" w:usb2="00000016" w:usb3="00000000" w:csb0="0004000F" w:csb1="00000000"/>
    <w:embedRegular r:id="rId8" w:fontKey="{3F8FF0FE-55BA-46D6-85E4-C53AF5CB2721}"/>
  </w:font>
  <w:font w:name="方正仿宋_GBK">
    <w:panose1 w:val="02000000000000000000"/>
    <w:charset w:val="86"/>
    <w:family w:val="script"/>
    <w:pitch w:val="default"/>
    <w:sig w:usb0="A00002BF" w:usb1="38CF7CFA" w:usb2="00082016" w:usb3="00000000" w:csb0="00040001" w:csb1="00000000"/>
    <w:embedRegular r:id="rId9" w:fontKey="{2FF9EFC8-173D-446D-97CD-0F256E49B10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1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40</w:t>
                          </w:r>
                          <w:r>
                            <w:fldChar w:fldCharType="end"/>
                          </w:r>
                          <w:r>
                            <w:rPr>
                              <w:rFonts w:hint="eastAsia"/>
                            </w:rPr>
                            <w:t>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fill on="f" focussize="0,0"/>
              <v:stroke on="f"/>
              <v:imagedata o:title=""/>
              <o:lock v:ext="edit" aspectratio="f"/>
              <v:textbox inset="0mm,0mm,0mm,0mm" style="mso-fit-shape-to-text:t;">
                <w:txbxContent>
                  <w:p>
                    <w:pPr>
                      <w:pStyle w:val="3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40</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-312420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24.6pt;height:144pt;width:144pt;mso-position-horizontal:center;mso-position-horizontal-relative:margin;mso-wrap-style:none;z-index:251660288;mso-width-relative:page;mso-height-relative:page;" filled="f" stroked="f" coordsize="21600,21600" o:gfxdata="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oMH19UAAAAIAQAADwAAAAAAAAABACAAAAAiAAAAZHJzL2Rvd25y&#10;ZXYueG1sUEsBAhQAFAAAAAgAh07iQA+MRufIAQAAmQMAAA4AAAAAAAAAAQAgAAAAJAEAAGRycy9l&#10;Mm9Eb2MueG1sUEsFBgAAAAAGAAYAWQEAAF4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FA61A"/>
    <w:multiLevelType w:val="singleLevel"/>
    <w:tmpl w:val="B31FA61A"/>
    <w:lvl w:ilvl="0" w:tentative="0">
      <w:start w:val="2"/>
      <w:numFmt w:val="chineseCounting"/>
      <w:suff w:val="nothing"/>
      <w:lvlText w:val="%1、"/>
      <w:lvlJc w:val="left"/>
      <w:rPr>
        <w:rFonts w:hint="eastAsia"/>
      </w:rPr>
    </w:lvl>
  </w:abstractNum>
  <w:abstractNum w:abstractNumId="1">
    <w:nsid w:val="21125CBE"/>
    <w:multiLevelType w:val="singleLevel"/>
    <w:tmpl w:val="21125CBE"/>
    <w:lvl w:ilvl="0" w:tentative="0">
      <w:start w:val="1"/>
      <w:numFmt w:val="decimal"/>
      <w:suff w:val="nothing"/>
      <w:lvlText w:val="（%1）"/>
      <w:lvlJc w:val="left"/>
    </w:lvl>
  </w:abstractNum>
  <w:abstractNum w:abstractNumId="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lOTY3OTlhM2MxM2E1NmY2N2M3ZjlhZmQzM2NlODkifQ=="/>
    <w:docVar w:name="KSO_WPS_MARK_KEY" w:val="ce5cbede-b49a-4c48-bb9e-fdf42506168f"/>
  </w:docVars>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2C7A"/>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27C"/>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B82"/>
    <w:rsid w:val="001E1F91"/>
    <w:rsid w:val="001E2FFD"/>
    <w:rsid w:val="001E67E6"/>
    <w:rsid w:val="001F11D9"/>
    <w:rsid w:val="001F4F25"/>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2DBC"/>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122CC"/>
    <w:rsid w:val="00320827"/>
    <w:rsid w:val="00323B19"/>
    <w:rsid w:val="00323E90"/>
    <w:rsid w:val="00326FF0"/>
    <w:rsid w:val="00327D3B"/>
    <w:rsid w:val="00331D4D"/>
    <w:rsid w:val="0033212D"/>
    <w:rsid w:val="00333E8B"/>
    <w:rsid w:val="00334616"/>
    <w:rsid w:val="00336479"/>
    <w:rsid w:val="0033666B"/>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00E"/>
    <w:rsid w:val="00392AF9"/>
    <w:rsid w:val="00393216"/>
    <w:rsid w:val="00393C45"/>
    <w:rsid w:val="0039406B"/>
    <w:rsid w:val="003962B9"/>
    <w:rsid w:val="003A0200"/>
    <w:rsid w:val="003A041B"/>
    <w:rsid w:val="003A3A48"/>
    <w:rsid w:val="003A3FB5"/>
    <w:rsid w:val="003A5458"/>
    <w:rsid w:val="003B224B"/>
    <w:rsid w:val="003B33F9"/>
    <w:rsid w:val="003B5297"/>
    <w:rsid w:val="003C01E5"/>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027"/>
    <w:rsid w:val="003F41CB"/>
    <w:rsid w:val="003F533B"/>
    <w:rsid w:val="003F69D9"/>
    <w:rsid w:val="00403E61"/>
    <w:rsid w:val="004042A4"/>
    <w:rsid w:val="004054D7"/>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65E0"/>
    <w:rsid w:val="0044710D"/>
    <w:rsid w:val="00447819"/>
    <w:rsid w:val="004516E0"/>
    <w:rsid w:val="00451E99"/>
    <w:rsid w:val="00453594"/>
    <w:rsid w:val="0045486D"/>
    <w:rsid w:val="00455D6E"/>
    <w:rsid w:val="00462461"/>
    <w:rsid w:val="0046266E"/>
    <w:rsid w:val="00463B9D"/>
    <w:rsid w:val="004647FD"/>
    <w:rsid w:val="00465CCF"/>
    <w:rsid w:val="004663A1"/>
    <w:rsid w:val="0046790B"/>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06DD"/>
    <w:rsid w:val="004A20B7"/>
    <w:rsid w:val="004A58E9"/>
    <w:rsid w:val="004B394E"/>
    <w:rsid w:val="004B3C41"/>
    <w:rsid w:val="004B416F"/>
    <w:rsid w:val="004B5228"/>
    <w:rsid w:val="004B7197"/>
    <w:rsid w:val="004C01AE"/>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318"/>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2896"/>
    <w:rsid w:val="005C5831"/>
    <w:rsid w:val="005C627B"/>
    <w:rsid w:val="005C70FD"/>
    <w:rsid w:val="005C7473"/>
    <w:rsid w:val="005C78F8"/>
    <w:rsid w:val="005D26D9"/>
    <w:rsid w:val="005D31AE"/>
    <w:rsid w:val="005D3C3B"/>
    <w:rsid w:val="005D3F20"/>
    <w:rsid w:val="005D4228"/>
    <w:rsid w:val="005D64B6"/>
    <w:rsid w:val="005D676D"/>
    <w:rsid w:val="005D77DF"/>
    <w:rsid w:val="005E39BE"/>
    <w:rsid w:val="005E3A5A"/>
    <w:rsid w:val="005E3FB9"/>
    <w:rsid w:val="005E4BC7"/>
    <w:rsid w:val="005E70DE"/>
    <w:rsid w:val="005E7887"/>
    <w:rsid w:val="005F0F8E"/>
    <w:rsid w:val="005F10BC"/>
    <w:rsid w:val="005F14C7"/>
    <w:rsid w:val="005F2398"/>
    <w:rsid w:val="005F3656"/>
    <w:rsid w:val="005F3A91"/>
    <w:rsid w:val="005F66A2"/>
    <w:rsid w:val="00602CC0"/>
    <w:rsid w:val="006051A7"/>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0D85"/>
    <w:rsid w:val="00662AF5"/>
    <w:rsid w:val="00663AE4"/>
    <w:rsid w:val="00664039"/>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34DC"/>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07C34"/>
    <w:rsid w:val="0071080E"/>
    <w:rsid w:val="00710FE4"/>
    <w:rsid w:val="00712DF0"/>
    <w:rsid w:val="007141B2"/>
    <w:rsid w:val="00717059"/>
    <w:rsid w:val="00720EFB"/>
    <w:rsid w:val="0072262C"/>
    <w:rsid w:val="00723C25"/>
    <w:rsid w:val="00724D91"/>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1DC0"/>
    <w:rsid w:val="00762CD1"/>
    <w:rsid w:val="0076558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957A3"/>
    <w:rsid w:val="007A07C4"/>
    <w:rsid w:val="007A08E8"/>
    <w:rsid w:val="007A4130"/>
    <w:rsid w:val="007A46E8"/>
    <w:rsid w:val="007A4880"/>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0E80"/>
    <w:rsid w:val="007F354C"/>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44F26"/>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1F9D"/>
    <w:rsid w:val="00872E37"/>
    <w:rsid w:val="00872F6C"/>
    <w:rsid w:val="008731F0"/>
    <w:rsid w:val="00873296"/>
    <w:rsid w:val="00873E02"/>
    <w:rsid w:val="00873F0F"/>
    <w:rsid w:val="008754C1"/>
    <w:rsid w:val="00881A50"/>
    <w:rsid w:val="008846F7"/>
    <w:rsid w:val="00885DA3"/>
    <w:rsid w:val="00886338"/>
    <w:rsid w:val="00893145"/>
    <w:rsid w:val="00893EE9"/>
    <w:rsid w:val="00894C90"/>
    <w:rsid w:val="008977DD"/>
    <w:rsid w:val="008A3B70"/>
    <w:rsid w:val="008B0D14"/>
    <w:rsid w:val="008B16E6"/>
    <w:rsid w:val="008B6075"/>
    <w:rsid w:val="008C0C45"/>
    <w:rsid w:val="008C3C73"/>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E6C11"/>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2D7E"/>
    <w:rsid w:val="009333CB"/>
    <w:rsid w:val="0093686C"/>
    <w:rsid w:val="00936BFF"/>
    <w:rsid w:val="00940652"/>
    <w:rsid w:val="00940A6D"/>
    <w:rsid w:val="009469D9"/>
    <w:rsid w:val="00951C61"/>
    <w:rsid w:val="00952492"/>
    <w:rsid w:val="009551FB"/>
    <w:rsid w:val="00961D41"/>
    <w:rsid w:val="00964A0C"/>
    <w:rsid w:val="00965936"/>
    <w:rsid w:val="00965DB4"/>
    <w:rsid w:val="00965FFE"/>
    <w:rsid w:val="00966DBD"/>
    <w:rsid w:val="00966F6E"/>
    <w:rsid w:val="009671A8"/>
    <w:rsid w:val="00972C2F"/>
    <w:rsid w:val="0097401D"/>
    <w:rsid w:val="009755F9"/>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0E4"/>
    <w:rsid w:val="009B6252"/>
    <w:rsid w:val="009B7BF6"/>
    <w:rsid w:val="009C10F0"/>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096E"/>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60C7"/>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4FB9"/>
    <w:rsid w:val="00AF65FC"/>
    <w:rsid w:val="00AF6EBC"/>
    <w:rsid w:val="00B00AF8"/>
    <w:rsid w:val="00B01A63"/>
    <w:rsid w:val="00B020A0"/>
    <w:rsid w:val="00B02272"/>
    <w:rsid w:val="00B04A00"/>
    <w:rsid w:val="00B10397"/>
    <w:rsid w:val="00B120A2"/>
    <w:rsid w:val="00B12892"/>
    <w:rsid w:val="00B12914"/>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43AD"/>
    <w:rsid w:val="00B5617F"/>
    <w:rsid w:val="00B56734"/>
    <w:rsid w:val="00B5730E"/>
    <w:rsid w:val="00B6019E"/>
    <w:rsid w:val="00B60D04"/>
    <w:rsid w:val="00B62582"/>
    <w:rsid w:val="00B62A37"/>
    <w:rsid w:val="00B661A4"/>
    <w:rsid w:val="00B674D9"/>
    <w:rsid w:val="00B70546"/>
    <w:rsid w:val="00B70680"/>
    <w:rsid w:val="00B70C6A"/>
    <w:rsid w:val="00B71A74"/>
    <w:rsid w:val="00B71E55"/>
    <w:rsid w:val="00B734C5"/>
    <w:rsid w:val="00B73C1B"/>
    <w:rsid w:val="00B75680"/>
    <w:rsid w:val="00B7657E"/>
    <w:rsid w:val="00B81D23"/>
    <w:rsid w:val="00B824F9"/>
    <w:rsid w:val="00B826D8"/>
    <w:rsid w:val="00B83C28"/>
    <w:rsid w:val="00B91D91"/>
    <w:rsid w:val="00B92EEE"/>
    <w:rsid w:val="00B9357D"/>
    <w:rsid w:val="00B94274"/>
    <w:rsid w:val="00B94C27"/>
    <w:rsid w:val="00B959E7"/>
    <w:rsid w:val="00B96916"/>
    <w:rsid w:val="00B97CAA"/>
    <w:rsid w:val="00B97E46"/>
    <w:rsid w:val="00BA071E"/>
    <w:rsid w:val="00BA0989"/>
    <w:rsid w:val="00BA486F"/>
    <w:rsid w:val="00BA48F9"/>
    <w:rsid w:val="00BA51BD"/>
    <w:rsid w:val="00BA5538"/>
    <w:rsid w:val="00BA5547"/>
    <w:rsid w:val="00BA57DC"/>
    <w:rsid w:val="00BA5891"/>
    <w:rsid w:val="00BA7427"/>
    <w:rsid w:val="00BB0B1B"/>
    <w:rsid w:val="00BB23A2"/>
    <w:rsid w:val="00BC1349"/>
    <w:rsid w:val="00BC2125"/>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277B0"/>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02A"/>
    <w:rsid w:val="00C6276C"/>
    <w:rsid w:val="00C63604"/>
    <w:rsid w:val="00C636AE"/>
    <w:rsid w:val="00C648F5"/>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1428"/>
    <w:rsid w:val="00CE2048"/>
    <w:rsid w:val="00CE348A"/>
    <w:rsid w:val="00CE5471"/>
    <w:rsid w:val="00CE54C8"/>
    <w:rsid w:val="00CE57B7"/>
    <w:rsid w:val="00CE66AD"/>
    <w:rsid w:val="00CE742C"/>
    <w:rsid w:val="00CF0904"/>
    <w:rsid w:val="00CF0F3B"/>
    <w:rsid w:val="00CF30CC"/>
    <w:rsid w:val="00CF6660"/>
    <w:rsid w:val="00D01C79"/>
    <w:rsid w:val="00D02316"/>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428C"/>
    <w:rsid w:val="00D25374"/>
    <w:rsid w:val="00D255CD"/>
    <w:rsid w:val="00D27CE8"/>
    <w:rsid w:val="00D27FC1"/>
    <w:rsid w:val="00D30D9B"/>
    <w:rsid w:val="00D319BA"/>
    <w:rsid w:val="00D33C80"/>
    <w:rsid w:val="00D34034"/>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1E6"/>
    <w:rsid w:val="00DF1670"/>
    <w:rsid w:val="00DF17B9"/>
    <w:rsid w:val="00DF446B"/>
    <w:rsid w:val="00DF4AD0"/>
    <w:rsid w:val="00DF4D78"/>
    <w:rsid w:val="00DF6933"/>
    <w:rsid w:val="00DF74DE"/>
    <w:rsid w:val="00E00CF7"/>
    <w:rsid w:val="00E01F9F"/>
    <w:rsid w:val="00E045CF"/>
    <w:rsid w:val="00E04AA9"/>
    <w:rsid w:val="00E062CA"/>
    <w:rsid w:val="00E06563"/>
    <w:rsid w:val="00E07CF2"/>
    <w:rsid w:val="00E11AF7"/>
    <w:rsid w:val="00E1221D"/>
    <w:rsid w:val="00E1392A"/>
    <w:rsid w:val="00E13D6B"/>
    <w:rsid w:val="00E13D6E"/>
    <w:rsid w:val="00E14AB9"/>
    <w:rsid w:val="00E16D4A"/>
    <w:rsid w:val="00E16E68"/>
    <w:rsid w:val="00E1759C"/>
    <w:rsid w:val="00E20A74"/>
    <w:rsid w:val="00E20F36"/>
    <w:rsid w:val="00E21375"/>
    <w:rsid w:val="00E21395"/>
    <w:rsid w:val="00E24A30"/>
    <w:rsid w:val="00E24C4A"/>
    <w:rsid w:val="00E267E2"/>
    <w:rsid w:val="00E27D63"/>
    <w:rsid w:val="00E3428D"/>
    <w:rsid w:val="00E34A59"/>
    <w:rsid w:val="00E376D5"/>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1AD358E"/>
    <w:rsid w:val="02214C21"/>
    <w:rsid w:val="02465336"/>
    <w:rsid w:val="02691BF4"/>
    <w:rsid w:val="02694A4E"/>
    <w:rsid w:val="02722DB7"/>
    <w:rsid w:val="02813929"/>
    <w:rsid w:val="02814CE3"/>
    <w:rsid w:val="02B770D9"/>
    <w:rsid w:val="02BC42FC"/>
    <w:rsid w:val="02DE32B9"/>
    <w:rsid w:val="02E92253"/>
    <w:rsid w:val="0301674D"/>
    <w:rsid w:val="03250D00"/>
    <w:rsid w:val="035407CA"/>
    <w:rsid w:val="035A20C8"/>
    <w:rsid w:val="035C31A1"/>
    <w:rsid w:val="035F3853"/>
    <w:rsid w:val="03804CF4"/>
    <w:rsid w:val="0397409D"/>
    <w:rsid w:val="03A54ECB"/>
    <w:rsid w:val="03D375DD"/>
    <w:rsid w:val="03D754F6"/>
    <w:rsid w:val="03FC4557"/>
    <w:rsid w:val="03FF4716"/>
    <w:rsid w:val="04381AAF"/>
    <w:rsid w:val="044477A7"/>
    <w:rsid w:val="045D6219"/>
    <w:rsid w:val="048B1C2C"/>
    <w:rsid w:val="04EA1848"/>
    <w:rsid w:val="04F557F5"/>
    <w:rsid w:val="054C2F13"/>
    <w:rsid w:val="055A71F6"/>
    <w:rsid w:val="05834324"/>
    <w:rsid w:val="058541DA"/>
    <w:rsid w:val="059F3C96"/>
    <w:rsid w:val="05BA022C"/>
    <w:rsid w:val="05D257D1"/>
    <w:rsid w:val="05D40FA8"/>
    <w:rsid w:val="05D46F4C"/>
    <w:rsid w:val="05FF010D"/>
    <w:rsid w:val="0602185E"/>
    <w:rsid w:val="064364B4"/>
    <w:rsid w:val="0664643D"/>
    <w:rsid w:val="06820EF1"/>
    <w:rsid w:val="068C0E4D"/>
    <w:rsid w:val="069254AF"/>
    <w:rsid w:val="069270EA"/>
    <w:rsid w:val="06AC1E40"/>
    <w:rsid w:val="06D40937"/>
    <w:rsid w:val="06E757C9"/>
    <w:rsid w:val="06F643EA"/>
    <w:rsid w:val="06FD61D2"/>
    <w:rsid w:val="0721370C"/>
    <w:rsid w:val="074A2ABE"/>
    <w:rsid w:val="07516C9E"/>
    <w:rsid w:val="076E604D"/>
    <w:rsid w:val="07A6697C"/>
    <w:rsid w:val="07B345CA"/>
    <w:rsid w:val="07C76145"/>
    <w:rsid w:val="07E74731"/>
    <w:rsid w:val="07F72D4C"/>
    <w:rsid w:val="0808438A"/>
    <w:rsid w:val="080F08D8"/>
    <w:rsid w:val="084368FC"/>
    <w:rsid w:val="088428E1"/>
    <w:rsid w:val="088D4A91"/>
    <w:rsid w:val="089C6095"/>
    <w:rsid w:val="08C43481"/>
    <w:rsid w:val="08CE0E70"/>
    <w:rsid w:val="08D30834"/>
    <w:rsid w:val="08EB72CB"/>
    <w:rsid w:val="08FC1A5A"/>
    <w:rsid w:val="09037A4E"/>
    <w:rsid w:val="091D7F1A"/>
    <w:rsid w:val="09587CF3"/>
    <w:rsid w:val="09934A8C"/>
    <w:rsid w:val="0998630C"/>
    <w:rsid w:val="09A14C4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4B694B"/>
    <w:rsid w:val="0B507865"/>
    <w:rsid w:val="0B6544D2"/>
    <w:rsid w:val="0B6A6F81"/>
    <w:rsid w:val="0B7D4716"/>
    <w:rsid w:val="0B850711"/>
    <w:rsid w:val="0B8A37AE"/>
    <w:rsid w:val="0B8B3F15"/>
    <w:rsid w:val="0B9F28B8"/>
    <w:rsid w:val="0BA8720D"/>
    <w:rsid w:val="0BAA2A3D"/>
    <w:rsid w:val="0BBA1E62"/>
    <w:rsid w:val="0C0C665E"/>
    <w:rsid w:val="0C1E3A64"/>
    <w:rsid w:val="0C254F18"/>
    <w:rsid w:val="0C506870"/>
    <w:rsid w:val="0C617140"/>
    <w:rsid w:val="0C6D3894"/>
    <w:rsid w:val="0C723619"/>
    <w:rsid w:val="0C960A6A"/>
    <w:rsid w:val="0CA06AD2"/>
    <w:rsid w:val="0CBF3301"/>
    <w:rsid w:val="0CC21DAB"/>
    <w:rsid w:val="0CC8351A"/>
    <w:rsid w:val="0CD0081C"/>
    <w:rsid w:val="0CDF5015"/>
    <w:rsid w:val="0CF8203D"/>
    <w:rsid w:val="0CFD4ED4"/>
    <w:rsid w:val="0D320033"/>
    <w:rsid w:val="0D392A89"/>
    <w:rsid w:val="0D631CE5"/>
    <w:rsid w:val="0DAE6B51"/>
    <w:rsid w:val="0DCC4CBA"/>
    <w:rsid w:val="0DCD276C"/>
    <w:rsid w:val="0DDE5621"/>
    <w:rsid w:val="0DED3A56"/>
    <w:rsid w:val="0E2B2DC3"/>
    <w:rsid w:val="0E651A19"/>
    <w:rsid w:val="0E662B1E"/>
    <w:rsid w:val="0E6A133C"/>
    <w:rsid w:val="0E734839"/>
    <w:rsid w:val="0E7870C4"/>
    <w:rsid w:val="0E8C28EA"/>
    <w:rsid w:val="0E9061BD"/>
    <w:rsid w:val="0EB46233"/>
    <w:rsid w:val="0EC12E6D"/>
    <w:rsid w:val="0ED165FA"/>
    <w:rsid w:val="0ED62816"/>
    <w:rsid w:val="0ED77BF5"/>
    <w:rsid w:val="0EDD2545"/>
    <w:rsid w:val="0EE940C8"/>
    <w:rsid w:val="0F1D2352"/>
    <w:rsid w:val="0F442697"/>
    <w:rsid w:val="0F5862B1"/>
    <w:rsid w:val="0F680AEC"/>
    <w:rsid w:val="0F7B53FF"/>
    <w:rsid w:val="0F81333F"/>
    <w:rsid w:val="0F8A4AEB"/>
    <w:rsid w:val="0FA07739"/>
    <w:rsid w:val="0FC60FF1"/>
    <w:rsid w:val="0FD31F97"/>
    <w:rsid w:val="0FF24DCB"/>
    <w:rsid w:val="102B7B10"/>
    <w:rsid w:val="10393CD1"/>
    <w:rsid w:val="10737446"/>
    <w:rsid w:val="108366C1"/>
    <w:rsid w:val="108A631E"/>
    <w:rsid w:val="10B85DBF"/>
    <w:rsid w:val="10D26BB3"/>
    <w:rsid w:val="10D3396F"/>
    <w:rsid w:val="10DA6853"/>
    <w:rsid w:val="10EA6441"/>
    <w:rsid w:val="11084D00"/>
    <w:rsid w:val="11247DA4"/>
    <w:rsid w:val="11250309"/>
    <w:rsid w:val="11351B87"/>
    <w:rsid w:val="11367223"/>
    <w:rsid w:val="11463498"/>
    <w:rsid w:val="11531D43"/>
    <w:rsid w:val="115D4F2A"/>
    <w:rsid w:val="11705255"/>
    <w:rsid w:val="11956DB9"/>
    <w:rsid w:val="11972241"/>
    <w:rsid w:val="11A02C0B"/>
    <w:rsid w:val="11C0331A"/>
    <w:rsid w:val="11FF767D"/>
    <w:rsid w:val="12501D56"/>
    <w:rsid w:val="126342DC"/>
    <w:rsid w:val="126A3CE5"/>
    <w:rsid w:val="12804EC3"/>
    <w:rsid w:val="12B9724A"/>
    <w:rsid w:val="12ED108C"/>
    <w:rsid w:val="12F712DA"/>
    <w:rsid w:val="12F9050F"/>
    <w:rsid w:val="130E043F"/>
    <w:rsid w:val="131F5F39"/>
    <w:rsid w:val="133A4BEB"/>
    <w:rsid w:val="134176DB"/>
    <w:rsid w:val="13627322"/>
    <w:rsid w:val="13753078"/>
    <w:rsid w:val="13876133"/>
    <w:rsid w:val="139D423C"/>
    <w:rsid w:val="139E459A"/>
    <w:rsid w:val="13CA31FB"/>
    <w:rsid w:val="13DA36B2"/>
    <w:rsid w:val="13E62AA2"/>
    <w:rsid w:val="14076394"/>
    <w:rsid w:val="143E021E"/>
    <w:rsid w:val="14674D59"/>
    <w:rsid w:val="148E216F"/>
    <w:rsid w:val="14A254B8"/>
    <w:rsid w:val="14BC5E70"/>
    <w:rsid w:val="14C672CD"/>
    <w:rsid w:val="14DE2975"/>
    <w:rsid w:val="15013288"/>
    <w:rsid w:val="15052AED"/>
    <w:rsid w:val="150C509E"/>
    <w:rsid w:val="15164B5B"/>
    <w:rsid w:val="15345223"/>
    <w:rsid w:val="157F0C2D"/>
    <w:rsid w:val="15840A28"/>
    <w:rsid w:val="1584515F"/>
    <w:rsid w:val="159630D3"/>
    <w:rsid w:val="15997100"/>
    <w:rsid w:val="15997116"/>
    <w:rsid w:val="15C209F0"/>
    <w:rsid w:val="15C42D05"/>
    <w:rsid w:val="15FA376A"/>
    <w:rsid w:val="16024EBD"/>
    <w:rsid w:val="16041EF6"/>
    <w:rsid w:val="1606156C"/>
    <w:rsid w:val="16071DBE"/>
    <w:rsid w:val="161C741E"/>
    <w:rsid w:val="162738EA"/>
    <w:rsid w:val="162C0A4E"/>
    <w:rsid w:val="16493FE4"/>
    <w:rsid w:val="168D5D74"/>
    <w:rsid w:val="168E0CC6"/>
    <w:rsid w:val="169B6E04"/>
    <w:rsid w:val="16AA05CE"/>
    <w:rsid w:val="16B87DCE"/>
    <w:rsid w:val="16C24E28"/>
    <w:rsid w:val="16E469AA"/>
    <w:rsid w:val="171F37D3"/>
    <w:rsid w:val="17207639"/>
    <w:rsid w:val="17220BA3"/>
    <w:rsid w:val="173C1970"/>
    <w:rsid w:val="17424D63"/>
    <w:rsid w:val="175C5C65"/>
    <w:rsid w:val="17901906"/>
    <w:rsid w:val="17DD7C1B"/>
    <w:rsid w:val="17F36EC3"/>
    <w:rsid w:val="180B42DA"/>
    <w:rsid w:val="1819223D"/>
    <w:rsid w:val="1826077F"/>
    <w:rsid w:val="182E62D8"/>
    <w:rsid w:val="18407366"/>
    <w:rsid w:val="184940B0"/>
    <w:rsid w:val="18577D43"/>
    <w:rsid w:val="18680B1D"/>
    <w:rsid w:val="1885777E"/>
    <w:rsid w:val="18973FA0"/>
    <w:rsid w:val="18D02ADB"/>
    <w:rsid w:val="18D331A5"/>
    <w:rsid w:val="19137C4F"/>
    <w:rsid w:val="19431471"/>
    <w:rsid w:val="19474AD7"/>
    <w:rsid w:val="194F02E7"/>
    <w:rsid w:val="194F7866"/>
    <w:rsid w:val="196D5014"/>
    <w:rsid w:val="19857774"/>
    <w:rsid w:val="19C6160B"/>
    <w:rsid w:val="19CB1EC2"/>
    <w:rsid w:val="19DB1E50"/>
    <w:rsid w:val="19F849D2"/>
    <w:rsid w:val="1A1127D8"/>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CF2401"/>
    <w:rsid w:val="1BD17EDE"/>
    <w:rsid w:val="1BD92D7A"/>
    <w:rsid w:val="1BF352DE"/>
    <w:rsid w:val="1C0B491D"/>
    <w:rsid w:val="1C116F86"/>
    <w:rsid w:val="1C1A68EE"/>
    <w:rsid w:val="1C44686C"/>
    <w:rsid w:val="1C4B3813"/>
    <w:rsid w:val="1C5B5914"/>
    <w:rsid w:val="1C807FCE"/>
    <w:rsid w:val="1C825FF9"/>
    <w:rsid w:val="1C864A20"/>
    <w:rsid w:val="1CA35A5D"/>
    <w:rsid w:val="1CBB092F"/>
    <w:rsid w:val="1CC57CC9"/>
    <w:rsid w:val="1CC670EE"/>
    <w:rsid w:val="1CCC3229"/>
    <w:rsid w:val="1CEE1F73"/>
    <w:rsid w:val="1CFA75DD"/>
    <w:rsid w:val="1CFC16DE"/>
    <w:rsid w:val="1D1A2F73"/>
    <w:rsid w:val="1D265AD0"/>
    <w:rsid w:val="1D4860AC"/>
    <w:rsid w:val="1D4F6142"/>
    <w:rsid w:val="1D527E58"/>
    <w:rsid w:val="1D714C82"/>
    <w:rsid w:val="1D767F48"/>
    <w:rsid w:val="1D8532A9"/>
    <w:rsid w:val="1DC62616"/>
    <w:rsid w:val="1DD9496F"/>
    <w:rsid w:val="1E382A67"/>
    <w:rsid w:val="1E42613D"/>
    <w:rsid w:val="1E484788"/>
    <w:rsid w:val="1E567115"/>
    <w:rsid w:val="1E634E61"/>
    <w:rsid w:val="1E6B2E70"/>
    <w:rsid w:val="1E7C3D8A"/>
    <w:rsid w:val="1EA356EA"/>
    <w:rsid w:val="1EB73811"/>
    <w:rsid w:val="1F3A72BD"/>
    <w:rsid w:val="1F444828"/>
    <w:rsid w:val="1F4D4DB6"/>
    <w:rsid w:val="1F845030"/>
    <w:rsid w:val="1F8A1413"/>
    <w:rsid w:val="1F9C0432"/>
    <w:rsid w:val="1FA76E67"/>
    <w:rsid w:val="1FA90056"/>
    <w:rsid w:val="1FB65710"/>
    <w:rsid w:val="1FE1584E"/>
    <w:rsid w:val="1FE529F2"/>
    <w:rsid w:val="2006569D"/>
    <w:rsid w:val="20477A01"/>
    <w:rsid w:val="206072F7"/>
    <w:rsid w:val="208E6E0B"/>
    <w:rsid w:val="209A09D7"/>
    <w:rsid w:val="20A82056"/>
    <w:rsid w:val="20AC402F"/>
    <w:rsid w:val="20CB5BF0"/>
    <w:rsid w:val="20D163CA"/>
    <w:rsid w:val="20D94915"/>
    <w:rsid w:val="20F1668D"/>
    <w:rsid w:val="20F751E5"/>
    <w:rsid w:val="211760BC"/>
    <w:rsid w:val="212F0B83"/>
    <w:rsid w:val="215B5B29"/>
    <w:rsid w:val="21C346E9"/>
    <w:rsid w:val="21DF4E50"/>
    <w:rsid w:val="21E563CE"/>
    <w:rsid w:val="21F07845"/>
    <w:rsid w:val="22124A61"/>
    <w:rsid w:val="222E1053"/>
    <w:rsid w:val="225C5D5B"/>
    <w:rsid w:val="22632497"/>
    <w:rsid w:val="22AA67A1"/>
    <w:rsid w:val="22B51778"/>
    <w:rsid w:val="22B907D7"/>
    <w:rsid w:val="22E74322"/>
    <w:rsid w:val="22EB68CB"/>
    <w:rsid w:val="22F418E1"/>
    <w:rsid w:val="22FB2088"/>
    <w:rsid w:val="230A71CF"/>
    <w:rsid w:val="23112E7E"/>
    <w:rsid w:val="23576FB8"/>
    <w:rsid w:val="23AF1AC9"/>
    <w:rsid w:val="23AF4E6A"/>
    <w:rsid w:val="23B90846"/>
    <w:rsid w:val="23D17176"/>
    <w:rsid w:val="23E3329B"/>
    <w:rsid w:val="23EC3A28"/>
    <w:rsid w:val="23EE4289"/>
    <w:rsid w:val="23EF0F02"/>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791C05"/>
    <w:rsid w:val="258704E3"/>
    <w:rsid w:val="25964780"/>
    <w:rsid w:val="259F4F69"/>
    <w:rsid w:val="25A4702B"/>
    <w:rsid w:val="25C01AEA"/>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584BFE"/>
    <w:rsid w:val="27CE5EEF"/>
    <w:rsid w:val="27FF38FF"/>
    <w:rsid w:val="28173EBF"/>
    <w:rsid w:val="281C62D3"/>
    <w:rsid w:val="2828479D"/>
    <w:rsid w:val="28452A97"/>
    <w:rsid w:val="285F5C4A"/>
    <w:rsid w:val="287774BA"/>
    <w:rsid w:val="28C45743"/>
    <w:rsid w:val="28C86A2E"/>
    <w:rsid w:val="28D93758"/>
    <w:rsid w:val="28E45B3C"/>
    <w:rsid w:val="28E818A5"/>
    <w:rsid w:val="290C16D2"/>
    <w:rsid w:val="29382C3B"/>
    <w:rsid w:val="294206A7"/>
    <w:rsid w:val="295B75F1"/>
    <w:rsid w:val="29617CE2"/>
    <w:rsid w:val="296E0309"/>
    <w:rsid w:val="299B236E"/>
    <w:rsid w:val="29AC7287"/>
    <w:rsid w:val="29B24EF5"/>
    <w:rsid w:val="29E32AA7"/>
    <w:rsid w:val="29E35EE3"/>
    <w:rsid w:val="2A4A7932"/>
    <w:rsid w:val="2A5C63A7"/>
    <w:rsid w:val="2A6D6F90"/>
    <w:rsid w:val="2A864C63"/>
    <w:rsid w:val="2AA00028"/>
    <w:rsid w:val="2AB45DF7"/>
    <w:rsid w:val="2AB82483"/>
    <w:rsid w:val="2AD82733"/>
    <w:rsid w:val="2AD9619B"/>
    <w:rsid w:val="2AE13145"/>
    <w:rsid w:val="2AE40EA9"/>
    <w:rsid w:val="2AF149D2"/>
    <w:rsid w:val="2AFC6512"/>
    <w:rsid w:val="2B186F23"/>
    <w:rsid w:val="2B6007B5"/>
    <w:rsid w:val="2B6911F0"/>
    <w:rsid w:val="2B8B4CC5"/>
    <w:rsid w:val="2B995E7A"/>
    <w:rsid w:val="2BA472C5"/>
    <w:rsid w:val="2BAB1B4B"/>
    <w:rsid w:val="2BB370F2"/>
    <w:rsid w:val="2BE14742"/>
    <w:rsid w:val="2BFD18E1"/>
    <w:rsid w:val="2C136EEB"/>
    <w:rsid w:val="2C28319A"/>
    <w:rsid w:val="2C393A8C"/>
    <w:rsid w:val="2C3E0754"/>
    <w:rsid w:val="2C5954AF"/>
    <w:rsid w:val="2C683624"/>
    <w:rsid w:val="2C765850"/>
    <w:rsid w:val="2CA13196"/>
    <w:rsid w:val="2CA15C86"/>
    <w:rsid w:val="2CC258F1"/>
    <w:rsid w:val="2D0A2886"/>
    <w:rsid w:val="2D114A45"/>
    <w:rsid w:val="2D14722D"/>
    <w:rsid w:val="2D201C06"/>
    <w:rsid w:val="2D497CFA"/>
    <w:rsid w:val="2D4A6BCC"/>
    <w:rsid w:val="2D531A92"/>
    <w:rsid w:val="2D5559EE"/>
    <w:rsid w:val="2D5B4AF5"/>
    <w:rsid w:val="2D5D533D"/>
    <w:rsid w:val="2D6C1624"/>
    <w:rsid w:val="2D6E6496"/>
    <w:rsid w:val="2D9A56E9"/>
    <w:rsid w:val="2D9F2F8E"/>
    <w:rsid w:val="2DA94576"/>
    <w:rsid w:val="2DEF5B92"/>
    <w:rsid w:val="2DFC51E3"/>
    <w:rsid w:val="2E11510E"/>
    <w:rsid w:val="2E514CE7"/>
    <w:rsid w:val="2E700F13"/>
    <w:rsid w:val="2E85644A"/>
    <w:rsid w:val="2ED71E94"/>
    <w:rsid w:val="2F0D69E0"/>
    <w:rsid w:val="2F2D580F"/>
    <w:rsid w:val="2F4C533E"/>
    <w:rsid w:val="2F5D284E"/>
    <w:rsid w:val="2F7C0FE4"/>
    <w:rsid w:val="2FBD50C9"/>
    <w:rsid w:val="2FD55076"/>
    <w:rsid w:val="2FD82029"/>
    <w:rsid w:val="2FE02E0F"/>
    <w:rsid w:val="2FE82F4B"/>
    <w:rsid w:val="2FF54433"/>
    <w:rsid w:val="301B1DEB"/>
    <w:rsid w:val="303A498C"/>
    <w:rsid w:val="304361D7"/>
    <w:rsid w:val="309053F0"/>
    <w:rsid w:val="30971A44"/>
    <w:rsid w:val="30A71A03"/>
    <w:rsid w:val="30B76DD3"/>
    <w:rsid w:val="31200CA6"/>
    <w:rsid w:val="312B25D1"/>
    <w:rsid w:val="312D07C4"/>
    <w:rsid w:val="31607A38"/>
    <w:rsid w:val="316D61ED"/>
    <w:rsid w:val="31A31257"/>
    <w:rsid w:val="31C81974"/>
    <w:rsid w:val="31C82735"/>
    <w:rsid w:val="31D26289"/>
    <w:rsid w:val="31DD5D6D"/>
    <w:rsid w:val="31E51061"/>
    <w:rsid w:val="31F85B08"/>
    <w:rsid w:val="31FF6390"/>
    <w:rsid w:val="32B43F62"/>
    <w:rsid w:val="32BE4472"/>
    <w:rsid w:val="32D0708B"/>
    <w:rsid w:val="331368C5"/>
    <w:rsid w:val="33237731"/>
    <w:rsid w:val="33242675"/>
    <w:rsid w:val="332544EC"/>
    <w:rsid w:val="332C53ED"/>
    <w:rsid w:val="333635A1"/>
    <w:rsid w:val="33427A8A"/>
    <w:rsid w:val="3345492A"/>
    <w:rsid w:val="335A0A43"/>
    <w:rsid w:val="337B1669"/>
    <w:rsid w:val="337D1DE2"/>
    <w:rsid w:val="33A07769"/>
    <w:rsid w:val="33F16546"/>
    <w:rsid w:val="341546E7"/>
    <w:rsid w:val="343108D0"/>
    <w:rsid w:val="34797042"/>
    <w:rsid w:val="348120F8"/>
    <w:rsid w:val="34815805"/>
    <w:rsid w:val="34891A30"/>
    <w:rsid w:val="34CC4C21"/>
    <w:rsid w:val="34E53739"/>
    <w:rsid w:val="35150C1D"/>
    <w:rsid w:val="352168AD"/>
    <w:rsid w:val="353460D9"/>
    <w:rsid w:val="354406FB"/>
    <w:rsid w:val="35446D13"/>
    <w:rsid w:val="35491572"/>
    <w:rsid w:val="35577A6D"/>
    <w:rsid w:val="355E5798"/>
    <w:rsid w:val="356B7EB7"/>
    <w:rsid w:val="357655DF"/>
    <w:rsid w:val="35906881"/>
    <w:rsid w:val="35995E12"/>
    <w:rsid w:val="35B244B3"/>
    <w:rsid w:val="35BC2A54"/>
    <w:rsid w:val="35BE6A26"/>
    <w:rsid w:val="35D822F1"/>
    <w:rsid w:val="36002D6F"/>
    <w:rsid w:val="3618509E"/>
    <w:rsid w:val="361F664A"/>
    <w:rsid w:val="3656053F"/>
    <w:rsid w:val="365A7BD6"/>
    <w:rsid w:val="36680F65"/>
    <w:rsid w:val="366F636A"/>
    <w:rsid w:val="367E431F"/>
    <w:rsid w:val="36922539"/>
    <w:rsid w:val="36A30626"/>
    <w:rsid w:val="36AE7720"/>
    <w:rsid w:val="36D23FC0"/>
    <w:rsid w:val="36DC5906"/>
    <w:rsid w:val="36E1278F"/>
    <w:rsid w:val="37077167"/>
    <w:rsid w:val="371E0E9F"/>
    <w:rsid w:val="375A1A64"/>
    <w:rsid w:val="37720598"/>
    <w:rsid w:val="37A76CB0"/>
    <w:rsid w:val="37E7463B"/>
    <w:rsid w:val="37E77D81"/>
    <w:rsid w:val="37E86146"/>
    <w:rsid w:val="38051F75"/>
    <w:rsid w:val="3828047D"/>
    <w:rsid w:val="3832060D"/>
    <w:rsid w:val="383E5D13"/>
    <w:rsid w:val="38527D74"/>
    <w:rsid w:val="388D160E"/>
    <w:rsid w:val="38977FAC"/>
    <w:rsid w:val="38A725AB"/>
    <w:rsid w:val="38CE00A1"/>
    <w:rsid w:val="38D07720"/>
    <w:rsid w:val="38D35437"/>
    <w:rsid w:val="38E64434"/>
    <w:rsid w:val="38E94A2A"/>
    <w:rsid w:val="38F33B9F"/>
    <w:rsid w:val="38F35351"/>
    <w:rsid w:val="38F513D0"/>
    <w:rsid w:val="39072DA0"/>
    <w:rsid w:val="39314D94"/>
    <w:rsid w:val="39342951"/>
    <w:rsid w:val="3952420A"/>
    <w:rsid w:val="396335F9"/>
    <w:rsid w:val="397A71EE"/>
    <w:rsid w:val="39901D2E"/>
    <w:rsid w:val="39B642D6"/>
    <w:rsid w:val="39BC3B6C"/>
    <w:rsid w:val="39C84498"/>
    <w:rsid w:val="39DF463D"/>
    <w:rsid w:val="39E81A16"/>
    <w:rsid w:val="39F34274"/>
    <w:rsid w:val="3A0A740F"/>
    <w:rsid w:val="3A1174B5"/>
    <w:rsid w:val="3A3C3F4B"/>
    <w:rsid w:val="3A447CED"/>
    <w:rsid w:val="3A5D0A22"/>
    <w:rsid w:val="3A8F0EDB"/>
    <w:rsid w:val="3ACB39E3"/>
    <w:rsid w:val="3ADA0F91"/>
    <w:rsid w:val="3B370CF3"/>
    <w:rsid w:val="3B7836E3"/>
    <w:rsid w:val="3B7A44BB"/>
    <w:rsid w:val="3B7D0951"/>
    <w:rsid w:val="3B834070"/>
    <w:rsid w:val="3B8E6287"/>
    <w:rsid w:val="3BE07F48"/>
    <w:rsid w:val="3C0667BA"/>
    <w:rsid w:val="3C401E1A"/>
    <w:rsid w:val="3C920DF0"/>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57CE5"/>
    <w:rsid w:val="3DC829BD"/>
    <w:rsid w:val="3DCC36FD"/>
    <w:rsid w:val="3DDD07CC"/>
    <w:rsid w:val="3DE43B38"/>
    <w:rsid w:val="3E197238"/>
    <w:rsid w:val="3E24017F"/>
    <w:rsid w:val="3E323C0A"/>
    <w:rsid w:val="3E3B2304"/>
    <w:rsid w:val="3E7876A1"/>
    <w:rsid w:val="3E8149E8"/>
    <w:rsid w:val="3EA52028"/>
    <w:rsid w:val="3EA60FBC"/>
    <w:rsid w:val="3EB13E08"/>
    <w:rsid w:val="3EBA58E0"/>
    <w:rsid w:val="3EC36BFF"/>
    <w:rsid w:val="3EC6214E"/>
    <w:rsid w:val="3F466DAD"/>
    <w:rsid w:val="3F674697"/>
    <w:rsid w:val="3F752645"/>
    <w:rsid w:val="3F794848"/>
    <w:rsid w:val="3F9B7C57"/>
    <w:rsid w:val="3FA34BA7"/>
    <w:rsid w:val="3FB564A3"/>
    <w:rsid w:val="40196D3B"/>
    <w:rsid w:val="401F4B23"/>
    <w:rsid w:val="402C4D17"/>
    <w:rsid w:val="40544683"/>
    <w:rsid w:val="405764E0"/>
    <w:rsid w:val="40745E25"/>
    <w:rsid w:val="407943F8"/>
    <w:rsid w:val="40B1416E"/>
    <w:rsid w:val="40B8754E"/>
    <w:rsid w:val="40BD7D08"/>
    <w:rsid w:val="40DD37E5"/>
    <w:rsid w:val="40E6701E"/>
    <w:rsid w:val="40F06EB9"/>
    <w:rsid w:val="40F42743"/>
    <w:rsid w:val="41021168"/>
    <w:rsid w:val="410B6192"/>
    <w:rsid w:val="410F0271"/>
    <w:rsid w:val="413269B3"/>
    <w:rsid w:val="4146051F"/>
    <w:rsid w:val="414A2837"/>
    <w:rsid w:val="415E5B36"/>
    <w:rsid w:val="41BD0421"/>
    <w:rsid w:val="41D00B16"/>
    <w:rsid w:val="41D61D60"/>
    <w:rsid w:val="41EE01F7"/>
    <w:rsid w:val="41F86803"/>
    <w:rsid w:val="42164393"/>
    <w:rsid w:val="42202300"/>
    <w:rsid w:val="42214933"/>
    <w:rsid w:val="42502DBA"/>
    <w:rsid w:val="425F3B61"/>
    <w:rsid w:val="42647B93"/>
    <w:rsid w:val="427C3D01"/>
    <w:rsid w:val="428329AE"/>
    <w:rsid w:val="42950D32"/>
    <w:rsid w:val="42D16E15"/>
    <w:rsid w:val="42E73C50"/>
    <w:rsid w:val="42FE308B"/>
    <w:rsid w:val="430D6D78"/>
    <w:rsid w:val="4327159F"/>
    <w:rsid w:val="432D34DB"/>
    <w:rsid w:val="43353889"/>
    <w:rsid w:val="434A55A8"/>
    <w:rsid w:val="436215CF"/>
    <w:rsid w:val="4363675F"/>
    <w:rsid w:val="437152B6"/>
    <w:rsid w:val="43817B85"/>
    <w:rsid w:val="43826E71"/>
    <w:rsid w:val="438C223A"/>
    <w:rsid w:val="439D2630"/>
    <w:rsid w:val="43EA0710"/>
    <w:rsid w:val="44507E68"/>
    <w:rsid w:val="44800C43"/>
    <w:rsid w:val="44DB4FCD"/>
    <w:rsid w:val="451B11A5"/>
    <w:rsid w:val="453A68D8"/>
    <w:rsid w:val="45803D6A"/>
    <w:rsid w:val="45880DC1"/>
    <w:rsid w:val="459E1709"/>
    <w:rsid w:val="45A23A5F"/>
    <w:rsid w:val="45B34DBA"/>
    <w:rsid w:val="45BA5886"/>
    <w:rsid w:val="45DF4336"/>
    <w:rsid w:val="460F1470"/>
    <w:rsid w:val="46276F82"/>
    <w:rsid w:val="4630621B"/>
    <w:rsid w:val="46483BF1"/>
    <w:rsid w:val="46660544"/>
    <w:rsid w:val="46981B6A"/>
    <w:rsid w:val="46C44CB1"/>
    <w:rsid w:val="46D31D07"/>
    <w:rsid w:val="46D65712"/>
    <w:rsid w:val="47014642"/>
    <w:rsid w:val="472C71B9"/>
    <w:rsid w:val="473D19FE"/>
    <w:rsid w:val="477C395A"/>
    <w:rsid w:val="47E27C6C"/>
    <w:rsid w:val="47F82EC0"/>
    <w:rsid w:val="48184CDA"/>
    <w:rsid w:val="48440270"/>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6E2A30"/>
    <w:rsid w:val="4A957C5E"/>
    <w:rsid w:val="4A991554"/>
    <w:rsid w:val="4A995574"/>
    <w:rsid w:val="4AC26A24"/>
    <w:rsid w:val="4AFB6587"/>
    <w:rsid w:val="4B13134E"/>
    <w:rsid w:val="4B232B6E"/>
    <w:rsid w:val="4B387251"/>
    <w:rsid w:val="4B750526"/>
    <w:rsid w:val="4B8003F3"/>
    <w:rsid w:val="4B895F92"/>
    <w:rsid w:val="4BA27D69"/>
    <w:rsid w:val="4BA86E5C"/>
    <w:rsid w:val="4BD255D4"/>
    <w:rsid w:val="4BD97D96"/>
    <w:rsid w:val="4BFA2797"/>
    <w:rsid w:val="4BFF0E28"/>
    <w:rsid w:val="4C165BFD"/>
    <w:rsid w:val="4C1F4452"/>
    <w:rsid w:val="4C3675E9"/>
    <w:rsid w:val="4C4A4B42"/>
    <w:rsid w:val="4C7E5299"/>
    <w:rsid w:val="4C8D50BF"/>
    <w:rsid w:val="4C963B70"/>
    <w:rsid w:val="4CA54603"/>
    <w:rsid w:val="4CD14D2B"/>
    <w:rsid w:val="4CD83308"/>
    <w:rsid w:val="4CED2962"/>
    <w:rsid w:val="4CF813FD"/>
    <w:rsid w:val="4D084D38"/>
    <w:rsid w:val="4D230C0D"/>
    <w:rsid w:val="4D4E7CD3"/>
    <w:rsid w:val="4D7B69B5"/>
    <w:rsid w:val="4D98678F"/>
    <w:rsid w:val="4DA84062"/>
    <w:rsid w:val="4DB43701"/>
    <w:rsid w:val="4DDD23AC"/>
    <w:rsid w:val="4DDE4244"/>
    <w:rsid w:val="4DEF4CFA"/>
    <w:rsid w:val="4DEF7E22"/>
    <w:rsid w:val="4DF31C11"/>
    <w:rsid w:val="4DFD2351"/>
    <w:rsid w:val="4E0A160C"/>
    <w:rsid w:val="4E2B1A47"/>
    <w:rsid w:val="4E432C41"/>
    <w:rsid w:val="4E7A31EE"/>
    <w:rsid w:val="4EC902C2"/>
    <w:rsid w:val="4ED1623E"/>
    <w:rsid w:val="4EE361B8"/>
    <w:rsid w:val="4EFB7EDE"/>
    <w:rsid w:val="4F1F1701"/>
    <w:rsid w:val="4F4D11C7"/>
    <w:rsid w:val="4F575A13"/>
    <w:rsid w:val="4F733441"/>
    <w:rsid w:val="4F750D06"/>
    <w:rsid w:val="4F9E44CA"/>
    <w:rsid w:val="4FA770AE"/>
    <w:rsid w:val="4FB94E78"/>
    <w:rsid w:val="4FCF1816"/>
    <w:rsid w:val="4FEB6DB3"/>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77196"/>
    <w:rsid w:val="51686850"/>
    <w:rsid w:val="517A7E74"/>
    <w:rsid w:val="51B17968"/>
    <w:rsid w:val="51BE579D"/>
    <w:rsid w:val="51ED5DCB"/>
    <w:rsid w:val="51EE6382"/>
    <w:rsid w:val="52123BA6"/>
    <w:rsid w:val="522B3695"/>
    <w:rsid w:val="522F353D"/>
    <w:rsid w:val="5248671B"/>
    <w:rsid w:val="524F3B94"/>
    <w:rsid w:val="5257222D"/>
    <w:rsid w:val="52751C0F"/>
    <w:rsid w:val="52D4340A"/>
    <w:rsid w:val="52E10787"/>
    <w:rsid w:val="53637539"/>
    <w:rsid w:val="5367331F"/>
    <w:rsid w:val="53A652BB"/>
    <w:rsid w:val="53C9620D"/>
    <w:rsid w:val="53E74EDB"/>
    <w:rsid w:val="53F66153"/>
    <w:rsid w:val="53F971F0"/>
    <w:rsid w:val="53FB451E"/>
    <w:rsid w:val="54001E25"/>
    <w:rsid w:val="540E49BE"/>
    <w:rsid w:val="54203525"/>
    <w:rsid w:val="5438386B"/>
    <w:rsid w:val="545661A8"/>
    <w:rsid w:val="54847625"/>
    <w:rsid w:val="549E2395"/>
    <w:rsid w:val="54B0541D"/>
    <w:rsid w:val="54B11B55"/>
    <w:rsid w:val="54B247BB"/>
    <w:rsid w:val="54EE5947"/>
    <w:rsid w:val="5513022F"/>
    <w:rsid w:val="55501CD9"/>
    <w:rsid w:val="55663A71"/>
    <w:rsid w:val="556A5789"/>
    <w:rsid w:val="559F3434"/>
    <w:rsid w:val="55B623BE"/>
    <w:rsid w:val="55C62DF5"/>
    <w:rsid w:val="55DF7D1C"/>
    <w:rsid w:val="55E51DF7"/>
    <w:rsid w:val="55EE7739"/>
    <w:rsid w:val="55F62827"/>
    <w:rsid w:val="55FE64C0"/>
    <w:rsid w:val="5630671D"/>
    <w:rsid w:val="5632011C"/>
    <w:rsid w:val="563A356B"/>
    <w:rsid w:val="56621453"/>
    <w:rsid w:val="56783306"/>
    <w:rsid w:val="568A6076"/>
    <w:rsid w:val="568A6752"/>
    <w:rsid w:val="568C3F71"/>
    <w:rsid w:val="568D436A"/>
    <w:rsid w:val="569F6CEC"/>
    <w:rsid w:val="56B055BC"/>
    <w:rsid w:val="56C1107F"/>
    <w:rsid w:val="56DE235C"/>
    <w:rsid w:val="56FD54DC"/>
    <w:rsid w:val="570A0C39"/>
    <w:rsid w:val="570A5A0C"/>
    <w:rsid w:val="574A1676"/>
    <w:rsid w:val="574A459A"/>
    <w:rsid w:val="57507EF7"/>
    <w:rsid w:val="57530EB6"/>
    <w:rsid w:val="57652950"/>
    <w:rsid w:val="576615A2"/>
    <w:rsid w:val="57A37B3F"/>
    <w:rsid w:val="57C14FB5"/>
    <w:rsid w:val="57DE176D"/>
    <w:rsid w:val="57F56B14"/>
    <w:rsid w:val="58051827"/>
    <w:rsid w:val="58346AE0"/>
    <w:rsid w:val="58461A4D"/>
    <w:rsid w:val="5852271D"/>
    <w:rsid w:val="58706933"/>
    <w:rsid w:val="589A4E1B"/>
    <w:rsid w:val="58C16652"/>
    <w:rsid w:val="58FA0801"/>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AEF4A27"/>
    <w:rsid w:val="5B4051A5"/>
    <w:rsid w:val="5B7C29AB"/>
    <w:rsid w:val="5B986277"/>
    <w:rsid w:val="5BA70643"/>
    <w:rsid w:val="5BAF7552"/>
    <w:rsid w:val="5C0105A7"/>
    <w:rsid w:val="5C1B5746"/>
    <w:rsid w:val="5C320050"/>
    <w:rsid w:val="5C494700"/>
    <w:rsid w:val="5C4B40E5"/>
    <w:rsid w:val="5C790E14"/>
    <w:rsid w:val="5C7C1436"/>
    <w:rsid w:val="5C8A3BC2"/>
    <w:rsid w:val="5CC43B58"/>
    <w:rsid w:val="5CDC0284"/>
    <w:rsid w:val="5CE35BC5"/>
    <w:rsid w:val="5CEF35D9"/>
    <w:rsid w:val="5D2B07EE"/>
    <w:rsid w:val="5D48016A"/>
    <w:rsid w:val="5D6913B3"/>
    <w:rsid w:val="5D773D59"/>
    <w:rsid w:val="5D8B4093"/>
    <w:rsid w:val="5DB8685E"/>
    <w:rsid w:val="5DBD6713"/>
    <w:rsid w:val="5DC47C5B"/>
    <w:rsid w:val="5DFA514F"/>
    <w:rsid w:val="5E19076E"/>
    <w:rsid w:val="5E321ED9"/>
    <w:rsid w:val="5E332186"/>
    <w:rsid w:val="5E8B77EE"/>
    <w:rsid w:val="5E9C591A"/>
    <w:rsid w:val="5EE05C0D"/>
    <w:rsid w:val="5EE5484E"/>
    <w:rsid w:val="5EE81299"/>
    <w:rsid w:val="5F0B5DDB"/>
    <w:rsid w:val="5F1D4AF2"/>
    <w:rsid w:val="5F245978"/>
    <w:rsid w:val="5F2477FA"/>
    <w:rsid w:val="5F31588B"/>
    <w:rsid w:val="5F7F2DC3"/>
    <w:rsid w:val="5F923565"/>
    <w:rsid w:val="5FA7529F"/>
    <w:rsid w:val="5FD301A1"/>
    <w:rsid w:val="5FE34FDA"/>
    <w:rsid w:val="5FE53E07"/>
    <w:rsid w:val="5FF150DF"/>
    <w:rsid w:val="600229F0"/>
    <w:rsid w:val="60077790"/>
    <w:rsid w:val="601F7F54"/>
    <w:rsid w:val="602925E7"/>
    <w:rsid w:val="604828EF"/>
    <w:rsid w:val="604858AA"/>
    <w:rsid w:val="604B6261"/>
    <w:rsid w:val="605B2C04"/>
    <w:rsid w:val="606B0C4A"/>
    <w:rsid w:val="607A7D44"/>
    <w:rsid w:val="60A90BD5"/>
    <w:rsid w:val="60B93F28"/>
    <w:rsid w:val="60CE303D"/>
    <w:rsid w:val="60EC4185"/>
    <w:rsid w:val="60FB0385"/>
    <w:rsid w:val="614319A1"/>
    <w:rsid w:val="614C35F5"/>
    <w:rsid w:val="61524E4C"/>
    <w:rsid w:val="615B60AF"/>
    <w:rsid w:val="617E3A05"/>
    <w:rsid w:val="619C60A9"/>
    <w:rsid w:val="61B92550"/>
    <w:rsid w:val="61CB7187"/>
    <w:rsid w:val="61CB77C1"/>
    <w:rsid w:val="6200150B"/>
    <w:rsid w:val="6211584D"/>
    <w:rsid w:val="622867A1"/>
    <w:rsid w:val="6246053D"/>
    <w:rsid w:val="626E62C8"/>
    <w:rsid w:val="62730DEC"/>
    <w:rsid w:val="62897AC4"/>
    <w:rsid w:val="62CF2A83"/>
    <w:rsid w:val="62D03CD9"/>
    <w:rsid w:val="62D1432C"/>
    <w:rsid w:val="62D67997"/>
    <w:rsid w:val="62F5194E"/>
    <w:rsid w:val="62FA54F0"/>
    <w:rsid w:val="630E0859"/>
    <w:rsid w:val="630F027C"/>
    <w:rsid w:val="632025BB"/>
    <w:rsid w:val="63427313"/>
    <w:rsid w:val="637113C7"/>
    <w:rsid w:val="6399402F"/>
    <w:rsid w:val="63B357B1"/>
    <w:rsid w:val="63B776A1"/>
    <w:rsid w:val="63C95418"/>
    <w:rsid w:val="64017CDA"/>
    <w:rsid w:val="640C1318"/>
    <w:rsid w:val="640E7288"/>
    <w:rsid w:val="64144F00"/>
    <w:rsid w:val="6437378F"/>
    <w:rsid w:val="64507592"/>
    <w:rsid w:val="64803237"/>
    <w:rsid w:val="64AC3D58"/>
    <w:rsid w:val="64B409F5"/>
    <w:rsid w:val="64E96AEB"/>
    <w:rsid w:val="654A5137"/>
    <w:rsid w:val="656202B8"/>
    <w:rsid w:val="656A00FA"/>
    <w:rsid w:val="657B44FB"/>
    <w:rsid w:val="65806949"/>
    <w:rsid w:val="658D46CF"/>
    <w:rsid w:val="65DF67CB"/>
    <w:rsid w:val="65ED6EB4"/>
    <w:rsid w:val="65F70C5F"/>
    <w:rsid w:val="660447FF"/>
    <w:rsid w:val="66194C4A"/>
    <w:rsid w:val="662863D0"/>
    <w:rsid w:val="66305190"/>
    <w:rsid w:val="66384AA8"/>
    <w:rsid w:val="663D3C1C"/>
    <w:rsid w:val="665E5B1B"/>
    <w:rsid w:val="668003E0"/>
    <w:rsid w:val="66991162"/>
    <w:rsid w:val="66B17443"/>
    <w:rsid w:val="66E77CD1"/>
    <w:rsid w:val="67344FA1"/>
    <w:rsid w:val="67397DB3"/>
    <w:rsid w:val="676F4A49"/>
    <w:rsid w:val="67976253"/>
    <w:rsid w:val="67A337F5"/>
    <w:rsid w:val="67A46D34"/>
    <w:rsid w:val="67C933E3"/>
    <w:rsid w:val="67F05320"/>
    <w:rsid w:val="680B4AF5"/>
    <w:rsid w:val="685A3C7C"/>
    <w:rsid w:val="68732E59"/>
    <w:rsid w:val="6880447B"/>
    <w:rsid w:val="688C6207"/>
    <w:rsid w:val="68A8404F"/>
    <w:rsid w:val="68E00D94"/>
    <w:rsid w:val="68F331B5"/>
    <w:rsid w:val="69086590"/>
    <w:rsid w:val="690960EE"/>
    <w:rsid w:val="69175538"/>
    <w:rsid w:val="695B3155"/>
    <w:rsid w:val="69743B79"/>
    <w:rsid w:val="69856A65"/>
    <w:rsid w:val="69AC2E6D"/>
    <w:rsid w:val="69B00F02"/>
    <w:rsid w:val="69C22990"/>
    <w:rsid w:val="69D313DD"/>
    <w:rsid w:val="69EC41C7"/>
    <w:rsid w:val="69F34593"/>
    <w:rsid w:val="69F43330"/>
    <w:rsid w:val="69FF5191"/>
    <w:rsid w:val="6A096586"/>
    <w:rsid w:val="6A1D72DD"/>
    <w:rsid w:val="6A2E4AB1"/>
    <w:rsid w:val="6A4116E6"/>
    <w:rsid w:val="6A5E2F7B"/>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59783B"/>
    <w:rsid w:val="6C8508CC"/>
    <w:rsid w:val="6CA25869"/>
    <w:rsid w:val="6CC32924"/>
    <w:rsid w:val="6CCC42B0"/>
    <w:rsid w:val="6CE3660D"/>
    <w:rsid w:val="6CEB7132"/>
    <w:rsid w:val="6CEC316C"/>
    <w:rsid w:val="6CEC4A10"/>
    <w:rsid w:val="6D010167"/>
    <w:rsid w:val="6D154FB5"/>
    <w:rsid w:val="6D653588"/>
    <w:rsid w:val="6D760601"/>
    <w:rsid w:val="6D887135"/>
    <w:rsid w:val="6D8D5EDA"/>
    <w:rsid w:val="6DA14A3B"/>
    <w:rsid w:val="6DD312E4"/>
    <w:rsid w:val="6DE16578"/>
    <w:rsid w:val="6E2B3705"/>
    <w:rsid w:val="6E2C4252"/>
    <w:rsid w:val="6E3378A3"/>
    <w:rsid w:val="6E360A08"/>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21D1A"/>
    <w:rsid w:val="6F590238"/>
    <w:rsid w:val="6F5E4765"/>
    <w:rsid w:val="6F65356C"/>
    <w:rsid w:val="6F7539A7"/>
    <w:rsid w:val="6F7A220E"/>
    <w:rsid w:val="6F7D56B3"/>
    <w:rsid w:val="6F946221"/>
    <w:rsid w:val="6F9715A1"/>
    <w:rsid w:val="6FDB6CC8"/>
    <w:rsid w:val="6FEE1CB5"/>
    <w:rsid w:val="6FFF422E"/>
    <w:rsid w:val="70084D89"/>
    <w:rsid w:val="707B282F"/>
    <w:rsid w:val="7081021E"/>
    <w:rsid w:val="70884927"/>
    <w:rsid w:val="708A7E30"/>
    <w:rsid w:val="70940D5A"/>
    <w:rsid w:val="70CA78D6"/>
    <w:rsid w:val="70F80517"/>
    <w:rsid w:val="7151205B"/>
    <w:rsid w:val="71586E5A"/>
    <w:rsid w:val="715B3E96"/>
    <w:rsid w:val="71884FBD"/>
    <w:rsid w:val="7192293B"/>
    <w:rsid w:val="719E1F90"/>
    <w:rsid w:val="71A0032A"/>
    <w:rsid w:val="71C109B9"/>
    <w:rsid w:val="721D7820"/>
    <w:rsid w:val="72600905"/>
    <w:rsid w:val="72690461"/>
    <w:rsid w:val="729A2792"/>
    <w:rsid w:val="72BF3583"/>
    <w:rsid w:val="72EE59B4"/>
    <w:rsid w:val="73114271"/>
    <w:rsid w:val="733B61CF"/>
    <w:rsid w:val="73546BA4"/>
    <w:rsid w:val="735D5729"/>
    <w:rsid w:val="736B60F2"/>
    <w:rsid w:val="737E6E1F"/>
    <w:rsid w:val="738556EF"/>
    <w:rsid w:val="73C23401"/>
    <w:rsid w:val="73DE6DF5"/>
    <w:rsid w:val="73E54A68"/>
    <w:rsid w:val="742A2BCD"/>
    <w:rsid w:val="742A7075"/>
    <w:rsid w:val="742F4C19"/>
    <w:rsid w:val="743B3197"/>
    <w:rsid w:val="743B7B94"/>
    <w:rsid w:val="7455337E"/>
    <w:rsid w:val="747913A3"/>
    <w:rsid w:val="749D0716"/>
    <w:rsid w:val="74A74D0C"/>
    <w:rsid w:val="74A84516"/>
    <w:rsid w:val="74AA0F3E"/>
    <w:rsid w:val="74B33A93"/>
    <w:rsid w:val="74FA131B"/>
    <w:rsid w:val="752E4780"/>
    <w:rsid w:val="753B039A"/>
    <w:rsid w:val="753B4B58"/>
    <w:rsid w:val="753C0018"/>
    <w:rsid w:val="756A2B2A"/>
    <w:rsid w:val="757F689B"/>
    <w:rsid w:val="758768A9"/>
    <w:rsid w:val="75966BA0"/>
    <w:rsid w:val="75B87600"/>
    <w:rsid w:val="75BF5554"/>
    <w:rsid w:val="763368A0"/>
    <w:rsid w:val="766008D0"/>
    <w:rsid w:val="766963BF"/>
    <w:rsid w:val="766B45E7"/>
    <w:rsid w:val="76730668"/>
    <w:rsid w:val="767C0347"/>
    <w:rsid w:val="76971BAC"/>
    <w:rsid w:val="76A44790"/>
    <w:rsid w:val="76A84336"/>
    <w:rsid w:val="76E4056C"/>
    <w:rsid w:val="77170794"/>
    <w:rsid w:val="772E2F50"/>
    <w:rsid w:val="773223AD"/>
    <w:rsid w:val="773F479D"/>
    <w:rsid w:val="77481B4F"/>
    <w:rsid w:val="775252D0"/>
    <w:rsid w:val="776143DD"/>
    <w:rsid w:val="776B1197"/>
    <w:rsid w:val="777F7E7E"/>
    <w:rsid w:val="77D91F39"/>
    <w:rsid w:val="77E763B3"/>
    <w:rsid w:val="77FB442E"/>
    <w:rsid w:val="783D7A4B"/>
    <w:rsid w:val="784561C3"/>
    <w:rsid w:val="78541389"/>
    <w:rsid w:val="78774485"/>
    <w:rsid w:val="78877660"/>
    <w:rsid w:val="789C3665"/>
    <w:rsid w:val="78E02236"/>
    <w:rsid w:val="78E11F6E"/>
    <w:rsid w:val="78E86041"/>
    <w:rsid w:val="793C7926"/>
    <w:rsid w:val="79514A92"/>
    <w:rsid w:val="795F2E7D"/>
    <w:rsid w:val="7973147A"/>
    <w:rsid w:val="798244F6"/>
    <w:rsid w:val="7985752C"/>
    <w:rsid w:val="79911D22"/>
    <w:rsid w:val="79AB5DB1"/>
    <w:rsid w:val="79EC3FC0"/>
    <w:rsid w:val="79EF1BBD"/>
    <w:rsid w:val="79F365AA"/>
    <w:rsid w:val="79F46A43"/>
    <w:rsid w:val="79F50865"/>
    <w:rsid w:val="79FA6DDA"/>
    <w:rsid w:val="79FB3ADB"/>
    <w:rsid w:val="7A002609"/>
    <w:rsid w:val="7A18147C"/>
    <w:rsid w:val="7A253AA7"/>
    <w:rsid w:val="7A3050AA"/>
    <w:rsid w:val="7A4853B8"/>
    <w:rsid w:val="7A4A7CA7"/>
    <w:rsid w:val="7A6E2F11"/>
    <w:rsid w:val="7A714CE7"/>
    <w:rsid w:val="7A7F48E8"/>
    <w:rsid w:val="7A7F6691"/>
    <w:rsid w:val="7A9221EA"/>
    <w:rsid w:val="7AA06D58"/>
    <w:rsid w:val="7AA36CA7"/>
    <w:rsid w:val="7ADC074F"/>
    <w:rsid w:val="7AE922FC"/>
    <w:rsid w:val="7AF64447"/>
    <w:rsid w:val="7AFD7566"/>
    <w:rsid w:val="7B2565F7"/>
    <w:rsid w:val="7B304DFB"/>
    <w:rsid w:val="7B341E1B"/>
    <w:rsid w:val="7B62085C"/>
    <w:rsid w:val="7B66517C"/>
    <w:rsid w:val="7B6E4DD3"/>
    <w:rsid w:val="7B7656D4"/>
    <w:rsid w:val="7B994A47"/>
    <w:rsid w:val="7BAA7EB8"/>
    <w:rsid w:val="7BC45E5D"/>
    <w:rsid w:val="7BC6203F"/>
    <w:rsid w:val="7BCD4C49"/>
    <w:rsid w:val="7BD40DAA"/>
    <w:rsid w:val="7BE26A40"/>
    <w:rsid w:val="7BE941A7"/>
    <w:rsid w:val="7BEB6EFF"/>
    <w:rsid w:val="7C0269F8"/>
    <w:rsid w:val="7C2B0845"/>
    <w:rsid w:val="7C3E41E8"/>
    <w:rsid w:val="7C4F4B44"/>
    <w:rsid w:val="7C7F7941"/>
    <w:rsid w:val="7C903AD5"/>
    <w:rsid w:val="7C9B17CF"/>
    <w:rsid w:val="7CA8210A"/>
    <w:rsid w:val="7CAA3D3D"/>
    <w:rsid w:val="7CAB68B0"/>
    <w:rsid w:val="7CAF0749"/>
    <w:rsid w:val="7CB0500F"/>
    <w:rsid w:val="7CBA7334"/>
    <w:rsid w:val="7CD337BC"/>
    <w:rsid w:val="7D1244F1"/>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DC64B5"/>
    <w:rsid w:val="7EE30A84"/>
    <w:rsid w:val="7EFB0AF6"/>
    <w:rsid w:val="7F0C2625"/>
    <w:rsid w:val="7F603249"/>
    <w:rsid w:val="7F7929A8"/>
    <w:rsid w:val="7F7C2FD8"/>
    <w:rsid w:val="7F8E7012"/>
    <w:rsid w:val="7FA83A1E"/>
    <w:rsid w:val="7FC10CFD"/>
    <w:rsid w:val="7FC63E44"/>
    <w:rsid w:val="7FD422D8"/>
    <w:rsid w:val="7FD56D64"/>
    <w:rsid w:val="7FD57E32"/>
    <w:rsid w:val="7FEB01BF"/>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80"/>
    <w:qFormat/>
    <w:uiPriority w:val="0"/>
    <w:pPr>
      <w:keepNext/>
      <w:keepLines/>
      <w:spacing w:line="578" w:lineRule="auto"/>
      <w:outlineLvl w:val="0"/>
    </w:pPr>
    <w:rPr>
      <w:b/>
      <w:bCs/>
      <w:kern w:val="44"/>
      <w:sz w:val="44"/>
      <w:szCs w:val="44"/>
    </w:rPr>
  </w:style>
  <w:style w:type="paragraph" w:styleId="4">
    <w:name w:val="heading 2"/>
    <w:basedOn w:val="1"/>
    <w:next w:val="1"/>
    <w:link w:val="81"/>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link w:val="82"/>
    <w:qFormat/>
    <w:uiPriority w:val="0"/>
    <w:pPr>
      <w:keepNext/>
      <w:keepLines/>
      <w:adjustRightInd w:val="0"/>
      <w:jc w:val="left"/>
      <w:textAlignment w:val="baseline"/>
      <w:outlineLvl w:val="2"/>
    </w:pPr>
    <w:rPr>
      <w:b/>
      <w:bCs/>
      <w:kern w:val="0"/>
      <w:sz w:val="32"/>
      <w:szCs w:val="32"/>
    </w:rPr>
  </w:style>
  <w:style w:type="paragraph" w:styleId="6">
    <w:name w:val="heading 4"/>
    <w:basedOn w:val="1"/>
    <w:next w:val="1"/>
    <w:unhideWhenUsed/>
    <w:qFormat/>
    <w:locked/>
    <w:uiPriority w:val="0"/>
    <w:pPr>
      <w:spacing w:line="374" w:lineRule="auto"/>
      <w:outlineLvl w:val="3"/>
    </w:pPr>
    <w:rPr>
      <w:rFonts w:hint="eastAsia" w:ascii="Cambria" w:hAnsi="Cambria" w:eastAsia="宋体"/>
      <w:sz w:val="28"/>
    </w:rPr>
  </w:style>
  <w:style w:type="paragraph" w:styleId="7">
    <w:name w:val="heading 5"/>
    <w:basedOn w:val="1"/>
    <w:next w:val="8"/>
    <w:link w:val="83"/>
    <w:qFormat/>
    <w:uiPriority w:val="0"/>
    <w:pPr>
      <w:keepNext/>
      <w:keepLines/>
      <w:numPr>
        <w:ilvl w:val="4"/>
        <w:numId w:val="1"/>
      </w:numPr>
      <w:tabs>
        <w:tab w:val="left" w:pos="432"/>
      </w:tabs>
      <w:spacing w:line="376" w:lineRule="auto"/>
      <w:outlineLvl w:val="4"/>
    </w:pPr>
    <w:rPr>
      <w:b/>
      <w:bCs/>
      <w:kern w:val="0"/>
      <w:sz w:val="28"/>
      <w:szCs w:val="28"/>
    </w:rPr>
  </w:style>
  <w:style w:type="paragraph" w:styleId="9">
    <w:name w:val="heading 6"/>
    <w:basedOn w:val="1"/>
    <w:next w:val="8"/>
    <w:link w:val="84"/>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0">
    <w:name w:val="heading 7"/>
    <w:basedOn w:val="1"/>
    <w:next w:val="1"/>
    <w:link w:val="85"/>
    <w:qFormat/>
    <w:uiPriority w:val="0"/>
    <w:pPr>
      <w:keepNext/>
      <w:keepLines/>
      <w:numPr>
        <w:ilvl w:val="6"/>
        <w:numId w:val="1"/>
      </w:numPr>
      <w:tabs>
        <w:tab w:val="left" w:pos="432"/>
      </w:tabs>
      <w:spacing w:line="320" w:lineRule="auto"/>
      <w:outlineLvl w:val="6"/>
    </w:pPr>
    <w:rPr>
      <w:b/>
      <w:bCs/>
      <w:kern w:val="0"/>
      <w:sz w:val="24"/>
      <w:szCs w:val="24"/>
    </w:rPr>
  </w:style>
  <w:style w:type="paragraph" w:styleId="11">
    <w:name w:val="heading 8"/>
    <w:basedOn w:val="1"/>
    <w:next w:val="8"/>
    <w:link w:val="86"/>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2">
    <w:name w:val="heading 9"/>
    <w:basedOn w:val="1"/>
    <w:next w:val="8"/>
    <w:link w:val="87"/>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lock Text"/>
    <w:basedOn w:val="1"/>
    <w:next w:val="1"/>
    <w:qFormat/>
    <w:locked/>
    <w:uiPriority w:val="0"/>
    <w:pPr>
      <w:autoSpaceDE w:val="0"/>
      <w:autoSpaceDN w:val="0"/>
      <w:adjustRightInd w:val="0"/>
      <w:spacing w:line="300" w:lineRule="auto"/>
      <w:ind w:left="29" w:leftChars="27" w:right="6" w:firstLine="560" w:firstLineChars="200"/>
    </w:pPr>
    <w:rPr>
      <w:kern w:val="0"/>
      <w:sz w:val="28"/>
    </w:rPr>
  </w:style>
  <w:style w:type="paragraph" w:styleId="8">
    <w:name w:val="Normal Indent"/>
    <w:basedOn w:val="1"/>
    <w:link w:val="114"/>
    <w:qFormat/>
    <w:uiPriority w:val="0"/>
    <w:pPr>
      <w:adjustRightInd w:val="0"/>
      <w:ind w:firstLine="420"/>
      <w:jc w:val="left"/>
      <w:textAlignment w:val="baseline"/>
    </w:pPr>
    <w:rPr>
      <w:sz w:val="24"/>
    </w:rPr>
  </w:style>
  <w:style w:type="paragraph" w:styleId="13">
    <w:name w:val="toc 7"/>
    <w:basedOn w:val="1"/>
    <w:next w:val="1"/>
    <w:semiHidden/>
    <w:qFormat/>
    <w:uiPriority w:val="99"/>
    <w:pPr>
      <w:ind w:left="2520"/>
    </w:pPr>
  </w:style>
  <w:style w:type="paragraph" w:styleId="14">
    <w:name w:val="index 8"/>
    <w:basedOn w:val="1"/>
    <w:next w:val="1"/>
    <w:semiHidden/>
    <w:qFormat/>
    <w:uiPriority w:val="99"/>
    <w:pPr>
      <w:ind w:left="2940"/>
    </w:pPr>
  </w:style>
  <w:style w:type="paragraph" w:styleId="15">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6">
    <w:name w:val="index 5"/>
    <w:basedOn w:val="1"/>
    <w:next w:val="1"/>
    <w:semiHidden/>
    <w:qFormat/>
    <w:uiPriority w:val="99"/>
    <w:pPr>
      <w:ind w:left="1680"/>
    </w:pPr>
  </w:style>
  <w:style w:type="paragraph" w:styleId="17">
    <w:name w:val="Document Map"/>
    <w:basedOn w:val="1"/>
    <w:link w:val="90"/>
    <w:qFormat/>
    <w:uiPriority w:val="0"/>
    <w:pPr>
      <w:shd w:val="clear" w:color="auto" w:fill="000080"/>
    </w:pPr>
    <w:rPr>
      <w:kern w:val="0"/>
      <w:sz w:val="2"/>
    </w:rPr>
  </w:style>
  <w:style w:type="paragraph" w:styleId="18">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19">
    <w:name w:val="annotation text"/>
    <w:basedOn w:val="1"/>
    <w:link w:val="88"/>
    <w:semiHidden/>
    <w:qFormat/>
    <w:uiPriority w:val="99"/>
    <w:pPr>
      <w:jc w:val="left"/>
    </w:pPr>
  </w:style>
  <w:style w:type="paragraph" w:styleId="20">
    <w:name w:val="index 6"/>
    <w:basedOn w:val="1"/>
    <w:next w:val="1"/>
    <w:semiHidden/>
    <w:qFormat/>
    <w:uiPriority w:val="99"/>
    <w:pPr>
      <w:ind w:left="2100"/>
    </w:pPr>
  </w:style>
  <w:style w:type="paragraph" w:styleId="21">
    <w:name w:val="Body Text 3"/>
    <w:basedOn w:val="1"/>
    <w:link w:val="149"/>
    <w:qFormat/>
    <w:locked/>
    <w:uiPriority w:val="0"/>
    <w:pPr>
      <w:adjustRightInd w:val="0"/>
      <w:spacing w:line="360" w:lineRule="atLeast"/>
      <w:jc w:val="center"/>
      <w:textAlignment w:val="baseline"/>
    </w:pPr>
    <w:rPr>
      <w:rFonts w:eastAsia="宋体"/>
      <w:color w:val="FF0000"/>
      <w:kern w:val="0"/>
      <w:sz w:val="21"/>
      <w:szCs w:val="21"/>
    </w:rPr>
  </w:style>
  <w:style w:type="paragraph" w:styleId="22">
    <w:name w:val="Body Text"/>
    <w:basedOn w:val="1"/>
    <w:next w:val="23"/>
    <w:link w:val="91"/>
    <w:qFormat/>
    <w:uiPriority w:val="0"/>
    <w:pPr>
      <w:spacing w:line="400" w:lineRule="exact"/>
    </w:pPr>
    <w:rPr>
      <w:kern w:val="0"/>
      <w:sz w:val="20"/>
    </w:rPr>
  </w:style>
  <w:style w:type="paragraph" w:customStyle="1" w:styleId="23">
    <w:name w:val="style4"/>
    <w:basedOn w:val="1"/>
    <w:next w:val="24"/>
    <w:qFormat/>
    <w:uiPriority w:val="99"/>
    <w:pPr>
      <w:widowControl/>
      <w:spacing w:before="280" w:after="280"/>
    </w:pPr>
    <w:rPr>
      <w:rFonts w:ascii="宋体"/>
      <w:sz w:val="18"/>
    </w:rPr>
  </w:style>
  <w:style w:type="paragraph" w:customStyle="1" w:styleId="24">
    <w:name w:val="2"/>
    <w:next w:val="1"/>
    <w:qFormat/>
    <w:uiPriority w:val="99"/>
    <w:pPr>
      <w:widowControl w:val="0"/>
      <w:jc w:val="both"/>
    </w:pPr>
    <w:rPr>
      <w:rFonts w:ascii="Calibri" w:hAnsi="Calibri" w:eastAsia="宋体" w:cs="Times New Roman"/>
      <w:sz w:val="21"/>
      <w:szCs w:val="22"/>
      <w:lang w:val="en-US" w:eastAsia="zh-CN" w:bidi="ar-SA"/>
    </w:rPr>
  </w:style>
  <w:style w:type="paragraph" w:styleId="25">
    <w:name w:val="Body Text Indent"/>
    <w:basedOn w:val="1"/>
    <w:next w:val="26"/>
    <w:link w:val="92"/>
    <w:qFormat/>
    <w:uiPriority w:val="0"/>
    <w:pPr>
      <w:spacing w:line="520" w:lineRule="exact"/>
      <w:ind w:left="570"/>
    </w:pPr>
    <w:rPr>
      <w:rFonts w:ascii="方正仿宋简体" w:hAnsi="创艺简仿宋" w:eastAsia="方正仿宋简体"/>
      <w:sz w:val="24"/>
    </w:rPr>
  </w:style>
  <w:style w:type="paragraph" w:styleId="26">
    <w:name w:val="envelope return"/>
    <w:basedOn w:val="1"/>
    <w:unhideWhenUsed/>
    <w:qFormat/>
    <w:locked/>
    <w:uiPriority w:val="99"/>
    <w:pPr>
      <w:snapToGrid w:val="0"/>
    </w:pPr>
    <w:rPr>
      <w:rFonts w:ascii="Arial" w:hAnsi="Arial"/>
    </w:rPr>
  </w:style>
  <w:style w:type="paragraph" w:styleId="27">
    <w:name w:val="index 4"/>
    <w:basedOn w:val="1"/>
    <w:next w:val="1"/>
    <w:semiHidden/>
    <w:qFormat/>
    <w:uiPriority w:val="99"/>
    <w:pPr>
      <w:ind w:left="1260"/>
    </w:pPr>
  </w:style>
  <w:style w:type="paragraph" w:styleId="28">
    <w:name w:val="toc 5"/>
    <w:basedOn w:val="1"/>
    <w:next w:val="1"/>
    <w:semiHidden/>
    <w:qFormat/>
    <w:uiPriority w:val="99"/>
    <w:pPr>
      <w:ind w:left="1680"/>
    </w:pPr>
  </w:style>
  <w:style w:type="paragraph" w:styleId="29">
    <w:name w:val="toc 3"/>
    <w:basedOn w:val="1"/>
    <w:next w:val="1"/>
    <w:qFormat/>
    <w:uiPriority w:val="39"/>
    <w:pPr>
      <w:ind w:left="840"/>
    </w:pPr>
  </w:style>
  <w:style w:type="paragraph" w:styleId="30">
    <w:name w:val="Plain Text"/>
    <w:basedOn w:val="1"/>
    <w:link w:val="93"/>
    <w:qFormat/>
    <w:uiPriority w:val="0"/>
    <w:rPr>
      <w:rFonts w:ascii="宋体" w:hAnsi="Courier New"/>
    </w:rPr>
  </w:style>
  <w:style w:type="paragraph" w:styleId="31">
    <w:name w:val="toc 8"/>
    <w:basedOn w:val="1"/>
    <w:next w:val="1"/>
    <w:semiHidden/>
    <w:qFormat/>
    <w:uiPriority w:val="99"/>
    <w:pPr>
      <w:ind w:left="2940"/>
    </w:pPr>
  </w:style>
  <w:style w:type="paragraph" w:styleId="32">
    <w:name w:val="index 3"/>
    <w:basedOn w:val="1"/>
    <w:next w:val="1"/>
    <w:semiHidden/>
    <w:qFormat/>
    <w:uiPriority w:val="99"/>
    <w:pPr>
      <w:ind w:left="840"/>
    </w:pPr>
  </w:style>
  <w:style w:type="paragraph" w:styleId="33">
    <w:name w:val="Date"/>
    <w:basedOn w:val="1"/>
    <w:next w:val="1"/>
    <w:link w:val="94"/>
    <w:qFormat/>
    <w:uiPriority w:val="0"/>
    <w:rPr>
      <w:kern w:val="0"/>
      <w:sz w:val="20"/>
    </w:rPr>
  </w:style>
  <w:style w:type="paragraph" w:styleId="34">
    <w:name w:val="Body Text Indent 2"/>
    <w:basedOn w:val="1"/>
    <w:link w:val="95"/>
    <w:qFormat/>
    <w:uiPriority w:val="0"/>
    <w:pPr>
      <w:tabs>
        <w:tab w:val="left" w:pos="0"/>
      </w:tabs>
      <w:spacing w:line="360" w:lineRule="auto"/>
      <w:ind w:firstLine="502" w:firstLineChars="209"/>
    </w:pPr>
    <w:rPr>
      <w:kern w:val="0"/>
      <w:sz w:val="20"/>
    </w:rPr>
  </w:style>
  <w:style w:type="paragraph" w:styleId="35">
    <w:name w:val="endnote text"/>
    <w:basedOn w:val="1"/>
    <w:link w:val="154"/>
    <w:qFormat/>
    <w:locked/>
    <w:uiPriority w:val="0"/>
    <w:pPr>
      <w:adjustRightInd w:val="0"/>
      <w:snapToGrid w:val="0"/>
      <w:spacing w:line="360" w:lineRule="atLeast"/>
      <w:jc w:val="left"/>
      <w:textAlignment w:val="baseline"/>
    </w:pPr>
    <w:rPr>
      <w:rFonts w:eastAsia="宋体"/>
      <w:kern w:val="0"/>
      <w:sz w:val="24"/>
    </w:rPr>
  </w:style>
  <w:style w:type="paragraph" w:styleId="36">
    <w:name w:val="Balloon Text"/>
    <w:basedOn w:val="1"/>
    <w:link w:val="96"/>
    <w:qFormat/>
    <w:uiPriority w:val="0"/>
    <w:rPr>
      <w:kern w:val="0"/>
      <w:sz w:val="2"/>
    </w:rPr>
  </w:style>
  <w:style w:type="paragraph" w:styleId="37">
    <w:name w:val="footer"/>
    <w:basedOn w:val="1"/>
    <w:link w:val="97"/>
    <w:qFormat/>
    <w:uiPriority w:val="0"/>
    <w:pPr>
      <w:tabs>
        <w:tab w:val="center" w:pos="4153"/>
        <w:tab w:val="right" w:pos="8306"/>
      </w:tabs>
      <w:snapToGrid w:val="0"/>
      <w:jc w:val="left"/>
    </w:pPr>
    <w:rPr>
      <w:kern w:val="0"/>
      <w:sz w:val="18"/>
      <w:szCs w:val="18"/>
    </w:rPr>
  </w:style>
  <w:style w:type="paragraph" w:styleId="38">
    <w:name w:val="header"/>
    <w:basedOn w:val="1"/>
    <w:link w:val="98"/>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adjustRightInd w:val="0"/>
      <w:jc w:val="left"/>
      <w:textAlignment w:val="baseline"/>
    </w:pPr>
    <w:rPr>
      <w:sz w:val="24"/>
    </w:rPr>
  </w:style>
  <w:style w:type="paragraph" w:styleId="40">
    <w:name w:val="toc 4"/>
    <w:basedOn w:val="1"/>
    <w:next w:val="1"/>
    <w:semiHidden/>
    <w:qFormat/>
    <w:uiPriority w:val="99"/>
    <w:pPr>
      <w:ind w:left="1260"/>
    </w:pPr>
  </w:style>
  <w:style w:type="paragraph" w:styleId="41">
    <w:name w:val="index heading"/>
    <w:basedOn w:val="1"/>
    <w:next w:val="42"/>
    <w:semiHidden/>
    <w:qFormat/>
    <w:uiPriority w:val="99"/>
  </w:style>
  <w:style w:type="paragraph" w:styleId="42">
    <w:name w:val="index 1"/>
    <w:basedOn w:val="1"/>
    <w:next w:val="1"/>
    <w:semiHidden/>
    <w:qFormat/>
    <w:uiPriority w:val="99"/>
  </w:style>
  <w:style w:type="paragraph" w:styleId="43">
    <w:name w:val="Subtitle"/>
    <w:basedOn w:val="1"/>
    <w:link w:val="151"/>
    <w:qFormat/>
    <w:locked/>
    <w:uiPriority w:val="0"/>
    <w:pPr>
      <w:adjustRightInd w:val="0"/>
      <w:spacing w:after="60" w:line="360" w:lineRule="atLeast"/>
      <w:jc w:val="center"/>
      <w:textAlignment w:val="baseline"/>
    </w:pPr>
    <w:rPr>
      <w:rFonts w:ascii="Arial" w:hAnsi="Arial" w:eastAsia="黑体"/>
      <w:i/>
      <w:kern w:val="0"/>
      <w:sz w:val="24"/>
    </w:rPr>
  </w:style>
  <w:style w:type="paragraph" w:styleId="44">
    <w:name w:val="footnote text"/>
    <w:basedOn w:val="1"/>
    <w:link w:val="99"/>
    <w:semiHidden/>
    <w:qFormat/>
    <w:uiPriority w:val="99"/>
    <w:pPr>
      <w:snapToGrid w:val="0"/>
      <w:jc w:val="left"/>
    </w:pPr>
    <w:rPr>
      <w:kern w:val="0"/>
      <w:sz w:val="18"/>
      <w:szCs w:val="18"/>
    </w:rPr>
  </w:style>
  <w:style w:type="paragraph" w:styleId="45">
    <w:name w:val="toc 6"/>
    <w:basedOn w:val="1"/>
    <w:next w:val="1"/>
    <w:semiHidden/>
    <w:qFormat/>
    <w:uiPriority w:val="99"/>
    <w:pPr>
      <w:ind w:left="2100"/>
    </w:pPr>
  </w:style>
  <w:style w:type="paragraph" w:styleId="46">
    <w:name w:val="Body Text Indent 3"/>
    <w:basedOn w:val="1"/>
    <w:link w:val="100"/>
    <w:qFormat/>
    <w:uiPriority w:val="0"/>
    <w:pPr>
      <w:spacing w:line="360" w:lineRule="auto"/>
      <w:ind w:firstLine="617" w:firstLineChars="257"/>
    </w:pPr>
    <w:rPr>
      <w:kern w:val="0"/>
      <w:sz w:val="16"/>
      <w:szCs w:val="16"/>
    </w:rPr>
  </w:style>
  <w:style w:type="paragraph" w:styleId="47">
    <w:name w:val="index 7"/>
    <w:basedOn w:val="1"/>
    <w:next w:val="1"/>
    <w:semiHidden/>
    <w:qFormat/>
    <w:uiPriority w:val="99"/>
    <w:pPr>
      <w:ind w:left="2520"/>
    </w:pPr>
  </w:style>
  <w:style w:type="paragraph" w:styleId="48">
    <w:name w:val="index 9"/>
    <w:basedOn w:val="1"/>
    <w:next w:val="1"/>
    <w:semiHidden/>
    <w:qFormat/>
    <w:uiPriority w:val="99"/>
    <w:pPr>
      <w:ind w:left="3360"/>
    </w:pPr>
  </w:style>
  <w:style w:type="paragraph" w:styleId="49">
    <w:name w:val="table of figures"/>
    <w:basedOn w:val="1"/>
    <w:next w:val="1"/>
    <w:semiHidden/>
    <w:qFormat/>
    <w:uiPriority w:val="99"/>
    <w:pPr>
      <w:adjustRightInd w:val="0"/>
      <w:ind w:left="420" w:hanging="420"/>
      <w:jc w:val="left"/>
      <w:textAlignment w:val="baseline"/>
    </w:pPr>
    <w:rPr>
      <w:smallCaps/>
      <w:sz w:val="24"/>
    </w:rPr>
  </w:style>
  <w:style w:type="paragraph" w:styleId="50">
    <w:name w:val="toc 2"/>
    <w:basedOn w:val="1"/>
    <w:next w:val="1"/>
    <w:qFormat/>
    <w:uiPriority w:val="39"/>
    <w:pPr>
      <w:ind w:left="420"/>
    </w:pPr>
  </w:style>
  <w:style w:type="paragraph" w:styleId="51">
    <w:name w:val="toc 9"/>
    <w:basedOn w:val="1"/>
    <w:next w:val="1"/>
    <w:semiHidden/>
    <w:qFormat/>
    <w:uiPriority w:val="99"/>
    <w:pPr>
      <w:ind w:left="3360"/>
    </w:pPr>
  </w:style>
  <w:style w:type="paragraph" w:styleId="52">
    <w:name w:val="Body Text 2"/>
    <w:basedOn w:val="1"/>
    <w:link w:val="148"/>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4">
    <w:name w:val="Normal (Web)"/>
    <w:basedOn w:val="1"/>
    <w:qFormat/>
    <w:uiPriority w:val="0"/>
    <w:pPr>
      <w:spacing w:before="100" w:beforeAutospacing="1" w:after="100" w:afterAutospacing="1"/>
      <w:jc w:val="left"/>
    </w:pPr>
    <w:rPr>
      <w:kern w:val="0"/>
      <w:sz w:val="24"/>
    </w:rPr>
  </w:style>
  <w:style w:type="paragraph" w:styleId="55">
    <w:name w:val="index 2"/>
    <w:basedOn w:val="1"/>
    <w:next w:val="1"/>
    <w:semiHidden/>
    <w:qFormat/>
    <w:uiPriority w:val="99"/>
    <w:pPr>
      <w:ind w:left="420"/>
    </w:pPr>
  </w:style>
  <w:style w:type="paragraph" w:styleId="56">
    <w:name w:val="Title"/>
    <w:basedOn w:val="1"/>
    <w:next w:val="1"/>
    <w:link w:val="102"/>
    <w:qFormat/>
    <w:locked/>
    <w:uiPriority w:val="0"/>
    <w:pPr>
      <w:adjustRightInd w:val="0"/>
      <w:spacing w:line="420" w:lineRule="atLeast"/>
      <w:jc w:val="center"/>
      <w:textAlignment w:val="baseline"/>
      <w:outlineLvl w:val="0"/>
    </w:pPr>
    <w:rPr>
      <w:rFonts w:ascii="Arial" w:hAnsi="Arial"/>
      <w:b/>
      <w:kern w:val="0"/>
      <w:sz w:val="32"/>
    </w:rPr>
  </w:style>
  <w:style w:type="paragraph" w:styleId="57">
    <w:name w:val="annotation subject"/>
    <w:basedOn w:val="19"/>
    <w:next w:val="19"/>
    <w:link w:val="89"/>
    <w:semiHidden/>
    <w:qFormat/>
    <w:uiPriority w:val="99"/>
    <w:rPr>
      <w:b/>
      <w:bCs/>
      <w:sz w:val="20"/>
    </w:rPr>
  </w:style>
  <w:style w:type="paragraph" w:styleId="58">
    <w:name w:val="Body Text First Indent"/>
    <w:basedOn w:val="22"/>
    <w:link w:val="150"/>
    <w:qFormat/>
    <w:locked/>
    <w:uiPriority w:val="0"/>
    <w:pPr>
      <w:widowControl/>
      <w:spacing w:after="120" w:line="240" w:lineRule="auto"/>
      <w:ind w:firstLine="420" w:firstLineChars="100"/>
      <w:jc w:val="left"/>
    </w:pPr>
    <w:rPr>
      <w:rFonts w:eastAsia="宋体"/>
      <w:sz w:val="21"/>
    </w:rPr>
  </w:style>
  <w:style w:type="paragraph" w:styleId="59">
    <w:name w:val="Body Text First Indent 2"/>
    <w:basedOn w:val="25"/>
    <w:next w:val="46"/>
    <w:link w:val="155"/>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99"/>
    <w:rPr>
      <w:rFonts w:cs="Times New Roman"/>
      <w:b/>
    </w:rPr>
  </w:style>
  <w:style w:type="character" w:styleId="64">
    <w:name w:val="endnote reference"/>
    <w:qFormat/>
    <w:locked/>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rFonts w:cs="Times New Roman"/>
      <w:color w:val="954F72"/>
      <w:u w:val="single"/>
    </w:rPr>
  </w:style>
  <w:style w:type="character" w:styleId="67">
    <w:name w:val="Emphasis"/>
    <w:basedOn w:val="62"/>
    <w:qFormat/>
    <w:uiPriority w:val="99"/>
    <w:rPr>
      <w:rFonts w:cs="Times New Roman"/>
      <w:i/>
    </w:rPr>
  </w:style>
  <w:style w:type="character" w:styleId="68">
    <w:name w:val="line number"/>
    <w:basedOn w:val="62"/>
    <w:qFormat/>
    <w:uiPriority w:val="0"/>
    <w:rPr>
      <w:rFonts w:cs="Times New Roman"/>
    </w:rPr>
  </w:style>
  <w:style w:type="character" w:styleId="69">
    <w:name w:val="HTML Definition"/>
    <w:basedOn w:val="62"/>
    <w:qFormat/>
    <w:uiPriority w:val="99"/>
    <w:rPr>
      <w:rFonts w:cs="Times New Roman"/>
      <w:i/>
    </w:rPr>
  </w:style>
  <w:style w:type="character" w:styleId="70">
    <w:name w:val="Hyperlink"/>
    <w:basedOn w:val="62"/>
    <w:qFormat/>
    <w:uiPriority w:val="0"/>
    <w:rPr>
      <w:rFonts w:cs="Times New Roman"/>
      <w:color w:val="0000FF"/>
      <w:u w:val="single"/>
    </w:rPr>
  </w:style>
  <w:style w:type="character" w:styleId="71">
    <w:name w:val="HTML Code"/>
    <w:basedOn w:val="62"/>
    <w:qFormat/>
    <w:uiPriority w:val="99"/>
    <w:rPr>
      <w:rFonts w:ascii="Menlo" w:hAnsi="Menlo" w:cs="Times New Roman"/>
      <w:color w:val="C7254E"/>
      <w:sz w:val="21"/>
      <w:shd w:val="clear" w:color="auto" w:fill="F9F2F4"/>
    </w:rPr>
  </w:style>
  <w:style w:type="character" w:styleId="72">
    <w:name w:val="annotation reference"/>
    <w:basedOn w:val="62"/>
    <w:semiHidden/>
    <w:qFormat/>
    <w:uiPriority w:val="99"/>
    <w:rPr>
      <w:rFonts w:cs="Times New Roman"/>
      <w:sz w:val="21"/>
    </w:rPr>
  </w:style>
  <w:style w:type="character" w:styleId="73">
    <w:name w:val="HTML Cite"/>
    <w:basedOn w:val="62"/>
    <w:qFormat/>
    <w:uiPriority w:val="99"/>
    <w:rPr>
      <w:rFonts w:cs="Times New Roman"/>
    </w:rPr>
  </w:style>
  <w:style w:type="character" w:styleId="74">
    <w:name w:val="footnote reference"/>
    <w:basedOn w:val="62"/>
    <w:semiHidden/>
    <w:qFormat/>
    <w:uiPriority w:val="99"/>
    <w:rPr>
      <w:rFonts w:cs="Times New Roman"/>
      <w:vertAlign w:val="superscript"/>
    </w:rPr>
  </w:style>
  <w:style w:type="character" w:styleId="75">
    <w:name w:val="HTML Keyboard"/>
    <w:basedOn w:val="62"/>
    <w:qFormat/>
    <w:uiPriority w:val="99"/>
    <w:rPr>
      <w:rFonts w:ascii="Menlo" w:hAnsi="Menlo" w:cs="Times New Roman"/>
      <w:sz w:val="21"/>
    </w:rPr>
  </w:style>
  <w:style w:type="character" w:styleId="76">
    <w:name w:val="HTML Sample"/>
    <w:basedOn w:val="62"/>
    <w:qFormat/>
    <w:uiPriority w:val="99"/>
    <w:rPr>
      <w:rFonts w:ascii="Menlo" w:hAnsi="Menlo" w:cs="Times New Roman"/>
      <w:sz w:val="21"/>
    </w:rPr>
  </w:style>
  <w:style w:type="paragraph" w:customStyle="1" w:styleId="77">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78">
    <w:name w:val="正文文本首行缩进 21"/>
    <w:basedOn w:val="25"/>
    <w:unhideWhenUsed/>
    <w:qFormat/>
    <w:uiPriority w:val="99"/>
    <w:pPr>
      <w:ind w:firstLine="420" w:firstLineChars="200"/>
    </w:pPr>
    <w:rPr>
      <w:rFonts w:ascii="Calibri" w:hAnsi="Calibri"/>
      <w:szCs w:val="26"/>
    </w:rPr>
  </w:style>
  <w:style w:type="paragraph" w:customStyle="1" w:styleId="79">
    <w:name w:val="正文文本首行缩进 211"/>
    <w:basedOn w:val="25"/>
    <w:unhideWhenUsed/>
    <w:qFormat/>
    <w:uiPriority w:val="99"/>
    <w:pPr>
      <w:ind w:firstLine="420" w:firstLineChars="200"/>
    </w:pPr>
    <w:rPr>
      <w:rFonts w:ascii="Calibri" w:hAnsi="Calibri"/>
      <w:szCs w:val="26"/>
    </w:rPr>
  </w:style>
  <w:style w:type="character" w:customStyle="1" w:styleId="80">
    <w:name w:val="标题 1 字符"/>
    <w:basedOn w:val="62"/>
    <w:link w:val="3"/>
    <w:qFormat/>
    <w:locked/>
    <w:uiPriority w:val="99"/>
    <w:rPr>
      <w:rFonts w:eastAsia="楷体_GB2312" w:cs="Times New Roman"/>
      <w:b/>
      <w:kern w:val="44"/>
      <w:sz w:val="44"/>
    </w:rPr>
  </w:style>
  <w:style w:type="character" w:customStyle="1" w:styleId="81">
    <w:name w:val="标题 2 字符"/>
    <w:basedOn w:val="62"/>
    <w:link w:val="4"/>
    <w:qFormat/>
    <w:locked/>
    <w:uiPriority w:val="99"/>
    <w:rPr>
      <w:rFonts w:ascii="宋体" w:hAnsi="宋体" w:eastAsia="楷体_GB2312" w:cs="Times New Roman"/>
      <w:b/>
      <w:kern w:val="2"/>
      <w:sz w:val="26"/>
      <w:lang w:val="en-US" w:eastAsia="zh-CN"/>
    </w:rPr>
  </w:style>
  <w:style w:type="character" w:customStyle="1" w:styleId="82">
    <w:name w:val="标题 3 字符"/>
    <w:basedOn w:val="62"/>
    <w:link w:val="5"/>
    <w:semiHidden/>
    <w:qFormat/>
    <w:locked/>
    <w:uiPriority w:val="99"/>
    <w:rPr>
      <w:rFonts w:eastAsia="楷体_GB2312" w:cs="Times New Roman"/>
      <w:b/>
      <w:sz w:val="32"/>
    </w:rPr>
  </w:style>
  <w:style w:type="character" w:customStyle="1" w:styleId="83">
    <w:name w:val="标题 5 字符"/>
    <w:basedOn w:val="62"/>
    <w:link w:val="7"/>
    <w:semiHidden/>
    <w:qFormat/>
    <w:locked/>
    <w:uiPriority w:val="99"/>
    <w:rPr>
      <w:rFonts w:eastAsia="楷体_GB2312" w:cs="Times New Roman"/>
      <w:b/>
      <w:sz w:val="28"/>
    </w:rPr>
  </w:style>
  <w:style w:type="character" w:customStyle="1" w:styleId="84">
    <w:name w:val="标题 6 字符"/>
    <w:basedOn w:val="62"/>
    <w:link w:val="9"/>
    <w:semiHidden/>
    <w:qFormat/>
    <w:locked/>
    <w:uiPriority w:val="99"/>
    <w:rPr>
      <w:rFonts w:ascii="Cambria" w:hAnsi="Cambria" w:eastAsia="宋体" w:cs="Times New Roman"/>
      <w:b/>
      <w:sz w:val="24"/>
    </w:rPr>
  </w:style>
  <w:style w:type="character" w:customStyle="1" w:styleId="85">
    <w:name w:val="标题 7 字符"/>
    <w:basedOn w:val="62"/>
    <w:link w:val="10"/>
    <w:semiHidden/>
    <w:qFormat/>
    <w:locked/>
    <w:uiPriority w:val="99"/>
    <w:rPr>
      <w:rFonts w:eastAsia="楷体_GB2312" w:cs="Times New Roman"/>
      <w:b/>
      <w:sz w:val="24"/>
    </w:rPr>
  </w:style>
  <w:style w:type="character" w:customStyle="1" w:styleId="86">
    <w:name w:val="标题 8 字符"/>
    <w:basedOn w:val="62"/>
    <w:link w:val="11"/>
    <w:semiHidden/>
    <w:qFormat/>
    <w:locked/>
    <w:uiPriority w:val="99"/>
    <w:rPr>
      <w:rFonts w:ascii="Cambria" w:hAnsi="Cambria" w:eastAsia="宋体" w:cs="Times New Roman"/>
      <w:sz w:val="24"/>
    </w:rPr>
  </w:style>
  <w:style w:type="character" w:customStyle="1" w:styleId="87">
    <w:name w:val="标题 9 字符"/>
    <w:basedOn w:val="62"/>
    <w:link w:val="12"/>
    <w:semiHidden/>
    <w:qFormat/>
    <w:locked/>
    <w:uiPriority w:val="99"/>
    <w:rPr>
      <w:rFonts w:ascii="Cambria" w:hAnsi="Cambria" w:eastAsia="宋体" w:cs="Times New Roman"/>
      <w:sz w:val="21"/>
    </w:rPr>
  </w:style>
  <w:style w:type="character" w:customStyle="1" w:styleId="88">
    <w:name w:val="批注文字 字符"/>
    <w:basedOn w:val="62"/>
    <w:link w:val="19"/>
    <w:semiHidden/>
    <w:qFormat/>
    <w:locked/>
    <w:uiPriority w:val="99"/>
    <w:rPr>
      <w:rFonts w:eastAsia="楷体_GB2312" w:cs="Times New Roman"/>
      <w:kern w:val="2"/>
      <w:sz w:val="26"/>
    </w:rPr>
  </w:style>
  <w:style w:type="character" w:customStyle="1" w:styleId="89">
    <w:name w:val="批注主题 字符"/>
    <w:basedOn w:val="88"/>
    <w:link w:val="57"/>
    <w:semiHidden/>
    <w:qFormat/>
    <w:locked/>
    <w:uiPriority w:val="99"/>
    <w:rPr>
      <w:rFonts w:eastAsia="楷体_GB2312" w:cs="Times New Roman"/>
      <w:b/>
      <w:kern w:val="2"/>
      <w:sz w:val="20"/>
    </w:rPr>
  </w:style>
  <w:style w:type="character" w:customStyle="1" w:styleId="90">
    <w:name w:val="文档结构图 字符"/>
    <w:basedOn w:val="62"/>
    <w:link w:val="17"/>
    <w:semiHidden/>
    <w:qFormat/>
    <w:locked/>
    <w:uiPriority w:val="99"/>
    <w:rPr>
      <w:rFonts w:eastAsia="楷体_GB2312" w:cs="Times New Roman"/>
      <w:sz w:val="2"/>
    </w:rPr>
  </w:style>
  <w:style w:type="character" w:customStyle="1" w:styleId="91">
    <w:name w:val="正文文本 字符"/>
    <w:basedOn w:val="62"/>
    <w:link w:val="22"/>
    <w:qFormat/>
    <w:locked/>
    <w:uiPriority w:val="0"/>
    <w:rPr>
      <w:rFonts w:eastAsia="楷体_GB2312" w:cs="Times New Roman"/>
      <w:sz w:val="20"/>
    </w:rPr>
  </w:style>
  <w:style w:type="character" w:customStyle="1" w:styleId="92">
    <w:name w:val="正文文本缩进 字符"/>
    <w:basedOn w:val="62"/>
    <w:link w:val="25"/>
    <w:qFormat/>
    <w:locked/>
    <w:uiPriority w:val="0"/>
    <w:rPr>
      <w:rFonts w:ascii="方正仿宋简体" w:hAnsi="创艺简仿宋" w:eastAsia="方正仿宋简体" w:cs="Times New Roman"/>
      <w:kern w:val="2"/>
      <w:sz w:val="24"/>
      <w:lang w:val="en-US" w:eastAsia="zh-CN"/>
    </w:rPr>
  </w:style>
  <w:style w:type="character" w:customStyle="1" w:styleId="93">
    <w:name w:val="纯文本 字符"/>
    <w:basedOn w:val="62"/>
    <w:link w:val="30"/>
    <w:qFormat/>
    <w:locked/>
    <w:uiPriority w:val="0"/>
    <w:rPr>
      <w:rFonts w:ascii="宋体" w:hAnsi="Courier New" w:eastAsia="楷体_GB2312" w:cs="Times New Roman"/>
      <w:kern w:val="2"/>
      <w:sz w:val="26"/>
      <w:lang w:val="en-US" w:eastAsia="zh-CN"/>
    </w:rPr>
  </w:style>
  <w:style w:type="character" w:customStyle="1" w:styleId="94">
    <w:name w:val="日期 字符"/>
    <w:basedOn w:val="62"/>
    <w:link w:val="33"/>
    <w:qFormat/>
    <w:locked/>
    <w:uiPriority w:val="0"/>
    <w:rPr>
      <w:rFonts w:eastAsia="楷体_GB2312" w:cs="Times New Roman"/>
      <w:sz w:val="20"/>
    </w:rPr>
  </w:style>
  <w:style w:type="character" w:customStyle="1" w:styleId="95">
    <w:name w:val="正文文本缩进 2 字符"/>
    <w:basedOn w:val="62"/>
    <w:link w:val="34"/>
    <w:semiHidden/>
    <w:qFormat/>
    <w:locked/>
    <w:uiPriority w:val="99"/>
    <w:rPr>
      <w:rFonts w:eastAsia="楷体_GB2312" w:cs="Times New Roman"/>
      <w:sz w:val="20"/>
    </w:rPr>
  </w:style>
  <w:style w:type="character" w:customStyle="1" w:styleId="96">
    <w:name w:val="批注框文本 字符"/>
    <w:basedOn w:val="62"/>
    <w:link w:val="36"/>
    <w:semiHidden/>
    <w:qFormat/>
    <w:locked/>
    <w:uiPriority w:val="99"/>
    <w:rPr>
      <w:rFonts w:eastAsia="楷体_GB2312" w:cs="Times New Roman"/>
      <w:sz w:val="2"/>
    </w:rPr>
  </w:style>
  <w:style w:type="character" w:customStyle="1" w:styleId="97">
    <w:name w:val="页脚 字符"/>
    <w:basedOn w:val="62"/>
    <w:link w:val="37"/>
    <w:qFormat/>
    <w:locked/>
    <w:uiPriority w:val="0"/>
    <w:rPr>
      <w:rFonts w:eastAsia="楷体_GB2312" w:cs="Times New Roman"/>
      <w:sz w:val="18"/>
    </w:rPr>
  </w:style>
  <w:style w:type="character" w:customStyle="1" w:styleId="98">
    <w:name w:val="页眉 字符"/>
    <w:basedOn w:val="62"/>
    <w:link w:val="38"/>
    <w:qFormat/>
    <w:locked/>
    <w:uiPriority w:val="99"/>
    <w:rPr>
      <w:rFonts w:eastAsia="楷体_GB2312" w:cs="Times New Roman"/>
      <w:kern w:val="2"/>
      <w:sz w:val="18"/>
    </w:rPr>
  </w:style>
  <w:style w:type="character" w:customStyle="1" w:styleId="99">
    <w:name w:val="脚注文本 字符"/>
    <w:basedOn w:val="62"/>
    <w:link w:val="44"/>
    <w:semiHidden/>
    <w:qFormat/>
    <w:locked/>
    <w:uiPriority w:val="99"/>
    <w:rPr>
      <w:rFonts w:eastAsia="楷体_GB2312" w:cs="Times New Roman"/>
      <w:sz w:val="18"/>
    </w:rPr>
  </w:style>
  <w:style w:type="character" w:customStyle="1" w:styleId="100">
    <w:name w:val="正文文本缩进 3 字符"/>
    <w:basedOn w:val="62"/>
    <w:link w:val="46"/>
    <w:qFormat/>
    <w:locked/>
    <w:uiPriority w:val="0"/>
    <w:rPr>
      <w:rFonts w:eastAsia="楷体_GB2312" w:cs="Times New Roman"/>
      <w:sz w:val="16"/>
    </w:rPr>
  </w:style>
  <w:style w:type="character" w:customStyle="1" w:styleId="101">
    <w:name w:val="HTML 预设格式 字符"/>
    <w:basedOn w:val="62"/>
    <w:link w:val="53"/>
    <w:semiHidden/>
    <w:qFormat/>
    <w:locked/>
    <w:uiPriority w:val="99"/>
    <w:rPr>
      <w:rFonts w:ascii="Courier New" w:hAnsi="Courier New" w:eastAsia="楷体_GB2312" w:cs="Times New Roman"/>
      <w:sz w:val="20"/>
    </w:rPr>
  </w:style>
  <w:style w:type="character" w:customStyle="1" w:styleId="102">
    <w:name w:val="标题 字符"/>
    <w:basedOn w:val="62"/>
    <w:link w:val="56"/>
    <w:qFormat/>
    <w:locked/>
    <w:uiPriority w:val="0"/>
    <w:rPr>
      <w:rFonts w:ascii="Cambria" w:hAnsi="Cambria" w:cs="Times New Roman"/>
      <w:b/>
      <w:bCs/>
      <w:sz w:val="32"/>
      <w:szCs w:val="32"/>
    </w:rPr>
  </w:style>
  <w:style w:type="paragraph" w:customStyle="1" w:styleId="103">
    <w:name w:val="列出段落1"/>
    <w:basedOn w:val="1"/>
    <w:qFormat/>
    <w:uiPriority w:val="99"/>
    <w:pPr>
      <w:ind w:firstLine="420" w:firstLineChars="200"/>
    </w:pPr>
    <w:rPr>
      <w:rFonts w:eastAsia="宋体"/>
      <w:sz w:val="21"/>
      <w:szCs w:val="24"/>
    </w:rPr>
  </w:style>
  <w:style w:type="paragraph" w:customStyle="1" w:styleId="104">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5">
    <w:name w:val="纯文本1"/>
    <w:basedOn w:val="1"/>
    <w:qFormat/>
    <w:uiPriority w:val="99"/>
    <w:pPr>
      <w:adjustRightInd w:val="0"/>
      <w:textAlignment w:val="baseline"/>
    </w:pPr>
    <w:rPr>
      <w:rFonts w:ascii="宋体" w:hAnsi="Courier New"/>
      <w:sz w:val="28"/>
    </w:rPr>
  </w:style>
  <w:style w:type="paragraph" w:customStyle="1" w:styleId="106">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7">
    <w:name w:val="Char Char1 Char Char Char Char"/>
    <w:basedOn w:val="17"/>
    <w:qFormat/>
    <w:uiPriority w:val="99"/>
    <w:pPr>
      <w:adjustRightInd w:val="0"/>
      <w:snapToGrid w:val="0"/>
      <w:spacing w:line="360" w:lineRule="auto"/>
    </w:pPr>
    <w:rPr>
      <w:rFonts w:ascii="Tahoma" w:hAnsi="Tahoma" w:eastAsia="宋体"/>
      <w:sz w:val="24"/>
      <w:szCs w:val="24"/>
    </w:rPr>
  </w:style>
  <w:style w:type="paragraph" w:customStyle="1" w:styleId="108">
    <w:name w:val="纯文本2"/>
    <w:basedOn w:val="1"/>
    <w:qFormat/>
    <w:uiPriority w:val="99"/>
    <w:pPr>
      <w:adjustRightInd w:val="0"/>
      <w:textAlignment w:val="baseline"/>
    </w:pPr>
    <w:rPr>
      <w:rFonts w:ascii="宋体" w:hAnsi="Courier New"/>
    </w:rPr>
  </w:style>
  <w:style w:type="paragraph" w:customStyle="1" w:styleId="109">
    <w:name w:val="_Style 1"/>
    <w:basedOn w:val="1"/>
    <w:qFormat/>
    <w:uiPriority w:val="99"/>
    <w:pPr>
      <w:ind w:firstLine="420" w:firstLineChars="200"/>
    </w:pPr>
  </w:style>
  <w:style w:type="paragraph" w:customStyle="1" w:styleId="11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Char1"/>
    <w:basedOn w:val="1"/>
    <w:qFormat/>
    <w:uiPriority w:val="99"/>
    <w:rPr>
      <w:rFonts w:ascii="Tahoma" w:hAnsi="Tahoma" w:eastAsia="宋体"/>
      <w:sz w:val="24"/>
    </w:rPr>
  </w:style>
  <w:style w:type="character" w:customStyle="1" w:styleId="112">
    <w:name w:val="bds_more5"/>
    <w:qFormat/>
    <w:uiPriority w:val="99"/>
  </w:style>
  <w:style w:type="character" w:customStyle="1" w:styleId="113">
    <w:name w:val="noused"/>
    <w:qFormat/>
    <w:uiPriority w:val="99"/>
    <w:rPr>
      <w:b/>
      <w:color w:val="FFFFFF"/>
      <w:sz w:val="21"/>
    </w:rPr>
  </w:style>
  <w:style w:type="character" w:customStyle="1" w:styleId="114">
    <w:name w:val="正文缩进 字符"/>
    <w:link w:val="8"/>
    <w:qFormat/>
    <w:locked/>
    <w:uiPriority w:val="0"/>
    <w:rPr>
      <w:rFonts w:eastAsia="楷体_GB2312"/>
      <w:kern w:val="2"/>
      <w:sz w:val="24"/>
      <w:lang w:val="en-US" w:eastAsia="zh-CN"/>
    </w:rPr>
  </w:style>
  <w:style w:type="character" w:customStyle="1" w:styleId="115">
    <w:name w:val="Char Char2"/>
    <w:qFormat/>
    <w:uiPriority w:val="99"/>
    <w:rPr>
      <w:rFonts w:ascii="宋体" w:hAnsi="宋体" w:eastAsia="楷体_GB2312"/>
      <w:b/>
      <w:kern w:val="2"/>
      <w:sz w:val="26"/>
      <w:lang w:val="en-US" w:eastAsia="zh-CN"/>
    </w:rPr>
  </w:style>
  <w:style w:type="character" w:customStyle="1" w:styleId="116">
    <w:name w:val="bds_nopic1"/>
    <w:qFormat/>
    <w:uiPriority w:val="99"/>
  </w:style>
  <w:style w:type="character" w:customStyle="1" w:styleId="117">
    <w:name w:val="state"/>
    <w:qFormat/>
    <w:uiPriority w:val="99"/>
    <w:rPr>
      <w:b/>
      <w:color w:val="FFFFFF"/>
      <w:sz w:val="19"/>
    </w:rPr>
  </w:style>
  <w:style w:type="character" w:customStyle="1" w:styleId="118">
    <w:name w:val="bds_more6"/>
    <w:qFormat/>
    <w:uiPriority w:val="99"/>
  </w:style>
  <w:style w:type="character" w:customStyle="1" w:styleId="119">
    <w:name w:val="active"/>
    <w:qFormat/>
    <w:uiPriority w:val="99"/>
    <w:rPr>
      <w:color w:val="00FF00"/>
      <w:shd w:val="clear" w:color="auto" w:fill="000000"/>
    </w:rPr>
  </w:style>
  <w:style w:type="character" w:customStyle="1" w:styleId="120">
    <w:name w:val="bds_nopic2"/>
    <w:qFormat/>
    <w:uiPriority w:val="99"/>
  </w:style>
  <w:style w:type="character" w:customStyle="1" w:styleId="121">
    <w:name w:val="hilite6"/>
    <w:qFormat/>
    <w:uiPriority w:val="99"/>
    <w:rPr>
      <w:color w:val="FFFFFF"/>
      <w:shd w:val="clear" w:color="auto" w:fill="776666"/>
    </w:rPr>
  </w:style>
  <w:style w:type="character" w:customStyle="1" w:styleId="122">
    <w:name w:val="active8"/>
    <w:qFormat/>
    <w:uiPriority w:val="99"/>
    <w:rPr>
      <w:color w:val="00FF00"/>
      <w:shd w:val="clear" w:color="auto" w:fill="000000"/>
    </w:rPr>
  </w:style>
  <w:style w:type="character" w:customStyle="1" w:styleId="123">
    <w:name w:val="bds_more8"/>
    <w:qFormat/>
    <w:uiPriority w:val="99"/>
    <w:rPr>
      <w:rFonts w:ascii="宋体" w:hAnsi="宋体" w:eastAsia="宋体"/>
    </w:rPr>
  </w:style>
  <w:style w:type="character" w:customStyle="1" w:styleId="124">
    <w:name w:val="other"/>
    <w:qFormat/>
    <w:uiPriority w:val="99"/>
  </w:style>
  <w:style w:type="character" w:customStyle="1" w:styleId="125">
    <w:name w:val="hover61"/>
    <w:qFormat/>
    <w:uiPriority w:val="99"/>
    <w:rPr>
      <w:shd w:val="clear" w:color="auto" w:fill="FF0000"/>
    </w:rPr>
  </w:style>
  <w:style w:type="character" w:customStyle="1" w:styleId="126">
    <w:name w:val="bsharetext"/>
    <w:qFormat/>
    <w:uiPriority w:val="99"/>
  </w:style>
  <w:style w:type="character" w:customStyle="1" w:styleId="127">
    <w:name w:val="bds_nopic"/>
    <w:qFormat/>
    <w:uiPriority w:val="99"/>
  </w:style>
  <w:style w:type="character" w:customStyle="1" w:styleId="128">
    <w:name w:val="grid2"/>
    <w:qFormat/>
    <w:uiPriority w:val="99"/>
  </w:style>
  <w:style w:type="character" w:customStyle="1" w:styleId="129">
    <w:name w:val="hilite"/>
    <w:qFormat/>
    <w:uiPriority w:val="99"/>
    <w:rPr>
      <w:color w:val="FFFFFF"/>
      <w:shd w:val="clear" w:color="auto" w:fill="776666"/>
    </w:rPr>
  </w:style>
  <w:style w:type="character" w:customStyle="1" w:styleId="130">
    <w:name w:val="bds_more4"/>
    <w:qFormat/>
    <w:uiPriority w:val="99"/>
    <w:rPr>
      <w:rFonts w:ascii="宋体" w:hAnsi="宋体" w:eastAsia="宋体"/>
    </w:rPr>
  </w:style>
  <w:style w:type="character" w:customStyle="1" w:styleId="131">
    <w:name w:val="bds_more7"/>
    <w:qFormat/>
    <w:uiPriority w:val="99"/>
  </w:style>
  <w:style w:type="character" w:customStyle="1" w:styleId="132">
    <w:name w:val="grid"/>
    <w:qFormat/>
    <w:uiPriority w:val="99"/>
  </w:style>
  <w:style w:type="paragraph" w:customStyle="1" w:styleId="133">
    <w:name w:val="纯文本3"/>
    <w:basedOn w:val="1"/>
    <w:qFormat/>
    <w:uiPriority w:val="99"/>
    <w:pPr>
      <w:adjustRightInd w:val="0"/>
      <w:textAlignment w:val="baseline"/>
    </w:pPr>
    <w:rPr>
      <w:rFonts w:ascii="宋体" w:hAnsi="Courier New"/>
    </w:rPr>
  </w:style>
  <w:style w:type="paragraph" w:customStyle="1" w:styleId="134">
    <w:name w:val="正文文字3"/>
    <w:basedOn w:val="22"/>
    <w:qFormat/>
    <w:uiPriority w:val="0"/>
    <w:pPr>
      <w:ind w:left="30" w:leftChars="30" w:right="30" w:rightChars="30"/>
    </w:pPr>
  </w:style>
  <w:style w:type="paragraph" w:customStyle="1" w:styleId="135">
    <w:name w:val="flNote"/>
    <w:basedOn w:val="1"/>
    <w:qFormat/>
    <w:uiPriority w:val="0"/>
    <w:pPr>
      <w:spacing w:before="320" w:after="160"/>
      <w:jc w:val="center"/>
    </w:pPr>
    <w:rPr>
      <w:rFonts w:ascii="Arial" w:eastAsia="黑体"/>
      <w:sz w:val="30"/>
    </w:rPr>
  </w:style>
  <w:style w:type="paragraph" w:customStyle="1" w:styleId="136">
    <w:name w:val="Plain Text1"/>
    <w:basedOn w:val="1"/>
    <w:qFormat/>
    <w:uiPriority w:val="99"/>
    <w:rPr>
      <w:rFonts w:ascii="宋体" w:hAnsi="Courier New"/>
      <w:sz w:val="28"/>
    </w:rPr>
  </w:style>
  <w:style w:type="paragraph" w:customStyle="1" w:styleId="137">
    <w:name w:val="标题 2 + 黑色 行距: 1.5 倍行距"/>
    <w:basedOn w:val="4"/>
    <w:qFormat/>
    <w:uiPriority w:val="99"/>
    <w:pPr>
      <w:spacing w:line="360" w:lineRule="auto"/>
    </w:pPr>
    <w:rPr>
      <w:rFonts w:eastAsia="宋体" w:cs="宋体"/>
      <w:color w:val="000000"/>
    </w:rPr>
  </w:style>
  <w:style w:type="character" w:customStyle="1" w:styleId="138">
    <w:name w:val="font11"/>
    <w:basedOn w:val="62"/>
    <w:qFormat/>
    <w:uiPriority w:val="0"/>
    <w:rPr>
      <w:rFonts w:hint="eastAsia" w:ascii="宋体" w:hAnsi="宋体" w:eastAsia="宋体" w:cs="宋体"/>
      <w:color w:val="000000"/>
      <w:sz w:val="24"/>
      <w:szCs w:val="24"/>
      <w:u w:val="none"/>
    </w:rPr>
  </w:style>
  <w:style w:type="paragraph" w:styleId="139">
    <w:name w:val="List Paragraph"/>
    <w:basedOn w:val="1"/>
    <w:unhideWhenUsed/>
    <w:qFormat/>
    <w:uiPriority w:val="34"/>
    <w:pPr>
      <w:ind w:firstLine="420" w:firstLineChars="200"/>
    </w:pPr>
  </w:style>
  <w:style w:type="character" w:customStyle="1" w:styleId="140">
    <w:name w:val="flName Char"/>
    <w:qFormat/>
    <w:uiPriority w:val="0"/>
    <w:rPr>
      <w:rFonts w:ascii="Arial" w:hAnsi="Arial" w:eastAsia="黑体"/>
      <w:sz w:val="32"/>
      <w:lang w:val="en-US" w:eastAsia="zh-CN"/>
    </w:rPr>
  </w:style>
  <w:style w:type="character" w:customStyle="1" w:styleId="141">
    <w:name w:val="样式 宋体"/>
    <w:qFormat/>
    <w:uiPriority w:val="0"/>
    <w:rPr>
      <w:rFonts w:ascii="宋体" w:hAnsi="宋体" w:eastAsia="宋体"/>
      <w:sz w:val="24"/>
      <w:szCs w:val="24"/>
    </w:rPr>
  </w:style>
  <w:style w:type="character" w:customStyle="1" w:styleId="142">
    <w:name w:val="style81"/>
    <w:qFormat/>
    <w:uiPriority w:val="0"/>
    <w:rPr>
      <w:b/>
      <w:bCs/>
      <w:color w:val="666666"/>
      <w:sz w:val="21"/>
      <w:szCs w:val="21"/>
    </w:rPr>
  </w:style>
  <w:style w:type="character" w:customStyle="1" w:styleId="143">
    <w:name w:val="尾注文本 Char"/>
    <w:qFormat/>
    <w:uiPriority w:val="0"/>
    <w:rPr>
      <w:sz w:val="24"/>
    </w:rPr>
  </w:style>
  <w:style w:type="character" w:customStyle="1" w:styleId="144">
    <w:name w:val="正文1 Char"/>
    <w:qFormat/>
    <w:uiPriority w:val="0"/>
    <w:rPr>
      <w:rFonts w:ascii="宋体" w:hAnsi="宋体" w:eastAsia="宋体"/>
      <w:b/>
      <w:kern w:val="2"/>
      <w:sz w:val="24"/>
      <w:szCs w:val="24"/>
      <w:lang w:val="en-US" w:eastAsia="zh-CN" w:bidi="ar-SA"/>
    </w:rPr>
  </w:style>
  <w:style w:type="character" w:customStyle="1" w:styleId="145">
    <w:name w:val="正文首行缩进 Char"/>
    <w:basedOn w:val="91"/>
    <w:qFormat/>
    <w:uiPriority w:val="0"/>
    <w:rPr>
      <w:rFonts w:eastAsia="楷体_GB2312" w:cs="Times New Roman"/>
      <w:sz w:val="21"/>
    </w:rPr>
  </w:style>
  <w:style w:type="character" w:customStyle="1" w:styleId="146">
    <w:name w:val="standdate1"/>
    <w:qFormat/>
    <w:uiPriority w:val="0"/>
    <w:rPr>
      <w:rFonts w:ascii="黑体" w:eastAsia="黑体"/>
      <w:color w:val="auto"/>
      <w:sz w:val="24"/>
      <w:u w:val="none"/>
    </w:rPr>
  </w:style>
  <w:style w:type="character" w:customStyle="1" w:styleId="147">
    <w:name w:val="正文首行缩进 2 Char"/>
    <w:basedOn w:val="92"/>
    <w:qFormat/>
    <w:uiPriority w:val="0"/>
    <w:rPr>
      <w:rFonts w:ascii="方正仿宋简体" w:hAnsi="创艺简仿宋" w:eastAsia="方正仿宋简体" w:cs="Times New Roman"/>
      <w:kern w:val="2"/>
      <w:sz w:val="28"/>
      <w:lang w:val="en-US" w:eastAsia="zh-CN"/>
    </w:rPr>
  </w:style>
  <w:style w:type="character" w:customStyle="1" w:styleId="148">
    <w:name w:val="正文文本 2 字符"/>
    <w:basedOn w:val="62"/>
    <w:link w:val="52"/>
    <w:qFormat/>
    <w:uiPriority w:val="0"/>
    <w:rPr>
      <w:rFonts w:ascii="仿宋_GB2312" w:eastAsia="仿宋_GB2312"/>
      <w:sz w:val="24"/>
      <w:szCs w:val="24"/>
    </w:rPr>
  </w:style>
  <w:style w:type="character" w:customStyle="1" w:styleId="149">
    <w:name w:val="正文文本 3 字符"/>
    <w:basedOn w:val="62"/>
    <w:link w:val="21"/>
    <w:qFormat/>
    <w:uiPriority w:val="0"/>
    <w:rPr>
      <w:color w:val="FF0000"/>
      <w:sz w:val="21"/>
      <w:szCs w:val="21"/>
    </w:rPr>
  </w:style>
  <w:style w:type="character" w:customStyle="1" w:styleId="150">
    <w:name w:val="正文首行缩进 字符"/>
    <w:basedOn w:val="91"/>
    <w:link w:val="58"/>
    <w:semiHidden/>
    <w:qFormat/>
    <w:uiPriority w:val="99"/>
    <w:rPr>
      <w:rFonts w:eastAsia="楷体_GB2312" w:cs="Times New Roman"/>
      <w:kern w:val="2"/>
      <w:sz w:val="26"/>
    </w:rPr>
  </w:style>
  <w:style w:type="character" w:customStyle="1" w:styleId="151">
    <w:name w:val="副标题 字符"/>
    <w:basedOn w:val="62"/>
    <w:link w:val="43"/>
    <w:qFormat/>
    <w:uiPriority w:val="0"/>
    <w:rPr>
      <w:rFonts w:ascii="Arial" w:hAnsi="Arial" w:eastAsia="黑体"/>
      <w:i/>
      <w:sz w:val="24"/>
    </w:rPr>
  </w:style>
  <w:style w:type="paragraph" w:customStyle="1" w:styleId="152">
    <w:name w:val="flName"/>
    <w:basedOn w:val="135"/>
    <w:qFormat/>
    <w:uiPriority w:val="0"/>
    <w:pPr>
      <w:adjustRightInd w:val="0"/>
      <w:spacing w:line="360" w:lineRule="atLeast"/>
      <w:textAlignment w:val="baseline"/>
    </w:pPr>
    <w:rPr>
      <w:rFonts w:hAnsi="Arial"/>
      <w:kern w:val="0"/>
      <w:sz w:val="32"/>
    </w:rPr>
  </w:style>
  <w:style w:type="paragraph" w:customStyle="1" w:styleId="153">
    <w:name w:val="Char Char1 Char"/>
    <w:basedOn w:val="1"/>
    <w:qFormat/>
    <w:uiPriority w:val="0"/>
    <w:rPr>
      <w:rFonts w:eastAsia="宋体"/>
      <w:sz w:val="24"/>
      <w:szCs w:val="24"/>
    </w:rPr>
  </w:style>
  <w:style w:type="character" w:customStyle="1" w:styleId="154">
    <w:name w:val="尾注文本 字符"/>
    <w:basedOn w:val="62"/>
    <w:link w:val="35"/>
    <w:semiHidden/>
    <w:qFormat/>
    <w:uiPriority w:val="99"/>
    <w:rPr>
      <w:rFonts w:eastAsia="楷体_GB2312"/>
      <w:kern w:val="2"/>
      <w:sz w:val="26"/>
    </w:rPr>
  </w:style>
  <w:style w:type="character" w:customStyle="1" w:styleId="155">
    <w:name w:val="正文首行缩进 2 字符"/>
    <w:basedOn w:val="92"/>
    <w:link w:val="59"/>
    <w:semiHidden/>
    <w:qFormat/>
    <w:uiPriority w:val="99"/>
    <w:rPr>
      <w:rFonts w:ascii="方正仿宋简体" w:hAnsi="创艺简仿宋" w:eastAsia="楷体_GB2312" w:cs="Times New Roman"/>
      <w:kern w:val="2"/>
      <w:sz w:val="26"/>
      <w:lang w:val="en-US" w:eastAsia="zh-CN"/>
    </w:rPr>
  </w:style>
  <w:style w:type="paragraph" w:customStyle="1" w:styleId="156">
    <w:name w:val="TOC 标题1"/>
    <w:basedOn w:val="3"/>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8">
    <w:name w:val="样式 标题 2b2节标题 1.11.1标题2 + 宋体 五号 段前: 6 磅 段后: 0 磅 行距: 1.5 倍行距"/>
    <w:basedOn w:val="4"/>
    <w:qFormat/>
    <w:uiPriority w:val="0"/>
    <w:pPr>
      <w:tabs>
        <w:tab w:val="left" w:pos="928"/>
      </w:tabs>
      <w:overflowPunct/>
      <w:spacing w:before="260" w:after="260" w:line="360" w:lineRule="auto"/>
    </w:pPr>
    <w:rPr>
      <w:rFonts w:eastAsia="宋体" w:cs="宋体"/>
      <w:bCs/>
      <w:kern w:val="0"/>
      <w:sz w:val="24"/>
      <w:szCs w:val="24"/>
    </w:rPr>
  </w:style>
  <w:style w:type="paragraph" w:customStyle="1" w:styleId="159">
    <w:name w:val="font0"/>
    <w:basedOn w:val="1"/>
    <w:qFormat/>
    <w:uiPriority w:val="0"/>
    <w:pPr>
      <w:widowControl/>
      <w:spacing w:before="100" w:after="100"/>
      <w:jc w:val="left"/>
    </w:pPr>
    <w:rPr>
      <w:rFonts w:ascii="宋体" w:hAnsi="宋体" w:eastAsia="宋体"/>
      <w:kern w:val="0"/>
      <w:sz w:val="24"/>
    </w:rPr>
  </w:style>
  <w:style w:type="paragraph" w:customStyle="1" w:styleId="160">
    <w:name w:val="Char2"/>
    <w:basedOn w:val="17"/>
    <w:next w:val="1"/>
    <w:qFormat/>
    <w:uiPriority w:val="0"/>
    <w:rPr>
      <w:rFonts w:ascii="Tahoma" w:hAnsi="Tahoma" w:eastAsia="宋体"/>
      <w:kern w:val="2"/>
      <w:sz w:val="24"/>
      <w:szCs w:val="24"/>
    </w:rPr>
  </w:style>
  <w:style w:type="paragraph" w:customStyle="1" w:styleId="161">
    <w:name w:val="standdate"/>
    <w:basedOn w:val="37"/>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62">
    <w:name w:val="标题 10 + 小四"/>
    <w:basedOn w:val="3"/>
    <w:qFormat/>
    <w:uiPriority w:val="0"/>
    <w:pPr>
      <w:widowControl/>
      <w:tabs>
        <w:tab w:val="left" w:pos="360"/>
      </w:tabs>
      <w:spacing w:before="340" w:after="330" w:line="360" w:lineRule="auto"/>
      <w:jc w:val="left"/>
    </w:pPr>
    <w:rPr>
      <w:rFonts w:eastAsia="宋体"/>
      <w:sz w:val="24"/>
      <w:szCs w:val="24"/>
    </w:rPr>
  </w:style>
  <w:style w:type="paragraph" w:customStyle="1" w:styleId="163">
    <w:name w:val="Char3"/>
    <w:basedOn w:val="1"/>
    <w:qFormat/>
    <w:uiPriority w:val="0"/>
    <w:rPr>
      <w:rFonts w:eastAsia="宋体"/>
      <w:sz w:val="21"/>
      <w:szCs w:val="24"/>
    </w:rPr>
  </w:style>
  <w:style w:type="paragraph" w:customStyle="1" w:styleId="164">
    <w:name w:val="样式 标题 2 + 黑色 行距: 1.5 倍行距"/>
    <w:basedOn w:val="4"/>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7">
    <w:name w:val="正文文字2"/>
    <w:basedOn w:val="22"/>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8">
    <w:name w:val="flType"/>
    <w:basedOn w:val="152"/>
    <w:qFormat/>
    <w:uiPriority w:val="0"/>
    <w:pPr>
      <w:spacing w:before="560" w:after="120"/>
    </w:pPr>
    <w:rPr>
      <w:sz w:val="28"/>
    </w:rPr>
  </w:style>
  <w:style w:type="paragraph" w:customStyle="1" w:styleId="169">
    <w:name w:val="字元 字元"/>
    <w:basedOn w:val="1"/>
    <w:qFormat/>
    <w:uiPriority w:val="0"/>
    <w:rPr>
      <w:rFonts w:eastAsia="宋体"/>
      <w:sz w:val="21"/>
      <w:szCs w:val="24"/>
    </w:rPr>
  </w:style>
  <w:style w:type="paragraph" w:customStyle="1" w:styleId="170">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71">
    <w:name w:val="Variable"/>
    <w:qFormat/>
    <w:uiPriority w:val="0"/>
    <w:rPr>
      <w:i/>
    </w:rPr>
  </w:style>
  <w:style w:type="paragraph" w:customStyle="1" w:styleId="172">
    <w:name w:val="正文首行缩进 21"/>
    <w:basedOn w:val="173"/>
    <w:qFormat/>
    <w:uiPriority w:val="0"/>
    <w:pPr>
      <w:ind w:firstLine="200" w:firstLineChars="200"/>
    </w:pPr>
  </w:style>
  <w:style w:type="paragraph" w:customStyle="1" w:styleId="173">
    <w:name w:val="正文文本缩进 New"/>
    <w:basedOn w:val="174"/>
    <w:next w:val="175"/>
    <w:qFormat/>
    <w:uiPriority w:val="0"/>
    <w:pPr>
      <w:ind w:left="420" w:leftChars="200"/>
    </w:pPr>
  </w:style>
  <w:style w:type="paragraph" w:customStyle="1" w:styleId="174">
    <w:name w:val="正文 New"/>
    <w:next w:val="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寄信人地址 New"/>
    <w:basedOn w:val="174"/>
    <w:qFormat/>
    <w:uiPriority w:val="0"/>
    <w:pPr>
      <w:snapToGrid w:val="0"/>
    </w:pPr>
    <w:rPr>
      <w:rFonts w:ascii="Arial" w:hAnsi="Arial"/>
    </w:rPr>
  </w:style>
  <w:style w:type="paragraph" w:customStyle="1" w:styleId="17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7">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8">
    <w:name w:val="样式 小四 加粗"/>
    <w:basedOn w:val="62"/>
    <w:qFormat/>
    <w:uiPriority w:val="0"/>
    <w:rPr>
      <w:rFonts w:eastAsia="黑体"/>
      <w:b/>
      <w:bCs/>
      <w:sz w:val="24"/>
    </w:rPr>
  </w:style>
  <w:style w:type="paragraph" w:customStyle="1" w:styleId="179">
    <w:name w:val="标题 3_0"/>
    <w:basedOn w:val="180"/>
    <w:next w:val="180"/>
    <w:qFormat/>
    <w:uiPriority w:val="0"/>
    <w:pPr>
      <w:keepNext/>
      <w:keepLines/>
      <w:spacing w:line="400" w:lineRule="exact"/>
      <w:ind w:firstLine="454"/>
      <w:outlineLvl w:val="2"/>
    </w:pPr>
    <w:rPr>
      <w:b/>
      <w:sz w:val="24"/>
      <w:szCs w:val="20"/>
    </w:rPr>
  </w:style>
  <w:style w:type="paragraph" w:customStyle="1" w:styleId="18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2">
    <w:name w:val="Body text|1"/>
    <w:basedOn w:val="1"/>
    <w:qFormat/>
    <w:uiPriority w:val="0"/>
    <w:pPr>
      <w:spacing w:line="420" w:lineRule="auto"/>
      <w:ind w:firstLine="400"/>
    </w:pPr>
    <w:rPr>
      <w:rFonts w:ascii="宋体" w:hAnsi="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4A614-EE01-4C42-A571-40E9AF0D82C4}">
  <ds:schemaRefs/>
</ds:datastoreItem>
</file>

<file path=customXml/itemProps3.xml><?xml version="1.0" encoding="utf-8"?>
<ds:datastoreItem xmlns:ds="http://schemas.openxmlformats.org/officeDocument/2006/customXml" ds:itemID="{7733686C-E29F-4061-A108-A2E5C753119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23047</Words>
  <Characters>23654</Characters>
  <Lines>163</Lines>
  <Paragraphs>46</Paragraphs>
  <TotalTime>0</TotalTime>
  <ScaleCrop>false</ScaleCrop>
  <LinksUpToDate>false</LinksUpToDate>
  <CharactersWithSpaces>24436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2023-01-02T01:23:00Z</dcterms:created>
  <dc:creator>gt2017020601</dc:creator>
  <cp:lastModifiedBy>柠了个檬</cp:lastModifiedBy>
  <cp:lastPrinted>2021-10-08T02:43:00Z</cp:lastPrinted>
  <dcterms:modified xsi:type="dcterms:W3CDTF">2023-01-10T08:04:01Z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5A065C4639CD4BAA9C3D289B1C8541B1</vt:lpwstr>
  </property>
  <property fmtid="{D5CDD505-2E9C-101B-9397-08002B2CF9AE}" pid="4" name="UFIDA_U9App_DataSourceXMLPart">
    <vt:lpwstr>{7733686C-E29F-4061-A108-A2E5C7531192}</vt:lpwstr>
  </property>
</Properties>
</file>