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default" w:asciiTheme="majorEastAsia" w:hAnsiTheme="majorEastAsia" w:eastAsiaTheme="majorEastAsia" w:cstheme="minorEastAsia"/>
          <w:highlight w:val="none"/>
          <w:lang w:val="en-US" w:eastAsia="zh-CN"/>
        </w:rPr>
      </w:pPr>
    </w:p>
    <w:p>
      <w:pPr>
        <w:pStyle w:val="58"/>
        <w:tabs>
          <w:tab w:val="left" w:pos="420"/>
        </w:tabs>
        <w:spacing w:before="120"/>
        <w:ind w:firstLine="210"/>
        <w:rPr>
          <w:highlight w:val="none"/>
        </w:rPr>
      </w:pPr>
    </w:p>
    <w:p>
      <w:pPr>
        <w:tabs>
          <w:tab w:val="left" w:pos="1050"/>
          <w:tab w:val="right" w:leader="dot" w:pos="9402"/>
        </w:tabs>
        <w:spacing w:after="190" w:afterLines="50"/>
        <w:jc w:val="center"/>
        <w:rPr>
          <w:rFonts w:asciiTheme="majorEastAsia" w:hAnsiTheme="majorEastAsia" w:eastAsiaTheme="majorEastAsia" w:cstheme="majorEastAsia"/>
          <w:b/>
          <w:bCs/>
          <w:sz w:val="56"/>
          <w:szCs w:val="56"/>
          <w:highlight w:val="none"/>
        </w:rPr>
      </w:pPr>
      <w:r>
        <w:rPr>
          <w:rFonts w:hint="eastAsia" w:asciiTheme="majorEastAsia" w:hAnsiTheme="majorEastAsia" w:eastAsiaTheme="majorEastAsia" w:cstheme="majorEastAsia"/>
          <w:b/>
          <w:bCs/>
          <w:sz w:val="56"/>
          <w:szCs w:val="56"/>
          <w:highlight w:val="none"/>
          <w:lang w:eastAsia="zh-CN"/>
        </w:rPr>
        <w:t>南通市妇幼保健院江苏省医疗服务监管平台数据上传服务</w:t>
      </w:r>
      <w:r>
        <w:rPr>
          <w:rFonts w:hint="eastAsia" w:asciiTheme="majorEastAsia" w:hAnsiTheme="majorEastAsia" w:eastAsiaTheme="majorEastAsia" w:cstheme="majorEastAsia"/>
          <w:b/>
          <w:bCs/>
          <w:sz w:val="56"/>
          <w:szCs w:val="56"/>
          <w:highlight w:val="none"/>
        </w:rPr>
        <w:t>采购项目</w:t>
      </w:r>
    </w:p>
    <w:p>
      <w:pPr>
        <w:tabs>
          <w:tab w:val="left" w:pos="1050"/>
          <w:tab w:val="right" w:leader="dot" w:pos="9402"/>
        </w:tabs>
        <w:spacing w:line="1600" w:lineRule="exact"/>
        <w:jc w:val="center"/>
        <w:rPr>
          <w:rFonts w:ascii="方正小标宋简体" w:hAnsi="Calibri" w:eastAsia="方正小标宋简体"/>
          <w:sz w:val="56"/>
          <w:szCs w:val="56"/>
          <w:highlight w:val="none"/>
        </w:rPr>
      </w:pPr>
      <w:r>
        <w:rPr>
          <w:rFonts w:hint="eastAsia" w:ascii="方正小标宋简体" w:hAnsi="宋体" w:eastAsia="方正小标宋简体" w:cs="方正小标宋简体"/>
          <w:sz w:val="56"/>
          <w:szCs w:val="56"/>
          <w:highlight w:val="none"/>
        </w:rPr>
        <w:t>竞争性磋商文件</w:t>
      </w:r>
    </w:p>
    <w:p>
      <w:pPr>
        <w:tabs>
          <w:tab w:val="left" w:pos="1050"/>
          <w:tab w:val="right" w:leader="dot" w:pos="9402"/>
        </w:tabs>
        <w:spacing w:line="520" w:lineRule="exact"/>
        <w:jc w:val="center"/>
        <w:rPr>
          <w:rFonts w:ascii="宋体" w:hAnsi="宋体" w:eastAsia="宋体" w:cs="宋体"/>
          <w:sz w:val="36"/>
          <w:szCs w:val="36"/>
          <w:highlight w:val="none"/>
        </w:rPr>
      </w:pPr>
      <w:r>
        <w:rPr>
          <w:rFonts w:hint="eastAsia" w:ascii="宋体" w:hAnsi="宋体" w:eastAsia="宋体" w:cs="宋体"/>
          <w:sz w:val="36"/>
          <w:szCs w:val="36"/>
          <w:highlight w:val="none"/>
        </w:rPr>
        <w:t>（资格后审）</w:t>
      </w:r>
    </w:p>
    <w:p>
      <w:pPr>
        <w:pStyle w:val="77"/>
        <w:rPr>
          <w:highlight w:val="none"/>
        </w:rPr>
      </w:pPr>
    </w:p>
    <w:p>
      <w:pPr>
        <w:snapToGrid w:val="0"/>
        <w:spacing w:line="360" w:lineRule="auto"/>
        <w:jc w:val="center"/>
        <w:rPr>
          <w:rFonts w:ascii="宋体" w:hAnsi="宋体" w:eastAsia="宋体" w:cs="宋体"/>
          <w:kern w:val="0"/>
          <w:sz w:val="32"/>
          <w:szCs w:val="32"/>
          <w:highlight w:val="none"/>
        </w:rPr>
      </w:pPr>
      <w:r>
        <w:rPr>
          <w:rFonts w:hint="eastAsia" w:ascii="宋体" w:hAnsi="宋体" w:eastAsia="宋体" w:cs="宋体"/>
          <w:kern w:val="0"/>
          <w:sz w:val="32"/>
          <w:szCs w:val="32"/>
          <w:highlight w:val="none"/>
        </w:rPr>
        <w:t>项目编号：2022XXCS004</w:t>
      </w: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pStyle w:val="58"/>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highlight w:val="none"/>
        </w:rPr>
      </w:pPr>
      <w:r>
        <w:rPr>
          <w:rFonts w:hint="eastAsia" w:ascii="宋体" w:hAnsi="宋体" w:eastAsia="宋体" w:cs="宋体"/>
          <w:kern w:val="0"/>
          <w:sz w:val="32"/>
          <w:szCs w:val="32"/>
          <w:highlight w:val="none"/>
        </w:rPr>
        <w:t>采购代理机构：江苏海审工程咨询有限公司</w:t>
      </w:r>
    </w:p>
    <w:p>
      <w:pPr>
        <w:snapToGrid w:val="0"/>
        <w:spacing w:line="360" w:lineRule="auto"/>
        <w:jc w:val="center"/>
        <w:rPr>
          <w:rFonts w:ascii="宋体" w:hAnsi="宋体" w:eastAsia="宋体"/>
          <w:b/>
          <w:bCs/>
          <w:w w:val="80"/>
          <w:sz w:val="44"/>
          <w:szCs w:val="44"/>
          <w:highlight w:val="none"/>
        </w:rPr>
      </w:pPr>
      <w:r>
        <w:rPr>
          <w:rFonts w:hint="eastAsia" w:ascii="宋体" w:hAnsi="宋体" w:eastAsia="宋体" w:cs="宋体"/>
          <w:kern w:val="0"/>
          <w:sz w:val="32"/>
          <w:szCs w:val="32"/>
          <w:highlight w:val="none"/>
        </w:rPr>
        <w:t>二〇二二年</w:t>
      </w:r>
      <w:r>
        <w:rPr>
          <w:rFonts w:hint="eastAsia" w:ascii="宋体" w:hAnsi="宋体" w:eastAsia="宋体" w:cs="宋体"/>
          <w:kern w:val="0"/>
          <w:sz w:val="32"/>
          <w:szCs w:val="32"/>
          <w:highlight w:val="none"/>
          <w:lang w:val="en-US" w:eastAsia="zh-CN"/>
        </w:rPr>
        <w:t>十一</w:t>
      </w:r>
      <w:r>
        <w:rPr>
          <w:rFonts w:hint="eastAsia" w:ascii="宋体" w:hAnsi="宋体" w:eastAsia="宋体" w:cs="宋体"/>
          <w:kern w:val="0"/>
          <w:sz w:val="32"/>
          <w:szCs w:val="32"/>
          <w:highlight w:val="none"/>
        </w:rPr>
        <w:t>月</w:t>
      </w:r>
      <w:r>
        <w:rPr>
          <w:rFonts w:hint="default" w:ascii="宋体" w:hAnsi="宋体" w:eastAsia="宋体" w:cs="宋体"/>
          <w:kern w:val="0"/>
          <w:sz w:val="32"/>
          <w:szCs w:val="32"/>
          <w:highlight w:val="none"/>
          <w:lang w:val="en-US"/>
        </w:rPr>
        <mc:AlternateContent>
          <mc:Choice Requires="wps">
            <w:drawing>
              <wp:anchor distT="0" distB="0" distL="114300" distR="114300" simplePos="0" relativeHeight="251660288" behindDoc="0" locked="0" layoutInCell="1" allowOverlap="1">
                <wp:simplePos x="0" y="0"/>
                <wp:positionH relativeFrom="column">
                  <wp:posOffset>2471420</wp:posOffset>
                </wp:positionH>
                <wp:positionV relativeFrom="paragraph">
                  <wp:posOffset>514985</wp:posOffset>
                </wp:positionV>
                <wp:extent cx="809625" cy="482600"/>
                <wp:effectExtent l="0" t="0" r="9525" b="12700"/>
                <wp:wrapNone/>
                <wp:docPr id="3" name="文本框 3"/>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pPr>
                              <w:pStyle w:val="58"/>
                              <w:tabs>
                                <w:tab w:val="left" w:pos="420"/>
                              </w:tabs>
                              <w:spacing w:before="120"/>
                              <w:ind w:firstLine="210"/>
                            </w:pPr>
                          </w:p>
                        </w:txbxContent>
                      </wps:txbx>
                      <wps:bodyPr upright="1"/>
                    </wps:wsp>
                  </a:graphicData>
                </a:graphic>
              </wp:anchor>
            </w:drawing>
          </mc:Choice>
          <mc:Fallback>
            <w:pict>
              <v:shape id="_x0000_s1026" o:spid="_x0000_s1026" o:spt="202" type="#_x0000_t202" style="position:absolute;left:0pt;margin-left:194.6pt;margin-top:40.55pt;height:38pt;width:63.75pt;z-index:251660288;mso-width-relative:page;mso-height-relative:page;" fillcolor="#FFFFFF" filled="t"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4F7l2AAA&#10;AAoBAAAPAAAAAAAAAAEAIAAAACIAAABkcnMvZG93bnJldi54bWxQSwECFAAUAAAACACHTuJAP/Ml&#10;0qwBAAA2AwAADgAAAAAAAAABACAAAAAnAQAAZHJzL2Uyb0RvYy54bWxQSwUGAAAAAAYABgBZAQAA&#10;RQUAAAAA&#10;">
                <v:fill on="t" focussize="0,0"/>
                <v:stroke on="f"/>
                <v:imagedata o:title=""/>
                <o:lock v:ext="edit" aspectratio="f"/>
                <v:textbox>
                  <w:txbxContent>
                    <w:p>
                      <w:pPr>
                        <w:pStyle w:val="58"/>
                        <w:tabs>
                          <w:tab w:val="left" w:pos="420"/>
                        </w:tabs>
                        <w:spacing w:before="120"/>
                        <w:ind w:firstLine="210"/>
                      </w:pPr>
                    </w:p>
                  </w:txbxContent>
                </v:textbox>
              </v:shape>
            </w:pict>
          </mc:Fallback>
        </mc:AlternateContent>
      </w:r>
      <w:r>
        <w:rPr>
          <w:rFonts w:hint="default" w:ascii="宋体" w:hAnsi="宋体" w:eastAsia="宋体" w:cs="宋体"/>
          <w:kern w:val="0"/>
          <w:sz w:val="32"/>
          <w:szCs w:val="32"/>
          <w:highlight w:val="none"/>
          <w:lang w:val="en-US"/>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9321800</wp:posOffset>
                </wp:positionV>
                <wp:extent cx="809625" cy="482600"/>
                <wp:effectExtent l="0" t="0" r="9525" b="12700"/>
                <wp:wrapNone/>
                <wp:docPr id="1" name="文本框 1"/>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203.6pt;margin-top:734pt;height:38pt;width:63.75pt;z-index:251661312;mso-width-relative:page;mso-height-relative:page;" fillcolor="#FFFFFF" filled="t"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Dd6BtkAAAAN&#10;AQAADwAAAAAAAAABACAAAAAiAAAAZHJzL2Rvd25yZXYueG1sUEsBAhQAFAAAAAgAh07iQG+6EiCp&#10;AQAANgMAAA4AAAAAAAAAAQAgAAAAKAEAAGRycy9lMm9Eb2MueG1sUEsFBgAAAAAGAAYAWQEAAEMF&#10;AAAAAA==&#10;">
                <v:fill on="t" focussize="0,0"/>
                <v:stroke on="f"/>
                <v:imagedata o:title=""/>
                <o:lock v:ext="edit" aspectratio="f"/>
                <v:textbox>
                  <w:txbxContent>
                    <w:p/>
                  </w:txbxContent>
                </v:textbox>
              </v:shape>
            </w:pict>
          </mc:Fallback>
        </mc:AlternateContent>
      </w:r>
      <w:r>
        <w:rPr>
          <w:rFonts w:hint="eastAsia" w:ascii="宋体" w:hAnsi="宋体" w:eastAsia="宋体" w:cs="宋体"/>
          <w:kern w:val="0"/>
          <w:sz w:val="32"/>
          <w:szCs w:val="32"/>
          <w:highlight w:val="none"/>
          <w:lang w:val="en-US" w:eastAsia="zh-CN"/>
        </w:rPr>
        <w:t>七</w:t>
      </w:r>
      <w:r>
        <w:rPr>
          <w:rFonts w:hint="eastAsia" w:ascii="宋体" w:hAnsi="宋体" w:eastAsia="宋体" w:cs="宋体"/>
          <w:kern w:val="0"/>
          <w:sz w:val="32"/>
          <w:szCs w:val="32"/>
          <w:highlight w:val="none"/>
        </w:rPr>
        <w:t>日</w: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pPr>
        <w:sectPr>
          <w:headerReference r:id="rId4" w:type="first"/>
          <w:footerReference r:id="rId6" w:type="first"/>
          <w:headerReference r:id="rId3" w:type="default"/>
          <w:footerReference r:id="rId5" w:type="default"/>
          <w:pgSz w:w="11906" w:h="16838"/>
          <w:pgMar w:top="1418" w:right="851" w:bottom="709" w:left="1418" w:header="851" w:footer="449" w:gutter="0"/>
          <w:pgBorders>
            <w:top w:val="none" w:sz="0" w:space="0"/>
            <w:left w:val="none" w:sz="0" w:space="0"/>
            <w:bottom w:val="none" w:sz="0" w:space="0"/>
            <w:right w:val="none" w:sz="0" w:space="0"/>
          </w:pgBorders>
          <w:pgNumType w:fmt="decimal" w:start="1"/>
          <w:cols w:space="720" w:num="1"/>
          <w:docGrid w:type="lines" w:linePitch="380" w:charSpace="-5735"/>
        </w:sectPr>
      </w:pPr>
    </w:p>
    <w:p>
      <w:pPr>
        <w:pStyle w:val="77"/>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9"/>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9"/>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418" w:right="851" w:bottom="709" w:left="1418" w:header="851" w:footer="449" w:gutter="0"/>
          <w:pgBorders>
            <w:top w:val="none" w:sz="0" w:space="0"/>
            <w:left w:val="none" w:sz="0" w:space="0"/>
            <w:bottom w:val="none" w:sz="0" w:space="0"/>
            <w:right w:val="none" w:sz="0" w:space="0"/>
          </w:pgBorders>
          <w:pgNumType w:fmt="decimal"/>
          <w:cols w:space="720" w:num="1"/>
          <w:docGrid w:type="lines" w:linePitch="380" w:charSpace="-5735"/>
        </w:sect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尊敬的投标供应商（以下称供应商或投标人）：</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江苏海审工程咨询有限公司（以下称代理机构）受南通市妇幼保健院（以下称采购单位）的委托，就</w:t>
      </w:r>
      <w:r>
        <w:rPr>
          <w:rFonts w:hint="eastAsia" w:cs="宋体" w:asciiTheme="majorEastAsia" w:hAnsiTheme="majorEastAsia" w:eastAsiaTheme="majorEastAsia"/>
          <w:sz w:val="24"/>
          <w:szCs w:val="24"/>
          <w:lang w:eastAsia="zh-CN"/>
        </w:rPr>
        <w:t>南通市妇幼保健院江苏省医疗服务监管平台数据上传服务采购项目</w:t>
      </w:r>
      <w:r>
        <w:rPr>
          <w:rFonts w:hint="eastAsia" w:cs="宋体" w:asciiTheme="majorEastAsia" w:hAnsiTheme="majorEastAsia" w:eastAsiaTheme="majorEastAsia"/>
          <w:sz w:val="24"/>
          <w:szCs w:val="24"/>
        </w:rPr>
        <w:t>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rPr>
        <w:t>项</w:t>
      </w:r>
      <w:r>
        <w:rPr>
          <w:rFonts w:hint="eastAsia" w:cs="宋体" w:asciiTheme="majorEastAsia" w:hAnsiTheme="majorEastAsia" w:eastAsiaTheme="majorEastAsia"/>
          <w:sz w:val="24"/>
          <w:szCs w:val="24"/>
          <w:highlight w:val="none"/>
        </w:rPr>
        <w:t>目名称：</w:t>
      </w:r>
      <w:r>
        <w:rPr>
          <w:rFonts w:hint="eastAsia" w:cs="宋体" w:asciiTheme="majorEastAsia" w:hAnsiTheme="majorEastAsia" w:eastAsiaTheme="majorEastAsia"/>
          <w:sz w:val="24"/>
          <w:szCs w:val="24"/>
          <w:highlight w:val="none"/>
          <w:lang w:eastAsia="zh-CN"/>
        </w:rPr>
        <w:t>南通市妇幼保健院江苏省医疗服务监管平台数据上传服务采购项目</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项目编号：2022XXCS004；</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采购方式：竞争性磋商</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项目预算：</w:t>
      </w:r>
      <w:bookmarkStart w:id="2" w:name="_Hlk71055035"/>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rPr>
        <w:t>万元</w:t>
      </w:r>
      <w:bookmarkEnd w:id="2"/>
      <w:r>
        <w:rPr>
          <w:rFonts w:hint="eastAsia" w:cs="宋体" w:asciiTheme="majorEastAsia" w:hAnsiTheme="majorEastAsia" w:eastAsiaTheme="majorEastAsia"/>
          <w:sz w:val="24"/>
          <w:szCs w:val="24"/>
          <w:highlight w:val="none"/>
          <w:lang w:val="en-US" w:eastAsia="zh-CN"/>
        </w:rPr>
        <w:t>一年</w:t>
      </w:r>
      <w:r>
        <w:rPr>
          <w:rFonts w:hint="eastAsia" w:cs="宋体" w:asciiTheme="majorEastAsia" w:hAnsiTheme="majorEastAsia" w:eastAsiaTheme="majorEastAsia"/>
          <w:sz w:val="24"/>
          <w:szCs w:val="24"/>
          <w:highlight w:val="none"/>
        </w:rPr>
        <w:t>，投标报价超过采购预算的为无效响应文件。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项目需求：详见磋商文件第三章；</w:t>
      </w:r>
    </w:p>
    <w:p>
      <w:pPr>
        <w:widowControl/>
        <w:numPr>
          <w:ilvl w:val="0"/>
          <w:numId w:val="2"/>
        </w:numPr>
        <w:snapToGrid w:val="0"/>
        <w:spacing w:line="440" w:lineRule="exact"/>
        <w:ind w:firstLine="482" w:firstLineChars="200"/>
        <w:jc w:val="left"/>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highlight w:val="none"/>
        </w:rPr>
        <w:t>潜在供应商资格</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highlight w:val="none"/>
        </w:rPr>
        <w:t>（一）谈判供应商资格要</w:t>
      </w:r>
      <w:r>
        <w:rPr>
          <w:rFonts w:hint="eastAsia" w:cs="宋体" w:asciiTheme="majorEastAsia" w:hAnsiTheme="majorEastAsia" w:eastAsiaTheme="majorEastAsia"/>
          <w:b/>
          <w:bCs/>
          <w:sz w:val="24"/>
          <w:szCs w:val="24"/>
        </w:rPr>
        <w:t>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1、具有独立承担民事责任的能力（法人或者其他组织的营业执照等证明文件，自然人的身份证明）；</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2、具有良好的商业信誉和健全的财务会计制度（提供2021年度</w:t>
      </w:r>
      <w:r>
        <w:rPr>
          <w:rFonts w:hint="eastAsia" w:cs="宋体" w:asciiTheme="majorEastAsia" w:hAnsiTheme="majorEastAsia" w:eastAsiaTheme="majorEastAsia"/>
          <w:sz w:val="24"/>
          <w:szCs w:val="24"/>
          <w:lang w:val="en-US" w:eastAsia="zh-CN"/>
        </w:rPr>
        <w:t>有效</w:t>
      </w:r>
      <w:r>
        <w:rPr>
          <w:rFonts w:hint="eastAsia" w:cs="宋体" w:asciiTheme="majorEastAsia" w:hAnsiTheme="majorEastAsia" w:eastAsiaTheme="majorEastAsia"/>
          <w:sz w:val="24"/>
          <w:szCs w:val="24"/>
        </w:rPr>
        <w:t>的财务状况报告（成立不满一年不需提供））；</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3、具有依法缴纳税收和社会保障资金的良好记录（提供2021年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月1日以来任意1个月的依法缴纳税收和社会保障资金的相关材料）；</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4、具有履行合同所必需的设备和专业技术能力（格式见第七章）；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5、提供参与本次项目采购活动前三年内在经营活动中没有重大违法记录的书面《无重大违法记录声明函》（格式见第七章）；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7、本项目不接受联合体投标，中标后不得分包、转包。</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（二）本项目的特定资格要求：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pPr>
        <w:widowControl/>
        <w:snapToGrid w:val="0"/>
        <w:spacing w:line="440" w:lineRule="exact"/>
        <w:ind w:firstLine="472" w:firstLineChars="196"/>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（三）拒绝以下投标人参与投标：</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投标人之间存在下列互为关联关系的情形之一的，不得同时参加本项目采购：</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(1)单位负责人为同一人或者存在直接控股、管理关系的不同投标人；</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(2)为采购项目提供整体设计、规范编制或者项目管理、监理、检测等服务的投标人；</w:t>
      </w:r>
    </w:p>
    <w:p>
      <w:pPr>
        <w:widowControl/>
        <w:wordWrap w:val="0"/>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被“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具体资格要求详见第七章“资格审查文件”。</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投标人认真对照资格条件，如不符合要求的，无意或故意参与投标所产生的一切后果由投标人自行承担；开标过程中，投标人提供的相关证件为虚假或伪造，或者其他人员持法定代表人或被授权人的身份证参与投标，一经发现则取消投标人资格，如已成交，采购人有权取消其成交资格，并由该投标人承担由此带来可能的一切责任和损失。</w:t>
      </w:r>
    </w:p>
    <w:p>
      <w:pPr>
        <w:widowControl/>
        <w:snapToGrid w:val="0"/>
        <w:spacing w:line="440" w:lineRule="exact"/>
        <w:ind w:firstLine="472" w:firstLineChars="196"/>
        <w:jc w:val="left"/>
        <w:rPr>
          <w:rFonts w:hint="eastAsia" w:cs="宋体" w:asciiTheme="majorEastAsia" w:hAnsiTheme="majorEastAsia" w:eastAsiaTheme="majorEastAsia"/>
          <w:b/>
          <w:sz w:val="24"/>
          <w:szCs w:val="24"/>
        </w:rPr>
      </w:pPr>
      <w:r>
        <w:rPr>
          <w:rFonts w:hint="eastAsia" w:cs="宋体" w:asciiTheme="majorEastAsia" w:hAnsiTheme="majorEastAsia" w:eastAsiaTheme="majorEastAsia"/>
          <w:b/>
          <w:sz w:val="24"/>
          <w:szCs w:val="24"/>
        </w:rPr>
        <w:t>【特别提醒】单位负责人为同一人或者存在直接控股、管理关系的不同投标人，不得同时参与同一采购项目相同标段的政府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成交，采购人有权取消其成交资格，并由该投标人承担由此带来的一切责任和损失。</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南通市卫生健康委员会官网（http://wjw.nantong.gov.cn/）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1、截止</w:t>
      </w:r>
      <w:r>
        <w:rPr>
          <w:rFonts w:hint="eastAsia" w:cs="宋体" w:asciiTheme="majorEastAsia" w:hAnsiTheme="majorEastAsia" w:eastAsiaTheme="majorEastAsia"/>
          <w:color w:val="auto"/>
          <w:sz w:val="24"/>
          <w:szCs w:val="24"/>
          <w:highlight w:val="none"/>
        </w:rPr>
        <w:t>时间：</w:t>
      </w:r>
      <w:r>
        <w:rPr>
          <w:rFonts w:hint="eastAsia" w:cs="宋体" w:asciiTheme="majorEastAsia" w:hAnsiTheme="majorEastAsia" w:eastAsiaTheme="majorEastAsia"/>
          <w:b/>
          <w:color w:val="auto"/>
          <w:sz w:val="24"/>
          <w:szCs w:val="24"/>
          <w:highlight w:val="none"/>
          <w:u w:val="single"/>
        </w:rPr>
        <w:t>2022年</w:t>
      </w:r>
      <w:r>
        <w:rPr>
          <w:rFonts w:hint="eastAsia" w:cs="宋体" w:asciiTheme="majorEastAsia" w:hAnsiTheme="majorEastAsia" w:eastAsiaTheme="majorEastAsia"/>
          <w:b/>
          <w:color w:val="auto"/>
          <w:sz w:val="24"/>
          <w:szCs w:val="24"/>
          <w:highlight w:val="none"/>
          <w:u w:val="single"/>
          <w:lang w:val="en-US" w:eastAsia="zh-CN"/>
        </w:rPr>
        <w:t>11</w:t>
      </w:r>
      <w:r>
        <w:rPr>
          <w:rFonts w:hint="eastAsia" w:cs="宋体" w:asciiTheme="majorEastAsia" w:hAnsiTheme="majorEastAsia" w:eastAsiaTheme="majorEastAsia"/>
          <w:b/>
          <w:color w:val="auto"/>
          <w:sz w:val="24"/>
          <w:szCs w:val="24"/>
          <w:highlight w:val="none"/>
          <w:u w:val="single"/>
        </w:rPr>
        <w:t>月</w:t>
      </w:r>
      <w:r>
        <w:rPr>
          <w:rFonts w:hint="eastAsia" w:cs="宋体" w:asciiTheme="majorEastAsia" w:hAnsiTheme="majorEastAsia" w:eastAsiaTheme="majorEastAsia"/>
          <w:b/>
          <w:color w:val="auto"/>
          <w:sz w:val="24"/>
          <w:szCs w:val="24"/>
          <w:highlight w:val="none"/>
          <w:u w:val="single"/>
          <w:lang w:val="en-US" w:eastAsia="zh-CN"/>
        </w:rPr>
        <w:t>18</w:t>
      </w:r>
      <w:r>
        <w:rPr>
          <w:rFonts w:hint="eastAsia" w:cs="宋体" w:asciiTheme="majorEastAsia" w:hAnsiTheme="majorEastAsia" w:eastAsiaTheme="majorEastAsia"/>
          <w:b/>
          <w:color w:val="auto"/>
          <w:sz w:val="24"/>
          <w:szCs w:val="24"/>
          <w:highlight w:val="none"/>
          <w:u w:val="single"/>
        </w:rPr>
        <w:t>日</w:t>
      </w:r>
      <w:r>
        <w:rPr>
          <w:rFonts w:hint="eastAsia" w:cs="宋体" w:asciiTheme="majorEastAsia" w:hAnsiTheme="majorEastAsia" w:eastAsiaTheme="majorEastAsia"/>
          <w:b/>
          <w:color w:val="auto"/>
          <w:sz w:val="24"/>
          <w:szCs w:val="24"/>
          <w:highlight w:val="none"/>
          <w:u w:val="single"/>
          <w:lang w:val="en-US" w:eastAsia="zh-CN"/>
        </w:rPr>
        <w:t>14</w:t>
      </w:r>
      <w:r>
        <w:rPr>
          <w:rFonts w:hint="eastAsia" w:cs="宋体" w:asciiTheme="majorEastAsia" w:hAnsiTheme="majorEastAsia" w:eastAsiaTheme="majorEastAsia"/>
          <w:b/>
          <w:color w:val="auto"/>
          <w:sz w:val="24"/>
          <w:szCs w:val="24"/>
          <w:highlight w:val="none"/>
          <w:u w:val="single"/>
        </w:rPr>
        <w:t>时</w:t>
      </w:r>
      <w:r>
        <w:rPr>
          <w:rFonts w:hint="eastAsia" w:cs="宋体" w:asciiTheme="majorEastAsia" w:hAnsiTheme="majorEastAsia" w:eastAsiaTheme="majorEastAsia"/>
          <w:b/>
          <w:color w:val="auto"/>
          <w:sz w:val="24"/>
          <w:szCs w:val="24"/>
          <w:highlight w:val="none"/>
          <w:u w:val="single"/>
          <w:lang w:val="en-US" w:eastAsia="zh-CN"/>
        </w:rPr>
        <w:t>30</w:t>
      </w:r>
      <w:r>
        <w:rPr>
          <w:rFonts w:hint="eastAsia" w:cs="宋体" w:asciiTheme="majorEastAsia" w:hAnsiTheme="majorEastAsia" w:eastAsiaTheme="majorEastAsia"/>
          <w:b/>
          <w:color w:val="auto"/>
          <w:sz w:val="24"/>
          <w:szCs w:val="24"/>
          <w:highlight w:val="none"/>
          <w:u w:val="single"/>
        </w:rPr>
        <w:t>分</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000000" w:themeColor="text1"/>
          <w:sz w:val="24"/>
          <w:szCs w:val="24"/>
          <w14:textFill>
            <w14:solidFill>
              <w14:schemeClr w14:val="tx1"/>
            </w14:solidFill>
          </w14:textFill>
        </w:rPr>
        <w:t>北京时间）。</w:t>
      </w:r>
    </w:p>
    <w:p>
      <w:pPr>
        <w:widowControl/>
        <w:snapToGrid w:val="0"/>
        <w:spacing w:line="440" w:lineRule="exact"/>
        <w:ind w:firstLine="480" w:firstLineChars="200"/>
        <w:jc w:val="left"/>
        <w:rPr>
          <w:rFonts w:cs="宋体" w:asciiTheme="majorEastAsia" w:hAnsiTheme="majorEastAsia" w:eastAsiaTheme="majorEastAsia"/>
          <w:bCs/>
          <w:sz w:val="24"/>
          <w:szCs w:val="24"/>
          <w:highlight w:val="none"/>
        </w:rPr>
      </w:pPr>
      <w:r>
        <w:rPr>
          <w:rFonts w:hint="eastAsia" w:cs="宋体" w:asciiTheme="majorEastAsia" w:hAnsiTheme="majorEastAsia" w:eastAsiaTheme="majorEastAsia"/>
          <w:sz w:val="24"/>
          <w:szCs w:val="24"/>
          <w:highlight w:val="none"/>
        </w:rPr>
        <w:t>2、地点：</w:t>
      </w:r>
      <w:r>
        <w:rPr>
          <w:rFonts w:hint="eastAsia" w:cs="宋体" w:asciiTheme="majorEastAsia" w:hAnsiTheme="majorEastAsia" w:eastAsiaTheme="majorEastAsia"/>
          <w:bCs/>
          <w:sz w:val="24"/>
          <w:szCs w:val="24"/>
          <w:highlight w:val="none"/>
        </w:rPr>
        <w:t>江苏海审工程咨询有限公司（</w:t>
      </w:r>
      <w:r>
        <w:rPr>
          <w:rFonts w:hint="eastAsia" w:cs="宋体" w:asciiTheme="majorEastAsia" w:hAnsiTheme="majorEastAsia" w:eastAsiaTheme="majorEastAsia"/>
          <w:sz w:val="24"/>
          <w:szCs w:val="24"/>
          <w:highlight w:val="none"/>
        </w:rPr>
        <w:t>南通市崇川区星城路299号（创源科技园3号楼501室开标室）</w:t>
      </w:r>
      <w:r>
        <w:rPr>
          <w:rFonts w:hint="eastAsia" w:cs="宋体" w:asciiTheme="majorEastAsia" w:hAnsiTheme="majorEastAsia" w:eastAsiaTheme="majorEastAsia"/>
          <w:bCs/>
          <w:sz w:val="24"/>
          <w:szCs w:val="24"/>
          <w:highlight w:val="none"/>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逾期送达或者未送达指定地点的响应文件，采购人不予受理。</w:t>
      </w:r>
    </w:p>
    <w:p>
      <w:pPr>
        <w:widowControl/>
        <w:snapToGrid w:val="0"/>
        <w:spacing w:line="440" w:lineRule="exact"/>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3、因目前仍属于新冠疫情防控阶段，故只允许每个供应商单位的1名人员（须为法人或被授权人）进入开标现场。请各供应商代表做好自身防护，全程配戴口罩，同时还须接受园区及开标现场工作人员的检查（包括但不限于信息登记、检查健康码、行程码、核酸检测证明等）。若健康码为黄码和红码，则一律不得进入开标现场。若开标当日，南通市防疫部门有最新规定且高于上述标准，则以开标当日南通市防疫部门的规定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1、时间：</w:t>
      </w:r>
      <w:r>
        <w:rPr>
          <w:rFonts w:hint="eastAsia" w:cs="宋体" w:asciiTheme="majorEastAsia" w:hAnsiTheme="majorEastAsia" w:eastAsiaTheme="majorEastAsia"/>
          <w:b/>
          <w:sz w:val="24"/>
          <w:szCs w:val="24"/>
          <w:u w:val="single"/>
        </w:rPr>
        <w:t>同响应文件提交截止时间</w:t>
      </w:r>
      <w:r>
        <w:rPr>
          <w:rFonts w:hint="eastAsia" w:cs="宋体" w:asciiTheme="majorEastAsia" w:hAnsiTheme="majorEastAsia" w:eastAsiaTheme="majorEastAsia"/>
          <w:bCs/>
          <w:sz w:val="24"/>
          <w:szCs w:val="24"/>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
          <w:sz w:val="24"/>
          <w:szCs w:val="24"/>
          <w:u w:val="single"/>
        </w:rPr>
        <w:t>同响应文件提交地点</w:t>
      </w:r>
      <w:r>
        <w:rPr>
          <w:rFonts w:hint="eastAsia" w:cs="宋体" w:asciiTheme="majorEastAsia" w:hAnsiTheme="majorEastAsia" w:eastAsiaTheme="majorEastAsia"/>
          <w:bCs/>
          <w:sz w:val="24"/>
          <w:szCs w:val="24"/>
        </w:rPr>
        <w:t>。</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名  称：南通市妇幼保健院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val="en-US" w:eastAsia="zh-CN"/>
        </w:rPr>
        <w:t>单女士</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 xml:space="preserve"> ：0513-59008062</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名  称：江苏海审工程咨询有限公司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highlight w:val="none"/>
        </w:rPr>
        <w:t>地  址：南通市崇川区星城</w:t>
      </w:r>
      <w:r>
        <w:rPr>
          <w:rFonts w:hint="eastAsia" w:cs="宋体" w:asciiTheme="majorEastAsia" w:hAnsiTheme="majorEastAsia" w:eastAsiaTheme="majorEastAsia"/>
          <w:sz w:val="24"/>
          <w:szCs w:val="24"/>
        </w:rPr>
        <w:t>路299号（创源科技园3号楼501室）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联系人：张倩</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联系电话：18205155828</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箱：834302239@qq.com</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w:t>
      </w:r>
      <w:r>
        <w:rPr>
          <w:rFonts w:hint="eastAsia" w:asciiTheme="majorEastAsia" w:hAnsiTheme="majorEastAsia" w:eastAsiaTheme="majorEastAsia" w:cstheme="minorEastAsia"/>
          <w:sz w:val="24"/>
          <w:szCs w:val="24"/>
          <w:lang w:val="en-US" w:eastAsia="zh-CN"/>
        </w:rPr>
        <w:t>标</w:t>
      </w:r>
      <w:r>
        <w:rPr>
          <w:rFonts w:hint="eastAsia" w:asciiTheme="majorEastAsia" w:hAnsiTheme="majorEastAsia" w:eastAsiaTheme="majorEastAsia" w:cstheme="minorEastAsia"/>
          <w:sz w:val="24"/>
          <w:szCs w:val="24"/>
        </w:rPr>
        <w:t>响应文件、③</w:t>
      </w:r>
      <w:r>
        <w:rPr>
          <w:rFonts w:hint="eastAsia" w:asciiTheme="majorEastAsia" w:hAnsiTheme="majorEastAsia" w:eastAsiaTheme="majorEastAsia" w:cstheme="minorEastAsia"/>
          <w:sz w:val="24"/>
          <w:szCs w:val="24"/>
          <w:lang w:val="en-US" w:eastAsia="zh-CN"/>
        </w:rPr>
        <w:t>商务标</w:t>
      </w:r>
      <w:r>
        <w:rPr>
          <w:rFonts w:hint="eastAsia" w:asciiTheme="majorEastAsia" w:hAnsiTheme="majorEastAsia" w:eastAsiaTheme="majorEastAsia" w:cstheme="minorEastAsia"/>
          <w:sz w:val="24"/>
          <w:szCs w:val="24"/>
        </w:rPr>
        <w:t>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w:t>
      </w:r>
      <w:r>
        <w:rPr>
          <w:rFonts w:hint="eastAsia" w:ascii="宋体" w:hAnsi="宋体" w:eastAsia="宋体" w:cs="宋体"/>
          <w:sz w:val="24"/>
          <w:szCs w:val="24"/>
          <w:u w:val="single"/>
        </w:rPr>
        <w:t>1200元</w:t>
      </w:r>
      <w:r>
        <w:rPr>
          <w:rFonts w:hint="eastAsia" w:ascii="宋体" w:hAnsi="宋体" w:eastAsia="宋体" w:cs="宋体"/>
          <w:sz w:val="24"/>
          <w:szCs w:val="24"/>
        </w:rPr>
        <w:t>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按照《中华人民共和国政府采购法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napToGrid w:val="0"/>
        <w:spacing w:line="360" w:lineRule="auto"/>
        <w:ind w:firstLine="482" w:firstLineChars="200"/>
        <w:rPr>
          <w:rFonts w:ascii="宋体" w:hAnsi="宋体" w:eastAsia="宋体"/>
          <w:sz w:val="24"/>
          <w:szCs w:val="24"/>
          <w:highlight w:val="none"/>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w:t>
      </w:r>
      <w:r>
        <w:rPr>
          <w:rFonts w:hint="eastAsia" w:ascii="宋体" w:hAnsi="宋体" w:eastAsia="宋体"/>
          <w:sz w:val="24"/>
          <w:szCs w:val="24"/>
          <w:highlight w:val="none"/>
        </w:rPr>
        <w:t>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和《商务响应正负偏离表》上明示，如不明示的视同完全响应。</w:t>
      </w:r>
    </w:p>
    <w:p>
      <w:pPr>
        <w:snapToGrid w:val="0"/>
        <w:spacing w:line="480" w:lineRule="exact"/>
        <w:ind w:firstLine="463" w:firstLineChars="192"/>
        <w:rPr>
          <w:rFonts w:hint="eastAsia" w:ascii="宋体" w:hAnsi="宋体" w:eastAsia="宋体" w:cs="宋体"/>
          <w:b/>
          <w:bCs/>
          <w:color w:val="000000"/>
          <w:sz w:val="24"/>
          <w:szCs w:val="24"/>
          <w:highlight w:val="none"/>
          <w:lang w:val="en-US" w:eastAsia="zh-Hans"/>
        </w:rPr>
      </w:pPr>
      <w:bookmarkStart w:id="5" w:name="_Toc312757557"/>
      <w:bookmarkStart w:id="6" w:name="_Toc332043546"/>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lang w:val="en-US" w:eastAsia="zh-Hans"/>
        </w:rPr>
        <w:t>项目建设背景</w:t>
      </w:r>
    </w:p>
    <w:p>
      <w:pPr>
        <w:snapToGrid w:val="0"/>
        <w:spacing w:line="360" w:lineRule="auto"/>
        <w:ind w:firstLine="480" w:firstLineChars="200"/>
        <w:rPr>
          <w:rFonts w:hint="eastAsia" w:ascii="宋体" w:hAnsi="宋体" w:eastAsia="宋体"/>
          <w:sz w:val="24"/>
          <w:szCs w:val="24"/>
          <w:highlight w:val="none"/>
          <w:lang w:eastAsia="zh-Hans"/>
        </w:rPr>
      </w:pPr>
      <w:r>
        <w:rPr>
          <w:rFonts w:hint="eastAsia" w:ascii="宋体" w:hAnsi="宋体" w:eastAsia="宋体"/>
          <w:sz w:val="24"/>
          <w:szCs w:val="24"/>
          <w:highlight w:val="none"/>
          <w:lang w:eastAsia="zh-Hans"/>
        </w:rPr>
        <w:t>2021年4月江苏省卫健委发函表示各家医院需进一步做好省医疗服务综合监管系统与医院的对接工作</w:t>
      </w:r>
      <w:r>
        <w:rPr>
          <w:rFonts w:hint="eastAsia" w:ascii="宋体" w:hAnsi="宋体" w:eastAsia="宋体"/>
          <w:sz w:val="24"/>
          <w:szCs w:val="24"/>
          <w:highlight w:val="none"/>
        </w:rPr>
        <w:t>,提出现有</w:t>
      </w:r>
      <w:r>
        <w:rPr>
          <w:rFonts w:hint="eastAsia" w:ascii="宋体" w:hAnsi="宋体" w:eastAsia="宋体"/>
          <w:sz w:val="24"/>
          <w:szCs w:val="24"/>
          <w:highlight w:val="none"/>
          <w:lang w:eastAsia="zh-Hans"/>
        </w:rPr>
        <w:t>部分医院存在表关联错误、数据非标准化、业务数据项为空值、数据漏传等问题，导致数据分析结果出现较大的偏差，严重影响了医院评审、临床重点专科评审、公立医院绩效考核等成绩。</w:t>
      </w:r>
      <w:r>
        <w:rPr>
          <w:rFonts w:hint="eastAsia" w:ascii="宋体" w:hAnsi="宋体" w:eastAsia="宋体"/>
          <w:sz w:val="24"/>
          <w:szCs w:val="24"/>
          <w:highlight w:val="none"/>
        </w:rPr>
        <w:t>明确要求</w:t>
      </w:r>
      <w:r>
        <w:rPr>
          <w:rFonts w:hint="eastAsia" w:ascii="宋体" w:hAnsi="宋体" w:eastAsia="宋体"/>
          <w:sz w:val="24"/>
          <w:szCs w:val="24"/>
          <w:highlight w:val="none"/>
          <w:lang w:eastAsia="zh-Hans"/>
        </w:rPr>
        <w:t>全省已接入省监管平台的医院</w:t>
      </w:r>
      <w:r>
        <w:rPr>
          <w:rFonts w:hint="eastAsia" w:ascii="宋体" w:hAnsi="宋体" w:eastAsia="宋体"/>
          <w:sz w:val="24"/>
          <w:szCs w:val="24"/>
          <w:highlight w:val="none"/>
        </w:rPr>
        <w:t>，</w:t>
      </w:r>
      <w:r>
        <w:rPr>
          <w:rFonts w:hint="eastAsia" w:ascii="宋体" w:hAnsi="宋体" w:eastAsia="宋体"/>
          <w:sz w:val="24"/>
          <w:szCs w:val="24"/>
          <w:highlight w:val="none"/>
          <w:lang w:eastAsia="zh-Hans"/>
        </w:rPr>
        <w:t>重新梳理上传数据，如上传数据存在上述的问题需要进行上传数据整改，提升数据质量后再重新上传。</w:t>
      </w:r>
    </w:p>
    <w:p>
      <w:pPr>
        <w:snapToGrid w:val="0"/>
        <w:spacing w:line="480" w:lineRule="exact"/>
        <w:ind w:firstLine="460" w:firstLineChars="192"/>
        <w:rPr>
          <w:rFonts w:hint="eastAsia" w:ascii="宋体" w:hAnsi="宋体" w:eastAsia="宋体"/>
          <w:sz w:val="24"/>
          <w:szCs w:val="24"/>
          <w:highlight w:val="none"/>
          <w:lang w:val="en-US" w:eastAsia="zh-Hans"/>
        </w:rPr>
      </w:pPr>
      <w:r>
        <w:rPr>
          <w:rFonts w:hint="eastAsia" w:ascii="宋体" w:hAnsi="宋体" w:eastAsia="宋体"/>
          <w:sz w:val="24"/>
          <w:szCs w:val="24"/>
          <w:highlight w:val="none"/>
          <w:lang w:eastAsia="zh-Hans"/>
        </w:rPr>
        <w:t>同时江苏省卫健委医政医管处于2022年8月下达的通知表明，已对接省医疗服务综合监管系统的三级西医医院需要按照最新标准重新上传2022年1月至今所有数据表。2019年1月至2021年12月上传数据自查有问题的，可以申请重新上传，重传后的数据将进行新一轮质控，如病案首页年度错误率&gt;15%、主从表关联问题&gt;2个，非标准化问</w:t>
      </w:r>
      <w:r>
        <w:rPr>
          <w:rFonts w:hint="eastAsia" w:ascii="宋体" w:hAnsi="宋体" w:eastAsia="宋体"/>
          <w:sz w:val="24"/>
          <w:szCs w:val="24"/>
          <w:highlight w:val="none"/>
          <w:lang w:val="en-US" w:eastAsia="zh-Hans"/>
        </w:rPr>
        <w:t>题&gt;10个视为质量严重不合格，不予医院评审评价和临床重点专科评审申请。</w:t>
      </w:r>
    </w:p>
    <w:p>
      <w:pPr>
        <w:snapToGrid w:val="0"/>
        <w:spacing w:line="480" w:lineRule="exact"/>
        <w:ind w:firstLine="463" w:firstLineChars="19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二、采购内容</w:t>
      </w:r>
    </w:p>
    <w:p>
      <w:pPr>
        <w:snapToGrid w:val="0"/>
        <w:spacing w:line="360" w:lineRule="auto"/>
        <w:ind w:firstLine="480" w:firstLineChars="200"/>
        <w:rPr>
          <w:rFonts w:hint="eastAsia" w:ascii="宋体" w:hAnsi="宋体" w:eastAsia="宋体"/>
          <w:sz w:val="24"/>
          <w:szCs w:val="24"/>
          <w:highlight w:val="none"/>
          <w:lang w:eastAsia="zh-Hans"/>
        </w:rPr>
      </w:pPr>
      <w:r>
        <w:rPr>
          <w:rFonts w:hint="eastAsia" w:ascii="宋体" w:hAnsi="宋体" w:eastAsia="宋体"/>
          <w:sz w:val="24"/>
          <w:szCs w:val="24"/>
          <w:highlight w:val="none"/>
          <w:lang w:eastAsia="zh-Hans"/>
        </w:rPr>
        <w:t>江苏省医疗服务监管系统对接服务项目。</w:t>
      </w:r>
    </w:p>
    <w:p>
      <w:pPr>
        <w:snapToGrid w:val="0"/>
        <w:spacing w:line="360" w:lineRule="auto"/>
        <w:ind w:firstLine="480" w:firstLineChars="200"/>
        <w:rPr>
          <w:rFonts w:hint="eastAsia" w:ascii="宋体" w:hAnsi="宋体" w:eastAsia="宋体"/>
          <w:sz w:val="24"/>
          <w:szCs w:val="24"/>
          <w:highlight w:val="none"/>
          <w:lang w:eastAsia="zh-Hans"/>
        </w:rPr>
      </w:pPr>
      <w:r>
        <w:rPr>
          <w:rFonts w:hint="eastAsia" w:ascii="宋体" w:hAnsi="宋体" w:eastAsia="宋体"/>
          <w:sz w:val="24"/>
          <w:szCs w:val="24"/>
          <w:highlight w:val="none"/>
          <w:lang w:eastAsia="zh-Hans"/>
        </w:rPr>
        <w:t>本项目预算</w:t>
      </w:r>
      <w:r>
        <w:rPr>
          <w:rFonts w:hint="eastAsia" w:ascii="宋体" w:hAnsi="宋体" w:eastAsia="宋体"/>
          <w:sz w:val="24"/>
          <w:szCs w:val="24"/>
          <w:highlight w:val="none"/>
          <w:u w:val="single"/>
          <w:lang w:eastAsia="zh-Hans"/>
        </w:rPr>
        <w:t xml:space="preserve"> 8  </w:t>
      </w:r>
      <w:r>
        <w:rPr>
          <w:rFonts w:hint="eastAsia" w:ascii="宋体" w:hAnsi="宋体" w:eastAsia="宋体"/>
          <w:sz w:val="24"/>
          <w:szCs w:val="24"/>
          <w:highlight w:val="none"/>
          <w:lang w:eastAsia="zh-Hans"/>
        </w:rPr>
        <w:t>万元</w:t>
      </w:r>
      <w:r>
        <w:rPr>
          <w:rFonts w:hint="eastAsia" w:ascii="宋体" w:hAnsi="宋体" w:eastAsia="宋体"/>
          <w:sz w:val="24"/>
          <w:szCs w:val="24"/>
          <w:highlight w:val="none"/>
          <w:lang w:val="en-US" w:eastAsia="zh-CN"/>
        </w:rPr>
        <w:t>一年</w:t>
      </w:r>
      <w:r>
        <w:rPr>
          <w:rFonts w:hint="eastAsia" w:ascii="宋体" w:hAnsi="宋体" w:eastAsia="宋体"/>
          <w:sz w:val="24"/>
          <w:szCs w:val="24"/>
          <w:highlight w:val="none"/>
          <w:lang w:eastAsia="zh-Hans"/>
        </w:rPr>
        <w:t>。</w:t>
      </w:r>
    </w:p>
    <w:p>
      <w:pPr>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Hans"/>
        </w:rPr>
        <w:t>服务周期为三年，合同一年一签</w:t>
      </w:r>
      <w:r>
        <w:rPr>
          <w:rFonts w:hint="eastAsia" w:ascii="宋体" w:hAnsi="宋体" w:eastAsia="宋体"/>
          <w:sz w:val="24"/>
          <w:szCs w:val="24"/>
          <w:highlight w:val="none"/>
          <w:lang w:eastAsia="zh-CN"/>
        </w:rPr>
        <w:t>。</w:t>
      </w:r>
    </w:p>
    <w:p>
      <w:pPr>
        <w:snapToGrid w:val="0"/>
        <w:spacing w:line="480" w:lineRule="exact"/>
        <w:ind w:firstLine="463" w:firstLineChars="192"/>
        <w:rPr>
          <w:rFonts w:hint="eastAsia" w:ascii="宋体" w:hAnsi="宋体" w:eastAsia="宋体" w:cs="宋体"/>
          <w:b/>
          <w:bCs/>
          <w:color w:val="000000"/>
          <w:sz w:val="24"/>
          <w:szCs w:val="24"/>
          <w:highlight w:val="none"/>
          <w:lang w:val="en-US" w:eastAsia="zh-Hans"/>
        </w:rPr>
      </w:pP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val="en-US" w:eastAsia="zh-Hans"/>
        </w:rPr>
        <w:t>项目需求</w:t>
      </w:r>
    </w:p>
    <w:p>
      <w:pPr>
        <w:snapToGrid w:val="0"/>
        <w:spacing w:line="480" w:lineRule="exact"/>
        <w:ind w:firstLine="460" w:firstLineChars="192"/>
        <w:rPr>
          <w:rFonts w:hint="eastAsia" w:ascii="宋体" w:hAnsi="宋体" w:eastAsia="宋体"/>
          <w:sz w:val="24"/>
          <w:szCs w:val="24"/>
          <w:highlight w:val="none"/>
          <w:lang w:val="en-US" w:eastAsia="zh-Hans"/>
        </w:rPr>
      </w:pPr>
      <w:r>
        <w:rPr>
          <w:rFonts w:hint="eastAsia" w:ascii="宋体" w:hAnsi="宋体" w:eastAsia="宋体"/>
          <w:sz w:val="24"/>
          <w:szCs w:val="24"/>
          <w:highlight w:val="none"/>
          <w:lang w:val="en-US" w:eastAsia="zh-Hans"/>
        </w:rPr>
        <w:t>因此医院急需遴选合格投标人，协助顺利对接江苏省医疗服务综合监管系统。投标人整体要求如下：</w:t>
      </w:r>
    </w:p>
    <w:p>
      <w:pPr>
        <w:snapToGrid w:val="0"/>
        <w:spacing w:line="480" w:lineRule="exact"/>
        <w:ind w:firstLine="460" w:firstLineChars="192"/>
        <w:rPr>
          <w:rFonts w:hint="eastAsia" w:ascii="宋体" w:hAnsi="宋体" w:eastAsia="宋体"/>
          <w:sz w:val="24"/>
          <w:szCs w:val="24"/>
          <w:lang w:val="en-US" w:eastAsia="zh-Hans"/>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val="en-US" w:eastAsia="zh-Hans"/>
        </w:rPr>
        <w:t>投标人需了解数据上报范围，根据上报要求为医</w:t>
      </w:r>
      <w:r>
        <w:rPr>
          <w:rFonts w:hint="eastAsia" w:ascii="宋体" w:hAnsi="宋体" w:eastAsia="宋体"/>
          <w:sz w:val="24"/>
          <w:szCs w:val="24"/>
          <w:lang w:val="en-US" w:eastAsia="zh-Hans"/>
        </w:rPr>
        <w:t>院新建上传39张新表、检查之前上传的旧表并补传数据；</w:t>
      </w:r>
    </w:p>
    <w:p>
      <w:pPr>
        <w:snapToGrid w:val="0"/>
        <w:spacing w:line="480" w:lineRule="exact"/>
        <w:ind w:firstLine="480" w:firstLineChars="200"/>
        <w:rPr>
          <w:rFonts w:hint="eastAsia" w:ascii="宋体" w:hAnsi="宋体" w:eastAsia="宋体"/>
          <w:sz w:val="24"/>
          <w:szCs w:val="24"/>
          <w:lang w:val="en-US" w:eastAsia="zh-Hans"/>
        </w:rPr>
      </w:pPr>
      <w:r>
        <w:rPr>
          <w:rFonts w:hint="eastAsia" w:ascii="宋体" w:hAnsi="宋体" w:eastAsia="宋体"/>
          <w:sz w:val="24"/>
          <w:szCs w:val="24"/>
          <w:lang w:val="en-US" w:eastAsia="zh-CN"/>
        </w:rPr>
        <w:t>2、</w:t>
      </w:r>
      <w:r>
        <w:rPr>
          <w:rFonts w:hint="eastAsia" w:ascii="宋体" w:hAnsi="宋体" w:eastAsia="宋体"/>
          <w:sz w:val="24"/>
          <w:szCs w:val="24"/>
          <w:lang w:val="en-US" w:eastAsia="zh-Hans"/>
        </w:rPr>
        <w:t>针对数据表质量，表与表之间的关联性等问题，向医院提出整改建议；</w:t>
      </w:r>
    </w:p>
    <w:p>
      <w:pPr>
        <w:snapToGrid w:val="0"/>
        <w:spacing w:line="480" w:lineRule="exact"/>
        <w:ind w:firstLine="460" w:firstLineChars="192"/>
        <w:rPr>
          <w:rFonts w:hint="eastAsia" w:ascii="宋体" w:hAnsi="宋体" w:eastAsia="宋体"/>
          <w:sz w:val="24"/>
          <w:szCs w:val="24"/>
          <w:lang w:val="en-US" w:eastAsia="zh-Hans"/>
        </w:rPr>
      </w:pPr>
      <w:r>
        <w:rPr>
          <w:rFonts w:hint="eastAsia" w:ascii="宋体" w:hAnsi="宋体" w:eastAsia="宋体"/>
          <w:sz w:val="24"/>
          <w:szCs w:val="24"/>
          <w:lang w:val="en-US" w:eastAsia="zh-CN"/>
        </w:rPr>
        <w:t>3、</w:t>
      </w:r>
      <w:r>
        <w:rPr>
          <w:rFonts w:hint="eastAsia" w:ascii="宋体" w:hAnsi="宋体" w:eastAsia="宋体"/>
          <w:sz w:val="24"/>
          <w:szCs w:val="24"/>
          <w:lang w:val="en-US" w:eastAsia="zh-Hans"/>
        </w:rPr>
        <w:t>培训医院相关人员对码工具的使用，以便日后医院可自行进行数据质量校验工作；</w:t>
      </w:r>
    </w:p>
    <w:p>
      <w:pPr>
        <w:snapToGrid w:val="0"/>
        <w:spacing w:line="480" w:lineRule="exact"/>
        <w:ind w:firstLine="480" w:firstLineChars="200"/>
        <w:rPr>
          <w:rFonts w:hint="eastAsia" w:ascii="宋体" w:hAnsi="宋体" w:eastAsia="宋体"/>
          <w:sz w:val="24"/>
          <w:szCs w:val="24"/>
          <w:lang w:val="en-US" w:eastAsia="zh-Hans"/>
        </w:rPr>
      </w:pPr>
      <w:r>
        <w:rPr>
          <w:rFonts w:hint="eastAsia" w:ascii="宋体" w:hAnsi="宋体" w:eastAsia="宋体"/>
          <w:sz w:val="24"/>
          <w:szCs w:val="24"/>
          <w:lang w:val="en-US" w:eastAsia="zh-CN"/>
        </w:rPr>
        <w:t>4、</w:t>
      </w:r>
      <w:r>
        <w:rPr>
          <w:rFonts w:hint="eastAsia" w:ascii="宋体" w:hAnsi="宋体" w:eastAsia="宋体"/>
          <w:sz w:val="24"/>
          <w:szCs w:val="24"/>
          <w:lang w:val="en-US" w:eastAsia="zh-Hans"/>
        </w:rPr>
        <w:t>投标人在进行数据上传过程中如发现数据源有问题需协助医院指导业务系统厂商进行问题数据整改。</w:t>
      </w:r>
    </w:p>
    <w:p>
      <w:pPr>
        <w:snapToGrid w:val="0"/>
        <w:spacing w:line="480" w:lineRule="exact"/>
        <w:ind w:firstLine="463" w:firstLineChars="192"/>
        <w:rPr>
          <w:rFonts w:hint="eastAsia" w:ascii="宋体" w:hAnsi="宋体" w:eastAsia="宋体" w:cs="宋体"/>
          <w:b/>
          <w:bCs/>
          <w:color w:val="000000"/>
          <w:sz w:val="24"/>
          <w:szCs w:val="24"/>
          <w:lang w:val="en-US" w:eastAsia="zh-Hans"/>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lang w:val="en-US" w:eastAsia="zh-Hans"/>
        </w:rPr>
        <w:t>项目服务清单</w:t>
      </w:r>
    </w:p>
    <w:tbl>
      <w:tblPr>
        <w:tblStyle w:val="60"/>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34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序号</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类别</w:t>
            </w:r>
          </w:p>
        </w:tc>
        <w:tc>
          <w:tcPr>
            <w:tcW w:w="339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kern w:val="0"/>
                <w:sz w:val="21"/>
                <w:szCs w:val="21"/>
                <w:lang w:eastAsia="zh-Hans" w:bidi="ar"/>
              </w:rPr>
            </w:pPr>
            <w:r>
              <w:rPr>
                <w:rFonts w:hint="eastAsia" w:ascii="宋体" w:hAnsi="宋体" w:eastAsia="宋体" w:cs="宋体"/>
                <w:bCs/>
                <w:color w:val="000000"/>
                <w:kern w:val="0"/>
                <w:sz w:val="21"/>
                <w:szCs w:val="21"/>
                <w:lang w:eastAsia="zh-Hans" w:bidi="ar"/>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新建上传业务流</w:t>
            </w:r>
          </w:p>
        </w:tc>
        <w:tc>
          <w:tcPr>
            <w:tcW w:w="3399" w:type="pct"/>
            <w:tcMar>
              <w:top w:w="15" w:type="dxa"/>
              <w:left w:w="15" w:type="dxa"/>
              <w:right w:w="15" w:type="dxa"/>
            </w:tcMar>
            <w:vAlign w:val="center"/>
          </w:tcPr>
          <w:p>
            <w:pPr>
              <w:widowControl/>
              <w:spacing w:line="360" w:lineRule="auto"/>
              <w:ind w:firstLine="0" w:firstLineChars="0"/>
              <w:jc w:val="left"/>
              <w:textAlignment w:val="center"/>
              <w:rPr>
                <w:rFonts w:hint="eastAsia" w:ascii="宋体" w:hAnsi="宋体" w:eastAsia="宋体" w:cs="宋体"/>
                <w:bCs/>
                <w:color w:val="000000"/>
                <w:kern w:val="0"/>
                <w:sz w:val="21"/>
                <w:szCs w:val="21"/>
                <w:lang w:eastAsia="zh-Hans" w:bidi="ar"/>
              </w:rPr>
            </w:pPr>
            <w:r>
              <w:rPr>
                <w:rFonts w:hint="eastAsia" w:ascii="宋体" w:hAnsi="宋体" w:eastAsia="宋体" w:cs="宋体"/>
                <w:bCs/>
                <w:color w:val="000000"/>
                <w:kern w:val="0"/>
                <w:sz w:val="21"/>
                <w:szCs w:val="21"/>
                <w:lang w:eastAsia="zh-Hans" w:bidi="ar"/>
              </w:rPr>
              <w:t>新建（含检查）39张表数据上传业务流，确保新系统上线后的数据可以增量上传至省厅中心库。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老系统数据补传</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Cs/>
                <w:color w:val="000000"/>
                <w:sz w:val="21"/>
                <w:szCs w:val="21"/>
                <w:lang w:eastAsia="zh-Hans"/>
              </w:rPr>
            </w:pPr>
            <w:r>
              <w:rPr>
                <w:rFonts w:hint="eastAsia" w:ascii="宋体" w:hAnsi="宋体" w:eastAsia="宋体" w:cs="宋体"/>
                <w:bCs/>
                <w:color w:val="000000"/>
                <w:sz w:val="21"/>
                <w:szCs w:val="21"/>
                <w:lang w:eastAsia="zh-Hans"/>
              </w:rPr>
              <w:t>检查2018年至新系统上线前的表是否有数据遗漏，进行数据补传。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数据清理与补传</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sz w:val="21"/>
                <w:szCs w:val="21"/>
                <w:lang w:eastAsia="zh-Hans"/>
              </w:rPr>
            </w:pPr>
            <w:r>
              <w:rPr>
                <w:rFonts w:hint="eastAsia" w:ascii="宋体" w:hAnsi="宋体" w:eastAsia="宋体" w:cs="宋体"/>
                <w:sz w:val="21"/>
                <w:szCs w:val="21"/>
                <w:lang w:eastAsia="zh-Hans"/>
              </w:rPr>
              <w:t>新老系统过度期间数据补传；</w:t>
            </w:r>
          </w:p>
          <w:p>
            <w:pPr>
              <w:widowControl/>
              <w:spacing w:line="360" w:lineRule="auto"/>
              <w:ind w:firstLine="0" w:firstLineChars="0"/>
              <w:textAlignment w:val="center"/>
              <w:rPr>
                <w:rFonts w:hint="eastAsia" w:ascii="宋体" w:hAnsi="宋体" w:eastAsia="宋体" w:cs="宋体"/>
                <w:sz w:val="24"/>
                <w:szCs w:val="24"/>
                <w:lang w:eastAsia="zh-Hans"/>
              </w:rPr>
            </w:pPr>
            <w:r>
              <w:rPr>
                <w:rFonts w:hint="eastAsia" w:ascii="宋体" w:hAnsi="宋体" w:eastAsia="宋体" w:cs="宋体"/>
                <w:sz w:val="21"/>
                <w:szCs w:val="21"/>
                <w:lang w:eastAsia="zh-Hans"/>
              </w:rPr>
              <w:t>新系统上线后到双方合同签订期间数据补传。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数据检查与上传</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Cs/>
                <w:color w:val="000000"/>
                <w:kern w:val="0"/>
                <w:sz w:val="21"/>
                <w:szCs w:val="21"/>
                <w:lang w:eastAsia="zh-Hans" w:bidi="ar"/>
              </w:rPr>
            </w:pPr>
            <w:r>
              <w:rPr>
                <w:rFonts w:hint="eastAsia" w:ascii="宋体" w:hAnsi="宋体" w:eastAsia="宋体" w:cs="宋体"/>
                <w:bCs/>
                <w:color w:val="000000"/>
                <w:kern w:val="0"/>
                <w:sz w:val="21"/>
                <w:szCs w:val="21"/>
                <w:lang w:eastAsia="zh-Hans" w:bidi="ar"/>
              </w:rPr>
              <w:t>开启每天定时数据检查与上传。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数据量核对</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Cs/>
                <w:color w:val="000000"/>
                <w:sz w:val="21"/>
                <w:szCs w:val="21"/>
                <w:lang w:eastAsia="zh-Hans"/>
              </w:rPr>
            </w:pPr>
            <w:r>
              <w:rPr>
                <w:rFonts w:hint="eastAsia" w:ascii="宋体" w:hAnsi="宋体" w:eastAsia="宋体" w:cs="宋体"/>
                <w:bCs/>
                <w:color w:val="000000"/>
                <w:sz w:val="21"/>
                <w:szCs w:val="21"/>
                <w:lang w:eastAsia="zh-Hans"/>
              </w:rPr>
              <w:t>从院端数据抽取、数据入库两个环节分析比较医院实际业务数据量和抽取后数据量比对，保证抽取后的数据量反应医院实际业务情况。</w:t>
            </w:r>
          </w:p>
          <w:p>
            <w:pPr>
              <w:adjustRightInd w:val="0"/>
              <w:spacing w:before="120" w:after="120" w:line="180" w:lineRule="auto"/>
              <w:ind w:firstLine="0" w:firstLineChars="0"/>
              <w:contextualSpacing/>
              <w:rPr>
                <w:rFonts w:hint="eastAsia" w:ascii="宋体" w:hAnsi="宋体" w:eastAsia="宋体" w:cs="宋体"/>
                <w:kern w:val="2"/>
                <w:sz w:val="21"/>
                <w:szCs w:val="21"/>
                <w:lang w:val="en-US" w:eastAsia="zh-Hans" w:bidi="ar-SA"/>
              </w:rPr>
            </w:pPr>
            <w:r>
              <w:rPr>
                <w:rFonts w:hint="eastAsia" w:ascii="宋体" w:hAnsi="宋体" w:eastAsia="宋体" w:cs="宋体"/>
                <w:bCs/>
                <w:color w:val="000000"/>
                <w:kern w:val="2"/>
                <w:sz w:val="21"/>
                <w:szCs w:val="21"/>
                <w:lang w:val="en-US" w:eastAsia="zh-Hans" w:bidi="ar-SA"/>
              </w:rPr>
              <w:t>分析医疗监管平台（http://10.40.11.238:8089/jsms/）</w:t>
            </w:r>
          </w:p>
          <w:p>
            <w:pPr>
              <w:widowControl/>
              <w:spacing w:line="360" w:lineRule="auto"/>
              <w:ind w:firstLine="0" w:firstLineChars="0"/>
              <w:textAlignment w:val="center"/>
              <w:rPr>
                <w:rFonts w:hint="eastAsia" w:ascii="宋体" w:hAnsi="宋体" w:eastAsia="宋体" w:cs="宋体"/>
                <w:sz w:val="21"/>
                <w:szCs w:val="21"/>
                <w:lang w:eastAsia="zh-Hans"/>
              </w:rPr>
            </w:pPr>
            <w:r>
              <w:rPr>
                <w:rFonts w:hint="eastAsia" w:ascii="宋体" w:hAnsi="宋体" w:eastAsia="宋体" w:cs="宋体"/>
                <w:bCs/>
                <w:color w:val="000000"/>
                <w:sz w:val="21"/>
                <w:szCs w:val="21"/>
                <w:lang w:eastAsia="zh-Hans"/>
              </w:rPr>
              <w:t>如数据表质量，表与表之间的关联性等问题，向医院提出整改建议。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码表对照工具培训</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Cs/>
                <w:kern w:val="0"/>
                <w:sz w:val="21"/>
                <w:szCs w:val="21"/>
                <w:lang w:eastAsia="zh-Hans"/>
              </w:rPr>
            </w:pPr>
            <w:r>
              <w:rPr>
                <w:rFonts w:hint="eastAsia" w:ascii="宋体" w:hAnsi="宋体" w:eastAsia="宋体" w:cs="宋体"/>
                <w:bCs/>
                <w:kern w:val="0"/>
                <w:sz w:val="21"/>
                <w:szCs w:val="21"/>
                <w:lang w:eastAsia="zh-Hans"/>
              </w:rPr>
              <w:t>辅助医院相关科室完成码表对照工作，培训对码工具的使用。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7</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沟通协调</w:t>
            </w:r>
          </w:p>
        </w:tc>
        <w:tc>
          <w:tcPr>
            <w:tcW w:w="3399" w:type="pct"/>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Cs/>
                <w:kern w:val="0"/>
                <w:sz w:val="21"/>
                <w:szCs w:val="21"/>
                <w:highlight w:val="none"/>
                <w:lang w:eastAsia="zh-Hans"/>
              </w:rPr>
            </w:pPr>
            <w:r>
              <w:rPr>
                <w:rFonts w:hint="eastAsia" w:ascii="宋体" w:hAnsi="宋体" w:eastAsia="宋体" w:cs="宋体"/>
                <w:bCs/>
                <w:kern w:val="0"/>
                <w:sz w:val="21"/>
                <w:szCs w:val="21"/>
                <w:highlight w:val="none"/>
                <w:lang w:eastAsia="zh-Hans"/>
              </w:rPr>
              <w:t>和对应上层数据厂商或省厅相关部门进行沟通协调，保证数据准确按期上传成功。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381"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8</w:t>
            </w:r>
          </w:p>
        </w:tc>
        <w:tc>
          <w:tcPr>
            <w:tcW w:w="1219" w:type="pct"/>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提供月度总结报告</w:t>
            </w:r>
          </w:p>
        </w:tc>
        <w:tc>
          <w:tcPr>
            <w:tcW w:w="3399" w:type="pct"/>
            <w:tcBorders>
              <w:bottom w:val="single" w:color="auto" w:sz="4" w:space="0"/>
            </w:tcBorders>
            <w:tcMar>
              <w:top w:w="15" w:type="dxa"/>
              <w:left w:w="15" w:type="dxa"/>
              <w:right w:w="15" w:type="dxa"/>
            </w:tcMar>
            <w:vAlign w:val="center"/>
          </w:tcPr>
          <w:p>
            <w:pPr>
              <w:widowControl/>
              <w:spacing w:line="360" w:lineRule="auto"/>
              <w:ind w:firstLine="0" w:firstLineChars="0"/>
              <w:jc w:val="left"/>
              <w:textAlignment w:val="center"/>
              <w:rPr>
                <w:rFonts w:hint="eastAsia" w:ascii="宋体" w:hAnsi="宋体" w:eastAsia="宋体" w:cs="宋体"/>
                <w:bCs/>
                <w:kern w:val="0"/>
                <w:sz w:val="21"/>
                <w:szCs w:val="21"/>
                <w:highlight w:val="none"/>
                <w:lang w:val="en-US" w:eastAsia="zh-Hans"/>
              </w:rPr>
            </w:pPr>
            <w:r>
              <w:rPr>
                <w:rFonts w:hint="eastAsia" w:ascii="宋体" w:hAnsi="宋体" w:eastAsia="宋体" w:cs="宋体"/>
                <w:bCs/>
                <w:kern w:val="0"/>
                <w:sz w:val="21"/>
                <w:szCs w:val="21"/>
                <w:highlight w:val="none"/>
              </w:rPr>
              <w:t>以便应对每周和每月的省厅例行对上传率、采集率、病案首页合格率的检查</w:t>
            </w:r>
          </w:p>
        </w:tc>
      </w:tr>
    </w:tbl>
    <w:p>
      <w:pPr>
        <w:snapToGrid w:val="0"/>
        <w:spacing w:line="480" w:lineRule="exact"/>
        <w:ind w:firstLine="482" w:firstLineChars="200"/>
        <w:rPr>
          <w:rFonts w:hint="eastAsia" w:ascii="宋体" w:hAnsi="宋体" w:eastAsia="宋体" w:cs="宋体"/>
          <w:b/>
          <w:bCs/>
          <w:color w:val="000000"/>
          <w:sz w:val="24"/>
          <w:szCs w:val="24"/>
          <w:lang w:val="en-US" w:eastAsia="zh-Hans"/>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val="en-US" w:eastAsia="zh-Hans"/>
        </w:rPr>
        <w:t>项目服务具体要求</w:t>
      </w:r>
    </w:p>
    <w:p>
      <w:pPr>
        <w:snapToGrid w:val="0"/>
        <w:spacing w:line="480" w:lineRule="exact"/>
        <w:ind w:firstLine="704" w:firstLineChars="292"/>
        <w:rPr>
          <w:rFonts w:hint="eastAsia" w:ascii="宋体" w:hAnsi="宋体" w:eastAsia="宋体" w:cs="宋体"/>
          <w:b/>
          <w:bCs/>
          <w:color w:val="000000"/>
          <w:sz w:val="24"/>
          <w:szCs w:val="24"/>
          <w:lang w:val="en-US" w:eastAsia="zh-Hans"/>
        </w:rPr>
      </w:pPr>
      <w:r>
        <w:rPr>
          <w:rFonts w:hint="eastAsia" w:ascii="宋体" w:hAnsi="宋体" w:eastAsia="宋体" w:cs="宋体"/>
          <w:b/>
          <w:bCs/>
          <w:color w:val="000000"/>
          <w:sz w:val="24"/>
          <w:szCs w:val="24"/>
          <w:lang w:val="en-US" w:eastAsia="zh-CN"/>
        </w:rPr>
        <w:t>5.1</w:t>
      </w:r>
      <w:r>
        <w:rPr>
          <w:rFonts w:hint="eastAsia" w:ascii="宋体" w:hAnsi="宋体" w:eastAsia="宋体" w:cs="宋体"/>
          <w:b/>
          <w:bCs/>
          <w:color w:val="000000"/>
          <w:sz w:val="24"/>
          <w:szCs w:val="24"/>
          <w:lang w:val="en-US" w:eastAsia="zh-Hans"/>
        </w:rPr>
        <w:t>上报服务需求</w:t>
      </w:r>
    </w:p>
    <w:p>
      <w:pPr>
        <w:snapToGrid w:val="0"/>
        <w:spacing w:line="480" w:lineRule="exact"/>
        <w:ind w:firstLine="944" w:firstLineChars="392"/>
        <w:rPr>
          <w:rFonts w:hint="eastAsia" w:ascii="宋体" w:hAnsi="宋体" w:eastAsia="宋体" w:cs="宋体"/>
          <w:b/>
          <w:bCs/>
          <w:color w:val="000000"/>
          <w:sz w:val="24"/>
          <w:szCs w:val="24"/>
          <w:lang w:val="en-US" w:eastAsia="zh-Hans"/>
        </w:rPr>
      </w:pPr>
      <w:r>
        <w:rPr>
          <w:rFonts w:hint="eastAsia" w:ascii="宋体" w:hAnsi="宋体" w:eastAsia="宋体" w:cs="宋体"/>
          <w:b/>
          <w:bCs/>
          <w:color w:val="000000"/>
          <w:sz w:val="24"/>
          <w:szCs w:val="24"/>
          <w:lang w:val="en-US" w:eastAsia="zh-CN"/>
        </w:rPr>
        <w:t>5.1.1</w:t>
      </w:r>
      <w:r>
        <w:rPr>
          <w:rFonts w:hint="eastAsia" w:ascii="宋体" w:hAnsi="宋体" w:eastAsia="宋体" w:cs="宋体"/>
          <w:b/>
          <w:bCs/>
          <w:color w:val="000000"/>
          <w:sz w:val="24"/>
          <w:szCs w:val="24"/>
          <w:lang w:val="en-US" w:eastAsia="zh-Hans"/>
        </w:rPr>
        <w:t>新建上传业务流</w:t>
      </w:r>
    </w:p>
    <w:p>
      <w:pPr>
        <w:snapToGrid w:val="0"/>
        <w:spacing w:line="480" w:lineRule="exact"/>
        <w:ind w:firstLine="480" w:firstLineChars="200"/>
        <w:rPr>
          <w:rFonts w:hint="eastAsia" w:ascii="宋体" w:hAnsi="宋体" w:eastAsia="宋体"/>
          <w:sz w:val="24"/>
          <w:szCs w:val="24"/>
          <w:lang w:val="en-US" w:eastAsia="zh-Hans"/>
        </w:rPr>
      </w:pPr>
      <w:r>
        <w:rPr>
          <w:rFonts w:hint="eastAsia" w:ascii="宋体" w:hAnsi="宋体" w:eastAsia="宋体"/>
          <w:sz w:val="24"/>
          <w:szCs w:val="24"/>
          <w:lang w:val="en-US" w:eastAsia="zh-Hans"/>
        </w:rPr>
        <w:t>投标人需根据政策要求新建39张数据上传业务流（含检查），确保新系统上线后的数据可以增量上传至省厅中心库。</w:t>
      </w:r>
    </w:p>
    <w:p>
      <w:pPr>
        <w:snapToGrid w:val="0"/>
        <w:spacing w:line="480" w:lineRule="exact"/>
        <w:ind w:firstLine="480" w:firstLineChars="200"/>
        <w:rPr>
          <w:rFonts w:hint="eastAsia" w:ascii="宋体" w:hAnsi="宋体" w:eastAsia="宋体"/>
          <w:sz w:val="24"/>
          <w:szCs w:val="24"/>
          <w:lang w:val="en-US" w:eastAsia="zh-Hans"/>
        </w:rPr>
      </w:pPr>
      <w:r>
        <w:rPr>
          <w:rFonts w:hint="eastAsia" w:ascii="宋体" w:hAnsi="宋体" w:eastAsia="宋体"/>
          <w:sz w:val="24"/>
          <w:szCs w:val="24"/>
          <w:lang w:val="en-US" w:eastAsia="zh-Hans"/>
        </w:rPr>
        <w:t>具体业务表清单如下：</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患者基本信息数据表结构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门诊/急诊挂号数据表结构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门诊/急诊就诊记录表结构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急诊留观-观察病历表结构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急诊留观-观察病程记录表结构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急诊留观-出观察室记录表结构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门急诊/观察室有创操作记录表结构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门诊/急诊/住院西药处方表结构（主表）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门诊/急诊/住院西药处方表结构（从表）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门诊/急诊/住院中药处方表结构（主表）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门诊/急诊/住院中药处方表结构（从表）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患者入院记录表结构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住院病人医嘱记录表结构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住院患者病程记录表结构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患者出院记录（小结）/死亡记录表结构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手术/操作记录表结构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西医病案首页表结构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检验申请记录表结构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检验报告记录表结构（主表）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检验结果明细表结构（从表）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检查信息表结构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检查申请记录表结构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检查报告记录表结构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治疗处置记录表结构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患者输血申请表结构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患者输血记录表结构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医疗高值耗材使用记录</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门诊/急诊/住院费用表结构（主表）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门诊/急诊/住院费用表结构（从表）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药品入库信息记录表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药品出库信息记录表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耗材入库信息记录表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耗材出库信息记录表</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入院出院患者统计数据表结构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门诊/住院收费统计数据表结构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门诊工作量统计数据表结构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住院工作量统计数据表结构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lang w:val="en-US" w:eastAsia="zh-Hans"/>
        </w:rPr>
      </w:pPr>
      <w:r>
        <w:rPr>
          <w:rFonts w:hint="eastAsia" w:ascii="宋体" w:hAnsi="宋体" w:eastAsia="宋体"/>
          <w:sz w:val="24"/>
          <w:szCs w:val="24"/>
          <w:lang w:val="en-US" w:eastAsia="zh-Hans"/>
        </w:rPr>
        <w:t>患者入院记录_天表结构</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sz w:val="24"/>
          <w:szCs w:val="24"/>
          <w:highlight w:val="none"/>
          <w:lang w:val="en-US" w:eastAsia="zh-Hans"/>
        </w:rPr>
      </w:pPr>
      <w:r>
        <w:rPr>
          <w:rFonts w:hint="eastAsia" w:ascii="宋体" w:hAnsi="宋体" w:eastAsia="宋体"/>
          <w:sz w:val="24"/>
          <w:szCs w:val="24"/>
          <w:lang w:val="en-US" w:eastAsia="zh-Hans"/>
        </w:rPr>
        <w:t>患</w:t>
      </w:r>
      <w:r>
        <w:rPr>
          <w:rFonts w:hint="eastAsia" w:ascii="宋体" w:hAnsi="宋体" w:eastAsia="宋体"/>
          <w:sz w:val="24"/>
          <w:szCs w:val="24"/>
          <w:highlight w:val="none"/>
          <w:lang w:val="en-US" w:eastAsia="zh-Hans"/>
        </w:rPr>
        <w:t>者出院记录（小结）/死亡记录_天表结构</w:t>
      </w:r>
    </w:p>
    <w:p>
      <w:pPr>
        <w:snapToGrid w:val="0"/>
        <w:spacing w:line="480" w:lineRule="exact"/>
        <w:ind w:firstLine="944" w:firstLineChars="39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5.1.2.重建或补充数据上报服务表链</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A.重建或补充39张业务表（含省厅码表对应转换）。</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B.重建或补充39张业务表涉及的所有码表，包含重建、辅助、检査、整理码表（注：码表对照工作由医院负责）。</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C.实时同步“医院内部己完成对照的码表库</w:t>
      </w:r>
      <w:r>
        <w:rPr>
          <w:rFonts w:hint="eastAsia" w:ascii="宋体" w:hAnsi="宋体" w:eastAsia="宋体" w:cs="宋体"/>
          <w:sz w:val="24"/>
          <w:szCs w:val="24"/>
          <w:highlight w:val="none"/>
          <w:lang w:val="zh-CN"/>
        </w:rPr>
        <w:t>”与“上</w:t>
      </w:r>
      <w:r>
        <w:rPr>
          <w:rFonts w:hint="eastAsia" w:ascii="宋体" w:hAnsi="宋体" w:eastAsia="宋体" w:cs="宋体"/>
          <w:sz w:val="24"/>
          <w:szCs w:val="24"/>
          <w:highlight w:val="none"/>
        </w:rPr>
        <w:t>传数据库中的码表库</w:t>
      </w:r>
      <w:r>
        <w:rPr>
          <w:rFonts w:hint="eastAsia" w:ascii="宋体" w:hAnsi="宋体" w:eastAsia="宋体" w:cs="宋体"/>
          <w:sz w:val="24"/>
          <w:szCs w:val="24"/>
          <w:highlight w:val="none"/>
          <w:lang w:val="zh-CN"/>
        </w:rPr>
        <w:t>”保持</w:t>
      </w:r>
      <w:r>
        <w:rPr>
          <w:rFonts w:hint="eastAsia" w:ascii="宋体" w:hAnsi="宋体" w:eastAsia="宋体" w:cs="宋体"/>
          <w:sz w:val="24"/>
          <w:szCs w:val="24"/>
          <w:highlight w:val="none"/>
        </w:rPr>
        <w:t>一致。</w:t>
      </w:r>
    </w:p>
    <w:p>
      <w:pPr>
        <w:snapToGrid w:val="0"/>
        <w:spacing w:line="480" w:lineRule="exact"/>
        <w:ind w:firstLine="944" w:firstLineChars="39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5.1.3.抽取数据的质量管控</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A.数据基础检查、校验后生成错误报吿，并辅助医院对数据进行整改。</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B.根据省厅检査报告，辅助医院对数据质量进行整改。</w:t>
      </w:r>
    </w:p>
    <w:p>
      <w:pPr>
        <w:snapToGrid w:val="0"/>
        <w:spacing w:line="480" w:lineRule="exact"/>
        <w:ind w:firstLine="944" w:firstLineChars="39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5.1.4.如有新旧系统的重叠数据辅助清理，并将清理出来的数据上传。</w:t>
      </w:r>
    </w:p>
    <w:p>
      <w:pPr>
        <w:keepNext w:val="0"/>
        <w:keepLines w:val="0"/>
        <w:pageBreakBefore w:val="0"/>
        <w:widowControl w:val="0"/>
        <w:kinsoku/>
        <w:wordWrap/>
        <w:overflowPunct/>
        <w:topLinePunct w:val="0"/>
        <w:autoSpaceDE/>
        <w:autoSpaceDN/>
        <w:bidi w:val="0"/>
        <w:spacing w:line="300" w:lineRule="auto"/>
        <w:ind w:left="0" w:firstLine="48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（清理数据需医院向省厅提供申请说明）</w:t>
      </w:r>
    </w:p>
    <w:p>
      <w:pPr>
        <w:pStyle w:val="27"/>
        <w:keepNext w:val="0"/>
        <w:keepLines w:val="0"/>
        <w:pageBreakBefore w:val="0"/>
        <w:widowControl w:val="0"/>
        <w:kinsoku/>
        <w:wordWrap/>
        <w:overflowPunct/>
        <w:topLinePunct w:val="0"/>
        <w:autoSpaceDE/>
        <w:autoSpaceDN/>
        <w:bidi w:val="0"/>
        <w:spacing w:line="30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根据一年内省监管平台的考核要求自动升级省监管平台上传的数据治理标准。</w:t>
      </w:r>
    </w:p>
    <w:p>
      <w:pPr>
        <w:pStyle w:val="27"/>
        <w:keepNext w:val="0"/>
        <w:keepLines w:val="0"/>
        <w:pageBreakBefore w:val="0"/>
        <w:widowControl w:val="0"/>
        <w:kinsoku/>
        <w:wordWrap/>
        <w:overflowPunct/>
        <w:topLinePunct w:val="0"/>
        <w:autoSpaceDE/>
        <w:autoSpaceDN/>
        <w:bidi w:val="0"/>
        <w:spacing w:line="300" w:lineRule="auto"/>
        <w:ind w:left="0" w:leftChars="0" w:firstLine="964" w:firstLineChars="400"/>
        <w:rPr>
          <w:rFonts w:hint="eastAsia" w:ascii="宋体" w:hAnsi="宋体" w:eastAsia="宋体" w:cs="宋体"/>
          <w:sz w:val="24"/>
          <w:szCs w:val="24"/>
          <w:highlight w:val="none"/>
        </w:rPr>
      </w:pPr>
      <w:r>
        <w:rPr>
          <w:rFonts w:hint="eastAsia" w:ascii="宋体" w:hAnsi="宋体" w:eastAsia="宋体" w:cs="宋体"/>
          <w:b/>
          <w:bCs/>
          <w:color w:val="000000"/>
          <w:kern w:val="2"/>
          <w:sz w:val="24"/>
          <w:szCs w:val="24"/>
          <w:highlight w:val="none"/>
          <w:lang w:val="en-US" w:eastAsia="zh-CN" w:bidi="ar-SA"/>
        </w:rPr>
        <w:t>5.1.5.</w:t>
      </w:r>
      <w:r>
        <w:rPr>
          <w:rFonts w:hint="eastAsia" w:ascii="宋体" w:hAnsi="宋体" w:eastAsia="宋体" w:cs="宋体"/>
          <w:sz w:val="24"/>
          <w:szCs w:val="24"/>
          <w:highlight w:val="none"/>
        </w:rPr>
        <w:t>涉及到省监管平台的考核任务，需要提前半年对考核内容进行整改，比如院内等级医院评审、复评、人资考核、国考绩效考核等国家级/省级的考核。</w:t>
      </w:r>
    </w:p>
    <w:p>
      <w:pPr>
        <w:pStyle w:val="27"/>
        <w:keepNext w:val="0"/>
        <w:keepLines w:val="0"/>
        <w:pageBreakBefore w:val="0"/>
        <w:widowControl w:val="0"/>
        <w:kinsoku/>
        <w:wordWrap/>
        <w:overflowPunct/>
        <w:topLinePunct w:val="0"/>
        <w:autoSpaceDE/>
        <w:autoSpaceDN/>
        <w:bidi w:val="0"/>
        <w:spacing w:line="300" w:lineRule="auto"/>
        <w:ind w:left="0" w:leftChars="0" w:firstLine="964" w:firstLineChars="400"/>
        <w:rPr>
          <w:rFonts w:hint="eastAsia" w:ascii="宋体" w:hAnsi="宋体" w:eastAsia="宋体" w:cs="宋体"/>
          <w:sz w:val="24"/>
          <w:szCs w:val="24"/>
          <w:highlight w:val="none"/>
        </w:rPr>
      </w:pPr>
      <w:r>
        <w:rPr>
          <w:rFonts w:hint="eastAsia" w:ascii="宋体" w:hAnsi="宋体" w:eastAsia="宋体" w:cs="宋体"/>
          <w:b/>
          <w:bCs/>
          <w:color w:val="000000"/>
          <w:kern w:val="2"/>
          <w:sz w:val="24"/>
          <w:szCs w:val="24"/>
          <w:highlight w:val="none"/>
          <w:lang w:val="en-US" w:eastAsia="zh-CN" w:bidi="ar-SA"/>
        </w:rPr>
        <w:t>5.1.6</w:t>
      </w:r>
      <w:r>
        <w:rPr>
          <w:rFonts w:hint="eastAsia" w:ascii="宋体" w:hAnsi="宋体" w:eastAsia="宋体" w:cs="宋体"/>
          <w:sz w:val="24"/>
          <w:szCs w:val="24"/>
          <w:highlight w:val="none"/>
        </w:rPr>
        <w:t>.国家级数据集的更新(耗材、药物等)，需与省厅沟通后的1周内解决对码集更新。</w:t>
      </w:r>
    </w:p>
    <w:p>
      <w:pPr>
        <w:keepNext w:val="0"/>
        <w:keepLines w:val="0"/>
        <w:pageBreakBefore w:val="0"/>
        <w:widowControl w:val="0"/>
        <w:kinsoku/>
        <w:wordWrap/>
        <w:overflowPunct/>
        <w:topLinePunct w:val="0"/>
        <w:autoSpaceDE/>
        <w:autoSpaceDN/>
        <w:bidi w:val="0"/>
        <w:spacing w:line="300" w:lineRule="auto"/>
        <w:ind w:left="0" w:firstLine="964" w:firstLineChars="400"/>
        <w:rPr>
          <w:rFonts w:hint="eastAsia" w:ascii="宋体" w:hAnsi="宋体" w:eastAsia="宋体" w:cs="宋体"/>
          <w:sz w:val="24"/>
          <w:szCs w:val="24"/>
          <w:highlight w:val="none"/>
        </w:rPr>
      </w:pPr>
      <w:r>
        <w:rPr>
          <w:rFonts w:hint="eastAsia" w:ascii="宋体" w:hAnsi="宋体" w:eastAsia="宋体" w:cs="宋体"/>
          <w:b/>
          <w:bCs/>
          <w:color w:val="000000"/>
          <w:kern w:val="2"/>
          <w:sz w:val="24"/>
          <w:szCs w:val="24"/>
          <w:highlight w:val="none"/>
          <w:lang w:val="en-US" w:eastAsia="zh-CN" w:bidi="ar-SA"/>
        </w:rPr>
        <w:t>5.1.7.</w:t>
      </w:r>
      <w:r>
        <w:rPr>
          <w:rFonts w:hint="eastAsia" w:ascii="宋体" w:hAnsi="宋体" w:eastAsia="宋体" w:cs="宋体"/>
          <w:sz w:val="24"/>
          <w:szCs w:val="24"/>
          <w:highlight w:val="none"/>
        </w:rPr>
        <w:t>对视图问题及时反馈，分析问题，给出建议，优化取值路径。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482" w:firstLineChars="200"/>
        <w:textAlignment w:val="auto"/>
        <w:rPr>
          <w:rFonts w:hint="eastAsia" w:ascii="宋体" w:hAnsi="宋体" w:eastAsia="宋体"/>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5.1.8.</w:t>
      </w:r>
      <w:r>
        <w:rPr>
          <w:rFonts w:hint="eastAsia" w:ascii="宋体" w:hAnsi="宋体" w:eastAsia="宋体" w:cs="宋体"/>
          <w:sz w:val="24"/>
          <w:szCs w:val="24"/>
          <w:highlight w:val="none"/>
        </w:rPr>
        <w:t>严格把控各项指标的达标情况，分析上传数据问题，给出建议解决方案，协助医院安排省监管平台涉及的科室和厂商的整改工作。</w:t>
      </w:r>
    </w:p>
    <w:bookmarkEnd w:id="5"/>
    <w:bookmarkEnd w:id="6"/>
    <w:p>
      <w:pPr>
        <w:tabs>
          <w:tab w:val="left" w:pos="1050"/>
          <w:tab w:val="right" w:leader="dot" w:pos="9402"/>
        </w:tabs>
        <w:snapToGrid w:val="0"/>
        <w:spacing w:before="380" w:beforeLines="100" w:line="360" w:lineRule="auto"/>
        <w:jc w:val="center"/>
        <w:outlineLvl w:val="0"/>
        <w:rPr>
          <w:rFonts w:hint="eastAsia" w:asciiTheme="majorEastAsia" w:hAnsiTheme="majorEastAsia" w:eastAsiaTheme="majorEastAsia" w:cstheme="minorEastAsia"/>
          <w:b/>
          <w:w w:val="80"/>
          <w:sz w:val="36"/>
          <w:szCs w:val="36"/>
          <w:highlight w:val="none"/>
        </w:rPr>
      </w:pPr>
    </w:p>
    <w:p>
      <w:pPr>
        <w:rPr>
          <w:rFonts w:hint="eastAsia" w:asciiTheme="majorEastAsia" w:hAnsiTheme="majorEastAsia" w:eastAsiaTheme="majorEastAsia" w:cstheme="minorEastAsia"/>
          <w:b/>
          <w:w w:val="80"/>
          <w:sz w:val="36"/>
          <w:szCs w:val="36"/>
          <w:highlight w:val="none"/>
        </w:rPr>
      </w:pPr>
      <w:r>
        <w:rPr>
          <w:rFonts w:hint="eastAsia" w:asciiTheme="majorEastAsia" w:hAnsiTheme="majorEastAsia" w:eastAsiaTheme="majorEastAsia" w:cstheme="minorEastAsia"/>
          <w:b/>
          <w:w w:val="80"/>
          <w:sz w:val="36"/>
          <w:szCs w:val="36"/>
          <w:highlight w:val="none"/>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highlight w:val="none"/>
        </w:rPr>
        <w:t>第四章</w:t>
      </w:r>
      <w:bookmarkStart w:id="7" w:name="_Toc182848996"/>
      <w:r>
        <w:rPr>
          <w:rFonts w:hint="eastAsia" w:asciiTheme="majorEastAsia" w:hAnsiTheme="majorEastAsia" w:eastAsiaTheme="majorEastAsia" w:cstheme="minorEastAsia"/>
          <w:b/>
          <w:w w:val="80"/>
          <w:sz w:val="36"/>
          <w:szCs w:val="36"/>
          <w:highlight w:val="none"/>
        </w:rPr>
        <w:t xml:space="preserve"> 评</w:t>
      </w:r>
      <w:r>
        <w:rPr>
          <w:rFonts w:hint="eastAsia" w:asciiTheme="majorEastAsia" w:hAnsiTheme="majorEastAsia" w:eastAsiaTheme="majorEastAsia" w:cstheme="minorEastAsia"/>
          <w:b/>
          <w:w w:val="80"/>
          <w:sz w:val="36"/>
          <w:szCs w:val="36"/>
        </w:rPr>
        <w:t>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1、本次竞争性磋商按照《中华人民共和国政府采购法》、《政府采购竞争性磋商采购方式管理暂行办法》及有关法规成立磋商小组。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w:t>
      </w:r>
      <w:r>
        <w:rPr>
          <w:rFonts w:hint="eastAsia" w:asciiTheme="majorEastAsia" w:hAnsiTheme="majorEastAsia" w:eastAsiaTheme="majorEastAsia" w:cstheme="minorEastAsia"/>
          <w:sz w:val="24"/>
          <w:szCs w:val="24"/>
          <w:lang w:eastAsia="zh-CN"/>
        </w:rPr>
        <w:t>被</w:t>
      </w:r>
      <w:r>
        <w:rPr>
          <w:rFonts w:hint="eastAsia" w:asciiTheme="majorEastAsia" w:hAnsiTheme="majorEastAsia" w:eastAsiaTheme="majorEastAsia" w:cstheme="minorEastAsia"/>
          <w:sz w:val="24"/>
          <w:szCs w:val="24"/>
        </w:rPr>
        <w:t>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1、磋商小组参照《中华人民共和国政府采购法》、《政府采购竞争性磋商采购方式管理暂行办法》以及有关政府采购的相关法规，遵循“公开、公平、公正、择优、信用”的原则进行磋商评审。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w:t>
      </w:r>
      <w:r>
        <w:rPr>
          <w:rFonts w:hint="eastAsia" w:ascii="宋体" w:hAnsi="宋体" w:eastAsia="宋体" w:cs="宋体"/>
          <w:sz w:val="24"/>
          <w:szCs w:val="24"/>
        </w:rPr>
        <w:t>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3、本次项目磋商的技术</w:t>
      </w:r>
      <w:r>
        <w:rPr>
          <w:rFonts w:hint="eastAsia" w:asciiTheme="majorEastAsia" w:hAnsiTheme="majorEastAsia" w:eastAsiaTheme="majorEastAsia" w:cstheme="minorEastAsia"/>
          <w:sz w:val="24"/>
          <w:szCs w:val="24"/>
          <w:lang w:val="en-US" w:eastAsia="zh-CN"/>
        </w:rPr>
        <w:t>标</w:t>
      </w:r>
      <w:r>
        <w:rPr>
          <w:rFonts w:hint="eastAsia" w:asciiTheme="majorEastAsia" w:hAnsiTheme="majorEastAsia" w:eastAsiaTheme="majorEastAsia" w:cstheme="minorEastAsia"/>
          <w:sz w:val="24"/>
          <w:szCs w:val="24"/>
        </w:rPr>
        <w:t>和</w:t>
      </w:r>
      <w:r>
        <w:rPr>
          <w:rFonts w:hint="eastAsia" w:asciiTheme="majorEastAsia" w:hAnsiTheme="majorEastAsia" w:eastAsiaTheme="majorEastAsia" w:cstheme="minorEastAsia"/>
          <w:sz w:val="24"/>
          <w:szCs w:val="24"/>
          <w:lang w:val="en-US" w:eastAsia="zh-CN"/>
        </w:rPr>
        <w:t>商务标评</w:t>
      </w:r>
      <w:r>
        <w:rPr>
          <w:rFonts w:hint="eastAsia" w:asciiTheme="majorEastAsia" w:hAnsiTheme="majorEastAsia" w:eastAsiaTheme="majorEastAsia" w:cstheme="minorEastAsia"/>
          <w:sz w:val="24"/>
          <w:szCs w:val="24"/>
        </w:rPr>
        <w:t>审总分值为100分。两部分评审因素比重如下：</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w:t>
      </w:r>
      <w:r>
        <w:rPr>
          <w:rFonts w:hint="eastAsia" w:asciiTheme="majorEastAsia" w:hAnsiTheme="majorEastAsia" w:eastAsiaTheme="majorEastAsia" w:cstheme="minorEastAsia"/>
          <w:sz w:val="24"/>
          <w:szCs w:val="24"/>
          <w:u w:val="single"/>
          <w:lang w:val="en-US" w:eastAsia="zh-CN"/>
        </w:rPr>
        <w:t>标</w:t>
      </w:r>
      <w:r>
        <w:rPr>
          <w:rFonts w:hint="eastAsia" w:asciiTheme="majorEastAsia" w:hAnsiTheme="majorEastAsia" w:eastAsiaTheme="majorEastAsia" w:cstheme="minorEastAsia"/>
          <w:sz w:val="24"/>
          <w:szCs w:val="24"/>
          <w:u w:val="single"/>
        </w:rPr>
        <w:t>分值占总分值的比重为</w:t>
      </w:r>
      <w:r>
        <w:rPr>
          <w:rFonts w:hint="eastAsia" w:asciiTheme="majorEastAsia" w:hAnsiTheme="majorEastAsia" w:eastAsiaTheme="majorEastAsia" w:cstheme="minorEastAsia"/>
          <w:sz w:val="24"/>
          <w:szCs w:val="24"/>
          <w:u w:val="single"/>
          <w:lang w:val="en-US" w:eastAsia="zh-CN"/>
        </w:rPr>
        <w:t>8</w:t>
      </w:r>
      <w:r>
        <w:rPr>
          <w:rFonts w:hint="eastAsia" w:asciiTheme="majorEastAsia" w:hAnsiTheme="majorEastAsia" w:eastAsiaTheme="majorEastAsia" w:cstheme="minorEastAsia"/>
          <w:sz w:val="24"/>
          <w:szCs w:val="24"/>
          <w:u w:val="single"/>
        </w:rPr>
        <w:t>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lang w:val="en-US" w:eastAsia="zh-CN"/>
        </w:rPr>
        <w:t>商务标</w:t>
      </w:r>
      <w:r>
        <w:rPr>
          <w:rFonts w:hint="eastAsia" w:asciiTheme="majorEastAsia" w:hAnsiTheme="majorEastAsia" w:eastAsiaTheme="majorEastAsia" w:cstheme="minorEastAsia"/>
          <w:sz w:val="24"/>
          <w:szCs w:val="24"/>
          <w:u w:val="single"/>
        </w:rPr>
        <w:t>分值占总分值的比重为</w:t>
      </w:r>
      <w:r>
        <w:rPr>
          <w:rFonts w:hint="eastAsia" w:asciiTheme="majorEastAsia" w:hAnsiTheme="majorEastAsia" w:eastAsiaTheme="majorEastAsia" w:cstheme="minorEastAsia"/>
          <w:sz w:val="24"/>
          <w:szCs w:val="24"/>
          <w:u w:val="single"/>
          <w:lang w:val="en-US" w:eastAsia="zh-CN"/>
        </w:rPr>
        <w:t>20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7" w:firstLineChars="202"/>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b/>
          <w:bCs/>
          <w:color w:val="000000" w:themeColor="text1"/>
          <w:sz w:val="24"/>
          <w:szCs w:val="24"/>
          <w14:textFill>
            <w14:solidFill>
              <w14:schemeClr w14:val="tx1"/>
            </w14:solidFill>
          </w14:textFill>
        </w:rPr>
        <w:t>4、供应商技术标最终得分取所有评委的算术平均值，得分采用四舍五入法保留小数点后两位小数。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5、技术</w:t>
      </w:r>
      <w:r>
        <w:rPr>
          <w:rFonts w:hint="eastAsia" w:asciiTheme="majorEastAsia" w:hAnsiTheme="majorEastAsia" w:eastAsiaTheme="majorEastAsia" w:cstheme="minorEastAsia"/>
          <w:sz w:val="24"/>
          <w:szCs w:val="24"/>
          <w:lang w:val="en-US" w:eastAsia="zh-CN"/>
        </w:rPr>
        <w:t>标得分</w:t>
      </w:r>
      <w:r>
        <w:rPr>
          <w:rFonts w:hint="eastAsia" w:asciiTheme="majorEastAsia" w:hAnsiTheme="majorEastAsia" w:eastAsiaTheme="majorEastAsia" w:cstheme="minorEastAsia"/>
          <w:sz w:val="24"/>
          <w:szCs w:val="24"/>
        </w:rPr>
        <w:t>与</w:t>
      </w:r>
      <w:r>
        <w:rPr>
          <w:rFonts w:hint="eastAsia" w:asciiTheme="majorEastAsia" w:hAnsiTheme="majorEastAsia" w:eastAsiaTheme="majorEastAsia" w:cstheme="minorEastAsia"/>
          <w:sz w:val="24"/>
          <w:szCs w:val="24"/>
          <w:lang w:val="en-US" w:eastAsia="zh-CN"/>
        </w:rPr>
        <w:t>商务标得分</w:t>
      </w:r>
      <w:r>
        <w:rPr>
          <w:rFonts w:hint="eastAsia" w:asciiTheme="majorEastAsia" w:hAnsiTheme="majorEastAsia" w:eastAsiaTheme="majorEastAsia" w:cstheme="minorEastAsia"/>
          <w:sz w:val="24"/>
          <w:szCs w:val="24"/>
        </w:rPr>
        <w:t>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7、确定成交候选人的特殊情况处理：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7"/>
    <w:p>
      <w:pPr>
        <w:snapToGrid w:val="0"/>
        <w:spacing w:line="300" w:lineRule="auto"/>
        <w:ind w:firstLine="555"/>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80</w:t>
      </w:r>
      <w:r>
        <w:rPr>
          <w:rFonts w:hint="eastAsia" w:asciiTheme="majorEastAsia" w:hAnsiTheme="majorEastAsia" w:eastAsiaTheme="majorEastAsia" w:cstheme="minorEastAsia"/>
          <w:sz w:val="24"/>
          <w:szCs w:val="24"/>
        </w:rPr>
        <w:t>分，以下所设分值均为各条评分最大得分值，评标委员会根据以下几个方面进行综合评估打分</w:t>
      </w:r>
      <w:r>
        <w:rPr>
          <w:rFonts w:hint="eastAsia" w:asciiTheme="majorEastAsia" w:hAnsiTheme="majorEastAsia" w:eastAsiaTheme="majorEastAsia" w:cstheme="minorEastAsia"/>
          <w:b/>
          <w:bCs/>
          <w:color w:val="000000" w:themeColor="text1"/>
          <w:sz w:val="24"/>
          <w:szCs w:val="24"/>
          <w14:textFill>
            <w14:solidFill>
              <w14:schemeClr w14:val="tx1"/>
            </w14:solidFill>
          </w14:textFill>
        </w:rPr>
        <w:t>(供应商技术标最终得分取所有评委的算术平均值，得分采用四舍五入法保留小数点后两位小数。)</w:t>
      </w:r>
    </w:p>
    <w:tbl>
      <w:tblPr>
        <w:tblStyle w:val="60"/>
        <w:tblW w:w="9988" w:type="dxa"/>
        <w:jc w:val="center"/>
        <w:tblLayout w:type="fixed"/>
        <w:tblCellMar>
          <w:top w:w="0" w:type="dxa"/>
          <w:left w:w="108" w:type="dxa"/>
          <w:bottom w:w="0" w:type="dxa"/>
          <w:right w:w="108" w:type="dxa"/>
        </w:tblCellMar>
      </w:tblPr>
      <w:tblGrid>
        <w:gridCol w:w="712"/>
        <w:gridCol w:w="1395"/>
        <w:gridCol w:w="945"/>
        <w:gridCol w:w="6936"/>
      </w:tblGrid>
      <w:tr>
        <w:tblPrEx>
          <w:tblCellMar>
            <w:top w:w="0" w:type="dxa"/>
            <w:left w:w="108" w:type="dxa"/>
            <w:bottom w:w="0" w:type="dxa"/>
            <w:right w:w="108" w:type="dxa"/>
          </w:tblCellMar>
        </w:tblPrEx>
        <w:trPr>
          <w:cantSplit/>
          <w:trHeight w:val="56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评分点名称</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分值</w:t>
            </w:r>
          </w:p>
        </w:tc>
        <w:tc>
          <w:tcPr>
            <w:tcW w:w="6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评审标准</w:t>
            </w:r>
          </w:p>
        </w:tc>
      </w:tr>
      <w:tr>
        <w:tblPrEx>
          <w:tblCellMar>
            <w:top w:w="0" w:type="dxa"/>
            <w:left w:w="108" w:type="dxa"/>
            <w:bottom w:w="0" w:type="dxa"/>
            <w:right w:w="108" w:type="dxa"/>
          </w:tblCellMar>
        </w:tblPrEx>
        <w:trPr>
          <w:trHeight w:val="71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项目理解</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10分</w:t>
            </w:r>
          </w:p>
        </w:tc>
        <w:tc>
          <w:tcPr>
            <w:tcW w:w="6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对投标人提供的数据上报维保服务方案，从数据上报服务流程、数据上报服务计划、项目管理规范等方面进行综合评价：</w:t>
            </w:r>
          </w:p>
          <w:p>
            <w:pPr>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1.是否正确理解</w:t>
            </w:r>
            <w:r>
              <w:rPr>
                <w:rFonts w:hint="eastAsia" w:ascii="宋体" w:hAnsi="宋体" w:eastAsia="宋体" w:cs="宋体"/>
                <w:sz w:val="21"/>
                <w:szCs w:val="21"/>
                <w:highlight w:val="none"/>
                <w:lang w:eastAsia="zh-Hans"/>
              </w:rPr>
              <w:t>项目需求</w:t>
            </w:r>
            <w:r>
              <w:rPr>
                <w:rFonts w:hint="eastAsia" w:ascii="宋体" w:hAnsi="宋体" w:eastAsia="宋体" w:cs="宋体"/>
                <w:sz w:val="21"/>
                <w:szCs w:val="21"/>
                <w:highlight w:val="none"/>
              </w:rPr>
              <w:t>背景；</w:t>
            </w:r>
          </w:p>
          <w:p>
            <w:pPr>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2.技术方案的总体论述是否清晰合理；</w:t>
            </w:r>
          </w:p>
          <w:p>
            <w:pPr>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3.整体方案是否合理，服务计划规划得当、实施管理规范；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Hans"/>
              </w:rPr>
              <w:t>根据投标人给出的服务方案</w:t>
            </w:r>
            <w:r>
              <w:rPr>
                <w:rFonts w:hint="eastAsia" w:ascii="宋体" w:hAnsi="宋体" w:eastAsia="宋体" w:cs="宋体"/>
                <w:sz w:val="21"/>
                <w:szCs w:val="21"/>
                <w:highlight w:val="none"/>
              </w:rPr>
              <w:t>综合评价优得10分，良得7分，中得5分，差不得分。</w:t>
            </w:r>
            <w:r>
              <w:rPr>
                <w:rFonts w:hint="eastAsia" w:ascii="宋体" w:hAnsi="宋体" w:eastAsia="宋体" w:cs="宋体"/>
                <w:sz w:val="21"/>
                <w:szCs w:val="21"/>
                <w:highlight w:val="none"/>
                <w:lang w:val="en-US" w:eastAsia="zh-CN"/>
              </w:rPr>
              <w:t>提供有效的方案证明材料。</w:t>
            </w:r>
          </w:p>
        </w:tc>
      </w:tr>
      <w:tr>
        <w:tblPrEx>
          <w:tblCellMar>
            <w:top w:w="0" w:type="dxa"/>
            <w:left w:w="108" w:type="dxa"/>
            <w:bottom w:w="0" w:type="dxa"/>
            <w:right w:w="108" w:type="dxa"/>
          </w:tblCellMar>
        </w:tblPrEx>
        <w:trPr>
          <w:trHeight w:val="738"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对接能力</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r>
              <w:rPr>
                <w:rFonts w:hint="eastAsia" w:ascii="宋体" w:hAnsi="宋体" w:eastAsia="宋体" w:cs="宋体"/>
                <w:sz w:val="21"/>
                <w:szCs w:val="21"/>
                <w:lang w:eastAsia="zh-Hans"/>
              </w:rPr>
              <w:t>分</w:t>
            </w:r>
          </w:p>
        </w:tc>
        <w:tc>
          <w:tcPr>
            <w:tcW w:w="6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Hans"/>
              </w:rPr>
              <w:t>为了确保投标人能够顺利与医院业务系统对接、取数、上报，投标人需要提供以往数据上报项目中与医院HIS、EMR顺利对接的证明材料（由医院出具的对接证明文件</w:t>
            </w:r>
            <w:r>
              <w:rPr>
                <w:rFonts w:hint="eastAsia" w:ascii="宋体" w:hAnsi="宋体" w:eastAsia="宋体" w:cs="宋体"/>
                <w:sz w:val="21"/>
                <w:szCs w:val="21"/>
                <w:highlight w:val="none"/>
                <w:lang w:val="en-US" w:eastAsia="zh-CN"/>
              </w:rPr>
              <w:t>并加盖公章</w:t>
            </w:r>
            <w:r>
              <w:rPr>
                <w:rFonts w:hint="eastAsia" w:ascii="宋体" w:hAnsi="宋体" w:eastAsia="宋体" w:cs="宋体"/>
                <w:sz w:val="21"/>
                <w:szCs w:val="21"/>
                <w:highlight w:val="none"/>
                <w:lang w:eastAsia="zh-Hans"/>
              </w:rPr>
              <w:t>），每提供一份</w:t>
            </w:r>
            <w:r>
              <w:rPr>
                <w:rFonts w:hint="eastAsia" w:ascii="宋体" w:hAnsi="宋体" w:eastAsia="宋体" w:cs="宋体"/>
                <w:sz w:val="21"/>
                <w:szCs w:val="21"/>
                <w:highlight w:val="none"/>
                <w:lang w:val="en-US" w:eastAsia="zh-CN"/>
              </w:rPr>
              <w:t>有效的</w:t>
            </w:r>
            <w:r>
              <w:rPr>
                <w:rFonts w:hint="eastAsia" w:ascii="宋体" w:hAnsi="宋体" w:eastAsia="宋体" w:cs="宋体"/>
                <w:sz w:val="21"/>
                <w:szCs w:val="21"/>
                <w:highlight w:val="none"/>
                <w:lang w:eastAsia="zh-Hans"/>
              </w:rPr>
              <w:t>证明</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lang w:eastAsia="zh-Hans"/>
              </w:rPr>
              <w:t>得3分，最高得</w:t>
            </w: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Hans"/>
              </w:rPr>
              <w:t>分。不提供不得分。</w:t>
            </w:r>
          </w:p>
        </w:tc>
      </w:tr>
      <w:tr>
        <w:tblPrEx>
          <w:tblCellMar>
            <w:top w:w="0" w:type="dxa"/>
            <w:left w:w="108" w:type="dxa"/>
            <w:bottom w:w="0" w:type="dxa"/>
            <w:right w:w="108" w:type="dxa"/>
          </w:tblCellMar>
        </w:tblPrEx>
        <w:trPr>
          <w:trHeight w:val="73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校验工具</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r>
              <w:rPr>
                <w:rFonts w:hint="eastAsia" w:ascii="宋体" w:hAnsi="宋体" w:eastAsia="宋体" w:cs="宋体"/>
                <w:sz w:val="21"/>
                <w:szCs w:val="21"/>
                <w:lang w:eastAsia="zh-Hans"/>
              </w:rPr>
              <w:t>分</w:t>
            </w:r>
          </w:p>
        </w:tc>
        <w:tc>
          <w:tcPr>
            <w:tcW w:w="6936" w:type="dxa"/>
            <w:tcBorders>
              <w:top w:val="nil"/>
              <w:left w:val="nil"/>
              <w:bottom w:val="single" w:color="auto" w:sz="4" w:space="0"/>
              <w:right w:val="single" w:color="auto" w:sz="4" w:space="0"/>
            </w:tcBorders>
            <w:shd w:val="clear" w:color="auto" w:fill="auto"/>
            <w:vAlign w:val="center"/>
          </w:tcPr>
          <w:p>
            <w:pPr>
              <w:pStyle w:val="103"/>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数据源头，前置机数据量的对比</w:t>
            </w:r>
          </w:p>
          <w:p>
            <w:pPr>
              <w:pStyle w:val="103"/>
              <w:keepNext w:val="0"/>
              <w:keepLines w:val="0"/>
              <w:pageBreakBefore w:val="0"/>
              <w:widowControl w:val="0"/>
              <w:kinsoku/>
              <w:wordWrap/>
              <w:overflowPunct/>
              <w:topLinePunct w:val="0"/>
              <w:autoSpaceDE/>
              <w:autoSpaceDN/>
              <w:bidi w:val="0"/>
              <w:adjustRightInd/>
              <w:snapToGrid/>
              <w:spacing w:line="300" w:lineRule="auto"/>
              <w:ind w:left="0"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（1）</w:t>
            </w:r>
            <w:r>
              <w:rPr>
                <w:rFonts w:hint="eastAsia" w:ascii="宋体" w:hAnsi="宋体" w:eastAsia="宋体" w:cs="宋体"/>
                <w:sz w:val="21"/>
                <w:szCs w:val="21"/>
                <w:highlight w:val="none"/>
              </w:rPr>
              <w:t>支持每天自动执行查询。导出EXCEL</w:t>
            </w:r>
            <w:r>
              <w:rPr>
                <w:rFonts w:hint="eastAsia" w:ascii="宋体" w:hAnsi="宋体" w:eastAsia="宋体" w:cs="宋体"/>
                <w:sz w:val="21"/>
                <w:szCs w:val="21"/>
                <w:highlight w:val="none"/>
                <w:lang w:eastAsia="zh-Hans"/>
              </w:rPr>
              <w:t>。</w:t>
            </w:r>
          </w:p>
          <w:p>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（2）支持</w:t>
            </w:r>
            <w:r>
              <w:rPr>
                <w:rFonts w:hint="eastAsia" w:ascii="宋体" w:hAnsi="宋体" w:eastAsia="宋体" w:cs="宋体"/>
                <w:sz w:val="21"/>
                <w:szCs w:val="21"/>
                <w:highlight w:val="none"/>
              </w:rPr>
              <w:t>自定义配置数据库连接串，自定义配置SQL。</w:t>
            </w:r>
          </w:p>
          <w:p>
            <w:pPr>
              <w:pStyle w:val="103"/>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数据关联性对比</w:t>
            </w:r>
          </w:p>
          <w:p>
            <w:pPr>
              <w:pStyle w:val="103"/>
              <w:keepNext w:val="0"/>
              <w:keepLines w:val="0"/>
              <w:pageBreakBefore w:val="0"/>
              <w:widowControl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支持</w:t>
            </w:r>
            <w:r>
              <w:rPr>
                <w:rFonts w:hint="eastAsia" w:ascii="宋体" w:hAnsi="宋体" w:eastAsia="宋体" w:cs="宋体"/>
                <w:sz w:val="21"/>
                <w:szCs w:val="21"/>
                <w:highlight w:val="none"/>
              </w:rPr>
              <w:t>自定义配置任务，配置数据库连接，配置相应的规则。</w:t>
            </w:r>
          </w:p>
          <w:p>
            <w:pPr>
              <w:pStyle w:val="103"/>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病案首页完整率检测</w:t>
            </w:r>
          </w:p>
          <w:p>
            <w:pPr>
              <w:pStyle w:val="103"/>
              <w:keepNext w:val="0"/>
              <w:keepLines w:val="0"/>
              <w:pageBreakBefore w:val="0"/>
              <w:widowControl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支持</w:t>
            </w:r>
            <w:r>
              <w:rPr>
                <w:rFonts w:hint="eastAsia" w:ascii="宋体" w:hAnsi="宋体" w:eastAsia="宋体" w:cs="宋体"/>
                <w:sz w:val="21"/>
                <w:szCs w:val="21"/>
                <w:highlight w:val="none"/>
              </w:rPr>
              <w:t>快速定位规则选中单个或多个规则执行校验。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投标产品满足</w:t>
            </w:r>
            <w:r>
              <w:rPr>
                <w:rFonts w:hint="eastAsia" w:ascii="宋体" w:hAnsi="宋体" w:eastAsia="宋体" w:cs="宋体"/>
                <w:sz w:val="21"/>
                <w:szCs w:val="21"/>
                <w:highlight w:val="none"/>
                <w:lang w:val="en-US" w:eastAsia="zh-CN"/>
              </w:rPr>
              <w:t>1.2.3.中任意一项得5分，满足</w:t>
            </w:r>
            <w:r>
              <w:rPr>
                <w:rFonts w:hint="eastAsia" w:ascii="宋体" w:hAnsi="宋体" w:eastAsia="宋体" w:cs="宋体"/>
                <w:sz w:val="21"/>
                <w:szCs w:val="21"/>
                <w:highlight w:val="none"/>
              </w:rPr>
              <w:t>以上全部功能点得15分。</w:t>
            </w:r>
            <w:r>
              <w:rPr>
                <w:rFonts w:hint="eastAsia" w:ascii="宋体" w:hAnsi="宋体" w:eastAsia="宋体" w:cs="宋体"/>
                <w:sz w:val="21"/>
                <w:szCs w:val="21"/>
                <w:highlight w:val="none"/>
                <w:lang w:val="en-US" w:eastAsia="zh-CN"/>
              </w:rPr>
              <w:t>提供有效的证明材料。</w:t>
            </w:r>
          </w:p>
        </w:tc>
      </w:tr>
      <w:tr>
        <w:tblPrEx>
          <w:tblCellMar>
            <w:top w:w="0" w:type="dxa"/>
            <w:left w:w="108" w:type="dxa"/>
            <w:bottom w:w="0" w:type="dxa"/>
            <w:right w:w="108" w:type="dxa"/>
          </w:tblCellMar>
        </w:tblPrEx>
        <w:trPr>
          <w:trHeight w:val="101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实施服务方</w:t>
            </w:r>
            <w:r>
              <w:rPr>
                <w:rFonts w:hint="eastAsia" w:ascii="宋体" w:hAnsi="宋体" w:eastAsia="宋体" w:cs="宋体"/>
                <w:sz w:val="21"/>
                <w:szCs w:val="21"/>
              </w:rPr>
              <w:t>案</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5分</w:t>
            </w:r>
          </w:p>
        </w:tc>
        <w:tc>
          <w:tcPr>
            <w:tcW w:w="6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根据投标人制定的项目实施</w:t>
            </w:r>
            <w:r>
              <w:rPr>
                <w:rFonts w:hint="eastAsia" w:ascii="宋体" w:hAnsi="宋体" w:eastAsia="宋体" w:cs="宋体"/>
                <w:sz w:val="21"/>
                <w:szCs w:val="21"/>
                <w:highlight w:val="none"/>
                <w:lang w:eastAsia="zh-Hans"/>
              </w:rPr>
              <w:t>服务</w:t>
            </w:r>
            <w:r>
              <w:rPr>
                <w:rFonts w:hint="eastAsia" w:ascii="宋体" w:hAnsi="宋体" w:eastAsia="宋体" w:cs="宋体"/>
                <w:sz w:val="21"/>
                <w:szCs w:val="21"/>
                <w:highlight w:val="none"/>
              </w:rPr>
              <w:t>方案，从项目管理方案、项目质量管控和进度保障措施等方面进行打分；完全满足招标文件对项目实施的要求，有相应的实施方案，结构严谨，内容完整详实，表述清晰准确，能够针对项目采购内容细化制定实施进度，项目管理运行机制健全，得5分；能够满足招标文件对项目实施的要求，方案完整，项目管理机制完备，为项目实施制定的措施较齐全，虽表述略微偏差，但不影响实质性意思表达，得3分；有项目实施方案，但方案内容笼统，没有针对本项目细化制定，得1分。没有内容或不满足招标文件要求的不得分。</w:t>
            </w:r>
            <w:r>
              <w:rPr>
                <w:rFonts w:hint="eastAsia" w:ascii="宋体" w:hAnsi="宋体" w:eastAsia="宋体" w:cs="宋体"/>
                <w:sz w:val="21"/>
                <w:szCs w:val="21"/>
                <w:highlight w:val="none"/>
                <w:lang w:val="en-US" w:eastAsia="zh-CN"/>
              </w:rPr>
              <w:t>提供有效的证明材料。</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395" w:type="dxa"/>
            <w:tcBorders>
              <w:top w:val="nil"/>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培训方案</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制定的培训方案，从培训目的、培训方式、培训内容等方面进行打分；完全满足招标文件要求，有相应的培训方案，培训计划详细、培训内容完整、有相关的培训管理内容，得4分；有相关的培训方案，培训内容完整但没有进行详细的培训计划，得2分；仅有相关的培训方案，培训计划、培训内容等描述都缺乏，得1分；没有内容或不满足招标文件要求的不得分。</w:t>
            </w:r>
            <w:r>
              <w:rPr>
                <w:rFonts w:hint="eastAsia" w:ascii="宋体" w:hAnsi="宋体" w:eastAsia="宋体" w:cs="宋体"/>
                <w:sz w:val="21"/>
                <w:szCs w:val="21"/>
                <w:highlight w:val="none"/>
                <w:lang w:val="en-US" w:eastAsia="zh-CN"/>
              </w:rPr>
              <w:t>提供有效的证明材料。</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395" w:type="dxa"/>
            <w:tcBorders>
              <w:top w:val="nil"/>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eastAsia="zh-Hans"/>
              </w:rPr>
              <w:t>企业资质</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6分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eastAsia="zh-Hans"/>
              </w:rPr>
              <w:t>人</w:t>
            </w:r>
            <w:r>
              <w:rPr>
                <w:rFonts w:hint="eastAsia" w:ascii="宋体" w:hAnsi="宋体" w:eastAsia="宋体" w:cs="宋体"/>
                <w:sz w:val="21"/>
                <w:szCs w:val="21"/>
                <w:highlight w:val="none"/>
              </w:rPr>
              <w:t>需具有：</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CMMI软件成熟度三级或以上认证；</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 xml:space="preserve">ISO9001质量管理体系认证证书；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ISO27001信息安全管理体系认证证书；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ISO20000信息技术服务管理体系认证证书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评估机构出具的企业信用AAA级证书；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国家高新技术企业证书。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有一项得一分，</w:t>
            </w:r>
            <w:r>
              <w:rPr>
                <w:rFonts w:hint="eastAsia" w:ascii="宋体" w:hAnsi="宋体" w:eastAsia="宋体" w:cs="宋体"/>
                <w:sz w:val="21"/>
                <w:szCs w:val="21"/>
                <w:highlight w:val="none"/>
              </w:rPr>
              <w:t>全部满足得6分；提供有效的对应证书复印件并加盖投标</w:t>
            </w:r>
            <w:r>
              <w:rPr>
                <w:rFonts w:hint="eastAsia" w:ascii="宋体" w:hAnsi="宋体" w:eastAsia="宋体" w:cs="宋体"/>
                <w:sz w:val="21"/>
                <w:szCs w:val="21"/>
                <w:highlight w:val="none"/>
                <w:lang w:eastAsia="zh-Hans"/>
              </w:rPr>
              <w:t>人</w:t>
            </w:r>
            <w:r>
              <w:rPr>
                <w:rFonts w:hint="eastAsia" w:ascii="宋体" w:hAnsi="宋体" w:eastAsia="宋体" w:cs="宋体"/>
                <w:sz w:val="21"/>
                <w:szCs w:val="21"/>
                <w:highlight w:val="none"/>
              </w:rPr>
              <w:t>公章，不提供证明材料不得分。</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395" w:type="dxa"/>
            <w:tcBorders>
              <w:top w:val="nil"/>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sz w:val="21"/>
                <w:szCs w:val="21"/>
                <w:lang w:eastAsia="zh-Hans"/>
              </w:rPr>
            </w:pPr>
            <w:r>
              <w:rPr>
                <w:rFonts w:hint="eastAsia" w:ascii="宋体" w:hAnsi="宋体" w:eastAsia="宋体" w:cs="宋体"/>
                <w:sz w:val="21"/>
                <w:szCs w:val="21"/>
                <w:lang w:eastAsia="zh-Hans"/>
              </w:rPr>
              <w:t>软件著作权</w:t>
            </w:r>
          </w:p>
          <w:p>
            <w:pPr>
              <w:ind w:firstLine="0" w:firstLineChars="0"/>
              <w:rPr>
                <w:rFonts w:hint="eastAsia" w:ascii="宋体" w:hAnsi="宋体" w:eastAsia="宋体" w:cs="宋体"/>
                <w:sz w:val="21"/>
                <w:szCs w:val="21"/>
                <w:lang w:eastAsia="zh-Hans"/>
              </w:rPr>
            </w:pPr>
          </w:p>
          <w:p>
            <w:pPr>
              <w:ind w:firstLine="0" w:firstLineChars="0"/>
              <w:rPr>
                <w:rFonts w:hint="eastAsia" w:ascii="宋体" w:hAnsi="宋体" w:eastAsia="宋体" w:cs="宋体"/>
                <w:kern w:val="2"/>
                <w:sz w:val="21"/>
                <w:szCs w:val="21"/>
                <w:lang w:val="en-US" w:eastAsia="zh-Hans" w:bidi="ar-SA"/>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6分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Hans"/>
              </w:rPr>
              <w:t>为保证</w:t>
            </w:r>
            <w:r>
              <w:rPr>
                <w:rFonts w:hint="eastAsia" w:ascii="宋体" w:hAnsi="宋体" w:eastAsia="宋体" w:cs="宋体"/>
                <w:sz w:val="21"/>
                <w:szCs w:val="21"/>
              </w:rPr>
              <w:t>投标人</w:t>
            </w:r>
            <w:r>
              <w:rPr>
                <w:rFonts w:hint="eastAsia" w:ascii="宋体" w:hAnsi="宋体" w:eastAsia="宋体" w:cs="宋体"/>
                <w:sz w:val="21"/>
                <w:szCs w:val="21"/>
                <w:lang w:eastAsia="zh-Hans"/>
              </w:rPr>
              <w:t>有数据上传和数据质量治理能力，投标人</w:t>
            </w:r>
            <w:r>
              <w:rPr>
                <w:rFonts w:hint="eastAsia" w:ascii="宋体" w:hAnsi="宋体" w:eastAsia="宋体" w:cs="宋体"/>
                <w:sz w:val="21"/>
                <w:szCs w:val="21"/>
              </w:rPr>
              <w:t>需提供</w:t>
            </w:r>
            <w:r>
              <w:rPr>
                <w:rFonts w:hint="eastAsia" w:ascii="宋体" w:hAnsi="宋体" w:eastAsia="宋体" w:cs="宋体"/>
                <w:sz w:val="21"/>
                <w:szCs w:val="21"/>
                <w:lang w:eastAsia="zh-Hans"/>
              </w:rPr>
              <w:t>包含</w:t>
            </w:r>
            <w:r>
              <w:rPr>
                <w:rFonts w:hint="eastAsia" w:ascii="宋体" w:hAnsi="宋体" w:eastAsia="宋体" w:cs="宋体"/>
                <w:sz w:val="21"/>
                <w:szCs w:val="21"/>
              </w:rPr>
              <w:t>本次项目</w:t>
            </w:r>
            <w:r>
              <w:rPr>
                <w:rFonts w:hint="eastAsia" w:ascii="宋体" w:hAnsi="宋体" w:eastAsia="宋体" w:cs="宋体"/>
                <w:sz w:val="21"/>
                <w:szCs w:val="21"/>
                <w:lang w:eastAsia="zh-Hans"/>
              </w:rPr>
              <w:t>服务</w:t>
            </w:r>
            <w:r>
              <w:rPr>
                <w:rFonts w:hint="eastAsia" w:ascii="宋体" w:hAnsi="宋体" w:eastAsia="宋体" w:cs="宋体"/>
                <w:sz w:val="21"/>
                <w:szCs w:val="21"/>
              </w:rPr>
              <w:t>内容关键字的计算机软件著作权登记证书（软件著作权需要在</w:t>
            </w:r>
            <w:r>
              <w:rPr>
                <w:rFonts w:hint="eastAsia" w:ascii="宋体" w:hAnsi="宋体" w:eastAsia="宋体" w:cs="宋体"/>
                <w:sz w:val="21"/>
                <w:szCs w:val="21"/>
                <w:lang w:eastAsia="zh-Hans"/>
              </w:rPr>
              <w:t>本项目竞争性磋商公告发布日期</w:t>
            </w:r>
            <w:r>
              <w:rPr>
                <w:rFonts w:hint="eastAsia" w:ascii="宋体" w:hAnsi="宋体" w:eastAsia="宋体" w:cs="宋体"/>
                <w:sz w:val="21"/>
                <w:szCs w:val="21"/>
              </w:rPr>
              <w:t>前申请获得）：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lang w:eastAsia="zh-Hans"/>
              </w:rPr>
            </w:pPr>
            <w:r>
              <w:rPr>
                <w:rFonts w:hint="eastAsia" w:ascii="宋体" w:hAnsi="宋体" w:eastAsia="宋体" w:cs="宋体"/>
                <w:sz w:val="21"/>
                <w:szCs w:val="21"/>
              </w:rPr>
              <w:t>1</w:t>
            </w:r>
            <w:r>
              <w:rPr>
                <w:rFonts w:hint="eastAsia" w:ascii="宋体" w:hAnsi="宋体" w:eastAsia="宋体" w:cs="宋体"/>
                <w:sz w:val="21"/>
                <w:szCs w:val="21"/>
                <w:lang w:eastAsia="zh-Hans"/>
              </w:rPr>
              <w:t>.“数据上报管理”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2.“数据质量管理”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3.“数据治理与上传平台”</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Hans"/>
              </w:rPr>
              <w:t>每提供一个软件著作权得2分，最高的6分。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投标人需</w:t>
            </w:r>
            <w:r>
              <w:rPr>
                <w:rFonts w:hint="eastAsia" w:ascii="宋体" w:hAnsi="宋体" w:eastAsia="宋体" w:cs="宋体"/>
                <w:sz w:val="21"/>
                <w:szCs w:val="21"/>
              </w:rPr>
              <w:t>提供证书复印件和中国版权保护中心官网查询截图打印件并加盖</w:t>
            </w:r>
            <w:r>
              <w:rPr>
                <w:rFonts w:hint="eastAsia" w:ascii="宋体" w:hAnsi="宋体" w:eastAsia="宋体" w:cs="宋体"/>
                <w:sz w:val="21"/>
                <w:szCs w:val="21"/>
                <w:lang w:eastAsia="zh-Hans"/>
              </w:rPr>
              <w:t>投标人</w:t>
            </w:r>
            <w:r>
              <w:rPr>
                <w:rFonts w:hint="eastAsia" w:ascii="宋体" w:hAnsi="宋体" w:eastAsia="宋体" w:cs="宋体"/>
                <w:sz w:val="21"/>
                <w:szCs w:val="21"/>
              </w:rPr>
              <w:t>公章，不提供</w:t>
            </w:r>
            <w:r>
              <w:rPr>
                <w:rFonts w:hint="eastAsia" w:ascii="宋体" w:hAnsi="宋体" w:eastAsia="宋体" w:cs="宋体"/>
                <w:sz w:val="21"/>
                <w:szCs w:val="21"/>
                <w:lang w:eastAsia="zh-Hans"/>
              </w:rPr>
              <w:t>证明材料</w:t>
            </w:r>
            <w:r>
              <w:rPr>
                <w:rFonts w:hint="eastAsia" w:ascii="宋体" w:hAnsi="宋体" w:eastAsia="宋体" w:cs="宋体"/>
                <w:sz w:val="21"/>
                <w:szCs w:val="21"/>
              </w:rPr>
              <w:t>不得分。</w:t>
            </w:r>
          </w:p>
        </w:tc>
      </w:tr>
      <w:tr>
        <w:tblPrEx>
          <w:tblCellMar>
            <w:top w:w="0" w:type="dxa"/>
            <w:left w:w="108" w:type="dxa"/>
            <w:bottom w:w="0" w:type="dxa"/>
            <w:right w:w="108" w:type="dxa"/>
          </w:tblCellMar>
        </w:tblPrEx>
        <w:trPr>
          <w:trHeight w:val="847"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1395" w:type="dxa"/>
            <w:tcBorders>
              <w:top w:val="nil"/>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highlight w:val="none"/>
                <w:lang w:val="en-US" w:eastAsia="zh-Hans" w:bidi="ar-SA"/>
              </w:rPr>
            </w:pPr>
            <w:r>
              <w:rPr>
                <w:rFonts w:hint="eastAsia" w:ascii="宋体" w:hAnsi="宋体" w:eastAsia="宋体" w:cs="宋体"/>
                <w:sz w:val="21"/>
                <w:szCs w:val="21"/>
                <w:highlight w:val="none"/>
                <w:lang w:eastAsia="zh-Hans"/>
              </w:rPr>
              <w:t>项目组成员资质</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项目团队成员具有以下资质：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1.具有系统集成项目管理工程师证书；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2.具有程序员证书；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rPr>
              <w:t>3.具有PMP证书；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eastAsia="zh-Hans"/>
              </w:rPr>
              <w:t>人</w:t>
            </w:r>
            <w:r>
              <w:rPr>
                <w:rFonts w:hint="eastAsia" w:ascii="宋体" w:hAnsi="宋体" w:eastAsia="宋体" w:cs="宋体"/>
                <w:sz w:val="21"/>
                <w:szCs w:val="21"/>
                <w:highlight w:val="none"/>
              </w:rPr>
              <w:t>提供以上证明材料，一项得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注：一人多证只得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分；提供以上人员有效的证书复印件以及社保机构出具的由响应供应商为持有对应证书的人员缴纳的近六个月内任意一个月社会保险证明复印件并加盖响应供应商单位公章；不提供相关材料不得分。</w:t>
            </w:r>
          </w:p>
        </w:tc>
      </w:tr>
      <w:tr>
        <w:tblPrEx>
          <w:tblCellMar>
            <w:top w:w="0" w:type="dxa"/>
            <w:left w:w="108" w:type="dxa"/>
            <w:bottom w:w="0" w:type="dxa"/>
            <w:right w:w="108" w:type="dxa"/>
          </w:tblCellMar>
        </w:tblPrEx>
        <w:trPr>
          <w:trHeight w:val="847" w:hRule="atLeast"/>
          <w:jc w:val="center"/>
        </w:trPr>
        <w:tc>
          <w:tcPr>
            <w:tcW w:w="712" w:type="dxa"/>
            <w:vMerge w:val="restart"/>
            <w:tcBorders>
              <w:top w:val="nil"/>
              <w:left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395" w:type="dxa"/>
            <w:vMerge w:val="restart"/>
            <w:tcBorders>
              <w:top w:val="nil"/>
              <w:left w:val="nil"/>
              <w:right w:val="single" w:color="auto" w:sz="4" w:space="0"/>
            </w:tcBorders>
            <w:shd w:val="clear" w:color="auto" w:fill="auto"/>
            <w:noWrap/>
            <w:vAlign w:val="center"/>
          </w:tcPr>
          <w:p>
            <w:pPr>
              <w:ind w:firstLine="0" w:firstLineChars="0"/>
              <w:jc w:val="center"/>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CN"/>
              </w:rPr>
              <w:t>业绩</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w:t>
            </w:r>
            <w:r>
              <w:rPr>
                <w:rFonts w:hint="eastAsia" w:ascii="宋体" w:hAnsi="宋体" w:eastAsia="宋体" w:cs="宋体"/>
                <w:sz w:val="21"/>
                <w:szCs w:val="21"/>
                <w:highlight w:val="none"/>
                <w:lang w:eastAsia="zh-Hans"/>
              </w:rPr>
              <w:t>数据上报维保服务</w:t>
            </w:r>
            <w:r>
              <w:rPr>
                <w:rFonts w:hint="eastAsia" w:ascii="宋体" w:hAnsi="宋体" w:eastAsia="宋体" w:cs="宋体"/>
                <w:sz w:val="21"/>
                <w:szCs w:val="21"/>
                <w:highlight w:val="none"/>
              </w:rPr>
              <w:t>要求投标人具有区域协同及数据上传的经验，投标</w:t>
            </w:r>
            <w:r>
              <w:rPr>
                <w:rFonts w:hint="eastAsia" w:ascii="宋体" w:hAnsi="宋体" w:eastAsia="宋体" w:cs="宋体"/>
                <w:sz w:val="21"/>
                <w:szCs w:val="21"/>
                <w:highlight w:val="none"/>
                <w:lang w:eastAsia="zh-Hans"/>
              </w:rPr>
              <w:t>人需</w:t>
            </w:r>
            <w:r>
              <w:rPr>
                <w:rFonts w:hint="eastAsia" w:ascii="宋体" w:hAnsi="宋体" w:eastAsia="宋体" w:cs="宋体"/>
                <w:sz w:val="21"/>
                <w:szCs w:val="21"/>
                <w:highlight w:val="none"/>
              </w:rPr>
              <w:t>有向各级卫健委数据上传的案例：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rPr>
              <w:t>向国家卫健委监管平台提供数据上传服务，提供国家卫健委直属医院合同，提供一个得4分，最高得4分，不提供不得分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2.向市级卫健委监管平台提供数据上传服务，提供市卫健委直属医院合同或与市级卫健委直接签订的合同，提供一个得3分，最高得6分，不提供不得分。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所提供合同中，合同名称或产品名称、或服务名称等，</w:t>
            </w:r>
            <w:r>
              <w:rPr>
                <w:rFonts w:hint="eastAsia" w:ascii="宋体" w:hAnsi="宋体" w:eastAsia="宋体" w:cs="宋体"/>
                <w:sz w:val="21"/>
                <w:szCs w:val="21"/>
                <w:highlight w:val="none"/>
                <w:lang w:eastAsia="zh-Hans"/>
              </w:rPr>
              <w:t>需</w:t>
            </w:r>
            <w:r>
              <w:rPr>
                <w:rFonts w:hint="eastAsia" w:ascii="宋体" w:hAnsi="宋体" w:eastAsia="宋体" w:cs="宋体"/>
                <w:sz w:val="21"/>
                <w:szCs w:val="21"/>
                <w:highlight w:val="none"/>
              </w:rPr>
              <w:t>有“数据上传”字眼，若无，则为无效案例合同，</w:t>
            </w:r>
            <w:r>
              <w:rPr>
                <w:rFonts w:hint="eastAsia" w:ascii="宋体" w:hAnsi="宋体" w:eastAsia="宋体" w:cs="宋体"/>
                <w:sz w:val="21"/>
                <w:szCs w:val="21"/>
                <w:highlight w:val="none"/>
                <w:lang w:val="en-US" w:eastAsia="zh-CN"/>
              </w:rPr>
              <w:t>同时需提供医院属于国家卫健委或市卫健委直属医院的证明材料，</w:t>
            </w:r>
            <w:r>
              <w:rPr>
                <w:rFonts w:hint="eastAsia" w:ascii="宋体" w:hAnsi="宋体" w:eastAsia="宋体" w:cs="宋体"/>
                <w:sz w:val="21"/>
                <w:szCs w:val="21"/>
                <w:highlight w:val="none"/>
                <w:lang w:eastAsia="zh-Hans"/>
              </w:rPr>
              <w:t>不提供证明材料</w:t>
            </w:r>
            <w:r>
              <w:rPr>
                <w:rFonts w:hint="eastAsia" w:ascii="宋体" w:hAnsi="宋体" w:eastAsia="宋体" w:cs="宋体"/>
                <w:sz w:val="21"/>
                <w:szCs w:val="21"/>
                <w:highlight w:val="none"/>
              </w:rPr>
              <w:t>不得分</w:t>
            </w:r>
            <w:r>
              <w:rPr>
                <w:rFonts w:hint="eastAsia" w:ascii="宋体" w:hAnsi="宋体" w:eastAsia="宋体" w:cs="宋体"/>
                <w:sz w:val="21"/>
                <w:szCs w:val="21"/>
                <w:highlight w:val="none"/>
                <w:lang w:eastAsia="zh-CN"/>
              </w:rPr>
              <w:t>。</w:t>
            </w:r>
          </w:p>
        </w:tc>
      </w:tr>
      <w:tr>
        <w:tblPrEx>
          <w:tblCellMar>
            <w:top w:w="0" w:type="dxa"/>
            <w:left w:w="108" w:type="dxa"/>
            <w:bottom w:w="0" w:type="dxa"/>
            <w:right w:w="108" w:type="dxa"/>
          </w:tblCellMar>
        </w:tblPrEx>
        <w:trPr>
          <w:trHeight w:val="847" w:hRule="atLeast"/>
          <w:jc w:val="center"/>
        </w:trPr>
        <w:tc>
          <w:tcPr>
            <w:tcW w:w="71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p>
        </w:tc>
        <w:tc>
          <w:tcPr>
            <w:tcW w:w="1395" w:type="dxa"/>
            <w:vMerge w:val="continue"/>
            <w:tcBorders>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sz w:val="21"/>
                <w:szCs w:val="21"/>
                <w:lang w:eastAsia="zh-Hans"/>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Hans"/>
              </w:rPr>
              <w:t>分</w:t>
            </w:r>
          </w:p>
        </w:tc>
        <w:tc>
          <w:tcPr>
            <w:tcW w:w="6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为了确保投标人对数据标准</w:t>
            </w:r>
            <w:r>
              <w:rPr>
                <w:rFonts w:hint="eastAsia" w:ascii="宋体" w:hAnsi="宋体" w:eastAsia="宋体" w:cs="宋体"/>
                <w:sz w:val="21"/>
                <w:szCs w:val="21"/>
                <w:highlight w:val="none"/>
              </w:rPr>
              <w:t>以及医疗服务监管系统</w:t>
            </w:r>
            <w:r>
              <w:rPr>
                <w:rFonts w:hint="eastAsia" w:ascii="宋体" w:hAnsi="宋体" w:eastAsia="宋体" w:cs="宋体"/>
                <w:sz w:val="21"/>
                <w:szCs w:val="21"/>
                <w:highlight w:val="none"/>
                <w:lang w:eastAsia="zh-Hans"/>
              </w:rPr>
              <w:t>的熟悉程度，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如果投标人为医疗服务综合监管平台数据上传服务项目中标人之一得</w:t>
            </w: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Hans"/>
              </w:rPr>
              <w:t>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投标人需提供项目挂网近6个月以来医疗监管系统对接服务合同，合同项目名称需包含“数据上报”字样，提供一个得1分，最多得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Hans"/>
              </w:rPr>
              <w:t>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Hans"/>
              </w:rPr>
              <w:t>投标人需提供项目合同证明材料扫描件并加盖投标人公章，不提供证明材料不得分。</w:t>
            </w:r>
          </w:p>
        </w:tc>
      </w:tr>
      <w:tr>
        <w:tblPrEx>
          <w:tblCellMar>
            <w:top w:w="0" w:type="dxa"/>
            <w:left w:w="108" w:type="dxa"/>
            <w:bottom w:w="0" w:type="dxa"/>
            <w:right w:w="108" w:type="dxa"/>
          </w:tblCellMar>
        </w:tblPrEx>
        <w:trPr>
          <w:cantSplit/>
          <w:trHeight w:val="779" w:hRule="atLeast"/>
          <w:jc w:val="center"/>
        </w:trPr>
        <w:tc>
          <w:tcPr>
            <w:tcW w:w="99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42" w:firstLineChars="200"/>
              <w:rPr>
                <w:rFonts w:hint="default" w:ascii="宋体" w:hAnsi="宋体" w:eastAsia="宋体" w:cs="宋体"/>
                <w:kern w:val="0"/>
                <w:sz w:val="21"/>
                <w:szCs w:val="21"/>
                <w:lang w:val="en-US" w:eastAsia="zh-CN"/>
              </w:rPr>
            </w:pPr>
            <w:r>
              <w:rPr>
                <w:rFonts w:hint="eastAsia" w:ascii="宋体" w:hAnsi="宋体" w:eastAsia="宋体" w:cs="宋体"/>
                <w:b/>
                <w:bCs/>
                <w:kern w:val="0"/>
                <w:sz w:val="22"/>
                <w:szCs w:val="22"/>
              </w:rPr>
              <w:t>注：评标办法中涉及的证明材料，如为复印件应为有效的文件的复印件并加盖供应商单位公章，否则该项不得分。</w:t>
            </w:r>
            <w:r>
              <w:rPr>
                <w:rFonts w:hint="eastAsia" w:ascii="宋体" w:hAnsi="宋体" w:eastAsia="宋体" w:cs="宋体"/>
                <w:b/>
                <w:bCs/>
                <w:kern w:val="0"/>
                <w:sz w:val="22"/>
                <w:szCs w:val="22"/>
                <w:lang w:val="en-US" w:eastAsia="zh-CN"/>
              </w:rPr>
              <w:t>以上材料均需加盖供应商公章。</w:t>
            </w:r>
          </w:p>
        </w:tc>
      </w:tr>
    </w:tbl>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b/>
          <w:bCs/>
          <w:color w:val="000000" w:themeColor="text1"/>
          <w:sz w:val="24"/>
          <w:szCs w:val="24"/>
          <w14:textFill>
            <w14:solidFill>
              <w14:schemeClr w14:val="tx1"/>
            </w14:solidFill>
          </w14:textFill>
        </w:rPr>
      </w:pPr>
      <w:r>
        <w:rPr>
          <w:rFonts w:hint="eastAsia" w:asciiTheme="majorEastAsia" w:hAnsiTheme="majorEastAsia" w:eastAsiaTheme="majorEastAsia" w:cstheme="minorEastAsia"/>
          <w:sz w:val="24"/>
          <w:szCs w:val="24"/>
        </w:rPr>
        <w:t>（二）</w:t>
      </w:r>
      <w:r>
        <w:rPr>
          <w:rFonts w:hint="eastAsia" w:asciiTheme="majorEastAsia" w:hAnsiTheme="majorEastAsia" w:eastAsiaTheme="majorEastAsia" w:cstheme="minorEastAsia"/>
          <w:sz w:val="24"/>
          <w:szCs w:val="24"/>
          <w:lang w:val="en-US" w:eastAsia="zh-CN"/>
        </w:rPr>
        <w:t>商务标</w:t>
      </w:r>
      <w:r>
        <w:rPr>
          <w:rFonts w:hint="eastAsia" w:asciiTheme="majorEastAsia" w:hAnsiTheme="majorEastAsia" w:eastAsiaTheme="majorEastAsia" w:cstheme="minorEastAsia"/>
          <w:sz w:val="24"/>
          <w:szCs w:val="24"/>
        </w:rPr>
        <w:t>评分：（</w:t>
      </w: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0分）</w:t>
      </w:r>
    </w:p>
    <w:tbl>
      <w:tblPr>
        <w:tblStyle w:val="60"/>
        <w:tblW w:w="9988" w:type="dxa"/>
        <w:jc w:val="center"/>
        <w:tblLayout w:type="fixed"/>
        <w:tblCellMar>
          <w:top w:w="0" w:type="dxa"/>
          <w:left w:w="108" w:type="dxa"/>
          <w:bottom w:w="0" w:type="dxa"/>
          <w:right w:w="108" w:type="dxa"/>
        </w:tblCellMar>
      </w:tblPr>
      <w:tblGrid>
        <w:gridCol w:w="712"/>
        <w:gridCol w:w="1395"/>
        <w:gridCol w:w="945"/>
        <w:gridCol w:w="6936"/>
      </w:tblGrid>
      <w:tr>
        <w:tblPrEx>
          <w:tblCellMar>
            <w:top w:w="0" w:type="dxa"/>
            <w:left w:w="108" w:type="dxa"/>
            <w:bottom w:w="0" w:type="dxa"/>
            <w:right w:w="108" w:type="dxa"/>
          </w:tblCellMar>
        </w:tblPrEx>
        <w:trPr>
          <w:cantSplit/>
          <w:trHeight w:val="56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评分点名称</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分值</w:t>
            </w:r>
          </w:p>
        </w:tc>
        <w:tc>
          <w:tcPr>
            <w:tcW w:w="6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评审标准</w:t>
            </w:r>
          </w:p>
        </w:tc>
      </w:tr>
      <w:tr>
        <w:tblPrEx>
          <w:tblCellMar>
            <w:top w:w="0" w:type="dxa"/>
            <w:left w:w="108" w:type="dxa"/>
            <w:bottom w:w="0" w:type="dxa"/>
            <w:right w:w="108" w:type="dxa"/>
          </w:tblCellMar>
        </w:tblPrEx>
        <w:trPr>
          <w:trHeight w:val="847" w:hRule="atLeast"/>
          <w:jc w:val="center"/>
        </w:trPr>
        <w:tc>
          <w:tcPr>
            <w:tcW w:w="712" w:type="dxa"/>
            <w:tcBorders>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395" w:type="dxa"/>
            <w:tcBorders>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eastAsia="zh-Hans"/>
              </w:rPr>
              <w:t>投标报价</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rFonts w:hint="eastAsia" w:ascii="宋体" w:hAnsi="宋体" w:eastAsia="宋体" w:cs="宋体"/>
                <w:sz w:val="21"/>
                <w:szCs w:val="21"/>
                <w:lang w:val="en-US" w:eastAsia="zh-Hans"/>
              </w:rPr>
            </w:pPr>
            <w:r>
              <w:rPr>
                <w:rFonts w:hint="eastAsia" w:ascii="宋体" w:hAnsi="宋体" w:eastAsia="宋体" w:cs="宋体"/>
                <w:sz w:val="21"/>
                <w:szCs w:val="21"/>
                <w:lang w:eastAsia="zh-Hans"/>
              </w:rPr>
              <w:t>20分</w:t>
            </w:r>
          </w:p>
        </w:tc>
        <w:tc>
          <w:tcPr>
            <w:tcW w:w="6936" w:type="dxa"/>
            <w:tcBorders>
              <w:top w:val="single" w:color="auto" w:sz="4" w:space="0"/>
              <w:left w:val="nil"/>
              <w:bottom w:val="single" w:color="auto" w:sz="4" w:space="0"/>
              <w:right w:val="single" w:color="auto" w:sz="4" w:space="0"/>
            </w:tcBorders>
            <w:shd w:val="clear" w:color="auto" w:fill="auto"/>
            <w:vAlign w:val="center"/>
          </w:tcPr>
          <w:p>
            <w:pPr>
              <w:ind w:firstLine="420" w:firstLineChars="0"/>
              <w:rPr>
                <w:rFonts w:hint="eastAsia" w:ascii="宋体" w:hAnsi="宋体" w:eastAsia="宋体" w:cs="宋体"/>
                <w:sz w:val="21"/>
                <w:szCs w:val="21"/>
                <w:lang w:eastAsia="zh-Hans"/>
              </w:rPr>
            </w:pPr>
            <w:r>
              <w:rPr>
                <w:rFonts w:hint="eastAsia" w:ascii="宋体" w:hAnsi="宋体" w:eastAsia="宋体" w:cs="宋体"/>
                <w:sz w:val="21"/>
                <w:szCs w:val="21"/>
                <w:lang w:eastAsia="zh-Hans"/>
              </w:rPr>
              <w:t>1、本次投标报价采用固定总价报价，本项目最高限价为</w:t>
            </w: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万元</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年</w:t>
            </w:r>
            <w:r>
              <w:rPr>
                <w:rFonts w:hint="eastAsia" w:ascii="宋体" w:hAnsi="宋体" w:eastAsia="宋体" w:cs="宋体"/>
                <w:sz w:val="21"/>
                <w:szCs w:val="21"/>
                <w:lang w:eastAsia="zh-Hans"/>
              </w:rPr>
              <w:t>。</w:t>
            </w:r>
          </w:p>
          <w:p>
            <w:pPr>
              <w:ind w:firstLine="420" w:firstLineChars="0"/>
              <w:rPr>
                <w:rFonts w:hint="eastAsia" w:ascii="宋体" w:hAnsi="宋体" w:eastAsia="宋体" w:cs="宋体"/>
                <w:sz w:val="21"/>
                <w:szCs w:val="21"/>
                <w:lang w:eastAsia="zh-Hans"/>
              </w:rPr>
            </w:pPr>
            <w:r>
              <w:rPr>
                <w:rFonts w:hint="eastAsia" w:ascii="宋体" w:hAnsi="宋体" w:eastAsia="宋体" w:cs="宋体"/>
                <w:sz w:val="21"/>
                <w:szCs w:val="21"/>
                <w:lang w:eastAsia="zh-Hans"/>
              </w:rPr>
              <w:t>2、有效报价：指投标报价不高于最高限价的报价，高于最高限价的作无效标处理。</w:t>
            </w:r>
          </w:p>
          <w:p>
            <w:pPr>
              <w:ind w:firstLine="420" w:firstLineChars="0"/>
              <w:rPr>
                <w:rFonts w:hint="eastAsia" w:ascii="宋体" w:hAnsi="宋体" w:eastAsia="宋体" w:cs="宋体"/>
                <w:sz w:val="21"/>
                <w:szCs w:val="21"/>
                <w:lang w:eastAsia="zh-Hans"/>
              </w:rPr>
            </w:pPr>
            <w:r>
              <w:rPr>
                <w:rFonts w:hint="eastAsia" w:ascii="宋体" w:hAnsi="宋体" w:eastAsia="宋体" w:cs="宋体"/>
                <w:sz w:val="21"/>
                <w:szCs w:val="21"/>
                <w:lang w:eastAsia="zh-Hans"/>
              </w:rPr>
              <w:t>3、报价得分：价格分统一采用低价优先法计算，即满足磋商文件要求且最终报价最低的供应商的价格为磋商基准价，其价格分为满分。其他供应商的价格分统一按照下列公式计算：</w:t>
            </w:r>
          </w:p>
          <w:p>
            <w:pPr>
              <w:ind w:firstLine="420" w:firstLineChars="0"/>
              <w:rPr>
                <w:rFonts w:hint="eastAsia" w:ascii="SimSong Regular" w:hAnsi="SimSong Regular" w:eastAsia="SimSong Regular" w:cs="SimSong Regular"/>
                <w:kern w:val="2"/>
                <w:sz w:val="21"/>
                <w:szCs w:val="21"/>
                <w:lang w:val="en-US" w:eastAsia="zh-Hans" w:bidi="ar-SA"/>
              </w:rPr>
            </w:pPr>
            <w:r>
              <w:rPr>
                <w:rFonts w:hint="eastAsia" w:ascii="宋体" w:hAnsi="宋体" w:eastAsia="宋体" w:cs="宋体"/>
                <w:sz w:val="21"/>
                <w:szCs w:val="21"/>
                <w:lang w:eastAsia="zh-Hans"/>
              </w:rPr>
              <w:t>磋商报价得分=（磋商基准价/最终磋商报价）×20%×100</w:t>
            </w:r>
          </w:p>
        </w:tc>
      </w:tr>
    </w:tbl>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1、小微型企业价格扣除（本项目标的需求明确的所属行业为</w:t>
      </w:r>
      <w:r>
        <w:rPr>
          <w:rFonts w:hint="eastAsia" w:asciiTheme="majorEastAsia" w:hAnsiTheme="majorEastAsia" w:eastAsiaTheme="majorEastAsia" w:cstheme="minorEastAsia"/>
          <w:b/>
          <w:bCs/>
          <w:sz w:val="24"/>
          <w:szCs w:val="24"/>
          <w:u w:val="single"/>
          <w:lang w:val="en-US" w:eastAsia="zh-CN"/>
        </w:rPr>
        <w:t>软件和信息技术服务业</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w:t>
      </w:r>
      <w:r>
        <w:rPr>
          <w:rFonts w:hint="eastAsia" w:asciiTheme="majorEastAsia" w:hAnsiTheme="majorEastAsia" w:eastAsiaTheme="majorEastAsia" w:cstheme="minorEastAsia"/>
          <w:sz w:val="24"/>
          <w:szCs w:val="24"/>
          <w:u w:val="single"/>
        </w:rPr>
        <w:t xml:space="preserve">  10 %</w:t>
      </w:r>
      <w:r>
        <w:rPr>
          <w:rFonts w:hint="eastAsia" w:asciiTheme="majorEastAsia" w:hAnsiTheme="majorEastAsia" w:eastAsiaTheme="majorEastAsia" w:cstheme="minorEastAsia"/>
          <w:sz w:val="24"/>
          <w:szCs w:val="24"/>
        </w:rPr>
        <w:t>的扣除价格，用扣除后的价格参与评审。</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w:t>
      </w:r>
      <w:r>
        <w:rPr>
          <w:rFonts w:hint="eastAsia" w:asciiTheme="majorEastAsia" w:hAnsiTheme="majorEastAsia" w:eastAsiaTheme="majorEastAsia" w:cstheme="minorEastAsia"/>
          <w:sz w:val="24"/>
          <w:szCs w:val="24"/>
          <w:u w:val="single"/>
        </w:rPr>
        <w:t xml:space="preserve">  10 %</w:t>
      </w:r>
      <w:r>
        <w:rPr>
          <w:rFonts w:hint="eastAsia" w:asciiTheme="majorEastAsia" w:hAnsiTheme="majorEastAsia" w:eastAsiaTheme="majorEastAsia" w:cstheme="minorEastAsia"/>
          <w:sz w:val="24"/>
          <w:szCs w:val="24"/>
        </w:rPr>
        <w:t>的价格扣除，用扣除后的价格参与评审。</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  10 %的价格扣除，用扣除后的价格参与评审。</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heme="majorEastAsia" w:hAnsiTheme="majorEastAsia" w:eastAsiaTheme="majorEastAsia" w:cstheme="minorEastAsia"/>
          <w:sz w:val="24"/>
          <w:szCs w:val="24"/>
          <w:u w:val="single"/>
        </w:rPr>
        <w:t xml:space="preserve">  </w:t>
      </w:r>
      <w:r>
        <w:rPr>
          <w:rFonts w:hint="eastAsia" w:asciiTheme="majorEastAsia" w:hAnsiTheme="majorEastAsia" w:eastAsiaTheme="majorEastAsia" w:cstheme="minorEastAsia"/>
          <w:sz w:val="24"/>
          <w:szCs w:val="24"/>
          <w:u w:val="single"/>
          <w:lang w:val="en-US" w:eastAsia="zh-CN"/>
        </w:rPr>
        <w:t>4</w:t>
      </w:r>
      <w:r>
        <w:rPr>
          <w:rFonts w:hint="eastAsia" w:asciiTheme="majorEastAsia" w:hAnsiTheme="majorEastAsia" w:eastAsiaTheme="majorEastAsia" w:cstheme="minorEastAsia"/>
          <w:sz w:val="24"/>
          <w:szCs w:val="24"/>
          <w:u w:val="single"/>
        </w:rPr>
        <w:t xml:space="preserve"> %</w:t>
      </w:r>
      <w:r>
        <w:rPr>
          <w:rFonts w:hint="eastAsia" w:asciiTheme="majorEastAsia" w:hAnsiTheme="majorEastAsia" w:eastAsiaTheme="majorEastAsia" w:cstheme="minorEastAsia"/>
          <w:sz w:val="24"/>
          <w:szCs w:val="24"/>
        </w:rPr>
        <w:t xml:space="preserve">的价格扣除，用扣除后的价格参与评审。 </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6、联合体各方均为小型、微型企业（残疾人福利单位、监狱企业）的，联合体享受6%价格扣除，用扣除后的价格参与评审。</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7、专门面向中小企业采购的项目或者采购包，不再执行价格评审优惠的扶持政策。</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1、未按时交纳磋商保证金或金额不足的；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8"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8"/>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9" w:name="_Toc363573858"/>
      <w:bookmarkStart w:id="10" w:name="_Toc94585343"/>
      <w:r>
        <w:rPr>
          <w:rFonts w:hint="eastAsia" w:hAnsi="宋体" w:eastAsia="宋体"/>
          <w:sz w:val="24"/>
          <w:szCs w:val="24"/>
        </w:rPr>
        <w:t>一、成交供应商在接到《成交通知书》后3</w:t>
      </w:r>
      <w:r>
        <w:rPr>
          <w:rFonts w:hAnsi="宋体" w:eastAsia="宋体"/>
          <w:sz w:val="24"/>
          <w:szCs w:val="24"/>
        </w:rPr>
        <w:t>0</w:t>
      </w:r>
      <w:r>
        <w:rPr>
          <w:rFonts w:hint="eastAsia" w:hAnsi="宋体" w:eastAsia="宋体"/>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1" w:name="OLE_LINK2"/>
      <w:bookmarkStart w:id="12"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1"/>
      <w:bookmarkEnd w:id="12"/>
      <w:r>
        <w:rPr>
          <w:rFonts w:hint="eastAsia" w:hAnsi="宋体" w:eastAsia="宋体"/>
          <w:sz w:val="24"/>
          <w:szCs w:val="24"/>
        </w:rPr>
        <w:t>。</w:t>
      </w:r>
    </w:p>
    <w:p>
      <w:pPr>
        <w:spacing w:line="360" w:lineRule="auto"/>
        <w:ind w:firstLine="480" w:firstLineChars="200"/>
        <w:rPr>
          <w:rFonts w:hAnsi="宋体" w:eastAsia="宋体"/>
          <w:sz w:val="24"/>
          <w:szCs w:val="24"/>
        </w:rPr>
        <w:sectPr>
          <w:footerReference r:id="rId8" w:type="default"/>
          <w:pgSz w:w="11906" w:h="16838"/>
          <w:pgMar w:top="1417" w:right="1417" w:bottom="1417" w:left="1418" w:header="851" w:footer="448" w:gutter="0"/>
          <w:pgBorders>
            <w:top w:val="none" w:sz="0" w:space="0"/>
            <w:left w:val="none" w:sz="0" w:space="0"/>
            <w:bottom w:val="none" w:sz="0" w:space="0"/>
            <w:right w:val="none" w:sz="0" w:space="0"/>
          </w:pgBorders>
          <w:pgNumType w:fmt="decimal"/>
          <w:cols w:space="0" w:num="1"/>
          <w:docGrid w:type="lines" w:linePitch="380" w:charSpace="0"/>
        </w:sectPr>
      </w:pPr>
      <w:r>
        <w:rPr>
          <w:rFonts w:hint="eastAsia" w:hAnsi="宋体" w:eastAsia="宋体"/>
          <w:sz w:val="24"/>
          <w:szCs w:val="24"/>
        </w:rPr>
        <w:t>五、</w:t>
      </w:r>
      <w:r>
        <w:rPr>
          <w:rFonts w:hAnsi="宋体" w:eastAsia="宋体"/>
          <w:sz w:val="24"/>
          <w:szCs w:val="24"/>
        </w:rPr>
        <w:t>每次采购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w:t>
      </w:r>
      <w:r>
        <w:rPr>
          <w:rFonts w:hAnsi="宋体" w:eastAsia="宋体"/>
          <w:sz w:val="24"/>
          <w:szCs w:val="24"/>
        </w:rPr>
        <w:t>根据结算金额按国家有关财税规定开出合法发票交采购</w:t>
      </w:r>
      <w:r>
        <w:rPr>
          <w:rFonts w:hint="eastAsia" w:hAnsi="宋体" w:eastAsia="宋体"/>
          <w:sz w:val="24"/>
          <w:szCs w:val="24"/>
        </w:rPr>
        <w:t>人</w:t>
      </w:r>
      <w:r>
        <w:rPr>
          <w:rFonts w:hAnsi="宋体" w:eastAsia="宋体"/>
          <w:sz w:val="24"/>
          <w:szCs w:val="24"/>
        </w:rPr>
        <w:t>办理付款手续。</w:t>
      </w:r>
    </w:p>
    <w:p>
      <w:pPr>
        <w:autoSpaceDE w:val="0"/>
        <w:autoSpaceDN w:val="0"/>
        <w:adjustRightInd w:val="0"/>
        <w:snapToGrid w:val="0"/>
        <w:spacing w:line="360" w:lineRule="auto"/>
        <w:contextualSpacing/>
        <w:jc w:val="center"/>
        <w:rPr>
          <w:rFonts w:ascii="宋体" w:hAnsi="宋体" w:eastAsia="宋体" w:cs="宋体"/>
          <w:b/>
          <w:color w:val="000000"/>
          <w:sz w:val="32"/>
          <w:szCs w:val="32"/>
        </w:rPr>
      </w:pPr>
      <w:r>
        <w:rPr>
          <w:rFonts w:hint="eastAsia" w:ascii="宋体" w:hAnsi="宋体" w:eastAsia="宋体" w:cs="宋体"/>
          <w:b/>
          <w:color w:val="000000"/>
          <w:sz w:val="32"/>
          <w:szCs w:val="32"/>
        </w:rPr>
        <w:t>政府采购合同（服务类）</w:t>
      </w:r>
    </w:p>
    <w:p>
      <w:pPr>
        <w:snapToGrid w:val="0"/>
        <w:spacing w:before="120" w:after="12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南通市妇幼保健院江苏省医疗服务监管平台数据上传服务</w:t>
      </w:r>
      <w:r>
        <w:rPr>
          <w:rFonts w:hint="eastAsia" w:ascii="宋体" w:hAnsi="宋体" w:eastAsia="宋体" w:cs="Times New Roman"/>
          <w:sz w:val="24"/>
          <w:szCs w:val="24"/>
        </w:rPr>
        <w:t xml:space="preserve">采购项目                                       </w:t>
      </w:r>
    </w:p>
    <w:p>
      <w:pPr>
        <w:snapToGrid w:val="0"/>
        <w:spacing w:before="120" w:after="120"/>
        <w:rPr>
          <w:rFonts w:ascii="宋体" w:hAnsi="宋体" w:eastAsia="宋体" w:cs="Times New Roman"/>
          <w:sz w:val="24"/>
          <w:szCs w:val="24"/>
        </w:rPr>
      </w:pPr>
      <w:r>
        <w:rPr>
          <w:rFonts w:ascii="宋体" w:hAnsi="宋体" w:eastAsia="宋体" w:cs="Times New Roman"/>
          <w:sz w:val="24"/>
          <w:szCs w:val="24"/>
        </w:rPr>
        <w:t>甲方：（买方）</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南通市妇幼保健院          </w:t>
      </w:r>
    </w:p>
    <w:p>
      <w:pPr>
        <w:snapToGrid w:val="0"/>
        <w:spacing w:before="120" w:after="120"/>
        <w:rPr>
          <w:rFonts w:ascii="宋体" w:hAnsi="宋体" w:eastAsia="宋体" w:cs="Times New Roman"/>
          <w:sz w:val="24"/>
          <w:szCs w:val="24"/>
        </w:rPr>
      </w:pPr>
      <w:r>
        <w:rPr>
          <w:rFonts w:ascii="宋体" w:hAnsi="宋体" w:eastAsia="宋体" w:cs="Times New Roman"/>
          <w:sz w:val="24"/>
          <w:szCs w:val="24"/>
        </w:rPr>
        <w:t>乙方：（卖方）</w:t>
      </w:r>
      <w:r>
        <w:rPr>
          <w:rFonts w:hint="eastAsia" w:ascii="宋体" w:hAnsi="宋体" w:eastAsia="宋体" w:cs="Times New Roman"/>
          <w:sz w:val="24"/>
          <w:szCs w:val="24"/>
          <w:u w:val="single"/>
        </w:rPr>
        <w:t xml:space="preserve"> </w:t>
      </w:r>
      <w:r>
        <w:rPr>
          <w:rFonts w:hint="eastAsia" w:ascii="宋体" w:hAnsi="宋体" w:cs="Arial"/>
          <w:bCs/>
          <w:kern w:val="0"/>
          <w:sz w:val="24"/>
          <w:u w:val="single"/>
          <w:lang w:bidi="ar"/>
        </w:rPr>
        <w:t xml:space="preserve"> </w:t>
      </w:r>
      <w:r>
        <w:rPr>
          <w:rFonts w:ascii="宋体" w:hAnsi="宋体" w:cs="Arial"/>
          <w:bCs/>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宋体" w:cs="Times New Roman"/>
          <w:sz w:val="24"/>
          <w:szCs w:val="24"/>
        </w:rPr>
      </w:pPr>
      <w:r>
        <w:rPr>
          <w:rFonts w:hint="eastAsia" w:ascii="宋体" w:hAnsi="宋体" w:eastAsia="宋体" w:cs="Times New Roman"/>
          <w:sz w:val="24"/>
          <w:szCs w:val="24"/>
        </w:rPr>
        <w:t xml:space="preserve">    根据《中华人民共和国民法典（合同编）》、《中华人民共和国政府采购法》等法律法规的规定以及</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eastAsia="zh-CN"/>
        </w:rPr>
        <w:t>南通市妇幼保健院江苏省医疗服务监管平台数据上传服务</w:t>
      </w:r>
      <w:r>
        <w:rPr>
          <w:rFonts w:hint="eastAsia" w:ascii="宋体" w:hAnsi="宋体" w:eastAsia="宋体" w:cs="Times New Roman"/>
          <w:sz w:val="24"/>
          <w:szCs w:val="24"/>
          <w:u w:val="single"/>
        </w:rPr>
        <w:t>采购项目</w:t>
      </w:r>
      <w:r>
        <w:rPr>
          <w:rFonts w:hint="eastAsia" w:ascii="宋体" w:hAnsi="宋体" w:eastAsia="宋体" w:cs="Times New Roman"/>
          <w:sz w:val="24"/>
          <w:szCs w:val="24"/>
        </w:rPr>
        <w:t>采购结果，甲乙双方遵循平等、自愿、公平、诚实信用的原则，就</w:t>
      </w:r>
      <w:r>
        <w:rPr>
          <w:rFonts w:hint="eastAsia" w:ascii="宋体" w:hAnsi="宋体" w:eastAsia="宋体" w:cs="Times New Roman"/>
          <w:sz w:val="24"/>
          <w:szCs w:val="24"/>
          <w:u w:val="single"/>
          <w:lang w:eastAsia="zh-CN"/>
        </w:rPr>
        <w:t>南通市妇幼保健院江苏省医疗服务监管平台数据上传服务</w:t>
      </w:r>
      <w:r>
        <w:rPr>
          <w:rFonts w:hint="eastAsia" w:ascii="宋体" w:hAnsi="宋体" w:eastAsia="宋体" w:cs="Times New Roman"/>
          <w:sz w:val="24"/>
          <w:szCs w:val="24"/>
          <w:u w:val="single"/>
        </w:rPr>
        <w:t>采购项目</w:t>
      </w:r>
      <w:r>
        <w:rPr>
          <w:rFonts w:hint="eastAsia" w:ascii="宋体" w:hAnsi="宋体" w:eastAsia="宋体" w:cs="Times New Roman"/>
          <w:sz w:val="24"/>
          <w:szCs w:val="24"/>
        </w:rPr>
        <w:t>事宜经双方协商一致，订立本合同。</w:t>
      </w:r>
    </w:p>
    <w:p>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一、</w:t>
      </w:r>
      <w:r>
        <w:rPr>
          <w:rFonts w:hint="eastAsia" w:ascii="宋体" w:hAnsi="宋体" w:eastAsia="宋体" w:cs="Times New Roman"/>
          <w:b/>
          <w:sz w:val="24"/>
          <w:szCs w:val="24"/>
        </w:rPr>
        <w:t>合同</w:t>
      </w:r>
      <w:r>
        <w:rPr>
          <w:rFonts w:ascii="宋体" w:hAnsi="宋体" w:eastAsia="宋体" w:cs="Times New Roman"/>
          <w:b/>
          <w:sz w:val="24"/>
          <w:szCs w:val="24"/>
        </w:rPr>
        <w:t>内容</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宋体" w:cs="Times New Roman"/>
          <w:sz w:val="24"/>
          <w:szCs w:val="24"/>
        </w:rPr>
      </w:pPr>
      <w:r>
        <w:rPr>
          <w:rFonts w:ascii="宋体" w:hAnsi="宋体" w:eastAsia="宋体" w:cs="Times New Roman"/>
          <w:sz w:val="24"/>
          <w:szCs w:val="24"/>
        </w:rPr>
        <w:t xml:space="preserve">1.1 </w:t>
      </w:r>
      <w:r>
        <w:rPr>
          <w:rFonts w:hint="eastAsia" w:ascii="宋体" w:hAnsi="宋体" w:eastAsia="宋体" w:cs="Times New Roman"/>
          <w:sz w:val="24"/>
          <w:szCs w:val="24"/>
        </w:rPr>
        <w:t>标的</w:t>
      </w:r>
      <w:r>
        <w:rPr>
          <w:rFonts w:ascii="宋体" w:hAnsi="宋体" w:eastAsia="宋体" w:cs="Times New Roman"/>
          <w:sz w:val="24"/>
          <w:szCs w:val="24"/>
        </w:rPr>
        <w:t>名称：</w:t>
      </w:r>
      <w:r>
        <w:rPr>
          <w:rFonts w:hint="eastAsia" w:ascii="宋体" w:hAnsi="宋体" w:eastAsia="宋体" w:cs="Times New Roman"/>
          <w:sz w:val="24"/>
          <w:szCs w:val="24"/>
          <w:lang w:eastAsia="zh-CN"/>
        </w:rPr>
        <w:t>南通市妇幼保健院江苏省医疗服务监管平台数据上传服务</w:t>
      </w:r>
      <w:r>
        <w:rPr>
          <w:rFonts w:hint="eastAsia" w:ascii="宋体" w:hAnsi="宋体" w:eastAsia="宋体" w:cs="Times New Roman"/>
          <w:sz w:val="24"/>
          <w:szCs w:val="24"/>
        </w:rPr>
        <w:t>采购项目；</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宋体" w:cs="Times New Roman"/>
          <w:sz w:val="24"/>
          <w:szCs w:val="24"/>
          <w:highlight w:val="none"/>
        </w:rPr>
      </w:pPr>
      <w:r>
        <w:rPr>
          <w:rFonts w:ascii="宋体" w:hAnsi="宋体" w:eastAsia="宋体" w:cs="Times New Roman"/>
          <w:sz w:val="24"/>
          <w:szCs w:val="24"/>
        </w:rPr>
        <w:t>1.2</w:t>
      </w:r>
      <w:r>
        <w:rPr>
          <w:rFonts w:hint="eastAsia" w:ascii="宋体" w:hAnsi="宋体" w:eastAsia="宋体" w:cs="Times New Roman"/>
          <w:sz w:val="24"/>
          <w:szCs w:val="24"/>
        </w:rPr>
        <w:t>标的质量：满足</w:t>
      </w:r>
      <w:r>
        <w:rPr>
          <w:rFonts w:hint="eastAsia" w:ascii="宋体" w:hAnsi="宋体" w:eastAsia="宋体" w:cs="Times New Roman"/>
          <w:sz w:val="24"/>
          <w:szCs w:val="24"/>
          <w:highlight w:val="none"/>
        </w:rPr>
        <w:t>省医疗服务监管平台数据上传要求；</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1.3 服务内容及范围（规模）：详见附件1；</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1.4 履行时间（期限）：服务周期为三年，合同一年一签</w:t>
      </w:r>
      <w:r>
        <w:rPr>
          <w:rFonts w:hint="eastAsia" w:ascii="宋体" w:hAnsi="宋体"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1.5 履行地点：南通市妇幼保健院；</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1.6履行方式：远程为主，必要时可提供现场服务，包括但不限于：电话、电子邮件、微信等。</w:t>
      </w:r>
    </w:p>
    <w:p>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二、合同金额</w:t>
      </w:r>
    </w:p>
    <w:p>
      <w:pPr>
        <w:keepNext w:val="0"/>
        <w:keepLines w:val="0"/>
        <w:pageBreakBefore w:val="0"/>
        <w:widowControl w:val="0"/>
        <w:kinsoku/>
        <w:wordWrap/>
        <w:overflowPunct/>
        <w:topLinePunct w:val="0"/>
        <w:autoSpaceDE/>
        <w:autoSpaceDN/>
        <w:bidi w:val="0"/>
        <w:adjustRightInd/>
        <w:snapToGrid w:val="0"/>
        <w:spacing w:line="300" w:lineRule="auto"/>
        <w:ind w:left="0" w:hanging="410" w:hangingChars="171"/>
        <w:textAlignment w:val="auto"/>
        <w:rPr>
          <w:rFonts w:ascii="宋体" w:hAnsi="宋体" w:eastAsia="宋体" w:cs="Courier New"/>
          <w:sz w:val="24"/>
          <w:szCs w:val="24"/>
        </w:rPr>
      </w:pPr>
      <w:r>
        <w:rPr>
          <w:rFonts w:ascii="宋体" w:hAnsi="宋体" w:eastAsia="宋体" w:cs="Courier New"/>
          <w:sz w:val="24"/>
          <w:szCs w:val="24"/>
        </w:rPr>
        <w:t>2.1 本合同金额为（大写）：</w:t>
      </w:r>
      <w:r>
        <w:rPr>
          <w:rFonts w:hint="eastAsia" w:ascii="宋体" w:hAnsi="宋体" w:eastAsia="宋体" w:cs="Courier New"/>
          <w:sz w:val="24"/>
          <w:szCs w:val="24"/>
          <w:u w:val="single"/>
          <w:lang w:val="en-US" w:eastAsia="zh-CN"/>
        </w:rPr>
        <w:t>人民币             元</w:t>
      </w:r>
      <w:r>
        <w:rPr>
          <w:rFonts w:hint="eastAsia" w:ascii="宋体" w:hAnsi="宋体" w:eastAsia="宋体" w:cs="Courier New"/>
          <w:sz w:val="24"/>
          <w:szCs w:val="24"/>
          <w:u w:val="single"/>
        </w:rPr>
        <w:t>，</w:t>
      </w:r>
      <w:r>
        <w:rPr>
          <w:rFonts w:ascii="宋体" w:hAnsi="宋体" w:eastAsia="宋体" w:cs="Courier New"/>
          <w:sz w:val="24"/>
          <w:szCs w:val="24"/>
        </w:rPr>
        <w:t>（</w:t>
      </w:r>
      <w:r>
        <w:rPr>
          <w:rFonts w:hint="eastAsia" w:ascii="宋体" w:hAnsi="宋体" w:eastAsia="宋体" w:cs="Courier New"/>
          <w:sz w:val="24"/>
          <w:szCs w:val="24"/>
          <w:u w:val="single"/>
        </w:rPr>
        <w:t>小写</w:t>
      </w:r>
      <w:r>
        <w:rPr>
          <w:rFonts w:hint="eastAsia" w:ascii="宋体" w:hAnsi="宋体" w:eastAsia="宋体" w:cs="Courier New"/>
          <w:sz w:val="24"/>
          <w:szCs w:val="24"/>
          <w:u w:val="single"/>
          <w:lang w:val="en-US" w:eastAsia="zh-CN"/>
        </w:rPr>
        <w:t xml:space="preserve">¥           </w:t>
      </w:r>
      <w:r>
        <w:rPr>
          <w:rFonts w:ascii="宋体" w:hAnsi="宋体" w:eastAsia="宋体" w:cs="Courier New"/>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left="0" w:hanging="410" w:hangingChars="171"/>
        <w:textAlignment w:val="auto"/>
        <w:rPr>
          <w:rFonts w:ascii="宋体" w:hAnsi="宋体" w:eastAsia="宋体" w:cs="Courier New"/>
          <w:sz w:val="24"/>
          <w:szCs w:val="24"/>
        </w:rPr>
      </w:pPr>
      <w:r>
        <w:rPr>
          <w:rFonts w:hint="eastAsia" w:ascii="宋体" w:hAnsi="宋体" w:eastAsia="宋体" w:cs="Courier New"/>
          <w:sz w:val="24"/>
          <w:szCs w:val="24"/>
        </w:rPr>
        <w:t>服务期为三年，每年服务费金额为</w:t>
      </w:r>
      <w:r>
        <w:rPr>
          <w:rFonts w:ascii="宋体" w:hAnsi="宋体" w:eastAsia="宋体" w:cs="Courier New"/>
          <w:sz w:val="24"/>
          <w:szCs w:val="24"/>
        </w:rPr>
        <w:t>（大写）：</w:t>
      </w:r>
      <w:r>
        <w:rPr>
          <w:rFonts w:hint="eastAsia" w:ascii="宋体" w:hAnsi="宋体" w:eastAsia="宋体" w:cs="Courier New"/>
          <w:sz w:val="24"/>
          <w:szCs w:val="24"/>
          <w:u w:val="single"/>
          <w:lang w:val="en-US" w:eastAsia="zh-CN"/>
        </w:rPr>
        <w:t>人民币             元</w:t>
      </w:r>
      <w:r>
        <w:rPr>
          <w:rFonts w:hint="eastAsia" w:ascii="宋体" w:hAnsi="宋体" w:eastAsia="宋体" w:cs="Courier New"/>
          <w:sz w:val="24"/>
          <w:szCs w:val="24"/>
          <w:u w:val="single"/>
        </w:rPr>
        <w:t>，</w:t>
      </w:r>
      <w:r>
        <w:rPr>
          <w:rFonts w:ascii="宋体" w:hAnsi="宋体" w:eastAsia="宋体" w:cs="Courier New"/>
          <w:sz w:val="24"/>
          <w:szCs w:val="24"/>
        </w:rPr>
        <w:t>（</w:t>
      </w:r>
      <w:r>
        <w:rPr>
          <w:rFonts w:hint="eastAsia" w:ascii="宋体" w:hAnsi="宋体" w:eastAsia="宋体" w:cs="Courier New"/>
          <w:sz w:val="24"/>
          <w:szCs w:val="24"/>
          <w:u w:val="single"/>
        </w:rPr>
        <w:t>小写</w:t>
      </w:r>
      <w:r>
        <w:rPr>
          <w:rFonts w:hint="eastAsia" w:ascii="宋体" w:hAnsi="宋体" w:eastAsia="宋体" w:cs="Courier New"/>
          <w:sz w:val="24"/>
          <w:szCs w:val="24"/>
          <w:u w:val="single"/>
          <w:lang w:val="en-US" w:eastAsia="zh-CN"/>
        </w:rPr>
        <w:t xml:space="preserve">¥           </w:t>
      </w:r>
      <w:r>
        <w:rPr>
          <w:rFonts w:ascii="宋体" w:hAnsi="宋体" w:eastAsia="宋体" w:cs="Courier New"/>
          <w:sz w:val="24"/>
          <w:szCs w:val="24"/>
        </w:rPr>
        <w:t>）。</w:t>
      </w:r>
    </w:p>
    <w:p>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三、技术资料</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3.1 乙方应按谈判文件规定的时间向甲方提供服务（包含与服务相关的产品）的有关技术资料。</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四、知识产权</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4.1 乙方应保证甲方在使用、接受本合同服务（包含与服务相关的产品）或其任何一部分时不受第三方提出侵犯其专利权、版权、商标权和工业设计权等知识产权的起诉。一旦出现侵权，由乙方负全部责任。</w:t>
      </w:r>
    </w:p>
    <w:p>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五、产权担保</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5.1 乙方保证所交付的服务（包含与服务相关的产品）的所有权完全属于乙方且无任何抵押、查封等产权瑕疵。</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六、合同转包</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6.1 乙方不得将合同标的转包给他人履行。</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合同款项</w:t>
      </w:r>
      <w:r>
        <w:rPr>
          <w:rFonts w:ascii="宋体" w:hAnsi="宋体" w:eastAsia="宋体" w:cs="Times New Roman"/>
          <w:b/>
          <w:sz w:val="24"/>
          <w:szCs w:val="24"/>
        </w:rPr>
        <w:t>支付</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7.1 合同生效后的7个工作日内，</w:t>
      </w:r>
      <w:r>
        <w:rPr>
          <w:rFonts w:hint="eastAsia" w:ascii="宋体" w:hAnsi="宋体" w:eastAsia="宋体" w:cs="宋体"/>
          <w:sz w:val="24"/>
          <w:highlight w:val="none"/>
          <w:lang w:val="en-US" w:eastAsia="zh-CN"/>
        </w:rPr>
        <w:t>甲方向乙方支付合同总额的50%</w:t>
      </w:r>
      <w:r>
        <w:rPr>
          <w:rFonts w:hint="eastAsia" w:ascii="宋体" w:hAnsi="宋体" w:eastAsia="宋体" w:cs="Times New Roman"/>
          <w:sz w:val="24"/>
          <w:szCs w:val="24"/>
        </w:rPr>
        <w:t>，即</w:t>
      </w:r>
      <w:r>
        <w:rPr>
          <w:rFonts w:ascii="宋体" w:hAnsi="宋体" w:eastAsia="宋体" w:cs="Courier New"/>
          <w:sz w:val="24"/>
          <w:szCs w:val="24"/>
        </w:rPr>
        <w:t>（大写）：</w:t>
      </w:r>
      <w:r>
        <w:rPr>
          <w:rFonts w:hint="eastAsia" w:ascii="宋体" w:hAnsi="宋体" w:eastAsia="宋体" w:cs="Courier New"/>
          <w:sz w:val="24"/>
          <w:szCs w:val="24"/>
          <w:u w:val="single"/>
          <w:lang w:val="en-US" w:eastAsia="zh-CN"/>
        </w:rPr>
        <w:t>人民币             元</w:t>
      </w:r>
      <w:r>
        <w:rPr>
          <w:rFonts w:hint="eastAsia" w:ascii="宋体" w:hAnsi="宋体" w:eastAsia="宋体" w:cs="Courier New"/>
          <w:sz w:val="24"/>
          <w:szCs w:val="24"/>
          <w:u w:val="single"/>
        </w:rPr>
        <w:t>，</w:t>
      </w:r>
      <w:r>
        <w:rPr>
          <w:rFonts w:ascii="宋体" w:hAnsi="宋体" w:eastAsia="宋体" w:cs="Courier New"/>
          <w:sz w:val="24"/>
          <w:szCs w:val="24"/>
        </w:rPr>
        <w:t>（</w:t>
      </w:r>
      <w:r>
        <w:rPr>
          <w:rFonts w:hint="eastAsia" w:ascii="宋体" w:hAnsi="宋体" w:eastAsia="宋体" w:cs="Courier New"/>
          <w:sz w:val="24"/>
          <w:szCs w:val="24"/>
          <w:u w:val="single"/>
        </w:rPr>
        <w:t>小写</w:t>
      </w:r>
      <w:r>
        <w:rPr>
          <w:rFonts w:hint="eastAsia" w:ascii="宋体" w:hAnsi="宋体" w:eastAsia="宋体" w:cs="Courier New"/>
          <w:sz w:val="24"/>
          <w:szCs w:val="24"/>
          <w:u w:val="single"/>
          <w:lang w:val="en-US" w:eastAsia="zh-CN"/>
        </w:rPr>
        <w:t xml:space="preserve">¥           </w:t>
      </w:r>
      <w:r>
        <w:rPr>
          <w:rFonts w:ascii="宋体" w:hAnsi="宋体" w:eastAsia="宋体" w:cs="Courier New"/>
          <w:sz w:val="24"/>
          <w:szCs w:val="24"/>
        </w:rPr>
        <w:t>）</w:t>
      </w:r>
      <w:r>
        <w:rPr>
          <w:rFonts w:hint="eastAsia" w:ascii="宋体" w:hAnsi="宋体" w:eastAsia="宋体" w:cs="Times New Roman"/>
          <w:sz w:val="24"/>
          <w:szCs w:val="24"/>
        </w:rPr>
        <w:t>（该金额为含税金额）。</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Courier New"/>
          <w:sz w:val="24"/>
          <w:szCs w:val="24"/>
        </w:rPr>
      </w:pPr>
      <w:r>
        <w:rPr>
          <w:rFonts w:hint="eastAsia" w:ascii="宋体" w:hAnsi="宋体" w:eastAsia="宋体" w:cs="Times New Roman"/>
          <w:sz w:val="24"/>
          <w:szCs w:val="24"/>
        </w:rPr>
        <w:t>7.2服务期满后的7个工作日内，甲方向乙方支付合同总额的</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rPr>
        <w:t>%，即</w:t>
      </w:r>
      <w:r>
        <w:rPr>
          <w:rFonts w:ascii="宋体" w:hAnsi="宋体" w:eastAsia="宋体" w:cs="Courier New"/>
          <w:sz w:val="24"/>
          <w:szCs w:val="24"/>
        </w:rPr>
        <w:t>（大写）：</w:t>
      </w:r>
      <w:r>
        <w:rPr>
          <w:rFonts w:hint="eastAsia" w:ascii="宋体" w:hAnsi="宋体" w:eastAsia="宋体" w:cs="Courier New"/>
          <w:sz w:val="24"/>
          <w:szCs w:val="24"/>
          <w:u w:val="single"/>
          <w:lang w:val="en-US" w:eastAsia="zh-CN"/>
        </w:rPr>
        <w:t>人民币             元</w:t>
      </w:r>
      <w:r>
        <w:rPr>
          <w:rFonts w:hint="eastAsia" w:ascii="宋体" w:hAnsi="宋体" w:eastAsia="宋体" w:cs="Courier New"/>
          <w:sz w:val="24"/>
          <w:szCs w:val="24"/>
          <w:u w:val="single"/>
        </w:rPr>
        <w:t>，</w:t>
      </w:r>
      <w:r>
        <w:rPr>
          <w:rFonts w:ascii="宋体" w:hAnsi="宋体" w:eastAsia="宋体" w:cs="Courier New"/>
          <w:sz w:val="24"/>
          <w:szCs w:val="24"/>
        </w:rPr>
        <w:t>（</w:t>
      </w:r>
      <w:r>
        <w:rPr>
          <w:rFonts w:hint="eastAsia" w:ascii="宋体" w:hAnsi="宋体" w:eastAsia="宋体" w:cs="Courier New"/>
          <w:sz w:val="24"/>
          <w:szCs w:val="24"/>
          <w:u w:val="single"/>
        </w:rPr>
        <w:t>小写</w:t>
      </w:r>
      <w:r>
        <w:rPr>
          <w:rFonts w:hint="eastAsia" w:ascii="宋体" w:hAnsi="宋体" w:eastAsia="宋体" w:cs="Courier New"/>
          <w:sz w:val="24"/>
          <w:szCs w:val="24"/>
          <w:u w:val="single"/>
          <w:lang w:val="en-US" w:eastAsia="zh-CN"/>
        </w:rPr>
        <w:t xml:space="preserve">¥           </w:t>
      </w:r>
      <w:r>
        <w:rPr>
          <w:rFonts w:ascii="宋体" w:hAnsi="宋体" w:eastAsia="宋体" w:cs="Courier New"/>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7.3支付方式为：甲方确定 。</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7.4发票：乙方应在甲方付款前的五日内向甲方开具相应增值税发票。</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7.5乙方的银行账号信息：</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公司名称：</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开户银行：</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账    号：</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八、税费</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8.1 本合同执行中相关的一切税费均由乙方负担。</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w:t>
      </w:r>
      <w:r>
        <w:rPr>
          <w:rFonts w:hint="eastAsia" w:ascii="宋体" w:hAnsi="宋体" w:eastAsia="宋体" w:cs="Times New Roman"/>
          <w:b/>
          <w:sz w:val="24"/>
          <w:szCs w:val="24"/>
        </w:rPr>
        <w:t>项目</w:t>
      </w:r>
      <w:r>
        <w:rPr>
          <w:rFonts w:ascii="宋体" w:hAnsi="宋体" w:eastAsia="宋体" w:cs="Times New Roman"/>
          <w:b/>
          <w:sz w:val="24"/>
          <w:szCs w:val="24"/>
        </w:rPr>
        <w:t>验收</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9.1 甲方依法组织履约验收工作。</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9.3 对于实际使用人和甲方分离的项目，甲方邀请实际使用人参与验收。</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9.4 如有必要，甲方邀请参加本项目的其他供应商、服务对象、第三方专业机构及专家参与验收，相关意见将作为验收书的参考资料。</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9.6 验收合格的项目,甲方根据采购合同的约定及时向乙方支付合同款项。验收不合格的项目，乙方依法及时处理。采购合同的履行、违约责任和解决争议的方式等适用《中华人民共和国民法典（合同编）》。乙方在履约过程中有政府采购法律法规规定的违法违规情形的,甲方将及时报告本级财政部门。</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、违约责任</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10</w:t>
      </w:r>
      <w:r>
        <w:rPr>
          <w:rFonts w:ascii="宋体" w:hAnsi="宋体" w:eastAsia="宋体" w:cs="Courier New"/>
          <w:sz w:val="24"/>
          <w:szCs w:val="24"/>
        </w:rPr>
        <w:t>.1 甲方无正当理由</w:t>
      </w:r>
      <w:r>
        <w:rPr>
          <w:rFonts w:hint="eastAsia" w:ascii="宋体" w:hAnsi="宋体" w:eastAsia="宋体" w:cs="Courier New"/>
          <w:sz w:val="24"/>
          <w:szCs w:val="24"/>
        </w:rPr>
        <w:t>拒绝接受乙方提供服务</w:t>
      </w:r>
      <w:r>
        <w:rPr>
          <w:rFonts w:ascii="宋体" w:hAnsi="宋体" w:eastAsia="宋体" w:cs="Courier New"/>
          <w:sz w:val="24"/>
          <w:szCs w:val="24"/>
        </w:rPr>
        <w:t>的，甲方向乙方偿付</w:t>
      </w:r>
      <w:r>
        <w:rPr>
          <w:rFonts w:hint="eastAsia" w:ascii="宋体" w:hAnsi="宋体" w:eastAsia="宋体" w:cs="Courier New"/>
          <w:sz w:val="24"/>
          <w:szCs w:val="24"/>
        </w:rPr>
        <w:t>拒绝接受服务合同价款</w:t>
      </w:r>
      <w:r>
        <w:rPr>
          <w:rFonts w:ascii="宋体" w:hAnsi="宋体" w:eastAsia="宋体" w:cs="Courier New"/>
          <w:sz w:val="24"/>
          <w:szCs w:val="24"/>
        </w:rPr>
        <w:t>总值</w:t>
      </w:r>
      <w:r>
        <w:rPr>
          <w:rFonts w:hint="eastAsia" w:ascii="宋体" w:hAnsi="宋体" w:eastAsia="宋体" w:cs="Courier New"/>
          <w:sz w:val="24"/>
          <w:szCs w:val="24"/>
          <w:u w:val="single"/>
        </w:rPr>
        <w:t xml:space="preserve"> </w:t>
      </w:r>
      <w:r>
        <w:rPr>
          <w:rFonts w:hint="eastAsia" w:ascii="宋体" w:hAnsi="宋体" w:eastAsia="宋体" w:cs="宋体"/>
          <w:sz w:val="24"/>
          <w:u w:val="single"/>
        </w:rPr>
        <w:t>20</w:t>
      </w:r>
      <w:r>
        <w:rPr>
          <w:rFonts w:hint="eastAsia" w:ascii="宋体" w:hAnsi="宋体" w:cs="宋体"/>
          <w:sz w:val="24"/>
          <w:u w:val="single"/>
        </w:rPr>
        <w:t>%</w:t>
      </w:r>
      <w:r>
        <w:rPr>
          <w:rFonts w:hint="eastAsia" w:ascii="宋体" w:hAnsi="宋体" w:eastAsia="宋体" w:cs="Courier New"/>
          <w:sz w:val="24"/>
          <w:szCs w:val="24"/>
          <w:u w:val="single"/>
        </w:rPr>
        <w:t xml:space="preserve"> </w:t>
      </w:r>
      <w:r>
        <w:rPr>
          <w:rFonts w:ascii="宋体" w:hAnsi="宋体" w:eastAsia="宋体" w:cs="Courier New"/>
          <w:sz w:val="24"/>
          <w:szCs w:val="24"/>
        </w:rPr>
        <w:t>的违约金。</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10</w:t>
      </w:r>
      <w:r>
        <w:rPr>
          <w:rFonts w:ascii="宋体" w:hAnsi="宋体" w:eastAsia="宋体" w:cs="Courier New"/>
          <w:sz w:val="24"/>
          <w:szCs w:val="24"/>
        </w:rPr>
        <w:t>.2 甲方无故逾期验收和办理</w:t>
      </w:r>
      <w:r>
        <w:rPr>
          <w:rFonts w:hint="eastAsia" w:ascii="宋体" w:hAnsi="宋体" w:eastAsia="宋体" w:cs="Courier New"/>
          <w:sz w:val="24"/>
          <w:szCs w:val="24"/>
        </w:rPr>
        <w:t>合同款项</w:t>
      </w:r>
      <w:r>
        <w:rPr>
          <w:rFonts w:ascii="宋体" w:hAnsi="宋体" w:eastAsia="宋体" w:cs="Courier New"/>
          <w:sz w:val="24"/>
          <w:szCs w:val="24"/>
        </w:rPr>
        <w:t>支付手续的,甲方应按逾期付款总额每日</w:t>
      </w:r>
      <w:r>
        <w:rPr>
          <w:rFonts w:hint="eastAsia" w:ascii="宋体" w:hAnsi="宋体" w:eastAsia="宋体" w:cs="Courier New"/>
          <w:sz w:val="24"/>
          <w:szCs w:val="24"/>
          <w:u w:val="single"/>
        </w:rPr>
        <w:t xml:space="preserve"> 万分之二 </w:t>
      </w:r>
      <w:r>
        <w:rPr>
          <w:rFonts w:ascii="宋体" w:hAnsi="宋体" w:eastAsia="宋体" w:cs="Courier New"/>
          <w:sz w:val="24"/>
          <w:szCs w:val="24"/>
        </w:rPr>
        <w:t>向乙方支付违约金。</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10</w:t>
      </w:r>
      <w:r>
        <w:rPr>
          <w:rFonts w:ascii="宋体" w:hAnsi="宋体" w:eastAsia="宋体" w:cs="Courier New"/>
          <w:sz w:val="24"/>
          <w:szCs w:val="24"/>
        </w:rPr>
        <w:t>.3 乙方逾期</w:t>
      </w:r>
      <w:r>
        <w:rPr>
          <w:rFonts w:hint="eastAsia" w:ascii="宋体" w:hAnsi="宋体" w:eastAsia="宋体" w:cs="Courier New"/>
          <w:sz w:val="24"/>
          <w:szCs w:val="24"/>
        </w:rPr>
        <w:t>提供服务</w:t>
      </w:r>
      <w:r>
        <w:rPr>
          <w:rFonts w:ascii="宋体" w:hAnsi="宋体" w:eastAsia="宋体" w:cs="Courier New"/>
          <w:sz w:val="24"/>
          <w:szCs w:val="24"/>
        </w:rPr>
        <w:t>的，乙方应按逾期</w:t>
      </w:r>
      <w:r>
        <w:rPr>
          <w:rFonts w:hint="eastAsia" w:ascii="宋体" w:hAnsi="宋体" w:eastAsia="宋体" w:cs="Courier New"/>
          <w:sz w:val="24"/>
          <w:szCs w:val="24"/>
        </w:rPr>
        <w:t>提供服务合同</w:t>
      </w:r>
      <w:r>
        <w:rPr>
          <w:rFonts w:ascii="宋体" w:hAnsi="宋体" w:eastAsia="宋体" w:cs="Courier New"/>
          <w:sz w:val="24"/>
          <w:szCs w:val="24"/>
        </w:rPr>
        <w:t>总额每日</w:t>
      </w:r>
      <w:r>
        <w:rPr>
          <w:rFonts w:hint="eastAsia" w:ascii="宋体" w:hAnsi="宋体" w:eastAsia="宋体" w:cs="Courier New"/>
          <w:sz w:val="24"/>
          <w:szCs w:val="24"/>
          <w:u w:val="single"/>
        </w:rPr>
        <w:t xml:space="preserve"> 0.5</w:t>
      </w:r>
      <w:r>
        <w:rPr>
          <w:rFonts w:hint="eastAsia" w:ascii="宋体" w:hAnsi="宋体" w:cs="宋体"/>
          <w:sz w:val="24"/>
          <w:u w:val="single"/>
        </w:rPr>
        <w:t>%</w:t>
      </w:r>
      <w:r>
        <w:rPr>
          <w:rFonts w:hint="eastAsia" w:ascii="宋体" w:hAnsi="宋体" w:eastAsia="宋体" w:cs="Courier New"/>
          <w:sz w:val="24"/>
          <w:szCs w:val="24"/>
          <w:u w:val="single"/>
        </w:rPr>
        <w:t xml:space="preserve"> </w:t>
      </w:r>
      <w:r>
        <w:rPr>
          <w:rFonts w:ascii="宋体" w:hAnsi="宋体" w:eastAsia="宋体" w:cs="Courier New"/>
          <w:sz w:val="24"/>
          <w:szCs w:val="24"/>
        </w:rPr>
        <w:t>向甲方支付违约金，由甲方从待付</w:t>
      </w:r>
      <w:r>
        <w:rPr>
          <w:rFonts w:hint="eastAsia" w:ascii="宋体" w:hAnsi="宋体" w:eastAsia="宋体" w:cs="Courier New"/>
          <w:sz w:val="24"/>
          <w:szCs w:val="24"/>
        </w:rPr>
        <w:t>合同款项</w:t>
      </w:r>
      <w:r>
        <w:rPr>
          <w:rFonts w:ascii="宋体" w:hAnsi="宋体" w:eastAsia="宋体" w:cs="Courier New"/>
          <w:sz w:val="24"/>
          <w:szCs w:val="24"/>
        </w:rPr>
        <w:t>中扣除。逾期超过约定日期</w:t>
      </w:r>
      <w:r>
        <w:rPr>
          <w:rFonts w:hint="eastAsia" w:ascii="宋体" w:hAnsi="宋体" w:eastAsia="宋体" w:cs="Courier New"/>
          <w:sz w:val="24"/>
          <w:szCs w:val="24"/>
          <w:u w:val="single"/>
        </w:rPr>
        <w:t xml:space="preserve"> 30 </w:t>
      </w:r>
      <w:r>
        <w:rPr>
          <w:rFonts w:ascii="宋体" w:hAnsi="宋体" w:eastAsia="宋体" w:cs="Courier New"/>
          <w:sz w:val="24"/>
          <w:szCs w:val="24"/>
        </w:rPr>
        <w:t>个工作日不能</w:t>
      </w:r>
      <w:r>
        <w:rPr>
          <w:rFonts w:hint="eastAsia" w:ascii="宋体" w:hAnsi="宋体" w:eastAsia="宋体" w:cs="Courier New"/>
          <w:sz w:val="24"/>
          <w:szCs w:val="24"/>
        </w:rPr>
        <w:t>提供服务</w:t>
      </w:r>
      <w:r>
        <w:rPr>
          <w:rFonts w:ascii="宋体" w:hAnsi="宋体" w:eastAsia="宋体" w:cs="Courier New"/>
          <w:sz w:val="24"/>
          <w:szCs w:val="24"/>
        </w:rPr>
        <w:t>的，甲方可解除本合同。乙方因逾期</w:t>
      </w:r>
      <w:r>
        <w:rPr>
          <w:rFonts w:hint="eastAsia" w:ascii="宋体" w:hAnsi="宋体" w:eastAsia="宋体" w:cs="Courier New"/>
          <w:sz w:val="24"/>
          <w:szCs w:val="24"/>
        </w:rPr>
        <w:t>提供服务</w:t>
      </w:r>
      <w:r>
        <w:rPr>
          <w:rFonts w:ascii="宋体" w:hAnsi="宋体" w:eastAsia="宋体" w:cs="Courier New"/>
          <w:sz w:val="24"/>
          <w:szCs w:val="24"/>
        </w:rPr>
        <w:t>或因其他违约行为导致甲方解除合同的，乙方应向甲方支付合同</w:t>
      </w:r>
      <w:r>
        <w:rPr>
          <w:rFonts w:hint="eastAsia" w:ascii="宋体" w:hAnsi="宋体" w:eastAsia="宋体" w:cs="Courier New"/>
          <w:sz w:val="24"/>
          <w:szCs w:val="24"/>
        </w:rPr>
        <w:t>价款总额</w:t>
      </w:r>
      <w:r>
        <w:rPr>
          <w:rFonts w:hint="eastAsia" w:ascii="宋体" w:hAnsi="宋体" w:eastAsia="宋体" w:cs="宋体"/>
          <w:sz w:val="24"/>
          <w:u w:val="single"/>
        </w:rPr>
        <w:t>20</w:t>
      </w:r>
      <w:r>
        <w:rPr>
          <w:rFonts w:hint="eastAsia" w:ascii="宋体" w:hAnsi="宋体" w:cs="宋体"/>
          <w:sz w:val="24"/>
          <w:u w:val="single"/>
        </w:rPr>
        <w:t>%</w:t>
      </w:r>
      <w:r>
        <w:rPr>
          <w:rFonts w:ascii="宋体" w:hAnsi="宋体" w:eastAsia="宋体" w:cs="Courier New"/>
          <w:sz w:val="24"/>
          <w:szCs w:val="24"/>
        </w:rPr>
        <w:t xml:space="preserve">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10</w:t>
      </w:r>
      <w:r>
        <w:rPr>
          <w:rFonts w:ascii="宋体" w:hAnsi="宋体" w:eastAsia="宋体" w:cs="Courier New"/>
          <w:sz w:val="24"/>
          <w:szCs w:val="24"/>
        </w:rPr>
        <w:t>.4 乙方</w:t>
      </w:r>
      <w:r>
        <w:rPr>
          <w:rFonts w:hint="eastAsia" w:ascii="宋体" w:hAnsi="宋体" w:eastAsia="宋体" w:cs="Courier New"/>
          <w:sz w:val="24"/>
          <w:szCs w:val="24"/>
        </w:rPr>
        <w:t>所提供服务的标准</w:t>
      </w:r>
      <w:r>
        <w:rPr>
          <w:rFonts w:ascii="宋体" w:hAnsi="宋体" w:eastAsia="宋体" w:cs="Courier New"/>
          <w:sz w:val="24"/>
          <w:szCs w:val="24"/>
        </w:rPr>
        <w:t>不符合合同规定及采购文件规定标准的，甲方有权</w:t>
      </w:r>
      <w:r>
        <w:rPr>
          <w:rFonts w:hint="eastAsia" w:ascii="宋体" w:hAnsi="宋体" w:eastAsia="宋体" w:cs="Courier New"/>
          <w:sz w:val="24"/>
          <w:szCs w:val="24"/>
        </w:rPr>
        <w:t>拒绝接受服务</w:t>
      </w:r>
      <w:r>
        <w:rPr>
          <w:rFonts w:ascii="宋体" w:hAnsi="宋体" w:eastAsia="宋体" w:cs="Courier New"/>
          <w:sz w:val="24"/>
          <w:szCs w:val="24"/>
        </w:rPr>
        <w:t>，</w:t>
      </w:r>
      <w:r>
        <w:rPr>
          <w:rFonts w:hint="eastAsia" w:ascii="宋体" w:hAnsi="宋体" w:eastAsia="宋体" w:cs="Courier New"/>
          <w:sz w:val="24"/>
          <w:szCs w:val="24"/>
        </w:rPr>
        <w:t>并</w:t>
      </w:r>
      <w:r>
        <w:rPr>
          <w:rFonts w:ascii="宋体" w:hAnsi="宋体" w:eastAsia="宋体" w:cs="Courier New"/>
          <w:sz w:val="24"/>
          <w:szCs w:val="24"/>
        </w:rPr>
        <w:t>可单方面解除合同。</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十一</w:t>
      </w:r>
      <w:r>
        <w:rPr>
          <w:rFonts w:ascii="宋体" w:hAnsi="宋体" w:eastAsia="宋体" w:cs="Times New Roman"/>
          <w:b/>
          <w:sz w:val="24"/>
          <w:szCs w:val="24"/>
        </w:rPr>
        <w:t>、不可抗力事件处理</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11</w:t>
      </w:r>
      <w:r>
        <w:rPr>
          <w:rFonts w:ascii="宋体" w:hAnsi="宋体" w:eastAsia="宋体" w:cs="Courier New"/>
          <w:sz w:val="24"/>
          <w:szCs w:val="24"/>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11</w:t>
      </w:r>
      <w:r>
        <w:rPr>
          <w:rFonts w:ascii="宋体" w:hAnsi="宋体" w:eastAsia="宋体" w:cs="Courier New"/>
          <w:sz w:val="24"/>
          <w:szCs w:val="24"/>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11</w:t>
      </w:r>
      <w:r>
        <w:rPr>
          <w:rFonts w:ascii="宋体" w:hAnsi="宋体" w:eastAsia="宋体" w:cs="Courier New"/>
          <w:sz w:val="24"/>
          <w:szCs w:val="24"/>
        </w:rPr>
        <w:t>.3 不可抗力事件延续120天以上，双方应通过友好协商，确定是否继续履行合同。</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十二</w:t>
      </w:r>
      <w:r>
        <w:rPr>
          <w:rFonts w:ascii="宋体" w:hAnsi="宋体" w:eastAsia="宋体" w:cs="Times New Roman"/>
          <w:b/>
          <w:sz w:val="24"/>
          <w:szCs w:val="24"/>
        </w:rPr>
        <w:t>、诉讼</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12</w:t>
      </w:r>
      <w:r>
        <w:rPr>
          <w:rFonts w:ascii="宋体" w:hAnsi="宋体" w:eastAsia="宋体" w:cs="Courier New"/>
          <w:sz w:val="24"/>
          <w:szCs w:val="24"/>
        </w:rPr>
        <w:t>.1 双方在执行合同中所发生的一切争议，应通过协商解决。如协商不成，可向合同签订地法院起诉，合同签订地在此约定为</w:t>
      </w:r>
      <w:r>
        <w:rPr>
          <w:rFonts w:hint="eastAsia" w:ascii="宋体" w:hAnsi="宋体" w:eastAsia="宋体" w:cs="Courier New"/>
          <w:sz w:val="24"/>
          <w:szCs w:val="24"/>
          <w:u w:val="single"/>
        </w:rPr>
        <w:t xml:space="preserve"> </w:t>
      </w:r>
      <w:r>
        <w:rPr>
          <w:rFonts w:hint="eastAsia" w:ascii="宋体" w:hAnsi="宋体" w:eastAsia="宋体" w:cs="Courier New"/>
          <w:sz w:val="24"/>
          <w:szCs w:val="24"/>
          <w:u w:val="single"/>
          <w:lang w:val="en-US" w:eastAsia="zh-CN"/>
        </w:rPr>
        <w:t>南通</w:t>
      </w:r>
      <w:r>
        <w:rPr>
          <w:rFonts w:hint="eastAsia" w:ascii="宋体" w:hAnsi="宋体" w:eastAsia="宋体" w:cs="Courier New"/>
          <w:sz w:val="24"/>
          <w:szCs w:val="24"/>
          <w:u w:val="single"/>
        </w:rPr>
        <w:t xml:space="preserve">市 </w:t>
      </w:r>
      <w:r>
        <w:rPr>
          <w:rFonts w:ascii="宋体" w:hAnsi="宋体" w:eastAsia="宋体" w:cs="Courier New"/>
          <w:sz w:val="24"/>
          <w:szCs w:val="24"/>
        </w:rPr>
        <w:t>。</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十三、其他</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13.1 本合同所有附件、谈判文件、中标通知书均为合同的有效组成部分，与本合同具有同等法律效力。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13.2 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13.3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ascii="宋体" w:hAnsi="宋体" w:eastAsia="宋体" w:cs="Courier New"/>
          <w:sz w:val="24"/>
          <w:szCs w:val="24"/>
        </w:rPr>
      </w:pPr>
      <w:r>
        <w:rPr>
          <w:rFonts w:hint="eastAsia" w:ascii="宋体" w:hAnsi="宋体" w:eastAsia="宋体" w:cs="Courier New"/>
          <w:sz w:val="24"/>
          <w:szCs w:val="24"/>
        </w:rPr>
        <w:t>13</w:t>
      </w:r>
      <w:r>
        <w:rPr>
          <w:rFonts w:ascii="宋体" w:hAnsi="宋体" w:eastAsia="宋体" w:cs="Courier New"/>
          <w:sz w:val="24"/>
          <w:szCs w:val="24"/>
        </w:rPr>
        <w:t>.</w:t>
      </w:r>
      <w:r>
        <w:rPr>
          <w:rFonts w:hint="eastAsia" w:ascii="宋体" w:hAnsi="宋体" w:eastAsia="宋体" w:cs="Courier New"/>
          <w:sz w:val="24"/>
          <w:szCs w:val="24"/>
        </w:rPr>
        <w:t>4</w:t>
      </w:r>
      <w:r>
        <w:rPr>
          <w:rFonts w:ascii="宋体" w:hAnsi="宋体" w:eastAsia="宋体" w:cs="Courier New"/>
          <w:sz w:val="24"/>
          <w:szCs w:val="24"/>
        </w:rPr>
        <w:t>本合同未尽事宜，遵照</w:t>
      </w:r>
      <w:r>
        <w:rPr>
          <w:rFonts w:hint="eastAsia" w:ascii="宋体" w:hAnsi="宋体" w:eastAsia="宋体" w:cs="Courier New"/>
          <w:sz w:val="24"/>
          <w:szCs w:val="24"/>
        </w:rPr>
        <w:t>《中华人民共和国民法典（合同编）》</w:t>
      </w:r>
      <w:r>
        <w:rPr>
          <w:rFonts w:ascii="宋体" w:hAnsi="宋体" w:eastAsia="宋体" w:cs="Courier New"/>
          <w:sz w:val="24"/>
          <w:szCs w:val="24"/>
        </w:rPr>
        <w:t>有关条文执行。</w:t>
      </w:r>
    </w:p>
    <w:p>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十四</w:t>
      </w:r>
      <w:r>
        <w:rPr>
          <w:rFonts w:ascii="宋体" w:hAnsi="宋体" w:eastAsia="宋体" w:cs="Times New Roman"/>
          <w:b/>
          <w:sz w:val="24"/>
          <w:szCs w:val="24"/>
        </w:rPr>
        <w:t>、合同生效</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hint="eastAsia" w:ascii="宋体" w:hAnsi="宋体" w:eastAsia="宋体" w:cs="Courier New"/>
          <w:sz w:val="24"/>
          <w:szCs w:val="24"/>
        </w:rPr>
      </w:pPr>
      <w:r>
        <w:rPr>
          <w:rFonts w:hint="eastAsia" w:ascii="宋体" w:hAnsi="宋体" w:eastAsia="宋体" w:cs="Courier New"/>
          <w:sz w:val="24"/>
          <w:szCs w:val="24"/>
        </w:rPr>
        <w:t>14.1 合同经双方法定代表人或授权委托代表人签字并加盖单位公章后生效。</w:t>
      </w:r>
    </w:p>
    <w:p>
      <w:pPr>
        <w:keepNext w:val="0"/>
        <w:keepLines w:val="0"/>
        <w:pageBreakBefore w:val="0"/>
        <w:widowControl w:val="0"/>
        <w:kinsoku/>
        <w:wordWrap/>
        <w:overflowPunct/>
        <w:topLinePunct w:val="0"/>
        <w:autoSpaceDE/>
        <w:autoSpaceDN/>
        <w:bidi w:val="0"/>
        <w:adjustRightInd/>
        <w:snapToGrid w:val="0"/>
        <w:spacing w:line="300" w:lineRule="auto"/>
        <w:ind w:left="0" w:hanging="612" w:hangingChars="255"/>
        <w:textAlignment w:val="auto"/>
        <w:rPr>
          <w:rFonts w:hint="eastAsia" w:ascii="宋体" w:hAnsi="宋体" w:eastAsia="宋体" w:cs="Courier New"/>
          <w:sz w:val="24"/>
          <w:szCs w:val="24"/>
        </w:rPr>
      </w:pPr>
      <w:r>
        <w:rPr>
          <w:rFonts w:hint="eastAsia" w:ascii="宋体" w:hAnsi="宋体" w:eastAsia="宋体" w:cs="Courier New"/>
          <w:sz w:val="24"/>
          <w:szCs w:val="24"/>
        </w:rPr>
        <w:t>14.2 本合同正本一式</w:t>
      </w:r>
      <w:r>
        <w:rPr>
          <w:rFonts w:hint="eastAsia" w:ascii="宋体" w:hAnsi="宋体" w:eastAsia="宋体" w:cs="Courier New"/>
          <w:sz w:val="24"/>
          <w:szCs w:val="24"/>
          <w:u w:val="single"/>
        </w:rPr>
        <w:t xml:space="preserve">  肆 </w:t>
      </w:r>
      <w:r>
        <w:rPr>
          <w:rFonts w:hint="eastAsia" w:ascii="宋体" w:hAnsi="宋体" w:eastAsia="宋体" w:cs="Courier New"/>
          <w:sz w:val="24"/>
          <w:szCs w:val="24"/>
        </w:rPr>
        <w:t>份，双方各执贰份。</w:t>
      </w:r>
    </w:p>
    <w:p>
      <w:pPr>
        <w:snapToGrid w:val="0"/>
        <w:spacing w:before="120" w:after="120" w:line="0" w:lineRule="atLeast"/>
        <w:ind w:left="480" w:hanging="480" w:hangingChars="200"/>
        <w:rPr>
          <w:rFonts w:ascii="宋体" w:hAnsi="宋体" w:eastAsia="宋体" w:cs="Courier New"/>
          <w:sz w:val="24"/>
          <w:szCs w:val="24"/>
        </w:rPr>
      </w:pPr>
      <w:r>
        <w:rPr>
          <w:rFonts w:ascii="宋体" w:hAnsi="宋体" w:eastAsia="宋体" w:cs="Courier New"/>
          <w:sz w:val="24"/>
          <w:szCs w:val="24"/>
        </w:rPr>
        <w:t xml:space="preserve">  </w:t>
      </w:r>
    </w:p>
    <w:p>
      <w:pPr>
        <w:pStyle w:val="22"/>
        <w:rPr>
          <w:rFonts w:ascii="宋体" w:hAnsi="宋体" w:eastAsia="宋体" w:cs="Courier New"/>
          <w:sz w:val="24"/>
          <w:szCs w:val="24"/>
        </w:rPr>
      </w:pPr>
    </w:p>
    <w:p>
      <w:pPr>
        <w:pStyle w:val="22"/>
        <w:rPr>
          <w:rFonts w:ascii="宋体" w:hAnsi="宋体" w:eastAsia="宋体" w:cs="Courier New"/>
          <w:sz w:val="24"/>
          <w:szCs w:val="24"/>
        </w:rPr>
      </w:pPr>
      <w:r>
        <w:rPr>
          <w:rFonts w:hint="eastAsia" w:ascii="宋体" w:hAnsi="宋体" w:eastAsia="宋体" w:cs="Courier New"/>
          <w:sz w:val="24"/>
          <w:szCs w:val="24"/>
        </w:rPr>
        <w:t>（以下为签字盖章处）</w:t>
      </w:r>
    </w:p>
    <w:p>
      <w:pPr>
        <w:pStyle w:val="22"/>
        <w:rPr>
          <w:rFonts w:ascii="宋体" w:hAnsi="宋体" w:eastAsia="宋体" w:cs="Courier New"/>
          <w:sz w:val="24"/>
          <w:szCs w:val="24"/>
        </w:rPr>
      </w:pPr>
    </w:p>
    <w:p>
      <w:pPr>
        <w:snapToGrid w:val="0"/>
        <w:spacing w:before="120" w:after="120" w:line="0" w:lineRule="atLeast"/>
        <w:ind w:left="480" w:hanging="480" w:hangingChars="200"/>
        <w:rPr>
          <w:rFonts w:ascii="宋体" w:hAnsi="宋体" w:eastAsia="宋体" w:cs="Courier New"/>
          <w:sz w:val="24"/>
          <w:szCs w:val="24"/>
        </w:rPr>
      </w:pPr>
      <w:r>
        <w:rPr>
          <w:rFonts w:hint="eastAsia" w:ascii="宋体" w:hAnsi="宋体" w:eastAsia="宋体" w:cs="Courier New"/>
          <w:sz w:val="24"/>
          <w:szCs w:val="24"/>
        </w:rPr>
        <w:t xml:space="preserve"> </w:t>
      </w:r>
      <w:r>
        <w:rPr>
          <w:rFonts w:ascii="宋体" w:hAnsi="宋体" w:eastAsia="宋体" w:cs="Courier New"/>
          <w:sz w:val="24"/>
          <w:szCs w:val="24"/>
        </w:rPr>
        <w:t>甲方：</w:t>
      </w:r>
      <w:r>
        <w:rPr>
          <w:rFonts w:hint="eastAsia" w:ascii="宋体" w:hAnsi="宋体" w:eastAsia="宋体" w:cs="Times New Roman"/>
          <w:sz w:val="24"/>
          <w:szCs w:val="24"/>
          <w:lang w:val="en-US" w:eastAsia="zh-CN"/>
        </w:rPr>
        <w:t xml:space="preserve"> </w:t>
      </w:r>
      <w:r>
        <w:rPr>
          <w:rFonts w:ascii="宋体" w:hAnsi="宋体" w:eastAsia="宋体" w:cs="Courier New"/>
          <w:sz w:val="24"/>
          <w:szCs w:val="24"/>
        </w:rPr>
        <w:t xml:space="preserve">                       </w:t>
      </w:r>
    </w:p>
    <w:p>
      <w:pPr>
        <w:widowControl/>
        <w:spacing w:before="156" w:beforeLines="50" w:line="276" w:lineRule="auto"/>
        <w:jc w:val="left"/>
        <w:rPr>
          <w:rFonts w:hint="eastAsia" w:ascii="宋体" w:hAnsi="宋体" w:eastAsia="宋体" w:cs="Arial"/>
          <w:bCs/>
          <w:kern w:val="0"/>
          <w:sz w:val="24"/>
          <w:lang w:eastAsia="zh-CN" w:bidi="ar"/>
        </w:rPr>
      </w:pPr>
      <w:r>
        <w:rPr>
          <w:rFonts w:ascii="宋体" w:hAnsi="宋体" w:eastAsia="宋体" w:cs="Courier New"/>
          <w:sz w:val="24"/>
          <w:szCs w:val="24"/>
        </w:rPr>
        <w:t xml:space="preserve"> 地址</w:t>
      </w:r>
      <w:r>
        <w:rPr>
          <w:rFonts w:hint="eastAsia" w:ascii="Times New Roman" w:hAnsi="Times New Roman" w:eastAsia="宋体" w:cs="Times New Roman"/>
          <w:sz w:val="24"/>
          <w:szCs w:val="24"/>
        </w:rPr>
        <w:t>：</w:t>
      </w:r>
      <w:r>
        <w:rPr>
          <w:rFonts w:hint="eastAsia" w:ascii="宋体" w:hAnsi="宋体" w:eastAsia="宋体" w:cs="Times New Roman"/>
          <w:sz w:val="24"/>
          <w:szCs w:val="24"/>
          <w:lang w:val="en-US" w:eastAsia="zh-CN"/>
        </w:rPr>
        <w:t xml:space="preserve"> </w:t>
      </w:r>
    </w:p>
    <w:p>
      <w:pPr>
        <w:snapToGrid w:val="0"/>
        <w:spacing w:before="120" w:after="120" w:line="0" w:lineRule="atLeast"/>
        <w:rPr>
          <w:rFonts w:ascii="宋体" w:hAnsi="宋体" w:eastAsia="宋体" w:cs="Courier New"/>
          <w:sz w:val="24"/>
          <w:szCs w:val="24"/>
        </w:rPr>
      </w:pPr>
      <w:r>
        <w:rPr>
          <w:rFonts w:ascii="宋体" w:hAnsi="宋体" w:eastAsia="宋体" w:cs="Courier New"/>
          <w:sz w:val="24"/>
          <w:szCs w:val="24"/>
        </w:rPr>
        <w:t xml:space="preserve"> 法定代表人</w:t>
      </w:r>
      <w:r>
        <w:rPr>
          <w:rFonts w:hint="eastAsia" w:ascii="宋体" w:hAnsi="宋体" w:eastAsia="宋体" w:cs="Courier New"/>
          <w:sz w:val="24"/>
          <w:szCs w:val="24"/>
        </w:rPr>
        <w:t>或授权代表</w:t>
      </w:r>
      <w:r>
        <w:rPr>
          <w:rFonts w:ascii="宋体" w:hAnsi="宋体" w:eastAsia="宋体" w:cs="Courier New"/>
          <w:sz w:val="24"/>
          <w:szCs w:val="24"/>
        </w:rPr>
        <w:t xml:space="preserve">：       </w:t>
      </w:r>
    </w:p>
    <w:p>
      <w:pPr>
        <w:snapToGrid w:val="0"/>
        <w:spacing w:before="120" w:after="120" w:line="0" w:lineRule="atLeast"/>
        <w:ind w:firstLine="240" w:firstLineChars="100"/>
        <w:rPr>
          <w:rFonts w:ascii="宋体" w:hAnsi="宋体" w:eastAsia="宋体" w:cs="Courier New"/>
          <w:sz w:val="24"/>
          <w:szCs w:val="24"/>
        </w:rPr>
      </w:pPr>
      <w:r>
        <w:rPr>
          <w:rFonts w:hint="eastAsia" w:ascii="宋体" w:hAnsi="宋体" w:eastAsia="宋体" w:cs="Courier New"/>
          <w:sz w:val="24"/>
          <w:szCs w:val="24"/>
        </w:rPr>
        <w:t xml:space="preserve">联系电话：   </w:t>
      </w:r>
    </w:p>
    <w:p>
      <w:pPr>
        <w:snapToGrid w:val="0"/>
        <w:spacing w:before="120" w:after="120" w:line="0" w:lineRule="atLeast"/>
        <w:ind w:firstLine="240" w:firstLineChars="100"/>
        <w:rPr>
          <w:rFonts w:ascii="宋体" w:hAnsi="宋体" w:eastAsia="宋体" w:cs="Courier New"/>
          <w:sz w:val="24"/>
          <w:szCs w:val="24"/>
        </w:rPr>
      </w:pPr>
    </w:p>
    <w:p>
      <w:pPr>
        <w:snapToGrid w:val="0"/>
        <w:spacing w:before="120" w:after="120" w:line="0" w:lineRule="atLeast"/>
        <w:ind w:left="480" w:hanging="480" w:hangingChars="200"/>
        <w:rPr>
          <w:rFonts w:ascii="宋体" w:hAnsi="宋体" w:eastAsia="宋体" w:cs="Courier New"/>
          <w:sz w:val="24"/>
          <w:szCs w:val="24"/>
        </w:rPr>
      </w:pPr>
      <w:r>
        <w:rPr>
          <w:rFonts w:hint="eastAsia" w:ascii="宋体" w:hAnsi="宋体" w:eastAsia="宋体" w:cs="Courier New"/>
          <w:sz w:val="24"/>
          <w:szCs w:val="24"/>
        </w:rPr>
        <w:t>乙</w:t>
      </w:r>
      <w:r>
        <w:rPr>
          <w:rFonts w:ascii="宋体" w:hAnsi="宋体" w:eastAsia="宋体" w:cs="Courier New"/>
          <w:sz w:val="24"/>
          <w:szCs w:val="24"/>
        </w:rPr>
        <w:t xml:space="preserve">方：                      </w:t>
      </w:r>
    </w:p>
    <w:p>
      <w:pPr>
        <w:snapToGrid w:val="0"/>
        <w:spacing w:before="120" w:after="120" w:line="0" w:lineRule="atLeast"/>
        <w:ind w:left="480" w:hanging="480" w:hangingChars="200"/>
        <w:rPr>
          <w:rFonts w:ascii="宋体" w:hAnsi="宋体" w:eastAsia="宋体" w:cs="Courier New"/>
          <w:sz w:val="24"/>
          <w:szCs w:val="24"/>
        </w:rPr>
      </w:pPr>
      <w:r>
        <w:rPr>
          <w:rFonts w:ascii="宋体" w:hAnsi="宋体" w:eastAsia="宋体" w:cs="Courier New"/>
          <w:sz w:val="24"/>
          <w:szCs w:val="24"/>
        </w:rPr>
        <w:t xml:space="preserve">地址： </w:t>
      </w:r>
    </w:p>
    <w:p>
      <w:pPr>
        <w:snapToGrid w:val="0"/>
        <w:spacing w:before="120" w:after="120" w:line="0" w:lineRule="atLeast"/>
        <w:ind w:left="480" w:hanging="480" w:hangingChars="200"/>
        <w:rPr>
          <w:rFonts w:ascii="宋体" w:hAnsi="宋体" w:eastAsia="宋体" w:cs="Courier New"/>
          <w:sz w:val="24"/>
          <w:szCs w:val="24"/>
        </w:rPr>
      </w:pPr>
      <w:r>
        <w:rPr>
          <w:rFonts w:ascii="宋体" w:hAnsi="宋体" w:eastAsia="宋体" w:cs="Courier New"/>
          <w:sz w:val="24"/>
          <w:szCs w:val="24"/>
        </w:rPr>
        <w:t>法定代表人</w:t>
      </w:r>
      <w:r>
        <w:rPr>
          <w:rFonts w:hint="eastAsia" w:ascii="宋体" w:hAnsi="宋体" w:eastAsia="宋体" w:cs="Courier New"/>
          <w:sz w:val="24"/>
          <w:szCs w:val="24"/>
        </w:rPr>
        <w:t>或授权代表</w:t>
      </w:r>
      <w:r>
        <w:rPr>
          <w:rFonts w:ascii="宋体" w:hAnsi="宋体" w:eastAsia="宋体" w:cs="Courier New"/>
          <w:sz w:val="24"/>
          <w:szCs w:val="24"/>
        </w:rPr>
        <w:t xml:space="preserve">：       </w:t>
      </w:r>
    </w:p>
    <w:p>
      <w:pPr>
        <w:snapToGrid w:val="0"/>
        <w:spacing w:before="120" w:after="120" w:line="0" w:lineRule="atLeast"/>
        <w:rPr>
          <w:rFonts w:ascii="宋体" w:hAnsi="宋体" w:eastAsia="宋体" w:cs="Courier New"/>
          <w:sz w:val="24"/>
          <w:szCs w:val="24"/>
        </w:rPr>
      </w:pPr>
      <w:r>
        <w:rPr>
          <w:rFonts w:hint="eastAsia" w:ascii="宋体" w:hAnsi="宋体" w:eastAsia="宋体" w:cs="Courier New"/>
          <w:sz w:val="24"/>
          <w:szCs w:val="24"/>
        </w:rPr>
        <w:t xml:space="preserve">联系电话：            </w:t>
      </w:r>
    </w:p>
    <w:p>
      <w:pPr>
        <w:snapToGrid w:val="0"/>
        <w:spacing w:before="120" w:after="120" w:line="0" w:lineRule="atLeast"/>
        <w:ind w:firstLine="240" w:firstLineChars="100"/>
        <w:rPr>
          <w:rFonts w:ascii="宋体" w:hAnsi="Courier New" w:eastAsia="宋体" w:cs="Courier New"/>
          <w:szCs w:val="21"/>
        </w:rPr>
      </w:pPr>
      <w:r>
        <w:rPr>
          <w:rFonts w:hint="eastAsia" w:ascii="宋体" w:hAnsi="宋体" w:eastAsia="宋体" w:cs="Courier New"/>
          <w:sz w:val="24"/>
          <w:szCs w:val="24"/>
        </w:rPr>
        <w:t xml:space="preserve"> </w:t>
      </w:r>
    </w:p>
    <w:p>
      <w:pPr>
        <w:snapToGrid w:val="0"/>
        <w:spacing w:before="120" w:after="120" w:line="0" w:lineRule="atLeast"/>
        <w:rPr>
          <w:rFonts w:ascii="宋体" w:hAnsi="宋体" w:eastAsia="宋体" w:cs="Courier New"/>
          <w:sz w:val="24"/>
          <w:szCs w:val="24"/>
        </w:rPr>
      </w:pPr>
      <w:r>
        <w:rPr>
          <w:rFonts w:hint="eastAsia" w:ascii="Times New Roman" w:hAnsi="Times New Roman" w:eastAsia="宋体" w:cs="Times New Roman"/>
          <w:szCs w:val="21"/>
        </w:rPr>
        <w:t xml:space="preserve"> </w:t>
      </w:r>
      <w:r>
        <w:rPr>
          <w:rFonts w:hint="eastAsia" w:ascii="宋体" w:hAnsi="宋体" w:eastAsia="宋体" w:cs="Courier New"/>
          <w:sz w:val="24"/>
          <w:szCs w:val="24"/>
        </w:rPr>
        <w:t xml:space="preserve"> </w:t>
      </w:r>
      <w:r>
        <w:rPr>
          <w:rFonts w:ascii="宋体" w:hAnsi="宋体" w:eastAsia="宋体" w:cs="Courier New"/>
          <w:sz w:val="24"/>
          <w:szCs w:val="24"/>
        </w:rPr>
        <w:t xml:space="preserve">签订日期：     年  </w:t>
      </w:r>
      <w:r>
        <w:rPr>
          <w:rFonts w:hint="eastAsia" w:ascii="宋体" w:hAnsi="宋体" w:eastAsia="宋体" w:cs="Courier New"/>
          <w:sz w:val="24"/>
          <w:szCs w:val="24"/>
        </w:rPr>
        <w:t xml:space="preserve">  </w:t>
      </w:r>
      <w:r>
        <w:rPr>
          <w:rFonts w:ascii="宋体" w:hAnsi="宋体" w:eastAsia="宋体" w:cs="Courier New"/>
          <w:sz w:val="24"/>
          <w:szCs w:val="24"/>
        </w:rPr>
        <w:t>月</w:t>
      </w:r>
      <w:r>
        <w:rPr>
          <w:rFonts w:hint="eastAsia" w:ascii="宋体" w:hAnsi="宋体" w:eastAsia="宋体" w:cs="Courier New"/>
          <w:sz w:val="24"/>
          <w:szCs w:val="24"/>
        </w:rPr>
        <w:t xml:space="preserve"> </w:t>
      </w:r>
      <w:r>
        <w:rPr>
          <w:rFonts w:ascii="宋体" w:hAnsi="宋体" w:eastAsia="宋体" w:cs="Courier New"/>
          <w:sz w:val="24"/>
          <w:szCs w:val="24"/>
        </w:rPr>
        <w:t xml:space="preserve"> </w:t>
      </w:r>
      <w:r>
        <w:rPr>
          <w:rFonts w:hint="eastAsia" w:ascii="宋体" w:hAnsi="宋体" w:eastAsia="宋体" w:cs="Courier New"/>
          <w:sz w:val="24"/>
          <w:szCs w:val="24"/>
        </w:rPr>
        <w:t xml:space="preserve"> </w:t>
      </w:r>
      <w:r>
        <w:rPr>
          <w:rFonts w:ascii="宋体" w:hAnsi="宋体" w:eastAsia="宋体" w:cs="Courier New"/>
          <w:sz w:val="24"/>
          <w:szCs w:val="24"/>
        </w:rPr>
        <w:t>日</w:t>
      </w:r>
      <w:bookmarkStart w:id="13" w:name="_Hlt16619369"/>
      <w:bookmarkEnd w:id="13"/>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rPr>
          <w:rFonts w:ascii="宋体" w:hAnsi="宋体" w:eastAsia="宋体" w:cs="Courier New"/>
          <w:sz w:val="24"/>
          <w:szCs w:val="24"/>
        </w:rPr>
      </w:pPr>
    </w:p>
    <w:p>
      <w:pPr>
        <w:pStyle w:val="22"/>
        <w:keepNext w:val="0"/>
        <w:keepLines w:val="0"/>
        <w:pageBreakBefore w:val="0"/>
        <w:widowControl w:val="0"/>
        <w:kinsoku/>
        <w:wordWrap/>
        <w:overflowPunct/>
        <w:topLinePunct w:val="0"/>
        <w:autoSpaceDE/>
        <w:autoSpaceDN/>
        <w:bidi w:val="0"/>
        <w:spacing w:line="300" w:lineRule="auto"/>
        <w:ind w:left="0"/>
        <w:rPr>
          <w:rFonts w:hint="eastAsia" w:ascii="宋体" w:hAnsi="宋体" w:eastAsia="宋体" w:cs="宋体"/>
          <w:sz w:val="28"/>
          <w:szCs w:val="28"/>
        </w:rPr>
      </w:pPr>
      <w:r>
        <w:rPr>
          <w:rFonts w:hint="eastAsia" w:ascii="宋体" w:hAnsi="宋体" w:eastAsia="宋体" w:cs="宋体"/>
          <w:sz w:val="28"/>
          <w:szCs w:val="28"/>
        </w:rPr>
        <w:t>附件1：服务内容及范围</w:t>
      </w:r>
    </w:p>
    <w:tbl>
      <w:tblPr>
        <w:tblStyle w:val="60"/>
        <w:tblpPr w:leftFromText="180" w:rightFromText="180" w:vertAnchor="text" w:horzAnchor="page" w:tblpX="1377" w:tblpY="806"/>
        <w:tblOverlap w:val="never"/>
        <w:tblW w:w="8845" w:type="dxa"/>
        <w:tblInd w:w="0" w:type="dxa"/>
        <w:tblLayout w:type="autofit"/>
        <w:tblCellMar>
          <w:top w:w="0" w:type="dxa"/>
          <w:left w:w="0" w:type="dxa"/>
          <w:bottom w:w="0" w:type="dxa"/>
          <w:right w:w="0" w:type="dxa"/>
        </w:tblCellMar>
      </w:tblPr>
      <w:tblGrid>
        <w:gridCol w:w="805"/>
        <w:gridCol w:w="1545"/>
        <w:gridCol w:w="6495"/>
      </w:tblGrid>
      <w:tr>
        <w:tblPrEx>
          <w:tblCellMar>
            <w:top w:w="0" w:type="dxa"/>
            <w:left w:w="0" w:type="dxa"/>
            <w:bottom w:w="0" w:type="dxa"/>
            <w:right w:w="0" w:type="dxa"/>
          </w:tblCellMar>
        </w:tblPrEx>
        <w:trPr>
          <w:trHeight w:val="616"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序号</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类别</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val="en-US" w:eastAsia="zh-Hans" w:bidi="ar"/>
              </w:rPr>
              <w:t>模块</w:t>
            </w:r>
          </w:p>
        </w:tc>
      </w:tr>
      <w:tr>
        <w:tblPrEx>
          <w:tblCellMar>
            <w:top w:w="0" w:type="dxa"/>
            <w:left w:w="0" w:type="dxa"/>
            <w:bottom w:w="0" w:type="dxa"/>
            <w:right w:w="0" w:type="dxa"/>
          </w:tblCellMar>
        </w:tblPrEx>
        <w:trPr>
          <w:trHeight w:val="48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新建上传业务流</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b w:val="0"/>
                <w:bCs/>
                <w:color w:val="000000"/>
                <w:kern w:val="0"/>
                <w:sz w:val="24"/>
                <w:szCs w:val="24"/>
                <w:highlight w:val="none"/>
                <w:lang w:val="en-US" w:eastAsia="zh-Hans" w:bidi="ar"/>
              </w:rPr>
              <w:t>新建（含检查）</w:t>
            </w:r>
            <w:r>
              <w:rPr>
                <w:rFonts w:hint="eastAsia" w:ascii="宋体" w:hAnsi="宋体" w:eastAsia="宋体" w:cs="宋体"/>
                <w:b w:val="0"/>
                <w:bCs/>
                <w:color w:val="000000"/>
                <w:kern w:val="0"/>
                <w:sz w:val="24"/>
                <w:szCs w:val="24"/>
                <w:highlight w:val="none"/>
                <w:lang w:eastAsia="zh-Hans" w:bidi="ar"/>
              </w:rPr>
              <w:t>39</w:t>
            </w:r>
            <w:r>
              <w:rPr>
                <w:rFonts w:hint="eastAsia" w:ascii="宋体" w:hAnsi="宋体" w:eastAsia="宋体" w:cs="宋体"/>
                <w:b w:val="0"/>
                <w:bCs/>
                <w:color w:val="000000"/>
                <w:kern w:val="0"/>
                <w:sz w:val="24"/>
                <w:szCs w:val="24"/>
                <w:highlight w:val="none"/>
                <w:lang w:val="en-US" w:eastAsia="zh-Hans" w:bidi="ar"/>
              </w:rPr>
              <w:t>张表数据上传业务流，确保新系统上线后的数据可以增量上传至省厅中心库。</w:t>
            </w:r>
          </w:p>
        </w:tc>
      </w:tr>
      <w:tr>
        <w:tblPrEx>
          <w:tblCellMar>
            <w:top w:w="0" w:type="dxa"/>
            <w:left w:w="0" w:type="dxa"/>
            <w:bottom w:w="0" w:type="dxa"/>
            <w:right w:w="0" w:type="dxa"/>
          </w:tblCellMar>
        </w:tblPrEx>
        <w:trPr>
          <w:trHeight w:val="48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sz w:val="24"/>
                <w:szCs w:val="24"/>
                <w:highlight w:val="none"/>
              </w:rPr>
              <w:t>2</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sz w:val="24"/>
                <w:szCs w:val="24"/>
                <w:highlight w:val="none"/>
              </w:rPr>
              <w:t>老系统数据补传</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lang w:eastAsia="zh-CN"/>
              </w:rPr>
            </w:pPr>
            <w:r>
              <w:rPr>
                <w:rFonts w:hint="eastAsia" w:ascii="宋体" w:hAnsi="宋体" w:eastAsia="宋体" w:cs="宋体"/>
                <w:b w:val="0"/>
                <w:bCs/>
                <w:color w:val="000000"/>
                <w:sz w:val="24"/>
                <w:szCs w:val="24"/>
                <w:highlight w:val="none"/>
                <w:lang w:val="en-US" w:eastAsia="zh-Hans"/>
              </w:rPr>
              <w:t>检查</w:t>
            </w:r>
            <w:r>
              <w:rPr>
                <w:rFonts w:hint="eastAsia" w:ascii="宋体" w:hAnsi="宋体" w:eastAsia="宋体" w:cs="宋体"/>
                <w:b w:val="0"/>
                <w:bCs/>
                <w:color w:val="000000"/>
                <w:sz w:val="24"/>
                <w:szCs w:val="24"/>
                <w:highlight w:val="none"/>
                <w:lang w:eastAsia="zh-Hans"/>
              </w:rPr>
              <w:t>2018</w:t>
            </w:r>
            <w:r>
              <w:rPr>
                <w:rFonts w:hint="eastAsia" w:ascii="宋体" w:hAnsi="宋体" w:eastAsia="宋体" w:cs="宋体"/>
                <w:b w:val="0"/>
                <w:bCs/>
                <w:color w:val="000000"/>
                <w:sz w:val="24"/>
                <w:szCs w:val="24"/>
                <w:highlight w:val="none"/>
                <w:lang w:val="en-US" w:eastAsia="zh-Hans"/>
              </w:rPr>
              <w:t>年至新系统上线前的表是否有数据遗漏，进行数据补传。</w:t>
            </w:r>
          </w:p>
        </w:tc>
      </w:tr>
      <w:tr>
        <w:tblPrEx>
          <w:tblCellMar>
            <w:top w:w="0" w:type="dxa"/>
            <w:left w:w="0" w:type="dxa"/>
            <w:bottom w:w="0" w:type="dxa"/>
            <w:right w:w="0" w:type="dxa"/>
          </w:tblCellMar>
        </w:tblPrEx>
        <w:trPr>
          <w:trHeight w:val="48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sz w:val="24"/>
                <w:szCs w:val="24"/>
                <w:highlight w:val="none"/>
              </w:rPr>
              <w:t>3</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数据清理与补传</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新老系统过度期间数据补传；</w:t>
            </w:r>
          </w:p>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Hans"/>
              </w:rPr>
              <w:t>新系统上线后到双方合同签订期间数据补传。</w:t>
            </w:r>
          </w:p>
        </w:tc>
      </w:tr>
      <w:tr>
        <w:tblPrEx>
          <w:tblCellMar>
            <w:top w:w="0" w:type="dxa"/>
            <w:left w:w="0" w:type="dxa"/>
            <w:bottom w:w="0" w:type="dxa"/>
            <w:right w:w="0" w:type="dxa"/>
          </w:tblCellMar>
        </w:tblPrEx>
        <w:trPr>
          <w:trHeight w:val="96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sz w:val="24"/>
                <w:szCs w:val="24"/>
                <w:highlight w:val="none"/>
              </w:rPr>
              <w:t>4</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数据检查与上传</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lang w:eastAsia="zh-CN"/>
              </w:rPr>
            </w:pPr>
            <w:r>
              <w:rPr>
                <w:rFonts w:hint="eastAsia" w:ascii="宋体" w:hAnsi="宋体" w:eastAsia="宋体" w:cs="宋体"/>
                <w:b w:val="0"/>
                <w:bCs/>
                <w:color w:val="000000"/>
                <w:kern w:val="0"/>
                <w:sz w:val="24"/>
                <w:szCs w:val="24"/>
                <w:highlight w:val="none"/>
                <w:lang w:val="en-US" w:eastAsia="zh-Hans" w:bidi="ar"/>
              </w:rPr>
              <w:t>开启每天定时数据检查与上传。</w:t>
            </w:r>
          </w:p>
        </w:tc>
      </w:tr>
      <w:tr>
        <w:tblPrEx>
          <w:tblCellMar>
            <w:top w:w="0" w:type="dxa"/>
            <w:left w:w="0" w:type="dxa"/>
            <w:bottom w:w="0" w:type="dxa"/>
            <w:right w:w="0"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5</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数据量核对</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color w:val="000000"/>
                <w:sz w:val="24"/>
                <w:szCs w:val="24"/>
                <w:highlight w:val="none"/>
                <w:lang w:val="en-US" w:eastAsia="zh-Hans"/>
              </w:rPr>
            </w:pPr>
            <w:r>
              <w:rPr>
                <w:rFonts w:hint="eastAsia" w:ascii="宋体" w:hAnsi="宋体" w:eastAsia="宋体" w:cs="宋体"/>
                <w:b w:val="0"/>
                <w:bCs/>
                <w:color w:val="000000"/>
                <w:sz w:val="24"/>
                <w:szCs w:val="24"/>
                <w:highlight w:val="none"/>
                <w:lang w:val="en-US" w:eastAsia="zh-Hans"/>
              </w:rPr>
              <w:t>从院端数据抽取、数据入库两个环节分析比较医院实际业务数据量和抽取后数据量比对，保证抽取后的数据量反应医院实际业务情况。</w:t>
            </w:r>
          </w:p>
          <w:p>
            <w:pPr>
              <w:pStyle w:val="77"/>
              <w:keepNext w:val="0"/>
              <w:keepLines w:val="0"/>
              <w:widowControl/>
              <w:suppressLineNumbers w:val="0"/>
              <w:spacing w:beforeAutospacing="0" w:afterAutospacing="0"/>
              <w:ind w:left="0" w:leftChars="0" w:right="0" w:firstLine="0" w:firstLineChars="0"/>
              <w:rPr>
                <w:rFonts w:hint="eastAsia" w:ascii="宋体" w:hAnsi="宋体" w:eastAsia="宋体" w:cs="宋体"/>
                <w:sz w:val="24"/>
                <w:szCs w:val="24"/>
                <w:lang w:val="en-US" w:eastAsia="zh-Hans"/>
              </w:rPr>
            </w:pPr>
            <w:r>
              <w:rPr>
                <w:rFonts w:hint="eastAsia" w:ascii="宋体" w:hAnsi="宋体" w:eastAsia="宋体" w:cs="宋体"/>
                <w:b w:val="0"/>
                <w:bCs/>
                <w:color w:val="000000"/>
                <w:sz w:val="24"/>
                <w:szCs w:val="24"/>
                <w:highlight w:val="none"/>
                <w:lang w:val="en-US" w:eastAsia="zh-Hans"/>
              </w:rPr>
              <w:t>分析医疗监管平台（http://10.40.11.238:8089/jsms/）</w:t>
            </w:r>
          </w:p>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Hans"/>
              </w:rPr>
              <w:t>如数据表质量，表与表之间的关联性等问题，向医院提出整改建议。</w:t>
            </w:r>
          </w:p>
        </w:tc>
      </w:tr>
      <w:tr>
        <w:tblPrEx>
          <w:tblCellMar>
            <w:top w:w="0" w:type="dxa"/>
            <w:left w:w="0" w:type="dxa"/>
            <w:bottom w:w="0" w:type="dxa"/>
            <w:right w:w="0"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6</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码表对照</w:t>
            </w:r>
            <w:r>
              <w:rPr>
                <w:rFonts w:hint="eastAsia" w:ascii="宋体" w:hAnsi="宋体" w:eastAsia="宋体" w:cs="宋体"/>
                <w:b w:val="0"/>
                <w:bCs/>
                <w:kern w:val="0"/>
                <w:sz w:val="24"/>
                <w:szCs w:val="24"/>
                <w:highlight w:val="none"/>
                <w:lang w:val="en-US" w:eastAsia="zh-CN"/>
              </w:rPr>
              <w:t>工具培训</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lang w:val="en-US" w:eastAsia="zh-Hans"/>
              </w:rPr>
              <w:t>辅助医院相关科室完成码表对照工作，培训对码工具的使用。</w:t>
            </w:r>
          </w:p>
        </w:tc>
      </w:tr>
      <w:tr>
        <w:tblPrEx>
          <w:tblCellMar>
            <w:top w:w="0" w:type="dxa"/>
            <w:left w:w="0" w:type="dxa"/>
            <w:bottom w:w="0" w:type="dxa"/>
            <w:right w:w="0"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color w:val="000000"/>
                <w:kern w:val="0"/>
                <w:sz w:val="24"/>
                <w:szCs w:val="24"/>
                <w:highlight w:val="none"/>
                <w:lang w:bidi="ar"/>
              </w:rPr>
              <w:t>7</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沟通协调</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sz w:val="24"/>
                <w:szCs w:val="24"/>
                <w:highlight w:val="none"/>
                <w:lang w:eastAsia="zh-CN"/>
              </w:rPr>
            </w:pPr>
            <w:r>
              <w:rPr>
                <w:rFonts w:hint="eastAsia" w:ascii="宋体" w:hAnsi="宋体" w:eastAsia="宋体" w:cs="宋体"/>
                <w:b w:val="0"/>
                <w:bCs/>
                <w:kern w:val="0"/>
                <w:sz w:val="24"/>
                <w:szCs w:val="24"/>
                <w:highlight w:val="none"/>
                <w:lang w:val="en-US" w:eastAsia="zh-Hans"/>
              </w:rPr>
              <w:t>和对应上层数据厂商或省厅相关部门进行沟通协调，保证数据准确按期上传成功。</w:t>
            </w:r>
          </w:p>
        </w:tc>
      </w:tr>
      <w:tr>
        <w:tblPrEx>
          <w:tblCellMar>
            <w:top w:w="0" w:type="dxa"/>
            <w:left w:w="0" w:type="dxa"/>
            <w:bottom w:w="0" w:type="dxa"/>
            <w:right w:w="0"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提供月度总结报告</w:t>
            </w:r>
          </w:p>
        </w:tc>
        <w:tc>
          <w:tcPr>
            <w:tcW w:w="64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以便应对每周和每月的省厅例行对上传率、采集率、病案首页合格率的检查</w:t>
            </w:r>
          </w:p>
        </w:tc>
      </w:tr>
    </w:tbl>
    <w:p>
      <w:pPr>
        <w:keepNext w:val="0"/>
        <w:keepLines w:val="0"/>
        <w:pageBreakBefore w:val="0"/>
        <w:widowControl w:val="0"/>
        <w:kinsoku/>
        <w:wordWrap/>
        <w:overflowPunct/>
        <w:topLinePunct w:val="0"/>
        <w:autoSpaceDE/>
        <w:autoSpaceDN/>
        <w:bidi w:val="0"/>
        <w:spacing w:line="300" w:lineRule="auto"/>
        <w:ind w:left="0" w:firstLine="480" w:firstLineChars="200"/>
        <w:rPr>
          <w:rFonts w:hint="eastAsia" w:ascii="宋体" w:hAnsi="宋体" w:eastAsia="宋体" w:cs="宋体"/>
          <w:b/>
          <w:bCs/>
          <w:sz w:val="24"/>
        </w:rPr>
      </w:pPr>
      <w:r>
        <w:rPr>
          <w:rFonts w:hint="eastAsia" w:ascii="宋体" w:hAnsi="宋体" w:eastAsia="宋体" w:cs="宋体"/>
          <w:bCs/>
          <w:kern w:val="0"/>
          <w:sz w:val="24"/>
          <w:lang w:bidi="ar"/>
        </w:rPr>
        <w:t xml:space="preserve">1.1 </w:t>
      </w:r>
      <w:r>
        <w:rPr>
          <w:rFonts w:hint="eastAsia" w:ascii="宋体" w:hAnsi="宋体" w:eastAsia="宋体" w:cs="宋体"/>
          <w:b/>
          <w:bCs/>
          <w:sz w:val="24"/>
        </w:rPr>
        <w:t>内容清单</w:t>
      </w:r>
    </w:p>
    <w:p>
      <w:pPr>
        <w:keepNext w:val="0"/>
        <w:keepLines w:val="0"/>
        <w:pageBreakBefore w:val="0"/>
        <w:widowControl w:val="0"/>
        <w:kinsoku/>
        <w:wordWrap/>
        <w:overflowPunct/>
        <w:topLinePunct w:val="0"/>
        <w:autoSpaceDE/>
        <w:autoSpaceDN/>
        <w:bidi w:val="0"/>
        <w:spacing w:line="300" w:lineRule="auto"/>
        <w:ind w:left="0" w:firstLine="480" w:firstLineChars="200"/>
        <w:rPr>
          <w:rFonts w:hint="eastAsia" w:ascii="宋体" w:hAnsi="宋体" w:eastAsia="宋体" w:cs="宋体"/>
          <w:b/>
          <w:bCs/>
          <w:sz w:val="24"/>
          <w:szCs w:val="32"/>
        </w:rPr>
      </w:pPr>
      <w:r>
        <w:rPr>
          <w:rFonts w:hint="eastAsia" w:ascii="宋体" w:hAnsi="宋体" w:eastAsia="宋体" w:cs="宋体"/>
          <w:bCs/>
          <w:kern w:val="0"/>
          <w:sz w:val="24"/>
          <w:lang w:bidi="ar"/>
        </w:rPr>
        <w:t xml:space="preserve">1.2 </w:t>
      </w:r>
      <w:r>
        <w:rPr>
          <w:rFonts w:hint="eastAsia" w:ascii="宋体" w:hAnsi="宋体" w:eastAsia="宋体" w:cs="宋体"/>
          <w:b/>
          <w:bCs/>
          <w:sz w:val="24"/>
          <w:szCs w:val="32"/>
        </w:rPr>
        <w:t>模块具体内容：</w:t>
      </w:r>
    </w:p>
    <w:p>
      <w:pPr>
        <w:keepNext w:val="0"/>
        <w:keepLines w:val="0"/>
        <w:pageBreakBefore w:val="0"/>
        <w:widowControl w:val="0"/>
        <w:kinsoku/>
        <w:wordWrap/>
        <w:overflowPunct/>
        <w:topLinePunct w:val="0"/>
        <w:autoSpaceDE/>
        <w:autoSpaceDN/>
        <w:bidi w:val="0"/>
        <w:spacing w:line="300" w:lineRule="auto"/>
        <w:ind w:left="0" w:firstLine="480" w:firstLineChars="200"/>
        <w:rPr>
          <w:rFonts w:hint="eastAsia" w:ascii="宋体" w:hAnsi="宋体" w:eastAsia="宋体" w:cs="宋体"/>
          <w:color w:val="000000"/>
          <w:sz w:val="24"/>
        </w:rPr>
      </w:pPr>
      <w:r>
        <w:rPr>
          <w:rFonts w:hint="eastAsia" w:ascii="宋体" w:hAnsi="宋体" w:eastAsia="宋体" w:cs="宋体"/>
          <w:color w:val="000000"/>
          <w:sz w:val="24"/>
        </w:rPr>
        <w:t>1.2.1  甲方依此合同向乙方购买</w:t>
      </w:r>
      <w:r>
        <w:rPr>
          <w:rFonts w:hint="eastAsia" w:ascii="宋体" w:hAnsi="宋体" w:eastAsia="宋体" w:cs="宋体"/>
          <w:sz w:val="24"/>
          <w:szCs w:val="24"/>
          <w:u w:val="single"/>
        </w:rPr>
        <w:t>省医疗服务监管平台数据上传</w:t>
      </w:r>
      <w:r>
        <w:rPr>
          <w:rFonts w:hint="eastAsia" w:ascii="宋体" w:hAnsi="宋体" w:eastAsia="宋体" w:cs="宋体"/>
          <w:color w:val="000000"/>
          <w:sz w:val="24"/>
        </w:rPr>
        <w:t>服务，本次服务涉及业务表清单(包含但不限于)：</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患者基本信息数据表结构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门诊/急诊挂号数据表结构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门诊/急诊就诊记录表结构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急诊留观-观察</w:t>
      </w:r>
      <w:bookmarkStart w:id="24" w:name="_GoBack"/>
      <w:bookmarkEnd w:id="24"/>
      <w:r>
        <w:rPr>
          <w:rFonts w:hint="eastAsia" w:ascii="宋体" w:hAnsi="宋体" w:eastAsia="宋体" w:cs="宋体"/>
          <w:sz w:val="24"/>
          <w:szCs w:val="24"/>
          <w:lang w:val="en-US" w:eastAsia="zh-CN" w:bidi="ar-SA"/>
        </w:rPr>
        <w:t>病历表结构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急诊留观-观察病程记录表结构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急诊留观-出观察室记录表结构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门急诊/观察室有创操作记录表结构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门诊/急诊/住院西药处方表结构（主表）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门诊/急诊/住院西药处方表结构（从表）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门诊/急诊/住院中药处方表结构（主表）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门诊/急诊/住院中药处方表结构（从表）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患者入院记录表结构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住院患者病程记录表结构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患者出院记录（小结）/死亡记录表结构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手术/操作记录表结构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住院病人医嘱记录表结构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中医病案首页表结构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中医护理记录表结构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检验申请记录表结构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检验报告记录表结构（主表）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检验结果明细表结构（从表）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检查申请记录表结构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检查报告记录表结构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治疗处置记录表结构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患者输血申请表结构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患者输血记录表结构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医疗高值耗材使用记录</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门诊/急诊/住院费用表结构（主表）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门诊/急诊/住院费用表结构（从表）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入院出院患者统计数据表结构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门诊/住院收费统计数据表结构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门诊工作量统计数据表结构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住院工作量统计数据表结构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药品入库信息记录表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药品出库信息记录表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耗材入库信息记录表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耗材出库信息记录表</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患者入院记录_天表结构</w:t>
      </w:r>
    </w:p>
    <w:p>
      <w:pPr>
        <w:pStyle w:val="182"/>
        <w:keepNext w:val="0"/>
        <w:keepLines w:val="0"/>
        <w:pageBreakBefore w:val="0"/>
        <w:widowControl w:val="0"/>
        <w:numPr>
          <w:ilvl w:val="0"/>
          <w:numId w:val="5"/>
        </w:numPr>
        <w:tabs>
          <w:tab w:val="left" w:pos="874"/>
        </w:tabs>
        <w:kinsoku/>
        <w:wordWrap/>
        <w:overflowPunct/>
        <w:topLinePunct w:val="0"/>
        <w:autoSpaceDE/>
        <w:autoSpaceDN/>
        <w:bidi w:val="0"/>
        <w:adjustRightInd w:val="0"/>
        <w:snapToGrid w:val="0"/>
        <w:spacing w:line="300" w:lineRule="auto"/>
        <w:ind w:lef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患者出院记录（小结）/死亡记录_天表结构</w:t>
      </w:r>
    </w:p>
    <w:p>
      <w:pPr>
        <w:pStyle w:val="182"/>
        <w:keepNext w:val="0"/>
        <w:keepLines w:val="0"/>
        <w:pageBreakBefore w:val="0"/>
        <w:widowControl w:val="0"/>
        <w:tabs>
          <w:tab w:val="left" w:pos="874"/>
        </w:tabs>
        <w:kinsoku/>
        <w:wordWrap/>
        <w:overflowPunct/>
        <w:topLinePunct w:val="0"/>
        <w:autoSpaceDE/>
        <w:autoSpaceDN/>
        <w:bidi w:val="0"/>
        <w:spacing w:line="300" w:lineRule="auto"/>
        <w:ind w:left="0"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1.2.</w:t>
      </w:r>
      <w:r>
        <w:rPr>
          <w:rFonts w:hint="eastAsia" w:ascii="宋体" w:hAnsi="宋体" w:eastAsia="宋体" w:cs="宋体"/>
          <w:sz w:val="24"/>
          <w:szCs w:val="24"/>
          <w:highlight w:val="none"/>
          <w:lang w:eastAsia="zh-CN" w:bidi="ar-SA"/>
        </w:rPr>
        <w:t>2.</w:t>
      </w:r>
      <w:r>
        <w:rPr>
          <w:rFonts w:hint="eastAsia" w:ascii="宋体" w:hAnsi="宋体" w:eastAsia="宋体" w:cs="宋体"/>
          <w:sz w:val="24"/>
          <w:szCs w:val="24"/>
          <w:highlight w:val="none"/>
          <w:lang w:val="en-US" w:eastAsia="zh-CN" w:bidi="ar-SA"/>
        </w:rPr>
        <w:t>重建或补充数据上报服务表链</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bookmarkStart w:id="14" w:name="bookmark36"/>
      <w:bookmarkEnd w:id="14"/>
      <w:r>
        <w:rPr>
          <w:rFonts w:hint="eastAsia" w:ascii="宋体" w:hAnsi="宋体" w:eastAsia="宋体" w:cs="宋体"/>
          <w:sz w:val="24"/>
          <w:szCs w:val="24"/>
          <w:highlight w:val="none"/>
        </w:rPr>
        <w:t>A.重建或补充39张业务表（含省厅码表对应转换）。</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B.重建或补充39张业务表涉及的所有码表，包含重建、辅助、检査、整理码表（注：码表对照工作由医院负责）。</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C.实时同步“医院内部己完成对照的码表库</w:t>
      </w:r>
      <w:r>
        <w:rPr>
          <w:rFonts w:hint="eastAsia" w:ascii="宋体" w:hAnsi="宋体" w:eastAsia="宋体" w:cs="宋体"/>
          <w:sz w:val="24"/>
          <w:szCs w:val="24"/>
          <w:highlight w:val="none"/>
          <w:lang w:val="zh-CN"/>
        </w:rPr>
        <w:t>”与“上</w:t>
      </w:r>
      <w:r>
        <w:rPr>
          <w:rFonts w:hint="eastAsia" w:ascii="宋体" w:hAnsi="宋体" w:eastAsia="宋体" w:cs="宋体"/>
          <w:sz w:val="24"/>
          <w:szCs w:val="24"/>
          <w:highlight w:val="none"/>
        </w:rPr>
        <w:t>传数据库中的码表库</w:t>
      </w:r>
      <w:r>
        <w:rPr>
          <w:rFonts w:hint="eastAsia" w:ascii="宋体" w:hAnsi="宋体" w:eastAsia="宋体" w:cs="宋体"/>
          <w:sz w:val="24"/>
          <w:szCs w:val="24"/>
          <w:highlight w:val="none"/>
          <w:lang w:val="zh-CN"/>
        </w:rPr>
        <w:t>”保持</w:t>
      </w:r>
      <w:r>
        <w:rPr>
          <w:rFonts w:hint="eastAsia" w:ascii="宋体" w:hAnsi="宋体" w:eastAsia="宋体" w:cs="宋体"/>
          <w:sz w:val="24"/>
          <w:szCs w:val="24"/>
          <w:highlight w:val="none"/>
        </w:rPr>
        <w:t>一致。</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rPr>
      </w:pPr>
      <w:r>
        <w:rPr>
          <w:rFonts w:hint="eastAsia" w:ascii="宋体" w:hAnsi="宋体" w:eastAsia="宋体" w:cs="宋体"/>
          <w:sz w:val="24"/>
          <w:szCs w:val="24"/>
        </w:rPr>
        <w:t>1.2.3.抽取数据的质量管控</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rPr>
      </w:pPr>
      <w:bookmarkStart w:id="15" w:name="bookmark39"/>
      <w:bookmarkEnd w:id="15"/>
      <w:r>
        <w:rPr>
          <w:rFonts w:hint="eastAsia" w:ascii="宋体" w:hAnsi="宋体" w:eastAsia="宋体" w:cs="宋体"/>
          <w:sz w:val="24"/>
          <w:szCs w:val="24"/>
        </w:rPr>
        <w:t>A.数据基础检查、校验后生成错误报吿，并辅助医院对数据进行整改。</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rPr>
      </w:pPr>
      <w:bookmarkStart w:id="16" w:name="bookmark40"/>
      <w:bookmarkEnd w:id="16"/>
      <w:r>
        <w:rPr>
          <w:rFonts w:hint="eastAsia" w:ascii="宋体" w:hAnsi="宋体" w:eastAsia="宋体" w:cs="宋体"/>
          <w:sz w:val="24"/>
          <w:szCs w:val="24"/>
        </w:rPr>
        <w:t>B.根据省厅检査报告，辅助医院对数据质量进行整改。</w:t>
      </w:r>
    </w:p>
    <w:p>
      <w:pPr>
        <w:keepNext w:val="0"/>
        <w:keepLines w:val="0"/>
        <w:pageBreakBefore w:val="0"/>
        <w:widowControl w:val="0"/>
        <w:kinsoku/>
        <w:wordWrap/>
        <w:overflowPunct/>
        <w:topLinePunct w:val="0"/>
        <w:autoSpaceDE/>
        <w:autoSpaceDN/>
        <w:bidi w:val="0"/>
        <w:spacing w:line="300" w:lineRule="auto"/>
        <w:ind w:left="0" w:firstLine="480"/>
        <w:rPr>
          <w:rFonts w:hint="eastAsia" w:ascii="宋体" w:hAnsi="宋体" w:eastAsia="宋体" w:cs="宋体"/>
          <w:sz w:val="24"/>
          <w:szCs w:val="24"/>
        </w:rPr>
      </w:pPr>
      <w:bookmarkStart w:id="17" w:name="bookmark44"/>
      <w:bookmarkEnd w:id="17"/>
      <w:r>
        <w:rPr>
          <w:rFonts w:hint="eastAsia" w:ascii="宋体" w:hAnsi="宋体" w:eastAsia="宋体" w:cs="宋体"/>
          <w:sz w:val="24"/>
          <w:szCs w:val="24"/>
        </w:rPr>
        <w:t>1.2.4.如有新旧系统的重叠数据辅助清理，并将清理出来的数据上传。</w:t>
      </w:r>
    </w:p>
    <w:p>
      <w:pPr>
        <w:keepNext w:val="0"/>
        <w:keepLines w:val="0"/>
        <w:pageBreakBefore w:val="0"/>
        <w:widowControl w:val="0"/>
        <w:kinsoku/>
        <w:wordWrap/>
        <w:overflowPunct/>
        <w:topLinePunct w:val="0"/>
        <w:autoSpaceDE/>
        <w:autoSpaceDN/>
        <w:bidi w:val="0"/>
        <w:spacing w:line="300" w:lineRule="auto"/>
        <w:ind w:left="0" w:firstLine="480"/>
        <w:outlineLvl w:val="1"/>
        <w:rPr>
          <w:rFonts w:hint="eastAsia" w:ascii="宋体" w:hAnsi="宋体" w:eastAsia="宋体" w:cs="宋体"/>
          <w:sz w:val="24"/>
          <w:szCs w:val="24"/>
        </w:rPr>
      </w:pPr>
      <w:bookmarkStart w:id="18" w:name="_Toc30522"/>
      <w:bookmarkStart w:id="19" w:name="_Toc6774"/>
      <w:r>
        <w:rPr>
          <w:rFonts w:hint="eastAsia" w:ascii="宋体" w:hAnsi="宋体" w:eastAsia="宋体" w:cs="宋体"/>
          <w:sz w:val="24"/>
          <w:szCs w:val="24"/>
        </w:rPr>
        <w:t>（清理数据需医院向省厅提供申请说明）</w:t>
      </w:r>
      <w:bookmarkEnd w:id="18"/>
      <w:bookmarkEnd w:id="19"/>
    </w:p>
    <w:p>
      <w:pPr>
        <w:pStyle w:val="27"/>
        <w:keepNext w:val="0"/>
        <w:keepLines w:val="0"/>
        <w:pageBreakBefore w:val="0"/>
        <w:widowControl w:val="0"/>
        <w:kinsoku/>
        <w:wordWrap/>
        <w:overflowPunct/>
        <w:topLinePunct w:val="0"/>
        <w:autoSpaceDE/>
        <w:autoSpaceDN/>
        <w:bidi w:val="0"/>
        <w:spacing w:line="300" w:lineRule="auto"/>
        <w:ind w:left="0" w:leftChars="0"/>
        <w:rPr>
          <w:rFonts w:hint="eastAsia" w:ascii="宋体" w:hAnsi="宋体" w:eastAsia="宋体" w:cs="宋体"/>
          <w:sz w:val="24"/>
          <w:szCs w:val="24"/>
        </w:rPr>
      </w:pPr>
      <w:r>
        <w:rPr>
          <w:rFonts w:hint="eastAsia" w:ascii="宋体" w:hAnsi="宋体" w:eastAsia="宋体" w:cs="宋体"/>
          <w:sz w:val="24"/>
          <w:szCs w:val="24"/>
        </w:rPr>
        <w:t>根据一年内省监管平台的考核要求自动升级省监管平台上传的数据治理标准。</w:t>
      </w:r>
    </w:p>
    <w:p>
      <w:pPr>
        <w:pStyle w:val="27"/>
        <w:keepNext w:val="0"/>
        <w:keepLines w:val="0"/>
        <w:pageBreakBefore w:val="0"/>
        <w:widowControl w:val="0"/>
        <w:kinsoku/>
        <w:wordWrap/>
        <w:overflowPunct/>
        <w:topLinePunct w:val="0"/>
        <w:autoSpaceDE/>
        <w:autoSpaceDN/>
        <w:bidi w:val="0"/>
        <w:spacing w:line="30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1.2.5.涉及到省监管平台的考核任务，需要提前半年对考核内容进行整改，比如院内等级医院评审、复评、人资考核、国考绩效考核等国家级/省级的考核。</w:t>
      </w:r>
    </w:p>
    <w:p>
      <w:pPr>
        <w:pStyle w:val="27"/>
        <w:keepNext w:val="0"/>
        <w:keepLines w:val="0"/>
        <w:pageBreakBefore w:val="0"/>
        <w:widowControl w:val="0"/>
        <w:kinsoku/>
        <w:wordWrap/>
        <w:overflowPunct/>
        <w:topLinePunct w:val="0"/>
        <w:autoSpaceDE/>
        <w:autoSpaceDN/>
        <w:bidi w:val="0"/>
        <w:spacing w:line="30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1.2.6.国家级数据集的更新(耗材、药物等)，需与省厅沟通后的1周内解决对码集更新。</w:t>
      </w:r>
    </w:p>
    <w:p>
      <w:pPr>
        <w:keepNext w:val="0"/>
        <w:keepLines w:val="0"/>
        <w:pageBreakBefore w:val="0"/>
        <w:widowControl w:val="0"/>
        <w:kinsoku/>
        <w:wordWrap/>
        <w:overflowPunct/>
        <w:topLinePunct w:val="0"/>
        <w:autoSpaceDE/>
        <w:autoSpaceDN/>
        <w:bidi w:val="0"/>
        <w:spacing w:line="30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1.2.7.对视图问题及时反馈，分析问题，给出建议，优化取值路径。</w:t>
      </w:r>
    </w:p>
    <w:p>
      <w:pPr>
        <w:pStyle w:val="27"/>
        <w:keepNext w:val="0"/>
        <w:keepLines w:val="0"/>
        <w:pageBreakBefore w:val="0"/>
        <w:widowControl w:val="0"/>
        <w:kinsoku/>
        <w:wordWrap/>
        <w:overflowPunct/>
        <w:topLinePunct w:val="0"/>
        <w:autoSpaceDE/>
        <w:autoSpaceDN/>
        <w:bidi w:val="0"/>
        <w:spacing w:line="30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1.2.8.严格把控各项指标的达标情况，分析上传数据问题，给出建议解决方案，协助医院安排省监管平台涉及的科室和厂商的整改工作。</w:t>
      </w:r>
    </w:p>
    <w:p>
      <w:pPr>
        <w:pStyle w:val="182"/>
        <w:keepNext w:val="0"/>
        <w:keepLines w:val="0"/>
        <w:pageBreakBefore w:val="0"/>
        <w:widowControl w:val="0"/>
        <w:tabs>
          <w:tab w:val="left" w:pos="874"/>
        </w:tabs>
        <w:kinsoku/>
        <w:wordWrap/>
        <w:overflowPunct/>
        <w:topLinePunct w:val="0"/>
        <w:autoSpaceDE/>
        <w:autoSpaceDN/>
        <w:bidi w:val="0"/>
        <w:spacing w:line="300" w:lineRule="auto"/>
        <w:ind w:left="0" w:leftChars="0" w:firstLine="0" w:firstLineChars="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注明：1、本次服务内容只针对本合同约定的内容，如有超出另签合同约定。</w:t>
      </w:r>
    </w:p>
    <w:p>
      <w:pPr>
        <w:pStyle w:val="182"/>
        <w:keepNext w:val="0"/>
        <w:keepLines w:val="0"/>
        <w:pageBreakBefore w:val="0"/>
        <w:widowControl w:val="0"/>
        <w:numPr>
          <w:ilvl w:val="0"/>
          <w:numId w:val="6"/>
        </w:numPr>
        <w:tabs>
          <w:tab w:val="left" w:pos="874"/>
        </w:tabs>
        <w:kinsoku/>
        <w:wordWrap/>
        <w:overflowPunct/>
        <w:topLinePunct w:val="0"/>
        <w:autoSpaceDE/>
        <w:autoSpaceDN/>
        <w:bidi w:val="0"/>
        <w:spacing w:line="300" w:lineRule="auto"/>
        <w:ind w:left="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服务周期结束</w:t>
      </w:r>
      <w:r>
        <w:rPr>
          <w:rFonts w:hint="eastAsia" w:eastAsia="宋体" w:cs="宋体"/>
          <w:b/>
          <w:bCs/>
          <w:sz w:val="24"/>
          <w:szCs w:val="24"/>
          <w:lang w:val="en-US" w:eastAsia="zh-CN" w:bidi="ar-SA"/>
        </w:rPr>
        <w:t>乙方考核合格后，</w:t>
      </w:r>
      <w:r>
        <w:rPr>
          <w:rFonts w:hint="eastAsia" w:ascii="宋体" w:hAnsi="宋体" w:eastAsia="宋体" w:cs="宋体"/>
          <w:b/>
          <w:bCs/>
          <w:sz w:val="24"/>
          <w:szCs w:val="24"/>
          <w:lang w:val="en-US" w:eastAsia="zh-CN" w:bidi="ar-SA"/>
        </w:rPr>
        <w:t>甲方与乙方自动续签年度服务合同，年度服务合同金额不变。</w:t>
      </w:r>
    </w:p>
    <w:p>
      <w:pPr>
        <w:pStyle w:val="8"/>
        <w:keepNext w:val="0"/>
        <w:keepLines w:val="0"/>
        <w:pageBreakBefore w:val="0"/>
        <w:widowControl w:val="0"/>
        <w:kinsoku/>
        <w:wordWrap/>
        <w:overflowPunct/>
        <w:topLinePunct w:val="0"/>
        <w:autoSpaceDE/>
        <w:autoSpaceDN/>
        <w:bidi w:val="0"/>
        <w:spacing w:line="300" w:lineRule="auto"/>
        <w:ind w:left="0" w:leftChars="0" w:firstLine="0" w:firstLineChars="0"/>
        <w:rPr>
          <w:rFonts w:hint="eastAsia" w:ascii="宋体" w:hAnsi="宋体" w:eastAsia="宋体" w:cs="宋体"/>
        </w:rPr>
        <w:sectPr>
          <w:pgSz w:w="11906" w:h="16838"/>
          <w:pgMar w:top="1417" w:right="1417" w:bottom="1417" w:left="1418" w:header="851" w:footer="448" w:gutter="0"/>
          <w:pgBorders>
            <w:top w:val="none" w:sz="0" w:space="0"/>
            <w:left w:val="none" w:sz="0" w:space="0"/>
            <w:bottom w:val="none" w:sz="0" w:space="0"/>
            <w:right w:val="none" w:sz="0" w:space="0"/>
          </w:pgBorders>
          <w:pgNumType w:fmt="decimal"/>
          <w:cols w:space="0" w:num="1"/>
          <w:docGrid w:type="lines" w:linePitch="380" w:charSpace="0"/>
        </w:sectPr>
      </w:pPr>
      <w:r>
        <w:rPr>
          <w:rFonts w:hint="eastAsia" w:ascii="宋体" w:hAnsi="宋体" w:eastAsia="宋体" w:cs="宋体"/>
          <w:b/>
          <w:bCs/>
          <w:sz w:val="24"/>
          <w:szCs w:val="24"/>
          <w:lang w:val="en-US" w:eastAsia="zh-CN" w:bidi="ar-SA"/>
        </w:rPr>
        <w:t>3、如遇院内系统切换，院址搬迁，数据库迁移等牵涉到数据迁移的情况，乙方需负责在迁移过程期间配合医院做好迁移工作，保证期间内对省监管平台数据的正常上传。</w:t>
      </w:r>
    </w:p>
    <w:bookmarkEnd w:id="9"/>
    <w:bookmarkEnd w:id="10"/>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bookmarkStart w:id="20" w:name="_Toc363573859"/>
      <w:r>
        <w:rPr>
          <w:rFonts w:hint="eastAsia" w:asciiTheme="majorEastAsia" w:hAnsiTheme="majorEastAsia" w:eastAsiaTheme="majorEastAsia" w:cstheme="minorEastAsia"/>
          <w:b/>
          <w:w w:val="80"/>
          <w:sz w:val="36"/>
          <w:szCs w:val="36"/>
        </w:rPr>
        <w:t>第六章 质疑与投诉</w:t>
      </w:r>
      <w:bookmarkEnd w:id="20"/>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供应商进行质疑后，采购人回复质疑不成立，质疑人仍进行投诉的，并最终投诉不成立的，采购单位有权对其在1至3年内禁入由采购单位组织的政府采购活动。</w:t>
      </w:r>
    </w:p>
    <w:p>
      <w:pPr>
        <w:pStyle w:val="59"/>
        <w:ind w:left="520" w:firstLine="518"/>
        <w:rPr>
          <w:rFonts w:asciiTheme="majorEastAsia" w:hAnsiTheme="majorEastAsia" w:eastAsiaTheme="majorEastAsia" w:cstheme="minorEastAsia"/>
          <w:b/>
          <w:w w:val="80"/>
          <w:sz w:val="32"/>
          <w:szCs w:val="32"/>
        </w:rPr>
      </w:pPr>
      <w:bookmarkStart w:id="21" w:name="_Toc363573860"/>
    </w:p>
    <w:p>
      <w:pPr>
        <w:pStyle w:val="59"/>
        <w:ind w:left="520" w:firstLine="560"/>
        <w:rPr>
          <w:rFonts w:asciiTheme="majorEastAsia" w:hAnsiTheme="majorEastAsia" w:eastAsiaTheme="majorEastAsia"/>
        </w:rPr>
      </w:pP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21"/>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、提供企业法人或者其他组织的营业执照等证明文件复印件。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2、提供2021年度</w:t>
      </w:r>
      <w:r>
        <w:rPr>
          <w:rFonts w:hint="eastAsia" w:asciiTheme="majorEastAsia" w:hAnsiTheme="majorEastAsia" w:eastAsiaTheme="majorEastAsia" w:cstheme="minorEastAsia"/>
          <w:sz w:val="24"/>
          <w:szCs w:val="24"/>
          <w:lang w:val="en-US" w:eastAsia="zh-CN"/>
        </w:rPr>
        <w:t>有效</w:t>
      </w:r>
      <w:r>
        <w:rPr>
          <w:rFonts w:hint="eastAsia" w:asciiTheme="majorEastAsia" w:hAnsiTheme="majorEastAsia" w:eastAsiaTheme="majorEastAsia" w:cstheme="minorEastAsia"/>
          <w:sz w:val="24"/>
          <w:szCs w:val="24"/>
        </w:rPr>
        <w:t>的财务状况报告复印件（成立不满一年不需提供）。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3、提供2021年</w:t>
      </w: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月1日以来任意1个月的依法缴纳税收和社会保障资金的相关材料复印件。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4、具有履行合同所必需的设备和专业技术能力（格式见第七章）。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5、提供参与本次项目采购活动前三年内在经营活动中没有重大违法记录的书面《无重大违法记录声明函》（格式见第七章）。</w:t>
      </w:r>
    </w:p>
    <w:p>
      <w:pPr>
        <w:snapToGrid w:val="0"/>
        <w:spacing w:line="360" w:lineRule="auto"/>
        <w:ind w:firstLine="480" w:firstLineChars="200"/>
      </w:pPr>
      <w:r>
        <w:rPr>
          <w:rFonts w:hint="eastAsia" w:asciiTheme="majorEastAsia" w:hAnsiTheme="majorEastAsia" w:eastAsiaTheme="majorEastAsia" w:cstheme="minorEastAsia"/>
          <w:sz w:val="24"/>
          <w:szCs w:val="24"/>
        </w:rPr>
        <w:t>6、关于资格文件的声明函（格式见第七章）。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w:t>
      </w:r>
      <w:r>
        <w:rPr>
          <w:rFonts w:hint="eastAsia" w:asciiTheme="majorEastAsia" w:hAnsiTheme="majorEastAsia" w:eastAsiaTheme="majorEastAsia" w:cstheme="minorEastAsia"/>
          <w:sz w:val="24"/>
          <w:szCs w:val="24"/>
          <w:lang w:val="zh-CN"/>
        </w:rPr>
        <w:t>投标人法定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r>
        <w:rPr>
          <w:rFonts w:hint="eastAsia" w:asciiTheme="majorEastAsia" w:hAnsiTheme="majorEastAsia" w:eastAsiaTheme="majorEastAsia" w:cstheme="minorEastAsia"/>
          <w:sz w:val="24"/>
          <w:szCs w:val="24"/>
        </w:rPr>
        <w:t>（格式见第七章）</w:t>
      </w:r>
      <w:r>
        <w:rPr>
          <w:rFonts w:hint="eastAsia" w:asciiTheme="majorEastAsia" w:hAnsiTheme="majorEastAsia" w:eastAsiaTheme="majorEastAsia" w:cstheme="minorEastAsia"/>
          <w:sz w:val="24"/>
          <w:szCs w:val="24"/>
          <w:lang w:val="zh-CN"/>
        </w:rPr>
        <w:t>。</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B、技术</w:t>
      </w:r>
      <w:r>
        <w:rPr>
          <w:rFonts w:hint="eastAsia" w:asciiTheme="majorEastAsia" w:hAnsiTheme="majorEastAsia" w:eastAsiaTheme="majorEastAsia" w:cstheme="minorEastAsia"/>
          <w:b/>
          <w:sz w:val="24"/>
          <w:szCs w:val="24"/>
          <w:lang w:val="en-US" w:eastAsia="zh-CN"/>
        </w:rPr>
        <w:t>标</w:t>
      </w:r>
      <w:r>
        <w:rPr>
          <w:rFonts w:hint="eastAsia" w:asciiTheme="majorEastAsia" w:hAnsiTheme="majorEastAsia" w:eastAsiaTheme="majorEastAsia" w:cstheme="minorEastAsia"/>
          <w:b/>
          <w:sz w:val="24"/>
          <w:szCs w:val="24"/>
        </w:rPr>
        <w:t>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sz w:val="24"/>
          <w:szCs w:val="24"/>
          <w:lang w:val="en-US" w:eastAsia="zh-CN"/>
        </w:rPr>
        <w:t>商务</w:t>
      </w:r>
      <w:r>
        <w:rPr>
          <w:rFonts w:hint="eastAsia" w:asciiTheme="majorEastAsia" w:hAnsiTheme="majorEastAsia" w:eastAsiaTheme="majorEastAsia" w:cstheme="minorEastAsia"/>
          <w:sz w:val="24"/>
          <w:szCs w:val="24"/>
        </w:rPr>
        <w:t>响应正负偏离表（格式参见附件）</w:t>
      </w:r>
    </w:p>
    <w:p>
      <w:pPr>
        <w:snapToGrid w:val="0"/>
        <w:spacing w:line="360" w:lineRule="auto"/>
        <w:ind w:firstLine="484" w:firstLineChars="202"/>
        <w:rPr>
          <w:rFonts w:hint="eastAsia" w:eastAsia="楷体_GB2312"/>
          <w:lang w:eastAsia="zh-CN"/>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C、</w:t>
      </w:r>
      <w:r>
        <w:rPr>
          <w:rFonts w:hint="eastAsia" w:asciiTheme="majorEastAsia" w:hAnsiTheme="majorEastAsia" w:eastAsiaTheme="majorEastAsia" w:cstheme="minorEastAsia"/>
          <w:b/>
          <w:sz w:val="24"/>
          <w:szCs w:val="24"/>
          <w:lang w:val="en-US" w:eastAsia="zh-CN"/>
        </w:rPr>
        <w:t>商务标</w:t>
      </w:r>
      <w:r>
        <w:rPr>
          <w:rFonts w:hint="eastAsia" w:asciiTheme="majorEastAsia" w:hAnsiTheme="majorEastAsia" w:eastAsiaTheme="majorEastAsia" w:cstheme="minorEastAsia"/>
          <w:b/>
          <w:sz w:val="24"/>
          <w:szCs w:val="24"/>
        </w:rPr>
        <w:t>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商务标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4、小型、微型企业声明函（若有）（格式参见附件）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pStyle w:val="27"/>
      </w:pPr>
    </w:p>
    <w:p>
      <w:pPr>
        <w:spacing w:line="360" w:lineRule="exact"/>
        <w:jc w:val="center"/>
        <w:rPr>
          <w:rFonts w:asciiTheme="majorEastAsia" w:hAnsiTheme="majorEastAsia" w:eastAsiaTheme="majorEastAsia" w:cstheme="minorEastAsia"/>
          <w:w w:val="80"/>
          <w:kern w:val="44"/>
          <w:sz w:val="21"/>
          <w:szCs w:val="21"/>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rPr>
          <w:rFonts w:hint="eastAsia" w:ascii="等线" w:hAnsi="等线" w:eastAsia="等线" w:cs="等线"/>
          <w:b/>
          <w:color w:val="000000"/>
          <w:sz w:val="24"/>
          <w:szCs w:val="24"/>
        </w:rPr>
      </w:pPr>
    </w:p>
    <w:p>
      <w:pPr>
        <w:spacing w:line="360" w:lineRule="auto"/>
        <w:jc w:val="center"/>
        <w:rPr>
          <w:rFonts w:hint="eastAsia" w:ascii="宋体" w:hAnsi="宋体" w:eastAsia="宋体" w:cs="宋体"/>
          <w:sz w:val="28"/>
          <w:szCs w:val="28"/>
        </w:rPr>
      </w:pPr>
      <w:bookmarkStart w:id="22" w:name="_Toc482189588"/>
      <w:bookmarkEnd w:id="22"/>
      <w:bookmarkStart w:id="23" w:name="_Toc482192402"/>
      <w:r>
        <w:rPr>
          <w:rFonts w:hint="eastAsia" w:ascii="宋体" w:hAnsi="宋体" w:eastAsia="宋体" w:cs="宋体"/>
          <w:sz w:val="28"/>
          <w:szCs w:val="28"/>
        </w:rPr>
        <w:t>封面</w:t>
      </w:r>
      <w:bookmarkEnd w:id="23"/>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竞争性磋商供应商响应文件</w:t>
      </w:r>
    </w:p>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sz w:val="24"/>
        </w:rPr>
        <w:t>资格后审</w:t>
      </w:r>
      <w:r>
        <w:rPr>
          <w:rFonts w:hint="eastAsia" w:ascii="宋体" w:hAnsi="宋体" w:eastAsia="宋体" w:cs="宋体"/>
          <w:b/>
          <w:bCs/>
          <w:kern w:val="0"/>
          <w:sz w:val="28"/>
          <w:szCs w:val="28"/>
        </w:rPr>
        <w:t>）</w:t>
      </w:r>
    </w:p>
    <w:p>
      <w:pPr>
        <w:pStyle w:val="59"/>
        <w:ind w:firstLine="720"/>
        <w:rPr>
          <w:rFonts w:hint="eastAsia" w:ascii="宋体" w:hAnsi="宋体" w:eastAsia="宋体" w:cs="宋体"/>
          <w:b/>
          <w:bCs/>
          <w:sz w:val="36"/>
          <w:szCs w:val="36"/>
        </w:rPr>
      </w:pPr>
    </w:p>
    <w:p>
      <w:pPr>
        <w:pStyle w:val="59"/>
        <w:ind w:firstLine="720"/>
        <w:rPr>
          <w:rFonts w:hint="eastAsia" w:ascii="宋体" w:hAnsi="宋体" w:eastAsia="宋体" w:cs="宋体"/>
          <w:b/>
          <w:bCs/>
          <w:sz w:val="36"/>
          <w:szCs w:val="36"/>
        </w:rPr>
      </w:pPr>
    </w:p>
    <w:p>
      <w:pPr>
        <w:spacing w:line="360" w:lineRule="auto"/>
        <w:jc w:val="center"/>
        <w:rPr>
          <w:rFonts w:hint="eastAsia" w:ascii="宋体" w:hAnsi="宋体" w:eastAsia="宋体" w:cs="宋体"/>
          <w:b/>
          <w:bCs/>
          <w:kern w:val="0"/>
          <w:sz w:val="24"/>
          <w:szCs w:val="24"/>
        </w:rPr>
      </w:pP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对应投标文件填写：资格审查文件</w:t>
      </w: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对应投标文件填写：技术标</w:t>
      </w:r>
      <w:r>
        <w:rPr>
          <w:rFonts w:hint="eastAsia" w:ascii="宋体" w:hAnsi="宋体" w:eastAsia="宋体" w:cs="宋体"/>
          <w:sz w:val="24"/>
          <w:lang w:val="en-US" w:eastAsia="zh-CN"/>
        </w:rPr>
        <w:t>响应</w:t>
      </w:r>
      <w:r>
        <w:rPr>
          <w:rFonts w:hint="eastAsia" w:ascii="宋体" w:hAnsi="宋体" w:eastAsia="宋体" w:cs="宋体"/>
          <w:sz w:val="24"/>
        </w:rPr>
        <w:t>文件</w:t>
      </w:r>
    </w:p>
    <w:p>
      <w:pPr>
        <w:spacing w:line="360" w:lineRule="auto"/>
        <w:ind w:firstLine="1920" w:firstLineChars="800"/>
        <w:rPr>
          <w:rFonts w:hint="eastAsia" w:ascii="宋体" w:hAnsi="宋体" w:eastAsia="宋体" w:cs="宋体"/>
          <w:sz w:val="24"/>
        </w:rPr>
      </w:pPr>
      <w:r>
        <w:rPr>
          <w:rFonts w:hint="eastAsia" w:ascii="宋体" w:hAnsi="宋体" w:eastAsia="宋体" w:cs="宋体"/>
          <w:sz w:val="24"/>
        </w:rPr>
        <w:t>对应投标文件填写：</w:t>
      </w:r>
      <w:r>
        <w:rPr>
          <w:rFonts w:hint="eastAsia" w:ascii="宋体" w:hAnsi="宋体" w:eastAsia="宋体" w:cs="宋体"/>
          <w:sz w:val="24"/>
          <w:lang w:val="en-US" w:eastAsia="zh-CN"/>
        </w:rPr>
        <w:t>商务标</w:t>
      </w:r>
      <w:r>
        <w:rPr>
          <w:rFonts w:hint="eastAsia" w:ascii="宋体" w:hAnsi="宋体" w:eastAsia="宋体" w:cs="宋体"/>
          <w:sz w:val="24"/>
        </w:rPr>
        <w:t>响应文件</w:t>
      </w:r>
    </w:p>
    <w:p>
      <w:pPr>
        <w:spacing w:line="360" w:lineRule="auto"/>
        <w:jc w:val="center"/>
        <w:rPr>
          <w:rFonts w:hint="eastAsia" w:ascii="宋体" w:hAnsi="宋体" w:eastAsia="宋体" w:cs="宋体"/>
          <w:b/>
          <w:bCs/>
          <w:sz w:val="24"/>
          <w:szCs w:val="24"/>
        </w:rPr>
      </w:pPr>
    </w:p>
    <w:p>
      <w:pPr>
        <w:spacing w:line="360" w:lineRule="auto"/>
        <w:ind w:firstLine="843" w:firstLineChars="300"/>
        <w:jc w:val="left"/>
        <w:rPr>
          <w:rFonts w:hint="eastAsia" w:ascii="宋体" w:hAnsi="宋体" w:eastAsia="宋体" w:cs="宋体"/>
          <w:b/>
          <w:bCs/>
          <w:sz w:val="28"/>
          <w:szCs w:val="28"/>
        </w:rPr>
      </w:pPr>
    </w:p>
    <w:p>
      <w:pPr>
        <w:pStyle w:val="59"/>
        <w:ind w:firstLine="560"/>
        <w:rPr>
          <w:rFonts w:hint="eastAsia" w:ascii="宋体" w:hAnsi="宋体" w:eastAsia="宋体" w:cs="宋体"/>
          <w:b/>
          <w:bCs/>
          <w:sz w:val="28"/>
          <w:szCs w:val="28"/>
        </w:rPr>
      </w:pPr>
    </w:p>
    <w:p>
      <w:pPr>
        <w:pStyle w:val="59"/>
        <w:ind w:firstLine="560"/>
        <w:rPr>
          <w:rFonts w:hint="eastAsia" w:ascii="宋体" w:hAnsi="宋体" w:eastAsia="宋体" w:cs="宋体"/>
          <w:b/>
          <w:bCs/>
          <w:sz w:val="28"/>
          <w:szCs w:val="28"/>
        </w:rPr>
      </w:pPr>
    </w:p>
    <w:p>
      <w:pPr>
        <w:spacing w:line="360" w:lineRule="auto"/>
        <w:ind w:firstLine="843" w:firstLineChars="300"/>
        <w:jc w:val="left"/>
        <w:rPr>
          <w:rFonts w:hint="eastAsia" w:ascii="宋体" w:hAnsi="宋体" w:eastAsia="宋体" w:cs="宋体"/>
          <w:b/>
          <w:bCs/>
          <w:sz w:val="28"/>
          <w:szCs w:val="28"/>
        </w:rPr>
      </w:pP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投标供应商：参加投标供应商全称（公章）</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w:t>
      </w:r>
      <w:r>
        <w:rPr>
          <w:rFonts w:hint="eastAsia" w:ascii="宋体" w:hAnsi="宋体" w:eastAsia="宋体" w:cs="宋体"/>
          <w:sz w:val="24"/>
          <w:szCs w:val="24"/>
          <w:highlight w:val="none"/>
        </w:rPr>
        <w:t>贵单位组织的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rPr>
        <w:t>我</w:t>
      </w:r>
      <w:r>
        <w:rPr>
          <w:rFonts w:hint="eastAsia" w:ascii="宋体" w:hAnsi="宋体" w:eastAsia="宋体" w:cs="宋体"/>
          <w:sz w:val="24"/>
          <w:szCs w:val="24"/>
          <w:highlight w:val="none"/>
        </w:rPr>
        <w:t>单位</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郑重声明：</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参加本项目采购活动前3年内在经营活动中</w:t>
      </w:r>
      <w:r>
        <w:rPr>
          <w:rFonts w:hint="eastAsia" w:ascii="宋体" w:hAnsi="宋体" w:eastAsia="宋体" w:cs="宋体"/>
          <w:sz w:val="24"/>
          <w:szCs w:val="24"/>
          <w:highlight w:val="none"/>
          <w:u w:val="single"/>
        </w:rPr>
        <w:t>（在下划线上如实填写：有或没有）</w:t>
      </w:r>
      <w:r>
        <w:rPr>
          <w:rFonts w:hint="eastAsia" w:ascii="宋体" w:hAnsi="宋体" w:eastAsia="宋体" w:cs="宋体"/>
          <w:sz w:val="24"/>
          <w:szCs w:val="24"/>
          <w:highlight w:val="none"/>
        </w:rPr>
        <w:t>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highlight w:val="none"/>
        </w:rPr>
        <w:t>（说明：政府采购法第二十二条第一款第五项所称重大违法记录，是指供应商因违法经营受到刑事处罚或者责</w:t>
      </w:r>
      <w:r>
        <w:rPr>
          <w:rFonts w:hint="eastAsia" w:ascii="宋体" w:hAnsi="宋体" w:eastAsia="宋体" w:cs="宋体"/>
          <w:sz w:val="24"/>
          <w:szCs w:val="24"/>
        </w:rPr>
        <w:t>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8"/>
        <w:overflowPunct w:val="0"/>
        <w:spacing w:line="360" w:lineRule="auto"/>
        <w:jc w:val="center"/>
        <w:rPr>
          <w:rFonts w:ascii="宋体" w:hAnsi="宋体" w:eastAsia="宋体" w:cs="宋体"/>
        </w:rPr>
      </w:pPr>
    </w:p>
    <w:p>
      <w:pPr>
        <w:pStyle w:val="8"/>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8"/>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（项目名称)</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8"/>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81"/>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380"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ascii="宋体" w:hAnsi="宋体" w:eastAsia="宋体"/>
                <w:sz w:val="24"/>
                <w:szCs w:val="24"/>
              </w:rPr>
            </w:pPr>
          </w:p>
        </w:tc>
        <w:tc>
          <w:tcPr>
            <w:tcW w:w="64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ascii="宋体" w:hAnsi="宋体" w:eastAsia="宋体"/>
                <w:sz w:val="24"/>
                <w:szCs w:val="24"/>
              </w:rPr>
            </w:pPr>
          </w:p>
        </w:tc>
        <w:tc>
          <w:tcPr>
            <w:tcW w:w="516" w:type="pct"/>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2295" w:type="pct"/>
            <w:gridSpan w:val="6"/>
            <w:tcBorders>
              <w:bottom w:val="double" w:color="auto" w:sz="4" w:space="0"/>
            </w:tcBorders>
            <w:vAlign w:val="center"/>
          </w:tcPr>
          <w:p>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380"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6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30"/>
        <w:snapToGrid w:val="0"/>
        <w:spacing w:line="300" w:lineRule="auto"/>
        <w:contextualSpacing/>
        <w:rPr>
          <w:rFonts w:hAnsi="宋体" w:eastAsia="宋体"/>
          <w:b/>
          <w:sz w:val="24"/>
          <w:szCs w:val="24"/>
        </w:rPr>
      </w:pPr>
      <w:r>
        <w:rPr>
          <w:rFonts w:hint="eastAsia" w:hAnsi="宋体" w:eastAsia="宋体"/>
          <w:b/>
          <w:sz w:val="24"/>
          <w:szCs w:val="24"/>
        </w:rPr>
        <w:t>注：</w:t>
      </w:r>
    </w:p>
    <w:p>
      <w:pPr>
        <w:pStyle w:val="30"/>
        <w:snapToGrid w:val="0"/>
        <w:spacing w:line="300" w:lineRule="auto"/>
        <w:ind w:firstLine="480" w:firstLineChars="200"/>
        <w:contextualSpacing/>
        <w:rPr>
          <w:rFonts w:hint="eastAsia" w:ascii="宋体" w:hAnsi="宋体" w:eastAsia="宋体" w:cs="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30"/>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2、“偏离说明”一栏选择“正偏离”、“负偏离”进行填写</w:t>
      </w:r>
      <w:r>
        <w:rPr>
          <w:rFonts w:hint="eastAsia" w:ascii="宋体" w:hAnsi="宋体" w:eastAsia="宋体" w:cs="宋体"/>
          <w:b/>
          <w:bCs/>
          <w:sz w:val="24"/>
          <w:szCs w:val="24"/>
        </w:rPr>
        <w:t>（本项目不接收偏离）</w:t>
      </w:r>
      <w:r>
        <w:rPr>
          <w:rFonts w:hint="eastAsia" w:ascii="宋体" w:hAnsi="宋体" w:eastAsia="宋体" w:cs="宋体"/>
          <w:sz w:val="24"/>
          <w:szCs w:val="24"/>
        </w:rPr>
        <w:t>。正偏离的确认和负偏离的是否响应磋商文件，经三分之二评委认定。</w:t>
      </w:r>
    </w:p>
    <w:p>
      <w:pPr>
        <w:pStyle w:val="30"/>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3、供应商若提供其他增值服务，可以在表中自行据实填写。</w:t>
      </w:r>
    </w:p>
    <w:p>
      <w:pPr>
        <w:snapToGrid w:val="0"/>
        <w:spacing w:line="460" w:lineRule="exact"/>
        <w:ind w:firstLine="480" w:firstLineChars="200"/>
        <w:contextualSpacing/>
        <w:jc w:val="right"/>
        <w:rPr>
          <w:rFonts w:hint="eastAsia" w:ascii="宋体" w:hAnsi="宋体" w:eastAsia="宋体" w:cs="宋体"/>
          <w:bCs/>
          <w:sz w:val="24"/>
        </w:rPr>
      </w:pPr>
    </w:p>
    <w:p>
      <w:pPr>
        <w:snapToGrid w:val="0"/>
        <w:spacing w:line="460" w:lineRule="exact"/>
        <w:ind w:firstLine="480" w:firstLineChars="200"/>
        <w:contextualSpacing/>
        <w:jc w:val="right"/>
        <w:rPr>
          <w:rFonts w:hint="eastAsia" w:ascii="宋体" w:hAnsi="宋体" w:eastAsia="宋体" w:cs="宋体"/>
          <w:bCs/>
          <w:sz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napToGrid w:val="0"/>
        <w:spacing w:line="360" w:lineRule="auto"/>
        <w:jc w:val="center"/>
        <w:outlineLvl w:val="4"/>
        <w:rPr>
          <w:rFonts w:hint="eastAsia" w:ascii="宋体" w:hAnsi="宋体" w:eastAsia="宋体" w:cs="宋体"/>
          <w:b/>
          <w:bCs/>
          <w:sz w:val="24"/>
        </w:rPr>
      </w:pPr>
      <w:r>
        <w:rPr>
          <w:rFonts w:ascii="宋体" w:hAnsi="宋体" w:eastAsia="宋体"/>
          <w:b/>
          <w:sz w:val="28"/>
          <w:szCs w:val="28"/>
        </w:rPr>
        <w:br w:type="page"/>
      </w:r>
      <w:r>
        <w:rPr>
          <w:rFonts w:hint="eastAsia" w:ascii="宋体" w:hAnsi="宋体" w:eastAsia="宋体"/>
          <w:b/>
          <w:sz w:val="28"/>
          <w:szCs w:val="28"/>
        </w:rPr>
        <w:t>商务响应正负偏离表</w:t>
      </w:r>
    </w:p>
    <w:p>
      <w:pPr>
        <w:ind w:firstLine="480" w:firstLineChars="200"/>
        <w:jc w:val="center"/>
        <w:rPr>
          <w:rFonts w:hint="eastAsia" w:ascii="宋体" w:hAnsi="宋体" w:eastAsia="宋体" w:cs="宋体"/>
          <w:sz w:val="28"/>
          <w:szCs w:val="28"/>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6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30"/>
        <w:snapToGrid w:val="0"/>
        <w:spacing w:line="300" w:lineRule="auto"/>
        <w:contextualSpacing/>
        <w:rPr>
          <w:rFonts w:hAnsi="宋体" w:eastAsia="宋体"/>
          <w:b/>
          <w:sz w:val="24"/>
          <w:szCs w:val="24"/>
        </w:rPr>
      </w:pPr>
      <w:r>
        <w:rPr>
          <w:rFonts w:hint="eastAsia" w:hAnsi="宋体" w:eastAsia="宋体"/>
          <w:b/>
          <w:sz w:val="24"/>
          <w:szCs w:val="24"/>
        </w:rPr>
        <w:t>注：</w:t>
      </w:r>
    </w:p>
    <w:p>
      <w:pPr>
        <w:pStyle w:val="30"/>
        <w:snapToGrid w:val="0"/>
        <w:spacing w:line="300" w:lineRule="auto"/>
        <w:ind w:firstLine="480" w:firstLineChars="200"/>
        <w:contextualSpacing/>
        <w:rPr>
          <w:rFonts w:hint="eastAsia" w:ascii="宋体" w:hAnsi="宋体" w:eastAsia="宋体" w:cs="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30"/>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2、“偏离说明”一栏选择“正偏离”、“负偏离”进行填写</w:t>
      </w:r>
      <w:r>
        <w:rPr>
          <w:rFonts w:hint="eastAsia" w:ascii="宋体" w:hAnsi="宋体" w:eastAsia="宋体" w:cs="宋体"/>
          <w:b/>
          <w:bCs/>
          <w:sz w:val="24"/>
          <w:szCs w:val="24"/>
        </w:rPr>
        <w:t>（本项目不接收偏离）</w:t>
      </w:r>
      <w:r>
        <w:rPr>
          <w:rFonts w:hint="eastAsia" w:ascii="宋体" w:hAnsi="宋体" w:eastAsia="宋体" w:cs="宋体"/>
          <w:sz w:val="24"/>
          <w:szCs w:val="24"/>
        </w:rPr>
        <w:t>。正偏离的确认和负偏离的是否响应磋商文件，经三分之二评委认定。</w:t>
      </w:r>
    </w:p>
    <w:p>
      <w:pPr>
        <w:snapToGrid w:val="0"/>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3、供应商若提供其他增值服务，可以在表中自行据实填写。</w:t>
      </w:r>
    </w:p>
    <w:p>
      <w:pPr>
        <w:snapToGrid w:val="0"/>
        <w:spacing w:line="360" w:lineRule="auto"/>
        <w:ind w:firstLine="560" w:firstLineChars="200"/>
        <w:jc w:val="right"/>
        <w:rPr>
          <w:rFonts w:hint="eastAsia" w:ascii="宋体" w:hAnsi="宋体" w:eastAsia="宋体" w:cs="宋体"/>
          <w:sz w:val="28"/>
          <w:szCs w:val="28"/>
        </w:rPr>
      </w:pPr>
    </w:p>
    <w:p>
      <w:pPr>
        <w:snapToGrid w:val="0"/>
        <w:spacing w:line="360" w:lineRule="auto"/>
        <w:ind w:firstLine="560" w:firstLineChars="200"/>
        <w:jc w:val="right"/>
        <w:rPr>
          <w:rFonts w:hint="eastAsia" w:ascii="宋体" w:hAnsi="宋体" w:eastAsia="宋体" w:cs="宋体"/>
          <w:sz w:val="28"/>
          <w:szCs w:val="28"/>
        </w:rPr>
      </w:pPr>
    </w:p>
    <w:p>
      <w:pPr>
        <w:snapToGrid w:val="0"/>
        <w:spacing w:line="520" w:lineRule="exact"/>
        <w:jc w:val="right"/>
        <w:rPr>
          <w:rFonts w:ascii="宋体" w:hAnsi="宋体" w:eastAsia="宋体" w:cs="宋体"/>
          <w:sz w:val="24"/>
          <w:szCs w:val="24"/>
        </w:rPr>
      </w:pPr>
      <w:r>
        <w:rPr>
          <w:rFonts w:hint="eastAsia" w:ascii="宋体" w:hAnsi="宋体" w:eastAsia="宋体" w:cs="宋体"/>
          <w:bCs/>
          <w:sz w:val="24"/>
        </w:rPr>
        <w:t xml:space="preserve">                                  </w:t>
      </w: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napToGrid w:val="0"/>
        <w:spacing w:line="460" w:lineRule="exact"/>
        <w:ind w:firstLine="480" w:firstLineChars="200"/>
        <w:contextualSpacing/>
        <w:rPr>
          <w:rFonts w:hint="eastAsia" w:ascii="宋体" w:hAnsi="宋体" w:eastAsia="宋体" w:cs="宋体"/>
          <w:bCs/>
          <w:sz w:val="24"/>
        </w:rPr>
      </w:pPr>
    </w:p>
    <w:p>
      <w:pPr>
        <w:widowControl/>
        <w:jc w:val="left"/>
        <w:rPr>
          <w:rFonts w:ascii="宋体" w:hAnsi="宋体" w:eastAsia="宋体"/>
          <w:b/>
          <w:sz w:val="28"/>
          <w:szCs w:val="28"/>
        </w:rPr>
      </w:pPr>
    </w:p>
    <w:p>
      <w:pPr>
        <w:rPr>
          <w:rFonts w:hint="eastAsia" w:ascii="宋体" w:hAnsi="宋体" w:eastAsia="宋体"/>
          <w:b/>
          <w:sz w:val="28"/>
          <w:szCs w:val="28"/>
        </w:rPr>
      </w:pPr>
      <w:r>
        <w:rPr>
          <w:rFonts w:hint="eastAsia" w:ascii="宋体" w:hAnsi="宋体" w:eastAsia="宋体"/>
          <w:b/>
          <w:sz w:val="28"/>
          <w:szCs w:val="28"/>
        </w:rPr>
        <w:br w:type="page"/>
      </w:r>
    </w:p>
    <w:p>
      <w:pPr>
        <w:snapToGrid w:val="0"/>
        <w:spacing w:after="190"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napToGrid w:val="0"/>
        <w:spacing w:after="380"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6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1"/>
        <w:gridCol w:w="5036"/>
        <w:gridCol w:w="20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107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u w:val="single"/>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restart"/>
            <w:tcBorders>
              <w:top w:val="single" w:color="auto" w:sz="4" w:space="0"/>
              <w:left w:val="single" w:color="auto" w:sz="4" w:space="0"/>
              <w:right w:val="single" w:color="auto" w:sz="4" w:space="0"/>
            </w:tcBorders>
            <w:vAlign w:val="center"/>
          </w:tcPr>
          <w:p>
            <w:pPr>
              <w:kinsoku w:val="0"/>
              <w:topLinePunct/>
              <w:snapToGrid w:val="0"/>
              <w:spacing w:line="520" w:lineRule="exact"/>
              <w:jc w:val="left"/>
              <w:rPr>
                <w:rFonts w:ascii="方正仿宋_GBK" w:eastAsia="宋体"/>
                <w:sz w:val="24"/>
                <w:szCs w:val="24"/>
              </w:rPr>
            </w:pPr>
            <w:r>
              <w:rPr>
                <w:rFonts w:hint="eastAsia" w:ascii="方正仿宋_GBK" w:eastAsia="宋体"/>
                <w:sz w:val="24"/>
                <w:szCs w:val="24"/>
              </w:rPr>
              <w:t>作为报价标评分依据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7"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最终报价</w:t>
            </w:r>
          </w:p>
        </w:tc>
        <w:tc>
          <w:tcPr>
            <w:tcW w:w="2713"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079" w:type="pct"/>
            <w:vMerge w:val="continue"/>
            <w:tcBorders>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9"/>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7"/>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7"/>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最终报价将在开标现场填写，</w:t>
      </w:r>
      <w:r>
        <w:rPr>
          <w:rFonts w:hint="eastAsia" w:ascii="宋体" w:hAnsi="宋体" w:eastAsia="宋体" w:cs="宋体"/>
          <w:sz w:val="24"/>
          <w:szCs w:val="24"/>
          <w:lang w:val="en-US" w:eastAsia="zh-CN"/>
        </w:rPr>
        <w:t>商务标</w:t>
      </w:r>
      <w:r>
        <w:rPr>
          <w:rFonts w:hint="eastAsia" w:ascii="宋体" w:hAnsi="宋体" w:eastAsia="宋体" w:cs="宋体"/>
          <w:sz w:val="24"/>
          <w:szCs w:val="24"/>
        </w:rPr>
        <w:t>响应文件密封提交时只需填写“首轮报价”。</w:t>
      </w:r>
      <w:r>
        <w:rPr>
          <w:rFonts w:hint="eastAsia" w:ascii="宋体" w:hAnsi="宋体" w:eastAsia="宋体" w:cs="宋体"/>
          <w:b/>
          <w:bCs/>
          <w:sz w:val="24"/>
          <w:szCs w:val="24"/>
        </w:rPr>
        <w:t>且最终报价时，磋商响应报价明细表以首次报价为基数同比例下浮。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59"/>
        <w:ind w:left="0" w:leftChars="0" w:firstLine="0" w:firstLineChars="0"/>
        <w:jc w:val="center"/>
        <w:rPr>
          <w:rFonts w:ascii="宋体" w:hAnsi="宋体" w:cs="宋体"/>
          <w:b/>
          <w:szCs w:val="28"/>
        </w:rPr>
      </w:pPr>
      <w:r>
        <w:rPr>
          <w:rFonts w:hint="eastAsia" w:ascii="宋体" w:hAnsi="宋体" w:cs="宋体"/>
          <w:b/>
          <w:szCs w:val="28"/>
        </w:rPr>
        <w:t>磋商响应报价明细表</w:t>
      </w:r>
    </w:p>
    <w:p>
      <w:pPr>
        <w:kinsoku w:val="0"/>
        <w:topLinePunct/>
        <w:snapToGrid w:val="0"/>
        <w:spacing w:line="520" w:lineRule="exact"/>
        <w:rPr>
          <w:rFonts w:ascii="宋体" w:hAnsi="宋体" w:cs="宋体"/>
          <w:b/>
          <w:sz w:val="28"/>
          <w:szCs w:val="28"/>
        </w:rPr>
      </w:pPr>
      <w:r>
        <w:rPr>
          <w:rFonts w:hint="eastAsia" w:ascii="宋体" w:hAnsi="宋体" w:eastAsia="宋体" w:cs="宋体"/>
          <w:sz w:val="24"/>
          <w:szCs w:val="24"/>
        </w:rPr>
        <w:t>项目名称</w:t>
      </w:r>
      <w:r>
        <w:rPr>
          <w:rFonts w:ascii="方正仿宋_GBK" w:eastAsia="宋体"/>
          <w:b/>
          <w:sz w:val="24"/>
          <w:szCs w:val="24"/>
        </w:rPr>
        <w:t>：</w:t>
      </w:r>
    </w:p>
    <w:tbl>
      <w:tblPr>
        <w:tblStyle w:val="60"/>
        <w:tblW w:w="8984" w:type="dxa"/>
        <w:tblInd w:w="91" w:type="dxa"/>
        <w:tblLayout w:type="fixed"/>
        <w:tblCellMar>
          <w:top w:w="0" w:type="dxa"/>
          <w:left w:w="108" w:type="dxa"/>
          <w:bottom w:w="0" w:type="dxa"/>
          <w:right w:w="108" w:type="dxa"/>
        </w:tblCellMar>
      </w:tblPr>
      <w:tblGrid>
        <w:gridCol w:w="1149"/>
        <w:gridCol w:w="3515"/>
        <w:gridCol w:w="2848"/>
        <w:gridCol w:w="1472"/>
      </w:tblGrid>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5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分项名称</w:t>
            </w:r>
          </w:p>
        </w:tc>
        <w:tc>
          <w:tcPr>
            <w:tcW w:w="2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金额（元）</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515"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自行列项</w:t>
            </w:r>
          </w:p>
        </w:tc>
        <w:tc>
          <w:tcPr>
            <w:tcW w:w="2848"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总价</w:t>
            </w:r>
          </w:p>
        </w:tc>
        <w:tc>
          <w:tcPr>
            <w:tcW w:w="7835" w:type="dxa"/>
            <w:gridSpan w:val="3"/>
            <w:tcBorders>
              <w:top w:val="nil"/>
              <w:left w:val="nil"/>
              <w:bottom w:val="single" w:color="auto" w:sz="4" w:space="0"/>
              <w:right w:val="single" w:color="auto" w:sz="4" w:space="0"/>
            </w:tcBorders>
            <w:vAlign w:val="center"/>
          </w:tcPr>
          <w:p>
            <w:pPr>
              <w:rPr>
                <w:rFonts w:ascii="宋体" w:hAnsi="宋体" w:eastAsia="宋体" w:cs="宋体"/>
                <w:b/>
                <w:bCs/>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380" w:afterLines="100"/>
        <w:jc w:val="center"/>
        <w:rPr>
          <w:rFonts w:ascii="宋体" w:hAnsi="宋体" w:eastAsia="宋体" w:cs="宋体"/>
          <w:sz w:val="24"/>
          <w:szCs w:val="24"/>
        </w:rPr>
      </w:pPr>
      <w:r>
        <w:rPr>
          <w:rFonts w:hint="eastAsia" w:ascii="宋体" w:hAnsi="宋体" w:eastAsia="宋体"/>
          <w:b/>
          <w:sz w:val="28"/>
          <w:szCs w:val="28"/>
        </w:rPr>
        <w:t>小型、微型企业声明函（服务）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9"/>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2"/>
        <w:rPr>
          <w:rFonts w:ascii="宋体" w:hAnsi="宋体" w:eastAsia="宋体" w:cs="宋体"/>
          <w:sz w:val="24"/>
          <w:szCs w:val="24"/>
        </w:rPr>
      </w:pPr>
    </w:p>
    <w:p>
      <w:pPr>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pgSz w:w="11906" w:h="16838"/>
      <w:pgMar w:top="1417" w:right="1417" w:bottom="1417" w:left="1418" w:header="851" w:footer="448" w:gutter="0"/>
      <w:pgBorders>
        <w:top w:val="none" w:sz="0" w:space="0"/>
        <w:left w:val="none" w:sz="0" w:space="0"/>
        <w:bottom w:val="none" w:sz="0" w:space="0"/>
        <w:right w:val="none" w:sz="0" w:space="0"/>
      </w:pgBorders>
      <w:pgNumType w:fmt="decimal"/>
      <w:cols w:space="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2AC1F6-69CE-4AD3-BE5B-1C7313D8E059}"/>
  </w:font>
  <w:font w:name="黑体">
    <w:panose1 w:val="02010609060101010101"/>
    <w:charset w:val="86"/>
    <w:family w:val="auto"/>
    <w:pitch w:val="default"/>
    <w:sig w:usb0="800002BF" w:usb1="38CF7CFA" w:usb2="00000016" w:usb3="00000000" w:csb0="00040001" w:csb1="00000000"/>
    <w:embedRegular r:id="rId2" w:fontKey="{1933D5CD-AFE2-441E-B87E-E78063B0BEDC}"/>
  </w:font>
  <w:font w:name="Courier New">
    <w:panose1 w:val="02070309020205020404"/>
    <w:charset w:val="01"/>
    <w:family w:val="modern"/>
    <w:pitch w:val="default"/>
    <w:sig w:usb0="E0002EFF" w:usb1="C0007843" w:usb2="00000009" w:usb3="00000000" w:csb0="400001FF" w:csb1="FFFF0000"/>
    <w:embedRegular r:id="rId3" w:fontKey="{134EF5C9-75C3-4ACD-BC1B-1FAF4D3D67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925DEDF-B946-4616-A721-BA5E6D26FC69}"/>
  </w:font>
  <w:font w:name="楷体_GB2312">
    <w:altName w:val="楷体"/>
    <w:panose1 w:val="00000000000000000000"/>
    <w:charset w:val="86"/>
    <w:family w:val="modern"/>
    <w:pitch w:val="default"/>
    <w:sig w:usb0="00000000" w:usb1="00000000" w:usb2="00000000" w:usb3="00000000" w:csb0="00000000" w:csb1="00000000"/>
    <w:embedRegular r:id="rId5" w:fontKey="{920D4E25-CEDD-47EC-A113-FCE60DF18DDE}"/>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0" w:usb1="00000000" w:usb2="00000000" w:usb3="00000000" w:csb0="00000000" w:csb1="00000000"/>
    <w:embedRegular r:id="rId6" w:fontKey="{1553F71E-6592-42E9-BBB0-E6700E9104C9}"/>
  </w:font>
  <w:font w:name="SimSong Regular">
    <w:altName w:val="宋体"/>
    <w:panose1 w:val="00000000000000000000"/>
    <w:charset w:val="86"/>
    <w:family w:val="auto"/>
    <w:pitch w:val="default"/>
    <w:sig w:usb0="00000000" w:usb1="00000000" w:usb2="00000016" w:usb3="00000000" w:csb0="0004000D" w:csb1="00000000"/>
    <w:embedRegular r:id="rId7" w:fontKey="{C21C82AA-44CB-4A96-A77A-497D19295BFE}"/>
  </w:font>
  <w:font w:name="等线">
    <w:panose1 w:val="02010600030101010101"/>
    <w:charset w:val="86"/>
    <w:family w:val="auto"/>
    <w:pitch w:val="default"/>
    <w:sig w:usb0="A00002BF" w:usb1="38CF7CFA" w:usb2="00000016" w:usb3="00000000" w:csb0="0004000F" w:csb1="00000000"/>
    <w:embedRegular r:id="rId8" w:fontKey="{95E5056A-15C9-478D-8A7B-E1F84DE4043F}"/>
  </w:font>
  <w:font w:name="方正仿宋_GBK">
    <w:panose1 w:val="02000000000000000000"/>
    <w:charset w:val="86"/>
    <w:family w:val="script"/>
    <w:pitch w:val="default"/>
    <w:sig w:usb0="00000000" w:usb1="00000000" w:usb2="00000000" w:usb3="00000000" w:csb0="00000000" w:csb1="00000000"/>
    <w:embedRegular r:id="rId9" w:fontKey="{98612700-AE04-4C5E-9436-7EBD3CCAFF6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7"/>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1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36</w:t>
                          </w:r>
                          <w:r>
                            <w:fldChar w:fldCharType="end"/>
                          </w:r>
                          <w:r>
                            <w:rPr>
                              <w:rFonts w:hint="eastAsia"/>
                            </w:rPr>
                            <w:t>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Y0ebMBAABaAwAADgAAAGRycy9lMm9Eb2MueG1srVPNjtMwEL4j8Q6W&#10;7zRph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PR7FaceeFoRudvX8/ff55/fGEvc3+GgA2VPQQqTONrGKl2jiMFs+xRR5e/JIhR&#10;njp9unZXjYnJfGm9Wq9rSknKzQ7hV4/XQ8T0RoFj2Wh5pPGVrorjO0xT6VySX/Nwb6wtI7T+jwBh&#10;ThFVduByOyuZGGcrjbvxIm8H3YnUDbQHLfe0qJzZt57anFdmNuJs7GbjEKLZ90R0WVhiuD0kolSY&#10;5hcmWFKYHRpg0XpZtrwhv/ul6vGX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h2NHmz&#10;AQAAWgMAAA4AAAAAAAAAAQAgAAAAHgEAAGRycy9lMm9Eb2MueG1sUEsFBgAAAAAGAAYAWQEAAEMF&#10;AAAAAA==&#10;">
              <v:fill on="f" focussize="0,0"/>
              <v:stroke on="f"/>
              <v:imagedata o:title=""/>
              <o:lock v:ext="edit" aspectratio="f"/>
              <v:textbox inset="0mm,0mm,0mm,0mm" style="mso-fit-shape-to-text:t;">
                <w:txbxContent>
                  <w:p>
                    <w:pPr>
                      <w:pStyle w:val="3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36</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37"/>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-312420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24.6pt;height:144pt;width:144pt;mso-position-horizontal:center;mso-position-horizontal-relative:margin;mso-wrap-style:none;z-index:251660288;mso-width-relative:page;mso-height-relative:page;" filled="f" stroked="f" coordsize="21600,21600" o:gfxdata="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vMf3Y&#10;AAAACwEAAA8AAAAAAAAAAQAgAAAAIgAAAGRycy9kb3ducmV2LnhtbFBLAQIUABQAAAAIAIdO4kAa&#10;SVzNrgEAAEsDAAAOAAAAAAAAAAEAIAAAACcBAABkcnMvZTJvRG9jLnhtbFBLBQYAAAAABgAGAFkB&#10;AABHBQ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FA61A"/>
    <w:multiLevelType w:val="singleLevel"/>
    <w:tmpl w:val="B31FA61A"/>
    <w:lvl w:ilvl="0" w:tentative="0">
      <w:start w:val="2"/>
      <w:numFmt w:val="chineseCounting"/>
      <w:suff w:val="nothing"/>
      <w:lvlText w:val="%1、"/>
      <w:lvlJc w:val="left"/>
      <w:rPr>
        <w:rFonts w:hint="eastAsia"/>
      </w:rPr>
    </w:lvl>
  </w:abstractNum>
  <w:abstractNum w:abstractNumId="1">
    <w:nsid w:val="D98935BC"/>
    <w:multiLevelType w:val="singleLevel"/>
    <w:tmpl w:val="D98935BC"/>
    <w:lvl w:ilvl="0" w:tentative="0">
      <w:start w:val="1"/>
      <w:numFmt w:val="decimal"/>
      <w:lvlText w:val="(%1)"/>
      <w:lvlJc w:val="left"/>
      <w:pPr>
        <w:tabs>
          <w:tab w:val="left" w:pos="420"/>
        </w:tabs>
        <w:ind w:left="425" w:leftChars="0" w:hanging="425" w:firstLineChars="0"/>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3">
    <w:nsid w:val="21125CBE"/>
    <w:multiLevelType w:val="singleLevel"/>
    <w:tmpl w:val="21125CBE"/>
    <w:lvl w:ilvl="0" w:tentative="0">
      <w:start w:val="1"/>
      <w:numFmt w:val="decimal"/>
      <w:suff w:val="nothing"/>
      <w:lvlText w:val="（%1）"/>
      <w:lvlJc w:val="left"/>
    </w:lvl>
  </w:abstractNum>
  <w:abstractNum w:abstractNumId="4">
    <w:nsid w:val="61C2089E"/>
    <w:multiLevelType w:val="singleLevel"/>
    <w:tmpl w:val="61C2089E"/>
    <w:lvl w:ilvl="0" w:tentative="0">
      <w:start w:val="1"/>
      <w:numFmt w:val="decimal"/>
      <w:suff w:val="nothing"/>
      <w:lvlText w:val="%1．"/>
      <w:lvlJc w:val="left"/>
      <w:pPr>
        <w:ind w:left="0" w:firstLine="400"/>
      </w:pPr>
      <w:rPr>
        <w:rFonts w:hint="default"/>
      </w:rPr>
    </w:lvl>
  </w:abstractNum>
  <w:abstractNum w:abstractNumId="5">
    <w:nsid w:val="77742D25"/>
    <w:multiLevelType w:val="singleLevel"/>
    <w:tmpl w:val="77742D25"/>
    <w:lvl w:ilvl="0" w:tentative="0">
      <w:start w:val="2"/>
      <w:numFmt w:val="decimal"/>
      <w:suff w:val="nothing"/>
      <w:lvlText w:val="%1、"/>
      <w:lvlJc w:val="left"/>
      <w:pPr>
        <w:ind w:left="1199" w:firstLine="0"/>
      </w:pPr>
    </w:lvl>
  </w:abstractNum>
  <w:abstractNum w:abstractNumId="6">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0"/>
  <w:drawingGridHorizontalSpacing w:val="119"/>
  <w:drawingGridVerticalSpacing w:val="193"/>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2ZlNWRmNTJhYTgxYzI4ZTkyMjY5MTg0ZGJmNjgifQ=="/>
  </w:docVars>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27C"/>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2FFD"/>
    <w:rsid w:val="001E67E6"/>
    <w:rsid w:val="001F11D9"/>
    <w:rsid w:val="001F4F25"/>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2DBC"/>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122CC"/>
    <w:rsid w:val="00320827"/>
    <w:rsid w:val="00323B19"/>
    <w:rsid w:val="00323E90"/>
    <w:rsid w:val="00326FF0"/>
    <w:rsid w:val="00327D3B"/>
    <w:rsid w:val="00331D4D"/>
    <w:rsid w:val="0033212D"/>
    <w:rsid w:val="00333E8B"/>
    <w:rsid w:val="00334616"/>
    <w:rsid w:val="00336479"/>
    <w:rsid w:val="0033666B"/>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00E"/>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054D7"/>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65E0"/>
    <w:rsid w:val="0044710D"/>
    <w:rsid w:val="00447819"/>
    <w:rsid w:val="004516E0"/>
    <w:rsid w:val="00451E99"/>
    <w:rsid w:val="00453594"/>
    <w:rsid w:val="0045486D"/>
    <w:rsid w:val="00455D6E"/>
    <w:rsid w:val="00462461"/>
    <w:rsid w:val="0046266E"/>
    <w:rsid w:val="00463B9D"/>
    <w:rsid w:val="004647FD"/>
    <w:rsid w:val="00465CCF"/>
    <w:rsid w:val="004663A1"/>
    <w:rsid w:val="0046790B"/>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20B7"/>
    <w:rsid w:val="004A58E9"/>
    <w:rsid w:val="004B394E"/>
    <w:rsid w:val="004B3C41"/>
    <w:rsid w:val="004B416F"/>
    <w:rsid w:val="004B5228"/>
    <w:rsid w:val="004B7197"/>
    <w:rsid w:val="004C01AE"/>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318"/>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473"/>
    <w:rsid w:val="005C78F8"/>
    <w:rsid w:val="005D31AE"/>
    <w:rsid w:val="005D3C3B"/>
    <w:rsid w:val="005D3F20"/>
    <w:rsid w:val="005D4228"/>
    <w:rsid w:val="005D64B6"/>
    <w:rsid w:val="005D676D"/>
    <w:rsid w:val="005D77DF"/>
    <w:rsid w:val="005E39BE"/>
    <w:rsid w:val="005E3A5A"/>
    <w:rsid w:val="005E3FB9"/>
    <w:rsid w:val="005E4BC7"/>
    <w:rsid w:val="005E70DE"/>
    <w:rsid w:val="005E7887"/>
    <w:rsid w:val="005F0F8E"/>
    <w:rsid w:val="005F10BC"/>
    <w:rsid w:val="005F14C7"/>
    <w:rsid w:val="005F2398"/>
    <w:rsid w:val="005F3656"/>
    <w:rsid w:val="005F3A91"/>
    <w:rsid w:val="005F66A2"/>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34DC"/>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07C34"/>
    <w:rsid w:val="0071080E"/>
    <w:rsid w:val="00710FE4"/>
    <w:rsid w:val="00712DF0"/>
    <w:rsid w:val="007141B2"/>
    <w:rsid w:val="00717059"/>
    <w:rsid w:val="00720EFB"/>
    <w:rsid w:val="0072262C"/>
    <w:rsid w:val="00723C25"/>
    <w:rsid w:val="00724D91"/>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0E80"/>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338"/>
    <w:rsid w:val="00893145"/>
    <w:rsid w:val="00893EE9"/>
    <w:rsid w:val="00894C90"/>
    <w:rsid w:val="008977DD"/>
    <w:rsid w:val="008A3B70"/>
    <w:rsid w:val="008B0D14"/>
    <w:rsid w:val="008B16E6"/>
    <w:rsid w:val="008B6075"/>
    <w:rsid w:val="008C0C45"/>
    <w:rsid w:val="008C3C73"/>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E6C11"/>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1C61"/>
    <w:rsid w:val="00952492"/>
    <w:rsid w:val="009551FB"/>
    <w:rsid w:val="00961D41"/>
    <w:rsid w:val="00964A0C"/>
    <w:rsid w:val="00965936"/>
    <w:rsid w:val="00965DB4"/>
    <w:rsid w:val="00965FFE"/>
    <w:rsid w:val="00966DBD"/>
    <w:rsid w:val="00966F6E"/>
    <w:rsid w:val="009671A8"/>
    <w:rsid w:val="00972C2F"/>
    <w:rsid w:val="0097401D"/>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096E"/>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60C7"/>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43AD"/>
    <w:rsid w:val="00B5617F"/>
    <w:rsid w:val="00B56734"/>
    <w:rsid w:val="00B5730E"/>
    <w:rsid w:val="00B6019E"/>
    <w:rsid w:val="00B60D04"/>
    <w:rsid w:val="00B62582"/>
    <w:rsid w:val="00B62A37"/>
    <w:rsid w:val="00B661A4"/>
    <w:rsid w:val="00B674D9"/>
    <w:rsid w:val="00B70546"/>
    <w:rsid w:val="00B70680"/>
    <w:rsid w:val="00B70C6A"/>
    <w:rsid w:val="00B71A74"/>
    <w:rsid w:val="00B71E55"/>
    <w:rsid w:val="00B734C5"/>
    <w:rsid w:val="00B73C1B"/>
    <w:rsid w:val="00B75680"/>
    <w:rsid w:val="00B7657E"/>
    <w:rsid w:val="00B81D23"/>
    <w:rsid w:val="00B824F9"/>
    <w:rsid w:val="00B826D8"/>
    <w:rsid w:val="00B83C28"/>
    <w:rsid w:val="00B91D91"/>
    <w:rsid w:val="00B92EEE"/>
    <w:rsid w:val="00B9357D"/>
    <w:rsid w:val="00B94274"/>
    <w:rsid w:val="00B94C27"/>
    <w:rsid w:val="00B959E7"/>
    <w:rsid w:val="00B96916"/>
    <w:rsid w:val="00B97CAA"/>
    <w:rsid w:val="00B97E46"/>
    <w:rsid w:val="00BA071E"/>
    <w:rsid w:val="00BA0989"/>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277B0"/>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48F5"/>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1428"/>
    <w:rsid w:val="00CE2048"/>
    <w:rsid w:val="00CE348A"/>
    <w:rsid w:val="00CE5471"/>
    <w:rsid w:val="00CE54C8"/>
    <w:rsid w:val="00CE57B7"/>
    <w:rsid w:val="00CE66AD"/>
    <w:rsid w:val="00CE742C"/>
    <w:rsid w:val="00CF0904"/>
    <w:rsid w:val="00CF0F3B"/>
    <w:rsid w:val="00CF30CC"/>
    <w:rsid w:val="00D01C79"/>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428C"/>
    <w:rsid w:val="00D25374"/>
    <w:rsid w:val="00D255CD"/>
    <w:rsid w:val="00D27CE8"/>
    <w:rsid w:val="00D27FC1"/>
    <w:rsid w:val="00D30D9B"/>
    <w:rsid w:val="00D319BA"/>
    <w:rsid w:val="00D33C80"/>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6563"/>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6D5"/>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1AD358E"/>
    <w:rsid w:val="02214C21"/>
    <w:rsid w:val="02465336"/>
    <w:rsid w:val="02691BF4"/>
    <w:rsid w:val="02694A4E"/>
    <w:rsid w:val="02722DB7"/>
    <w:rsid w:val="02813929"/>
    <w:rsid w:val="02814CE3"/>
    <w:rsid w:val="02B770D9"/>
    <w:rsid w:val="02BC42FC"/>
    <w:rsid w:val="02DE32B9"/>
    <w:rsid w:val="02E92253"/>
    <w:rsid w:val="0301674D"/>
    <w:rsid w:val="03250D00"/>
    <w:rsid w:val="035407CA"/>
    <w:rsid w:val="035A20C8"/>
    <w:rsid w:val="035C31A1"/>
    <w:rsid w:val="035F3853"/>
    <w:rsid w:val="03804CF4"/>
    <w:rsid w:val="0397409D"/>
    <w:rsid w:val="03A54ECB"/>
    <w:rsid w:val="03D375DD"/>
    <w:rsid w:val="03D754F6"/>
    <w:rsid w:val="03FC4557"/>
    <w:rsid w:val="03FF4716"/>
    <w:rsid w:val="04381AAF"/>
    <w:rsid w:val="044477A7"/>
    <w:rsid w:val="045D6219"/>
    <w:rsid w:val="048B1C2C"/>
    <w:rsid w:val="04EA1848"/>
    <w:rsid w:val="04F557F5"/>
    <w:rsid w:val="054C2F13"/>
    <w:rsid w:val="055A71F6"/>
    <w:rsid w:val="05834324"/>
    <w:rsid w:val="058541DA"/>
    <w:rsid w:val="059F3C96"/>
    <w:rsid w:val="05BA022C"/>
    <w:rsid w:val="05D257D1"/>
    <w:rsid w:val="05D40FA8"/>
    <w:rsid w:val="05D46F4C"/>
    <w:rsid w:val="05FF010D"/>
    <w:rsid w:val="0602185E"/>
    <w:rsid w:val="064364B4"/>
    <w:rsid w:val="0664643D"/>
    <w:rsid w:val="06820EF1"/>
    <w:rsid w:val="068C0E4D"/>
    <w:rsid w:val="069254AF"/>
    <w:rsid w:val="069270EA"/>
    <w:rsid w:val="06D40937"/>
    <w:rsid w:val="06E757C9"/>
    <w:rsid w:val="06F643EA"/>
    <w:rsid w:val="06FD61D2"/>
    <w:rsid w:val="0721370C"/>
    <w:rsid w:val="074A2ABE"/>
    <w:rsid w:val="07516C9E"/>
    <w:rsid w:val="076E604D"/>
    <w:rsid w:val="07A6697C"/>
    <w:rsid w:val="07B345CA"/>
    <w:rsid w:val="07C76145"/>
    <w:rsid w:val="07E74731"/>
    <w:rsid w:val="07F72D4C"/>
    <w:rsid w:val="0808438A"/>
    <w:rsid w:val="084368FC"/>
    <w:rsid w:val="088428E1"/>
    <w:rsid w:val="088D4A91"/>
    <w:rsid w:val="089C6095"/>
    <w:rsid w:val="08C43481"/>
    <w:rsid w:val="08CE0E70"/>
    <w:rsid w:val="08D30834"/>
    <w:rsid w:val="08EB72CB"/>
    <w:rsid w:val="08FC1A5A"/>
    <w:rsid w:val="09037A4E"/>
    <w:rsid w:val="091D7F1A"/>
    <w:rsid w:val="09587CF3"/>
    <w:rsid w:val="09934A8C"/>
    <w:rsid w:val="0998630C"/>
    <w:rsid w:val="09A14C4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4B694B"/>
    <w:rsid w:val="0B507865"/>
    <w:rsid w:val="0B6544D2"/>
    <w:rsid w:val="0B6A6F81"/>
    <w:rsid w:val="0B7D4716"/>
    <w:rsid w:val="0B850711"/>
    <w:rsid w:val="0B8A37AE"/>
    <w:rsid w:val="0B8B3F15"/>
    <w:rsid w:val="0B9F28B8"/>
    <w:rsid w:val="0BA8720D"/>
    <w:rsid w:val="0BAA2A3D"/>
    <w:rsid w:val="0BBA1E62"/>
    <w:rsid w:val="0C0C665E"/>
    <w:rsid w:val="0C1E3A64"/>
    <w:rsid w:val="0C254F18"/>
    <w:rsid w:val="0C506870"/>
    <w:rsid w:val="0C617140"/>
    <w:rsid w:val="0C6D3894"/>
    <w:rsid w:val="0C723619"/>
    <w:rsid w:val="0C960A6A"/>
    <w:rsid w:val="0CA06AD2"/>
    <w:rsid w:val="0CBF3301"/>
    <w:rsid w:val="0CC21DAB"/>
    <w:rsid w:val="0CC8351A"/>
    <w:rsid w:val="0CD0081C"/>
    <w:rsid w:val="0CDF5015"/>
    <w:rsid w:val="0CF8203D"/>
    <w:rsid w:val="0CFD4ED4"/>
    <w:rsid w:val="0D320033"/>
    <w:rsid w:val="0D392A89"/>
    <w:rsid w:val="0D631CE5"/>
    <w:rsid w:val="0DAE6B51"/>
    <w:rsid w:val="0DCC4CBA"/>
    <w:rsid w:val="0DCD276C"/>
    <w:rsid w:val="0DDE5621"/>
    <w:rsid w:val="0DED3A56"/>
    <w:rsid w:val="0E2B2DC3"/>
    <w:rsid w:val="0E651A19"/>
    <w:rsid w:val="0E662B1E"/>
    <w:rsid w:val="0E6A133C"/>
    <w:rsid w:val="0E734839"/>
    <w:rsid w:val="0E7870C4"/>
    <w:rsid w:val="0E8C28EA"/>
    <w:rsid w:val="0E9061BD"/>
    <w:rsid w:val="0EB46233"/>
    <w:rsid w:val="0EC12E6D"/>
    <w:rsid w:val="0ED165FA"/>
    <w:rsid w:val="0ED62816"/>
    <w:rsid w:val="0ED77BF5"/>
    <w:rsid w:val="0EDD2545"/>
    <w:rsid w:val="0EE940C8"/>
    <w:rsid w:val="0F1D2352"/>
    <w:rsid w:val="0F442697"/>
    <w:rsid w:val="0F5862B1"/>
    <w:rsid w:val="0F680AEC"/>
    <w:rsid w:val="0F7B53FF"/>
    <w:rsid w:val="0F81333F"/>
    <w:rsid w:val="0F8A4AEB"/>
    <w:rsid w:val="0FA07739"/>
    <w:rsid w:val="0FC60FF1"/>
    <w:rsid w:val="0FD31F97"/>
    <w:rsid w:val="0FF24DCB"/>
    <w:rsid w:val="102B7B10"/>
    <w:rsid w:val="10737446"/>
    <w:rsid w:val="108366C1"/>
    <w:rsid w:val="108A631E"/>
    <w:rsid w:val="10B85DBF"/>
    <w:rsid w:val="10D26BB3"/>
    <w:rsid w:val="10D3396F"/>
    <w:rsid w:val="10DA6853"/>
    <w:rsid w:val="10EA6441"/>
    <w:rsid w:val="11084D00"/>
    <w:rsid w:val="11247DA4"/>
    <w:rsid w:val="11250309"/>
    <w:rsid w:val="11351B87"/>
    <w:rsid w:val="11367223"/>
    <w:rsid w:val="11463498"/>
    <w:rsid w:val="11531D43"/>
    <w:rsid w:val="115D4F2A"/>
    <w:rsid w:val="11705255"/>
    <w:rsid w:val="11956DB9"/>
    <w:rsid w:val="11972241"/>
    <w:rsid w:val="11A02C0B"/>
    <w:rsid w:val="11C0331A"/>
    <w:rsid w:val="11FF767D"/>
    <w:rsid w:val="12501D56"/>
    <w:rsid w:val="126342DC"/>
    <w:rsid w:val="126A3CE5"/>
    <w:rsid w:val="12804EC3"/>
    <w:rsid w:val="12B9724A"/>
    <w:rsid w:val="12ED108C"/>
    <w:rsid w:val="12F712DA"/>
    <w:rsid w:val="12F9050F"/>
    <w:rsid w:val="130E043F"/>
    <w:rsid w:val="131F5F39"/>
    <w:rsid w:val="133A4BEB"/>
    <w:rsid w:val="134176DB"/>
    <w:rsid w:val="13627322"/>
    <w:rsid w:val="13753078"/>
    <w:rsid w:val="13876133"/>
    <w:rsid w:val="139D423C"/>
    <w:rsid w:val="139E459A"/>
    <w:rsid w:val="13CA31FB"/>
    <w:rsid w:val="13DA36B2"/>
    <w:rsid w:val="13E62AA2"/>
    <w:rsid w:val="14076394"/>
    <w:rsid w:val="143E021E"/>
    <w:rsid w:val="14674D59"/>
    <w:rsid w:val="148E216F"/>
    <w:rsid w:val="14A254B8"/>
    <w:rsid w:val="14BC5E70"/>
    <w:rsid w:val="14C672CD"/>
    <w:rsid w:val="14DE2975"/>
    <w:rsid w:val="15013288"/>
    <w:rsid w:val="150C509E"/>
    <w:rsid w:val="15164B5B"/>
    <w:rsid w:val="15345223"/>
    <w:rsid w:val="157F0C2D"/>
    <w:rsid w:val="15840A28"/>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AA05CE"/>
    <w:rsid w:val="16B87DCE"/>
    <w:rsid w:val="16C24E28"/>
    <w:rsid w:val="16E469AA"/>
    <w:rsid w:val="171F37D3"/>
    <w:rsid w:val="17207639"/>
    <w:rsid w:val="17220BA3"/>
    <w:rsid w:val="173C1970"/>
    <w:rsid w:val="17424D63"/>
    <w:rsid w:val="175C5C65"/>
    <w:rsid w:val="17901906"/>
    <w:rsid w:val="17DD7C1B"/>
    <w:rsid w:val="17F36EC3"/>
    <w:rsid w:val="180B42DA"/>
    <w:rsid w:val="1819223D"/>
    <w:rsid w:val="1826077F"/>
    <w:rsid w:val="182E62D8"/>
    <w:rsid w:val="18407366"/>
    <w:rsid w:val="184940B0"/>
    <w:rsid w:val="18577D43"/>
    <w:rsid w:val="18680B1D"/>
    <w:rsid w:val="1885777E"/>
    <w:rsid w:val="18973FA0"/>
    <w:rsid w:val="18D02ADB"/>
    <w:rsid w:val="18D331A5"/>
    <w:rsid w:val="19137C4F"/>
    <w:rsid w:val="19431471"/>
    <w:rsid w:val="19474AD7"/>
    <w:rsid w:val="194F02E7"/>
    <w:rsid w:val="194F7866"/>
    <w:rsid w:val="196D5014"/>
    <w:rsid w:val="19857774"/>
    <w:rsid w:val="19C6160B"/>
    <w:rsid w:val="19CB1EC2"/>
    <w:rsid w:val="19DB1E50"/>
    <w:rsid w:val="19F849D2"/>
    <w:rsid w:val="1A1127D8"/>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CF2401"/>
    <w:rsid w:val="1BD17EDE"/>
    <w:rsid w:val="1BD92D7A"/>
    <w:rsid w:val="1BF352DE"/>
    <w:rsid w:val="1C0B491D"/>
    <w:rsid w:val="1C116F86"/>
    <w:rsid w:val="1C1A68EE"/>
    <w:rsid w:val="1C44686C"/>
    <w:rsid w:val="1C4B3813"/>
    <w:rsid w:val="1C5B5914"/>
    <w:rsid w:val="1C807FCE"/>
    <w:rsid w:val="1C825FF9"/>
    <w:rsid w:val="1C864A20"/>
    <w:rsid w:val="1CA35A5D"/>
    <w:rsid w:val="1CBB092F"/>
    <w:rsid w:val="1CC57CC9"/>
    <w:rsid w:val="1CC670EE"/>
    <w:rsid w:val="1CCC3229"/>
    <w:rsid w:val="1CEE1F73"/>
    <w:rsid w:val="1CFA75DD"/>
    <w:rsid w:val="1CFC16DE"/>
    <w:rsid w:val="1D1A2F73"/>
    <w:rsid w:val="1D265AD0"/>
    <w:rsid w:val="1D4860AC"/>
    <w:rsid w:val="1D4F6142"/>
    <w:rsid w:val="1D527E58"/>
    <w:rsid w:val="1D714C82"/>
    <w:rsid w:val="1D767F48"/>
    <w:rsid w:val="1D8532A9"/>
    <w:rsid w:val="1DC62616"/>
    <w:rsid w:val="1DD9496F"/>
    <w:rsid w:val="1E382A67"/>
    <w:rsid w:val="1E42613D"/>
    <w:rsid w:val="1E484788"/>
    <w:rsid w:val="1E567115"/>
    <w:rsid w:val="1E634E61"/>
    <w:rsid w:val="1E6B2E70"/>
    <w:rsid w:val="1E7C3D8A"/>
    <w:rsid w:val="1EA356EA"/>
    <w:rsid w:val="1EB73811"/>
    <w:rsid w:val="1F3A72BD"/>
    <w:rsid w:val="1F444828"/>
    <w:rsid w:val="1F4D4DB6"/>
    <w:rsid w:val="1F845030"/>
    <w:rsid w:val="1F8A1413"/>
    <w:rsid w:val="1F9C0432"/>
    <w:rsid w:val="1FA76E67"/>
    <w:rsid w:val="1FA90056"/>
    <w:rsid w:val="1FB65710"/>
    <w:rsid w:val="1FE1584E"/>
    <w:rsid w:val="1FE529F2"/>
    <w:rsid w:val="2006569D"/>
    <w:rsid w:val="20477A01"/>
    <w:rsid w:val="206072F7"/>
    <w:rsid w:val="208E6E0B"/>
    <w:rsid w:val="209A09D7"/>
    <w:rsid w:val="20A82056"/>
    <w:rsid w:val="20AC402F"/>
    <w:rsid w:val="20CB5BF0"/>
    <w:rsid w:val="20D163CA"/>
    <w:rsid w:val="20D94915"/>
    <w:rsid w:val="20F1668D"/>
    <w:rsid w:val="211760BC"/>
    <w:rsid w:val="212F0B83"/>
    <w:rsid w:val="215B5B29"/>
    <w:rsid w:val="21DF4E50"/>
    <w:rsid w:val="21E563CE"/>
    <w:rsid w:val="21F07845"/>
    <w:rsid w:val="22124A61"/>
    <w:rsid w:val="222E1053"/>
    <w:rsid w:val="225C5D5B"/>
    <w:rsid w:val="22632497"/>
    <w:rsid w:val="22AA67A1"/>
    <w:rsid w:val="22B51778"/>
    <w:rsid w:val="22B907D7"/>
    <w:rsid w:val="22E74322"/>
    <w:rsid w:val="22EB68CB"/>
    <w:rsid w:val="22F418E1"/>
    <w:rsid w:val="22FB2088"/>
    <w:rsid w:val="230A71CF"/>
    <w:rsid w:val="23112E7E"/>
    <w:rsid w:val="23576FB8"/>
    <w:rsid w:val="23AF1AC9"/>
    <w:rsid w:val="23AF4E6A"/>
    <w:rsid w:val="23B90846"/>
    <w:rsid w:val="23D17176"/>
    <w:rsid w:val="23E3329B"/>
    <w:rsid w:val="23EC3A28"/>
    <w:rsid w:val="23EE4289"/>
    <w:rsid w:val="23EF0F02"/>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791C05"/>
    <w:rsid w:val="258704E3"/>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584BFE"/>
    <w:rsid w:val="27CE5EEF"/>
    <w:rsid w:val="27FF38FF"/>
    <w:rsid w:val="28173EBF"/>
    <w:rsid w:val="281C62D3"/>
    <w:rsid w:val="2828479D"/>
    <w:rsid w:val="28452A97"/>
    <w:rsid w:val="285F5C4A"/>
    <w:rsid w:val="287774BA"/>
    <w:rsid w:val="28C45743"/>
    <w:rsid w:val="28C86A2E"/>
    <w:rsid w:val="28D93758"/>
    <w:rsid w:val="28E45B3C"/>
    <w:rsid w:val="28E818A5"/>
    <w:rsid w:val="290C16D2"/>
    <w:rsid w:val="29382C3B"/>
    <w:rsid w:val="294206A7"/>
    <w:rsid w:val="295B75F1"/>
    <w:rsid w:val="29617CE2"/>
    <w:rsid w:val="296E0309"/>
    <w:rsid w:val="299B236E"/>
    <w:rsid w:val="29AC7287"/>
    <w:rsid w:val="29B24EF5"/>
    <w:rsid w:val="29E32AA7"/>
    <w:rsid w:val="29E35EE3"/>
    <w:rsid w:val="2A4A7932"/>
    <w:rsid w:val="2A5C63A7"/>
    <w:rsid w:val="2A6D6F90"/>
    <w:rsid w:val="2A864C63"/>
    <w:rsid w:val="2AA00028"/>
    <w:rsid w:val="2AB45DF7"/>
    <w:rsid w:val="2AB82483"/>
    <w:rsid w:val="2AD82733"/>
    <w:rsid w:val="2AD9619B"/>
    <w:rsid w:val="2AE13145"/>
    <w:rsid w:val="2AE40EA9"/>
    <w:rsid w:val="2AF149D2"/>
    <w:rsid w:val="2AFC6512"/>
    <w:rsid w:val="2B186F23"/>
    <w:rsid w:val="2B6007B5"/>
    <w:rsid w:val="2B6911F0"/>
    <w:rsid w:val="2B8B4CC5"/>
    <w:rsid w:val="2B995E7A"/>
    <w:rsid w:val="2BA472C5"/>
    <w:rsid w:val="2BAB1B4B"/>
    <w:rsid w:val="2BB370F2"/>
    <w:rsid w:val="2BE14742"/>
    <w:rsid w:val="2BFD18E1"/>
    <w:rsid w:val="2C136EEB"/>
    <w:rsid w:val="2C28319A"/>
    <w:rsid w:val="2C393A8C"/>
    <w:rsid w:val="2C3E0754"/>
    <w:rsid w:val="2C5954AF"/>
    <w:rsid w:val="2C683624"/>
    <w:rsid w:val="2C765850"/>
    <w:rsid w:val="2CA13196"/>
    <w:rsid w:val="2CA15C86"/>
    <w:rsid w:val="2CC258F1"/>
    <w:rsid w:val="2D0A2886"/>
    <w:rsid w:val="2D114A45"/>
    <w:rsid w:val="2D14722D"/>
    <w:rsid w:val="2D201C06"/>
    <w:rsid w:val="2D497CFA"/>
    <w:rsid w:val="2D4A6BCC"/>
    <w:rsid w:val="2D531A92"/>
    <w:rsid w:val="2D5559EE"/>
    <w:rsid w:val="2D5B4AF5"/>
    <w:rsid w:val="2D6C1624"/>
    <w:rsid w:val="2D6E6496"/>
    <w:rsid w:val="2D9A56E9"/>
    <w:rsid w:val="2D9F2F8E"/>
    <w:rsid w:val="2DA94576"/>
    <w:rsid w:val="2DEF5B92"/>
    <w:rsid w:val="2DFC51E3"/>
    <w:rsid w:val="2E11510E"/>
    <w:rsid w:val="2E514CE7"/>
    <w:rsid w:val="2E700F13"/>
    <w:rsid w:val="2E85644A"/>
    <w:rsid w:val="2ED71E94"/>
    <w:rsid w:val="2F0D69E0"/>
    <w:rsid w:val="2F2D580F"/>
    <w:rsid w:val="2F4C533E"/>
    <w:rsid w:val="2F5D284E"/>
    <w:rsid w:val="2F7C0FE4"/>
    <w:rsid w:val="2FBD50C9"/>
    <w:rsid w:val="2FD55076"/>
    <w:rsid w:val="2FD82029"/>
    <w:rsid w:val="2FE02E0F"/>
    <w:rsid w:val="2FE82F4B"/>
    <w:rsid w:val="2FF54433"/>
    <w:rsid w:val="301B1DEB"/>
    <w:rsid w:val="303A498C"/>
    <w:rsid w:val="304361D7"/>
    <w:rsid w:val="309053F0"/>
    <w:rsid w:val="30971A44"/>
    <w:rsid w:val="30A71A03"/>
    <w:rsid w:val="30B76DD3"/>
    <w:rsid w:val="31200CA6"/>
    <w:rsid w:val="312B25D1"/>
    <w:rsid w:val="312D07C4"/>
    <w:rsid w:val="31607A38"/>
    <w:rsid w:val="316D61ED"/>
    <w:rsid w:val="31A31257"/>
    <w:rsid w:val="31C82735"/>
    <w:rsid w:val="31D26289"/>
    <w:rsid w:val="31DD5D6D"/>
    <w:rsid w:val="31E51061"/>
    <w:rsid w:val="31F85B08"/>
    <w:rsid w:val="31FF6390"/>
    <w:rsid w:val="32B43F62"/>
    <w:rsid w:val="32BE4472"/>
    <w:rsid w:val="32D0708B"/>
    <w:rsid w:val="331368C5"/>
    <w:rsid w:val="33237731"/>
    <w:rsid w:val="33242675"/>
    <w:rsid w:val="332544EC"/>
    <w:rsid w:val="332C53ED"/>
    <w:rsid w:val="333635A1"/>
    <w:rsid w:val="33427A8A"/>
    <w:rsid w:val="3345492A"/>
    <w:rsid w:val="335A0A43"/>
    <w:rsid w:val="337B1669"/>
    <w:rsid w:val="337D1DE2"/>
    <w:rsid w:val="33A07769"/>
    <w:rsid w:val="33F16546"/>
    <w:rsid w:val="341546E7"/>
    <w:rsid w:val="343108D0"/>
    <w:rsid w:val="34797042"/>
    <w:rsid w:val="348120F8"/>
    <w:rsid w:val="34815805"/>
    <w:rsid w:val="34891A30"/>
    <w:rsid w:val="34CC4C21"/>
    <w:rsid w:val="34E53739"/>
    <w:rsid w:val="35150C1D"/>
    <w:rsid w:val="352168AD"/>
    <w:rsid w:val="353460D9"/>
    <w:rsid w:val="354406FB"/>
    <w:rsid w:val="35446D13"/>
    <w:rsid w:val="35491572"/>
    <w:rsid w:val="35577A6D"/>
    <w:rsid w:val="355E5798"/>
    <w:rsid w:val="356B7EB7"/>
    <w:rsid w:val="357655DF"/>
    <w:rsid w:val="35906881"/>
    <w:rsid w:val="35995E12"/>
    <w:rsid w:val="35B244B3"/>
    <w:rsid w:val="35BC2A54"/>
    <w:rsid w:val="35BE6A26"/>
    <w:rsid w:val="35D822F1"/>
    <w:rsid w:val="36002D6F"/>
    <w:rsid w:val="3618509E"/>
    <w:rsid w:val="361F664A"/>
    <w:rsid w:val="3656053F"/>
    <w:rsid w:val="365A7BD6"/>
    <w:rsid w:val="36680F65"/>
    <w:rsid w:val="366F636A"/>
    <w:rsid w:val="367E431F"/>
    <w:rsid w:val="36922539"/>
    <w:rsid w:val="36A30626"/>
    <w:rsid w:val="36AE7720"/>
    <w:rsid w:val="36D23FC0"/>
    <w:rsid w:val="36DC5906"/>
    <w:rsid w:val="36E1278F"/>
    <w:rsid w:val="37077167"/>
    <w:rsid w:val="371E0E9F"/>
    <w:rsid w:val="375A1A64"/>
    <w:rsid w:val="37720598"/>
    <w:rsid w:val="37A76CB0"/>
    <w:rsid w:val="37E7463B"/>
    <w:rsid w:val="37E77D81"/>
    <w:rsid w:val="37E86146"/>
    <w:rsid w:val="38051F75"/>
    <w:rsid w:val="3828047D"/>
    <w:rsid w:val="3832060D"/>
    <w:rsid w:val="383E5D13"/>
    <w:rsid w:val="38527D74"/>
    <w:rsid w:val="388D160E"/>
    <w:rsid w:val="38977FAC"/>
    <w:rsid w:val="38A725AB"/>
    <w:rsid w:val="38CE00A1"/>
    <w:rsid w:val="38D07720"/>
    <w:rsid w:val="38D35437"/>
    <w:rsid w:val="38E64434"/>
    <w:rsid w:val="38E94A2A"/>
    <w:rsid w:val="38F33B9F"/>
    <w:rsid w:val="38F35351"/>
    <w:rsid w:val="38F513D0"/>
    <w:rsid w:val="39072DA0"/>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ADA0F91"/>
    <w:rsid w:val="3B370CF3"/>
    <w:rsid w:val="3B7836E3"/>
    <w:rsid w:val="3B7A44BB"/>
    <w:rsid w:val="3B7D0951"/>
    <w:rsid w:val="3B834070"/>
    <w:rsid w:val="3B8E6287"/>
    <w:rsid w:val="3BE07F48"/>
    <w:rsid w:val="3C0667BA"/>
    <w:rsid w:val="3C401E1A"/>
    <w:rsid w:val="3C920DF0"/>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57CE5"/>
    <w:rsid w:val="3DC829BD"/>
    <w:rsid w:val="3DCC36FD"/>
    <w:rsid w:val="3DDD07CC"/>
    <w:rsid w:val="3DE43B38"/>
    <w:rsid w:val="3E197238"/>
    <w:rsid w:val="3E24017F"/>
    <w:rsid w:val="3E323C0A"/>
    <w:rsid w:val="3E3B2304"/>
    <w:rsid w:val="3E7876A1"/>
    <w:rsid w:val="3E8149E8"/>
    <w:rsid w:val="3EA52028"/>
    <w:rsid w:val="3EA60FBC"/>
    <w:rsid w:val="3EB13E08"/>
    <w:rsid w:val="3EBA58E0"/>
    <w:rsid w:val="3EC36BFF"/>
    <w:rsid w:val="3EC6214E"/>
    <w:rsid w:val="3F466DAD"/>
    <w:rsid w:val="3F674697"/>
    <w:rsid w:val="3F752645"/>
    <w:rsid w:val="3F794848"/>
    <w:rsid w:val="3F9B7C57"/>
    <w:rsid w:val="3FA34BA7"/>
    <w:rsid w:val="40196D3B"/>
    <w:rsid w:val="402C4D17"/>
    <w:rsid w:val="40544683"/>
    <w:rsid w:val="405764E0"/>
    <w:rsid w:val="40745E25"/>
    <w:rsid w:val="407943F8"/>
    <w:rsid w:val="40B1416E"/>
    <w:rsid w:val="40B8754E"/>
    <w:rsid w:val="40BD7D08"/>
    <w:rsid w:val="40DD37E5"/>
    <w:rsid w:val="40E6701E"/>
    <w:rsid w:val="40F06EB9"/>
    <w:rsid w:val="40F42743"/>
    <w:rsid w:val="41021168"/>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647B93"/>
    <w:rsid w:val="427C3D01"/>
    <w:rsid w:val="428329AE"/>
    <w:rsid w:val="42950D32"/>
    <w:rsid w:val="42D16E15"/>
    <w:rsid w:val="42E73C50"/>
    <w:rsid w:val="42FE308B"/>
    <w:rsid w:val="430D6D78"/>
    <w:rsid w:val="4327159F"/>
    <w:rsid w:val="432D34DB"/>
    <w:rsid w:val="43353889"/>
    <w:rsid w:val="434A55A8"/>
    <w:rsid w:val="436215CF"/>
    <w:rsid w:val="4363675F"/>
    <w:rsid w:val="437152B6"/>
    <w:rsid w:val="43817B85"/>
    <w:rsid w:val="43826E71"/>
    <w:rsid w:val="438C223A"/>
    <w:rsid w:val="439D2630"/>
    <w:rsid w:val="43EA0710"/>
    <w:rsid w:val="44507E68"/>
    <w:rsid w:val="44800C43"/>
    <w:rsid w:val="44DB4FCD"/>
    <w:rsid w:val="451B11A5"/>
    <w:rsid w:val="453A68D8"/>
    <w:rsid w:val="45803D6A"/>
    <w:rsid w:val="45880DC1"/>
    <w:rsid w:val="459E1709"/>
    <w:rsid w:val="45A23A5F"/>
    <w:rsid w:val="45B34DBA"/>
    <w:rsid w:val="45BA5886"/>
    <w:rsid w:val="45DF4336"/>
    <w:rsid w:val="460F1470"/>
    <w:rsid w:val="46276F82"/>
    <w:rsid w:val="4630621B"/>
    <w:rsid w:val="46483BF1"/>
    <w:rsid w:val="46660544"/>
    <w:rsid w:val="46981B6A"/>
    <w:rsid w:val="46C44CB1"/>
    <w:rsid w:val="46D31D07"/>
    <w:rsid w:val="46D65712"/>
    <w:rsid w:val="47014642"/>
    <w:rsid w:val="472C71B9"/>
    <w:rsid w:val="473D19FE"/>
    <w:rsid w:val="477C395A"/>
    <w:rsid w:val="47E27C6C"/>
    <w:rsid w:val="47F82EC0"/>
    <w:rsid w:val="48184CDA"/>
    <w:rsid w:val="48440270"/>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6E2A30"/>
    <w:rsid w:val="4A957C5E"/>
    <w:rsid w:val="4A991554"/>
    <w:rsid w:val="4A995574"/>
    <w:rsid w:val="4AC26A24"/>
    <w:rsid w:val="4AFB6587"/>
    <w:rsid w:val="4B13134E"/>
    <w:rsid w:val="4B232B6E"/>
    <w:rsid w:val="4B387251"/>
    <w:rsid w:val="4B750526"/>
    <w:rsid w:val="4B8003F3"/>
    <w:rsid w:val="4B895F92"/>
    <w:rsid w:val="4BA27D69"/>
    <w:rsid w:val="4BA86E5C"/>
    <w:rsid w:val="4BD255D4"/>
    <w:rsid w:val="4BD97D96"/>
    <w:rsid w:val="4BFA2797"/>
    <w:rsid w:val="4BFF0E28"/>
    <w:rsid w:val="4C165BFD"/>
    <w:rsid w:val="4C1F4452"/>
    <w:rsid w:val="4C3675E9"/>
    <w:rsid w:val="4C4A4B42"/>
    <w:rsid w:val="4C7E5299"/>
    <w:rsid w:val="4C8D50BF"/>
    <w:rsid w:val="4C963B70"/>
    <w:rsid w:val="4CA54603"/>
    <w:rsid w:val="4CD14D2B"/>
    <w:rsid w:val="4CD83308"/>
    <w:rsid w:val="4CED2962"/>
    <w:rsid w:val="4CF813FD"/>
    <w:rsid w:val="4D084D38"/>
    <w:rsid w:val="4D230C0D"/>
    <w:rsid w:val="4D4E7CD3"/>
    <w:rsid w:val="4D98678F"/>
    <w:rsid w:val="4DA84062"/>
    <w:rsid w:val="4DB43701"/>
    <w:rsid w:val="4DDD23AC"/>
    <w:rsid w:val="4DEF4CFA"/>
    <w:rsid w:val="4DEF7E22"/>
    <w:rsid w:val="4DF31C11"/>
    <w:rsid w:val="4DFD2351"/>
    <w:rsid w:val="4E0A160C"/>
    <w:rsid w:val="4E2B1A47"/>
    <w:rsid w:val="4E432C41"/>
    <w:rsid w:val="4E7A31EE"/>
    <w:rsid w:val="4EC902C2"/>
    <w:rsid w:val="4ED1623E"/>
    <w:rsid w:val="4EE361B8"/>
    <w:rsid w:val="4EFB7EDE"/>
    <w:rsid w:val="4F1F1701"/>
    <w:rsid w:val="4F4D11C7"/>
    <w:rsid w:val="4F575A13"/>
    <w:rsid w:val="4F733441"/>
    <w:rsid w:val="4F750D06"/>
    <w:rsid w:val="4F9E44CA"/>
    <w:rsid w:val="4FA770AE"/>
    <w:rsid w:val="4FB94E78"/>
    <w:rsid w:val="4FCF1816"/>
    <w:rsid w:val="4FEB6DB3"/>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77196"/>
    <w:rsid w:val="51686850"/>
    <w:rsid w:val="517A7E74"/>
    <w:rsid w:val="51B17968"/>
    <w:rsid w:val="51BE579D"/>
    <w:rsid w:val="51ED5DCB"/>
    <w:rsid w:val="51EE6382"/>
    <w:rsid w:val="52123BA6"/>
    <w:rsid w:val="522B3695"/>
    <w:rsid w:val="522F353D"/>
    <w:rsid w:val="5248671B"/>
    <w:rsid w:val="524F3B94"/>
    <w:rsid w:val="52751C0F"/>
    <w:rsid w:val="52D4340A"/>
    <w:rsid w:val="52E10787"/>
    <w:rsid w:val="53637539"/>
    <w:rsid w:val="5367331F"/>
    <w:rsid w:val="53A652BB"/>
    <w:rsid w:val="53C9620D"/>
    <w:rsid w:val="53E74EDB"/>
    <w:rsid w:val="53F66153"/>
    <w:rsid w:val="53F971F0"/>
    <w:rsid w:val="53FB451E"/>
    <w:rsid w:val="54001E25"/>
    <w:rsid w:val="540E49BE"/>
    <w:rsid w:val="54203525"/>
    <w:rsid w:val="5438386B"/>
    <w:rsid w:val="545661A8"/>
    <w:rsid w:val="54847625"/>
    <w:rsid w:val="549E2395"/>
    <w:rsid w:val="54B0541D"/>
    <w:rsid w:val="54B11B55"/>
    <w:rsid w:val="54B247BB"/>
    <w:rsid w:val="54EE5947"/>
    <w:rsid w:val="5513022F"/>
    <w:rsid w:val="55501CD9"/>
    <w:rsid w:val="55663A71"/>
    <w:rsid w:val="556A5789"/>
    <w:rsid w:val="559F3434"/>
    <w:rsid w:val="55B623BE"/>
    <w:rsid w:val="55C62DF5"/>
    <w:rsid w:val="55DF7D1C"/>
    <w:rsid w:val="55E51DF7"/>
    <w:rsid w:val="55EE7739"/>
    <w:rsid w:val="55F62827"/>
    <w:rsid w:val="55FE64C0"/>
    <w:rsid w:val="5630671D"/>
    <w:rsid w:val="5632011C"/>
    <w:rsid w:val="563A356B"/>
    <w:rsid w:val="56621453"/>
    <w:rsid w:val="56783306"/>
    <w:rsid w:val="568A6076"/>
    <w:rsid w:val="568A6752"/>
    <w:rsid w:val="568C3F71"/>
    <w:rsid w:val="568D436A"/>
    <w:rsid w:val="56B055BC"/>
    <w:rsid w:val="56C1107F"/>
    <w:rsid w:val="56DE235C"/>
    <w:rsid w:val="56FD54DC"/>
    <w:rsid w:val="570A0C39"/>
    <w:rsid w:val="570A5A0C"/>
    <w:rsid w:val="574A1676"/>
    <w:rsid w:val="574A459A"/>
    <w:rsid w:val="57507EF7"/>
    <w:rsid w:val="57530EB6"/>
    <w:rsid w:val="57652950"/>
    <w:rsid w:val="576615A2"/>
    <w:rsid w:val="57A37B3F"/>
    <w:rsid w:val="57C14FB5"/>
    <w:rsid w:val="57DE176D"/>
    <w:rsid w:val="58051827"/>
    <w:rsid w:val="58346AE0"/>
    <w:rsid w:val="58461A4D"/>
    <w:rsid w:val="5852271D"/>
    <w:rsid w:val="58706933"/>
    <w:rsid w:val="589A4E1B"/>
    <w:rsid w:val="58FA0801"/>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AEF4A27"/>
    <w:rsid w:val="5B4051A5"/>
    <w:rsid w:val="5B7C29AB"/>
    <w:rsid w:val="5B986277"/>
    <w:rsid w:val="5BA70643"/>
    <w:rsid w:val="5BAF7552"/>
    <w:rsid w:val="5C0105A7"/>
    <w:rsid w:val="5C1B5746"/>
    <w:rsid w:val="5C320050"/>
    <w:rsid w:val="5C494700"/>
    <w:rsid w:val="5C4B40E5"/>
    <w:rsid w:val="5C790E14"/>
    <w:rsid w:val="5C7C1436"/>
    <w:rsid w:val="5C8A3BC2"/>
    <w:rsid w:val="5CC43B58"/>
    <w:rsid w:val="5CDC0284"/>
    <w:rsid w:val="5CEF35D9"/>
    <w:rsid w:val="5D2B07EE"/>
    <w:rsid w:val="5D48016A"/>
    <w:rsid w:val="5D6913B3"/>
    <w:rsid w:val="5D773D59"/>
    <w:rsid w:val="5D8B4093"/>
    <w:rsid w:val="5DB8685E"/>
    <w:rsid w:val="5DBD6713"/>
    <w:rsid w:val="5DC47C5B"/>
    <w:rsid w:val="5DFA514F"/>
    <w:rsid w:val="5E19076E"/>
    <w:rsid w:val="5E321ED9"/>
    <w:rsid w:val="5E332186"/>
    <w:rsid w:val="5E9C591A"/>
    <w:rsid w:val="5EE05C0D"/>
    <w:rsid w:val="5EE5484E"/>
    <w:rsid w:val="5EE81299"/>
    <w:rsid w:val="5F0B5DDB"/>
    <w:rsid w:val="5F1D4AF2"/>
    <w:rsid w:val="5F245978"/>
    <w:rsid w:val="5F2477FA"/>
    <w:rsid w:val="5F31588B"/>
    <w:rsid w:val="5F7F2DC3"/>
    <w:rsid w:val="5F923565"/>
    <w:rsid w:val="5FA7529F"/>
    <w:rsid w:val="5FD301A1"/>
    <w:rsid w:val="5FE34FDA"/>
    <w:rsid w:val="5FE53E07"/>
    <w:rsid w:val="5FF150DF"/>
    <w:rsid w:val="600229F0"/>
    <w:rsid w:val="60077790"/>
    <w:rsid w:val="601F7F54"/>
    <w:rsid w:val="602925E7"/>
    <w:rsid w:val="604828EF"/>
    <w:rsid w:val="604B6261"/>
    <w:rsid w:val="605B2C04"/>
    <w:rsid w:val="606B0C4A"/>
    <w:rsid w:val="607A7D44"/>
    <w:rsid w:val="60A90BD5"/>
    <w:rsid w:val="60B93F28"/>
    <w:rsid w:val="60CE303D"/>
    <w:rsid w:val="60EC4185"/>
    <w:rsid w:val="60FB0385"/>
    <w:rsid w:val="614319A1"/>
    <w:rsid w:val="614C35F5"/>
    <w:rsid w:val="61524E4C"/>
    <w:rsid w:val="615B60AF"/>
    <w:rsid w:val="617E3A05"/>
    <w:rsid w:val="619C60A9"/>
    <w:rsid w:val="61B92550"/>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2025BB"/>
    <w:rsid w:val="63427313"/>
    <w:rsid w:val="637113C7"/>
    <w:rsid w:val="6399402F"/>
    <w:rsid w:val="63B357B1"/>
    <w:rsid w:val="63B776A1"/>
    <w:rsid w:val="63C95418"/>
    <w:rsid w:val="64017CDA"/>
    <w:rsid w:val="640C1318"/>
    <w:rsid w:val="64144F00"/>
    <w:rsid w:val="6437378F"/>
    <w:rsid w:val="64507592"/>
    <w:rsid w:val="64803237"/>
    <w:rsid w:val="64AC3D58"/>
    <w:rsid w:val="64B409F5"/>
    <w:rsid w:val="64E96AEB"/>
    <w:rsid w:val="654A5137"/>
    <w:rsid w:val="656202B8"/>
    <w:rsid w:val="656A00FA"/>
    <w:rsid w:val="657B44FB"/>
    <w:rsid w:val="65806949"/>
    <w:rsid w:val="658D46CF"/>
    <w:rsid w:val="65DF67CB"/>
    <w:rsid w:val="65ED6EB4"/>
    <w:rsid w:val="65F70C5F"/>
    <w:rsid w:val="660447FF"/>
    <w:rsid w:val="66194C4A"/>
    <w:rsid w:val="662863D0"/>
    <w:rsid w:val="66305190"/>
    <w:rsid w:val="66384AA8"/>
    <w:rsid w:val="663D3C1C"/>
    <w:rsid w:val="665E5B1B"/>
    <w:rsid w:val="668003E0"/>
    <w:rsid w:val="66991162"/>
    <w:rsid w:val="66B17443"/>
    <w:rsid w:val="66E77CD1"/>
    <w:rsid w:val="67344FA1"/>
    <w:rsid w:val="67397DB3"/>
    <w:rsid w:val="676F4A49"/>
    <w:rsid w:val="67976253"/>
    <w:rsid w:val="67A337F5"/>
    <w:rsid w:val="67A46D34"/>
    <w:rsid w:val="67C933E3"/>
    <w:rsid w:val="67F05320"/>
    <w:rsid w:val="680B4AF5"/>
    <w:rsid w:val="685A3C7C"/>
    <w:rsid w:val="68732E59"/>
    <w:rsid w:val="6880447B"/>
    <w:rsid w:val="688C6207"/>
    <w:rsid w:val="68A8404F"/>
    <w:rsid w:val="68E00D94"/>
    <w:rsid w:val="68F331B5"/>
    <w:rsid w:val="69086590"/>
    <w:rsid w:val="690960EE"/>
    <w:rsid w:val="69175538"/>
    <w:rsid w:val="695B3155"/>
    <w:rsid w:val="69743B79"/>
    <w:rsid w:val="69856A65"/>
    <w:rsid w:val="69AC2E6D"/>
    <w:rsid w:val="69B00F02"/>
    <w:rsid w:val="69C22990"/>
    <w:rsid w:val="69D313DD"/>
    <w:rsid w:val="69EC41C7"/>
    <w:rsid w:val="69F34593"/>
    <w:rsid w:val="69F43330"/>
    <w:rsid w:val="69FF5191"/>
    <w:rsid w:val="6A096586"/>
    <w:rsid w:val="6A1D72DD"/>
    <w:rsid w:val="6A2E4AB1"/>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59783B"/>
    <w:rsid w:val="6C8508CC"/>
    <w:rsid w:val="6CA25869"/>
    <w:rsid w:val="6CC32924"/>
    <w:rsid w:val="6CCC42B0"/>
    <w:rsid w:val="6CE3660D"/>
    <w:rsid w:val="6CEB7132"/>
    <w:rsid w:val="6CEC4A10"/>
    <w:rsid w:val="6D010167"/>
    <w:rsid w:val="6D154FB5"/>
    <w:rsid w:val="6D653588"/>
    <w:rsid w:val="6D760601"/>
    <w:rsid w:val="6D887135"/>
    <w:rsid w:val="6D8D5EDA"/>
    <w:rsid w:val="6DA14A3B"/>
    <w:rsid w:val="6DD312E4"/>
    <w:rsid w:val="6DE16578"/>
    <w:rsid w:val="6E2B3705"/>
    <w:rsid w:val="6E2C4252"/>
    <w:rsid w:val="6E3378A3"/>
    <w:rsid w:val="6E360A08"/>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21D1A"/>
    <w:rsid w:val="6F590238"/>
    <w:rsid w:val="6F5E4765"/>
    <w:rsid w:val="6F65356C"/>
    <w:rsid w:val="6F7539A7"/>
    <w:rsid w:val="6F7A220E"/>
    <w:rsid w:val="6F7D56B3"/>
    <w:rsid w:val="6F946221"/>
    <w:rsid w:val="6F9715A1"/>
    <w:rsid w:val="6FDB6CC8"/>
    <w:rsid w:val="6FEE1CB5"/>
    <w:rsid w:val="6FFF422E"/>
    <w:rsid w:val="70084D89"/>
    <w:rsid w:val="707B282F"/>
    <w:rsid w:val="7081021E"/>
    <w:rsid w:val="70884927"/>
    <w:rsid w:val="708A7E30"/>
    <w:rsid w:val="70940D5A"/>
    <w:rsid w:val="70CA78D6"/>
    <w:rsid w:val="70F80517"/>
    <w:rsid w:val="7151205B"/>
    <w:rsid w:val="71586E5A"/>
    <w:rsid w:val="715B3E96"/>
    <w:rsid w:val="71884FBD"/>
    <w:rsid w:val="7192293B"/>
    <w:rsid w:val="719E1F90"/>
    <w:rsid w:val="71A0032A"/>
    <w:rsid w:val="71C109B9"/>
    <w:rsid w:val="721D7820"/>
    <w:rsid w:val="72600905"/>
    <w:rsid w:val="72690461"/>
    <w:rsid w:val="729A2792"/>
    <w:rsid w:val="72BF3583"/>
    <w:rsid w:val="72EE59B4"/>
    <w:rsid w:val="73114271"/>
    <w:rsid w:val="733B61CF"/>
    <w:rsid w:val="73546BA4"/>
    <w:rsid w:val="735D5729"/>
    <w:rsid w:val="736B60F2"/>
    <w:rsid w:val="737E6E1F"/>
    <w:rsid w:val="738556EF"/>
    <w:rsid w:val="73C23401"/>
    <w:rsid w:val="73DE6DF5"/>
    <w:rsid w:val="73E54A68"/>
    <w:rsid w:val="742A2BCD"/>
    <w:rsid w:val="742A7075"/>
    <w:rsid w:val="742F4C19"/>
    <w:rsid w:val="743B3197"/>
    <w:rsid w:val="743B7B94"/>
    <w:rsid w:val="7455337E"/>
    <w:rsid w:val="747913A3"/>
    <w:rsid w:val="749D0716"/>
    <w:rsid w:val="74A74D0C"/>
    <w:rsid w:val="74A84516"/>
    <w:rsid w:val="74AA0F3E"/>
    <w:rsid w:val="74B33A93"/>
    <w:rsid w:val="74FA131B"/>
    <w:rsid w:val="752E4780"/>
    <w:rsid w:val="753B039A"/>
    <w:rsid w:val="753B4B58"/>
    <w:rsid w:val="753C0018"/>
    <w:rsid w:val="756A2B2A"/>
    <w:rsid w:val="757F689B"/>
    <w:rsid w:val="758768A9"/>
    <w:rsid w:val="75B87600"/>
    <w:rsid w:val="75BF5554"/>
    <w:rsid w:val="763368A0"/>
    <w:rsid w:val="766008D0"/>
    <w:rsid w:val="766963BF"/>
    <w:rsid w:val="766B45E7"/>
    <w:rsid w:val="76730668"/>
    <w:rsid w:val="767C0347"/>
    <w:rsid w:val="76971BAC"/>
    <w:rsid w:val="76A44790"/>
    <w:rsid w:val="76A84336"/>
    <w:rsid w:val="76E4056C"/>
    <w:rsid w:val="77170794"/>
    <w:rsid w:val="772E2F50"/>
    <w:rsid w:val="773223AD"/>
    <w:rsid w:val="773F479D"/>
    <w:rsid w:val="77481B4F"/>
    <w:rsid w:val="775252D0"/>
    <w:rsid w:val="776143DD"/>
    <w:rsid w:val="776B1197"/>
    <w:rsid w:val="777F7E7E"/>
    <w:rsid w:val="77D91F39"/>
    <w:rsid w:val="77E763B3"/>
    <w:rsid w:val="77FB442E"/>
    <w:rsid w:val="783D7A4B"/>
    <w:rsid w:val="784561C3"/>
    <w:rsid w:val="78541389"/>
    <w:rsid w:val="78774485"/>
    <w:rsid w:val="78877660"/>
    <w:rsid w:val="789C3665"/>
    <w:rsid w:val="78E02236"/>
    <w:rsid w:val="78E86041"/>
    <w:rsid w:val="793C7926"/>
    <w:rsid w:val="79514A92"/>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6E2F11"/>
    <w:rsid w:val="7A714CE7"/>
    <w:rsid w:val="7A7F48E8"/>
    <w:rsid w:val="7A7F6691"/>
    <w:rsid w:val="7A9221EA"/>
    <w:rsid w:val="7AA06D58"/>
    <w:rsid w:val="7AA36CA7"/>
    <w:rsid w:val="7ADC074F"/>
    <w:rsid w:val="7AE922FC"/>
    <w:rsid w:val="7AF64447"/>
    <w:rsid w:val="7B2565F7"/>
    <w:rsid w:val="7B304DFB"/>
    <w:rsid w:val="7B341E1B"/>
    <w:rsid w:val="7B62085C"/>
    <w:rsid w:val="7B66517C"/>
    <w:rsid w:val="7B6E4DD3"/>
    <w:rsid w:val="7B7656D4"/>
    <w:rsid w:val="7B994A47"/>
    <w:rsid w:val="7BAA7EB8"/>
    <w:rsid w:val="7BC45E5D"/>
    <w:rsid w:val="7BC6203F"/>
    <w:rsid w:val="7BCD4C49"/>
    <w:rsid w:val="7BD40DAA"/>
    <w:rsid w:val="7BE26A40"/>
    <w:rsid w:val="7BE941A7"/>
    <w:rsid w:val="7BEB6EFF"/>
    <w:rsid w:val="7C0269F8"/>
    <w:rsid w:val="7C2B0845"/>
    <w:rsid w:val="7C3E41E8"/>
    <w:rsid w:val="7C4F4B44"/>
    <w:rsid w:val="7C7F7941"/>
    <w:rsid w:val="7C903AD5"/>
    <w:rsid w:val="7C9B17CF"/>
    <w:rsid w:val="7CA8210A"/>
    <w:rsid w:val="7CAA3D3D"/>
    <w:rsid w:val="7CAB68B0"/>
    <w:rsid w:val="7CAF0749"/>
    <w:rsid w:val="7CB0500F"/>
    <w:rsid w:val="7CBA7334"/>
    <w:rsid w:val="7CD337BC"/>
    <w:rsid w:val="7D1244F1"/>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E30A84"/>
    <w:rsid w:val="7EFB0AF6"/>
    <w:rsid w:val="7F0C2625"/>
    <w:rsid w:val="7F603249"/>
    <w:rsid w:val="7F7929A8"/>
    <w:rsid w:val="7F7C2FD8"/>
    <w:rsid w:val="7F8E7012"/>
    <w:rsid w:val="7FA83A1E"/>
    <w:rsid w:val="7FC10CFD"/>
    <w:rsid w:val="7FC63E44"/>
    <w:rsid w:val="7FD422D8"/>
    <w:rsid w:val="7FD56D64"/>
    <w:rsid w:val="7FD57E32"/>
    <w:rsid w:val="7FEB01BF"/>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80"/>
    <w:qFormat/>
    <w:uiPriority w:val="0"/>
    <w:pPr>
      <w:keepNext/>
      <w:keepLines/>
      <w:spacing w:line="578" w:lineRule="auto"/>
      <w:outlineLvl w:val="0"/>
    </w:pPr>
    <w:rPr>
      <w:b/>
      <w:bCs/>
      <w:kern w:val="44"/>
      <w:sz w:val="44"/>
      <w:szCs w:val="44"/>
    </w:rPr>
  </w:style>
  <w:style w:type="paragraph" w:styleId="4">
    <w:name w:val="heading 2"/>
    <w:basedOn w:val="1"/>
    <w:next w:val="1"/>
    <w:link w:val="81"/>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link w:val="82"/>
    <w:qFormat/>
    <w:uiPriority w:val="0"/>
    <w:pPr>
      <w:keepNext/>
      <w:keepLines/>
      <w:adjustRightInd w:val="0"/>
      <w:jc w:val="left"/>
      <w:textAlignment w:val="baseline"/>
      <w:outlineLvl w:val="2"/>
    </w:pPr>
    <w:rPr>
      <w:b/>
      <w:bCs/>
      <w:kern w:val="0"/>
      <w:sz w:val="32"/>
      <w:szCs w:val="32"/>
    </w:rPr>
  </w:style>
  <w:style w:type="paragraph" w:styleId="6">
    <w:name w:val="heading 4"/>
    <w:basedOn w:val="1"/>
    <w:next w:val="1"/>
    <w:unhideWhenUsed/>
    <w:qFormat/>
    <w:locked/>
    <w:uiPriority w:val="0"/>
    <w:pPr>
      <w:spacing w:line="374" w:lineRule="auto"/>
      <w:outlineLvl w:val="3"/>
    </w:pPr>
    <w:rPr>
      <w:rFonts w:hint="eastAsia" w:ascii="Cambria" w:hAnsi="Cambria" w:eastAsia="宋体"/>
      <w:sz w:val="28"/>
    </w:rPr>
  </w:style>
  <w:style w:type="paragraph" w:styleId="7">
    <w:name w:val="heading 5"/>
    <w:basedOn w:val="1"/>
    <w:next w:val="8"/>
    <w:link w:val="83"/>
    <w:qFormat/>
    <w:uiPriority w:val="0"/>
    <w:pPr>
      <w:keepNext/>
      <w:keepLines/>
      <w:numPr>
        <w:ilvl w:val="4"/>
        <w:numId w:val="1"/>
      </w:numPr>
      <w:tabs>
        <w:tab w:val="left" w:pos="432"/>
      </w:tabs>
      <w:spacing w:line="376" w:lineRule="auto"/>
      <w:outlineLvl w:val="4"/>
    </w:pPr>
    <w:rPr>
      <w:b/>
      <w:bCs/>
      <w:kern w:val="0"/>
      <w:sz w:val="28"/>
      <w:szCs w:val="28"/>
    </w:rPr>
  </w:style>
  <w:style w:type="paragraph" w:styleId="9">
    <w:name w:val="heading 6"/>
    <w:basedOn w:val="1"/>
    <w:next w:val="8"/>
    <w:link w:val="84"/>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0">
    <w:name w:val="heading 7"/>
    <w:basedOn w:val="1"/>
    <w:next w:val="1"/>
    <w:link w:val="85"/>
    <w:qFormat/>
    <w:uiPriority w:val="0"/>
    <w:pPr>
      <w:keepNext/>
      <w:keepLines/>
      <w:numPr>
        <w:ilvl w:val="6"/>
        <w:numId w:val="1"/>
      </w:numPr>
      <w:tabs>
        <w:tab w:val="left" w:pos="432"/>
      </w:tabs>
      <w:spacing w:line="320" w:lineRule="auto"/>
      <w:outlineLvl w:val="6"/>
    </w:pPr>
    <w:rPr>
      <w:b/>
      <w:bCs/>
      <w:kern w:val="0"/>
      <w:sz w:val="24"/>
      <w:szCs w:val="24"/>
    </w:rPr>
  </w:style>
  <w:style w:type="paragraph" w:styleId="11">
    <w:name w:val="heading 8"/>
    <w:basedOn w:val="1"/>
    <w:next w:val="8"/>
    <w:link w:val="86"/>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2">
    <w:name w:val="heading 9"/>
    <w:basedOn w:val="1"/>
    <w:next w:val="8"/>
    <w:link w:val="87"/>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locked/>
    <w:uiPriority w:val="0"/>
    <w:pPr>
      <w:autoSpaceDE w:val="0"/>
      <w:autoSpaceDN w:val="0"/>
      <w:adjustRightInd w:val="0"/>
      <w:spacing w:line="300" w:lineRule="auto"/>
      <w:ind w:left="29" w:leftChars="27" w:right="6" w:firstLine="560" w:firstLineChars="200"/>
    </w:pPr>
    <w:rPr>
      <w:kern w:val="0"/>
      <w:sz w:val="28"/>
    </w:rPr>
  </w:style>
  <w:style w:type="paragraph" w:styleId="8">
    <w:name w:val="Normal Indent"/>
    <w:basedOn w:val="1"/>
    <w:link w:val="114"/>
    <w:qFormat/>
    <w:uiPriority w:val="0"/>
    <w:pPr>
      <w:adjustRightInd w:val="0"/>
      <w:ind w:firstLine="420"/>
      <w:jc w:val="left"/>
      <w:textAlignment w:val="baseline"/>
    </w:pPr>
    <w:rPr>
      <w:sz w:val="24"/>
    </w:rPr>
  </w:style>
  <w:style w:type="paragraph" w:styleId="13">
    <w:name w:val="toc 7"/>
    <w:basedOn w:val="1"/>
    <w:next w:val="1"/>
    <w:semiHidden/>
    <w:qFormat/>
    <w:uiPriority w:val="99"/>
    <w:pPr>
      <w:ind w:left="2520"/>
    </w:pPr>
  </w:style>
  <w:style w:type="paragraph" w:styleId="14">
    <w:name w:val="index 8"/>
    <w:basedOn w:val="1"/>
    <w:next w:val="1"/>
    <w:semiHidden/>
    <w:qFormat/>
    <w:uiPriority w:val="99"/>
    <w:pPr>
      <w:ind w:left="2940"/>
    </w:pPr>
  </w:style>
  <w:style w:type="paragraph" w:styleId="15">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6">
    <w:name w:val="index 5"/>
    <w:basedOn w:val="1"/>
    <w:next w:val="1"/>
    <w:semiHidden/>
    <w:qFormat/>
    <w:uiPriority w:val="99"/>
    <w:pPr>
      <w:ind w:left="1680"/>
    </w:pPr>
  </w:style>
  <w:style w:type="paragraph" w:styleId="17">
    <w:name w:val="Document Map"/>
    <w:basedOn w:val="1"/>
    <w:link w:val="90"/>
    <w:qFormat/>
    <w:uiPriority w:val="0"/>
    <w:pPr>
      <w:shd w:val="clear" w:color="auto" w:fill="000080"/>
    </w:pPr>
    <w:rPr>
      <w:kern w:val="0"/>
      <w:sz w:val="2"/>
    </w:rPr>
  </w:style>
  <w:style w:type="paragraph" w:styleId="18">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19">
    <w:name w:val="annotation text"/>
    <w:basedOn w:val="1"/>
    <w:link w:val="88"/>
    <w:semiHidden/>
    <w:qFormat/>
    <w:uiPriority w:val="99"/>
    <w:pPr>
      <w:jc w:val="left"/>
    </w:pPr>
  </w:style>
  <w:style w:type="paragraph" w:styleId="20">
    <w:name w:val="index 6"/>
    <w:basedOn w:val="1"/>
    <w:next w:val="1"/>
    <w:semiHidden/>
    <w:qFormat/>
    <w:uiPriority w:val="99"/>
    <w:pPr>
      <w:ind w:left="2100"/>
    </w:pPr>
  </w:style>
  <w:style w:type="paragraph" w:styleId="21">
    <w:name w:val="Body Text 3"/>
    <w:basedOn w:val="1"/>
    <w:link w:val="149"/>
    <w:qFormat/>
    <w:locked/>
    <w:uiPriority w:val="0"/>
    <w:pPr>
      <w:adjustRightInd w:val="0"/>
      <w:spacing w:line="360" w:lineRule="atLeast"/>
      <w:jc w:val="center"/>
      <w:textAlignment w:val="baseline"/>
    </w:pPr>
    <w:rPr>
      <w:rFonts w:eastAsia="宋体"/>
      <w:color w:val="FF0000"/>
      <w:kern w:val="0"/>
      <w:sz w:val="21"/>
      <w:szCs w:val="21"/>
    </w:rPr>
  </w:style>
  <w:style w:type="paragraph" w:styleId="22">
    <w:name w:val="Body Text"/>
    <w:basedOn w:val="1"/>
    <w:next w:val="23"/>
    <w:link w:val="91"/>
    <w:qFormat/>
    <w:uiPriority w:val="0"/>
    <w:pPr>
      <w:spacing w:line="400" w:lineRule="exact"/>
    </w:pPr>
    <w:rPr>
      <w:kern w:val="0"/>
      <w:sz w:val="20"/>
    </w:rPr>
  </w:style>
  <w:style w:type="paragraph" w:customStyle="1" w:styleId="23">
    <w:name w:val="style4"/>
    <w:basedOn w:val="1"/>
    <w:next w:val="24"/>
    <w:qFormat/>
    <w:uiPriority w:val="99"/>
    <w:pPr>
      <w:widowControl/>
      <w:spacing w:before="280" w:after="280"/>
    </w:pPr>
    <w:rPr>
      <w:rFonts w:ascii="宋体"/>
      <w:sz w:val="18"/>
    </w:rPr>
  </w:style>
  <w:style w:type="paragraph" w:customStyle="1" w:styleId="24">
    <w:name w:val="2"/>
    <w:next w:val="1"/>
    <w:qFormat/>
    <w:uiPriority w:val="99"/>
    <w:pPr>
      <w:widowControl w:val="0"/>
      <w:jc w:val="both"/>
    </w:pPr>
    <w:rPr>
      <w:rFonts w:ascii="Calibri" w:hAnsi="Calibri" w:eastAsia="宋体" w:cs="Times New Roman"/>
      <w:sz w:val="21"/>
      <w:szCs w:val="22"/>
      <w:lang w:val="en-US" w:eastAsia="zh-CN" w:bidi="ar-SA"/>
    </w:rPr>
  </w:style>
  <w:style w:type="paragraph" w:styleId="25">
    <w:name w:val="Body Text Indent"/>
    <w:basedOn w:val="1"/>
    <w:next w:val="26"/>
    <w:link w:val="92"/>
    <w:qFormat/>
    <w:uiPriority w:val="0"/>
    <w:pPr>
      <w:spacing w:line="520" w:lineRule="exact"/>
      <w:ind w:left="570"/>
    </w:pPr>
    <w:rPr>
      <w:rFonts w:ascii="方正仿宋简体" w:hAnsi="创艺简仿宋" w:eastAsia="方正仿宋简体"/>
      <w:sz w:val="24"/>
    </w:rPr>
  </w:style>
  <w:style w:type="paragraph" w:styleId="26">
    <w:name w:val="envelope return"/>
    <w:basedOn w:val="1"/>
    <w:unhideWhenUsed/>
    <w:qFormat/>
    <w:locked/>
    <w:uiPriority w:val="99"/>
    <w:pPr>
      <w:snapToGrid w:val="0"/>
    </w:pPr>
    <w:rPr>
      <w:rFonts w:ascii="Arial" w:hAnsi="Arial"/>
    </w:rPr>
  </w:style>
  <w:style w:type="paragraph" w:styleId="27">
    <w:name w:val="index 4"/>
    <w:basedOn w:val="1"/>
    <w:next w:val="1"/>
    <w:semiHidden/>
    <w:qFormat/>
    <w:uiPriority w:val="99"/>
    <w:pPr>
      <w:ind w:left="1260"/>
    </w:pPr>
  </w:style>
  <w:style w:type="paragraph" w:styleId="28">
    <w:name w:val="toc 5"/>
    <w:basedOn w:val="1"/>
    <w:next w:val="1"/>
    <w:semiHidden/>
    <w:qFormat/>
    <w:uiPriority w:val="99"/>
    <w:pPr>
      <w:ind w:left="1680"/>
    </w:pPr>
  </w:style>
  <w:style w:type="paragraph" w:styleId="29">
    <w:name w:val="toc 3"/>
    <w:basedOn w:val="1"/>
    <w:next w:val="1"/>
    <w:qFormat/>
    <w:uiPriority w:val="39"/>
    <w:pPr>
      <w:ind w:left="840"/>
    </w:pPr>
  </w:style>
  <w:style w:type="paragraph" w:styleId="30">
    <w:name w:val="Plain Text"/>
    <w:basedOn w:val="1"/>
    <w:link w:val="93"/>
    <w:qFormat/>
    <w:uiPriority w:val="0"/>
    <w:rPr>
      <w:rFonts w:ascii="宋体" w:hAnsi="Courier New"/>
    </w:rPr>
  </w:style>
  <w:style w:type="paragraph" w:styleId="31">
    <w:name w:val="toc 8"/>
    <w:basedOn w:val="1"/>
    <w:next w:val="1"/>
    <w:semiHidden/>
    <w:qFormat/>
    <w:uiPriority w:val="99"/>
    <w:pPr>
      <w:ind w:left="2940"/>
    </w:pPr>
  </w:style>
  <w:style w:type="paragraph" w:styleId="32">
    <w:name w:val="index 3"/>
    <w:basedOn w:val="1"/>
    <w:next w:val="1"/>
    <w:semiHidden/>
    <w:qFormat/>
    <w:uiPriority w:val="99"/>
    <w:pPr>
      <w:ind w:left="840"/>
    </w:pPr>
  </w:style>
  <w:style w:type="paragraph" w:styleId="33">
    <w:name w:val="Date"/>
    <w:basedOn w:val="1"/>
    <w:next w:val="1"/>
    <w:link w:val="94"/>
    <w:qFormat/>
    <w:uiPriority w:val="0"/>
    <w:rPr>
      <w:kern w:val="0"/>
      <w:sz w:val="20"/>
    </w:rPr>
  </w:style>
  <w:style w:type="paragraph" w:styleId="34">
    <w:name w:val="Body Text Indent 2"/>
    <w:basedOn w:val="1"/>
    <w:link w:val="95"/>
    <w:qFormat/>
    <w:uiPriority w:val="0"/>
    <w:pPr>
      <w:tabs>
        <w:tab w:val="left" w:pos="0"/>
      </w:tabs>
      <w:spacing w:line="360" w:lineRule="auto"/>
      <w:ind w:firstLine="502" w:firstLineChars="209"/>
    </w:pPr>
    <w:rPr>
      <w:kern w:val="0"/>
      <w:sz w:val="20"/>
    </w:rPr>
  </w:style>
  <w:style w:type="paragraph" w:styleId="35">
    <w:name w:val="endnote text"/>
    <w:basedOn w:val="1"/>
    <w:link w:val="154"/>
    <w:qFormat/>
    <w:locked/>
    <w:uiPriority w:val="0"/>
    <w:pPr>
      <w:adjustRightInd w:val="0"/>
      <w:snapToGrid w:val="0"/>
      <w:spacing w:line="360" w:lineRule="atLeast"/>
      <w:jc w:val="left"/>
      <w:textAlignment w:val="baseline"/>
    </w:pPr>
    <w:rPr>
      <w:rFonts w:eastAsia="宋体"/>
      <w:kern w:val="0"/>
      <w:sz w:val="24"/>
    </w:rPr>
  </w:style>
  <w:style w:type="paragraph" w:styleId="36">
    <w:name w:val="Balloon Text"/>
    <w:basedOn w:val="1"/>
    <w:link w:val="96"/>
    <w:qFormat/>
    <w:uiPriority w:val="0"/>
    <w:rPr>
      <w:kern w:val="0"/>
      <w:sz w:val="2"/>
    </w:rPr>
  </w:style>
  <w:style w:type="paragraph" w:styleId="37">
    <w:name w:val="footer"/>
    <w:basedOn w:val="1"/>
    <w:link w:val="97"/>
    <w:qFormat/>
    <w:uiPriority w:val="0"/>
    <w:pPr>
      <w:tabs>
        <w:tab w:val="center" w:pos="4153"/>
        <w:tab w:val="right" w:pos="8306"/>
      </w:tabs>
      <w:snapToGrid w:val="0"/>
      <w:jc w:val="left"/>
    </w:pPr>
    <w:rPr>
      <w:kern w:val="0"/>
      <w:sz w:val="18"/>
      <w:szCs w:val="18"/>
    </w:rPr>
  </w:style>
  <w:style w:type="paragraph" w:styleId="38">
    <w:name w:val="header"/>
    <w:basedOn w:val="1"/>
    <w:link w:val="98"/>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adjustRightInd w:val="0"/>
      <w:jc w:val="left"/>
      <w:textAlignment w:val="baseline"/>
    </w:pPr>
    <w:rPr>
      <w:sz w:val="24"/>
    </w:rPr>
  </w:style>
  <w:style w:type="paragraph" w:styleId="40">
    <w:name w:val="toc 4"/>
    <w:basedOn w:val="1"/>
    <w:next w:val="1"/>
    <w:semiHidden/>
    <w:qFormat/>
    <w:uiPriority w:val="99"/>
    <w:pPr>
      <w:ind w:left="1260"/>
    </w:pPr>
  </w:style>
  <w:style w:type="paragraph" w:styleId="41">
    <w:name w:val="index heading"/>
    <w:basedOn w:val="1"/>
    <w:next w:val="42"/>
    <w:semiHidden/>
    <w:qFormat/>
    <w:uiPriority w:val="99"/>
  </w:style>
  <w:style w:type="paragraph" w:styleId="42">
    <w:name w:val="index 1"/>
    <w:basedOn w:val="1"/>
    <w:next w:val="1"/>
    <w:semiHidden/>
    <w:qFormat/>
    <w:uiPriority w:val="99"/>
  </w:style>
  <w:style w:type="paragraph" w:styleId="43">
    <w:name w:val="Subtitle"/>
    <w:basedOn w:val="1"/>
    <w:link w:val="151"/>
    <w:qFormat/>
    <w:locked/>
    <w:uiPriority w:val="0"/>
    <w:pPr>
      <w:adjustRightInd w:val="0"/>
      <w:spacing w:after="60" w:line="360" w:lineRule="atLeast"/>
      <w:jc w:val="center"/>
      <w:textAlignment w:val="baseline"/>
    </w:pPr>
    <w:rPr>
      <w:rFonts w:ascii="Arial" w:hAnsi="Arial" w:eastAsia="黑体"/>
      <w:i/>
      <w:kern w:val="0"/>
      <w:sz w:val="24"/>
    </w:rPr>
  </w:style>
  <w:style w:type="paragraph" w:styleId="44">
    <w:name w:val="footnote text"/>
    <w:basedOn w:val="1"/>
    <w:link w:val="99"/>
    <w:semiHidden/>
    <w:qFormat/>
    <w:uiPriority w:val="99"/>
    <w:pPr>
      <w:snapToGrid w:val="0"/>
      <w:jc w:val="left"/>
    </w:pPr>
    <w:rPr>
      <w:kern w:val="0"/>
      <w:sz w:val="18"/>
      <w:szCs w:val="18"/>
    </w:rPr>
  </w:style>
  <w:style w:type="paragraph" w:styleId="45">
    <w:name w:val="toc 6"/>
    <w:basedOn w:val="1"/>
    <w:next w:val="1"/>
    <w:semiHidden/>
    <w:qFormat/>
    <w:uiPriority w:val="99"/>
    <w:pPr>
      <w:ind w:left="2100"/>
    </w:pPr>
  </w:style>
  <w:style w:type="paragraph" w:styleId="46">
    <w:name w:val="Body Text Indent 3"/>
    <w:basedOn w:val="1"/>
    <w:link w:val="100"/>
    <w:qFormat/>
    <w:uiPriority w:val="0"/>
    <w:pPr>
      <w:spacing w:line="360" w:lineRule="auto"/>
      <w:ind w:firstLine="617" w:firstLineChars="257"/>
    </w:pPr>
    <w:rPr>
      <w:kern w:val="0"/>
      <w:sz w:val="16"/>
      <w:szCs w:val="16"/>
    </w:rPr>
  </w:style>
  <w:style w:type="paragraph" w:styleId="47">
    <w:name w:val="index 7"/>
    <w:basedOn w:val="1"/>
    <w:next w:val="1"/>
    <w:semiHidden/>
    <w:qFormat/>
    <w:uiPriority w:val="99"/>
    <w:pPr>
      <w:ind w:left="2520"/>
    </w:pPr>
  </w:style>
  <w:style w:type="paragraph" w:styleId="48">
    <w:name w:val="index 9"/>
    <w:basedOn w:val="1"/>
    <w:next w:val="1"/>
    <w:semiHidden/>
    <w:qFormat/>
    <w:uiPriority w:val="99"/>
    <w:pPr>
      <w:ind w:left="3360"/>
    </w:pPr>
  </w:style>
  <w:style w:type="paragraph" w:styleId="49">
    <w:name w:val="table of figures"/>
    <w:basedOn w:val="1"/>
    <w:next w:val="1"/>
    <w:semiHidden/>
    <w:qFormat/>
    <w:uiPriority w:val="99"/>
    <w:pPr>
      <w:adjustRightInd w:val="0"/>
      <w:ind w:left="420" w:hanging="420"/>
      <w:jc w:val="left"/>
      <w:textAlignment w:val="baseline"/>
    </w:pPr>
    <w:rPr>
      <w:smallCaps/>
      <w:sz w:val="24"/>
    </w:rPr>
  </w:style>
  <w:style w:type="paragraph" w:styleId="50">
    <w:name w:val="toc 2"/>
    <w:basedOn w:val="1"/>
    <w:next w:val="1"/>
    <w:qFormat/>
    <w:uiPriority w:val="39"/>
    <w:pPr>
      <w:ind w:left="420"/>
    </w:pPr>
  </w:style>
  <w:style w:type="paragraph" w:styleId="51">
    <w:name w:val="toc 9"/>
    <w:basedOn w:val="1"/>
    <w:next w:val="1"/>
    <w:semiHidden/>
    <w:qFormat/>
    <w:uiPriority w:val="99"/>
    <w:pPr>
      <w:ind w:left="3360"/>
    </w:pPr>
  </w:style>
  <w:style w:type="paragraph" w:styleId="52">
    <w:name w:val="Body Text 2"/>
    <w:basedOn w:val="1"/>
    <w:link w:val="148"/>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4">
    <w:name w:val="Normal (Web)"/>
    <w:basedOn w:val="1"/>
    <w:qFormat/>
    <w:uiPriority w:val="0"/>
    <w:pPr>
      <w:spacing w:before="100" w:beforeAutospacing="1" w:after="100" w:afterAutospacing="1"/>
      <w:jc w:val="left"/>
    </w:pPr>
    <w:rPr>
      <w:kern w:val="0"/>
      <w:sz w:val="24"/>
    </w:rPr>
  </w:style>
  <w:style w:type="paragraph" w:styleId="55">
    <w:name w:val="index 2"/>
    <w:basedOn w:val="1"/>
    <w:next w:val="1"/>
    <w:semiHidden/>
    <w:qFormat/>
    <w:uiPriority w:val="99"/>
    <w:pPr>
      <w:ind w:left="420"/>
    </w:pPr>
  </w:style>
  <w:style w:type="paragraph" w:styleId="56">
    <w:name w:val="Title"/>
    <w:basedOn w:val="1"/>
    <w:next w:val="1"/>
    <w:link w:val="102"/>
    <w:qFormat/>
    <w:locked/>
    <w:uiPriority w:val="0"/>
    <w:pPr>
      <w:adjustRightInd w:val="0"/>
      <w:spacing w:line="420" w:lineRule="atLeast"/>
      <w:jc w:val="center"/>
      <w:textAlignment w:val="baseline"/>
      <w:outlineLvl w:val="0"/>
    </w:pPr>
    <w:rPr>
      <w:rFonts w:ascii="Arial" w:hAnsi="Arial"/>
      <w:b/>
      <w:kern w:val="0"/>
      <w:sz w:val="32"/>
    </w:rPr>
  </w:style>
  <w:style w:type="paragraph" w:styleId="57">
    <w:name w:val="annotation subject"/>
    <w:basedOn w:val="19"/>
    <w:next w:val="19"/>
    <w:link w:val="89"/>
    <w:semiHidden/>
    <w:qFormat/>
    <w:uiPriority w:val="99"/>
    <w:rPr>
      <w:b/>
      <w:bCs/>
      <w:sz w:val="20"/>
    </w:rPr>
  </w:style>
  <w:style w:type="paragraph" w:styleId="58">
    <w:name w:val="Body Text First Indent"/>
    <w:basedOn w:val="22"/>
    <w:link w:val="150"/>
    <w:qFormat/>
    <w:locked/>
    <w:uiPriority w:val="0"/>
    <w:pPr>
      <w:widowControl/>
      <w:spacing w:after="120" w:line="240" w:lineRule="auto"/>
      <w:ind w:firstLine="420" w:firstLineChars="100"/>
      <w:jc w:val="left"/>
    </w:pPr>
    <w:rPr>
      <w:rFonts w:eastAsia="宋体"/>
      <w:sz w:val="21"/>
    </w:rPr>
  </w:style>
  <w:style w:type="paragraph" w:styleId="59">
    <w:name w:val="Body Text First Indent 2"/>
    <w:basedOn w:val="25"/>
    <w:next w:val="46"/>
    <w:link w:val="155"/>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99"/>
    <w:rPr>
      <w:rFonts w:cs="Times New Roman"/>
      <w:b/>
    </w:rPr>
  </w:style>
  <w:style w:type="character" w:styleId="64">
    <w:name w:val="endnote reference"/>
    <w:qFormat/>
    <w:locked/>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rFonts w:cs="Times New Roman"/>
      <w:color w:val="954F72"/>
      <w:u w:val="single"/>
    </w:rPr>
  </w:style>
  <w:style w:type="character" w:styleId="67">
    <w:name w:val="Emphasis"/>
    <w:basedOn w:val="62"/>
    <w:qFormat/>
    <w:uiPriority w:val="99"/>
    <w:rPr>
      <w:rFonts w:cs="Times New Roman"/>
      <w:i/>
    </w:rPr>
  </w:style>
  <w:style w:type="character" w:styleId="68">
    <w:name w:val="line number"/>
    <w:basedOn w:val="62"/>
    <w:qFormat/>
    <w:uiPriority w:val="0"/>
    <w:rPr>
      <w:rFonts w:cs="Times New Roman"/>
    </w:rPr>
  </w:style>
  <w:style w:type="character" w:styleId="69">
    <w:name w:val="HTML Definition"/>
    <w:basedOn w:val="62"/>
    <w:qFormat/>
    <w:uiPriority w:val="99"/>
    <w:rPr>
      <w:rFonts w:cs="Times New Roman"/>
      <w:i/>
    </w:rPr>
  </w:style>
  <w:style w:type="character" w:styleId="70">
    <w:name w:val="Hyperlink"/>
    <w:basedOn w:val="62"/>
    <w:qFormat/>
    <w:uiPriority w:val="0"/>
    <w:rPr>
      <w:rFonts w:cs="Times New Roman"/>
      <w:color w:val="0000FF"/>
      <w:u w:val="single"/>
    </w:rPr>
  </w:style>
  <w:style w:type="character" w:styleId="71">
    <w:name w:val="HTML Code"/>
    <w:basedOn w:val="62"/>
    <w:qFormat/>
    <w:uiPriority w:val="99"/>
    <w:rPr>
      <w:rFonts w:ascii="Menlo" w:hAnsi="Menlo" w:cs="Times New Roman"/>
      <w:color w:val="C7254E"/>
      <w:sz w:val="21"/>
      <w:shd w:val="clear" w:color="auto" w:fill="F9F2F4"/>
    </w:rPr>
  </w:style>
  <w:style w:type="character" w:styleId="72">
    <w:name w:val="annotation reference"/>
    <w:basedOn w:val="62"/>
    <w:semiHidden/>
    <w:qFormat/>
    <w:uiPriority w:val="99"/>
    <w:rPr>
      <w:rFonts w:cs="Times New Roman"/>
      <w:sz w:val="21"/>
    </w:rPr>
  </w:style>
  <w:style w:type="character" w:styleId="73">
    <w:name w:val="HTML Cite"/>
    <w:basedOn w:val="62"/>
    <w:qFormat/>
    <w:uiPriority w:val="99"/>
    <w:rPr>
      <w:rFonts w:cs="Times New Roman"/>
    </w:rPr>
  </w:style>
  <w:style w:type="character" w:styleId="74">
    <w:name w:val="footnote reference"/>
    <w:basedOn w:val="62"/>
    <w:semiHidden/>
    <w:qFormat/>
    <w:uiPriority w:val="99"/>
    <w:rPr>
      <w:rFonts w:cs="Times New Roman"/>
      <w:vertAlign w:val="superscript"/>
    </w:rPr>
  </w:style>
  <w:style w:type="character" w:styleId="75">
    <w:name w:val="HTML Keyboard"/>
    <w:basedOn w:val="62"/>
    <w:qFormat/>
    <w:uiPriority w:val="99"/>
    <w:rPr>
      <w:rFonts w:ascii="Menlo" w:hAnsi="Menlo" w:cs="Times New Roman"/>
      <w:sz w:val="21"/>
    </w:rPr>
  </w:style>
  <w:style w:type="character" w:styleId="76">
    <w:name w:val="HTML Sample"/>
    <w:basedOn w:val="62"/>
    <w:qFormat/>
    <w:uiPriority w:val="99"/>
    <w:rPr>
      <w:rFonts w:ascii="Menlo" w:hAnsi="Menlo" w:cs="Times New Roman"/>
      <w:sz w:val="21"/>
    </w:rPr>
  </w:style>
  <w:style w:type="paragraph" w:customStyle="1" w:styleId="77">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78">
    <w:name w:val="正文文本首行缩进 21"/>
    <w:basedOn w:val="25"/>
    <w:unhideWhenUsed/>
    <w:qFormat/>
    <w:uiPriority w:val="99"/>
    <w:pPr>
      <w:ind w:firstLine="420" w:firstLineChars="200"/>
    </w:pPr>
    <w:rPr>
      <w:rFonts w:ascii="Calibri" w:hAnsi="Calibri"/>
      <w:szCs w:val="26"/>
    </w:rPr>
  </w:style>
  <w:style w:type="paragraph" w:customStyle="1" w:styleId="79">
    <w:name w:val="正文文本首行缩进 211"/>
    <w:basedOn w:val="25"/>
    <w:unhideWhenUsed/>
    <w:qFormat/>
    <w:uiPriority w:val="99"/>
    <w:pPr>
      <w:ind w:firstLine="420" w:firstLineChars="200"/>
    </w:pPr>
    <w:rPr>
      <w:rFonts w:ascii="Calibri" w:hAnsi="Calibri"/>
      <w:szCs w:val="26"/>
    </w:rPr>
  </w:style>
  <w:style w:type="character" w:customStyle="1" w:styleId="80">
    <w:name w:val="标题 1 字符"/>
    <w:basedOn w:val="62"/>
    <w:link w:val="3"/>
    <w:qFormat/>
    <w:locked/>
    <w:uiPriority w:val="99"/>
    <w:rPr>
      <w:rFonts w:eastAsia="楷体_GB2312" w:cs="Times New Roman"/>
      <w:b/>
      <w:kern w:val="44"/>
      <w:sz w:val="44"/>
    </w:rPr>
  </w:style>
  <w:style w:type="character" w:customStyle="1" w:styleId="81">
    <w:name w:val="标题 2 字符"/>
    <w:basedOn w:val="62"/>
    <w:link w:val="4"/>
    <w:qFormat/>
    <w:locked/>
    <w:uiPriority w:val="99"/>
    <w:rPr>
      <w:rFonts w:ascii="宋体" w:hAnsi="宋体" w:eastAsia="楷体_GB2312" w:cs="Times New Roman"/>
      <w:b/>
      <w:kern w:val="2"/>
      <w:sz w:val="26"/>
      <w:lang w:val="en-US" w:eastAsia="zh-CN"/>
    </w:rPr>
  </w:style>
  <w:style w:type="character" w:customStyle="1" w:styleId="82">
    <w:name w:val="标题 3 字符"/>
    <w:basedOn w:val="62"/>
    <w:link w:val="5"/>
    <w:semiHidden/>
    <w:qFormat/>
    <w:locked/>
    <w:uiPriority w:val="99"/>
    <w:rPr>
      <w:rFonts w:eastAsia="楷体_GB2312" w:cs="Times New Roman"/>
      <w:b/>
      <w:sz w:val="32"/>
    </w:rPr>
  </w:style>
  <w:style w:type="character" w:customStyle="1" w:styleId="83">
    <w:name w:val="标题 5 字符"/>
    <w:basedOn w:val="62"/>
    <w:link w:val="7"/>
    <w:semiHidden/>
    <w:qFormat/>
    <w:locked/>
    <w:uiPriority w:val="99"/>
    <w:rPr>
      <w:rFonts w:eastAsia="楷体_GB2312" w:cs="Times New Roman"/>
      <w:b/>
      <w:sz w:val="28"/>
    </w:rPr>
  </w:style>
  <w:style w:type="character" w:customStyle="1" w:styleId="84">
    <w:name w:val="标题 6 字符"/>
    <w:basedOn w:val="62"/>
    <w:link w:val="9"/>
    <w:semiHidden/>
    <w:qFormat/>
    <w:locked/>
    <w:uiPriority w:val="99"/>
    <w:rPr>
      <w:rFonts w:ascii="Cambria" w:hAnsi="Cambria" w:eastAsia="宋体" w:cs="Times New Roman"/>
      <w:b/>
      <w:sz w:val="24"/>
    </w:rPr>
  </w:style>
  <w:style w:type="character" w:customStyle="1" w:styleId="85">
    <w:name w:val="标题 7 字符"/>
    <w:basedOn w:val="62"/>
    <w:link w:val="10"/>
    <w:semiHidden/>
    <w:qFormat/>
    <w:locked/>
    <w:uiPriority w:val="99"/>
    <w:rPr>
      <w:rFonts w:eastAsia="楷体_GB2312" w:cs="Times New Roman"/>
      <w:b/>
      <w:sz w:val="24"/>
    </w:rPr>
  </w:style>
  <w:style w:type="character" w:customStyle="1" w:styleId="86">
    <w:name w:val="标题 8 字符"/>
    <w:basedOn w:val="62"/>
    <w:link w:val="11"/>
    <w:semiHidden/>
    <w:qFormat/>
    <w:locked/>
    <w:uiPriority w:val="99"/>
    <w:rPr>
      <w:rFonts w:ascii="Cambria" w:hAnsi="Cambria" w:eastAsia="宋体" w:cs="Times New Roman"/>
      <w:sz w:val="24"/>
    </w:rPr>
  </w:style>
  <w:style w:type="character" w:customStyle="1" w:styleId="87">
    <w:name w:val="标题 9 字符"/>
    <w:basedOn w:val="62"/>
    <w:link w:val="12"/>
    <w:semiHidden/>
    <w:qFormat/>
    <w:locked/>
    <w:uiPriority w:val="99"/>
    <w:rPr>
      <w:rFonts w:ascii="Cambria" w:hAnsi="Cambria" w:eastAsia="宋体" w:cs="Times New Roman"/>
      <w:sz w:val="21"/>
    </w:rPr>
  </w:style>
  <w:style w:type="character" w:customStyle="1" w:styleId="88">
    <w:name w:val="批注文字 字符"/>
    <w:basedOn w:val="62"/>
    <w:link w:val="19"/>
    <w:semiHidden/>
    <w:qFormat/>
    <w:locked/>
    <w:uiPriority w:val="99"/>
    <w:rPr>
      <w:rFonts w:eastAsia="楷体_GB2312" w:cs="Times New Roman"/>
      <w:kern w:val="2"/>
      <w:sz w:val="26"/>
    </w:rPr>
  </w:style>
  <w:style w:type="character" w:customStyle="1" w:styleId="89">
    <w:name w:val="批注主题 字符"/>
    <w:basedOn w:val="88"/>
    <w:link w:val="57"/>
    <w:semiHidden/>
    <w:qFormat/>
    <w:locked/>
    <w:uiPriority w:val="99"/>
    <w:rPr>
      <w:rFonts w:eastAsia="楷体_GB2312" w:cs="Times New Roman"/>
      <w:b/>
      <w:kern w:val="2"/>
      <w:sz w:val="20"/>
    </w:rPr>
  </w:style>
  <w:style w:type="character" w:customStyle="1" w:styleId="90">
    <w:name w:val="文档结构图 字符"/>
    <w:basedOn w:val="62"/>
    <w:link w:val="17"/>
    <w:semiHidden/>
    <w:qFormat/>
    <w:locked/>
    <w:uiPriority w:val="99"/>
    <w:rPr>
      <w:rFonts w:eastAsia="楷体_GB2312" w:cs="Times New Roman"/>
      <w:sz w:val="2"/>
    </w:rPr>
  </w:style>
  <w:style w:type="character" w:customStyle="1" w:styleId="91">
    <w:name w:val="正文文本 字符"/>
    <w:basedOn w:val="62"/>
    <w:link w:val="22"/>
    <w:qFormat/>
    <w:locked/>
    <w:uiPriority w:val="0"/>
    <w:rPr>
      <w:rFonts w:eastAsia="楷体_GB2312" w:cs="Times New Roman"/>
      <w:sz w:val="20"/>
    </w:rPr>
  </w:style>
  <w:style w:type="character" w:customStyle="1" w:styleId="92">
    <w:name w:val="正文文本缩进 字符"/>
    <w:basedOn w:val="62"/>
    <w:link w:val="25"/>
    <w:qFormat/>
    <w:locked/>
    <w:uiPriority w:val="0"/>
    <w:rPr>
      <w:rFonts w:ascii="方正仿宋简体" w:hAnsi="创艺简仿宋" w:eastAsia="方正仿宋简体" w:cs="Times New Roman"/>
      <w:kern w:val="2"/>
      <w:sz w:val="24"/>
      <w:lang w:val="en-US" w:eastAsia="zh-CN"/>
    </w:rPr>
  </w:style>
  <w:style w:type="character" w:customStyle="1" w:styleId="93">
    <w:name w:val="纯文本 字符"/>
    <w:basedOn w:val="62"/>
    <w:link w:val="30"/>
    <w:qFormat/>
    <w:locked/>
    <w:uiPriority w:val="0"/>
    <w:rPr>
      <w:rFonts w:ascii="宋体" w:hAnsi="Courier New" w:eastAsia="楷体_GB2312" w:cs="Times New Roman"/>
      <w:kern w:val="2"/>
      <w:sz w:val="26"/>
      <w:lang w:val="en-US" w:eastAsia="zh-CN"/>
    </w:rPr>
  </w:style>
  <w:style w:type="character" w:customStyle="1" w:styleId="94">
    <w:name w:val="日期 字符"/>
    <w:basedOn w:val="62"/>
    <w:link w:val="33"/>
    <w:qFormat/>
    <w:locked/>
    <w:uiPriority w:val="0"/>
    <w:rPr>
      <w:rFonts w:eastAsia="楷体_GB2312" w:cs="Times New Roman"/>
      <w:sz w:val="20"/>
    </w:rPr>
  </w:style>
  <w:style w:type="character" w:customStyle="1" w:styleId="95">
    <w:name w:val="正文文本缩进 2 字符"/>
    <w:basedOn w:val="62"/>
    <w:link w:val="34"/>
    <w:semiHidden/>
    <w:qFormat/>
    <w:locked/>
    <w:uiPriority w:val="99"/>
    <w:rPr>
      <w:rFonts w:eastAsia="楷体_GB2312" w:cs="Times New Roman"/>
      <w:sz w:val="20"/>
    </w:rPr>
  </w:style>
  <w:style w:type="character" w:customStyle="1" w:styleId="96">
    <w:name w:val="批注框文本 字符"/>
    <w:basedOn w:val="62"/>
    <w:link w:val="36"/>
    <w:semiHidden/>
    <w:qFormat/>
    <w:locked/>
    <w:uiPriority w:val="99"/>
    <w:rPr>
      <w:rFonts w:eastAsia="楷体_GB2312" w:cs="Times New Roman"/>
      <w:sz w:val="2"/>
    </w:rPr>
  </w:style>
  <w:style w:type="character" w:customStyle="1" w:styleId="97">
    <w:name w:val="页脚 字符"/>
    <w:basedOn w:val="62"/>
    <w:link w:val="37"/>
    <w:qFormat/>
    <w:locked/>
    <w:uiPriority w:val="0"/>
    <w:rPr>
      <w:rFonts w:eastAsia="楷体_GB2312" w:cs="Times New Roman"/>
      <w:sz w:val="18"/>
    </w:rPr>
  </w:style>
  <w:style w:type="character" w:customStyle="1" w:styleId="98">
    <w:name w:val="页眉 字符"/>
    <w:basedOn w:val="62"/>
    <w:link w:val="38"/>
    <w:qFormat/>
    <w:locked/>
    <w:uiPriority w:val="99"/>
    <w:rPr>
      <w:rFonts w:eastAsia="楷体_GB2312" w:cs="Times New Roman"/>
      <w:kern w:val="2"/>
      <w:sz w:val="18"/>
    </w:rPr>
  </w:style>
  <w:style w:type="character" w:customStyle="1" w:styleId="99">
    <w:name w:val="脚注文本 字符"/>
    <w:basedOn w:val="62"/>
    <w:link w:val="44"/>
    <w:semiHidden/>
    <w:qFormat/>
    <w:locked/>
    <w:uiPriority w:val="99"/>
    <w:rPr>
      <w:rFonts w:eastAsia="楷体_GB2312" w:cs="Times New Roman"/>
      <w:sz w:val="18"/>
    </w:rPr>
  </w:style>
  <w:style w:type="character" w:customStyle="1" w:styleId="100">
    <w:name w:val="正文文本缩进 3 字符"/>
    <w:basedOn w:val="62"/>
    <w:link w:val="46"/>
    <w:qFormat/>
    <w:locked/>
    <w:uiPriority w:val="0"/>
    <w:rPr>
      <w:rFonts w:eastAsia="楷体_GB2312" w:cs="Times New Roman"/>
      <w:sz w:val="16"/>
    </w:rPr>
  </w:style>
  <w:style w:type="character" w:customStyle="1" w:styleId="101">
    <w:name w:val="HTML 预设格式 字符"/>
    <w:basedOn w:val="62"/>
    <w:link w:val="53"/>
    <w:semiHidden/>
    <w:qFormat/>
    <w:locked/>
    <w:uiPriority w:val="99"/>
    <w:rPr>
      <w:rFonts w:ascii="Courier New" w:hAnsi="Courier New" w:eastAsia="楷体_GB2312" w:cs="Times New Roman"/>
      <w:sz w:val="20"/>
    </w:rPr>
  </w:style>
  <w:style w:type="character" w:customStyle="1" w:styleId="102">
    <w:name w:val="标题 字符"/>
    <w:basedOn w:val="62"/>
    <w:link w:val="56"/>
    <w:qFormat/>
    <w:locked/>
    <w:uiPriority w:val="0"/>
    <w:rPr>
      <w:rFonts w:ascii="Cambria" w:hAnsi="Cambria" w:cs="Times New Roman"/>
      <w:b/>
      <w:bCs/>
      <w:sz w:val="32"/>
      <w:szCs w:val="32"/>
    </w:rPr>
  </w:style>
  <w:style w:type="paragraph" w:customStyle="1" w:styleId="103">
    <w:name w:val="列出段落1"/>
    <w:basedOn w:val="1"/>
    <w:qFormat/>
    <w:uiPriority w:val="99"/>
    <w:pPr>
      <w:ind w:firstLine="420" w:firstLineChars="200"/>
    </w:pPr>
    <w:rPr>
      <w:rFonts w:eastAsia="宋体"/>
      <w:sz w:val="21"/>
      <w:szCs w:val="24"/>
    </w:rPr>
  </w:style>
  <w:style w:type="paragraph" w:customStyle="1" w:styleId="104">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5">
    <w:name w:val="纯文本1"/>
    <w:basedOn w:val="1"/>
    <w:qFormat/>
    <w:uiPriority w:val="99"/>
    <w:pPr>
      <w:adjustRightInd w:val="0"/>
      <w:textAlignment w:val="baseline"/>
    </w:pPr>
    <w:rPr>
      <w:rFonts w:ascii="宋体" w:hAnsi="Courier New"/>
      <w:sz w:val="28"/>
    </w:rPr>
  </w:style>
  <w:style w:type="paragraph" w:customStyle="1" w:styleId="106">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7">
    <w:name w:val="Char Char1 Char Char Char Char"/>
    <w:basedOn w:val="17"/>
    <w:qFormat/>
    <w:uiPriority w:val="99"/>
    <w:pPr>
      <w:adjustRightInd w:val="0"/>
      <w:snapToGrid w:val="0"/>
      <w:spacing w:line="360" w:lineRule="auto"/>
    </w:pPr>
    <w:rPr>
      <w:rFonts w:ascii="Tahoma" w:hAnsi="Tahoma" w:eastAsia="宋体"/>
      <w:sz w:val="24"/>
      <w:szCs w:val="24"/>
    </w:rPr>
  </w:style>
  <w:style w:type="paragraph" w:customStyle="1" w:styleId="108">
    <w:name w:val="纯文本2"/>
    <w:basedOn w:val="1"/>
    <w:qFormat/>
    <w:uiPriority w:val="99"/>
    <w:pPr>
      <w:adjustRightInd w:val="0"/>
      <w:textAlignment w:val="baseline"/>
    </w:pPr>
    <w:rPr>
      <w:rFonts w:ascii="宋体" w:hAnsi="Courier New"/>
    </w:rPr>
  </w:style>
  <w:style w:type="paragraph" w:customStyle="1" w:styleId="109">
    <w:name w:val="_Style 1"/>
    <w:basedOn w:val="1"/>
    <w:qFormat/>
    <w:uiPriority w:val="99"/>
    <w:pPr>
      <w:ind w:firstLine="420" w:firstLineChars="200"/>
    </w:pPr>
  </w:style>
  <w:style w:type="paragraph" w:customStyle="1" w:styleId="11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Char1"/>
    <w:basedOn w:val="1"/>
    <w:qFormat/>
    <w:uiPriority w:val="99"/>
    <w:rPr>
      <w:rFonts w:ascii="Tahoma" w:hAnsi="Tahoma" w:eastAsia="宋体"/>
      <w:sz w:val="24"/>
    </w:rPr>
  </w:style>
  <w:style w:type="character" w:customStyle="1" w:styleId="112">
    <w:name w:val="bds_more5"/>
    <w:qFormat/>
    <w:uiPriority w:val="99"/>
  </w:style>
  <w:style w:type="character" w:customStyle="1" w:styleId="113">
    <w:name w:val="noused"/>
    <w:qFormat/>
    <w:uiPriority w:val="99"/>
    <w:rPr>
      <w:b/>
      <w:color w:val="FFFFFF"/>
      <w:sz w:val="21"/>
    </w:rPr>
  </w:style>
  <w:style w:type="character" w:customStyle="1" w:styleId="114">
    <w:name w:val="正文缩进 字符"/>
    <w:link w:val="8"/>
    <w:qFormat/>
    <w:locked/>
    <w:uiPriority w:val="0"/>
    <w:rPr>
      <w:rFonts w:eastAsia="楷体_GB2312"/>
      <w:kern w:val="2"/>
      <w:sz w:val="24"/>
      <w:lang w:val="en-US" w:eastAsia="zh-CN"/>
    </w:rPr>
  </w:style>
  <w:style w:type="character" w:customStyle="1" w:styleId="115">
    <w:name w:val="Char Char2"/>
    <w:qFormat/>
    <w:uiPriority w:val="99"/>
    <w:rPr>
      <w:rFonts w:ascii="宋体" w:hAnsi="宋体" w:eastAsia="楷体_GB2312"/>
      <w:b/>
      <w:kern w:val="2"/>
      <w:sz w:val="26"/>
      <w:lang w:val="en-US" w:eastAsia="zh-CN"/>
    </w:rPr>
  </w:style>
  <w:style w:type="character" w:customStyle="1" w:styleId="116">
    <w:name w:val="bds_nopic1"/>
    <w:qFormat/>
    <w:uiPriority w:val="99"/>
  </w:style>
  <w:style w:type="character" w:customStyle="1" w:styleId="117">
    <w:name w:val="state"/>
    <w:qFormat/>
    <w:uiPriority w:val="99"/>
    <w:rPr>
      <w:b/>
      <w:color w:val="FFFFFF"/>
      <w:sz w:val="19"/>
    </w:rPr>
  </w:style>
  <w:style w:type="character" w:customStyle="1" w:styleId="118">
    <w:name w:val="bds_more6"/>
    <w:qFormat/>
    <w:uiPriority w:val="99"/>
  </w:style>
  <w:style w:type="character" w:customStyle="1" w:styleId="119">
    <w:name w:val="active"/>
    <w:qFormat/>
    <w:uiPriority w:val="99"/>
    <w:rPr>
      <w:color w:val="00FF00"/>
      <w:shd w:val="clear" w:color="auto" w:fill="000000"/>
    </w:rPr>
  </w:style>
  <w:style w:type="character" w:customStyle="1" w:styleId="120">
    <w:name w:val="bds_nopic2"/>
    <w:qFormat/>
    <w:uiPriority w:val="99"/>
  </w:style>
  <w:style w:type="character" w:customStyle="1" w:styleId="121">
    <w:name w:val="hilite6"/>
    <w:qFormat/>
    <w:uiPriority w:val="99"/>
    <w:rPr>
      <w:color w:val="FFFFFF"/>
      <w:shd w:val="clear" w:color="auto" w:fill="776666"/>
    </w:rPr>
  </w:style>
  <w:style w:type="character" w:customStyle="1" w:styleId="122">
    <w:name w:val="active8"/>
    <w:qFormat/>
    <w:uiPriority w:val="99"/>
    <w:rPr>
      <w:color w:val="00FF00"/>
      <w:shd w:val="clear" w:color="auto" w:fill="000000"/>
    </w:rPr>
  </w:style>
  <w:style w:type="character" w:customStyle="1" w:styleId="123">
    <w:name w:val="bds_more8"/>
    <w:qFormat/>
    <w:uiPriority w:val="99"/>
    <w:rPr>
      <w:rFonts w:ascii="宋体" w:hAnsi="宋体" w:eastAsia="宋体"/>
    </w:rPr>
  </w:style>
  <w:style w:type="character" w:customStyle="1" w:styleId="124">
    <w:name w:val="other"/>
    <w:qFormat/>
    <w:uiPriority w:val="99"/>
  </w:style>
  <w:style w:type="character" w:customStyle="1" w:styleId="125">
    <w:name w:val="hover61"/>
    <w:qFormat/>
    <w:uiPriority w:val="99"/>
    <w:rPr>
      <w:shd w:val="clear" w:color="auto" w:fill="FF0000"/>
    </w:rPr>
  </w:style>
  <w:style w:type="character" w:customStyle="1" w:styleId="126">
    <w:name w:val="bsharetext"/>
    <w:qFormat/>
    <w:uiPriority w:val="99"/>
  </w:style>
  <w:style w:type="character" w:customStyle="1" w:styleId="127">
    <w:name w:val="bds_nopic"/>
    <w:qFormat/>
    <w:uiPriority w:val="99"/>
  </w:style>
  <w:style w:type="character" w:customStyle="1" w:styleId="128">
    <w:name w:val="grid2"/>
    <w:qFormat/>
    <w:uiPriority w:val="99"/>
  </w:style>
  <w:style w:type="character" w:customStyle="1" w:styleId="129">
    <w:name w:val="hilite"/>
    <w:qFormat/>
    <w:uiPriority w:val="99"/>
    <w:rPr>
      <w:color w:val="FFFFFF"/>
      <w:shd w:val="clear" w:color="auto" w:fill="776666"/>
    </w:rPr>
  </w:style>
  <w:style w:type="character" w:customStyle="1" w:styleId="130">
    <w:name w:val="bds_more4"/>
    <w:qFormat/>
    <w:uiPriority w:val="99"/>
    <w:rPr>
      <w:rFonts w:ascii="宋体" w:hAnsi="宋体" w:eastAsia="宋体"/>
    </w:rPr>
  </w:style>
  <w:style w:type="character" w:customStyle="1" w:styleId="131">
    <w:name w:val="bds_more7"/>
    <w:qFormat/>
    <w:uiPriority w:val="99"/>
  </w:style>
  <w:style w:type="character" w:customStyle="1" w:styleId="132">
    <w:name w:val="grid"/>
    <w:qFormat/>
    <w:uiPriority w:val="99"/>
  </w:style>
  <w:style w:type="paragraph" w:customStyle="1" w:styleId="133">
    <w:name w:val="纯文本3"/>
    <w:basedOn w:val="1"/>
    <w:qFormat/>
    <w:uiPriority w:val="99"/>
    <w:pPr>
      <w:adjustRightInd w:val="0"/>
      <w:textAlignment w:val="baseline"/>
    </w:pPr>
    <w:rPr>
      <w:rFonts w:ascii="宋体" w:hAnsi="Courier New"/>
    </w:rPr>
  </w:style>
  <w:style w:type="paragraph" w:customStyle="1" w:styleId="134">
    <w:name w:val="正文文字3"/>
    <w:basedOn w:val="22"/>
    <w:qFormat/>
    <w:uiPriority w:val="0"/>
    <w:pPr>
      <w:ind w:left="30" w:leftChars="30" w:right="30" w:rightChars="30"/>
    </w:pPr>
  </w:style>
  <w:style w:type="paragraph" w:customStyle="1" w:styleId="135">
    <w:name w:val="flNote"/>
    <w:basedOn w:val="1"/>
    <w:qFormat/>
    <w:uiPriority w:val="0"/>
    <w:pPr>
      <w:spacing w:before="320" w:after="160"/>
      <w:jc w:val="center"/>
    </w:pPr>
    <w:rPr>
      <w:rFonts w:ascii="Arial" w:eastAsia="黑体"/>
      <w:sz w:val="30"/>
    </w:rPr>
  </w:style>
  <w:style w:type="paragraph" w:customStyle="1" w:styleId="136">
    <w:name w:val="Plain Text1"/>
    <w:basedOn w:val="1"/>
    <w:qFormat/>
    <w:uiPriority w:val="99"/>
    <w:rPr>
      <w:rFonts w:ascii="宋体" w:hAnsi="Courier New"/>
      <w:sz w:val="28"/>
    </w:rPr>
  </w:style>
  <w:style w:type="paragraph" w:customStyle="1" w:styleId="137">
    <w:name w:val="标题 2 + 黑色 行距: 1.5 倍行距"/>
    <w:basedOn w:val="4"/>
    <w:qFormat/>
    <w:uiPriority w:val="99"/>
    <w:pPr>
      <w:spacing w:line="360" w:lineRule="auto"/>
    </w:pPr>
    <w:rPr>
      <w:rFonts w:eastAsia="宋体" w:cs="宋体"/>
      <w:color w:val="000000"/>
    </w:rPr>
  </w:style>
  <w:style w:type="character" w:customStyle="1" w:styleId="138">
    <w:name w:val="font11"/>
    <w:basedOn w:val="62"/>
    <w:qFormat/>
    <w:uiPriority w:val="0"/>
    <w:rPr>
      <w:rFonts w:hint="eastAsia" w:ascii="宋体" w:hAnsi="宋体" w:eastAsia="宋体" w:cs="宋体"/>
      <w:color w:val="000000"/>
      <w:sz w:val="24"/>
      <w:szCs w:val="24"/>
      <w:u w:val="none"/>
    </w:rPr>
  </w:style>
  <w:style w:type="paragraph" w:styleId="139">
    <w:name w:val="List Paragraph"/>
    <w:basedOn w:val="1"/>
    <w:unhideWhenUsed/>
    <w:qFormat/>
    <w:uiPriority w:val="34"/>
    <w:pPr>
      <w:ind w:firstLine="420" w:firstLineChars="200"/>
    </w:pPr>
  </w:style>
  <w:style w:type="character" w:customStyle="1" w:styleId="140">
    <w:name w:val="flName Char"/>
    <w:qFormat/>
    <w:uiPriority w:val="0"/>
    <w:rPr>
      <w:rFonts w:ascii="Arial" w:hAnsi="Arial" w:eastAsia="黑体"/>
      <w:sz w:val="32"/>
      <w:lang w:val="en-US" w:eastAsia="zh-CN"/>
    </w:rPr>
  </w:style>
  <w:style w:type="character" w:customStyle="1" w:styleId="141">
    <w:name w:val="样式 宋体"/>
    <w:qFormat/>
    <w:uiPriority w:val="0"/>
    <w:rPr>
      <w:rFonts w:ascii="宋体" w:hAnsi="宋体" w:eastAsia="宋体"/>
      <w:sz w:val="24"/>
      <w:szCs w:val="24"/>
    </w:rPr>
  </w:style>
  <w:style w:type="character" w:customStyle="1" w:styleId="142">
    <w:name w:val="style81"/>
    <w:qFormat/>
    <w:uiPriority w:val="0"/>
    <w:rPr>
      <w:b/>
      <w:bCs/>
      <w:color w:val="666666"/>
      <w:sz w:val="21"/>
      <w:szCs w:val="21"/>
    </w:rPr>
  </w:style>
  <w:style w:type="character" w:customStyle="1" w:styleId="143">
    <w:name w:val="尾注文本 Char"/>
    <w:qFormat/>
    <w:uiPriority w:val="0"/>
    <w:rPr>
      <w:sz w:val="24"/>
    </w:rPr>
  </w:style>
  <w:style w:type="character" w:customStyle="1" w:styleId="144">
    <w:name w:val="正文1 Char"/>
    <w:qFormat/>
    <w:uiPriority w:val="0"/>
    <w:rPr>
      <w:rFonts w:ascii="宋体" w:hAnsi="宋体" w:eastAsia="宋体"/>
      <w:b/>
      <w:kern w:val="2"/>
      <w:sz w:val="24"/>
      <w:szCs w:val="24"/>
      <w:lang w:val="en-US" w:eastAsia="zh-CN" w:bidi="ar-SA"/>
    </w:rPr>
  </w:style>
  <w:style w:type="character" w:customStyle="1" w:styleId="145">
    <w:name w:val="正文首行缩进 Char"/>
    <w:basedOn w:val="91"/>
    <w:qFormat/>
    <w:uiPriority w:val="0"/>
    <w:rPr>
      <w:rFonts w:eastAsia="楷体_GB2312" w:cs="Times New Roman"/>
      <w:sz w:val="21"/>
    </w:rPr>
  </w:style>
  <w:style w:type="character" w:customStyle="1" w:styleId="146">
    <w:name w:val="standdate1"/>
    <w:qFormat/>
    <w:uiPriority w:val="0"/>
    <w:rPr>
      <w:rFonts w:ascii="黑体" w:eastAsia="黑体"/>
      <w:color w:val="auto"/>
      <w:sz w:val="24"/>
      <w:u w:val="none"/>
    </w:rPr>
  </w:style>
  <w:style w:type="character" w:customStyle="1" w:styleId="147">
    <w:name w:val="正文首行缩进 2 Char"/>
    <w:basedOn w:val="92"/>
    <w:qFormat/>
    <w:uiPriority w:val="0"/>
    <w:rPr>
      <w:rFonts w:ascii="方正仿宋简体" w:hAnsi="创艺简仿宋" w:eastAsia="方正仿宋简体" w:cs="Times New Roman"/>
      <w:kern w:val="2"/>
      <w:sz w:val="28"/>
      <w:lang w:val="en-US" w:eastAsia="zh-CN"/>
    </w:rPr>
  </w:style>
  <w:style w:type="character" w:customStyle="1" w:styleId="148">
    <w:name w:val="正文文本 2 字符"/>
    <w:basedOn w:val="62"/>
    <w:link w:val="52"/>
    <w:qFormat/>
    <w:uiPriority w:val="0"/>
    <w:rPr>
      <w:rFonts w:ascii="仿宋_GB2312" w:eastAsia="仿宋_GB2312"/>
      <w:sz w:val="24"/>
      <w:szCs w:val="24"/>
    </w:rPr>
  </w:style>
  <w:style w:type="character" w:customStyle="1" w:styleId="149">
    <w:name w:val="正文文本 3 字符"/>
    <w:basedOn w:val="62"/>
    <w:link w:val="21"/>
    <w:qFormat/>
    <w:uiPriority w:val="0"/>
    <w:rPr>
      <w:color w:val="FF0000"/>
      <w:sz w:val="21"/>
      <w:szCs w:val="21"/>
    </w:rPr>
  </w:style>
  <w:style w:type="character" w:customStyle="1" w:styleId="150">
    <w:name w:val="正文首行缩进 字符"/>
    <w:basedOn w:val="91"/>
    <w:link w:val="58"/>
    <w:semiHidden/>
    <w:qFormat/>
    <w:uiPriority w:val="99"/>
    <w:rPr>
      <w:rFonts w:eastAsia="楷体_GB2312" w:cs="Times New Roman"/>
      <w:kern w:val="2"/>
      <w:sz w:val="26"/>
    </w:rPr>
  </w:style>
  <w:style w:type="character" w:customStyle="1" w:styleId="151">
    <w:name w:val="副标题 字符"/>
    <w:basedOn w:val="62"/>
    <w:link w:val="43"/>
    <w:qFormat/>
    <w:uiPriority w:val="0"/>
    <w:rPr>
      <w:rFonts w:ascii="Arial" w:hAnsi="Arial" w:eastAsia="黑体"/>
      <w:i/>
      <w:sz w:val="24"/>
    </w:rPr>
  </w:style>
  <w:style w:type="paragraph" w:customStyle="1" w:styleId="152">
    <w:name w:val="flName"/>
    <w:basedOn w:val="135"/>
    <w:qFormat/>
    <w:uiPriority w:val="0"/>
    <w:pPr>
      <w:adjustRightInd w:val="0"/>
      <w:spacing w:line="360" w:lineRule="atLeast"/>
      <w:textAlignment w:val="baseline"/>
    </w:pPr>
    <w:rPr>
      <w:rFonts w:hAnsi="Arial"/>
      <w:kern w:val="0"/>
      <w:sz w:val="32"/>
    </w:rPr>
  </w:style>
  <w:style w:type="paragraph" w:customStyle="1" w:styleId="153">
    <w:name w:val="Char Char1 Char"/>
    <w:basedOn w:val="1"/>
    <w:qFormat/>
    <w:uiPriority w:val="0"/>
    <w:rPr>
      <w:rFonts w:eastAsia="宋体"/>
      <w:sz w:val="24"/>
      <w:szCs w:val="24"/>
    </w:rPr>
  </w:style>
  <w:style w:type="character" w:customStyle="1" w:styleId="154">
    <w:name w:val="尾注文本 字符"/>
    <w:basedOn w:val="62"/>
    <w:link w:val="35"/>
    <w:semiHidden/>
    <w:qFormat/>
    <w:uiPriority w:val="99"/>
    <w:rPr>
      <w:rFonts w:eastAsia="楷体_GB2312"/>
      <w:kern w:val="2"/>
      <w:sz w:val="26"/>
    </w:rPr>
  </w:style>
  <w:style w:type="character" w:customStyle="1" w:styleId="155">
    <w:name w:val="正文首行缩进 2 字符"/>
    <w:basedOn w:val="92"/>
    <w:link w:val="59"/>
    <w:semiHidden/>
    <w:qFormat/>
    <w:uiPriority w:val="99"/>
    <w:rPr>
      <w:rFonts w:ascii="方正仿宋简体" w:hAnsi="创艺简仿宋" w:eastAsia="楷体_GB2312" w:cs="Times New Roman"/>
      <w:kern w:val="2"/>
      <w:sz w:val="26"/>
      <w:lang w:val="en-US" w:eastAsia="zh-CN"/>
    </w:rPr>
  </w:style>
  <w:style w:type="paragraph" w:customStyle="1" w:styleId="156">
    <w:name w:val="TOC 标题1"/>
    <w:basedOn w:val="3"/>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8">
    <w:name w:val="样式 标题 2b2节标题 1.11.1标题2 + 宋体 五号 段前: 6 磅 段后: 0 磅 行距: 1.5 倍行距"/>
    <w:basedOn w:val="4"/>
    <w:qFormat/>
    <w:uiPriority w:val="0"/>
    <w:pPr>
      <w:tabs>
        <w:tab w:val="left" w:pos="928"/>
      </w:tabs>
      <w:overflowPunct/>
      <w:spacing w:before="260" w:after="260" w:line="360" w:lineRule="auto"/>
    </w:pPr>
    <w:rPr>
      <w:rFonts w:eastAsia="宋体" w:cs="宋体"/>
      <w:bCs/>
      <w:kern w:val="0"/>
      <w:sz w:val="24"/>
      <w:szCs w:val="24"/>
    </w:rPr>
  </w:style>
  <w:style w:type="paragraph" w:customStyle="1" w:styleId="159">
    <w:name w:val="font0"/>
    <w:basedOn w:val="1"/>
    <w:qFormat/>
    <w:uiPriority w:val="0"/>
    <w:pPr>
      <w:widowControl/>
      <w:spacing w:before="100" w:after="100"/>
      <w:jc w:val="left"/>
    </w:pPr>
    <w:rPr>
      <w:rFonts w:ascii="宋体" w:hAnsi="宋体" w:eastAsia="宋体"/>
      <w:kern w:val="0"/>
      <w:sz w:val="24"/>
    </w:rPr>
  </w:style>
  <w:style w:type="paragraph" w:customStyle="1" w:styleId="160">
    <w:name w:val="Char2"/>
    <w:basedOn w:val="17"/>
    <w:next w:val="1"/>
    <w:qFormat/>
    <w:uiPriority w:val="0"/>
    <w:rPr>
      <w:rFonts w:ascii="Tahoma" w:hAnsi="Tahoma" w:eastAsia="宋体"/>
      <w:kern w:val="2"/>
      <w:sz w:val="24"/>
      <w:szCs w:val="24"/>
    </w:rPr>
  </w:style>
  <w:style w:type="paragraph" w:customStyle="1" w:styleId="161">
    <w:name w:val="standdate"/>
    <w:basedOn w:val="37"/>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62">
    <w:name w:val="标题 10 + 小四"/>
    <w:basedOn w:val="3"/>
    <w:qFormat/>
    <w:uiPriority w:val="0"/>
    <w:pPr>
      <w:widowControl/>
      <w:tabs>
        <w:tab w:val="left" w:pos="360"/>
      </w:tabs>
      <w:spacing w:before="340" w:after="330" w:line="360" w:lineRule="auto"/>
      <w:jc w:val="left"/>
    </w:pPr>
    <w:rPr>
      <w:rFonts w:eastAsia="宋体"/>
      <w:sz w:val="24"/>
      <w:szCs w:val="24"/>
    </w:rPr>
  </w:style>
  <w:style w:type="paragraph" w:customStyle="1" w:styleId="163">
    <w:name w:val="Char3"/>
    <w:basedOn w:val="1"/>
    <w:qFormat/>
    <w:uiPriority w:val="0"/>
    <w:rPr>
      <w:rFonts w:eastAsia="宋体"/>
      <w:sz w:val="21"/>
      <w:szCs w:val="24"/>
    </w:rPr>
  </w:style>
  <w:style w:type="paragraph" w:customStyle="1" w:styleId="164">
    <w:name w:val="样式 标题 2 + 黑色 行距: 1.5 倍行距"/>
    <w:basedOn w:val="4"/>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7">
    <w:name w:val="正文文字2"/>
    <w:basedOn w:val="22"/>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8">
    <w:name w:val="flType"/>
    <w:basedOn w:val="152"/>
    <w:qFormat/>
    <w:uiPriority w:val="0"/>
    <w:pPr>
      <w:spacing w:before="560" w:after="120"/>
    </w:pPr>
    <w:rPr>
      <w:sz w:val="28"/>
    </w:rPr>
  </w:style>
  <w:style w:type="paragraph" w:customStyle="1" w:styleId="169">
    <w:name w:val="字元 字元"/>
    <w:basedOn w:val="1"/>
    <w:qFormat/>
    <w:uiPriority w:val="0"/>
    <w:rPr>
      <w:rFonts w:eastAsia="宋体"/>
      <w:sz w:val="21"/>
      <w:szCs w:val="24"/>
    </w:rPr>
  </w:style>
  <w:style w:type="paragraph" w:customStyle="1" w:styleId="170">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71">
    <w:name w:val="Variable"/>
    <w:qFormat/>
    <w:uiPriority w:val="0"/>
    <w:rPr>
      <w:i/>
    </w:rPr>
  </w:style>
  <w:style w:type="paragraph" w:customStyle="1" w:styleId="172">
    <w:name w:val="正文首行缩进 21"/>
    <w:basedOn w:val="173"/>
    <w:qFormat/>
    <w:uiPriority w:val="0"/>
    <w:pPr>
      <w:ind w:firstLine="200" w:firstLineChars="200"/>
    </w:pPr>
  </w:style>
  <w:style w:type="paragraph" w:customStyle="1" w:styleId="173">
    <w:name w:val="正文文本缩进 New"/>
    <w:basedOn w:val="174"/>
    <w:next w:val="175"/>
    <w:qFormat/>
    <w:uiPriority w:val="0"/>
    <w:pPr>
      <w:ind w:left="420" w:leftChars="200"/>
    </w:pPr>
  </w:style>
  <w:style w:type="paragraph" w:customStyle="1" w:styleId="174">
    <w:name w:val="正文 New"/>
    <w:next w:val="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寄信人地址 New"/>
    <w:basedOn w:val="174"/>
    <w:qFormat/>
    <w:uiPriority w:val="0"/>
    <w:pPr>
      <w:snapToGrid w:val="0"/>
    </w:pPr>
    <w:rPr>
      <w:rFonts w:ascii="Arial" w:hAnsi="Arial"/>
    </w:rPr>
  </w:style>
  <w:style w:type="paragraph" w:customStyle="1" w:styleId="17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7">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8">
    <w:name w:val="样式 小四 加粗"/>
    <w:basedOn w:val="62"/>
    <w:qFormat/>
    <w:uiPriority w:val="0"/>
    <w:rPr>
      <w:rFonts w:eastAsia="黑体"/>
      <w:b/>
      <w:bCs/>
      <w:sz w:val="24"/>
    </w:rPr>
  </w:style>
  <w:style w:type="paragraph" w:customStyle="1" w:styleId="179">
    <w:name w:val="标题 3_0"/>
    <w:basedOn w:val="180"/>
    <w:next w:val="180"/>
    <w:qFormat/>
    <w:uiPriority w:val="0"/>
    <w:pPr>
      <w:keepNext/>
      <w:keepLines/>
      <w:spacing w:line="400" w:lineRule="exact"/>
      <w:ind w:firstLine="454"/>
      <w:outlineLvl w:val="2"/>
    </w:pPr>
    <w:rPr>
      <w:b/>
      <w:sz w:val="24"/>
      <w:szCs w:val="20"/>
    </w:rPr>
  </w:style>
  <w:style w:type="paragraph" w:customStyle="1" w:styleId="18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2">
    <w:name w:val="Body text|1"/>
    <w:basedOn w:val="1"/>
    <w:qFormat/>
    <w:uiPriority w:val="0"/>
    <w:pPr>
      <w:spacing w:line="420" w:lineRule="auto"/>
      <w:ind w:firstLine="400"/>
    </w:pPr>
    <w:rPr>
      <w:rFonts w:ascii="宋体" w:hAnsi="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3686C-E29F-4061-A108-A2E5C7531192}">
  <ds:schemaRefs/>
</ds:datastoreItem>
</file>

<file path=customXml/itemProps3.xml><?xml version="1.0" encoding="utf-8"?>
<ds:datastoreItem xmlns:ds="http://schemas.openxmlformats.org/officeDocument/2006/customXml" ds:itemID="{B289F375-2B21-4815-A42B-FA50BFE035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23719</Words>
  <Characters>24387</Characters>
  <Lines>148</Lines>
  <Paragraphs>41</Paragraphs>
  <TotalTime>14</TotalTime>
  <ScaleCrop>false</ScaleCrop>
  <LinksUpToDate>false</LinksUpToDate>
  <CharactersWithSpaces>25216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2021-10-08T03:15:00Z</dcterms:created>
  <dc:creator>gt2017020601</dc:creator>
  <cp:lastModifiedBy>柠了个檬</cp:lastModifiedBy>
  <cp:lastPrinted>2021-10-08T02:43:00Z</cp:lastPrinted>
  <dcterms:modified xsi:type="dcterms:W3CDTF">2022-11-04T06:40:49Z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5A065C4639CD4BAA9C3D289B1C8541B1</vt:lpwstr>
  </property>
  <property fmtid="{D5CDD505-2E9C-101B-9397-08002B2CF9AE}" pid="4" name="UFIDA_U9App_DataSourceXMLPart">
    <vt:lpwstr>{7733686C-E29F-4061-A108-A2E5C7531192}</vt:lpwstr>
  </property>
</Properties>
</file>