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tabs>
          <w:tab w:val="left" w:pos="6300"/>
        </w:tabs>
        <w:snapToGrid w:val="0"/>
        <w:spacing w:line="300" w:lineRule="auto"/>
        <w:jc w:val="center"/>
        <w:rPr>
          <w:rFonts w:ascii="宋体"/>
          <w:b/>
          <w:bCs/>
          <w:sz w:val="44"/>
          <w:szCs w:val="44"/>
        </w:rPr>
      </w:pPr>
    </w:p>
    <w:p>
      <w:pPr>
        <w:tabs>
          <w:tab w:val="left" w:pos="6300"/>
        </w:tabs>
        <w:snapToGrid w:val="0"/>
        <w:spacing w:line="300" w:lineRule="auto"/>
        <w:jc w:val="center"/>
        <w:rPr>
          <w:rFonts w:hint="eastAsia" w:ascii="宋体" w:hAnsi="宋体" w:cs="宋体"/>
          <w:b/>
          <w:bCs/>
          <w:w w:val="80"/>
          <w:sz w:val="96"/>
          <w:szCs w:val="96"/>
        </w:rPr>
      </w:pPr>
      <w:r>
        <w:rPr>
          <w:rFonts w:hint="eastAsia" w:ascii="宋体" w:hAnsi="宋体" w:cs="宋体"/>
          <w:b/>
          <w:bCs/>
          <w:sz w:val="48"/>
          <w:szCs w:val="48"/>
          <w:lang w:eastAsia="zh-CN"/>
        </w:rPr>
        <w:t>南通市妇幼保健院污水、废气检测服务项目</w:t>
      </w:r>
    </w:p>
    <w:p>
      <w:pPr>
        <w:pStyle w:val="20"/>
        <w:rPr>
          <w:rFonts w:hint="eastAsia" w:ascii="宋体" w:hAnsi="宋体" w:cs="宋体"/>
          <w:b/>
          <w:bCs/>
          <w:w w:val="80"/>
          <w:sz w:val="96"/>
          <w:szCs w:val="96"/>
        </w:rPr>
      </w:pPr>
    </w:p>
    <w:p>
      <w:pPr>
        <w:rPr>
          <w:rFonts w:hint="eastAsia"/>
        </w:rPr>
      </w:pPr>
    </w:p>
    <w:p>
      <w:pPr>
        <w:pStyle w:val="2"/>
        <w:rPr>
          <w:rFonts w:hint="eastAsia"/>
        </w:rPr>
      </w:pPr>
    </w:p>
    <w:p>
      <w:pPr>
        <w:rPr>
          <w:rFonts w:hint="eastAsia"/>
        </w:rPr>
      </w:pPr>
    </w:p>
    <w:p>
      <w:pPr>
        <w:rPr>
          <w:rFonts w:hint="eastAsia"/>
        </w:rPr>
      </w:pPr>
    </w:p>
    <w:p>
      <w:pPr>
        <w:rPr>
          <w:rFonts w:hint="eastAsia"/>
        </w:rPr>
      </w:pPr>
    </w:p>
    <w:p>
      <w:pPr>
        <w:tabs>
          <w:tab w:val="left" w:pos="6300"/>
        </w:tabs>
        <w:snapToGrid w:val="0"/>
        <w:spacing w:line="300" w:lineRule="auto"/>
        <w:jc w:val="center"/>
        <w:rPr>
          <w:rFonts w:ascii="宋体"/>
          <w:b/>
          <w:bCs/>
          <w:w w:val="80"/>
          <w:sz w:val="96"/>
          <w:szCs w:val="96"/>
        </w:rPr>
      </w:pPr>
      <w:r>
        <w:rPr>
          <w:rFonts w:hint="eastAsia" w:ascii="宋体" w:hAnsi="宋体" w:cs="宋体"/>
          <w:b/>
          <w:bCs/>
          <w:w w:val="80"/>
          <w:sz w:val="96"/>
          <w:szCs w:val="96"/>
        </w:rPr>
        <w:t>竞争性磋商文件</w:t>
      </w:r>
    </w:p>
    <w:p>
      <w:pPr>
        <w:jc w:val="center"/>
        <w:rPr>
          <w:rFonts w:ascii="宋体"/>
          <w:b/>
          <w:bCs/>
          <w:sz w:val="44"/>
          <w:szCs w:val="44"/>
        </w:rPr>
      </w:pPr>
    </w:p>
    <w:p>
      <w:pPr>
        <w:pStyle w:val="2"/>
        <w:rPr>
          <w:rFonts w:hint="eastAsia"/>
        </w:rPr>
      </w:pPr>
    </w:p>
    <w:p>
      <w:pPr>
        <w:pStyle w:val="20"/>
      </w:pPr>
    </w:p>
    <w:p/>
    <w:p>
      <w:pPr>
        <w:snapToGrid w:val="0"/>
        <w:spacing w:line="360" w:lineRule="auto"/>
        <w:jc w:val="center"/>
        <w:rPr>
          <w:sz w:val="32"/>
          <w:szCs w:val="32"/>
        </w:rPr>
      </w:pPr>
    </w:p>
    <w:p>
      <w:pPr>
        <w:spacing w:line="360" w:lineRule="auto"/>
        <w:jc w:val="center"/>
        <w:rPr>
          <w:rFonts w:ascii="宋体"/>
          <w:b/>
          <w:bCs/>
          <w:sz w:val="44"/>
          <w:szCs w:val="44"/>
        </w:rPr>
      </w:pPr>
    </w:p>
    <w:p>
      <w:pPr>
        <w:pStyle w:val="2"/>
        <w:ind w:firstLine="0" w:firstLineChars="0"/>
        <w:rPr>
          <w:rFonts w:hint="eastAsia"/>
        </w:rPr>
      </w:pPr>
    </w:p>
    <w:p>
      <w:pPr>
        <w:pStyle w:val="2"/>
        <w:ind w:firstLine="0" w:firstLineChars="0"/>
        <w:rPr>
          <w:rFonts w:hint="eastAsia"/>
        </w:rPr>
      </w:pPr>
    </w:p>
    <w:p>
      <w:pPr>
        <w:pStyle w:val="2"/>
        <w:ind w:firstLine="0" w:firstLineChars="0"/>
        <w:rPr>
          <w:rFonts w:hint="eastAsia"/>
        </w:rPr>
      </w:pPr>
    </w:p>
    <w:p>
      <w:pPr>
        <w:pStyle w:val="2"/>
        <w:ind w:firstLine="0" w:firstLineChars="0"/>
        <w:rPr>
          <w:rFonts w:hint="eastAsia"/>
        </w:rPr>
      </w:pPr>
    </w:p>
    <w:p>
      <w:pPr>
        <w:pStyle w:val="2"/>
        <w:rPr>
          <w:rFonts w:hint="eastAsia"/>
        </w:rPr>
      </w:pPr>
    </w:p>
    <w:p>
      <w:pPr>
        <w:adjustRightInd w:val="0"/>
        <w:snapToGrid w:val="0"/>
        <w:spacing w:line="360" w:lineRule="auto"/>
        <w:ind w:firstLine="2409" w:firstLineChars="800"/>
        <w:jc w:val="left"/>
        <w:rPr>
          <w:rFonts w:hint="eastAsia" w:ascii="宋体" w:hAnsi="宋体" w:cs="宋体"/>
          <w:b/>
          <w:bCs/>
          <w:sz w:val="30"/>
          <w:szCs w:val="30"/>
        </w:rPr>
      </w:pPr>
      <w:bookmarkStart w:id="0" w:name="_Toc8895738"/>
      <w:bookmarkStart w:id="1" w:name="_Toc94585339"/>
      <w:bookmarkStart w:id="2" w:name="_Toc12670502"/>
      <w:bookmarkStart w:id="3" w:name="_Toc11499583"/>
      <w:bookmarkStart w:id="4" w:name="_Toc11554638"/>
      <w:bookmarkStart w:id="5" w:name="_Toc94544743"/>
      <w:bookmarkStart w:id="6" w:name="_Toc521203417"/>
      <w:bookmarkStart w:id="7" w:name="_Toc94544827"/>
      <w:bookmarkStart w:id="8" w:name="_Toc521201596"/>
      <w:bookmarkStart w:id="9" w:name="_Toc11500279"/>
      <w:r>
        <w:rPr>
          <w:rFonts w:hint="eastAsia" w:ascii="宋体" w:hAnsi="宋体" w:cs="宋体"/>
          <w:b/>
          <w:bCs/>
          <w:sz w:val="30"/>
          <w:szCs w:val="30"/>
        </w:rPr>
        <w:t>采购单位：南通市妇幼保健院</w:t>
      </w:r>
    </w:p>
    <w:p>
      <w:pPr>
        <w:adjustRightInd w:val="0"/>
        <w:snapToGrid w:val="0"/>
        <w:spacing w:line="360" w:lineRule="auto"/>
        <w:ind w:firstLine="2409" w:firstLineChars="800"/>
        <w:jc w:val="left"/>
        <w:rPr>
          <w:rFonts w:hint="eastAsia" w:ascii="宋体" w:hAnsi="宋体" w:eastAsia="宋体" w:cs="宋体"/>
          <w:b/>
          <w:bCs/>
          <w:sz w:val="30"/>
          <w:szCs w:val="30"/>
          <w:lang w:eastAsia="zh-CN"/>
        </w:rPr>
      </w:pPr>
      <w:r>
        <w:rPr>
          <w:rFonts w:hint="eastAsia" w:ascii="宋体" w:hAnsi="宋体" w:cs="宋体"/>
          <w:b/>
          <w:bCs/>
          <w:sz w:val="30"/>
          <w:szCs w:val="30"/>
        </w:rPr>
        <w:t>代理机构：</w:t>
      </w:r>
      <w:r>
        <w:rPr>
          <w:rFonts w:hint="eastAsia" w:ascii="宋体" w:hAnsi="宋体" w:cs="宋体"/>
          <w:b/>
          <w:bCs/>
          <w:sz w:val="30"/>
          <w:szCs w:val="30"/>
          <w:lang w:eastAsia="zh-CN"/>
        </w:rPr>
        <w:t>中证房地产评估造价集团有限公司</w:t>
      </w:r>
    </w:p>
    <w:p>
      <w:pPr>
        <w:adjustRightInd w:val="0"/>
        <w:snapToGrid w:val="0"/>
        <w:spacing w:line="360" w:lineRule="auto"/>
        <w:jc w:val="center"/>
        <w:rPr>
          <w:rFonts w:ascii="宋体" w:hAnsi="宋体" w:cs="宋体"/>
          <w:b/>
          <w:bCs/>
          <w:w w:val="80"/>
          <w:sz w:val="52"/>
          <w:szCs w:val="52"/>
        </w:rPr>
      </w:pPr>
      <w:r>
        <w:rPr>
          <w:rFonts w:hint="eastAsia" w:ascii="宋体" w:hAnsi="宋体" w:cs="宋体"/>
          <w:b/>
          <w:bCs/>
          <w:sz w:val="30"/>
          <w:szCs w:val="30"/>
        </w:rPr>
        <w:t xml:space="preserve"> 二〇二</w:t>
      </w:r>
      <w:r>
        <w:rPr>
          <w:rFonts w:hint="eastAsia" w:ascii="宋体" w:hAnsi="宋体" w:cs="宋体"/>
          <w:b/>
          <w:bCs/>
          <w:sz w:val="30"/>
          <w:szCs w:val="30"/>
          <w:lang w:val="en-US" w:eastAsia="zh-CN"/>
        </w:rPr>
        <w:t>二</w:t>
      </w:r>
      <w:r>
        <w:rPr>
          <w:rFonts w:hint="eastAsia" w:ascii="宋体" w:hAnsi="宋体" w:cs="宋体"/>
          <w:b/>
          <w:bCs/>
          <w:sz w:val="30"/>
          <w:szCs w:val="30"/>
        </w:rPr>
        <w:t>年</w:t>
      </w:r>
      <w:r>
        <w:rPr>
          <w:rFonts w:hint="eastAsia" w:ascii="宋体" w:hAnsi="宋体" w:cs="宋体"/>
          <w:b/>
          <w:bCs/>
          <w:sz w:val="30"/>
          <w:szCs w:val="30"/>
          <w:lang w:val="en-US" w:eastAsia="zh-CN"/>
        </w:rPr>
        <w:t>十</w:t>
      </w:r>
      <w:r>
        <w:rPr>
          <w:rFonts w:hint="eastAsia" w:ascii="宋体" w:hAnsi="宋体" w:cs="宋体"/>
          <w:b/>
          <w:bCs/>
          <w:sz w:val="30"/>
          <w:szCs w:val="30"/>
        </w:rPr>
        <w:t>月</w:t>
      </w:r>
      <w:r>
        <w:rPr>
          <w:rFonts w:hint="eastAsia" w:ascii="宋体" w:hAnsi="宋体" w:cs="宋体"/>
          <w:b/>
          <w:bCs/>
          <w:sz w:val="30"/>
          <w:szCs w:val="30"/>
          <w:lang w:eastAsia="zh-CN"/>
        </w:rPr>
        <w:t>二十四日</w:t>
      </w:r>
      <w:r>
        <w:rPr>
          <w:rFonts w:hint="eastAsia" w:ascii="宋体" w:hAnsi="宋体" w:cs="宋体"/>
          <w:b/>
          <w:bCs/>
          <w:sz w:val="30"/>
          <w:szCs w:val="30"/>
        </w:rPr>
        <w:t xml:space="preserve">  </w:t>
      </w:r>
      <w:r>
        <w:rPr>
          <w:rFonts w:ascii="宋体"/>
          <w:b/>
          <w:bCs/>
          <w:sz w:val="44"/>
          <w:szCs w:val="44"/>
        </w:rPr>
        <w:br w:type="page"/>
      </w:r>
    </w:p>
    <w:p>
      <w:pPr>
        <w:adjustRightInd w:val="0"/>
        <w:snapToGrid w:val="0"/>
        <w:spacing w:line="360" w:lineRule="auto"/>
        <w:jc w:val="center"/>
        <w:rPr>
          <w:rFonts w:hint="eastAsia" w:ascii="宋体" w:hAnsi="宋体" w:cs="宋体"/>
          <w:b/>
          <w:bCs/>
          <w:w w:val="80"/>
          <w:sz w:val="52"/>
          <w:szCs w:val="52"/>
        </w:rPr>
        <w:sectPr>
          <w:headerReference r:id="rId4" w:type="first"/>
          <w:headerReference r:id="rId3" w:type="default"/>
          <w:footerReference r:id="rId5" w:type="default"/>
          <w:type w:val="continuous"/>
          <w:pgSz w:w="11906" w:h="16838"/>
          <w:pgMar w:top="1440" w:right="1361" w:bottom="1440" w:left="1361" w:header="851" w:footer="992" w:gutter="0"/>
          <w:pgNumType w:fmt="numberInDash"/>
          <w:cols w:space="720" w:num="1"/>
          <w:titlePg/>
          <w:docGrid w:linePitch="312" w:charSpace="0"/>
        </w:sectPr>
      </w:pPr>
    </w:p>
    <w:p>
      <w:pPr>
        <w:adjustRightInd w:val="0"/>
        <w:snapToGrid w:val="0"/>
        <w:spacing w:line="360" w:lineRule="auto"/>
        <w:jc w:val="center"/>
        <w:rPr>
          <w:rFonts w:ascii="宋体"/>
          <w:b/>
          <w:bCs/>
          <w:i/>
          <w:iCs/>
          <w:w w:val="80"/>
          <w:sz w:val="52"/>
          <w:szCs w:val="52"/>
        </w:rPr>
      </w:pPr>
      <w:r>
        <w:rPr>
          <w:rFonts w:hint="eastAsia" w:ascii="宋体" w:hAnsi="宋体" w:cs="宋体"/>
          <w:b/>
          <w:bCs/>
          <w:w w:val="80"/>
          <w:sz w:val="52"/>
          <w:szCs w:val="52"/>
        </w:rPr>
        <w:t>目</w:t>
      </w:r>
      <w:r>
        <w:rPr>
          <w:rFonts w:ascii="宋体" w:hAnsi="宋体" w:cs="宋体"/>
          <w:b/>
          <w:bCs/>
          <w:w w:val="80"/>
          <w:sz w:val="52"/>
          <w:szCs w:val="52"/>
        </w:rPr>
        <w:t xml:space="preserve"> </w:t>
      </w:r>
      <w:r>
        <w:rPr>
          <w:rFonts w:hint="eastAsia" w:ascii="宋体" w:hAnsi="宋体" w:cs="宋体"/>
          <w:b/>
          <w:bCs/>
          <w:w w:val="80"/>
          <w:sz w:val="52"/>
          <w:szCs w:val="52"/>
        </w:rPr>
        <w:t xml:space="preserve"> 录</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第一章</w:t>
      </w:r>
      <w:r>
        <w:rPr>
          <w:rFonts w:ascii="宋体" w:cs="宋体"/>
          <w:caps w:val="0"/>
          <w:w w:val="100"/>
          <w:sz w:val="32"/>
          <w:szCs w:val="32"/>
        </w:rPr>
        <w:t xml:space="preserve"> </w:t>
      </w:r>
      <w:r>
        <w:rPr>
          <w:rFonts w:hint="eastAsia" w:ascii="宋体" w:cs="宋体"/>
          <w:caps w:val="0"/>
          <w:w w:val="100"/>
          <w:sz w:val="32"/>
          <w:szCs w:val="32"/>
        </w:rPr>
        <w:t>竞争性磋商公告</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第二章</w:t>
      </w:r>
      <w:r>
        <w:rPr>
          <w:rFonts w:ascii="宋体" w:cs="宋体"/>
          <w:caps w:val="0"/>
          <w:w w:val="100"/>
          <w:sz w:val="32"/>
          <w:szCs w:val="32"/>
        </w:rPr>
        <w:t xml:space="preserve"> </w:t>
      </w:r>
      <w:r>
        <w:rPr>
          <w:rFonts w:hint="eastAsia" w:ascii="宋体" w:cs="宋体"/>
          <w:caps w:val="0"/>
          <w:w w:val="100"/>
          <w:sz w:val="32"/>
          <w:szCs w:val="32"/>
        </w:rPr>
        <w:t>磋商供应商须知</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第三章</w:t>
      </w:r>
      <w:r>
        <w:rPr>
          <w:rFonts w:ascii="宋体" w:cs="宋体"/>
          <w:caps w:val="0"/>
          <w:w w:val="100"/>
          <w:sz w:val="32"/>
          <w:szCs w:val="32"/>
        </w:rPr>
        <w:t xml:space="preserve"> </w:t>
      </w:r>
      <w:r>
        <w:rPr>
          <w:rFonts w:hint="eastAsia" w:ascii="宋体" w:cs="宋体"/>
          <w:caps w:val="0"/>
          <w:w w:val="100"/>
          <w:sz w:val="32"/>
          <w:szCs w:val="32"/>
        </w:rPr>
        <w:t>项目需求</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第四章</w:t>
      </w:r>
      <w:r>
        <w:rPr>
          <w:rFonts w:ascii="宋体" w:cs="宋体"/>
          <w:caps w:val="0"/>
          <w:w w:val="100"/>
          <w:sz w:val="32"/>
          <w:szCs w:val="32"/>
        </w:rPr>
        <w:t xml:space="preserve"> </w:t>
      </w:r>
      <w:r>
        <w:rPr>
          <w:rFonts w:hint="eastAsia" w:ascii="宋体" w:cs="宋体"/>
          <w:caps w:val="0"/>
          <w:w w:val="100"/>
          <w:sz w:val="32"/>
          <w:szCs w:val="32"/>
        </w:rPr>
        <w:t>评审方法和程序</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第五章</w:t>
      </w:r>
      <w:r>
        <w:rPr>
          <w:rFonts w:ascii="宋体" w:cs="宋体"/>
          <w:caps w:val="0"/>
          <w:w w:val="100"/>
          <w:sz w:val="32"/>
          <w:szCs w:val="32"/>
        </w:rPr>
        <w:t xml:space="preserve"> </w:t>
      </w:r>
      <w:r>
        <w:rPr>
          <w:rFonts w:hint="eastAsia" w:ascii="宋体" w:cs="宋体"/>
          <w:caps w:val="0"/>
          <w:w w:val="100"/>
          <w:sz w:val="32"/>
          <w:szCs w:val="32"/>
        </w:rPr>
        <w:t>合同主要条款</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第六章</w:t>
      </w:r>
      <w:r>
        <w:rPr>
          <w:rFonts w:ascii="宋体" w:cs="宋体"/>
          <w:caps w:val="0"/>
          <w:w w:val="100"/>
          <w:sz w:val="32"/>
          <w:szCs w:val="32"/>
        </w:rPr>
        <w:t xml:space="preserve"> </w:t>
      </w:r>
      <w:r>
        <w:rPr>
          <w:rFonts w:hint="eastAsia" w:ascii="宋体" w:cs="宋体"/>
          <w:caps w:val="0"/>
          <w:w w:val="100"/>
          <w:sz w:val="32"/>
          <w:szCs w:val="32"/>
        </w:rPr>
        <w:t>合同授予</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第七章</w:t>
      </w:r>
      <w:r>
        <w:rPr>
          <w:rFonts w:ascii="宋体" w:cs="宋体"/>
          <w:caps w:val="0"/>
          <w:w w:val="100"/>
          <w:sz w:val="32"/>
          <w:szCs w:val="32"/>
        </w:rPr>
        <w:t xml:space="preserve"> </w:t>
      </w:r>
      <w:r>
        <w:rPr>
          <w:rFonts w:hint="eastAsia" w:ascii="宋体" w:cs="宋体"/>
          <w:caps w:val="0"/>
          <w:w w:val="100"/>
          <w:sz w:val="32"/>
          <w:szCs w:val="32"/>
        </w:rPr>
        <w:t>质疑提出和处理</w:t>
      </w:r>
    </w:p>
    <w:p>
      <w:pPr>
        <w:pStyle w:val="34"/>
        <w:tabs>
          <w:tab w:val="right" w:leader="dot" w:pos="9528"/>
          <w:tab w:val="clear" w:pos="840"/>
          <w:tab w:val="clear" w:pos="9402"/>
        </w:tabs>
        <w:snapToGrid/>
        <w:spacing w:line="1200" w:lineRule="exact"/>
        <w:textAlignment w:val="baseline"/>
        <w:rPr>
          <w:rFonts w:ascii="宋体" w:cs="Times New Roman"/>
          <w:caps w:val="0"/>
          <w:w w:val="100"/>
          <w:sz w:val="32"/>
          <w:szCs w:val="32"/>
        </w:rPr>
      </w:pPr>
      <w:r>
        <w:rPr>
          <w:rFonts w:hint="eastAsia" w:ascii="宋体" w:cs="宋体"/>
          <w:caps w:val="0"/>
          <w:w w:val="100"/>
          <w:sz w:val="32"/>
          <w:szCs w:val="32"/>
        </w:rPr>
        <w:t>第八章</w:t>
      </w:r>
      <w:r>
        <w:rPr>
          <w:rFonts w:ascii="宋体" w:cs="宋体"/>
          <w:caps w:val="0"/>
          <w:w w:val="100"/>
          <w:sz w:val="32"/>
          <w:szCs w:val="32"/>
        </w:rPr>
        <w:t xml:space="preserve"> </w:t>
      </w:r>
      <w:r>
        <w:rPr>
          <w:rFonts w:hint="eastAsia" w:ascii="宋体" w:cs="宋体"/>
          <w:caps w:val="0"/>
          <w:w w:val="100"/>
          <w:sz w:val="32"/>
          <w:szCs w:val="32"/>
        </w:rPr>
        <w:t>响应文件组成及格式</w:t>
      </w:r>
    </w:p>
    <w:p>
      <w:pPr>
        <w:rPr>
          <w:rFonts w:ascii="宋体"/>
          <w:sz w:val="36"/>
          <w:szCs w:val="36"/>
        </w:rPr>
      </w:pPr>
    </w:p>
    <w:p>
      <w:pPr>
        <w:rPr>
          <w:rFonts w:ascii="宋体"/>
          <w:sz w:val="36"/>
          <w:szCs w:val="36"/>
        </w:rPr>
      </w:pPr>
    </w:p>
    <w:p>
      <w:pPr>
        <w:snapToGrid w:val="0"/>
        <w:spacing w:line="360" w:lineRule="auto"/>
        <w:rPr>
          <w:rFonts w:ascii="宋体"/>
          <w:b/>
          <w:bCs/>
          <w:sz w:val="24"/>
          <w:szCs w:val="24"/>
        </w:rPr>
      </w:pPr>
      <w:r>
        <w:rPr>
          <w:rFonts w:ascii="宋体"/>
          <w:b/>
          <w:bCs/>
        </w:rPr>
        <w:br w:type="page"/>
      </w:r>
      <w:r>
        <w:rPr>
          <w:rFonts w:hint="eastAsia" w:ascii="宋体" w:hAnsi="宋体" w:cs="宋体"/>
          <w:b/>
          <w:bCs/>
          <w:sz w:val="24"/>
          <w:szCs w:val="24"/>
        </w:rPr>
        <w:t>尊敬的磋商供应商：</w:t>
      </w:r>
    </w:p>
    <w:p>
      <w:pPr>
        <w:snapToGrid w:val="0"/>
        <w:spacing w:line="360" w:lineRule="auto"/>
        <w:ind w:firstLine="482" w:firstLineChars="200"/>
        <w:rPr>
          <w:rFonts w:ascii="宋体"/>
          <w:b/>
          <w:bCs/>
          <w:sz w:val="24"/>
          <w:szCs w:val="24"/>
        </w:rPr>
      </w:pPr>
      <w:r>
        <w:rPr>
          <w:rFonts w:hint="eastAsia" w:ascii="宋体" w:hAnsi="宋体" w:cs="宋体"/>
          <w:b/>
          <w:bCs/>
          <w:sz w:val="24"/>
          <w:szCs w:val="24"/>
        </w:rPr>
        <w:t>欢迎参加本采购项目的竞争性磋商。为了保证本次磋商项目顺利进行，请在制作响应文件之前，仔细阅读本竞争性磋商文件的各项条款，并按要求制作和递交响应文件。谢谢合作！</w:t>
      </w:r>
    </w:p>
    <w:p>
      <w:pPr>
        <w:pStyle w:val="25"/>
        <w:tabs>
          <w:tab w:val="left" w:pos="1050"/>
          <w:tab w:val="right" w:leader="dot" w:pos="9402"/>
        </w:tabs>
        <w:spacing w:line="360" w:lineRule="auto"/>
        <w:ind w:left="0"/>
        <w:jc w:val="center"/>
        <w:outlineLvl w:val="0"/>
        <w:rPr>
          <w:rFonts w:ascii="宋体"/>
          <w:b/>
          <w:bCs/>
          <w:i w:val="0"/>
          <w:iCs w:val="0"/>
          <w:sz w:val="44"/>
          <w:szCs w:val="44"/>
        </w:rPr>
      </w:pPr>
      <w:bookmarkStart w:id="10" w:name="_Toc363573853"/>
      <w:r>
        <w:rPr>
          <w:rFonts w:hint="eastAsia" w:ascii="宋体" w:hAnsi="宋体" w:cs="宋体"/>
          <w:b/>
          <w:bCs/>
          <w:i w:val="0"/>
          <w:iCs w:val="0"/>
          <w:w w:val="80"/>
          <w:sz w:val="44"/>
          <w:szCs w:val="44"/>
        </w:rPr>
        <w:t>第一章 竞争性磋商公</w:t>
      </w:r>
      <w:bookmarkEnd w:id="0"/>
      <w:bookmarkEnd w:id="1"/>
      <w:bookmarkEnd w:id="2"/>
      <w:bookmarkEnd w:id="3"/>
      <w:bookmarkEnd w:id="4"/>
      <w:bookmarkEnd w:id="5"/>
      <w:bookmarkEnd w:id="6"/>
      <w:bookmarkEnd w:id="7"/>
      <w:bookmarkEnd w:id="8"/>
      <w:bookmarkEnd w:id="9"/>
      <w:r>
        <w:rPr>
          <w:rFonts w:hint="eastAsia" w:ascii="宋体" w:hAnsi="宋体" w:cs="宋体"/>
          <w:b/>
          <w:bCs/>
          <w:i w:val="0"/>
          <w:iCs w:val="0"/>
          <w:w w:val="80"/>
          <w:sz w:val="44"/>
          <w:szCs w:val="44"/>
        </w:rPr>
        <w:t>告</w:t>
      </w:r>
      <w:bookmarkEnd w:id="10"/>
    </w:p>
    <w:p>
      <w:pPr>
        <w:snapToGrid w:val="0"/>
        <w:spacing w:line="360" w:lineRule="auto"/>
        <w:ind w:firstLine="480" w:firstLineChars="200"/>
        <w:textAlignment w:val="baseline"/>
        <w:rPr>
          <w:rFonts w:ascii="宋体" w:hAnsi="宋体" w:cs="宋体"/>
          <w:sz w:val="24"/>
          <w:szCs w:val="24"/>
        </w:rPr>
      </w:pPr>
      <w:r>
        <w:rPr>
          <w:rFonts w:hint="eastAsia" w:ascii="宋体" w:hAnsi="宋体" w:cs="宋体"/>
          <w:sz w:val="24"/>
          <w:szCs w:val="24"/>
        </w:rPr>
        <w:t>项目概况</w:t>
      </w:r>
    </w:p>
    <w:p>
      <w:pPr>
        <w:widowControl/>
        <w:snapToGrid w:val="0"/>
        <w:spacing w:line="360" w:lineRule="auto"/>
        <w:ind w:firstLine="470" w:firstLineChars="196"/>
        <w:jc w:val="left"/>
      </w:pPr>
      <w:r>
        <w:rPr>
          <w:rFonts w:hint="eastAsia" w:ascii="宋体" w:hAnsi="宋体" w:cs="宋体"/>
          <w:bCs/>
          <w:sz w:val="24"/>
          <w:szCs w:val="24"/>
          <w:u w:val="single" w:color="000000"/>
          <w:lang w:eastAsia="zh-CN"/>
        </w:rPr>
        <w:t>南通市妇幼保健院污水、废气检测服务项目</w:t>
      </w:r>
      <w:r>
        <w:rPr>
          <w:rFonts w:hint="eastAsia" w:ascii="宋体" w:hAnsi="宋体" w:cs="宋体"/>
          <w:sz w:val="24"/>
          <w:szCs w:val="24"/>
        </w:rPr>
        <w:t>的潜在供应商应在</w:t>
      </w:r>
      <w:r>
        <w:rPr>
          <w:rFonts w:hint="eastAsia" w:ascii="宋体" w:hAnsi="宋体" w:cs="宋体"/>
          <w:sz w:val="24"/>
          <w:szCs w:val="24"/>
          <w:u w:val="single"/>
        </w:rPr>
        <w:t>南通市卫生健康委员会官网（http://wjw.nantong.gov.cn）和南通市妇幼保健院官网（http://www.ntfybj.com）</w:t>
      </w:r>
      <w:r>
        <w:rPr>
          <w:rFonts w:hint="eastAsia" w:ascii="宋体" w:hAnsi="宋体" w:cs="宋体"/>
          <w:sz w:val="24"/>
          <w:szCs w:val="24"/>
        </w:rPr>
        <w:t>获取采购文件，并于</w:t>
      </w:r>
      <w:r>
        <w:rPr>
          <w:rFonts w:hint="eastAsia" w:ascii="宋体" w:hAnsi="宋体" w:cs="宋体"/>
          <w:b/>
          <w:bCs/>
          <w:color w:val="auto"/>
          <w:sz w:val="24"/>
          <w:szCs w:val="24"/>
          <w:u w:val="single" w:color="000000"/>
        </w:rPr>
        <w:t xml:space="preserve"> 202</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年</w:t>
      </w:r>
      <w:r>
        <w:rPr>
          <w:rFonts w:hint="eastAsia" w:ascii="宋体" w:hAnsi="宋体" w:cs="宋体"/>
          <w:b/>
          <w:bCs/>
          <w:color w:val="auto"/>
          <w:sz w:val="24"/>
          <w:szCs w:val="24"/>
          <w:u w:val="single" w:color="000000"/>
          <w:lang w:val="en-US" w:eastAsia="zh-CN"/>
        </w:rPr>
        <w:t>11</w:t>
      </w:r>
      <w:r>
        <w:rPr>
          <w:rFonts w:hint="eastAsia" w:ascii="宋体" w:hAnsi="宋体" w:cs="宋体"/>
          <w:b/>
          <w:bCs/>
          <w:color w:val="auto"/>
          <w:sz w:val="24"/>
          <w:szCs w:val="24"/>
          <w:u w:val="single" w:color="000000"/>
        </w:rPr>
        <w:t>月</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日</w:t>
      </w:r>
      <w:r>
        <w:rPr>
          <w:rFonts w:hint="eastAsia" w:ascii="宋体" w:hAnsi="宋体" w:cs="宋体"/>
          <w:b/>
          <w:bCs/>
          <w:color w:val="auto"/>
          <w:sz w:val="24"/>
          <w:szCs w:val="24"/>
          <w:u w:val="single" w:color="000000"/>
          <w:lang w:eastAsia="zh-CN"/>
        </w:rPr>
        <w:t>下午</w:t>
      </w:r>
      <w:r>
        <w:rPr>
          <w:rFonts w:hint="eastAsia" w:ascii="宋体" w:hAnsi="宋体" w:cs="宋体"/>
          <w:b/>
          <w:bCs/>
          <w:color w:val="auto"/>
          <w:sz w:val="24"/>
          <w:szCs w:val="24"/>
          <w:u w:val="single" w:color="000000"/>
          <w:lang w:val="en-US" w:eastAsia="zh-CN"/>
        </w:rPr>
        <w:t>14</w:t>
      </w:r>
      <w:r>
        <w:rPr>
          <w:rFonts w:hint="eastAsia" w:ascii="宋体" w:hAnsi="宋体" w:cs="宋体"/>
          <w:b/>
          <w:bCs/>
          <w:color w:val="auto"/>
          <w:sz w:val="24"/>
          <w:szCs w:val="24"/>
          <w:u w:val="single" w:color="000000"/>
        </w:rPr>
        <w:t>点</w:t>
      </w:r>
      <w:r>
        <w:rPr>
          <w:rFonts w:hint="eastAsia" w:ascii="宋体" w:hAnsi="宋体" w:cs="宋体"/>
          <w:b/>
          <w:bCs/>
          <w:color w:val="auto"/>
          <w:sz w:val="24"/>
          <w:szCs w:val="24"/>
          <w:u w:val="single" w:color="000000"/>
          <w:lang w:val="en-US" w:eastAsia="zh-CN"/>
        </w:rPr>
        <w:t>00</w:t>
      </w:r>
      <w:r>
        <w:rPr>
          <w:rFonts w:hint="eastAsia" w:ascii="宋体" w:hAnsi="宋体" w:cs="宋体"/>
          <w:b/>
          <w:bCs/>
          <w:color w:val="auto"/>
          <w:sz w:val="24"/>
          <w:szCs w:val="24"/>
          <w:u w:val="single" w:color="000000"/>
        </w:rPr>
        <w:t>分</w:t>
      </w:r>
      <w:r>
        <w:rPr>
          <w:rFonts w:hint="eastAsia" w:ascii="宋体" w:hAnsi="宋体" w:cs="宋体"/>
          <w:bCs/>
          <w:color w:val="auto"/>
          <w:sz w:val="24"/>
          <w:szCs w:val="24"/>
        </w:rPr>
        <w:t>（</w:t>
      </w:r>
      <w:r>
        <w:rPr>
          <w:rFonts w:hint="eastAsia" w:ascii="宋体" w:hAnsi="宋体" w:cs="宋体"/>
          <w:bCs/>
          <w:sz w:val="24"/>
          <w:szCs w:val="24"/>
        </w:rPr>
        <w:t>北京时间）前提交响应文件</w:t>
      </w:r>
      <w:r>
        <w:rPr>
          <w:rFonts w:hint="eastAsia" w:ascii="宋体" w:hAnsi="宋体" w:cs="宋体"/>
          <w:sz w:val="24"/>
          <w:szCs w:val="24"/>
        </w:rPr>
        <w:t>。</w:t>
      </w:r>
    </w:p>
    <w:p>
      <w:pPr>
        <w:pStyle w:val="7"/>
        <w:snapToGrid w:val="0"/>
        <w:spacing w:before="0" w:after="0" w:line="360" w:lineRule="auto"/>
        <w:rPr>
          <w:rFonts w:hint="eastAsia" w:ascii="宋体" w:hAnsi="宋体" w:eastAsia="宋体" w:cs="宋体"/>
          <w:sz w:val="24"/>
          <w:szCs w:val="24"/>
        </w:rPr>
      </w:pPr>
      <w:r>
        <w:rPr>
          <w:rFonts w:hint="eastAsia" w:ascii="宋体" w:hAnsi="宋体" w:eastAsia="宋体" w:cs="宋体"/>
          <w:sz w:val="24"/>
          <w:szCs w:val="24"/>
        </w:rPr>
        <w:t>一、项目基本情况</w:t>
      </w:r>
    </w:p>
    <w:p>
      <w:pPr>
        <w:snapToGrid w:val="0"/>
        <w:spacing w:line="360" w:lineRule="auto"/>
        <w:ind w:firstLine="480" w:firstLineChars="200"/>
        <w:textAlignment w:val="baseline"/>
        <w:rPr>
          <w:rFonts w:hint="eastAsia" w:ascii="宋体" w:hAnsi="宋体" w:eastAsia="宋体" w:cs="宋体"/>
          <w:sz w:val="24"/>
          <w:szCs w:val="24"/>
          <w:lang w:eastAsia="zh-CN"/>
        </w:rPr>
      </w:pPr>
      <w:r>
        <w:rPr>
          <w:rFonts w:hint="eastAsia" w:ascii="宋体" w:hAnsi="宋体" w:cs="宋体"/>
          <w:sz w:val="24"/>
          <w:szCs w:val="24"/>
        </w:rPr>
        <w:t>项目名称：</w:t>
      </w:r>
      <w:r>
        <w:rPr>
          <w:rFonts w:hint="eastAsia" w:ascii="宋体" w:hAnsi="宋体" w:cs="宋体"/>
          <w:sz w:val="24"/>
          <w:szCs w:val="24"/>
          <w:lang w:eastAsia="zh-CN"/>
        </w:rPr>
        <w:t>南通市妇幼保健院污水、废气检测服务项目</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采购方式：竞争性磋商</w:t>
      </w:r>
    </w:p>
    <w:p>
      <w:pPr>
        <w:snapToGrid w:val="0"/>
        <w:spacing w:line="360" w:lineRule="auto"/>
        <w:ind w:firstLine="480" w:firstLineChars="200"/>
        <w:textAlignment w:val="baseline"/>
        <w:rPr>
          <w:rFonts w:hint="eastAsia" w:ascii="宋体" w:hAnsi="宋体" w:eastAsia="宋体" w:cs="宋体"/>
          <w:color w:val="auto"/>
          <w:sz w:val="24"/>
          <w:szCs w:val="24"/>
        </w:rPr>
      </w:pPr>
      <w:r>
        <w:rPr>
          <w:rFonts w:hint="eastAsia" w:ascii="宋体" w:hAnsi="宋体" w:cs="宋体"/>
          <w:sz w:val="24"/>
          <w:szCs w:val="24"/>
        </w:rPr>
        <w:t>预算金额</w:t>
      </w:r>
      <w:r>
        <w:rPr>
          <w:rFonts w:hint="eastAsia" w:ascii="宋体" w:hAnsi="宋体" w:cs="宋体"/>
          <w:color w:val="auto"/>
          <w:sz w:val="24"/>
          <w:szCs w:val="24"/>
        </w:rPr>
        <w:t>：</w:t>
      </w:r>
      <w:r>
        <w:rPr>
          <w:rFonts w:hint="eastAsia" w:ascii="宋体" w:hAnsi="宋体" w:eastAsia="宋体" w:cs="宋体"/>
          <w:color w:val="auto"/>
          <w:sz w:val="24"/>
          <w:szCs w:val="24"/>
        </w:rPr>
        <w:t>人民币</w:t>
      </w:r>
      <w:r>
        <w:rPr>
          <w:rFonts w:hint="eastAsia" w:ascii="宋体" w:hAnsi="宋体" w:cs="宋体"/>
          <w:color w:val="auto"/>
          <w:sz w:val="24"/>
          <w:szCs w:val="24"/>
          <w:lang w:val="en-US" w:eastAsia="zh-CN"/>
        </w:rPr>
        <w:t>6.5万</w:t>
      </w:r>
      <w:r>
        <w:rPr>
          <w:rFonts w:hint="eastAsia" w:ascii="宋体" w:hAnsi="宋体" w:eastAsia="宋体" w:cs="宋体"/>
          <w:color w:val="auto"/>
          <w:sz w:val="24"/>
          <w:szCs w:val="24"/>
        </w:rPr>
        <w:t>元/年</w:t>
      </w:r>
    </w:p>
    <w:p>
      <w:pPr>
        <w:snapToGrid w:val="0"/>
        <w:spacing w:line="360" w:lineRule="auto"/>
        <w:ind w:firstLine="480" w:firstLineChars="200"/>
        <w:textAlignment w:val="baseline"/>
        <w:rPr>
          <w:rFonts w:hint="eastAsia" w:ascii="宋体" w:hAnsi="宋体" w:cs="宋体"/>
          <w:color w:val="auto"/>
          <w:sz w:val="24"/>
          <w:szCs w:val="24"/>
          <w:u w:val="single"/>
        </w:rPr>
      </w:pPr>
      <w:r>
        <w:rPr>
          <w:rFonts w:hint="eastAsia" w:ascii="宋体" w:hAnsi="宋体" w:cs="宋体"/>
          <w:color w:val="auto"/>
          <w:sz w:val="24"/>
          <w:szCs w:val="24"/>
        </w:rPr>
        <w:t>采购需求：详见第三章项目需求</w:t>
      </w:r>
    </w:p>
    <w:p>
      <w:pPr>
        <w:snapToGrid w:val="0"/>
        <w:spacing w:line="360" w:lineRule="auto"/>
        <w:ind w:firstLine="480" w:firstLineChars="200"/>
        <w:rPr>
          <w:rFonts w:hint="eastAsia" w:ascii="宋体" w:hAnsi="宋体" w:cs="宋体"/>
          <w:color w:val="auto"/>
          <w:sz w:val="24"/>
          <w:szCs w:val="24"/>
          <w:u w:val="single"/>
        </w:rPr>
      </w:pPr>
      <w:r>
        <w:rPr>
          <w:rFonts w:hint="eastAsia" w:ascii="宋体" w:hAnsi="宋体" w:cs="宋体"/>
          <w:color w:val="auto"/>
          <w:sz w:val="24"/>
          <w:szCs w:val="24"/>
        </w:rPr>
        <w:t>合同履行期限：本项目合同服务期暂定三年，</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预计自2022年11月至2025年11月</w:t>
      </w:r>
      <w:r>
        <w:rPr>
          <w:rFonts w:hint="eastAsia" w:ascii="宋体" w:hAnsi="宋体" w:cs="宋体"/>
          <w:color w:val="auto"/>
          <w:sz w:val="24"/>
          <w:szCs w:val="24"/>
          <w:lang w:eastAsia="zh-CN"/>
        </w:rPr>
        <w:t>）</w:t>
      </w:r>
      <w:r>
        <w:rPr>
          <w:rFonts w:hint="eastAsia" w:ascii="宋体" w:hAnsi="宋体" w:cs="宋体"/>
          <w:color w:val="auto"/>
          <w:sz w:val="24"/>
          <w:szCs w:val="24"/>
        </w:rPr>
        <w:t>但合同一年一签。如成交供应商在合同期内履约情况优秀（即年度综合考核得分≥90分），则在第一年合同期满时，且采购人、成交供应商双方愿意，成交供应商承诺不增加服务费用的前提下，双方可续签下一年度合同，但最多续签两次。如成交供应商在合同期内年度综合考核得分＜90</w:t>
      </w:r>
      <w:r>
        <w:rPr>
          <w:rFonts w:hint="eastAsia" w:ascii="宋体" w:hAnsi="宋体" w:cs="宋体"/>
          <w:color w:val="auto"/>
          <w:sz w:val="24"/>
          <w:lang w:val="en-US" w:eastAsia="zh-CN"/>
        </w:rPr>
        <w:t>分</w:t>
      </w:r>
      <w:r>
        <w:rPr>
          <w:rFonts w:hint="eastAsia" w:ascii="宋体" w:hAnsi="宋体" w:cs="宋体"/>
          <w:color w:val="auto"/>
          <w:sz w:val="24"/>
          <w:szCs w:val="24"/>
        </w:rPr>
        <w:t>，则采购人不再与成交供应商续签合同。</w:t>
      </w:r>
    </w:p>
    <w:p>
      <w:pPr>
        <w:snapToGrid w:val="0"/>
        <w:spacing w:line="360" w:lineRule="auto"/>
        <w:ind w:firstLine="508" w:firstLineChars="200"/>
        <w:textAlignment w:val="baseline"/>
        <w:rPr>
          <w:rFonts w:hint="eastAsia" w:ascii="宋体" w:hAnsi="宋体" w:cs="宋体"/>
          <w:color w:val="auto"/>
          <w:sz w:val="24"/>
          <w:szCs w:val="24"/>
        </w:rPr>
      </w:pPr>
      <w:r>
        <w:rPr>
          <w:rFonts w:hint="eastAsia" w:ascii="宋体" w:hAnsi="宋体" w:cs="宋体"/>
          <w:color w:val="auto"/>
          <w:spacing w:val="7"/>
          <w:sz w:val="24"/>
          <w:szCs w:val="24"/>
          <w:shd w:val="clear" w:color="auto" w:fill="FFFFFF"/>
        </w:rPr>
        <w:t>本项目不接受联合体。</w:t>
      </w:r>
    </w:p>
    <w:p>
      <w:pPr>
        <w:pStyle w:val="7"/>
        <w:snapToGrid w:val="0"/>
        <w:spacing w:before="0" w:after="0" w:line="360" w:lineRule="auto"/>
        <w:rPr>
          <w:rFonts w:hint="eastAsia" w:ascii="宋体" w:hAnsi="宋体" w:eastAsia="宋体" w:cs="宋体"/>
          <w:sz w:val="24"/>
          <w:szCs w:val="24"/>
        </w:rPr>
      </w:pPr>
      <w:r>
        <w:rPr>
          <w:rFonts w:hint="eastAsia" w:ascii="宋体" w:hAnsi="宋体" w:eastAsia="宋体" w:cs="宋体"/>
          <w:sz w:val="24"/>
          <w:szCs w:val="24"/>
        </w:rPr>
        <w:t>二、申请人的资格要求：</w:t>
      </w:r>
    </w:p>
    <w:p>
      <w:pPr>
        <w:snapToGrid w:val="0"/>
        <w:spacing w:line="360" w:lineRule="auto"/>
        <w:ind w:firstLine="480" w:firstLineChars="200"/>
        <w:jc w:val="left"/>
        <w:rPr>
          <w:sz w:val="24"/>
          <w:szCs w:val="21"/>
          <w:lang w:val="zh-CN"/>
        </w:rPr>
      </w:pPr>
      <w:r>
        <w:rPr>
          <w:rFonts w:hint="eastAsia"/>
          <w:sz w:val="24"/>
          <w:szCs w:val="21"/>
          <w:lang w:val="zh-CN"/>
        </w:rPr>
        <w:t>(一)符合政府采购法第二十二条规定的条件，并提供下列材料：</w:t>
      </w:r>
    </w:p>
    <w:p>
      <w:pPr>
        <w:snapToGrid w:val="0"/>
        <w:spacing w:line="360" w:lineRule="auto"/>
        <w:ind w:firstLine="480" w:firstLineChars="200"/>
        <w:jc w:val="left"/>
        <w:rPr>
          <w:sz w:val="24"/>
          <w:szCs w:val="21"/>
          <w:lang w:val="zh-CN"/>
        </w:rPr>
      </w:pPr>
      <w:r>
        <w:rPr>
          <w:rFonts w:hint="eastAsia"/>
          <w:sz w:val="24"/>
          <w:szCs w:val="21"/>
          <w:lang w:val="zh-CN"/>
        </w:rPr>
        <w:t>1、法人或者其他组织的营业执照等证明文件，自然人的身份证明；</w:t>
      </w:r>
    </w:p>
    <w:p>
      <w:pPr>
        <w:snapToGrid w:val="0"/>
        <w:spacing w:line="360" w:lineRule="auto"/>
        <w:ind w:firstLine="480" w:firstLineChars="200"/>
        <w:jc w:val="left"/>
        <w:rPr>
          <w:sz w:val="24"/>
          <w:szCs w:val="21"/>
          <w:lang w:val="zh-CN"/>
        </w:rPr>
      </w:pPr>
      <w:r>
        <w:rPr>
          <w:rFonts w:hint="eastAsia"/>
          <w:sz w:val="24"/>
          <w:szCs w:val="21"/>
          <w:lang w:val="zh-CN"/>
        </w:rPr>
        <w:t>2、上一年度的财务状况报告（成立不满一年不需提供）；</w:t>
      </w:r>
    </w:p>
    <w:p>
      <w:pPr>
        <w:snapToGrid w:val="0"/>
        <w:spacing w:line="360" w:lineRule="auto"/>
        <w:ind w:firstLine="480" w:firstLineChars="200"/>
        <w:jc w:val="left"/>
        <w:rPr>
          <w:sz w:val="24"/>
          <w:szCs w:val="21"/>
          <w:lang w:val="zh-CN"/>
        </w:rPr>
      </w:pPr>
      <w:r>
        <w:rPr>
          <w:rFonts w:hint="eastAsia"/>
          <w:sz w:val="24"/>
          <w:szCs w:val="21"/>
          <w:lang w:val="zh-CN"/>
        </w:rPr>
        <w:t>3、依法缴纳税收和社会保障资金的相关材料；</w:t>
      </w:r>
    </w:p>
    <w:p>
      <w:pPr>
        <w:snapToGrid w:val="0"/>
        <w:spacing w:line="360" w:lineRule="auto"/>
        <w:ind w:firstLine="480" w:firstLineChars="200"/>
        <w:jc w:val="left"/>
        <w:rPr>
          <w:sz w:val="24"/>
          <w:szCs w:val="21"/>
          <w:lang w:val="zh-CN"/>
        </w:rPr>
      </w:pPr>
      <w:r>
        <w:rPr>
          <w:rFonts w:hint="eastAsia"/>
          <w:sz w:val="24"/>
          <w:szCs w:val="21"/>
          <w:lang w:val="zh-CN"/>
        </w:rPr>
        <w:t>4、具备履行合同所必需的设备和专业技术能力的证明材料；</w:t>
      </w:r>
    </w:p>
    <w:p>
      <w:pPr>
        <w:snapToGrid w:val="0"/>
        <w:spacing w:line="360" w:lineRule="auto"/>
        <w:ind w:firstLine="480" w:firstLineChars="200"/>
        <w:jc w:val="left"/>
        <w:rPr>
          <w:sz w:val="24"/>
          <w:szCs w:val="21"/>
          <w:lang w:val="zh-CN"/>
        </w:rPr>
      </w:pPr>
      <w:r>
        <w:rPr>
          <w:rFonts w:hint="eastAsia"/>
          <w:sz w:val="24"/>
          <w:szCs w:val="21"/>
          <w:lang w:val="zh-CN"/>
        </w:rPr>
        <w:t>5、参加政府采购活动前3年内在经营活动中没有重大违法记录的书面声明；</w:t>
      </w:r>
    </w:p>
    <w:p>
      <w:pPr>
        <w:snapToGrid w:val="0"/>
        <w:spacing w:line="360" w:lineRule="auto"/>
        <w:ind w:firstLine="480" w:firstLineChars="200"/>
        <w:jc w:val="left"/>
        <w:rPr>
          <w:sz w:val="24"/>
          <w:szCs w:val="21"/>
          <w:lang w:val="zh-CN"/>
        </w:rPr>
      </w:pPr>
      <w:r>
        <w:rPr>
          <w:rFonts w:hint="eastAsia"/>
          <w:sz w:val="24"/>
          <w:szCs w:val="21"/>
          <w:lang w:val="zh-CN"/>
        </w:rPr>
        <w:t>(二)招标人其他要求</w:t>
      </w:r>
    </w:p>
    <w:p>
      <w:pPr>
        <w:snapToGrid w:val="0"/>
        <w:spacing w:line="360" w:lineRule="auto"/>
        <w:ind w:firstLine="480" w:firstLineChars="200"/>
        <w:jc w:val="left"/>
        <w:rPr>
          <w:sz w:val="24"/>
          <w:szCs w:val="21"/>
          <w:lang w:val="zh-CN"/>
        </w:rPr>
      </w:pPr>
      <w:r>
        <w:rPr>
          <w:rFonts w:hint="eastAsia"/>
          <w:sz w:val="24"/>
          <w:szCs w:val="21"/>
          <w:lang w:val="zh-CN"/>
        </w:rPr>
        <w:t>6、投标人必须是在中华人民共和国境内注册的独立法人，能独立承担民事责任，具有从事本项目的经营范围和能力；</w:t>
      </w:r>
    </w:p>
    <w:p>
      <w:pPr>
        <w:snapToGrid w:val="0"/>
        <w:spacing w:line="360" w:lineRule="auto"/>
        <w:ind w:firstLine="480" w:firstLineChars="200"/>
        <w:jc w:val="left"/>
        <w:rPr>
          <w:sz w:val="24"/>
          <w:szCs w:val="21"/>
          <w:lang w:val="zh-CN"/>
        </w:rPr>
      </w:pPr>
      <w:r>
        <w:rPr>
          <w:rFonts w:hint="eastAsia"/>
          <w:sz w:val="24"/>
          <w:szCs w:val="21"/>
          <w:lang w:val="zh-CN"/>
        </w:rPr>
        <w:t>7</w:t>
      </w:r>
      <w:r>
        <w:rPr>
          <w:sz w:val="24"/>
          <w:szCs w:val="21"/>
          <w:lang w:val="zh-CN"/>
        </w:rPr>
        <w:t>、</w:t>
      </w:r>
      <w:r>
        <w:rPr>
          <w:rFonts w:hint="eastAsia"/>
          <w:sz w:val="24"/>
          <w:szCs w:val="21"/>
          <w:lang w:val="zh-CN"/>
        </w:rPr>
        <w:t>有</w:t>
      </w:r>
      <w:r>
        <w:rPr>
          <w:sz w:val="24"/>
          <w:szCs w:val="21"/>
          <w:lang w:val="zh-CN"/>
        </w:rPr>
        <w:t>独立的实验室，</w:t>
      </w:r>
      <w:r>
        <w:rPr>
          <w:rFonts w:hint="eastAsia"/>
          <w:sz w:val="24"/>
          <w:szCs w:val="21"/>
          <w:lang w:val="zh-CN"/>
        </w:rPr>
        <w:t>具有国家或江苏省环境类检测资质《资质认定计量认证证书》（CMA）；</w:t>
      </w:r>
    </w:p>
    <w:p>
      <w:pPr>
        <w:snapToGrid w:val="0"/>
        <w:spacing w:line="360" w:lineRule="auto"/>
        <w:ind w:firstLine="480" w:firstLineChars="200"/>
        <w:jc w:val="left"/>
        <w:rPr>
          <w:sz w:val="24"/>
          <w:szCs w:val="21"/>
          <w:lang w:val="zh-CN"/>
        </w:rPr>
      </w:pPr>
      <w:r>
        <w:rPr>
          <w:rFonts w:hint="eastAsia"/>
          <w:sz w:val="24"/>
          <w:szCs w:val="21"/>
          <w:lang w:val="en-US" w:eastAsia="zh-CN"/>
        </w:rPr>
        <w:t>8</w:t>
      </w:r>
      <w:r>
        <w:rPr>
          <w:rFonts w:hint="eastAsia"/>
          <w:sz w:val="24"/>
          <w:szCs w:val="21"/>
          <w:lang w:val="zh-CN"/>
        </w:rPr>
        <w:t>、</w:t>
      </w:r>
      <w:r>
        <w:rPr>
          <w:sz w:val="24"/>
          <w:szCs w:val="21"/>
          <w:lang w:val="zh-CN"/>
        </w:rPr>
        <w:t>本项目不接受联合体投标。</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w:t>
      </w:r>
      <w:r>
        <w:rPr>
          <w:rFonts w:hint="eastAsia" w:ascii="宋体" w:hAnsi="宋体" w:cs="宋体"/>
          <w:sz w:val="24"/>
          <w:szCs w:val="24"/>
          <w:lang w:eastAsia="zh-CN"/>
        </w:rPr>
        <w:t>三</w:t>
      </w:r>
      <w:r>
        <w:rPr>
          <w:rFonts w:hint="eastAsia" w:ascii="宋体" w:hAnsi="宋体" w:cs="宋体"/>
          <w:sz w:val="24"/>
          <w:szCs w:val="24"/>
        </w:rPr>
        <w:t>）落实政府采购政策需满足的资格要求：无</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特别提醒】请各供应商认真对照资格要求，如不符合要求，无意或故意参与磋商的，所产生的一切后果由供应商承担。若供应商提供的相关材料为虚假或伪造，将作无效响应处理，并报财政部门将其列入政府采购黑名单。</w:t>
      </w:r>
    </w:p>
    <w:p>
      <w:pPr>
        <w:pStyle w:val="2"/>
        <w:snapToGrid w:val="0"/>
        <w:spacing w:after="0" w:line="360" w:lineRule="auto"/>
        <w:ind w:firstLine="482"/>
        <w:textAlignment w:val="baseline"/>
        <w:rPr>
          <w:rFonts w:hint="eastAsia" w:ascii="宋体" w:hAnsi="宋体" w:cs="宋体"/>
          <w:b/>
          <w:bCs/>
          <w:color w:val="333333"/>
          <w:kern w:val="0"/>
          <w:sz w:val="24"/>
          <w:szCs w:val="24"/>
        </w:rPr>
      </w:pPr>
      <w:r>
        <w:rPr>
          <w:rFonts w:hint="eastAsia" w:ascii="宋体" w:hAnsi="宋体" w:cs="宋体"/>
          <w:b/>
          <w:bCs/>
          <w:color w:val="333333"/>
          <w:kern w:val="0"/>
          <w:sz w:val="24"/>
          <w:szCs w:val="24"/>
        </w:rPr>
        <w:t>磋商供应商应依照规定提交各类声明函、承诺函，不再同时提供原件备查或提供有关部门出具的相关证明文件。但成交供应商，应做好提交声明函、承诺函相应原件的核查准备；核查后发现虚假或违背承诺的，依照相关法律法规规定处理。</w:t>
      </w:r>
    </w:p>
    <w:p>
      <w:pPr>
        <w:pStyle w:val="2"/>
        <w:snapToGrid w:val="0"/>
        <w:spacing w:after="0" w:line="360" w:lineRule="auto"/>
        <w:ind w:firstLine="482"/>
        <w:textAlignment w:val="baseline"/>
        <w:rPr>
          <w:rFonts w:hint="eastAsia" w:ascii="宋体" w:hAnsi="宋体" w:cs="宋体"/>
          <w:b/>
          <w:bCs/>
          <w:sz w:val="24"/>
          <w:szCs w:val="24"/>
        </w:rPr>
      </w:pPr>
      <w:r>
        <w:rPr>
          <w:rFonts w:hint="eastAsia" w:ascii="宋体" w:hAnsi="宋体" w:eastAsia="宋体" w:cs="宋体"/>
          <w:b/>
          <w:bCs/>
          <w:color w:val="333333"/>
          <w:kern w:val="0"/>
          <w:sz w:val="24"/>
          <w:szCs w:val="24"/>
        </w:rPr>
        <w:t>法定代表人为同一个人的两个及两个以上法人，母公司、全资子公司及其控股公司，都不得在同一采购项目相同标段中同时参加投标，一经发现，将视同围标处理。单位负责人为同一人或者存在直接控股、管理关系</w:t>
      </w:r>
      <w:r>
        <w:rPr>
          <w:rFonts w:hint="eastAsia" w:ascii="宋体" w:hAnsi="宋体" w:cs="宋体"/>
          <w:b/>
          <w:bCs/>
          <w:color w:val="333333"/>
          <w:kern w:val="0"/>
          <w:sz w:val="24"/>
          <w:szCs w:val="24"/>
        </w:rPr>
        <w:t>的不同供应商，不得同时参与同一采购项目相同标段的政府采购活动；为采购项目提供整体设计、规范编制或者项目管理、监理、检测等服务的供应商，不得再参加该采购项目的其他磋商活动</w:t>
      </w:r>
      <w:r>
        <w:rPr>
          <w:rFonts w:hint="eastAsia" w:ascii="宋体" w:hAnsi="宋体" w:cs="宋体"/>
          <w:b/>
          <w:bCs/>
          <w:sz w:val="24"/>
          <w:szCs w:val="24"/>
        </w:rPr>
        <w:t>；如发现供应商递交的资格后审材料有弄虚作假行为，该供应商将记入不良记录，并上报有关部门，如已中标，采购人有权取消其中标资格，并由该供应商承担由此带来可能的一切责任和损失</w:t>
      </w:r>
      <w:r>
        <w:rPr>
          <w:rFonts w:hint="eastAsia" w:ascii="宋体" w:hAnsi="宋体" w:cs="宋体"/>
          <w:b/>
          <w:bCs/>
          <w:color w:val="333333"/>
          <w:kern w:val="0"/>
          <w:sz w:val="24"/>
          <w:szCs w:val="24"/>
        </w:rPr>
        <w:t>。</w:t>
      </w:r>
    </w:p>
    <w:p>
      <w:pPr>
        <w:pStyle w:val="7"/>
        <w:snapToGrid w:val="0"/>
        <w:spacing w:before="0" w:after="0" w:line="360" w:lineRule="auto"/>
        <w:rPr>
          <w:rFonts w:hint="eastAsia" w:ascii="宋体" w:hAnsi="宋体" w:eastAsia="宋体" w:cs="宋体"/>
          <w:sz w:val="24"/>
          <w:szCs w:val="24"/>
        </w:rPr>
      </w:pPr>
      <w:r>
        <w:rPr>
          <w:rFonts w:hint="eastAsia" w:ascii="宋体" w:hAnsi="宋体" w:eastAsia="宋体" w:cs="宋体"/>
          <w:sz w:val="24"/>
          <w:szCs w:val="24"/>
        </w:rPr>
        <w:t>三、获取采购文件</w:t>
      </w:r>
    </w:p>
    <w:p>
      <w:pPr>
        <w:snapToGrid w:val="0"/>
        <w:spacing w:line="360" w:lineRule="auto"/>
        <w:ind w:firstLine="540"/>
        <w:textAlignment w:val="baseline"/>
        <w:rPr>
          <w:rFonts w:hint="eastAsia" w:ascii="宋体" w:hAnsi="宋体" w:cs="宋体"/>
          <w:b/>
          <w:bCs/>
          <w:color w:val="auto"/>
          <w:sz w:val="24"/>
          <w:szCs w:val="24"/>
        </w:rPr>
      </w:pPr>
      <w:r>
        <w:rPr>
          <w:rFonts w:hint="eastAsia" w:ascii="宋体" w:hAnsi="宋体" w:cs="宋体"/>
          <w:b/>
          <w:bCs/>
          <w:color w:val="auto"/>
          <w:sz w:val="24"/>
          <w:szCs w:val="24"/>
        </w:rPr>
        <w:t>时  间：</w:t>
      </w:r>
      <w:r>
        <w:rPr>
          <w:rFonts w:hint="eastAsia" w:ascii="宋体" w:hAnsi="宋体" w:cs="宋体"/>
          <w:b/>
          <w:bCs/>
          <w:color w:val="auto"/>
          <w:sz w:val="24"/>
          <w:szCs w:val="24"/>
          <w:u w:val="single"/>
        </w:rPr>
        <w:t>自公告发布之日起</w:t>
      </w:r>
      <w:r>
        <w:rPr>
          <w:rFonts w:hint="eastAsia" w:ascii="宋体" w:hAnsi="宋体" w:cs="宋体"/>
          <w:b/>
          <w:bCs/>
          <w:color w:val="auto"/>
          <w:sz w:val="24"/>
          <w:szCs w:val="24"/>
        </w:rPr>
        <w:t>至</w:t>
      </w:r>
      <w:r>
        <w:rPr>
          <w:rFonts w:hint="eastAsia" w:ascii="宋体" w:hAnsi="宋体" w:cs="宋体"/>
          <w:b/>
          <w:bCs/>
          <w:color w:val="auto"/>
          <w:sz w:val="24"/>
          <w:szCs w:val="24"/>
          <w:u w:val="single" w:color="000000"/>
        </w:rPr>
        <w:t xml:space="preserve"> 202</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年</w:t>
      </w:r>
      <w:r>
        <w:rPr>
          <w:rFonts w:hint="eastAsia" w:ascii="宋体" w:hAnsi="宋体" w:cs="宋体"/>
          <w:b/>
          <w:bCs/>
          <w:color w:val="auto"/>
          <w:sz w:val="24"/>
          <w:szCs w:val="24"/>
          <w:u w:val="single" w:color="000000"/>
          <w:lang w:val="en-US" w:eastAsia="zh-CN"/>
        </w:rPr>
        <w:t>11</w:t>
      </w:r>
      <w:r>
        <w:rPr>
          <w:rFonts w:hint="eastAsia" w:ascii="宋体" w:hAnsi="宋体" w:cs="宋体"/>
          <w:b/>
          <w:bCs/>
          <w:color w:val="auto"/>
          <w:sz w:val="24"/>
          <w:szCs w:val="24"/>
          <w:u w:val="single" w:color="000000"/>
        </w:rPr>
        <w:t>月</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日</w:t>
      </w:r>
    </w:p>
    <w:p>
      <w:pPr>
        <w:snapToGrid w:val="0"/>
        <w:spacing w:line="360" w:lineRule="auto"/>
        <w:ind w:firstLine="540"/>
        <w:textAlignment w:val="baseline"/>
        <w:rPr>
          <w:rFonts w:hint="eastAsia" w:ascii="宋体" w:hAnsi="宋体" w:cs="宋体"/>
          <w:sz w:val="24"/>
          <w:szCs w:val="24"/>
          <w:u w:val="single"/>
        </w:rPr>
      </w:pPr>
      <w:r>
        <w:rPr>
          <w:rFonts w:hint="eastAsia" w:ascii="宋体" w:hAnsi="宋体" w:cs="宋体"/>
          <w:sz w:val="24"/>
          <w:szCs w:val="24"/>
        </w:rPr>
        <w:t>地  点：南通市卫生健康委员会官网（http://wjw.nantong.gov.cn）和南通市妇幼保健院官网（http://www.ntfybj.com）。</w:t>
      </w:r>
    </w:p>
    <w:p>
      <w:pPr>
        <w:snapToGrid w:val="0"/>
        <w:spacing w:line="360" w:lineRule="auto"/>
        <w:ind w:firstLine="540"/>
        <w:textAlignment w:val="baseline"/>
        <w:rPr>
          <w:rFonts w:hint="eastAsia" w:ascii="宋体" w:hAnsi="宋体" w:cs="宋体"/>
          <w:sz w:val="24"/>
          <w:szCs w:val="24"/>
          <w:u w:val="single"/>
        </w:rPr>
      </w:pPr>
      <w:r>
        <w:rPr>
          <w:rFonts w:hint="eastAsia" w:ascii="宋体" w:hAnsi="宋体" w:cs="宋体"/>
          <w:sz w:val="24"/>
          <w:szCs w:val="24"/>
        </w:rPr>
        <w:t>方  式：自行下载</w:t>
      </w:r>
    </w:p>
    <w:p>
      <w:pPr>
        <w:snapToGrid w:val="0"/>
        <w:spacing w:line="360" w:lineRule="auto"/>
        <w:ind w:firstLine="540"/>
        <w:textAlignment w:val="baseline"/>
        <w:rPr>
          <w:rFonts w:hint="eastAsia" w:ascii="宋体" w:hAnsi="宋体" w:cs="宋体"/>
          <w:sz w:val="24"/>
          <w:szCs w:val="24"/>
        </w:rPr>
      </w:pPr>
      <w:r>
        <w:rPr>
          <w:rFonts w:hint="eastAsia" w:ascii="宋体" w:hAnsi="宋体" w:cs="宋体"/>
          <w:sz w:val="24"/>
          <w:szCs w:val="24"/>
        </w:rPr>
        <w:t>售  价：每套300元，在递交磋商响应文件的同时提交给招标代理机构。</w:t>
      </w:r>
    </w:p>
    <w:p>
      <w:pPr>
        <w:pStyle w:val="7"/>
        <w:snapToGrid w:val="0"/>
        <w:spacing w:before="0" w:after="0" w:line="360" w:lineRule="auto"/>
        <w:rPr>
          <w:rFonts w:hint="eastAsia" w:ascii="宋体" w:hAnsi="宋体" w:eastAsia="宋体" w:cs="宋体"/>
          <w:b/>
          <w:bCs/>
          <w:color w:val="auto"/>
          <w:sz w:val="24"/>
          <w:szCs w:val="24"/>
        </w:rPr>
      </w:pPr>
      <w:r>
        <w:rPr>
          <w:rFonts w:hint="eastAsia" w:ascii="宋体" w:hAnsi="宋体" w:eastAsia="宋体" w:cs="宋体"/>
          <w:sz w:val="24"/>
          <w:szCs w:val="24"/>
        </w:rPr>
        <w:t>四、</w:t>
      </w:r>
      <w:r>
        <w:rPr>
          <w:rFonts w:hint="eastAsia" w:ascii="宋体" w:hAnsi="宋体" w:eastAsia="宋体" w:cs="宋体"/>
          <w:b/>
          <w:bCs/>
          <w:color w:val="auto"/>
          <w:sz w:val="24"/>
          <w:szCs w:val="24"/>
        </w:rPr>
        <w:t>响应文件的提交</w:t>
      </w:r>
    </w:p>
    <w:p>
      <w:pPr>
        <w:snapToGrid w:val="0"/>
        <w:spacing w:line="360" w:lineRule="auto"/>
        <w:ind w:firstLine="482" w:firstLineChars="200"/>
        <w:textAlignment w:val="baseline"/>
        <w:rPr>
          <w:rFonts w:hint="eastAsia" w:ascii="宋体" w:hAnsi="宋体" w:cs="宋体"/>
          <w:b/>
          <w:bCs/>
          <w:color w:val="auto"/>
          <w:sz w:val="24"/>
          <w:szCs w:val="24"/>
          <w:u w:val="single"/>
        </w:rPr>
      </w:pPr>
      <w:r>
        <w:rPr>
          <w:rFonts w:hint="eastAsia" w:ascii="宋体" w:hAnsi="宋体" w:cs="宋体"/>
          <w:b/>
          <w:bCs/>
          <w:color w:val="auto"/>
          <w:sz w:val="24"/>
          <w:szCs w:val="24"/>
        </w:rPr>
        <w:t xml:space="preserve">截止时间： </w:t>
      </w:r>
      <w:r>
        <w:rPr>
          <w:rFonts w:hint="eastAsia" w:ascii="宋体" w:hAnsi="宋体" w:cs="宋体"/>
          <w:b/>
          <w:bCs/>
          <w:color w:val="auto"/>
          <w:sz w:val="24"/>
          <w:szCs w:val="24"/>
          <w:u w:val="single" w:color="000000"/>
        </w:rPr>
        <w:t xml:space="preserve"> 202</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年</w:t>
      </w:r>
      <w:r>
        <w:rPr>
          <w:rFonts w:hint="eastAsia" w:ascii="宋体" w:hAnsi="宋体" w:cs="宋体"/>
          <w:b/>
          <w:bCs/>
          <w:color w:val="auto"/>
          <w:sz w:val="24"/>
          <w:szCs w:val="24"/>
          <w:u w:val="single" w:color="000000"/>
          <w:lang w:val="en-US" w:eastAsia="zh-CN"/>
        </w:rPr>
        <w:t>11</w:t>
      </w:r>
      <w:r>
        <w:rPr>
          <w:rFonts w:hint="eastAsia" w:ascii="宋体" w:hAnsi="宋体" w:cs="宋体"/>
          <w:b/>
          <w:bCs/>
          <w:color w:val="auto"/>
          <w:sz w:val="24"/>
          <w:szCs w:val="24"/>
          <w:u w:val="single" w:color="000000"/>
        </w:rPr>
        <w:t>月</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日</w:t>
      </w:r>
      <w:r>
        <w:rPr>
          <w:rFonts w:hint="eastAsia" w:ascii="宋体" w:hAnsi="宋体" w:cs="宋体"/>
          <w:b/>
          <w:bCs/>
          <w:color w:val="auto"/>
          <w:sz w:val="24"/>
          <w:szCs w:val="24"/>
          <w:u w:val="single" w:color="000000"/>
          <w:lang w:eastAsia="zh-CN"/>
        </w:rPr>
        <w:t>下午</w:t>
      </w:r>
      <w:r>
        <w:rPr>
          <w:rFonts w:hint="eastAsia" w:ascii="宋体" w:hAnsi="宋体" w:cs="宋体"/>
          <w:b/>
          <w:bCs/>
          <w:color w:val="auto"/>
          <w:sz w:val="24"/>
          <w:szCs w:val="24"/>
          <w:u w:val="single" w:color="000000"/>
          <w:lang w:val="en-US" w:eastAsia="zh-CN"/>
        </w:rPr>
        <w:t>14</w:t>
      </w:r>
      <w:r>
        <w:rPr>
          <w:rFonts w:hint="eastAsia" w:ascii="宋体" w:hAnsi="宋体" w:cs="宋体"/>
          <w:b/>
          <w:bCs/>
          <w:color w:val="auto"/>
          <w:sz w:val="24"/>
          <w:szCs w:val="24"/>
          <w:u w:val="single" w:color="000000"/>
        </w:rPr>
        <w:t>点</w:t>
      </w:r>
      <w:r>
        <w:rPr>
          <w:rFonts w:hint="eastAsia" w:ascii="宋体" w:hAnsi="宋体" w:cs="宋体"/>
          <w:b/>
          <w:bCs/>
          <w:color w:val="auto"/>
          <w:sz w:val="24"/>
          <w:szCs w:val="24"/>
          <w:u w:val="single" w:color="000000"/>
          <w:lang w:val="en-US" w:eastAsia="zh-CN"/>
        </w:rPr>
        <w:t>00</w:t>
      </w:r>
      <w:r>
        <w:rPr>
          <w:rFonts w:hint="eastAsia" w:ascii="宋体" w:hAnsi="宋体" w:cs="宋体"/>
          <w:b/>
          <w:bCs/>
          <w:color w:val="auto"/>
          <w:sz w:val="24"/>
          <w:szCs w:val="24"/>
          <w:u w:val="single" w:color="000000"/>
        </w:rPr>
        <w:t>分</w:t>
      </w:r>
      <w:r>
        <w:rPr>
          <w:rFonts w:hint="eastAsia" w:ascii="宋体" w:hAnsi="宋体" w:cs="宋体"/>
          <w:b/>
          <w:bCs/>
          <w:color w:val="auto"/>
          <w:sz w:val="24"/>
          <w:szCs w:val="24"/>
        </w:rPr>
        <w:t>（北京时间）</w:t>
      </w:r>
    </w:p>
    <w:p>
      <w:pPr>
        <w:snapToGrid w:val="0"/>
        <w:spacing w:line="360" w:lineRule="auto"/>
        <w:ind w:firstLine="482" w:firstLineChars="200"/>
        <w:textAlignment w:val="baseline"/>
        <w:rPr>
          <w:rFonts w:hint="eastAsia" w:ascii="宋体" w:hAnsi="宋体" w:cs="宋体"/>
          <w:b/>
          <w:bCs/>
          <w:color w:val="auto"/>
          <w:sz w:val="24"/>
          <w:szCs w:val="24"/>
          <w:u w:val="single"/>
        </w:rPr>
      </w:pPr>
      <w:r>
        <w:rPr>
          <w:rFonts w:hint="eastAsia" w:ascii="宋体" w:hAnsi="宋体" w:cs="宋体"/>
          <w:b/>
          <w:bCs/>
          <w:color w:val="auto"/>
          <w:sz w:val="24"/>
          <w:szCs w:val="24"/>
        </w:rPr>
        <w:t xml:space="preserve">地    点： </w:t>
      </w:r>
      <w:r>
        <w:rPr>
          <w:rFonts w:hint="eastAsia" w:ascii="宋体" w:hAnsi="宋体" w:cs="宋体"/>
          <w:b/>
          <w:bCs/>
          <w:color w:val="auto"/>
          <w:sz w:val="24"/>
          <w:szCs w:val="24"/>
          <w:u w:val="single"/>
          <w:lang w:eastAsia="zh-CN"/>
        </w:rPr>
        <w:t>南通市崇川区工农路358号12层中证开标室（浙商银行楼上）</w:t>
      </w:r>
    </w:p>
    <w:p>
      <w:pPr>
        <w:pStyle w:val="7"/>
        <w:snapToGrid w:val="0"/>
        <w:spacing w:before="0" w:after="0"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五、响应文件的开启</w:t>
      </w:r>
    </w:p>
    <w:p>
      <w:pPr>
        <w:snapToGrid w:val="0"/>
        <w:spacing w:line="360" w:lineRule="auto"/>
        <w:ind w:firstLine="482" w:firstLineChars="200"/>
        <w:textAlignment w:val="baseline"/>
        <w:rPr>
          <w:rFonts w:hint="eastAsia" w:ascii="宋体" w:hAnsi="宋体" w:cs="宋体"/>
          <w:b/>
          <w:bCs/>
          <w:color w:val="auto"/>
          <w:sz w:val="24"/>
          <w:szCs w:val="24"/>
          <w:u w:val="single"/>
        </w:rPr>
      </w:pPr>
      <w:r>
        <w:rPr>
          <w:rFonts w:hint="eastAsia" w:ascii="宋体" w:hAnsi="宋体" w:cs="宋体"/>
          <w:b/>
          <w:bCs/>
          <w:color w:val="auto"/>
          <w:sz w:val="24"/>
          <w:szCs w:val="24"/>
        </w:rPr>
        <w:t xml:space="preserve">时  间： </w:t>
      </w:r>
      <w:r>
        <w:rPr>
          <w:rFonts w:hint="eastAsia" w:ascii="宋体" w:hAnsi="宋体" w:cs="宋体"/>
          <w:b/>
          <w:bCs/>
          <w:color w:val="auto"/>
          <w:sz w:val="24"/>
          <w:szCs w:val="24"/>
          <w:u w:val="single" w:color="000000"/>
        </w:rPr>
        <w:t xml:space="preserve"> 202</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年</w:t>
      </w:r>
      <w:r>
        <w:rPr>
          <w:rFonts w:hint="eastAsia" w:ascii="宋体" w:hAnsi="宋体" w:cs="宋体"/>
          <w:b/>
          <w:bCs/>
          <w:color w:val="auto"/>
          <w:sz w:val="24"/>
          <w:szCs w:val="24"/>
          <w:u w:val="single" w:color="000000"/>
          <w:lang w:val="en-US" w:eastAsia="zh-CN"/>
        </w:rPr>
        <w:t>11</w:t>
      </w:r>
      <w:r>
        <w:rPr>
          <w:rFonts w:hint="eastAsia" w:ascii="宋体" w:hAnsi="宋体" w:cs="宋体"/>
          <w:b/>
          <w:bCs/>
          <w:color w:val="auto"/>
          <w:sz w:val="24"/>
          <w:szCs w:val="24"/>
          <w:u w:val="single" w:color="000000"/>
        </w:rPr>
        <w:t>月</w:t>
      </w:r>
      <w:r>
        <w:rPr>
          <w:rFonts w:hint="eastAsia" w:ascii="宋体" w:hAnsi="宋体" w:cs="宋体"/>
          <w:b/>
          <w:bCs/>
          <w:color w:val="auto"/>
          <w:sz w:val="24"/>
          <w:szCs w:val="24"/>
          <w:u w:val="single" w:color="000000"/>
          <w:lang w:val="en-US" w:eastAsia="zh-CN"/>
        </w:rPr>
        <w:t>2</w:t>
      </w:r>
      <w:r>
        <w:rPr>
          <w:rFonts w:hint="eastAsia" w:ascii="宋体" w:hAnsi="宋体" w:cs="宋体"/>
          <w:b/>
          <w:bCs/>
          <w:color w:val="auto"/>
          <w:sz w:val="24"/>
          <w:szCs w:val="24"/>
          <w:u w:val="single" w:color="000000"/>
        </w:rPr>
        <w:t>日</w:t>
      </w:r>
      <w:r>
        <w:rPr>
          <w:rFonts w:hint="eastAsia" w:ascii="宋体" w:hAnsi="宋体" w:cs="宋体"/>
          <w:b/>
          <w:bCs/>
          <w:color w:val="auto"/>
          <w:sz w:val="24"/>
          <w:szCs w:val="24"/>
          <w:u w:val="single" w:color="000000"/>
          <w:lang w:val="en-US" w:eastAsia="zh-CN"/>
        </w:rPr>
        <w:t>下午14</w:t>
      </w:r>
      <w:r>
        <w:rPr>
          <w:rFonts w:hint="eastAsia" w:ascii="宋体" w:hAnsi="宋体" w:cs="宋体"/>
          <w:b/>
          <w:bCs/>
          <w:color w:val="auto"/>
          <w:sz w:val="24"/>
          <w:szCs w:val="24"/>
          <w:u w:val="single" w:color="000000"/>
        </w:rPr>
        <w:t>点</w:t>
      </w:r>
      <w:r>
        <w:rPr>
          <w:rFonts w:hint="eastAsia" w:ascii="宋体" w:hAnsi="宋体" w:cs="宋体"/>
          <w:b/>
          <w:bCs/>
          <w:color w:val="auto"/>
          <w:sz w:val="24"/>
          <w:szCs w:val="24"/>
          <w:u w:val="single" w:color="000000"/>
          <w:lang w:val="en-US" w:eastAsia="zh-CN"/>
        </w:rPr>
        <w:t>00</w:t>
      </w:r>
      <w:r>
        <w:rPr>
          <w:rFonts w:hint="eastAsia" w:ascii="宋体" w:hAnsi="宋体" w:cs="宋体"/>
          <w:b/>
          <w:bCs/>
          <w:color w:val="auto"/>
          <w:sz w:val="24"/>
          <w:szCs w:val="24"/>
          <w:u w:val="single" w:color="000000"/>
        </w:rPr>
        <w:t>分</w:t>
      </w:r>
      <w:r>
        <w:rPr>
          <w:rFonts w:hint="eastAsia" w:ascii="宋体" w:hAnsi="宋体" w:cs="宋体"/>
          <w:b/>
          <w:bCs/>
          <w:color w:val="auto"/>
          <w:sz w:val="24"/>
          <w:szCs w:val="24"/>
        </w:rPr>
        <w:t>（北京时间）</w:t>
      </w:r>
    </w:p>
    <w:p>
      <w:pPr>
        <w:snapToGrid w:val="0"/>
        <w:spacing w:line="360" w:lineRule="auto"/>
        <w:ind w:firstLine="482" w:firstLineChars="200"/>
        <w:textAlignment w:val="baseline"/>
        <w:rPr>
          <w:rFonts w:hint="eastAsia" w:ascii="宋体" w:hAnsi="宋体" w:cs="宋体"/>
          <w:b/>
          <w:bCs/>
          <w:color w:val="auto"/>
          <w:sz w:val="24"/>
          <w:szCs w:val="24"/>
          <w:u w:val="single"/>
        </w:rPr>
      </w:pPr>
      <w:r>
        <w:rPr>
          <w:rFonts w:hint="eastAsia" w:ascii="宋体" w:hAnsi="宋体" w:cs="宋体"/>
          <w:b/>
          <w:bCs/>
          <w:color w:val="auto"/>
          <w:sz w:val="24"/>
          <w:szCs w:val="24"/>
        </w:rPr>
        <w:t xml:space="preserve">地  点： </w:t>
      </w:r>
      <w:r>
        <w:rPr>
          <w:rFonts w:hint="eastAsia" w:ascii="宋体" w:hAnsi="宋体" w:cs="宋体"/>
          <w:b/>
          <w:bCs/>
          <w:color w:val="auto"/>
          <w:sz w:val="24"/>
          <w:szCs w:val="24"/>
          <w:u w:val="single"/>
          <w:lang w:eastAsia="zh-CN"/>
        </w:rPr>
        <w:t>南通市崇川区工农路358号12层中证开标室（浙商银行楼上）</w:t>
      </w:r>
    </w:p>
    <w:p>
      <w:pPr>
        <w:pStyle w:val="91"/>
        <w:snapToGrid w:val="0"/>
        <w:spacing w:line="360" w:lineRule="auto"/>
        <w:ind w:firstLine="482"/>
        <w:rPr>
          <w:rFonts w:hAnsi="宋体" w:cs="宋体"/>
          <w:b/>
          <w:color w:val="auto"/>
          <w:sz w:val="24"/>
          <w:szCs w:val="24"/>
        </w:rPr>
      </w:pPr>
      <w:r>
        <w:rPr>
          <w:rFonts w:hAnsi="宋体" w:cs="宋体"/>
          <w:b/>
          <w:color w:val="auto"/>
          <w:sz w:val="24"/>
          <w:szCs w:val="24"/>
        </w:rPr>
        <w:t>特别提醒：</w:t>
      </w:r>
    </w:p>
    <w:p>
      <w:pPr>
        <w:pStyle w:val="91"/>
        <w:numPr>
          <w:ilvl w:val="0"/>
          <w:numId w:val="2"/>
        </w:numPr>
        <w:snapToGrid w:val="0"/>
        <w:spacing w:line="360" w:lineRule="auto"/>
        <w:ind w:firstLine="482"/>
        <w:rPr>
          <w:rFonts w:hAnsi="宋体" w:cs="宋体"/>
          <w:b/>
          <w:color w:val="auto"/>
          <w:sz w:val="24"/>
          <w:szCs w:val="24"/>
        </w:rPr>
      </w:pPr>
      <w:r>
        <w:rPr>
          <w:rFonts w:hAnsi="宋体" w:cs="宋体"/>
          <w:b/>
          <w:color w:val="auto"/>
          <w:sz w:val="24"/>
          <w:szCs w:val="24"/>
        </w:rPr>
        <w:t>各投标单位只允许委派一人参加投标，其余人员一律不得入内。疫情防控期间，参加投标的授权委托人须配合现场工作人员的检查（包括携带有效身份证件、实名登记、规范佩戴口罩、测量体温、出示健康码和行程卡等）。</w:t>
      </w:r>
    </w:p>
    <w:p>
      <w:pPr>
        <w:pStyle w:val="7"/>
        <w:snapToGrid w:val="0"/>
        <w:spacing w:before="0" w:after="0" w:line="360" w:lineRule="auto"/>
        <w:rPr>
          <w:rFonts w:hint="eastAsia" w:ascii="宋体" w:hAnsi="宋体" w:eastAsia="宋体" w:cs="宋体"/>
          <w:sz w:val="24"/>
          <w:szCs w:val="24"/>
        </w:rPr>
      </w:pPr>
      <w:r>
        <w:rPr>
          <w:rFonts w:hint="eastAsia" w:ascii="宋体" w:hAnsi="宋体" w:eastAsia="宋体" w:cs="宋体"/>
          <w:sz w:val="24"/>
          <w:szCs w:val="24"/>
        </w:rPr>
        <w:t>六、公告期限</w:t>
      </w:r>
    </w:p>
    <w:p>
      <w:pPr>
        <w:snapToGrid w:val="0"/>
        <w:spacing w:line="360" w:lineRule="auto"/>
        <w:ind w:firstLine="480" w:firstLineChars="200"/>
        <w:textAlignment w:val="baseline"/>
        <w:rPr>
          <w:rFonts w:hint="eastAsia" w:ascii="宋体" w:hAnsi="宋体" w:cs="宋体"/>
          <w:kern w:val="0"/>
          <w:sz w:val="24"/>
          <w:szCs w:val="24"/>
        </w:rPr>
      </w:pPr>
      <w:r>
        <w:rPr>
          <w:rFonts w:hint="eastAsia" w:ascii="宋体" w:hAnsi="宋体" w:cs="宋体"/>
          <w:kern w:val="0"/>
          <w:sz w:val="24"/>
          <w:szCs w:val="24"/>
        </w:rPr>
        <w:t>自本公告发布之日起3个工作日。</w:t>
      </w:r>
    </w:p>
    <w:p>
      <w:pPr>
        <w:pStyle w:val="7"/>
        <w:numPr>
          <w:ilvl w:val="0"/>
          <w:numId w:val="3"/>
        </w:numPr>
        <w:snapToGrid w:val="0"/>
        <w:spacing w:before="0" w:after="0" w:line="360" w:lineRule="auto"/>
        <w:rPr>
          <w:rFonts w:hint="eastAsia" w:ascii="宋体" w:hAnsi="宋体" w:eastAsia="宋体" w:cs="宋体"/>
          <w:sz w:val="24"/>
          <w:szCs w:val="24"/>
        </w:rPr>
      </w:pPr>
      <w:r>
        <w:rPr>
          <w:rFonts w:hint="eastAsia" w:ascii="宋体" w:hAnsi="宋体" w:eastAsia="宋体" w:cs="宋体"/>
          <w:sz w:val="24"/>
          <w:szCs w:val="24"/>
        </w:rPr>
        <w:t>其他补充事宜：</w:t>
      </w:r>
    </w:p>
    <w:p>
      <w:pPr>
        <w:numPr>
          <w:ilvl w:val="0"/>
          <w:numId w:val="4"/>
        </w:numPr>
        <w:snapToGrid w:val="0"/>
        <w:spacing w:line="360" w:lineRule="auto"/>
        <w:ind w:firstLine="480" w:firstLineChars="200"/>
        <w:textAlignment w:val="baseline"/>
        <w:rPr>
          <w:rFonts w:hint="eastAsia" w:ascii="宋体" w:hAnsi="宋体" w:cs="宋体"/>
          <w:kern w:val="0"/>
          <w:sz w:val="24"/>
          <w:szCs w:val="24"/>
        </w:rPr>
      </w:pPr>
      <w:r>
        <w:rPr>
          <w:rFonts w:hint="eastAsia" w:ascii="宋体" w:hAnsi="宋体" w:cs="宋体"/>
          <w:kern w:val="0"/>
          <w:sz w:val="24"/>
          <w:szCs w:val="24"/>
        </w:rPr>
        <w:t>投标保证金：</w:t>
      </w:r>
      <w:r>
        <w:rPr>
          <w:rFonts w:hint="eastAsia" w:ascii="宋体" w:hAnsi="宋体" w:cs="宋体"/>
          <w:bCs/>
          <w:color w:val="000000"/>
          <w:sz w:val="24"/>
          <w:szCs w:val="24"/>
        </w:rPr>
        <w:t>无</w:t>
      </w:r>
      <w:r>
        <w:rPr>
          <w:rFonts w:hint="eastAsia" w:ascii="宋体" w:hAnsi="宋体" w:cs="宋体"/>
          <w:kern w:val="0"/>
          <w:sz w:val="24"/>
          <w:szCs w:val="24"/>
        </w:rPr>
        <w:t>。</w:t>
      </w:r>
    </w:p>
    <w:p>
      <w:pPr>
        <w:numPr>
          <w:ilvl w:val="0"/>
          <w:numId w:val="4"/>
        </w:numPr>
        <w:snapToGrid w:val="0"/>
        <w:spacing w:line="360" w:lineRule="auto"/>
        <w:ind w:firstLine="480" w:firstLineChars="200"/>
        <w:textAlignment w:val="baseline"/>
        <w:rPr>
          <w:rFonts w:hint="eastAsia" w:ascii="宋体" w:hAnsi="宋体" w:cs="宋体"/>
          <w:kern w:val="0"/>
          <w:sz w:val="24"/>
          <w:szCs w:val="24"/>
        </w:rPr>
      </w:pPr>
      <w:r>
        <w:rPr>
          <w:rFonts w:hint="eastAsia" w:ascii="宋体" w:hAnsi="宋体" w:cs="宋体"/>
          <w:kern w:val="0"/>
          <w:sz w:val="24"/>
          <w:szCs w:val="24"/>
        </w:rPr>
        <w:t>项目磋商活动模式：本项目采用现场开标模式。</w:t>
      </w:r>
    </w:p>
    <w:p>
      <w:pPr>
        <w:numPr>
          <w:ilvl w:val="0"/>
          <w:numId w:val="4"/>
        </w:numPr>
        <w:snapToGrid w:val="0"/>
        <w:spacing w:line="360" w:lineRule="auto"/>
        <w:ind w:firstLine="480" w:firstLineChars="200"/>
        <w:textAlignment w:val="baseline"/>
        <w:rPr>
          <w:rFonts w:hint="eastAsia" w:ascii="宋体" w:hAnsi="宋体" w:cs="宋体"/>
          <w:kern w:val="0"/>
          <w:sz w:val="24"/>
          <w:szCs w:val="24"/>
        </w:rPr>
      </w:pPr>
      <w:r>
        <w:rPr>
          <w:rFonts w:hint="eastAsia" w:ascii="宋体" w:hAnsi="宋体" w:cs="宋体"/>
          <w:kern w:val="0"/>
          <w:sz w:val="24"/>
          <w:szCs w:val="24"/>
        </w:rPr>
        <w:t>对项目需求部分（供应商其他资格要求、项目需求、评分标准）的询问、质疑请向采购人提出，由采购人负责答复；对项目磋商文件其它部分的询问请向采购招标代理机构提出。</w:t>
      </w:r>
    </w:p>
    <w:p>
      <w:pPr>
        <w:numPr>
          <w:ilvl w:val="0"/>
          <w:numId w:val="3"/>
        </w:numPr>
        <w:snapToGrid w:val="0"/>
        <w:spacing w:line="360" w:lineRule="auto"/>
        <w:textAlignment w:val="baseline"/>
        <w:rPr>
          <w:rFonts w:hint="eastAsia" w:ascii="宋体" w:hAnsi="宋体" w:cs="宋体"/>
          <w:b/>
          <w:bCs/>
          <w:sz w:val="24"/>
          <w:szCs w:val="24"/>
        </w:rPr>
      </w:pPr>
      <w:r>
        <w:rPr>
          <w:rFonts w:hint="eastAsia" w:ascii="宋体" w:hAnsi="宋体" w:cs="宋体"/>
          <w:b/>
          <w:bCs/>
          <w:sz w:val="24"/>
          <w:szCs w:val="24"/>
        </w:rPr>
        <w:t>凡对本次采购提出询问，请按以下方式联系。</w:t>
      </w:r>
    </w:p>
    <w:p>
      <w:pPr>
        <w:numPr>
          <w:ilvl w:val="0"/>
          <w:numId w:val="5"/>
        </w:num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采购人信息</w:t>
      </w:r>
    </w:p>
    <w:p>
      <w:pPr>
        <w:spacing w:line="360" w:lineRule="auto"/>
        <w:ind w:firstLine="480" w:firstLineChars="200"/>
        <w:jc w:val="left"/>
        <w:rPr>
          <w:rFonts w:ascii="宋体" w:hAnsi="宋体" w:cs="宋体"/>
          <w:sz w:val="24"/>
          <w:szCs w:val="24"/>
        </w:rPr>
      </w:pPr>
      <w:r>
        <w:rPr>
          <w:rFonts w:hint="eastAsia" w:ascii="宋体" w:hAnsi="宋体" w:cs="宋体"/>
          <w:sz w:val="24"/>
          <w:szCs w:val="24"/>
        </w:rPr>
        <w:t>名    称：南通市妇幼保健院</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地    址： 南通市崇川区世纪大道399号</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联系方式：</w:t>
      </w:r>
      <w:r>
        <w:rPr>
          <w:rFonts w:hint="eastAsia" w:cs="宋体" w:asciiTheme="majorEastAsia" w:hAnsiTheme="majorEastAsia" w:eastAsiaTheme="majorEastAsia"/>
          <w:sz w:val="24"/>
          <w:szCs w:val="24"/>
        </w:rPr>
        <w:t xml:space="preserve">13962958761 </w:t>
      </w:r>
      <w:r>
        <w:rPr>
          <w:rFonts w:hint="eastAsia" w:ascii="宋体" w:hAnsi="宋体" w:cs="宋体"/>
          <w:sz w:val="24"/>
          <w:szCs w:val="24"/>
        </w:rPr>
        <w:t xml:space="preserve">   </w:t>
      </w:r>
    </w:p>
    <w:p>
      <w:pPr>
        <w:numPr>
          <w:ilvl w:val="0"/>
          <w:numId w:val="6"/>
        </w:num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采购代理机构信息</w:t>
      </w:r>
    </w:p>
    <w:p>
      <w:pPr>
        <w:snapToGrid w:val="0"/>
        <w:spacing w:line="360" w:lineRule="auto"/>
        <w:ind w:firstLine="480" w:firstLineChars="200"/>
        <w:textAlignment w:val="baseline"/>
        <w:rPr>
          <w:rFonts w:hint="eastAsia" w:ascii="宋体" w:hAnsi="宋体" w:eastAsia="宋体" w:cs="宋体"/>
          <w:sz w:val="24"/>
          <w:szCs w:val="24"/>
          <w:lang w:eastAsia="zh-CN"/>
        </w:rPr>
      </w:pPr>
      <w:r>
        <w:rPr>
          <w:rFonts w:hint="eastAsia" w:ascii="宋体" w:hAnsi="宋体" w:cs="宋体"/>
          <w:sz w:val="24"/>
          <w:szCs w:val="24"/>
        </w:rPr>
        <w:t>名    称：</w:t>
      </w:r>
      <w:r>
        <w:rPr>
          <w:rFonts w:hint="eastAsia" w:ascii="宋体" w:hAnsi="宋体" w:cs="宋体"/>
          <w:sz w:val="24"/>
          <w:szCs w:val="24"/>
          <w:lang w:eastAsia="zh-CN"/>
        </w:rPr>
        <w:t>中证房地产评估造价集团有限公司</w:t>
      </w:r>
    </w:p>
    <w:p>
      <w:pPr>
        <w:snapToGrid w:val="0"/>
        <w:spacing w:line="360" w:lineRule="auto"/>
        <w:ind w:firstLine="480" w:firstLineChars="200"/>
        <w:textAlignment w:val="baseline"/>
        <w:rPr>
          <w:rFonts w:hint="default" w:ascii="宋体" w:hAnsi="宋体" w:eastAsia="宋体" w:cs="宋体"/>
          <w:sz w:val="24"/>
          <w:szCs w:val="24"/>
          <w:lang w:val="en-US" w:eastAsia="zh-CN"/>
        </w:rPr>
      </w:pPr>
      <w:r>
        <w:rPr>
          <w:rFonts w:hint="eastAsia" w:ascii="宋体" w:hAnsi="宋体" w:cs="宋体"/>
          <w:sz w:val="24"/>
          <w:szCs w:val="24"/>
        </w:rPr>
        <w:t>地    址：</w:t>
      </w:r>
      <w:r>
        <w:rPr>
          <w:rFonts w:hint="eastAsia" w:ascii="宋体" w:hAnsi="宋体" w:cs="宋体"/>
          <w:sz w:val="24"/>
          <w:szCs w:val="24"/>
          <w:lang w:eastAsia="zh-CN"/>
        </w:rPr>
        <w:t>南通市崇川区工农路358号12层</w:t>
      </w:r>
    </w:p>
    <w:p>
      <w:pPr>
        <w:snapToGrid w:val="0"/>
        <w:spacing w:line="360" w:lineRule="auto"/>
        <w:ind w:firstLine="480" w:firstLineChars="200"/>
        <w:textAlignment w:val="baseline"/>
        <w:rPr>
          <w:rFonts w:hint="eastAsia" w:ascii="宋体" w:hAnsi="宋体" w:cs="宋体"/>
          <w:sz w:val="24"/>
          <w:szCs w:val="24"/>
          <w:lang w:val="en-US" w:eastAsia="zh-CN"/>
        </w:rPr>
      </w:pPr>
      <w:r>
        <w:rPr>
          <w:rFonts w:hint="eastAsia" w:ascii="宋体" w:hAnsi="宋体" w:cs="宋体"/>
          <w:sz w:val="24"/>
          <w:szCs w:val="24"/>
        </w:rPr>
        <w:t>联系方式：</w:t>
      </w:r>
      <w:r>
        <w:rPr>
          <w:rFonts w:hint="eastAsia" w:ascii="宋体" w:hAnsi="宋体" w:cs="宋体"/>
          <w:sz w:val="24"/>
          <w:szCs w:val="24"/>
          <w:lang w:eastAsia="zh-CN"/>
        </w:rPr>
        <w:t>张林丽</w:t>
      </w:r>
      <w:r>
        <w:rPr>
          <w:rFonts w:hint="eastAsia" w:ascii="宋体" w:hAnsi="宋体" w:cs="宋体"/>
          <w:sz w:val="24"/>
          <w:szCs w:val="24"/>
          <w:lang w:val="en-US" w:eastAsia="zh-CN"/>
        </w:rPr>
        <w:t xml:space="preserve">    13646287155</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3、项目联系方式</w:t>
      </w:r>
    </w:p>
    <w:p>
      <w:pPr>
        <w:snapToGrid w:val="0"/>
        <w:spacing w:line="360" w:lineRule="auto"/>
        <w:ind w:firstLine="480" w:firstLineChars="200"/>
        <w:textAlignment w:val="baseline"/>
        <w:rPr>
          <w:rFonts w:hint="eastAsia" w:ascii="宋体" w:hAnsi="宋体" w:cs="宋体"/>
          <w:sz w:val="24"/>
          <w:szCs w:val="24"/>
        </w:rPr>
      </w:pPr>
      <w:r>
        <w:rPr>
          <w:rFonts w:hint="eastAsia" w:ascii="宋体" w:hAnsi="宋体" w:cs="宋体"/>
          <w:sz w:val="24"/>
          <w:szCs w:val="24"/>
        </w:rPr>
        <w:t>项目联系人：</w:t>
      </w:r>
      <w:r>
        <w:rPr>
          <w:rFonts w:hint="eastAsia" w:cs="宋体"/>
          <w:sz w:val="24"/>
          <w:szCs w:val="24"/>
          <w:lang w:eastAsia="zh-CN"/>
        </w:rPr>
        <w:t>张林丽</w:t>
      </w:r>
      <w:r>
        <w:rPr>
          <w:rFonts w:hint="eastAsia" w:ascii="宋体" w:hAnsi="宋体" w:cs="宋体"/>
          <w:sz w:val="24"/>
          <w:szCs w:val="24"/>
        </w:rPr>
        <w:t xml:space="preserve">            </w:t>
      </w:r>
    </w:p>
    <w:p>
      <w:pPr>
        <w:snapToGrid w:val="0"/>
        <w:spacing w:line="360" w:lineRule="auto"/>
        <w:ind w:firstLine="480" w:firstLineChars="200"/>
        <w:textAlignment w:val="baseline"/>
        <w:rPr>
          <w:rFonts w:hint="default" w:ascii="宋体" w:hAnsi="宋体" w:eastAsia="宋体"/>
          <w:sz w:val="24"/>
          <w:szCs w:val="24"/>
          <w:lang w:val="en-US" w:eastAsia="zh-CN"/>
        </w:rPr>
      </w:pPr>
      <w:r>
        <w:rPr>
          <w:rFonts w:hint="eastAsia" w:ascii="宋体" w:hAnsi="宋体" w:cs="宋体"/>
          <w:sz w:val="24"/>
          <w:szCs w:val="24"/>
        </w:rPr>
        <w:t>电      话：</w:t>
      </w:r>
      <w:r>
        <w:rPr>
          <w:rFonts w:hint="eastAsia" w:ascii="宋体" w:hAnsi="宋体" w:cs="宋体"/>
          <w:sz w:val="24"/>
          <w:szCs w:val="24"/>
          <w:lang w:val="en-US" w:eastAsia="zh-CN"/>
        </w:rPr>
        <w:t>13646287155</w:t>
      </w:r>
    </w:p>
    <w:p>
      <w:pPr>
        <w:spacing w:line="360" w:lineRule="auto"/>
        <w:ind w:firstLine="480" w:firstLineChars="200"/>
        <w:jc w:val="center"/>
        <w:rPr>
          <w:rFonts w:hint="default" w:ascii="宋体" w:hAnsi="宋体" w:eastAsia="宋体" w:cs="宋体"/>
          <w:b/>
          <w:bCs/>
          <w:w w:val="80"/>
          <w:sz w:val="44"/>
          <w:szCs w:val="44"/>
          <w:lang w:val="en-US" w:eastAsia="zh-CN"/>
        </w:rPr>
      </w:pPr>
      <w:bookmarkStart w:id="11" w:name="_Toc12670503"/>
      <w:bookmarkStart w:id="12" w:name="_Toc11499584"/>
      <w:bookmarkStart w:id="13" w:name="_Toc521201597"/>
      <w:bookmarkStart w:id="14" w:name="_Toc94544828"/>
      <w:bookmarkStart w:id="15" w:name="_Toc11500280"/>
      <w:bookmarkStart w:id="16" w:name="_Toc94544744"/>
      <w:bookmarkStart w:id="17" w:name="_Toc11554639"/>
      <w:bookmarkStart w:id="18" w:name="_Toc94585340"/>
      <w:bookmarkStart w:id="19" w:name="_Toc521203418"/>
      <w:bookmarkStart w:id="20" w:name="_Toc8895739"/>
      <w:bookmarkStart w:id="21" w:name="_Toc363573854"/>
      <w:r>
        <w:rPr>
          <w:rFonts w:hint="eastAsia" w:ascii="宋体" w:hAnsi="宋体" w:cs="宋体"/>
          <w:sz w:val="24"/>
          <w:szCs w:val="24"/>
          <w:lang w:val="en-US" w:eastAsia="zh-CN"/>
        </w:rPr>
        <w:t xml:space="preserve">                                        2022年10月24日</w:t>
      </w:r>
    </w:p>
    <w:p>
      <w:pPr>
        <w:spacing w:line="360" w:lineRule="auto"/>
        <w:ind w:firstLine="707" w:firstLineChars="200"/>
        <w:jc w:val="center"/>
        <w:rPr>
          <w:rFonts w:hint="eastAsia" w:ascii="宋体" w:hAnsi="宋体" w:cs="宋体"/>
          <w:b/>
          <w:bCs/>
          <w:w w:val="80"/>
          <w:sz w:val="44"/>
          <w:szCs w:val="44"/>
        </w:rPr>
      </w:pPr>
    </w:p>
    <w:p>
      <w:pPr>
        <w:spacing w:line="360" w:lineRule="auto"/>
        <w:ind w:firstLine="707" w:firstLineChars="200"/>
        <w:jc w:val="center"/>
        <w:rPr>
          <w:rFonts w:hint="eastAsia" w:ascii="宋体" w:hAnsi="宋体" w:cs="宋体"/>
          <w:b/>
          <w:bCs/>
          <w:w w:val="80"/>
          <w:sz w:val="44"/>
          <w:szCs w:val="44"/>
        </w:rPr>
      </w:pPr>
    </w:p>
    <w:p>
      <w:pPr>
        <w:spacing w:line="360" w:lineRule="auto"/>
        <w:ind w:firstLine="707" w:firstLineChars="200"/>
        <w:jc w:val="center"/>
        <w:rPr>
          <w:rFonts w:ascii="宋体"/>
          <w:w w:val="80"/>
        </w:rPr>
      </w:pPr>
      <w:r>
        <w:rPr>
          <w:rFonts w:hint="eastAsia" w:ascii="宋体" w:hAnsi="宋体" w:cs="宋体"/>
          <w:b/>
          <w:bCs/>
          <w:w w:val="80"/>
          <w:sz w:val="44"/>
          <w:szCs w:val="44"/>
        </w:rPr>
        <w:t>第二章</w:t>
      </w:r>
      <w:bookmarkEnd w:id="11"/>
      <w:bookmarkEnd w:id="12"/>
      <w:bookmarkEnd w:id="13"/>
      <w:bookmarkEnd w:id="14"/>
      <w:bookmarkEnd w:id="15"/>
      <w:bookmarkEnd w:id="16"/>
      <w:bookmarkEnd w:id="17"/>
      <w:bookmarkEnd w:id="18"/>
      <w:bookmarkEnd w:id="19"/>
      <w:bookmarkEnd w:id="20"/>
      <w:r>
        <w:rPr>
          <w:rFonts w:hint="eastAsia" w:ascii="宋体" w:hAnsi="宋体" w:cs="宋体"/>
          <w:b/>
          <w:bCs/>
          <w:w w:val="80"/>
          <w:sz w:val="44"/>
          <w:szCs w:val="44"/>
        </w:rPr>
        <w:t xml:space="preserve"> 磋商供应商须知</w:t>
      </w:r>
      <w:bookmarkEnd w:id="21"/>
    </w:p>
    <w:p>
      <w:pPr>
        <w:snapToGrid w:val="0"/>
        <w:spacing w:line="480" w:lineRule="exact"/>
        <w:ind w:firstLine="482" w:firstLineChars="200"/>
        <w:outlineLvl w:val="1"/>
        <w:rPr>
          <w:rFonts w:ascii="宋体"/>
          <w:b/>
          <w:bCs/>
          <w:sz w:val="24"/>
          <w:szCs w:val="24"/>
        </w:rPr>
      </w:pPr>
      <w:bookmarkStart w:id="22" w:name="_Toc11499585"/>
      <w:bookmarkStart w:id="23" w:name="_Toc94585341"/>
      <w:bookmarkStart w:id="24" w:name="_Toc94544745"/>
      <w:bookmarkStart w:id="25" w:name="_Toc8895740"/>
      <w:bookmarkStart w:id="26" w:name="_Toc11554640"/>
      <w:bookmarkStart w:id="27" w:name="_Toc521203419"/>
      <w:bookmarkStart w:id="28" w:name="_Toc94544871"/>
      <w:bookmarkStart w:id="29" w:name="_Toc521201598"/>
      <w:bookmarkStart w:id="30" w:name="_Toc12670504"/>
      <w:bookmarkStart w:id="31" w:name="_Toc11500281"/>
      <w:r>
        <w:rPr>
          <w:rFonts w:hint="eastAsia" w:ascii="宋体" w:hAnsi="宋体" w:cs="宋体"/>
          <w:b/>
          <w:bCs/>
          <w:sz w:val="24"/>
          <w:szCs w:val="24"/>
        </w:rPr>
        <w:t>一、说明</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、本竞争性磋商文件仅适用于</w:t>
      </w:r>
      <w:r>
        <w:rPr>
          <w:rFonts w:hint="eastAsia" w:ascii="宋体" w:hAnsi="宋体" w:cs="宋体"/>
          <w:sz w:val="24"/>
          <w:szCs w:val="24"/>
          <w:lang w:eastAsia="zh-CN"/>
        </w:rPr>
        <w:t>中证房地产评估造价集团有限公司</w:t>
      </w:r>
      <w:r>
        <w:rPr>
          <w:rFonts w:hint="eastAsia" w:ascii="宋体" w:hAnsi="宋体" w:cs="宋体"/>
          <w:sz w:val="24"/>
          <w:szCs w:val="24"/>
        </w:rPr>
        <w:t>组织的竞争性磋商采购活动。</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、竞争性磋商活动及因本次磋商产生的合同受中国法律制约和保护。</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、竞争性磋商文件的解释权属于采购人。</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、供应商下载磋商文件后，应仔细检查磋商文件的所有内容。如内容中有页码短缺、资格要求以及任何设置有不合理的条件对供应商实行差别待遇或者歧视待遇的，应在磋商文件发布后的</w:t>
      </w:r>
      <w:r>
        <w:rPr>
          <w:rFonts w:ascii="宋体" w:hAnsi="宋体" w:cs="宋体"/>
          <w:sz w:val="24"/>
          <w:szCs w:val="24"/>
        </w:rPr>
        <w:t>4</w:t>
      </w:r>
      <w:r>
        <w:rPr>
          <w:rFonts w:hint="eastAsia" w:ascii="宋体" w:hAnsi="宋体" w:cs="宋体"/>
          <w:sz w:val="24"/>
          <w:szCs w:val="24"/>
        </w:rPr>
        <w:t>日内，以书面形式向代理机构提出询问或疑问，未在规定的时间内提出询问或疑问的，视同理解并接受本磋商文件的所有内容，因此引起的损失由供应商自负，而且供应商不得在磋商结束后针对磋商文件的所有内容提出质疑事项。</w:t>
      </w:r>
      <w:r>
        <w:rPr>
          <w:rFonts w:hint="eastAsia" w:ascii="宋体" w:hAnsi="宋体" w:cs="宋体"/>
          <w:b/>
          <w:bCs/>
          <w:sz w:val="24"/>
          <w:szCs w:val="24"/>
        </w:rPr>
        <w:t>非书面形式的不作为日后质疑提出的依据。</w:t>
      </w:r>
    </w:p>
    <w:p>
      <w:pPr>
        <w:snapToGrid w:val="0"/>
        <w:spacing w:line="360" w:lineRule="auto"/>
        <w:ind w:firstLine="480" w:firstLineChars="200"/>
        <w:textAlignment w:val="baseline"/>
        <w:rPr>
          <w:rFonts w:hint="eastAsia" w:ascii="宋体" w:hAnsi="宋体" w:cs="宋体"/>
          <w:color w:val="000000"/>
          <w:sz w:val="24"/>
          <w:szCs w:val="24"/>
        </w:rPr>
      </w:pPr>
      <w:r>
        <w:rPr>
          <w:rFonts w:hint="eastAsia" w:ascii="宋体" w:hAnsi="宋体" w:cs="宋体"/>
          <w:color w:val="000000"/>
          <w:sz w:val="24"/>
          <w:szCs w:val="24"/>
        </w:rPr>
        <w:t>5、供应商应认真审阅</w:t>
      </w:r>
      <w:r>
        <w:rPr>
          <w:rFonts w:hint="eastAsia" w:ascii="宋体" w:hAnsi="宋体" w:cs="宋体"/>
          <w:sz w:val="24"/>
          <w:szCs w:val="24"/>
        </w:rPr>
        <w:t>磋商文件中</w:t>
      </w:r>
      <w:r>
        <w:rPr>
          <w:rFonts w:hint="eastAsia" w:ascii="宋体" w:hAnsi="宋体" w:cs="宋体"/>
          <w:color w:val="000000"/>
          <w:sz w:val="24"/>
          <w:szCs w:val="24"/>
        </w:rPr>
        <w:t>所有的事项、格式、条款和规范要求等，如果供应商没有按照磋商文件要求提交响应文件，或者响应文件没有对磋商文件做出实质性响应，将被拒绝参与项目的磋商。</w:t>
      </w:r>
    </w:p>
    <w:p>
      <w:pPr>
        <w:snapToGrid w:val="0"/>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6、磋商文件项目需求提供的可能涉及到的工艺、材料、设备、商标、样本、技术规范、参数规格、品牌等，仅作为说明并没有限制性，供应商在磋商时可以选用替代，但这些替代的品牌、产品技术标准要优于或相当于项目需求技术规格中要求的标准，以满足采购人的需要。</w:t>
      </w:r>
    </w:p>
    <w:p>
      <w:pPr>
        <w:snapToGrid w:val="0"/>
        <w:spacing w:line="360" w:lineRule="auto"/>
        <w:ind w:firstLine="480" w:firstLineChars="200"/>
        <w:rPr>
          <w:rFonts w:hint="eastAsia"/>
        </w:rPr>
      </w:pPr>
      <w:r>
        <w:rPr>
          <w:sz w:val="24"/>
          <w:szCs w:val="24"/>
        </w:rPr>
        <w:t>7</w:t>
      </w:r>
      <w:r>
        <w:rPr>
          <w:rFonts w:hint="eastAsia"/>
          <w:sz w:val="24"/>
          <w:szCs w:val="24"/>
        </w:rPr>
        <w:t>、</w:t>
      </w:r>
      <w:r>
        <w:rPr>
          <w:rFonts w:hint="eastAsia" w:cs="宋体"/>
          <w:sz w:val="24"/>
          <w:szCs w:val="24"/>
        </w:rPr>
        <w:t>本磋商文件内所称的</w:t>
      </w:r>
      <w:r>
        <w:rPr>
          <w:sz w:val="24"/>
          <w:szCs w:val="24"/>
        </w:rPr>
        <w:t>“</w:t>
      </w:r>
      <w:r>
        <w:rPr>
          <w:rFonts w:hint="eastAsia" w:cs="宋体"/>
          <w:sz w:val="24"/>
          <w:szCs w:val="24"/>
        </w:rPr>
        <w:t>以上</w:t>
      </w:r>
      <w:r>
        <w:rPr>
          <w:sz w:val="24"/>
          <w:szCs w:val="24"/>
        </w:rPr>
        <w:t>”</w:t>
      </w:r>
      <w:r>
        <w:rPr>
          <w:rFonts w:hint="eastAsia" w:cs="宋体"/>
          <w:sz w:val="24"/>
          <w:szCs w:val="24"/>
        </w:rPr>
        <w:t>、</w:t>
      </w:r>
      <w:r>
        <w:rPr>
          <w:sz w:val="24"/>
          <w:szCs w:val="24"/>
        </w:rPr>
        <w:t>“</w:t>
      </w:r>
      <w:r>
        <w:rPr>
          <w:rFonts w:hint="eastAsia" w:cs="宋体"/>
          <w:sz w:val="24"/>
          <w:szCs w:val="24"/>
        </w:rPr>
        <w:t>以下</w:t>
      </w:r>
      <w:r>
        <w:rPr>
          <w:sz w:val="24"/>
          <w:szCs w:val="24"/>
        </w:rPr>
        <w:t>”</w:t>
      </w:r>
      <w:r>
        <w:rPr>
          <w:rFonts w:hint="eastAsia" w:cs="宋体"/>
          <w:sz w:val="24"/>
          <w:szCs w:val="24"/>
        </w:rPr>
        <w:t>、</w:t>
      </w:r>
      <w:r>
        <w:rPr>
          <w:sz w:val="24"/>
          <w:szCs w:val="24"/>
        </w:rPr>
        <w:t>“</w:t>
      </w:r>
      <w:r>
        <w:rPr>
          <w:rFonts w:hint="eastAsia" w:cs="宋体"/>
          <w:sz w:val="24"/>
          <w:szCs w:val="24"/>
        </w:rPr>
        <w:t>内</w:t>
      </w:r>
      <w:r>
        <w:rPr>
          <w:sz w:val="24"/>
          <w:szCs w:val="24"/>
        </w:rPr>
        <w:t>”</w:t>
      </w:r>
      <w:r>
        <w:rPr>
          <w:rFonts w:hint="eastAsia" w:cs="宋体"/>
          <w:sz w:val="24"/>
          <w:szCs w:val="24"/>
        </w:rPr>
        <w:t>、</w:t>
      </w:r>
      <w:r>
        <w:rPr>
          <w:sz w:val="24"/>
          <w:szCs w:val="24"/>
        </w:rPr>
        <w:t>“</w:t>
      </w:r>
      <w:r>
        <w:rPr>
          <w:rFonts w:hint="eastAsia" w:cs="宋体"/>
          <w:sz w:val="24"/>
          <w:szCs w:val="24"/>
        </w:rPr>
        <w:t>以内</w:t>
      </w:r>
      <w:r>
        <w:rPr>
          <w:sz w:val="24"/>
          <w:szCs w:val="24"/>
        </w:rPr>
        <w:t>”</w:t>
      </w:r>
      <w:r>
        <w:rPr>
          <w:rFonts w:hint="eastAsia" w:cs="宋体"/>
          <w:sz w:val="24"/>
          <w:szCs w:val="24"/>
        </w:rPr>
        <w:t>，包括本数；所称的</w:t>
      </w:r>
      <w:r>
        <w:rPr>
          <w:sz w:val="24"/>
          <w:szCs w:val="24"/>
        </w:rPr>
        <w:t>“</w:t>
      </w:r>
      <w:r>
        <w:rPr>
          <w:rFonts w:hint="eastAsia" w:cs="宋体"/>
          <w:sz w:val="24"/>
          <w:szCs w:val="24"/>
        </w:rPr>
        <w:t>不足</w:t>
      </w:r>
      <w:r>
        <w:rPr>
          <w:sz w:val="24"/>
          <w:szCs w:val="24"/>
        </w:rPr>
        <w:t>”</w:t>
      </w:r>
      <w:r>
        <w:rPr>
          <w:rFonts w:hint="eastAsia" w:cs="宋体"/>
          <w:sz w:val="24"/>
          <w:szCs w:val="24"/>
        </w:rPr>
        <w:t>、</w:t>
      </w:r>
      <w:r>
        <w:rPr>
          <w:sz w:val="24"/>
          <w:szCs w:val="24"/>
        </w:rPr>
        <w:t>“</w:t>
      </w:r>
      <w:r>
        <w:rPr>
          <w:rFonts w:hint="eastAsia" w:cs="宋体"/>
          <w:sz w:val="24"/>
          <w:szCs w:val="24"/>
        </w:rPr>
        <w:t>少于</w:t>
      </w:r>
      <w:r>
        <w:rPr>
          <w:sz w:val="24"/>
          <w:szCs w:val="24"/>
        </w:rPr>
        <w:t>”</w:t>
      </w:r>
      <w:r>
        <w:rPr>
          <w:rFonts w:hint="eastAsia" w:cs="宋体"/>
          <w:sz w:val="24"/>
          <w:szCs w:val="24"/>
        </w:rPr>
        <w:t>，不包括本数。</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二、磋商文件的澄清、修改、答疑</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、代理机构有权对发出的磋商文件进行必要的澄清、修改或补充。</w:t>
      </w:r>
    </w:p>
    <w:p>
      <w:pPr>
        <w:snapToGrid w:val="0"/>
        <w:spacing w:line="360" w:lineRule="auto"/>
        <w:ind w:firstLine="480" w:firstLineChars="200"/>
        <w:jc w:val="left"/>
        <w:rPr>
          <w:rFonts w:ascii="宋体"/>
          <w:sz w:val="24"/>
          <w:szCs w:val="24"/>
        </w:rPr>
      </w:pPr>
      <w:r>
        <w:rPr>
          <w:rFonts w:ascii="宋体" w:hAnsi="宋体" w:cs="宋体"/>
          <w:sz w:val="24"/>
          <w:szCs w:val="24"/>
        </w:rPr>
        <w:t>2</w:t>
      </w:r>
      <w:r>
        <w:rPr>
          <w:rFonts w:hint="eastAsia" w:ascii="宋体" w:hAnsi="宋体" w:cs="宋体"/>
          <w:sz w:val="24"/>
          <w:szCs w:val="24"/>
        </w:rPr>
        <w:t>、磋商文件的澄清、修改、补充等内容均以书面明确的形式发布，并以南通市卫生健康委员会官网（http://wjw.nantong.gov.cn）和南通市妇幼保健院官网（http://www.ntfybj.com）发布的信息为准。</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、代理机构对磋商文件的澄清、修改将构成磋商文件的一部分，对响应磋商的供应商具有约束力。</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、澄清或者修改的内容可能影响到响应文件编制的，代理机构将在提交响应文件接收截止之日</w:t>
      </w:r>
      <w:r>
        <w:rPr>
          <w:rFonts w:ascii="宋体" w:hAnsi="宋体" w:cs="宋体"/>
          <w:sz w:val="24"/>
          <w:szCs w:val="24"/>
        </w:rPr>
        <w:t>5</w:t>
      </w:r>
      <w:r>
        <w:rPr>
          <w:rFonts w:hint="eastAsia" w:ascii="宋体" w:hAnsi="宋体" w:cs="宋体"/>
          <w:sz w:val="24"/>
          <w:szCs w:val="24"/>
        </w:rPr>
        <w:t>日前，发布澄清或者修改公告，不足</w:t>
      </w:r>
      <w:r>
        <w:rPr>
          <w:rFonts w:ascii="宋体" w:hAnsi="宋体" w:cs="宋体"/>
          <w:sz w:val="24"/>
          <w:szCs w:val="24"/>
        </w:rPr>
        <w:t>5</w:t>
      </w:r>
      <w:r>
        <w:rPr>
          <w:rFonts w:hint="eastAsia" w:ascii="宋体" w:hAnsi="宋体" w:cs="宋体"/>
          <w:sz w:val="24"/>
          <w:szCs w:val="24"/>
        </w:rPr>
        <w:t>日的，当顺延提交响应文件接收截止时间。</w:t>
      </w:r>
    </w:p>
    <w:p>
      <w:pPr>
        <w:snapToGrid w:val="0"/>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、除非代理机构以书面的形式对磋商文件作出澄清、修改及补充，供应商对涉及磋商文件的任何推论、理解和结论所造成的结果，均由供应商自负。</w:t>
      </w:r>
    </w:p>
    <w:p>
      <w:pPr>
        <w:snapToGrid w:val="0"/>
        <w:spacing w:line="360" w:lineRule="auto"/>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、采购单位视情组织答疑会。如有产生答疑且对磋商文件内容有修改，代理机构将按照本须知有关规定，以补充通知（公告）的方式发出。</w:t>
      </w:r>
    </w:p>
    <w:p>
      <w:pPr>
        <w:snapToGrid w:val="0"/>
        <w:spacing w:line="360" w:lineRule="auto"/>
        <w:ind w:firstLine="482" w:firstLineChars="200"/>
        <w:outlineLvl w:val="1"/>
        <w:rPr>
          <w:rFonts w:ascii="宋体" w:hAnsi="宋体" w:cs="宋体"/>
          <w:b/>
          <w:color w:val="000000"/>
          <w:sz w:val="24"/>
          <w:szCs w:val="24"/>
        </w:rPr>
      </w:pPr>
      <w:r>
        <w:rPr>
          <w:rFonts w:hint="eastAsia" w:ascii="宋体" w:hAnsi="宋体" w:cs="宋体"/>
          <w:b/>
          <w:color w:val="000000"/>
          <w:sz w:val="24"/>
          <w:szCs w:val="24"/>
        </w:rPr>
        <w:t>三、磋商项目涉及到的现场勘察</w:t>
      </w:r>
    </w:p>
    <w:p>
      <w:pPr>
        <w:snapToGrid w:val="0"/>
        <w:spacing w:line="360" w:lineRule="auto"/>
        <w:ind w:firstLine="484" w:firstLineChars="202"/>
        <w:rPr>
          <w:rFonts w:ascii="宋体"/>
          <w:sz w:val="24"/>
          <w:szCs w:val="24"/>
        </w:rPr>
      </w:pPr>
      <w:r>
        <w:rPr>
          <w:rFonts w:ascii="宋体" w:hAnsi="宋体" w:cs="宋体"/>
          <w:sz w:val="24"/>
          <w:szCs w:val="24"/>
        </w:rPr>
        <w:t>1</w:t>
      </w:r>
      <w:r>
        <w:rPr>
          <w:rFonts w:hint="eastAsia" w:ascii="宋体" w:hAnsi="宋体" w:cs="宋体"/>
          <w:sz w:val="24"/>
          <w:szCs w:val="24"/>
        </w:rPr>
        <w:t>、磋商文件所提供的项目相关数据仅做参考，根据自身需要，供应商可在磋商文件递交之日前对有关现场和周围环境进行勘察，以获取编制响应文件和签署合同所需的信息。勘察现场所发生的费用由供应商自己承担。</w:t>
      </w:r>
    </w:p>
    <w:p>
      <w:pPr>
        <w:snapToGrid w:val="0"/>
        <w:spacing w:line="360" w:lineRule="auto"/>
        <w:ind w:firstLine="484" w:firstLineChars="202"/>
        <w:rPr>
          <w:rFonts w:ascii="宋体"/>
          <w:sz w:val="24"/>
          <w:szCs w:val="24"/>
        </w:rPr>
      </w:pPr>
      <w:r>
        <w:rPr>
          <w:rFonts w:ascii="宋体" w:hAnsi="宋体" w:cs="宋体"/>
          <w:sz w:val="24"/>
          <w:szCs w:val="24"/>
        </w:rPr>
        <w:t>2</w:t>
      </w:r>
      <w:r>
        <w:rPr>
          <w:rFonts w:hint="eastAsia" w:ascii="宋体" w:hAnsi="宋体" w:cs="宋体"/>
          <w:sz w:val="24"/>
          <w:szCs w:val="24"/>
        </w:rPr>
        <w:t>、采购人向供应商提供的有关现场的资料和数据，是采购人现有的并认为能使供应商可利用的资料。采购人对供应商由此而做出的推论、理解和结论概不负责。</w:t>
      </w:r>
    </w:p>
    <w:p>
      <w:pPr>
        <w:snapToGrid w:val="0"/>
        <w:spacing w:line="360" w:lineRule="auto"/>
        <w:ind w:firstLine="484" w:firstLineChars="202"/>
        <w:rPr>
          <w:rFonts w:ascii="宋体"/>
          <w:sz w:val="24"/>
          <w:szCs w:val="24"/>
        </w:rPr>
      </w:pPr>
      <w:r>
        <w:rPr>
          <w:rFonts w:ascii="宋体" w:hAnsi="宋体" w:cs="宋体"/>
          <w:sz w:val="24"/>
          <w:szCs w:val="24"/>
        </w:rPr>
        <w:t>3</w:t>
      </w:r>
      <w:r>
        <w:rPr>
          <w:rFonts w:hint="eastAsia" w:ascii="宋体" w:hAnsi="宋体" w:cs="宋体"/>
          <w:sz w:val="24"/>
          <w:szCs w:val="24"/>
        </w:rPr>
        <w:t>、经采购人允许，供应商可为勘察目的进入采购人的项目现场，但供应商不得因此使采购人承担有关的责任和蒙受损失。供应商应承担勘察现场的责任和风险。</w:t>
      </w:r>
    </w:p>
    <w:p>
      <w:pPr>
        <w:snapToGrid w:val="0"/>
        <w:spacing w:line="360" w:lineRule="auto"/>
        <w:ind w:firstLine="484" w:firstLineChars="202"/>
        <w:rPr>
          <w:rFonts w:ascii="宋体" w:hAnsi="宋体" w:cs="宋体"/>
          <w:sz w:val="24"/>
          <w:szCs w:val="24"/>
        </w:rPr>
      </w:pPr>
      <w:r>
        <w:rPr>
          <w:rFonts w:ascii="宋体" w:hAnsi="宋体" w:cs="宋体"/>
          <w:sz w:val="24"/>
          <w:szCs w:val="24"/>
        </w:rPr>
        <w:t>4</w:t>
      </w:r>
      <w:r>
        <w:rPr>
          <w:rFonts w:hint="eastAsia" w:ascii="宋体" w:hAnsi="宋体" w:cs="宋体"/>
          <w:sz w:val="24"/>
          <w:szCs w:val="24"/>
        </w:rPr>
        <w:t>、供应商应认真踏勘现场。在现场勘察时，熟悉服务及作业现场、现场周围交通道路等情况，以获得一切可能影响其投标的直接资料。供应商成交后，不得以不完全了解现场情况为理由而向采购人提出任何索赔的要求，对此采购人不承担任何责任并将不作任何答复与考虑。</w:t>
      </w:r>
    </w:p>
    <w:p>
      <w:pPr>
        <w:pStyle w:val="2"/>
        <w:ind w:firstLine="482"/>
        <w:rPr>
          <w:rFonts w:hint="eastAsia" w:ascii="宋体" w:hAnsi="宋体" w:eastAsia="宋体" w:cs="宋体"/>
          <w:b/>
          <w:bCs/>
          <w:color w:val="000000"/>
          <w:sz w:val="24"/>
          <w:szCs w:val="24"/>
          <w:lang w:eastAsia="zh-CN"/>
        </w:rPr>
      </w:pPr>
      <w:r>
        <w:rPr>
          <w:rFonts w:hint="eastAsia" w:ascii="宋体" w:hAnsi="宋体" w:cs="宋体"/>
          <w:b/>
          <w:bCs/>
          <w:color w:val="000000"/>
          <w:sz w:val="24"/>
          <w:szCs w:val="24"/>
        </w:rPr>
        <w:t>现场踏勘联系人：</w:t>
      </w:r>
      <w:r>
        <w:rPr>
          <w:rFonts w:hint="eastAsia" w:ascii="宋体" w:hAnsi="宋体" w:cs="宋体"/>
          <w:b/>
          <w:bCs/>
          <w:color w:val="000000"/>
          <w:sz w:val="24"/>
          <w:szCs w:val="24"/>
          <w:lang w:eastAsia="zh-CN"/>
        </w:rPr>
        <w:t>张主任</w:t>
      </w:r>
      <w:r>
        <w:rPr>
          <w:rFonts w:hint="eastAsia" w:ascii="宋体" w:hAnsi="宋体" w:cs="宋体"/>
          <w:b/>
          <w:bCs/>
          <w:color w:val="000000"/>
          <w:sz w:val="24"/>
          <w:szCs w:val="24"/>
        </w:rPr>
        <w:t xml:space="preserve">      联系电话：13962958761 </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四、响应文件的编制及装订</w:t>
      </w:r>
    </w:p>
    <w:p>
      <w:pPr>
        <w:snapToGrid w:val="0"/>
        <w:spacing w:line="360" w:lineRule="auto"/>
        <w:ind w:firstLine="487" w:firstLineChars="202"/>
        <w:rPr>
          <w:rFonts w:ascii="宋体"/>
          <w:b/>
          <w:bCs/>
          <w:sz w:val="24"/>
          <w:szCs w:val="24"/>
        </w:rPr>
      </w:pPr>
      <w:r>
        <w:rPr>
          <w:rFonts w:hint="eastAsia" w:ascii="宋体" w:hAnsi="宋体" w:cs="宋体"/>
          <w:b/>
          <w:bCs/>
          <w:sz w:val="24"/>
          <w:szCs w:val="24"/>
        </w:rPr>
        <w:t>供应商按磋商文件要求编写响应文件，并牢固装订成册。响应文件均需采用</w:t>
      </w:r>
      <w:r>
        <w:rPr>
          <w:rFonts w:ascii="宋体" w:hAnsi="宋体" w:cs="宋体"/>
          <w:b/>
          <w:bCs/>
          <w:sz w:val="24"/>
          <w:szCs w:val="24"/>
        </w:rPr>
        <w:t>A4</w:t>
      </w:r>
      <w:r>
        <w:rPr>
          <w:rFonts w:hint="eastAsia" w:ascii="宋体" w:hAnsi="宋体" w:cs="宋体"/>
          <w:b/>
          <w:bCs/>
          <w:sz w:val="24"/>
          <w:szCs w:val="24"/>
        </w:rPr>
        <w:t>纸（图纸等除外），不允许使用活页夹、拉杆夹、文件夹、塑料方便式书脊（插入式或穿孔式）装订。响应文件不得行间插字、涂改、增删，如修改错漏处，须经响应文件签署人签字并加盖公章。</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五、响应文件的份数和签署</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、响应文件由：</w:t>
      </w:r>
      <w:r>
        <w:rPr>
          <w:rFonts w:ascii="宋体" w:hAnsi="宋体" w:cs="宋体"/>
          <w:sz w:val="24"/>
          <w:szCs w:val="24"/>
        </w:rPr>
        <w:fldChar w:fldCharType="begin"/>
      </w:r>
      <w:r>
        <w:rPr>
          <w:rFonts w:ascii="宋体" w:hAnsi="宋体" w:cs="宋体"/>
          <w:sz w:val="24"/>
          <w:szCs w:val="24"/>
        </w:rPr>
        <w:instrText xml:space="preserve"> = 1 \* GB3 </w:instrText>
      </w:r>
      <w:r>
        <w:rPr>
          <w:rFonts w:ascii="宋体" w:hAnsi="宋体" w:cs="宋体"/>
          <w:sz w:val="24"/>
          <w:szCs w:val="24"/>
        </w:rPr>
        <w:fldChar w:fldCharType="separate"/>
      </w:r>
      <w:r>
        <w:rPr>
          <w:rFonts w:hint="eastAsia" w:ascii="宋体" w:hAnsi="宋体" w:cs="宋体"/>
          <w:sz w:val="24"/>
          <w:szCs w:val="24"/>
        </w:rPr>
        <w:t>①</w:t>
      </w:r>
      <w:r>
        <w:rPr>
          <w:rFonts w:ascii="宋体" w:hAnsi="宋体" w:cs="宋体"/>
          <w:sz w:val="24"/>
          <w:szCs w:val="24"/>
        </w:rPr>
        <w:fldChar w:fldCharType="end"/>
      </w:r>
      <w:r>
        <w:rPr>
          <w:rFonts w:hint="eastAsia" w:ascii="宋体" w:hAnsi="宋体" w:cs="宋体"/>
          <w:sz w:val="24"/>
          <w:szCs w:val="24"/>
        </w:rPr>
        <w:t>资格审查文件、</w:t>
      </w:r>
      <w:r>
        <w:rPr>
          <w:rFonts w:ascii="宋体" w:hAnsi="宋体" w:cs="宋体"/>
          <w:sz w:val="24"/>
          <w:szCs w:val="24"/>
        </w:rPr>
        <w:fldChar w:fldCharType="begin"/>
      </w:r>
      <w:r>
        <w:rPr>
          <w:rFonts w:ascii="宋体" w:hAnsi="宋体" w:cs="宋体"/>
          <w:sz w:val="24"/>
          <w:szCs w:val="24"/>
        </w:rPr>
        <w:instrText xml:space="preserve"> = 2 \* GB3 </w:instrText>
      </w:r>
      <w:r>
        <w:rPr>
          <w:rFonts w:ascii="宋体" w:hAnsi="宋体" w:cs="宋体"/>
          <w:sz w:val="24"/>
          <w:szCs w:val="24"/>
        </w:rPr>
        <w:fldChar w:fldCharType="separate"/>
      </w:r>
      <w:r>
        <w:rPr>
          <w:rFonts w:hint="eastAsia" w:ascii="宋体" w:hAnsi="宋体" w:cs="宋体"/>
          <w:sz w:val="24"/>
          <w:szCs w:val="24"/>
        </w:rPr>
        <w:t>②</w:t>
      </w:r>
      <w:r>
        <w:rPr>
          <w:rFonts w:ascii="宋体" w:hAnsi="宋体" w:cs="宋体"/>
          <w:sz w:val="24"/>
          <w:szCs w:val="24"/>
        </w:rPr>
        <w:fldChar w:fldCharType="end"/>
      </w:r>
      <w:r>
        <w:rPr>
          <w:rFonts w:hint="eastAsia" w:ascii="宋体" w:hAnsi="宋体" w:cs="宋体"/>
          <w:sz w:val="24"/>
          <w:szCs w:val="24"/>
        </w:rPr>
        <w:t>技术响应文件、</w:t>
      </w:r>
      <w:r>
        <w:rPr>
          <w:rFonts w:ascii="宋体" w:hAnsi="宋体" w:cs="宋体"/>
          <w:sz w:val="24"/>
          <w:szCs w:val="24"/>
        </w:rPr>
        <w:fldChar w:fldCharType="begin"/>
      </w:r>
      <w:r>
        <w:rPr>
          <w:rFonts w:ascii="宋体" w:hAnsi="宋体" w:cs="宋体"/>
          <w:sz w:val="24"/>
          <w:szCs w:val="24"/>
        </w:rPr>
        <w:instrText xml:space="preserve"> = 3 \* GB3 </w:instrText>
      </w:r>
      <w:r>
        <w:rPr>
          <w:rFonts w:ascii="宋体" w:hAnsi="宋体" w:cs="宋体"/>
          <w:sz w:val="24"/>
          <w:szCs w:val="24"/>
        </w:rPr>
        <w:fldChar w:fldCharType="separate"/>
      </w:r>
      <w:r>
        <w:rPr>
          <w:rFonts w:hint="eastAsia" w:ascii="宋体" w:hAnsi="宋体" w:cs="宋体"/>
          <w:sz w:val="24"/>
          <w:szCs w:val="24"/>
        </w:rPr>
        <w:t>③</w:t>
      </w:r>
      <w:r>
        <w:rPr>
          <w:rFonts w:ascii="宋体" w:hAnsi="宋体" w:cs="宋体"/>
          <w:sz w:val="24"/>
          <w:szCs w:val="24"/>
        </w:rPr>
        <w:fldChar w:fldCharType="end"/>
      </w:r>
      <w:r>
        <w:rPr>
          <w:rFonts w:hint="eastAsia" w:ascii="宋体" w:hAnsi="宋体" w:cs="宋体"/>
          <w:sz w:val="24"/>
          <w:szCs w:val="24"/>
        </w:rPr>
        <w:t>商务报价响应文件，共</w:t>
      </w:r>
      <w:r>
        <w:rPr>
          <w:rFonts w:ascii="宋体" w:hAnsi="宋体" w:cs="宋体"/>
          <w:sz w:val="24"/>
          <w:szCs w:val="24"/>
        </w:rPr>
        <w:t>3</w:t>
      </w:r>
      <w:r>
        <w:rPr>
          <w:rFonts w:hint="eastAsia" w:ascii="宋体" w:hAnsi="宋体" w:cs="宋体"/>
          <w:sz w:val="24"/>
          <w:szCs w:val="24"/>
        </w:rPr>
        <w:t>部分组成（以下由文件序号代称）。</w:t>
      </w:r>
    </w:p>
    <w:p>
      <w:pPr>
        <w:snapToGrid w:val="0"/>
        <w:spacing w:line="360" w:lineRule="auto"/>
        <w:ind w:firstLine="480" w:firstLineChars="200"/>
        <w:rPr>
          <w:rFonts w:ascii="宋体"/>
          <w:sz w:val="24"/>
          <w:szCs w:val="24"/>
          <w:u w:val="single"/>
        </w:rPr>
      </w:pPr>
      <w:r>
        <w:rPr>
          <w:rFonts w:ascii="宋体" w:hAnsi="宋体" w:cs="宋体"/>
          <w:sz w:val="24"/>
          <w:szCs w:val="24"/>
        </w:rPr>
        <w:t>2</w:t>
      </w:r>
      <w:r>
        <w:rPr>
          <w:rFonts w:hint="eastAsia" w:ascii="宋体" w:hAnsi="宋体" w:cs="宋体"/>
          <w:sz w:val="24"/>
          <w:szCs w:val="24"/>
        </w:rPr>
        <w:t>、响应文件均为壹式叁份，其中“正本”壹份和“副本”贰份。</w:t>
      </w:r>
    </w:p>
    <w:p>
      <w:pPr>
        <w:snapToGrid w:val="0"/>
        <w:spacing w:line="360" w:lineRule="auto"/>
        <w:ind w:firstLine="470" w:firstLineChars="196"/>
        <w:rPr>
          <w:rFonts w:ascii="宋体"/>
          <w:sz w:val="24"/>
          <w:szCs w:val="24"/>
        </w:rPr>
      </w:pPr>
      <w:r>
        <w:rPr>
          <w:rFonts w:ascii="宋体" w:hAnsi="宋体" w:cs="宋体"/>
          <w:sz w:val="24"/>
          <w:szCs w:val="24"/>
        </w:rPr>
        <w:t>3</w:t>
      </w:r>
      <w:r>
        <w:rPr>
          <w:rFonts w:hint="eastAsia" w:ascii="宋体" w:hAnsi="宋体" w:cs="宋体"/>
          <w:sz w:val="24"/>
          <w:szCs w:val="24"/>
        </w:rPr>
        <w:t>、在每份响应文件上要明确标注项目名称、项目编号、对应的响应文件名称、供应商的全称、日期、“正本”、“副本”字样。“正本”和“副本”若有差异，概以“正本”为准。</w:t>
      </w:r>
    </w:p>
    <w:p>
      <w:pPr>
        <w:snapToGrid w:val="0"/>
        <w:spacing w:line="360" w:lineRule="auto"/>
        <w:ind w:firstLine="470" w:firstLineChars="196"/>
        <w:rPr>
          <w:rFonts w:ascii="宋体"/>
          <w:sz w:val="24"/>
          <w:szCs w:val="24"/>
        </w:rPr>
      </w:pPr>
      <w:r>
        <w:rPr>
          <w:rFonts w:ascii="宋体" w:hAnsi="宋体" w:cs="宋体"/>
          <w:sz w:val="24"/>
          <w:szCs w:val="24"/>
        </w:rPr>
        <w:t>4</w:t>
      </w:r>
      <w:r>
        <w:rPr>
          <w:rFonts w:hint="eastAsia" w:ascii="宋体" w:hAnsi="宋体" w:cs="宋体"/>
          <w:sz w:val="24"/>
          <w:szCs w:val="24"/>
        </w:rPr>
        <w:t>、供应商可将响应文件正副本统一密封或分别密封，如正本和副本分别密封的，应在封袋上标明正、副本字样。</w:t>
      </w:r>
    </w:p>
    <w:p>
      <w:pPr>
        <w:snapToGrid w:val="0"/>
        <w:spacing w:line="360" w:lineRule="auto"/>
        <w:ind w:firstLine="470" w:firstLineChars="196"/>
        <w:rPr>
          <w:rFonts w:ascii="宋体"/>
          <w:sz w:val="24"/>
          <w:szCs w:val="24"/>
        </w:rPr>
      </w:pPr>
      <w:r>
        <w:rPr>
          <w:rFonts w:ascii="宋体" w:hAnsi="宋体" w:cs="宋体"/>
          <w:sz w:val="24"/>
          <w:szCs w:val="24"/>
        </w:rPr>
        <w:t>5</w:t>
      </w:r>
      <w:r>
        <w:rPr>
          <w:rFonts w:hint="eastAsia" w:ascii="宋体" w:hAnsi="宋体" w:cs="宋体"/>
          <w:sz w:val="24"/>
          <w:szCs w:val="24"/>
        </w:rPr>
        <w:t>、响应文件中的所有“正本”，其正文内容须按磋商文件要求由供应商法定代表人或被授权人签字（或盖章）并加盖单位公章。“副本”可复印，但须加盖单位公章。</w:t>
      </w:r>
    </w:p>
    <w:p>
      <w:pPr>
        <w:snapToGrid w:val="0"/>
        <w:spacing w:line="360" w:lineRule="auto"/>
        <w:ind w:firstLine="472" w:firstLineChars="196"/>
        <w:rPr>
          <w:rFonts w:ascii="宋体"/>
          <w:b/>
          <w:bCs/>
          <w:sz w:val="24"/>
          <w:szCs w:val="24"/>
        </w:rPr>
      </w:pPr>
      <w:r>
        <w:rPr>
          <w:rFonts w:hint="eastAsia" w:ascii="宋体" w:hAnsi="宋体" w:cs="宋体"/>
          <w:b/>
          <w:bCs/>
          <w:sz w:val="24"/>
          <w:szCs w:val="24"/>
        </w:rPr>
        <w:t>六、响应文件的密封及标记</w:t>
      </w:r>
    </w:p>
    <w:p>
      <w:pPr>
        <w:snapToGrid w:val="0"/>
        <w:spacing w:line="360" w:lineRule="auto"/>
        <w:ind w:firstLine="480" w:firstLineChars="200"/>
        <w:rPr>
          <w:rFonts w:ascii="宋体"/>
          <w:sz w:val="24"/>
          <w:szCs w:val="24"/>
          <w:u w:val="single"/>
        </w:rPr>
      </w:pPr>
      <w:r>
        <w:rPr>
          <w:rFonts w:ascii="宋体" w:hAnsi="宋体" w:cs="宋体"/>
          <w:sz w:val="24"/>
          <w:szCs w:val="24"/>
        </w:rPr>
        <w:t>1</w:t>
      </w:r>
      <w:r>
        <w:rPr>
          <w:rFonts w:hint="eastAsia" w:ascii="宋体" w:hAnsi="宋体" w:cs="宋体"/>
          <w:sz w:val="24"/>
          <w:szCs w:val="24"/>
        </w:rPr>
        <w:t>、供应商须将本项目响应文件：</w:t>
      </w:r>
      <w:r>
        <w:rPr>
          <w:rFonts w:hint="eastAsia" w:ascii="宋体" w:hAnsi="宋体" w:cs="宋体"/>
          <w:b/>
          <w:bCs/>
          <w:color w:val="000000"/>
          <w:sz w:val="24"/>
          <w:szCs w:val="24"/>
        </w:rPr>
        <w:t>资格审查文件、技术响应文件、商务报价响应文件</w:t>
      </w:r>
      <w:r>
        <w:rPr>
          <w:rFonts w:hint="eastAsia" w:ascii="宋体" w:hAnsi="宋体" w:cs="宋体"/>
          <w:b/>
          <w:sz w:val="24"/>
          <w:szCs w:val="24"/>
        </w:rPr>
        <w:t>单独密封</w:t>
      </w:r>
      <w:r>
        <w:rPr>
          <w:rFonts w:hint="eastAsia" w:ascii="宋体" w:hAnsi="宋体" w:cs="宋体"/>
          <w:sz w:val="24"/>
          <w:szCs w:val="24"/>
        </w:rPr>
        <w:t>。</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、密封后，应在每一密封的响应文件上明确标注磋商项目名称、响应文件各自对应的名称、供应商的全称及日期。</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、在边缝处加盖供应商公章或骑缝签字。</w:t>
      </w:r>
    </w:p>
    <w:p>
      <w:pPr>
        <w:snapToGrid w:val="0"/>
        <w:spacing w:line="360" w:lineRule="auto"/>
        <w:ind w:firstLine="482" w:firstLineChars="200"/>
        <w:textAlignment w:val="baseline"/>
        <w:rPr>
          <w:rFonts w:ascii="宋体" w:hAnsi="宋体" w:cs="宋体"/>
          <w:sz w:val="24"/>
          <w:szCs w:val="24"/>
        </w:rPr>
      </w:pPr>
      <w:r>
        <w:rPr>
          <w:rFonts w:hint="eastAsia" w:ascii="宋体" w:hAnsi="宋体" w:cs="宋体"/>
          <w:b/>
          <w:bCs/>
          <w:sz w:val="24"/>
          <w:szCs w:val="24"/>
        </w:rPr>
        <w:t>【特别提醒】</w:t>
      </w:r>
      <w:r>
        <w:rPr>
          <w:rFonts w:hint="eastAsia" w:ascii="宋体" w:hAnsi="宋体" w:cs="宋体"/>
          <w:sz w:val="24"/>
          <w:szCs w:val="24"/>
        </w:rPr>
        <w:t>响应文件中的</w:t>
      </w:r>
      <w:r>
        <w:rPr>
          <w:rFonts w:hint="eastAsia" w:ascii="宋体" w:hAnsi="宋体" w:cs="宋体"/>
          <w:b/>
          <w:bCs/>
          <w:color w:val="000000"/>
          <w:sz w:val="24"/>
          <w:szCs w:val="24"/>
        </w:rPr>
        <w:t>资格审查文件、技术响应文件</w:t>
      </w:r>
      <w:r>
        <w:rPr>
          <w:rFonts w:hint="eastAsia" w:ascii="宋体" w:hAnsi="宋体" w:cs="宋体"/>
          <w:sz w:val="24"/>
          <w:szCs w:val="24"/>
        </w:rPr>
        <w:t>的“正本”或“副本”中，均不得含有商务报价响应文件中报价表（报价单）内的任何项目价格，否则作无效响应处理。</w:t>
      </w:r>
    </w:p>
    <w:p>
      <w:pPr>
        <w:snapToGrid w:val="0"/>
        <w:spacing w:line="360" w:lineRule="auto"/>
        <w:ind w:firstLine="496" w:firstLineChars="206"/>
        <w:outlineLvl w:val="1"/>
        <w:rPr>
          <w:rFonts w:ascii="宋体"/>
          <w:b/>
          <w:bCs/>
          <w:sz w:val="24"/>
          <w:szCs w:val="24"/>
        </w:rPr>
      </w:pPr>
      <w:r>
        <w:rPr>
          <w:rFonts w:hint="eastAsia" w:ascii="宋体" w:hAnsi="宋体" w:cs="宋体"/>
          <w:b/>
          <w:bCs/>
          <w:sz w:val="24"/>
          <w:szCs w:val="24"/>
        </w:rPr>
        <w:t>七、</w:t>
      </w:r>
      <w:r>
        <w:rPr>
          <w:rFonts w:hint="eastAsia" w:ascii="宋体" w:hAnsi="宋体" w:cs="宋体"/>
          <w:b/>
          <w:bCs/>
          <w:color w:val="000000"/>
          <w:sz w:val="24"/>
          <w:szCs w:val="24"/>
        </w:rPr>
        <w:t>磋商报价</w:t>
      </w:r>
    </w:p>
    <w:p>
      <w:pPr>
        <w:snapToGrid w:val="0"/>
        <w:spacing w:line="360" w:lineRule="auto"/>
        <w:ind w:firstLine="494" w:firstLineChars="206"/>
        <w:rPr>
          <w:rFonts w:ascii="宋体"/>
          <w:sz w:val="24"/>
          <w:szCs w:val="24"/>
        </w:rPr>
      </w:pPr>
      <w:r>
        <w:rPr>
          <w:rFonts w:ascii="宋体" w:hAnsi="宋体" w:cs="宋体"/>
          <w:sz w:val="24"/>
          <w:szCs w:val="24"/>
        </w:rPr>
        <w:t>1</w:t>
      </w:r>
      <w:r>
        <w:rPr>
          <w:rFonts w:hint="eastAsia" w:ascii="宋体" w:hAnsi="宋体" w:cs="宋体"/>
          <w:sz w:val="24"/>
          <w:szCs w:val="24"/>
        </w:rPr>
        <w:t>、本项目不接受任何有选择的报价。</w:t>
      </w:r>
    </w:p>
    <w:p>
      <w:pPr>
        <w:snapToGrid w:val="0"/>
        <w:spacing w:line="360" w:lineRule="auto"/>
        <w:ind w:firstLine="494" w:firstLineChars="206"/>
        <w:rPr>
          <w:rFonts w:ascii="宋体"/>
          <w:sz w:val="24"/>
          <w:szCs w:val="24"/>
        </w:rPr>
      </w:pPr>
      <w:r>
        <w:rPr>
          <w:rFonts w:ascii="宋体" w:hAnsi="宋体" w:cs="宋体"/>
          <w:sz w:val="24"/>
          <w:szCs w:val="24"/>
        </w:rPr>
        <w:t>2</w:t>
      </w:r>
      <w:r>
        <w:rPr>
          <w:rFonts w:hint="eastAsia" w:ascii="宋体" w:hAnsi="宋体" w:cs="宋体"/>
          <w:sz w:val="24"/>
          <w:szCs w:val="24"/>
        </w:rPr>
        <w:t>、磋商报价均以人民币为报价的币种。</w:t>
      </w:r>
    </w:p>
    <w:p>
      <w:pPr>
        <w:snapToGrid w:val="0"/>
        <w:spacing w:line="360" w:lineRule="auto"/>
        <w:ind w:firstLine="494" w:firstLineChars="206"/>
        <w:rPr>
          <w:rFonts w:hint="eastAsia" w:ascii="宋体" w:hAnsi="宋体" w:eastAsia="宋体" w:cs="宋体"/>
          <w:snapToGrid/>
          <w:kern w:val="2"/>
          <w:sz w:val="24"/>
        </w:rPr>
      </w:pPr>
      <w:r>
        <w:rPr>
          <w:rFonts w:ascii="宋体" w:hAnsi="宋体" w:eastAsia="宋体" w:cs="宋体"/>
          <w:snapToGrid/>
          <w:kern w:val="2"/>
          <w:sz w:val="24"/>
        </w:rPr>
        <w:t>3</w:t>
      </w:r>
      <w:r>
        <w:rPr>
          <w:rFonts w:hint="eastAsia" w:ascii="宋体" w:hAnsi="宋体" w:eastAsia="宋体" w:cs="宋体"/>
          <w:snapToGrid/>
          <w:kern w:val="2"/>
          <w:sz w:val="24"/>
        </w:rPr>
        <w:t>、磋商报价表必须加盖单位公章且必须经法定代表人或被授权人签字或 盖章。</w:t>
      </w:r>
      <w:r>
        <w:rPr>
          <w:rFonts w:hint="eastAsia" w:ascii="宋体" w:hAnsi="宋体" w:eastAsia="宋体" w:cs="宋体"/>
          <w:snapToGrid/>
          <w:kern w:val="2"/>
          <w:sz w:val="24"/>
          <w:lang w:val="en-US" w:eastAsia="zh-CN"/>
        </w:rPr>
        <w:t>报价</w:t>
      </w:r>
      <w:r>
        <w:rPr>
          <w:rFonts w:hint="eastAsia" w:ascii="宋体" w:hAnsi="宋体" w:eastAsia="宋体" w:cs="宋体"/>
          <w:snapToGrid/>
          <w:kern w:val="2"/>
          <w:sz w:val="24"/>
        </w:rPr>
        <w:t>表中的报价出现前后不一致的，将执行财政部第 87 号令《政府采购货物和服务招标投标管理办法》第 59 条的规定修正:</w:t>
      </w:r>
    </w:p>
    <w:p>
      <w:pPr>
        <w:snapToGrid w:val="0"/>
        <w:spacing w:line="360" w:lineRule="auto"/>
        <w:ind w:firstLine="494" w:firstLineChars="206"/>
        <w:rPr>
          <w:rFonts w:hint="eastAsia" w:ascii="宋体" w:hAnsi="宋体" w:eastAsia="宋体" w:cs="宋体"/>
          <w:snapToGrid/>
          <w:kern w:val="2"/>
          <w:sz w:val="24"/>
        </w:rPr>
      </w:pPr>
      <w:r>
        <w:rPr>
          <w:rFonts w:hint="eastAsia" w:ascii="宋体" w:hAnsi="宋体" w:eastAsia="宋体" w:cs="宋体"/>
          <w:snapToGrid/>
          <w:kern w:val="2"/>
          <w:sz w:val="24"/>
        </w:rPr>
        <w:t>3.1开标一览表(报价表)内容与投标文件中相应内容不一致的，以开标一览表(报价表)为准;</w:t>
      </w:r>
    </w:p>
    <w:p>
      <w:pPr>
        <w:snapToGrid w:val="0"/>
        <w:spacing w:line="360" w:lineRule="auto"/>
        <w:ind w:firstLine="494" w:firstLineChars="206"/>
        <w:rPr>
          <w:rFonts w:hint="eastAsia" w:ascii="宋体" w:hAnsi="宋体" w:eastAsia="宋体" w:cs="宋体"/>
          <w:snapToGrid/>
          <w:kern w:val="2"/>
          <w:sz w:val="24"/>
        </w:rPr>
      </w:pPr>
      <w:r>
        <w:rPr>
          <w:rFonts w:hint="eastAsia" w:ascii="宋体" w:hAnsi="宋体" w:eastAsia="宋体" w:cs="宋体"/>
          <w:snapToGrid/>
          <w:kern w:val="2"/>
          <w:sz w:val="24"/>
        </w:rPr>
        <w:t>3.2 大写金额和小写金额不一致的，以大写金额为准;</w:t>
      </w:r>
    </w:p>
    <w:p>
      <w:pPr>
        <w:snapToGrid w:val="0"/>
        <w:spacing w:line="360" w:lineRule="auto"/>
        <w:ind w:firstLine="494" w:firstLineChars="206"/>
        <w:rPr>
          <w:rFonts w:hint="eastAsia" w:ascii="宋体" w:hAnsi="宋体" w:eastAsia="宋体" w:cs="宋体"/>
          <w:snapToGrid/>
          <w:kern w:val="2"/>
          <w:sz w:val="24"/>
        </w:rPr>
      </w:pPr>
      <w:r>
        <w:rPr>
          <w:rFonts w:hint="eastAsia" w:ascii="宋体" w:hAnsi="宋体" w:eastAsia="宋体" w:cs="宋体"/>
          <w:snapToGrid/>
          <w:kern w:val="2"/>
          <w:sz w:val="24"/>
        </w:rPr>
        <w:t>3.3单价金额小数点或者百分比有明显错位的，以开标一览表(报价表)的总价为准，并修改单价;</w:t>
      </w:r>
    </w:p>
    <w:p>
      <w:pPr>
        <w:snapToGrid w:val="0"/>
        <w:spacing w:line="360" w:lineRule="auto"/>
        <w:ind w:firstLine="494" w:firstLineChars="206"/>
        <w:rPr>
          <w:rFonts w:hint="eastAsia" w:ascii="宋体" w:hAnsi="宋体" w:eastAsia="宋体" w:cs="宋体"/>
          <w:snapToGrid/>
          <w:kern w:val="2"/>
          <w:sz w:val="24"/>
        </w:rPr>
      </w:pPr>
      <w:r>
        <w:rPr>
          <w:rFonts w:hint="eastAsia" w:ascii="宋体" w:hAnsi="宋体" w:eastAsia="宋体" w:cs="宋体"/>
          <w:snapToGrid/>
          <w:kern w:val="2"/>
          <w:sz w:val="24"/>
        </w:rPr>
        <w:t>3.4总价金额与按单价汇总金额不一致的，以单价金额计算结果为准。</w:t>
      </w:r>
    </w:p>
    <w:p>
      <w:pPr>
        <w:snapToGrid w:val="0"/>
        <w:spacing w:line="360" w:lineRule="auto"/>
        <w:ind w:firstLine="480" w:firstLineChars="200"/>
        <w:rPr>
          <w:rFonts w:hint="eastAsia" w:ascii="宋体" w:hAnsi="宋体" w:eastAsia="宋体" w:cs="宋体"/>
          <w:snapToGrid/>
          <w:kern w:val="2"/>
          <w:sz w:val="24"/>
          <w:lang w:val="en-US" w:eastAsia="zh-CN"/>
        </w:rPr>
      </w:pPr>
      <w:r>
        <w:rPr>
          <w:rFonts w:hint="eastAsia" w:ascii="宋体" w:hAnsi="宋体" w:eastAsia="宋体" w:cs="宋体"/>
          <w:snapToGrid/>
          <w:kern w:val="2"/>
          <w:sz w:val="24"/>
          <w:lang w:val="en-US" w:eastAsia="zh-CN"/>
        </w:rPr>
        <w:t>同</w:t>
      </w:r>
      <w:r>
        <w:rPr>
          <w:rFonts w:hint="eastAsia" w:ascii="宋体" w:hAnsi="宋体" w:eastAsia="宋体" w:cs="宋体"/>
          <w:snapToGrid/>
          <w:kern w:val="2"/>
          <w:sz w:val="24"/>
        </w:rPr>
        <w:t>时出现两种以上不一至致的，按照前款规定的顺序修正。修正后的报价按照本办法第五十一条第二款的规定经供应商确认后产生约束力，供应商不确认的，其响应无效。</w:t>
      </w:r>
      <w:r>
        <w:rPr>
          <w:rFonts w:hint="eastAsia" w:ascii="宋体" w:hAnsi="宋体" w:eastAsia="宋体" w:cs="宋体"/>
          <w:snapToGrid/>
          <w:kern w:val="2"/>
          <w:sz w:val="24"/>
          <w:lang w:val="en-US" w:eastAsia="zh-CN"/>
        </w:rPr>
        <w:t xml:space="preserve"> </w:t>
      </w:r>
    </w:p>
    <w:p>
      <w:pPr>
        <w:snapToGrid w:val="0"/>
        <w:spacing w:line="360" w:lineRule="auto"/>
        <w:ind w:firstLine="480" w:firstLineChars="200"/>
        <w:rPr>
          <w:rFonts w:hint="eastAsia" w:ascii="宋体" w:hAnsi="宋体" w:eastAsia="宋体" w:cs="宋体"/>
          <w:sz w:val="24"/>
          <w:szCs w:val="24"/>
          <w:lang w:eastAsia="zh-CN"/>
        </w:rPr>
      </w:pPr>
      <w:r>
        <w:rPr>
          <w:rFonts w:ascii="宋体" w:hAnsi="宋体" w:cs="宋体"/>
          <w:sz w:val="24"/>
          <w:szCs w:val="24"/>
        </w:rPr>
        <w:t>4</w:t>
      </w:r>
      <w:r>
        <w:rPr>
          <w:rFonts w:hint="eastAsia" w:ascii="宋体" w:hAnsi="宋体" w:cs="宋体"/>
          <w:sz w:val="24"/>
          <w:szCs w:val="24"/>
        </w:rPr>
        <w:t>、</w:t>
      </w:r>
      <w:r>
        <w:rPr>
          <w:rFonts w:hint="eastAsia" w:ascii="宋体" w:hAnsi="宋体" w:eastAsia="宋体" w:cs="宋体"/>
          <w:bCs/>
          <w:color w:val="000000"/>
          <w:sz w:val="24"/>
          <w:highlight w:val="none"/>
        </w:rPr>
        <w:t>本项目</w:t>
      </w:r>
      <w:r>
        <w:rPr>
          <w:rFonts w:hint="eastAsia" w:ascii="宋体" w:hAnsi="宋体" w:eastAsia="宋体" w:cs="宋体"/>
          <w:sz w:val="24"/>
          <w:highlight w:val="none"/>
        </w:rPr>
        <w:t>磋商报价</w:t>
      </w:r>
      <w:r>
        <w:rPr>
          <w:rFonts w:hint="eastAsia" w:ascii="宋体" w:hAnsi="宋体" w:eastAsia="宋体" w:cs="宋体"/>
          <w:bCs/>
          <w:color w:val="000000"/>
          <w:sz w:val="24"/>
          <w:highlight w:val="none"/>
        </w:rPr>
        <w:t>为</w:t>
      </w:r>
      <w:r>
        <w:rPr>
          <w:rFonts w:hint="eastAsia" w:ascii="宋体" w:hAnsi="宋体" w:eastAsia="宋体" w:cs="宋体"/>
          <w:bCs/>
          <w:color w:val="000000"/>
          <w:sz w:val="24"/>
          <w:highlight w:val="none"/>
          <w:lang w:val="zh-CN"/>
        </w:rPr>
        <w:t>固定总价报价</w:t>
      </w:r>
      <w:r>
        <w:rPr>
          <w:rFonts w:hint="eastAsia" w:ascii="宋体" w:hAnsi="宋体" w:eastAsia="宋体" w:cs="宋体"/>
          <w:sz w:val="24"/>
          <w:highlight w:val="none"/>
        </w:rPr>
        <w:t>，该价格一次性包定</w:t>
      </w:r>
      <w:r>
        <w:rPr>
          <w:rFonts w:hint="eastAsia" w:ascii="宋体" w:hAnsi="宋体" w:cs="宋体"/>
          <w:sz w:val="24"/>
          <w:szCs w:val="24"/>
        </w:rPr>
        <w:t>，</w:t>
      </w:r>
      <w:r>
        <w:rPr>
          <w:rFonts w:hint="eastAsia" w:ascii="宋体" w:hAnsi="宋体" w:cs="宋体"/>
          <w:sz w:val="24"/>
          <w:szCs w:val="24"/>
          <w:lang w:val="en-US" w:eastAsia="zh-CN"/>
        </w:rPr>
        <w:t>成交供应商须考虑</w:t>
      </w:r>
      <w:r>
        <w:rPr>
          <w:rFonts w:hint="eastAsia" w:ascii="宋体" w:hAnsi="宋体" w:cs="宋体"/>
          <w:sz w:val="24"/>
          <w:szCs w:val="24"/>
        </w:rPr>
        <w:t>合同期内最低工资标准上涨</w:t>
      </w:r>
      <w:r>
        <w:rPr>
          <w:rFonts w:hint="eastAsia" w:ascii="宋体" w:hAnsi="宋体" w:cs="宋体"/>
          <w:sz w:val="24"/>
          <w:szCs w:val="24"/>
          <w:lang w:eastAsia="zh-CN"/>
        </w:rPr>
        <w:t>、</w:t>
      </w:r>
      <w:r>
        <w:rPr>
          <w:rFonts w:hint="eastAsia" w:ascii="宋体" w:hAnsi="宋体" w:cs="宋体"/>
          <w:sz w:val="24"/>
          <w:szCs w:val="24"/>
          <w:lang w:val="en-US" w:eastAsia="zh-CN"/>
        </w:rPr>
        <w:t>加班费等费用</w:t>
      </w:r>
      <w:r>
        <w:rPr>
          <w:rFonts w:hint="eastAsia" w:ascii="宋体" w:hAnsi="宋体" w:cs="宋体"/>
          <w:sz w:val="24"/>
          <w:szCs w:val="24"/>
        </w:rPr>
        <w:t>，</w:t>
      </w:r>
      <w:r>
        <w:rPr>
          <w:rFonts w:hint="eastAsia" w:ascii="宋体" w:hAnsi="宋体" w:cs="宋体"/>
          <w:sz w:val="24"/>
          <w:szCs w:val="24"/>
          <w:lang w:val="en-US" w:eastAsia="zh-CN"/>
        </w:rPr>
        <w:t>服务期内</w:t>
      </w:r>
      <w:r>
        <w:rPr>
          <w:rFonts w:hint="eastAsia" w:ascii="宋体" w:hAnsi="宋体" w:cs="宋体"/>
          <w:sz w:val="24"/>
          <w:szCs w:val="24"/>
        </w:rPr>
        <w:t>合同价不调整</w:t>
      </w:r>
      <w:r>
        <w:rPr>
          <w:rFonts w:hint="eastAsia" w:ascii="宋体" w:hAnsi="宋体" w:cs="宋体"/>
          <w:sz w:val="24"/>
          <w:szCs w:val="24"/>
          <w:lang w:eastAsia="zh-CN"/>
        </w:rPr>
        <w:t>。</w:t>
      </w:r>
    </w:p>
    <w:p>
      <w:pPr>
        <w:snapToGrid w:val="0"/>
        <w:spacing w:line="360" w:lineRule="auto"/>
        <w:ind w:left="0" w:leftChars="0" w:firstLine="468" w:firstLineChars="195"/>
        <w:outlineLvl w:val="1"/>
        <w:rPr>
          <w:rFonts w:hint="eastAsia" w:ascii="宋体" w:hAnsi="宋体" w:cs="宋体"/>
          <w:b/>
          <w:bCs/>
          <w:color w:val="auto"/>
          <w:sz w:val="24"/>
          <w:szCs w:val="24"/>
        </w:rPr>
      </w:pPr>
      <w:r>
        <w:rPr>
          <w:rFonts w:hint="eastAsia" w:ascii="宋体" w:hAnsi="宋体" w:cs="宋体"/>
          <w:sz w:val="24"/>
          <w:szCs w:val="24"/>
          <w:lang w:val="en-US" w:eastAsia="zh-CN"/>
        </w:rPr>
        <w:t>5、</w:t>
      </w:r>
      <w:r>
        <w:rPr>
          <w:rFonts w:hint="eastAsia" w:ascii="宋体" w:hAnsi="宋体" w:cs="宋体"/>
          <w:b/>
          <w:bCs/>
          <w:sz w:val="24"/>
          <w:szCs w:val="24"/>
        </w:rPr>
        <w:t>磋商报价（以人民币计价</w:t>
      </w:r>
      <w:r>
        <w:rPr>
          <w:rFonts w:hint="eastAsia" w:ascii="宋体" w:hAnsi="宋体" w:cs="宋体"/>
          <w:b/>
          <w:bCs/>
          <w:color w:val="auto"/>
          <w:sz w:val="24"/>
          <w:szCs w:val="24"/>
        </w:rPr>
        <w:t>）应包括但不限于所有与本项目实施有关的所有费用包括：从事本项目检测活动所需的一切费用，也包括专业作业人员、交通、检测仪器、检测试剂、采样费、分析费、检测报告编制费、办公、通讯等一切费用。</w:t>
      </w:r>
    </w:p>
    <w:p>
      <w:pPr>
        <w:snapToGrid w:val="0"/>
        <w:spacing w:line="360" w:lineRule="auto"/>
        <w:ind w:left="0" w:leftChars="0" w:firstLine="468" w:firstLineChars="195"/>
        <w:outlineLvl w:val="1"/>
        <w:rPr>
          <w:rFonts w:hint="eastAsia" w:ascii="宋体" w:hAnsi="宋体" w:cs="宋体"/>
          <w:sz w:val="24"/>
          <w:szCs w:val="24"/>
        </w:rPr>
      </w:pPr>
      <w:r>
        <w:rPr>
          <w:rFonts w:hint="eastAsia" w:ascii="宋体" w:hAnsi="宋体" w:cs="宋体"/>
          <w:sz w:val="24"/>
          <w:szCs w:val="24"/>
          <w:lang w:val="en-US" w:eastAsia="zh-CN"/>
        </w:rPr>
        <w:t>6</w:t>
      </w:r>
      <w:r>
        <w:rPr>
          <w:rFonts w:hint="eastAsia" w:ascii="宋体" w:hAnsi="宋体" w:cs="宋体"/>
          <w:sz w:val="24"/>
          <w:szCs w:val="24"/>
        </w:rPr>
        <w:t>、供应商应详细阅读磋商文件的全部内容，根据采购项目需求，准确制定相关工作方案等，必须对本采购项目全部进行报价，如有漏项，视同对本项目的优惠。不按磋商文件的要求提供响应文件，导致报价无效，按无效标处理。</w:t>
      </w:r>
    </w:p>
    <w:p>
      <w:pPr>
        <w:snapToGrid w:val="0"/>
        <w:spacing w:line="360" w:lineRule="auto"/>
        <w:ind w:firstLine="480" w:firstLineChars="200"/>
        <w:textAlignment w:val="baseline"/>
      </w:pPr>
      <w:r>
        <w:rPr>
          <w:rFonts w:hint="eastAsia" w:ascii="宋体" w:hAnsi="宋体" w:eastAsia="宋体" w:cs="宋体"/>
          <w:sz w:val="24"/>
          <w:lang w:val="en-US" w:eastAsia="zh-CN"/>
        </w:rPr>
        <w:t>7</w:t>
      </w:r>
      <w:r>
        <w:rPr>
          <w:rFonts w:hint="eastAsia" w:ascii="宋体" w:hAnsi="宋体" w:eastAsia="宋体" w:cs="宋体"/>
          <w:sz w:val="24"/>
        </w:rPr>
        <w:t>、</w:t>
      </w:r>
      <w:r>
        <w:rPr>
          <w:rFonts w:hint="eastAsia" w:ascii="宋体" w:hAnsi="宋体" w:eastAsia="宋体" w:cs="宋体"/>
          <w:bCs/>
          <w:sz w:val="24"/>
        </w:rPr>
        <w:t>本次磋商项目的报价采用两轮报价，首次报价不得超过项目预算金额。除非在磋商中磋商小组对采购人需求内容作了调整增加，或对采购内容作了实质性变更，否则采购人不接受供应商高于自己前一轮的磋商报价，并作无效报价处理。最终报价将作为磋商小组评定成交供应商的依据。</w:t>
      </w:r>
    </w:p>
    <w:p>
      <w:pPr>
        <w:snapToGrid w:val="0"/>
        <w:spacing w:line="360" w:lineRule="auto"/>
        <w:ind w:left="0" w:leftChars="0" w:firstLine="468" w:firstLineChars="195"/>
        <w:outlineLvl w:val="1"/>
        <w:rPr>
          <w:rFonts w:hint="eastAsia" w:ascii="宋体" w:hAnsi="宋体" w:eastAsia="宋体" w:cs="宋体"/>
          <w:sz w:val="24"/>
          <w:szCs w:val="24"/>
        </w:rPr>
      </w:pPr>
      <w:r>
        <w:rPr>
          <w:rFonts w:hint="eastAsia" w:ascii="宋体" w:hAnsi="宋体" w:cs="宋体"/>
          <w:sz w:val="24"/>
          <w:szCs w:val="24"/>
          <w:lang w:val="en-US" w:eastAsia="zh-CN"/>
        </w:rPr>
        <w:t>8</w:t>
      </w:r>
      <w:r>
        <w:rPr>
          <w:rFonts w:hint="eastAsia" w:ascii="宋体" w:hAnsi="宋体" w:cs="宋体"/>
          <w:sz w:val="24"/>
          <w:szCs w:val="24"/>
        </w:rPr>
        <w:t>、本项目竞争性</w:t>
      </w:r>
      <w:r>
        <w:rPr>
          <w:rFonts w:hint="eastAsia" w:ascii="宋体" w:hAnsi="宋体" w:eastAsia="宋体" w:cs="宋体"/>
          <w:sz w:val="24"/>
          <w:szCs w:val="24"/>
        </w:rPr>
        <w:t>磋商的最终报价作为成交价。同时，供应商的最终成交价在合同实施期间不因市场变化因素而变动。</w:t>
      </w:r>
    </w:p>
    <w:p>
      <w:pPr>
        <w:snapToGrid w:val="0"/>
        <w:spacing w:line="360" w:lineRule="auto"/>
        <w:ind w:left="0" w:leftChars="0" w:firstLine="468" w:firstLineChars="195"/>
        <w:outlineLvl w:val="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w:t>
      </w:r>
      <w:r>
        <w:rPr>
          <w:rFonts w:hint="eastAsia" w:ascii="宋体" w:hAnsi="宋体" w:eastAsia="宋体" w:cs="宋体"/>
          <w:bCs/>
          <w:sz w:val="24"/>
        </w:rPr>
        <w:t>由于新型冠状肺炎疫情的影响，因卫生防疫要求采取的措施、物资等一切费用包含在投标报价（即合同价）中，结算时不予调整。</w:t>
      </w:r>
    </w:p>
    <w:p>
      <w:pPr>
        <w:snapToGrid w:val="0"/>
        <w:spacing w:line="360" w:lineRule="auto"/>
        <w:ind w:firstLine="470" w:firstLineChars="196"/>
        <w:outlineLvl w:val="1"/>
        <w:rPr>
          <w:rFonts w:ascii="宋体"/>
          <w:sz w:val="24"/>
          <w:szCs w:val="24"/>
        </w:rPr>
      </w:pPr>
      <w:r>
        <w:rPr>
          <w:rFonts w:hint="eastAsia" w:ascii="宋体" w:hAnsi="宋体" w:cs="宋体"/>
          <w:sz w:val="24"/>
          <w:szCs w:val="24"/>
          <w:lang w:val="en-US" w:eastAsia="zh-CN"/>
        </w:rPr>
        <w:t>10</w:t>
      </w:r>
      <w:r>
        <w:rPr>
          <w:rFonts w:hint="eastAsia" w:ascii="宋体" w:hAnsi="宋体" w:cs="宋体"/>
          <w:sz w:val="24"/>
          <w:szCs w:val="24"/>
        </w:rPr>
        <w:t>、最低的磋商总价报价是成交的重要条件，但不是成交的唯一条件。</w:t>
      </w:r>
    </w:p>
    <w:p>
      <w:pPr>
        <w:snapToGrid w:val="0"/>
        <w:spacing w:line="360" w:lineRule="auto"/>
        <w:ind w:firstLine="496" w:firstLineChars="206"/>
        <w:outlineLvl w:val="1"/>
        <w:rPr>
          <w:rFonts w:ascii="宋体"/>
          <w:b/>
          <w:bCs/>
          <w:sz w:val="24"/>
          <w:szCs w:val="24"/>
        </w:rPr>
      </w:pPr>
      <w:r>
        <w:rPr>
          <w:rFonts w:hint="eastAsia" w:ascii="宋体" w:hAnsi="宋体" w:cs="宋体"/>
          <w:b/>
          <w:bCs/>
          <w:sz w:val="24"/>
          <w:szCs w:val="24"/>
        </w:rPr>
        <w:t>八、联合体参与磋商</w:t>
      </w:r>
    </w:p>
    <w:p>
      <w:pPr>
        <w:snapToGrid w:val="0"/>
        <w:spacing w:line="360" w:lineRule="auto"/>
        <w:ind w:firstLine="470" w:firstLineChars="196"/>
        <w:outlineLvl w:val="1"/>
        <w:rPr>
          <w:rFonts w:hint="eastAsia" w:ascii="宋体" w:hAnsi="宋体" w:cs="宋体"/>
          <w:sz w:val="24"/>
          <w:szCs w:val="24"/>
        </w:rPr>
      </w:pPr>
      <w:r>
        <w:rPr>
          <w:rFonts w:hint="eastAsia" w:ascii="宋体" w:hAnsi="宋体" w:cs="宋体"/>
          <w:sz w:val="24"/>
          <w:szCs w:val="24"/>
        </w:rPr>
        <w:t>不接受任何形式的联合体参与本项目的竞争性磋商。</w:t>
      </w:r>
    </w:p>
    <w:p>
      <w:pPr>
        <w:snapToGrid w:val="0"/>
        <w:spacing w:line="360" w:lineRule="auto"/>
        <w:ind w:firstLine="496" w:firstLineChars="206"/>
        <w:outlineLvl w:val="1"/>
        <w:rPr>
          <w:sz w:val="24"/>
          <w:szCs w:val="24"/>
        </w:rPr>
      </w:pPr>
      <w:r>
        <w:rPr>
          <w:rFonts w:hint="eastAsia" w:cs="宋体"/>
          <w:b/>
          <w:bCs/>
          <w:sz w:val="24"/>
          <w:szCs w:val="24"/>
        </w:rPr>
        <w:t>九、磋商响应文件的有效期</w:t>
      </w:r>
    </w:p>
    <w:p>
      <w:pPr>
        <w:snapToGrid w:val="0"/>
        <w:spacing w:line="360" w:lineRule="auto"/>
        <w:ind w:firstLine="480" w:firstLineChars="200"/>
        <w:rPr>
          <w:sz w:val="24"/>
          <w:szCs w:val="24"/>
        </w:rPr>
      </w:pPr>
      <w:r>
        <w:rPr>
          <w:rFonts w:hint="eastAsia" w:ascii="Times New Roman" w:hAnsi="Times New Roman" w:eastAsia="宋体" w:cs="宋体"/>
          <w:sz w:val="24"/>
          <w:szCs w:val="24"/>
        </w:rPr>
        <w:t>1、从磋商响应</w:t>
      </w:r>
      <w:r>
        <w:rPr>
          <w:rFonts w:hint="eastAsia" w:cs="宋体"/>
          <w:sz w:val="24"/>
          <w:szCs w:val="24"/>
        </w:rPr>
        <w:t>文件接收截止之日算起，</w:t>
      </w:r>
      <w:r>
        <w:rPr>
          <w:b/>
          <w:bCs/>
          <w:sz w:val="24"/>
          <w:szCs w:val="24"/>
        </w:rPr>
        <w:t>45</w:t>
      </w:r>
      <w:r>
        <w:rPr>
          <w:rFonts w:hint="eastAsia" w:cs="宋体"/>
          <w:sz w:val="24"/>
          <w:szCs w:val="24"/>
        </w:rPr>
        <w:t>个</w:t>
      </w:r>
      <w:r>
        <w:rPr>
          <w:sz w:val="24"/>
          <w:szCs w:val="24"/>
        </w:rPr>
        <w:t>“</w:t>
      </w:r>
      <w:r>
        <w:rPr>
          <w:rFonts w:hint="eastAsia" w:cs="宋体"/>
          <w:sz w:val="24"/>
          <w:szCs w:val="24"/>
        </w:rPr>
        <w:t>日历天</w:t>
      </w:r>
      <w:r>
        <w:rPr>
          <w:sz w:val="24"/>
          <w:szCs w:val="24"/>
        </w:rPr>
        <w:t>”</w:t>
      </w:r>
      <w:r>
        <w:rPr>
          <w:rFonts w:hint="eastAsia" w:cs="宋体"/>
          <w:sz w:val="24"/>
          <w:szCs w:val="24"/>
        </w:rPr>
        <w:t>内磋商响应书应保持有效。有效期短于这个规定期限的磋商响应，将被拒绝。</w:t>
      </w:r>
    </w:p>
    <w:p>
      <w:pPr>
        <w:snapToGrid w:val="0"/>
        <w:spacing w:line="360" w:lineRule="auto"/>
        <w:ind w:firstLine="480" w:firstLineChars="200"/>
        <w:textAlignment w:val="baseline"/>
      </w:pPr>
      <w:r>
        <w:rPr>
          <w:sz w:val="24"/>
          <w:szCs w:val="24"/>
        </w:rPr>
        <w:t>2</w:t>
      </w:r>
      <w:r>
        <w:rPr>
          <w:rFonts w:hint="eastAsia"/>
          <w:sz w:val="24"/>
          <w:szCs w:val="24"/>
        </w:rPr>
        <w:t>、</w:t>
      </w:r>
      <w:r>
        <w:rPr>
          <w:rFonts w:hint="eastAsia" w:cs="宋体"/>
          <w:sz w:val="24"/>
          <w:szCs w:val="24"/>
        </w:rPr>
        <w:t>在特殊情况下，采购代理机构可与磋商响应供应商协商延长磋商响应书的有效期。这种要求和答复都应以书面、传真、或电报的形式进行。同意延长有效期的磋商响应供应商不能修改磋商响应文件。拒绝接受延期要求的磋商响应供应商的磋商响应将被拒绝。</w:t>
      </w:r>
    </w:p>
    <w:p>
      <w:pPr>
        <w:snapToGrid w:val="0"/>
        <w:spacing w:line="360" w:lineRule="auto"/>
        <w:ind w:firstLine="482" w:firstLineChars="200"/>
        <w:outlineLvl w:val="1"/>
        <w:rPr>
          <w:rFonts w:ascii="宋体"/>
          <w:sz w:val="24"/>
          <w:szCs w:val="24"/>
        </w:rPr>
      </w:pPr>
      <w:r>
        <w:rPr>
          <w:rFonts w:hint="eastAsia" w:ascii="宋体" w:hAnsi="宋体" w:cs="宋体"/>
          <w:b/>
          <w:bCs/>
          <w:sz w:val="24"/>
          <w:szCs w:val="24"/>
        </w:rPr>
        <w:t>十、响应文件及</w:t>
      </w:r>
      <w:r>
        <w:rPr>
          <w:rFonts w:hint="eastAsia" w:ascii="宋体" w:hAnsi="宋体" w:cs="宋体"/>
          <w:b/>
          <w:bCs/>
          <w:kern w:val="0"/>
          <w:sz w:val="24"/>
          <w:szCs w:val="24"/>
        </w:rPr>
        <w:t>磋商</w:t>
      </w:r>
      <w:r>
        <w:rPr>
          <w:rFonts w:hint="eastAsia" w:ascii="宋体" w:hAnsi="宋体" w:cs="宋体"/>
          <w:b/>
          <w:bCs/>
          <w:sz w:val="24"/>
          <w:szCs w:val="24"/>
        </w:rPr>
        <w:t>费用</w:t>
      </w:r>
    </w:p>
    <w:p>
      <w:pPr>
        <w:snapToGrid w:val="0"/>
        <w:spacing w:line="360" w:lineRule="auto"/>
        <w:ind w:firstLine="480" w:firstLineChars="200"/>
        <w:rPr>
          <w:rFonts w:hint="eastAsia" w:cs="宋体"/>
          <w:color w:val="auto"/>
          <w:sz w:val="24"/>
          <w:szCs w:val="24"/>
        </w:rPr>
      </w:pPr>
      <w:r>
        <w:rPr>
          <w:rFonts w:hint="eastAsia" w:cs="宋体"/>
          <w:sz w:val="24"/>
          <w:szCs w:val="24"/>
        </w:rPr>
        <w:t>1</w:t>
      </w:r>
      <w:r>
        <w:rPr>
          <w:rFonts w:hint="eastAsia" w:cs="宋体"/>
          <w:sz w:val="24"/>
          <w:szCs w:val="24"/>
          <w:lang w:eastAsia="zh-CN"/>
        </w:rPr>
        <w:t>、</w:t>
      </w:r>
      <w:r>
        <w:rPr>
          <w:rFonts w:hint="eastAsia" w:cs="宋体"/>
          <w:sz w:val="24"/>
          <w:szCs w:val="24"/>
        </w:rPr>
        <w:t>各投标供应商须在递交磋商响应文件的同时缴纳磋商文件资料费300元。无论是否成交，该费用不予退还。</w:t>
      </w:r>
    </w:p>
    <w:p>
      <w:pPr>
        <w:snapToGrid w:val="0"/>
        <w:spacing w:line="360" w:lineRule="auto"/>
        <w:ind w:firstLine="480" w:firstLineChars="200"/>
        <w:rPr>
          <w:rFonts w:hint="eastAsia" w:cs="宋体"/>
          <w:color w:val="auto"/>
          <w:sz w:val="24"/>
          <w:szCs w:val="24"/>
        </w:rPr>
      </w:pPr>
      <w:r>
        <w:rPr>
          <w:rFonts w:hint="eastAsia" w:cs="宋体"/>
          <w:color w:val="auto"/>
          <w:sz w:val="24"/>
          <w:szCs w:val="24"/>
        </w:rPr>
        <w:t>2、本项目采购代理费</w:t>
      </w:r>
      <w:r>
        <w:rPr>
          <w:rFonts w:hint="eastAsia" w:cs="宋体"/>
          <w:color w:val="auto"/>
          <w:sz w:val="24"/>
          <w:szCs w:val="24"/>
          <w:lang w:eastAsia="zh-CN"/>
        </w:rPr>
        <w:t>（</w:t>
      </w:r>
      <w:r>
        <w:rPr>
          <w:rFonts w:hint="eastAsia" w:cs="宋体"/>
          <w:color w:val="auto"/>
          <w:sz w:val="24"/>
          <w:szCs w:val="24"/>
          <w:lang w:val="en-US" w:eastAsia="zh-CN"/>
        </w:rPr>
        <w:t>按照国家计委[2002]1980号、发改价格[2011]534号的</w:t>
      </w:r>
      <w:r>
        <w:rPr>
          <w:rFonts w:hint="eastAsia" w:cs="宋体"/>
          <w:color w:val="auto"/>
          <w:sz w:val="24"/>
          <w:szCs w:val="24"/>
          <w:lang w:val="en-US" w:eastAsia="zh-CN"/>
        </w:rPr>
        <w:t>规定标准的40%收取，不满1200元按1200元收取）</w:t>
      </w:r>
      <w:r>
        <w:rPr>
          <w:rFonts w:hint="eastAsia" w:cs="宋体"/>
          <w:color w:val="auto"/>
          <w:sz w:val="24"/>
          <w:szCs w:val="24"/>
        </w:rPr>
        <w:t>由成交供应商承担，请参加磋商的投标供应商在成本中自行考虑。上述费用领取成交通知书前，向代理公司一次性缴清。</w:t>
      </w:r>
    </w:p>
    <w:p>
      <w:pPr>
        <w:snapToGrid w:val="0"/>
        <w:spacing w:line="360" w:lineRule="auto"/>
        <w:ind w:firstLine="480" w:firstLineChars="200"/>
        <w:rPr>
          <w:rFonts w:hint="eastAsia" w:cs="宋体"/>
          <w:sz w:val="24"/>
          <w:szCs w:val="24"/>
        </w:rPr>
      </w:pPr>
      <w:r>
        <w:rPr>
          <w:rFonts w:hint="eastAsia" w:cs="宋体"/>
          <w:color w:val="auto"/>
          <w:sz w:val="24"/>
          <w:szCs w:val="24"/>
          <w:lang w:val="en-US" w:eastAsia="zh-CN"/>
        </w:rPr>
        <w:t>3</w:t>
      </w:r>
      <w:r>
        <w:rPr>
          <w:rFonts w:hint="eastAsia" w:cs="宋体"/>
          <w:color w:val="auto"/>
          <w:sz w:val="24"/>
          <w:szCs w:val="24"/>
        </w:rPr>
        <w:t>、磋商程序顺利进行后，除供应商的原件可退回外，其余所有的响应</w:t>
      </w:r>
      <w:r>
        <w:rPr>
          <w:rFonts w:hint="eastAsia" w:cs="宋体"/>
          <w:sz w:val="24"/>
          <w:szCs w:val="24"/>
        </w:rPr>
        <w:t>文件都将作为档案保存，不论成交与否，代理机构均不退回（未拆封的除外）。</w:t>
      </w:r>
    </w:p>
    <w:p>
      <w:pPr>
        <w:snapToGrid w:val="0"/>
        <w:spacing w:line="360" w:lineRule="auto"/>
        <w:ind w:firstLine="480" w:firstLineChars="200"/>
        <w:rPr>
          <w:rFonts w:hint="eastAsia" w:cs="宋体"/>
          <w:sz w:val="24"/>
          <w:szCs w:val="24"/>
        </w:rPr>
      </w:pPr>
      <w:r>
        <w:rPr>
          <w:rFonts w:hint="eastAsia" w:cs="宋体"/>
          <w:sz w:val="24"/>
          <w:szCs w:val="24"/>
          <w:lang w:val="en-US" w:eastAsia="zh-CN"/>
        </w:rPr>
        <w:t>4</w:t>
      </w:r>
      <w:r>
        <w:rPr>
          <w:rFonts w:hint="eastAsia" w:cs="宋体"/>
          <w:sz w:val="24"/>
          <w:szCs w:val="24"/>
        </w:rPr>
        <w:t>、无论磋商过程和结果如何，参加项目磋商的供应商自行承担与本次项目磋商有关的全部费用。</w:t>
      </w:r>
    </w:p>
    <w:p>
      <w:pPr>
        <w:snapToGrid w:val="0"/>
        <w:spacing w:line="360" w:lineRule="auto"/>
        <w:ind w:firstLine="472" w:firstLineChars="196"/>
        <w:outlineLvl w:val="1"/>
        <w:rPr>
          <w:rFonts w:ascii="宋体" w:hAnsi="宋体" w:cs="宋体"/>
          <w:b/>
          <w:sz w:val="24"/>
          <w:szCs w:val="24"/>
        </w:rPr>
      </w:pPr>
      <w:r>
        <w:rPr>
          <w:rFonts w:hint="eastAsia" w:ascii="宋体" w:hAnsi="宋体" w:cs="宋体"/>
          <w:b/>
          <w:sz w:val="24"/>
          <w:szCs w:val="24"/>
        </w:rPr>
        <w:t>十一、履约保证金</w:t>
      </w:r>
    </w:p>
    <w:p>
      <w:pPr>
        <w:snapToGrid w:val="0"/>
        <w:spacing w:line="360" w:lineRule="auto"/>
        <w:ind w:firstLine="470" w:firstLineChars="196"/>
        <w:outlineLvl w:val="1"/>
        <w:rPr>
          <w:rFonts w:ascii="宋体" w:hAnsi="宋体" w:cs="宋体"/>
          <w:sz w:val="24"/>
          <w:szCs w:val="24"/>
        </w:rPr>
      </w:pPr>
      <w:r>
        <w:rPr>
          <w:rFonts w:ascii="宋体" w:hAnsi="宋体" w:cs="宋体"/>
          <w:sz w:val="24"/>
          <w:szCs w:val="24"/>
        </w:rPr>
        <w:t>1</w:t>
      </w:r>
      <w:r>
        <w:rPr>
          <w:rFonts w:hint="eastAsia" w:ascii="宋体" w:hAnsi="宋体" w:cs="宋体"/>
          <w:sz w:val="24"/>
          <w:szCs w:val="24"/>
        </w:rPr>
        <w:t>、本项目成交后的履约保证金为项目中标价的</w:t>
      </w:r>
      <w:r>
        <w:rPr>
          <w:rFonts w:hint="eastAsia" w:ascii="宋体" w:hAnsi="宋体" w:cs="宋体"/>
          <w:sz w:val="24"/>
          <w:szCs w:val="24"/>
          <w:lang w:val="en-US" w:eastAsia="zh-CN"/>
        </w:rPr>
        <w:t>5</w:t>
      </w:r>
      <w:r>
        <w:rPr>
          <w:rFonts w:ascii="宋体" w:hAnsi="宋体" w:cs="宋体"/>
          <w:sz w:val="24"/>
          <w:szCs w:val="24"/>
        </w:rPr>
        <w:t>%</w:t>
      </w:r>
      <w:r>
        <w:rPr>
          <w:rFonts w:hint="eastAsia" w:ascii="宋体" w:hAnsi="宋体" w:cs="宋体"/>
          <w:sz w:val="24"/>
          <w:szCs w:val="24"/>
        </w:rPr>
        <w:t>。</w:t>
      </w:r>
    </w:p>
    <w:p>
      <w:pPr>
        <w:snapToGrid w:val="0"/>
        <w:spacing w:line="360" w:lineRule="auto"/>
        <w:ind w:firstLine="470" w:firstLineChars="196"/>
        <w:outlineLvl w:val="1"/>
        <w:rPr>
          <w:rFonts w:ascii="宋体"/>
          <w:sz w:val="24"/>
          <w:szCs w:val="24"/>
        </w:rPr>
      </w:pPr>
      <w:r>
        <w:rPr>
          <w:rFonts w:ascii="宋体" w:hAnsi="宋体" w:cs="宋体"/>
          <w:sz w:val="24"/>
          <w:szCs w:val="24"/>
        </w:rPr>
        <w:t>2</w:t>
      </w:r>
      <w:r>
        <w:rPr>
          <w:rFonts w:hint="eastAsia" w:ascii="宋体" w:hAnsi="宋体" w:cs="宋体"/>
          <w:sz w:val="24"/>
          <w:szCs w:val="24"/>
        </w:rPr>
        <w:t>、成交供应商的履约保证金须在采购代理通知发成交通知书之日起</w:t>
      </w:r>
      <w:r>
        <w:rPr>
          <w:rFonts w:ascii="宋体" w:hAnsi="宋体" w:cs="宋体"/>
          <w:sz w:val="24"/>
          <w:szCs w:val="24"/>
        </w:rPr>
        <w:t>3</w:t>
      </w:r>
      <w:r>
        <w:rPr>
          <w:rFonts w:hint="eastAsia" w:ascii="宋体" w:hAnsi="宋体" w:cs="宋体"/>
          <w:sz w:val="24"/>
          <w:szCs w:val="24"/>
        </w:rPr>
        <w:t>个工作日内汇入采购人账户，成交供应商凭“成交通知书”和已经汇至采购人账上的“履约保证金”凭证，并在采购代理通知发成交通知书之日起1</w:t>
      </w:r>
      <w:r>
        <w:rPr>
          <w:rFonts w:ascii="宋体" w:hAnsi="宋体" w:cs="宋体"/>
          <w:sz w:val="24"/>
          <w:szCs w:val="24"/>
        </w:rPr>
        <w:t>5</w:t>
      </w:r>
      <w:r>
        <w:rPr>
          <w:rFonts w:hint="eastAsia" w:ascii="宋体" w:hAnsi="宋体" w:cs="宋体"/>
          <w:sz w:val="24"/>
          <w:szCs w:val="24"/>
        </w:rPr>
        <w:t>日内与采购人签订合同。</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、成交供应商在按要求保质保量的完成该项目合同并通过验收后，采购人凭成交供应商提交的申请，一次性无息退还该合同项目的履约保证金。</w:t>
      </w:r>
    </w:p>
    <w:p>
      <w:pPr>
        <w:snapToGrid w:val="0"/>
        <w:spacing w:line="360" w:lineRule="auto"/>
        <w:ind w:firstLine="480" w:firstLineChars="200"/>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、由于成交供应商原因，在签订合同后出现不按合同履行的情况，采购人有权将履约保证金作为违约金，全额不予退还，同时采购人亦有权终止合同，成交供应商还须承担相应的法律赔偿责任。</w:t>
      </w:r>
    </w:p>
    <w:p>
      <w:pPr>
        <w:snapToGrid w:val="0"/>
        <w:spacing w:line="360" w:lineRule="auto"/>
        <w:ind w:firstLine="496" w:firstLineChars="206"/>
        <w:textAlignment w:val="baseline"/>
        <w:rPr>
          <w:rFonts w:hint="eastAsia" w:ascii="宋体" w:hAnsi="宋体" w:cs="宋体"/>
          <w:b/>
          <w:color w:val="000000"/>
          <w:sz w:val="24"/>
          <w:szCs w:val="24"/>
        </w:rPr>
      </w:pPr>
      <w:r>
        <w:rPr>
          <w:rFonts w:hint="eastAsia" w:ascii="宋体" w:hAnsi="宋体" w:cs="宋体"/>
          <w:b/>
          <w:color w:val="000000"/>
          <w:sz w:val="24"/>
          <w:szCs w:val="24"/>
        </w:rPr>
        <w:t>十二、付款方式</w:t>
      </w:r>
    </w:p>
    <w:p>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lang w:eastAsia="zh-CN"/>
        </w:rPr>
        <w:t>服务期限三年，合同一年一签；</w:t>
      </w:r>
      <w:r>
        <w:rPr>
          <w:rFonts w:hint="eastAsia" w:ascii="宋体" w:hAnsi="宋体" w:cs="宋体"/>
          <w:sz w:val="24"/>
          <w:szCs w:val="24"/>
        </w:rPr>
        <w:t>采购人每季度进行一次考核，考核分大于90分（含90分）的，则全额支付上季度费用，</w:t>
      </w:r>
      <w:r>
        <w:rPr>
          <w:rFonts w:hint="eastAsia" w:ascii="宋体" w:hAnsi="宋体" w:eastAsia="宋体" w:cs="宋体"/>
          <w:b w:val="0"/>
          <w:bCs/>
          <w:sz w:val="24"/>
          <w:szCs w:val="24"/>
          <w:highlight w:val="none"/>
          <w:lang w:val="en-US" w:eastAsia="zh-CN"/>
        </w:rPr>
        <w:t>低于90分的，每低1分扣相应支付费用总额的1%</w:t>
      </w:r>
      <w:r>
        <w:rPr>
          <w:rFonts w:hint="eastAsia" w:ascii="宋体" w:hAnsi="宋体" w:cs="宋体"/>
          <w:sz w:val="24"/>
          <w:szCs w:val="24"/>
          <w:lang w:eastAsia="zh-CN"/>
        </w:rPr>
        <w:t>，</w:t>
      </w:r>
      <w:r>
        <w:rPr>
          <w:rFonts w:hint="eastAsia" w:ascii="宋体" w:hAnsi="宋体" w:cs="宋体"/>
          <w:sz w:val="24"/>
          <w:szCs w:val="24"/>
          <w:lang w:val="en-US" w:eastAsia="zh-CN"/>
        </w:rPr>
        <w:t>季度考核得分低于60分的，采购人有权不支付当季度费用</w:t>
      </w:r>
      <w:r>
        <w:rPr>
          <w:rFonts w:hint="eastAsia" w:ascii="宋体" w:hAnsi="宋体" w:cs="宋体"/>
          <w:sz w:val="24"/>
          <w:szCs w:val="24"/>
        </w:rPr>
        <w:t>。</w:t>
      </w:r>
    </w:p>
    <w:p>
      <w:pPr>
        <w:snapToGrid w:val="0"/>
        <w:spacing w:line="360" w:lineRule="auto"/>
        <w:ind w:firstLine="496" w:firstLineChars="206"/>
        <w:outlineLvl w:val="1"/>
        <w:rPr>
          <w:rFonts w:ascii="宋体" w:hAnsi="宋体" w:cs="宋体"/>
          <w:b/>
          <w:color w:val="auto"/>
          <w:sz w:val="24"/>
          <w:szCs w:val="24"/>
        </w:rPr>
      </w:pPr>
      <w:r>
        <w:rPr>
          <w:rFonts w:hint="eastAsia" w:ascii="宋体" w:hAnsi="宋体" w:cs="宋体"/>
          <w:b/>
          <w:bCs/>
          <w:color w:val="auto"/>
          <w:sz w:val="24"/>
          <w:szCs w:val="24"/>
        </w:rPr>
        <w:t>十三、</w:t>
      </w:r>
      <w:r>
        <w:rPr>
          <w:rFonts w:hint="eastAsia" w:ascii="宋体" w:hAnsi="宋体" w:cs="宋体"/>
          <w:b/>
          <w:color w:val="auto"/>
          <w:sz w:val="24"/>
          <w:szCs w:val="24"/>
        </w:rPr>
        <w:t>未尽事宜</w:t>
      </w:r>
    </w:p>
    <w:p>
      <w:pPr>
        <w:snapToGrid w:val="0"/>
        <w:spacing w:line="360" w:lineRule="auto"/>
        <w:ind w:firstLine="470" w:firstLineChars="196"/>
        <w:outlineLvl w:val="1"/>
        <w:rPr>
          <w:rFonts w:ascii="宋体" w:hAnsi="宋体" w:cs="宋体"/>
          <w:color w:val="auto"/>
          <w:sz w:val="24"/>
          <w:szCs w:val="24"/>
        </w:rPr>
        <w:sectPr>
          <w:pgSz w:w="11906" w:h="16838"/>
          <w:pgMar w:top="1440" w:right="1361" w:bottom="1440" w:left="1361" w:header="851" w:footer="992" w:gutter="0"/>
          <w:pgNumType w:fmt="numberInDash"/>
          <w:cols w:space="720" w:num="1"/>
          <w:titlePg/>
          <w:docGrid w:linePitch="312" w:charSpace="0"/>
        </w:sectPr>
      </w:pPr>
      <w:r>
        <w:rPr>
          <w:rFonts w:hint="eastAsia" w:ascii="宋体" w:hAnsi="宋体" w:cs="宋体"/>
          <w:color w:val="auto"/>
          <w:sz w:val="24"/>
          <w:szCs w:val="24"/>
        </w:rPr>
        <w:t>按《中华人民共和国政府采购法》、《政府采</w:t>
      </w:r>
      <w:bookmarkStart w:id="32" w:name="_Toc363573855"/>
      <w:r>
        <w:rPr>
          <w:rFonts w:hint="eastAsia" w:ascii="宋体" w:hAnsi="宋体" w:cs="宋体"/>
          <w:color w:val="auto"/>
          <w:sz w:val="24"/>
          <w:szCs w:val="24"/>
        </w:rPr>
        <w:t>购竞争性磋商采购方式管理暂行办法》及其他有关法律法规的规定执行。</w:t>
      </w:r>
    </w:p>
    <w:bookmarkEnd w:id="22"/>
    <w:bookmarkEnd w:id="23"/>
    <w:bookmarkEnd w:id="24"/>
    <w:bookmarkEnd w:id="25"/>
    <w:bookmarkEnd w:id="26"/>
    <w:bookmarkEnd w:id="27"/>
    <w:bookmarkEnd w:id="28"/>
    <w:bookmarkEnd w:id="29"/>
    <w:bookmarkEnd w:id="30"/>
    <w:bookmarkEnd w:id="31"/>
    <w:bookmarkEnd w:id="32"/>
    <w:p>
      <w:pPr>
        <w:spacing w:line="460" w:lineRule="exact"/>
        <w:jc w:val="center"/>
        <w:rPr>
          <w:rFonts w:ascii="宋体" w:hAnsi="宋体" w:cs="宋体"/>
          <w:b/>
          <w:bCs/>
          <w:w w:val="80"/>
          <w:sz w:val="44"/>
          <w:szCs w:val="44"/>
        </w:rPr>
      </w:pPr>
      <w:bookmarkStart w:id="33" w:name="_Toc11554641"/>
      <w:bookmarkStart w:id="34" w:name="_Toc8895741"/>
      <w:bookmarkStart w:id="35" w:name="_Toc12670505"/>
      <w:bookmarkStart w:id="36" w:name="_Toc521201599"/>
      <w:bookmarkStart w:id="37" w:name="_Toc13803483"/>
      <w:bookmarkStart w:id="38" w:name="_Toc11499586"/>
      <w:bookmarkStart w:id="39" w:name="_Toc94585342"/>
      <w:bookmarkStart w:id="40" w:name="_Toc94544872"/>
      <w:bookmarkStart w:id="41" w:name="_Toc521203420"/>
      <w:bookmarkStart w:id="42" w:name="_Toc11500282"/>
      <w:bookmarkStart w:id="43" w:name="_Toc94544746"/>
      <w:bookmarkStart w:id="44" w:name="_Toc363573856"/>
      <w:r>
        <w:rPr>
          <w:rFonts w:hint="eastAsia" w:ascii="宋体" w:hAnsi="宋体" w:cs="宋体"/>
          <w:b/>
          <w:bCs/>
          <w:w w:val="80"/>
          <w:sz w:val="44"/>
          <w:szCs w:val="44"/>
        </w:rPr>
        <w:t>第三章  项目需求</w:t>
      </w:r>
    </w:p>
    <w:p>
      <w:pPr>
        <w:pStyle w:val="20"/>
      </w:pPr>
    </w:p>
    <w:p>
      <w:pPr>
        <w:snapToGrid w:val="0"/>
        <w:spacing w:line="360" w:lineRule="auto"/>
        <w:ind w:left="-210" w:leftChars="-100" w:firstLine="520" w:firstLineChars="216"/>
        <w:rPr>
          <w:rFonts w:hint="eastAsia" w:ascii="宋体" w:hAnsi="宋体" w:cs="宋体"/>
          <w:kern w:val="0"/>
          <w:sz w:val="24"/>
          <w:szCs w:val="24"/>
          <w:lang w:val="zh-CN"/>
        </w:rPr>
      </w:pPr>
      <w:r>
        <w:rPr>
          <w:rFonts w:hint="eastAsia" w:ascii="宋体" w:hAnsi="宋体" w:cs="宋体"/>
          <w:b/>
          <w:sz w:val="24"/>
          <w:szCs w:val="24"/>
        </w:rPr>
        <w:t>特别提醒：</w:t>
      </w:r>
      <w:r>
        <w:rPr>
          <w:rFonts w:hint="eastAsia" w:ascii="宋体" w:hAnsi="宋体" w:cs="宋体"/>
          <w:b/>
          <w:kern w:val="0"/>
          <w:sz w:val="24"/>
          <w:szCs w:val="24"/>
          <w:lang w:val="zh-CN"/>
        </w:rPr>
        <w:t>请供应商制作投标响应文件时仔细研究项目需求说明。</w:t>
      </w:r>
      <w:r>
        <w:rPr>
          <w:rFonts w:hint="eastAsia" w:ascii="宋体" w:hAnsi="宋体" w:cs="宋体"/>
          <w:kern w:val="0"/>
          <w:sz w:val="24"/>
          <w:szCs w:val="24"/>
          <w:lang w:val="zh-CN"/>
        </w:rPr>
        <w:t>供应商不能简单照搬照抄采购单位项目需求说明中的技术要求，必须作实事求是的响应。如照搬照抄项目需求说明中的技术要求，成交后供应商在同采购单位签订合同和履约环节中不得提出异议，一切后果和损失由成交供应商承担。如供应商提供的货物和服务同采购单位提出的项目需求说明中的技术要求不同的，必须在《技术条款响应一览表》上明示，如不明示的视同完全响应。</w:t>
      </w: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pPr>
    </w:p>
    <w:p>
      <w:pPr>
        <w:rPr>
          <w:rFonts w:hint="eastAsia" w:ascii="宋体" w:hAnsi="宋体" w:cs="宋体"/>
          <w:kern w:val="0"/>
          <w:sz w:val="24"/>
          <w:szCs w:val="24"/>
          <w:lang w:val="zh-CN"/>
        </w:rPr>
      </w:pPr>
    </w:p>
    <w:p>
      <w:pPr>
        <w:pStyle w:val="34"/>
        <w:rPr>
          <w:rFonts w:hint="eastAsia" w:ascii="宋体" w:hAnsi="宋体" w:cs="宋体"/>
          <w:kern w:val="0"/>
          <w:sz w:val="24"/>
          <w:szCs w:val="24"/>
          <w:lang w:val="zh-CN"/>
        </w:rPr>
        <w:sectPr>
          <w:pgSz w:w="11906" w:h="16838"/>
          <w:pgMar w:top="1440" w:right="1361" w:bottom="1440" w:left="1361" w:header="851" w:footer="992" w:gutter="0"/>
          <w:cols w:space="720" w:num="1"/>
          <w:docGrid w:type="lines" w:linePitch="312" w:charSpace="0"/>
        </w:sectPr>
      </w:pPr>
    </w:p>
    <w:p>
      <w:pPr>
        <w:rPr>
          <w:rFonts w:hint="eastAsia"/>
          <w:lang w:val="zh-CN"/>
        </w:rPr>
      </w:pPr>
    </w:p>
    <w:p>
      <w:pPr>
        <w:rPr>
          <w:lang w:val="zh-CN"/>
        </w:rPr>
      </w:pPr>
    </w:p>
    <w:p>
      <w:pPr>
        <w:keepNext w:val="0"/>
        <w:keepLines w:val="0"/>
        <w:pageBreakBefore w:val="0"/>
        <w:widowControl w:val="0"/>
        <w:numPr>
          <w:ilvl w:val="0"/>
          <w:numId w:val="7"/>
        </w:numPr>
        <w:kinsoku/>
        <w:wordWrap/>
        <w:overflowPunct/>
        <w:topLinePunct w:val="0"/>
        <w:bidi w:val="0"/>
        <w:spacing w:line="360" w:lineRule="auto"/>
        <w:ind w:firstLine="482" w:firstLineChars="200"/>
        <w:textAlignment w:val="auto"/>
        <w:outlineLvl w:val="1"/>
        <w:rPr>
          <w:rFonts w:hint="eastAsia"/>
          <w:b/>
          <w:sz w:val="24"/>
          <w:szCs w:val="24"/>
          <w:highlight w:val="none"/>
          <w:lang w:eastAsia="zh-CN"/>
        </w:rPr>
      </w:pPr>
      <w:r>
        <w:rPr>
          <w:rFonts w:hint="eastAsia"/>
          <w:b/>
          <w:sz w:val="24"/>
          <w:szCs w:val="24"/>
          <w:highlight w:val="none"/>
          <w:lang w:eastAsia="zh-CN"/>
        </w:rPr>
        <w:t>检测内容</w:t>
      </w:r>
    </w:p>
    <w:tbl>
      <w:tblPr>
        <w:tblStyle w:val="51"/>
        <w:tblpPr w:leftFromText="180" w:rightFromText="180" w:vertAnchor="text" w:horzAnchor="page" w:tblpX="2459" w:tblpY="17"/>
        <w:tblOverlap w:val="never"/>
        <w:tblW w:w="11925" w:type="dxa"/>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25"/>
        <w:gridCol w:w="615"/>
        <w:gridCol w:w="735"/>
        <w:gridCol w:w="600"/>
        <w:gridCol w:w="990"/>
        <w:gridCol w:w="660"/>
        <w:gridCol w:w="600"/>
        <w:gridCol w:w="720"/>
        <w:gridCol w:w="615"/>
        <w:gridCol w:w="477"/>
        <w:gridCol w:w="1413"/>
        <w:gridCol w:w="1170"/>
        <w:gridCol w:w="985"/>
        <w:gridCol w:w="1160"/>
        <w:gridCol w:w="66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78" w:hRule="atLeast"/>
        </w:trPr>
        <w:tc>
          <w:tcPr>
            <w:tcW w:w="525" w:type="dxa"/>
            <w:tcBorders>
              <w:bottom w:val="single" w:color="000000" w:sz="4" w:space="0"/>
              <w:right w:val="single" w:color="000000" w:sz="4" w:space="0"/>
            </w:tcBorders>
            <w:vAlign w:val="center"/>
          </w:tcPr>
          <w:p>
            <w:pPr>
              <w:widowControl w:val="0"/>
              <w:spacing w:before="17"/>
              <w:jc w:val="center"/>
              <w:rPr>
                <w:rFonts w:ascii="Microsoft JhengHei" w:hAnsi="宋体" w:eastAsia="宋体" w:cs="宋体"/>
                <w:b/>
                <w:kern w:val="2"/>
                <w:sz w:val="20"/>
                <w:szCs w:val="24"/>
                <w:lang w:val="zh-CN" w:eastAsia="zh-CN" w:bidi="zh-CN"/>
              </w:rPr>
            </w:pPr>
          </w:p>
          <w:p>
            <w:pPr>
              <w:widowControl w:val="0"/>
              <w:ind w:left="105" w:right="8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15" w:type="dxa"/>
            <w:tcBorders>
              <w:left w:val="single" w:color="000000" w:sz="4" w:space="0"/>
              <w:bottom w:val="single" w:color="000000" w:sz="4" w:space="0"/>
              <w:right w:val="single" w:color="000000" w:sz="4" w:space="0"/>
            </w:tcBorders>
            <w:vAlign w:val="center"/>
          </w:tcPr>
          <w:p>
            <w:pPr>
              <w:widowControl w:val="0"/>
              <w:spacing w:line="246" w:lineRule="exact"/>
              <w:ind w:left="29"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w:t>
            </w:r>
          </w:p>
          <w:p>
            <w:pPr>
              <w:widowControl w:val="0"/>
              <w:spacing w:before="3" w:line="242" w:lineRule="auto"/>
              <w:ind w:left="48"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类别/ 监测类别</w:t>
            </w:r>
          </w:p>
        </w:tc>
        <w:tc>
          <w:tcPr>
            <w:tcW w:w="735" w:type="dxa"/>
            <w:tcBorders>
              <w:left w:val="single" w:color="000000" w:sz="4" w:space="0"/>
              <w:bottom w:val="single" w:color="000000" w:sz="4" w:space="0"/>
              <w:right w:val="single" w:color="000000" w:sz="4" w:space="0"/>
            </w:tcBorders>
            <w:vAlign w:val="center"/>
          </w:tcPr>
          <w:p>
            <w:pPr>
              <w:widowControl w:val="0"/>
              <w:spacing w:before="113" w:line="242" w:lineRule="auto"/>
              <w:ind w:right="2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00" w:type="dxa"/>
            <w:tcBorders>
              <w:left w:val="single" w:color="000000" w:sz="4" w:space="0"/>
              <w:bottom w:val="single" w:color="000000" w:sz="4" w:space="0"/>
              <w:right w:val="single" w:color="000000" w:sz="4" w:space="0"/>
            </w:tcBorders>
            <w:vAlign w:val="center"/>
          </w:tcPr>
          <w:p>
            <w:pPr>
              <w:widowControl w:val="0"/>
              <w:spacing w:line="246" w:lineRule="exact"/>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w:t>
            </w:r>
          </w:p>
          <w:p>
            <w:pPr>
              <w:widowControl w:val="0"/>
              <w:spacing w:before="3" w:line="242" w:lineRule="auto"/>
              <w:ind w:left="85" w:right="18" w:hanging="5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名称/监测点位名称</w:t>
            </w:r>
          </w:p>
        </w:tc>
        <w:tc>
          <w:tcPr>
            <w:tcW w:w="990" w:type="dxa"/>
            <w:tcBorders>
              <w:left w:val="single" w:color="000000" w:sz="4" w:space="0"/>
              <w:bottom w:val="single" w:color="000000" w:sz="4" w:space="0"/>
              <w:right w:val="single" w:color="000000" w:sz="4" w:space="0"/>
            </w:tcBorders>
            <w:vAlign w:val="center"/>
          </w:tcPr>
          <w:p>
            <w:pPr>
              <w:widowControl w:val="0"/>
              <w:spacing w:line="242" w:lineRule="auto"/>
              <w:ind w:right="2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60" w:type="dxa"/>
            <w:tcBorders>
              <w:left w:val="single" w:color="000000" w:sz="4" w:space="0"/>
              <w:bottom w:val="single" w:color="000000" w:sz="4" w:space="0"/>
              <w:right w:val="single" w:color="000000" w:sz="4" w:space="0"/>
            </w:tcBorders>
            <w:vAlign w:val="center"/>
          </w:tcPr>
          <w:p>
            <w:pPr>
              <w:widowControl w:val="0"/>
              <w:ind w:right="2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center"/>
          </w:tcPr>
          <w:p>
            <w:pPr>
              <w:widowControl w:val="0"/>
              <w:ind w:right="-1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20" w:type="dxa"/>
            <w:tcBorders>
              <w:left w:val="single" w:color="000000" w:sz="4" w:space="0"/>
              <w:bottom w:val="single" w:color="000000" w:sz="4" w:space="0"/>
              <w:right w:val="single" w:color="000000" w:sz="4" w:space="0"/>
            </w:tcBorders>
            <w:vAlign w:val="center"/>
          </w:tcPr>
          <w:p>
            <w:pPr>
              <w:widowControl w:val="0"/>
              <w:spacing w:before="113" w:line="242" w:lineRule="auto"/>
              <w:ind w:right="3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15" w:type="dxa"/>
            <w:tcBorders>
              <w:left w:val="single" w:color="000000" w:sz="4" w:space="0"/>
              <w:bottom w:val="single" w:color="000000" w:sz="4" w:space="0"/>
              <w:right w:val="single" w:color="000000" w:sz="4" w:space="0"/>
            </w:tcBorders>
            <w:vAlign w:val="center"/>
          </w:tcPr>
          <w:p>
            <w:pPr>
              <w:widowControl w:val="0"/>
              <w:spacing w:line="242" w:lineRule="auto"/>
              <w:ind w:right="94"/>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477" w:type="dxa"/>
            <w:tcBorders>
              <w:left w:val="single" w:color="000000" w:sz="4" w:space="0"/>
              <w:bottom w:val="single" w:color="000000" w:sz="4" w:space="0"/>
              <w:right w:val="single" w:color="000000" w:sz="4" w:space="0"/>
            </w:tcBorders>
            <w:vAlign w:val="center"/>
          </w:tcPr>
          <w:p>
            <w:pPr>
              <w:widowControl w:val="0"/>
              <w:spacing w:line="242" w:lineRule="auto"/>
              <w:ind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413" w:type="dxa"/>
            <w:tcBorders>
              <w:left w:val="single" w:color="000000" w:sz="4" w:space="0"/>
              <w:bottom w:val="single" w:color="000000" w:sz="4" w:space="0"/>
              <w:right w:val="single" w:color="000000" w:sz="4" w:space="0"/>
            </w:tcBorders>
            <w:vAlign w:val="center"/>
          </w:tcPr>
          <w:p>
            <w:pPr>
              <w:widowControl w:val="0"/>
              <w:spacing w:line="246" w:lineRule="exact"/>
              <w:ind w:right="5"/>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自动监测设施是否符合安装、运行、维护</w:t>
            </w:r>
            <w:r>
              <w:rPr>
                <w:rFonts w:hint="eastAsia" w:ascii="黑体" w:hAnsi="宋体" w:eastAsia="黑体" w:cs="宋体"/>
                <w:kern w:val="2"/>
                <w:sz w:val="21"/>
                <w:szCs w:val="24"/>
                <w:lang w:val="zh-CN" w:eastAsia="zh-CN" w:bidi="zh-CN"/>
              </w:rPr>
              <w:t>等管理要求</w:t>
            </w:r>
          </w:p>
        </w:tc>
        <w:tc>
          <w:tcPr>
            <w:tcW w:w="1170" w:type="dxa"/>
            <w:tcBorders>
              <w:left w:val="single" w:color="000000" w:sz="4" w:space="0"/>
              <w:bottom w:val="single" w:color="000000" w:sz="4" w:space="0"/>
              <w:right w:val="single" w:color="000000" w:sz="4" w:space="0"/>
            </w:tcBorders>
            <w:vAlign w:val="center"/>
          </w:tcPr>
          <w:p>
            <w:pPr>
              <w:widowControl w:val="0"/>
              <w:spacing w:before="113" w:line="242" w:lineRule="auto"/>
              <w:ind w:right="3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985" w:type="dxa"/>
            <w:tcBorders>
              <w:left w:val="single" w:color="000000" w:sz="4" w:space="0"/>
              <w:bottom w:val="single" w:color="000000" w:sz="4" w:space="0"/>
              <w:right w:val="single" w:color="000000" w:sz="4" w:space="0"/>
            </w:tcBorders>
            <w:vAlign w:val="center"/>
          </w:tcPr>
          <w:p>
            <w:pPr>
              <w:widowControl w:val="0"/>
              <w:spacing w:line="242" w:lineRule="auto"/>
              <w:ind w:right="26"/>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160" w:type="dxa"/>
            <w:tcBorders>
              <w:left w:val="single" w:color="000000" w:sz="4" w:space="0"/>
              <w:bottom w:val="single" w:color="000000" w:sz="4" w:space="0"/>
              <w:right w:val="single" w:color="000000" w:sz="4" w:space="0"/>
            </w:tcBorders>
            <w:vAlign w:val="center"/>
          </w:tcPr>
          <w:p>
            <w:pPr>
              <w:widowControl w:val="0"/>
              <w:ind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660" w:type="dxa"/>
            <w:tcBorders>
              <w:left w:val="single" w:color="000000" w:sz="4" w:space="0"/>
              <w:bottom w:val="single" w:color="000000" w:sz="4" w:space="0"/>
            </w:tcBorders>
            <w:vAlign w:val="center"/>
          </w:tcPr>
          <w:p>
            <w:pPr>
              <w:widowControl w:val="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765" w:hRule="atLeast"/>
        </w:trPr>
        <w:tc>
          <w:tcPr>
            <w:tcW w:w="525" w:type="dxa"/>
            <w:tcBorders>
              <w:top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12"/>
                <w:szCs w:val="24"/>
                <w:lang w:val="zh-CN" w:eastAsia="zh-CN" w:bidi="zh-CN"/>
              </w:rPr>
            </w:pPr>
          </w:p>
          <w:p>
            <w:pPr>
              <w:widowControl w:val="0"/>
              <w:ind w:left="3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10"/>
              <w:jc w:val="center"/>
              <w:rPr>
                <w:rFonts w:ascii="Microsoft JhengHei" w:hAnsi="宋体" w:eastAsia="宋体" w:cs="宋体"/>
                <w:b/>
                <w:kern w:val="2"/>
                <w:sz w:val="10"/>
                <w:szCs w:val="24"/>
                <w:lang w:val="zh-CN" w:eastAsia="zh-CN" w:bidi="zh-CN"/>
              </w:rPr>
            </w:pPr>
          </w:p>
          <w:p>
            <w:pPr>
              <w:widowControl w:val="0"/>
              <w:ind w:left="15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1" w:line="242" w:lineRule="auto"/>
              <w:ind w:right="17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spacing w:line="246" w:lineRule="exact"/>
              <w:ind w:left="149" w:right="11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w:t>
            </w:r>
          </w:p>
          <w:p>
            <w:pPr>
              <w:widowControl w:val="0"/>
              <w:spacing w:before="3" w:line="242" w:lineRule="auto"/>
              <w:ind w:left="151" w:right="119"/>
              <w:jc w:val="center"/>
              <w:rPr>
                <w:rFonts w:ascii="宋体" w:hAnsi="宋体" w:eastAsia="宋体" w:cs="宋体"/>
                <w:kern w:val="2"/>
                <w:sz w:val="21"/>
                <w:szCs w:val="24"/>
                <w:lang w:val="zh-CN" w:eastAsia="zh-CN" w:bidi="zh-CN"/>
              </w:rPr>
            </w:pPr>
            <w:r>
              <w:rPr>
                <w:rFonts w:ascii="宋体" w:hAnsi="宋体" w:eastAsia="宋体" w:cs="宋体"/>
                <w:spacing w:val="-6"/>
                <w:kern w:val="2"/>
                <w:sz w:val="21"/>
                <w:szCs w:val="24"/>
                <w:lang w:val="zh-CN" w:eastAsia="zh-CN" w:bidi="zh-CN"/>
              </w:rPr>
              <w:t xml:space="preserve">流速,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温度,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压力, </w:t>
            </w:r>
            <w:r>
              <w:rPr>
                <w:rFonts w:ascii="宋体" w:hAnsi="宋体" w:eastAsia="宋体" w:cs="宋体"/>
                <w:kern w:val="2"/>
                <w:sz w:val="21"/>
                <w:szCs w:val="24"/>
                <w:lang w:val="zh-CN" w:eastAsia="zh-CN" w:bidi="zh-CN"/>
              </w:rPr>
              <w:t>烟气量</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10"/>
              <w:jc w:val="center"/>
              <w:rPr>
                <w:rFonts w:ascii="Microsoft JhengHei" w:hAnsi="宋体" w:eastAsia="宋体" w:cs="宋体"/>
                <w:b/>
                <w:kern w:val="2"/>
                <w:sz w:val="10"/>
                <w:szCs w:val="24"/>
                <w:lang w:val="zh-CN" w:eastAsia="zh-CN" w:bidi="zh-CN"/>
              </w:rPr>
            </w:pPr>
          </w:p>
          <w:p>
            <w:pPr>
              <w:widowControl w:val="0"/>
              <w:ind w:left="50" w:right="2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甲烷</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ind w:right="17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2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477"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413"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2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非连续采样至少3个</w:t>
            </w:r>
          </w:p>
        </w:tc>
        <w:tc>
          <w:tcPr>
            <w:tcW w:w="985" w:type="dxa"/>
            <w:tcBorders>
              <w:top w:val="single" w:color="000000" w:sz="4" w:space="0"/>
              <w:left w:val="single" w:color="000000" w:sz="4" w:space="0"/>
              <w:bottom w:val="single" w:color="000000" w:sz="4" w:space="0"/>
              <w:right w:val="single" w:color="000000" w:sz="4" w:space="0"/>
            </w:tcBorders>
            <w:vAlign w:val="center"/>
          </w:tcPr>
          <w:p>
            <w:pPr>
              <w:widowControl w:val="0"/>
              <w:spacing w:before="10"/>
              <w:jc w:val="center"/>
              <w:rPr>
                <w:rFonts w:ascii="Microsoft JhengHei" w:hAnsi="宋体" w:eastAsia="宋体" w:cs="宋体"/>
                <w:b/>
                <w:kern w:val="2"/>
                <w:sz w:val="10"/>
                <w:szCs w:val="24"/>
                <w:lang w:val="zh-CN" w:eastAsia="zh-CN" w:bidi="zh-CN"/>
              </w:rPr>
            </w:pPr>
          </w:p>
          <w:p>
            <w:pPr>
              <w:widowControl w:val="0"/>
              <w:ind w:left="19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6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9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环境空气  </w:t>
            </w:r>
            <w:r>
              <w:rPr>
                <w:rFonts w:ascii="宋体" w:hAnsi="宋体" w:eastAsia="宋体" w:cs="宋体"/>
                <w:spacing w:val="-3"/>
                <w:kern w:val="2"/>
                <w:sz w:val="21"/>
                <w:szCs w:val="24"/>
                <w:lang w:val="zh-CN" w:eastAsia="zh-CN" w:bidi="zh-CN"/>
              </w:rPr>
              <w:t>总烃、甲烷和非</w:t>
            </w:r>
          </w:p>
          <w:p>
            <w:pPr>
              <w:widowControl w:val="0"/>
              <w:spacing w:before="1" w:line="242" w:lineRule="auto"/>
              <w:ind w:left="393" w:right="-15" w:hanging="26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甲烷总烃的测定直接进样-</w:t>
            </w:r>
          </w:p>
          <w:p>
            <w:pPr>
              <w:widowControl w:val="0"/>
              <w:spacing w:before="1" w:line="242" w:lineRule="auto"/>
              <w:ind w:left="340" w:right="-15" w:hanging="2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气相色谱法（HJ 604-2017）</w:t>
            </w:r>
          </w:p>
        </w:tc>
        <w:tc>
          <w:tcPr>
            <w:tcW w:w="660"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30" w:hRule="atLeast"/>
        </w:trPr>
        <w:tc>
          <w:tcPr>
            <w:tcW w:w="525" w:type="dxa"/>
            <w:tcBorders>
              <w:top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14"/>
              <w:jc w:val="center"/>
              <w:rPr>
                <w:rFonts w:ascii="Microsoft JhengHei" w:hAnsi="宋体" w:eastAsia="宋体" w:cs="宋体"/>
                <w:b/>
                <w:kern w:val="2"/>
                <w:sz w:val="24"/>
                <w:szCs w:val="24"/>
                <w:lang w:val="zh-CN" w:eastAsia="zh-CN" w:bidi="zh-CN"/>
              </w:rPr>
            </w:pPr>
          </w:p>
          <w:p>
            <w:pPr>
              <w:widowControl w:val="0"/>
              <w:ind w:left="3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2</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15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right w:val="single" w:color="000000" w:sz="4" w:space="0"/>
            </w:tcBorders>
            <w:vAlign w:val="center"/>
          </w:tcPr>
          <w:p>
            <w:pPr>
              <w:widowControl w:val="0"/>
              <w:spacing w:line="242" w:lineRule="auto"/>
              <w:ind w:right="17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right w:val="single" w:color="000000" w:sz="4" w:space="0"/>
            </w:tcBorders>
            <w:vAlign w:val="center"/>
          </w:tcPr>
          <w:p>
            <w:pPr>
              <w:widowControl w:val="0"/>
              <w:spacing w:line="246" w:lineRule="exact"/>
              <w:ind w:left="20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w:t>
            </w:r>
          </w:p>
          <w:p>
            <w:pPr>
              <w:widowControl w:val="0"/>
              <w:spacing w:before="3" w:line="242" w:lineRule="auto"/>
              <w:ind w:left="151" w:right="119"/>
              <w:jc w:val="center"/>
              <w:rPr>
                <w:rFonts w:ascii="宋体" w:hAnsi="宋体" w:eastAsia="宋体" w:cs="宋体"/>
                <w:kern w:val="2"/>
                <w:sz w:val="21"/>
                <w:szCs w:val="24"/>
                <w:lang w:val="zh-CN" w:eastAsia="zh-CN" w:bidi="zh-CN"/>
              </w:rPr>
            </w:pPr>
            <w:r>
              <w:rPr>
                <w:rFonts w:ascii="宋体" w:hAnsi="宋体" w:eastAsia="宋体" w:cs="宋体"/>
                <w:spacing w:val="-6"/>
                <w:kern w:val="2"/>
                <w:sz w:val="21"/>
                <w:szCs w:val="24"/>
                <w:lang w:val="zh-CN" w:eastAsia="zh-CN" w:bidi="zh-CN"/>
              </w:rPr>
              <w:t xml:space="preserve">流速,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温度,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压力, </w:t>
            </w:r>
            <w:r>
              <w:rPr>
                <w:rFonts w:ascii="宋体" w:hAnsi="宋体" w:eastAsia="宋体" w:cs="宋体"/>
                <w:kern w:val="2"/>
                <w:sz w:val="21"/>
                <w:szCs w:val="24"/>
                <w:lang w:val="zh-CN" w:eastAsia="zh-CN" w:bidi="zh-CN"/>
              </w:rPr>
              <w:t>烟气</w:t>
            </w:r>
            <w:r>
              <w:rPr>
                <w:rFonts w:hint="eastAsia" w:ascii="宋体" w:hAnsi="宋体" w:cs="宋体"/>
                <w:kern w:val="2"/>
                <w:sz w:val="21"/>
                <w:szCs w:val="24"/>
                <w:lang w:val="zh-CN" w:eastAsia="zh-CN" w:bidi="zh-CN"/>
              </w:rPr>
              <w:t>量</w:t>
            </w:r>
          </w:p>
        </w:tc>
        <w:tc>
          <w:tcPr>
            <w:tcW w:w="660"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50" w:right="2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臭气浓度</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ind w:right="17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2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477"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413"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right w:val="single" w:color="000000" w:sz="4" w:space="0"/>
            </w:tcBorders>
            <w:vAlign w:val="center"/>
          </w:tcPr>
          <w:p>
            <w:pPr>
              <w:widowControl w:val="0"/>
              <w:spacing w:before="6"/>
              <w:jc w:val="center"/>
              <w:rPr>
                <w:rFonts w:ascii="Microsoft JhengHei" w:hAnsi="宋体" w:eastAsia="宋体" w:cs="宋体"/>
                <w:b/>
                <w:kern w:val="2"/>
                <w:sz w:val="28"/>
                <w:szCs w:val="24"/>
                <w:lang w:val="zh-CN" w:eastAsia="zh-CN" w:bidi="zh-CN"/>
              </w:rPr>
            </w:pPr>
          </w:p>
          <w:p>
            <w:pPr>
              <w:widowControl w:val="0"/>
              <w:spacing w:before="1" w:line="242" w:lineRule="auto"/>
              <w:ind w:left="471" w:right="124"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1"/>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985"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19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60" w:type="dxa"/>
            <w:tcBorders>
              <w:top w:val="single" w:color="000000" w:sz="4" w:space="0"/>
              <w:left w:val="single" w:color="000000" w:sz="4" w:space="0"/>
              <w:right w:val="single" w:color="000000" w:sz="4" w:space="0"/>
            </w:tcBorders>
            <w:vAlign w:val="center"/>
          </w:tcPr>
          <w:p>
            <w:pPr>
              <w:widowControl w:val="0"/>
              <w:spacing w:before="10"/>
              <w:jc w:val="center"/>
              <w:rPr>
                <w:rFonts w:ascii="Microsoft JhengHei" w:hAnsi="宋体" w:eastAsia="宋体" w:cs="宋体"/>
                <w:b/>
                <w:kern w:val="2"/>
                <w:sz w:val="13"/>
                <w:szCs w:val="24"/>
                <w:lang w:val="zh-CN" w:eastAsia="zh-CN" w:bidi="zh-CN"/>
              </w:rPr>
            </w:pPr>
          </w:p>
          <w:p>
            <w:pPr>
              <w:widowControl w:val="0"/>
              <w:spacing w:line="242" w:lineRule="auto"/>
              <w:ind w:left="340" w:right="20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  恶臭的测定</w:t>
            </w:r>
          </w:p>
          <w:p>
            <w:pPr>
              <w:widowControl w:val="0"/>
              <w:spacing w:before="1" w:line="256" w:lineRule="auto"/>
              <w:ind w:left="130" w:right="9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三点比较式臭袋法 GB T 14675- 1993</w:t>
            </w:r>
          </w:p>
        </w:tc>
        <w:tc>
          <w:tcPr>
            <w:tcW w:w="660" w:type="dxa"/>
            <w:tcBorders>
              <w:top w:val="single" w:color="000000" w:sz="4" w:space="0"/>
              <w:lef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bl>
    <w:p>
      <w:pPr>
        <w:widowControl w:val="0"/>
        <w:spacing w:before="14"/>
        <w:jc w:val="both"/>
        <w:rPr>
          <w:rFonts w:ascii="Microsoft JhengHei" w:hAnsi="宋体" w:eastAsia="宋体" w:cs="宋体"/>
          <w:b/>
          <w:kern w:val="2"/>
          <w:sz w:val="16"/>
          <w:szCs w:val="21"/>
          <w:lang w:val="zh-CN" w:eastAsia="zh-CN" w:bidi="zh-CN"/>
        </w:rPr>
      </w:pPr>
    </w:p>
    <w:tbl>
      <w:tblPr>
        <w:tblStyle w:val="51"/>
        <w:tblpPr w:leftFromText="180" w:rightFromText="180" w:vertAnchor="text" w:horzAnchor="page" w:tblpX="2459" w:tblpY="198"/>
        <w:tblOverlap w:val="never"/>
        <w:tblW w:w="0" w:type="auto"/>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40"/>
        <w:gridCol w:w="585"/>
        <w:gridCol w:w="735"/>
        <w:gridCol w:w="615"/>
        <w:gridCol w:w="975"/>
        <w:gridCol w:w="660"/>
        <w:gridCol w:w="630"/>
        <w:gridCol w:w="690"/>
        <w:gridCol w:w="630"/>
        <w:gridCol w:w="889"/>
        <w:gridCol w:w="1016"/>
        <w:gridCol w:w="1169"/>
        <w:gridCol w:w="991"/>
        <w:gridCol w:w="1155"/>
        <w:gridCol w:w="64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84" w:hRule="atLeast"/>
        </w:trPr>
        <w:tc>
          <w:tcPr>
            <w:tcW w:w="540" w:type="dxa"/>
            <w:tcBorders>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585" w:type="dxa"/>
            <w:tcBorders>
              <w:left w:val="single" w:color="000000" w:sz="4" w:space="0"/>
              <w:bottom w:val="single" w:color="000000" w:sz="4" w:space="0"/>
              <w:right w:val="single" w:color="000000" w:sz="4" w:space="0"/>
            </w:tcBorders>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735" w:type="dxa"/>
            <w:tcBorders>
              <w:left w:val="single" w:color="000000" w:sz="4" w:space="0"/>
              <w:bottom w:val="single" w:color="000000" w:sz="4" w:space="0"/>
              <w:right w:val="single" w:color="000000" w:sz="4" w:space="0"/>
            </w:tcBorders>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15" w:type="dxa"/>
            <w:tcBorders>
              <w:left w:val="single" w:color="000000" w:sz="4" w:space="0"/>
              <w:bottom w:val="single" w:color="000000" w:sz="4" w:space="0"/>
              <w:right w:val="single" w:color="000000" w:sz="4" w:space="0"/>
            </w:tcBorders>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97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60"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30"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690" w:type="dxa"/>
            <w:tcBorders>
              <w:left w:val="single" w:color="000000" w:sz="4" w:space="0"/>
              <w:bottom w:val="single" w:color="000000" w:sz="4" w:space="0"/>
              <w:right w:val="single" w:color="000000" w:sz="4" w:space="0"/>
            </w:tcBorders>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30"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889"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16" w:type="dxa"/>
            <w:tcBorders>
              <w:left w:val="single" w:color="000000" w:sz="4" w:space="0"/>
              <w:bottom w:val="single" w:color="000000" w:sz="4" w:space="0"/>
              <w:right w:val="single" w:color="000000" w:sz="4" w:space="0"/>
            </w:tcBorders>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169" w:type="dxa"/>
            <w:tcBorders>
              <w:left w:val="single" w:color="000000" w:sz="4" w:space="0"/>
              <w:bottom w:val="single" w:color="000000" w:sz="4" w:space="0"/>
              <w:right w:val="single" w:color="000000" w:sz="4" w:space="0"/>
            </w:tcBorders>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991"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15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p>
            <w:pPr>
              <w:widowControl w:val="0"/>
              <w:spacing w:before="3"/>
              <w:ind w:right="1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w:t>
            </w:r>
          </w:p>
        </w:tc>
        <w:tc>
          <w:tcPr>
            <w:tcW w:w="645" w:type="dxa"/>
            <w:tcBorders>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264" w:hRule="atLeast"/>
        </w:trPr>
        <w:tc>
          <w:tcPr>
            <w:tcW w:w="540" w:type="dxa"/>
            <w:tcBorders>
              <w:top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3</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7"/>
              <w:jc w:val="center"/>
              <w:rPr>
                <w:rFonts w:ascii="Times New Roman" w:hAnsi="宋体" w:eastAsia="宋体" w:cs="宋体"/>
                <w:kern w:val="2"/>
                <w:sz w:val="27"/>
                <w:szCs w:val="24"/>
                <w:lang w:val="zh-CN" w:eastAsia="zh-CN" w:bidi="zh-CN"/>
              </w:rPr>
            </w:pPr>
          </w:p>
          <w:p>
            <w:pPr>
              <w:widowControl w:val="0"/>
              <w:spacing w:line="242" w:lineRule="auto"/>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 烟气温度, 烟气动压, 烟气量</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3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氨（氨气</w:t>
            </w:r>
          </w:p>
          <w:p>
            <w:pPr>
              <w:widowControl w:val="0"/>
              <w:spacing w:before="3"/>
              <w:ind w:left="4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2"/>
              <w:ind w:left="21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至少4个</w:t>
            </w:r>
          </w:p>
        </w:tc>
        <w:tc>
          <w:tcPr>
            <w:tcW w:w="991"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30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空气质量氨的测定离子选择电极法GB/T 14669- 1993</w:t>
            </w:r>
          </w:p>
        </w:tc>
        <w:tc>
          <w:tcPr>
            <w:tcW w:w="6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763" w:hRule="atLeast"/>
        </w:trPr>
        <w:tc>
          <w:tcPr>
            <w:tcW w:w="540" w:type="dxa"/>
            <w:tcBorders>
              <w:top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7"/>
              <w:jc w:val="center"/>
              <w:rPr>
                <w:rFonts w:ascii="Times New Roman" w:hAnsi="宋体" w:eastAsia="宋体" w:cs="宋体"/>
                <w:kern w:val="2"/>
                <w:sz w:val="27"/>
                <w:szCs w:val="24"/>
                <w:lang w:val="zh-CN" w:eastAsia="zh-CN" w:bidi="zh-CN"/>
              </w:rPr>
            </w:pPr>
          </w:p>
          <w:p>
            <w:pPr>
              <w:widowControl w:val="0"/>
              <w:spacing w:line="242" w:lineRule="auto"/>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 烟气温度, 烟气量,烟气压力</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4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氯</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5"/>
              <w:jc w:val="center"/>
              <w:rPr>
                <w:rFonts w:ascii="Times New Roman" w:hAnsi="宋体" w:eastAsia="宋体" w:cs="宋体"/>
                <w:kern w:val="2"/>
                <w:sz w:val="19"/>
                <w:szCs w:val="24"/>
                <w:lang w:val="zh-CN" w:eastAsia="zh-CN" w:bidi="zh-CN"/>
              </w:rPr>
            </w:pPr>
          </w:p>
          <w:p>
            <w:pPr>
              <w:widowControl w:val="0"/>
              <w:spacing w:line="242" w:lineRule="auto"/>
              <w:ind w:left="476" w:right="110"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2"/>
              <w:ind w:left="21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991"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环境空气  </w:t>
            </w:r>
            <w:r>
              <w:rPr>
                <w:rFonts w:ascii="宋体" w:hAnsi="宋体" w:eastAsia="宋体" w:cs="宋体"/>
                <w:spacing w:val="-3"/>
                <w:kern w:val="2"/>
                <w:sz w:val="21"/>
                <w:szCs w:val="24"/>
                <w:lang w:val="zh-CN" w:eastAsia="zh-CN" w:bidi="zh-CN"/>
              </w:rPr>
              <w:t>氯气等有毒有害</w:t>
            </w:r>
          </w:p>
          <w:p>
            <w:pPr>
              <w:widowControl w:val="0"/>
              <w:spacing w:before="1" w:line="256" w:lineRule="auto"/>
              <w:ind w:left="135" w:right="-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气体的应急监测电化学传感器法(HJ 872—2017)</w:t>
            </w:r>
          </w:p>
        </w:tc>
        <w:tc>
          <w:tcPr>
            <w:tcW w:w="6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24" w:hRule="atLeast"/>
        </w:trPr>
        <w:tc>
          <w:tcPr>
            <w:tcW w:w="540" w:type="dxa"/>
            <w:tcBorders>
              <w:top w:val="single" w:color="000000" w:sz="4" w:space="0"/>
              <w:right w:val="single" w:color="000000" w:sz="4" w:space="0"/>
            </w:tcBorders>
            <w:vAlign w:val="center"/>
          </w:tcPr>
          <w:p>
            <w:pPr>
              <w:widowControl w:val="0"/>
              <w:spacing w:before="16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5</w:t>
            </w:r>
          </w:p>
        </w:tc>
        <w:tc>
          <w:tcPr>
            <w:tcW w:w="585" w:type="dxa"/>
            <w:tcBorders>
              <w:top w:val="single" w:color="000000" w:sz="4" w:space="0"/>
              <w:left w:val="single" w:color="000000" w:sz="4" w:space="0"/>
              <w:right w:val="single" w:color="000000" w:sz="4" w:space="0"/>
            </w:tcBorders>
            <w:vAlign w:val="center"/>
          </w:tcPr>
          <w:p>
            <w:pPr>
              <w:widowControl w:val="0"/>
              <w:spacing w:before="139"/>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right w:val="single" w:color="000000" w:sz="4" w:space="0"/>
            </w:tcBorders>
            <w:vAlign w:val="center"/>
          </w:tcPr>
          <w:p>
            <w:pPr>
              <w:widowControl w:val="0"/>
              <w:spacing w:before="2" w:line="270" w:lineRule="atLeast"/>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right w:val="single" w:color="000000" w:sz="4" w:space="0"/>
            </w:tcBorders>
            <w:vAlign w:val="center"/>
          </w:tcPr>
          <w:p>
            <w:pPr>
              <w:widowControl w:val="0"/>
              <w:spacing w:before="2" w:line="270" w:lineRule="atLeast"/>
              <w:ind w:left="156" w:right="111" w:firstLine="5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w:t>
            </w:r>
          </w:p>
        </w:tc>
        <w:tc>
          <w:tcPr>
            <w:tcW w:w="660" w:type="dxa"/>
            <w:tcBorders>
              <w:top w:val="single" w:color="000000" w:sz="4" w:space="0"/>
              <w:left w:val="single" w:color="000000" w:sz="4" w:space="0"/>
              <w:right w:val="single" w:color="000000" w:sz="4" w:space="0"/>
            </w:tcBorders>
            <w:vAlign w:val="center"/>
          </w:tcPr>
          <w:p>
            <w:pPr>
              <w:widowControl w:val="0"/>
              <w:spacing w:before="139"/>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硫化氢</w:t>
            </w:r>
          </w:p>
        </w:tc>
        <w:tc>
          <w:tcPr>
            <w:tcW w:w="630" w:type="dxa"/>
            <w:tcBorders>
              <w:top w:val="single" w:color="000000" w:sz="4" w:space="0"/>
              <w:left w:val="single" w:color="000000" w:sz="4" w:space="0"/>
              <w:right w:val="single" w:color="000000" w:sz="4" w:space="0"/>
            </w:tcBorders>
            <w:vAlign w:val="center"/>
          </w:tcPr>
          <w:p>
            <w:pPr>
              <w:widowControl w:val="0"/>
              <w:spacing w:before="139"/>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right w:val="single" w:color="000000" w:sz="4" w:space="0"/>
            </w:tcBorders>
            <w:vAlign w:val="center"/>
          </w:tcPr>
          <w:p>
            <w:pPr>
              <w:widowControl w:val="0"/>
              <w:spacing w:before="2" w:line="270" w:lineRule="atLeast"/>
              <w:ind w:left="476" w:right="110"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tc>
        <w:tc>
          <w:tcPr>
            <w:tcW w:w="991" w:type="dxa"/>
            <w:tcBorders>
              <w:top w:val="single" w:color="000000" w:sz="4" w:space="0"/>
              <w:left w:val="single" w:color="000000" w:sz="4" w:space="0"/>
              <w:right w:val="single" w:color="000000" w:sz="4" w:space="0"/>
            </w:tcBorders>
            <w:vAlign w:val="center"/>
          </w:tcPr>
          <w:p>
            <w:pPr>
              <w:widowControl w:val="0"/>
              <w:spacing w:before="139"/>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right w:val="single" w:color="000000" w:sz="4" w:space="0"/>
            </w:tcBorders>
            <w:vAlign w:val="center"/>
          </w:tcPr>
          <w:p>
            <w:pPr>
              <w:widowControl w:val="0"/>
              <w:spacing w:before="2" w:line="270" w:lineRule="atLeast"/>
              <w:ind w:left="188" w:right="42" w:firstLine="2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  硫化氢 甲硫醇</w:t>
            </w:r>
          </w:p>
        </w:tc>
        <w:tc>
          <w:tcPr>
            <w:tcW w:w="645" w:type="dxa"/>
            <w:tcBorders>
              <w:top w:val="single" w:color="000000" w:sz="4" w:space="0"/>
              <w:lef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bl>
    <w:tbl>
      <w:tblPr>
        <w:tblStyle w:val="51"/>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85"/>
        <w:gridCol w:w="636"/>
        <w:gridCol w:w="735"/>
        <w:gridCol w:w="600"/>
        <w:gridCol w:w="959"/>
        <w:gridCol w:w="645"/>
        <w:gridCol w:w="600"/>
        <w:gridCol w:w="705"/>
        <w:gridCol w:w="615"/>
        <w:gridCol w:w="900"/>
        <w:gridCol w:w="1020"/>
        <w:gridCol w:w="1170"/>
        <w:gridCol w:w="840"/>
        <w:gridCol w:w="885"/>
        <w:gridCol w:w="109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16" w:hRule="atLeast"/>
          <w:jc w:val="center"/>
        </w:trPr>
        <w:tc>
          <w:tcPr>
            <w:tcW w:w="585" w:type="dxa"/>
            <w:tcBorders>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36" w:type="dxa"/>
            <w:tcBorders>
              <w:left w:val="single" w:color="000000" w:sz="4" w:space="0"/>
              <w:bottom w:val="single" w:color="000000" w:sz="4" w:space="0"/>
              <w:right w:val="single" w:color="000000" w:sz="4" w:space="0"/>
            </w:tcBorders>
            <w:vAlign w:val="top"/>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735" w:type="dxa"/>
            <w:tcBorders>
              <w:left w:val="single" w:color="000000" w:sz="4" w:space="0"/>
              <w:bottom w:val="single" w:color="000000" w:sz="4" w:space="0"/>
              <w:right w:val="single" w:color="000000" w:sz="4" w:space="0"/>
            </w:tcBorders>
            <w:vAlign w:val="top"/>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00" w:type="dxa"/>
            <w:tcBorders>
              <w:left w:val="single" w:color="000000" w:sz="4" w:space="0"/>
              <w:bottom w:val="single" w:color="000000" w:sz="4" w:space="0"/>
              <w:right w:val="single" w:color="000000" w:sz="4" w:space="0"/>
            </w:tcBorders>
            <w:vAlign w:val="top"/>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959"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45"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05" w:type="dxa"/>
            <w:tcBorders>
              <w:left w:val="single" w:color="000000" w:sz="4" w:space="0"/>
              <w:bottom w:val="single" w:color="000000" w:sz="4" w:space="0"/>
              <w:right w:val="single" w:color="000000" w:sz="4" w:space="0"/>
            </w:tcBorders>
            <w:vAlign w:val="top"/>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1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90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20" w:type="dxa"/>
            <w:tcBorders>
              <w:left w:val="single" w:color="000000" w:sz="4" w:space="0"/>
              <w:bottom w:val="single" w:color="000000" w:sz="4" w:space="0"/>
              <w:right w:val="single" w:color="000000" w:sz="4" w:space="0"/>
            </w:tcBorders>
            <w:vAlign w:val="top"/>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170" w:type="dxa"/>
            <w:tcBorders>
              <w:left w:val="single" w:color="000000" w:sz="4" w:space="0"/>
              <w:bottom w:val="single" w:color="000000" w:sz="4" w:space="0"/>
              <w:right w:val="single" w:color="000000" w:sz="4" w:space="0"/>
            </w:tcBorders>
            <w:vAlign w:val="top"/>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84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88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096" w:type="dxa"/>
            <w:tcBorders>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950" w:hRule="atLeast"/>
          <w:jc w:val="center"/>
        </w:trPr>
        <w:tc>
          <w:tcPr>
            <w:tcW w:w="585"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36"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vAlign w:val="top"/>
          </w:tcPr>
          <w:p>
            <w:pPr>
              <w:widowControl w:val="0"/>
              <w:spacing w:before="3" w:line="242" w:lineRule="auto"/>
              <w:ind w:left="313" w:right="166" w:hanging="1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站周界</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59"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烟气温度, 烟气压力, 烟气量</w:t>
            </w:r>
          </w:p>
        </w:tc>
        <w:tc>
          <w:tcPr>
            <w:tcW w:w="6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02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left="21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84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8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right="4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甲硫醚二甲二硫的测定气相色谱法GB/T14678-1993</w:t>
            </w:r>
          </w:p>
        </w:tc>
        <w:tc>
          <w:tcPr>
            <w:tcW w:w="1096"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5" w:hRule="atLeast"/>
          <w:jc w:val="center"/>
        </w:trPr>
        <w:tc>
          <w:tcPr>
            <w:tcW w:w="585"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6</w:t>
            </w:r>
          </w:p>
        </w:tc>
        <w:tc>
          <w:tcPr>
            <w:tcW w:w="636"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73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26"/>
                <w:szCs w:val="24"/>
                <w:lang w:val="zh-CN" w:eastAsia="zh-CN" w:bidi="zh-CN"/>
              </w:rPr>
            </w:pPr>
          </w:p>
          <w:p>
            <w:pPr>
              <w:widowControl w:val="0"/>
              <w:spacing w:before="1"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959"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6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pH值</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w:t>
            </w:r>
          </w:p>
        </w:tc>
        <w:tc>
          <w:tcPr>
            <w:tcW w:w="70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7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否</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5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9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4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102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4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是</w:t>
            </w:r>
          </w:p>
        </w:tc>
        <w:tc>
          <w:tcPr>
            <w:tcW w:w="117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26"/>
                <w:szCs w:val="24"/>
                <w:lang w:val="zh-CN" w:eastAsia="zh-CN" w:bidi="zh-CN"/>
              </w:rPr>
            </w:pPr>
          </w:p>
          <w:p>
            <w:pPr>
              <w:widowControl w:val="0"/>
              <w:spacing w:before="1" w:line="242" w:lineRule="auto"/>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84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72"/>
              <w:ind w:left="95" w:right="4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4次/天</w:t>
            </w:r>
          </w:p>
          <w:p>
            <w:pPr>
              <w:widowControl w:val="0"/>
              <w:spacing w:before="4" w:line="242" w:lineRule="auto"/>
              <w:ind w:left="156" w:right="10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，间隔不超过</w:t>
            </w:r>
            <w:r>
              <w:rPr>
                <w:rFonts w:ascii="宋体" w:hAnsi="宋体" w:eastAsia="宋体" w:cs="宋体"/>
                <w:spacing w:val="-19"/>
                <w:kern w:val="2"/>
                <w:sz w:val="21"/>
                <w:szCs w:val="24"/>
                <w:lang w:val="zh-CN" w:eastAsia="zh-CN" w:bidi="zh-CN"/>
              </w:rPr>
              <w:t xml:space="preserve">6 </w:t>
            </w:r>
            <w:r>
              <w:rPr>
                <w:rFonts w:ascii="宋体" w:hAnsi="宋体" w:eastAsia="宋体" w:cs="宋体"/>
                <w:kern w:val="2"/>
                <w:sz w:val="21"/>
                <w:szCs w:val="24"/>
                <w:lang w:val="zh-CN" w:eastAsia="zh-CN" w:bidi="zh-CN"/>
              </w:rPr>
              <w:t>小时</w:t>
            </w:r>
          </w:p>
        </w:tc>
        <w:tc>
          <w:tcPr>
            <w:tcW w:w="8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72"/>
              <w:ind w:left="187"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p>
            <w:pPr>
              <w:widowControl w:val="0"/>
              <w:spacing w:before="4"/>
              <w:ind w:left="187"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pH值的测定 </w:t>
            </w:r>
          </w:p>
          <w:p>
            <w:pPr>
              <w:widowControl w:val="0"/>
              <w:spacing w:before="3" w:line="268" w:lineRule="auto"/>
              <w:ind w:left="188"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玻璃电极法 GB 6920-1986</w:t>
            </w:r>
          </w:p>
        </w:tc>
        <w:tc>
          <w:tcPr>
            <w:tcW w:w="1096" w:type="dxa"/>
            <w:tcBorders>
              <w:top w:val="single" w:color="000000" w:sz="4" w:space="0"/>
              <w:left w:val="single" w:color="000000" w:sz="4" w:space="0"/>
              <w:bottom w:val="single" w:color="000000" w:sz="4" w:space="0"/>
            </w:tcBorders>
            <w:vAlign w:val="top"/>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自动监测设备故障或停运超过24小时无法恢复的，应当采用手工监测的方式对污染物排放状况进行监测</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jc w:val="center"/>
        </w:trPr>
        <w:tc>
          <w:tcPr>
            <w:tcW w:w="585" w:type="dxa"/>
            <w:tcBorders>
              <w:top w:val="single" w:color="000000" w:sz="4" w:space="0"/>
              <w:right w:val="single" w:color="000000" w:sz="4" w:space="0"/>
            </w:tcBorders>
            <w:vAlign w:val="top"/>
          </w:tcPr>
          <w:p>
            <w:pPr>
              <w:widowControl w:val="0"/>
              <w:spacing w:before="32" w:line="220" w:lineRule="exact"/>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7</w:t>
            </w:r>
          </w:p>
        </w:tc>
        <w:tc>
          <w:tcPr>
            <w:tcW w:w="636" w:type="dxa"/>
            <w:tcBorders>
              <w:top w:val="single" w:color="000000" w:sz="4" w:space="0"/>
              <w:left w:val="single" w:color="000000" w:sz="4" w:space="0"/>
              <w:right w:val="single" w:color="000000" w:sz="4" w:space="0"/>
            </w:tcBorders>
            <w:vAlign w:val="top"/>
          </w:tcPr>
          <w:p>
            <w:pPr>
              <w:widowControl w:val="0"/>
              <w:spacing w:before="3" w:line="249" w:lineRule="exact"/>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735" w:type="dxa"/>
            <w:tcBorders>
              <w:top w:val="single" w:color="000000" w:sz="4" w:space="0"/>
              <w:left w:val="single" w:color="000000" w:sz="4" w:space="0"/>
              <w:right w:val="single" w:color="000000" w:sz="4" w:space="0"/>
            </w:tcBorders>
            <w:vAlign w:val="top"/>
          </w:tcPr>
          <w:p>
            <w:pPr>
              <w:widowControl w:val="0"/>
              <w:spacing w:before="32" w:line="220" w:lineRule="exact"/>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w:t>
            </w:r>
          </w:p>
        </w:tc>
        <w:tc>
          <w:tcPr>
            <w:tcW w:w="959" w:type="dxa"/>
            <w:tcBorders>
              <w:top w:val="single" w:color="000000" w:sz="4" w:space="0"/>
              <w:left w:val="single" w:color="000000" w:sz="4" w:space="0"/>
              <w:right w:val="single" w:color="000000" w:sz="4" w:space="0"/>
            </w:tcBorders>
            <w:vAlign w:val="top"/>
          </w:tcPr>
          <w:p>
            <w:pPr>
              <w:widowControl w:val="0"/>
              <w:spacing w:before="3" w:line="249" w:lineRule="exact"/>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645" w:type="dxa"/>
            <w:tcBorders>
              <w:top w:val="single" w:color="000000" w:sz="4" w:space="0"/>
              <w:left w:val="single" w:color="000000" w:sz="4" w:space="0"/>
              <w:right w:val="single" w:color="000000" w:sz="4" w:space="0"/>
            </w:tcBorders>
            <w:vAlign w:val="top"/>
          </w:tcPr>
          <w:p>
            <w:pPr>
              <w:widowControl w:val="0"/>
              <w:spacing w:before="3" w:line="249" w:lineRule="exact"/>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色度</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0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0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02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right w:val="single" w:color="000000" w:sz="4" w:space="0"/>
            </w:tcBorders>
            <w:vAlign w:val="top"/>
          </w:tcPr>
          <w:p>
            <w:pPr>
              <w:widowControl w:val="0"/>
              <w:spacing w:before="3" w:line="249" w:lineRule="exact"/>
              <w:ind w:lef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瞬时采样 </w:t>
            </w:r>
          </w:p>
        </w:tc>
        <w:tc>
          <w:tcPr>
            <w:tcW w:w="840" w:type="dxa"/>
            <w:tcBorders>
              <w:top w:val="single" w:color="000000" w:sz="4" w:space="0"/>
              <w:left w:val="single" w:color="000000" w:sz="4" w:space="0"/>
              <w:right w:val="single" w:color="000000" w:sz="4" w:space="0"/>
            </w:tcBorders>
            <w:vAlign w:val="top"/>
          </w:tcPr>
          <w:p>
            <w:pPr>
              <w:widowControl w:val="0"/>
              <w:spacing w:before="3" w:line="249" w:lineRule="exact"/>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885" w:type="dxa"/>
            <w:tcBorders>
              <w:top w:val="single" w:color="000000" w:sz="4" w:space="0"/>
              <w:left w:val="single" w:color="000000" w:sz="4" w:space="0"/>
              <w:right w:val="single" w:color="000000" w:sz="4" w:space="0"/>
            </w:tcBorders>
            <w:vAlign w:val="top"/>
          </w:tcPr>
          <w:p>
            <w:pPr>
              <w:widowControl w:val="0"/>
              <w:spacing w:before="3" w:line="249" w:lineRule="exact"/>
              <w:ind w:left="66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tc>
        <w:tc>
          <w:tcPr>
            <w:tcW w:w="1096" w:type="dxa"/>
            <w:tcBorders>
              <w:top w:val="single" w:color="000000" w:sz="4" w:space="0"/>
              <w:lef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bl>
    <w:p>
      <w:pPr>
        <w:widowControl w:val="0"/>
        <w:jc w:val="both"/>
        <w:rPr>
          <w:rFonts w:ascii="Microsoft JhengHei" w:hAnsi="宋体" w:eastAsia="宋体" w:cs="宋体"/>
          <w:b/>
          <w:kern w:val="2"/>
          <w:sz w:val="20"/>
          <w:szCs w:val="21"/>
          <w:lang w:val="zh-CN" w:eastAsia="zh-CN" w:bidi="zh-CN"/>
        </w:rPr>
      </w:pPr>
    </w:p>
    <w:p>
      <w:pPr>
        <w:widowControl w:val="0"/>
        <w:jc w:val="both"/>
        <w:rPr>
          <w:rFonts w:ascii="Times New Roman" w:hAnsi="宋体" w:eastAsia="宋体" w:cs="宋体"/>
          <w:kern w:val="2"/>
          <w:sz w:val="20"/>
          <w:szCs w:val="21"/>
          <w:lang w:val="zh-CN" w:eastAsia="zh-CN" w:bidi="zh-CN"/>
        </w:rPr>
      </w:pPr>
    </w:p>
    <w:p>
      <w:pPr>
        <w:widowControl w:val="0"/>
        <w:spacing w:before="10"/>
        <w:jc w:val="both"/>
        <w:rPr>
          <w:rFonts w:ascii="Times New Roman" w:hAnsi="宋体" w:eastAsia="宋体" w:cs="宋体"/>
          <w:kern w:val="2"/>
          <w:sz w:val="18"/>
          <w:szCs w:val="21"/>
          <w:lang w:val="zh-CN" w:eastAsia="zh-CN" w:bidi="zh-CN"/>
        </w:rPr>
      </w:pPr>
    </w:p>
    <w:tbl>
      <w:tblPr>
        <w:tblStyle w:val="51"/>
        <w:tblW w:w="12030" w:type="dxa"/>
        <w:tblInd w:w="973"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35"/>
        <w:gridCol w:w="615"/>
        <w:gridCol w:w="555"/>
        <w:gridCol w:w="630"/>
        <w:gridCol w:w="585"/>
        <w:gridCol w:w="570"/>
        <w:gridCol w:w="735"/>
        <w:gridCol w:w="600"/>
        <w:gridCol w:w="705"/>
        <w:gridCol w:w="600"/>
        <w:gridCol w:w="990"/>
        <w:gridCol w:w="1050"/>
        <w:gridCol w:w="570"/>
        <w:gridCol w:w="1845"/>
        <w:gridCol w:w="124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35" w:type="dxa"/>
            <w:tcBorders>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15" w:type="dxa"/>
            <w:tcBorders>
              <w:left w:val="single" w:color="000000" w:sz="4" w:space="0"/>
              <w:bottom w:val="single" w:color="000000" w:sz="4" w:space="0"/>
              <w:right w:val="single" w:color="000000" w:sz="4" w:space="0"/>
            </w:tcBorders>
            <w:vAlign w:val="center"/>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555" w:type="dxa"/>
            <w:tcBorders>
              <w:left w:val="single" w:color="000000" w:sz="4" w:space="0"/>
              <w:bottom w:val="single" w:color="000000" w:sz="4" w:space="0"/>
              <w:right w:val="single" w:color="000000" w:sz="4" w:space="0"/>
            </w:tcBorders>
            <w:vAlign w:val="center"/>
          </w:tcPr>
          <w:p>
            <w:pPr>
              <w:widowControl w:val="0"/>
              <w:spacing w:before="139" w:line="242" w:lineRule="auto"/>
              <w:ind w:left="41" w:right="16"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30" w:type="dxa"/>
            <w:tcBorders>
              <w:left w:val="single" w:color="000000" w:sz="4" w:space="0"/>
              <w:bottom w:val="single" w:color="000000" w:sz="4" w:space="0"/>
              <w:right w:val="single" w:color="000000" w:sz="4" w:space="0"/>
            </w:tcBorders>
            <w:vAlign w:val="center"/>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585"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44" w:right="13"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570" w:type="dxa"/>
            <w:tcBorders>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735" w:type="dxa"/>
            <w:tcBorders>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600" w:type="dxa"/>
            <w:tcBorders>
              <w:left w:val="single" w:color="000000" w:sz="4" w:space="0"/>
              <w:bottom w:val="single" w:color="000000" w:sz="4" w:space="0"/>
              <w:right w:val="single" w:color="000000" w:sz="4" w:space="0"/>
            </w:tcBorders>
            <w:vAlign w:val="center"/>
          </w:tcPr>
          <w:p>
            <w:pPr>
              <w:widowControl w:val="0"/>
              <w:spacing w:before="139" w:line="242" w:lineRule="auto"/>
              <w:ind w:left="49" w:right="1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705" w:type="dxa"/>
            <w:tcBorders>
              <w:left w:val="single" w:color="000000" w:sz="4" w:space="0"/>
              <w:bottom w:val="single" w:color="000000" w:sz="4" w:space="0"/>
              <w:right w:val="single" w:color="000000" w:sz="4" w:space="0"/>
            </w:tcBorders>
            <w:vAlign w:val="center"/>
          </w:tcPr>
          <w:p>
            <w:pPr>
              <w:widowControl w:val="0"/>
              <w:spacing w:line="242" w:lineRule="auto"/>
              <w:ind w:right="84"/>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600" w:type="dxa"/>
            <w:tcBorders>
              <w:left w:val="single" w:color="000000" w:sz="4" w:space="0"/>
              <w:bottom w:val="single" w:color="000000" w:sz="4" w:space="0"/>
              <w:right w:val="single" w:color="000000" w:sz="4" w:space="0"/>
            </w:tcBorders>
            <w:vAlign w:val="center"/>
          </w:tcPr>
          <w:p>
            <w:pPr>
              <w:widowControl w:val="0"/>
              <w:spacing w:line="242" w:lineRule="auto"/>
              <w:ind w:right="3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990" w:type="dxa"/>
            <w:tcBorders>
              <w:left w:val="single" w:color="000000" w:sz="4" w:space="0"/>
              <w:bottom w:val="single" w:color="000000" w:sz="4" w:space="0"/>
              <w:right w:val="single" w:color="000000" w:sz="4" w:space="0"/>
            </w:tcBorders>
            <w:vAlign w:val="center"/>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050" w:type="dxa"/>
            <w:tcBorders>
              <w:left w:val="single" w:color="000000" w:sz="4" w:space="0"/>
              <w:bottom w:val="single" w:color="000000" w:sz="4" w:space="0"/>
              <w:right w:val="single" w:color="000000" w:sz="4" w:space="0"/>
            </w:tcBorders>
            <w:vAlign w:val="center"/>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570"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29" w:right="21"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845"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245" w:type="dxa"/>
            <w:tcBorders>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0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6"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right="16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色度的测</w:t>
            </w:r>
            <w:r>
              <w:rPr>
                <w:rFonts w:hint="eastAsia" w:ascii="宋体" w:hAnsi="宋体" w:eastAsia="宋体" w:cs="宋体"/>
                <w:kern w:val="2"/>
                <w:sz w:val="21"/>
                <w:szCs w:val="24"/>
                <w:lang w:val="zh-CN" w:eastAsia="zh-CN" w:bidi="zh-CN"/>
              </w:rPr>
              <w:t>定</w:t>
            </w:r>
            <w:r>
              <w:rPr>
                <w:rFonts w:ascii="宋体" w:hAnsi="宋体" w:eastAsia="宋体" w:cs="宋体"/>
                <w:kern w:val="2"/>
                <w:sz w:val="21"/>
                <w:szCs w:val="24"/>
                <w:lang w:val="zh-CN" w:eastAsia="zh-CN" w:bidi="zh-CN"/>
              </w:rPr>
              <w:t>GB 11903-89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27"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4"/>
              <w:jc w:val="center"/>
              <w:rPr>
                <w:rFonts w:ascii="Times New Roman" w:hAnsi="宋体" w:eastAsia="宋体" w:cs="宋体"/>
                <w:kern w:val="2"/>
                <w:sz w:val="18"/>
                <w:szCs w:val="24"/>
                <w:lang w:val="zh-CN" w:eastAsia="zh-CN" w:bidi="zh-CN"/>
              </w:rPr>
            </w:pPr>
          </w:p>
          <w:p>
            <w:pPr>
              <w:widowControl w:val="0"/>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8</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4"/>
              <w:jc w:val="center"/>
              <w:rPr>
                <w:rFonts w:ascii="Times New Roman" w:hAnsi="宋体" w:eastAsia="宋体" w:cs="宋体"/>
                <w:kern w:val="2"/>
                <w:sz w:val="18"/>
                <w:szCs w:val="24"/>
                <w:lang w:val="zh-CN" w:eastAsia="zh-CN" w:bidi="zh-CN"/>
              </w:rPr>
            </w:pPr>
          </w:p>
          <w:p>
            <w:pPr>
              <w:widowControl w:val="0"/>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before="139"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悬浮物</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139"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1次/周</w:t>
            </w: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水质悬浮物的测定重量法 GB11901-1989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637"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9</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2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五日生化需氧量</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水质五日生化需氧量（BOD5）的测定稀释与接种法</w:t>
            </w:r>
          </w:p>
          <w:p>
            <w:pPr>
              <w:widowControl w:val="0"/>
              <w:spacing w:before="30" w:line="220" w:lineRule="exact"/>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HJ505-2009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178" w:hRule="atLeast"/>
        </w:trPr>
        <w:tc>
          <w:tcPr>
            <w:tcW w:w="735" w:type="dxa"/>
            <w:tcBorders>
              <w:top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10</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right w:val="single" w:color="000000" w:sz="4" w:space="0"/>
            </w:tcBorders>
            <w:vAlign w:val="center"/>
          </w:tcPr>
          <w:p>
            <w:pPr>
              <w:widowControl w:val="0"/>
              <w:spacing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130" w:line="242" w:lineRule="auto"/>
              <w:ind w:right="12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化学需氧量</w:t>
            </w:r>
          </w:p>
        </w:tc>
        <w:tc>
          <w:tcPr>
            <w:tcW w:w="73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7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否</w:t>
            </w:r>
          </w:p>
        </w:tc>
        <w:tc>
          <w:tcPr>
            <w:tcW w:w="70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5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4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99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4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是</w:t>
            </w:r>
          </w:p>
        </w:tc>
        <w:tc>
          <w:tcPr>
            <w:tcW w:w="105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5"/>
              <w:jc w:val="center"/>
              <w:rPr>
                <w:rFonts w:ascii="Times New Roman" w:hAnsi="宋体" w:eastAsia="宋体" w:cs="宋体"/>
                <w:kern w:val="2"/>
                <w:sz w:val="19"/>
                <w:szCs w:val="24"/>
                <w:lang w:val="zh-CN" w:eastAsia="zh-CN" w:bidi="zh-CN"/>
              </w:rPr>
            </w:pPr>
          </w:p>
          <w:p>
            <w:pPr>
              <w:widowControl w:val="0"/>
              <w:spacing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ind w:right="46"/>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4次/天</w:t>
            </w:r>
          </w:p>
          <w:p>
            <w:pPr>
              <w:widowControl w:val="0"/>
              <w:spacing w:before="3" w:line="242" w:lineRule="auto"/>
              <w:ind w:right="106"/>
              <w:jc w:val="both"/>
              <w:rPr>
                <w:rFonts w:ascii="宋体" w:hAnsi="宋体" w:eastAsia="宋体" w:cs="宋体"/>
                <w:kern w:val="2"/>
                <w:sz w:val="21"/>
                <w:szCs w:val="24"/>
                <w:lang w:val="zh-CN" w:eastAsia="zh-CN" w:bidi="zh-CN"/>
              </w:rPr>
            </w:pPr>
          </w:p>
          <w:p>
            <w:pPr>
              <w:widowControl w:val="0"/>
              <w:spacing w:before="3" w:line="242" w:lineRule="auto"/>
              <w:ind w:right="106"/>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，间隔不超过</w:t>
            </w:r>
            <w:r>
              <w:rPr>
                <w:rFonts w:ascii="宋体" w:hAnsi="宋体" w:eastAsia="宋体" w:cs="宋体"/>
                <w:spacing w:val="-19"/>
                <w:kern w:val="2"/>
                <w:sz w:val="21"/>
                <w:szCs w:val="24"/>
                <w:lang w:val="zh-CN" w:eastAsia="zh-CN" w:bidi="zh-CN"/>
              </w:rPr>
              <w:t xml:space="preserve">6 </w:t>
            </w:r>
            <w:r>
              <w:rPr>
                <w:rFonts w:ascii="宋体" w:hAnsi="宋体" w:eastAsia="宋体" w:cs="宋体"/>
                <w:kern w:val="2"/>
                <w:sz w:val="21"/>
                <w:szCs w:val="24"/>
                <w:lang w:val="zh-CN" w:eastAsia="zh-CN" w:bidi="zh-CN"/>
              </w:rPr>
              <w:t>小时</w:t>
            </w:r>
          </w:p>
        </w:tc>
        <w:tc>
          <w:tcPr>
            <w:tcW w:w="184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66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w:t>
            </w:r>
          </w:p>
          <w:p>
            <w:pPr>
              <w:widowControl w:val="0"/>
              <w:spacing w:before="3" w:line="256" w:lineRule="auto"/>
              <w:ind w:left="188" w:right="42"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化学需氧量的测定 重铬酸盐法HJ 828-2017</w:t>
            </w:r>
          </w:p>
        </w:tc>
        <w:tc>
          <w:tcPr>
            <w:tcW w:w="1245" w:type="dxa"/>
            <w:tcBorders>
              <w:top w:val="single" w:color="000000" w:sz="4" w:space="0"/>
              <w:left w:val="single" w:color="000000" w:sz="4" w:space="0"/>
            </w:tcBorders>
            <w:vAlign w:val="center"/>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自动监测设备故障或停运超过24小时无法恢复的，应当采用手工监测的方</w:t>
            </w:r>
          </w:p>
        </w:tc>
      </w:tr>
    </w:tbl>
    <w:p>
      <w:pPr>
        <w:widowControl w:val="0"/>
        <w:jc w:val="both"/>
        <w:rPr>
          <w:rFonts w:ascii="Times New Roman" w:hAnsi="宋体" w:eastAsia="宋体" w:cs="宋体"/>
          <w:kern w:val="2"/>
          <w:sz w:val="20"/>
          <w:szCs w:val="21"/>
          <w:lang w:val="zh-CN" w:eastAsia="zh-CN" w:bidi="zh-CN"/>
        </w:rPr>
      </w:pPr>
    </w:p>
    <w:tbl>
      <w:tblPr>
        <w:tblStyle w:val="51"/>
        <w:tblpPr w:leftFromText="180" w:rightFromText="180" w:vertAnchor="text" w:horzAnchor="page" w:tblpX="2384" w:tblpY="174"/>
        <w:tblOverlap w:val="never"/>
        <w:tblW w:w="12060" w:type="dxa"/>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80"/>
        <w:gridCol w:w="630"/>
        <w:gridCol w:w="600"/>
        <w:gridCol w:w="675"/>
        <w:gridCol w:w="825"/>
        <w:gridCol w:w="562"/>
        <w:gridCol w:w="848"/>
        <w:gridCol w:w="711"/>
        <w:gridCol w:w="1051"/>
        <w:gridCol w:w="653"/>
        <w:gridCol w:w="1035"/>
        <w:gridCol w:w="735"/>
        <w:gridCol w:w="570"/>
        <w:gridCol w:w="1275"/>
        <w:gridCol w:w="111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80" w:type="dxa"/>
            <w:tcBorders>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30" w:type="dxa"/>
            <w:tcBorders>
              <w:left w:val="single" w:color="000000" w:sz="4" w:space="0"/>
              <w:bottom w:val="single" w:color="000000" w:sz="4" w:space="0"/>
              <w:right w:val="single" w:color="000000" w:sz="4" w:space="0"/>
            </w:tcBorders>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600" w:type="dxa"/>
            <w:tcBorders>
              <w:left w:val="single" w:color="000000" w:sz="4" w:space="0"/>
              <w:bottom w:val="single" w:color="000000" w:sz="4" w:space="0"/>
              <w:right w:val="single" w:color="000000" w:sz="4" w:space="0"/>
            </w:tcBorders>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75" w:type="dxa"/>
            <w:tcBorders>
              <w:left w:val="single" w:color="000000" w:sz="4" w:space="0"/>
              <w:bottom w:val="single" w:color="000000" w:sz="4" w:space="0"/>
              <w:right w:val="single" w:color="000000" w:sz="4" w:space="0"/>
            </w:tcBorders>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82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562"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848"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11" w:type="dxa"/>
            <w:tcBorders>
              <w:left w:val="single" w:color="000000" w:sz="4" w:space="0"/>
              <w:bottom w:val="single" w:color="000000" w:sz="4" w:space="0"/>
              <w:right w:val="single" w:color="000000" w:sz="4" w:space="0"/>
            </w:tcBorders>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1051"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653"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35" w:type="dxa"/>
            <w:tcBorders>
              <w:left w:val="single" w:color="000000" w:sz="4" w:space="0"/>
              <w:bottom w:val="single" w:color="000000" w:sz="4" w:space="0"/>
              <w:right w:val="single" w:color="000000" w:sz="4" w:space="0"/>
            </w:tcBorders>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735" w:type="dxa"/>
            <w:tcBorders>
              <w:left w:val="single" w:color="000000" w:sz="4" w:space="0"/>
              <w:bottom w:val="single" w:color="000000" w:sz="4" w:space="0"/>
              <w:right w:val="single" w:color="000000" w:sz="4" w:space="0"/>
            </w:tcBorders>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570"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27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110" w:type="dxa"/>
            <w:tcBorders>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80" w:type="dxa"/>
            <w:tcBorders>
              <w:top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57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2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110" w:type="dxa"/>
            <w:tcBorders>
              <w:top w:val="single" w:color="000000" w:sz="4" w:space="0"/>
              <w:left w:val="single" w:color="000000" w:sz="4" w:space="0"/>
              <w:bottom w:val="single" w:color="000000" w:sz="4" w:space="0"/>
            </w:tcBorders>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式对污染物排放状况进行监测</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906" w:hRule="atLeast"/>
        </w:trPr>
        <w:tc>
          <w:tcPr>
            <w:tcW w:w="780" w:type="dxa"/>
            <w:tcBorders>
              <w:top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6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11</w:t>
            </w: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6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line="242" w:lineRule="auto"/>
              <w:ind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阴离子表面活性剂</w:t>
            </w: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tcPr>
          <w:p>
            <w:pPr>
              <w:widowControl w:val="0"/>
              <w:spacing w:before="13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bottom w:val="single" w:color="000000" w:sz="4" w:space="0"/>
              <w:right w:val="single" w:color="000000" w:sz="4" w:space="0"/>
            </w:tcBorders>
          </w:tcPr>
          <w:p>
            <w:pPr>
              <w:widowControl w:val="0"/>
              <w:spacing w:before="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w:t>
            </w:r>
            <w:r>
              <w:rPr>
                <w:rFonts w:hint="eastAsia" w:ascii="宋体" w:hAnsi="宋体" w:cs="宋体"/>
                <w:kern w:val="2"/>
                <w:sz w:val="21"/>
                <w:szCs w:val="24"/>
                <w:lang w:val="zh-CN" w:eastAsia="zh-CN" w:bidi="zh-CN"/>
              </w:rPr>
              <w:t>质</w:t>
            </w:r>
            <w:r>
              <w:rPr>
                <w:rFonts w:ascii="宋体" w:hAnsi="宋体" w:eastAsia="宋体" w:cs="宋体"/>
                <w:spacing w:val="-3"/>
                <w:kern w:val="2"/>
                <w:sz w:val="21"/>
                <w:szCs w:val="24"/>
                <w:lang w:val="zh-CN" w:eastAsia="zh-CN" w:bidi="zh-CN"/>
              </w:rPr>
              <w:t>阴离子表面活性</w:t>
            </w:r>
            <w:r>
              <w:rPr>
                <w:rFonts w:ascii="宋体" w:hAnsi="宋体" w:eastAsia="宋体" w:cs="宋体"/>
                <w:kern w:val="2"/>
                <w:sz w:val="21"/>
                <w:szCs w:val="24"/>
                <w:lang w:val="zh-CN" w:eastAsia="zh-CN" w:bidi="zh-CN"/>
              </w:rPr>
              <w:t>剂的测定  流动注射-亚甲基蓝分光光度法(HJ 826-2017)</w:t>
            </w:r>
          </w:p>
        </w:tc>
        <w:tc>
          <w:tcPr>
            <w:tcW w:w="1110" w:type="dxa"/>
            <w:tcBorders>
              <w:top w:val="single" w:color="000000" w:sz="4" w:space="0"/>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61" w:hRule="atLeast"/>
        </w:trPr>
        <w:tc>
          <w:tcPr>
            <w:tcW w:w="780" w:type="dxa"/>
            <w:tcBorders>
              <w:top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12</w:t>
            </w: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line="242" w:lineRule="auto"/>
              <w:ind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氨氮（NH 3-N）</w:t>
            </w: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bottom w:val="single" w:color="000000" w:sz="4" w:space="0"/>
              <w:right w:val="single" w:color="000000" w:sz="4" w:space="0"/>
            </w:tcBorders>
          </w:tcPr>
          <w:p>
            <w:pPr>
              <w:widowControl w:val="0"/>
              <w:spacing w:before="3"/>
              <w:ind w:right="4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p>
            <w:pPr>
              <w:widowControl w:val="0"/>
              <w:spacing w:before="3" w:line="242" w:lineRule="auto"/>
              <w:ind w:right="9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氨氮的测定  </w:t>
            </w:r>
            <w:r>
              <w:rPr>
                <w:rFonts w:ascii="宋体" w:hAnsi="宋体" w:eastAsia="宋体" w:cs="宋体"/>
                <w:spacing w:val="-3"/>
                <w:kern w:val="2"/>
                <w:sz w:val="21"/>
                <w:szCs w:val="24"/>
                <w:lang w:val="zh-CN" w:eastAsia="zh-CN" w:bidi="zh-CN"/>
              </w:rPr>
              <w:t>气相分子吸收光</w:t>
            </w:r>
            <w:r>
              <w:rPr>
                <w:rFonts w:ascii="宋体" w:hAnsi="宋体" w:eastAsia="宋体" w:cs="宋体"/>
                <w:kern w:val="2"/>
                <w:sz w:val="21"/>
                <w:szCs w:val="24"/>
                <w:lang w:val="zh-CN" w:eastAsia="zh-CN" w:bidi="zh-CN"/>
              </w:rPr>
              <w:t>谱法 HJ/T</w:t>
            </w:r>
            <w:r>
              <w:rPr>
                <w:rFonts w:ascii="宋体" w:hAnsi="宋体" w:eastAsia="宋体" w:cs="宋体"/>
                <w:spacing w:val="1"/>
                <w:kern w:val="2"/>
                <w:sz w:val="21"/>
                <w:szCs w:val="24"/>
                <w:lang w:val="zh-CN" w:eastAsia="zh-CN" w:bidi="zh-CN"/>
              </w:rPr>
              <w:t xml:space="preserve"> </w:t>
            </w:r>
            <w:r>
              <w:rPr>
                <w:rFonts w:ascii="宋体" w:hAnsi="宋体" w:eastAsia="宋体" w:cs="宋体"/>
                <w:spacing w:val="-5"/>
                <w:kern w:val="2"/>
                <w:sz w:val="21"/>
                <w:szCs w:val="24"/>
                <w:lang w:val="zh-CN" w:eastAsia="zh-CN" w:bidi="zh-CN"/>
              </w:rPr>
              <w:t>195-</w:t>
            </w:r>
          </w:p>
          <w:p>
            <w:pPr>
              <w:widowControl w:val="0"/>
              <w:spacing w:before="32" w:line="220" w:lineRule="exact"/>
              <w:ind w:left="82"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2005</w:t>
            </w:r>
          </w:p>
        </w:tc>
        <w:tc>
          <w:tcPr>
            <w:tcW w:w="1110" w:type="dxa"/>
            <w:tcBorders>
              <w:top w:val="single" w:color="000000" w:sz="4" w:space="0"/>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17" w:hRule="atLeast"/>
        </w:trPr>
        <w:tc>
          <w:tcPr>
            <w:tcW w:w="780" w:type="dxa"/>
            <w:tcBorders>
              <w:top w:val="single" w:color="000000" w:sz="4" w:space="0"/>
              <w:right w:val="single" w:color="000000" w:sz="4" w:space="0"/>
            </w:tcBorders>
          </w:tcPr>
          <w:p>
            <w:pPr>
              <w:widowControl w:val="0"/>
              <w:spacing w:before="6"/>
              <w:jc w:val="both"/>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13</w:t>
            </w:r>
          </w:p>
        </w:tc>
        <w:tc>
          <w:tcPr>
            <w:tcW w:w="630"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right w:val="single" w:color="000000" w:sz="4" w:space="0"/>
            </w:tcBorders>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right w:val="single" w:color="000000" w:sz="4" w:space="0"/>
            </w:tcBorders>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石油类</w:t>
            </w:r>
          </w:p>
        </w:tc>
        <w:tc>
          <w:tcPr>
            <w:tcW w:w="848"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right w:val="single" w:color="000000" w:sz="4" w:space="0"/>
            </w:tcBorders>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right w:val="single" w:color="000000" w:sz="4" w:space="0"/>
            </w:tcBorders>
          </w:tcPr>
          <w:p>
            <w:pPr>
              <w:widowControl w:val="0"/>
              <w:spacing w:before="3"/>
              <w:ind w:left="660"/>
              <w:jc w:val="both"/>
              <w:rPr>
                <w:lang w:val="zh-CN" w:eastAsia="zh-CN"/>
              </w:rPr>
            </w:pPr>
            <w:r>
              <w:rPr>
                <w:lang w:val="zh-CN" w:eastAsia="zh-CN"/>
              </w:rPr>
              <w:t xml:space="preserve">水质 </w:t>
            </w:r>
          </w:p>
          <w:p>
            <w:pPr>
              <w:widowControl w:val="0"/>
              <w:spacing w:before="2" w:line="270" w:lineRule="atLeast"/>
              <w:ind w:left="345" w:right="93" w:hanging="210"/>
              <w:jc w:val="both"/>
              <w:rPr>
                <w:lang w:val="zh-CN" w:eastAsia="zh-CN"/>
              </w:rPr>
            </w:pPr>
            <w:r>
              <w:rPr>
                <w:lang w:val="zh-CN" w:eastAsia="zh-CN"/>
              </w:rPr>
              <w:t xml:space="preserve">石油类和动植物油类的测定 </w:t>
            </w:r>
          </w:p>
          <w:p>
            <w:pPr>
              <w:pStyle w:val="34"/>
              <w:rPr>
                <w:lang w:val="zh-CN" w:eastAsia="zh-CN"/>
              </w:rPr>
            </w:pPr>
          </w:p>
          <w:p>
            <w:pPr>
              <w:rPr>
                <w:lang w:val="zh-CN" w:eastAsia="zh-CN"/>
              </w:rPr>
            </w:pPr>
          </w:p>
        </w:tc>
        <w:tc>
          <w:tcPr>
            <w:tcW w:w="1110" w:type="dxa"/>
            <w:tcBorders>
              <w:top w:val="single" w:color="000000" w:sz="4" w:space="0"/>
              <w:left w:val="single" w:color="000000" w:sz="4" w:space="0"/>
            </w:tcBorders>
          </w:tcPr>
          <w:p>
            <w:pPr>
              <w:widowControl w:val="0"/>
              <w:jc w:val="both"/>
              <w:rPr>
                <w:rFonts w:ascii="Times New Roman" w:hAnsi="宋体" w:eastAsia="宋体" w:cs="宋体"/>
                <w:kern w:val="2"/>
                <w:sz w:val="20"/>
                <w:szCs w:val="24"/>
                <w:lang w:val="zh-CN" w:eastAsia="zh-CN" w:bidi="zh-CN"/>
              </w:rPr>
            </w:pPr>
          </w:p>
        </w:tc>
      </w:tr>
    </w:tbl>
    <w:p>
      <w:pPr>
        <w:widowControl w:val="0"/>
        <w:jc w:val="both"/>
        <w:rPr>
          <w:rFonts w:ascii="Times New Roman" w:hAnsi="宋体" w:eastAsia="宋体" w:cs="宋体"/>
          <w:kern w:val="2"/>
          <w:sz w:val="20"/>
          <w:szCs w:val="21"/>
          <w:lang w:val="zh-CN" w:eastAsia="zh-CN" w:bidi="zh-CN"/>
        </w:rPr>
      </w:pPr>
    </w:p>
    <w:p>
      <w:pPr>
        <w:widowControl w:val="0"/>
        <w:jc w:val="both"/>
        <w:rPr>
          <w:rFonts w:ascii="Times New Roman" w:hAnsi="宋体" w:eastAsia="宋体" w:cs="宋体"/>
          <w:kern w:val="2"/>
          <w:sz w:val="20"/>
          <w:szCs w:val="21"/>
          <w:lang w:val="zh-CN" w:eastAsia="zh-CN" w:bidi="zh-CN"/>
        </w:rPr>
      </w:pPr>
    </w:p>
    <w:p>
      <w:pPr>
        <w:widowControl w:val="0"/>
        <w:spacing w:before="8"/>
        <w:jc w:val="both"/>
        <w:rPr>
          <w:rFonts w:ascii="Times New Roman" w:hAnsi="宋体" w:eastAsia="宋体" w:cs="宋体"/>
          <w:kern w:val="2"/>
          <w:sz w:val="19"/>
          <w:szCs w:val="21"/>
          <w:lang w:val="zh-CN" w:eastAsia="zh-CN" w:bidi="zh-CN"/>
        </w:rPr>
      </w:pPr>
    </w:p>
    <w:tbl>
      <w:tblPr>
        <w:tblStyle w:val="51"/>
        <w:tblW w:w="12060" w:type="dxa"/>
        <w:tblInd w:w="928"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630"/>
        <w:gridCol w:w="585"/>
        <w:gridCol w:w="615"/>
        <w:gridCol w:w="870"/>
        <w:gridCol w:w="585"/>
        <w:gridCol w:w="825"/>
        <w:gridCol w:w="600"/>
        <w:gridCol w:w="525"/>
        <w:gridCol w:w="780"/>
        <w:gridCol w:w="525"/>
        <w:gridCol w:w="960"/>
        <w:gridCol w:w="1245"/>
        <w:gridCol w:w="675"/>
        <w:gridCol w:w="2055"/>
        <w:gridCol w:w="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803" w:hRule="atLeast"/>
        </w:trPr>
        <w:tc>
          <w:tcPr>
            <w:tcW w:w="630" w:type="dxa"/>
            <w:tcBorders>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585" w:type="dxa"/>
            <w:tcBorders>
              <w:left w:val="single" w:color="000000" w:sz="4" w:space="0"/>
              <w:bottom w:val="single" w:color="000000" w:sz="4" w:space="0"/>
              <w:right w:val="single" w:color="000000" w:sz="4" w:space="0"/>
            </w:tcBorders>
            <w:vAlign w:val="top"/>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615" w:type="dxa"/>
            <w:tcBorders>
              <w:left w:val="single" w:color="000000" w:sz="4" w:space="0"/>
              <w:bottom w:val="single" w:color="000000" w:sz="4" w:space="0"/>
              <w:right w:val="single" w:color="000000" w:sz="4" w:space="0"/>
            </w:tcBorders>
            <w:vAlign w:val="top"/>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870" w:type="dxa"/>
            <w:tcBorders>
              <w:left w:val="single" w:color="000000" w:sz="4" w:space="0"/>
              <w:bottom w:val="single" w:color="000000" w:sz="4" w:space="0"/>
              <w:right w:val="single" w:color="000000" w:sz="4" w:space="0"/>
            </w:tcBorders>
            <w:vAlign w:val="top"/>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58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825"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525" w:type="dxa"/>
            <w:tcBorders>
              <w:left w:val="single" w:color="000000" w:sz="4" w:space="0"/>
              <w:bottom w:val="single" w:color="000000" w:sz="4" w:space="0"/>
              <w:right w:val="single" w:color="000000" w:sz="4" w:space="0"/>
            </w:tcBorders>
            <w:vAlign w:val="top"/>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78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52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960" w:type="dxa"/>
            <w:tcBorders>
              <w:left w:val="single" w:color="000000" w:sz="4" w:space="0"/>
              <w:bottom w:val="single" w:color="000000" w:sz="4" w:space="0"/>
              <w:right w:val="single" w:color="000000" w:sz="4" w:space="0"/>
            </w:tcBorders>
            <w:vAlign w:val="top"/>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245" w:type="dxa"/>
            <w:tcBorders>
              <w:left w:val="single" w:color="000000" w:sz="4" w:space="0"/>
              <w:bottom w:val="single" w:color="000000" w:sz="4" w:space="0"/>
              <w:right w:val="single" w:color="000000" w:sz="4" w:space="0"/>
            </w:tcBorders>
            <w:vAlign w:val="top"/>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67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205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585" w:type="dxa"/>
            <w:tcBorders>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9" w:hRule="atLeast"/>
        </w:trPr>
        <w:tc>
          <w:tcPr>
            <w:tcW w:w="630"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红外分光光度法</w:t>
            </w:r>
          </w:p>
          <w:p>
            <w:pPr>
              <w:widowControl w:val="0"/>
              <w:spacing w:before="3"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（HJ637-2018）</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1361" w:hRule="atLeast"/>
        </w:trPr>
        <w:tc>
          <w:tcPr>
            <w:tcW w:w="630"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14</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动植物油</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水质石油类和动植物油类的测定 红外分光光度法</w:t>
            </w:r>
          </w:p>
          <w:p>
            <w:pPr>
              <w:widowControl w:val="0"/>
              <w:spacing w:before="4"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（HJ637-2018）</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61" w:hRule="atLeast"/>
        </w:trPr>
        <w:tc>
          <w:tcPr>
            <w:tcW w:w="630"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15</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ind w:right="1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总氰化物</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right="4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 氰化物的测定 容量法和分光光度法（HJ 484— 2009 ）</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461" w:hRule="atLeast"/>
        </w:trPr>
        <w:tc>
          <w:tcPr>
            <w:tcW w:w="630" w:type="dxa"/>
            <w:tcBorders>
              <w:top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16</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72"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粪大肠菌群数/（M PN/L）</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1次/月</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35" w:right="-15" w:hanging="10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 物排放标准（GB 18466-2005）</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817" w:hRule="atLeast"/>
        </w:trPr>
        <w:tc>
          <w:tcPr>
            <w:tcW w:w="630" w:type="dxa"/>
            <w:tcBorders>
              <w:top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17</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spacing w:before="139" w:line="242" w:lineRule="auto"/>
              <w:ind w:left="487" w:right="122" w:hanging="31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肠道致病菌</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35" w:right="-15" w:hanging="10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 物排放标准（GB 18466-2005）</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84" w:hRule="atLeast"/>
        </w:trPr>
        <w:tc>
          <w:tcPr>
            <w:tcW w:w="630" w:type="dxa"/>
            <w:tcBorders>
              <w:top w:val="single" w:color="000000" w:sz="4" w:space="0"/>
              <w:right w:val="single" w:color="000000" w:sz="4" w:space="0"/>
            </w:tcBorders>
            <w:vAlign w:val="top"/>
          </w:tcPr>
          <w:p>
            <w:pPr>
              <w:widowControl w:val="0"/>
              <w:spacing w:before="33" w:line="220" w:lineRule="exact"/>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18</w:t>
            </w:r>
          </w:p>
        </w:tc>
        <w:tc>
          <w:tcPr>
            <w:tcW w:w="585" w:type="dxa"/>
            <w:tcBorders>
              <w:top w:val="single" w:color="000000" w:sz="4" w:space="0"/>
              <w:left w:val="single" w:color="000000" w:sz="4" w:space="0"/>
              <w:right w:val="single" w:color="000000" w:sz="4" w:space="0"/>
            </w:tcBorders>
            <w:vAlign w:val="top"/>
          </w:tcPr>
          <w:p>
            <w:pPr>
              <w:widowControl w:val="0"/>
              <w:spacing w:before="3" w:line="249" w:lineRule="exact"/>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right w:val="single" w:color="000000" w:sz="4" w:space="0"/>
            </w:tcBorders>
            <w:vAlign w:val="top"/>
          </w:tcPr>
          <w:p>
            <w:pPr>
              <w:widowControl w:val="0"/>
              <w:spacing w:before="33" w:line="220" w:lineRule="exact"/>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right w:val="single" w:color="000000" w:sz="4" w:space="0"/>
            </w:tcBorders>
            <w:vAlign w:val="top"/>
          </w:tcPr>
          <w:p>
            <w:pPr>
              <w:widowControl w:val="0"/>
              <w:spacing w:before="3" w:line="249" w:lineRule="exact"/>
              <w:ind w:left="2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right w:val="single" w:color="000000" w:sz="4" w:space="0"/>
            </w:tcBorders>
            <w:vAlign w:val="top"/>
          </w:tcPr>
          <w:p>
            <w:pPr>
              <w:widowControl w:val="0"/>
              <w:spacing w:before="3" w:line="249" w:lineRule="exact"/>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right w:val="single" w:color="000000" w:sz="4" w:space="0"/>
            </w:tcBorders>
            <w:vAlign w:val="top"/>
          </w:tcPr>
          <w:p>
            <w:pPr>
              <w:widowControl w:val="0"/>
              <w:spacing w:before="3" w:line="249" w:lineRule="exact"/>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肠道病毒</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right w:val="single" w:color="000000" w:sz="4" w:space="0"/>
            </w:tcBorders>
            <w:vAlign w:val="top"/>
          </w:tcPr>
          <w:p>
            <w:pPr>
              <w:widowControl w:val="0"/>
              <w:spacing w:before="3" w:line="249" w:lineRule="exact"/>
              <w:ind w:lef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瞬时采样至少4个瞬时样 </w:t>
            </w:r>
          </w:p>
        </w:tc>
        <w:tc>
          <w:tcPr>
            <w:tcW w:w="675" w:type="dxa"/>
            <w:tcBorders>
              <w:top w:val="single" w:color="000000" w:sz="4" w:space="0"/>
              <w:left w:val="single" w:color="000000" w:sz="4" w:space="0"/>
              <w:right w:val="single" w:color="000000" w:sz="4" w:space="0"/>
            </w:tcBorders>
            <w:vAlign w:val="top"/>
          </w:tcPr>
          <w:p>
            <w:pPr>
              <w:widowControl w:val="0"/>
              <w:spacing w:before="3" w:line="249" w:lineRule="exact"/>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right w:val="single" w:color="000000" w:sz="4" w:space="0"/>
            </w:tcBorders>
            <w:vAlign w:val="top"/>
          </w:tcPr>
          <w:p>
            <w:pPr>
              <w:widowControl w:val="0"/>
              <w:spacing w:before="3"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医疗机构水污染物排放标准（GB 18466-2005）</w:t>
            </w:r>
          </w:p>
        </w:tc>
        <w:tc>
          <w:tcPr>
            <w:tcW w:w="585" w:type="dxa"/>
            <w:tcBorders>
              <w:top w:val="single" w:color="000000" w:sz="4" w:space="0"/>
              <w:lef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bl>
    <w:p>
      <w:pPr>
        <w:pStyle w:val="34"/>
        <w:rPr>
          <w:rFonts w:hint="eastAsia"/>
          <w:lang w:eastAsia="zh-CN"/>
        </w:rPr>
        <w:sectPr>
          <w:headerReference r:id="rId6" w:type="default"/>
          <w:pgSz w:w="16838" w:h="11906" w:orient="landscape"/>
          <w:pgMar w:top="1361" w:right="1440" w:bottom="1361" w:left="1440" w:header="851" w:footer="992" w:gutter="0"/>
          <w:cols w:space="720" w:num="1"/>
          <w:docGrid w:type="lines" w:linePitch="312" w:charSpace="0"/>
        </w:sectPr>
      </w:pPr>
    </w:p>
    <w:p>
      <w:pPr>
        <w:widowControl/>
        <w:numPr>
          <w:ilvl w:val="0"/>
          <w:numId w:val="0"/>
        </w:numPr>
        <w:spacing w:line="480" w:lineRule="exact"/>
        <w:jc w:val="left"/>
        <w:rPr>
          <w:rFonts w:hint="eastAsia" w:ascii="宋体" w:hAnsi="宋体" w:cs="仿宋_GB2312"/>
          <w:b/>
          <w:color w:val="000000"/>
          <w:kern w:val="0"/>
          <w:sz w:val="24"/>
          <w:szCs w:val="24"/>
          <w:lang w:val="zh-CN" w:bidi="ar"/>
        </w:rPr>
      </w:pPr>
      <w:r>
        <w:rPr>
          <w:rFonts w:hint="eastAsia" w:ascii="宋体" w:hAnsi="宋体" w:cs="仿宋_GB2312"/>
          <w:b/>
          <w:color w:val="000000"/>
          <w:kern w:val="0"/>
          <w:sz w:val="24"/>
          <w:szCs w:val="24"/>
          <w:lang w:val="en-US" w:eastAsia="zh-CN" w:bidi="ar"/>
        </w:rPr>
        <w:t xml:space="preserve">    二、</w:t>
      </w:r>
      <w:r>
        <w:rPr>
          <w:rFonts w:hint="eastAsia" w:ascii="宋体" w:hAnsi="宋体" w:cs="仿宋_GB2312"/>
          <w:b/>
          <w:color w:val="000000"/>
          <w:kern w:val="0"/>
          <w:sz w:val="24"/>
          <w:szCs w:val="24"/>
          <w:lang w:val="zh-CN" w:bidi="ar"/>
        </w:rPr>
        <w:t>排污许可证数据上报，月度、季度、年度执行报告提交、</w:t>
      </w:r>
      <w:r>
        <w:rPr>
          <w:rFonts w:hint="eastAsia" w:ascii="宋体" w:hAnsi="宋体" w:cs="仿宋_GB2312"/>
          <w:b/>
          <w:color w:val="000000"/>
          <w:kern w:val="0"/>
          <w:sz w:val="24"/>
          <w:szCs w:val="24"/>
          <w:lang w:val="en-US" w:eastAsia="zh-CN" w:bidi="ar"/>
        </w:rPr>
        <w:t>环保脸谱、一企一档等环保相关平台维护</w:t>
      </w:r>
      <w:r>
        <w:rPr>
          <w:rFonts w:hint="eastAsia" w:ascii="宋体" w:hAnsi="宋体" w:cs="仿宋_GB2312"/>
          <w:b/>
          <w:color w:val="000000"/>
          <w:kern w:val="0"/>
          <w:sz w:val="24"/>
          <w:szCs w:val="24"/>
          <w:lang w:val="zh-CN" w:bidi="ar"/>
        </w:rPr>
        <w:t>服务。</w:t>
      </w:r>
    </w:p>
    <w:p>
      <w:pPr>
        <w:rPr>
          <w:rFonts w:hint="eastAsia"/>
          <w:lang w:eastAsia="zh-CN"/>
        </w:rPr>
      </w:pPr>
    </w:p>
    <w:p>
      <w:pPr>
        <w:keepNext w:val="0"/>
        <w:keepLines w:val="0"/>
        <w:pageBreakBefore w:val="0"/>
        <w:widowControl w:val="0"/>
        <w:kinsoku/>
        <w:wordWrap/>
        <w:overflowPunct/>
        <w:topLinePunct w:val="0"/>
        <w:bidi w:val="0"/>
        <w:snapToGrid w:val="0"/>
        <w:spacing w:line="360" w:lineRule="auto"/>
        <w:ind w:firstLine="482" w:firstLineChars="200"/>
        <w:textAlignment w:val="auto"/>
        <w:rPr>
          <w:rFonts w:hint="eastAsia" w:ascii="宋体" w:hAnsi="宋体" w:cs="宋体"/>
          <w:color w:val="auto"/>
          <w:sz w:val="24"/>
          <w:szCs w:val="24"/>
          <w:u w:val="single"/>
        </w:rPr>
      </w:pPr>
      <w:bookmarkStart w:id="45" w:name="_Toc9417"/>
      <w:bookmarkStart w:id="46" w:name="_Toc18910"/>
      <w:r>
        <w:rPr>
          <w:rFonts w:hint="eastAsia" w:ascii="宋体" w:hAnsi="宋体" w:cs="宋体"/>
          <w:b/>
          <w:kern w:val="0"/>
          <w:sz w:val="24"/>
          <w:szCs w:val="24"/>
          <w:highlight w:val="none"/>
          <w:lang w:eastAsia="zh-CN"/>
        </w:rPr>
        <w:t>三</w:t>
      </w:r>
      <w:r>
        <w:rPr>
          <w:rFonts w:hint="eastAsia" w:ascii="宋体" w:hAnsi="宋体" w:cs="宋体"/>
          <w:b/>
          <w:kern w:val="0"/>
          <w:sz w:val="24"/>
          <w:szCs w:val="24"/>
          <w:highlight w:val="none"/>
        </w:rPr>
        <w:t>、</w:t>
      </w:r>
      <w:r>
        <w:rPr>
          <w:rFonts w:hint="eastAsia" w:ascii="宋体" w:hAnsi="宋体" w:cs="宋体"/>
          <w:b/>
          <w:kern w:val="0"/>
          <w:sz w:val="24"/>
          <w:szCs w:val="24"/>
          <w:highlight w:val="none"/>
          <w:lang w:eastAsia="zh-CN"/>
        </w:rPr>
        <w:t>服务</w:t>
      </w:r>
      <w:r>
        <w:rPr>
          <w:rFonts w:hint="eastAsia" w:ascii="宋体" w:hAnsi="宋体" w:cs="宋体"/>
          <w:b/>
          <w:kern w:val="0"/>
          <w:sz w:val="24"/>
          <w:szCs w:val="24"/>
          <w:highlight w:val="none"/>
        </w:rPr>
        <w:t>期限：</w:t>
      </w:r>
      <w:bookmarkEnd w:id="45"/>
      <w:r>
        <w:rPr>
          <w:rFonts w:hint="eastAsia" w:ascii="宋体" w:hAnsi="宋体" w:cs="宋体"/>
          <w:color w:val="auto"/>
          <w:sz w:val="24"/>
          <w:szCs w:val="24"/>
        </w:rPr>
        <w:t>本项目合同服务期暂定三年，</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预计自2022年11月至2025年11月</w:t>
      </w:r>
      <w:r>
        <w:rPr>
          <w:rFonts w:hint="eastAsia" w:ascii="宋体" w:hAnsi="宋体" w:cs="宋体"/>
          <w:color w:val="auto"/>
          <w:sz w:val="24"/>
          <w:szCs w:val="24"/>
          <w:lang w:eastAsia="zh-CN"/>
        </w:rPr>
        <w:t>）</w:t>
      </w:r>
      <w:r>
        <w:rPr>
          <w:rFonts w:hint="eastAsia" w:ascii="宋体" w:hAnsi="宋体" w:cs="宋体"/>
          <w:color w:val="auto"/>
          <w:sz w:val="24"/>
          <w:szCs w:val="24"/>
        </w:rPr>
        <w:t>但合同一年一签。如成交供应商在合同期内履约情况优秀（即年度综合考核得分≥90分），则在第一年合同期满时，且采购人、成交供应商双方愿意，成交供应商承诺不增加服务费用的前提下，双方可续签下一年度合同，但最多续签两次。如成交供应商在合同期内年度综合考核得分＜90</w:t>
      </w:r>
      <w:r>
        <w:rPr>
          <w:rFonts w:hint="eastAsia" w:ascii="宋体" w:hAnsi="宋体" w:cs="宋体"/>
          <w:color w:val="auto"/>
          <w:sz w:val="24"/>
          <w:lang w:val="en-US" w:eastAsia="zh-CN"/>
        </w:rPr>
        <w:t>分</w:t>
      </w:r>
      <w:r>
        <w:rPr>
          <w:rFonts w:hint="eastAsia" w:ascii="宋体" w:hAnsi="宋体" w:cs="宋体"/>
          <w:color w:val="auto"/>
          <w:sz w:val="24"/>
          <w:szCs w:val="24"/>
        </w:rPr>
        <w:t>，则采购人不再与成交供应商续签合同。</w:t>
      </w:r>
    </w:p>
    <w:bookmarkEnd w:id="46"/>
    <w:p>
      <w:pPr>
        <w:pStyle w:val="60"/>
        <w:rPr>
          <w:rFonts w:hint="eastAsia"/>
          <w:sz w:val="21"/>
          <w:szCs w:val="21"/>
          <w:lang w:val="en-US" w:eastAsia="zh-CN"/>
        </w:rPr>
      </w:pPr>
      <w:r>
        <w:rPr>
          <w:rFonts w:hint="eastAsia"/>
          <w:sz w:val="21"/>
          <w:szCs w:val="21"/>
          <w:lang w:val="en-US" w:eastAsia="zh-CN"/>
        </w:rPr>
        <w:t xml:space="preserve"> </w:t>
      </w:r>
      <w:r>
        <w:rPr>
          <w:rFonts w:hint="eastAsia" w:ascii="宋体" w:hAnsi="宋体" w:eastAsia="宋体" w:cs="宋体"/>
          <w:b/>
          <w:bCs/>
          <w:color w:val="auto"/>
          <w:kern w:val="2"/>
          <w:sz w:val="24"/>
          <w:szCs w:val="24"/>
          <w:lang w:val="en-US" w:eastAsia="zh-CN" w:bidi="ar-SA"/>
        </w:rPr>
        <w:t xml:space="preserve"> 附件 </w:t>
      </w:r>
      <w:r>
        <w:rPr>
          <w:rFonts w:hint="eastAsia"/>
          <w:sz w:val="21"/>
          <w:szCs w:val="21"/>
          <w:lang w:val="en-US" w:eastAsia="zh-CN"/>
        </w:rPr>
        <w:t xml:space="preserve"> </w:t>
      </w:r>
    </w:p>
    <w:p>
      <w:pPr>
        <w:pStyle w:val="60"/>
        <w:ind w:firstLine="1687" w:firstLineChars="700"/>
        <w:rPr>
          <w:rFonts w:hint="eastAsia"/>
          <w:sz w:val="21"/>
          <w:szCs w:val="21"/>
          <w:lang w:val="en-US" w:eastAsia="zh-CN"/>
        </w:rPr>
      </w:pPr>
      <w:r>
        <w:rPr>
          <w:rFonts w:hint="eastAsia" w:ascii="宋体" w:hAnsi="宋体" w:eastAsia="宋体" w:cs="宋体"/>
          <w:b/>
          <w:bCs/>
          <w:color w:val="auto"/>
          <w:kern w:val="2"/>
          <w:sz w:val="24"/>
          <w:szCs w:val="24"/>
          <w:lang w:val="en-US" w:eastAsia="zh-CN" w:bidi="ar-SA"/>
        </w:rPr>
        <w:t xml:space="preserve">南通市妇幼保健院污水、废气检测服务项目考核表   </w:t>
      </w:r>
      <w:r>
        <w:rPr>
          <w:rFonts w:hint="eastAsia" w:ascii="宋体" w:hAnsi="宋体" w:eastAsia="宋体" w:cs="宋体"/>
          <w:color w:val="auto"/>
          <w:kern w:val="2"/>
          <w:sz w:val="24"/>
          <w:szCs w:val="24"/>
          <w:lang w:val="en-US" w:eastAsia="zh-CN" w:bidi="ar-SA"/>
        </w:rPr>
        <w:t xml:space="preserve">   </w:t>
      </w:r>
      <w:r>
        <w:rPr>
          <w:rFonts w:hint="eastAsia"/>
          <w:sz w:val="21"/>
          <w:szCs w:val="21"/>
          <w:lang w:val="en-US" w:eastAsia="zh-CN"/>
        </w:rPr>
        <w:t xml:space="preserve">   </w:t>
      </w:r>
    </w:p>
    <w:p>
      <w:pPr>
        <w:pStyle w:val="60"/>
        <w:ind w:firstLine="4200" w:firstLineChars="2000"/>
        <w:rPr>
          <w:rFonts w:hint="eastAsia"/>
          <w:sz w:val="21"/>
          <w:szCs w:val="21"/>
          <w:lang w:val="en-US" w:eastAsia="zh-CN"/>
        </w:rPr>
      </w:pPr>
      <w:r>
        <w:rPr>
          <w:rFonts w:hint="eastAsia"/>
          <w:sz w:val="21"/>
          <w:szCs w:val="21"/>
          <w:lang w:val="en-US" w:eastAsia="zh-CN"/>
        </w:rPr>
        <w:t xml:space="preserve">    </w:t>
      </w:r>
    </w:p>
    <w:p>
      <w:pPr>
        <w:pStyle w:val="60"/>
        <w:ind w:firstLine="4200" w:firstLineChars="2000"/>
        <w:rPr>
          <w:rFonts w:hint="default"/>
          <w:sz w:val="21"/>
          <w:szCs w:val="21"/>
          <w:lang w:val="en-US" w:eastAsia="zh-CN"/>
        </w:rPr>
      </w:pPr>
      <w:r>
        <w:rPr>
          <w:rFonts w:hint="eastAsia"/>
          <w:sz w:val="21"/>
          <w:szCs w:val="21"/>
          <w:lang w:val="en-US" w:eastAsia="zh-CN"/>
        </w:rPr>
        <w:t>年       月        日      考核人：</w:t>
      </w:r>
    </w:p>
    <w:p>
      <w:pPr>
        <w:pStyle w:val="60"/>
      </w:pP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4446"/>
        <w:gridCol w:w="1605"/>
        <w:gridCol w:w="1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考核内容</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分值</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7"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采样的及时性，按照要求，每一项采样出现时间延迟，有一个扣1分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一企一档平台维护及时性，数据上报每延迟一天扣2分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3</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监测数据报告的及时性，按照排污许可证要求提供监测数据，每项数据延迟一天扣1分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4</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月度、季度执行报告的提交及时，每推后一天扣1分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5</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监测数据准确，如出现异常，不及时汇报，一企一档。环保脸谱预警一次扣3分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15</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6</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环保检查督查提供原始记录，出现原始记录丢失，不符，有一次扣5分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15</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bl>
    <w:p>
      <w:pPr>
        <w:pStyle w:val="60"/>
      </w:pPr>
    </w:p>
    <w:p>
      <w:pPr>
        <w:pStyle w:val="60"/>
      </w:pP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季度考核大于等于90分，季度考核为合格，可付全款，低于90分，每降低一份，扣季度款1%，最多扣5%。</w:t>
      </w: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年度考核为季度考核平均分，大于等于90分为合格。</w:t>
      </w: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 xml:space="preserve">    </w:t>
      </w:r>
    </w:p>
    <w:p>
      <w:pPr>
        <w:pStyle w:val="20"/>
        <w:rPr>
          <w:rFonts w:hint="eastAsia" w:asciiTheme="minorEastAsia" w:hAnsiTheme="minorEastAsia" w:eastAsiaTheme="minorEastAsia" w:cstheme="minorEastAsia"/>
          <w:sz w:val="24"/>
          <w:szCs w:val="24"/>
          <w:lang w:val="en-US" w:eastAsia="zh-CN"/>
        </w:rPr>
      </w:pP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bCs/>
          <w:sz w:val="24"/>
          <w:szCs w:val="24"/>
          <w:lang w:val="en-US" w:eastAsia="zh-CN"/>
        </w:rPr>
        <w:t>得分：                                                  乙方签字：</w:t>
      </w:r>
    </w:p>
    <w:p>
      <w:pPr>
        <w:pStyle w:val="60"/>
        <w:sectPr>
          <w:headerReference r:id="rId7" w:type="default"/>
          <w:pgSz w:w="11906" w:h="16838"/>
          <w:pgMar w:top="1440" w:right="1361" w:bottom="1440" w:left="1361" w:header="851" w:footer="992" w:gutter="0"/>
          <w:cols w:space="720" w:num="1"/>
          <w:docGrid w:type="lines" w:linePitch="312" w:charSpace="0"/>
        </w:sectPr>
      </w:pPr>
    </w:p>
    <w:p>
      <w:pPr>
        <w:spacing w:line="460" w:lineRule="exact"/>
        <w:jc w:val="center"/>
        <w:rPr>
          <w:rFonts w:ascii="宋体"/>
          <w:kern w:val="0"/>
          <w:sz w:val="32"/>
          <w:szCs w:val="32"/>
        </w:rPr>
      </w:pPr>
      <w:r>
        <w:rPr>
          <w:rFonts w:hint="eastAsia" w:ascii="宋体" w:hAnsi="宋体" w:cs="宋体"/>
          <w:b/>
          <w:bCs/>
          <w:w w:val="80"/>
          <w:sz w:val="44"/>
          <w:szCs w:val="44"/>
        </w:rPr>
        <w:t>第四章</w:t>
      </w:r>
      <w:bookmarkEnd w:id="33"/>
      <w:bookmarkEnd w:id="34"/>
      <w:bookmarkEnd w:id="35"/>
      <w:bookmarkEnd w:id="36"/>
      <w:bookmarkEnd w:id="37"/>
      <w:bookmarkEnd w:id="38"/>
      <w:bookmarkEnd w:id="39"/>
      <w:bookmarkEnd w:id="40"/>
      <w:bookmarkEnd w:id="41"/>
      <w:bookmarkEnd w:id="42"/>
      <w:bookmarkEnd w:id="43"/>
      <w:bookmarkStart w:id="47" w:name="_Toc38121794"/>
      <w:bookmarkStart w:id="48" w:name="_Toc37322565"/>
      <w:bookmarkStart w:id="49" w:name="_Toc182848996"/>
      <w:bookmarkStart w:id="50" w:name="_Toc85627670"/>
      <w:bookmarkStart w:id="51" w:name="_Toc43217893"/>
      <w:bookmarkStart w:id="52" w:name="_Toc12670506"/>
      <w:bookmarkStart w:id="53" w:name="_Toc11499587"/>
      <w:bookmarkStart w:id="54" w:name="_Toc8895742"/>
      <w:bookmarkStart w:id="55" w:name="_Toc94544873"/>
      <w:bookmarkStart w:id="56" w:name="_Toc11500283"/>
      <w:bookmarkStart w:id="57" w:name="_Toc94544747"/>
      <w:bookmarkStart w:id="58" w:name="_Toc13803484"/>
      <w:bookmarkStart w:id="59" w:name="_Toc11554642"/>
      <w:r>
        <w:rPr>
          <w:rFonts w:hint="eastAsia" w:ascii="宋体" w:hAnsi="宋体" w:cs="宋体"/>
          <w:b/>
          <w:bCs/>
          <w:w w:val="80"/>
          <w:sz w:val="44"/>
          <w:szCs w:val="44"/>
        </w:rPr>
        <w:t xml:space="preserve">  评审方法和程序</w:t>
      </w:r>
      <w:bookmarkEnd w:id="44"/>
    </w:p>
    <w:bookmarkEnd w:id="47"/>
    <w:bookmarkEnd w:id="48"/>
    <w:bookmarkEnd w:id="49"/>
    <w:bookmarkEnd w:id="50"/>
    <w:bookmarkEnd w:id="51"/>
    <w:p>
      <w:pPr>
        <w:snapToGrid w:val="0"/>
        <w:spacing w:line="480" w:lineRule="exact"/>
        <w:ind w:firstLine="482" w:firstLineChars="200"/>
        <w:outlineLvl w:val="1"/>
        <w:rPr>
          <w:rFonts w:ascii="宋体"/>
          <w:b/>
          <w:bCs/>
          <w:sz w:val="24"/>
          <w:szCs w:val="24"/>
        </w:rPr>
      </w:pPr>
      <w:bookmarkStart w:id="60" w:name="_Toc363573857"/>
      <w:bookmarkEnd w:id="60"/>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一、代理机构组织磋商</w:t>
      </w:r>
    </w:p>
    <w:p>
      <w:pPr>
        <w:snapToGrid w:val="0"/>
        <w:spacing w:line="360" w:lineRule="auto"/>
        <w:ind w:firstLine="480"/>
        <w:rPr>
          <w:rFonts w:hint="eastAsia" w:ascii="宋体"/>
          <w:sz w:val="24"/>
          <w:szCs w:val="24"/>
        </w:rPr>
      </w:pPr>
      <w:r>
        <w:rPr>
          <w:rFonts w:ascii="宋体" w:hAnsi="宋体" w:cs="宋体"/>
          <w:sz w:val="24"/>
          <w:szCs w:val="24"/>
        </w:rPr>
        <w:t>1</w:t>
      </w:r>
      <w:r>
        <w:rPr>
          <w:rFonts w:hint="eastAsia" w:ascii="宋体" w:hAnsi="宋体" w:cs="宋体"/>
          <w:sz w:val="24"/>
          <w:szCs w:val="24"/>
        </w:rPr>
        <w:t>、本次竞争性磋商依据《中华人民共和国政府采购法》、《政府采购竞争性磋商采购方式管理暂行办法》及有关法规成立磋商小组。</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采用竞争性磋商方式的政府采购项目，评审专家应当从政府采购评审专家库内相关专业的专家名单中随机抽取。情况特殊、通过随机方式难以确定合适的评审专家的，经主管预算单位同意，可以自行选定评审专家。</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、磋商小组的职责：</w:t>
      </w:r>
    </w:p>
    <w:p>
      <w:pPr>
        <w:snapToGrid w:val="0"/>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）磋商小组成员应当按照客观、公正、审慎的原则，根据磋商文件规定的评审程序、评审方法和评审标准进行独立评审。</w:t>
      </w:r>
    </w:p>
    <w:p>
      <w:pPr>
        <w:snapToGrid w:val="0"/>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）磋商小组成员应当遵守评审工作纪律，不得泄露评审情况和评审中获悉的商业秘密，对个人的评审意见承担法律责任。</w:t>
      </w:r>
    </w:p>
    <w:p>
      <w:pPr>
        <w:snapToGrid w:val="0"/>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）磋商小组成员在评审过程中发现供应商有行贿、提供虚假材料或者串通等违法行为的，应当及时向财政部门报告</w:t>
      </w:r>
      <w:r>
        <w:rPr>
          <w:rFonts w:ascii="宋体" w:cs="宋体"/>
          <w:sz w:val="24"/>
          <w:szCs w:val="24"/>
        </w:rPr>
        <w:t>,</w:t>
      </w:r>
      <w:r>
        <w:rPr>
          <w:rFonts w:hint="eastAsia" w:ascii="宋体" w:hAnsi="宋体" w:cs="宋体"/>
          <w:sz w:val="24"/>
          <w:szCs w:val="24"/>
        </w:rPr>
        <w:t>并建议将其列入政府采购黑名单。</w:t>
      </w:r>
    </w:p>
    <w:p>
      <w:pPr>
        <w:snapToGrid w:val="0"/>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）磋商小组成员在评审过程中受到非法干涉的，应当及时向财政、监察等部门举报。</w:t>
      </w:r>
    </w:p>
    <w:p>
      <w:pPr>
        <w:snapToGrid w:val="0"/>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）配合采购单位答复供应商提出的质疑；配合财政部门的投诉处理和监督检查工作。</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、评审有关记录由磋商小组成员签名，存档备查。</w:t>
      </w:r>
    </w:p>
    <w:p>
      <w:pPr>
        <w:snapToGrid w:val="0"/>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、供应商的法定代表人或被授权人须持身份证准时参加磋商开标会。</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二、磋商的原则及方法</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、磋商小组依据《中华人民共和国政府采购法》、《政府采购竞争性磋商采购方式管理暂行办法》以及有关政府采购的相关法规，遵循“公开、公平、公正、择优、信用”的原则进行磋商评审。</w:t>
      </w:r>
    </w:p>
    <w:p>
      <w:pPr>
        <w:snapToGrid w:val="0"/>
        <w:spacing w:line="360" w:lineRule="auto"/>
        <w:ind w:firstLine="484" w:firstLineChars="202"/>
        <w:rPr>
          <w:rFonts w:ascii="宋体"/>
          <w:sz w:val="24"/>
          <w:szCs w:val="24"/>
        </w:rPr>
      </w:pPr>
      <w:r>
        <w:rPr>
          <w:rFonts w:ascii="宋体" w:hAnsi="宋体" w:cs="宋体"/>
          <w:sz w:val="24"/>
          <w:szCs w:val="24"/>
        </w:rPr>
        <w:t>2</w:t>
      </w:r>
      <w:r>
        <w:rPr>
          <w:rFonts w:hint="eastAsia" w:ascii="宋体" w:hAnsi="宋体" w:cs="宋体"/>
          <w:sz w:val="24"/>
          <w:szCs w:val="24"/>
        </w:rPr>
        <w:t>、磋商小组将按照竞争性磋商文件的规定，独立对每个进入打分程序的有效投标供应商的响应文件的技术部分以打分的形式进行评估和评价。技术分是所有评委打分的算术平均值（计算结果均四舍五入保留两位小数）。</w:t>
      </w:r>
    </w:p>
    <w:p>
      <w:pPr>
        <w:snapToGrid w:val="0"/>
        <w:spacing w:line="360" w:lineRule="auto"/>
        <w:ind w:firstLine="484" w:firstLineChars="202"/>
        <w:rPr>
          <w:rFonts w:ascii="宋体"/>
          <w:sz w:val="24"/>
          <w:szCs w:val="24"/>
        </w:rPr>
      </w:pPr>
      <w:r>
        <w:rPr>
          <w:rFonts w:ascii="宋体" w:hAnsi="宋体" w:cs="宋体"/>
          <w:sz w:val="24"/>
          <w:szCs w:val="24"/>
        </w:rPr>
        <w:t>3</w:t>
      </w:r>
      <w:r>
        <w:rPr>
          <w:rFonts w:hint="eastAsia" w:ascii="宋体" w:hAnsi="宋体" w:cs="宋体"/>
          <w:sz w:val="24"/>
          <w:szCs w:val="24"/>
        </w:rPr>
        <w:t>、磋商小组根据磋商文件规定的程序、评定成交的标准等事项与实质性响应磋商文件要求的供应商进行磋商。未实质性响应磋商文件要求的响应文件按无效处理，磋商小组应当告知提交响应文件的供应商。</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、磋商小组所有成员应当集中与单一供应商分别进行磋商，并给予所有参加磋商的供应商平等的磋商机会。</w:t>
      </w:r>
    </w:p>
    <w:p>
      <w:pPr>
        <w:snapToGrid w:val="0"/>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、在磋商过程中，磋商小组可以根据磋商文件和磋商情况实质性变动采购需求中的技术、服务要求以及合同草案条款，但不得变动磋商文件中的其他内容。实质性变动的内容，须经采购单位代表确认。</w:t>
      </w:r>
    </w:p>
    <w:p>
      <w:pPr>
        <w:snapToGrid w:val="0"/>
        <w:spacing w:line="360" w:lineRule="auto"/>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、对磋商文件作出的实质性变动是磋商文件的有效组成部分，磋商小组应当及时以书面形式同时通知所有参加磋商的供应商。</w:t>
      </w:r>
    </w:p>
    <w:p>
      <w:pPr>
        <w:snapToGrid w:val="0"/>
        <w:spacing w:line="360" w:lineRule="auto"/>
        <w:ind w:firstLine="480" w:firstLineChars="200"/>
        <w:rPr>
          <w:rFonts w:ascii="宋体"/>
          <w:sz w:val="24"/>
          <w:szCs w:val="24"/>
        </w:rPr>
      </w:pPr>
      <w:r>
        <w:rPr>
          <w:rFonts w:ascii="宋体" w:hAnsi="宋体" w:cs="宋体"/>
          <w:sz w:val="24"/>
          <w:szCs w:val="24"/>
        </w:rPr>
        <w:t>7</w:t>
      </w:r>
      <w:r>
        <w:rPr>
          <w:rFonts w:hint="eastAsia" w:ascii="宋体" w:hAnsi="宋体" w:cs="宋体"/>
          <w:sz w:val="24"/>
          <w:szCs w:val="24"/>
        </w:rPr>
        <w:t>、供应商应当按照磋商文件的变动情况和磋商小组的要求重新提交响应文件，并由其法定代表人或被授权人签字或者加盖公章。由被授权人签字的，应当附法定代表人授权书。供应商为自然人的，应当由本人签字并附身份证明。</w:t>
      </w:r>
    </w:p>
    <w:p>
      <w:pPr>
        <w:snapToGrid w:val="0"/>
        <w:spacing w:line="360" w:lineRule="auto"/>
        <w:ind w:firstLine="480" w:firstLineChars="200"/>
        <w:rPr>
          <w:rFonts w:ascii="宋体"/>
          <w:sz w:val="24"/>
          <w:szCs w:val="24"/>
        </w:rPr>
      </w:pPr>
      <w:r>
        <w:rPr>
          <w:rFonts w:ascii="宋体" w:hAnsi="宋体" w:cs="宋体"/>
          <w:sz w:val="24"/>
          <w:szCs w:val="24"/>
        </w:rPr>
        <w:t>8</w:t>
      </w:r>
      <w:r>
        <w:rPr>
          <w:rFonts w:hint="eastAsia" w:ascii="宋体" w:hAnsi="宋体" w:cs="宋体"/>
          <w:sz w:val="24"/>
          <w:szCs w:val="24"/>
        </w:rPr>
        <w:t>、经磋商确定最终采购需求和提交最后报价的供应商：磋商文件能够详细列明采购标的的技术、服务要求的，磋商结束后，磋商小组应当要求所有实质性响应的供应商在规定时间内提交最后报价。</w:t>
      </w:r>
    </w:p>
    <w:p>
      <w:pPr>
        <w:snapToGrid w:val="0"/>
        <w:spacing w:line="360" w:lineRule="auto"/>
        <w:ind w:firstLine="480" w:firstLineChars="200"/>
        <w:rPr>
          <w:rFonts w:ascii="宋体"/>
          <w:sz w:val="24"/>
          <w:szCs w:val="24"/>
        </w:rPr>
      </w:pPr>
      <w:r>
        <w:rPr>
          <w:rFonts w:ascii="宋体" w:hAnsi="宋体" w:cs="宋体"/>
          <w:sz w:val="24"/>
          <w:szCs w:val="24"/>
        </w:rPr>
        <w:t>9</w:t>
      </w:r>
      <w:r>
        <w:rPr>
          <w:rFonts w:hint="eastAsia" w:ascii="宋体" w:hAnsi="宋体" w:cs="宋体"/>
          <w:sz w:val="24"/>
          <w:szCs w:val="24"/>
        </w:rPr>
        <w:t>、除非在磋商中磋商小组对采购人需求内容作了调整增加，或对采购内容作了实质性变更，否则</w:t>
      </w:r>
      <w:r>
        <w:rPr>
          <w:rFonts w:hint="eastAsia" w:ascii="宋体" w:hAnsi="宋体" w:cs="宋体"/>
          <w:b/>
          <w:bCs/>
          <w:sz w:val="24"/>
          <w:szCs w:val="24"/>
        </w:rPr>
        <w:t>采购人不接受供应商高于自己前一轮的磋商报价</w:t>
      </w:r>
      <w:r>
        <w:rPr>
          <w:rFonts w:hint="eastAsia" w:ascii="宋体" w:hAnsi="宋体" w:cs="宋体"/>
          <w:sz w:val="24"/>
          <w:szCs w:val="24"/>
        </w:rPr>
        <w:t>。</w:t>
      </w:r>
    </w:p>
    <w:p>
      <w:pPr>
        <w:snapToGrid w:val="0"/>
        <w:spacing w:line="360" w:lineRule="auto"/>
        <w:ind w:firstLine="480" w:firstLineChars="200"/>
        <w:rPr>
          <w:rFonts w:ascii="宋体"/>
          <w:sz w:val="24"/>
          <w:szCs w:val="24"/>
        </w:rPr>
      </w:pPr>
      <w:r>
        <w:rPr>
          <w:rFonts w:ascii="宋体" w:hAnsi="宋体" w:cs="宋体"/>
          <w:sz w:val="24"/>
          <w:szCs w:val="24"/>
        </w:rPr>
        <w:t>1</w:t>
      </w:r>
      <w:r>
        <w:rPr>
          <w:rFonts w:ascii="宋体" w:cs="宋体"/>
          <w:sz w:val="24"/>
          <w:szCs w:val="24"/>
        </w:rPr>
        <w:t>0</w:t>
      </w:r>
      <w:r>
        <w:rPr>
          <w:rFonts w:hint="eastAsia" w:ascii="宋体" w:hAnsi="宋体" w:cs="宋体"/>
          <w:sz w:val="24"/>
          <w:szCs w:val="24"/>
        </w:rPr>
        <w:t>、对于在磋商顺利开始后至最终报价前，根据磋商情况退出磋商的供应商，须以书面形式说明退出磋商的原因，经磋商小组同意可以退出磋商。</w:t>
      </w:r>
    </w:p>
    <w:p>
      <w:pPr>
        <w:snapToGrid w:val="0"/>
        <w:spacing w:line="360" w:lineRule="auto"/>
        <w:ind w:firstLine="480" w:firstLineChars="200"/>
        <w:rPr>
          <w:rFonts w:ascii="宋体"/>
          <w:sz w:val="24"/>
          <w:szCs w:val="24"/>
        </w:rPr>
      </w:pPr>
      <w:r>
        <w:rPr>
          <w:rFonts w:ascii="宋体" w:hAnsi="宋体" w:cs="宋体"/>
          <w:sz w:val="24"/>
          <w:szCs w:val="24"/>
        </w:rPr>
        <w:t>11</w:t>
      </w:r>
      <w:r>
        <w:rPr>
          <w:rFonts w:hint="eastAsia" w:ascii="宋体" w:hAnsi="宋体" w:cs="宋体"/>
          <w:sz w:val="24"/>
          <w:szCs w:val="24"/>
        </w:rPr>
        <w:t>、在磋商中，磋商的任何一方不得透露与磋商有关的其他响应磋商的供应商的技术资料、价格及其他信息。</w:t>
      </w:r>
    </w:p>
    <w:p>
      <w:pPr>
        <w:snapToGrid w:val="0"/>
        <w:spacing w:line="360" w:lineRule="auto"/>
        <w:ind w:firstLine="480" w:firstLineChars="200"/>
        <w:rPr>
          <w:rFonts w:ascii="宋体"/>
          <w:sz w:val="24"/>
          <w:szCs w:val="24"/>
        </w:rPr>
      </w:pPr>
      <w:r>
        <w:rPr>
          <w:rFonts w:ascii="宋体" w:hAnsi="宋体" w:cs="宋体"/>
          <w:sz w:val="24"/>
          <w:szCs w:val="24"/>
        </w:rPr>
        <w:t>12</w:t>
      </w:r>
      <w:r>
        <w:rPr>
          <w:rFonts w:hint="eastAsia" w:ascii="宋体" w:hAnsi="宋体" w:cs="宋体"/>
          <w:sz w:val="24"/>
          <w:szCs w:val="24"/>
        </w:rPr>
        <w:t>、凡两家或以上公司同一法人代表或其中一家公司为另一家公司单一最大股东的，不能同时参与同一采购项目相同标段的磋商采购活动，一经发现，将视同串标处理。</w:t>
      </w:r>
    </w:p>
    <w:p>
      <w:pPr>
        <w:snapToGrid w:val="0"/>
        <w:spacing w:line="360" w:lineRule="auto"/>
        <w:ind w:firstLine="480" w:firstLineChars="200"/>
        <w:rPr>
          <w:rFonts w:hint="eastAsia" w:ascii="宋体" w:hAnsi="宋体" w:cs="宋体"/>
          <w:b/>
          <w:bCs/>
          <w:sz w:val="24"/>
          <w:szCs w:val="24"/>
        </w:rPr>
      </w:pPr>
      <w:r>
        <w:rPr>
          <w:rFonts w:ascii="宋体" w:hAnsi="宋体" w:cs="宋体"/>
          <w:sz w:val="24"/>
          <w:szCs w:val="24"/>
        </w:rPr>
        <w:t>13</w:t>
      </w:r>
      <w:r>
        <w:rPr>
          <w:rFonts w:hint="eastAsia" w:ascii="宋体" w:hAnsi="宋体" w:cs="宋体"/>
          <w:sz w:val="24"/>
          <w:szCs w:val="24"/>
        </w:rPr>
        <w:t>、在磋商评审过程中，磋商小组发现供应商的报价明显低于其他供应商的报价，使得其报价可能低于其个别成本的，磋商小组有权要求该供应商作出书面说明并提供相关证明材料，供应商不能合理说明或者不能提供相关证明材料的，由磋商小组认定该供应商以低于成本报价磋商竞标。对被认定为低于成本报价磋商竞标的报价作无效报价，按无效响应处理。</w:t>
      </w:r>
    </w:p>
    <w:p>
      <w:pPr>
        <w:snapToGrid w:val="0"/>
        <w:spacing w:line="360" w:lineRule="auto"/>
        <w:ind w:firstLine="482" w:firstLineChars="200"/>
        <w:rPr>
          <w:rFonts w:ascii="宋体"/>
          <w:b/>
          <w:bCs/>
          <w:sz w:val="24"/>
          <w:szCs w:val="24"/>
        </w:rPr>
      </w:pPr>
      <w:r>
        <w:rPr>
          <w:rFonts w:hint="eastAsia" w:ascii="宋体" w:hAnsi="宋体" w:cs="宋体"/>
          <w:b/>
          <w:bCs/>
          <w:sz w:val="24"/>
          <w:szCs w:val="24"/>
        </w:rPr>
        <w:t>三、评估步骤</w:t>
      </w:r>
    </w:p>
    <w:p>
      <w:pPr>
        <w:snapToGrid w:val="0"/>
        <w:spacing w:line="360" w:lineRule="auto"/>
        <w:ind w:firstLine="482" w:firstLineChars="200"/>
        <w:rPr>
          <w:rFonts w:ascii="宋体"/>
          <w:b/>
          <w:bCs/>
          <w:sz w:val="24"/>
          <w:szCs w:val="24"/>
          <w:lang w:val="zh-CN"/>
        </w:rPr>
      </w:pPr>
      <w:r>
        <w:rPr>
          <w:rFonts w:ascii="宋体" w:hAnsi="宋体" w:cs="宋体"/>
          <w:b/>
          <w:bCs/>
          <w:sz w:val="24"/>
          <w:szCs w:val="24"/>
          <w:lang w:val="zh-CN"/>
        </w:rPr>
        <w:t>1</w:t>
      </w:r>
      <w:r>
        <w:rPr>
          <w:rFonts w:hint="eastAsia" w:ascii="宋体" w:hAnsi="宋体" w:cs="宋体"/>
          <w:b/>
          <w:bCs/>
          <w:sz w:val="24"/>
          <w:szCs w:val="24"/>
          <w:lang w:val="zh-CN"/>
        </w:rPr>
        <w:t>、评审步骤规定：</w:t>
      </w:r>
    </w:p>
    <w:p>
      <w:pPr>
        <w:snapToGrid w:val="0"/>
        <w:spacing w:line="360" w:lineRule="auto"/>
        <w:ind w:firstLine="482" w:firstLineChars="200"/>
        <w:rPr>
          <w:rFonts w:ascii="宋体"/>
          <w:b/>
          <w:bCs/>
          <w:sz w:val="24"/>
          <w:szCs w:val="24"/>
          <w:lang w:val="zh-CN"/>
        </w:rPr>
      </w:pPr>
      <w:r>
        <w:rPr>
          <w:rFonts w:hint="eastAsia" w:ascii="宋体" w:hAnsi="宋体" w:cs="宋体"/>
          <w:b/>
          <w:bCs/>
          <w:sz w:val="24"/>
          <w:szCs w:val="24"/>
          <w:lang w:val="zh-CN"/>
        </w:rPr>
        <w:t>本次资格审查采用资格后审，各供应商资格审查通过后方能进入技术标的开标。先开技术标，技术标打分结束后再开商务标。</w:t>
      </w:r>
    </w:p>
    <w:p>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第一阶段：</w:t>
      </w:r>
      <w:r>
        <w:rPr>
          <w:rFonts w:hint="eastAsia" w:ascii="宋体" w:hAnsi="宋体" w:cs="宋体"/>
          <w:sz w:val="24"/>
          <w:szCs w:val="24"/>
        </w:rPr>
        <w:t>磋商小组</w:t>
      </w:r>
      <w:r>
        <w:rPr>
          <w:rFonts w:hint="eastAsia" w:ascii="宋体" w:hAnsi="宋体" w:cs="宋体"/>
          <w:sz w:val="24"/>
          <w:szCs w:val="24"/>
          <w:lang w:val="zh-CN"/>
        </w:rPr>
        <w:t>对每个供应商的资格进行审查。</w:t>
      </w:r>
    </w:p>
    <w:p>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第二阶段：</w:t>
      </w:r>
      <w:r>
        <w:rPr>
          <w:rFonts w:hint="eastAsia" w:ascii="宋体" w:hAnsi="宋体" w:cs="宋体"/>
          <w:sz w:val="24"/>
          <w:szCs w:val="24"/>
        </w:rPr>
        <w:t>磋商小组</w:t>
      </w:r>
      <w:r>
        <w:rPr>
          <w:rFonts w:hint="eastAsia" w:ascii="宋体" w:hAnsi="宋体" w:cs="宋体"/>
          <w:sz w:val="24"/>
          <w:szCs w:val="24"/>
          <w:lang w:val="zh-CN"/>
        </w:rPr>
        <w:t>对每个符合资格要求的供应商的技术标进行</w:t>
      </w:r>
      <w:r>
        <w:rPr>
          <w:rFonts w:hint="eastAsia" w:ascii="宋体" w:hAnsi="宋体" w:cs="宋体"/>
          <w:sz w:val="24"/>
          <w:szCs w:val="24"/>
        </w:rPr>
        <w:t>评估</w:t>
      </w:r>
      <w:r>
        <w:rPr>
          <w:rFonts w:hint="eastAsia" w:ascii="宋体" w:hAnsi="宋体" w:cs="宋体"/>
          <w:sz w:val="24"/>
          <w:szCs w:val="24"/>
          <w:lang w:val="zh-CN"/>
        </w:rPr>
        <w:t>。主要审查技术标提交的内容是否齐全，技术方案及项目实施是否完全满足采购文件的要求。</w:t>
      </w:r>
      <w:r>
        <w:rPr>
          <w:rFonts w:hint="eastAsia" w:ascii="宋体" w:hAnsi="宋体" w:cs="宋体"/>
          <w:sz w:val="24"/>
          <w:szCs w:val="24"/>
        </w:rPr>
        <w:t>磋商小组严格按照磋商文件的要求、条件、评分标准，对供应商所提供货物或服务的先进性、可靠性、售后服务承诺、质量保证承诺等实质性响应内容进行比较。</w:t>
      </w:r>
    </w:p>
    <w:p>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第三阶段：以供应商价格标文件内的</w:t>
      </w:r>
      <w:r>
        <w:rPr>
          <w:rFonts w:hint="eastAsia" w:ascii="宋体" w:hAnsi="宋体" w:cs="宋体"/>
          <w:sz w:val="24"/>
          <w:szCs w:val="24"/>
        </w:rPr>
        <w:t>竞争性磋商</w:t>
      </w:r>
      <w:r>
        <w:rPr>
          <w:rFonts w:hint="eastAsia" w:ascii="宋体" w:hAnsi="宋体" w:cs="宋体"/>
          <w:sz w:val="24"/>
          <w:szCs w:val="24"/>
          <w:lang w:val="zh-CN"/>
        </w:rPr>
        <w:t>报价（即首次报价）为基础，</w:t>
      </w:r>
      <w:r>
        <w:rPr>
          <w:rFonts w:hint="eastAsia" w:ascii="宋体" w:hAnsi="宋体" w:cs="宋体"/>
          <w:sz w:val="24"/>
          <w:szCs w:val="24"/>
        </w:rPr>
        <w:t>磋商小组与</w:t>
      </w:r>
      <w:r>
        <w:rPr>
          <w:rFonts w:hint="eastAsia" w:ascii="宋体" w:hAnsi="宋体" w:cs="宋体"/>
          <w:sz w:val="24"/>
          <w:szCs w:val="24"/>
          <w:lang w:val="zh-CN"/>
        </w:rPr>
        <w:t>供应商单一分别进行</w:t>
      </w:r>
      <w:r>
        <w:rPr>
          <w:rFonts w:hint="eastAsia" w:ascii="宋体" w:hAnsi="宋体" w:cs="宋体"/>
          <w:sz w:val="24"/>
          <w:szCs w:val="24"/>
        </w:rPr>
        <w:t>磋商</w:t>
      </w:r>
      <w:r>
        <w:rPr>
          <w:rFonts w:hint="eastAsia" w:ascii="宋体" w:hAnsi="宋体" w:cs="宋体"/>
          <w:sz w:val="24"/>
          <w:szCs w:val="24"/>
          <w:lang w:val="zh-CN"/>
        </w:rPr>
        <w:t>：内容主要是对</w:t>
      </w:r>
      <w:r>
        <w:rPr>
          <w:rFonts w:hint="eastAsia" w:ascii="宋体" w:hAnsi="宋体" w:cs="宋体"/>
          <w:sz w:val="24"/>
          <w:szCs w:val="24"/>
        </w:rPr>
        <w:t>竞争性磋商</w:t>
      </w:r>
      <w:r>
        <w:rPr>
          <w:rFonts w:hint="eastAsia" w:ascii="宋体" w:hAnsi="宋体" w:cs="宋体"/>
          <w:sz w:val="24"/>
          <w:szCs w:val="24"/>
          <w:lang w:val="zh-CN"/>
        </w:rPr>
        <w:t>响应文件中的项目方案的澄清、修正、补充、确认以及价格调整等。如</w:t>
      </w:r>
      <w:r>
        <w:rPr>
          <w:rFonts w:hint="eastAsia" w:ascii="宋体" w:hAnsi="宋体" w:cs="宋体"/>
          <w:sz w:val="24"/>
          <w:szCs w:val="24"/>
        </w:rPr>
        <w:t>磋商</w:t>
      </w:r>
      <w:r>
        <w:rPr>
          <w:rFonts w:hint="eastAsia" w:ascii="宋体" w:hAnsi="宋体" w:cs="宋体"/>
          <w:sz w:val="24"/>
          <w:szCs w:val="24"/>
          <w:lang w:val="zh-CN"/>
        </w:rPr>
        <w:t>内容导致</w:t>
      </w:r>
      <w:r>
        <w:rPr>
          <w:rFonts w:hint="eastAsia" w:ascii="宋体" w:hAnsi="宋体" w:cs="宋体"/>
          <w:sz w:val="24"/>
          <w:szCs w:val="24"/>
        </w:rPr>
        <w:t>竞争性磋商</w:t>
      </w:r>
      <w:r>
        <w:rPr>
          <w:rFonts w:hint="eastAsia" w:ascii="宋体" w:hAnsi="宋体" w:cs="宋体"/>
          <w:sz w:val="24"/>
          <w:szCs w:val="24"/>
          <w:lang w:val="zh-CN"/>
        </w:rPr>
        <w:t>文件有实质性变动的，</w:t>
      </w:r>
      <w:r>
        <w:rPr>
          <w:rFonts w:hint="eastAsia" w:ascii="宋体" w:hAnsi="宋体" w:cs="宋体"/>
          <w:sz w:val="24"/>
          <w:szCs w:val="24"/>
        </w:rPr>
        <w:t>磋商小组</w:t>
      </w:r>
      <w:r>
        <w:rPr>
          <w:rFonts w:hint="eastAsia" w:ascii="宋体" w:hAnsi="宋体" w:cs="宋体"/>
          <w:sz w:val="24"/>
          <w:szCs w:val="24"/>
          <w:lang w:val="zh-CN"/>
        </w:rPr>
        <w:t>应当以书面形式通知所有供应商。</w:t>
      </w:r>
    </w:p>
    <w:p>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第四阶段：单一分别</w:t>
      </w:r>
      <w:r>
        <w:rPr>
          <w:rFonts w:hint="eastAsia" w:ascii="宋体" w:hAnsi="宋体" w:cs="宋体"/>
          <w:sz w:val="24"/>
          <w:szCs w:val="24"/>
        </w:rPr>
        <w:t>磋商</w:t>
      </w:r>
      <w:r>
        <w:rPr>
          <w:rFonts w:hint="eastAsia" w:ascii="宋体" w:hAnsi="宋体" w:cs="宋体"/>
          <w:sz w:val="24"/>
          <w:szCs w:val="24"/>
          <w:lang w:val="zh-CN"/>
        </w:rPr>
        <w:t>结束后，</w:t>
      </w:r>
      <w:r>
        <w:rPr>
          <w:rFonts w:hint="eastAsia" w:ascii="宋体" w:hAnsi="宋体" w:cs="宋体"/>
          <w:sz w:val="24"/>
          <w:szCs w:val="24"/>
        </w:rPr>
        <w:t>磋商小组</w:t>
      </w:r>
      <w:r>
        <w:rPr>
          <w:rFonts w:hint="eastAsia" w:ascii="宋体" w:hAnsi="宋体" w:cs="宋体"/>
          <w:sz w:val="24"/>
          <w:szCs w:val="24"/>
          <w:lang w:val="zh-CN"/>
        </w:rPr>
        <w:t>告知所有供应商的项目二次（最终）报价，并要求所有作出实质性响应的有效供应商在规定的时间内，在</w:t>
      </w:r>
      <w:r>
        <w:rPr>
          <w:rFonts w:hint="eastAsia" w:ascii="宋体" w:hAnsi="宋体" w:cs="宋体"/>
          <w:sz w:val="24"/>
          <w:szCs w:val="24"/>
        </w:rPr>
        <w:t>磋商</w:t>
      </w:r>
      <w:r>
        <w:rPr>
          <w:rFonts w:hint="eastAsia" w:ascii="宋体" w:hAnsi="宋体" w:cs="宋体"/>
          <w:sz w:val="24"/>
          <w:szCs w:val="24"/>
          <w:lang w:val="zh-CN"/>
        </w:rPr>
        <w:t>现场集体给出最终报价，同时最终报价中可包括但不限于如最终澄清方案、有关优惠承诺等。</w:t>
      </w:r>
    </w:p>
    <w:p>
      <w:pPr>
        <w:snapToGrid w:val="0"/>
        <w:spacing w:line="360" w:lineRule="auto"/>
        <w:ind w:firstLine="480" w:firstLineChars="200"/>
        <w:rPr>
          <w:rFonts w:ascii="宋体" w:hAnsi="宋体" w:cs="宋体"/>
          <w:sz w:val="24"/>
          <w:szCs w:val="24"/>
          <w:lang w:val="zh-CN"/>
        </w:rPr>
      </w:pPr>
      <w:r>
        <w:rPr>
          <w:rFonts w:hint="eastAsia" w:ascii="宋体" w:hAnsi="宋体" w:cs="宋体"/>
          <w:sz w:val="24"/>
          <w:szCs w:val="24"/>
          <w:lang w:val="zh-CN"/>
        </w:rPr>
        <w:t>第五阶段：</w:t>
      </w:r>
      <w:r>
        <w:rPr>
          <w:rFonts w:hint="eastAsia" w:ascii="宋体" w:hAnsi="宋体" w:cs="宋体"/>
          <w:sz w:val="24"/>
          <w:szCs w:val="24"/>
        </w:rPr>
        <w:t>磋商小组</w:t>
      </w:r>
      <w:r>
        <w:rPr>
          <w:rFonts w:hint="eastAsia" w:ascii="宋体" w:hAnsi="宋体" w:cs="宋体"/>
          <w:sz w:val="24"/>
          <w:szCs w:val="24"/>
          <w:lang w:val="zh-CN"/>
        </w:rPr>
        <w:t>对供应商的最终报价进行评议和比较，在实质性响应</w:t>
      </w:r>
      <w:r>
        <w:rPr>
          <w:rFonts w:hint="eastAsia" w:ascii="宋体" w:hAnsi="宋体" w:cs="宋体"/>
          <w:sz w:val="24"/>
          <w:szCs w:val="24"/>
        </w:rPr>
        <w:t>竞争性磋商</w:t>
      </w:r>
      <w:r>
        <w:rPr>
          <w:rFonts w:hint="eastAsia" w:ascii="宋体" w:hAnsi="宋体" w:cs="宋体"/>
          <w:sz w:val="24"/>
          <w:szCs w:val="24"/>
          <w:lang w:val="zh-CN"/>
        </w:rPr>
        <w:t>文件，技术标和价格标部分都能满足</w:t>
      </w:r>
      <w:r>
        <w:rPr>
          <w:rFonts w:hint="eastAsia" w:ascii="宋体" w:hAnsi="宋体" w:cs="宋体"/>
          <w:sz w:val="24"/>
          <w:szCs w:val="24"/>
        </w:rPr>
        <w:t>竞争性磋商</w:t>
      </w:r>
      <w:r>
        <w:rPr>
          <w:rFonts w:hint="eastAsia" w:ascii="宋体" w:hAnsi="宋体" w:cs="宋体"/>
          <w:sz w:val="24"/>
          <w:szCs w:val="24"/>
          <w:lang w:val="zh-CN"/>
        </w:rPr>
        <w:t>文件的前提下，</w:t>
      </w:r>
      <w:r>
        <w:rPr>
          <w:rFonts w:hint="eastAsia" w:ascii="宋体" w:hAnsi="宋体" w:cs="宋体"/>
          <w:sz w:val="24"/>
          <w:szCs w:val="24"/>
        </w:rPr>
        <w:t>磋商小组</w:t>
      </w:r>
      <w:r>
        <w:rPr>
          <w:rFonts w:hint="eastAsia" w:ascii="宋体" w:hAnsi="宋体" w:cs="宋体"/>
          <w:sz w:val="24"/>
          <w:szCs w:val="24"/>
          <w:lang w:val="zh-CN"/>
        </w:rPr>
        <w:t>将校核后的各供应商的报价从低到高排序（</w:t>
      </w:r>
      <w:r>
        <w:rPr>
          <w:rFonts w:hint="eastAsia" w:ascii="宋体" w:hAnsi="宋体" w:cs="宋体"/>
          <w:sz w:val="24"/>
          <w:szCs w:val="24"/>
        </w:rPr>
        <w:t>明显低于成本的，且供应商不能合理说明或者不能提供相关证明材料的报价除外）</w:t>
      </w:r>
      <w:r>
        <w:rPr>
          <w:rFonts w:hint="eastAsia" w:ascii="宋体" w:hAnsi="宋体" w:cs="宋体"/>
          <w:sz w:val="24"/>
          <w:szCs w:val="24"/>
          <w:lang w:val="zh-CN"/>
        </w:rPr>
        <w:t>。</w:t>
      </w:r>
    </w:p>
    <w:p>
      <w:pPr>
        <w:snapToGrid w:val="0"/>
        <w:spacing w:line="360" w:lineRule="auto"/>
        <w:ind w:firstLine="480" w:firstLineChars="200"/>
        <w:rPr>
          <w:rFonts w:ascii="宋体"/>
          <w:sz w:val="24"/>
          <w:szCs w:val="24"/>
        </w:rPr>
      </w:pPr>
      <w:r>
        <w:rPr>
          <w:rFonts w:ascii="宋体" w:hAnsi="宋体" w:cs="宋体"/>
          <w:sz w:val="24"/>
          <w:szCs w:val="24"/>
          <w:lang w:val="zh-CN"/>
        </w:rPr>
        <w:t>2</w:t>
      </w:r>
      <w:r>
        <w:rPr>
          <w:rFonts w:hint="eastAsia" w:ascii="宋体" w:hAnsi="宋体" w:cs="宋体"/>
          <w:sz w:val="24"/>
          <w:szCs w:val="24"/>
          <w:lang w:val="zh-CN"/>
        </w:rPr>
        <w:t>、在</w:t>
      </w:r>
      <w:r>
        <w:rPr>
          <w:rFonts w:hint="eastAsia" w:ascii="宋体" w:hAnsi="宋体" w:cs="宋体"/>
          <w:sz w:val="24"/>
          <w:szCs w:val="24"/>
        </w:rPr>
        <w:t>磋商</w:t>
      </w:r>
      <w:r>
        <w:rPr>
          <w:rFonts w:hint="eastAsia" w:ascii="宋体" w:hAnsi="宋体" w:cs="宋体"/>
          <w:sz w:val="24"/>
          <w:szCs w:val="24"/>
          <w:lang w:val="zh-CN"/>
        </w:rPr>
        <w:t>过程中，供应商提交的澄清文件和最终报价文件，由供应商法定代表人或被授权人签字盖章后生效，供应商受其约束。</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四、磋商评定结果的方法</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w:t>
      </w:r>
      <w:r>
        <w:rPr>
          <w:rFonts w:hint="eastAsia" w:ascii="宋体" w:hAnsi="宋体" w:cs="宋体"/>
          <w:b/>
          <w:bCs/>
          <w:sz w:val="24"/>
          <w:szCs w:val="24"/>
          <w:u w:val="single"/>
        </w:rPr>
        <w:t>经磋商确定最终采购需求和提交最后报价的供应商后，</w:t>
      </w:r>
      <w:r>
        <w:rPr>
          <w:rFonts w:hint="eastAsia" w:ascii="宋体" w:hAnsi="宋体" w:cs="宋体"/>
          <w:sz w:val="24"/>
          <w:szCs w:val="24"/>
        </w:rPr>
        <w:t>由磋商小组采用综合评分法</w:t>
      </w:r>
      <w:r>
        <w:rPr>
          <w:rFonts w:hint="eastAsia" w:ascii="宋体" w:hAnsi="宋体" w:cs="宋体"/>
          <w:b/>
          <w:bCs/>
          <w:sz w:val="24"/>
          <w:szCs w:val="24"/>
          <w:u w:val="single"/>
        </w:rPr>
        <w:t>对提交最后报价的供应商的响应文件和最后报价</w:t>
      </w:r>
      <w:r>
        <w:rPr>
          <w:rFonts w:hint="eastAsia" w:ascii="宋体" w:hAnsi="宋体" w:cs="宋体"/>
          <w:sz w:val="24"/>
          <w:szCs w:val="24"/>
        </w:rPr>
        <w:t>进行综合评分。</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、评估时，磋商小组各成员应当独立对每个有效响应的文件进行评价、打分，然后汇总每个供应商每项评分因素的得分（计算结果均四舍五入保留两位小数）。</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、本次项目磋商的技术</w:t>
      </w:r>
      <w:r>
        <w:rPr>
          <w:rFonts w:hint="eastAsia" w:ascii="宋体" w:hAnsi="宋体" w:cs="宋体"/>
          <w:kern w:val="0"/>
          <w:sz w:val="24"/>
          <w:szCs w:val="24"/>
        </w:rPr>
        <w:t>响应文件</w:t>
      </w:r>
      <w:r>
        <w:rPr>
          <w:rFonts w:hint="eastAsia" w:ascii="宋体" w:hAnsi="宋体" w:cs="宋体"/>
          <w:sz w:val="24"/>
          <w:szCs w:val="24"/>
        </w:rPr>
        <w:t>和商务报价</w:t>
      </w:r>
      <w:r>
        <w:rPr>
          <w:rFonts w:hint="eastAsia" w:ascii="宋体" w:hAnsi="宋体" w:cs="宋体"/>
          <w:kern w:val="0"/>
          <w:sz w:val="24"/>
          <w:szCs w:val="24"/>
        </w:rPr>
        <w:t>响应文件</w:t>
      </w:r>
      <w:r>
        <w:rPr>
          <w:rFonts w:hint="eastAsia" w:ascii="宋体" w:hAnsi="宋体" w:cs="宋体"/>
          <w:sz w:val="24"/>
          <w:szCs w:val="24"/>
        </w:rPr>
        <w:t>评估总分值为</w:t>
      </w:r>
      <w:r>
        <w:rPr>
          <w:rFonts w:ascii="宋体" w:hAnsi="宋体" w:cs="宋体"/>
          <w:sz w:val="24"/>
          <w:szCs w:val="24"/>
        </w:rPr>
        <w:t>100</w:t>
      </w:r>
      <w:r>
        <w:rPr>
          <w:rFonts w:hint="eastAsia" w:ascii="宋体" w:hAnsi="宋体" w:cs="宋体"/>
          <w:sz w:val="24"/>
          <w:szCs w:val="24"/>
        </w:rPr>
        <w:t>分。两部分评估因素比重如下：</w:t>
      </w:r>
    </w:p>
    <w:p>
      <w:pPr>
        <w:snapToGrid w:val="0"/>
        <w:spacing w:line="360" w:lineRule="auto"/>
        <w:ind w:firstLine="480" w:firstLineChars="200"/>
        <w:rPr>
          <w:rFonts w:ascii="宋体"/>
          <w:kern w:val="0"/>
          <w:sz w:val="24"/>
          <w:szCs w:val="24"/>
        </w:rPr>
      </w:pPr>
      <w:r>
        <w:rPr>
          <w:rFonts w:hint="eastAsia" w:ascii="宋体" w:hAnsi="宋体" w:cs="宋体"/>
          <w:kern w:val="0"/>
          <w:sz w:val="24"/>
          <w:szCs w:val="24"/>
        </w:rPr>
        <w:t>技术响应文件分值占总分值的比重为</w:t>
      </w:r>
      <w:r>
        <w:rPr>
          <w:rFonts w:hint="eastAsia" w:ascii="宋体" w:hAnsi="宋体" w:cs="宋体"/>
          <w:kern w:val="0"/>
          <w:sz w:val="24"/>
          <w:szCs w:val="24"/>
          <w:u w:val="single"/>
          <w:lang w:val="en-US" w:eastAsia="zh-CN"/>
        </w:rPr>
        <w:t>70</w:t>
      </w:r>
      <w:r>
        <w:rPr>
          <w:rFonts w:ascii="宋体" w:hAnsi="宋体" w:cs="宋体"/>
          <w:kern w:val="0"/>
          <w:sz w:val="24"/>
          <w:szCs w:val="24"/>
          <w:u w:val="single"/>
        </w:rPr>
        <w:t>%</w:t>
      </w:r>
      <w:r>
        <w:rPr>
          <w:rFonts w:hint="eastAsia" w:ascii="宋体" w:hAnsi="宋体" w:cs="宋体"/>
          <w:kern w:val="0"/>
          <w:sz w:val="24"/>
          <w:szCs w:val="24"/>
          <w:u w:val="single"/>
        </w:rPr>
        <w:t>（权重）</w:t>
      </w:r>
      <w:r>
        <w:rPr>
          <w:rFonts w:hint="eastAsia" w:ascii="宋体" w:hAnsi="宋体" w:cs="宋体"/>
          <w:kern w:val="0"/>
          <w:sz w:val="24"/>
          <w:szCs w:val="24"/>
        </w:rPr>
        <w:t>（四舍五入保留两位小数）；</w:t>
      </w:r>
    </w:p>
    <w:p>
      <w:pPr>
        <w:snapToGrid w:val="0"/>
        <w:spacing w:line="360" w:lineRule="auto"/>
        <w:ind w:firstLine="480" w:firstLineChars="200"/>
        <w:rPr>
          <w:rFonts w:ascii="宋体"/>
          <w:kern w:val="0"/>
          <w:sz w:val="24"/>
          <w:szCs w:val="24"/>
        </w:rPr>
      </w:pPr>
      <w:r>
        <w:rPr>
          <w:rFonts w:hint="eastAsia" w:ascii="宋体" w:hAnsi="宋体" w:cs="宋体"/>
          <w:kern w:val="0"/>
          <w:sz w:val="24"/>
          <w:szCs w:val="24"/>
        </w:rPr>
        <w:t>商务报价响应文件分值占总分值的比重为</w:t>
      </w:r>
      <w:r>
        <w:rPr>
          <w:rFonts w:ascii="宋体" w:hAnsi="宋体" w:cs="宋体"/>
          <w:kern w:val="0"/>
          <w:sz w:val="24"/>
          <w:szCs w:val="24"/>
          <w:u w:val="single"/>
        </w:rPr>
        <w:t xml:space="preserve"> </w:t>
      </w:r>
      <w:r>
        <w:rPr>
          <w:rFonts w:hint="eastAsia" w:ascii="宋体" w:hAnsi="宋体" w:cs="宋体"/>
          <w:kern w:val="0"/>
          <w:sz w:val="24"/>
          <w:szCs w:val="24"/>
          <w:u w:val="single"/>
          <w:lang w:val="en-US" w:eastAsia="zh-CN"/>
        </w:rPr>
        <w:t>30</w:t>
      </w:r>
      <w:r>
        <w:rPr>
          <w:rFonts w:ascii="宋体" w:hAnsi="宋体" w:cs="宋体"/>
          <w:kern w:val="0"/>
          <w:sz w:val="24"/>
          <w:szCs w:val="24"/>
          <w:u w:val="single"/>
        </w:rPr>
        <w:t>%</w:t>
      </w:r>
      <w:r>
        <w:rPr>
          <w:rFonts w:hint="eastAsia" w:ascii="宋体" w:hAnsi="宋体" w:cs="宋体"/>
          <w:kern w:val="0"/>
          <w:sz w:val="24"/>
          <w:szCs w:val="24"/>
          <w:u w:val="single"/>
        </w:rPr>
        <w:t>（权重）</w:t>
      </w:r>
      <w:r>
        <w:rPr>
          <w:rFonts w:hint="eastAsia" w:ascii="宋体" w:hAnsi="宋体" w:cs="宋体"/>
          <w:kern w:val="0"/>
          <w:sz w:val="24"/>
          <w:szCs w:val="24"/>
        </w:rPr>
        <w:t>（四舍五入保留两位小数）。</w:t>
      </w:r>
    </w:p>
    <w:p>
      <w:pPr>
        <w:snapToGrid w:val="0"/>
        <w:spacing w:line="360" w:lineRule="auto"/>
        <w:ind w:firstLine="480" w:firstLineChars="200"/>
        <w:rPr>
          <w:rFonts w:ascii="宋体"/>
          <w:dstrike/>
          <w:sz w:val="24"/>
          <w:szCs w:val="24"/>
        </w:rPr>
      </w:pPr>
      <w:r>
        <w:rPr>
          <w:rFonts w:ascii="宋体" w:hAnsi="宋体" w:cs="宋体"/>
          <w:sz w:val="24"/>
          <w:szCs w:val="24"/>
        </w:rPr>
        <w:t>4</w:t>
      </w:r>
      <w:r>
        <w:rPr>
          <w:rFonts w:hint="eastAsia" w:ascii="宋体" w:hAnsi="宋体" w:cs="宋体"/>
          <w:sz w:val="24"/>
          <w:szCs w:val="24"/>
        </w:rPr>
        <w:t>、技术</w:t>
      </w:r>
      <w:r>
        <w:rPr>
          <w:rFonts w:hint="eastAsia" w:ascii="宋体" w:hAnsi="宋体" w:cs="宋体"/>
          <w:kern w:val="0"/>
          <w:sz w:val="24"/>
          <w:szCs w:val="24"/>
        </w:rPr>
        <w:t>响应文件分值为所有评委打分的算术平均值，计算</w:t>
      </w:r>
      <w:r>
        <w:rPr>
          <w:rFonts w:hint="eastAsia" w:ascii="宋体" w:hAnsi="宋体" w:cs="宋体"/>
          <w:sz w:val="24"/>
          <w:szCs w:val="24"/>
        </w:rPr>
        <w:t>结果均四舍五入保留两位小数。</w:t>
      </w:r>
    </w:p>
    <w:p>
      <w:pPr>
        <w:snapToGrid w:val="0"/>
        <w:spacing w:line="360" w:lineRule="auto"/>
        <w:ind w:firstLine="480" w:firstLineChars="200"/>
      </w:pPr>
      <w:r>
        <w:rPr>
          <w:rFonts w:ascii="宋体" w:hAnsi="宋体" w:cs="宋体"/>
          <w:sz w:val="24"/>
          <w:szCs w:val="24"/>
        </w:rPr>
        <w:t>5</w:t>
      </w:r>
      <w:r>
        <w:rPr>
          <w:rFonts w:hint="eastAsia" w:ascii="宋体" w:hAnsi="宋体" w:cs="宋体"/>
          <w:sz w:val="24"/>
          <w:szCs w:val="24"/>
        </w:rPr>
        <w:t>、商务报价</w:t>
      </w:r>
      <w:r>
        <w:rPr>
          <w:rFonts w:hint="eastAsia" w:ascii="宋体" w:hAnsi="宋体" w:cs="宋体"/>
          <w:kern w:val="0"/>
          <w:sz w:val="24"/>
          <w:szCs w:val="24"/>
        </w:rPr>
        <w:t>响应文件</w:t>
      </w:r>
      <w:r>
        <w:rPr>
          <w:rFonts w:hint="eastAsia" w:ascii="宋体" w:hAnsi="宋体" w:cs="宋体"/>
          <w:sz w:val="24"/>
          <w:szCs w:val="24"/>
        </w:rPr>
        <w:t>分值统一采用低价优先法计算直接取得，与技术</w:t>
      </w:r>
      <w:r>
        <w:rPr>
          <w:rFonts w:hint="eastAsia" w:ascii="宋体" w:hAnsi="宋体" w:cs="宋体"/>
          <w:kern w:val="0"/>
          <w:sz w:val="24"/>
          <w:szCs w:val="24"/>
        </w:rPr>
        <w:t>响应文件</w:t>
      </w:r>
      <w:r>
        <w:rPr>
          <w:rFonts w:hint="eastAsia" w:ascii="宋体" w:hAnsi="宋体" w:cs="宋体"/>
          <w:sz w:val="24"/>
          <w:szCs w:val="24"/>
        </w:rPr>
        <w:t>分值相加为供应商的综合得分（四舍五入保留两位小数）。</w:t>
      </w:r>
    </w:p>
    <w:p>
      <w:pPr>
        <w:snapToGrid w:val="0"/>
        <w:spacing w:line="360" w:lineRule="auto"/>
        <w:ind w:firstLine="460" w:firstLineChars="192"/>
        <w:rPr>
          <w:rFonts w:ascii="宋体" w:hAnsi="宋体" w:cs="宋体"/>
          <w:kern w:val="0"/>
          <w:sz w:val="24"/>
          <w:szCs w:val="24"/>
        </w:rPr>
      </w:pPr>
      <w:r>
        <w:rPr>
          <w:rFonts w:ascii="宋体" w:hAnsi="宋体" w:cs="宋体"/>
          <w:sz w:val="24"/>
          <w:szCs w:val="24"/>
        </w:rPr>
        <w:t>6</w:t>
      </w:r>
      <w:r>
        <w:rPr>
          <w:rFonts w:hint="eastAsia" w:ascii="宋体" w:hAnsi="宋体" w:cs="宋体"/>
          <w:sz w:val="24"/>
          <w:szCs w:val="24"/>
        </w:rPr>
        <w:t>、</w:t>
      </w:r>
      <w:r>
        <w:rPr>
          <w:rFonts w:hint="eastAsia" w:ascii="宋体" w:hAnsi="宋体" w:cs="宋体"/>
          <w:kern w:val="0"/>
          <w:sz w:val="24"/>
          <w:szCs w:val="24"/>
        </w:rPr>
        <w:t>综合得分最高的供应商推荐为项目预成交供应商并出具评审磋商报告。</w:t>
      </w:r>
    </w:p>
    <w:p>
      <w:pPr>
        <w:snapToGrid w:val="0"/>
        <w:spacing w:line="360" w:lineRule="auto"/>
        <w:ind w:firstLine="460" w:firstLineChars="192"/>
        <w:rPr>
          <w:rFonts w:ascii="宋体"/>
          <w:sz w:val="24"/>
          <w:szCs w:val="24"/>
        </w:rPr>
      </w:pPr>
      <w:r>
        <w:rPr>
          <w:rFonts w:ascii="宋体" w:hAnsi="宋体" w:cs="宋体"/>
          <w:sz w:val="24"/>
          <w:szCs w:val="24"/>
        </w:rPr>
        <w:t>7</w:t>
      </w:r>
      <w:r>
        <w:rPr>
          <w:rFonts w:hint="eastAsia" w:ascii="宋体" w:hAnsi="宋体" w:cs="宋体"/>
          <w:sz w:val="24"/>
          <w:szCs w:val="24"/>
        </w:rPr>
        <w:t>、确定成交候选人的特殊情况处理：</w:t>
      </w:r>
    </w:p>
    <w:p>
      <w:pPr>
        <w:snapToGrid w:val="0"/>
        <w:spacing w:line="360" w:lineRule="auto"/>
        <w:ind w:firstLine="480" w:firstLineChars="200"/>
        <w:outlineLvl w:val="1"/>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）若总分相同，则按最终报价得分高者优先中标。</w:t>
      </w:r>
    </w:p>
    <w:p>
      <w:pPr>
        <w:snapToGrid w:val="0"/>
        <w:spacing w:line="360" w:lineRule="auto"/>
        <w:ind w:firstLine="480" w:firstLineChars="200"/>
        <w:outlineLvl w:val="1"/>
        <w:rPr>
          <w:rFonts w:ascii="宋体"/>
          <w:dstrike/>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）若总分且最终报价得分相同，则采取现场抽签的方式确定（由供应商按递交响应文件签到顺序号抽签确定）。</w:t>
      </w:r>
    </w:p>
    <w:p>
      <w:pPr>
        <w:snapToGrid w:val="0"/>
        <w:spacing w:line="360" w:lineRule="auto"/>
        <w:ind w:firstLine="480" w:firstLineChars="200"/>
        <w:rPr>
          <w:rFonts w:ascii="宋体"/>
          <w:sz w:val="24"/>
          <w:szCs w:val="24"/>
        </w:rPr>
      </w:pPr>
      <w:r>
        <w:rPr>
          <w:rFonts w:ascii="宋体" w:hAnsi="宋体" w:cs="宋体"/>
          <w:sz w:val="24"/>
          <w:szCs w:val="24"/>
        </w:rPr>
        <w:t>8</w:t>
      </w:r>
      <w:r>
        <w:rPr>
          <w:rFonts w:hint="eastAsia" w:ascii="宋体" w:hAnsi="宋体" w:cs="宋体"/>
          <w:sz w:val="24"/>
          <w:szCs w:val="24"/>
        </w:rPr>
        <w:t>、磋商评审时，评委对评审的细则若有争议，由磋商小组集体讨论确定，并对未尽情况有最终解释权。</w:t>
      </w:r>
    </w:p>
    <w:p>
      <w:pPr>
        <w:snapToGrid w:val="0"/>
        <w:spacing w:line="360" w:lineRule="auto"/>
        <w:ind w:firstLine="480" w:firstLineChars="200"/>
        <w:rPr>
          <w:rFonts w:ascii="宋体"/>
          <w:sz w:val="24"/>
          <w:szCs w:val="24"/>
        </w:rPr>
      </w:pPr>
      <w:r>
        <w:rPr>
          <w:rFonts w:ascii="宋体" w:hAnsi="宋体" w:cs="宋体"/>
          <w:sz w:val="24"/>
          <w:szCs w:val="24"/>
        </w:rPr>
        <w:t>9</w:t>
      </w:r>
      <w:r>
        <w:rPr>
          <w:rFonts w:hint="eastAsia" w:ascii="宋体" w:hAnsi="宋体" w:cs="宋体"/>
          <w:sz w:val="24"/>
          <w:szCs w:val="24"/>
        </w:rPr>
        <w:t>、对落标的供应商不做落标原因的解释。</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五、综合评分评审标准</w:t>
      </w:r>
    </w:p>
    <w:p>
      <w:pPr>
        <w:adjustRightInd w:val="0"/>
        <w:snapToGrid w:val="0"/>
        <w:spacing w:line="360" w:lineRule="auto"/>
        <w:ind w:firstLine="480" w:firstLineChars="200"/>
        <w:outlineLvl w:val="3"/>
        <w:rPr>
          <w:rFonts w:ascii="宋体"/>
          <w:sz w:val="24"/>
          <w:szCs w:val="24"/>
        </w:rPr>
      </w:pPr>
      <w:r>
        <w:rPr>
          <w:rFonts w:hint="eastAsia" w:ascii="宋体" w:hAnsi="宋体" w:cs="宋体"/>
          <w:sz w:val="24"/>
          <w:szCs w:val="24"/>
        </w:rPr>
        <w:t>（一）技术磋商响应评审：（</w:t>
      </w:r>
      <w:r>
        <w:rPr>
          <w:rFonts w:hint="eastAsia" w:ascii="宋体" w:hAnsi="宋体" w:cs="宋体"/>
          <w:sz w:val="24"/>
          <w:szCs w:val="24"/>
          <w:lang w:val="en-US" w:eastAsia="zh-CN"/>
        </w:rPr>
        <w:t>70</w:t>
      </w:r>
      <w:r>
        <w:rPr>
          <w:rFonts w:hint="eastAsia" w:ascii="宋体" w:hAnsi="宋体" w:cs="宋体"/>
          <w:sz w:val="24"/>
          <w:szCs w:val="24"/>
        </w:rPr>
        <w:t>分）</w:t>
      </w:r>
    </w:p>
    <w:tbl>
      <w:tblPr>
        <w:tblStyle w:val="51"/>
        <w:tblW w:w="92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1"/>
        <w:gridCol w:w="714"/>
        <w:gridCol w:w="7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1101" w:type="dxa"/>
            <w:noWrap w:val="0"/>
            <w:vAlign w:val="center"/>
          </w:tcPr>
          <w:p>
            <w:pPr>
              <w:adjustRightInd w:val="0"/>
              <w:snapToGrid w:val="0"/>
              <w:spacing w:line="288"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评审因素</w:t>
            </w:r>
          </w:p>
        </w:tc>
        <w:tc>
          <w:tcPr>
            <w:tcW w:w="708" w:type="dxa"/>
            <w:noWrap w:val="0"/>
            <w:vAlign w:val="center"/>
          </w:tcPr>
          <w:p>
            <w:pPr>
              <w:adjustRightInd w:val="0"/>
              <w:snapToGrid w:val="0"/>
              <w:spacing w:line="288"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分值</w:t>
            </w:r>
          </w:p>
        </w:tc>
        <w:tc>
          <w:tcPr>
            <w:tcW w:w="7371" w:type="dxa"/>
            <w:noWrap w:val="0"/>
            <w:vAlign w:val="center"/>
          </w:tcPr>
          <w:p>
            <w:pPr>
              <w:adjustRightInd w:val="0"/>
              <w:snapToGrid w:val="0"/>
              <w:spacing w:line="288"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1101" w:type="dxa"/>
            <w:noWrap w:val="0"/>
            <w:vAlign w:val="center"/>
          </w:tcPr>
          <w:p>
            <w:pPr>
              <w:spacing w:line="24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实验室人员及业绩</w:t>
            </w:r>
          </w:p>
        </w:tc>
        <w:tc>
          <w:tcPr>
            <w:tcW w:w="708" w:type="dxa"/>
            <w:noWrap w:val="0"/>
            <w:vAlign w:val="center"/>
          </w:tcPr>
          <w:p>
            <w:pPr>
              <w:spacing w:line="24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12</w:t>
            </w:r>
            <w:r>
              <w:rPr>
                <w:rFonts w:hint="eastAsia" w:asciiTheme="minorEastAsia" w:hAnsiTheme="minorEastAsia" w:eastAsiaTheme="minorEastAsia" w:cstheme="minorEastAsia"/>
                <w:sz w:val="24"/>
                <w:szCs w:val="24"/>
              </w:rPr>
              <w:t>分</w:t>
            </w:r>
          </w:p>
        </w:tc>
        <w:tc>
          <w:tcPr>
            <w:tcW w:w="7371" w:type="dxa"/>
            <w:noWrap w:val="0"/>
            <w:vAlign w:val="center"/>
          </w:tcPr>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1、人员情况（</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分）：项目</w:t>
            </w:r>
            <w:r>
              <w:rPr>
                <w:rFonts w:hint="eastAsia" w:ascii="宋体" w:hAnsi="宋体" w:eastAsia="宋体" w:cs="宋体"/>
                <w:color w:val="auto"/>
                <w:sz w:val="24"/>
                <w:szCs w:val="24"/>
                <w:lang w:val="en-US" w:eastAsia="zh-CN"/>
              </w:rPr>
              <w:t>负责人</w:t>
            </w:r>
            <w:r>
              <w:rPr>
                <w:rFonts w:hint="eastAsia" w:ascii="宋体" w:hAnsi="宋体" w:eastAsia="宋体" w:cs="宋体"/>
                <w:color w:val="auto"/>
                <w:sz w:val="24"/>
                <w:szCs w:val="24"/>
              </w:rPr>
              <w:t>拥有高级技术职称的，得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分。须</w:t>
            </w:r>
            <w:r>
              <w:rPr>
                <w:rFonts w:hint="eastAsia" w:ascii="宋体" w:hAnsi="宋体" w:eastAsia="宋体" w:cs="宋体"/>
                <w:color w:val="auto"/>
                <w:sz w:val="24"/>
                <w:szCs w:val="24"/>
                <w:lang w:eastAsia="zh-CN"/>
              </w:rPr>
              <w:t>同时</w:t>
            </w:r>
            <w:r>
              <w:rPr>
                <w:rFonts w:hint="eastAsia" w:ascii="宋体" w:hAnsi="宋体" w:eastAsia="宋体" w:cs="宋体"/>
                <w:color w:val="auto"/>
                <w:sz w:val="24"/>
                <w:szCs w:val="24"/>
              </w:rPr>
              <w:t>提供技术人员的劳动合同和</w:t>
            </w:r>
            <w:r>
              <w:rPr>
                <w:rFonts w:hint="eastAsia" w:ascii="宋体" w:hAnsi="宋体" w:eastAsia="宋体" w:cs="宋体"/>
                <w:color w:val="auto"/>
                <w:sz w:val="24"/>
                <w:szCs w:val="24"/>
                <w:lang w:eastAsia="zh-CN"/>
              </w:rPr>
              <w:t>近</w:t>
            </w:r>
            <w:r>
              <w:rPr>
                <w:rFonts w:hint="eastAsia" w:ascii="宋体" w:hAnsi="宋体" w:eastAsia="宋体" w:cs="宋体"/>
                <w:color w:val="auto"/>
                <w:sz w:val="24"/>
                <w:szCs w:val="24"/>
                <w:lang w:val="en-US" w:eastAsia="zh-CN"/>
              </w:rPr>
              <w:t>6个月</w:t>
            </w:r>
            <w:r>
              <w:rPr>
                <w:rFonts w:hint="eastAsia" w:ascii="宋体" w:hAnsi="宋体" w:eastAsia="宋体" w:cs="宋体"/>
                <w:color w:val="auto"/>
                <w:sz w:val="24"/>
                <w:szCs w:val="24"/>
              </w:rPr>
              <w:t>社保缴纳证明（退休返聘人员需提供近6个月工资流水）、身份证、学历证书、岗位证书复印件，原件备查，否则不得分。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2、主要业绩（</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 2</w:t>
            </w:r>
            <w:r>
              <w:rPr>
                <w:rFonts w:hint="eastAsia" w:ascii="宋体" w:hAnsi="宋体" w:eastAsia="宋体" w:cs="宋体"/>
                <w:color w:val="auto"/>
                <w:sz w:val="24"/>
                <w:szCs w:val="24"/>
                <w:lang w:val="en-US" w:eastAsia="zh-CN"/>
              </w:rPr>
              <w:t>019</w:t>
            </w:r>
            <w:r>
              <w:rPr>
                <w:rFonts w:hint="eastAsia" w:ascii="宋体" w:hAnsi="宋体" w:eastAsia="宋体" w:cs="宋体"/>
                <w:color w:val="auto"/>
                <w:sz w:val="24"/>
                <w:szCs w:val="24"/>
              </w:rPr>
              <w:t>年至今，投标人</w:t>
            </w:r>
            <w:r>
              <w:rPr>
                <w:rFonts w:hint="eastAsia" w:ascii="宋体" w:hAnsi="宋体" w:eastAsia="宋体" w:cs="宋体"/>
                <w:color w:val="auto"/>
                <w:sz w:val="24"/>
                <w:szCs w:val="24"/>
                <w:lang w:eastAsia="zh-CN"/>
              </w:rPr>
              <w:t>具有污水、废气</w:t>
            </w:r>
            <w:r>
              <w:rPr>
                <w:rFonts w:hint="eastAsia" w:ascii="宋体" w:hAnsi="宋体" w:eastAsia="宋体" w:cs="宋体"/>
                <w:color w:val="auto"/>
                <w:sz w:val="24"/>
                <w:szCs w:val="24"/>
                <w:lang w:val="en-US" w:eastAsia="zh-CN"/>
              </w:rPr>
              <w:t>检测相关业绩</w:t>
            </w:r>
            <w:r>
              <w:rPr>
                <w:rFonts w:hint="eastAsia" w:ascii="宋体" w:hAnsi="宋体" w:eastAsia="宋体" w:cs="宋体"/>
                <w:color w:val="auto"/>
                <w:sz w:val="24"/>
                <w:szCs w:val="24"/>
              </w:rPr>
              <w:t>的，有</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个得1分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最多得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分（提供合同复印件，原件备查）</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3、获取荣誉或承担政府项目：（</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分）提供合同复印件，原件备查。</w:t>
            </w:r>
          </w:p>
          <w:p>
            <w:pPr>
              <w:snapToGrid w:val="0"/>
              <w:spacing w:line="360" w:lineRule="auto"/>
              <w:ind w:firstLine="560"/>
              <w:rPr>
                <w:rFonts w:hint="eastAsia" w:asciiTheme="minorEastAsia" w:hAnsiTheme="minorEastAsia" w:eastAsiaTheme="minorEastAsia" w:cstheme="minorEastAsia"/>
                <w:sz w:val="24"/>
                <w:szCs w:val="24"/>
              </w:rPr>
            </w:pPr>
            <w:r>
              <w:rPr>
                <w:rFonts w:hint="eastAsia" w:ascii="宋体" w:hAnsi="宋体" w:eastAsia="宋体" w:cs="宋体"/>
                <w:color w:val="auto"/>
                <w:sz w:val="24"/>
                <w:szCs w:val="24"/>
              </w:rPr>
              <w:t>企业20</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年以来获得环境监测服务类的市级以上（含）荣誉称号，得2分；承担政府购买服务项目的，有</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项的得</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分，最高</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与主要业绩合同不重复计算）</w:t>
            </w:r>
            <w:r>
              <w:rPr>
                <w:rFonts w:hint="eastAsia" w:ascii="宋体" w:hAnsi="宋体" w:eastAsia="宋体" w:cs="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1101" w:type="dxa"/>
            <w:noWrap w:val="0"/>
            <w:vAlign w:val="center"/>
          </w:tcPr>
          <w:p>
            <w:pPr>
              <w:spacing w:line="24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实验室能力</w:t>
            </w:r>
          </w:p>
        </w:tc>
        <w:tc>
          <w:tcPr>
            <w:tcW w:w="708" w:type="dxa"/>
            <w:noWrap w:val="0"/>
            <w:vAlign w:val="center"/>
          </w:tcPr>
          <w:p>
            <w:pPr>
              <w:spacing w:line="24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15</w:t>
            </w:r>
            <w:r>
              <w:rPr>
                <w:rFonts w:hint="eastAsia" w:asciiTheme="minorEastAsia" w:hAnsiTheme="minorEastAsia" w:eastAsiaTheme="minorEastAsia" w:cstheme="minorEastAsia"/>
                <w:sz w:val="24"/>
                <w:szCs w:val="24"/>
              </w:rPr>
              <w:t>分</w:t>
            </w:r>
          </w:p>
        </w:tc>
        <w:tc>
          <w:tcPr>
            <w:tcW w:w="7371" w:type="dxa"/>
            <w:noWrap w:val="0"/>
            <w:vAlign w:val="center"/>
          </w:tcPr>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实验室面积（</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分）：拥有独立的实验室，根据实验室面积大小综合比较打分。须提供房产证明或房屋租赁合同、实验室平面图等相关材料。</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800平米≤实验室面积＜1200平米得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1200平米≤实验室面积＜1500平米得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实验室面积≥1500平米的得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、实验室仪器装备（</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具有以下实验室仪器设备（气相色谱质谱联用仪、电感耦合等离子发射光谱仪、电感耦合等离子体质谱仪、紫外分光光度计、石墨炉原子吸收分光光度计、火焰原子吸收分光光度计、气相色谱仪、离子色谱仪、原子荧光仪、红外分光测油仪）中的8项或以上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 7项得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 6项得1分，其他不得分。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须提供设备发票或设备使用权证明文件，并提供有效期内的检定/校准证书，未提供完整相应资料的仪器设备不得分。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、能力项目（</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分）：具备水、气、声、土壤四大项实验能力的得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分。通过技术监督局实验室资质认定的检测能力项目数，以</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00为基准得</w:t>
            </w:r>
            <w:r>
              <w:rPr>
                <w:rFonts w:hint="eastAsia" w:ascii="宋体" w:hAnsi="宋体" w:eastAsia="宋体" w:cs="宋体"/>
                <w:color w:val="auto"/>
                <w:sz w:val="24"/>
                <w:szCs w:val="24"/>
                <w:lang w:eastAsia="zh-CN"/>
              </w:rPr>
              <w:t>基本分</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分，每增加</w:t>
            </w:r>
            <w:r>
              <w:rPr>
                <w:rFonts w:hint="eastAsia" w:ascii="宋体" w:hAnsi="宋体" w:eastAsia="宋体" w:cs="宋体"/>
                <w:color w:val="auto"/>
                <w:sz w:val="24"/>
                <w:szCs w:val="24"/>
                <w:lang w:val="en-US" w:eastAsia="zh-CN"/>
              </w:rPr>
              <w:t>100</w:t>
            </w:r>
            <w:r>
              <w:rPr>
                <w:rFonts w:hint="eastAsia" w:ascii="宋体" w:hAnsi="宋体" w:eastAsia="宋体" w:cs="宋体"/>
                <w:color w:val="auto"/>
                <w:sz w:val="24"/>
                <w:szCs w:val="24"/>
              </w:rPr>
              <w:t>项加</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分。提供相关资质材料。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01" w:type="dxa"/>
            <w:noWrap w:val="0"/>
            <w:vAlign w:val="center"/>
          </w:tcPr>
          <w:p>
            <w:pPr>
              <w:spacing w:line="24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方案与报告编制</w:t>
            </w:r>
          </w:p>
        </w:tc>
        <w:tc>
          <w:tcPr>
            <w:tcW w:w="708" w:type="dxa"/>
            <w:noWrap w:val="0"/>
            <w:vAlign w:val="center"/>
          </w:tcPr>
          <w:p>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分</w:t>
            </w:r>
          </w:p>
        </w:tc>
        <w:tc>
          <w:tcPr>
            <w:tcW w:w="7371" w:type="dxa"/>
            <w:noWrap w:val="0"/>
            <w:vAlign w:val="center"/>
          </w:tcPr>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提供20</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年度以来，</w:t>
            </w:r>
            <w:r>
              <w:rPr>
                <w:rFonts w:hint="eastAsia" w:ascii="宋体" w:hAnsi="宋体" w:eastAsia="宋体" w:cs="宋体"/>
                <w:color w:val="auto"/>
                <w:sz w:val="24"/>
                <w:szCs w:val="24"/>
                <w:lang w:eastAsia="zh-CN"/>
              </w:rPr>
              <w:t>投标供应商</w:t>
            </w:r>
            <w:r>
              <w:rPr>
                <w:rFonts w:hint="eastAsia" w:ascii="宋体" w:hAnsi="宋体" w:eastAsia="宋体" w:cs="宋体"/>
                <w:color w:val="auto"/>
                <w:sz w:val="24"/>
                <w:szCs w:val="24"/>
              </w:rPr>
              <w:t>认为最能代表业务水平的工作方案和监测成果报告（包括现场监测原始记录、分析原始记录以及成果报告等相关的资料）各1份，工作方案和监测报告可为不同委托事项。</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1、工作方案评审（</w:t>
            </w: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rPr>
              <w:t>分）：由评委根据工作方案的编制质量进行综合评定，结合方案的复杂程度（</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分），方案的完整性（</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分），方案的可操作性（</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分），要素覆盖的全面性（</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分），报价合理合规（</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分）五个方面进行打分。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2、监测报告评审（15分）：由评委根据报告书的编制质量进行综合评定，结合报告的难易程度（</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分），报告完整性（3分），报告的规范性（3分），报告引用标准和结论评价的准确性（</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分），原始记录及附件支撑材料的完整性（</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分）五个方面进行打分。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101" w:type="dxa"/>
            <w:noWrap w:val="0"/>
            <w:vAlign w:val="center"/>
          </w:tcPr>
          <w:p>
            <w:pPr>
              <w:snapToGrid w:val="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服务响应与质量控制</w:t>
            </w:r>
          </w:p>
        </w:tc>
        <w:tc>
          <w:tcPr>
            <w:tcW w:w="708" w:type="dxa"/>
            <w:noWrap w:val="0"/>
            <w:vAlign w:val="center"/>
          </w:tcPr>
          <w:p>
            <w:pPr>
              <w:spacing w:line="24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13</w:t>
            </w:r>
            <w:r>
              <w:rPr>
                <w:rFonts w:hint="eastAsia" w:asciiTheme="minorEastAsia" w:hAnsiTheme="minorEastAsia" w:eastAsiaTheme="minorEastAsia" w:cstheme="minorEastAsia"/>
                <w:sz w:val="24"/>
                <w:szCs w:val="24"/>
              </w:rPr>
              <w:t>分</w:t>
            </w:r>
          </w:p>
        </w:tc>
        <w:tc>
          <w:tcPr>
            <w:tcW w:w="7371" w:type="dxa"/>
            <w:noWrap w:val="0"/>
            <w:vAlign w:val="center"/>
          </w:tcPr>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1、能保证做出的服务优先级（</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服务响应承诺：投标人需对以下事项作出承诺或声明，由评委根据据承诺或声明的内容独立综合评定。</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（1）保证检测工作真实有效，不弄虚作假。</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（2）保证检测工作符合相关技术规范、标准，发现瑕疵妥善处理。</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（3）保证服务响应快速，提供服务内容满足时限要求。</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（4）接受</w:t>
            </w:r>
            <w:r>
              <w:rPr>
                <w:rFonts w:hint="eastAsia" w:ascii="宋体" w:hAnsi="宋体" w:eastAsia="宋体" w:cs="宋体"/>
                <w:color w:val="auto"/>
                <w:sz w:val="24"/>
                <w:szCs w:val="24"/>
                <w:lang w:val="en-US" w:eastAsia="zh-CN"/>
              </w:rPr>
              <w:t>业主</w:t>
            </w:r>
            <w:r>
              <w:rPr>
                <w:rFonts w:hint="eastAsia" w:ascii="宋体" w:hAnsi="宋体" w:eastAsia="宋体" w:cs="宋体"/>
                <w:color w:val="auto"/>
                <w:sz w:val="24"/>
                <w:szCs w:val="24"/>
              </w:rPr>
              <w:t>的质量监督、检查，就服务内容及时提交报告、原始记录、合同等相关材料。</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rPr>
              <w:t>（5）鉴于监测的特殊性，做好与</w:t>
            </w:r>
            <w:r>
              <w:rPr>
                <w:rFonts w:hint="eastAsia" w:ascii="宋体" w:hAnsi="宋体" w:eastAsia="宋体" w:cs="宋体"/>
                <w:color w:val="auto"/>
                <w:sz w:val="24"/>
                <w:szCs w:val="24"/>
                <w:lang w:val="en-US" w:eastAsia="zh-CN"/>
              </w:rPr>
              <w:t>业主</w:t>
            </w:r>
            <w:r>
              <w:rPr>
                <w:rFonts w:hint="eastAsia" w:ascii="宋体" w:hAnsi="宋体" w:eastAsia="宋体" w:cs="宋体"/>
                <w:color w:val="auto"/>
                <w:sz w:val="24"/>
                <w:szCs w:val="24"/>
              </w:rPr>
              <w:t>部门协调、配合工作。</w:t>
            </w:r>
          </w:p>
          <w:p>
            <w:pPr>
              <w:snapToGrid w:val="0"/>
              <w:spacing w:line="360" w:lineRule="auto"/>
              <w:ind w:firstLine="56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、质控体系（</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分）：须提供实验室质量控制相关材料，如内控体系文件，质量控制负责人资质，实验室质控措施等，评委根据体系完整程度打分，质控体系完善内部管理规范</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分；较规范</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分；一般</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w:t>
            </w:r>
          </w:p>
          <w:p>
            <w:pPr>
              <w:snapToGrid w:val="0"/>
              <w:spacing w:line="360" w:lineRule="auto"/>
              <w:ind w:firstLine="560"/>
              <w:rPr>
                <w:rFonts w:hint="eastAsia" w:asciiTheme="minorEastAsia" w:hAnsiTheme="minorEastAsia" w:eastAsiaTheme="minorEastAsia" w:cstheme="minorEastAsia"/>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、比对情况（6分）：2019年以来参加省级及以上单位组织的能力验证及实验室比对，有5项得</w:t>
            </w:r>
            <w:r>
              <w:rPr>
                <w:rFonts w:hint="eastAsia" w:ascii="宋体" w:hAnsi="宋体" w:eastAsia="宋体" w:cs="宋体"/>
                <w:color w:val="auto"/>
                <w:sz w:val="24"/>
                <w:szCs w:val="24"/>
                <w:lang w:eastAsia="zh-CN"/>
              </w:rPr>
              <w:t>基本分</w:t>
            </w:r>
            <w:r>
              <w:rPr>
                <w:rFonts w:hint="eastAsia" w:ascii="宋体" w:hAnsi="宋体" w:eastAsia="宋体" w:cs="宋体"/>
                <w:color w:val="auto"/>
                <w:sz w:val="24"/>
                <w:szCs w:val="24"/>
              </w:rPr>
              <w:t xml:space="preserve">1分，每增加1项加0.5分，最高6分。提供有关汇总表及相应的结果报告。  </w:t>
            </w:r>
          </w:p>
        </w:tc>
      </w:tr>
    </w:tbl>
    <w:p>
      <w:pPr>
        <w:snapToGrid w:val="0"/>
        <w:spacing w:line="440" w:lineRule="exact"/>
        <w:ind w:firstLine="480" w:firstLineChars="200"/>
        <w:outlineLvl w:val="1"/>
        <w:rPr>
          <w:rFonts w:ascii="宋体"/>
          <w:b/>
          <w:bCs/>
          <w:sz w:val="24"/>
          <w:szCs w:val="24"/>
        </w:rPr>
      </w:pPr>
      <w:r>
        <w:rPr>
          <w:rFonts w:hint="eastAsia" w:ascii="宋体" w:hAnsi="宋体" w:cs="宋体"/>
          <w:sz w:val="24"/>
          <w:szCs w:val="24"/>
        </w:rPr>
        <w:t>注：以上打分项设得分上限，评委依据磋商文件载明的方法评分，评分四舍五入精确到小数点后两位。</w:t>
      </w:r>
    </w:p>
    <w:p>
      <w:pPr>
        <w:adjustRightInd w:val="0"/>
        <w:snapToGrid w:val="0"/>
        <w:spacing w:line="440" w:lineRule="exact"/>
        <w:ind w:firstLine="482" w:firstLineChars="200"/>
        <w:rPr>
          <w:rFonts w:ascii="宋体"/>
          <w:b/>
          <w:bCs/>
          <w:sz w:val="24"/>
          <w:szCs w:val="24"/>
        </w:rPr>
      </w:pPr>
      <w:r>
        <w:rPr>
          <w:rFonts w:hint="eastAsia" w:ascii="宋体" w:hAnsi="宋体" w:cs="宋体"/>
          <w:b/>
          <w:bCs/>
          <w:sz w:val="24"/>
          <w:szCs w:val="24"/>
          <w:u w:val="thick" w:color="FF0000"/>
        </w:rPr>
        <w:t>特别提醒：技术标评分中所涉及相关资料等证明材料均须提供原件的复印件加盖公章，并将原件带至开标现场备查，未携带原件或因携带原件不全所引起的后果由投标人自行承担</w:t>
      </w:r>
      <w:r>
        <w:rPr>
          <w:rFonts w:hint="eastAsia" w:ascii="宋体" w:hAnsi="宋体" w:cs="宋体"/>
          <w:b/>
          <w:bCs/>
          <w:sz w:val="24"/>
          <w:szCs w:val="24"/>
        </w:rPr>
        <w:t>。</w:t>
      </w:r>
    </w:p>
    <w:p>
      <w:pPr>
        <w:snapToGrid w:val="0"/>
        <w:spacing w:line="360" w:lineRule="auto"/>
        <w:ind w:firstLine="480" w:firstLineChars="200"/>
        <w:rPr>
          <w:rFonts w:ascii="宋体"/>
          <w:sz w:val="24"/>
          <w:szCs w:val="24"/>
        </w:rPr>
      </w:pPr>
      <w:r>
        <w:rPr>
          <w:rFonts w:hint="eastAsia" w:ascii="宋体" w:hAnsi="宋体" w:cs="宋体"/>
          <w:sz w:val="24"/>
          <w:szCs w:val="24"/>
        </w:rPr>
        <w:t>（二）商务报价响应评分：（</w:t>
      </w:r>
      <w:r>
        <w:rPr>
          <w:rFonts w:hint="eastAsia" w:ascii="宋体" w:hAnsi="宋体" w:cs="宋体"/>
          <w:sz w:val="24"/>
          <w:szCs w:val="24"/>
          <w:lang w:val="en-US" w:eastAsia="zh-CN"/>
        </w:rPr>
        <w:t>30</w:t>
      </w:r>
      <w:r>
        <w:rPr>
          <w:rFonts w:hint="eastAsia" w:ascii="宋体" w:hAnsi="宋体" w:cs="宋体"/>
          <w:sz w:val="24"/>
          <w:szCs w:val="24"/>
        </w:rPr>
        <w:t>分）</w:t>
      </w:r>
    </w:p>
    <w:p>
      <w:pPr>
        <w:snapToGrid w:val="0"/>
        <w:spacing w:line="360" w:lineRule="auto"/>
        <w:ind w:firstLine="482" w:firstLineChars="200"/>
        <w:textAlignment w:val="baseline"/>
        <w:rPr>
          <w:rFonts w:ascii="宋体" w:hAnsi="宋体" w:cs="宋体"/>
          <w:b/>
          <w:color w:val="auto"/>
          <w:sz w:val="24"/>
          <w:szCs w:val="24"/>
        </w:rPr>
      </w:pPr>
      <w:r>
        <w:rPr>
          <w:rFonts w:hint="eastAsia" w:ascii="宋体" w:hAnsi="宋体" w:cs="宋体"/>
          <w:b/>
          <w:sz w:val="24"/>
          <w:szCs w:val="24"/>
        </w:rPr>
        <w:t>1、本次项目最高限价为</w:t>
      </w:r>
      <w:r>
        <w:rPr>
          <w:rFonts w:hint="eastAsia" w:ascii="宋体" w:hAnsi="宋体" w:cs="宋体"/>
          <w:b/>
          <w:sz w:val="24"/>
          <w:szCs w:val="24"/>
          <w:highlight w:val="none"/>
        </w:rPr>
        <w:t>人</w:t>
      </w:r>
      <w:r>
        <w:rPr>
          <w:rFonts w:hint="eastAsia" w:ascii="宋体" w:hAnsi="宋体" w:cs="宋体"/>
          <w:b/>
          <w:color w:val="auto"/>
          <w:sz w:val="24"/>
          <w:szCs w:val="24"/>
          <w:highlight w:val="none"/>
        </w:rPr>
        <w:t>民币</w:t>
      </w:r>
      <w:r>
        <w:rPr>
          <w:rFonts w:hint="eastAsia" w:ascii="宋体" w:hAnsi="宋体" w:cs="宋体"/>
          <w:b/>
          <w:color w:val="auto"/>
          <w:sz w:val="24"/>
          <w:szCs w:val="24"/>
          <w:highlight w:val="none"/>
          <w:lang w:val="en-US" w:eastAsia="zh-CN"/>
        </w:rPr>
        <w:t>65000.00</w:t>
      </w:r>
      <w:r>
        <w:rPr>
          <w:rFonts w:hint="eastAsia" w:ascii="宋体" w:hAnsi="宋体" w:cs="宋体"/>
          <w:b/>
          <w:color w:val="auto"/>
          <w:sz w:val="24"/>
          <w:szCs w:val="24"/>
          <w:highlight w:val="none"/>
        </w:rPr>
        <w:t>元/年</w:t>
      </w:r>
      <w:r>
        <w:rPr>
          <w:rFonts w:hint="eastAsia" w:ascii="宋体" w:hAnsi="宋体" w:cs="宋体"/>
          <w:b/>
          <w:color w:val="auto"/>
          <w:sz w:val="24"/>
          <w:szCs w:val="24"/>
        </w:rPr>
        <w:t>，报价不得超过限价，否则做无效投标处理。</w:t>
      </w:r>
    </w:p>
    <w:p>
      <w:pPr>
        <w:snapToGrid w:val="0"/>
        <w:spacing w:line="360" w:lineRule="auto"/>
        <w:ind w:firstLine="480" w:firstLineChars="200"/>
        <w:textAlignment w:val="baseline"/>
        <w:rPr>
          <w:rFonts w:ascii="宋体" w:hAnsi="宋体" w:cs="宋体"/>
          <w:sz w:val="24"/>
          <w:szCs w:val="24"/>
        </w:rPr>
      </w:pPr>
      <w:r>
        <w:rPr>
          <w:rFonts w:ascii="宋体" w:hAnsi="宋体" w:cs="宋体"/>
          <w:sz w:val="24"/>
          <w:szCs w:val="24"/>
        </w:rPr>
        <w:t>2</w:t>
      </w:r>
      <w:r>
        <w:rPr>
          <w:rFonts w:hint="eastAsia" w:ascii="宋体" w:hAnsi="宋体" w:cs="宋体"/>
          <w:sz w:val="24"/>
          <w:szCs w:val="24"/>
        </w:rPr>
        <w:t>、满足磋商文件要求且最后报价最低的供应商的价格为磋商基准价，其商务报价</w:t>
      </w:r>
      <w:r>
        <w:rPr>
          <w:rFonts w:hint="eastAsia" w:ascii="宋体" w:hAnsi="宋体" w:cs="宋体"/>
          <w:kern w:val="0"/>
          <w:sz w:val="24"/>
          <w:szCs w:val="24"/>
        </w:rPr>
        <w:t>响应</w:t>
      </w:r>
      <w:r>
        <w:rPr>
          <w:rFonts w:hint="eastAsia" w:ascii="宋体" w:hAnsi="宋体" w:cs="宋体"/>
          <w:sz w:val="24"/>
          <w:szCs w:val="24"/>
        </w:rPr>
        <w:t>分为满分30分。其他供应商的商务报价</w:t>
      </w:r>
      <w:r>
        <w:rPr>
          <w:rFonts w:hint="eastAsia" w:ascii="宋体" w:hAnsi="宋体" w:cs="宋体"/>
          <w:kern w:val="0"/>
          <w:sz w:val="24"/>
          <w:szCs w:val="24"/>
        </w:rPr>
        <w:t>响应</w:t>
      </w:r>
      <w:r>
        <w:rPr>
          <w:rFonts w:hint="eastAsia" w:ascii="宋体" w:hAnsi="宋体" w:cs="宋体"/>
          <w:sz w:val="24"/>
          <w:szCs w:val="24"/>
        </w:rPr>
        <w:t>分统一按照下列公式计算：</w:t>
      </w:r>
    </w:p>
    <w:p>
      <w:pPr>
        <w:snapToGrid w:val="0"/>
        <w:spacing w:line="360" w:lineRule="auto"/>
        <w:ind w:firstLine="482" w:firstLineChars="200"/>
        <w:rPr>
          <w:rFonts w:ascii="宋体"/>
          <w:sz w:val="24"/>
          <w:szCs w:val="24"/>
        </w:rPr>
      </w:pPr>
      <w:r>
        <w:rPr>
          <w:rFonts w:hint="eastAsia" w:ascii="宋体" w:hAnsi="宋体" w:cs="宋体"/>
          <w:b/>
          <w:sz w:val="24"/>
          <w:szCs w:val="24"/>
        </w:rPr>
        <w:t>商务报价</w:t>
      </w:r>
      <w:r>
        <w:rPr>
          <w:rFonts w:hint="eastAsia" w:ascii="宋体" w:hAnsi="宋体" w:cs="宋体"/>
          <w:b/>
          <w:kern w:val="0"/>
          <w:sz w:val="24"/>
          <w:szCs w:val="24"/>
        </w:rPr>
        <w:t>响应</w:t>
      </w:r>
      <w:r>
        <w:rPr>
          <w:rFonts w:hint="eastAsia" w:ascii="宋体" w:hAnsi="宋体" w:cs="宋体"/>
          <w:b/>
          <w:sz w:val="24"/>
          <w:szCs w:val="24"/>
        </w:rPr>
        <w:t>分 =（磋商基准价/最后磋商报价）×</w:t>
      </w:r>
      <w:r>
        <w:rPr>
          <w:rFonts w:hint="eastAsia" w:ascii="宋体" w:hAnsi="宋体" w:cs="宋体"/>
          <w:b/>
          <w:sz w:val="24"/>
          <w:szCs w:val="24"/>
          <w:lang w:val="en-US" w:eastAsia="zh-CN"/>
        </w:rPr>
        <w:t>30</w:t>
      </w:r>
      <w:r>
        <w:rPr>
          <w:rFonts w:hint="eastAsia" w:ascii="宋体" w:hAnsi="宋体" w:cs="宋体"/>
          <w:b/>
          <w:sz w:val="24"/>
          <w:szCs w:val="24"/>
        </w:rPr>
        <w:t>%×100</w:t>
      </w:r>
    </w:p>
    <w:bookmarkEnd w:id="52"/>
    <w:bookmarkEnd w:id="53"/>
    <w:bookmarkEnd w:id="54"/>
    <w:bookmarkEnd w:id="55"/>
    <w:bookmarkEnd w:id="56"/>
    <w:bookmarkEnd w:id="57"/>
    <w:bookmarkEnd w:id="58"/>
    <w:bookmarkEnd w:id="59"/>
    <w:p>
      <w:pPr>
        <w:snapToGrid w:val="0"/>
        <w:spacing w:line="360" w:lineRule="auto"/>
        <w:ind w:firstLine="487" w:firstLineChars="202"/>
        <w:rPr>
          <w:rFonts w:hint="eastAsia" w:ascii="宋体" w:hAnsi="宋体" w:cs="宋体"/>
          <w:b/>
          <w:bCs/>
          <w:color w:val="auto"/>
          <w:sz w:val="24"/>
          <w:szCs w:val="24"/>
        </w:rPr>
      </w:pPr>
      <w:bookmarkStart w:id="61" w:name="_Hlk67169510"/>
      <w:bookmarkStart w:id="62" w:name="_Toc363573858"/>
      <w:bookmarkStart w:id="63" w:name="_Toc94585343"/>
      <w:r>
        <w:rPr>
          <w:rFonts w:hint="eastAsia" w:ascii="宋体" w:hAnsi="宋体" w:cs="宋体"/>
          <w:b/>
          <w:bCs/>
          <w:color w:val="auto"/>
          <w:sz w:val="24"/>
          <w:szCs w:val="24"/>
        </w:rPr>
        <w:t>4、关于落实政府采购政策的中小微企业价格评审</w:t>
      </w:r>
      <w:bookmarkEnd w:id="61"/>
    </w:p>
    <w:p>
      <w:pPr>
        <w:snapToGrid w:val="0"/>
        <w:spacing w:line="360" w:lineRule="auto"/>
        <w:ind w:firstLine="484" w:firstLineChars="202"/>
        <w:rPr>
          <w:rFonts w:hint="eastAsia" w:ascii="宋体" w:hAnsi="宋体" w:cs="宋体"/>
          <w:color w:val="auto"/>
          <w:sz w:val="24"/>
          <w:szCs w:val="24"/>
        </w:rPr>
      </w:pPr>
      <w:bookmarkStart w:id="64" w:name="_Hlk67609383"/>
      <w:r>
        <w:rPr>
          <w:rFonts w:hint="eastAsia" w:ascii="宋体" w:hAnsi="宋体" w:cs="宋体"/>
          <w:color w:val="auto"/>
          <w:sz w:val="24"/>
          <w:szCs w:val="24"/>
        </w:rPr>
        <w:t>（1）根据《政府采购促进中小企业发展管理办法》（财库﹝2020﹞46 号）的第四条，</w:t>
      </w:r>
      <w:r>
        <w:rPr>
          <w:rFonts w:hint="eastAsia" w:ascii="宋体" w:hAnsi="宋体" w:cs="宋体"/>
          <w:b/>
          <w:bCs/>
          <w:color w:val="auto"/>
          <w:sz w:val="24"/>
          <w:szCs w:val="24"/>
        </w:rPr>
        <w:t>本次采购的项目，其响应供应商提供的</w:t>
      </w:r>
      <w:r>
        <w:rPr>
          <w:rFonts w:hint="eastAsia" w:ascii="宋体" w:hAnsi="宋体" w:cs="宋体"/>
          <w:b/>
          <w:bCs/>
          <w:color w:val="auto"/>
          <w:sz w:val="24"/>
          <w:szCs w:val="24"/>
          <w:u w:val="thick" w:color="FF0000"/>
        </w:rPr>
        <w:t xml:space="preserve"> 服务 </w:t>
      </w:r>
      <w:r>
        <w:rPr>
          <w:rFonts w:hint="eastAsia" w:ascii="宋体" w:hAnsi="宋体" w:cs="宋体"/>
          <w:b/>
          <w:bCs/>
          <w:color w:val="auto"/>
          <w:sz w:val="24"/>
          <w:szCs w:val="24"/>
        </w:rPr>
        <w:t>符合：工信部联企业〔2011〕300号《关于印发中小企业划型标准规定的通知》中的</w:t>
      </w:r>
      <w:bookmarkStart w:id="65" w:name="_Hlk62787617"/>
      <w:r>
        <w:rPr>
          <w:rFonts w:hint="eastAsia" w:ascii="宋体" w:hAnsi="宋体" w:cs="宋体"/>
          <w:b/>
          <w:bCs/>
          <w:color w:val="auto"/>
          <w:sz w:val="24"/>
          <w:szCs w:val="24"/>
        </w:rPr>
        <w:t>中小企业</w:t>
      </w:r>
      <w:bookmarkStart w:id="66" w:name="_Hlk67153790"/>
      <w:r>
        <w:rPr>
          <w:rFonts w:hint="eastAsia" w:ascii="宋体" w:hAnsi="宋体" w:cs="宋体"/>
          <w:b/>
          <w:bCs/>
          <w:color w:val="auto"/>
          <w:sz w:val="24"/>
          <w:szCs w:val="24"/>
        </w:rPr>
        <w:t>“</w:t>
      </w:r>
      <w:r>
        <w:rPr>
          <w:rFonts w:hint="eastAsia" w:ascii="宋体" w:hAnsi="宋体" w:cs="宋体"/>
          <w:b/>
          <w:bCs/>
          <w:color w:val="auto"/>
          <w:sz w:val="24"/>
          <w:szCs w:val="24"/>
          <w:u w:val="thick" w:color="FF0000"/>
        </w:rPr>
        <w:t>其他未列明行业</w:t>
      </w:r>
      <w:r>
        <w:rPr>
          <w:rFonts w:hint="eastAsia" w:ascii="宋体" w:hAnsi="宋体" w:cs="宋体"/>
          <w:b/>
          <w:bCs/>
          <w:color w:val="auto"/>
          <w:sz w:val="24"/>
          <w:szCs w:val="24"/>
        </w:rPr>
        <w:t>”类</w:t>
      </w:r>
      <w:bookmarkEnd w:id="66"/>
      <w:r>
        <w:rPr>
          <w:rFonts w:hint="eastAsia" w:ascii="宋体" w:hAnsi="宋体" w:cs="宋体"/>
          <w:b/>
          <w:bCs/>
          <w:color w:val="auto"/>
          <w:sz w:val="24"/>
          <w:szCs w:val="24"/>
        </w:rPr>
        <w:t>的划型标准规定</w:t>
      </w:r>
      <w:bookmarkEnd w:id="65"/>
      <w:r>
        <w:rPr>
          <w:rFonts w:hint="eastAsia" w:ascii="宋体" w:hAnsi="宋体" w:cs="宋体"/>
          <w:b/>
          <w:bCs/>
          <w:color w:val="auto"/>
          <w:sz w:val="24"/>
          <w:szCs w:val="24"/>
        </w:rPr>
        <w:t>的，将享受中小企业扶持政策。</w:t>
      </w:r>
    </w:p>
    <w:p>
      <w:pPr>
        <w:snapToGrid w:val="0"/>
        <w:spacing w:line="360" w:lineRule="auto"/>
        <w:ind w:firstLine="487" w:firstLineChars="202"/>
        <w:rPr>
          <w:rFonts w:hint="eastAsia" w:ascii="宋体" w:hAnsi="宋体" w:cs="宋体"/>
          <w:color w:val="auto"/>
          <w:sz w:val="24"/>
          <w:szCs w:val="24"/>
        </w:rPr>
      </w:pPr>
      <w:r>
        <w:rPr>
          <w:rFonts w:hint="eastAsia" w:ascii="宋体" w:hAnsi="宋体" w:cs="宋体"/>
          <w:b/>
          <w:bCs/>
          <w:color w:val="auto"/>
          <w:sz w:val="24"/>
          <w:szCs w:val="24"/>
        </w:rPr>
        <w:t>“</w:t>
      </w:r>
      <w:r>
        <w:rPr>
          <w:rFonts w:hint="eastAsia" w:ascii="宋体" w:hAnsi="宋体" w:cs="宋体"/>
          <w:b/>
          <w:bCs/>
          <w:color w:val="auto"/>
          <w:sz w:val="24"/>
          <w:szCs w:val="24"/>
          <w:u w:val="thick" w:color="FF0000"/>
        </w:rPr>
        <w:t>其他未列明行业</w:t>
      </w:r>
      <w:r>
        <w:rPr>
          <w:rFonts w:hint="eastAsia" w:ascii="宋体" w:hAnsi="宋体" w:cs="宋体"/>
          <w:b/>
          <w:bCs/>
          <w:color w:val="auto"/>
          <w:sz w:val="24"/>
          <w:szCs w:val="24"/>
        </w:rPr>
        <w:t>”类中小企业划型标准</w:t>
      </w:r>
      <w:r>
        <w:rPr>
          <w:rFonts w:hint="eastAsia" w:ascii="宋体" w:hAnsi="宋体" w:cs="宋体"/>
          <w:color w:val="auto"/>
          <w:sz w:val="24"/>
          <w:szCs w:val="24"/>
        </w:rPr>
        <w:t>：</w:t>
      </w:r>
      <w:r>
        <w:rPr>
          <w:rFonts w:hint="eastAsia" w:ascii="宋体" w:hAnsi="宋体" w:cs="宋体"/>
          <w:color w:val="auto"/>
          <w:sz w:val="24"/>
          <w:szCs w:val="24"/>
          <w:u w:val="single"/>
        </w:rPr>
        <w:t>从业人员300人以下的为中小微型企业。其中，从业人员100人及以上的为中型企业；从业人员10人及以上的为小型企业；从业人员10人以下的为微型企业。</w:t>
      </w:r>
    </w:p>
    <w:p>
      <w:pPr>
        <w:snapToGrid w:val="0"/>
        <w:spacing w:line="360" w:lineRule="auto"/>
        <w:ind w:firstLine="484" w:firstLineChars="202"/>
        <w:rPr>
          <w:rFonts w:hint="eastAsia" w:ascii="宋体" w:hAnsi="宋体" w:cs="宋体"/>
          <w:color w:val="auto"/>
          <w:sz w:val="24"/>
          <w:szCs w:val="24"/>
        </w:rPr>
      </w:pPr>
      <w:r>
        <w:rPr>
          <w:rFonts w:hint="eastAsia" w:ascii="宋体" w:hAnsi="宋体" w:cs="宋体"/>
          <w:color w:val="auto"/>
          <w:sz w:val="24"/>
          <w:szCs w:val="24"/>
        </w:rPr>
        <w:t>（2）</w:t>
      </w:r>
      <w:bookmarkStart w:id="67" w:name="_Hlk67155978"/>
      <w:r>
        <w:rPr>
          <w:rFonts w:hint="eastAsia" w:ascii="宋体" w:hAnsi="宋体" w:cs="宋体"/>
          <w:color w:val="auto"/>
          <w:sz w:val="24"/>
          <w:szCs w:val="24"/>
        </w:rPr>
        <w:t>根据</w:t>
      </w:r>
      <w:bookmarkStart w:id="68" w:name="_Hlk67155505"/>
      <w:r>
        <w:rPr>
          <w:rFonts w:hint="eastAsia" w:ascii="宋体" w:hAnsi="宋体" w:cs="宋体"/>
          <w:color w:val="auto"/>
          <w:sz w:val="24"/>
          <w:szCs w:val="24"/>
        </w:rPr>
        <w:t>《政府采购促进中小企业发展管理办法》（财库﹝2020﹞46 号）</w:t>
      </w:r>
      <w:bookmarkEnd w:id="68"/>
      <w:r>
        <w:rPr>
          <w:rFonts w:hint="eastAsia" w:ascii="宋体" w:hAnsi="宋体" w:cs="宋体"/>
          <w:color w:val="auto"/>
          <w:sz w:val="24"/>
          <w:szCs w:val="24"/>
        </w:rPr>
        <w:t>的第九条规定</w:t>
      </w:r>
      <w:bookmarkEnd w:id="67"/>
      <w:r>
        <w:rPr>
          <w:rFonts w:hint="eastAsia" w:ascii="宋体" w:hAnsi="宋体" w:cs="宋体"/>
          <w:color w:val="auto"/>
          <w:sz w:val="24"/>
          <w:szCs w:val="24"/>
        </w:rPr>
        <w:t>，</w:t>
      </w:r>
      <w:bookmarkStart w:id="69" w:name="_Hlk67154819"/>
      <w:r>
        <w:rPr>
          <w:rFonts w:hint="eastAsia" w:ascii="宋体" w:hAnsi="宋体" w:cs="宋体"/>
          <w:b/>
          <w:bCs/>
          <w:color w:val="auto"/>
          <w:sz w:val="24"/>
          <w:szCs w:val="24"/>
          <w:u w:val="thick" w:color="FF0000"/>
        </w:rPr>
        <w:t>磋商供应商响应的服务是由</w:t>
      </w:r>
      <w:bookmarkStart w:id="70" w:name="_Hlk62900373"/>
      <w:r>
        <w:rPr>
          <w:rFonts w:hint="eastAsia" w:ascii="宋体" w:hAnsi="宋体" w:cs="宋体"/>
          <w:b/>
          <w:bCs/>
          <w:color w:val="auto"/>
          <w:sz w:val="24"/>
          <w:szCs w:val="24"/>
          <w:u w:val="thick" w:color="FF0000"/>
        </w:rPr>
        <w:t>小型、微型企业</w:t>
      </w:r>
      <w:bookmarkEnd w:id="69"/>
      <w:bookmarkEnd w:id="70"/>
      <w:r>
        <w:rPr>
          <w:rFonts w:hint="eastAsia" w:ascii="宋体" w:hAnsi="宋体" w:cs="宋体"/>
          <w:b/>
          <w:bCs/>
          <w:color w:val="auto"/>
          <w:sz w:val="24"/>
          <w:szCs w:val="24"/>
          <w:u w:val="thick" w:color="FF0000"/>
        </w:rPr>
        <w:t>提供</w:t>
      </w:r>
      <w:r>
        <w:rPr>
          <w:rFonts w:hint="eastAsia" w:ascii="宋体" w:hAnsi="宋体" w:cs="宋体"/>
          <w:color w:val="auto"/>
          <w:sz w:val="24"/>
          <w:szCs w:val="24"/>
        </w:rPr>
        <w:t>，该磋商供应商的报价将给予评审价格调整，具体方法如下：</w:t>
      </w:r>
    </w:p>
    <w:p>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① 按照转发《财政部 工业和信息化部关于印发〈政府采购促进中小企业发展管理办法〉的通知》(通财购[2021]18号）文件要求，对符合要求的供应商报价给予10%的扣除，用扣除后的价格参与评审，如果成交，则以其最终磋商报价作为成交价。</w:t>
      </w:r>
    </w:p>
    <w:p>
      <w:pPr>
        <w:snapToGrid w:val="0"/>
        <w:spacing w:line="360" w:lineRule="auto"/>
        <w:ind w:firstLine="480" w:firstLineChars="200"/>
        <w:rPr>
          <w:rFonts w:hint="eastAsia" w:ascii="宋体" w:hAnsi="宋体" w:cs="宋体"/>
          <w:color w:val="auto"/>
          <w:sz w:val="24"/>
          <w:szCs w:val="24"/>
        </w:rPr>
      </w:pPr>
      <w:bookmarkStart w:id="71" w:name="_Hlk67486828"/>
      <w:r>
        <w:rPr>
          <w:rFonts w:hint="eastAsia" w:ascii="宋体" w:hAnsi="宋体" w:cs="宋体"/>
          <w:color w:val="auto"/>
          <w:sz w:val="24"/>
          <w:szCs w:val="24"/>
        </w:rPr>
        <w:t xml:space="preserve">② </w:t>
      </w:r>
      <w:bookmarkStart w:id="72" w:name="_Hlk62901453"/>
      <w:bookmarkStart w:id="73" w:name="_Hlk62788551"/>
      <w:r>
        <w:rPr>
          <w:rFonts w:hint="eastAsia" w:ascii="宋体" w:hAnsi="宋体" w:cs="宋体"/>
          <w:color w:val="auto"/>
          <w:sz w:val="24"/>
          <w:szCs w:val="24"/>
        </w:rPr>
        <w:t>参加本次政府采购活动，符合要求的磋商供应商须严格按《政府采购促进中小企业发展管理办法》（财库﹝2020﹞46 号）的文件要求，出具填报“</w:t>
      </w:r>
      <w:bookmarkStart w:id="74" w:name="_Hlk67171734"/>
      <w:r>
        <w:rPr>
          <w:rFonts w:hint="eastAsia" w:ascii="宋体" w:hAnsi="宋体" w:cs="宋体"/>
          <w:color w:val="auto"/>
          <w:sz w:val="24"/>
          <w:szCs w:val="24"/>
        </w:rPr>
        <w:t>中小企业声明函</w:t>
      </w:r>
      <w:bookmarkEnd w:id="74"/>
      <w:r>
        <w:rPr>
          <w:rFonts w:hint="eastAsia" w:ascii="宋体" w:hAnsi="宋体" w:cs="宋体"/>
          <w:color w:val="auto"/>
          <w:sz w:val="24"/>
          <w:szCs w:val="24"/>
        </w:rPr>
        <w:t>”</w:t>
      </w:r>
      <w:r>
        <w:rPr>
          <w:rFonts w:hint="eastAsia" w:ascii="宋体" w:hAnsi="宋体" w:cs="宋体"/>
          <w:b/>
          <w:bCs/>
          <w:color w:val="auto"/>
          <w:sz w:val="24"/>
          <w:szCs w:val="24"/>
        </w:rPr>
        <w:t>（格式见第八章）</w:t>
      </w:r>
      <w:r>
        <w:rPr>
          <w:rFonts w:hint="eastAsia" w:ascii="宋体" w:hAnsi="宋体" w:cs="宋体"/>
          <w:color w:val="auto"/>
          <w:sz w:val="24"/>
          <w:szCs w:val="24"/>
        </w:rPr>
        <w:t>；</w:t>
      </w:r>
      <w:bookmarkEnd w:id="72"/>
    </w:p>
    <w:bookmarkEnd w:id="73"/>
    <w:p>
      <w:pPr>
        <w:snapToGrid w:val="0"/>
        <w:spacing w:line="360" w:lineRule="auto"/>
        <w:ind w:firstLine="560"/>
        <w:rPr>
          <w:rFonts w:hint="eastAsia" w:ascii="宋体" w:hAnsi="宋体" w:cs="宋体"/>
          <w:color w:val="auto"/>
          <w:sz w:val="24"/>
          <w:szCs w:val="24"/>
        </w:rPr>
      </w:pPr>
      <w:r>
        <w:rPr>
          <w:rFonts w:hint="eastAsia" w:ascii="宋体" w:hAnsi="宋体" w:cs="宋体"/>
          <w:color w:val="auto"/>
          <w:sz w:val="24"/>
          <w:szCs w:val="24"/>
        </w:rPr>
        <w:t>③ 本项目享受中小企业扶持政策的磋商供应商一旦成交，因提供“中小企业声明函”的行为引发争议和影响本项目采购执行效率，应当按本项目采购人或采购代理机构的通知，在2个工作日内提供服务供应商注册登记所在地的县级以上人民政府中小企业主管部门认定是小型、微型企业的证明原件，用以核对，逾期未提供的则视作提供的 “中小企业声明函”内容不实。</w:t>
      </w:r>
    </w:p>
    <w:p>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④ 若磋商供应商</w:t>
      </w:r>
      <w:bookmarkStart w:id="75" w:name="_Hlk67172184"/>
      <w:r>
        <w:rPr>
          <w:rFonts w:hint="eastAsia" w:ascii="宋体" w:hAnsi="宋体" w:cs="宋体"/>
          <w:color w:val="auto"/>
          <w:sz w:val="24"/>
          <w:szCs w:val="24"/>
        </w:rPr>
        <w:t>提供的 “中小企业声明函”内容不实</w:t>
      </w:r>
      <w:bookmarkEnd w:id="75"/>
      <w:r>
        <w:rPr>
          <w:rFonts w:hint="eastAsia" w:ascii="宋体" w:hAnsi="宋体" w:cs="宋体"/>
          <w:color w:val="auto"/>
          <w:sz w:val="24"/>
          <w:szCs w:val="24"/>
        </w:rPr>
        <w:t>的，属于提供虚假材料谋取成交；磋商供应商的该行为将报请政府采购监管的财政部门参照《中华人民共和国政府采购法》第七十七条的规定处理并给予行政处罚。</w:t>
      </w:r>
    </w:p>
    <w:bookmarkEnd w:id="71"/>
    <w:p>
      <w:pPr>
        <w:snapToGrid w:val="0"/>
        <w:spacing w:line="360" w:lineRule="auto"/>
        <w:ind w:firstLine="480" w:firstLineChars="200"/>
        <w:rPr>
          <w:rFonts w:ascii="宋体"/>
          <w:color w:val="auto"/>
          <w:sz w:val="24"/>
          <w:szCs w:val="24"/>
        </w:rPr>
      </w:pPr>
      <w:r>
        <w:rPr>
          <w:rFonts w:hint="eastAsia" w:ascii="宋体" w:hAnsi="宋体" w:cs="宋体"/>
          <w:color w:val="auto"/>
          <w:sz w:val="24"/>
          <w:szCs w:val="24"/>
        </w:rPr>
        <w:t>（3）</w:t>
      </w:r>
      <w:bookmarkStart w:id="76" w:name="_Hlk67486961"/>
      <w:r>
        <w:rPr>
          <w:rFonts w:hint="eastAsia" w:ascii="宋体" w:hAnsi="宋体" w:cs="宋体"/>
          <w:b/>
          <w:bCs/>
          <w:color w:val="auto"/>
          <w:sz w:val="24"/>
          <w:szCs w:val="24"/>
          <w:u w:val="thick" w:color="FF0000"/>
        </w:rPr>
        <w:t>不符合上述要求的磋商供应商，无须提供“中小企业声明函”</w:t>
      </w:r>
      <w:r>
        <w:rPr>
          <w:rFonts w:hint="eastAsia" w:ascii="宋体" w:hAnsi="宋体" w:cs="宋体"/>
          <w:color w:val="auto"/>
          <w:sz w:val="24"/>
          <w:szCs w:val="24"/>
        </w:rPr>
        <w:t>。</w:t>
      </w:r>
      <w:bookmarkEnd w:id="64"/>
      <w:bookmarkEnd w:id="76"/>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六、出现下列情形之一的，作无效响应处理</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、响应文件未按磋商文件要求装订、密封、签署、盖章及主要资料不齐全的；</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、响应文件的资料有虚报或者谎报的；</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、响应文件中资格审查文件及技术响应文件出现磋商报价的内容；</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、不具备磋商文件规定的资格要求的；</w:t>
      </w:r>
    </w:p>
    <w:p>
      <w:pPr>
        <w:snapToGrid w:val="0"/>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、响应文件有重大漏项或重大不合理的；</w:t>
      </w:r>
    </w:p>
    <w:p>
      <w:pPr>
        <w:snapToGrid w:val="0"/>
        <w:spacing w:line="360" w:lineRule="auto"/>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、项目技术、方案不满足项目需求中的要求，有重大偏离或保留的；</w:t>
      </w:r>
    </w:p>
    <w:p>
      <w:pPr>
        <w:snapToGrid w:val="0"/>
        <w:spacing w:line="360" w:lineRule="auto"/>
        <w:ind w:firstLine="480" w:firstLineChars="200"/>
        <w:rPr>
          <w:rFonts w:ascii="宋体"/>
          <w:sz w:val="24"/>
          <w:szCs w:val="24"/>
        </w:rPr>
      </w:pPr>
      <w:r>
        <w:rPr>
          <w:rFonts w:ascii="宋体" w:hAnsi="宋体" w:cs="宋体"/>
          <w:sz w:val="24"/>
          <w:szCs w:val="24"/>
        </w:rPr>
        <w:t>7</w:t>
      </w:r>
      <w:r>
        <w:rPr>
          <w:rFonts w:hint="eastAsia" w:ascii="宋体" w:hAnsi="宋体" w:cs="宋体"/>
          <w:sz w:val="24"/>
          <w:szCs w:val="24"/>
        </w:rPr>
        <w:t>、磋商响应报价超出项目预算的；</w:t>
      </w:r>
    </w:p>
    <w:p>
      <w:pPr>
        <w:snapToGrid w:val="0"/>
        <w:spacing w:line="360" w:lineRule="auto"/>
        <w:ind w:firstLine="480" w:firstLineChars="200"/>
        <w:rPr>
          <w:rFonts w:ascii="宋体"/>
          <w:sz w:val="24"/>
          <w:szCs w:val="24"/>
        </w:rPr>
      </w:pPr>
      <w:r>
        <w:rPr>
          <w:rFonts w:ascii="宋体" w:hAnsi="宋体" w:cs="宋体"/>
          <w:sz w:val="24"/>
          <w:szCs w:val="24"/>
        </w:rPr>
        <w:t>8</w:t>
      </w:r>
      <w:r>
        <w:rPr>
          <w:rFonts w:hint="eastAsia" w:ascii="宋体" w:hAnsi="宋体" w:cs="宋体"/>
          <w:sz w:val="24"/>
          <w:szCs w:val="24"/>
        </w:rPr>
        <w:t>、被认定为低于成本报价磋商竞标的；</w:t>
      </w:r>
    </w:p>
    <w:p>
      <w:pPr>
        <w:snapToGrid w:val="0"/>
        <w:spacing w:line="360" w:lineRule="auto"/>
        <w:ind w:firstLine="480" w:firstLineChars="200"/>
        <w:rPr>
          <w:rFonts w:ascii="宋体"/>
          <w:sz w:val="24"/>
          <w:szCs w:val="24"/>
        </w:rPr>
      </w:pPr>
      <w:r>
        <w:rPr>
          <w:rFonts w:ascii="宋体" w:hAnsi="宋体" w:cs="宋体"/>
          <w:sz w:val="24"/>
          <w:szCs w:val="24"/>
        </w:rPr>
        <w:t>9</w:t>
      </w:r>
      <w:r>
        <w:rPr>
          <w:rFonts w:hint="eastAsia" w:ascii="宋体" w:hAnsi="宋体" w:cs="宋体"/>
          <w:sz w:val="24"/>
          <w:szCs w:val="24"/>
        </w:rPr>
        <w:t>、供应商的磋商报价高于自己前一轮的；</w:t>
      </w:r>
    </w:p>
    <w:p>
      <w:pPr>
        <w:snapToGrid w:val="0"/>
        <w:spacing w:line="360" w:lineRule="auto"/>
        <w:ind w:firstLine="480" w:firstLineChars="200"/>
        <w:rPr>
          <w:rFonts w:ascii="宋体"/>
          <w:dstrike/>
          <w:sz w:val="24"/>
          <w:szCs w:val="24"/>
        </w:rPr>
      </w:pPr>
      <w:r>
        <w:rPr>
          <w:rFonts w:ascii="宋体" w:hAnsi="宋体" w:cs="宋体"/>
          <w:sz w:val="24"/>
          <w:szCs w:val="24"/>
        </w:rPr>
        <w:t>10</w:t>
      </w:r>
      <w:r>
        <w:rPr>
          <w:rFonts w:hint="eastAsia" w:ascii="宋体" w:hAnsi="宋体" w:cs="宋体"/>
          <w:sz w:val="24"/>
          <w:szCs w:val="24"/>
        </w:rPr>
        <w:t>、不符合法律、法规和磋商文件中规定的其他实质性响应要求的；</w:t>
      </w:r>
    </w:p>
    <w:p>
      <w:pPr>
        <w:snapToGrid w:val="0"/>
        <w:spacing w:line="360" w:lineRule="auto"/>
        <w:ind w:firstLine="480" w:firstLineChars="200"/>
        <w:rPr>
          <w:rFonts w:ascii="宋体"/>
          <w:sz w:val="24"/>
          <w:szCs w:val="24"/>
        </w:rPr>
      </w:pPr>
      <w:r>
        <w:rPr>
          <w:rFonts w:ascii="宋体" w:hAnsi="宋体" w:cs="宋体"/>
          <w:sz w:val="24"/>
          <w:szCs w:val="24"/>
        </w:rPr>
        <w:t>11</w:t>
      </w:r>
      <w:r>
        <w:rPr>
          <w:rFonts w:hint="eastAsia" w:ascii="宋体" w:hAnsi="宋体" w:cs="宋体"/>
          <w:sz w:val="24"/>
          <w:szCs w:val="24"/>
        </w:rPr>
        <w:t>、磋商小组依据法律法规可以认定为无效投标的其他情况。</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七、出现下列情形之一的，作废标处理</w:t>
      </w:r>
    </w:p>
    <w:p>
      <w:pPr>
        <w:snapToGrid w:val="0"/>
        <w:spacing w:line="360" w:lineRule="auto"/>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、供应商的报价均超出了采购预算，采购单位不能支付的；</w:t>
      </w:r>
    </w:p>
    <w:p>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、因情况变化，不再符合规定的竞争性磋商采购方式所适用情形的；</w:t>
      </w:r>
    </w:p>
    <w:p>
      <w:pPr>
        <w:snapToGrid w:val="0"/>
        <w:spacing w:line="360" w:lineRule="auto"/>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、出现影响采购公正的违法、违规行为的；</w:t>
      </w:r>
    </w:p>
    <w:p>
      <w:pPr>
        <w:snapToGrid w:val="0"/>
        <w:spacing w:line="360" w:lineRule="auto"/>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、因重大变故，采购任务取消的；</w:t>
      </w:r>
      <w:r>
        <w:rPr>
          <w:rFonts w:ascii="宋体"/>
          <w:sz w:val="24"/>
          <w:szCs w:val="24"/>
        </w:rPr>
        <w:tab/>
      </w:r>
    </w:p>
    <w:p>
      <w:pPr>
        <w:snapToGrid w:val="0"/>
        <w:spacing w:line="360" w:lineRule="auto"/>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、磋商小组依据法律法规可以认定为废标的其他情况。</w:t>
      </w:r>
    </w:p>
    <w:p>
      <w:pPr>
        <w:snapToGrid w:val="0"/>
        <w:spacing w:line="360" w:lineRule="auto"/>
        <w:ind w:firstLine="482" w:firstLineChars="200"/>
        <w:outlineLvl w:val="1"/>
        <w:rPr>
          <w:rFonts w:ascii="宋体"/>
          <w:b/>
          <w:bCs/>
          <w:sz w:val="24"/>
          <w:szCs w:val="24"/>
        </w:rPr>
      </w:pPr>
      <w:r>
        <w:rPr>
          <w:rFonts w:hint="eastAsia" w:ascii="宋体" w:hAnsi="宋体" w:cs="宋体"/>
          <w:b/>
          <w:bCs/>
          <w:sz w:val="24"/>
          <w:szCs w:val="24"/>
        </w:rPr>
        <w:t>八、成交通知</w:t>
      </w:r>
    </w:p>
    <w:p>
      <w:pPr>
        <w:snapToGrid w:val="0"/>
        <w:spacing w:line="360" w:lineRule="auto"/>
        <w:ind w:firstLine="480" w:firstLineChars="200"/>
        <w:rPr>
          <w:rFonts w:hint="eastAsia" w:cs="宋体"/>
          <w:kern w:val="0"/>
          <w:sz w:val="24"/>
          <w:szCs w:val="24"/>
        </w:rPr>
      </w:pPr>
      <w:r>
        <w:rPr>
          <w:rFonts w:hint="eastAsia" w:cs="宋体"/>
          <w:kern w:val="0"/>
          <w:sz w:val="24"/>
          <w:szCs w:val="24"/>
        </w:rPr>
        <w:t>成交结果在</w:t>
      </w:r>
      <w:r>
        <w:rPr>
          <w:rFonts w:hint="eastAsia" w:ascii="宋体" w:hAnsi="宋体" w:cs="宋体"/>
          <w:sz w:val="24"/>
          <w:szCs w:val="24"/>
        </w:rPr>
        <w:t>南通市卫生健康委员会官网（http://wjw.nantong.gov.cn）和南通市妇幼保健院官网（http://www.ntfybj.com）公示</w:t>
      </w:r>
      <w:r>
        <w:rPr>
          <w:rFonts w:hint="eastAsia"/>
          <w:b/>
          <w:bCs/>
          <w:kern w:val="0"/>
          <w:sz w:val="24"/>
          <w:szCs w:val="24"/>
          <w:u w:val="single"/>
        </w:rPr>
        <w:t>1</w:t>
      </w:r>
      <w:r>
        <w:rPr>
          <w:rFonts w:hint="eastAsia" w:cs="宋体"/>
          <w:kern w:val="0"/>
          <w:sz w:val="24"/>
          <w:szCs w:val="24"/>
        </w:rPr>
        <w:t>个工作日。《成交通知书》一经发出，采购单位改变成交结果，或者供应商放弃成交的，各自承担相应的法律责任。《成交通知书》是采购合同的组成部分。</w:t>
      </w:r>
    </w:p>
    <w:p>
      <w:pPr>
        <w:snapToGrid w:val="0"/>
        <w:spacing w:line="480" w:lineRule="exact"/>
        <w:ind w:firstLine="477" w:firstLineChars="198"/>
        <w:rPr>
          <w:rFonts w:hint="eastAsia" w:ascii="宋体" w:hAnsi="宋体"/>
          <w:b/>
          <w:sz w:val="24"/>
        </w:rPr>
      </w:pPr>
      <w:r>
        <w:rPr>
          <w:rFonts w:hint="eastAsia" w:ascii="宋体" w:hAnsi="宋体"/>
          <w:b/>
          <w:sz w:val="24"/>
          <w:lang w:val="en-US" w:eastAsia="zh-CN"/>
        </w:rPr>
        <w:t>九</w:t>
      </w:r>
      <w:r>
        <w:rPr>
          <w:rFonts w:hint="eastAsia" w:ascii="宋体" w:hAnsi="宋体"/>
          <w:b/>
          <w:sz w:val="24"/>
        </w:rPr>
        <w:t>、其他注意事项</w:t>
      </w:r>
    </w:p>
    <w:p>
      <w:pPr>
        <w:snapToGrid w:val="0"/>
        <w:spacing w:line="480" w:lineRule="exact"/>
        <w:ind w:firstLine="570"/>
        <w:rPr>
          <w:sz w:val="24"/>
        </w:rPr>
      </w:pPr>
      <w:r>
        <w:rPr>
          <w:sz w:val="24"/>
        </w:rPr>
        <w:t>1、在</w:t>
      </w:r>
      <w:r>
        <w:rPr>
          <w:rFonts w:hint="eastAsia"/>
          <w:sz w:val="24"/>
          <w:lang w:val="en-US" w:eastAsia="zh-CN"/>
        </w:rPr>
        <w:t>磋商响应</w:t>
      </w:r>
      <w:r>
        <w:rPr>
          <w:rFonts w:hint="eastAsia" w:ascii="宋体" w:hAnsi="宋体" w:eastAsia="宋体" w:cs="宋体"/>
          <w:sz w:val="24"/>
          <w:lang w:val="en-US" w:eastAsia="zh-CN"/>
        </w:rPr>
        <w:t>﹑</w:t>
      </w:r>
      <w:r>
        <w:rPr>
          <w:sz w:val="24"/>
        </w:rPr>
        <w:t>开标时间，</w:t>
      </w:r>
      <w:r>
        <w:rPr>
          <w:rFonts w:hint="eastAsia"/>
          <w:sz w:val="24"/>
          <w:lang w:val="en-US" w:eastAsia="zh-CN"/>
        </w:rPr>
        <w:t>供应商</w:t>
      </w:r>
      <w:r>
        <w:rPr>
          <w:sz w:val="24"/>
        </w:rPr>
        <w:t>不得向评委询问情况，不得进行旨在影响评标结果的活动。</w:t>
      </w:r>
    </w:p>
    <w:p>
      <w:pPr>
        <w:snapToGrid w:val="0"/>
        <w:spacing w:line="480" w:lineRule="exact"/>
        <w:ind w:firstLine="570"/>
        <w:rPr>
          <w:sz w:val="24"/>
        </w:rPr>
      </w:pPr>
      <w:r>
        <w:rPr>
          <w:sz w:val="24"/>
        </w:rPr>
        <w:t>2、评委会不得向</w:t>
      </w:r>
      <w:r>
        <w:rPr>
          <w:rFonts w:hint="eastAsia"/>
          <w:sz w:val="24"/>
          <w:lang w:val="en-US" w:eastAsia="zh-CN"/>
        </w:rPr>
        <w:t>供应商</w:t>
      </w:r>
      <w:r>
        <w:rPr>
          <w:sz w:val="24"/>
        </w:rPr>
        <w:t>解释落标原因。</w:t>
      </w:r>
    </w:p>
    <w:p>
      <w:pPr>
        <w:snapToGrid w:val="0"/>
        <w:spacing w:line="480" w:lineRule="exact"/>
        <w:ind w:firstLine="570"/>
        <w:rPr>
          <w:sz w:val="24"/>
        </w:rPr>
      </w:pPr>
      <w:r>
        <w:rPr>
          <w:sz w:val="24"/>
        </w:rPr>
        <w:t>3、在</w:t>
      </w:r>
      <w:r>
        <w:rPr>
          <w:rFonts w:hint="eastAsia"/>
          <w:sz w:val="24"/>
          <w:lang w:val="en-US" w:eastAsia="zh-CN"/>
        </w:rPr>
        <w:t>磋商响应</w:t>
      </w:r>
      <w:r>
        <w:rPr>
          <w:rFonts w:hint="eastAsia" w:ascii="宋体" w:hAnsi="宋体" w:eastAsia="宋体" w:cs="宋体"/>
          <w:sz w:val="24"/>
          <w:lang w:val="en-US" w:eastAsia="zh-CN"/>
        </w:rPr>
        <w:t>﹑</w:t>
      </w:r>
      <w:r>
        <w:rPr>
          <w:sz w:val="24"/>
        </w:rPr>
        <w:t>评标过程中，如果</w:t>
      </w:r>
      <w:r>
        <w:rPr>
          <w:rFonts w:hint="eastAsia"/>
          <w:sz w:val="24"/>
          <w:lang w:val="en-US" w:eastAsia="zh-CN"/>
        </w:rPr>
        <w:t>供应商</w:t>
      </w:r>
      <w:r>
        <w:rPr>
          <w:sz w:val="24"/>
        </w:rPr>
        <w:t>联合故意抬高报价或出现其他不正当行为，采购人有权中止</w:t>
      </w:r>
      <w:r>
        <w:rPr>
          <w:rFonts w:hint="eastAsia"/>
          <w:sz w:val="24"/>
          <w:lang w:val="en-US" w:eastAsia="zh-CN"/>
        </w:rPr>
        <w:t>磋商响应</w:t>
      </w:r>
      <w:r>
        <w:rPr>
          <w:sz w:val="24"/>
        </w:rPr>
        <w:t>或评标。</w:t>
      </w:r>
    </w:p>
    <w:p>
      <w:pPr>
        <w:snapToGrid w:val="0"/>
        <w:spacing w:line="480" w:lineRule="exact"/>
        <w:ind w:firstLine="570"/>
        <w:rPr>
          <w:sz w:val="24"/>
        </w:rPr>
      </w:pPr>
      <w:r>
        <w:rPr>
          <w:sz w:val="24"/>
        </w:rPr>
        <w:t>4、凡在投</w:t>
      </w:r>
      <w:r>
        <w:rPr>
          <w:rFonts w:hint="eastAsia"/>
          <w:sz w:val="24"/>
          <w:lang w:val="en-US" w:eastAsia="zh-CN"/>
        </w:rPr>
        <w:t>磋商响应</w:t>
      </w:r>
      <w:r>
        <w:rPr>
          <w:sz w:val="24"/>
        </w:rPr>
        <w:t>、开标过程中，已提示是否异议的事项，</w:t>
      </w:r>
      <w:r>
        <w:rPr>
          <w:rFonts w:hint="eastAsia"/>
          <w:sz w:val="24"/>
          <w:lang w:val="en-US" w:eastAsia="zh-CN"/>
        </w:rPr>
        <w:t>供应商</w:t>
      </w:r>
      <w:r>
        <w:rPr>
          <w:sz w:val="24"/>
        </w:rPr>
        <w:t>当时没有提出异议的，事后不得针对上述事项提出质疑。</w:t>
      </w:r>
    </w:p>
    <w:p>
      <w:pPr>
        <w:snapToGrid w:val="0"/>
        <w:spacing w:line="480" w:lineRule="exact"/>
        <w:ind w:firstLine="482" w:firstLineChars="200"/>
        <w:rPr>
          <w:b/>
          <w:sz w:val="24"/>
        </w:rPr>
      </w:pPr>
      <w:r>
        <w:rPr>
          <w:rFonts w:hint="eastAsia"/>
          <w:b/>
          <w:sz w:val="24"/>
          <w:lang w:val="en-US" w:eastAsia="zh-CN"/>
        </w:rPr>
        <w:t>十</w:t>
      </w:r>
      <w:r>
        <w:rPr>
          <w:b/>
          <w:sz w:val="24"/>
        </w:rPr>
        <w:t>、变更为其他方式采购的情形</w:t>
      </w:r>
    </w:p>
    <w:p>
      <w:pPr>
        <w:autoSpaceDE w:val="0"/>
        <w:autoSpaceDN w:val="0"/>
        <w:adjustRightInd w:val="0"/>
        <w:snapToGrid w:val="0"/>
        <w:spacing w:line="480" w:lineRule="exact"/>
        <w:ind w:firstLine="480" w:firstLineChars="200"/>
        <w:rPr>
          <w:sz w:val="24"/>
          <w:lang w:val="zh-CN"/>
        </w:rPr>
      </w:pPr>
      <w:r>
        <w:rPr>
          <w:sz w:val="24"/>
        </w:rPr>
        <w:t>提交响应文件截止时间时参加磋商的供应商不足3家的，及磋商中出现符合专业条件的供应商或对磋商文件作实质响应的供应商不足3家（规定可以2家的情形除外），除采购任务取消外，磋商人报告市财政局，视情采取其他方式采购。</w:t>
      </w:r>
      <w:r>
        <w:rPr>
          <w:sz w:val="24"/>
          <w:lang w:val="zh-CN"/>
        </w:rPr>
        <w:t>磋商文件中对供应商资质、技术等要求，将作为</w:t>
      </w:r>
      <w:r>
        <w:rPr>
          <w:sz w:val="24"/>
        </w:rPr>
        <w:t>其他</w:t>
      </w:r>
      <w:r>
        <w:rPr>
          <w:sz w:val="24"/>
          <w:lang w:val="zh-CN"/>
        </w:rPr>
        <w:t>方式采购的基本要求和依据。原已经参加磋商并符合要求的供应商，根据自愿原则，参加</w:t>
      </w:r>
      <w:r>
        <w:rPr>
          <w:sz w:val="24"/>
        </w:rPr>
        <w:t>其他</w:t>
      </w:r>
      <w:r>
        <w:rPr>
          <w:sz w:val="24"/>
          <w:lang w:val="zh-CN"/>
        </w:rPr>
        <w:t>方式采购。</w:t>
      </w:r>
    </w:p>
    <w:p>
      <w:pPr>
        <w:pStyle w:val="115"/>
        <w:snapToGrid w:val="0"/>
        <w:spacing w:line="480" w:lineRule="exact"/>
        <w:ind w:firstLine="496"/>
        <w:contextualSpacing/>
        <w:rPr>
          <w:rFonts w:ascii="Times New Roman" w:hAnsi="Times New Roman" w:eastAsia="宋体"/>
          <w:sz w:val="24"/>
          <w:szCs w:val="24"/>
        </w:rPr>
      </w:pPr>
      <w:r>
        <w:rPr>
          <w:rFonts w:hint="eastAsia" w:ascii="Times New Roman" w:hAnsi="Times New Roman" w:eastAsia="宋体"/>
          <w:b/>
          <w:sz w:val="24"/>
          <w:szCs w:val="24"/>
          <w:lang w:val="en-US" w:eastAsia="zh-CN"/>
        </w:rPr>
        <w:t>十一</w:t>
      </w:r>
      <w:r>
        <w:rPr>
          <w:rFonts w:ascii="Times New Roman" w:hAnsi="Times New Roman" w:eastAsia="宋体"/>
          <w:b/>
          <w:sz w:val="24"/>
          <w:szCs w:val="24"/>
        </w:rPr>
        <w:t>、出现下列情形之一的，竞争性磋商采购活动终止，发布项目终止公告并说明原因，重新开展采购活动：</w:t>
      </w:r>
    </w:p>
    <w:p>
      <w:pPr>
        <w:pStyle w:val="115"/>
        <w:snapToGrid w:val="0"/>
        <w:spacing w:line="480" w:lineRule="exact"/>
        <w:ind w:firstLine="494"/>
        <w:contextualSpacing/>
        <w:rPr>
          <w:rFonts w:ascii="Times New Roman" w:hAnsi="Times New Roman" w:eastAsia="宋体"/>
          <w:sz w:val="24"/>
          <w:szCs w:val="24"/>
        </w:rPr>
      </w:pPr>
      <w:r>
        <w:rPr>
          <w:rFonts w:ascii="Times New Roman" w:hAnsi="Times New Roman" w:eastAsia="宋体"/>
          <w:sz w:val="24"/>
          <w:szCs w:val="24"/>
        </w:rPr>
        <w:t>（一）因情况变化，不再符合规定的竞争性磋商采购方式适用情形的；</w:t>
      </w:r>
    </w:p>
    <w:p>
      <w:pPr>
        <w:pStyle w:val="115"/>
        <w:snapToGrid w:val="0"/>
        <w:spacing w:line="480" w:lineRule="exact"/>
        <w:ind w:firstLine="494"/>
        <w:contextualSpacing/>
        <w:rPr>
          <w:rFonts w:ascii="Times New Roman" w:hAnsi="Times New Roman" w:eastAsia="宋体"/>
          <w:sz w:val="24"/>
          <w:szCs w:val="24"/>
        </w:rPr>
      </w:pPr>
      <w:r>
        <w:rPr>
          <w:rFonts w:ascii="Times New Roman" w:hAnsi="Times New Roman" w:eastAsia="宋体"/>
          <w:sz w:val="24"/>
          <w:szCs w:val="24"/>
        </w:rPr>
        <w:t>（二）出现影响采购公正的违法、违规行为的；</w:t>
      </w:r>
    </w:p>
    <w:p>
      <w:pPr>
        <w:pStyle w:val="115"/>
        <w:snapToGrid w:val="0"/>
        <w:spacing w:line="480" w:lineRule="exact"/>
        <w:ind w:firstLine="480" w:firstLineChars="200"/>
        <w:contextualSpacing/>
        <w:rPr>
          <w:rFonts w:ascii="Times New Roman" w:hAnsi="Times New Roman" w:eastAsia="宋体"/>
          <w:sz w:val="24"/>
          <w:szCs w:val="24"/>
        </w:rPr>
      </w:pPr>
      <w:r>
        <w:rPr>
          <w:rFonts w:ascii="Times New Roman" w:hAnsi="Times New Roman" w:eastAsia="宋体"/>
          <w:sz w:val="24"/>
          <w:szCs w:val="24"/>
        </w:rPr>
        <w:t>（三）在采购过程中符合要求的供应商或者报价未超过采购预算的供应商不足3家的（市场竞争不充分的科研项目，以及需要扶持的科技成果转化项目除外）。</w:t>
      </w:r>
    </w:p>
    <w:p>
      <w:pPr>
        <w:pStyle w:val="2"/>
      </w:pPr>
    </w:p>
    <w:p>
      <w:pPr>
        <w:pStyle w:val="6"/>
        <w:keepNext w:val="0"/>
        <w:keepLines w:val="0"/>
        <w:numPr>
          <w:ilvl w:val="0"/>
          <w:numId w:val="0"/>
        </w:numPr>
        <w:snapToGrid w:val="0"/>
        <w:spacing w:before="0" w:after="0" w:line="360" w:lineRule="auto"/>
        <w:jc w:val="center"/>
        <w:rPr>
          <w:rFonts w:ascii="宋体" w:hAnsi="宋体"/>
          <w:sz w:val="24"/>
          <w:szCs w:val="24"/>
        </w:rPr>
      </w:pPr>
      <w:r>
        <w:rPr>
          <w:rFonts w:ascii="宋体"/>
          <w:w w:val="80"/>
        </w:rPr>
        <w:br w:type="page"/>
      </w:r>
      <w:bookmarkEnd w:id="62"/>
      <w:bookmarkEnd w:id="63"/>
      <w:r>
        <w:rPr>
          <w:rFonts w:hint="eastAsia" w:ascii="宋体" w:hAnsi="宋体" w:cs="宋体"/>
          <w:w w:val="80"/>
        </w:rPr>
        <w:t>第五章  合同主要条款</w:t>
      </w:r>
      <w:bookmarkStart w:id="77" w:name="_Toc20744258"/>
      <w:bookmarkStart w:id="78" w:name="_Toc39047827"/>
      <w:bookmarkStart w:id="79" w:name="_Toc20744795"/>
    </w:p>
    <w:bookmarkEnd w:id="77"/>
    <w:bookmarkEnd w:id="78"/>
    <w:bookmarkEnd w:id="79"/>
    <w:p>
      <w:pPr>
        <w:spacing w:line="360" w:lineRule="auto"/>
        <w:jc w:val="center"/>
        <w:outlineLvl w:val="0"/>
        <w:rPr>
          <w:rFonts w:hint="eastAsia" w:ascii="宋体" w:hAnsi="宋体" w:cs="宋体"/>
          <w:b/>
          <w:iCs/>
          <w:w w:val="80"/>
          <w:sz w:val="44"/>
          <w:szCs w:val="44"/>
          <w:highlight w:val="none"/>
        </w:rPr>
      </w:pPr>
      <w:bookmarkStart w:id="80" w:name="_Toc29250"/>
      <w:r>
        <w:rPr>
          <w:rFonts w:hint="eastAsia" w:ascii="宋体" w:hAnsi="宋体" w:cs="宋体"/>
          <w:b/>
          <w:iCs/>
          <w:w w:val="80"/>
          <w:sz w:val="44"/>
          <w:szCs w:val="44"/>
          <w:highlight w:val="none"/>
        </w:rPr>
        <w:t>合 同 书</w:t>
      </w:r>
      <w:bookmarkEnd w:id="80"/>
      <w:r>
        <w:rPr>
          <w:rFonts w:hint="eastAsia" w:ascii="宋体" w:hAnsi="宋体" w:cs="宋体"/>
          <w:b/>
          <w:iCs/>
          <w:w w:val="80"/>
          <w:sz w:val="44"/>
          <w:szCs w:val="44"/>
          <w:highlight w:val="none"/>
        </w:rPr>
        <w:t xml:space="preserve"> </w:t>
      </w:r>
    </w:p>
    <w:p>
      <w:pPr>
        <w:ind w:firstLine="643" w:firstLineChars="200"/>
        <w:rPr>
          <w:rFonts w:hint="eastAsia"/>
          <w:b/>
          <w:sz w:val="32"/>
          <w:szCs w:val="32"/>
          <w:highlight w:val="none"/>
        </w:rPr>
      </w:pPr>
      <w:r>
        <w:rPr>
          <w:rFonts w:hint="eastAsia"/>
          <w:b/>
          <w:sz w:val="32"/>
          <w:szCs w:val="32"/>
          <w:highlight w:val="none"/>
        </w:rPr>
        <w:t>甲方：</w:t>
      </w:r>
      <w:r>
        <w:rPr>
          <w:rFonts w:hint="eastAsia"/>
          <w:b/>
          <w:sz w:val="32"/>
          <w:szCs w:val="32"/>
          <w:highlight w:val="none"/>
          <w:u w:val="single"/>
        </w:rPr>
        <w:t xml:space="preserve">                   </w:t>
      </w:r>
      <w:r>
        <w:rPr>
          <w:rFonts w:hint="eastAsia"/>
          <w:b/>
          <w:sz w:val="32"/>
          <w:szCs w:val="32"/>
          <w:highlight w:val="none"/>
        </w:rPr>
        <w:t xml:space="preserve"> </w:t>
      </w:r>
    </w:p>
    <w:p>
      <w:pPr>
        <w:ind w:firstLine="643" w:firstLineChars="200"/>
        <w:rPr>
          <w:rFonts w:hint="eastAsia"/>
          <w:b/>
          <w:sz w:val="32"/>
          <w:szCs w:val="32"/>
          <w:highlight w:val="none"/>
        </w:rPr>
      </w:pPr>
      <w:r>
        <w:rPr>
          <w:rFonts w:hint="eastAsia"/>
          <w:b/>
          <w:sz w:val="32"/>
          <w:szCs w:val="32"/>
          <w:highlight w:val="none"/>
        </w:rPr>
        <w:t>乙方：</w:t>
      </w:r>
      <w:r>
        <w:rPr>
          <w:rFonts w:hint="eastAsia"/>
          <w:b/>
          <w:sz w:val="32"/>
          <w:szCs w:val="32"/>
          <w:highlight w:val="none"/>
          <w:u w:val="single"/>
        </w:rPr>
        <w:t xml:space="preserve">                   </w:t>
      </w:r>
      <w:r>
        <w:rPr>
          <w:rFonts w:hint="eastAsia"/>
          <w:b/>
          <w:sz w:val="32"/>
          <w:szCs w:val="32"/>
          <w:highlight w:val="none"/>
        </w:rPr>
        <w:t xml:space="preserve"> </w:t>
      </w:r>
    </w:p>
    <w:p>
      <w:pPr>
        <w:keepNext w:val="0"/>
        <w:keepLines w:val="0"/>
        <w:pageBreakBefore w:val="0"/>
        <w:widowControl w:val="0"/>
        <w:numPr>
          <w:ilvl w:val="0"/>
          <w:numId w:val="8"/>
        </w:numPr>
        <w:kinsoku/>
        <w:wordWrap/>
        <w:overflowPunct/>
        <w:topLinePunct w:val="0"/>
        <w:bidi w:val="0"/>
        <w:snapToGrid/>
        <w:spacing w:line="480" w:lineRule="auto"/>
        <w:ind w:firstLine="480" w:firstLineChars="200"/>
        <w:textAlignment w:val="auto"/>
        <w:rPr>
          <w:rFonts w:hint="eastAsia" w:ascii="宋体" w:hAnsi="宋体"/>
          <w:sz w:val="24"/>
          <w:szCs w:val="24"/>
          <w:highlight w:val="none"/>
        </w:rPr>
      </w:pPr>
      <w:r>
        <w:rPr>
          <w:rFonts w:hint="eastAsia" w:ascii="宋体" w:hAnsi="宋体"/>
          <w:sz w:val="24"/>
          <w:szCs w:val="24"/>
          <w:highlight w:val="none"/>
        </w:rPr>
        <w:t>乙双方本着平等自愿、诚实信用、协商一致的原则，根据《中华人民共和国合同法》及电力行业的有关规定，并结合本项目的具体情况，订立如下合同，以资共同遵守：</w:t>
      </w:r>
    </w:p>
    <w:p>
      <w:pPr>
        <w:keepNext w:val="0"/>
        <w:keepLines w:val="0"/>
        <w:pageBreakBefore w:val="0"/>
        <w:widowControl w:val="0"/>
        <w:numPr>
          <w:ilvl w:val="0"/>
          <w:numId w:val="9"/>
        </w:numPr>
        <w:kinsoku/>
        <w:wordWrap/>
        <w:overflowPunct/>
        <w:topLinePunct w:val="0"/>
        <w:bidi w:val="0"/>
        <w:snapToGrid/>
        <w:spacing w:line="480" w:lineRule="auto"/>
        <w:ind w:firstLine="480" w:firstLineChars="200"/>
        <w:textAlignment w:val="auto"/>
        <w:outlineLvl w:val="1"/>
        <w:rPr>
          <w:rFonts w:hint="eastAsia" w:ascii="宋体" w:hAnsi="宋体" w:cs="宋体"/>
          <w:b w:val="0"/>
          <w:bCs/>
          <w:sz w:val="24"/>
          <w:szCs w:val="24"/>
          <w:highlight w:val="none"/>
        </w:rPr>
      </w:pPr>
      <w:r>
        <w:rPr>
          <w:rFonts w:hint="eastAsia" w:ascii="宋体" w:hAnsi="宋体" w:cs="宋体"/>
          <w:b w:val="0"/>
          <w:bCs/>
          <w:sz w:val="24"/>
          <w:szCs w:val="24"/>
          <w:highlight w:val="none"/>
          <w:lang w:eastAsia="zh-CN"/>
        </w:rPr>
        <w:t>项目名称：南通市妇幼保健院污水、废气检测服务项目</w:t>
      </w:r>
      <w:r>
        <w:rPr>
          <w:rFonts w:hint="eastAsia" w:ascii="宋体" w:hAnsi="宋体" w:cs="宋体"/>
          <w:b w:val="0"/>
          <w:bCs/>
          <w:sz w:val="24"/>
          <w:szCs w:val="24"/>
          <w:highlight w:val="none"/>
        </w:rPr>
        <w:t xml:space="preserve"> </w:t>
      </w:r>
    </w:p>
    <w:p>
      <w:pPr>
        <w:keepNext w:val="0"/>
        <w:keepLines w:val="0"/>
        <w:pageBreakBefore w:val="0"/>
        <w:widowControl w:val="0"/>
        <w:kinsoku/>
        <w:wordWrap/>
        <w:overflowPunct/>
        <w:topLinePunct w:val="0"/>
        <w:bidi w:val="0"/>
        <w:snapToGrid/>
        <w:spacing w:line="480" w:lineRule="auto"/>
        <w:ind w:firstLine="480" w:firstLineChars="200"/>
        <w:textAlignment w:val="auto"/>
        <w:outlineLvl w:val="2"/>
        <w:rPr>
          <w:rFonts w:hint="eastAsia" w:ascii="宋体" w:hAnsi="宋体" w:cs="宋体"/>
          <w:b w:val="0"/>
          <w:bCs/>
          <w:kern w:val="0"/>
          <w:sz w:val="24"/>
          <w:szCs w:val="24"/>
          <w:highlight w:val="none"/>
        </w:rPr>
      </w:pPr>
      <w:r>
        <w:rPr>
          <w:rFonts w:hint="eastAsia" w:ascii="宋体" w:hAnsi="宋体" w:cs="宋体"/>
          <w:b w:val="0"/>
          <w:bCs/>
          <w:kern w:val="0"/>
          <w:sz w:val="24"/>
          <w:szCs w:val="24"/>
          <w:highlight w:val="none"/>
          <w:lang w:eastAsia="zh-CN"/>
        </w:rPr>
        <w:t>二</w:t>
      </w:r>
      <w:r>
        <w:rPr>
          <w:rFonts w:hint="eastAsia" w:ascii="宋体" w:hAnsi="宋体" w:cs="宋体"/>
          <w:b w:val="0"/>
          <w:bCs/>
          <w:kern w:val="0"/>
          <w:sz w:val="24"/>
          <w:szCs w:val="24"/>
          <w:highlight w:val="none"/>
        </w:rPr>
        <w:t>、</w:t>
      </w:r>
      <w:r>
        <w:rPr>
          <w:rFonts w:hint="eastAsia" w:ascii="宋体" w:hAnsi="宋体" w:cs="宋体"/>
          <w:b w:val="0"/>
          <w:bCs/>
          <w:kern w:val="0"/>
          <w:sz w:val="24"/>
          <w:szCs w:val="24"/>
          <w:highlight w:val="none"/>
          <w:lang w:eastAsia="zh-CN"/>
        </w:rPr>
        <w:t>服务</w:t>
      </w:r>
      <w:r>
        <w:rPr>
          <w:rFonts w:hint="eastAsia" w:ascii="宋体" w:hAnsi="宋体" w:cs="宋体"/>
          <w:b w:val="0"/>
          <w:bCs/>
          <w:kern w:val="0"/>
          <w:sz w:val="24"/>
          <w:szCs w:val="24"/>
          <w:highlight w:val="none"/>
        </w:rPr>
        <w:t>期限：本项目合同服务期暂定</w:t>
      </w:r>
      <w:r>
        <w:rPr>
          <w:rFonts w:hint="eastAsia" w:ascii="宋体" w:hAnsi="宋体" w:cs="宋体"/>
          <w:b w:val="0"/>
          <w:bCs/>
          <w:color w:val="auto"/>
          <w:kern w:val="0"/>
          <w:sz w:val="24"/>
          <w:szCs w:val="24"/>
          <w:highlight w:val="none"/>
        </w:rPr>
        <w:t>三年，</w:t>
      </w:r>
      <w:r>
        <w:rPr>
          <w:rFonts w:hint="eastAsia" w:ascii="宋体" w:hAnsi="宋体" w:cs="宋体"/>
          <w:b w:val="0"/>
          <w:bCs/>
          <w:color w:val="auto"/>
          <w:kern w:val="0"/>
          <w:sz w:val="24"/>
          <w:szCs w:val="24"/>
          <w:highlight w:val="none"/>
          <w:lang w:eastAsia="zh-CN"/>
        </w:rPr>
        <w:t>（</w:t>
      </w:r>
      <w:r>
        <w:rPr>
          <w:rFonts w:hint="eastAsia" w:ascii="宋体" w:hAnsi="宋体" w:cs="宋体"/>
          <w:b w:val="0"/>
          <w:bCs/>
          <w:color w:val="auto"/>
          <w:kern w:val="0"/>
          <w:sz w:val="24"/>
          <w:szCs w:val="24"/>
          <w:highlight w:val="none"/>
          <w:lang w:val="en-US" w:eastAsia="zh-CN"/>
        </w:rPr>
        <w:t>本合同自自2022年</w:t>
      </w:r>
      <w:r>
        <w:rPr>
          <w:rFonts w:hint="eastAsia" w:ascii="宋体" w:hAnsi="宋体" w:cs="宋体"/>
          <w:b w:val="0"/>
          <w:bCs/>
          <w:color w:val="auto"/>
          <w:kern w:val="0"/>
          <w:sz w:val="24"/>
          <w:szCs w:val="24"/>
          <w:highlight w:val="none"/>
          <w:u w:val="single"/>
          <w:lang w:val="en-US" w:eastAsia="zh-CN"/>
        </w:rPr>
        <w:t xml:space="preserve">   </w:t>
      </w:r>
      <w:r>
        <w:rPr>
          <w:rFonts w:hint="eastAsia" w:ascii="宋体" w:hAnsi="宋体" w:cs="宋体"/>
          <w:b w:val="0"/>
          <w:bCs/>
          <w:color w:val="auto"/>
          <w:kern w:val="0"/>
          <w:sz w:val="24"/>
          <w:szCs w:val="24"/>
          <w:highlight w:val="none"/>
          <w:lang w:val="en-US" w:eastAsia="zh-CN"/>
        </w:rPr>
        <w:t>月</w:t>
      </w:r>
      <w:r>
        <w:rPr>
          <w:rFonts w:hint="eastAsia" w:ascii="宋体" w:hAnsi="宋体" w:cs="宋体"/>
          <w:b w:val="0"/>
          <w:bCs/>
          <w:color w:val="auto"/>
          <w:kern w:val="0"/>
          <w:sz w:val="24"/>
          <w:szCs w:val="24"/>
          <w:highlight w:val="none"/>
          <w:u w:val="single"/>
          <w:lang w:val="en-US" w:eastAsia="zh-CN"/>
        </w:rPr>
        <w:t xml:space="preserve">   </w:t>
      </w:r>
      <w:r>
        <w:rPr>
          <w:rFonts w:hint="eastAsia" w:ascii="宋体" w:hAnsi="宋体" w:cs="宋体"/>
          <w:b w:val="0"/>
          <w:bCs/>
          <w:color w:val="auto"/>
          <w:kern w:val="0"/>
          <w:sz w:val="24"/>
          <w:szCs w:val="24"/>
          <w:highlight w:val="none"/>
          <w:lang w:val="en-US" w:eastAsia="zh-CN"/>
        </w:rPr>
        <w:t>日至2023年</w:t>
      </w:r>
      <w:r>
        <w:rPr>
          <w:rFonts w:hint="eastAsia" w:ascii="宋体" w:hAnsi="宋体" w:cs="宋体"/>
          <w:b w:val="0"/>
          <w:bCs/>
          <w:color w:val="auto"/>
          <w:kern w:val="0"/>
          <w:sz w:val="24"/>
          <w:szCs w:val="24"/>
          <w:highlight w:val="none"/>
          <w:u w:val="single"/>
          <w:lang w:val="en-US" w:eastAsia="zh-CN"/>
        </w:rPr>
        <w:t xml:space="preserve">   </w:t>
      </w:r>
      <w:r>
        <w:rPr>
          <w:rFonts w:hint="eastAsia" w:ascii="宋体" w:hAnsi="宋体" w:cs="宋体"/>
          <w:b w:val="0"/>
          <w:bCs/>
          <w:color w:val="auto"/>
          <w:kern w:val="0"/>
          <w:sz w:val="24"/>
          <w:szCs w:val="24"/>
          <w:highlight w:val="none"/>
          <w:lang w:val="en-US" w:eastAsia="zh-CN"/>
        </w:rPr>
        <w:t>月</w:t>
      </w:r>
      <w:r>
        <w:rPr>
          <w:rFonts w:hint="eastAsia" w:ascii="宋体" w:hAnsi="宋体" w:cs="宋体"/>
          <w:b w:val="0"/>
          <w:bCs/>
          <w:color w:val="auto"/>
          <w:kern w:val="0"/>
          <w:sz w:val="24"/>
          <w:szCs w:val="24"/>
          <w:highlight w:val="none"/>
          <w:u w:val="single"/>
          <w:lang w:val="en-US" w:eastAsia="zh-CN"/>
        </w:rPr>
        <w:t xml:space="preserve">    </w:t>
      </w:r>
      <w:r>
        <w:rPr>
          <w:rFonts w:hint="eastAsia" w:ascii="宋体" w:hAnsi="宋体" w:cs="宋体"/>
          <w:b w:val="0"/>
          <w:bCs/>
          <w:color w:val="auto"/>
          <w:kern w:val="0"/>
          <w:sz w:val="24"/>
          <w:szCs w:val="24"/>
          <w:highlight w:val="none"/>
          <w:lang w:val="en-US" w:eastAsia="zh-CN"/>
        </w:rPr>
        <w:t>日，本合同为第</w:t>
      </w:r>
      <w:r>
        <w:rPr>
          <w:rFonts w:hint="eastAsia" w:ascii="宋体" w:hAnsi="宋体" w:cs="宋体"/>
          <w:b w:val="0"/>
          <w:bCs/>
          <w:color w:val="auto"/>
          <w:kern w:val="0"/>
          <w:sz w:val="24"/>
          <w:szCs w:val="24"/>
          <w:highlight w:val="none"/>
          <w:u w:val="single"/>
          <w:lang w:val="en-US" w:eastAsia="zh-CN"/>
        </w:rPr>
        <w:t xml:space="preserve">     </w:t>
      </w:r>
      <w:r>
        <w:rPr>
          <w:rFonts w:hint="eastAsia" w:ascii="宋体" w:hAnsi="宋体" w:cs="宋体"/>
          <w:b w:val="0"/>
          <w:bCs/>
          <w:color w:val="auto"/>
          <w:kern w:val="0"/>
          <w:sz w:val="24"/>
          <w:szCs w:val="24"/>
          <w:highlight w:val="none"/>
          <w:lang w:val="en-US" w:eastAsia="zh-CN"/>
        </w:rPr>
        <w:t>年度。</w:t>
      </w:r>
      <w:r>
        <w:rPr>
          <w:rFonts w:hint="eastAsia" w:ascii="宋体" w:hAnsi="宋体" w:cs="宋体"/>
          <w:b w:val="0"/>
          <w:bCs/>
          <w:color w:val="auto"/>
          <w:kern w:val="0"/>
          <w:sz w:val="24"/>
          <w:szCs w:val="24"/>
          <w:highlight w:val="none"/>
          <w:lang w:eastAsia="zh-CN"/>
        </w:rPr>
        <w:t>）</w:t>
      </w:r>
      <w:r>
        <w:rPr>
          <w:rFonts w:hint="eastAsia" w:ascii="宋体" w:hAnsi="宋体" w:cs="宋体"/>
          <w:b w:val="0"/>
          <w:bCs/>
          <w:color w:val="auto"/>
          <w:kern w:val="0"/>
          <w:sz w:val="24"/>
          <w:szCs w:val="24"/>
          <w:highlight w:val="none"/>
        </w:rPr>
        <w:t>如</w:t>
      </w:r>
      <w:r>
        <w:rPr>
          <w:rFonts w:hint="eastAsia" w:ascii="宋体" w:hAnsi="宋体" w:cs="宋体"/>
          <w:b w:val="0"/>
          <w:bCs/>
          <w:color w:val="auto"/>
          <w:kern w:val="0"/>
          <w:sz w:val="24"/>
          <w:szCs w:val="24"/>
          <w:highlight w:val="none"/>
          <w:lang w:eastAsia="zh-CN"/>
        </w:rPr>
        <w:t>乙方</w:t>
      </w:r>
      <w:r>
        <w:rPr>
          <w:rFonts w:hint="eastAsia" w:ascii="宋体" w:hAnsi="宋体" w:cs="宋体"/>
          <w:b w:val="0"/>
          <w:bCs/>
          <w:color w:val="auto"/>
          <w:kern w:val="0"/>
          <w:sz w:val="24"/>
          <w:szCs w:val="24"/>
          <w:highlight w:val="none"/>
        </w:rPr>
        <w:t>在合同期内履约情况优秀（即年度综合考核得分≥90分），则在第一年合同期满时，且</w:t>
      </w:r>
      <w:r>
        <w:rPr>
          <w:rFonts w:hint="eastAsia" w:ascii="宋体" w:hAnsi="宋体" w:cs="宋体"/>
          <w:b w:val="0"/>
          <w:bCs/>
          <w:color w:val="auto"/>
          <w:kern w:val="0"/>
          <w:sz w:val="24"/>
          <w:szCs w:val="24"/>
          <w:highlight w:val="none"/>
          <w:lang w:eastAsia="zh-CN"/>
        </w:rPr>
        <w:t>甲方、乙方</w:t>
      </w:r>
      <w:r>
        <w:rPr>
          <w:rFonts w:hint="eastAsia" w:ascii="宋体" w:hAnsi="宋体" w:cs="宋体"/>
          <w:b w:val="0"/>
          <w:bCs/>
          <w:color w:val="auto"/>
          <w:kern w:val="0"/>
          <w:sz w:val="24"/>
          <w:szCs w:val="24"/>
          <w:highlight w:val="none"/>
        </w:rPr>
        <w:t>双</w:t>
      </w:r>
      <w:r>
        <w:rPr>
          <w:rFonts w:hint="eastAsia" w:ascii="宋体" w:hAnsi="宋体" w:cs="宋体"/>
          <w:b w:val="0"/>
          <w:bCs/>
          <w:kern w:val="0"/>
          <w:sz w:val="24"/>
          <w:szCs w:val="24"/>
          <w:highlight w:val="none"/>
        </w:rPr>
        <w:t>方愿意，成交供应商承诺不增加服务费用的前提下，双方可续签下一年度合同，但最多续签两次。如</w:t>
      </w:r>
      <w:r>
        <w:rPr>
          <w:rFonts w:hint="eastAsia" w:ascii="宋体" w:hAnsi="宋体" w:cs="宋体"/>
          <w:b w:val="0"/>
          <w:bCs/>
          <w:kern w:val="0"/>
          <w:sz w:val="24"/>
          <w:szCs w:val="24"/>
          <w:highlight w:val="none"/>
          <w:lang w:eastAsia="zh-CN"/>
        </w:rPr>
        <w:t>乙方</w:t>
      </w:r>
      <w:r>
        <w:rPr>
          <w:rFonts w:hint="eastAsia" w:ascii="宋体" w:hAnsi="宋体" w:cs="宋体"/>
          <w:b w:val="0"/>
          <w:bCs/>
          <w:kern w:val="0"/>
          <w:sz w:val="24"/>
          <w:szCs w:val="24"/>
          <w:highlight w:val="none"/>
        </w:rPr>
        <w:t>在合同期内年度综合考核得分＜90</w:t>
      </w:r>
      <w:r>
        <w:rPr>
          <w:rFonts w:hint="eastAsia" w:ascii="宋体" w:hAnsi="宋体" w:cs="宋体"/>
          <w:b w:val="0"/>
          <w:bCs/>
          <w:kern w:val="0"/>
          <w:sz w:val="24"/>
          <w:szCs w:val="24"/>
          <w:highlight w:val="none"/>
          <w:lang w:val="en-US" w:eastAsia="zh-CN"/>
        </w:rPr>
        <w:t>分</w:t>
      </w:r>
      <w:r>
        <w:rPr>
          <w:rFonts w:hint="eastAsia" w:ascii="宋体" w:hAnsi="宋体" w:cs="宋体"/>
          <w:b w:val="0"/>
          <w:bCs/>
          <w:kern w:val="0"/>
          <w:sz w:val="24"/>
          <w:szCs w:val="24"/>
          <w:highlight w:val="none"/>
        </w:rPr>
        <w:t>，则</w:t>
      </w:r>
      <w:r>
        <w:rPr>
          <w:rFonts w:hint="eastAsia" w:ascii="宋体" w:hAnsi="宋体" w:cs="宋体"/>
          <w:b w:val="0"/>
          <w:bCs/>
          <w:kern w:val="0"/>
          <w:sz w:val="24"/>
          <w:szCs w:val="24"/>
          <w:highlight w:val="none"/>
          <w:lang w:eastAsia="zh-CN"/>
        </w:rPr>
        <w:t>甲方不</w:t>
      </w:r>
      <w:r>
        <w:rPr>
          <w:rFonts w:hint="eastAsia" w:ascii="宋体" w:hAnsi="宋体" w:cs="宋体"/>
          <w:b w:val="0"/>
          <w:bCs/>
          <w:kern w:val="0"/>
          <w:sz w:val="24"/>
          <w:szCs w:val="24"/>
          <w:highlight w:val="none"/>
        </w:rPr>
        <w:t>再与</w:t>
      </w:r>
      <w:r>
        <w:rPr>
          <w:rFonts w:hint="eastAsia" w:ascii="宋体" w:hAnsi="宋体" w:cs="宋体"/>
          <w:b w:val="0"/>
          <w:bCs/>
          <w:kern w:val="0"/>
          <w:sz w:val="24"/>
          <w:szCs w:val="24"/>
          <w:highlight w:val="none"/>
          <w:lang w:eastAsia="zh-CN"/>
        </w:rPr>
        <w:t>乙方</w:t>
      </w:r>
      <w:r>
        <w:rPr>
          <w:rFonts w:hint="eastAsia" w:ascii="宋体" w:hAnsi="宋体" w:cs="宋体"/>
          <w:b w:val="0"/>
          <w:bCs/>
          <w:kern w:val="0"/>
          <w:sz w:val="24"/>
          <w:szCs w:val="24"/>
          <w:highlight w:val="none"/>
        </w:rPr>
        <w:t>续签合同。</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cs="宋体"/>
          <w:b w:val="0"/>
          <w:bCs/>
          <w:sz w:val="24"/>
          <w:szCs w:val="24"/>
          <w:highlight w:val="none"/>
          <w:lang w:eastAsia="zh-CN"/>
        </w:rPr>
      </w:pPr>
      <w:bookmarkStart w:id="81" w:name="_Toc26113"/>
      <w:r>
        <w:rPr>
          <w:rFonts w:hint="eastAsia" w:ascii="宋体" w:hAnsi="宋体" w:cs="宋体"/>
          <w:b w:val="0"/>
          <w:bCs/>
          <w:sz w:val="24"/>
          <w:szCs w:val="24"/>
          <w:highlight w:val="none"/>
          <w:lang w:eastAsia="zh-CN"/>
        </w:rPr>
        <w:t>三、</w:t>
      </w:r>
      <w:r>
        <w:rPr>
          <w:rFonts w:hint="eastAsia" w:ascii="宋体" w:hAnsi="宋体" w:cs="宋体"/>
          <w:b w:val="0"/>
          <w:bCs/>
          <w:sz w:val="24"/>
          <w:szCs w:val="24"/>
          <w:highlight w:val="none"/>
        </w:rPr>
        <w:t>合同总价</w:t>
      </w:r>
      <w:bookmarkEnd w:id="81"/>
      <w:r>
        <w:rPr>
          <w:rFonts w:hint="eastAsia" w:ascii="宋体" w:hAnsi="宋体" w:cs="宋体"/>
          <w:b w:val="0"/>
          <w:bCs/>
          <w:sz w:val="24"/>
          <w:szCs w:val="24"/>
          <w:highlight w:val="none"/>
          <w:lang w:eastAsia="zh-CN"/>
        </w:rPr>
        <w:t>：</w:t>
      </w:r>
      <w:bookmarkStart w:id="82" w:name="_Toc5560"/>
      <w:r>
        <w:rPr>
          <w:rFonts w:hint="eastAsia" w:ascii="宋体" w:hAnsi="宋体" w:cs="宋体"/>
          <w:b w:val="0"/>
          <w:bCs/>
          <w:sz w:val="24"/>
          <w:szCs w:val="24"/>
          <w:highlight w:val="none"/>
          <w:lang w:eastAsia="zh-CN"/>
        </w:rPr>
        <w:t xml:space="preserve"> 本合同金额为（大写）：</w:t>
      </w:r>
      <w:r>
        <w:rPr>
          <w:rFonts w:hint="eastAsia" w:ascii="宋体" w:hAnsi="宋体" w:cs="宋体"/>
          <w:b w:val="0"/>
          <w:bCs/>
          <w:sz w:val="24"/>
          <w:szCs w:val="24"/>
          <w:highlight w:val="none"/>
          <w:u w:val="single"/>
          <w:lang w:eastAsia="zh-CN"/>
        </w:rPr>
        <w:t xml:space="preserve">  </w:t>
      </w:r>
      <w:r>
        <w:rPr>
          <w:rFonts w:hint="eastAsia" w:ascii="宋体" w:hAnsi="宋体" w:cs="宋体"/>
          <w:b w:val="0"/>
          <w:bCs/>
          <w:sz w:val="24"/>
          <w:szCs w:val="24"/>
          <w:highlight w:val="none"/>
          <w:u w:val="single"/>
          <w:lang w:val="en-US" w:eastAsia="zh-CN"/>
        </w:rPr>
        <w:t xml:space="preserve">    </w:t>
      </w:r>
      <w:r>
        <w:rPr>
          <w:rFonts w:hint="eastAsia" w:ascii="宋体" w:hAnsi="宋体" w:cs="宋体"/>
          <w:b w:val="0"/>
          <w:bCs/>
          <w:sz w:val="24"/>
          <w:szCs w:val="24"/>
          <w:highlight w:val="none"/>
          <w:u w:val="single"/>
          <w:lang w:eastAsia="zh-CN"/>
        </w:rPr>
        <w:t xml:space="preserve">  </w:t>
      </w:r>
      <w:r>
        <w:rPr>
          <w:rFonts w:hint="eastAsia" w:ascii="宋体" w:hAnsi="宋体" w:cs="宋体"/>
          <w:b w:val="0"/>
          <w:bCs/>
          <w:sz w:val="24"/>
          <w:szCs w:val="24"/>
          <w:highlight w:val="none"/>
          <w:lang w:eastAsia="zh-CN"/>
        </w:rPr>
        <w:t xml:space="preserve"> 圆整</w:t>
      </w:r>
      <w:r>
        <w:rPr>
          <w:rFonts w:hint="eastAsia" w:ascii="宋体" w:hAnsi="宋体" w:cs="宋体"/>
          <w:b w:val="0"/>
          <w:bCs/>
          <w:sz w:val="24"/>
          <w:szCs w:val="24"/>
          <w:highlight w:val="none"/>
          <w:lang w:val="en-US" w:eastAsia="zh-CN"/>
        </w:rPr>
        <w:t>/年</w:t>
      </w:r>
      <w:r>
        <w:rPr>
          <w:rFonts w:hint="eastAsia" w:ascii="宋体" w:hAnsi="宋体" w:cs="宋体"/>
          <w:b w:val="0"/>
          <w:bCs/>
          <w:sz w:val="24"/>
          <w:szCs w:val="24"/>
          <w:highlight w:val="none"/>
          <w:lang w:eastAsia="zh-CN"/>
        </w:rPr>
        <w:t>（￥</w:t>
      </w:r>
      <w:r>
        <w:rPr>
          <w:rFonts w:hint="eastAsia" w:ascii="宋体" w:hAnsi="宋体" w:cs="宋体"/>
          <w:b w:val="0"/>
          <w:bCs/>
          <w:sz w:val="24"/>
          <w:szCs w:val="24"/>
          <w:highlight w:val="none"/>
          <w:u w:val="single"/>
          <w:lang w:eastAsia="zh-CN"/>
        </w:rPr>
        <w:t xml:space="preserve">  </w:t>
      </w:r>
      <w:r>
        <w:rPr>
          <w:rFonts w:hint="eastAsia" w:ascii="宋体" w:hAnsi="宋体" w:cs="宋体"/>
          <w:b w:val="0"/>
          <w:bCs/>
          <w:sz w:val="24"/>
          <w:szCs w:val="24"/>
          <w:highlight w:val="none"/>
          <w:u w:val="single"/>
          <w:lang w:val="en-US" w:eastAsia="zh-CN"/>
        </w:rPr>
        <w:t xml:space="preserve">     </w:t>
      </w:r>
      <w:r>
        <w:rPr>
          <w:rFonts w:hint="eastAsia" w:ascii="宋体" w:hAnsi="宋体" w:cs="宋体"/>
          <w:b w:val="0"/>
          <w:bCs/>
          <w:sz w:val="24"/>
          <w:szCs w:val="24"/>
          <w:highlight w:val="none"/>
          <w:u w:val="single"/>
          <w:lang w:eastAsia="zh-CN"/>
        </w:rPr>
        <w:t xml:space="preserve">  </w:t>
      </w:r>
      <w:r>
        <w:rPr>
          <w:rFonts w:hint="eastAsia" w:ascii="宋体" w:hAnsi="宋体" w:cs="宋体"/>
          <w:b w:val="0"/>
          <w:bCs/>
          <w:sz w:val="24"/>
          <w:szCs w:val="24"/>
          <w:highlight w:val="none"/>
          <w:lang w:eastAsia="zh-CN"/>
        </w:rPr>
        <w:t>元</w:t>
      </w:r>
      <w:r>
        <w:rPr>
          <w:rFonts w:hint="eastAsia" w:ascii="宋体" w:hAnsi="宋体" w:cs="宋体"/>
          <w:b w:val="0"/>
          <w:bCs/>
          <w:sz w:val="24"/>
          <w:szCs w:val="24"/>
          <w:highlight w:val="none"/>
          <w:lang w:val="en-US" w:eastAsia="zh-CN"/>
        </w:rPr>
        <w:t>/年</w:t>
      </w:r>
      <w:r>
        <w:rPr>
          <w:rFonts w:hint="eastAsia" w:ascii="宋体" w:hAnsi="宋体" w:cs="宋体"/>
          <w:b w:val="0"/>
          <w:bCs/>
          <w:sz w:val="24"/>
          <w:szCs w:val="24"/>
          <w:highlight w:val="none"/>
          <w:lang w:eastAsia="zh-CN"/>
        </w:rPr>
        <w:t>）人民币。本合同价款包含所有乙方提供合同约定服务的报酬及乙方提供合同中服务所支出的必要费用，甲方在上述合同价款之外不再向乙方支付其他任何费用。</w:t>
      </w:r>
    </w:p>
    <w:p>
      <w:pPr>
        <w:wordWrap w:val="0"/>
        <w:spacing w:line="360" w:lineRule="auto"/>
        <w:ind w:firstLine="480" w:firstLineChars="200"/>
        <w:rPr>
          <w:rFonts w:hint="eastAsia" w:ascii="宋体" w:hAnsi="宋体" w:eastAsia="宋体"/>
          <w:color w:val="auto"/>
          <w:sz w:val="24"/>
          <w:szCs w:val="24"/>
        </w:rPr>
      </w:pPr>
      <w:r>
        <w:rPr>
          <w:rFonts w:hint="eastAsia" w:ascii="宋体" w:hAnsi="宋体"/>
          <w:color w:val="auto"/>
          <w:sz w:val="24"/>
          <w:szCs w:val="24"/>
          <w:lang w:eastAsia="zh-CN"/>
        </w:rPr>
        <w:t>四</w:t>
      </w:r>
      <w:r>
        <w:rPr>
          <w:rFonts w:hint="eastAsia" w:ascii="宋体" w:hAnsi="宋体" w:eastAsia="宋体"/>
          <w:color w:val="auto"/>
          <w:sz w:val="24"/>
          <w:szCs w:val="24"/>
        </w:rPr>
        <w:t>、合同款支付</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合同签订生效后，</w:t>
      </w:r>
      <w:r>
        <w:rPr>
          <w:rFonts w:hint="eastAsia" w:ascii="宋体" w:hAnsi="宋体" w:cs="宋体"/>
          <w:b w:val="0"/>
          <w:bCs/>
          <w:sz w:val="24"/>
          <w:szCs w:val="24"/>
          <w:highlight w:val="none"/>
          <w:lang w:eastAsia="zh-CN"/>
        </w:rPr>
        <w:t>甲方</w:t>
      </w:r>
      <w:r>
        <w:rPr>
          <w:rFonts w:hint="eastAsia" w:ascii="宋体" w:hAnsi="宋体" w:cs="宋体"/>
          <w:sz w:val="24"/>
          <w:szCs w:val="24"/>
        </w:rPr>
        <w:t>每季度进行一次考核，考核分大于90分（含90分）的，则全额支付上季度费用，</w:t>
      </w:r>
      <w:r>
        <w:rPr>
          <w:rFonts w:hint="eastAsia" w:ascii="宋体" w:hAnsi="宋体" w:eastAsia="宋体" w:cs="宋体"/>
          <w:b w:val="0"/>
          <w:bCs/>
          <w:sz w:val="24"/>
          <w:szCs w:val="24"/>
          <w:highlight w:val="none"/>
          <w:lang w:val="en-US" w:eastAsia="zh-CN"/>
        </w:rPr>
        <w:t>低于90分的，每低1分扣相应支付费用总额的1%</w:t>
      </w:r>
      <w:r>
        <w:rPr>
          <w:rFonts w:hint="eastAsia" w:ascii="宋体" w:hAnsi="宋体" w:cs="宋体"/>
          <w:sz w:val="24"/>
          <w:szCs w:val="24"/>
          <w:lang w:eastAsia="zh-CN"/>
        </w:rPr>
        <w:t>，</w:t>
      </w:r>
      <w:r>
        <w:rPr>
          <w:rFonts w:hint="eastAsia" w:ascii="宋体" w:hAnsi="宋体" w:cs="宋体"/>
          <w:sz w:val="24"/>
          <w:szCs w:val="24"/>
          <w:lang w:val="en-US" w:eastAsia="zh-CN"/>
        </w:rPr>
        <w:t>季度考核得分低于60分的，</w:t>
      </w:r>
      <w:r>
        <w:rPr>
          <w:rFonts w:hint="eastAsia" w:ascii="宋体" w:hAnsi="宋体" w:cs="宋体"/>
          <w:color w:val="auto"/>
          <w:sz w:val="24"/>
          <w:szCs w:val="24"/>
          <w:lang w:val="en-US" w:eastAsia="zh-CN"/>
        </w:rPr>
        <w:t>甲方有权不支付当季</w:t>
      </w:r>
      <w:r>
        <w:rPr>
          <w:rFonts w:hint="eastAsia" w:ascii="宋体" w:hAnsi="宋体" w:cs="宋体"/>
          <w:sz w:val="24"/>
          <w:szCs w:val="24"/>
          <w:lang w:val="en-US" w:eastAsia="zh-CN"/>
        </w:rPr>
        <w:t>度费用</w:t>
      </w:r>
      <w:r>
        <w:rPr>
          <w:rFonts w:hint="eastAsia" w:ascii="宋体" w:hAnsi="宋体" w:cs="宋体"/>
          <w:sz w:val="24"/>
          <w:szCs w:val="24"/>
        </w:rPr>
        <w:t>。</w:t>
      </w:r>
      <w:r>
        <w:rPr>
          <w:rFonts w:hint="eastAsia" w:ascii="宋体" w:hAnsi="宋体" w:eastAsia="宋体" w:cs="宋体"/>
          <w:b w:val="0"/>
          <w:bCs/>
          <w:sz w:val="24"/>
          <w:szCs w:val="24"/>
          <w:highlight w:val="none"/>
          <w:lang w:val="en-US" w:eastAsia="zh-CN"/>
        </w:rPr>
        <w:t>年度考核</w:t>
      </w:r>
      <w:r>
        <w:rPr>
          <w:rFonts w:hint="eastAsia" w:ascii="宋体" w:hAnsi="宋体" w:eastAsia="宋体" w:cs="宋体"/>
          <w:b w:val="0"/>
          <w:bCs/>
          <w:sz w:val="24"/>
          <w:szCs w:val="24"/>
          <w:highlight w:val="none"/>
        </w:rPr>
        <w:t>＜90</w:t>
      </w:r>
      <w:r>
        <w:rPr>
          <w:rFonts w:hint="eastAsia" w:ascii="宋体" w:hAnsi="宋体" w:eastAsia="宋体" w:cs="宋体"/>
          <w:b w:val="0"/>
          <w:bCs/>
          <w:sz w:val="24"/>
          <w:szCs w:val="24"/>
          <w:highlight w:val="none"/>
          <w:lang w:val="en-US" w:eastAsia="zh-CN"/>
        </w:rPr>
        <w:t>分不再续签合同。每季度不计息支付费用</w:t>
      </w:r>
      <w:r>
        <w:rPr>
          <w:rFonts w:hint="eastAsia" w:ascii="宋体" w:hAnsi="宋体" w:eastAsia="宋体" w:cs="宋体"/>
          <w:b w:val="0"/>
          <w:bCs/>
          <w:sz w:val="24"/>
          <w:szCs w:val="24"/>
          <w:highlight w:val="none"/>
        </w:rPr>
        <w:t>，每次付款为本合同金额的</w:t>
      </w:r>
      <w:r>
        <w:rPr>
          <w:rFonts w:hint="eastAsia" w:ascii="宋体" w:hAnsi="宋体" w:eastAsia="宋体" w:cs="宋体"/>
          <w:b w:val="0"/>
          <w:bCs/>
          <w:sz w:val="24"/>
          <w:szCs w:val="24"/>
          <w:highlight w:val="none"/>
          <w:lang w:val="en-US" w:eastAsia="zh-CN"/>
        </w:rPr>
        <w:t>25</w:t>
      </w:r>
      <w:r>
        <w:rPr>
          <w:rFonts w:hint="eastAsia" w:ascii="宋体" w:hAnsi="宋体" w:eastAsia="宋体" w:cs="宋体"/>
          <w:b w:val="0"/>
          <w:bCs/>
          <w:sz w:val="24"/>
          <w:szCs w:val="24"/>
          <w:highlight w:val="none"/>
        </w:rPr>
        <w:t xml:space="preserve">%，即人民币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元（大写：人民币</w:t>
      </w:r>
      <w:r>
        <w:rPr>
          <w:rFonts w:hint="eastAsia" w:ascii="宋体" w:hAnsi="宋体" w:eastAsia="宋体" w:cs="宋体"/>
          <w:b w:val="0"/>
          <w:bCs/>
          <w:sz w:val="24"/>
          <w:szCs w:val="24"/>
          <w:highlight w:val="none"/>
          <w:lang w:val="en-US" w:eastAsia="zh-CN"/>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元)。每个结算期满后10日内由乙方提供等额服务费发票、并经甲方审核后付款。</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cs="宋体"/>
          <w:b w:val="0"/>
          <w:bCs/>
          <w:sz w:val="24"/>
          <w:szCs w:val="24"/>
          <w:highlight w:val="none"/>
        </w:rPr>
      </w:pPr>
      <w:r>
        <w:rPr>
          <w:rFonts w:hint="eastAsia" w:ascii="宋体" w:hAnsi="宋体" w:cs="宋体"/>
          <w:b w:val="0"/>
          <w:bCs/>
          <w:sz w:val="24"/>
          <w:szCs w:val="24"/>
          <w:highlight w:val="none"/>
          <w:lang w:eastAsia="zh-CN"/>
        </w:rPr>
        <w:t>五</w:t>
      </w:r>
      <w:r>
        <w:rPr>
          <w:rFonts w:hint="eastAsia" w:ascii="宋体" w:hAnsi="宋体" w:cs="宋体"/>
          <w:b w:val="0"/>
          <w:bCs/>
          <w:sz w:val="24"/>
          <w:szCs w:val="24"/>
          <w:highlight w:val="none"/>
        </w:rPr>
        <w:t>、违约责任：</w:t>
      </w:r>
      <w:bookmarkEnd w:id="82"/>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sz w:val="24"/>
          <w:szCs w:val="24"/>
          <w:highlight w:val="none"/>
        </w:rPr>
      </w:pPr>
      <w:r>
        <w:rPr>
          <w:rFonts w:hint="eastAsia" w:ascii="宋体" w:hAnsi="宋体" w:cs="宋体"/>
          <w:bCs/>
          <w:sz w:val="24"/>
          <w:szCs w:val="24"/>
          <w:highlight w:val="none"/>
        </w:rPr>
        <w:t>1、双方按本合同及其附件的规定本着权利和义务相对应的原则确定相互的违约责任。</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sz w:val="24"/>
          <w:szCs w:val="24"/>
          <w:highlight w:val="none"/>
        </w:rPr>
      </w:pPr>
      <w:r>
        <w:rPr>
          <w:rFonts w:hint="eastAsia" w:ascii="宋体" w:hAnsi="宋体" w:cs="宋体"/>
          <w:bCs/>
          <w:sz w:val="24"/>
          <w:szCs w:val="24"/>
          <w:highlight w:val="none"/>
        </w:rPr>
        <w:t>2、</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按规定考核</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，事实成立即可追究</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经济责任。</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sz w:val="24"/>
          <w:szCs w:val="24"/>
          <w:highlight w:val="none"/>
        </w:rPr>
      </w:pPr>
      <w:r>
        <w:rPr>
          <w:rFonts w:hint="eastAsia" w:ascii="宋体" w:hAnsi="宋体" w:cs="宋体"/>
          <w:bCs/>
          <w:sz w:val="24"/>
          <w:szCs w:val="24"/>
          <w:highlight w:val="none"/>
        </w:rPr>
        <w:t>3、</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合同违约（提前终止、合同终止不及时撤出等）</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按本合同总价的20%向</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收取违约金；如</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合同违约（如不按合同终止、不及时续订合同等违约行为）</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向</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收取合同总价20%的违约金。</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sz w:val="24"/>
          <w:szCs w:val="24"/>
          <w:highlight w:val="none"/>
        </w:rPr>
      </w:pPr>
      <w:r>
        <w:rPr>
          <w:rFonts w:hint="eastAsia" w:ascii="宋体" w:hAnsi="宋体" w:cs="宋体"/>
          <w:bCs/>
          <w:sz w:val="24"/>
          <w:szCs w:val="24"/>
          <w:highlight w:val="none"/>
        </w:rPr>
        <w:t>4、</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不按规定时间支付合同款的违约行为，</w:t>
      </w:r>
      <w:r>
        <w:rPr>
          <w:rFonts w:hint="eastAsia" w:ascii="宋体" w:hAnsi="宋体" w:cs="宋体"/>
          <w:bCs/>
          <w:sz w:val="24"/>
          <w:szCs w:val="24"/>
          <w:highlight w:val="none"/>
          <w:lang w:eastAsia="zh-CN"/>
        </w:rPr>
        <w:t>乙方</w:t>
      </w:r>
      <w:r>
        <w:rPr>
          <w:rFonts w:hint="eastAsia" w:ascii="宋体" w:hAnsi="宋体" w:cs="宋体"/>
          <w:bCs/>
          <w:sz w:val="24"/>
          <w:szCs w:val="24"/>
          <w:highlight w:val="none"/>
        </w:rPr>
        <w:t>按每天2‰的费率收取</w:t>
      </w:r>
      <w:r>
        <w:rPr>
          <w:rFonts w:hint="eastAsia" w:ascii="宋体" w:hAnsi="宋体" w:cs="宋体"/>
          <w:bCs/>
          <w:sz w:val="24"/>
          <w:szCs w:val="24"/>
          <w:highlight w:val="none"/>
          <w:lang w:eastAsia="zh-CN"/>
        </w:rPr>
        <w:t>甲方</w:t>
      </w:r>
      <w:r>
        <w:rPr>
          <w:rFonts w:hint="eastAsia" w:ascii="宋体" w:hAnsi="宋体" w:cs="宋体"/>
          <w:bCs/>
          <w:sz w:val="24"/>
          <w:szCs w:val="24"/>
          <w:highlight w:val="none"/>
        </w:rPr>
        <w:t>滞纳款的滞纳金。</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cs="宋体"/>
          <w:b w:val="0"/>
          <w:bCs w:val="0"/>
          <w:sz w:val="24"/>
          <w:szCs w:val="24"/>
          <w:highlight w:val="none"/>
        </w:rPr>
      </w:pPr>
      <w:bookmarkStart w:id="83" w:name="_Toc8150"/>
      <w:r>
        <w:rPr>
          <w:rFonts w:hint="eastAsia" w:ascii="宋体" w:hAnsi="宋体" w:cs="宋体"/>
          <w:b w:val="0"/>
          <w:bCs w:val="0"/>
          <w:sz w:val="24"/>
          <w:szCs w:val="24"/>
          <w:highlight w:val="none"/>
          <w:lang w:eastAsia="zh-CN"/>
        </w:rPr>
        <w:t>六</w:t>
      </w:r>
      <w:r>
        <w:rPr>
          <w:rFonts w:hint="eastAsia" w:ascii="宋体" w:hAnsi="宋体" w:cs="宋体"/>
          <w:b w:val="0"/>
          <w:bCs w:val="0"/>
          <w:sz w:val="24"/>
          <w:szCs w:val="24"/>
          <w:highlight w:val="none"/>
        </w:rPr>
        <w:t>、合同中止或延期条件</w:t>
      </w:r>
      <w:bookmarkEnd w:id="83"/>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rPr>
        <w:t>1、</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管理工作处于瘫痪状态，严重影响</w:t>
      </w:r>
      <w:r>
        <w:rPr>
          <w:rFonts w:hint="eastAsia" w:ascii="宋体" w:hAnsi="宋体" w:cs="宋体"/>
          <w:b w:val="0"/>
          <w:bCs w:val="0"/>
          <w:sz w:val="24"/>
          <w:szCs w:val="24"/>
          <w:highlight w:val="none"/>
          <w:lang w:eastAsia="zh-CN"/>
        </w:rPr>
        <w:t>甲方</w:t>
      </w:r>
      <w:r>
        <w:rPr>
          <w:rFonts w:hint="eastAsia" w:ascii="宋体" w:hAnsi="宋体" w:cs="宋体"/>
          <w:b w:val="0"/>
          <w:bCs w:val="0"/>
          <w:sz w:val="24"/>
          <w:szCs w:val="24"/>
          <w:highlight w:val="none"/>
        </w:rPr>
        <w:t>医疗工作。</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rPr>
        <w:t>2、</w:t>
      </w:r>
      <w:r>
        <w:rPr>
          <w:rFonts w:hint="eastAsia" w:ascii="宋体" w:hAnsi="宋体" w:cs="宋体"/>
          <w:b w:val="0"/>
          <w:bCs w:val="0"/>
          <w:sz w:val="24"/>
          <w:szCs w:val="24"/>
          <w:highlight w:val="none"/>
          <w:lang w:eastAsia="zh-CN"/>
        </w:rPr>
        <w:t>甲方</w:t>
      </w:r>
      <w:r>
        <w:rPr>
          <w:rFonts w:hint="eastAsia" w:ascii="宋体" w:hAnsi="宋体" w:cs="宋体"/>
          <w:b w:val="0"/>
          <w:bCs w:val="0"/>
          <w:sz w:val="24"/>
          <w:szCs w:val="24"/>
          <w:highlight w:val="none"/>
        </w:rPr>
        <w:t>不能及时按协议支付承包费用。</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rPr>
        <w:t>3、双方达成共识的协议中止或延期的其它条件。</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cs="宋体"/>
          <w:b w:val="0"/>
          <w:bCs w:val="0"/>
          <w:sz w:val="24"/>
          <w:szCs w:val="24"/>
          <w:highlight w:val="none"/>
        </w:rPr>
      </w:pPr>
      <w:bookmarkStart w:id="84" w:name="_Toc4016"/>
      <w:r>
        <w:rPr>
          <w:rFonts w:hint="eastAsia" w:ascii="宋体" w:hAnsi="宋体" w:cs="宋体"/>
          <w:b w:val="0"/>
          <w:bCs w:val="0"/>
          <w:sz w:val="24"/>
          <w:szCs w:val="24"/>
          <w:highlight w:val="none"/>
          <w:lang w:eastAsia="zh-CN"/>
        </w:rPr>
        <w:t>七、</w:t>
      </w:r>
      <w:r>
        <w:rPr>
          <w:rFonts w:hint="eastAsia" w:ascii="宋体" w:hAnsi="宋体" w:cs="宋体"/>
          <w:b w:val="0"/>
          <w:bCs w:val="0"/>
          <w:sz w:val="24"/>
          <w:szCs w:val="24"/>
          <w:highlight w:val="none"/>
        </w:rPr>
        <w:t>争议解决：</w:t>
      </w:r>
      <w:bookmarkEnd w:id="84"/>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rPr>
        <w:t>双方在本合同履行中发生的任何争议应尽可能的协商解决，如协商不成双方同意将争议提交南通仲裁委员会进行仲裁。</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outlineLvl w:val="1"/>
        <w:rPr>
          <w:rFonts w:hint="eastAsia" w:ascii="宋体" w:hAnsi="宋体" w:cs="宋体"/>
          <w:b w:val="0"/>
          <w:bCs w:val="0"/>
          <w:sz w:val="24"/>
          <w:szCs w:val="24"/>
          <w:highlight w:val="none"/>
        </w:rPr>
      </w:pPr>
      <w:bookmarkStart w:id="85" w:name="_Toc20451"/>
      <w:r>
        <w:rPr>
          <w:rFonts w:hint="eastAsia" w:ascii="宋体" w:hAnsi="宋体" w:cs="宋体"/>
          <w:b w:val="0"/>
          <w:bCs w:val="0"/>
          <w:sz w:val="24"/>
          <w:szCs w:val="24"/>
          <w:highlight w:val="none"/>
          <w:lang w:eastAsia="zh-CN"/>
        </w:rPr>
        <w:t>八、</w:t>
      </w:r>
      <w:r>
        <w:rPr>
          <w:rFonts w:hint="eastAsia" w:ascii="宋体" w:hAnsi="宋体" w:cs="宋体"/>
          <w:b w:val="0"/>
          <w:bCs w:val="0"/>
          <w:sz w:val="24"/>
          <w:szCs w:val="24"/>
          <w:highlight w:val="none"/>
        </w:rPr>
        <w:t>其他约定：</w:t>
      </w:r>
      <w:bookmarkEnd w:id="85"/>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rPr>
        <w:t>1</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必须按规定配备各种必备工具和职工个人安全防护用品。</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lang w:val="en-US" w:eastAsia="zh-CN"/>
        </w:rPr>
        <w:t>2</w:t>
      </w:r>
      <w:r>
        <w:rPr>
          <w:rFonts w:hint="eastAsia" w:ascii="宋体" w:hAnsi="宋体" w:cs="宋体"/>
          <w:b w:val="0"/>
          <w:bCs w:val="0"/>
          <w:sz w:val="24"/>
          <w:szCs w:val="24"/>
          <w:highlight w:val="none"/>
          <w:lang w:eastAsia="zh-CN"/>
        </w:rPr>
        <w:t>、</w:t>
      </w:r>
      <w:r>
        <w:rPr>
          <w:rFonts w:hint="eastAsia" w:ascii="宋体" w:hAnsi="宋体" w:cs="宋体"/>
          <w:b w:val="0"/>
          <w:bCs w:val="0"/>
          <w:sz w:val="24"/>
          <w:szCs w:val="24"/>
          <w:highlight w:val="none"/>
        </w:rPr>
        <w:t>本合同时限内，因</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责任原因对</w:t>
      </w:r>
      <w:r>
        <w:rPr>
          <w:rFonts w:hint="eastAsia" w:ascii="宋体" w:hAnsi="宋体" w:cs="宋体"/>
          <w:b w:val="0"/>
          <w:bCs w:val="0"/>
          <w:sz w:val="24"/>
          <w:szCs w:val="24"/>
          <w:highlight w:val="none"/>
          <w:lang w:eastAsia="zh-CN"/>
        </w:rPr>
        <w:t>甲方</w:t>
      </w:r>
      <w:r>
        <w:rPr>
          <w:rFonts w:hint="eastAsia" w:ascii="宋体" w:hAnsi="宋体" w:cs="宋体"/>
          <w:b w:val="0"/>
          <w:bCs w:val="0"/>
          <w:sz w:val="24"/>
          <w:szCs w:val="24"/>
          <w:highlight w:val="none"/>
        </w:rPr>
        <w:t>所造成的损失由</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承担。</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lang w:val="en-US" w:eastAsia="zh-CN"/>
        </w:rPr>
        <w:t>3、</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人员工作中发生的个人安全（包括交通安全）责任事件由</w:t>
      </w:r>
      <w:r>
        <w:rPr>
          <w:rFonts w:hint="eastAsia" w:ascii="宋体" w:hAnsi="宋体" w:cs="宋体"/>
          <w:b w:val="0"/>
          <w:bCs w:val="0"/>
          <w:sz w:val="24"/>
          <w:szCs w:val="24"/>
          <w:highlight w:val="none"/>
          <w:lang w:eastAsia="zh-CN"/>
        </w:rPr>
        <w:t>乙方</w:t>
      </w:r>
      <w:r>
        <w:rPr>
          <w:rFonts w:hint="eastAsia" w:ascii="宋体" w:hAnsi="宋体" w:cs="宋体"/>
          <w:b w:val="0"/>
          <w:bCs w:val="0"/>
          <w:sz w:val="24"/>
          <w:szCs w:val="24"/>
          <w:highlight w:val="none"/>
        </w:rPr>
        <w:t>负责。</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lang w:val="en-US" w:eastAsia="zh-CN"/>
        </w:rPr>
        <w:t>4、</w:t>
      </w:r>
      <w:r>
        <w:rPr>
          <w:rFonts w:hint="eastAsia" w:ascii="宋体" w:hAnsi="宋体" w:cs="宋体"/>
          <w:b w:val="0"/>
          <w:bCs w:val="0"/>
          <w:sz w:val="24"/>
          <w:szCs w:val="24"/>
          <w:highlight w:val="none"/>
        </w:rPr>
        <w:t>本合同未尽事宜，双方可另行协商，订立书面补充协议，对未及考虑或遗漏的事项按中华人民共和国的相关法规及诚实、诚信原则处理，协商不成即按合同第八款处理。</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 w:val="0"/>
          <w:bCs w:val="0"/>
          <w:sz w:val="24"/>
          <w:szCs w:val="24"/>
          <w:highlight w:val="none"/>
        </w:rPr>
      </w:pPr>
      <w:r>
        <w:rPr>
          <w:rFonts w:hint="eastAsia" w:ascii="宋体" w:hAnsi="宋体" w:cs="宋体"/>
          <w:b w:val="0"/>
          <w:bCs w:val="0"/>
          <w:sz w:val="24"/>
          <w:szCs w:val="24"/>
          <w:highlight w:val="none"/>
          <w:lang w:eastAsia="zh-CN"/>
        </w:rPr>
        <w:t>九</w:t>
      </w:r>
      <w:r>
        <w:rPr>
          <w:rFonts w:hint="eastAsia" w:ascii="宋体" w:hAnsi="宋体" w:cs="宋体"/>
          <w:b w:val="0"/>
          <w:bCs w:val="0"/>
          <w:sz w:val="24"/>
          <w:szCs w:val="24"/>
          <w:highlight w:val="none"/>
        </w:rPr>
        <w:t>、本合同一式</w:t>
      </w:r>
      <w:r>
        <w:rPr>
          <w:rFonts w:hint="eastAsia" w:ascii="宋体" w:hAnsi="宋体" w:cs="宋体"/>
          <w:b w:val="0"/>
          <w:bCs w:val="0"/>
          <w:sz w:val="24"/>
          <w:szCs w:val="24"/>
          <w:highlight w:val="none"/>
          <w:u w:val="single"/>
        </w:rPr>
        <w:t>肆</w:t>
      </w:r>
      <w:r>
        <w:rPr>
          <w:rFonts w:hint="eastAsia" w:ascii="宋体" w:hAnsi="宋体" w:cs="宋体"/>
          <w:b w:val="0"/>
          <w:bCs w:val="0"/>
          <w:sz w:val="24"/>
          <w:szCs w:val="24"/>
          <w:highlight w:val="none"/>
        </w:rPr>
        <w:t>份，</w:t>
      </w:r>
      <w:r>
        <w:rPr>
          <w:rFonts w:hint="eastAsia" w:ascii="宋体" w:hAnsi="宋体" w:cs="宋体"/>
          <w:b w:val="0"/>
          <w:bCs w:val="0"/>
          <w:sz w:val="24"/>
          <w:szCs w:val="24"/>
          <w:highlight w:val="none"/>
          <w:lang w:val="en-US" w:eastAsia="zh-CN"/>
        </w:rPr>
        <w:t>甲</w:t>
      </w:r>
      <w:r>
        <w:rPr>
          <w:rFonts w:hint="eastAsia" w:ascii="宋体" w:hAnsi="宋体" w:cs="宋体"/>
          <w:b w:val="0"/>
          <w:bCs w:val="0"/>
          <w:sz w:val="24"/>
          <w:szCs w:val="24"/>
          <w:highlight w:val="none"/>
        </w:rPr>
        <w:t>方执</w:t>
      </w:r>
      <w:r>
        <w:rPr>
          <w:rFonts w:hint="eastAsia" w:ascii="宋体" w:hAnsi="宋体" w:cs="宋体"/>
          <w:b w:val="0"/>
          <w:bCs w:val="0"/>
          <w:sz w:val="24"/>
          <w:szCs w:val="24"/>
          <w:highlight w:val="none"/>
          <w:u w:val="single"/>
        </w:rPr>
        <w:t>叁</w:t>
      </w:r>
      <w:r>
        <w:rPr>
          <w:rFonts w:hint="eastAsia" w:ascii="宋体" w:hAnsi="宋体" w:cs="宋体"/>
          <w:b w:val="0"/>
          <w:bCs w:val="0"/>
          <w:sz w:val="24"/>
          <w:szCs w:val="24"/>
          <w:highlight w:val="none"/>
        </w:rPr>
        <w:t>份，</w:t>
      </w:r>
      <w:r>
        <w:rPr>
          <w:rFonts w:hint="eastAsia" w:ascii="宋体" w:hAnsi="宋体" w:cs="宋体"/>
          <w:b w:val="0"/>
          <w:bCs w:val="0"/>
          <w:sz w:val="24"/>
          <w:szCs w:val="24"/>
          <w:highlight w:val="none"/>
          <w:lang w:val="en-US" w:eastAsia="zh-CN"/>
        </w:rPr>
        <w:t>乙</w:t>
      </w:r>
      <w:r>
        <w:rPr>
          <w:rFonts w:hint="eastAsia" w:ascii="宋体" w:hAnsi="宋体" w:cs="宋体"/>
          <w:b w:val="0"/>
          <w:bCs w:val="0"/>
          <w:sz w:val="24"/>
          <w:szCs w:val="24"/>
          <w:highlight w:val="none"/>
        </w:rPr>
        <w:t>方执</w:t>
      </w:r>
      <w:r>
        <w:rPr>
          <w:rFonts w:hint="eastAsia" w:ascii="宋体" w:hAnsi="宋体" w:cs="宋体"/>
          <w:b w:val="0"/>
          <w:bCs w:val="0"/>
          <w:sz w:val="24"/>
          <w:szCs w:val="24"/>
          <w:highlight w:val="none"/>
          <w:u w:val="single"/>
        </w:rPr>
        <w:t>壹</w:t>
      </w:r>
      <w:r>
        <w:rPr>
          <w:rFonts w:hint="eastAsia" w:ascii="宋体" w:hAnsi="宋体" w:cs="宋体"/>
          <w:b w:val="0"/>
          <w:bCs w:val="0"/>
          <w:sz w:val="24"/>
          <w:szCs w:val="24"/>
          <w:highlight w:val="none"/>
        </w:rPr>
        <w:t>份，盖章签字后生效。</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color w:val="auto"/>
          <w:sz w:val="24"/>
          <w:szCs w:val="24"/>
          <w:highlight w:val="none"/>
        </w:rPr>
      </w:pPr>
      <w:r>
        <w:rPr>
          <w:rFonts w:hint="eastAsia" w:ascii="宋体" w:hAnsi="宋体" w:cs="宋体"/>
          <w:b w:val="0"/>
          <w:bCs w:val="0"/>
          <w:color w:val="auto"/>
          <w:sz w:val="24"/>
          <w:szCs w:val="24"/>
          <w:highlight w:val="none"/>
        </w:rPr>
        <w:t>十、其它约定事项</w:t>
      </w:r>
      <w:r>
        <w:rPr>
          <w:rFonts w:hint="eastAsia" w:ascii="宋体" w:hAnsi="宋体" w:cs="宋体"/>
          <w:b w:val="0"/>
          <w:bCs w:val="0"/>
          <w:color w:val="auto"/>
          <w:sz w:val="24"/>
          <w:szCs w:val="24"/>
          <w:highlight w:val="none"/>
          <w:lang w:eastAsia="zh-CN"/>
        </w:rPr>
        <w:t>：</w:t>
      </w:r>
      <w:r>
        <w:rPr>
          <w:rFonts w:hint="eastAsia" w:ascii="宋体" w:hAnsi="宋体" w:eastAsia="宋体" w:cs="宋体"/>
          <w:bCs/>
          <w:color w:val="auto"/>
          <w:sz w:val="24"/>
          <w:szCs w:val="24"/>
        </w:rPr>
        <w:t>甲方竞争性</w:t>
      </w:r>
      <w:r>
        <w:rPr>
          <w:rFonts w:hint="eastAsia" w:ascii="宋体" w:hAnsi="宋体" w:eastAsia="宋体" w:cs="宋体"/>
          <w:bCs/>
          <w:color w:val="auto"/>
          <w:sz w:val="24"/>
          <w:szCs w:val="24"/>
          <w:lang w:val="en-US" w:eastAsia="zh-CN"/>
        </w:rPr>
        <w:t>磋商</w:t>
      </w:r>
      <w:r>
        <w:rPr>
          <w:rFonts w:hint="eastAsia" w:ascii="宋体" w:hAnsi="宋体" w:eastAsia="宋体" w:cs="宋体"/>
          <w:bCs/>
          <w:color w:val="auto"/>
          <w:sz w:val="24"/>
          <w:szCs w:val="24"/>
        </w:rPr>
        <w:t>文件、乙方响应文件、会议记录均为本合同的组成部分，具有同等法律效力</w:t>
      </w:r>
      <w:r>
        <w:rPr>
          <w:rFonts w:hint="eastAsia" w:ascii="宋体" w:hAnsi="宋体" w:eastAsia="宋体" w:cs="宋体"/>
          <w:bCs/>
          <w:color w:val="auto"/>
          <w:sz w:val="24"/>
          <w:szCs w:val="24"/>
          <w:lang w:eastAsia="zh-CN"/>
        </w:rPr>
        <w:t>。</w:t>
      </w:r>
      <w:r>
        <w:rPr>
          <w:rFonts w:hint="eastAsia" w:ascii="宋体" w:hAnsi="宋体" w:cs="宋体"/>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color w:val="auto"/>
          <w:sz w:val="24"/>
          <w:szCs w:val="24"/>
          <w:highlight w:val="none"/>
          <w:lang w:eastAsia="zh-CN"/>
        </w:rPr>
      </w:pPr>
      <w:bookmarkStart w:id="87" w:name="_GoBack"/>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val="en-US" w:eastAsia="zh-CN"/>
        </w:rPr>
        <w:t>附件一：</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eastAsia="zh-CN"/>
        </w:rPr>
        <w:t>检测内容</w:t>
      </w:r>
    </w:p>
    <w:p>
      <w:pPr>
        <w:pStyle w:val="2"/>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 xml:space="preserve"> 附件二： 污水、废气检测服务项目考核表 </w:t>
      </w:r>
    </w:p>
    <w:p>
      <w:pPr>
        <w:pStyle w:val="5"/>
        <w:rPr>
          <w:rFonts w:hint="default"/>
          <w:color w:val="auto"/>
          <w:lang w:val="en-US"/>
        </w:rPr>
      </w:pP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lang w:eastAsia="zh-CN"/>
        </w:rPr>
        <w:t>甲</w:t>
      </w:r>
      <w:r>
        <w:rPr>
          <w:rFonts w:hint="eastAsia" w:ascii="宋体" w:hAnsi="宋体" w:cs="宋体"/>
          <w:bCs/>
          <w:color w:val="auto"/>
          <w:sz w:val="24"/>
          <w:szCs w:val="24"/>
          <w:highlight w:val="none"/>
        </w:rPr>
        <w:t xml:space="preserve">方签章：                       </w:t>
      </w:r>
      <w:r>
        <w:rPr>
          <w:rFonts w:hint="eastAsia" w:ascii="宋体" w:hAnsi="宋体" w:cs="宋体"/>
          <w:bCs/>
          <w:color w:val="auto"/>
          <w:sz w:val="24"/>
          <w:szCs w:val="24"/>
          <w:highlight w:val="none"/>
          <w:lang w:val="en-US" w:eastAsia="zh-CN"/>
        </w:rPr>
        <w:t xml:space="preserve">    </w:t>
      </w:r>
      <w:r>
        <w:rPr>
          <w:rFonts w:hint="eastAsia" w:ascii="宋体" w:hAnsi="宋体" w:cs="宋体"/>
          <w:bCs/>
          <w:color w:val="auto"/>
          <w:sz w:val="24"/>
          <w:szCs w:val="24"/>
          <w:highlight w:val="none"/>
        </w:rPr>
        <w:t xml:space="preserve"> </w:t>
      </w:r>
      <w:r>
        <w:rPr>
          <w:rFonts w:hint="eastAsia" w:ascii="宋体" w:hAnsi="宋体" w:cs="宋体"/>
          <w:bCs/>
          <w:color w:val="auto"/>
          <w:sz w:val="24"/>
          <w:szCs w:val="24"/>
          <w:highlight w:val="none"/>
          <w:lang w:eastAsia="zh-CN"/>
        </w:rPr>
        <w:t>乙方</w:t>
      </w:r>
      <w:r>
        <w:rPr>
          <w:rFonts w:hint="eastAsia" w:ascii="宋体" w:hAnsi="宋体" w:cs="宋体"/>
          <w:bCs/>
          <w:color w:val="auto"/>
          <w:sz w:val="24"/>
          <w:szCs w:val="24"/>
          <w:highlight w:val="none"/>
        </w:rPr>
        <w:t xml:space="preserve">签章： </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法定</w:t>
      </w:r>
      <w:r>
        <w:rPr>
          <w:rFonts w:hint="eastAsia" w:ascii="宋体" w:hAnsi="宋体" w:cs="宋体"/>
          <w:bCs/>
          <w:color w:val="auto"/>
          <w:sz w:val="24"/>
          <w:szCs w:val="24"/>
          <w:highlight w:val="none"/>
        </w:rPr>
        <w:t xml:space="preserve">代表人签字：                      </w:t>
      </w:r>
      <w:r>
        <w:rPr>
          <w:rFonts w:hint="eastAsia" w:ascii="宋体" w:hAnsi="宋体" w:cs="宋体"/>
          <w:bCs/>
          <w:color w:val="auto"/>
          <w:sz w:val="24"/>
          <w:szCs w:val="24"/>
          <w:highlight w:val="none"/>
          <w:lang w:val="en-US" w:eastAsia="zh-CN"/>
        </w:rPr>
        <w:t>法定</w:t>
      </w:r>
      <w:r>
        <w:rPr>
          <w:rFonts w:hint="eastAsia" w:ascii="宋体" w:hAnsi="宋体" w:cs="宋体"/>
          <w:bCs/>
          <w:color w:val="auto"/>
          <w:sz w:val="24"/>
          <w:szCs w:val="24"/>
          <w:highlight w:val="none"/>
        </w:rPr>
        <w:t xml:space="preserve">代表人签字：                                </w:t>
      </w:r>
    </w:p>
    <w:p>
      <w:pPr>
        <w:keepNext w:val="0"/>
        <w:keepLines w:val="0"/>
        <w:pageBreakBefore w:val="0"/>
        <w:widowControl w:val="0"/>
        <w:kinsoku/>
        <w:wordWrap/>
        <w:overflowPunct/>
        <w:topLinePunct w:val="0"/>
        <w:autoSpaceDE w:val="0"/>
        <w:autoSpaceDN w:val="0"/>
        <w:bidi w:val="0"/>
        <w:adjustRightInd w:val="0"/>
        <w:snapToGrid/>
        <w:spacing w:line="480" w:lineRule="auto"/>
        <w:ind w:firstLine="480" w:firstLineChars="200"/>
        <w:textAlignment w:val="auto"/>
        <w:rPr>
          <w:rFonts w:hint="eastAsia" w:ascii="宋体" w:hAnsi="宋体" w:cs="宋体"/>
          <w:bCs/>
          <w:color w:val="auto"/>
          <w:sz w:val="24"/>
          <w:szCs w:val="24"/>
          <w:highlight w:val="none"/>
        </w:rPr>
      </w:pPr>
      <w:r>
        <w:rPr>
          <w:rFonts w:hint="eastAsia" w:ascii="宋体" w:hAnsi="宋体" w:cs="宋体"/>
          <w:bCs/>
          <w:color w:val="auto"/>
          <w:sz w:val="24"/>
          <w:szCs w:val="24"/>
          <w:highlight w:val="none"/>
        </w:rPr>
        <w:t>合同订立日期：     年   月    日</w:t>
      </w:r>
    </w:p>
    <w:bookmarkEnd w:id="87"/>
    <w:p>
      <w:pPr>
        <w:pStyle w:val="34"/>
        <w:rPr>
          <w:rFonts w:hint="eastAsia" w:ascii="宋体" w:hAnsi="宋体" w:cs="宋体"/>
          <w:bCs/>
          <w:color w:val="auto"/>
          <w:sz w:val="24"/>
          <w:szCs w:val="24"/>
          <w:highlight w:val="none"/>
        </w:rPr>
      </w:pPr>
    </w:p>
    <w:p>
      <w:pPr>
        <w:ind w:firstLine="1476" w:firstLineChars="700"/>
        <w:rPr>
          <w:rFonts w:hint="eastAsia" w:ascii="宋体" w:hAnsi="宋体" w:eastAsia="宋体" w:cs="仿宋"/>
          <w:b/>
          <w:bCs/>
          <w:color w:val="auto"/>
          <w:lang w:val="en-US" w:eastAsia="zh-CN"/>
        </w:rPr>
      </w:pPr>
      <w:r>
        <w:rPr>
          <w:rFonts w:hint="eastAsia" w:ascii="宋体" w:hAnsi="宋体" w:eastAsia="宋体" w:cs="仿宋"/>
          <w:b/>
          <w:bCs/>
          <w:color w:val="auto"/>
          <w:lang w:val="en-US" w:eastAsia="zh-CN"/>
        </w:rPr>
        <w:t>注：采购单位保留调整合同条款的权利。</w:t>
      </w:r>
    </w:p>
    <w:p>
      <w:pPr>
        <w:rPr>
          <w:rFonts w:hint="eastAsia"/>
        </w:rPr>
      </w:pPr>
    </w:p>
    <w:p>
      <w:pPr>
        <w:rPr>
          <w:rFonts w:hint="eastAsia" w:ascii="宋体" w:hAnsi="宋体" w:cs="宋体"/>
          <w:bCs/>
          <w:sz w:val="24"/>
          <w:szCs w:val="24"/>
          <w:highlight w:val="none"/>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spacing w:line="360" w:lineRule="auto"/>
        <w:rPr>
          <w:rFonts w:hint="eastAsia" w:ascii="宋体" w:hAnsi="宋体" w:eastAsia="宋体" w:cs="Times New Roman"/>
          <w:b/>
          <w:bCs/>
          <w:sz w:val="24"/>
          <w:szCs w:val="24"/>
          <w:lang w:val="en-US" w:eastAsia="zh-CN"/>
        </w:rPr>
      </w:pPr>
    </w:p>
    <w:p>
      <w:pPr>
        <w:pStyle w:val="2"/>
        <w:rPr>
          <w:rFonts w:hint="eastAsia" w:ascii="宋体" w:hAnsi="宋体" w:eastAsia="宋体" w:cs="Times New Roman"/>
          <w:b/>
          <w:bCs/>
          <w:sz w:val="24"/>
          <w:szCs w:val="24"/>
          <w:lang w:val="en-US" w:eastAsia="zh-CN"/>
        </w:rPr>
      </w:pPr>
    </w:p>
    <w:p>
      <w:pPr>
        <w:rPr>
          <w:rFonts w:hint="eastAsia" w:ascii="宋体" w:hAnsi="宋体" w:eastAsia="宋体" w:cs="Times New Roman"/>
          <w:b/>
          <w:bCs/>
          <w:sz w:val="24"/>
          <w:szCs w:val="24"/>
          <w:lang w:val="en-US" w:eastAsia="zh-CN"/>
        </w:rPr>
      </w:pPr>
    </w:p>
    <w:p>
      <w:pPr>
        <w:pStyle w:val="2"/>
        <w:rPr>
          <w:rFonts w:hint="eastAsia" w:ascii="宋体" w:hAnsi="宋体" w:eastAsia="宋体" w:cs="Times New Roman"/>
          <w:b/>
          <w:bCs/>
          <w:sz w:val="24"/>
          <w:szCs w:val="24"/>
          <w:lang w:val="en-US" w:eastAsia="zh-CN"/>
        </w:rPr>
      </w:pPr>
    </w:p>
    <w:p>
      <w:pPr>
        <w:rPr>
          <w:rFonts w:hint="eastAsia" w:ascii="宋体" w:hAnsi="宋体" w:eastAsia="宋体" w:cs="Times New Roman"/>
          <w:b/>
          <w:bCs/>
          <w:sz w:val="24"/>
          <w:szCs w:val="24"/>
          <w:lang w:val="en-US" w:eastAsia="zh-CN"/>
        </w:rPr>
      </w:pPr>
    </w:p>
    <w:p>
      <w:pPr>
        <w:spacing w:line="360" w:lineRule="auto"/>
        <w:jc w:val="both"/>
        <w:rPr>
          <w:rFonts w:hint="eastAsia" w:ascii="宋体" w:hAnsi="宋体" w:cs="宋体"/>
          <w:b/>
          <w:bCs/>
          <w:kern w:val="44"/>
          <w:sz w:val="44"/>
          <w:szCs w:val="44"/>
        </w:rPr>
      </w:pPr>
    </w:p>
    <w:p>
      <w:pPr>
        <w:rPr>
          <w:rFonts w:hint="eastAsia"/>
        </w:rPr>
        <w:sectPr>
          <w:footerReference r:id="rId8" w:type="default"/>
          <w:pgSz w:w="11906" w:h="16838"/>
          <w:pgMar w:top="1440" w:right="1361" w:bottom="1440" w:left="1361" w:header="851" w:footer="992" w:gutter="0"/>
          <w:cols w:space="720" w:num="1"/>
          <w:docGrid w:type="lines" w:linePitch="312" w:charSpace="0"/>
        </w:sectPr>
      </w:pPr>
    </w:p>
    <w:p>
      <w:pPr>
        <w:keepNext w:val="0"/>
        <w:keepLines w:val="0"/>
        <w:pageBreakBefore w:val="0"/>
        <w:widowControl w:val="0"/>
        <w:numPr>
          <w:ilvl w:val="0"/>
          <w:numId w:val="0"/>
        </w:numPr>
        <w:kinsoku/>
        <w:wordWrap/>
        <w:overflowPunct/>
        <w:topLinePunct w:val="0"/>
        <w:bidi w:val="0"/>
        <w:spacing w:line="360" w:lineRule="auto"/>
        <w:textAlignment w:val="auto"/>
        <w:outlineLvl w:val="1"/>
        <w:rPr>
          <w:rFonts w:hint="eastAsia"/>
          <w:b/>
          <w:sz w:val="24"/>
          <w:szCs w:val="24"/>
          <w:highlight w:val="none"/>
          <w:lang w:eastAsia="zh-CN"/>
        </w:rPr>
      </w:pPr>
      <w:r>
        <w:rPr>
          <w:rFonts w:hint="eastAsia"/>
          <w:b/>
          <w:sz w:val="24"/>
          <w:szCs w:val="24"/>
          <w:highlight w:val="none"/>
          <w:lang w:eastAsia="zh-CN"/>
        </w:rPr>
        <w:t>合同</w:t>
      </w:r>
      <w:r>
        <w:rPr>
          <w:rFonts w:hint="eastAsia" w:eastAsia="宋体"/>
          <w:b/>
          <w:sz w:val="24"/>
          <w:szCs w:val="24"/>
          <w:highlight w:val="none"/>
          <w:lang w:eastAsia="zh-CN"/>
        </w:rPr>
        <w:t>附件</w:t>
      </w:r>
      <w:r>
        <w:rPr>
          <w:rFonts w:hint="eastAsia"/>
          <w:b/>
          <w:sz w:val="24"/>
          <w:szCs w:val="24"/>
          <w:highlight w:val="none"/>
          <w:lang w:val="en-US" w:eastAsia="zh-CN"/>
        </w:rPr>
        <w:t>一---</w:t>
      </w:r>
      <w:r>
        <w:rPr>
          <w:rFonts w:hint="eastAsia" w:eastAsia="宋体"/>
          <w:b/>
          <w:sz w:val="24"/>
          <w:szCs w:val="24"/>
          <w:highlight w:val="none"/>
          <w:lang w:eastAsia="zh-CN"/>
        </w:rPr>
        <w:t>检测内容</w:t>
      </w:r>
      <w:r>
        <w:rPr>
          <w:rFonts w:hint="eastAsia"/>
          <w:b/>
          <w:sz w:val="24"/>
          <w:szCs w:val="24"/>
          <w:highlight w:val="none"/>
          <w:lang w:eastAsia="zh-CN"/>
        </w:rPr>
        <w:t>：</w:t>
      </w:r>
    </w:p>
    <w:tbl>
      <w:tblPr>
        <w:tblStyle w:val="51"/>
        <w:tblpPr w:leftFromText="180" w:rightFromText="180" w:vertAnchor="text" w:horzAnchor="page" w:tblpX="2459" w:tblpY="17"/>
        <w:tblOverlap w:val="never"/>
        <w:tblW w:w="11925" w:type="dxa"/>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25"/>
        <w:gridCol w:w="615"/>
        <w:gridCol w:w="735"/>
        <w:gridCol w:w="600"/>
        <w:gridCol w:w="990"/>
        <w:gridCol w:w="660"/>
        <w:gridCol w:w="600"/>
        <w:gridCol w:w="720"/>
        <w:gridCol w:w="615"/>
        <w:gridCol w:w="477"/>
        <w:gridCol w:w="1413"/>
        <w:gridCol w:w="1170"/>
        <w:gridCol w:w="985"/>
        <w:gridCol w:w="1160"/>
        <w:gridCol w:w="66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78" w:hRule="atLeast"/>
        </w:trPr>
        <w:tc>
          <w:tcPr>
            <w:tcW w:w="525" w:type="dxa"/>
            <w:tcBorders>
              <w:bottom w:val="single" w:color="000000" w:sz="4" w:space="0"/>
              <w:right w:val="single" w:color="000000" w:sz="4" w:space="0"/>
            </w:tcBorders>
            <w:vAlign w:val="center"/>
          </w:tcPr>
          <w:p>
            <w:pPr>
              <w:widowControl w:val="0"/>
              <w:spacing w:before="17"/>
              <w:jc w:val="center"/>
              <w:rPr>
                <w:rFonts w:ascii="Microsoft JhengHei" w:hAnsi="宋体" w:eastAsia="宋体" w:cs="宋体"/>
                <w:b/>
                <w:kern w:val="2"/>
                <w:sz w:val="20"/>
                <w:szCs w:val="24"/>
                <w:lang w:val="zh-CN" w:eastAsia="zh-CN" w:bidi="zh-CN"/>
              </w:rPr>
            </w:pPr>
          </w:p>
          <w:p>
            <w:pPr>
              <w:widowControl w:val="0"/>
              <w:ind w:left="105" w:right="8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15" w:type="dxa"/>
            <w:tcBorders>
              <w:left w:val="single" w:color="000000" w:sz="4" w:space="0"/>
              <w:bottom w:val="single" w:color="000000" w:sz="4" w:space="0"/>
              <w:right w:val="single" w:color="000000" w:sz="4" w:space="0"/>
            </w:tcBorders>
            <w:vAlign w:val="center"/>
          </w:tcPr>
          <w:p>
            <w:pPr>
              <w:widowControl w:val="0"/>
              <w:spacing w:line="246" w:lineRule="exact"/>
              <w:ind w:left="29"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w:t>
            </w:r>
          </w:p>
          <w:p>
            <w:pPr>
              <w:widowControl w:val="0"/>
              <w:spacing w:before="3" w:line="242" w:lineRule="auto"/>
              <w:ind w:left="48"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类别/ 监测类别</w:t>
            </w:r>
          </w:p>
        </w:tc>
        <w:tc>
          <w:tcPr>
            <w:tcW w:w="735" w:type="dxa"/>
            <w:tcBorders>
              <w:left w:val="single" w:color="000000" w:sz="4" w:space="0"/>
              <w:bottom w:val="single" w:color="000000" w:sz="4" w:space="0"/>
              <w:right w:val="single" w:color="000000" w:sz="4" w:space="0"/>
            </w:tcBorders>
            <w:vAlign w:val="center"/>
          </w:tcPr>
          <w:p>
            <w:pPr>
              <w:widowControl w:val="0"/>
              <w:spacing w:before="113" w:line="242" w:lineRule="auto"/>
              <w:ind w:right="2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00" w:type="dxa"/>
            <w:tcBorders>
              <w:left w:val="single" w:color="000000" w:sz="4" w:space="0"/>
              <w:bottom w:val="single" w:color="000000" w:sz="4" w:space="0"/>
              <w:right w:val="single" w:color="000000" w:sz="4" w:space="0"/>
            </w:tcBorders>
            <w:vAlign w:val="center"/>
          </w:tcPr>
          <w:p>
            <w:pPr>
              <w:widowControl w:val="0"/>
              <w:spacing w:line="246" w:lineRule="exact"/>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w:t>
            </w:r>
          </w:p>
          <w:p>
            <w:pPr>
              <w:widowControl w:val="0"/>
              <w:spacing w:before="3" w:line="242" w:lineRule="auto"/>
              <w:ind w:left="85" w:right="18" w:hanging="5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名称/监测点位名称</w:t>
            </w:r>
          </w:p>
        </w:tc>
        <w:tc>
          <w:tcPr>
            <w:tcW w:w="990" w:type="dxa"/>
            <w:tcBorders>
              <w:left w:val="single" w:color="000000" w:sz="4" w:space="0"/>
              <w:bottom w:val="single" w:color="000000" w:sz="4" w:space="0"/>
              <w:right w:val="single" w:color="000000" w:sz="4" w:space="0"/>
            </w:tcBorders>
            <w:vAlign w:val="center"/>
          </w:tcPr>
          <w:p>
            <w:pPr>
              <w:widowControl w:val="0"/>
              <w:spacing w:line="242" w:lineRule="auto"/>
              <w:ind w:right="2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60" w:type="dxa"/>
            <w:tcBorders>
              <w:left w:val="single" w:color="000000" w:sz="4" w:space="0"/>
              <w:bottom w:val="single" w:color="000000" w:sz="4" w:space="0"/>
              <w:right w:val="single" w:color="000000" w:sz="4" w:space="0"/>
            </w:tcBorders>
            <w:vAlign w:val="center"/>
          </w:tcPr>
          <w:p>
            <w:pPr>
              <w:widowControl w:val="0"/>
              <w:ind w:right="2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center"/>
          </w:tcPr>
          <w:p>
            <w:pPr>
              <w:widowControl w:val="0"/>
              <w:ind w:right="-1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20" w:type="dxa"/>
            <w:tcBorders>
              <w:left w:val="single" w:color="000000" w:sz="4" w:space="0"/>
              <w:bottom w:val="single" w:color="000000" w:sz="4" w:space="0"/>
              <w:right w:val="single" w:color="000000" w:sz="4" w:space="0"/>
            </w:tcBorders>
            <w:vAlign w:val="center"/>
          </w:tcPr>
          <w:p>
            <w:pPr>
              <w:widowControl w:val="0"/>
              <w:spacing w:before="113" w:line="242" w:lineRule="auto"/>
              <w:ind w:right="3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15" w:type="dxa"/>
            <w:tcBorders>
              <w:left w:val="single" w:color="000000" w:sz="4" w:space="0"/>
              <w:bottom w:val="single" w:color="000000" w:sz="4" w:space="0"/>
              <w:right w:val="single" w:color="000000" w:sz="4" w:space="0"/>
            </w:tcBorders>
            <w:vAlign w:val="center"/>
          </w:tcPr>
          <w:p>
            <w:pPr>
              <w:widowControl w:val="0"/>
              <w:spacing w:line="242" w:lineRule="auto"/>
              <w:ind w:right="94"/>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477" w:type="dxa"/>
            <w:tcBorders>
              <w:left w:val="single" w:color="000000" w:sz="4" w:space="0"/>
              <w:bottom w:val="single" w:color="000000" w:sz="4" w:space="0"/>
              <w:right w:val="single" w:color="000000" w:sz="4" w:space="0"/>
            </w:tcBorders>
            <w:vAlign w:val="center"/>
          </w:tcPr>
          <w:p>
            <w:pPr>
              <w:widowControl w:val="0"/>
              <w:spacing w:line="242" w:lineRule="auto"/>
              <w:ind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413" w:type="dxa"/>
            <w:tcBorders>
              <w:left w:val="single" w:color="000000" w:sz="4" w:space="0"/>
              <w:bottom w:val="single" w:color="000000" w:sz="4" w:space="0"/>
              <w:right w:val="single" w:color="000000" w:sz="4" w:space="0"/>
            </w:tcBorders>
            <w:vAlign w:val="center"/>
          </w:tcPr>
          <w:p>
            <w:pPr>
              <w:widowControl w:val="0"/>
              <w:spacing w:line="246" w:lineRule="exact"/>
              <w:ind w:right="5"/>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自动监测设施是否符合安装、运行、维护</w:t>
            </w:r>
            <w:r>
              <w:rPr>
                <w:rFonts w:hint="eastAsia" w:ascii="黑体" w:hAnsi="宋体" w:eastAsia="黑体" w:cs="宋体"/>
                <w:kern w:val="2"/>
                <w:sz w:val="21"/>
                <w:szCs w:val="24"/>
                <w:lang w:val="zh-CN" w:eastAsia="zh-CN" w:bidi="zh-CN"/>
              </w:rPr>
              <w:t>等管理要求</w:t>
            </w:r>
          </w:p>
        </w:tc>
        <w:tc>
          <w:tcPr>
            <w:tcW w:w="1170" w:type="dxa"/>
            <w:tcBorders>
              <w:left w:val="single" w:color="000000" w:sz="4" w:space="0"/>
              <w:bottom w:val="single" w:color="000000" w:sz="4" w:space="0"/>
              <w:right w:val="single" w:color="000000" w:sz="4" w:space="0"/>
            </w:tcBorders>
            <w:vAlign w:val="center"/>
          </w:tcPr>
          <w:p>
            <w:pPr>
              <w:widowControl w:val="0"/>
              <w:spacing w:before="113" w:line="242" w:lineRule="auto"/>
              <w:ind w:right="3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985" w:type="dxa"/>
            <w:tcBorders>
              <w:left w:val="single" w:color="000000" w:sz="4" w:space="0"/>
              <w:bottom w:val="single" w:color="000000" w:sz="4" w:space="0"/>
              <w:right w:val="single" w:color="000000" w:sz="4" w:space="0"/>
            </w:tcBorders>
            <w:vAlign w:val="center"/>
          </w:tcPr>
          <w:p>
            <w:pPr>
              <w:widowControl w:val="0"/>
              <w:spacing w:line="242" w:lineRule="auto"/>
              <w:ind w:right="26"/>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160" w:type="dxa"/>
            <w:tcBorders>
              <w:left w:val="single" w:color="000000" w:sz="4" w:space="0"/>
              <w:bottom w:val="single" w:color="000000" w:sz="4" w:space="0"/>
              <w:right w:val="single" w:color="000000" w:sz="4" w:space="0"/>
            </w:tcBorders>
            <w:vAlign w:val="center"/>
          </w:tcPr>
          <w:p>
            <w:pPr>
              <w:widowControl w:val="0"/>
              <w:ind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660" w:type="dxa"/>
            <w:tcBorders>
              <w:left w:val="single" w:color="000000" w:sz="4" w:space="0"/>
              <w:bottom w:val="single" w:color="000000" w:sz="4" w:space="0"/>
            </w:tcBorders>
            <w:vAlign w:val="center"/>
          </w:tcPr>
          <w:p>
            <w:pPr>
              <w:widowControl w:val="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765" w:hRule="atLeast"/>
        </w:trPr>
        <w:tc>
          <w:tcPr>
            <w:tcW w:w="525" w:type="dxa"/>
            <w:tcBorders>
              <w:top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12"/>
                <w:szCs w:val="24"/>
                <w:lang w:val="zh-CN" w:eastAsia="zh-CN" w:bidi="zh-CN"/>
              </w:rPr>
            </w:pPr>
          </w:p>
          <w:p>
            <w:pPr>
              <w:widowControl w:val="0"/>
              <w:ind w:left="3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10"/>
              <w:jc w:val="center"/>
              <w:rPr>
                <w:rFonts w:ascii="Microsoft JhengHei" w:hAnsi="宋体" w:eastAsia="宋体" w:cs="宋体"/>
                <w:b/>
                <w:kern w:val="2"/>
                <w:sz w:val="10"/>
                <w:szCs w:val="24"/>
                <w:lang w:val="zh-CN" w:eastAsia="zh-CN" w:bidi="zh-CN"/>
              </w:rPr>
            </w:pPr>
          </w:p>
          <w:p>
            <w:pPr>
              <w:widowControl w:val="0"/>
              <w:ind w:left="15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1" w:line="242" w:lineRule="auto"/>
              <w:ind w:right="17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spacing w:line="246" w:lineRule="exact"/>
              <w:ind w:left="149" w:right="11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w:t>
            </w:r>
          </w:p>
          <w:p>
            <w:pPr>
              <w:widowControl w:val="0"/>
              <w:spacing w:before="3" w:line="242" w:lineRule="auto"/>
              <w:ind w:left="151" w:right="119"/>
              <w:jc w:val="center"/>
              <w:rPr>
                <w:rFonts w:ascii="宋体" w:hAnsi="宋体" w:eastAsia="宋体" w:cs="宋体"/>
                <w:kern w:val="2"/>
                <w:sz w:val="21"/>
                <w:szCs w:val="24"/>
                <w:lang w:val="zh-CN" w:eastAsia="zh-CN" w:bidi="zh-CN"/>
              </w:rPr>
            </w:pPr>
            <w:r>
              <w:rPr>
                <w:rFonts w:ascii="宋体" w:hAnsi="宋体" w:eastAsia="宋体" w:cs="宋体"/>
                <w:spacing w:val="-6"/>
                <w:kern w:val="2"/>
                <w:sz w:val="21"/>
                <w:szCs w:val="24"/>
                <w:lang w:val="zh-CN" w:eastAsia="zh-CN" w:bidi="zh-CN"/>
              </w:rPr>
              <w:t xml:space="preserve">流速,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温度,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压力, </w:t>
            </w:r>
            <w:r>
              <w:rPr>
                <w:rFonts w:ascii="宋体" w:hAnsi="宋体" w:eastAsia="宋体" w:cs="宋体"/>
                <w:kern w:val="2"/>
                <w:sz w:val="21"/>
                <w:szCs w:val="24"/>
                <w:lang w:val="zh-CN" w:eastAsia="zh-CN" w:bidi="zh-CN"/>
              </w:rPr>
              <w:t>烟气量</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spacing w:before="10"/>
              <w:jc w:val="center"/>
              <w:rPr>
                <w:rFonts w:ascii="Microsoft JhengHei" w:hAnsi="宋体" w:eastAsia="宋体" w:cs="宋体"/>
                <w:b/>
                <w:kern w:val="2"/>
                <w:sz w:val="10"/>
                <w:szCs w:val="24"/>
                <w:lang w:val="zh-CN" w:eastAsia="zh-CN" w:bidi="zh-CN"/>
              </w:rPr>
            </w:pPr>
          </w:p>
          <w:p>
            <w:pPr>
              <w:widowControl w:val="0"/>
              <w:ind w:left="50" w:right="2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甲烷</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jc w:val="center"/>
              <w:rPr>
                <w:rFonts w:ascii="Microsoft JhengHei" w:hAnsi="宋体" w:eastAsia="宋体" w:cs="宋体"/>
                <w:b/>
                <w:kern w:val="2"/>
                <w:sz w:val="20"/>
                <w:szCs w:val="24"/>
                <w:lang w:val="zh-CN" w:eastAsia="zh-CN" w:bidi="zh-CN"/>
              </w:rPr>
            </w:pPr>
          </w:p>
          <w:p>
            <w:pPr>
              <w:widowControl w:val="0"/>
              <w:ind w:right="17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2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477"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413"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2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非连续采样至少3个</w:t>
            </w:r>
          </w:p>
        </w:tc>
        <w:tc>
          <w:tcPr>
            <w:tcW w:w="985" w:type="dxa"/>
            <w:tcBorders>
              <w:top w:val="single" w:color="000000" w:sz="4" w:space="0"/>
              <w:left w:val="single" w:color="000000" w:sz="4" w:space="0"/>
              <w:bottom w:val="single" w:color="000000" w:sz="4" w:space="0"/>
              <w:right w:val="single" w:color="000000" w:sz="4" w:space="0"/>
            </w:tcBorders>
            <w:vAlign w:val="center"/>
          </w:tcPr>
          <w:p>
            <w:pPr>
              <w:widowControl w:val="0"/>
              <w:spacing w:before="10"/>
              <w:jc w:val="center"/>
              <w:rPr>
                <w:rFonts w:ascii="Microsoft JhengHei" w:hAnsi="宋体" w:eastAsia="宋体" w:cs="宋体"/>
                <w:b/>
                <w:kern w:val="2"/>
                <w:sz w:val="10"/>
                <w:szCs w:val="24"/>
                <w:lang w:val="zh-CN" w:eastAsia="zh-CN" w:bidi="zh-CN"/>
              </w:rPr>
            </w:pPr>
          </w:p>
          <w:p>
            <w:pPr>
              <w:widowControl w:val="0"/>
              <w:ind w:left="19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6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9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环境空气  </w:t>
            </w:r>
            <w:r>
              <w:rPr>
                <w:rFonts w:ascii="宋体" w:hAnsi="宋体" w:eastAsia="宋体" w:cs="宋体"/>
                <w:spacing w:val="-3"/>
                <w:kern w:val="2"/>
                <w:sz w:val="21"/>
                <w:szCs w:val="24"/>
                <w:lang w:val="zh-CN" w:eastAsia="zh-CN" w:bidi="zh-CN"/>
              </w:rPr>
              <w:t>总烃、甲烷和非</w:t>
            </w:r>
          </w:p>
          <w:p>
            <w:pPr>
              <w:widowControl w:val="0"/>
              <w:spacing w:before="1" w:line="242" w:lineRule="auto"/>
              <w:ind w:left="393" w:right="-15" w:hanging="26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甲烷总烃的测定直接进样-</w:t>
            </w:r>
          </w:p>
          <w:p>
            <w:pPr>
              <w:widowControl w:val="0"/>
              <w:spacing w:before="1" w:line="242" w:lineRule="auto"/>
              <w:ind w:left="340" w:right="-15" w:hanging="2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气相色谱法（HJ 604-2017）</w:t>
            </w:r>
          </w:p>
        </w:tc>
        <w:tc>
          <w:tcPr>
            <w:tcW w:w="660"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630" w:hRule="atLeast"/>
        </w:trPr>
        <w:tc>
          <w:tcPr>
            <w:tcW w:w="525" w:type="dxa"/>
            <w:tcBorders>
              <w:top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14"/>
              <w:jc w:val="center"/>
              <w:rPr>
                <w:rFonts w:ascii="Microsoft JhengHei" w:hAnsi="宋体" w:eastAsia="宋体" w:cs="宋体"/>
                <w:b/>
                <w:kern w:val="2"/>
                <w:sz w:val="24"/>
                <w:szCs w:val="24"/>
                <w:lang w:val="zh-CN" w:eastAsia="zh-CN" w:bidi="zh-CN"/>
              </w:rPr>
            </w:pPr>
          </w:p>
          <w:p>
            <w:pPr>
              <w:widowControl w:val="0"/>
              <w:ind w:left="3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2</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15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right w:val="single" w:color="000000" w:sz="4" w:space="0"/>
            </w:tcBorders>
            <w:vAlign w:val="center"/>
          </w:tcPr>
          <w:p>
            <w:pPr>
              <w:widowControl w:val="0"/>
              <w:spacing w:line="242" w:lineRule="auto"/>
              <w:ind w:right="17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right w:val="single" w:color="000000" w:sz="4" w:space="0"/>
            </w:tcBorders>
            <w:vAlign w:val="center"/>
          </w:tcPr>
          <w:p>
            <w:pPr>
              <w:widowControl w:val="0"/>
              <w:spacing w:line="246" w:lineRule="exact"/>
              <w:ind w:left="20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w:t>
            </w:r>
          </w:p>
          <w:p>
            <w:pPr>
              <w:widowControl w:val="0"/>
              <w:spacing w:before="3" w:line="242" w:lineRule="auto"/>
              <w:ind w:left="151" w:right="119"/>
              <w:jc w:val="center"/>
              <w:rPr>
                <w:rFonts w:ascii="宋体" w:hAnsi="宋体" w:eastAsia="宋体" w:cs="宋体"/>
                <w:kern w:val="2"/>
                <w:sz w:val="21"/>
                <w:szCs w:val="24"/>
                <w:lang w:val="zh-CN" w:eastAsia="zh-CN" w:bidi="zh-CN"/>
              </w:rPr>
            </w:pPr>
            <w:r>
              <w:rPr>
                <w:rFonts w:ascii="宋体" w:hAnsi="宋体" w:eastAsia="宋体" w:cs="宋体"/>
                <w:spacing w:val="-6"/>
                <w:kern w:val="2"/>
                <w:sz w:val="21"/>
                <w:szCs w:val="24"/>
                <w:lang w:val="zh-CN" w:eastAsia="zh-CN" w:bidi="zh-CN"/>
              </w:rPr>
              <w:t xml:space="preserve">流速,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温度, </w:t>
            </w:r>
            <w:r>
              <w:rPr>
                <w:rFonts w:ascii="宋体" w:hAnsi="宋体" w:eastAsia="宋体" w:cs="宋体"/>
                <w:kern w:val="2"/>
                <w:sz w:val="21"/>
                <w:szCs w:val="24"/>
                <w:lang w:val="zh-CN" w:eastAsia="zh-CN" w:bidi="zh-CN"/>
              </w:rPr>
              <w:t>烟气</w:t>
            </w:r>
            <w:r>
              <w:rPr>
                <w:rFonts w:ascii="宋体" w:hAnsi="宋体" w:eastAsia="宋体" w:cs="宋体"/>
                <w:spacing w:val="-6"/>
                <w:kern w:val="2"/>
                <w:sz w:val="21"/>
                <w:szCs w:val="24"/>
                <w:lang w:val="zh-CN" w:eastAsia="zh-CN" w:bidi="zh-CN"/>
              </w:rPr>
              <w:t xml:space="preserve">压力, </w:t>
            </w:r>
            <w:r>
              <w:rPr>
                <w:rFonts w:ascii="宋体" w:hAnsi="宋体" w:eastAsia="宋体" w:cs="宋体"/>
                <w:kern w:val="2"/>
                <w:sz w:val="21"/>
                <w:szCs w:val="24"/>
                <w:lang w:val="zh-CN" w:eastAsia="zh-CN" w:bidi="zh-CN"/>
              </w:rPr>
              <w:t>烟气</w:t>
            </w:r>
            <w:r>
              <w:rPr>
                <w:rFonts w:hint="eastAsia" w:ascii="宋体" w:hAnsi="宋体" w:cs="宋体"/>
                <w:kern w:val="2"/>
                <w:sz w:val="21"/>
                <w:szCs w:val="24"/>
                <w:lang w:val="zh-CN" w:eastAsia="zh-CN" w:bidi="zh-CN"/>
              </w:rPr>
              <w:t>量</w:t>
            </w:r>
          </w:p>
        </w:tc>
        <w:tc>
          <w:tcPr>
            <w:tcW w:w="660"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50" w:right="2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臭气浓度</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ind w:right="17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2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477"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413"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right w:val="single" w:color="000000" w:sz="4" w:space="0"/>
            </w:tcBorders>
            <w:vAlign w:val="center"/>
          </w:tcPr>
          <w:p>
            <w:pPr>
              <w:widowControl w:val="0"/>
              <w:spacing w:before="6"/>
              <w:jc w:val="center"/>
              <w:rPr>
                <w:rFonts w:ascii="Microsoft JhengHei" w:hAnsi="宋体" w:eastAsia="宋体" w:cs="宋体"/>
                <w:b/>
                <w:kern w:val="2"/>
                <w:sz w:val="28"/>
                <w:szCs w:val="24"/>
                <w:lang w:val="zh-CN" w:eastAsia="zh-CN" w:bidi="zh-CN"/>
              </w:rPr>
            </w:pPr>
          </w:p>
          <w:p>
            <w:pPr>
              <w:widowControl w:val="0"/>
              <w:spacing w:before="1" w:line="242" w:lineRule="auto"/>
              <w:ind w:left="471" w:right="124"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1"/>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985" w:type="dxa"/>
            <w:tcBorders>
              <w:top w:val="single" w:color="000000" w:sz="4" w:space="0"/>
              <w:left w:val="single" w:color="000000" w:sz="4" w:space="0"/>
              <w:right w:val="single" w:color="000000" w:sz="4" w:space="0"/>
            </w:tcBorders>
            <w:vAlign w:val="center"/>
          </w:tcPr>
          <w:p>
            <w:pPr>
              <w:widowControl w:val="0"/>
              <w:jc w:val="center"/>
              <w:rPr>
                <w:rFonts w:ascii="Microsoft JhengHei" w:hAnsi="宋体" w:eastAsia="宋体" w:cs="宋体"/>
                <w:b/>
                <w:kern w:val="2"/>
                <w:sz w:val="20"/>
                <w:szCs w:val="24"/>
                <w:lang w:val="zh-CN" w:eastAsia="zh-CN" w:bidi="zh-CN"/>
              </w:rPr>
            </w:pPr>
          </w:p>
          <w:p>
            <w:pPr>
              <w:widowControl w:val="0"/>
              <w:spacing w:before="3"/>
              <w:jc w:val="center"/>
              <w:rPr>
                <w:rFonts w:ascii="Microsoft JhengHei" w:hAnsi="宋体" w:eastAsia="宋体" w:cs="宋体"/>
                <w:b/>
                <w:kern w:val="2"/>
                <w:sz w:val="23"/>
                <w:szCs w:val="24"/>
                <w:lang w:val="zh-CN" w:eastAsia="zh-CN" w:bidi="zh-CN"/>
              </w:rPr>
            </w:pPr>
          </w:p>
          <w:p>
            <w:pPr>
              <w:widowControl w:val="0"/>
              <w:ind w:left="19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60" w:type="dxa"/>
            <w:tcBorders>
              <w:top w:val="single" w:color="000000" w:sz="4" w:space="0"/>
              <w:left w:val="single" w:color="000000" w:sz="4" w:space="0"/>
              <w:right w:val="single" w:color="000000" w:sz="4" w:space="0"/>
            </w:tcBorders>
            <w:vAlign w:val="center"/>
          </w:tcPr>
          <w:p>
            <w:pPr>
              <w:widowControl w:val="0"/>
              <w:spacing w:before="10"/>
              <w:jc w:val="center"/>
              <w:rPr>
                <w:rFonts w:ascii="Microsoft JhengHei" w:hAnsi="宋体" w:eastAsia="宋体" w:cs="宋体"/>
                <w:b/>
                <w:kern w:val="2"/>
                <w:sz w:val="13"/>
                <w:szCs w:val="24"/>
                <w:lang w:val="zh-CN" w:eastAsia="zh-CN" w:bidi="zh-CN"/>
              </w:rPr>
            </w:pPr>
          </w:p>
          <w:p>
            <w:pPr>
              <w:widowControl w:val="0"/>
              <w:spacing w:line="242" w:lineRule="auto"/>
              <w:ind w:left="340" w:right="20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  恶臭的测定</w:t>
            </w:r>
          </w:p>
          <w:p>
            <w:pPr>
              <w:widowControl w:val="0"/>
              <w:spacing w:before="1" w:line="256" w:lineRule="auto"/>
              <w:ind w:left="130" w:right="9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三点比较式臭袋法 GB T 14675- 1993</w:t>
            </w:r>
          </w:p>
        </w:tc>
        <w:tc>
          <w:tcPr>
            <w:tcW w:w="660" w:type="dxa"/>
            <w:tcBorders>
              <w:top w:val="single" w:color="000000" w:sz="4" w:space="0"/>
              <w:lef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bl>
    <w:p>
      <w:pPr>
        <w:widowControl w:val="0"/>
        <w:spacing w:before="14"/>
        <w:jc w:val="both"/>
        <w:rPr>
          <w:rFonts w:ascii="Microsoft JhengHei" w:hAnsi="宋体" w:eastAsia="宋体" w:cs="宋体"/>
          <w:b/>
          <w:kern w:val="2"/>
          <w:sz w:val="16"/>
          <w:szCs w:val="21"/>
          <w:lang w:val="zh-CN" w:eastAsia="zh-CN" w:bidi="zh-CN"/>
        </w:rPr>
      </w:pPr>
    </w:p>
    <w:tbl>
      <w:tblPr>
        <w:tblStyle w:val="51"/>
        <w:tblpPr w:leftFromText="180" w:rightFromText="180" w:vertAnchor="text" w:horzAnchor="page" w:tblpX="2459" w:tblpY="198"/>
        <w:tblOverlap w:val="never"/>
        <w:tblW w:w="0" w:type="auto"/>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40"/>
        <w:gridCol w:w="585"/>
        <w:gridCol w:w="735"/>
        <w:gridCol w:w="615"/>
        <w:gridCol w:w="975"/>
        <w:gridCol w:w="660"/>
        <w:gridCol w:w="630"/>
        <w:gridCol w:w="690"/>
        <w:gridCol w:w="630"/>
        <w:gridCol w:w="889"/>
        <w:gridCol w:w="1016"/>
        <w:gridCol w:w="1169"/>
        <w:gridCol w:w="991"/>
        <w:gridCol w:w="1155"/>
        <w:gridCol w:w="64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84" w:hRule="atLeast"/>
        </w:trPr>
        <w:tc>
          <w:tcPr>
            <w:tcW w:w="540" w:type="dxa"/>
            <w:tcBorders>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585" w:type="dxa"/>
            <w:tcBorders>
              <w:left w:val="single" w:color="000000" w:sz="4" w:space="0"/>
              <w:bottom w:val="single" w:color="000000" w:sz="4" w:space="0"/>
              <w:right w:val="single" w:color="000000" w:sz="4" w:space="0"/>
            </w:tcBorders>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735" w:type="dxa"/>
            <w:tcBorders>
              <w:left w:val="single" w:color="000000" w:sz="4" w:space="0"/>
              <w:bottom w:val="single" w:color="000000" w:sz="4" w:space="0"/>
              <w:right w:val="single" w:color="000000" w:sz="4" w:space="0"/>
            </w:tcBorders>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15" w:type="dxa"/>
            <w:tcBorders>
              <w:left w:val="single" w:color="000000" w:sz="4" w:space="0"/>
              <w:bottom w:val="single" w:color="000000" w:sz="4" w:space="0"/>
              <w:right w:val="single" w:color="000000" w:sz="4" w:space="0"/>
            </w:tcBorders>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97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60"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30"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690" w:type="dxa"/>
            <w:tcBorders>
              <w:left w:val="single" w:color="000000" w:sz="4" w:space="0"/>
              <w:bottom w:val="single" w:color="000000" w:sz="4" w:space="0"/>
              <w:right w:val="single" w:color="000000" w:sz="4" w:space="0"/>
            </w:tcBorders>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30"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889"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16" w:type="dxa"/>
            <w:tcBorders>
              <w:left w:val="single" w:color="000000" w:sz="4" w:space="0"/>
              <w:bottom w:val="single" w:color="000000" w:sz="4" w:space="0"/>
              <w:right w:val="single" w:color="000000" w:sz="4" w:space="0"/>
            </w:tcBorders>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169" w:type="dxa"/>
            <w:tcBorders>
              <w:left w:val="single" w:color="000000" w:sz="4" w:space="0"/>
              <w:bottom w:val="single" w:color="000000" w:sz="4" w:space="0"/>
              <w:right w:val="single" w:color="000000" w:sz="4" w:space="0"/>
            </w:tcBorders>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991"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15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p>
            <w:pPr>
              <w:widowControl w:val="0"/>
              <w:spacing w:before="3"/>
              <w:ind w:right="1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w:t>
            </w:r>
          </w:p>
        </w:tc>
        <w:tc>
          <w:tcPr>
            <w:tcW w:w="645" w:type="dxa"/>
            <w:tcBorders>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264" w:hRule="atLeast"/>
        </w:trPr>
        <w:tc>
          <w:tcPr>
            <w:tcW w:w="540" w:type="dxa"/>
            <w:tcBorders>
              <w:top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3</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7"/>
              <w:jc w:val="center"/>
              <w:rPr>
                <w:rFonts w:ascii="Times New Roman" w:hAnsi="宋体" w:eastAsia="宋体" w:cs="宋体"/>
                <w:kern w:val="2"/>
                <w:sz w:val="27"/>
                <w:szCs w:val="24"/>
                <w:lang w:val="zh-CN" w:eastAsia="zh-CN" w:bidi="zh-CN"/>
              </w:rPr>
            </w:pPr>
          </w:p>
          <w:p>
            <w:pPr>
              <w:widowControl w:val="0"/>
              <w:spacing w:line="242" w:lineRule="auto"/>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 烟气温度, 烟气动压, 烟气量</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3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氨（氨气</w:t>
            </w:r>
          </w:p>
          <w:p>
            <w:pPr>
              <w:widowControl w:val="0"/>
              <w:spacing w:before="3"/>
              <w:ind w:left="4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2"/>
              <w:ind w:left="21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至少4个</w:t>
            </w:r>
          </w:p>
        </w:tc>
        <w:tc>
          <w:tcPr>
            <w:tcW w:w="991"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30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空气质量氨的测定离子选择电极法GB/T 14669- 1993</w:t>
            </w:r>
          </w:p>
        </w:tc>
        <w:tc>
          <w:tcPr>
            <w:tcW w:w="6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763" w:hRule="atLeast"/>
        </w:trPr>
        <w:tc>
          <w:tcPr>
            <w:tcW w:w="540" w:type="dxa"/>
            <w:tcBorders>
              <w:top w:val="single" w:color="000000" w:sz="4" w:space="0"/>
              <w:bottom w:val="single" w:color="000000" w:sz="4" w:space="0"/>
              <w:right w:val="single" w:color="000000" w:sz="4" w:space="0"/>
            </w:tcBorders>
            <w:vAlign w:val="center"/>
          </w:tcPr>
          <w:p>
            <w:pPr>
              <w:widowControl w:val="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spacing w:before="7"/>
              <w:jc w:val="center"/>
              <w:rPr>
                <w:rFonts w:ascii="Times New Roman" w:hAnsi="宋体" w:eastAsia="宋体" w:cs="宋体"/>
                <w:kern w:val="2"/>
                <w:sz w:val="27"/>
                <w:szCs w:val="24"/>
                <w:lang w:val="zh-CN" w:eastAsia="zh-CN" w:bidi="zh-CN"/>
              </w:rPr>
            </w:pPr>
          </w:p>
          <w:p>
            <w:pPr>
              <w:widowControl w:val="0"/>
              <w:spacing w:line="242" w:lineRule="auto"/>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污水处理站周界</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 烟气温度, 烟气量,烟气压力</w:t>
            </w:r>
          </w:p>
        </w:tc>
        <w:tc>
          <w:tcPr>
            <w:tcW w:w="66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4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氯</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5"/>
              <w:jc w:val="center"/>
              <w:rPr>
                <w:rFonts w:ascii="Times New Roman" w:hAnsi="宋体" w:eastAsia="宋体" w:cs="宋体"/>
                <w:kern w:val="2"/>
                <w:sz w:val="19"/>
                <w:szCs w:val="24"/>
                <w:lang w:val="zh-CN" w:eastAsia="zh-CN" w:bidi="zh-CN"/>
              </w:rPr>
            </w:pPr>
          </w:p>
          <w:p>
            <w:pPr>
              <w:widowControl w:val="0"/>
              <w:spacing w:line="242" w:lineRule="auto"/>
              <w:ind w:left="476" w:right="110"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p>
            <w:pPr>
              <w:widowControl w:val="0"/>
              <w:spacing w:before="2"/>
              <w:ind w:left="21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991"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环境空气  </w:t>
            </w:r>
            <w:r>
              <w:rPr>
                <w:rFonts w:ascii="宋体" w:hAnsi="宋体" w:eastAsia="宋体" w:cs="宋体"/>
                <w:spacing w:val="-3"/>
                <w:kern w:val="2"/>
                <w:sz w:val="21"/>
                <w:szCs w:val="24"/>
                <w:lang w:val="zh-CN" w:eastAsia="zh-CN" w:bidi="zh-CN"/>
              </w:rPr>
              <w:t>氯气等有毒有害</w:t>
            </w:r>
          </w:p>
          <w:p>
            <w:pPr>
              <w:widowControl w:val="0"/>
              <w:spacing w:before="1" w:line="256" w:lineRule="auto"/>
              <w:ind w:left="135" w:right="-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气体的应急监测电化学传感器法(HJ 872—2017)</w:t>
            </w:r>
          </w:p>
        </w:tc>
        <w:tc>
          <w:tcPr>
            <w:tcW w:w="6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24" w:hRule="atLeast"/>
        </w:trPr>
        <w:tc>
          <w:tcPr>
            <w:tcW w:w="540" w:type="dxa"/>
            <w:tcBorders>
              <w:top w:val="single" w:color="000000" w:sz="4" w:space="0"/>
              <w:right w:val="single" w:color="000000" w:sz="4" w:space="0"/>
            </w:tcBorders>
            <w:vAlign w:val="center"/>
          </w:tcPr>
          <w:p>
            <w:pPr>
              <w:widowControl w:val="0"/>
              <w:spacing w:before="16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5</w:t>
            </w:r>
          </w:p>
        </w:tc>
        <w:tc>
          <w:tcPr>
            <w:tcW w:w="585" w:type="dxa"/>
            <w:tcBorders>
              <w:top w:val="single" w:color="000000" w:sz="4" w:space="0"/>
              <w:left w:val="single" w:color="000000" w:sz="4" w:space="0"/>
              <w:right w:val="single" w:color="000000" w:sz="4" w:space="0"/>
            </w:tcBorders>
            <w:vAlign w:val="center"/>
          </w:tcPr>
          <w:p>
            <w:pPr>
              <w:widowControl w:val="0"/>
              <w:spacing w:before="139"/>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废气</w:t>
            </w:r>
          </w:p>
        </w:tc>
        <w:tc>
          <w:tcPr>
            <w:tcW w:w="735" w:type="dxa"/>
            <w:tcBorders>
              <w:top w:val="single" w:color="000000" w:sz="4" w:space="0"/>
              <w:left w:val="single" w:color="000000" w:sz="4" w:space="0"/>
              <w:right w:val="single" w:color="000000" w:sz="4" w:space="0"/>
            </w:tcBorders>
            <w:vAlign w:val="center"/>
          </w:tcPr>
          <w:p>
            <w:pPr>
              <w:widowControl w:val="0"/>
              <w:spacing w:before="2" w:line="270" w:lineRule="atLeast"/>
              <w:ind w:left="208" w:right="16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污水处理</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75" w:type="dxa"/>
            <w:tcBorders>
              <w:top w:val="single" w:color="000000" w:sz="4" w:space="0"/>
              <w:left w:val="single" w:color="000000" w:sz="4" w:space="0"/>
              <w:right w:val="single" w:color="000000" w:sz="4" w:space="0"/>
            </w:tcBorders>
            <w:vAlign w:val="center"/>
          </w:tcPr>
          <w:p>
            <w:pPr>
              <w:widowControl w:val="0"/>
              <w:spacing w:before="2" w:line="270" w:lineRule="atLeast"/>
              <w:ind w:left="156" w:right="111" w:firstLine="5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烟气流速,</w:t>
            </w:r>
          </w:p>
        </w:tc>
        <w:tc>
          <w:tcPr>
            <w:tcW w:w="660" w:type="dxa"/>
            <w:tcBorders>
              <w:top w:val="single" w:color="000000" w:sz="4" w:space="0"/>
              <w:left w:val="single" w:color="000000" w:sz="4" w:space="0"/>
              <w:right w:val="single" w:color="000000" w:sz="4" w:space="0"/>
            </w:tcBorders>
            <w:vAlign w:val="center"/>
          </w:tcPr>
          <w:p>
            <w:pPr>
              <w:widowControl w:val="0"/>
              <w:spacing w:before="139"/>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硫化氢</w:t>
            </w:r>
          </w:p>
        </w:tc>
        <w:tc>
          <w:tcPr>
            <w:tcW w:w="630" w:type="dxa"/>
            <w:tcBorders>
              <w:top w:val="single" w:color="000000" w:sz="4" w:space="0"/>
              <w:left w:val="single" w:color="000000" w:sz="4" w:space="0"/>
              <w:right w:val="single" w:color="000000" w:sz="4" w:space="0"/>
            </w:tcBorders>
            <w:vAlign w:val="center"/>
          </w:tcPr>
          <w:p>
            <w:pPr>
              <w:widowControl w:val="0"/>
              <w:spacing w:before="139"/>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9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889"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16"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169" w:type="dxa"/>
            <w:tcBorders>
              <w:top w:val="single" w:color="000000" w:sz="4" w:space="0"/>
              <w:left w:val="single" w:color="000000" w:sz="4" w:space="0"/>
              <w:right w:val="single" w:color="000000" w:sz="4" w:space="0"/>
            </w:tcBorders>
            <w:vAlign w:val="center"/>
          </w:tcPr>
          <w:p>
            <w:pPr>
              <w:widowControl w:val="0"/>
              <w:spacing w:before="2" w:line="270" w:lineRule="atLeast"/>
              <w:ind w:left="476" w:right="110" w:hanging="31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非连续采样</w:t>
            </w:r>
          </w:p>
        </w:tc>
        <w:tc>
          <w:tcPr>
            <w:tcW w:w="991" w:type="dxa"/>
            <w:tcBorders>
              <w:top w:val="single" w:color="000000" w:sz="4" w:space="0"/>
              <w:left w:val="single" w:color="000000" w:sz="4" w:space="0"/>
              <w:right w:val="single" w:color="000000" w:sz="4" w:space="0"/>
            </w:tcBorders>
            <w:vAlign w:val="center"/>
          </w:tcPr>
          <w:p>
            <w:pPr>
              <w:widowControl w:val="0"/>
              <w:spacing w:before="139"/>
              <w:ind w:left="20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155" w:type="dxa"/>
            <w:tcBorders>
              <w:top w:val="single" w:color="000000" w:sz="4" w:space="0"/>
              <w:left w:val="single" w:color="000000" w:sz="4" w:space="0"/>
              <w:right w:val="single" w:color="000000" w:sz="4" w:space="0"/>
            </w:tcBorders>
            <w:vAlign w:val="center"/>
          </w:tcPr>
          <w:p>
            <w:pPr>
              <w:widowControl w:val="0"/>
              <w:spacing w:before="2" w:line="270" w:lineRule="atLeast"/>
              <w:ind w:left="188" w:right="42" w:firstLine="2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空气质量  硫化氢 甲硫醇</w:t>
            </w:r>
          </w:p>
        </w:tc>
        <w:tc>
          <w:tcPr>
            <w:tcW w:w="645" w:type="dxa"/>
            <w:tcBorders>
              <w:top w:val="single" w:color="000000" w:sz="4" w:space="0"/>
              <w:lef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bl>
    <w:tbl>
      <w:tblPr>
        <w:tblStyle w:val="51"/>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85"/>
        <w:gridCol w:w="636"/>
        <w:gridCol w:w="735"/>
        <w:gridCol w:w="600"/>
        <w:gridCol w:w="959"/>
        <w:gridCol w:w="645"/>
        <w:gridCol w:w="600"/>
        <w:gridCol w:w="705"/>
        <w:gridCol w:w="615"/>
        <w:gridCol w:w="900"/>
        <w:gridCol w:w="1020"/>
        <w:gridCol w:w="1170"/>
        <w:gridCol w:w="840"/>
        <w:gridCol w:w="885"/>
        <w:gridCol w:w="109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16" w:hRule="atLeast"/>
          <w:jc w:val="center"/>
        </w:trPr>
        <w:tc>
          <w:tcPr>
            <w:tcW w:w="585" w:type="dxa"/>
            <w:tcBorders>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36" w:type="dxa"/>
            <w:tcBorders>
              <w:left w:val="single" w:color="000000" w:sz="4" w:space="0"/>
              <w:bottom w:val="single" w:color="000000" w:sz="4" w:space="0"/>
              <w:right w:val="single" w:color="000000" w:sz="4" w:space="0"/>
            </w:tcBorders>
            <w:vAlign w:val="top"/>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735" w:type="dxa"/>
            <w:tcBorders>
              <w:left w:val="single" w:color="000000" w:sz="4" w:space="0"/>
              <w:bottom w:val="single" w:color="000000" w:sz="4" w:space="0"/>
              <w:right w:val="single" w:color="000000" w:sz="4" w:space="0"/>
            </w:tcBorders>
            <w:vAlign w:val="top"/>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00" w:type="dxa"/>
            <w:tcBorders>
              <w:left w:val="single" w:color="000000" w:sz="4" w:space="0"/>
              <w:bottom w:val="single" w:color="000000" w:sz="4" w:space="0"/>
              <w:right w:val="single" w:color="000000" w:sz="4" w:space="0"/>
            </w:tcBorders>
            <w:vAlign w:val="top"/>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959"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645"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05" w:type="dxa"/>
            <w:tcBorders>
              <w:left w:val="single" w:color="000000" w:sz="4" w:space="0"/>
              <w:bottom w:val="single" w:color="000000" w:sz="4" w:space="0"/>
              <w:right w:val="single" w:color="000000" w:sz="4" w:space="0"/>
            </w:tcBorders>
            <w:vAlign w:val="top"/>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61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90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20" w:type="dxa"/>
            <w:tcBorders>
              <w:left w:val="single" w:color="000000" w:sz="4" w:space="0"/>
              <w:bottom w:val="single" w:color="000000" w:sz="4" w:space="0"/>
              <w:right w:val="single" w:color="000000" w:sz="4" w:space="0"/>
            </w:tcBorders>
            <w:vAlign w:val="top"/>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170" w:type="dxa"/>
            <w:tcBorders>
              <w:left w:val="single" w:color="000000" w:sz="4" w:space="0"/>
              <w:bottom w:val="single" w:color="000000" w:sz="4" w:space="0"/>
              <w:right w:val="single" w:color="000000" w:sz="4" w:space="0"/>
            </w:tcBorders>
            <w:vAlign w:val="top"/>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84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88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096" w:type="dxa"/>
            <w:tcBorders>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10" w:hRule="atLeast"/>
          <w:jc w:val="center"/>
        </w:trPr>
        <w:tc>
          <w:tcPr>
            <w:tcW w:w="585"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36"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vAlign w:val="top"/>
          </w:tcPr>
          <w:p>
            <w:pPr>
              <w:widowControl w:val="0"/>
              <w:spacing w:before="3" w:line="242" w:lineRule="auto"/>
              <w:ind w:left="313" w:right="166" w:hanging="1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站周界</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59"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56" w:right="11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烟气温度, 烟气压力, 烟气量</w:t>
            </w:r>
          </w:p>
        </w:tc>
        <w:tc>
          <w:tcPr>
            <w:tcW w:w="6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02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left="21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至少3个</w:t>
            </w:r>
          </w:p>
        </w:tc>
        <w:tc>
          <w:tcPr>
            <w:tcW w:w="84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8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left="187"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甲硫醚 </w:t>
            </w:r>
          </w:p>
          <w:p>
            <w:pPr>
              <w:widowControl w:val="0"/>
              <w:spacing w:before="3" w:line="256" w:lineRule="auto"/>
              <w:ind w:left="135"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二甲二硫的测定气相色谱法GB/T14678-1993</w:t>
            </w:r>
          </w:p>
        </w:tc>
        <w:tc>
          <w:tcPr>
            <w:tcW w:w="1096"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265" w:hRule="atLeast"/>
          <w:jc w:val="center"/>
        </w:trPr>
        <w:tc>
          <w:tcPr>
            <w:tcW w:w="585"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6</w:t>
            </w:r>
          </w:p>
        </w:tc>
        <w:tc>
          <w:tcPr>
            <w:tcW w:w="636"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73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26"/>
                <w:szCs w:val="24"/>
                <w:lang w:val="zh-CN" w:eastAsia="zh-CN" w:bidi="zh-CN"/>
              </w:rPr>
            </w:pPr>
          </w:p>
          <w:p>
            <w:pPr>
              <w:widowControl w:val="0"/>
              <w:spacing w:before="1"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959"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6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pH值</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w:t>
            </w:r>
          </w:p>
        </w:tc>
        <w:tc>
          <w:tcPr>
            <w:tcW w:w="70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27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否</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5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9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50"/>
              <w:ind w:left="4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102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21"/>
              <w:ind w:left="4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是</w:t>
            </w:r>
          </w:p>
        </w:tc>
        <w:tc>
          <w:tcPr>
            <w:tcW w:w="117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26"/>
                <w:szCs w:val="24"/>
                <w:lang w:val="zh-CN" w:eastAsia="zh-CN" w:bidi="zh-CN"/>
              </w:rPr>
            </w:pPr>
          </w:p>
          <w:p>
            <w:pPr>
              <w:widowControl w:val="0"/>
              <w:spacing w:before="1" w:line="242" w:lineRule="auto"/>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84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72"/>
              <w:ind w:left="95" w:right="4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4次/天</w:t>
            </w:r>
          </w:p>
          <w:p>
            <w:pPr>
              <w:widowControl w:val="0"/>
              <w:spacing w:before="4" w:line="242" w:lineRule="auto"/>
              <w:ind w:left="156" w:right="106"/>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，间隔不超过</w:t>
            </w:r>
            <w:r>
              <w:rPr>
                <w:rFonts w:ascii="宋体" w:hAnsi="宋体" w:eastAsia="宋体" w:cs="宋体"/>
                <w:spacing w:val="-19"/>
                <w:kern w:val="2"/>
                <w:sz w:val="21"/>
                <w:szCs w:val="24"/>
                <w:lang w:val="zh-CN" w:eastAsia="zh-CN" w:bidi="zh-CN"/>
              </w:rPr>
              <w:t xml:space="preserve">6 </w:t>
            </w:r>
            <w:r>
              <w:rPr>
                <w:rFonts w:ascii="宋体" w:hAnsi="宋体" w:eastAsia="宋体" w:cs="宋体"/>
                <w:kern w:val="2"/>
                <w:sz w:val="21"/>
                <w:szCs w:val="24"/>
                <w:lang w:val="zh-CN" w:eastAsia="zh-CN" w:bidi="zh-CN"/>
              </w:rPr>
              <w:t>小时</w:t>
            </w:r>
          </w:p>
        </w:tc>
        <w:tc>
          <w:tcPr>
            <w:tcW w:w="8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72"/>
              <w:ind w:left="187"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p>
            <w:pPr>
              <w:widowControl w:val="0"/>
              <w:spacing w:before="4"/>
              <w:ind w:left="187"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pH值的测定 </w:t>
            </w:r>
          </w:p>
          <w:p>
            <w:pPr>
              <w:widowControl w:val="0"/>
              <w:spacing w:before="3" w:line="268" w:lineRule="auto"/>
              <w:ind w:left="188"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玻璃电极法 GB 6920-1986</w:t>
            </w:r>
          </w:p>
        </w:tc>
        <w:tc>
          <w:tcPr>
            <w:tcW w:w="1096" w:type="dxa"/>
            <w:tcBorders>
              <w:top w:val="single" w:color="000000" w:sz="4" w:space="0"/>
              <w:left w:val="single" w:color="000000" w:sz="4" w:space="0"/>
              <w:bottom w:val="single" w:color="000000" w:sz="4" w:space="0"/>
            </w:tcBorders>
            <w:vAlign w:val="top"/>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自动监测设备故障或停运超过24小时无法恢复的，应当采用手工监测的方式对污染物排放状况进行监测</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11" w:hRule="atLeast"/>
          <w:jc w:val="center"/>
        </w:trPr>
        <w:tc>
          <w:tcPr>
            <w:tcW w:w="585" w:type="dxa"/>
            <w:tcBorders>
              <w:top w:val="single" w:color="000000" w:sz="4" w:space="0"/>
              <w:right w:val="single" w:color="000000" w:sz="4" w:space="0"/>
            </w:tcBorders>
            <w:vAlign w:val="top"/>
          </w:tcPr>
          <w:p>
            <w:pPr>
              <w:widowControl w:val="0"/>
              <w:spacing w:before="32" w:line="220" w:lineRule="exact"/>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7</w:t>
            </w:r>
          </w:p>
        </w:tc>
        <w:tc>
          <w:tcPr>
            <w:tcW w:w="636" w:type="dxa"/>
            <w:tcBorders>
              <w:top w:val="single" w:color="000000" w:sz="4" w:space="0"/>
              <w:left w:val="single" w:color="000000" w:sz="4" w:space="0"/>
              <w:right w:val="single" w:color="000000" w:sz="4" w:space="0"/>
            </w:tcBorders>
            <w:vAlign w:val="top"/>
          </w:tcPr>
          <w:p>
            <w:pPr>
              <w:widowControl w:val="0"/>
              <w:spacing w:before="3" w:line="249" w:lineRule="exact"/>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735" w:type="dxa"/>
            <w:tcBorders>
              <w:top w:val="single" w:color="000000" w:sz="4" w:space="0"/>
              <w:left w:val="single" w:color="000000" w:sz="4" w:space="0"/>
              <w:right w:val="single" w:color="000000" w:sz="4" w:space="0"/>
            </w:tcBorders>
            <w:vAlign w:val="top"/>
          </w:tcPr>
          <w:p>
            <w:pPr>
              <w:widowControl w:val="0"/>
              <w:spacing w:before="32" w:line="220" w:lineRule="exact"/>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w:t>
            </w:r>
          </w:p>
        </w:tc>
        <w:tc>
          <w:tcPr>
            <w:tcW w:w="959" w:type="dxa"/>
            <w:tcBorders>
              <w:top w:val="single" w:color="000000" w:sz="4" w:space="0"/>
              <w:left w:val="single" w:color="000000" w:sz="4" w:space="0"/>
              <w:right w:val="single" w:color="000000" w:sz="4" w:space="0"/>
            </w:tcBorders>
            <w:vAlign w:val="top"/>
          </w:tcPr>
          <w:p>
            <w:pPr>
              <w:widowControl w:val="0"/>
              <w:spacing w:before="3" w:line="249" w:lineRule="exact"/>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645" w:type="dxa"/>
            <w:tcBorders>
              <w:top w:val="single" w:color="000000" w:sz="4" w:space="0"/>
              <w:left w:val="single" w:color="000000" w:sz="4" w:space="0"/>
              <w:right w:val="single" w:color="000000" w:sz="4" w:space="0"/>
            </w:tcBorders>
            <w:vAlign w:val="top"/>
          </w:tcPr>
          <w:p>
            <w:pPr>
              <w:widowControl w:val="0"/>
              <w:spacing w:before="3" w:line="249" w:lineRule="exact"/>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色度</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0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0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02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170" w:type="dxa"/>
            <w:tcBorders>
              <w:top w:val="single" w:color="000000" w:sz="4" w:space="0"/>
              <w:left w:val="single" w:color="000000" w:sz="4" w:space="0"/>
              <w:right w:val="single" w:color="000000" w:sz="4" w:space="0"/>
            </w:tcBorders>
            <w:vAlign w:val="top"/>
          </w:tcPr>
          <w:p>
            <w:pPr>
              <w:widowControl w:val="0"/>
              <w:spacing w:before="3" w:line="249" w:lineRule="exact"/>
              <w:ind w:lef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瞬时采样 </w:t>
            </w:r>
          </w:p>
        </w:tc>
        <w:tc>
          <w:tcPr>
            <w:tcW w:w="840" w:type="dxa"/>
            <w:tcBorders>
              <w:top w:val="single" w:color="000000" w:sz="4" w:space="0"/>
              <w:left w:val="single" w:color="000000" w:sz="4" w:space="0"/>
              <w:right w:val="single" w:color="000000" w:sz="4" w:space="0"/>
            </w:tcBorders>
            <w:vAlign w:val="top"/>
          </w:tcPr>
          <w:p>
            <w:pPr>
              <w:widowControl w:val="0"/>
              <w:spacing w:before="3" w:line="249" w:lineRule="exact"/>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885" w:type="dxa"/>
            <w:tcBorders>
              <w:top w:val="single" w:color="000000" w:sz="4" w:space="0"/>
              <w:left w:val="single" w:color="000000" w:sz="4" w:space="0"/>
              <w:right w:val="single" w:color="000000" w:sz="4" w:space="0"/>
            </w:tcBorders>
            <w:vAlign w:val="top"/>
          </w:tcPr>
          <w:p>
            <w:pPr>
              <w:widowControl w:val="0"/>
              <w:spacing w:before="3" w:line="249" w:lineRule="exact"/>
              <w:ind w:left="66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tc>
        <w:tc>
          <w:tcPr>
            <w:tcW w:w="1096" w:type="dxa"/>
            <w:tcBorders>
              <w:top w:val="single" w:color="000000" w:sz="4" w:space="0"/>
              <w:lef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bl>
    <w:p>
      <w:pPr>
        <w:widowControl w:val="0"/>
        <w:jc w:val="both"/>
        <w:rPr>
          <w:rFonts w:ascii="Microsoft JhengHei" w:hAnsi="宋体" w:eastAsia="宋体" w:cs="宋体"/>
          <w:b/>
          <w:kern w:val="2"/>
          <w:sz w:val="20"/>
          <w:szCs w:val="21"/>
          <w:lang w:val="zh-CN" w:eastAsia="zh-CN" w:bidi="zh-CN"/>
        </w:rPr>
      </w:pPr>
    </w:p>
    <w:p>
      <w:pPr>
        <w:widowControl w:val="0"/>
        <w:jc w:val="both"/>
        <w:rPr>
          <w:rFonts w:ascii="Times New Roman" w:hAnsi="宋体" w:eastAsia="宋体" w:cs="宋体"/>
          <w:kern w:val="2"/>
          <w:sz w:val="20"/>
          <w:szCs w:val="21"/>
          <w:lang w:val="zh-CN" w:eastAsia="zh-CN" w:bidi="zh-CN"/>
        </w:rPr>
      </w:pPr>
    </w:p>
    <w:p>
      <w:pPr>
        <w:widowControl w:val="0"/>
        <w:spacing w:before="10"/>
        <w:jc w:val="both"/>
        <w:rPr>
          <w:rFonts w:ascii="Times New Roman" w:hAnsi="宋体" w:eastAsia="宋体" w:cs="宋体"/>
          <w:kern w:val="2"/>
          <w:sz w:val="18"/>
          <w:szCs w:val="21"/>
          <w:lang w:val="zh-CN" w:eastAsia="zh-CN" w:bidi="zh-CN"/>
        </w:rPr>
      </w:pPr>
    </w:p>
    <w:tbl>
      <w:tblPr>
        <w:tblStyle w:val="51"/>
        <w:tblW w:w="12030" w:type="dxa"/>
        <w:tblInd w:w="973"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35"/>
        <w:gridCol w:w="615"/>
        <w:gridCol w:w="555"/>
        <w:gridCol w:w="630"/>
        <w:gridCol w:w="585"/>
        <w:gridCol w:w="570"/>
        <w:gridCol w:w="735"/>
        <w:gridCol w:w="600"/>
        <w:gridCol w:w="705"/>
        <w:gridCol w:w="600"/>
        <w:gridCol w:w="990"/>
        <w:gridCol w:w="1050"/>
        <w:gridCol w:w="570"/>
        <w:gridCol w:w="1845"/>
        <w:gridCol w:w="124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35" w:type="dxa"/>
            <w:tcBorders>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15" w:type="dxa"/>
            <w:tcBorders>
              <w:left w:val="single" w:color="000000" w:sz="4" w:space="0"/>
              <w:bottom w:val="single" w:color="000000" w:sz="4" w:space="0"/>
              <w:right w:val="single" w:color="000000" w:sz="4" w:space="0"/>
            </w:tcBorders>
            <w:vAlign w:val="center"/>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555" w:type="dxa"/>
            <w:tcBorders>
              <w:left w:val="single" w:color="000000" w:sz="4" w:space="0"/>
              <w:bottom w:val="single" w:color="000000" w:sz="4" w:space="0"/>
              <w:right w:val="single" w:color="000000" w:sz="4" w:space="0"/>
            </w:tcBorders>
            <w:vAlign w:val="center"/>
          </w:tcPr>
          <w:p>
            <w:pPr>
              <w:widowControl w:val="0"/>
              <w:spacing w:before="139" w:line="242" w:lineRule="auto"/>
              <w:ind w:left="41" w:right="16"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30" w:type="dxa"/>
            <w:tcBorders>
              <w:left w:val="single" w:color="000000" w:sz="4" w:space="0"/>
              <w:bottom w:val="single" w:color="000000" w:sz="4" w:space="0"/>
              <w:right w:val="single" w:color="000000" w:sz="4" w:space="0"/>
            </w:tcBorders>
            <w:vAlign w:val="center"/>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585"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44" w:right="13"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570" w:type="dxa"/>
            <w:tcBorders>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735" w:type="dxa"/>
            <w:tcBorders>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600" w:type="dxa"/>
            <w:tcBorders>
              <w:left w:val="single" w:color="000000" w:sz="4" w:space="0"/>
              <w:bottom w:val="single" w:color="000000" w:sz="4" w:space="0"/>
              <w:right w:val="single" w:color="000000" w:sz="4" w:space="0"/>
            </w:tcBorders>
            <w:vAlign w:val="center"/>
          </w:tcPr>
          <w:p>
            <w:pPr>
              <w:widowControl w:val="0"/>
              <w:spacing w:before="139" w:line="242" w:lineRule="auto"/>
              <w:ind w:left="49" w:right="1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705" w:type="dxa"/>
            <w:tcBorders>
              <w:left w:val="single" w:color="000000" w:sz="4" w:space="0"/>
              <w:bottom w:val="single" w:color="000000" w:sz="4" w:space="0"/>
              <w:right w:val="single" w:color="000000" w:sz="4" w:space="0"/>
            </w:tcBorders>
            <w:vAlign w:val="center"/>
          </w:tcPr>
          <w:p>
            <w:pPr>
              <w:widowControl w:val="0"/>
              <w:spacing w:line="242" w:lineRule="auto"/>
              <w:ind w:right="84"/>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600" w:type="dxa"/>
            <w:tcBorders>
              <w:left w:val="single" w:color="000000" w:sz="4" w:space="0"/>
              <w:bottom w:val="single" w:color="000000" w:sz="4" w:space="0"/>
              <w:right w:val="single" w:color="000000" w:sz="4" w:space="0"/>
            </w:tcBorders>
            <w:vAlign w:val="center"/>
          </w:tcPr>
          <w:p>
            <w:pPr>
              <w:widowControl w:val="0"/>
              <w:spacing w:line="242" w:lineRule="auto"/>
              <w:ind w:right="3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990" w:type="dxa"/>
            <w:tcBorders>
              <w:left w:val="single" w:color="000000" w:sz="4" w:space="0"/>
              <w:bottom w:val="single" w:color="000000" w:sz="4" w:space="0"/>
              <w:right w:val="single" w:color="000000" w:sz="4" w:space="0"/>
            </w:tcBorders>
            <w:vAlign w:val="center"/>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050" w:type="dxa"/>
            <w:tcBorders>
              <w:left w:val="single" w:color="000000" w:sz="4" w:space="0"/>
              <w:bottom w:val="single" w:color="000000" w:sz="4" w:space="0"/>
              <w:right w:val="single" w:color="000000" w:sz="4" w:space="0"/>
            </w:tcBorders>
            <w:vAlign w:val="center"/>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570"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29" w:right="21" w:firstLine="5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845" w:type="dxa"/>
            <w:tcBorders>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245" w:type="dxa"/>
            <w:tcBorders>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0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6"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2" w:line="270" w:lineRule="atLeast"/>
              <w:ind w:right="16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色度的测</w:t>
            </w:r>
            <w:r>
              <w:rPr>
                <w:rFonts w:hint="eastAsia" w:ascii="宋体" w:hAnsi="宋体" w:eastAsia="宋体" w:cs="宋体"/>
                <w:kern w:val="2"/>
                <w:sz w:val="21"/>
                <w:szCs w:val="24"/>
                <w:lang w:val="zh-CN" w:eastAsia="zh-CN" w:bidi="zh-CN"/>
              </w:rPr>
              <w:t>定</w:t>
            </w:r>
            <w:r>
              <w:rPr>
                <w:rFonts w:ascii="宋体" w:hAnsi="宋体" w:eastAsia="宋体" w:cs="宋体"/>
                <w:kern w:val="2"/>
                <w:sz w:val="21"/>
                <w:szCs w:val="24"/>
                <w:lang w:val="zh-CN" w:eastAsia="zh-CN" w:bidi="zh-CN"/>
              </w:rPr>
              <w:t>GB 11903-89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27"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4"/>
              <w:jc w:val="center"/>
              <w:rPr>
                <w:rFonts w:ascii="Times New Roman" w:hAnsi="宋体" w:eastAsia="宋体" w:cs="宋体"/>
                <w:kern w:val="2"/>
                <w:sz w:val="18"/>
                <w:szCs w:val="24"/>
                <w:lang w:val="zh-CN" w:eastAsia="zh-CN" w:bidi="zh-CN"/>
              </w:rPr>
            </w:pPr>
          </w:p>
          <w:p>
            <w:pPr>
              <w:widowControl w:val="0"/>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8</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4"/>
              <w:jc w:val="center"/>
              <w:rPr>
                <w:rFonts w:ascii="Times New Roman" w:hAnsi="宋体" w:eastAsia="宋体" w:cs="宋体"/>
                <w:kern w:val="2"/>
                <w:sz w:val="18"/>
                <w:szCs w:val="24"/>
                <w:lang w:val="zh-CN" w:eastAsia="zh-CN" w:bidi="zh-CN"/>
              </w:rPr>
            </w:pPr>
          </w:p>
          <w:p>
            <w:pPr>
              <w:widowControl w:val="0"/>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before="139"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悬浮物</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9"/>
              <w:jc w:val="center"/>
              <w:rPr>
                <w:rFonts w:ascii="Times New Roman" w:hAnsi="宋体" w:eastAsia="宋体" w:cs="宋体"/>
                <w:kern w:val="2"/>
                <w:sz w:val="15"/>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139"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1次/周</w:t>
            </w: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line="242" w:lineRule="auto"/>
              <w:ind w:right="9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水质悬浮物的测定重量法 GB11901-1989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637" w:hRule="atLeast"/>
        </w:trPr>
        <w:tc>
          <w:tcPr>
            <w:tcW w:w="735"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38"/>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9</w:t>
            </w:r>
          </w:p>
        </w:tc>
        <w:tc>
          <w:tcPr>
            <w:tcW w:w="61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spacing w:line="242" w:lineRule="auto"/>
              <w:ind w:right="12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五日生化需氧量</w:t>
            </w:r>
          </w:p>
        </w:tc>
        <w:tc>
          <w:tcPr>
            <w:tcW w:w="73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705"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99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1050" w:type="dxa"/>
            <w:tcBorders>
              <w:top w:val="single" w:color="000000" w:sz="4" w:space="0"/>
              <w:left w:val="single" w:color="000000" w:sz="4" w:space="0"/>
              <w:bottom w:val="single" w:color="000000" w:sz="4" w:space="0"/>
              <w:right w:val="single" w:color="000000" w:sz="4" w:space="0"/>
            </w:tcBorders>
            <w:vAlign w:val="center"/>
          </w:tcPr>
          <w:p>
            <w:pPr>
              <w:widowControl w:val="0"/>
              <w:spacing w:before="11"/>
              <w:jc w:val="center"/>
              <w:rPr>
                <w:rFonts w:ascii="Times New Roman" w:hAnsi="宋体" w:eastAsia="宋体" w:cs="宋体"/>
                <w:kern w:val="2"/>
                <w:sz w:val="23"/>
                <w:szCs w:val="24"/>
                <w:lang w:val="zh-CN" w:eastAsia="zh-CN" w:bidi="zh-CN"/>
              </w:rPr>
            </w:pPr>
          </w:p>
          <w:p>
            <w:pPr>
              <w:widowControl w:val="0"/>
              <w:spacing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845" w:type="dxa"/>
            <w:tcBorders>
              <w:top w:val="single" w:color="000000" w:sz="4" w:space="0"/>
              <w:left w:val="single" w:color="000000" w:sz="4" w:space="0"/>
              <w:bottom w:val="single" w:color="000000" w:sz="4" w:space="0"/>
              <w:right w:val="single" w:color="000000" w:sz="4" w:space="0"/>
            </w:tcBorders>
            <w:vAlign w:val="center"/>
          </w:tcPr>
          <w:p>
            <w:pPr>
              <w:widowControl w:val="0"/>
              <w:spacing w:before="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水质五日生化需氧量（BOD5）的测定稀释与接种法</w:t>
            </w:r>
          </w:p>
          <w:p>
            <w:pPr>
              <w:widowControl w:val="0"/>
              <w:spacing w:before="30" w:line="220" w:lineRule="exact"/>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HJ505-2009</w:t>
            </w:r>
          </w:p>
        </w:tc>
        <w:tc>
          <w:tcPr>
            <w:tcW w:w="1245" w:type="dxa"/>
            <w:tcBorders>
              <w:top w:val="single" w:color="000000" w:sz="4" w:space="0"/>
              <w:left w:val="single" w:color="000000" w:sz="4" w:space="0"/>
              <w:bottom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178" w:hRule="atLeast"/>
        </w:trPr>
        <w:tc>
          <w:tcPr>
            <w:tcW w:w="735" w:type="dxa"/>
            <w:tcBorders>
              <w:top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10</w:t>
            </w:r>
          </w:p>
        </w:tc>
        <w:tc>
          <w:tcPr>
            <w:tcW w:w="61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16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55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15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30" w:type="dxa"/>
            <w:tcBorders>
              <w:top w:val="single" w:color="000000" w:sz="4" w:space="0"/>
              <w:left w:val="single" w:color="000000" w:sz="4" w:space="0"/>
              <w:right w:val="single" w:color="000000" w:sz="4" w:space="0"/>
            </w:tcBorders>
            <w:vAlign w:val="center"/>
          </w:tcPr>
          <w:p>
            <w:pPr>
              <w:widowControl w:val="0"/>
              <w:spacing w:line="242" w:lineRule="auto"/>
              <w:ind w:right="16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09"/>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7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130" w:line="242" w:lineRule="auto"/>
              <w:ind w:right="12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化学需氧量</w:t>
            </w:r>
          </w:p>
        </w:tc>
        <w:tc>
          <w:tcPr>
            <w:tcW w:w="73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27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否</w:t>
            </w:r>
          </w:p>
        </w:tc>
        <w:tc>
          <w:tcPr>
            <w:tcW w:w="70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51"/>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60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8"/>
              <w:jc w:val="center"/>
              <w:rPr>
                <w:rFonts w:ascii="Times New Roman" w:hAnsi="宋体" w:eastAsia="宋体" w:cs="宋体"/>
                <w:kern w:val="2"/>
                <w:sz w:val="25"/>
                <w:szCs w:val="24"/>
                <w:lang w:val="zh-CN" w:eastAsia="zh-CN" w:bidi="zh-CN"/>
              </w:rPr>
            </w:pPr>
          </w:p>
          <w:p>
            <w:pPr>
              <w:widowControl w:val="0"/>
              <w:ind w:left="4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w:t>
            </w:r>
          </w:p>
        </w:tc>
        <w:tc>
          <w:tcPr>
            <w:tcW w:w="99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2"/>
              <w:jc w:val="center"/>
              <w:rPr>
                <w:rFonts w:ascii="Times New Roman" w:hAnsi="宋体" w:eastAsia="宋体" w:cs="宋体"/>
                <w:kern w:val="2"/>
                <w:sz w:val="23"/>
                <w:szCs w:val="24"/>
                <w:lang w:val="zh-CN" w:eastAsia="zh-CN" w:bidi="zh-CN"/>
              </w:rPr>
            </w:pPr>
          </w:p>
          <w:p>
            <w:pPr>
              <w:widowControl w:val="0"/>
              <w:ind w:left="4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是</w:t>
            </w:r>
          </w:p>
        </w:tc>
        <w:tc>
          <w:tcPr>
            <w:tcW w:w="105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5"/>
              <w:jc w:val="center"/>
              <w:rPr>
                <w:rFonts w:ascii="Times New Roman" w:hAnsi="宋体" w:eastAsia="宋体" w:cs="宋体"/>
                <w:kern w:val="2"/>
                <w:sz w:val="19"/>
                <w:szCs w:val="24"/>
                <w:lang w:val="zh-CN" w:eastAsia="zh-CN" w:bidi="zh-CN"/>
              </w:rPr>
            </w:pPr>
          </w:p>
          <w:p>
            <w:pPr>
              <w:widowControl w:val="0"/>
              <w:spacing w:line="242" w:lineRule="auto"/>
              <w:ind w:left="213" w:right="5"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ind w:right="46"/>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4次/天</w:t>
            </w:r>
          </w:p>
          <w:p>
            <w:pPr>
              <w:widowControl w:val="0"/>
              <w:spacing w:before="3" w:line="242" w:lineRule="auto"/>
              <w:ind w:right="106"/>
              <w:jc w:val="both"/>
              <w:rPr>
                <w:rFonts w:ascii="宋体" w:hAnsi="宋体" w:eastAsia="宋体" w:cs="宋体"/>
                <w:kern w:val="2"/>
                <w:sz w:val="21"/>
                <w:szCs w:val="24"/>
                <w:lang w:val="zh-CN" w:eastAsia="zh-CN" w:bidi="zh-CN"/>
              </w:rPr>
            </w:pPr>
          </w:p>
          <w:p>
            <w:pPr>
              <w:widowControl w:val="0"/>
              <w:spacing w:before="3" w:line="242" w:lineRule="auto"/>
              <w:ind w:right="106"/>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，间隔不超过</w:t>
            </w:r>
            <w:r>
              <w:rPr>
                <w:rFonts w:ascii="宋体" w:hAnsi="宋体" w:eastAsia="宋体" w:cs="宋体"/>
                <w:spacing w:val="-19"/>
                <w:kern w:val="2"/>
                <w:sz w:val="21"/>
                <w:szCs w:val="24"/>
                <w:lang w:val="zh-CN" w:eastAsia="zh-CN" w:bidi="zh-CN"/>
              </w:rPr>
              <w:t xml:space="preserve">6 </w:t>
            </w:r>
            <w:r>
              <w:rPr>
                <w:rFonts w:ascii="宋体" w:hAnsi="宋体" w:eastAsia="宋体" w:cs="宋体"/>
                <w:kern w:val="2"/>
                <w:sz w:val="21"/>
                <w:szCs w:val="24"/>
                <w:lang w:val="zh-CN" w:eastAsia="zh-CN" w:bidi="zh-CN"/>
              </w:rPr>
              <w:t>小时</w:t>
            </w:r>
          </w:p>
        </w:tc>
        <w:tc>
          <w:tcPr>
            <w:tcW w:w="1845" w:type="dxa"/>
            <w:tcBorders>
              <w:top w:val="single" w:color="000000" w:sz="4" w:space="0"/>
              <w:left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spacing w:before="7"/>
              <w:jc w:val="center"/>
              <w:rPr>
                <w:rFonts w:ascii="Times New Roman" w:hAnsi="宋体" w:eastAsia="宋体" w:cs="宋体"/>
                <w:kern w:val="2"/>
                <w:sz w:val="27"/>
                <w:szCs w:val="24"/>
                <w:lang w:val="zh-CN" w:eastAsia="zh-CN" w:bidi="zh-CN"/>
              </w:rPr>
            </w:pPr>
          </w:p>
          <w:p>
            <w:pPr>
              <w:widowControl w:val="0"/>
              <w:ind w:left="66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w:t>
            </w:r>
          </w:p>
          <w:p>
            <w:pPr>
              <w:widowControl w:val="0"/>
              <w:spacing w:before="3" w:line="256" w:lineRule="auto"/>
              <w:ind w:left="188" w:right="42" w:hanging="53"/>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化学需氧量的测定 重铬酸盐法HJ 828-2017</w:t>
            </w:r>
          </w:p>
        </w:tc>
        <w:tc>
          <w:tcPr>
            <w:tcW w:w="1245" w:type="dxa"/>
            <w:tcBorders>
              <w:top w:val="single" w:color="000000" w:sz="4" w:space="0"/>
              <w:left w:val="single" w:color="000000" w:sz="4" w:space="0"/>
            </w:tcBorders>
            <w:vAlign w:val="center"/>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自动监测设备故障或停运超过24小时无法恢复的，应当采用手工监测的方</w:t>
            </w:r>
          </w:p>
        </w:tc>
      </w:tr>
    </w:tbl>
    <w:p>
      <w:pPr>
        <w:widowControl w:val="0"/>
        <w:jc w:val="both"/>
        <w:rPr>
          <w:rFonts w:ascii="Times New Roman" w:hAnsi="宋体" w:eastAsia="宋体" w:cs="宋体"/>
          <w:kern w:val="2"/>
          <w:sz w:val="20"/>
          <w:szCs w:val="21"/>
          <w:lang w:val="zh-CN" w:eastAsia="zh-CN" w:bidi="zh-CN"/>
        </w:rPr>
      </w:pPr>
    </w:p>
    <w:tbl>
      <w:tblPr>
        <w:tblStyle w:val="51"/>
        <w:tblpPr w:leftFromText="180" w:rightFromText="180" w:vertAnchor="text" w:horzAnchor="page" w:tblpX="2384" w:tblpY="174"/>
        <w:tblOverlap w:val="never"/>
        <w:tblW w:w="12060" w:type="dxa"/>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80"/>
        <w:gridCol w:w="630"/>
        <w:gridCol w:w="600"/>
        <w:gridCol w:w="675"/>
        <w:gridCol w:w="825"/>
        <w:gridCol w:w="562"/>
        <w:gridCol w:w="848"/>
        <w:gridCol w:w="711"/>
        <w:gridCol w:w="1051"/>
        <w:gridCol w:w="653"/>
        <w:gridCol w:w="1035"/>
        <w:gridCol w:w="735"/>
        <w:gridCol w:w="570"/>
        <w:gridCol w:w="1275"/>
        <w:gridCol w:w="111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80" w:type="dxa"/>
            <w:tcBorders>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630" w:type="dxa"/>
            <w:tcBorders>
              <w:left w:val="single" w:color="000000" w:sz="4" w:space="0"/>
              <w:bottom w:val="single" w:color="000000" w:sz="4" w:space="0"/>
              <w:right w:val="single" w:color="000000" w:sz="4" w:space="0"/>
            </w:tcBorders>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600" w:type="dxa"/>
            <w:tcBorders>
              <w:left w:val="single" w:color="000000" w:sz="4" w:space="0"/>
              <w:bottom w:val="single" w:color="000000" w:sz="4" w:space="0"/>
              <w:right w:val="single" w:color="000000" w:sz="4" w:space="0"/>
            </w:tcBorders>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675" w:type="dxa"/>
            <w:tcBorders>
              <w:left w:val="single" w:color="000000" w:sz="4" w:space="0"/>
              <w:bottom w:val="single" w:color="000000" w:sz="4" w:space="0"/>
              <w:right w:val="single" w:color="000000" w:sz="4" w:space="0"/>
            </w:tcBorders>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82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562"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848" w:type="dxa"/>
            <w:tcBorders>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711" w:type="dxa"/>
            <w:tcBorders>
              <w:left w:val="single" w:color="000000" w:sz="4" w:space="0"/>
              <w:bottom w:val="single" w:color="000000" w:sz="4" w:space="0"/>
              <w:right w:val="single" w:color="000000" w:sz="4" w:space="0"/>
            </w:tcBorders>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1051"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653"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1035" w:type="dxa"/>
            <w:tcBorders>
              <w:left w:val="single" w:color="000000" w:sz="4" w:space="0"/>
              <w:bottom w:val="single" w:color="000000" w:sz="4" w:space="0"/>
              <w:right w:val="single" w:color="000000" w:sz="4" w:space="0"/>
            </w:tcBorders>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735" w:type="dxa"/>
            <w:tcBorders>
              <w:left w:val="single" w:color="000000" w:sz="4" w:space="0"/>
              <w:bottom w:val="single" w:color="000000" w:sz="4" w:space="0"/>
              <w:right w:val="single" w:color="000000" w:sz="4" w:space="0"/>
            </w:tcBorders>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570"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1275" w:type="dxa"/>
            <w:tcBorders>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1110" w:type="dxa"/>
            <w:tcBorders>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89" w:hRule="atLeast"/>
        </w:trPr>
        <w:tc>
          <w:tcPr>
            <w:tcW w:w="780"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57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2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110" w:type="dxa"/>
            <w:tcBorders>
              <w:top w:val="single" w:color="000000" w:sz="4" w:space="0"/>
              <w:left w:val="single" w:color="000000" w:sz="4" w:space="0"/>
              <w:bottom w:val="single" w:color="000000" w:sz="4" w:space="0"/>
            </w:tcBorders>
          </w:tcPr>
          <w:p>
            <w:pPr>
              <w:widowControl w:val="0"/>
              <w:spacing w:before="2" w:line="270" w:lineRule="atLeast"/>
              <w:ind w:left="131" w:right="6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式对污染物排放状况进行监测</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906" w:hRule="atLeast"/>
        </w:trPr>
        <w:tc>
          <w:tcPr>
            <w:tcW w:w="780"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6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11</w:t>
            </w: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6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line="242" w:lineRule="auto"/>
              <w:ind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阴离子表面活性剂</w:t>
            </w: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3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tcPr>
          <w:p>
            <w:pPr>
              <w:widowControl w:val="0"/>
              <w:spacing w:before="13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bottom w:val="single" w:color="000000" w:sz="4" w:space="0"/>
              <w:right w:val="single" w:color="000000" w:sz="4" w:space="0"/>
            </w:tcBorders>
          </w:tcPr>
          <w:p>
            <w:pPr>
              <w:widowControl w:val="0"/>
              <w:spacing w:before="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w:t>
            </w:r>
            <w:r>
              <w:rPr>
                <w:rFonts w:hint="eastAsia" w:ascii="宋体" w:hAnsi="宋体" w:cs="宋体"/>
                <w:kern w:val="2"/>
                <w:sz w:val="21"/>
                <w:szCs w:val="24"/>
                <w:lang w:val="zh-CN" w:eastAsia="zh-CN" w:bidi="zh-CN"/>
              </w:rPr>
              <w:t>质</w:t>
            </w:r>
            <w:r>
              <w:rPr>
                <w:rFonts w:ascii="宋体" w:hAnsi="宋体" w:eastAsia="宋体" w:cs="宋体"/>
                <w:spacing w:val="-3"/>
                <w:kern w:val="2"/>
                <w:sz w:val="21"/>
                <w:szCs w:val="24"/>
                <w:lang w:val="zh-CN" w:eastAsia="zh-CN" w:bidi="zh-CN"/>
              </w:rPr>
              <w:t>阴离子表面活性</w:t>
            </w:r>
            <w:r>
              <w:rPr>
                <w:rFonts w:ascii="宋体" w:hAnsi="宋体" w:eastAsia="宋体" w:cs="宋体"/>
                <w:kern w:val="2"/>
                <w:sz w:val="21"/>
                <w:szCs w:val="24"/>
                <w:lang w:val="zh-CN" w:eastAsia="zh-CN" w:bidi="zh-CN"/>
              </w:rPr>
              <w:t>剂的测定  流动注射-亚甲基蓝分光光度法(HJ 826-2017)</w:t>
            </w:r>
          </w:p>
        </w:tc>
        <w:tc>
          <w:tcPr>
            <w:tcW w:w="1110" w:type="dxa"/>
            <w:tcBorders>
              <w:top w:val="single" w:color="000000" w:sz="4" w:space="0"/>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61" w:hRule="atLeast"/>
        </w:trPr>
        <w:tc>
          <w:tcPr>
            <w:tcW w:w="780"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12</w:t>
            </w:r>
          </w:p>
        </w:tc>
        <w:tc>
          <w:tcPr>
            <w:tcW w:w="63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line="242" w:lineRule="auto"/>
              <w:ind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氨氮（NH 3-N）</w:t>
            </w:r>
          </w:p>
        </w:tc>
        <w:tc>
          <w:tcPr>
            <w:tcW w:w="848"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bottom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bottom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bottom w:val="single" w:color="000000" w:sz="4" w:space="0"/>
              <w:right w:val="single" w:color="000000" w:sz="4" w:space="0"/>
            </w:tcBorders>
          </w:tcPr>
          <w:p>
            <w:pPr>
              <w:widowControl w:val="0"/>
              <w:spacing w:before="3"/>
              <w:ind w:right="4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水质 </w:t>
            </w:r>
          </w:p>
          <w:p>
            <w:pPr>
              <w:widowControl w:val="0"/>
              <w:spacing w:before="3" w:line="242" w:lineRule="auto"/>
              <w:ind w:right="9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氨氮的测定  </w:t>
            </w:r>
            <w:r>
              <w:rPr>
                <w:rFonts w:ascii="宋体" w:hAnsi="宋体" w:eastAsia="宋体" w:cs="宋体"/>
                <w:spacing w:val="-3"/>
                <w:kern w:val="2"/>
                <w:sz w:val="21"/>
                <w:szCs w:val="24"/>
                <w:lang w:val="zh-CN" w:eastAsia="zh-CN" w:bidi="zh-CN"/>
              </w:rPr>
              <w:t>气相分子吸收光</w:t>
            </w:r>
            <w:r>
              <w:rPr>
                <w:rFonts w:ascii="宋体" w:hAnsi="宋体" w:eastAsia="宋体" w:cs="宋体"/>
                <w:kern w:val="2"/>
                <w:sz w:val="21"/>
                <w:szCs w:val="24"/>
                <w:lang w:val="zh-CN" w:eastAsia="zh-CN" w:bidi="zh-CN"/>
              </w:rPr>
              <w:t>谱法 HJ/T</w:t>
            </w:r>
            <w:r>
              <w:rPr>
                <w:rFonts w:ascii="宋体" w:hAnsi="宋体" w:eastAsia="宋体" w:cs="宋体"/>
                <w:spacing w:val="1"/>
                <w:kern w:val="2"/>
                <w:sz w:val="21"/>
                <w:szCs w:val="24"/>
                <w:lang w:val="zh-CN" w:eastAsia="zh-CN" w:bidi="zh-CN"/>
              </w:rPr>
              <w:t xml:space="preserve"> </w:t>
            </w:r>
            <w:r>
              <w:rPr>
                <w:rFonts w:ascii="宋体" w:hAnsi="宋体" w:eastAsia="宋体" w:cs="宋体"/>
                <w:spacing w:val="-5"/>
                <w:kern w:val="2"/>
                <w:sz w:val="21"/>
                <w:szCs w:val="24"/>
                <w:lang w:val="zh-CN" w:eastAsia="zh-CN" w:bidi="zh-CN"/>
              </w:rPr>
              <w:t>195-</w:t>
            </w:r>
          </w:p>
          <w:p>
            <w:pPr>
              <w:widowControl w:val="0"/>
              <w:spacing w:before="32" w:line="220" w:lineRule="exact"/>
              <w:ind w:left="82" w:right="42"/>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2005</w:t>
            </w:r>
          </w:p>
        </w:tc>
        <w:tc>
          <w:tcPr>
            <w:tcW w:w="1110" w:type="dxa"/>
            <w:tcBorders>
              <w:top w:val="single" w:color="000000" w:sz="4" w:space="0"/>
              <w:left w:val="single" w:color="000000" w:sz="4" w:space="0"/>
              <w:bottom w:val="single" w:color="000000" w:sz="4" w:space="0"/>
            </w:tcBorders>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17" w:hRule="atLeast"/>
        </w:trPr>
        <w:tc>
          <w:tcPr>
            <w:tcW w:w="780" w:type="dxa"/>
            <w:tcBorders>
              <w:top w:val="single" w:color="000000" w:sz="4" w:space="0"/>
              <w:right w:val="single" w:color="000000" w:sz="4" w:space="0"/>
            </w:tcBorders>
            <w:vAlign w:val="center"/>
          </w:tcPr>
          <w:p>
            <w:pPr>
              <w:widowControl w:val="0"/>
              <w:spacing w:before="6"/>
              <w:jc w:val="center"/>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13</w:t>
            </w:r>
          </w:p>
        </w:tc>
        <w:tc>
          <w:tcPr>
            <w:tcW w:w="630"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00" w:type="dxa"/>
            <w:tcBorders>
              <w:top w:val="single" w:color="000000" w:sz="4" w:space="0"/>
              <w:left w:val="single" w:color="000000" w:sz="4" w:space="0"/>
              <w:right w:val="single" w:color="000000" w:sz="4" w:space="0"/>
            </w:tcBorders>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675" w:type="dxa"/>
            <w:tcBorders>
              <w:top w:val="single" w:color="000000" w:sz="4" w:space="0"/>
              <w:left w:val="single" w:color="000000" w:sz="4" w:space="0"/>
              <w:right w:val="single" w:color="000000" w:sz="4" w:space="0"/>
            </w:tcBorders>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825"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562"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石油类</w:t>
            </w:r>
          </w:p>
        </w:tc>
        <w:tc>
          <w:tcPr>
            <w:tcW w:w="848"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711"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51"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653"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1035" w:type="dxa"/>
            <w:tcBorders>
              <w:top w:val="single" w:color="000000" w:sz="4" w:space="0"/>
              <w:left w:val="single" w:color="000000" w:sz="4" w:space="0"/>
              <w:right w:val="single" w:color="000000" w:sz="4" w:space="0"/>
            </w:tcBorders>
          </w:tcPr>
          <w:p>
            <w:pPr>
              <w:widowControl w:val="0"/>
              <w:jc w:val="both"/>
              <w:rPr>
                <w:rFonts w:ascii="Times New Roman" w:hAnsi="宋体" w:eastAsia="宋体" w:cs="宋体"/>
                <w:kern w:val="2"/>
                <w:sz w:val="20"/>
                <w:szCs w:val="24"/>
                <w:lang w:val="zh-CN" w:eastAsia="zh-CN" w:bidi="zh-CN"/>
              </w:rPr>
            </w:pPr>
          </w:p>
        </w:tc>
        <w:tc>
          <w:tcPr>
            <w:tcW w:w="735" w:type="dxa"/>
            <w:tcBorders>
              <w:top w:val="single" w:color="000000" w:sz="4" w:space="0"/>
              <w:left w:val="single" w:color="000000" w:sz="4" w:space="0"/>
              <w:right w:val="single" w:color="000000" w:sz="4" w:space="0"/>
            </w:tcBorders>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570" w:type="dxa"/>
            <w:tcBorders>
              <w:top w:val="single" w:color="000000" w:sz="4" w:space="0"/>
              <w:left w:val="single" w:color="000000" w:sz="4" w:space="0"/>
              <w:right w:val="single" w:color="000000" w:sz="4" w:space="0"/>
            </w:tcBorders>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1275" w:type="dxa"/>
            <w:tcBorders>
              <w:top w:val="single" w:color="000000" w:sz="4" w:space="0"/>
              <w:left w:val="single" w:color="000000" w:sz="4" w:space="0"/>
              <w:right w:val="single" w:color="000000" w:sz="4" w:space="0"/>
            </w:tcBorders>
          </w:tcPr>
          <w:p>
            <w:pPr>
              <w:widowControl w:val="0"/>
              <w:spacing w:before="3"/>
              <w:ind w:left="660"/>
              <w:jc w:val="both"/>
              <w:rPr>
                <w:lang w:val="zh-CN" w:eastAsia="zh-CN"/>
              </w:rPr>
            </w:pPr>
            <w:r>
              <w:rPr>
                <w:lang w:val="zh-CN" w:eastAsia="zh-CN"/>
              </w:rPr>
              <w:t xml:space="preserve">水质 </w:t>
            </w:r>
          </w:p>
          <w:p>
            <w:pPr>
              <w:widowControl w:val="0"/>
              <w:spacing w:before="2" w:line="270" w:lineRule="atLeast"/>
              <w:ind w:left="345" w:right="93" w:hanging="210"/>
              <w:jc w:val="both"/>
              <w:rPr>
                <w:lang w:val="zh-CN" w:eastAsia="zh-CN"/>
              </w:rPr>
            </w:pPr>
            <w:r>
              <w:rPr>
                <w:lang w:val="zh-CN" w:eastAsia="zh-CN"/>
              </w:rPr>
              <w:t xml:space="preserve">石油类和动植物油类的测定 </w:t>
            </w:r>
          </w:p>
          <w:p>
            <w:pPr>
              <w:pStyle w:val="34"/>
              <w:rPr>
                <w:lang w:val="zh-CN" w:eastAsia="zh-CN"/>
              </w:rPr>
            </w:pPr>
          </w:p>
          <w:p>
            <w:pPr>
              <w:rPr>
                <w:lang w:val="zh-CN" w:eastAsia="zh-CN"/>
              </w:rPr>
            </w:pPr>
          </w:p>
        </w:tc>
        <w:tc>
          <w:tcPr>
            <w:tcW w:w="1110" w:type="dxa"/>
            <w:tcBorders>
              <w:top w:val="single" w:color="000000" w:sz="4" w:space="0"/>
              <w:left w:val="single" w:color="000000" w:sz="4" w:space="0"/>
            </w:tcBorders>
          </w:tcPr>
          <w:p>
            <w:pPr>
              <w:widowControl w:val="0"/>
              <w:jc w:val="both"/>
              <w:rPr>
                <w:rFonts w:ascii="Times New Roman" w:hAnsi="宋体" w:eastAsia="宋体" w:cs="宋体"/>
                <w:kern w:val="2"/>
                <w:sz w:val="20"/>
                <w:szCs w:val="24"/>
                <w:lang w:val="zh-CN" w:eastAsia="zh-CN" w:bidi="zh-CN"/>
              </w:rPr>
            </w:pPr>
          </w:p>
        </w:tc>
      </w:tr>
    </w:tbl>
    <w:p>
      <w:pPr>
        <w:widowControl w:val="0"/>
        <w:jc w:val="both"/>
        <w:rPr>
          <w:rFonts w:ascii="Times New Roman" w:hAnsi="宋体" w:eastAsia="宋体" w:cs="宋体"/>
          <w:kern w:val="2"/>
          <w:sz w:val="20"/>
          <w:szCs w:val="21"/>
          <w:lang w:val="zh-CN" w:eastAsia="zh-CN" w:bidi="zh-CN"/>
        </w:rPr>
      </w:pPr>
    </w:p>
    <w:p>
      <w:pPr>
        <w:widowControl w:val="0"/>
        <w:jc w:val="both"/>
        <w:rPr>
          <w:rFonts w:ascii="Times New Roman" w:hAnsi="宋体" w:eastAsia="宋体" w:cs="宋体"/>
          <w:kern w:val="2"/>
          <w:sz w:val="20"/>
          <w:szCs w:val="21"/>
          <w:lang w:val="zh-CN" w:eastAsia="zh-CN" w:bidi="zh-CN"/>
        </w:rPr>
      </w:pPr>
    </w:p>
    <w:p>
      <w:pPr>
        <w:widowControl w:val="0"/>
        <w:spacing w:before="8"/>
        <w:jc w:val="both"/>
        <w:rPr>
          <w:rFonts w:ascii="Times New Roman" w:hAnsi="宋体" w:eastAsia="宋体" w:cs="宋体"/>
          <w:kern w:val="2"/>
          <w:sz w:val="19"/>
          <w:szCs w:val="21"/>
          <w:lang w:val="zh-CN" w:eastAsia="zh-CN" w:bidi="zh-CN"/>
        </w:rPr>
      </w:pPr>
    </w:p>
    <w:tbl>
      <w:tblPr>
        <w:tblStyle w:val="51"/>
        <w:tblW w:w="12060" w:type="dxa"/>
        <w:tblInd w:w="928"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630"/>
        <w:gridCol w:w="585"/>
        <w:gridCol w:w="615"/>
        <w:gridCol w:w="870"/>
        <w:gridCol w:w="585"/>
        <w:gridCol w:w="825"/>
        <w:gridCol w:w="600"/>
        <w:gridCol w:w="525"/>
        <w:gridCol w:w="780"/>
        <w:gridCol w:w="525"/>
        <w:gridCol w:w="960"/>
        <w:gridCol w:w="1245"/>
        <w:gridCol w:w="675"/>
        <w:gridCol w:w="2055"/>
        <w:gridCol w:w="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803" w:hRule="atLeast"/>
        </w:trPr>
        <w:tc>
          <w:tcPr>
            <w:tcW w:w="630" w:type="dxa"/>
            <w:tcBorders>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5" w:right="77"/>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序号</w:t>
            </w:r>
          </w:p>
        </w:tc>
        <w:tc>
          <w:tcPr>
            <w:tcW w:w="585" w:type="dxa"/>
            <w:tcBorders>
              <w:left w:val="single" w:color="000000" w:sz="4" w:space="0"/>
              <w:bottom w:val="single" w:color="000000" w:sz="4" w:space="0"/>
              <w:right w:val="single" w:color="000000" w:sz="4" w:space="0"/>
            </w:tcBorders>
            <w:vAlign w:val="top"/>
          </w:tcPr>
          <w:p>
            <w:pPr>
              <w:widowControl w:val="0"/>
              <w:spacing w:before="2" w:line="270" w:lineRule="atLeast"/>
              <w:ind w:left="51"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污染源类别/ 监测类别</w:t>
            </w:r>
          </w:p>
        </w:tc>
        <w:tc>
          <w:tcPr>
            <w:tcW w:w="615" w:type="dxa"/>
            <w:tcBorders>
              <w:left w:val="single" w:color="000000" w:sz="4" w:space="0"/>
              <w:bottom w:val="single" w:color="000000" w:sz="4" w:space="0"/>
              <w:right w:val="single" w:color="000000" w:sz="4" w:space="0"/>
            </w:tcBorders>
            <w:vAlign w:val="top"/>
          </w:tcPr>
          <w:p>
            <w:pPr>
              <w:widowControl w:val="0"/>
              <w:spacing w:before="139" w:line="242" w:lineRule="auto"/>
              <w:ind w:left="41" w:right="16"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排放口编号/监测点位</w:t>
            </w:r>
          </w:p>
        </w:tc>
        <w:tc>
          <w:tcPr>
            <w:tcW w:w="870" w:type="dxa"/>
            <w:tcBorders>
              <w:left w:val="single" w:color="000000" w:sz="4" w:space="0"/>
              <w:bottom w:val="single" w:color="000000" w:sz="4" w:space="0"/>
              <w:right w:val="single" w:color="000000" w:sz="4" w:space="0"/>
            </w:tcBorders>
            <w:vAlign w:val="top"/>
          </w:tcPr>
          <w:p>
            <w:pPr>
              <w:widowControl w:val="0"/>
              <w:spacing w:before="2" w:line="270" w:lineRule="atLeast"/>
              <w:ind w:left="39" w:right="13"/>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排放口名称/监测点位名称</w:t>
            </w:r>
          </w:p>
        </w:tc>
        <w:tc>
          <w:tcPr>
            <w:tcW w:w="58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44" w:right="13"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监测内容（1）</w:t>
            </w:r>
          </w:p>
        </w:tc>
        <w:tc>
          <w:tcPr>
            <w:tcW w:w="825"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36" w:right="10"/>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污染物名称</w:t>
            </w:r>
          </w:p>
        </w:tc>
        <w:tc>
          <w:tcPr>
            <w:tcW w:w="600" w:type="dxa"/>
            <w:tcBorders>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2" w:right="-29"/>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监测设施</w:t>
            </w:r>
          </w:p>
        </w:tc>
        <w:tc>
          <w:tcPr>
            <w:tcW w:w="525" w:type="dxa"/>
            <w:tcBorders>
              <w:left w:val="single" w:color="000000" w:sz="4" w:space="0"/>
              <w:bottom w:val="single" w:color="000000" w:sz="4" w:space="0"/>
              <w:right w:val="single" w:color="000000" w:sz="4" w:space="0"/>
            </w:tcBorders>
            <w:vAlign w:val="top"/>
          </w:tcPr>
          <w:p>
            <w:pPr>
              <w:widowControl w:val="0"/>
              <w:spacing w:before="139" w:line="242" w:lineRule="auto"/>
              <w:ind w:left="49" w:right="19"/>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自动监测是否联网</w:t>
            </w:r>
          </w:p>
        </w:tc>
        <w:tc>
          <w:tcPr>
            <w:tcW w:w="780"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114" w:right="84"/>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自动监测仪器名称</w:t>
            </w:r>
          </w:p>
        </w:tc>
        <w:tc>
          <w:tcPr>
            <w:tcW w:w="52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52" w:right="37"/>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自动监测设施安装位置</w:t>
            </w:r>
          </w:p>
        </w:tc>
        <w:tc>
          <w:tcPr>
            <w:tcW w:w="960" w:type="dxa"/>
            <w:tcBorders>
              <w:left w:val="single" w:color="000000" w:sz="4" w:space="0"/>
              <w:bottom w:val="single" w:color="000000" w:sz="4" w:space="0"/>
              <w:right w:val="single" w:color="000000" w:sz="4" w:space="0"/>
            </w:tcBorders>
            <w:vAlign w:val="top"/>
          </w:tcPr>
          <w:p>
            <w:pPr>
              <w:widowControl w:val="0"/>
              <w:spacing w:before="3" w:line="242" w:lineRule="auto"/>
              <w:ind w:left="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自动监测设施是否符合安装</w:t>
            </w:r>
          </w:p>
          <w:p>
            <w:pPr>
              <w:widowControl w:val="0"/>
              <w:spacing w:before="1"/>
              <w:jc w:val="center"/>
              <w:rPr>
                <w:rFonts w:hint="eastAsia" w:ascii="黑体" w:hAnsi="宋体" w:eastAsia="黑体" w:cs="宋体"/>
                <w:kern w:val="2"/>
                <w:sz w:val="21"/>
                <w:szCs w:val="24"/>
                <w:lang w:val="zh-CN" w:eastAsia="zh-CN" w:bidi="zh-CN"/>
              </w:rPr>
            </w:pPr>
            <w:r>
              <w:rPr>
                <w:rFonts w:hint="eastAsia" w:ascii="黑体" w:hAnsi="宋体" w:eastAsia="黑体" w:cs="宋体"/>
                <w:spacing w:val="-3"/>
                <w:kern w:val="2"/>
                <w:sz w:val="21"/>
                <w:szCs w:val="24"/>
                <w:lang w:val="zh-CN" w:eastAsia="zh-CN" w:bidi="zh-CN"/>
              </w:rPr>
              <w:t>、运行、维护</w:t>
            </w:r>
          </w:p>
          <w:p>
            <w:pPr>
              <w:widowControl w:val="0"/>
              <w:spacing w:before="3" w:line="249" w:lineRule="exact"/>
              <w:ind w:left="1" w:right="1"/>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等管理要求</w:t>
            </w:r>
          </w:p>
        </w:tc>
        <w:tc>
          <w:tcPr>
            <w:tcW w:w="1245" w:type="dxa"/>
            <w:tcBorders>
              <w:left w:val="single" w:color="000000" w:sz="4" w:space="0"/>
              <w:bottom w:val="single" w:color="000000" w:sz="4" w:space="0"/>
              <w:right w:val="single" w:color="000000" w:sz="4" w:space="0"/>
            </w:tcBorders>
            <w:vAlign w:val="top"/>
          </w:tcPr>
          <w:p>
            <w:pPr>
              <w:widowControl w:val="0"/>
              <w:spacing w:before="139" w:line="242" w:lineRule="auto"/>
              <w:ind w:left="38" w:right="25"/>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手工监测采样方法及个数（2）</w:t>
            </w:r>
          </w:p>
        </w:tc>
        <w:tc>
          <w:tcPr>
            <w:tcW w:w="67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9" w:right="21" w:firstLine="52"/>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手工监测频次（3）</w:t>
            </w:r>
          </w:p>
        </w:tc>
        <w:tc>
          <w:tcPr>
            <w:tcW w:w="2055" w:type="dxa"/>
            <w:tcBorders>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3" w:right="42"/>
              <w:jc w:val="center"/>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手工测定方法（4）</w:t>
            </w:r>
          </w:p>
        </w:tc>
        <w:tc>
          <w:tcPr>
            <w:tcW w:w="585" w:type="dxa"/>
            <w:tcBorders>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9"/>
              <w:jc w:val="both"/>
              <w:rPr>
                <w:rFonts w:ascii="Times New Roman" w:hAnsi="宋体" w:eastAsia="宋体" w:cs="宋体"/>
                <w:kern w:val="2"/>
                <w:sz w:val="15"/>
                <w:szCs w:val="24"/>
                <w:lang w:val="zh-CN" w:eastAsia="zh-CN" w:bidi="zh-CN"/>
              </w:rPr>
            </w:pPr>
          </w:p>
          <w:p>
            <w:pPr>
              <w:widowControl w:val="0"/>
              <w:ind w:left="101"/>
              <w:jc w:val="both"/>
              <w:rPr>
                <w:rFonts w:hint="eastAsia" w:ascii="黑体" w:hAnsi="宋体" w:eastAsia="黑体" w:cs="宋体"/>
                <w:kern w:val="2"/>
                <w:sz w:val="21"/>
                <w:szCs w:val="24"/>
                <w:lang w:val="zh-CN" w:eastAsia="zh-CN" w:bidi="zh-CN"/>
              </w:rPr>
            </w:pPr>
            <w:r>
              <w:rPr>
                <w:rFonts w:hint="eastAsia" w:ascii="黑体" w:hAnsi="宋体" w:eastAsia="黑体" w:cs="宋体"/>
                <w:kern w:val="2"/>
                <w:sz w:val="21"/>
                <w:szCs w:val="24"/>
                <w:lang w:val="zh-CN" w:eastAsia="zh-CN" w:bidi="zh-CN"/>
              </w:rPr>
              <w:t>其他信息</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9" w:hRule="atLeast"/>
        </w:trPr>
        <w:tc>
          <w:tcPr>
            <w:tcW w:w="630" w:type="dxa"/>
            <w:tcBorders>
              <w:top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红外分光光度法</w:t>
            </w:r>
          </w:p>
          <w:p>
            <w:pPr>
              <w:widowControl w:val="0"/>
              <w:spacing w:before="3"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（HJ637-2018）</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61" w:hRule="atLeast"/>
        </w:trPr>
        <w:tc>
          <w:tcPr>
            <w:tcW w:w="630"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14</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动植物油</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水质石油类和动植物油类的测定 红外分光光度法</w:t>
            </w:r>
          </w:p>
          <w:p>
            <w:pPr>
              <w:widowControl w:val="0"/>
              <w:spacing w:before="4"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（HJ637-2018）</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61" w:hRule="atLeast"/>
        </w:trPr>
        <w:tc>
          <w:tcPr>
            <w:tcW w:w="630" w:type="dxa"/>
            <w:tcBorders>
              <w:top w:val="single" w:color="000000" w:sz="4" w:space="0"/>
              <w:bottom w:val="single" w:color="000000" w:sz="4" w:space="0"/>
              <w:right w:val="single" w:color="000000" w:sz="4" w:space="0"/>
            </w:tcBorders>
            <w:vAlign w:val="center"/>
          </w:tcPr>
          <w:p>
            <w:pPr>
              <w:widowControl w:val="0"/>
              <w:jc w:val="center"/>
              <w:rPr>
                <w:rFonts w:ascii="Times New Roman" w:hAnsi="宋体" w:eastAsia="宋体" w:cs="宋体"/>
                <w:kern w:val="2"/>
                <w:sz w:val="20"/>
                <w:szCs w:val="24"/>
                <w:lang w:val="zh-CN" w:eastAsia="zh-CN" w:bidi="zh-CN"/>
              </w:rPr>
            </w:pPr>
          </w:p>
          <w:p>
            <w:pPr>
              <w:widowControl w:val="0"/>
              <w:jc w:val="center"/>
              <w:rPr>
                <w:rFonts w:ascii="Times New Roman" w:hAnsi="宋体" w:eastAsia="宋体" w:cs="宋体"/>
                <w:kern w:val="2"/>
                <w:sz w:val="20"/>
                <w:szCs w:val="24"/>
                <w:lang w:val="zh-CN" w:eastAsia="zh-CN" w:bidi="zh-CN"/>
              </w:rPr>
            </w:pPr>
          </w:p>
          <w:p>
            <w:pPr>
              <w:widowControl w:val="0"/>
              <w:spacing w:before="117"/>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15</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jc w:val="both"/>
              <w:rPr>
                <w:rFonts w:ascii="Times New Roman" w:hAnsi="宋体" w:eastAsia="宋体" w:cs="宋体"/>
                <w:kern w:val="2"/>
                <w:sz w:val="20"/>
                <w:szCs w:val="24"/>
                <w:lang w:val="zh-CN" w:eastAsia="zh-CN" w:bidi="zh-CN"/>
              </w:rPr>
            </w:pPr>
          </w:p>
          <w:p>
            <w:pPr>
              <w:widowControl w:val="0"/>
              <w:spacing w:before="117"/>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spacing w:line="242" w:lineRule="auto"/>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ind w:right="1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总氰化物</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p>
            <w:pPr>
              <w:widowControl w:val="0"/>
              <w:spacing w:before="7"/>
              <w:jc w:val="both"/>
              <w:rPr>
                <w:rFonts w:ascii="Times New Roman" w:hAnsi="宋体" w:eastAsia="宋体" w:cs="宋体"/>
                <w:kern w:val="2"/>
                <w:sz w:val="27"/>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line="242" w:lineRule="auto"/>
              <w:ind w:right="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3"/>
              <w:ind w:right="4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水质 氰化物的测定 容量法和分光光度法（HJ 484— 2009 ）</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461" w:hRule="atLeast"/>
        </w:trPr>
        <w:tc>
          <w:tcPr>
            <w:tcW w:w="630" w:type="dxa"/>
            <w:tcBorders>
              <w:top w:val="single" w:color="000000" w:sz="4" w:space="0"/>
              <w:bottom w:val="single" w:color="000000" w:sz="4" w:space="0"/>
              <w:right w:val="single" w:color="000000" w:sz="4" w:space="0"/>
            </w:tcBorders>
            <w:vAlign w:val="center"/>
          </w:tcPr>
          <w:p>
            <w:pPr>
              <w:widowControl w:val="0"/>
              <w:spacing w:before="6"/>
              <w:jc w:val="center"/>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16</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72" w:right="12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粪大肠菌群数/（M PN/L）</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1次/月</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35" w:right="-15" w:hanging="10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 物排放标准（GB 18466-2005）</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17" w:hRule="atLeast"/>
        </w:trPr>
        <w:tc>
          <w:tcPr>
            <w:tcW w:w="630" w:type="dxa"/>
            <w:tcBorders>
              <w:top w:val="single" w:color="000000" w:sz="4" w:space="0"/>
              <w:bottom w:val="single" w:color="000000" w:sz="4" w:space="0"/>
              <w:right w:val="single" w:color="000000" w:sz="4" w:space="0"/>
            </w:tcBorders>
            <w:vAlign w:val="center"/>
          </w:tcPr>
          <w:p>
            <w:pPr>
              <w:widowControl w:val="0"/>
              <w:spacing w:before="6"/>
              <w:jc w:val="center"/>
              <w:rPr>
                <w:rFonts w:ascii="Times New Roman" w:hAnsi="宋体" w:eastAsia="宋体" w:cs="宋体"/>
                <w:kern w:val="2"/>
                <w:sz w:val="26"/>
                <w:szCs w:val="24"/>
                <w:lang w:val="zh-CN" w:eastAsia="zh-CN" w:bidi="zh-CN"/>
              </w:rPr>
            </w:pPr>
          </w:p>
          <w:p>
            <w:pPr>
              <w:widowControl w:val="0"/>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17</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bottom w:val="single" w:color="000000" w:sz="4" w:space="0"/>
              <w:right w:val="single" w:color="000000" w:sz="4" w:space="0"/>
            </w:tcBorders>
            <w:vAlign w:val="top"/>
          </w:tcPr>
          <w:p>
            <w:pPr>
              <w:widowControl w:val="0"/>
              <w:spacing w:before="6"/>
              <w:jc w:val="both"/>
              <w:rPr>
                <w:rFonts w:ascii="Times New Roman" w:hAnsi="宋体" w:eastAsia="宋体" w:cs="宋体"/>
                <w:kern w:val="2"/>
                <w:sz w:val="26"/>
                <w:szCs w:val="24"/>
                <w:lang w:val="zh-CN" w:eastAsia="zh-CN" w:bidi="zh-CN"/>
              </w:rPr>
            </w:pPr>
          </w:p>
          <w:p>
            <w:pPr>
              <w:widowControl w:val="0"/>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05" w:righ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bottom w:val="single" w:color="000000" w:sz="4" w:space="0"/>
              <w:right w:val="single" w:color="000000" w:sz="4" w:space="0"/>
            </w:tcBorders>
            <w:vAlign w:val="top"/>
          </w:tcPr>
          <w:p>
            <w:pPr>
              <w:widowControl w:val="0"/>
              <w:spacing w:before="139" w:line="242" w:lineRule="auto"/>
              <w:ind w:left="487" w:right="122" w:hanging="31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肠道致病菌</w:t>
            </w:r>
          </w:p>
        </w:tc>
        <w:tc>
          <w:tcPr>
            <w:tcW w:w="600"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bottom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213" w:right="5" w:hanging="53"/>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瞬时采样至少4个瞬时样</w:t>
            </w:r>
          </w:p>
        </w:tc>
        <w:tc>
          <w:tcPr>
            <w:tcW w:w="675" w:type="dxa"/>
            <w:tcBorders>
              <w:top w:val="single" w:color="000000" w:sz="4" w:space="0"/>
              <w:left w:val="single" w:color="000000" w:sz="4" w:space="0"/>
              <w:bottom w:val="single" w:color="000000" w:sz="4" w:space="0"/>
              <w:right w:val="single" w:color="000000" w:sz="4" w:space="0"/>
            </w:tcBorders>
            <w:vAlign w:val="top"/>
          </w:tcPr>
          <w:p>
            <w:pPr>
              <w:widowControl w:val="0"/>
              <w:spacing w:before="11"/>
              <w:jc w:val="both"/>
              <w:rPr>
                <w:rFonts w:ascii="Times New Roman" w:hAnsi="宋体" w:eastAsia="宋体" w:cs="宋体"/>
                <w:kern w:val="2"/>
                <w:sz w:val="23"/>
                <w:szCs w:val="24"/>
                <w:lang w:val="zh-CN" w:eastAsia="zh-CN" w:bidi="zh-CN"/>
              </w:rPr>
            </w:pPr>
          </w:p>
          <w:p>
            <w:pPr>
              <w:widowControl w:val="0"/>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bottom w:val="single" w:color="000000" w:sz="4" w:space="0"/>
              <w:right w:val="single" w:color="000000" w:sz="4" w:space="0"/>
            </w:tcBorders>
            <w:vAlign w:val="top"/>
          </w:tcPr>
          <w:p>
            <w:pPr>
              <w:widowControl w:val="0"/>
              <w:spacing w:before="2" w:line="270" w:lineRule="atLeast"/>
              <w:ind w:left="135" w:right="-15" w:hanging="105"/>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 物排放标准（GB 18466-2005）</w:t>
            </w:r>
          </w:p>
        </w:tc>
        <w:tc>
          <w:tcPr>
            <w:tcW w:w="585" w:type="dxa"/>
            <w:tcBorders>
              <w:top w:val="single" w:color="000000" w:sz="4" w:space="0"/>
              <w:left w:val="single" w:color="000000" w:sz="4" w:space="0"/>
              <w:bottom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84" w:hRule="atLeast"/>
        </w:trPr>
        <w:tc>
          <w:tcPr>
            <w:tcW w:w="630" w:type="dxa"/>
            <w:tcBorders>
              <w:top w:val="single" w:color="000000" w:sz="4" w:space="0"/>
              <w:right w:val="single" w:color="000000" w:sz="4" w:space="0"/>
            </w:tcBorders>
            <w:vAlign w:val="center"/>
          </w:tcPr>
          <w:p>
            <w:pPr>
              <w:widowControl w:val="0"/>
              <w:spacing w:before="33" w:line="220" w:lineRule="exact"/>
              <w:ind w:left="105" w:right="67"/>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18</w:t>
            </w:r>
          </w:p>
        </w:tc>
        <w:tc>
          <w:tcPr>
            <w:tcW w:w="585" w:type="dxa"/>
            <w:tcBorders>
              <w:top w:val="single" w:color="000000" w:sz="4" w:space="0"/>
              <w:left w:val="single" w:color="000000" w:sz="4" w:space="0"/>
              <w:right w:val="single" w:color="000000" w:sz="4" w:space="0"/>
            </w:tcBorders>
            <w:vAlign w:val="top"/>
          </w:tcPr>
          <w:p>
            <w:pPr>
              <w:widowControl w:val="0"/>
              <w:spacing w:before="3" w:line="249" w:lineRule="exact"/>
              <w:ind w:left="162"/>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废水</w:t>
            </w:r>
          </w:p>
        </w:tc>
        <w:tc>
          <w:tcPr>
            <w:tcW w:w="615" w:type="dxa"/>
            <w:tcBorders>
              <w:top w:val="single" w:color="000000" w:sz="4" w:space="0"/>
              <w:left w:val="single" w:color="000000" w:sz="4" w:space="0"/>
              <w:right w:val="single" w:color="000000" w:sz="4" w:space="0"/>
            </w:tcBorders>
            <w:vAlign w:val="top"/>
          </w:tcPr>
          <w:p>
            <w:pPr>
              <w:widowControl w:val="0"/>
              <w:spacing w:before="33" w:line="220" w:lineRule="exact"/>
              <w:ind w:left="15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DW001</w:t>
            </w:r>
          </w:p>
        </w:tc>
        <w:tc>
          <w:tcPr>
            <w:tcW w:w="870" w:type="dxa"/>
            <w:tcBorders>
              <w:top w:val="single" w:color="000000" w:sz="4" w:space="0"/>
              <w:left w:val="single" w:color="000000" w:sz="4" w:space="0"/>
              <w:right w:val="single" w:color="000000" w:sz="4" w:space="0"/>
            </w:tcBorders>
            <w:vAlign w:val="top"/>
          </w:tcPr>
          <w:p>
            <w:pPr>
              <w:widowControl w:val="0"/>
              <w:spacing w:before="3" w:line="249" w:lineRule="exact"/>
              <w:ind w:left="20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污水排放口</w:t>
            </w:r>
          </w:p>
        </w:tc>
        <w:tc>
          <w:tcPr>
            <w:tcW w:w="585" w:type="dxa"/>
            <w:tcBorders>
              <w:top w:val="single" w:color="000000" w:sz="4" w:space="0"/>
              <w:left w:val="single" w:color="000000" w:sz="4" w:space="0"/>
              <w:right w:val="single" w:color="000000" w:sz="4" w:space="0"/>
            </w:tcBorders>
            <w:vAlign w:val="top"/>
          </w:tcPr>
          <w:p>
            <w:pPr>
              <w:widowControl w:val="0"/>
              <w:spacing w:before="3" w:line="249" w:lineRule="exact"/>
              <w:ind w:left="209"/>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流量</w:t>
            </w:r>
          </w:p>
        </w:tc>
        <w:tc>
          <w:tcPr>
            <w:tcW w:w="825" w:type="dxa"/>
            <w:tcBorders>
              <w:top w:val="single" w:color="000000" w:sz="4" w:space="0"/>
              <w:left w:val="single" w:color="000000" w:sz="4" w:space="0"/>
              <w:right w:val="single" w:color="000000" w:sz="4" w:space="0"/>
            </w:tcBorders>
            <w:vAlign w:val="top"/>
          </w:tcPr>
          <w:p>
            <w:pPr>
              <w:widowControl w:val="0"/>
              <w:spacing w:before="3" w:line="249" w:lineRule="exact"/>
              <w:ind w:left="58" w:right="10"/>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肠道病毒</w:t>
            </w:r>
          </w:p>
        </w:tc>
        <w:tc>
          <w:tcPr>
            <w:tcW w:w="600" w:type="dxa"/>
            <w:tcBorders>
              <w:top w:val="single" w:color="000000" w:sz="4" w:space="0"/>
              <w:left w:val="single" w:color="000000" w:sz="4" w:space="0"/>
              <w:right w:val="single" w:color="000000" w:sz="4" w:space="0"/>
            </w:tcBorders>
            <w:vAlign w:val="top"/>
          </w:tcPr>
          <w:p>
            <w:pPr>
              <w:widowControl w:val="0"/>
              <w:spacing w:before="3" w:line="249" w:lineRule="exact"/>
              <w:ind w:left="214" w:right="164"/>
              <w:jc w:val="center"/>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手工</w:t>
            </w:r>
          </w:p>
        </w:tc>
        <w:tc>
          <w:tcPr>
            <w:tcW w:w="52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78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525"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960" w:type="dxa"/>
            <w:tcBorders>
              <w:top w:val="single" w:color="000000" w:sz="4" w:space="0"/>
              <w:left w:val="single" w:color="000000" w:sz="4" w:space="0"/>
              <w:righ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c>
          <w:tcPr>
            <w:tcW w:w="1245" w:type="dxa"/>
            <w:tcBorders>
              <w:top w:val="single" w:color="000000" w:sz="4" w:space="0"/>
              <w:left w:val="single" w:color="000000" w:sz="4" w:space="0"/>
              <w:right w:val="single" w:color="000000" w:sz="4" w:space="0"/>
            </w:tcBorders>
            <w:vAlign w:val="top"/>
          </w:tcPr>
          <w:p>
            <w:pPr>
              <w:widowControl w:val="0"/>
              <w:spacing w:before="3" w:line="249" w:lineRule="exact"/>
              <w:ind w:left="161"/>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 xml:space="preserve">瞬时采样至少4个瞬时样 </w:t>
            </w:r>
          </w:p>
        </w:tc>
        <w:tc>
          <w:tcPr>
            <w:tcW w:w="675" w:type="dxa"/>
            <w:tcBorders>
              <w:top w:val="single" w:color="000000" w:sz="4" w:space="0"/>
              <w:left w:val="single" w:color="000000" w:sz="4" w:space="0"/>
              <w:right w:val="single" w:color="000000" w:sz="4" w:space="0"/>
            </w:tcBorders>
            <w:vAlign w:val="top"/>
          </w:tcPr>
          <w:p>
            <w:pPr>
              <w:widowControl w:val="0"/>
              <w:spacing w:before="3" w:line="249" w:lineRule="exact"/>
              <w:ind w:left="208"/>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1次/季</w:t>
            </w:r>
          </w:p>
        </w:tc>
        <w:tc>
          <w:tcPr>
            <w:tcW w:w="2055" w:type="dxa"/>
            <w:tcBorders>
              <w:top w:val="single" w:color="000000" w:sz="4" w:space="0"/>
              <w:left w:val="single" w:color="000000" w:sz="4" w:space="0"/>
              <w:right w:val="single" w:color="000000" w:sz="4" w:space="0"/>
            </w:tcBorders>
            <w:vAlign w:val="top"/>
          </w:tcPr>
          <w:p>
            <w:pPr>
              <w:widowControl w:val="0"/>
              <w:spacing w:before="3" w:line="249" w:lineRule="exact"/>
              <w:ind w:left="135"/>
              <w:jc w:val="both"/>
              <w:rPr>
                <w:rFonts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医疗机构水污染物排放标准（GB 18466-2005）</w:t>
            </w:r>
          </w:p>
        </w:tc>
        <w:tc>
          <w:tcPr>
            <w:tcW w:w="585" w:type="dxa"/>
            <w:tcBorders>
              <w:top w:val="single" w:color="000000" w:sz="4" w:space="0"/>
              <w:left w:val="single" w:color="000000" w:sz="4" w:space="0"/>
            </w:tcBorders>
            <w:vAlign w:val="top"/>
          </w:tcPr>
          <w:p>
            <w:pPr>
              <w:widowControl w:val="0"/>
              <w:jc w:val="both"/>
              <w:rPr>
                <w:rFonts w:ascii="Times New Roman" w:hAnsi="宋体" w:eastAsia="宋体" w:cs="宋体"/>
                <w:kern w:val="2"/>
                <w:sz w:val="20"/>
                <w:szCs w:val="24"/>
                <w:lang w:val="zh-CN" w:eastAsia="zh-CN" w:bidi="zh-CN"/>
              </w:rPr>
            </w:pPr>
          </w:p>
        </w:tc>
      </w:tr>
    </w:tbl>
    <w:p>
      <w:pPr>
        <w:pStyle w:val="5"/>
        <w:ind w:left="0" w:leftChars="0" w:firstLine="0" w:firstLineChars="0"/>
        <w:rPr>
          <w:rFonts w:hint="eastAsia"/>
          <w:lang w:eastAsia="zh-CN"/>
        </w:rPr>
        <w:sectPr>
          <w:headerReference r:id="rId9" w:type="default"/>
          <w:pgSz w:w="16838" w:h="11906" w:orient="landscape"/>
          <w:pgMar w:top="1361" w:right="1440" w:bottom="1361" w:left="1440" w:header="851" w:footer="992" w:gutter="0"/>
          <w:cols w:space="720" w:num="1"/>
          <w:docGrid w:type="lines" w:linePitch="312" w:charSpace="0"/>
        </w:sectPr>
      </w:pPr>
    </w:p>
    <w:p>
      <w:pPr>
        <w:pStyle w:val="60"/>
        <w:rPr>
          <w:rFonts w:hint="eastAsia"/>
          <w:sz w:val="21"/>
          <w:szCs w:val="21"/>
          <w:lang w:val="en-US" w:eastAsia="zh-CN"/>
        </w:rPr>
      </w:pPr>
      <w:r>
        <w:rPr>
          <w:rFonts w:hint="eastAsia" w:ascii="宋体" w:hAnsi="宋体" w:eastAsia="宋体" w:cs="宋体"/>
          <w:b/>
          <w:bCs/>
          <w:color w:val="auto"/>
          <w:kern w:val="2"/>
          <w:sz w:val="24"/>
          <w:szCs w:val="24"/>
          <w:lang w:val="en-US" w:eastAsia="zh-CN" w:bidi="ar-SA"/>
        </w:rPr>
        <w:t>附件</w:t>
      </w:r>
      <w:r>
        <w:rPr>
          <w:rFonts w:hint="eastAsia" w:ascii="宋体" w:hAnsi="宋体" w:cs="宋体"/>
          <w:b/>
          <w:bCs/>
          <w:color w:val="auto"/>
          <w:kern w:val="2"/>
          <w:sz w:val="24"/>
          <w:szCs w:val="24"/>
          <w:lang w:val="en-US" w:eastAsia="zh-CN" w:bidi="ar-SA"/>
        </w:rPr>
        <w:t>二</w:t>
      </w:r>
      <w:r>
        <w:rPr>
          <w:rFonts w:hint="eastAsia" w:ascii="宋体" w:hAnsi="宋体" w:eastAsia="宋体" w:cs="宋体"/>
          <w:b/>
          <w:bCs/>
          <w:color w:val="auto"/>
          <w:kern w:val="2"/>
          <w:sz w:val="24"/>
          <w:szCs w:val="24"/>
          <w:lang w:val="en-US" w:eastAsia="zh-CN" w:bidi="ar-SA"/>
        </w:rPr>
        <w:t xml:space="preserve"> </w:t>
      </w:r>
      <w:r>
        <w:rPr>
          <w:rFonts w:hint="eastAsia"/>
          <w:sz w:val="21"/>
          <w:szCs w:val="21"/>
          <w:lang w:val="en-US" w:eastAsia="zh-CN"/>
        </w:rPr>
        <w:t xml:space="preserve"> </w:t>
      </w:r>
    </w:p>
    <w:p>
      <w:pPr>
        <w:pStyle w:val="60"/>
        <w:ind w:firstLine="1687" w:firstLineChars="700"/>
        <w:rPr>
          <w:rFonts w:hint="eastAsia"/>
          <w:sz w:val="21"/>
          <w:szCs w:val="21"/>
          <w:lang w:val="en-US" w:eastAsia="zh-CN"/>
        </w:rPr>
      </w:pPr>
      <w:r>
        <w:rPr>
          <w:rFonts w:hint="eastAsia" w:ascii="宋体" w:hAnsi="宋体" w:eastAsia="宋体" w:cs="宋体"/>
          <w:b/>
          <w:bCs/>
          <w:color w:val="auto"/>
          <w:kern w:val="2"/>
          <w:sz w:val="24"/>
          <w:szCs w:val="24"/>
          <w:lang w:val="en-US" w:eastAsia="zh-CN" w:bidi="ar-SA"/>
        </w:rPr>
        <w:t xml:space="preserve">南通市妇幼保健院污水、废气检测服务项目考核表   </w:t>
      </w:r>
      <w:r>
        <w:rPr>
          <w:rFonts w:hint="eastAsia" w:ascii="宋体" w:hAnsi="宋体" w:eastAsia="宋体" w:cs="宋体"/>
          <w:color w:val="auto"/>
          <w:kern w:val="2"/>
          <w:sz w:val="24"/>
          <w:szCs w:val="24"/>
          <w:lang w:val="en-US" w:eastAsia="zh-CN" w:bidi="ar-SA"/>
        </w:rPr>
        <w:t xml:space="preserve">   </w:t>
      </w:r>
      <w:r>
        <w:rPr>
          <w:rFonts w:hint="eastAsia"/>
          <w:sz w:val="21"/>
          <w:szCs w:val="21"/>
          <w:lang w:val="en-US" w:eastAsia="zh-CN"/>
        </w:rPr>
        <w:t xml:space="preserve">   </w:t>
      </w:r>
    </w:p>
    <w:p>
      <w:pPr>
        <w:pStyle w:val="60"/>
        <w:ind w:firstLine="4200" w:firstLineChars="2000"/>
        <w:rPr>
          <w:rFonts w:hint="eastAsia"/>
          <w:sz w:val="21"/>
          <w:szCs w:val="21"/>
          <w:lang w:val="en-US" w:eastAsia="zh-CN"/>
        </w:rPr>
      </w:pPr>
      <w:r>
        <w:rPr>
          <w:rFonts w:hint="eastAsia"/>
          <w:sz w:val="21"/>
          <w:szCs w:val="21"/>
          <w:lang w:val="en-US" w:eastAsia="zh-CN"/>
        </w:rPr>
        <w:t xml:space="preserve">    </w:t>
      </w:r>
    </w:p>
    <w:p>
      <w:pPr>
        <w:pStyle w:val="60"/>
        <w:ind w:firstLine="4200" w:firstLineChars="2000"/>
        <w:rPr>
          <w:rFonts w:hint="default"/>
          <w:sz w:val="21"/>
          <w:szCs w:val="21"/>
          <w:lang w:val="en-US" w:eastAsia="zh-CN"/>
        </w:rPr>
      </w:pPr>
      <w:r>
        <w:rPr>
          <w:rFonts w:hint="eastAsia"/>
          <w:sz w:val="21"/>
          <w:szCs w:val="21"/>
          <w:lang w:val="en-US" w:eastAsia="zh-CN"/>
        </w:rPr>
        <w:t>年       月        日      考核人：</w:t>
      </w:r>
    </w:p>
    <w:p>
      <w:pPr>
        <w:pStyle w:val="60"/>
      </w:pP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4446"/>
        <w:gridCol w:w="1605"/>
        <w:gridCol w:w="1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考核内容</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分值</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采样的及时性，按照要求，每一项采样出现时间延迟，有一个扣1分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一企一档平台维护及时性，数据上报每延迟一天扣2分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3</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监测数据报告的及时性，按照排污许可证要求提供监测数据，每项数据延迟一天扣1分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20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4</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月度、季度执行报告的提交及时，每推后一天扣1分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10</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5</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监测数据准确，如出现异常，不及时汇报，一企一档。环保脸谱预警一次扣3分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15</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atLeast"/>
        </w:trPr>
        <w:tc>
          <w:tcPr>
            <w:tcW w:w="817"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6</w:t>
            </w:r>
          </w:p>
        </w:tc>
        <w:tc>
          <w:tcPr>
            <w:tcW w:w="4446"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环保检查督查提供原始记录，出现原始记录丢失，不符，有一次扣5分</w:t>
            </w:r>
          </w:p>
        </w:tc>
        <w:tc>
          <w:tcPr>
            <w:tcW w:w="1605" w:type="dxa"/>
          </w:tcPr>
          <w:p>
            <w:pPr>
              <w:pStyle w:val="20"/>
              <w:jc w:val="center"/>
              <w:rPr>
                <w:rFonts w:hint="eastAsia"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15</w:t>
            </w:r>
          </w:p>
        </w:tc>
        <w:tc>
          <w:tcPr>
            <w:tcW w:w="1654" w:type="dxa"/>
          </w:tcPr>
          <w:p>
            <w:pPr>
              <w:pStyle w:val="20"/>
              <w:jc w:val="center"/>
              <w:rPr>
                <w:rFonts w:hint="eastAsia" w:asciiTheme="minorEastAsia" w:hAnsiTheme="minorEastAsia" w:eastAsiaTheme="minorEastAsia" w:cstheme="minorEastAsia"/>
                <w:sz w:val="24"/>
                <w:szCs w:val="24"/>
                <w:vertAlign w:val="baseline"/>
                <w:lang w:val="en-US" w:eastAsia="zh-CN"/>
              </w:rPr>
            </w:pPr>
          </w:p>
        </w:tc>
      </w:tr>
    </w:tbl>
    <w:p>
      <w:pPr>
        <w:pStyle w:val="60"/>
      </w:pPr>
    </w:p>
    <w:p>
      <w:pPr>
        <w:pStyle w:val="60"/>
      </w:pP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季度考核大于等于90分，季度考核为合格，可付全款，低于90分，每降低一份，扣季度款1%，最多扣5%。</w:t>
      </w: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年度考核为季度考核平均分，大于等于90分为合格。</w:t>
      </w: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 xml:space="preserve">    </w:t>
      </w:r>
    </w:p>
    <w:p>
      <w:pPr>
        <w:pStyle w:val="20"/>
        <w:rPr>
          <w:rFonts w:hint="eastAsia" w:asciiTheme="minorEastAsia" w:hAnsiTheme="minorEastAsia" w:eastAsiaTheme="minorEastAsia" w:cstheme="minorEastAsia"/>
          <w:sz w:val="24"/>
          <w:szCs w:val="24"/>
          <w:lang w:val="en-US" w:eastAsia="zh-CN"/>
        </w:rPr>
      </w:pPr>
    </w:p>
    <w:p>
      <w:pPr>
        <w:pStyle w:val="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bCs/>
          <w:sz w:val="24"/>
          <w:szCs w:val="24"/>
          <w:lang w:val="en-US" w:eastAsia="zh-CN"/>
        </w:rPr>
        <w:t>得分：                                                  乙方签字：</w:t>
      </w:r>
    </w:p>
    <w:p>
      <w:pPr>
        <w:rPr>
          <w:rFonts w:hint="eastAsia"/>
          <w:lang w:val="en-US" w:eastAsia="zh-CN"/>
        </w:rPr>
      </w:pPr>
    </w:p>
    <w:p>
      <w:pPr>
        <w:pStyle w:val="2"/>
        <w:numPr>
          <w:ilvl w:val="0"/>
          <w:numId w:val="0"/>
        </w:numPr>
        <w:ind w:leftChars="0"/>
        <w:jc w:val="both"/>
        <w:rPr>
          <w:rFonts w:hint="eastAsia" w:ascii="宋体" w:hAnsi="宋体" w:cs="宋体"/>
          <w:b/>
          <w:color w:val="000000"/>
          <w:w w:val="80"/>
          <w:sz w:val="44"/>
          <w:szCs w:val="44"/>
          <w:lang w:val="en-US" w:eastAsia="zh-CN"/>
        </w:rPr>
      </w:pPr>
      <w:r>
        <w:rPr>
          <w:rFonts w:hint="eastAsia" w:ascii="宋体" w:hAnsi="宋体" w:cs="宋体"/>
          <w:b/>
          <w:color w:val="000000"/>
          <w:w w:val="80"/>
          <w:sz w:val="44"/>
          <w:szCs w:val="44"/>
          <w:lang w:val="en-US" w:eastAsia="zh-CN"/>
        </w:rPr>
        <w:t xml:space="preserve">                 </w:t>
      </w:r>
    </w:p>
    <w:p>
      <w:pPr>
        <w:pStyle w:val="2"/>
        <w:numPr>
          <w:ilvl w:val="0"/>
          <w:numId w:val="0"/>
        </w:numPr>
        <w:ind w:leftChars="0"/>
        <w:jc w:val="both"/>
        <w:rPr>
          <w:rFonts w:hint="eastAsia" w:ascii="宋体" w:hAnsi="宋体" w:cs="宋体"/>
          <w:b/>
          <w:color w:val="000000"/>
          <w:w w:val="80"/>
          <w:sz w:val="44"/>
          <w:szCs w:val="44"/>
          <w:lang w:val="en-US" w:eastAsia="zh-CN"/>
        </w:rPr>
      </w:pPr>
    </w:p>
    <w:p>
      <w:pPr>
        <w:pStyle w:val="2"/>
        <w:numPr>
          <w:ilvl w:val="0"/>
          <w:numId w:val="0"/>
        </w:numPr>
        <w:ind w:leftChars="0"/>
        <w:jc w:val="both"/>
        <w:rPr>
          <w:rFonts w:hint="eastAsia" w:ascii="宋体" w:hAnsi="宋体" w:cs="宋体"/>
          <w:b/>
          <w:color w:val="000000"/>
          <w:w w:val="80"/>
          <w:sz w:val="44"/>
          <w:szCs w:val="44"/>
          <w:lang w:val="en-US" w:eastAsia="zh-CN"/>
        </w:rPr>
      </w:pPr>
    </w:p>
    <w:p>
      <w:pPr>
        <w:pStyle w:val="2"/>
        <w:numPr>
          <w:ilvl w:val="0"/>
          <w:numId w:val="0"/>
        </w:numPr>
        <w:ind w:leftChars="0"/>
        <w:jc w:val="both"/>
        <w:rPr>
          <w:rFonts w:hint="eastAsia" w:ascii="宋体" w:hAnsi="宋体" w:cs="宋体"/>
          <w:b/>
          <w:color w:val="000000"/>
          <w:w w:val="80"/>
          <w:sz w:val="44"/>
          <w:szCs w:val="44"/>
          <w:lang w:val="en-US" w:eastAsia="zh-CN"/>
        </w:rPr>
      </w:pPr>
    </w:p>
    <w:p>
      <w:pPr>
        <w:pStyle w:val="2"/>
        <w:numPr>
          <w:ilvl w:val="0"/>
          <w:numId w:val="0"/>
        </w:numPr>
        <w:ind w:leftChars="0"/>
        <w:jc w:val="both"/>
        <w:rPr>
          <w:rFonts w:hint="eastAsia" w:ascii="宋体" w:hAnsi="宋体" w:cs="宋体"/>
          <w:b/>
          <w:color w:val="000000"/>
          <w:w w:val="80"/>
          <w:sz w:val="44"/>
          <w:szCs w:val="44"/>
          <w:lang w:val="en-US" w:eastAsia="zh-CN"/>
        </w:rPr>
      </w:pPr>
    </w:p>
    <w:p>
      <w:pPr>
        <w:pStyle w:val="2"/>
        <w:numPr>
          <w:ilvl w:val="0"/>
          <w:numId w:val="0"/>
        </w:numPr>
        <w:ind w:leftChars="0"/>
        <w:jc w:val="center"/>
        <w:rPr>
          <w:rFonts w:ascii="宋体" w:hAnsi="宋体" w:cs="宋体"/>
          <w:color w:val="000000"/>
          <w:sz w:val="24"/>
          <w:szCs w:val="24"/>
        </w:rPr>
      </w:pPr>
      <w:r>
        <w:rPr>
          <w:rFonts w:hint="eastAsia" w:ascii="宋体" w:hAnsi="宋体" w:cs="宋体"/>
          <w:b/>
          <w:color w:val="000000"/>
          <w:w w:val="80"/>
          <w:sz w:val="44"/>
          <w:szCs w:val="44"/>
        </w:rPr>
        <w:t>第六章   合同授予</w:t>
      </w:r>
    </w:p>
    <w:p>
      <w:pPr>
        <w:snapToGrid w:val="0"/>
        <w:spacing w:line="520" w:lineRule="exact"/>
        <w:ind w:firstLine="484" w:firstLineChars="202"/>
        <w:textAlignment w:val="baseline"/>
        <w:rPr>
          <w:rFonts w:ascii="宋体" w:hAnsi="宋体" w:cs="宋体"/>
          <w:kern w:val="0"/>
          <w:sz w:val="24"/>
          <w:szCs w:val="24"/>
        </w:rPr>
      </w:pPr>
      <w:r>
        <w:rPr>
          <w:rFonts w:hint="eastAsia" w:ascii="宋体" w:hAnsi="宋体" w:cs="宋体"/>
          <w:color w:val="000000"/>
          <w:sz w:val="24"/>
          <w:szCs w:val="24"/>
        </w:rPr>
        <w:t>一、由于项目服务时间紧迫，成交供应商在《成交通知书》发出后15日内必须按照磋商文件确定的事项签订采购合同。合同一式肆份，</w:t>
      </w:r>
      <w:r>
        <w:rPr>
          <w:rFonts w:hint="eastAsia" w:ascii="宋体" w:hAnsi="宋体" w:cs="宋体"/>
          <w:color w:val="auto"/>
          <w:sz w:val="24"/>
          <w:szCs w:val="24"/>
        </w:rPr>
        <w:t>采购人</w:t>
      </w:r>
      <w:r>
        <w:rPr>
          <w:rFonts w:hint="eastAsia" w:ascii="宋体" w:hAnsi="宋体" w:cs="宋体"/>
          <w:b w:val="0"/>
          <w:bCs w:val="0"/>
          <w:color w:val="auto"/>
          <w:sz w:val="24"/>
          <w:szCs w:val="24"/>
          <w:highlight w:val="none"/>
        </w:rPr>
        <w:t>执</w:t>
      </w:r>
      <w:r>
        <w:rPr>
          <w:rFonts w:hint="eastAsia" w:ascii="宋体" w:hAnsi="宋体" w:cs="宋体"/>
          <w:b w:val="0"/>
          <w:bCs w:val="0"/>
          <w:color w:val="auto"/>
          <w:sz w:val="24"/>
          <w:szCs w:val="24"/>
          <w:highlight w:val="none"/>
          <w:u w:val="single"/>
        </w:rPr>
        <w:t>叁</w:t>
      </w:r>
      <w:r>
        <w:rPr>
          <w:rFonts w:hint="eastAsia" w:ascii="宋体" w:hAnsi="宋体" w:cs="宋体"/>
          <w:b w:val="0"/>
          <w:bCs w:val="0"/>
          <w:color w:val="auto"/>
          <w:sz w:val="24"/>
          <w:szCs w:val="24"/>
          <w:highlight w:val="none"/>
        </w:rPr>
        <w:t>份，</w:t>
      </w:r>
      <w:r>
        <w:rPr>
          <w:rFonts w:hint="eastAsia" w:ascii="宋体" w:hAnsi="宋体" w:cs="宋体"/>
          <w:color w:val="auto"/>
          <w:sz w:val="24"/>
        </w:rPr>
        <w:t>成交供应商</w:t>
      </w:r>
      <w:r>
        <w:rPr>
          <w:rFonts w:hint="eastAsia" w:ascii="宋体" w:hAnsi="宋体" w:cs="宋体"/>
          <w:b w:val="0"/>
          <w:bCs w:val="0"/>
          <w:color w:val="auto"/>
          <w:sz w:val="24"/>
          <w:szCs w:val="24"/>
          <w:highlight w:val="none"/>
        </w:rPr>
        <w:t>执</w:t>
      </w:r>
      <w:r>
        <w:rPr>
          <w:rFonts w:hint="eastAsia" w:ascii="宋体" w:hAnsi="宋体" w:cs="宋体"/>
          <w:b w:val="0"/>
          <w:bCs w:val="0"/>
          <w:color w:val="auto"/>
          <w:sz w:val="24"/>
          <w:szCs w:val="24"/>
          <w:highlight w:val="none"/>
          <w:u w:val="single"/>
        </w:rPr>
        <w:t>壹</w:t>
      </w:r>
      <w:r>
        <w:rPr>
          <w:rFonts w:hint="eastAsia" w:ascii="宋体" w:hAnsi="宋体" w:cs="宋体"/>
          <w:b w:val="0"/>
          <w:bCs w:val="0"/>
          <w:color w:val="auto"/>
          <w:sz w:val="24"/>
          <w:szCs w:val="24"/>
          <w:highlight w:val="none"/>
        </w:rPr>
        <w:t>份</w:t>
      </w:r>
      <w:r>
        <w:rPr>
          <w:rFonts w:hint="eastAsia" w:ascii="宋体" w:hAnsi="宋体"/>
          <w:color w:val="auto"/>
          <w:sz w:val="24"/>
          <w:szCs w:val="24"/>
        </w:rPr>
        <w:t>，</w:t>
      </w:r>
      <w:r>
        <w:rPr>
          <w:rFonts w:hint="eastAsia" w:ascii="宋体" w:hAnsi="宋体"/>
          <w:sz w:val="24"/>
          <w:szCs w:val="24"/>
        </w:rPr>
        <w:t>其他存档备查。</w:t>
      </w:r>
      <w:r>
        <w:rPr>
          <w:rFonts w:hint="eastAsia" w:ascii="宋体" w:hAnsi="宋体" w:cs="宋体"/>
          <w:kern w:val="0"/>
          <w:sz w:val="24"/>
          <w:szCs w:val="24"/>
        </w:rPr>
        <w:t xml:space="preserve">所签合同不得对磋商文件作实质性修改。采购人不得向成交供应商提出不合理的要求作为签订合同的条件，不得与成交供应商私下订立背离磋商文件实质性内容的协议。 </w:t>
      </w:r>
    </w:p>
    <w:p>
      <w:pPr>
        <w:snapToGrid w:val="0"/>
        <w:spacing w:line="480" w:lineRule="exact"/>
        <w:ind w:firstLine="573"/>
        <w:textAlignment w:val="baseline"/>
        <w:rPr>
          <w:rFonts w:ascii="宋体" w:hAnsi="宋体" w:cs="宋体"/>
          <w:sz w:val="24"/>
          <w:szCs w:val="24"/>
        </w:rPr>
      </w:pPr>
      <w:r>
        <w:rPr>
          <w:rFonts w:hint="eastAsia" w:ascii="宋体" w:hAnsi="宋体" w:cs="宋体"/>
          <w:sz w:val="24"/>
          <w:szCs w:val="24"/>
        </w:rPr>
        <w:t xml:space="preserve"> 二、采购人按合同约定积极配合</w:t>
      </w:r>
      <w:r>
        <w:rPr>
          <w:rFonts w:hint="eastAsia" w:ascii="宋体" w:hAnsi="宋体" w:cs="宋体"/>
          <w:color w:val="000000"/>
          <w:sz w:val="24"/>
        </w:rPr>
        <w:t>成交供应商</w:t>
      </w:r>
      <w:r>
        <w:rPr>
          <w:rFonts w:hint="eastAsia" w:ascii="宋体" w:hAnsi="宋体" w:cs="宋体"/>
          <w:sz w:val="24"/>
          <w:szCs w:val="24"/>
        </w:rPr>
        <w:t>履约，</w:t>
      </w:r>
      <w:r>
        <w:rPr>
          <w:rFonts w:hint="eastAsia" w:ascii="宋体" w:hAnsi="宋体" w:cs="宋体"/>
          <w:color w:val="000000"/>
          <w:sz w:val="24"/>
        </w:rPr>
        <w:t>成交供应商</w:t>
      </w:r>
      <w:r>
        <w:rPr>
          <w:rFonts w:hint="eastAsia" w:ascii="宋体" w:hAnsi="宋体" w:cs="宋体"/>
          <w:sz w:val="24"/>
          <w:szCs w:val="24"/>
        </w:rPr>
        <w:t>履约到位后，请以书面形式向采购人提出验收申请，采购人接到申请后原则上在5个工作日内及时组织相关专业技术人员，必要时邀请质检等部门共同参与验收，并出具验收报告，验收合格的原则上5个工作日内支付相应款项。</w:t>
      </w:r>
    </w:p>
    <w:p>
      <w:pPr>
        <w:snapToGrid w:val="0"/>
        <w:spacing w:line="480" w:lineRule="exact"/>
        <w:ind w:firstLine="573"/>
        <w:textAlignment w:val="baseline"/>
        <w:rPr>
          <w:rFonts w:ascii="宋体" w:hAnsi="宋体" w:cs="宋体"/>
          <w:sz w:val="24"/>
          <w:szCs w:val="24"/>
        </w:rPr>
      </w:pPr>
      <w:r>
        <w:rPr>
          <w:rFonts w:hint="eastAsia" w:ascii="宋体" w:hAnsi="宋体" w:cs="宋体"/>
          <w:sz w:val="24"/>
          <w:szCs w:val="24"/>
        </w:rPr>
        <w:t>三、采购人故意推迟项目验收时间的，与</w:t>
      </w:r>
      <w:r>
        <w:rPr>
          <w:rFonts w:hint="eastAsia" w:ascii="宋体" w:hAnsi="宋体" w:cs="宋体"/>
          <w:color w:val="000000"/>
          <w:sz w:val="24"/>
        </w:rPr>
        <w:t>成交供应商</w:t>
      </w:r>
      <w:r>
        <w:rPr>
          <w:rFonts w:hint="eastAsia" w:ascii="宋体" w:hAnsi="宋体" w:cs="宋体"/>
          <w:sz w:val="24"/>
          <w:szCs w:val="24"/>
        </w:rPr>
        <w:t>串通或要求</w:t>
      </w:r>
      <w:r>
        <w:rPr>
          <w:rFonts w:hint="eastAsia" w:ascii="宋体" w:hAnsi="宋体" w:cs="宋体"/>
          <w:color w:val="000000"/>
          <w:sz w:val="24"/>
        </w:rPr>
        <w:t>成交供应商</w:t>
      </w:r>
      <w:r>
        <w:rPr>
          <w:rFonts w:hint="eastAsia" w:ascii="宋体" w:hAnsi="宋体" w:cs="宋体"/>
          <w:sz w:val="24"/>
          <w:szCs w:val="24"/>
        </w:rPr>
        <w:t>通过减少货物数量或降低服务标准的，在履行合同中采取更改配置、调换物品等手段的，要求</w:t>
      </w:r>
      <w:r>
        <w:rPr>
          <w:rFonts w:hint="eastAsia" w:ascii="宋体" w:hAnsi="宋体" w:cs="宋体"/>
          <w:color w:val="000000"/>
          <w:sz w:val="24"/>
        </w:rPr>
        <w:t>成交供应商</w:t>
      </w:r>
      <w:r>
        <w:rPr>
          <w:rFonts w:hint="eastAsia" w:ascii="宋体" w:hAnsi="宋体" w:cs="宋体"/>
          <w:sz w:val="24"/>
          <w:szCs w:val="24"/>
        </w:rPr>
        <w:t>出具虚假发票或任意更改销售发票的，谋取不正当利益的，承担相应的法律责任。</w:t>
      </w:r>
    </w:p>
    <w:p>
      <w:pPr>
        <w:snapToGrid w:val="0"/>
        <w:spacing w:line="480" w:lineRule="exact"/>
        <w:ind w:firstLine="573"/>
        <w:textAlignment w:val="baseline"/>
        <w:rPr>
          <w:rFonts w:ascii="宋体" w:hAnsi="宋体" w:cs="宋体"/>
          <w:sz w:val="24"/>
          <w:szCs w:val="24"/>
        </w:rPr>
      </w:pPr>
      <w:r>
        <w:rPr>
          <w:rFonts w:hint="eastAsia" w:ascii="宋体" w:hAnsi="宋体" w:cs="宋体"/>
          <w:sz w:val="24"/>
          <w:szCs w:val="24"/>
        </w:rPr>
        <w:t>四、</w:t>
      </w:r>
      <w:r>
        <w:rPr>
          <w:rFonts w:hint="eastAsia" w:ascii="宋体" w:hAnsi="宋体" w:cs="宋体"/>
          <w:color w:val="000000"/>
          <w:sz w:val="24"/>
        </w:rPr>
        <w:t>成交供应商</w:t>
      </w:r>
      <w:r>
        <w:rPr>
          <w:rFonts w:hint="eastAsia" w:ascii="宋体" w:hAnsi="宋体" w:cs="宋体"/>
          <w:sz w:val="24"/>
          <w:szCs w:val="24"/>
        </w:rPr>
        <w:t>出现违约情形，应当及时纠正或补偿；造成损失的，按合同约定追究违约责任；发现有假冒、伪劣、走私产品、商业贿赂等违法情形的，应由采购人移交工商、质监、公安等行政执法部门依法查处。</w:t>
      </w:r>
    </w:p>
    <w:p>
      <w:pPr>
        <w:snapToGrid w:val="0"/>
        <w:spacing w:line="480" w:lineRule="exact"/>
        <w:ind w:firstLine="573"/>
        <w:textAlignment w:val="baseline"/>
        <w:rPr>
          <w:rFonts w:ascii="宋体" w:hAnsi="宋体" w:cs="宋体"/>
          <w:sz w:val="24"/>
          <w:szCs w:val="24"/>
        </w:rPr>
      </w:pPr>
      <w:r>
        <w:rPr>
          <w:rFonts w:hint="eastAsia" w:ascii="宋体" w:hAnsi="宋体" w:cs="宋体"/>
          <w:sz w:val="24"/>
          <w:szCs w:val="24"/>
        </w:rPr>
        <w:t>五、不响应付款方式的，视同响应文件无效，按无效响应文件处理。</w:t>
      </w:r>
    </w:p>
    <w:p>
      <w:pPr>
        <w:snapToGrid w:val="0"/>
        <w:spacing w:line="480" w:lineRule="exact"/>
        <w:ind w:firstLine="573"/>
        <w:textAlignment w:val="baseline"/>
        <w:rPr>
          <w:rFonts w:ascii="宋体" w:hAnsi="宋体" w:cs="宋体"/>
          <w:sz w:val="24"/>
          <w:szCs w:val="24"/>
        </w:rPr>
      </w:pPr>
      <w:r>
        <w:rPr>
          <w:rFonts w:hint="eastAsia" w:ascii="宋体" w:hAnsi="宋体" w:cs="宋体"/>
          <w:sz w:val="24"/>
          <w:szCs w:val="24"/>
        </w:rPr>
        <w:t>六、付款方式详见磋商文件第五章。</w:t>
      </w:r>
    </w:p>
    <w:p>
      <w:pPr>
        <w:spacing w:line="360" w:lineRule="auto"/>
        <w:ind w:firstLine="480" w:firstLineChars="200"/>
        <w:jc w:val="both"/>
        <w:rPr>
          <w:rFonts w:hint="eastAsia" w:ascii="宋体" w:hAnsi="宋体" w:cs="宋体"/>
          <w:b/>
          <w:bCs/>
          <w:kern w:val="44"/>
          <w:sz w:val="44"/>
          <w:szCs w:val="44"/>
        </w:rPr>
        <w:sectPr>
          <w:headerReference r:id="rId10" w:type="default"/>
          <w:pgSz w:w="11906" w:h="16838"/>
          <w:pgMar w:top="1440" w:right="1361" w:bottom="1440" w:left="1361" w:header="851" w:footer="992" w:gutter="0"/>
          <w:cols w:space="720" w:num="1"/>
          <w:docGrid w:type="lines" w:linePitch="312" w:charSpace="0"/>
        </w:sectPr>
      </w:pPr>
      <w:r>
        <w:rPr>
          <w:rFonts w:hint="eastAsia" w:ascii="宋体" w:hAnsi="宋体" w:cs="宋体"/>
          <w:sz w:val="24"/>
          <w:szCs w:val="24"/>
        </w:rPr>
        <w:t>七、以上项目款的支付不计息。</w:t>
      </w:r>
    </w:p>
    <w:p>
      <w:pPr>
        <w:spacing w:line="360" w:lineRule="auto"/>
        <w:jc w:val="center"/>
        <w:rPr>
          <w:rFonts w:ascii="宋体"/>
          <w:sz w:val="24"/>
          <w:szCs w:val="24"/>
        </w:rPr>
      </w:pPr>
      <w:r>
        <w:rPr>
          <w:rFonts w:hint="eastAsia" w:ascii="宋体" w:hAnsi="宋体" w:cs="宋体"/>
          <w:b/>
          <w:bCs/>
          <w:kern w:val="44"/>
          <w:sz w:val="44"/>
          <w:szCs w:val="44"/>
        </w:rPr>
        <w:t>第七章</w:t>
      </w:r>
      <w:r>
        <w:rPr>
          <w:rFonts w:ascii="宋体" w:hAnsi="宋体" w:cs="宋体"/>
          <w:b/>
          <w:bCs/>
          <w:kern w:val="44"/>
          <w:sz w:val="44"/>
          <w:szCs w:val="44"/>
        </w:rPr>
        <w:t xml:space="preserve"> </w:t>
      </w:r>
      <w:r>
        <w:rPr>
          <w:rFonts w:hint="eastAsia" w:ascii="宋体" w:hAnsi="宋体" w:cs="宋体"/>
          <w:b/>
          <w:bCs/>
          <w:kern w:val="44"/>
          <w:sz w:val="44"/>
          <w:szCs w:val="44"/>
        </w:rPr>
        <w:t>质疑提出和处理</w:t>
      </w:r>
    </w:p>
    <w:p>
      <w:pPr>
        <w:adjustRightInd w:val="0"/>
        <w:snapToGrid w:val="0"/>
        <w:spacing w:line="480" w:lineRule="exact"/>
        <w:ind w:firstLine="480" w:firstLineChars="200"/>
        <w:rPr>
          <w:rFonts w:ascii="宋体" w:hAnsi="宋体" w:cs="宋体"/>
          <w:sz w:val="24"/>
          <w:szCs w:val="24"/>
        </w:rPr>
      </w:pP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一、质疑的提出</w:t>
      </w:r>
    </w:p>
    <w:p>
      <w:pPr>
        <w:adjustRightInd w:val="0"/>
        <w:snapToGrid w:val="0"/>
        <w:spacing w:line="48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、质疑人必须是直接参加本次磋商活动的当事人。</w:t>
      </w:r>
    </w:p>
    <w:p>
      <w:pPr>
        <w:adjustRightInd w:val="0"/>
        <w:snapToGrid w:val="0"/>
        <w:spacing w:line="48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、下载磋商文件的供应商应根据第二章“磋商供应商须知”中第一条第</w:t>
      </w:r>
      <w:r>
        <w:rPr>
          <w:rFonts w:ascii="宋体" w:hAnsi="宋体" w:cs="宋体"/>
          <w:sz w:val="24"/>
          <w:szCs w:val="24"/>
        </w:rPr>
        <w:t>4</w:t>
      </w:r>
      <w:r>
        <w:rPr>
          <w:rFonts w:hint="eastAsia" w:ascii="宋体" w:hAnsi="宋体" w:cs="宋体"/>
          <w:sz w:val="24"/>
          <w:szCs w:val="24"/>
        </w:rPr>
        <w:t>款的约定提出；响应文件接收截止后，供应商未进行磋商登记的，不能就响应文件接收截止后的招投标过程、成交结果提出质疑；在磋商过程中，凡主持人或评估小组明确提出须由供应商确认的事项，供应商当场无异议的，事后不得提出质疑。</w:t>
      </w:r>
    </w:p>
    <w:p>
      <w:pPr>
        <w:adjustRightInd w:val="0"/>
        <w:snapToGrid w:val="0"/>
        <w:spacing w:line="48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提出质疑时，必须坚持“谁主张，谁举证”、“实事求是”的原则，不能臆测。属于须由法定部门调查、侦查或先行作出相关认定的事项，质疑人应当依法申请具有法定职权的部门查清、认定，并将相关结果提供给采购单位或采购代理机构。采购单位或采购代理机构不具有法定调查、认定权限。</w:t>
      </w:r>
    </w:p>
    <w:p>
      <w:pPr>
        <w:adjustRightInd w:val="0"/>
        <w:snapToGrid w:val="0"/>
        <w:spacing w:line="48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对本次磋商有质疑的，实行实名制，不得进行虚假、恶意质疑。质疑人应在质疑有效期内以书面形式提出《质疑函》（格式请下载），《质疑函》内容应包括质疑事项、主要内容、事实依据、适应法规条款、佐证材料等。同时，质疑人应保证其提出的质疑内容及相关佐证材料的真实性及来源的合法性，并承担相应的法律责任。</w:t>
      </w:r>
    </w:p>
    <w:p>
      <w:pPr>
        <w:adjustRightInd w:val="0"/>
        <w:snapToGrid w:val="0"/>
        <w:spacing w:line="480" w:lineRule="exact"/>
        <w:ind w:firstLine="600" w:firstLineChars="250"/>
        <w:rPr>
          <w:rFonts w:ascii="宋体"/>
          <w:sz w:val="24"/>
          <w:szCs w:val="24"/>
        </w:rPr>
      </w:pPr>
      <w:r>
        <w:rPr>
          <w:rFonts w:hint="eastAsia" w:ascii="宋体" w:hAnsi="宋体" w:cs="宋体"/>
          <w:sz w:val="24"/>
          <w:szCs w:val="24"/>
        </w:rPr>
        <w:t>对不能提供相关佐证材料的、涉及商业秘密的、非书面形式的、非送达的、匿名的《质疑函》将不予受理。</w:t>
      </w:r>
    </w:p>
    <w:p>
      <w:pPr>
        <w:adjustRightInd w:val="0"/>
        <w:snapToGrid w:val="0"/>
        <w:spacing w:line="480" w:lineRule="exact"/>
        <w:ind w:firstLine="600" w:firstLineChars="250"/>
        <w:rPr>
          <w:rFonts w:ascii="宋体"/>
          <w:sz w:val="24"/>
          <w:szCs w:val="24"/>
        </w:rPr>
      </w:pPr>
      <w:r>
        <w:rPr>
          <w:rFonts w:hint="eastAsia" w:ascii="宋体" w:hAnsi="宋体" w:cs="宋体"/>
          <w:sz w:val="24"/>
          <w:szCs w:val="24"/>
        </w:rPr>
        <w:t>相关佐证材料要具备客观性、关联性、合法性，无法查实的（如宣传册、媒体报道、猜测、推理等）不能作为佐证材料。</w:t>
      </w:r>
    </w:p>
    <w:p>
      <w:pPr>
        <w:adjustRightInd w:val="0"/>
        <w:snapToGrid w:val="0"/>
        <w:spacing w:line="480" w:lineRule="exact"/>
        <w:ind w:firstLine="600" w:firstLineChars="250"/>
        <w:rPr>
          <w:rFonts w:ascii="宋体"/>
          <w:sz w:val="24"/>
          <w:szCs w:val="24"/>
        </w:rPr>
      </w:pPr>
      <w:r>
        <w:rPr>
          <w:rFonts w:hint="eastAsia" w:ascii="宋体" w:hAnsi="宋体" w:cs="宋体"/>
          <w:sz w:val="24"/>
          <w:szCs w:val="24"/>
        </w:rPr>
        <w:t>采购单位或采购代理机构不负责搜集相关佐证材料等工作。</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二、《质疑函》的受理和回复</w:t>
      </w:r>
    </w:p>
    <w:p>
      <w:pPr>
        <w:adjustRightInd w:val="0"/>
        <w:snapToGrid w:val="0"/>
        <w:spacing w:line="48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、《质疑函》须由质疑人的法定代表人或参加本次磋商被授权人送达采购单位和采购代理机构。</w:t>
      </w:r>
    </w:p>
    <w:p>
      <w:pPr>
        <w:adjustRightInd w:val="0"/>
        <w:snapToGrid w:val="0"/>
        <w:spacing w:line="48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对符合提出质疑要求的，采购单位、采购代理机构签收并出具《质疑受理通知书》。在处理过程中，发现需要质疑人进一步补充相关佐证材料的，请质疑人在规定的时间内提供，质疑回复时间相应顺延。质疑人不能按时提供相关佐证材料的，视同放弃质疑。</w:t>
      </w:r>
    </w:p>
    <w:p>
      <w:pPr>
        <w:adjustRightInd w:val="0"/>
        <w:snapToGrid w:val="0"/>
        <w:spacing w:line="48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、对不符合提出质疑要求的，出具《质疑退回通知书》并提出相关补充材料要求，质疑人未在规定的时间内提供补充佐证材料的，视同放弃质疑。</w:t>
      </w:r>
    </w:p>
    <w:p>
      <w:pPr>
        <w:adjustRightInd w:val="0"/>
        <w:snapToGrid w:val="0"/>
        <w:spacing w:line="48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、采购单位、采购代理机构负责将质疑人提出的质疑相关材料提供给相关专家或评估小组审核，并将审核意见回复质疑人。</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必要时，可向被质疑人转发《质疑函》及相关佐证材料。被质疑人应当在要求的时间日内，以书面形式作出说明，并提交相关证据。被质疑人在规定时间内，无正当理由未提交相关证据的，视同放弃说明权利，认可被质疑事项。</w:t>
      </w:r>
    </w:p>
    <w:p>
      <w:pPr>
        <w:adjustRightInd w:val="0"/>
        <w:snapToGrid w:val="0"/>
        <w:spacing w:line="480" w:lineRule="exact"/>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、因质疑情况复杂，组织论证或审查时间较长的，采购单位、采购代理机构以书面形式通知质疑人，可适当延长质疑回复处理时间。</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三、质疑处理</w:t>
      </w:r>
    </w:p>
    <w:p>
      <w:pPr>
        <w:adjustRightInd w:val="0"/>
        <w:snapToGrid w:val="0"/>
        <w:spacing w:line="48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、质疑成立的处理。采购单位或采购代理机构终止采购，并建议有关部门给相关当事人予以处理。</w:t>
      </w:r>
    </w:p>
    <w:p>
      <w:pPr>
        <w:adjustRightInd w:val="0"/>
        <w:snapToGrid w:val="0"/>
        <w:spacing w:line="48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、质疑不成立的处理。</w:t>
      </w:r>
    </w:p>
    <w:p>
      <w:pPr>
        <w:adjustRightInd w:val="0"/>
        <w:snapToGrid w:val="0"/>
        <w:spacing w:line="48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）质疑人书面《申请撤回质疑函》的，不作违约处理。</w:t>
      </w:r>
    </w:p>
    <w:p>
      <w:pPr>
        <w:adjustRightInd w:val="0"/>
        <w:snapToGrid w:val="0"/>
        <w:spacing w:line="48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）质疑人在规定的时间内不配合进行质疑调查处理的，按自动撤回《质疑函》处理。</w:t>
      </w:r>
    </w:p>
    <w:p>
      <w:pPr>
        <w:adjustRightInd w:val="0"/>
        <w:snapToGrid w:val="0"/>
        <w:spacing w:line="48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）质疑人不按《质疑函》格式就提出质疑的，作违约处理。同时，视情列入不良供应商名单。</w:t>
      </w:r>
    </w:p>
    <w:p>
      <w:pPr>
        <w:adjustRightInd w:val="0"/>
        <w:snapToGrid w:val="0"/>
        <w:spacing w:line="48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）质疑人虽提供了相关佐证材料，但不能证明其质疑成立的，采购单位或采购代理机构请质疑人补充相关佐证材料，仍不能证明其质疑成立的，作违约处理。并将其列入不良供应商名单。</w:t>
      </w:r>
    </w:p>
    <w:p>
      <w:pPr>
        <w:adjustRightInd w:val="0"/>
        <w:snapToGrid w:val="0"/>
        <w:spacing w:line="480" w:lineRule="exact"/>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）质疑人不能提供相关佐证材料的，采购单位、采购代理机构已指出，质疑人仍然坚持提出质疑的，作违约处理。同时，列入不良供应商名单。</w:t>
      </w:r>
    </w:p>
    <w:p>
      <w:pPr>
        <w:adjustRightInd w:val="0"/>
        <w:snapToGrid w:val="0"/>
        <w:spacing w:line="480" w:lineRule="exact"/>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）对明显有违事实的、经相关专家或评审小组认定无依据的、经其他供应商举证无依据的质疑，作违约处理，列入不良供应商名单；同时，对其中每一项不成立的质疑给予质疑人</w:t>
      </w:r>
      <w:r>
        <w:rPr>
          <w:rFonts w:ascii="宋体" w:hAnsi="宋体" w:cs="宋体"/>
          <w:sz w:val="24"/>
          <w:szCs w:val="24"/>
        </w:rPr>
        <w:t>1</w:t>
      </w:r>
      <w:r>
        <w:rPr>
          <w:rFonts w:hint="eastAsia" w:ascii="宋体" w:hAnsi="宋体" w:cs="宋体"/>
          <w:sz w:val="24"/>
          <w:szCs w:val="24"/>
        </w:rPr>
        <w:t>年内禁入本区域内的政府采购活动的违约处理，依次类推；视情在南通公共资源交易平台、省、国家级相关媒体予以披露。</w:t>
      </w:r>
    </w:p>
    <w:p>
      <w:pPr>
        <w:adjustRightInd w:val="0"/>
        <w:snapToGrid w:val="0"/>
        <w:spacing w:line="480" w:lineRule="exact"/>
        <w:ind w:firstLine="480" w:firstLineChars="200"/>
        <w:rPr>
          <w:rFonts w:ascii="宋体"/>
          <w:sz w:val="24"/>
          <w:szCs w:val="24"/>
        </w:rPr>
      </w:pPr>
      <w:r>
        <w:rPr>
          <w:rFonts w:ascii="宋体" w:hAnsi="宋体" w:cs="宋体"/>
          <w:sz w:val="24"/>
          <w:szCs w:val="24"/>
        </w:rPr>
        <w:t>7</w:t>
      </w:r>
      <w:r>
        <w:rPr>
          <w:rFonts w:hint="eastAsia" w:ascii="宋体" w:hAnsi="宋体" w:cs="宋体"/>
          <w:sz w:val="24"/>
          <w:szCs w:val="24"/>
        </w:rPr>
        <w:t>）质疑人承担使用虚假材料或恶意方式质疑的法律责任。</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四、无佐证材料的举报作违约处理。供应商不得进行不提供相关佐证材料（含无法查实的如宣传册、媒体报道、猜测、推理等）向有关部门的举报，否则作违约处理。同时对其在</w:t>
      </w:r>
      <w:r>
        <w:rPr>
          <w:rFonts w:ascii="宋体" w:hAnsi="宋体" w:cs="宋体"/>
          <w:sz w:val="24"/>
          <w:szCs w:val="24"/>
        </w:rPr>
        <w:t>1</w:t>
      </w:r>
      <w:r>
        <w:rPr>
          <w:rFonts w:hint="eastAsia" w:ascii="宋体" w:hAnsi="宋体" w:cs="宋体"/>
          <w:sz w:val="24"/>
          <w:szCs w:val="24"/>
        </w:rPr>
        <w:t>至</w:t>
      </w:r>
      <w:r>
        <w:rPr>
          <w:rFonts w:ascii="宋体" w:hAnsi="宋体" w:cs="宋体"/>
          <w:sz w:val="24"/>
          <w:szCs w:val="24"/>
        </w:rPr>
        <w:t>3</w:t>
      </w:r>
      <w:r>
        <w:rPr>
          <w:rFonts w:hint="eastAsia" w:ascii="宋体" w:hAnsi="宋体" w:cs="宋体"/>
          <w:sz w:val="24"/>
          <w:szCs w:val="24"/>
        </w:rPr>
        <w:t>年内禁入由采购单位组织的政府采购活动的违约处理。</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五、投诉不成立的作违约处理。供应商进行质疑后，采购单位回复质疑不成立，供应商仍进行投诉的，并最终投诉不成立的，作违约处理。采购单位有权对其在</w:t>
      </w:r>
      <w:r>
        <w:rPr>
          <w:rFonts w:ascii="宋体" w:hAnsi="宋体" w:cs="宋体"/>
          <w:sz w:val="24"/>
          <w:szCs w:val="24"/>
        </w:rPr>
        <w:t>1</w:t>
      </w:r>
      <w:r>
        <w:rPr>
          <w:rFonts w:hint="eastAsia" w:ascii="宋体" w:hAnsi="宋体" w:cs="宋体"/>
          <w:sz w:val="24"/>
          <w:szCs w:val="24"/>
        </w:rPr>
        <w:t>至</w:t>
      </w:r>
      <w:r>
        <w:rPr>
          <w:rFonts w:ascii="宋体" w:hAnsi="宋体" w:cs="宋体"/>
          <w:sz w:val="24"/>
          <w:szCs w:val="24"/>
        </w:rPr>
        <w:t>3</w:t>
      </w:r>
      <w:r>
        <w:rPr>
          <w:rFonts w:hint="eastAsia" w:ascii="宋体" w:hAnsi="宋体" w:cs="宋体"/>
          <w:sz w:val="24"/>
          <w:szCs w:val="24"/>
        </w:rPr>
        <w:t>年内禁入由采购单位组织的政府采购活动的违约处理。</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六、《质疑函》、《质疑回复函》，质疑、举报、投诉不成立的等相关情况，视情在南通公共资源交易平台、省、国家级等相关媒体予以披露。并建议相关政府采购机构对该供应商同步实施</w:t>
      </w:r>
      <w:r>
        <w:rPr>
          <w:rFonts w:ascii="宋体" w:hAnsi="宋体" w:cs="宋体"/>
          <w:sz w:val="24"/>
          <w:szCs w:val="24"/>
        </w:rPr>
        <w:t>1</w:t>
      </w:r>
      <w:r>
        <w:rPr>
          <w:rFonts w:hint="eastAsia" w:ascii="宋体" w:hAnsi="宋体" w:cs="宋体"/>
          <w:sz w:val="24"/>
          <w:szCs w:val="24"/>
        </w:rPr>
        <w:t>至</w:t>
      </w:r>
      <w:r>
        <w:rPr>
          <w:rFonts w:ascii="宋体" w:hAnsi="宋体" w:cs="宋体"/>
          <w:sz w:val="24"/>
          <w:szCs w:val="24"/>
        </w:rPr>
        <w:t>3</w:t>
      </w:r>
      <w:r>
        <w:rPr>
          <w:rFonts w:hint="eastAsia" w:ascii="宋体" w:hAnsi="宋体" w:cs="宋体"/>
          <w:sz w:val="24"/>
          <w:szCs w:val="24"/>
        </w:rPr>
        <w:t>年内禁入。</w:t>
      </w:r>
    </w:p>
    <w:p>
      <w:pPr>
        <w:adjustRightInd w:val="0"/>
        <w:snapToGrid w:val="0"/>
        <w:spacing w:line="480" w:lineRule="exact"/>
        <w:ind w:firstLine="480" w:firstLineChars="200"/>
        <w:rPr>
          <w:rFonts w:ascii="宋体"/>
          <w:sz w:val="24"/>
          <w:szCs w:val="24"/>
        </w:rPr>
      </w:pPr>
      <w:r>
        <w:rPr>
          <w:rFonts w:hint="eastAsia" w:ascii="宋体" w:hAnsi="宋体" w:cs="宋体"/>
          <w:sz w:val="24"/>
          <w:szCs w:val="24"/>
        </w:rPr>
        <w:t>七、质疑供应商对采购单位或代理机构的答复不满意或者采购单位或代理机构未在规定的时间内作出答复的，可以在答复期满后</w:t>
      </w:r>
      <w:r>
        <w:rPr>
          <w:rFonts w:ascii="宋体" w:hAnsi="宋体" w:cs="宋体"/>
          <w:sz w:val="24"/>
          <w:szCs w:val="24"/>
        </w:rPr>
        <w:t>15</w:t>
      </w:r>
      <w:r>
        <w:rPr>
          <w:rFonts w:hint="eastAsia" w:ascii="宋体" w:hAnsi="宋体" w:cs="宋体"/>
          <w:sz w:val="24"/>
          <w:szCs w:val="24"/>
        </w:rPr>
        <w:t>个工作日内向南通市政府采购监督管理部门投诉。</w:t>
      </w:r>
    </w:p>
    <w:p>
      <w:pPr>
        <w:pStyle w:val="6"/>
        <w:keepNext w:val="0"/>
        <w:keepLines w:val="0"/>
        <w:numPr>
          <w:ilvl w:val="0"/>
          <w:numId w:val="0"/>
        </w:numPr>
        <w:snapToGrid w:val="0"/>
        <w:spacing w:before="0" w:after="156" w:afterLines="50" w:line="520" w:lineRule="exact"/>
        <w:ind w:left="420"/>
        <w:jc w:val="center"/>
        <w:rPr>
          <w:rFonts w:ascii="宋体"/>
        </w:rPr>
      </w:pPr>
      <w:bookmarkStart w:id="86" w:name="_Toc363573860"/>
      <w:r>
        <w:rPr>
          <w:rFonts w:ascii="宋体"/>
          <w:w w:val="80"/>
          <w:sz w:val="24"/>
          <w:szCs w:val="24"/>
        </w:rPr>
        <w:br w:type="page"/>
      </w:r>
      <w:r>
        <w:rPr>
          <w:rFonts w:hint="eastAsia" w:ascii="宋体" w:hAnsi="宋体" w:cs="宋体"/>
          <w:w w:val="80"/>
        </w:rPr>
        <w:t>第八章</w:t>
      </w:r>
      <w:r>
        <w:rPr>
          <w:rFonts w:hint="eastAsia" w:ascii="宋体" w:hAnsi="宋体" w:cs="宋体"/>
          <w:w w:val="80"/>
          <w:lang w:val="en-US" w:eastAsia="zh-CN"/>
        </w:rPr>
        <w:t xml:space="preserve"> </w:t>
      </w:r>
      <w:r>
        <w:rPr>
          <w:rFonts w:hint="eastAsia" w:ascii="宋体" w:hAnsi="宋体" w:cs="宋体"/>
          <w:w w:val="80"/>
        </w:rPr>
        <w:t>响应文件组成及格式</w:t>
      </w:r>
      <w:bookmarkEnd w:id="86"/>
    </w:p>
    <w:p>
      <w:pPr>
        <w:widowControl/>
        <w:snapToGrid w:val="0"/>
        <w:spacing w:line="360" w:lineRule="auto"/>
        <w:ind w:firstLine="472" w:firstLineChars="196"/>
        <w:jc w:val="left"/>
        <w:rPr>
          <w:rFonts w:ascii="宋体" w:hAnsi="宋体" w:cs="宋体"/>
          <w:b/>
          <w:bCs/>
          <w:sz w:val="24"/>
          <w:szCs w:val="24"/>
        </w:rPr>
      </w:pPr>
    </w:p>
    <w:p>
      <w:pPr>
        <w:widowControl/>
        <w:snapToGrid w:val="0"/>
        <w:spacing w:line="360" w:lineRule="auto"/>
        <w:ind w:firstLine="472" w:firstLineChars="196"/>
        <w:jc w:val="left"/>
        <w:rPr>
          <w:rFonts w:ascii="宋体"/>
          <w:b/>
          <w:bCs/>
          <w:sz w:val="24"/>
          <w:szCs w:val="24"/>
        </w:rPr>
      </w:pPr>
      <w:r>
        <w:rPr>
          <w:rFonts w:hint="eastAsia" w:ascii="宋体" w:hAnsi="宋体" w:cs="宋体"/>
          <w:b/>
          <w:bCs/>
          <w:sz w:val="24"/>
          <w:szCs w:val="24"/>
        </w:rPr>
        <w:t>响应文件由资格审查文件、技术响应文件、商务报价响应文件三部分组成。本次竞争性磋商采用资格后审方式，供应商须将资格审查文件作为响应文件组成部分，按磋商文件要求装订密封后一起递交。</w:t>
      </w:r>
    </w:p>
    <w:p>
      <w:pPr>
        <w:widowControl/>
        <w:numPr>
          <w:ilvl w:val="0"/>
          <w:numId w:val="10"/>
        </w:numPr>
        <w:snapToGrid w:val="0"/>
        <w:spacing w:line="360" w:lineRule="auto"/>
        <w:ind w:firstLine="472" w:firstLineChars="196"/>
        <w:jc w:val="left"/>
        <w:rPr>
          <w:rFonts w:ascii="宋体"/>
          <w:b/>
          <w:bCs/>
          <w:sz w:val="24"/>
          <w:szCs w:val="24"/>
          <w:lang w:val="zh-CN"/>
        </w:rPr>
      </w:pPr>
      <w:r>
        <w:rPr>
          <w:rFonts w:hint="eastAsia" w:ascii="宋体" w:hAnsi="宋体" w:cs="宋体"/>
          <w:b/>
          <w:bCs/>
          <w:sz w:val="24"/>
          <w:szCs w:val="24"/>
        </w:rPr>
        <w:t>资格审查文件</w:t>
      </w:r>
      <w:r>
        <w:rPr>
          <w:rFonts w:hint="eastAsia" w:ascii="宋体" w:hAnsi="宋体" w:cs="宋体"/>
          <w:b/>
          <w:bCs/>
          <w:sz w:val="24"/>
          <w:szCs w:val="24"/>
          <w:lang w:val="zh-CN"/>
        </w:rPr>
        <w:t>（</w:t>
      </w:r>
      <w:r>
        <w:rPr>
          <w:rFonts w:hint="eastAsia" w:ascii="宋体" w:hAnsi="宋体" w:cs="宋体"/>
          <w:b/>
          <w:bCs/>
          <w:sz w:val="24"/>
          <w:szCs w:val="24"/>
        </w:rPr>
        <w:t>单独密封</w:t>
      </w:r>
      <w:r>
        <w:rPr>
          <w:rFonts w:hint="eastAsia" w:ascii="宋体" w:hAnsi="宋体" w:cs="宋体"/>
          <w:b/>
          <w:bCs/>
          <w:sz w:val="24"/>
          <w:szCs w:val="24"/>
          <w:lang w:val="zh-CN"/>
        </w:rPr>
        <w:t>）</w:t>
      </w:r>
    </w:p>
    <w:p>
      <w:pPr>
        <w:numPr>
          <w:ilvl w:val="0"/>
          <w:numId w:val="11"/>
        </w:numPr>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rPr>
        <w:t>供应商必须有能力按本磋商文件规定的要求提供相关服务，须提供有效的三证合一的企业法人营业执照复印件或扫描件。</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rPr>
        <w:t>2、 提供供应商的法定代表人或负责人身份证明及身份证原件的复印件或扫描件（须加盖供应商公章，格式参见竞争性磋商文件第八章）；</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rPr>
        <w:t>3、如为被委托受权人参加竞争性磋商的，还必须提供法定代表人或负责人签名或盖章的授权委托书及被委托受权人身份证这两项原件的复印件或扫描件（须加盖供应商公章，格式参见竞争性磋商文件第八章）；</w:t>
      </w:r>
    </w:p>
    <w:p>
      <w:pPr>
        <w:pStyle w:val="2"/>
        <w:snapToGrid w:val="0"/>
        <w:spacing w:after="0" w:line="360" w:lineRule="auto"/>
        <w:ind w:firstLine="480"/>
        <w:rPr>
          <w:rFonts w:hint="eastAsia" w:ascii="宋体" w:hAnsi="宋体" w:cs="宋体"/>
          <w:bCs/>
          <w:color w:val="000000"/>
          <w:sz w:val="24"/>
          <w:szCs w:val="24"/>
        </w:rPr>
      </w:pPr>
      <w:r>
        <w:rPr>
          <w:rFonts w:hint="eastAsia" w:ascii="宋体" w:hAnsi="宋体" w:cs="宋体"/>
          <w:sz w:val="24"/>
          <w:szCs w:val="24"/>
        </w:rPr>
        <w:t>4</w:t>
      </w:r>
      <w:r>
        <w:rPr>
          <w:rFonts w:hint="eastAsia" w:ascii="宋体" w:hAnsi="宋体" w:cs="宋体"/>
          <w:bCs/>
          <w:color w:val="000000"/>
          <w:sz w:val="24"/>
          <w:szCs w:val="24"/>
        </w:rPr>
        <w:t>、供应商一般情况表（格式参见第八章）；</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供应商</w:t>
      </w:r>
      <w:r>
        <w:rPr>
          <w:rFonts w:hint="eastAsia" w:ascii="宋体" w:hAnsi="宋体" w:cs="宋体"/>
          <w:sz w:val="24"/>
          <w:szCs w:val="24"/>
          <w:lang w:val="en-US" w:eastAsia="zh-CN"/>
        </w:rPr>
        <w:t>2022年以来</w:t>
      </w:r>
      <w:r>
        <w:rPr>
          <w:rFonts w:hint="eastAsia" w:ascii="宋体" w:hAnsi="宋体" w:cs="宋体"/>
          <w:sz w:val="24"/>
          <w:szCs w:val="24"/>
        </w:rPr>
        <w:t>任意一个月依法缴纳税收和社会保障资金的相关材料复印件或扫描件；</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lang w:val="en-US" w:eastAsia="zh-CN"/>
        </w:rPr>
        <w:t>6、</w:t>
      </w:r>
      <w:r>
        <w:rPr>
          <w:rFonts w:hint="eastAsia" w:ascii="宋体" w:hAnsi="宋体" w:cs="宋体"/>
          <w:sz w:val="24"/>
          <w:szCs w:val="24"/>
        </w:rPr>
        <w:t>供应商具有履行合同所必需的设备和专业技术能力的书面声明（格式参见第八章）；</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lang w:val="en-US" w:eastAsia="zh-CN"/>
        </w:rPr>
        <w:t>7</w:t>
      </w:r>
      <w:r>
        <w:rPr>
          <w:rFonts w:hint="eastAsia" w:ascii="宋体" w:hAnsi="宋体" w:cs="宋体"/>
          <w:sz w:val="24"/>
          <w:szCs w:val="24"/>
        </w:rPr>
        <w:t>、供应商须提供参与本次项目政府采购活动前三年内，在经营活动中没有重大违法记录的书面《无重大违法记录声明函》（格式参见竞争性磋商文件第八章）；</w:t>
      </w:r>
    </w:p>
    <w:p>
      <w:pPr>
        <w:widowControl/>
        <w:snapToGrid w:val="0"/>
        <w:spacing w:line="360" w:lineRule="auto"/>
        <w:ind w:firstLine="470" w:firstLineChars="196"/>
        <w:jc w:val="left"/>
        <w:textAlignment w:val="baseline"/>
        <w:rPr>
          <w:rFonts w:hint="eastAsia" w:ascii="宋体" w:hAnsi="宋体" w:cs="宋体"/>
          <w:sz w:val="24"/>
          <w:szCs w:val="24"/>
        </w:rPr>
      </w:pPr>
      <w:r>
        <w:rPr>
          <w:rFonts w:hint="eastAsia" w:ascii="宋体" w:hAnsi="宋体" w:cs="宋体"/>
          <w:sz w:val="24"/>
          <w:szCs w:val="24"/>
          <w:lang w:val="en-US" w:eastAsia="zh-CN"/>
        </w:rPr>
        <w:t>8</w:t>
      </w:r>
      <w:r>
        <w:rPr>
          <w:rFonts w:hint="eastAsia" w:ascii="宋体" w:hAnsi="宋体" w:cs="宋体"/>
          <w:sz w:val="24"/>
          <w:szCs w:val="24"/>
        </w:rPr>
        <w:t>、关于资格文件的声明函（格式参见竞争性磋商文件第八章）。</w:t>
      </w:r>
    </w:p>
    <w:p>
      <w:pPr>
        <w:pStyle w:val="2"/>
        <w:snapToGrid w:val="0"/>
        <w:spacing w:after="0" w:line="360" w:lineRule="auto"/>
        <w:ind w:firstLine="480"/>
        <w:rPr>
          <w:rFonts w:hint="eastAsia" w:ascii="宋体" w:hAnsi="宋体" w:eastAsia="宋体" w:cs="宋体"/>
          <w:sz w:val="24"/>
          <w:szCs w:val="24"/>
          <w:lang w:val="zh-CN"/>
        </w:rPr>
      </w:pPr>
      <w:r>
        <w:rPr>
          <w:rFonts w:hint="eastAsia" w:ascii="宋体" w:hAnsi="宋体" w:eastAsia="宋体" w:cs="宋体"/>
          <w:sz w:val="24"/>
          <w:szCs w:val="24"/>
          <w:lang w:val="en-US" w:eastAsia="zh-CN"/>
        </w:rPr>
        <w:t>9、</w:t>
      </w:r>
      <w:r>
        <w:rPr>
          <w:rFonts w:hint="eastAsia" w:ascii="宋体" w:hAnsi="宋体" w:eastAsia="宋体" w:cs="宋体"/>
          <w:sz w:val="24"/>
          <w:szCs w:val="24"/>
          <w:lang w:val="zh-CN"/>
        </w:rPr>
        <w:t>国家或江苏省环境类检测资质《资质认定计量认证证书》（CMA）复印件；</w:t>
      </w:r>
    </w:p>
    <w:p>
      <w:pPr>
        <w:snapToGrid w:val="0"/>
        <w:spacing w:line="360" w:lineRule="auto"/>
        <w:ind w:firstLine="482" w:firstLineChars="200"/>
        <w:textAlignment w:val="baseline"/>
        <w:rPr>
          <w:rFonts w:ascii="宋体" w:hAnsi="宋体" w:cs="宋体"/>
          <w:sz w:val="24"/>
          <w:szCs w:val="24"/>
        </w:rPr>
      </w:pPr>
      <w:r>
        <w:rPr>
          <w:rFonts w:hint="eastAsia" w:ascii="宋体" w:hAnsi="宋体" w:cs="宋体"/>
          <w:b/>
          <w:bCs/>
          <w:sz w:val="24"/>
          <w:szCs w:val="24"/>
        </w:rPr>
        <w:t>注：以上材料如为复印件或扫描件均需加盖单位公章，要求提供原件查验的，因携带原件不全而由此引起的后果由投标人自负。</w:t>
      </w:r>
    </w:p>
    <w:p>
      <w:pPr>
        <w:widowControl/>
        <w:snapToGrid w:val="0"/>
        <w:spacing w:line="360" w:lineRule="auto"/>
        <w:ind w:firstLine="472" w:firstLineChars="196"/>
        <w:jc w:val="left"/>
        <w:textAlignment w:val="baseline"/>
        <w:rPr>
          <w:rFonts w:ascii="宋体" w:hAnsi="宋体"/>
          <w:b/>
          <w:sz w:val="24"/>
          <w:szCs w:val="24"/>
        </w:rPr>
      </w:pPr>
      <w:r>
        <w:rPr>
          <w:rFonts w:hint="eastAsia" w:ascii="宋体" w:hAnsi="宋体"/>
          <w:b/>
          <w:sz w:val="24"/>
          <w:szCs w:val="24"/>
        </w:rPr>
        <w:t>二、技术响应文件（单独密封）</w:t>
      </w:r>
    </w:p>
    <w:p>
      <w:pPr>
        <w:widowControl/>
        <w:snapToGrid w:val="0"/>
        <w:spacing w:line="360" w:lineRule="auto"/>
        <w:ind w:firstLine="470" w:firstLineChars="196"/>
        <w:jc w:val="left"/>
        <w:textAlignment w:val="baseline"/>
        <w:rPr>
          <w:rFonts w:ascii="宋体" w:hAnsi="宋体"/>
          <w:sz w:val="24"/>
          <w:szCs w:val="24"/>
        </w:rPr>
      </w:pPr>
      <w:r>
        <w:rPr>
          <w:rFonts w:hint="eastAsia" w:ascii="宋体" w:hAnsi="宋体"/>
          <w:sz w:val="24"/>
          <w:szCs w:val="24"/>
        </w:rPr>
        <w:t>1、竞争性磋商响应函（格式参见第八章）；</w:t>
      </w:r>
    </w:p>
    <w:p>
      <w:pPr>
        <w:widowControl/>
        <w:snapToGrid w:val="0"/>
        <w:spacing w:line="360" w:lineRule="auto"/>
        <w:ind w:firstLine="470" w:firstLineChars="196"/>
        <w:jc w:val="left"/>
        <w:textAlignment w:val="baseline"/>
        <w:rPr>
          <w:rFonts w:ascii="宋体" w:hAnsi="宋体" w:cs="宋体"/>
          <w:sz w:val="24"/>
          <w:szCs w:val="24"/>
        </w:rPr>
      </w:pPr>
      <w:r>
        <w:rPr>
          <w:rFonts w:hint="eastAsia" w:ascii="宋体" w:hAnsi="宋体"/>
          <w:sz w:val="24"/>
          <w:szCs w:val="24"/>
        </w:rPr>
        <w:t>2、</w:t>
      </w:r>
      <w:r>
        <w:rPr>
          <w:rFonts w:hint="eastAsia" w:ascii="宋体" w:hAnsi="宋体" w:cs="宋体"/>
          <w:sz w:val="24"/>
          <w:szCs w:val="24"/>
        </w:rPr>
        <w:t>评标办法和项目需求中所涉及的事项需提供的所有资料；</w:t>
      </w:r>
    </w:p>
    <w:p>
      <w:pPr>
        <w:snapToGrid w:val="0"/>
        <w:spacing w:line="360" w:lineRule="auto"/>
        <w:ind w:firstLine="480" w:firstLineChars="200"/>
        <w:jc w:val="left"/>
        <w:textAlignment w:val="baseline"/>
        <w:rPr>
          <w:sz w:val="24"/>
          <w:szCs w:val="24"/>
        </w:rPr>
      </w:pPr>
      <w:r>
        <w:rPr>
          <w:rFonts w:hint="eastAsia" w:ascii="宋体" w:hAnsi="宋体" w:cs="宋体"/>
          <w:sz w:val="24"/>
          <w:szCs w:val="24"/>
          <w:lang w:val="en-US" w:eastAsia="zh-CN"/>
        </w:rPr>
        <w:t>3</w:t>
      </w:r>
      <w:r>
        <w:rPr>
          <w:rFonts w:hint="eastAsia" w:ascii="宋体" w:hAnsi="宋体" w:cs="宋体"/>
          <w:sz w:val="24"/>
          <w:szCs w:val="24"/>
        </w:rPr>
        <w:t>、评标办法和项目需求中未涉及的事项，供应商认为需要提交的其他资料。</w:t>
      </w:r>
    </w:p>
    <w:p>
      <w:pPr>
        <w:widowControl/>
        <w:snapToGrid w:val="0"/>
        <w:spacing w:line="360" w:lineRule="auto"/>
        <w:ind w:firstLine="470" w:firstLineChars="196"/>
        <w:jc w:val="left"/>
        <w:textAlignment w:val="baseline"/>
        <w:rPr>
          <w:rFonts w:ascii="宋体" w:hAnsi="宋体" w:cs="宋体"/>
          <w:bCs/>
          <w:color w:val="000000"/>
          <w:sz w:val="24"/>
          <w:szCs w:val="24"/>
        </w:rPr>
      </w:pPr>
      <w:r>
        <w:rPr>
          <w:rFonts w:hint="eastAsia" w:ascii="宋体" w:hAnsi="宋体"/>
          <w:sz w:val="24"/>
          <w:szCs w:val="24"/>
        </w:rPr>
        <w:t>注：为方便评委评审，请供应商按评标办法中所涉及的事项顺序进行编制，可以补充相</w:t>
      </w:r>
      <w:r>
        <w:rPr>
          <w:rFonts w:hint="eastAsia" w:ascii="宋体" w:hAnsi="宋体" w:cs="宋体"/>
          <w:color w:val="000000"/>
          <w:sz w:val="24"/>
          <w:szCs w:val="24"/>
        </w:rPr>
        <w:t>关材料；</w:t>
      </w:r>
    </w:p>
    <w:p>
      <w:pPr>
        <w:widowControl/>
        <w:snapToGrid w:val="0"/>
        <w:spacing w:line="360" w:lineRule="auto"/>
        <w:ind w:firstLine="472" w:firstLineChars="196"/>
        <w:jc w:val="left"/>
        <w:rPr>
          <w:rFonts w:ascii="宋体"/>
          <w:b/>
          <w:bCs/>
          <w:sz w:val="24"/>
          <w:szCs w:val="24"/>
        </w:rPr>
      </w:pPr>
      <w:r>
        <w:rPr>
          <w:rFonts w:hint="eastAsia" w:ascii="宋体" w:hAnsi="宋体" w:cs="宋体"/>
          <w:b/>
          <w:bCs/>
          <w:sz w:val="24"/>
          <w:szCs w:val="24"/>
        </w:rPr>
        <w:t>三、商务报价响应文件（单独密封）</w:t>
      </w:r>
    </w:p>
    <w:p>
      <w:pPr>
        <w:snapToGrid w:val="0"/>
        <w:spacing w:line="360" w:lineRule="auto"/>
        <w:ind w:firstLine="480" w:firstLineChars="200"/>
        <w:jc w:val="left"/>
        <w:textAlignment w:val="baseline"/>
        <w:rPr>
          <w:rFonts w:hint="eastAsia" w:ascii="宋体" w:hAnsi="宋体" w:cs="宋体"/>
          <w:bCs/>
          <w:color w:val="000000"/>
          <w:sz w:val="24"/>
          <w:szCs w:val="24"/>
          <w:lang w:val="zh-CN"/>
        </w:rPr>
      </w:pPr>
      <w:r>
        <w:rPr>
          <w:rFonts w:hint="eastAsia" w:ascii="宋体" w:hAnsi="宋体" w:cs="宋体"/>
          <w:bCs/>
          <w:color w:val="000000"/>
          <w:sz w:val="24"/>
          <w:szCs w:val="24"/>
          <w:lang w:val="zh-CN"/>
        </w:rPr>
        <w:t>1、</w:t>
      </w:r>
      <w:r>
        <w:rPr>
          <w:rFonts w:hint="eastAsia" w:ascii="宋体" w:hAnsi="宋体" w:cs="宋体"/>
          <w:bCs/>
          <w:color w:val="000000"/>
          <w:sz w:val="24"/>
          <w:szCs w:val="24"/>
        </w:rPr>
        <w:t>磋商</w:t>
      </w:r>
      <w:r>
        <w:rPr>
          <w:rFonts w:hint="eastAsia" w:ascii="宋体" w:hAnsi="宋体" w:cs="宋体"/>
          <w:bCs/>
          <w:color w:val="000000"/>
          <w:sz w:val="24"/>
          <w:szCs w:val="24"/>
          <w:lang w:val="zh-CN"/>
        </w:rPr>
        <w:t>响应报价总表（格式参见第八章）；</w:t>
      </w:r>
    </w:p>
    <w:p>
      <w:pPr>
        <w:snapToGrid w:val="0"/>
        <w:spacing w:line="360" w:lineRule="auto"/>
        <w:ind w:firstLine="480" w:firstLineChars="200"/>
        <w:jc w:val="left"/>
        <w:textAlignment w:val="baseline"/>
        <w:rPr>
          <w:rFonts w:hint="eastAsia" w:ascii="宋体" w:hAnsi="宋体" w:cs="宋体"/>
          <w:bCs/>
          <w:color w:val="000000"/>
          <w:sz w:val="24"/>
          <w:szCs w:val="24"/>
          <w:lang w:val="zh-CN"/>
        </w:rPr>
      </w:pPr>
      <w:r>
        <w:rPr>
          <w:rFonts w:hint="eastAsia" w:ascii="宋体" w:hAnsi="宋体" w:cs="宋体"/>
          <w:bCs/>
          <w:color w:val="000000"/>
          <w:sz w:val="24"/>
          <w:szCs w:val="24"/>
        </w:rPr>
        <w:t>2、</w:t>
      </w:r>
      <w:r>
        <w:rPr>
          <w:rFonts w:hint="eastAsia" w:ascii="宋体" w:hAnsi="宋体" w:cs="宋体"/>
          <w:bCs/>
          <w:color w:val="000000"/>
          <w:sz w:val="24"/>
          <w:szCs w:val="24"/>
          <w:lang w:val="zh-CN"/>
        </w:rPr>
        <w:t>中小企业声明函（</w:t>
      </w:r>
      <w:r>
        <w:rPr>
          <w:rFonts w:hint="eastAsia" w:ascii="宋体" w:hAnsi="宋体" w:cs="宋体"/>
          <w:bCs/>
          <w:color w:val="000000"/>
          <w:sz w:val="24"/>
          <w:szCs w:val="24"/>
        </w:rPr>
        <w:t>如有）</w:t>
      </w:r>
      <w:r>
        <w:rPr>
          <w:rFonts w:hint="eastAsia" w:ascii="宋体" w:hAnsi="宋体" w:cs="宋体"/>
          <w:bCs/>
          <w:color w:val="000000"/>
          <w:sz w:val="24"/>
          <w:szCs w:val="24"/>
          <w:lang w:val="zh-CN"/>
        </w:rPr>
        <w:t>。</w:t>
      </w:r>
    </w:p>
    <w:p>
      <w:pPr>
        <w:widowControl/>
        <w:snapToGrid w:val="0"/>
        <w:spacing w:line="360" w:lineRule="auto"/>
        <w:jc w:val="left"/>
        <w:rPr>
          <w:rFonts w:ascii="宋体"/>
          <w:b/>
          <w:bCs/>
          <w:sz w:val="28"/>
          <w:szCs w:val="28"/>
        </w:rPr>
      </w:pPr>
      <w:r>
        <w:rPr>
          <w:rFonts w:ascii="宋体"/>
          <w:b/>
          <w:bCs/>
          <w:sz w:val="28"/>
          <w:szCs w:val="28"/>
          <w:highlight w:val="yellow"/>
        </w:rPr>
        <w:br w:type="page"/>
      </w:r>
      <w:r>
        <w:rPr>
          <w:rFonts w:hint="eastAsia" w:ascii="宋体" w:hAnsi="宋体" w:cs="宋体"/>
          <w:b/>
          <w:bCs/>
          <w:sz w:val="28"/>
          <w:szCs w:val="28"/>
        </w:rPr>
        <w:t>附件：</w:t>
      </w:r>
    </w:p>
    <w:p>
      <w:pPr>
        <w:snapToGrid w:val="0"/>
        <w:spacing w:line="520" w:lineRule="exact"/>
        <w:jc w:val="center"/>
        <w:outlineLvl w:val="3"/>
        <w:rPr>
          <w:rFonts w:ascii="宋体"/>
          <w:b/>
          <w:bCs/>
          <w:sz w:val="28"/>
          <w:szCs w:val="28"/>
        </w:rPr>
      </w:pPr>
      <w:r>
        <w:rPr>
          <w:rFonts w:ascii="宋体" w:hAnsi="宋体" w:cs="宋体"/>
          <w:b/>
          <w:bCs/>
          <w:sz w:val="28"/>
          <w:szCs w:val="28"/>
        </w:rPr>
        <w:t>1</w:t>
      </w:r>
      <w:r>
        <w:rPr>
          <w:rFonts w:hint="eastAsia" w:ascii="宋体" w:hAnsi="宋体" w:cs="宋体"/>
          <w:b/>
          <w:bCs/>
          <w:sz w:val="28"/>
          <w:szCs w:val="28"/>
        </w:rPr>
        <w:t>、法定代表人身份证明</w:t>
      </w:r>
    </w:p>
    <w:p>
      <w:pPr>
        <w:snapToGrid w:val="0"/>
        <w:spacing w:line="520" w:lineRule="exact"/>
        <w:jc w:val="center"/>
        <w:rPr>
          <w:rFonts w:ascii="宋体"/>
          <w:sz w:val="24"/>
          <w:szCs w:val="24"/>
        </w:rPr>
      </w:pPr>
    </w:p>
    <w:p>
      <w:pPr>
        <w:snapToGrid w:val="0"/>
        <w:spacing w:line="520" w:lineRule="exact"/>
        <w:jc w:val="center"/>
        <w:rPr>
          <w:rFonts w:ascii="宋体"/>
          <w:sz w:val="24"/>
          <w:szCs w:val="24"/>
        </w:rPr>
      </w:pPr>
    </w:p>
    <w:p>
      <w:pPr>
        <w:keepNext w:val="0"/>
        <w:keepLines w:val="0"/>
        <w:pageBreakBefore w:val="0"/>
        <w:widowControl w:val="0"/>
        <w:kinsoku/>
        <w:wordWrap/>
        <w:overflowPunct/>
        <w:topLinePunct w:val="0"/>
        <w:autoSpaceDE/>
        <w:autoSpaceDN/>
        <w:bidi w:val="0"/>
        <w:adjustRightInd/>
        <w:snapToGrid w:val="0"/>
        <w:spacing w:line="360" w:lineRule="auto"/>
        <w:rPr>
          <w:rFonts w:ascii="宋体"/>
          <w:sz w:val="24"/>
          <w:szCs w:val="24"/>
          <w:u w:val="single"/>
        </w:rPr>
      </w:pPr>
      <w:r>
        <w:rPr>
          <w:rFonts w:hint="eastAsia" w:ascii="宋体" w:hAnsi="宋体" w:cs="宋体"/>
          <w:sz w:val="24"/>
          <w:szCs w:val="24"/>
          <w:u w:val="single"/>
        </w:rPr>
        <w:t>南通市妇幼保健院：</w:t>
      </w:r>
      <w:r>
        <w:rPr>
          <w:rFonts w:ascii="宋体" w:hAnsi="宋体" w:cs="宋体"/>
          <w:sz w:val="24"/>
          <w:szCs w:val="24"/>
          <w:u w:val="single"/>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baseline"/>
        <w:rPr>
          <w:sz w:val="24"/>
          <w:szCs w:val="24"/>
        </w:rPr>
      </w:pPr>
      <w:r>
        <w:rPr>
          <w:rFonts w:hint="eastAsia" w:cs="宋体"/>
          <w:sz w:val="24"/>
          <w:szCs w:val="24"/>
          <w:u w:val="single" w:color="000000"/>
        </w:rPr>
        <w:t>　　　　　</w:t>
      </w:r>
      <w:r>
        <w:rPr>
          <w:rFonts w:hint="eastAsia" w:cs="宋体"/>
          <w:sz w:val="24"/>
          <w:szCs w:val="24"/>
        </w:rPr>
        <w:t>（先生／女士）现任我单位</w:t>
      </w:r>
      <w:r>
        <w:rPr>
          <w:rFonts w:hint="eastAsia" w:cs="宋体"/>
          <w:sz w:val="24"/>
          <w:szCs w:val="24"/>
          <w:u w:val="single" w:color="000000"/>
        </w:rPr>
        <w:t>　　　　 　　　</w:t>
      </w:r>
      <w:r>
        <w:rPr>
          <w:rFonts w:hint="eastAsia" w:cs="宋体"/>
          <w:sz w:val="24"/>
          <w:szCs w:val="24"/>
        </w:rPr>
        <w:t>职务，为法定代表人，特此证明。</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baseline"/>
        <w:rPr>
          <w:rFonts w:cs="宋体"/>
          <w:sz w:val="24"/>
          <w:szCs w:val="24"/>
        </w:rPr>
      </w:pPr>
      <w:r>
        <w:rPr>
          <w:rFonts w:hint="eastAsia" w:cs="宋体"/>
          <w:sz w:val="24"/>
          <w:szCs w:val="24"/>
        </w:rPr>
        <w:t>身份证号码：</w:t>
      </w:r>
    </w:p>
    <w:p>
      <w:pPr>
        <w:snapToGrid w:val="0"/>
        <w:spacing w:line="420" w:lineRule="exact"/>
        <w:ind w:firstLine="480" w:firstLineChars="200"/>
        <w:textAlignment w:val="baseline"/>
        <w:rPr>
          <w:rFonts w:cs="宋体"/>
          <w:sz w:val="24"/>
          <w:szCs w:val="24"/>
        </w:rPr>
      </w:pPr>
    </w:p>
    <w:p>
      <w:pPr>
        <w:snapToGrid w:val="0"/>
        <w:spacing w:line="420" w:lineRule="exact"/>
        <w:ind w:firstLine="480" w:firstLineChars="200"/>
        <w:textAlignment w:val="baseline"/>
        <w:rPr>
          <w:sz w:val="24"/>
          <w:szCs w:val="24"/>
          <w:u w:val="single"/>
        </w:rPr>
      </w:pPr>
    </w:p>
    <w:p>
      <w:pPr>
        <w:snapToGrid w:val="0"/>
        <w:spacing w:line="520" w:lineRule="exact"/>
        <w:jc w:val="right"/>
        <w:textAlignment w:val="baseline"/>
        <w:rPr>
          <w:rFonts w:ascii="宋体" w:hAnsi="宋体" w:cs="宋体"/>
          <w:color w:val="000000"/>
          <w:sz w:val="24"/>
          <w:szCs w:val="24"/>
        </w:rPr>
      </w:pPr>
      <w:r>
        <w:rPr>
          <w:rFonts w:hint="eastAsia" w:cs="宋体"/>
          <w:sz w:val="24"/>
          <w:szCs w:val="24"/>
        </w:rPr>
        <w:t xml:space="preserve">                      </w:t>
      </w:r>
      <w:r>
        <w:rPr>
          <w:rFonts w:hint="eastAsia" w:ascii="宋体" w:hAnsi="宋体" w:cs="宋体"/>
          <w:color w:val="000000"/>
          <w:sz w:val="24"/>
          <w:szCs w:val="24"/>
        </w:rPr>
        <w:t>竞争性磋商响应单位：（加盖公章）</w:t>
      </w:r>
    </w:p>
    <w:p>
      <w:pPr>
        <w:snapToGrid w:val="0"/>
        <w:spacing w:line="420" w:lineRule="exact"/>
        <w:ind w:right="960" w:firstLine="484" w:firstLineChars="202"/>
        <w:jc w:val="center"/>
        <w:textAlignment w:val="baseline"/>
        <w:rPr>
          <w:sz w:val="20"/>
        </w:rPr>
      </w:pPr>
      <w:r>
        <w:rPr>
          <w:rFonts w:hint="eastAsia" w:ascii="宋体" w:hAnsi="宋体" w:cs="宋体"/>
          <w:color w:val="000000"/>
          <w:sz w:val="24"/>
          <w:szCs w:val="24"/>
        </w:rPr>
        <w:t xml:space="preserve">                                            年      月     日</w:t>
      </w:r>
    </w:p>
    <w:p>
      <w:pPr>
        <w:snapToGrid w:val="0"/>
        <w:spacing w:line="420" w:lineRule="exact"/>
        <w:ind w:firstLine="404" w:firstLineChars="202"/>
        <w:jc w:val="left"/>
        <w:textAlignment w:val="baseline"/>
        <w:rPr>
          <w:sz w:val="20"/>
        </w:rPr>
      </w:pPr>
    </w:p>
    <w:tbl>
      <w:tblPr>
        <w:tblStyle w:val="51"/>
        <w:tblW w:w="0" w:type="auto"/>
        <w:tblInd w:w="10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6" w:hRule="atLeast"/>
        </w:trPr>
        <w:tc>
          <w:tcPr>
            <w:tcW w:w="7848" w:type="dxa"/>
            <w:noWrap w:val="0"/>
            <w:vAlign w:val="top"/>
          </w:tcPr>
          <w:p>
            <w:pPr>
              <w:snapToGrid w:val="0"/>
              <w:spacing w:line="420" w:lineRule="exact"/>
              <w:ind w:firstLine="404" w:firstLineChars="202"/>
              <w:jc w:val="left"/>
              <w:textAlignment w:val="baseline"/>
              <w:rPr>
                <w:sz w:val="20"/>
                <w:szCs w:val="22"/>
              </w:rPr>
            </w:pPr>
          </w:p>
          <w:p>
            <w:pPr>
              <w:snapToGrid w:val="0"/>
              <w:spacing w:line="420" w:lineRule="exact"/>
              <w:ind w:firstLine="404" w:firstLineChars="202"/>
              <w:jc w:val="left"/>
              <w:textAlignment w:val="baseline"/>
              <w:rPr>
                <w:sz w:val="20"/>
                <w:szCs w:val="22"/>
              </w:rPr>
            </w:pPr>
          </w:p>
          <w:p>
            <w:pPr>
              <w:snapToGrid w:val="0"/>
              <w:spacing w:line="420" w:lineRule="exact"/>
              <w:jc w:val="center"/>
              <w:textAlignment w:val="baseline"/>
              <w:rPr>
                <w:b/>
                <w:bCs/>
                <w:sz w:val="20"/>
                <w:szCs w:val="22"/>
              </w:rPr>
            </w:pPr>
            <w:r>
              <w:rPr>
                <w:rFonts w:hint="eastAsia" w:cs="宋体"/>
                <w:b/>
                <w:bCs/>
                <w:szCs w:val="22"/>
              </w:rPr>
              <w:t>法定代表人身份证</w:t>
            </w:r>
            <w:r>
              <w:rPr>
                <w:rFonts w:hint="eastAsia" w:cs="宋体"/>
                <w:b/>
                <w:szCs w:val="22"/>
              </w:rPr>
              <w:t>（正、反面）</w:t>
            </w:r>
            <w:r>
              <w:rPr>
                <w:rFonts w:hint="eastAsia" w:cs="宋体"/>
                <w:b/>
                <w:bCs/>
                <w:szCs w:val="22"/>
              </w:rPr>
              <w:t>复印件或扫描件</w:t>
            </w:r>
          </w:p>
          <w:p>
            <w:pPr>
              <w:snapToGrid w:val="0"/>
              <w:spacing w:line="420" w:lineRule="exact"/>
              <w:jc w:val="center"/>
              <w:textAlignment w:val="baseline"/>
              <w:rPr>
                <w:b/>
                <w:bCs/>
                <w:sz w:val="20"/>
                <w:szCs w:val="22"/>
              </w:rPr>
            </w:pPr>
          </w:p>
          <w:p>
            <w:pPr>
              <w:snapToGrid w:val="0"/>
              <w:spacing w:line="420" w:lineRule="exact"/>
              <w:jc w:val="center"/>
              <w:textAlignment w:val="baseline"/>
              <w:rPr>
                <w:b/>
                <w:bCs/>
                <w:sz w:val="20"/>
                <w:szCs w:val="22"/>
              </w:rPr>
            </w:pPr>
          </w:p>
          <w:p>
            <w:pPr>
              <w:snapToGrid w:val="0"/>
              <w:spacing w:line="420" w:lineRule="exact"/>
              <w:jc w:val="center"/>
              <w:textAlignment w:val="baseline"/>
              <w:rPr>
                <w:b/>
                <w:bCs/>
                <w:sz w:val="20"/>
                <w:szCs w:val="22"/>
              </w:rPr>
            </w:pPr>
          </w:p>
          <w:p>
            <w:pPr>
              <w:snapToGrid w:val="0"/>
              <w:spacing w:line="420" w:lineRule="exact"/>
              <w:jc w:val="center"/>
              <w:textAlignment w:val="baseline"/>
              <w:rPr>
                <w:sz w:val="20"/>
                <w:szCs w:val="22"/>
              </w:rPr>
            </w:pPr>
          </w:p>
        </w:tc>
      </w:tr>
    </w:tbl>
    <w:p>
      <w:pPr>
        <w:snapToGrid w:val="0"/>
        <w:spacing w:line="420" w:lineRule="exact"/>
        <w:jc w:val="center"/>
        <w:textAlignment w:val="baseline"/>
        <w:rPr>
          <w:sz w:val="20"/>
        </w:rPr>
      </w:pPr>
    </w:p>
    <w:p>
      <w:pPr>
        <w:snapToGrid w:val="0"/>
        <w:spacing w:line="420" w:lineRule="exact"/>
        <w:textAlignment w:val="baseline"/>
        <w:rPr>
          <w:sz w:val="20"/>
        </w:rPr>
      </w:pPr>
    </w:p>
    <w:p>
      <w:pPr>
        <w:snapToGrid w:val="0"/>
        <w:spacing w:line="420" w:lineRule="exact"/>
        <w:jc w:val="center"/>
        <w:textAlignment w:val="baseline"/>
        <w:rPr>
          <w:sz w:val="20"/>
        </w:rPr>
      </w:pPr>
    </w:p>
    <w:p>
      <w:pPr>
        <w:snapToGrid w:val="0"/>
        <w:spacing w:line="420" w:lineRule="exact"/>
        <w:textAlignment w:val="baseline"/>
        <w:rPr>
          <w:sz w:val="20"/>
        </w:rPr>
      </w:pPr>
    </w:p>
    <w:p>
      <w:pPr>
        <w:snapToGrid w:val="0"/>
        <w:spacing w:line="420" w:lineRule="exact"/>
        <w:jc w:val="center"/>
        <w:textAlignment w:val="baseline"/>
        <w:rPr>
          <w:sz w:val="20"/>
        </w:rPr>
      </w:pPr>
    </w:p>
    <w:p>
      <w:pPr>
        <w:snapToGrid w:val="0"/>
        <w:spacing w:line="360" w:lineRule="auto"/>
        <w:ind w:firstLine="480" w:firstLineChars="200"/>
        <w:jc w:val="left"/>
        <w:textAlignment w:val="baseline"/>
        <w:rPr>
          <w:rFonts w:cs="宋体"/>
          <w:sz w:val="24"/>
          <w:szCs w:val="24"/>
        </w:rPr>
      </w:pPr>
      <w:r>
        <w:rPr>
          <w:rFonts w:hint="eastAsia" w:cs="宋体"/>
          <w:sz w:val="24"/>
          <w:szCs w:val="24"/>
        </w:rPr>
        <w:t>注：如为法定代表人参加项目</w:t>
      </w:r>
      <w:r>
        <w:rPr>
          <w:rFonts w:hint="eastAsia" w:ascii="宋体" w:hAnsi="宋体" w:cs="宋体"/>
          <w:color w:val="000000"/>
          <w:sz w:val="24"/>
          <w:szCs w:val="24"/>
        </w:rPr>
        <w:t>竞争性磋商响应</w:t>
      </w:r>
      <w:r>
        <w:rPr>
          <w:rFonts w:hint="eastAsia" w:cs="宋体"/>
          <w:sz w:val="24"/>
          <w:szCs w:val="24"/>
        </w:rPr>
        <w:t>，须将身份证原件带至竞争性磋商现场备查。</w:t>
      </w:r>
    </w:p>
    <w:p>
      <w:pPr>
        <w:snapToGrid w:val="0"/>
        <w:spacing w:line="360" w:lineRule="auto"/>
        <w:ind w:firstLine="480" w:firstLineChars="200"/>
        <w:jc w:val="left"/>
        <w:textAlignment w:val="baseline"/>
        <w:rPr>
          <w:rFonts w:cs="宋体"/>
          <w:sz w:val="24"/>
          <w:szCs w:val="24"/>
        </w:rPr>
      </w:pPr>
      <w:r>
        <w:rPr>
          <w:rFonts w:hint="eastAsia" w:cs="宋体"/>
          <w:sz w:val="24"/>
          <w:szCs w:val="24"/>
        </w:rPr>
        <w:t>如为被委托受权人参加项目竞争性</w:t>
      </w:r>
      <w:r>
        <w:rPr>
          <w:rFonts w:hint="eastAsia" w:ascii="宋体" w:hAnsi="宋体" w:cs="宋体"/>
          <w:color w:val="000000"/>
          <w:sz w:val="24"/>
          <w:szCs w:val="24"/>
        </w:rPr>
        <w:t>磋商</w:t>
      </w:r>
      <w:r>
        <w:rPr>
          <w:rFonts w:hint="eastAsia" w:cs="宋体"/>
          <w:sz w:val="24"/>
          <w:szCs w:val="24"/>
        </w:rPr>
        <w:t>响应，无须将法定代表人身份证原件带至竞争性</w:t>
      </w:r>
      <w:r>
        <w:rPr>
          <w:rFonts w:hint="eastAsia" w:ascii="宋体" w:hAnsi="宋体" w:cs="宋体"/>
          <w:color w:val="000000"/>
          <w:sz w:val="24"/>
          <w:szCs w:val="24"/>
        </w:rPr>
        <w:t>磋商</w:t>
      </w:r>
      <w:r>
        <w:rPr>
          <w:rFonts w:hint="eastAsia" w:cs="宋体"/>
          <w:sz w:val="24"/>
          <w:szCs w:val="24"/>
        </w:rPr>
        <w:t>现场备查，仅需提供本证明。</w:t>
      </w:r>
    </w:p>
    <w:p>
      <w:pPr>
        <w:snapToGrid w:val="0"/>
        <w:spacing w:line="520" w:lineRule="exact"/>
        <w:ind w:firstLine="482" w:firstLineChars="200"/>
        <w:rPr>
          <w:rFonts w:ascii="宋体"/>
          <w:b/>
          <w:bCs/>
          <w:sz w:val="24"/>
          <w:szCs w:val="24"/>
        </w:rPr>
      </w:pPr>
    </w:p>
    <w:p>
      <w:pPr>
        <w:snapToGrid w:val="0"/>
        <w:spacing w:line="520" w:lineRule="exact"/>
        <w:jc w:val="center"/>
        <w:outlineLvl w:val="3"/>
        <w:rPr>
          <w:rFonts w:ascii="宋体"/>
          <w:b/>
          <w:bCs/>
          <w:sz w:val="28"/>
          <w:szCs w:val="28"/>
        </w:rPr>
      </w:pPr>
      <w:r>
        <w:rPr>
          <w:rFonts w:ascii="宋体"/>
          <w:b/>
          <w:bCs/>
          <w:sz w:val="24"/>
          <w:szCs w:val="24"/>
        </w:rPr>
        <w:br w:type="page"/>
      </w:r>
      <w:r>
        <w:rPr>
          <w:rFonts w:ascii="宋体" w:hAnsi="宋体" w:cs="宋体"/>
          <w:b/>
          <w:bCs/>
          <w:sz w:val="28"/>
          <w:szCs w:val="28"/>
        </w:rPr>
        <w:t>2</w:t>
      </w:r>
      <w:r>
        <w:rPr>
          <w:rFonts w:hint="eastAsia" w:ascii="宋体" w:hAnsi="宋体" w:cs="宋体"/>
          <w:b/>
          <w:bCs/>
          <w:sz w:val="28"/>
          <w:szCs w:val="28"/>
        </w:rPr>
        <w:t>、授权委托书</w:t>
      </w:r>
    </w:p>
    <w:p>
      <w:pPr>
        <w:snapToGrid w:val="0"/>
        <w:spacing w:line="520" w:lineRule="exact"/>
        <w:jc w:val="center"/>
        <w:rPr>
          <w:rFonts w:ascii="宋体"/>
          <w:sz w:val="24"/>
          <w:szCs w:val="24"/>
        </w:rPr>
      </w:pPr>
      <w:r>
        <w:rPr>
          <w:rFonts w:hint="eastAsia" w:ascii="宋体" w:hAnsi="宋体" w:cs="宋体"/>
          <w:sz w:val="24"/>
          <w:szCs w:val="24"/>
        </w:rPr>
        <w:t>（如被授权人参加磋商，须出示此证明）</w:t>
      </w:r>
    </w:p>
    <w:p>
      <w:pPr>
        <w:snapToGrid w:val="0"/>
        <w:spacing w:line="520" w:lineRule="exact"/>
        <w:jc w:val="center"/>
        <w:rPr>
          <w:rFonts w:ascii="宋体"/>
          <w:sz w:val="24"/>
          <w:szCs w:val="24"/>
        </w:rPr>
      </w:pPr>
    </w:p>
    <w:p>
      <w:pPr>
        <w:snapToGrid w:val="0"/>
        <w:spacing w:line="360" w:lineRule="auto"/>
        <w:rPr>
          <w:rFonts w:ascii="宋体"/>
          <w:sz w:val="24"/>
          <w:szCs w:val="24"/>
          <w:u w:val="single"/>
        </w:rPr>
      </w:pPr>
      <w:r>
        <w:rPr>
          <w:rFonts w:hint="eastAsia" w:ascii="宋体" w:hAnsi="宋体" w:cs="宋体"/>
          <w:sz w:val="24"/>
          <w:szCs w:val="24"/>
          <w:u w:val="single"/>
        </w:rPr>
        <w:t>南通市妇幼保健院：</w:t>
      </w:r>
    </w:p>
    <w:p>
      <w:pPr>
        <w:snapToGrid w:val="0"/>
        <w:spacing w:line="360" w:lineRule="auto"/>
        <w:ind w:firstLine="484" w:firstLineChars="202"/>
        <w:textAlignment w:val="baseline"/>
        <w:rPr>
          <w:sz w:val="24"/>
          <w:szCs w:val="24"/>
        </w:rPr>
      </w:pPr>
      <w:r>
        <w:rPr>
          <w:rFonts w:hint="eastAsia" w:cs="宋体"/>
          <w:sz w:val="24"/>
          <w:szCs w:val="24"/>
        </w:rPr>
        <w:t>本授权委托书声明：我</w:t>
      </w:r>
      <w:r>
        <w:rPr>
          <w:rFonts w:hint="eastAsia" w:cs="宋体"/>
          <w:sz w:val="24"/>
          <w:szCs w:val="24"/>
          <w:u w:val="single" w:color="000000"/>
        </w:rPr>
        <w:t xml:space="preserve">　    </w:t>
      </w:r>
      <w:r>
        <w:rPr>
          <w:rFonts w:hint="eastAsia" w:cs="宋体"/>
          <w:sz w:val="24"/>
          <w:szCs w:val="24"/>
        </w:rPr>
        <w:t>（姓名）系</w:t>
      </w:r>
      <w:r>
        <w:rPr>
          <w:rFonts w:hint="eastAsia" w:cs="宋体"/>
          <w:sz w:val="24"/>
          <w:szCs w:val="24"/>
          <w:u w:val="single" w:color="000000"/>
        </w:rPr>
        <w:t xml:space="preserve">　            </w:t>
      </w:r>
      <w:r>
        <w:rPr>
          <w:rFonts w:hint="eastAsia" w:cs="宋体"/>
          <w:sz w:val="24"/>
          <w:szCs w:val="24"/>
        </w:rPr>
        <w:t>（供应商名称）的法定代表人，现授权委托</w:t>
      </w:r>
      <w:r>
        <w:rPr>
          <w:rFonts w:hint="eastAsia" w:cs="宋体"/>
          <w:sz w:val="24"/>
          <w:szCs w:val="24"/>
          <w:u w:val="single" w:color="000000"/>
        </w:rPr>
        <w:t xml:space="preserve">　　     </w:t>
      </w:r>
      <w:r>
        <w:rPr>
          <w:rFonts w:hint="eastAsia" w:cs="宋体"/>
          <w:sz w:val="24"/>
          <w:szCs w:val="24"/>
        </w:rPr>
        <w:t>（姓名）为我公司为被委托受权人，以本公司的名义参加本项目的竞争性磋商响应活动。被委托受权人在开标、评审磋商活动、合同谈判过程中所签署的一切文件和处理与之有关的一切事务，我均予以承认。</w:t>
      </w:r>
    </w:p>
    <w:p>
      <w:pPr>
        <w:snapToGrid w:val="0"/>
        <w:spacing w:line="360" w:lineRule="auto"/>
        <w:ind w:firstLine="484" w:firstLineChars="202"/>
        <w:textAlignment w:val="baseline"/>
        <w:rPr>
          <w:rFonts w:cs="宋体"/>
          <w:sz w:val="24"/>
          <w:szCs w:val="24"/>
        </w:rPr>
      </w:pPr>
      <w:r>
        <w:rPr>
          <w:rFonts w:hint="eastAsia" w:cs="宋体"/>
          <w:sz w:val="24"/>
          <w:szCs w:val="24"/>
        </w:rPr>
        <w:t>被委托受权人无转委权。特此委托。</w:t>
      </w:r>
    </w:p>
    <w:p>
      <w:pPr>
        <w:pStyle w:val="20"/>
        <w:snapToGrid w:val="0"/>
        <w:spacing w:line="360" w:lineRule="auto"/>
        <w:textAlignment w:val="baseline"/>
        <w:rPr>
          <w:szCs w:val="24"/>
        </w:rPr>
      </w:pPr>
    </w:p>
    <w:p>
      <w:pPr>
        <w:snapToGrid w:val="0"/>
        <w:spacing w:line="360" w:lineRule="auto"/>
        <w:ind w:firstLine="972" w:firstLineChars="405"/>
        <w:textAlignment w:val="baseline"/>
        <w:rPr>
          <w:sz w:val="24"/>
          <w:szCs w:val="24"/>
        </w:rPr>
      </w:pPr>
      <w:r>
        <w:rPr>
          <w:rFonts w:hint="eastAsia" w:cs="宋体"/>
          <w:sz w:val="24"/>
          <w:szCs w:val="24"/>
        </w:rPr>
        <w:t>法定代表人签字：</w:t>
      </w:r>
    </w:p>
    <w:p>
      <w:pPr>
        <w:snapToGrid w:val="0"/>
        <w:spacing w:line="360" w:lineRule="auto"/>
        <w:ind w:firstLine="972" w:firstLineChars="405"/>
        <w:textAlignment w:val="baseline"/>
        <w:rPr>
          <w:sz w:val="24"/>
          <w:szCs w:val="24"/>
        </w:rPr>
      </w:pPr>
      <w:r>
        <w:rPr>
          <w:rFonts w:hint="eastAsia" w:cs="宋体"/>
          <w:sz w:val="24"/>
          <w:szCs w:val="24"/>
        </w:rPr>
        <w:t>被委托受权人身份证号：</w:t>
      </w:r>
    </w:p>
    <w:p>
      <w:pPr>
        <w:snapToGrid w:val="0"/>
        <w:spacing w:line="360" w:lineRule="auto"/>
        <w:ind w:firstLine="972" w:firstLineChars="405"/>
        <w:textAlignment w:val="baseline"/>
        <w:rPr>
          <w:sz w:val="24"/>
          <w:szCs w:val="24"/>
        </w:rPr>
      </w:pPr>
      <w:r>
        <w:rPr>
          <w:rFonts w:hint="eastAsia" w:cs="宋体"/>
          <w:sz w:val="24"/>
          <w:szCs w:val="24"/>
        </w:rPr>
        <w:t>被委托受权人签字：</w:t>
      </w:r>
    </w:p>
    <w:p>
      <w:pPr>
        <w:snapToGrid w:val="0"/>
        <w:spacing w:line="520" w:lineRule="exact"/>
        <w:jc w:val="right"/>
        <w:textAlignment w:val="baseline"/>
        <w:rPr>
          <w:rFonts w:ascii="宋体" w:hAnsi="宋体" w:cs="宋体"/>
          <w:color w:val="000000"/>
          <w:sz w:val="24"/>
          <w:szCs w:val="24"/>
        </w:rPr>
      </w:pPr>
      <w:r>
        <w:rPr>
          <w:rFonts w:hint="eastAsia" w:ascii="宋体" w:hAnsi="宋体" w:cs="宋体"/>
          <w:color w:val="000000"/>
          <w:sz w:val="24"/>
          <w:szCs w:val="24"/>
        </w:rPr>
        <w:t>竞争性磋商响应单位：（加盖公章）</w:t>
      </w:r>
    </w:p>
    <w:p>
      <w:pPr>
        <w:snapToGrid w:val="0"/>
        <w:spacing w:line="420" w:lineRule="exact"/>
        <w:ind w:firstLine="484" w:firstLineChars="202"/>
        <w:jc w:val="right"/>
        <w:textAlignment w:val="baseline"/>
        <w:rPr>
          <w:sz w:val="20"/>
        </w:rPr>
      </w:pPr>
      <w:r>
        <w:rPr>
          <w:rFonts w:hint="eastAsia" w:ascii="宋体" w:hAnsi="宋体" w:cs="宋体"/>
          <w:color w:val="000000"/>
          <w:sz w:val="24"/>
          <w:szCs w:val="24"/>
        </w:rPr>
        <w:t>年      月     日</w:t>
      </w:r>
    </w:p>
    <w:p>
      <w:pPr>
        <w:snapToGrid w:val="0"/>
        <w:spacing w:line="420" w:lineRule="exact"/>
        <w:ind w:firstLine="404" w:firstLineChars="202"/>
        <w:jc w:val="left"/>
        <w:textAlignment w:val="baseline"/>
        <w:rPr>
          <w:sz w:val="20"/>
        </w:rPr>
      </w:pPr>
    </w:p>
    <w:p>
      <w:pPr>
        <w:snapToGrid w:val="0"/>
        <w:spacing w:line="420" w:lineRule="exact"/>
        <w:ind w:firstLine="404" w:firstLineChars="202"/>
        <w:jc w:val="left"/>
        <w:textAlignment w:val="baseline"/>
        <w:rPr>
          <w:sz w:val="20"/>
        </w:rPr>
      </w:pPr>
    </w:p>
    <w:tbl>
      <w:tblPr>
        <w:tblStyle w:val="51"/>
        <w:tblW w:w="0" w:type="auto"/>
        <w:tblInd w:w="10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6" w:hRule="atLeast"/>
        </w:trPr>
        <w:tc>
          <w:tcPr>
            <w:tcW w:w="7236" w:type="dxa"/>
            <w:noWrap w:val="0"/>
            <w:vAlign w:val="top"/>
          </w:tcPr>
          <w:p>
            <w:pPr>
              <w:snapToGrid w:val="0"/>
              <w:spacing w:line="420" w:lineRule="exact"/>
              <w:ind w:firstLine="404" w:firstLineChars="202"/>
              <w:jc w:val="left"/>
              <w:textAlignment w:val="baseline"/>
              <w:rPr>
                <w:sz w:val="20"/>
                <w:szCs w:val="22"/>
              </w:rPr>
            </w:pPr>
          </w:p>
          <w:p>
            <w:pPr>
              <w:snapToGrid w:val="0"/>
              <w:spacing w:line="420" w:lineRule="exact"/>
              <w:jc w:val="center"/>
              <w:textAlignment w:val="baseline"/>
              <w:rPr>
                <w:b/>
                <w:bCs/>
                <w:sz w:val="20"/>
                <w:szCs w:val="22"/>
              </w:rPr>
            </w:pPr>
            <w:r>
              <w:rPr>
                <w:rFonts w:hint="eastAsia" w:cs="宋体"/>
                <w:b/>
                <w:bCs/>
                <w:szCs w:val="22"/>
              </w:rPr>
              <w:t>被委托受权人身份证</w:t>
            </w:r>
            <w:r>
              <w:rPr>
                <w:rFonts w:hint="eastAsia" w:cs="宋体"/>
                <w:b/>
                <w:szCs w:val="22"/>
              </w:rPr>
              <w:t>（正、反面）</w:t>
            </w:r>
            <w:r>
              <w:rPr>
                <w:rFonts w:hint="eastAsia" w:cs="宋体"/>
                <w:b/>
                <w:bCs/>
                <w:szCs w:val="22"/>
              </w:rPr>
              <w:t>复印件或扫描件</w:t>
            </w:r>
          </w:p>
          <w:p>
            <w:pPr>
              <w:snapToGrid w:val="0"/>
              <w:spacing w:line="420" w:lineRule="exact"/>
              <w:jc w:val="center"/>
              <w:textAlignment w:val="baseline"/>
              <w:rPr>
                <w:b/>
                <w:bCs/>
                <w:sz w:val="20"/>
                <w:szCs w:val="22"/>
              </w:rPr>
            </w:pPr>
          </w:p>
          <w:p>
            <w:pPr>
              <w:snapToGrid w:val="0"/>
              <w:spacing w:line="420" w:lineRule="exact"/>
              <w:jc w:val="center"/>
              <w:textAlignment w:val="baseline"/>
              <w:rPr>
                <w:b/>
                <w:bCs/>
                <w:sz w:val="20"/>
                <w:szCs w:val="22"/>
              </w:rPr>
            </w:pPr>
          </w:p>
          <w:p>
            <w:pPr>
              <w:snapToGrid w:val="0"/>
              <w:spacing w:line="420" w:lineRule="exact"/>
              <w:jc w:val="center"/>
              <w:textAlignment w:val="baseline"/>
              <w:rPr>
                <w:sz w:val="20"/>
                <w:szCs w:val="22"/>
              </w:rPr>
            </w:pPr>
          </w:p>
          <w:p>
            <w:pPr>
              <w:snapToGrid w:val="0"/>
              <w:spacing w:line="420" w:lineRule="exact"/>
              <w:jc w:val="center"/>
              <w:textAlignment w:val="baseline"/>
              <w:rPr>
                <w:sz w:val="20"/>
                <w:szCs w:val="22"/>
              </w:rPr>
            </w:pPr>
          </w:p>
        </w:tc>
      </w:tr>
    </w:tbl>
    <w:p>
      <w:pPr>
        <w:snapToGrid w:val="0"/>
        <w:spacing w:line="420" w:lineRule="exact"/>
        <w:jc w:val="center"/>
        <w:textAlignment w:val="baseline"/>
        <w:rPr>
          <w:sz w:val="20"/>
        </w:rPr>
      </w:pPr>
    </w:p>
    <w:p>
      <w:pPr>
        <w:snapToGrid w:val="0"/>
        <w:spacing w:line="420" w:lineRule="exact"/>
        <w:jc w:val="center"/>
        <w:textAlignment w:val="baseline"/>
        <w:rPr>
          <w:sz w:val="20"/>
        </w:rPr>
      </w:pPr>
    </w:p>
    <w:p>
      <w:pPr>
        <w:snapToGrid w:val="0"/>
        <w:spacing w:line="420" w:lineRule="exact"/>
        <w:jc w:val="center"/>
        <w:textAlignment w:val="baseline"/>
        <w:rPr>
          <w:sz w:val="20"/>
        </w:rPr>
      </w:pPr>
    </w:p>
    <w:p>
      <w:pPr>
        <w:snapToGrid w:val="0"/>
        <w:spacing w:line="420" w:lineRule="exact"/>
        <w:jc w:val="left"/>
        <w:textAlignment w:val="baseline"/>
        <w:rPr>
          <w:sz w:val="24"/>
          <w:szCs w:val="24"/>
        </w:rPr>
      </w:pPr>
      <w:r>
        <w:rPr>
          <w:rFonts w:hint="eastAsia" w:cs="宋体"/>
          <w:sz w:val="24"/>
          <w:szCs w:val="24"/>
        </w:rPr>
        <w:t>注：如为被委托受权人参加项目竞争性磋商响应，须将身份证原件带至竞争性磋商现场备查。</w:t>
      </w:r>
    </w:p>
    <w:p>
      <w:pPr>
        <w:snapToGrid w:val="0"/>
        <w:spacing w:line="520" w:lineRule="exact"/>
        <w:jc w:val="center"/>
        <w:outlineLvl w:val="3"/>
        <w:rPr>
          <w:rFonts w:ascii="宋体"/>
          <w:b/>
          <w:bCs/>
          <w:sz w:val="28"/>
          <w:szCs w:val="28"/>
        </w:rPr>
      </w:pPr>
    </w:p>
    <w:p>
      <w:pPr>
        <w:jc w:val="center"/>
        <w:rPr>
          <w:rFonts w:hint="eastAsia" w:ascii="宋体" w:hAnsi="宋体" w:cs="宋体"/>
          <w:b/>
          <w:sz w:val="24"/>
          <w:szCs w:val="24"/>
        </w:rPr>
      </w:pPr>
      <w:r>
        <w:br w:type="page"/>
      </w:r>
      <w:r>
        <w:rPr>
          <w:rFonts w:hint="eastAsia" w:ascii="宋体" w:hAnsi="宋体" w:cs="宋体"/>
          <w:b/>
          <w:color w:val="000000"/>
          <w:sz w:val="24"/>
          <w:szCs w:val="24"/>
        </w:rPr>
        <w:t>3、</w:t>
      </w:r>
      <w:r>
        <w:rPr>
          <w:rFonts w:hint="eastAsia" w:ascii="宋体" w:hAnsi="宋体" w:cs="宋体"/>
          <w:b/>
          <w:sz w:val="24"/>
          <w:szCs w:val="24"/>
        </w:rPr>
        <w:t>供应商一般情况表</w:t>
      </w:r>
    </w:p>
    <w:tbl>
      <w:tblPr>
        <w:tblStyle w:val="5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708"/>
        <w:gridCol w:w="851"/>
        <w:gridCol w:w="849"/>
        <w:gridCol w:w="568"/>
        <w:gridCol w:w="1307"/>
        <w:gridCol w:w="159"/>
        <w:gridCol w:w="1320"/>
        <w:gridCol w:w="1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企业名称</w:t>
            </w:r>
          </w:p>
        </w:tc>
        <w:tc>
          <w:tcPr>
            <w:tcW w:w="7229" w:type="dxa"/>
            <w:gridSpan w:val="8"/>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总部地址</w:t>
            </w:r>
          </w:p>
        </w:tc>
        <w:tc>
          <w:tcPr>
            <w:tcW w:w="7229" w:type="dxa"/>
            <w:gridSpan w:val="8"/>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分支机构</w:t>
            </w:r>
          </w:p>
        </w:tc>
        <w:tc>
          <w:tcPr>
            <w:tcW w:w="7229" w:type="dxa"/>
            <w:gridSpan w:val="8"/>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rPr>
                <w:rFonts w:ascii="宋体" w:hAnsi="宋体" w:cs="宋体"/>
                <w:color w:val="000000"/>
                <w:sz w:val="24"/>
                <w:szCs w:val="24"/>
              </w:rPr>
            </w:pPr>
            <w:r>
              <w:rPr>
                <w:rFonts w:hint="eastAsia" w:ascii="宋体" w:hAnsi="宋体" w:cs="宋体"/>
                <w:color w:val="000000"/>
                <w:sz w:val="24"/>
                <w:szCs w:val="24"/>
              </w:rPr>
              <w:t>当地代表处地址</w:t>
            </w:r>
          </w:p>
        </w:tc>
        <w:tc>
          <w:tcPr>
            <w:tcW w:w="7229" w:type="dxa"/>
            <w:gridSpan w:val="8"/>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电话</w:t>
            </w:r>
          </w:p>
        </w:tc>
        <w:tc>
          <w:tcPr>
            <w:tcW w:w="2408" w:type="dxa"/>
            <w:gridSpan w:val="3"/>
            <w:noWrap w:val="0"/>
            <w:vAlign w:val="top"/>
          </w:tcPr>
          <w:p>
            <w:pPr>
              <w:spacing w:line="520" w:lineRule="exact"/>
              <w:ind w:firstLine="484" w:firstLineChars="202"/>
              <w:rPr>
                <w:rFonts w:ascii="宋体" w:hAnsi="宋体" w:cs="宋体"/>
                <w:color w:val="000000"/>
                <w:sz w:val="24"/>
                <w:szCs w:val="24"/>
              </w:rPr>
            </w:pPr>
          </w:p>
        </w:tc>
        <w:tc>
          <w:tcPr>
            <w:tcW w:w="1875" w:type="dxa"/>
            <w:gridSpan w:val="2"/>
            <w:noWrap w:val="0"/>
            <w:vAlign w:val="top"/>
          </w:tcPr>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联系人</w:t>
            </w:r>
          </w:p>
        </w:tc>
        <w:tc>
          <w:tcPr>
            <w:tcW w:w="2946" w:type="dxa"/>
            <w:gridSpan w:val="3"/>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传真</w:t>
            </w:r>
          </w:p>
        </w:tc>
        <w:tc>
          <w:tcPr>
            <w:tcW w:w="2408" w:type="dxa"/>
            <w:gridSpan w:val="3"/>
            <w:noWrap w:val="0"/>
            <w:vAlign w:val="top"/>
          </w:tcPr>
          <w:p>
            <w:pPr>
              <w:spacing w:line="520" w:lineRule="exact"/>
              <w:ind w:firstLine="484" w:firstLineChars="202"/>
              <w:rPr>
                <w:rFonts w:ascii="宋体" w:hAnsi="宋体" w:cs="宋体"/>
                <w:color w:val="000000"/>
                <w:sz w:val="24"/>
                <w:szCs w:val="24"/>
              </w:rPr>
            </w:pPr>
          </w:p>
        </w:tc>
        <w:tc>
          <w:tcPr>
            <w:tcW w:w="1875" w:type="dxa"/>
            <w:gridSpan w:val="2"/>
            <w:noWrap w:val="0"/>
            <w:vAlign w:val="top"/>
          </w:tcPr>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电子邮件</w:t>
            </w:r>
          </w:p>
        </w:tc>
        <w:tc>
          <w:tcPr>
            <w:tcW w:w="2946" w:type="dxa"/>
            <w:gridSpan w:val="3"/>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注册地</w:t>
            </w:r>
          </w:p>
        </w:tc>
        <w:tc>
          <w:tcPr>
            <w:tcW w:w="2408" w:type="dxa"/>
            <w:gridSpan w:val="3"/>
            <w:noWrap w:val="0"/>
            <w:vAlign w:val="top"/>
          </w:tcPr>
          <w:p>
            <w:pPr>
              <w:spacing w:line="520" w:lineRule="exact"/>
              <w:ind w:firstLine="484" w:firstLineChars="202"/>
              <w:rPr>
                <w:rFonts w:ascii="宋体" w:hAnsi="宋体" w:cs="宋体"/>
                <w:color w:val="000000"/>
                <w:sz w:val="24"/>
                <w:szCs w:val="24"/>
              </w:rPr>
            </w:pPr>
          </w:p>
        </w:tc>
        <w:tc>
          <w:tcPr>
            <w:tcW w:w="1875" w:type="dxa"/>
            <w:gridSpan w:val="2"/>
            <w:noWrap w:val="0"/>
            <w:vAlign w:val="top"/>
          </w:tcPr>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注册年份</w:t>
            </w:r>
          </w:p>
        </w:tc>
        <w:tc>
          <w:tcPr>
            <w:tcW w:w="2946" w:type="dxa"/>
            <w:gridSpan w:val="3"/>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资质等级</w:t>
            </w:r>
          </w:p>
        </w:tc>
        <w:tc>
          <w:tcPr>
            <w:tcW w:w="7229" w:type="dxa"/>
            <w:gridSpan w:val="8"/>
            <w:noWrap w:val="0"/>
            <w:vAlign w:val="top"/>
          </w:tcPr>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公司</w:t>
            </w:r>
            <w:r>
              <w:rPr>
                <w:rFonts w:hint="eastAsia" w:ascii="宋体" w:hAnsi="宋体" w:cs="宋体"/>
                <w:color w:val="000000"/>
                <w:sz w:val="24"/>
                <w:szCs w:val="24"/>
              </w:rPr>
              <w:t>具备的相关</w:t>
            </w:r>
            <w:r>
              <w:rPr>
                <w:rFonts w:ascii="宋体" w:hAnsi="宋体" w:cs="宋体"/>
                <w:color w:val="000000"/>
                <w:sz w:val="24"/>
                <w:szCs w:val="24"/>
              </w:rPr>
              <w:t>资质等级</w:t>
            </w:r>
            <w:r>
              <w:rPr>
                <w:rFonts w:hint="eastAsia" w:ascii="宋体" w:hAnsi="宋体" w:cs="宋体"/>
                <w:color w:val="000000"/>
                <w:sz w:val="24"/>
                <w:szCs w:val="24"/>
              </w:rPr>
              <w:t>及相应的</w:t>
            </w:r>
            <w:r>
              <w:rPr>
                <w:rFonts w:ascii="宋体" w:hAnsi="宋体" w:cs="宋体"/>
                <w:color w:val="000000"/>
                <w:sz w:val="24"/>
                <w:szCs w:val="24"/>
              </w:rPr>
              <w:t>证书号</w:t>
            </w:r>
          </w:p>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（请附有关证书的复印件）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质量管理体系</w:t>
            </w:r>
          </w:p>
        </w:tc>
        <w:tc>
          <w:tcPr>
            <w:tcW w:w="7229" w:type="dxa"/>
            <w:gridSpan w:val="8"/>
            <w:noWrap w:val="0"/>
            <w:vAlign w:val="top"/>
          </w:tcPr>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公司   （是否通过，何种）   质量保证体系认证（如通过请附相关</w:t>
            </w:r>
            <w:r>
              <w:rPr>
                <w:rFonts w:hint="eastAsia" w:ascii="宋体" w:hAnsi="宋体" w:cs="宋体"/>
                <w:color w:val="000000"/>
                <w:sz w:val="24"/>
                <w:szCs w:val="24"/>
              </w:rPr>
              <w:t>在有效期内的</w:t>
            </w:r>
            <w:r>
              <w:rPr>
                <w:rFonts w:ascii="宋体" w:hAnsi="宋体" w:cs="宋体"/>
                <w:color w:val="000000"/>
                <w:sz w:val="24"/>
                <w:szCs w:val="24"/>
              </w:rPr>
              <w:t>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项目负责人</w:t>
            </w:r>
          </w:p>
        </w:tc>
        <w:tc>
          <w:tcPr>
            <w:tcW w:w="1559" w:type="dxa"/>
            <w:gridSpan w:val="2"/>
            <w:noWrap w:val="0"/>
            <w:vAlign w:val="top"/>
          </w:tcPr>
          <w:p>
            <w:pPr>
              <w:spacing w:line="520" w:lineRule="exact"/>
              <w:ind w:firstLine="484" w:firstLineChars="202"/>
              <w:rPr>
                <w:rFonts w:ascii="宋体" w:hAnsi="宋体" w:cs="宋体"/>
                <w:color w:val="000000"/>
                <w:sz w:val="24"/>
                <w:szCs w:val="24"/>
              </w:rPr>
            </w:pPr>
          </w:p>
        </w:tc>
        <w:tc>
          <w:tcPr>
            <w:tcW w:w="1417" w:type="dxa"/>
            <w:gridSpan w:val="2"/>
            <w:noWrap w:val="0"/>
            <w:vAlign w:val="top"/>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年龄</w:t>
            </w:r>
          </w:p>
        </w:tc>
        <w:tc>
          <w:tcPr>
            <w:tcW w:w="1466" w:type="dxa"/>
            <w:gridSpan w:val="2"/>
            <w:noWrap w:val="0"/>
            <w:vAlign w:val="top"/>
          </w:tcPr>
          <w:p>
            <w:pPr>
              <w:spacing w:line="520" w:lineRule="exact"/>
              <w:ind w:firstLine="484" w:firstLineChars="202"/>
              <w:rPr>
                <w:rFonts w:ascii="宋体" w:hAnsi="宋体" w:cs="宋体"/>
                <w:color w:val="000000"/>
                <w:sz w:val="24"/>
                <w:szCs w:val="24"/>
              </w:rPr>
            </w:pPr>
          </w:p>
        </w:tc>
        <w:tc>
          <w:tcPr>
            <w:tcW w:w="1320" w:type="dxa"/>
            <w:noWrap w:val="0"/>
            <w:vAlign w:val="top"/>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性别</w:t>
            </w:r>
          </w:p>
        </w:tc>
        <w:tc>
          <w:tcPr>
            <w:tcW w:w="1467" w:type="dxa"/>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职务职称</w:t>
            </w:r>
          </w:p>
        </w:tc>
        <w:tc>
          <w:tcPr>
            <w:tcW w:w="2976" w:type="dxa"/>
            <w:gridSpan w:val="4"/>
            <w:noWrap w:val="0"/>
            <w:vAlign w:val="top"/>
          </w:tcPr>
          <w:p>
            <w:pPr>
              <w:spacing w:line="520" w:lineRule="exact"/>
              <w:ind w:firstLine="484" w:firstLineChars="202"/>
              <w:rPr>
                <w:rFonts w:ascii="宋体" w:hAnsi="宋体" w:cs="宋体"/>
                <w:color w:val="000000"/>
                <w:sz w:val="24"/>
                <w:szCs w:val="24"/>
              </w:rPr>
            </w:pPr>
          </w:p>
        </w:tc>
        <w:tc>
          <w:tcPr>
            <w:tcW w:w="1466" w:type="dxa"/>
            <w:gridSpan w:val="2"/>
            <w:noWrap w:val="0"/>
            <w:vAlign w:val="top"/>
          </w:tcPr>
          <w:p>
            <w:pPr>
              <w:spacing w:line="520" w:lineRule="exact"/>
              <w:rPr>
                <w:rFonts w:ascii="宋体" w:hAnsi="宋体" w:cs="宋体"/>
                <w:color w:val="000000"/>
                <w:sz w:val="24"/>
                <w:szCs w:val="24"/>
              </w:rPr>
            </w:pPr>
            <w:r>
              <w:rPr>
                <w:rFonts w:hint="eastAsia" w:ascii="宋体" w:hAnsi="宋体" w:cs="宋体"/>
                <w:color w:val="000000"/>
                <w:sz w:val="24"/>
                <w:szCs w:val="24"/>
              </w:rPr>
              <w:t>执业资格</w:t>
            </w:r>
          </w:p>
        </w:tc>
        <w:tc>
          <w:tcPr>
            <w:tcW w:w="2787" w:type="dxa"/>
            <w:gridSpan w:val="2"/>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8" w:hRule="atLeast"/>
          <w:jc w:val="center"/>
        </w:trPr>
        <w:tc>
          <w:tcPr>
            <w:tcW w:w="2235" w:type="dxa"/>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经营范围</w:t>
            </w:r>
          </w:p>
        </w:tc>
        <w:tc>
          <w:tcPr>
            <w:tcW w:w="7229" w:type="dxa"/>
            <w:gridSpan w:val="8"/>
            <w:noWrap w:val="0"/>
            <w:vAlign w:val="top"/>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营业执照载明：</w:t>
            </w:r>
          </w:p>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 xml:space="preserve">1.                                               </w:t>
            </w:r>
          </w:p>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 xml:space="preserve">2.                                               </w:t>
            </w:r>
          </w:p>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 xml:space="preserve">3.                                               </w:t>
            </w:r>
          </w:p>
          <w:p>
            <w:pPr>
              <w:spacing w:line="520" w:lineRule="exact"/>
              <w:ind w:firstLine="484" w:firstLineChars="202"/>
              <w:rPr>
                <w:rFonts w:ascii="宋体" w:hAnsi="宋体" w:cs="宋体"/>
                <w:color w:val="000000"/>
                <w:sz w:val="24"/>
                <w:szCs w:val="24"/>
              </w:rPr>
            </w:pPr>
            <w:r>
              <w:rPr>
                <w:rFonts w:ascii="宋体" w:hAnsi="宋体" w:cs="宋体"/>
                <w:color w:val="00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43" w:type="dxa"/>
            <w:gridSpan w:val="2"/>
            <w:noWrap w:val="0"/>
            <w:vAlign w:val="center"/>
          </w:tcPr>
          <w:p>
            <w:pPr>
              <w:spacing w:line="520" w:lineRule="exact"/>
              <w:rPr>
                <w:rFonts w:ascii="宋体" w:hAnsi="宋体" w:cs="宋体"/>
                <w:color w:val="000000"/>
                <w:sz w:val="24"/>
                <w:szCs w:val="24"/>
              </w:rPr>
            </w:pPr>
            <w:r>
              <w:rPr>
                <w:rFonts w:hint="eastAsia" w:ascii="宋体" w:hAnsi="宋体" w:cs="宋体"/>
                <w:color w:val="000000"/>
                <w:sz w:val="24"/>
                <w:szCs w:val="24"/>
              </w:rPr>
              <w:t>从事类似相关项目的经历及</w:t>
            </w:r>
            <w:r>
              <w:rPr>
                <w:rFonts w:ascii="宋体" w:hAnsi="宋体" w:cs="宋体"/>
                <w:color w:val="000000"/>
                <w:sz w:val="24"/>
                <w:szCs w:val="24"/>
              </w:rPr>
              <w:t>年数</w:t>
            </w:r>
          </w:p>
        </w:tc>
        <w:tc>
          <w:tcPr>
            <w:tcW w:w="6521" w:type="dxa"/>
            <w:gridSpan w:val="7"/>
            <w:noWrap w:val="0"/>
            <w:vAlign w:val="top"/>
          </w:tcPr>
          <w:p>
            <w:pPr>
              <w:spacing w:line="520" w:lineRule="exact"/>
              <w:ind w:firstLine="484" w:firstLineChars="202"/>
              <w:rPr>
                <w:rFonts w:ascii="宋体" w:hAnsi="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2943" w:type="dxa"/>
            <w:gridSpan w:val="2"/>
            <w:noWrap w:val="0"/>
            <w:vAlign w:val="center"/>
          </w:tcPr>
          <w:p>
            <w:pPr>
              <w:spacing w:line="520" w:lineRule="exact"/>
              <w:ind w:firstLine="484" w:firstLineChars="202"/>
              <w:rPr>
                <w:rFonts w:ascii="宋体" w:hAnsi="宋体" w:cs="宋体"/>
                <w:color w:val="000000"/>
                <w:sz w:val="24"/>
                <w:szCs w:val="24"/>
              </w:rPr>
            </w:pPr>
            <w:r>
              <w:rPr>
                <w:rFonts w:hint="eastAsia" w:ascii="宋体" w:hAnsi="宋体" w:cs="宋体"/>
                <w:color w:val="000000"/>
                <w:sz w:val="24"/>
                <w:szCs w:val="24"/>
              </w:rPr>
              <w:t>其他认为有必要提供的内容，可自行添加</w:t>
            </w:r>
          </w:p>
        </w:tc>
        <w:tc>
          <w:tcPr>
            <w:tcW w:w="6521" w:type="dxa"/>
            <w:gridSpan w:val="7"/>
            <w:noWrap w:val="0"/>
            <w:vAlign w:val="top"/>
          </w:tcPr>
          <w:p>
            <w:pPr>
              <w:spacing w:line="520" w:lineRule="exact"/>
              <w:ind w:firstLine="484" w:firstLineChars="202"/>
              <w:rPr>
                <w:rFonts w:ascii="宋体" w:hAnsi="宋体" w:cs="宋体"/>
                <w:color w:val="000000"/>
                <w:sz w:val="24"/>
                <w:szCs w:val="24"/>
              </w:rPr>
            </w:pPr>
          </w:p>
        </w:tc>
      </w:tr>
    </w:tbl>
    <w:p>
      <w:pPr>
        <w:snapToGrid w:val="0"/>
        <w:spacing w:line="360" w:lineRule="auto"/>
        <w:ind w:right="79"/>
        <w:textAlignment w:val="baseline"/>
        <w:rPr>
          <w:rFonts w:ascii="宋体" w:hAnsi="宋体" w:cs="宋体"/>
          <w:color w:val="000000"/>
          <w:sz w:val="24"/>
          <w:szCs w:val="24"/>
        </w:rPr>
      </w:pPr>
      <w:r>
        <w:rPr>
          <w:rFonts w:hint="eastAsia" w:ascii="宋体" w:hAnsi="宋体" w:cs="宋体"/>
          <w:color w:val="000000"/>
          <w:sz w:val="24"/>
          <w:szCs w:val="24"/>
        </w:rPr>
        <w:t>竞争性磋商响应</w:t>
      </w:r>
      <w:r>
        <w:rPr>
          <w:rFonts w:hint="eastAsia" w:ascii="宋体" w:hAnsi="宋体" w:cs="宋体"/>
          <w:szCs w:val="24"/>
        </w:rPr>
        <w:t>供应商：（单位盖章）</w:t>
      </w:r>
    </w:p>
    <w:p>
      <w:pPr>
        <w:snapToGrid w:val="0"/>
        <w:spacing w:line="360" w:lineRule="auto"/>
        <w:rPr>
          <w:rFonts w:ascii="宋体" w:hAnsi="宋体" w:cs="宋体"/>
          <w:color w:val="000000"/>
          <w:sz w:val="24"/>
          <w:szCs w:val="24"/>
        </w:rPr>
      </w:pPr>
      <w:r>
        <w:rPr>
          <w:rFonts w:hint="eastAsia" w:hAnsi="宋体" w:cs="宋体"/>
          <w:sz w:val="24"/>
        </w:rPr>
        <w:t>法定代表人或</w:t>
      </w:r>
      <w:r>
        <w:rPr>
          <w:rFonts w:hint="eastAsia" w:hAnsi="宋体" w:cs="仿宋_GB2312"/>
          <w:sz w:val="24"/>
        </w:rPr>
        <w:t>被授权人（签字或盖章）</w:t>
      </w:r>
      <w:r>
        <w:rPr>
          <w:rFonts w:hint="eastAsia" w:hAnsi="宋体" w:cs="宋体"/>
          <w:sz w:val="24"/>
        </w:rPr>
        <w:t>：</w:t>
      </w:r>
      <w:r>
        <w:rPr>
          <w:rFonts w:hint="eastAsia" w:ascii="宋体" w:hAnsi="宋体" w:cs="宋体"/>
          <w:color w:val="000000"/>
          <w:sz w:val="24"/>
          <w:szCs w:val="24"/>
        </w:rPr>
        <w:t xml:space="preserve">            </w:t>
      </w:r>
    </w:p>
    <w:p>
      <w:pPr>
        <w:snapToGrid w:val="0"/>
        <w:spacing w:line="360" w:lineRule="auto"/>
        <w:rPr>
          <w:rFonts w:hint="eastAsia" w:ascii="宋体" w:hAnsi="宋体" w:cs="宋体"/>
          <w:color w:val="000000"/>
          <w:sz w:val="24"/>
          <w:szCs w:val="24"/>
        </w:rPr>
      </w:pPr>
      <w:r>
        <w:rPr>
          <w:rFonts w:hint="eastAsia" w:ascii="宋体" w:hAnsi="宋体" w:cs="宋体"/>
          <w:color w:val="000000"/>
          <w:sz w:val="24"/>
          <w:szCs w:val="24"/>
        </w:rPr>
        <w:t>日期：  年  月  日</w:t>
      </w:r>
      <w:r>
        <w:rPr>
          <w:rFonts w:hint="eastAsia" w:ascii="宋体" w:hAnsi="宋体" w:cs="宋体"/>
          <w:color w:val="000000"/>
          <w:sz w:val="24"/>
          <w:szCs w:val="24"/>
        </w:rPr>
        <w:br w:type="page"/>
      </w:r>
    </w:p>
    <w:p>
      <w:pPr>
        <w:snapToGrid w:val="0"/>
        <w:spacing w:line="520" w:lineRule="exact"/>
        <w:ind w:firstLine="562" w:firstLineChars="200"/>
        <w:jc w:val="center"/>
        <w:outlineLvl w:val="3"/>
        <w:rPr>
          <w:rFonts w:hint="eastAsia" w:ascii="宋体" w:hAnsi="宋体" w:cs="宋体"/>
          <w:b/>
          <w:bCs/>
          <w:color w:val="000000"/>
          <w:sz w:val="28"/>
          <w:szCs w:val="28"/>
        </w:rPr>
      </w:pPr>
      <w:r>
        <w:rPr>
          <w:rFonts w:hint="eastAsia" w:ascii="宋体" w:hAnsi="宋体" w:cs="宋体"/>
          <w:b/>
          <w:bCs/>
          <w:color w:val="000000"/>
          <w:sz w:val="28"/>
          <w:szCs w:val="28"/>
        </w:rPr>
        <w:t>4、具有履行合同所必需的设备和专业技术能力的书面声明</w:t>
      </w:r>
    </w:p>
    <w:p>
      <w:pPr>
        <w:spacing w:line="360" w:lineRule="auto"/>
        <w:rPr>
          <w:rFonts w:hint="eastAsia" w:ascii="宋体" w:hAnsi="宋体"/>
          <w:color w:val="000000"/>
          <w:sz w:val="24"/>
          <w:szCs w:val="24"/>
        </w:rPr>
      </w:pPr>
    </w:p>
    <w:p>
      <w:pPr>
        <w:spacing w:line="560" w:lineRule="exact"/>
        <w:rPr>
          <w:rFonts w:ascii="宋体"/>
          <w:sz w:val="24"/>
          <w:szCs w:val="24"/>
          <w:u w:val="single"/>
        </w:rPr>
      </w:pPr>
      <w:r>
        <w:rPr>
          <w:rFonts w:hint="eastAsia" w:ascii="宋体" w:hAnsi="宋体" w:cs="宋体"/>
          <w:sz w:val="24"/>
          <w:szCs w:val="24"/>
          <w:u w:val="single"/>
        </w:rPr>
        <w:t>南通市妇幼保健院：</w:t>
      </w:r>
    </w:p>
    <w:p>
      <w:pPr>
        <w:spacing w:line="360" w:lineRule="auto"/>
        <w:ind w:firstLine="480" w:firstLineChars="200"/>
        <w:rPr>
          <w:rFonts w:hint="eastAsia" w:ascii="宋体" w:hAnsi="宋体"/>
          <w:color w:val="000000"/>
          <w:sz w:val="24"/>
          <w:szCs w:val="24"/>
        </w:rPr>
      </w:pPr>
      <w:r>
        <w:rPr>
          <w:rFonts w:hint="eastAsia" w:ascii="宋体" w:hAnsi="宋体"/>
          <w:color w:val="000000"/>
          <w:sz w:val="24"/>
          <w:szCs w:val="24"/>
        </w:rPr>
        <w:t>我单位（供应商名称）郑重声明：</w:t>
      </w:r>
    </w:p>
    <w:p>
      <w:pPr>
        <w:spacing w:line="360" w:lineRule="auto"/>
        <w:ind w:firstLine="480" w:firstLineChars="200"/>
        <w:rPr>
          <w:rFonts w:hint="eastAsia" w:ascii="宋体" w:hAnsi="宋体"/>
          <w:color w:val="000000"/>
          <w:sz w:val="24"/>
          <w:szCs w:val="24"/>
        </w:rPr>
      </w:pPr>
      <w:r>
        <w:rPr>
          <w:rFonts w:hint="eastAsia" w:ascii="宋体" w:hAnsi="宋体"/>
          <w:color w:val="000000"/>
          <w:sz w:val="24"/>
          <w:szCs w:val="24"/>
        </w:rPr>
        <w:t>我公司在完全理解本项目招标的技术要求，商务条款及其他内容后，决定参与该项目的投标活动。并声明，如中标，我公司将提供足够的设备和专业技术能力保证合同履行。服务满足招标文件中的要求。</w:t>
      </w:r>
    </w:p>
    <w:p>
      <w:pPr>
        <w:spacing w:line="360" w:lineRule="auto"/>
        <w:ind w:firstLine="480" w:firstLineChars="200"/>
        <w:rPr>
          <w:rFonts w:hint="eastAsia" w:ascii="宋体" w:hAnsi="宋体"/>
          <w:color w:val="000000"/>
          <w:sz w:val="24"/>
          <w:szCs w:val="24"/>
        </w:rPr>
      </w:pPr>
      <w:r>
        <w:rPr>
          <w:rFonts w:hint="eastAsia" w:ascii="宋体" w:hAnsi="宋体"/>
          <w:color w:val="000000"/>
          <w:sz w:val="24"/>
          <w:szCs w:val="24"/>
        </w:rPr>
        <w:t>本公司对上述声明的真实性负责。如有虚假，我公司同意按我方合同违约处理，并依法承担相应法律责任。</w:t>
      </w:r>
    </w:p>
    <w:p>
      <w:pPr>
        <w:spacing w:line="360" w:lineRule="auto"/>
        <w:ind w:firstLine="480" w:firstLineChars="200"/>
        <w:rPr>
          <w:rFonts w:hint="eastAsia" w:ascii="宋体" w:hAnsi="宋体"/>
          <w:color w:val="000000"/>
          <w:sz w:val="24"/>
          <w:szCs w:val="24"/>
        </w:rPr>
      </w:pPr>
    </w:p>
    <w:p>
      <w:pPr>
        <w:spacing w:line="360" w:lineRule="auto"/>
        <w:ind w:firstLine="480" w:firstLineChars="200"/>
        <w:rPr>
          <w:rFonts w:hint="eastAsia" w:ascii="宋体" w:hAnsi="宋体"/>
          <w:color w:val="000000"/>
          <w:sz w:val="24"/>
          <w:szCs w:val="24"/>
        </w:rPr>
      </w:pPr>
    </w:p>
    <w:p>
      <w:pPr>
        <w:spacing w:line="360" w:lineRule="auto"/>
        <w:ind w:firstLine="480" w:firstLineChars="200"/>
        <w:rPr>
          <w:rFonts w:hint="eastAsia" w:ascii="宋体" w:hAnsi="宋体"/>
          <w:color w:val="000000"/>
          <w:sz w:val="24"/>
          <w:szCs w:val="24"/>
        </w:rPr>
      </w:pPr>
    </w:p>
    <w:p>
      <w:pPr>
        <w:spacing w:line="360" w:lineRule="auto"/>
        <w:ind w:firstLine="5280" w:firstLineChars="2200"/>
        <w:rPr>
          <w:rFonts w:ascii="宋体" w:hAnsi="宋体"/>
          <w:color w:val="000000"/>
          <w:sz w:val="24"/>
          <w:szCs w:val="24"/>
        </w:rPr>
      </w:pPr>
      <w:r>
        <w:rPr>
          <w:rFonts w:hint="eastAsia" w:ascii="宋体" w:hAnsi="宋体"/>
          <w:color w:val="000000"/>
          <w:sz w:val="24"/>
          <w:szCs w:val="24"/>
        </w:rPr>
        <w:t>声明单位：（公章）</w:t>
      </w:r>
    </w:p>
    <w:p>
      <w:pPr>
        <w:snapToGrid w:val="0"/>
        <w:spacing w:line="360" w:lineRule="auto"/>
        <w:jc w:val="center"/>
        <w:textAlignment w:val="baseline"/>
        <w:rPr>
          <w:rFonts w:hint="eastAsia" w:ascii="宋体" w:hAnsi="宋体"/>
          <w:color w:val="000000"/>
          <w:sz w:val="24"/>
          <w:szCs w:val="24"/>
          <w:lang w:val="zh-CN"/>
        </w:rPr>
      </w:pPr>
      <w:r>
        <w:rPr>
          <w:rFonts w:hint="eastAsia" w:ascii="宋体" w:hAnsi="宋体"/>
          <w:color w:val="000000"/>
          <w:szCs w:val="24"/>
        </w:rPr>
        <w:t xml:space="preserve">                                  </w:t>
      </w:r>
      <w:r>
        <w:rPr>
          <w:rFonts w:hint="eastAsia" w:ascii="宋体" w:hAnsi="宋体"/>
          <w:color w:val="000000"/>
          <w:sz w:val="24"/>
          <w:szCs w:val="24"/>
        </w:rPr>
        <w:t xml:space="preserve"> </w:t>
      </w:r>
      <w:r>
        <w:rPr>
          <w:rFonts w:hint="eastAsia" w:ascii="宋体" w:hAnsi="宋体"/>
          <w:color w:val="000000"/>
          <w:sz w:val="24"/>
          <w:szCs w:val="24"/>
          <w:lang w:val="zh-CN"/>
        </w:rPr>
        <w:t>日期：</w:t>
      </w:r>
      <w:r>
        <w:rPr>
          <w:rFonts w:hint="eastAsia" w:ascii="宋体" w:hAnsi="宋体"/>
          <w:color w:val="000000"/>
          <w:sz w:val="24"/>
          <w:szCs w:val="24"/>
        </w:rPr>
        <w:t xml:space="preserve">  </w:t>
      </w:r>
      <w:r>
        <w:rPr>
          <w:rFonts w:hint="eastAsia" w:ascii="宋体" w:hAnsi="宋体"/>
          <w:color w:val="000000"/>
          <w:sz w:val="24"/>
          <w:szCs w:val="24"/>
          <w:lang w:val="zh-CN"/>
        </w:rPr>
        <w:t>年</w:t>
      </w:r>
      <w:r>
        <w:rPr>
          <w:rFonts w:hint="eastAsia" w:ascii="宋体" w:hAnsi="宋体"/>
          <w:color w:val="000000"/>
          <w:sz w:val="24"/>
          <w:szCs w:val="24"/>
        </w:rPr>
        <w:t xml:space="preserve">   </w:t>
      </w:r>
      <w:r>
        <w:rPr>
          <w:rFonts w:hint="eastAsia" w:ascii="宋体" w:hAnsi="宋体"/>
          <w:color w:val="000000"/>
          <w:sz w:val="24"/>
          <w:szCs w:val="24"/>
          <w:lang w:val="zh-CN"/>
        </w:rPr>
        <w:t>月</w:t>
      </w:r>
      <w:r>
        <w:rPr>
          <w:rFonts w:hint="eastAsia" w:ascii="宋体" w:hAnsi="宋体"/>
          <w:color w:val="000000"/>
          <w:sz w:val="24"/>
          <w:szCs w:val="24"/>
        </w:rPr>
        <w:t xml:space="preserve">   </w:t>
      </w:r>
      <w:r>
        <w:rPr>
          <w:rFonts w:hint="eastAsia" w:ascii="宋体" w:hAnsi="宋体"/>
          <w:color w:val="000000"/>
          <w:sz w:val="24"/>
          <w:szCs w:val="24"/>
          <w:lang w:val="zh-CN"/>
        </w:rPr>
        <w:t>日</w:t>
      </w:r>
    </w:p>
    <w:p>
      <w:pPr>
        <w:spacing w:line="360" w:lineRule="auto"/>
        <w:jc w:val="center"/>
        <w:rPr>
          <w:rFonts w:ascii="宋体"/>
          <w:b/>
          <w:bCs/>
          <w:sz w:val="28"/>
          <w:szCs w:val="28"/>
        </w:rPr>
      </w:pPr>
      <w:r>
        <w:br w:type="page"/>
      </w:r>
      <w:r>
        <w:rPr>
          <w:rFonts w:hint="eastAsia" w:ascii="宋体" w:hAnsi="宋体" w:cs="宋体"/>
          <w:b/>
          <w:bCs/>
          <w:sz w:val="28"/>
          <w:szCs w:val="28"/>
          <w:lang w:val="en-US" w:eastAsia="zh-CN"/>
        </w:rPr>
        <w:t>5</w:t>
      </w:r>
      <w:r>
        <w:rPr>
          <w:rFonts w:hint="eastAsia" w:ascii="宋体" w:hAnsi="宋体" w:cs="宋体"/>
          <w:b/>
          <w:bCs/>
          <w:sz w:val="28"/>
          <w:szCs w:val="28"/>
        </w:rPr>
        <w:t>、无重大违法记录声明</w:t>
      </w:r>
    </w:p>
    <w:p>
      <w:pPr>
        <w:spacing w:line="560" w:lineRule="exact"/>
        <w:rPr>
          <w:rFonts w:ascii="宋体"/>
          <w:sz w:val="24"/>
          <w:szCs w:val="24"/>
          <w:u w:val="single"/>
        </w:rPr>
      </w:pPr>
      <w:r>
        <w:rPr>
          <w:rFonts w:hint="eastAsia" w:ascii="宋体" w:hAnsi="宋体" w:cs="宋体"/>
          <w:sz w:val="24"/>
          <w:szCs w:val="24"/>
          <w:u w:val="single"/>
        </w:rPr>
        <w:t>南通市妇幼保健院：</w:t>
      </w:r>
    </w:p>
    <w:p>
      <w:pPr>
        <w:spacing w:line="560" w:lineRule="exact"/>
        <w:rPr>
          <w:rFonts w:ascii="宋体"/>
          <w:sz w:val="24"/>
          <w:szCs w:val="24"/>
        </w:rPr>
      </w:pPr>
      <w:r>
        <w:rPr>
          <w:rFonts w:ascii="宋体" w:hAnsi="宋体" w:cs="宋体"/>
          <w:sz w:val="24"/>
          <w:szCs w:val="24"/>
        </w:rPr>
        <w:t xml:space="preserve">    </w:t>
      </w:r>
      <w:r>
        <w:rPr>
          <w:rFonts w:hint="eastAsia" w:ascii="宋体" w:hAnsi="宋体" w:cs="宋体"/>
          <w:sz w:val="24"/>
          <w:szCs w:val="24"/>
        </w:rPr>
        <w:t>我单位</w:t>
      </w:r>
      <w:r>
        <w:rPr>
          <w:rFonts w:ascii="宋体" w:hAnsi="宋体" w:cs="宋体"/>
          <w:sz w:val="24"/>
          <w:szCs w:val="24"/>
          <w:u w:val="single"/>
        </w:rPr>
        <w:t xml:space="preserve">               </w:t>
      </w:r>
      <w:r>
        <w:rPr>
          <w:rFonts w:hint="eastAsia" w:ascii="宋体" w:hAnsi="宋体" w:cs="宋体"/>
          <w:sz w:val="24"/>
          <w:szCs w:val="24"/>
        </w:rPr>
        <w:t>（供应商名称）郑重声明：</w:t>
      </w:r>
    </w:p>
    <w:p>
      <w:pPr>
        <w:spacing w:line="560" w:lineRule="exact"/>
        <w:rPr>
          <w:rFonts w:ascii="宋体"/>
          <w:sz w:val="24"/>
          <w:szCs w:val="24"/>
        </w:rPr>
      </w:pPr>
      <w:r>
        <w:rPr>
          <w:rFonts w:ascii="宋体" w:hAnsi="宋体" w:cs="宋体"/>
          <w:sz w:val="24"/>
          <w:szCs w:val="24"/>
        </w:rPr>
        <w:t xml:space="preserve">    </w:t>
      </w:r>
      <w:r>
        <w:rPr>
          <w:rFonts w:hint="eastAsia" w:ascii="宋体" w:hAnsi="宋体" w:cs="宋体"/>
          <w:sz w:val="24"/>
          <w:szCs w:val="24"/>
        </w:rPr>
        <w:t>参加政府采购活动前</w:t>
      </w:r>
      <w:r>
        <w:rPr>
          <w:rFonts w:ascii="宋体" w:hAnsi="宋体" w:cs="宋体"/>
          <w:sz w:val="24"/>
          <w:szCs w:val="24"/>
        </w:rPr>
        <w:t>3</w:t>
      </w:r>
      <w:r>
        <w:rPr>
          <w:rFonts w:hint="eastAsia" w:ascii="宋体" w:hAnsi="宋体" w:cs="宋体"/>
          <w:sz w:val="24"/>
          <w:szCs w:val="24"/>
        </w:rPr>
        <w:t>年内在经营活动中</w:t>
      </w:r>
      <w:r>
        <w:rPr>
          <w:rFonts w:ascii="宋体" w:hAnsi="宋体" w:cs="宋体"/>
          <w:sz w:val="24"/>
          <w:szCs w:val="24"/>
          <w:u w:val="single"/>
        </w:rPr>
        <w:t xml:space="preserve">        </w:t>
      </w:r>
      <w:r>
        <w:rPr>
          <w:rFonts w:hint="eastAsia" w:ascii="宋体" w:hAnsi="宋体" w:cs="宋体"/>
          <w:sz w:val="24"/>
          <w:szCs w:val="24"/>
        </w:rPr>
        <w:t>（在下划线上如实填写：有或没有）重大违法记录。</w:t>
      </w:r>
    </w:p>
    <w:p>
      <w:pPr>
        <w:spacing w:line="560" w:lineRule="exact"/>
        <w:ind w:firstLine="480"/>
        <w:rPr>
          <w:rFonts w:ascii="宋体"/>
          <w:sz w:val="24"/>
          <w:szCs w:val="24"/>
        </w:rPr>
      </w:pPr>
      <w:r>
        <w:rPr>
          <w:rFonts w:hint="eastAsia" w:ascii="宋体" w:hAnsi="宋体" w:cs="宋体"/>
          <w:sz w:val="24"/>
          <w:szCs w:val="24"/>
        </w:rPr>
        <w:t>（说明：政府采购法第二十二条第一款第五项所称重大违法记录，是指供应商因违法经营受到刑事处罚或者责令停产停业、吊销许可证或者执照、较大数额罚款等行政处罚。）</w:t>
      </w:r>
    </w:p>
    <w:p>
      <w:pPr>
        <w:spacing w:line="420" w:lineRule="exact"/>
        <w:rPr>
          <w:rFonts w:ascii="宋体"/>
          <w:sz w:val="24"/>
          <w:szCs w:val="24"/>
        </w:rPr>
      </w:pPr>
      <w:r>
        <w:rPr>
          <w:rFonts w:ascii="宋体" w:hAnsi="宋体" w:cs="宋体"/>
          <w:sz w:val="24"/>
          <w:szCs w:val="24"/>
        </w:rPr>
        <w:t xml:space="preserve">                                                       </w:t>
      </w:r>
    </w:p>
    <w:p>
      <w:pPr>
        <w:spacing w:line="420" w:lineRule="exact"/>
        <w:ind w:firstLine="6360" w:firstLineChars="2650"/>
        <w:rPr>
          <w:rFonts w:ascii="宋体"/>
          <w:sz w:val="24"/>
          <w:szCs w:val="24"/>
        </w:rPr>
      </w:pPr>
      <w:r>
        <w:rPr>
          <w:rFonts w:ascii="宋体" w:hAnsi="宋体" w:cs="宋体"/>
          <w:sz w:val="24"/>
          <w:szCs w:val="24"/>
        </w:rPr>
        <w:t xml:space="preserve"> </w:t>
      </w:r>
      <w:r>
        <w:rPr>
          <w:rFonts w:hint="eastAsia" w:ascii="宋体" w:hAnsi="宋体" w:cs="宋体"/>
          <w:sz w:val="24"/>
          <w:szCs w:val="24"/>
        </w:rPr>
        <w:t>声明人：（公章）</w:t>
      </w:r>
    </w:p>
    <w:p>
      <w:pPr>
        <w:spacing w:line="420" w:lineRule="exact"/>
        <w:jc w:val="right"/>
        <w:rPr>
          <w:rFonts w:ascii="宋体"/>
          <w:sz w:val="24"/>
          <w:szCs w:val="24"/>
        </w:rPr>
      </w:pP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pPr>
        <w:snapToGrid w:val="0"/>
        <w:spacing w:line="360" w:lineRule="auto"/>
        <w:jc w:val="center"/>
        <w:outlineLvl w:val="4"/>
        <w:rPr>
          <w:rFonts w:ascii="宋体"/>
          <w:b/>
          <w:bCs/>
          <w:sz w:val="28"/>
          <w:szCs w:val="28"/>
        </w:rPr>
      </w:pPr>
      <w:r>
        <w:rPr>
          <w:rFonts w:ascii="宋体"/>
          <w:b/>
          <w:bCs/>
          <w:sz w:val="28"/>
          <w:szCs w:val="28"/>
        </w:rPr>
        <w:br w:type="page"/>
      </w:r>
      <w:r>
        <w:rPr>
          <w:rFonts w:hint="eastAsia" w:ascii="宋体"/>
          <w:b/>
          <w:bCs/>
          <w:sz w:val="28"/>
          <w:szCs w:val="28"/>
          <w:lang w:val="en-US" w:eastAsia="zh-CN"/>
        </w:rPr>
        <w:t>6</w:t>
      </w:r>
      <w:r>
        <w:rPr>
          <w:rFonts w:hint="eastAsia" w:ascii="宋体" w:hAnsi="宋体" w:cs="宋体"/>
          <w:b/>
          <w:bCs/>
          <w:sz w:val="28"/>
          <w:szCs w:val="28"/>
        </w:rPr>
        <w:t>、关于资格文件的声明函</w:t>
      </w:r>
    </w:p>
    <w:p>
      <w:pPr>
        <w:snapToGrid w:val="0"/>
        <w:spacing w:line="360" w:lineRule="auto"/>
        <w:rPr>
          <w:rFonts w:ascii="宋体"/>
          <w:sz w:val="24"/>
          <w:szCs w:val="24"/>
          <w:u w:val="single"/>
        </w:rPr>
      </w:pPr>
    </w:p>
    <w:p>
      <w:pPr>
        <w:snapToGrid w:val="0"/>
        <w:spacing w:line="360" w:lineRule="auto"/>
        <w:rPr>
          <w:rFonts w:ascii="宋体"/>
          <w:sz w:val="24"/>
          <w:szCs w:val="24"/>
          <w:u w:val="single"/>
        </w:rPr>
      </w:pPr>
    </w:p>
    <w:p>
      <w:pPr>
        <w:snapToGrid w:val="0"/>
        <w:spacing w:line="360" w:lineRule="auto"/>
        <w:rPr>
          <w:rFonts w:ascii="宋体"/>
          <w:sz w:val="24"/>
          <w:szCs w:val="24"/>
          <w:u w:val="single"/>
        </w:rPr>
      </w:pPr>
      <w:r>
        <w:rPr>
          <w:rFonts w:hint="eastAsia" w:ascii="宋体" w:hAnsi="宋体" w:cs="宋体"/>
          <w:sz w:val="24"/>
          <w:szCs w:val="24"/>
          <w:u w:val="single"/>
        </w:rPr>
        <w:t>南通市妇幼保健院：</w:t>
      </w:r>
    </w:p>
    <w:p>
      <w:pPr>
        <w:overflowPunct w:val="0"/>
        <w:adjustRightInd w:val="0"/>
        <w:spacing w:line="360" w:lineRule="auto"/>
        <w:ind w:firstLine="660"/>
        <w:jc w:val="left"/>
        <w:textAlignment w:val="baseline"/>
        <w:rPr>
          <w:rFonts w:ascii="宋体"/>
          <w:sz w:val="24"/>
          <w:szCs w:val="24"/>
        </w:rPr>
      </w:pPr>
      <w:r>
        <w:rPr>
          <w:rFonts w:hint="eastAsia" w:ascii="宋体" w:hAnsi="宋体" w:cs="宋体"/>
          <w:sz w:val="24"/>
          <w:szCs w:val="24"/>
        </w:rPr>
        <w:t>本公司愿就由贵单位组织实施的</w:t>
      </w:r>
      <w:r>
        <w:rPr>
          <w:rFonts w:ascii="宋体" w:hAnsi="宋体" w:cs="宋体"/>
          <w:sz w:val="24"/>
          <w:szCs w:val="24"/>
          <w:u w:val="single"/>
        </w:rPr>
        <w:t xml:space="preserve">                        </w:t>
      </w:r>
      <w:r>
        <w:rPr>
          <w:rFonts w:hint="eastAsia" w:ascii="宋体" w:hAnsi="宋体" w:cs="宋体"/>
          <w:sz w:val="24"/>
          <w:szCs w:val="24"/>
        </w:rPr>
        <w:t>（项目名称及项目编号</w:t>
      </w:r>
      <w:r>
        <w:rPr>
          <w:rFonts w:ascii="宋体" w:hAnsi="宋体" w:cs="宋体"/>
          <w:sz w:val="24"/>
          <w:szCs w:val="24"/>
        </w:rPr>
        <w:t>)</w:t>
      </w:r>
      <w:r>
        <w:rPr>
          <w:rFonts w:hint="eastAsia" w:ascii="宋体" w:hAnsi="宋体" w:cs="宋体"/>
          <w:sz w:val="24"/>
          <w:szCs w:val="24"/>
        </w:rPr>
        <w:t>的活动参与磋商。本公司所提交的磋商文件中所有关于资格的文件、证明和陈述均是真实的、准确的。若与真实情况不符，本公司愿意承担由此而产生的一切后果。</w:t>
      </w:r>
    </w:p>
    <w:p>
      <w:pPr>
        <w:overflowPunct w:val="0"/>
        <w:adjustRightInd w:val="0"/>
        <w:spacing w:line="360" w:lineRule="auto"/>
        <w:ind w:firstLine="420"/>
        <w:jc w:val="left"/>
        <w:textAlignment w:val="baseline"/>
        <w:rPr>
          <w:rFonts w:ascii="宋体"/>
          <w:sz w:val="24"/>
          <w:szCs w:val="24"/>
        </w:rPr>
      </w:pPr>
    </w:p>
    <w:p>
      <w:pPr>
        <w:overflowPunct w:val="0"/>
        <w:adjustRightInd w:val="0"/>
        <w:spacing w:line="360" w:lineRule="auto"/>
        <w:ind w:firstLine="420"/>
        <w:jc w:val="left"/>
        <w:textAlignment w:val="baseline"/>
        <w:rPr>
          <w:rFonts w:ascii="宋体"/>
          <w:sz w:val="24"/>
          <w:szCs w:val="24"/>
        </w:rPr>
      </w:pPr>
    </w:p>
    <w:p>
      <w:pPr>
        <w:snapToGrid w:val="0"/>
        <w:spacing w:line="520" w:lineRule="exact"/>
        <w:jc w:val="right"/>
        <w:rPr>
          <w:rFonts w:ascii="宋体"/>
          <w:sz w:val="24"/>
          <w:szCs w:val="24"/>
        </w:rPr>
      </w:pPr>
      <w:r>
        <w:rPr>
          <w:rFonts w:hint="eastAsia" w:ascii="宋体" w:hAnsi="宋体" w:cs="宋体"/>
          <w:sz w:val="24"/>
          <w:szCs w:val="24"/>
        </w:rPr>
        <w:t>竞争性磋商响应单位：</w:t>
      </w:r>
      <w:r>
        <w:rPr>
          <w:rFonts w:ascii="宋体" w:hAnsi="宋体" w:cs="宋体"/>
          <w:sz w:val="24"/>
          <w:szCs w:val="24"/>
          <w:u w:val="single"/>
        </w:rPr>
        <w:t xml:space="preserve">             </w:t>
      </w:r>
      <w:r>
        <w:rPr>
          <w:rFonts w:hint="eastAsia" w:ascii="宋体" w:hAnsi="宋体" w:cs="宋体"/>
          <w:sz w:val="24"/>
          <w:szCs w:val="24"/>
        </w:rPr>
        <w:t>（加盖公章）</w:t>
      </w:r>
    </w:p>
    <w:p>
      <w:pPr>
        <w:snapToGrid w:val="0"/>
        <w:spacing w:line="520" w:lineRule="exact"/>
        <w:ind w:firstLine="2400" w:firstLineChars="1000"/>
        <w:jc w:val="right"/>
        <w:rPr>
          <w:rFonts w:ascii="宋体"/>
          <w:sz w:val="24"/>
          <w:szCs w:val="24"/>
        </w:rPr>
      </w:pPr>
      <w:r>
        <w:rPr>
          <w:rFonts w:hint="eastAsia" w:ascii="宋体" w:hAnsi="宋体" w:cs="宋体"/>
          <w:sz w:val="24"/>
          <w:szCs w:val="24"/>
        </w:rPr>
        <w:t>法定代表人或被授权人：</w:t>
      </w:r>
      <w:r>
        <w:rPr>
          <w:rFonts w:ascii="宋体" w:hAnsi="宋体" w:cs="宋体"/>
          <w:sz w:val="24"/>
          <w:szCs w:val="24"/>
          <w:u w:val="single"/>
        </w:rPr>
        <w:t xml:space="preserve">         </w:t>
      </w:r>
      <w:r>
        <w:rPr>
          <w:rFonts w:hint="eastAsia" w:ascii="宋体" w:hAnsi="宋体" w:cs="宋体"/>
          <w:sz w:val="24"/>
          <w:szCs w:val="24"/>
        </w:rPr>
        <w:t>（签字或盖章）</w:t>
      </w:r>
    </w:p>
    <w:p>
      <w:pPr>
        <w:snapToGrid w:val="0"/>
        <w:spacing w:line="520" w:lineRule="exact"/>
        <w:jc w:val="right"/>
        <w:rPr>
          <w:rFonts w:ascii="宋体"/>
          <w:sz w:val="24"/>
          <w:szCs w:val="24"/>
        </w:rPr>
      </w:pP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pPr>
        <w:snapToGrid w:val="0"/>
        <w:spacing w:line="520" w:lineRule="exact"/>
        <w:jc w:val="center"/>
        <w:outlineLvl w:val="3"/>
        <w:rPr>
          <w:rFonts w:ascii="宋体"/>
          <w:b/>
          <w:bCs/>
          <w:sz w:val="28"/>
          <w:szCs w:val="28"/>
        </w:rPr>
      </w:pPr>
    </w:p>
    <w:p>
      <w:pPr>
        <w:snapToGrid w:val="0"/>
        <w:spacing w:line="520" w:lineRule="exact"/>
        <w:jc w:val="center"/>
        <w:outlineLvl w:val="3"/>
        <w:rPr>
          <w:rFonts w:ascii="宋体"/>
          <w:b/>
          <w:bCs/>
          <w:sz w:val="28"/>
          <w:szCs w:val="28"/>
        </w:rPr>
      </w:pPr>
    </w:p>
    <w:p>
      <w:pPr>
        <w:snapToGrid w:val="0"/>
        <w:spacing w:line="520" w:lineRule="exact"/>
        <w:jc w:val="center"/>
        <w:outlineLvl w:val="3"/>
        <w:rPr>
          <w:rFonts w:ascii="宋体"/>
          <w:b/>
          <w:bCs/>
          <w:sz w:val="28"/>
          <w:szCs w:val="28"/>
        </w:rPr>
      </w:pPr>
    </w:p>
    <w:p>
      <w:pPr>
        <w:spacing w:line="360" w:lineRule="auto"/>
        <w:rPr>
          <w:rFonts w:ascii="宋体"/>
          <w:b/>
          <w:bCs/>
          <w:sz w:val="30"/>
          <w:szCs w:val="30"/>
        </w:rPr>
      </w:pPr>
    </w:p>
    <w:p>
      <w:pPr>
        <w:snapToGrid w:val="0"/>
        <w:spacing w:line="520" w:lineRule="exact"/>
        <w:ind w:firstLine="420" w:firstLineChars="200"/>
        <w:jc w:val="center"/>
        <w:rPr>
          <w:rFonts w:ascii="宋体"/>
          <w:b/>
          <w:bCs/>
          <w:sz w:val="28"/>
          <w:szCs w:val="28"/>
        </w:rPr>
      </w:pPr>
      <w:r>
        <w:br w:type="page"/>
      </w:r>
      <w:r>
        <w:rPr>
          <w:rFonts w:hint="eastAsia" w:ascii="宋体" w:hAnsi="宋体" w:cs="宋体"/>
          <w:b/>
          <w:bCs/>
          <w:sz w:val="28"/>
          <w:szCs w:val="28"/>
          <w:lang w:val="en-US" w:eastAsia="zh-CN"/>
        </w:rPr>
        <w:t>7</w:t>
      </w:r>
      <w:r>
        <w:rPr>
          <w:rFonts w:hint="eastAsia" w:ascii="宋体" w:hAnsi="宋体" w:cs="宋体"/>
          <w:b/>
          <w:bCs/>
          <w:sz w:val="28"/>
          <w:szCs w:val="28"/>
        </w:rPr>
        <w:t>、竞争性磋商响应函（格式不得变动）</w:t>
      </w:r>
    </w:p>
    <w:p>
      <w:pPr>
        <w:snapToGrid w:val="0"/>
        <w:spacing w:line="520" w:lineRule="exact"/>
        <w:rPr>
          <w:rFonts w:ascii="宋体"/>
          <w:sz w:val="24"/>
          <w:szCs w:val="24"/>
          <w:u w:val="single"/>
        </w:rPr>
      </w:pPr>
    </w:p>
    <w:p>
      <w:pPr>
        <w:snapToGrid w:val="0"/>
        <w:spacing w:line="520" w:lineRule="exact"/>
        <w:rPr>
          <w:rFonts w:ascii="宋体"/>
          <w:sz w:val="24"/>
          <w:szCs w:val="24"/>
          <w:u w:val="single"/>
        </w:rPr>
      </w:pPr>
      <w:r>
        <w:rPr>
          <w:rFonts w:hint="eastAsia" w:ascii="宋体" w:hAnsi="宋体" w:cs="宋体"/>
          <w:sz w:val="24"/>
          <w:szCs w:val="24"/>
          <w:u w:val="single"/>
        </w:rPr>
        <w:t>南通市妇幼保健院：</w:t>
      </w:r>
    </w:p>
    <w:p>
      <w:pPr>
        <w:snapToGrid w:val="0"/>
        <w:spacing w:line="520" w:lineRule="exact"/>
        <w:ind w:firstLine="480" w:firstLineChars="200"/>
        <w:rPr>
          <w:rFonts w:ascii="宋体"/>
          <w:sz w:val="24"/>
          <w:szCs w:val="24"/>
        </w:rPr>
      </w:pPr>
      <w:r>
        <w:rPr>
          <w:rFonts w:hint="eastAsia" w:ascii="宋体" w:hAnsi="宋体" w:cs="宋体"/>
          <w:sz w:val="24"/>
          <w:szCs w:val="24"/>
        </w:rPr>
        <w:t>依据贵单位委托代理机构组织的</w:t>
      </w:r>
      <w:r>
        <w:rPr>
          <w:rFonts w:ascii="宋体" w:hAnsi="宋体" w:cs="宋体"/>
          <w:sz w:val="24"/>
          <w:szCs w:val="24"/>
          <w:u w:val="single"/>
        </w:rPr>
        <w:t xml:space="preserve">    </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（磋商项目名称及项目编号</w:t>
      </w:r>
      <w:r>
        <w:rPr>
          <w:rFonts w:ascii="宋体" w:hAnsi="宋体" w:cs="宋体"/>
          <w:sz w:val="24"/>
          <w:szCs w:val="24"/>
        </w:rPr>
        <w:t>)</w:t>
      </w:r>
      <w:r>
        <w:rPr>
          <w:rFonts w:hint="eastAsia" w:ascii="宋体" w:hAnsi="宋体" w:cs="宋体"/>
          <w:sz w:val="24"/>
          <w:szCs w:val="24"/>
        </w:rPr>
        <w:t>项目竞争性磋商的邀请，我方授权</w:t>
      </w:r>
      <w:r>
        <w:rPr>
          <w:rFonts w:ascii="宋体" w:hAnsi="宋体" w:cs="宋体"/>
          <w:sz w:val="24"/>
          <w:szCs w:val="24"/>
          <w:u w:val="single"/>
        </w:rPr>
        <w:t xml:space="preserve"> </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（姓名）</w:t>
      </w:r>
      <w:r>
        <w:rPr>
          <w:rFonts w:ascii="宋体" w:hAnsi="宋体" w:cs="宋体"/>
          <w:sz w:val="24"/>
          <w:szCs w:val="24"/>
          <w:u w:val="single"/>
        </w:rPr>
        <w:t xml:space="preserve"> </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（职务）为全权代表参加该项目的磋商工作，全权处理本次竞争性磋商的有关事宜。同时，我公司声明如下：</w:t>
      </w:r>
    </w:p>
    <w:p>
      <w:pPr>
        <w:snapToGrid w:val="0"/>
        <w:spacing w:line="52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、同意并接受竞争性磋商文件的各项要求，遵守竞争性磋商文件中的各项规定，按竞争性磋商文件的要求提供报价。</w:t>
      </w:r>
    </w:p>
    <w:p>
      <w:pPr>
        <w:snapToGrid w:val="0"/>
        <w:spacing w:line="52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、我公司已经详细阅读了竞争性磋商文件的全部内容，我方已完全清晰理解竞争性磋商文件的要求，不存在任何含糊不清和误解之处，同意放弃对竞争性磋商文件所表述的内容提出异议和质疑的权利。</w:t>
      </w:r>
    </w:p>
    <w:p>
      <w:pPr>
        <w:snapToGrid w:val="0"/>
        <w:spacing w:line="520" w:lineRule="exact"/>
        <w:ind w:firstLine="480" w:firstLineChars="200"/>
        <w:rPr>
          <w:rFonts w:ascii="宋体"/>
          <w:sz w:val="24"/>
          <w:szCs w:val="24"/>
        </w:rPr>
      </w:pPr>
      <w:r>
        <w:rPr>
          <w:rFonts w:ascii="宋体" w:hAnsi="宋体" w:cs="宋体"/>
          <w:sz w:val="24"/>
          <w:szCs w:val="24"/>
        </w:rPr>
        <w:t>3</w:t>
      </w:r>
      <w:r>
        <w:rPr>
          <w:rFonts w:hint="eastAsia" w:ascii="宋体" w:hAnsi="宋体" w:cs="宋体"/>
          <w:sz w:val="24"/>
          <w:szCs w:val="24"/>
        </w:rPr>
        <w:t>、我公司已毫无保留地向贵方提供一切所需的证明材料。</w:t>
      </w:r>
    </w:p>
    <w:p>
      <w:pPr>
        <w:snapToGrid w:val="0"/>
        <w:spacing w:line="520" w:lineRule="exact"/>
        <w:ind w:firstLine="480" w:firstLineChars="200"/>
        <w:rPr>
          <w:rFonts w:ascii="宋体"/>
          <w:sz w:val="24"/>
          <w:szCs w:val="24"/>
        </w:rPr>
      </w:pPr>
      <w:r>
        <w:rPr>
          <w:rFonts w:ascii="宋体" w:hAnsi="宋体" w:cs="宋体"/>
          <w:sz w:val="24"/>
          <w:szCs w:val="24"/>
        </w:rPr>
        <w:t>4</w:t>
      </w:r>
      <w:r>
        <w:rPr>
          <w:rFonts w:hint="eastAsia" w:ascii="宋体" w:hAnsi="宋体" w:cs="宋体"/>
          <w:sz w:val="24"/>
          <w:szCs w:val="24"/>
        </w:rPr>
        <w:t>、我公司承诺在本次磋商响应中提供的一切文件，无论是原件还是复印件均真实有效，绝无任何虚假、伪造和夸大的成份。否则，愿承担相应的后果和法律责任。</w:t>
      </w:r>
    </w:p>
    <w:p>
      <w:pPr>
        <w:snapToGrid w:val="0"/>
        <w:spacing w:line="520" w:lineRule="exact"/>
        <w:ind w:firstLine="480" w:firstLineChars="200"/>
        <w:rPr>
          <w:rFonts w:ascii="宋体"/>
          <w:sz w:val="24"/>
          <w:szCs w:val="24"/>
        </w:rPr>
      </w:pPr>
      <w:r>
        <w:rPr>
          <w:rFonts w:ascii="宋体" w:hAnsi="宋体" w:cs="宋体"/>
          <w:sz w:val="24"/>
          <w:szCs w:val="24"/>
        </w:rPr>
        <w:t>5</w:t>
      </w:r>
      <w:r>
        <w:rPr>
          <w:rFonts w:hint="eastAsia" w:ascii="宋体" w:hAnsi="宋体" w:cs="宋体"/>
          <w:sz w:val="24"/>
          <w:szCs w:val="24"/>
        </w:rPr>
        <w:t>、一旦成交，我方承诺无正当理由拒绝签订合同，将被贵方取消成交资格。</w:t>
      </w:r>
    </w:p>
    <w:p>
      <w:pPr>
        <w:snapToGrid w:val="0"/>
        <w:spacing w:line="520" w:lineRule="exact"/>
        <w:ind w:firstLine="480" w:firstLineChars="200"/>
        <w:rPr>
          <w:rFonts w:ascii="宋体"/>
          <w:sz w:val="24"/>
          <w:szCs w:val="24"/>
        </w:rPr>
      </w:pPr>
      <w:r>
        <w:rPr>
          <w:rFonts w:ascii="宋体" w:hAnsi="宋体" w:cs="宋体"/>
          <w:sz w:val="24"/>
          <w:szCs w:val="24"/>
        </w:rPr>
        <w:t>6</w:t>
      </w:r>
      <w:r>
        <w:rPr>
          <w:rFonts w:hint="eastAsia" w:ascii="宋体" w:hAnsi="宋体" w:cs="宋体"/>
          <w:sz w:val="24"/>
          <w:szCs w:val="24"/>
        </w:rPr>
        <w:t>、</w:t>
      </w:r>
      <w:r>
        <w:rPr>
          <w:rFonts w:hint="eastAsia" w:ascii="宋体" w:hAnsi="宋体" w:cs="宋体"/>
          <w:b/>
          <w:bCs/>
          <w:sz w:val="24"/>
          <w:szCs w:val="24"/>
        </w:rPr>
        <w:t>一旦成交，我方将根据竞争性磋商文件的规定，严格履行合同规定的责任和义务，并保证在竞争性磋商文件中规定的时间期限内完成合同项目。</w:t>
      </w:r>
    </w:p>
    <w:p>
      <w:pPr>
        <w:snapToGrid w:val="0"/>
        <w:spacing w:line="520" w:lineRule="exact"/>
        <w:ind w:firstLine="480" w:firstLineChars="200"/>
        <w:rPr>
          <w:rFonts w:ascii="宋体"/>
          <w:sz w:val="24"/>
          <w:szCs w:val="24"/>
        </w:rPr>
      </w:pPr>
    </w:p>
    <w:p>
      <w:pPr>
        <w:snapToGrid w:val="0"/>
        <w:spacing w:line="520" w:lineRule="exact"/>
        <w:jc w:val="right"/>
        <w:rPr>
          <w:rFonts w:ascii="宋体"/>
          <w:sz w:val="24"/>
          <w:szCs w:val="24"/>
        </w:rPr>
      </w:pPr>
      <w:r>
        <w:rPr>
          <w:rFonts w:hint="eastAsia" w:ascii="宋体" w:hAnsi="宋体" w:cs="宋体"/>
          <w:sz w:val="24"/>
          <w:szCs w:val="24"/>
        </w:rPr>
        <w:t>竞争性磋商响应单位：</w:t>
      </w:r>
      <w:r>
        <w:rPr>
          <w:rFonts w:ascii="宋体" w:hAnsi="宋体" w:cs="宋体"/>
          <w:sz w:val="24"/>
          <w:szCs w:val="24"/>
          <w:u w:val="single"/>
        </w:rPr>
        <w:t xml:space="preserve">             </w:t>
      </w:r>
      <w:r>
        <w:rPr>
          <w:rFonts w:hint="eastAsia" w:ascii="宋体" w:hAnsi="宋体" w:cs="宋体"/>
          <w:sz w:val="24"/>
          <w:szCs w:val="24"/>
        </w:rPr>
        <w:t>（加盖公章）</w:t>
      </w:r>
    </w:p>
    <w:p>
      <w:pPr>
        <w:snapToGrid w:val="0"/>
        <w:spacing w:line="520" w:lineRule="exact"/>
        <w:ind w:firstLine="2400" w:firstLineChars="1000"/>
        <w:jc w:val="right"/>
        <w:rPr>
          <w:rFonts w:ascii="宋体"/>
          <w:sz w:val="24"/>
          <w:szCs w:val="24"/>
        </w:rPr>
      </w:pPr>
      <w:r>
        <w:rPr>
          <w:rFonts w:hint="eastAsia" w:ascii="宋体" w:hAnsi="宋体" w:cs="宋体"/>
          <w:sz w:val="24"/>
          <w:szCs w:val="24"/>
        </w:rPr>
        <w:t>法定代表人或被授权人：</w:t>
      </w:r>
      <w:r>
        <w:rPr>
          <w:rFonts w:ascii="宋体" w:hAnsi="宋体" w:cs="宋体"/>
          <w:sz w:val="24"/>
          <w:szCs w:val="24"/>
          <w:u w:val="single"/>
        </w:rPr>
        <w:t xml:space="preserve">         </w:t>
      </w:r>
      <w:r>
        <w:rPr>
          <w:rFonts w:hint="eastAsia" w:ascii="宋体" w:hAnsi="宋体" w:cs="宋体"/>
          <w:sz w:val="24"/>
          <w:szCs w:val="24"/>
        </w:rPr>
        <w:t>（签字或盖章）</w:t>
      </w:r>
    </w:p>
    <w:p>
      <w:pPr>
        <w:snapToGrid w:val="0"/>
        <w:spacing w:line="520" w:lineRule="exact"/>
        <w:jc w:val="right"/>
        <w:rPr>
          <w:rFonts w:ascii="宋体"/>
          <w:sz w:val="24"/>
          <w:szCs w:val="24"/>
        </w:rPr>
      </w:pP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pPr>
        <w:snapToGrid w:val="0"/>
        <w:spacing w:line="520" w:lineRule="exact"/>
        <w:jc w:val="center"/>
        <w:outlineLvl w:val="3"/>
        <w:rPr>
          <w:rFonts w:ascii="宋体"/>
          <w:b/>
          <w:bCs/>
          <w:sz w:val="28"/>
          <w:szCs w:val="28"/>
        </w:rPr>
      </w:pPr>
    </w:p>
    <w:p>
      <w:pPr>
        <w:snapToGrid w:val="0"/>
        <w:spacing w:line="520" w:lineRule="exact"/>
        <w:jc w:val="center"/>
        <w:outlineLvl w:val="3"/>
        <w:rPr>
          <w:rFonts w:ascii="宋体"/>
          <w:b/>
          <w:bCs/>
          <w:sz w:val="28"/>
          <w:szCs w:val="28"/>
        </w:rPr>
      </w:pPr>
    </w:p>
    <w:p>
      <w:pPr>
        <w:widowControl/>
        <w:snapToGrid w:val="0"/>
        <w:jc w:val="center"/>
        <w:textAlignment w:val="baseline"/>
        <w:rPr>
          <w:rFonts w:hint="eastAsia" w:ascii="宋体" w:hAnsi="宋体" w:cs="宋体"/>
          <w:b/>
          <w:bCs/>
          <w:sz w:val="28"/>
          <w:szCs w:val="28"/>
        </w:rPr>
      </w:pPr>
      <w:r>
        <w:rPr>
          <w:rFonts w:ascii="宋体"/>
          <w:b/>
          <w:bCs/>
          <w:sz w:val="28"/>
          <w:szCs w:val="28"/>
        </w:rPr>
        <w:br w:type="page"/>
      </w:r>
      <w:r>
        <w:rPr>
          <w:rFonts w:hint="eastAsia" w:ascii="宋体" w:hAnsi="宋体" w:cs="宋体"/>
          <w:b/>
          <w:bCs/>
          <w:sz w:val="28"/>
          <w:szCs w:val="28"/>
          <w:lang w:val="en-US" w:eastAsia="zh-CN"/>
        </w:rPr>
        <w:t>8</w:t>
      </w:r>
      <w:r>
        <w:rPr>
          <w:rFonts w:hint="eastAsia" w:ascii="宋体" w:hAnsi="宋体" w:cs="宋体"/>
          <w:b/>
          <w:bCs/>
          <w:sz w:val="28"/>
          <w:szCs w:val="28"/>
        </w:rPr>
        <w:t>、磋商响应报价总表</w:t>
      </w:r>
    </w:p>
    <w:p>
      <w:pPr>
        <w:pStyle w:val="20"/>
        <w:snapToGrid w:val="0"/>
        <w:textAlignment w:val="baseline"/>
      </w:pPr>
    </w:p>
    <w:tbl>
      <w:tblPr>
        <w:tblStyle w:val="51"/>
        <w:tblW w:w="100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0"/>
        <w:gridCol w:w="7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460" w:type="dxa"/>
            <w:noWrap w:val="0"/>
            <w:vAlign w:val="center"/>
          </w:tcPr>
          <w:p>
            <w:pPr>
              <w:snapToGrid w:val="0"/>
              <w:spacing w:line="480" w:lineRule="exact"/>
              <w:jc w:val="center"/>
              <w:textAlignment w:val="baseline"/>
              <w:rPr>
                <w:rFonts w:ascii="宋体" w:hAnsi="宋体" w:cs="宋体"/>
                <w:sz w:val="24"/>
                <w:szCs w:val="24"/>
              </w:rPr>
            </w:pPr>
            <w:r>
              <w:rPr>
                <w:rFonts w:hint="eastAsia" w:ascii="宋体" w:hAnsi="宋体" w:cs="宋体"/>
                <w:sz w:val="24"/>
                <w:szCs w:val="24"/>
              </w:rPr>
              <w:t>项目名称</w:t>
            </w:r>
          </w:p>
        </w:tc>
        <w:tc>
          <w:tcPr>
            <w:tcW w:w="7564" w:type="dxa"/>
            <w:noWrap w:val="0"/>
            <w:vAlign w:val="center"/>
          </w:tcPr>
          <w:p>
            <w:pPr>
              <w:snapToGrid w:val="0"/>
              <w:spacing w:line="480" w:lineRule="exact"/>
              <w:jc w:val="center"/>
              <w:textAlignment w:val="baseline"/>
              <w:rPr>
                <w:rFonts w:ascii="宋体" w:hAnsi="宋体" w:cs="宋体"/>
                <w:sz w:val="24"/>
                <w:szCs w:val="24"/>
              </w:rPr>
            </w:pPr>
            <w:r>
              <w:rPr>
                <w:rFonts w:hint="eastAsia" w:ascii="宋体" w:hAnsi="宋体" w:cs="宋体"/>
                <w:sz w:val="24"/>
                <w:szCs w:val="24"/>
                <w:lang w:val="zh-CN"/>
              </w:rPr>
              <w:t>南通市妇幼保健院污水、废气检测服务项目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2460" w:type="dxa"/>
            <w:noWrap w:val="0"/>
            <w:vAlign w:val="center"/>
          </w:tcPr>
          <w:p>
            <w:pPr>
              <w:snapToGrid w:val="0"/>
              <w:spacing w:line="480" w:lineRule="exact"/>
              <w:jc w:val="center"/>
              <w:textAlignment w:val="baseline"/>
              <w:rPr>
                <w:rFonts w:ascii="宋体" w:hAnsi="宋体" w:cs="宋体"/>
                <w:sz w:val="24"/>
                <w:szCs w:val="24"/>
              </w:rPr>
            </w:pPr>
            <w:r>
              <w:rPr>
                <w:rFonts w:hint="eastAsia" w:ascii="宋体" w:hAnsi="宋体" w:cs="宋体"/>
                <w:sz w:val="24"/>
                <w:szCs w:val="24"/>
              </w:rPr>
              <w:t>磋商总价报价（首次）</w:t>
            </w:r>
          </w:p>
        </w:tc>
        <w:tc>
          <w:tcPr>
            <w:tcW w:w="7564" w:type="dxa"/>
            <w:noWrap w:val="0"/>
            <w:vAlign w:val="center"/>
          </w:tcPr>
          <w:p>
            <w:pPr>
              <w:snapToGrid w:val="0"/>
              <w:spacing w:line="420" w:lineRule="exact"/>
              <w:rPr>
                <w:rFonts w:hint="eastAsia" w:cs="宋体"/>
                <w:sz w:val="24"/>
                <w:szCs w:val="24"/>
              </w:rPr>
            </w:pPr>
            <w:r>
              <w:rPr>
                <w:rFonts w:hint="eastAsia" w:cs="宋体"/>
                <w:sz w:val="24"/>
                <w:szCs w:val="24"/>
              </w:rPr>
              <w:t>大写：</w:t>
            </w:r>
            <w:r>
              <w:rPr>
                <w:rFonts w:hint="eastAsia" w:ascii="宋体" w:hAnsi="宋体" w:cs="宋体"/>
                <w:snapToGrid w:val="0"/>
                <w:sz w:val="24"/>
                <w:szCs w:val="24"/>
              </w:rPr>
              <w:t>人民币</w:t>
            </w:r>
            <w:r>
              <w:rPr>
                <w:rFonts w:hint="eastAsia" w:ascii="宋体" w:hAnsi="宋体" w:cs="宋体"/>
                <w:snapToGrid w:val="0"/>
                <w:sz w:val="24"/>
                <w:szCs w:val="24"/>
                <w:u w:val="single"/>
              </w:rPr>
              <w:t xml:space="preserve">     </w:t>
            </w:r>
            <w:r>
              <w:rPr>
                <w:rFonts w:hint="eastAsia" w:ascii="宋体" w:hAnsi="宋体" w:cs="宋体"/>
                <w:snapToGrid w:val="0"/>
                <w:sz w:val="24"/>
                <w:szCs w:val="24"/>
                <w:u w:val="single"/>
                <w:lang w:val="en-US" w:eastAsia="zh-CN"/>
              </w:rPr>
              <w:t xml:space="preserve">          元/年</w:t>
            </w:r>
            <w:r>
              <w:rPr>
                <w:rFonts w:hint="eastAsia" w:cs="宋体"/>
                <w:sz w:val="24"/>
                <w:szCs w:val="24"/>
              </w:rPr>
              <w:t xml:space="preserve"> </w:t>
            </w:r>
          </w:p>
          <w:p>
            <w:pPr>
              <w:snapToGrid w:val="0"/>
              <w:spacing w:line="420" w:lineRule="exact"/>
              <w:ind w:left="1130" w:hanging="1130" w:hangingChars="471"/>
              <w:textAlignment w:val="baseline"/>
              <w:rPr>
                <w:sz w:val="20"/>
                <w:szCs w:val="22"/>
              </w:rPr>
            </w:pPr>
            <w:r>
              <w:rPr>
                <w:rFonts w:hint="eastAsia" w:cs="宋体"/>
                <w:sz w:val="24"/>
                <w:szCs w:val="24"/>
              </w:rPr>
              <w:t>小写：￥</w:t>
            </w:r>
            <w:r>
              <w:rPr>
                <w:rFonts w:hint="eastAsia" w:cs="宋体"/>
                <w:sz w:val="24"/>
                <w:szCs w:val="24"/>
                <w:u w:val="single"/>
              </w:rPr>
              <w:t xml:space="preserve">                 </w:t>
            </w:r>
            <w:r>
              <w:rPr>
                <w:rFonts w:hint="eastAsia" w:ascii="宋体" w:hAnsi="宋体" w:cs="宋体"/>
                <w:snapToGrid w:val="0"/>
                <w:sz w:val="24"/>
                <w:szCs w:val="24"/>
                <w:u w:val="single"/>
                <w:lang w:val="en-US" w:eastAsia="zh-CN"/>
              </w:rPr>
              <w:t>元/年</w:t>
            </w:r>
            <w:r>
              <w:rPr>
                <w:rFonts w:hint="eastAsia" w:cs="宋体"/>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2460" w:type="dxa"/>
            <w:noWrap w:val="0"/>
            <w:vAlign w:val="center"/>
          </w:tcPr>
          <w:p>
            <w:pPr>
              <w:snapToGrid w:val="0"/>
              <w:spacing w:line="480" w:lineRule="exact"/>
              <w:jc w:val="center"/>
              <w:textAlignment w:val="baseline"/>
              <w:rPr>
                <w:rFonts w:hint="eastAsia" w:ascii="宋体" w:hAnsi="宋体" w:cs="宋体"/>
                <w:sz w:val="24"/>
                <w:szCs w:val="24"/>
              </w:rPr>
            </w:pPr>
            <w:r>
              <w:rPr>
                <w:rFonts w:hint="eastAsia" w:ascii="宋体" w:hAnsi="宋体" w:cs="宋体"/>
                <w:sz w:val="24"/>
                <w:szCs w:val="24"/>
              </w:rPr>
              <w:t>磋商总价报价</w:t>
            </w:r>
          </w:p>
          <w:p>
            <w:pPr>
              <w:snapToGrid w:val="0"/>
              <w:spacing w:line="480" w:lineRule="exact"/>
              <w:jc w:val="center"/>
              <w:textAlignment w:val="baseline"/>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eastAsia="zh-CN"/>
              </w:rPr>
              <w:t>第二次</w:t>
            </w:r>
            <w:r>
              <w:rPr>
                <w:rFonts w:hint="eastAsia" w:ascii="宋体" w:hAnsi="宋体" w:cs="宋体"/>
                <w:sz w:val="24"/>
                <w:szCs w:val="24"/>
              </w:rPr>
              <w:t>）</w:t>
            </w:r>
          </w:p>
          <w:p>
            <w:pPr>
              <w:snapToGrid w:val="0"/>
              <w:spacing w:line="480" w:lineRule="exact"/>
              <w:jc w:val="center"/>
              <w:textAlignment w:val="baseline"/>
              <w:rPr>
                <w:sz w:val="20"/>
                <w:szCs w:val="22"/>
              </w:rPr>
            </w:pPr>
            <w:r>
              <w:rPr>
                <w:rFonts w:hint="eastAsia" w:ascii="宋体" w:hAnsi="宋体" w:cs="宋体"/>
                <w:b/>
                <w:bCs/>
                <w:sz w:val="24"/>
                <w:szCs w:val="24"/>
                <w:highlight w:val="none"/>
                <w:u w:val="single" w:color="000000"/>
              </w:rPr>
              <w:t>（磋商现场填写）</w:t>
            </w:r>
          </w:p>
        </w:tc>
        <w:tc>
          <w:tcPr>
            <w:tcW w:w="7564" w:type="dxa"/>
            <w:noWrap w:val="0"/>
            <w:vAlign w:val="center"/>
          </w:tcPr>
          <w:p>
            <w:pPr>
              <w:snapToGrid w:val="0"/>
              <w:spacing w:line="420" w:lineRule="exact"/>
              <w:rPr>
                <w:rFonts w:hint="eastAsia" w:cs="宋体"/>
                <w:sz w:val="24"/>
                <w:szCs w:val="24"/>
              </w:rPr>
            </w:pPr>
            <w:r>
              <w:rPr>
                <w:rFonts w:hint="eastAsia" w:cs="宋体"/>
                <w:sz w:val="24"/>
                <w:szCs w:val="24"/>
              </w:rPr>
              <w:t>大写：</w:t>
            </w:r>
            <w:r>
              <w:rPr>
                <w:rFonts w:hint="eastAsia" w:ascii="宋体" w:hAnsi="宋体" w:cs="宋体"/>
                <w:snapToGrid w:val="0"/>
                <w:sz w:val="24"/>
                <w:szCs w:val="24"/>
              </w:rPr>
              <w:t>人民币</w:t>
            </w:r>
            <w:r>
              <w:rPr>
                <w:rFonts w:hint="eastAsia" w:ascii="宋体" w:hAnsi="宋体" w:cs="宋体"/>
                <w:snapToGrid w:val="0"/>
                <w:sz w:val="24"/>
                <w:szCs w:val="24"/>
                <w:u w:val="single"/>
              </w:rPr>
              <w:t xml:space="preserve">     </w:t>
            </w:r>
            <w:r>
              <w:rPr>
                <w:rFonts w:hint="eastAsia" w:ascii="宋体" w:hAnsi="宋体" w:cs="宋体"/>
                <w:snapToGrid w:val="0"/>
                <w:sz w:val="24"/>
                <w:szCs w:val="24"/>
                <w:u w:val="single"/>
                <w:lang w:val="en-US" w:eastAsia="zh-CN"/>
              </w:rPr>
              <w:t xml:space="preserve">        元/年</w:t>
            </w:r>
            <w:r>
              <w:rPr>
                <w:rFonts w:hint="eastAsia" w:ascii="宋体" w:hAnsi="宋体" w:cs="宋体"/>
                <w:snapToGrid w:val="0"/>
                <w:sz w:val="24"/>
                <w:szCs w:val="24"/>
              </w:rPr>
              <w:t>。</w:t>
            </w:r>
            <w:r>
              <w:rPr>
                <w:rFonts w:hint="eastAsia" w:cs="宋体"/>
                <w:sz w:val="24"/>
                <w:szCs w:val="24"/>
              </w:rPr>
              <w:t xml:space="preserve"> </w:t>
            </w:r>
          </w:p>
          <w:p>
            <w:pPr>
              <w:snapToGrid w:val="0"/>
              <w:spacing w:line="420" w:lineRule="exact"/>
              <w:ind w:left="1130" w:hanging="1130" w:hangingChars="471"/>
              <w:textAlignment w:val="baseline"/>
              <w:rPr>
                <w:rFonts w:cs="宋体"/>
                <w:sz w:val="20"/>
                <w:szCs w:val="22"/>
              </w:rPr>
            </w:pPr>
            <w:r>
              <w:rPr>
                <w:rFonts w:hint="eastAsia" w:cs="宋体"/>
                <w:sz w:val="24"/>
                <w:szCs w:val="24"/>
              </w:rPr>
              <w:t>小写：￥</w:t>
            </w:r>
            <w:r>
              <w:rPr>
                <w:rFonts w:hint="eastAsia" w:cs="宋体"/>
                <w:sz w:val="24"/>
                <w:szCs w:val="24"/>
                <w:u w:val="single"/>
              </w:rPr>
              <w:t xml:space="preserve">                 </w:t>
            </w:r>
            <w:r>
              <w:rPr>
                <w:rFonts w:hint="eastAsia" w:ascii="宋体" w:hAnsi="宋体" w:cs="宋体"/>
                <w:snapToGrid w:val="0"/>
                <w:sz w:val="24"/>
                <w:szCs w:val="24"/>
                <w:u w:val="single"/>
                <w:lang w:val="en-US" w:eastAsia="zh-CN"/>
              </w:rPr>
              <w:t>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460" w:type="dxa"/>
            <w:noWrap w:val="0"/>
            <w:vAlign w:val="center"/>
          </w:tcPr>
          <w:p>
            <w:pPr>
              <w:snapToGrid w:val="0"/>
              <w:spacing w:line="480" w:lineRule="exact"/>
              <w:jc w:val="center"/>
              <w:textAlignment w:val="baseline"/>
              <w:rPr>
                <w:rFonts w:hint="eastAsia" w:ascii="宋体" w:hAnsi="宋体" w:cs="宋体"/>
                <w:sz w:val="24"/>
                <w:szCs w:val="24"/>
              </w:rPr>
            </w:pPr>
            <w:r>
              <w:rPr>
                <w:rFonts w:hint="eastAsia" w:ascii="宋体" w:hAnsi="宋体" w:cs="宋体"/>
                <w:sz w:val="24"/>
                <w:szCs w:val="24"/>
              </w:rPr>
              <w:t>付款条件</w:t>
            </w:r>
          </w:p>
        </w:tc>
        <w:tc>
          <w:tcPr>
            <w:tcW w:w="7564" w:type="dxa"/>
            <w:noWrap w:val="0"/>
            <w:vAlign w:val="center"/>
          </w:tcPr>
          <w:p>
            <w:pPr>
              <w:snapToGrid w:val="0"/>
              <w:spacing w:line="480" w:lineRule="exact"/>
              <w:jc w:val="center"/>
              <w:textAlignment w:val="baseline"/>
              <w:rPr>
                <w:rFonts w:hint="eastAsia" w:ascii="宋体" w:hAnsi="宋体" w:cs="宋体"/>
                <w:sz w:val="24"/>
                <w:szCs w:val="24"/>
              </w:rPr>
            </w:pPr>
            <w:r>
              <w:rPr>
                <w:rFonts w:hint="eastAsia" w:ascii="宋体" w:hAnsi="宋体" w:cs="宋体"/>
                <w:sz w:val="24"/>
                <w:szCs w:val="24"/>
              </w:rPr>
              <w:t>完全接受并响应本项目磋商文件的要求。</w:t>
            </w:r>
          </w:p>
        </w:tc>
      </w:tr>
    </w:tbl>
    <w:p>
      <w:pPr>
        <w:pStyle w:val="2"/>
        <w:snapToGrid w:val="0"/>
        <w:ind w:firstLine="0" w:firstLineChars="0"/>
        <w:textAlignment w:val="baseline"/>
        <w:rPr>
          <w:szCs w:val="24"/>
        </w:rPr>
      </w:pPr>
    </w:p>
    <w:p>
      <w:pPr>
        <w:pStyle w:val="112"/>
        <w:snapToGrid w:val="0"/>
        <w:spacing w:line="360" w:lineRule="auto"/>
        <w:ind w:firstLine="241" w:firstLineChars="100"/>
        <w:textAlignment w:val="baseline"/>
        <w:rPr>
          <w:rFonts w:ascii="Times New Roman" w:hAnsi="宋体"/>
          <w:b/>
          <w:sz w:val="24"/>
        </w:rPr>
      </w:pPr>
      <w:r>
        <w:rPr>
          <w:rFonts w:hint="eastAsia" w:ascii="Times New Roman" w:hAnsi="宋体"/>
          <w:b/>
          <w:sz w:val="24"/>
        </w:rPr>
        <w:t>注：1、最终总价报价将在磋商现场填写，响应文件密封提交时只需填写首次磋商总价报价。2、本表式不得自行改动。</w:t>
      </w:r>
    </w:p>
    <w:p>
      <w:pPr>
        <w:snapToGrid w:val="0"/>
        <w:spacing w:line="360" w:lineRule="auto"/>
        <w:ind w:left="0" w:leftChars="0" w:firstLine="470" w:firstLineChars="195"/>
        <w:outlineLvl w:val="1"/>
        <w:rPr>
          <w:rFonts w:hint="eastAsia" w:ascii="宋体" w:hAnsi="宋体" w:cs="宋体"/>
          <w:b/>
          <w:bCs/>
          <w:color w:val="auto"/>
          <w:sz w:val="24"/>
          <w:szCs w:val="24"/>
        </w:rPr>
      </w:pPr>
      <w:r>
        <w:rPr>
          <w:rFonts w:hint="eastAsia" w:hAnsi="宋体" w:cs="宋体"/>
          <w:b/>
          <w:sz w:val="24"/>
        </w:rPr>
        <w:t>3</w:t>
      </w:r>
      <w:r>
        <w:rPr>
          <w:rFonts w:hint="eastAsia" w:ascii="宋体" w:hAnsi="宋体" w:cs="宋体"/>
          <w:b/>
          <w:bCs/>
          <w:sz w:val="24"/>
          <w:szCs w:val="24"/>
        </w:rPr>
        <w:t>、磋商报价（以人民币计价</w:t>
      </w:r>
      <w:r>
        <w:rPr>
          <w:rFonts w:hint="eastAsia" w:ascii="宋体" w:hAnsi="宋体" w:cs="宋体"/>
          <w:b/>
          <w:bCs/>
          <w:color w:val="auto"/>
          <w:sz w:val="24"/>
          <w:szCs w:val="24"/>
        </w:rPr>
        <w:t>）应包括但不限于所有与本项目实施有关的所有费用包括：从事本项目检测活动所需的一切费用，也包括专业作业人员、交通、检测仪器、检测试剂、采样费、分析费、检测报告编制费、办公、通讯等一切费用。</w:t>
      </w:r>
    </w:p>
    <w:p>
      <w:pPr>
        <w:snapToGrid w:val="0"/>
        <w:spacing w:line="360" w:lineRule="auto"/>
        <w:ind w:left="0" w:leftChars="0" w:firstLine="409" w:firstLineChars="195"/>
        <w:outlineLvl w:val="1"/>
      </w:pPr>
    </w:p>
    <w:p>
      <w:pPr>
        <w:snapToGrid w:val="0"/>
        <w:spacing w:line="360" w:lineRule="auto"/>
        <w:ind w:right="79"/>
        <w:textAlignment w:val="baseline"/>
        <w:rPr>
          <w:rFonts w:ascii="宋体" w:hAnsi="宋体" w:cs="宋体"/>
          <w:color w:val="000000"/>
          <w:sz w:val="24"/>
          <w:szCs w:val="24"/>
        </w:rPr>
      </w:pPr>
      <w:r>
        <w:rPr>
          <w:rFonts w:hint="eastAsia" w:ascii="宋体" w:hAnsi="宋体" w:cs="宋体"/>
          <w:sz w:val="24"/>
          <w:szCs w:val="24"/>
        </w:rPr>
        <w:t>竞争性磋商响应供应商：（单位盖章）</w:t>
      </w:r>
    </w:p>
    <w:p>
      <w:pPr>
        <w:pStyle w:val="112"/>
        <w:tabs>
          <w:tab w:val="left" w:pos="5665"/>
          <w:tab w:val="right" w:pos="8360"/>
        </w:tabs>
        <w:snapToGrid w:val="0"/>
        <w:spacing w:line="360" w:lineRule="auto"/>
        <w:ind w:right="42"/>
        <w:textAlignment w:val="baseline"/>
        <w:rPr>
          <w:rFonts w:hAnsi="宋体"/>
          <w:sz w:val="24"/>
          <w:u w:val="single"/>
        </w:rPr>
      </w:pPr>
      <w:r>
        <w:rPr>
          <w:rFonts w:hint="eastAsia" w:hAnsi="宋体"/>
          <w:sz w:val="24"/>
        </w:rPr>
        <w:t>法定代表人或</w:t>
      </w:r>
      <w:r>
        <w:rPr>
          <w:rFonts w:hint="eastAsia" w:hAnsi="宋体" w:cs="仿宋_GB2312"/>
          <w:sz w:val="24"/>
        </w:rPr>
        <w:t>被授权人（签字或盖章）</w:t>
      </w:r>
      <w:r>
        <w:rPr>
          <w:rFonts w:hint="eastAsia" w:hAnsi="宋体"/>
          <w:sz w:val="24"/>
        </w:rPr>
        <w:t>：</w:t>
      </w:r>
    </w:p>
    <w:p>
      <w:pPr>
        <w:pStyle w:val="112"/>
        <w:tabs>
          <w:tab w:val="left" w:pos="5665"/>
          <w:tab w:val="right" w:pos="8360"/>
        </w:tabs>
        <w:snapToGrid w:val="0"/>
        <w:spacing w:line="360" w:lineRule="auto"/>
        <w:ind w:right="42"/>
        <w:textAlignment w:val="baseline"/>
        <w:rPr>
          <w:rFonts w:hint="eastAsia" w:hAnsi="宋体"/>
          <w:color w:val="000000"/>
          <w:sz w:val="24"/>
          <w:lang w:val="zh-CN"/>
        </w:rPr>
      </w:pPr>
      <w:r>
        <w:rPr>
          <w:rFonts w:hint="eastAsia" w:hAnsi="宋体"/>
          <w:color w:val="000000"/>
          <w:sz w:val="24"/>
          <w:lang w:val="zh-CN"/>
        </w:rPr>
        <w:t>日期：</w:t>
      </w:r>
      <w:r>
        <w:rPr>
          <w:rFonts w:hint="eastAsia"/>
          <w:color w:val="000000"/>
          <w:sz w:val="24"/>
        </w:rPr>
        <w:t xml:space="preserve">  </w:t>
      </w:r>
      <w:r>
        <w:rPr>
          <w:rFonts w:hint="eastAsia" w:hAnsi="宋体"/>
          <w:color w:val="000000"/>
          <w:sz w:val="24"/>
          <w:lang w:val="zh-CN"/>
        </w:rPr>
        <w:t>年</w:t>
      </w:r>
      <w:r>
        <w:rPr>
          <w:rFonts w:hint="eastAsia"/>
          <w:color w:val="000000"/>
          <w:sz w:val="24"/>
        </w:rPr>
        <w:t xml:space="preserve">   </w:t>
      </w:r>
      <w:r>
        <w:rPr>
          <w:rFonts w:hint="eastAsia" w:hAnsi="宋体"/>
          <w:color w:val="000000"/>
          <w:sz w:val="24"/>
          <w:lang w:val="zh-CN"/>
        </w:rPr>
        <w:t>月</w:t>
      </w:r>
      <w:r>
        <w:rPr>
          <w:rFonts w:hint="eastAsia"/>
          <w:color w:val="000000"/>
          <w:sz w:val="24"/>
        </w:rPr>
        <w:t xml:space="preserve">   </w:t>
      </w:r>
      <w:r>
        <w:rPr>
          <w:rFonts w:hint="eastAsia" w:hAnsi="宋体"/>
          <w:color w:val="000000"/>
          <w:sz w:val="24"/>
          <w:lang w:val="zh-CN"/>
        </w:rPr>
        <w:t>日</w:t>
      </w:r>
    </w:p>
    <w:p>
      <w:pPr>
        <w:pStyle w:val="112"/>
        <w:tabs>
          <w:tab w:val="left" w:pos="5665"/>
          <w:tab w:val="right" w:pos="8360"/>
        </w:tabs>
        <w:snapToGrid w:val="0"/>
        <w:spacing w:line="360" w:lineRule="auto"/>
        <w:ind w:right="42"/>
        <w:jc w:val="center"/>
        <w:textAlignment w:val="baseline"/>
        <w:rPr>
          <w:rFonts w:hAnsi="宋体"/>
          <w:b/>
          <w:bCs/>
          <w:sz w:val="24"/>
          <w:szCs w:val="24"/>
        </w:rPr>
      </w:pPr>
      <w:r>
        <w:rPr>
          <w:rFonts w:hint="eastAsia" w:hAnsi="宋体"/>
          <w:color w:val="000000"/>
          <w:sz w:val="24"/>
          <w:lang w:val="zh-CN"/>
        </w:rPr>
        <w:br w:type="page"/>
      </w:r>
      <w:r>
        <w:rPr>
          <w:rFonts w:hint="eastAsia" w:hAnsi="宋体"/>
          <w:b/>
          <w:bCs/>
          <w:sz w:val="24"/>
          <w:szCs w:val="24"/>
          <w:lang w:val="en-US" w:eastAsia="zh-CN"/>
        </w:rPr>
        <w:t>9</w:t>
      </w:r>
      <w:r>
        <w:rPr>
          <w:rFonts w:hint="eastAsia" w:hAnsi="宋体"/>
          <w:b/>
          <w:bCs/>
          <w:sz w:val="24"/>
          <w:szCs w:val="24"/>
        </w:rPr>
        <w:t>、中小企业声明函（格式）</w:t>
      </w:r>
    </w:p>
    <w:p>
      <w:pPr>
        <w:pStyle w:val="2"/>
        <w:snapToGrid w:val="0"/>
        <w:ind w:firstLine="0" w:firstLineChars="0"/>
        <w:textAlignment w:val="baseline"/>
      </w:pPr>
    </w:p>
    <w:p>
      <w:pPr>
        <w:snapToGrid w:val="0"/>
        <w:spacing w:line="360" w:lineRule="auto"/>
        <w:ind w:firstLine="480" w:firstLineChars="200"/>
        <w:rPr>
          <w:rFonts w:ascii="宋体" w:hAnsi="宋体" w:cs="宋体"/>
          <w:sz w:val="24"/>
          <w:szCs w:val="24"/>
        </w:rPr>
      </w:pPr>
      <w:r>
        <w:rPr>
          <w:rFonts w:hint="eastAsia" w:ascii="宋体" w:hAnsi="宋体" w:cs="宋体"/>
          <w:sz w:val="24"/>
          <w:szCs w:val="24"/>
        </w:rPr>
        <w:t>本公司郑重声明，根据《政府采购促进中小企业发展管理办法》（财库﹝2020﹞46 号）的规定，本公司参加</w:t>
      </w:r>
      <w:r>
        <w:rPr>
          <w:rFonts w:hint="eastAsia" w:ascii="宋体" w:hAnsi="宋体" w:cs="宋体"/>
          <w:sz w:val="24"/>
          <w:szCs w:val="24"/>
          <w:u w:val="single"/>
          <w:lang w:val="zh-CN"/>
        </w:rPr>
        <w:t>南通市</w:t>
      </w:r>
      <w:r>
        <w:rPr>
          <w:rFonts w:hint="eastAsia" w:ascii="宋体" w:hAnsi="宋体" w:cs="宋体"/>
          <w:sz w:val="24"/>
          <w:szCs w:val="24"/>
          <w:u w:val="single"/>
        </w:rPr>
        <w:t>妇幼保健院</w:t>
      </w:r>
      <w:r>
        <w:rPr>
          <w:rFonts w:hint="eastAsia" w:ascii="宋体" w:hAnsi="宋体" w:cs="宋体"/>
          <w:sz w:val="24"/>
          <w:szCs w:val="24"/>
        </w:rPr>
        <w:t>的</w:t>
      </w:r>
      <w:r>
        <w:rPr>
          <w:rFonts w:hint="eastAsia" w:ascii="宋体" w:hAnsi="宋体" w:cs="宋体"/>
          <w:sz w:val="24"/>
          <w:szCs w:val="24"/>
          <w:u w:val="single"/>
          <w:lang w:val="zh-CN"/>
        </w:rPr>
        <w:t>南通市妇幼保健院污水、废气检测服务项目</w:t>
      </w:r>
      <w:r>
        <w:rPr>
          <w:rFonts w:hint="eastAsia" w:ascii="宋体" w:hAnsi="宋体" w:cs="宋体"/>
          <w:sz w:val="24"/>
          <w:szCs w:val="24"/>
        </w:rPr>
        <w:t>采购活动，</w:t>
      </w:r>
      <w:r>
        <w:rPr>
          <w:rFonts w:hint="eastAsia" w:ascii="宋体" w:hAnsi="宋体" w:cs="宋体"/>
          <w:kern w:val="0"/>
          <w:sz w:val="24"/>
          <w:szCs w:val="24"/>
        </w:rPr>
        <w:t>该项目</w:t>
      </w:r>
      <w:r>
        <w:rPr>
          <w:rFonts w:hint="eastAsia" w:ascii="宋体" w:hAnsi="宋体" w:cs="宋体"/>
          <w:sz w:val="24"/>
          <w:szCs w:val="24"/>
        </w:rPr>
        <w:t xml:space="preserve">服务全部由符合政策要求的中小企业提供。具体情况如下： </w:t>
      </w:r>
    </w:p>
    <w:p>
      <w:pPr>
        <w:snapToGrid w:val="0"/>
        <w:spacing w:line="360" w:lineRule="auto"/>
        <w:ind w:firstLine="480" w:firstLineChars="200"/>
        <w:rPr>
          <w:rFonts w:hint="eastAsia" w:ascii="宋体" w:hAnsi="宋体" w:cs="宋体"/>
          <w:sz w:val="24"/>
          <w:szCs w:val="24"/>
          <w:u w:val="single"/>
        </w:rPr>
      </w:pPr>
    </w:p>
    <w:p>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u w:val="single"/>
          <w:lang w:val="zh-CN"/>
        </w:rPr>
        <w:t>南通市妇幼保健院污水、废气检测服务项目</w:t>
      </w:r>
      <w:r>
        <w:rPr>
          <w:rFonts w:hint="eastAsia" w:ascii="宋体" w:hAnsi="宋体" w:cs="宋体"/>
          <w:sz w:val="24"/>
          <w:szCs w:val="24"/>
        </w:rPr>
        <w:t>，属于</w:t>
      </w:r>
      <w:r>
        <w:rPr>
          <w:rFonts w:hint="eastAsia" w:ascii="宋体" w:hAnsi="宋体" w:cs="宋体"/>
          <w:sz w:val="24"/>
          <w:szCs w:val="24"/>
          <w:u w:val="single"/>
        </w:rPr>
        <w:t xml:space="preserve"> 其他未列明行业 </w:t>
      </w:r>
      <w:r>
        <w:rPr>
          <w:rFonts w:hint="eastAsia" w:ascii="宋体" w:hAnsi="宋体" w:cs="宋体"/>
          <w:sz w:val="24"/>
          <w:szCs w:val="24"/>
        </w:rPr>
        <w:t>；承接企业为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w:t>
      </w:r>
      <w:r>
        <w:rPr>
          <w:rFonts w:hint="eastAsia" w:ascii="宋体" w:hAnsi="宋体" w:cs="宋体"/>
          <w:sz w:val="24"/>
          <w:szCs w:val="24"/>
          <w:vertAlign w:val="superscript"/>
        </w:rPr>
        <w:t xml:space="preserve"> </w:t>
      </w:r>
      <w:r>
        <w:rPr>
          <w:rFonts w:hint="eastAsia" w:ascii="宋体" w:hAnsi="宋体" w:cs="宋体"/>
          <w:sz w:val="24"/>
          <w:szCs w:val="24"/>
        </w:rPr>
        <w:t>，属于</w:t>
      </w:r>
      <w:r>
        <w:rPr>
          <w:rFonts w:hint="eastAsia" w:ascii="宋体" w:hAnsi="宋体" w:cs="宋体"/>
          <w:sz w:val="24"/>
          <w:szCs w:val="24"/>
          <w:u w:val="single"/>
        </w:rPr>
        <w:t>（中型企业、小型企业、微型企业）</w:t>
      </w:r>
      <w:r>
        <w:rPr>
          <w:rFonts w:hint="eastAsia" w:ascii="宋体" w:hAnsi="宋体" w:cs="宋体"/>
          <w:sz w:val="24"/>
          <w:szCs w:val="24"/>
        </w:rPr>
        <w:t>；</w:t>
      </w:r>
    </w:p>
    <w:p>
      <w:pPr>
        <w:snapToGrid w:val="0"/>
        <w:spacing w:line="360" w:lineRule="auto"/>
        <w:ind w:firstLine="480" w:firstLineChars="200"/>
        <w:rPr>
          <w:rFonts w:ascii="宋体" w:hAnsi="宋体" w:cs="宋体"/>
          <w:sz w:val="24"/>
          <w:szCs w:val="24"/>
        </w:rPr>
      </w:pPr>
      <w:r>
        <w:rPr>
          <w:rFonts w:hint="eastAsia" w:ascii="宋体" w:hAnsi="宋体" w:cs="宋体"/>
          <w:sz w:val="24"/>
          <w:szCs w:val="24"/>
        </w:rPr>
        <w:t xml:space="preserve"> </w:t>
      </w:r>
    </w:p>
    <w:p>
      <w:pPr>
        <w:snapToGrid w:val="0"/>
        <w:spacing w:line="360" w:lineRule="auto"/>
        <w:ind w:firstLine="480" w:firstLineChars="200"/>
        <w:rPr>
          <w:rFonts w:ascii="宋体" w:hAnsi="宋体" w:cs="宋体"/>
          <w:sz w:val="24"/>
          <w:szCs w:val="24"/>
        </w:rPr>
      </w:pPr>
      <w:r>
        <w:rPr>
          <w:rFonts w:hint="eastAsia" w:ascii="宋体" w:hAnsi="宋体" w:cs="宋体"/>
          <w:sz w:val="24"/>
          <w:szCs w:val="24"/>
        </w:rPr>
        <w:t xml:space="preserve">以上企业，不属于大企业的分支机构，不存在控股股东为大企业的情形，也不存在与大企业的负责人为同一人的情形。 </w:t>
      </w:r>
    </w:p>
    <w:p>
      <w:pPr>
        <w:pStyle w:val="20"/>
        <w:snapToGrid w:val="0"/>
        <w:spacing w:line="360" w:lineRule="auto"/>
        <w:ind w:right="415" w:firstLine="640"/>
        <w:textAlignment w:val="baseline"/>
        <w:rPr>
          <w:rFonts w:hint="eastAsia" w:ascii="宋体" w:hAnsi="宋体" w:cs="宋体"/>
          <w:szCs w:val="24"/>
        </w:rPr>
      </w:pPr>
      <w:r>
        <w:rPr>
          <w:rFonts w:hint="eastAsia" w:ascii="宋体" w:hAnsi="宋体" w:cs="宋体"/>
          <w:szCs w:val="24"/>
        </w:rPr>
        <w:t>本企业对上述声明内容的真实性负责。如有虚假，将依法承担相应责任。</w:t>
      </w:r>
    </w:p>
    <w:p>
      <w:pPr>
        <w:pStyle w:val="89"/>
        <w:rPr>
          <w:rFonts w:hint="eastAsia" w:ascii="宋体" w:eastAsia="宋体" w:cs="宋体"/>
          <w:sz w:val="24"/>
          <w:szCs w:val="24"/>
        </w:rPr>
      </w:pPr>
    </w:p>
    <w:p>
      <w:pPr>
        <w:pStyle w:val="91"/>
        <w:ind w:firstLine="420"/>
      </w:pPr>
    </w:p>
    <w:p>
      <w:pPr>
        <w:snapToGrid w:val="0"/>
        <w:spacing w:line="480" w:lineRule="auto"/>
        <w:ind w:right="79" w:firstLine="4800" w:firstLineChars="2000"/>
        <w:textAlignment w:val="baseline"/>
        <w:rPr>
          <w:rFonts w:ascii="宋体" w:hAnsi="宋体" w:cs="宋体"/>
          <w:color w:val="000000"/>
          <w:sz w:val="24"/>
          <w:szCs w:val="24"/>
        </w:rPr>
      </w:pPr>
    </w:p>
    <w:p>
      <w:pPr>
        <w:pStyle w:val="20"/>
        <w:snapToGrid w:val="0"/>
        <w:spacing w:line="360" w:lineRule="auto"/>
        <w:ind w:right="415" w:firstLine="640"/>
        <w:textAlignment w:val="baseline"/>
        <w:rPr>
          <w:rFonts w:ascii="宋体" w:hAnsi="宋体" w:cs="宋体"/>
          <w:szCs w:val="24"/>
          <w:lang w:val="zh-CN"/>
        </w:rPr>
      </w:pPr>
      <w:r>
        <w:rPr>
          <w:rFonts w:hint="eastAsia" w:ascii="宋体" w:hAnsi="宋体" w:cs="宋体"/>
          <w:color w:val="000000"/>
          <w:szCs w:val="24"/>
        </w:rPr>
        <w:t>竞争性磋商响应</w:t>
      </w:r>
      <w:r>
        <w:rPr>
          <w:rFonts w:hint="eastAsia" w:ascii="宋体" w:hAnsi="宋体" w:cs="宋体"/>
          <w:szCs w:val="24"/>
        </w:rPr>
        <w:t>供应商：（单位盖章）</w:t>
      </w:r>
    </w:p>
    <w:p>
      <w:pPr>
        <w:pStyle w:val="20"/>
        <w:snapToGrid w:val="0"/>
        <w:spacing w:line="360" w:lineRule="auto"/>
        <w:ind w:right="415" w:firstLine="640"/>
        <w:textAlignment w:val="baseline"/>
        <w:rPr>
          <w:rFonts w:ascii="宋体" w:hAnsi="宋体" w:cs="宋体"/>
          <w:szCs w:val="24"/>
        </w:rPr>
      </w:pPr>
      <w:r>
        <w:rPr>
          <w:rFonts w:hint="eastAsia" w:ascii="宋体" w:hAnsi="宋体" w:cs="宋体"/>
          <w:szCs w:val="24"/>
        </w:rPr>
        <w:t>法定代表人或被委托授权人：（签字或盖章）</w:t>
      </w:r>
    </w:p>
    <w:p>
      <w:pPr>
        <w:pStyle w:val="20"/>
        <w:snapToGrid w:val="0"/>
        <w:spacing w:line="360" w:lineRule="auto"/>
        <w:ind w:right="415" w:firstLine="640"/>
        <w:textAlignment w:val="baseline"/>
        <w:rPr>
          <w:rFonts w:ascii="宋体" w:hAnsi="宋体" w:cs="宋体"/>
          <w:szCs w:val="24"/>
        </w:rPr>
      </w:pPr>
      <w:r>
        <w:rPr>
          <w:rFonts w:hint="eastAsia" w:ascii="宋体" w:hAnsi="宋体" w:cs="宋体"/>
          <w:szCs w:val="24"/>
        </w:rPr>
        <w:t>日期：        年      月     日</w:t>
      </w:r>
    </w:p>
    <w:p>
      <w:pPr>
        <w:snapToGrid w:val="0"/>
        <w:spacing w:line="420" w:lineRule="exact"/>
        <w:ind w:firstLine="412" w:firstLineChars="206"/>
        <w:textAlignment w:val="baseline"/>
        <w:rPr>
          <w:rFonts w:ascii="宋体" w:hAnsi="宋体" w:cs="宋体"/>
          <w:sz w:val="20"/>
        </w:rPr>
      </w:pPr>
    </w:p>
    <w:p>
      <w:pPr>
        <w:snapToGrid w:val="0"/>
        <w:spacing w:line="420" w:lineRule="exact"/>
        <w:ind w:firstLine="432" w:firstLineChars="206"/>
        <w:textAlignment w:val="baseline"/>
        <w:rPr>
          <w:rFonts w:ascii="宋体" w:hAnsi="宋体" w:cs="宋体"/>
          <w:sz w:val="20"/>
        </w:rPr>
      </w:pPr>
      <w:r>
        <w:rPr>
          <w:rFonts w:hint="eastAsia" w:ascii="宋体" w:hAnsi="宋体" w:cs="宋体"/>
        </w:rPr>
        <w:t>注：</w:t>
      </w:r>
    </w:p>
    <w:p>
      <w:pPr>
        <w:snapToGrid w:val="0"/>
        <w:spacing w:line="420" w:lineRule="exact"/>
        <w:ind w:firstLine="432" w:firstLineChars="206"/>
        <w:textAlignment w:val="baseline"/>
        <w:rPr>
          <w:rFonts w:ascii="宋体" w:hAnsi="宋体" w:cs="宋体"/>
          <w:sz w:val="20"/>
        </w:rPr>
      </w:pPr>
      <w:r>
        <w:rPr>
          <w:rFonts w:hint="eastAsia" w:ascii="宋体" w:hAnsi="宋体" w:cs="宋体"/>
        </w:rPr>
        <w:t>（1）从业人员、营业收入、资产总额填报上一年度数据，无上一年度数据的新成立企业可不填报。</w:t>
      </w:r>
    </w:p>
    <w:p>
      <w:pPr>
        <w:snapToGrid w:val="0"/>
        <w:spacing w:line="420" w:lineRule="exact"/>
        <w:ind w:firstLine="432" w:firstLineChars="206"/>
        <w:textAlignment w:val="baseline"/>
        <w:rPr>
          <w:rFonts w:ascii="宋体" w:hAnsi="宋体" w:cs="宋体"/>
          <w:sz w:val="20"/>
        </w:rPr>
      </w:pPr>
      <w:r>
        <w:rPr>
          <w:rFonts w:hint="eastAsia" w:ascii="宋体" w:hAnsi="宋体" w:cs="宋体"/>
        </w:rPr>
        <w:t>（2）关于落实政府采购政策的中小微企业价格评审，详见本竞争性磋商文件第四章第五条的规定内容。</w:t>
      </w:r>
    </w:p>
    <w:p>
      <w:pPr>
        <w:snapToGrid w:val="0"/>
        <w:spacing w:line="420" w:lineRule="exact"/>
        <w:ind w:firstLine="434" w:firstLineChars="206"/>
        <w:textAlignment w:val="baseline"/>
        <w:rPr>
          <w:rFonts w:ascii="宋体" w:hAnsi="宋体" w:cs="宋体"/>
          <w:b/>
          <w:bCs/>
          <w:sz w:val="20"/>
        </w:rPr>
      </w:pPr>
      <w:r>
        <w:rPr>
          <w:rFonts w:hint="eastAsia" w:ascii="宋体" w:hAnsi="宋体" w:cs="宋体"/>
          <w:b/>
          <w:bCs/>
        </w:rPr>
        <w:t>（3）本项目不享受中小企业扶持政策的磋商供应商，无须提供“中小企业声明函”。</w:t>
      </w:r>
    </w:p>
    <w:p>
      <w:pPr>
        <w:snapToGrid w:val="0"/>
        <w:spacing w:line="420" w:lineRule="exact"/>
        <w:ind w:firstLine="414" w:firstLineChars="206"/>
        <w:textAlignment w:val="baseline"/>
        <w:rPr>
          <w:rFonts w:ascii="宋体" w:hAnsi="宋体" w:cs="宋体"/>
          <w:b/>
          <w:bCs/>
          <w:sz w:val="20"/>
        </w:rPr>
      </w:pPr>
    </w:p>
    <w:p>
      <w:pPr>
        <w:snapToGrid w:val="0"/>
        <w:spacing w:line="420" w:lineRule="exact"/>
        <w:ind w:firstLine="412" w:firstLineChars="206"/>
        <w:textAlignment w:val="baseline"/>
        <w:rPr>
          <w:sz w:val="20"/>
        </w:rPr>
      </w:pPr>
    </w:p>
    <w:p>
      <w:pPr>
        <w:snapToGrid w:val="0"/>
        <w:spacing w:line="420" w:lineRule="exact"/>
        <w:jc w:val="center"/>
        <w:textAlignment w:val="baseline"/>
        <w:rPr>
          <w:b/>
          <w:bCs/>
        </w:rPr>
      </w:pPr>
      <w:r>
        <w:rPr>
          <w:b/>
          <w:bCs/>
        </w:rPr>
        <w:t>……</w:t>
      </w:r>
      <w:r>
        <w:rPr>
          <w:rFonts w:hint="eastAsia" w:cs="宋体"/>
          <w:b/>
          <w:bCs/>
        </w:rPr>
        <w:t>全文结束</w:t>
      </w:r>
      <w:r>
        <w:rPr>
          <w:b/>
          <w:bCs/>
        </w:rPr>
        <w:t>……</w:t>
      </w:r>
    </w:p>
    <w:p>
      <w:pPr>
        <w:pStyle w:val="2"/>
        <w:rPr>
          <w:b/>
          <w:bCs/>
        </w:rPr>
      </w:pPr>
    </w:p>
    <w:p>
      <w:pPr>
        <w:pStyle w:val="2"/>
        <w:rPr>
          <w:b/>
          <w:bCs/>
        </w:rPr>
      </w:pPr>
    </w:p>
    <w:p>
      <w:pPr>
        <w:pStyle w:val="2"/>
        <w:ind w:left="0" w:leftChars="0" w:firstLine="0" w:firstLineChars="0"/>
        <w:rPr>
          <w:b/>
          <w:bCs/>
        </w:rPr>
      </w:pPr>
    </w:p>
    <w:sectPr>
      <w:pgSz w:w="11906" w:h="16838"/>
      <w:pgMar w:top="1440" w:right="1361" w:bottom="1440" w:left="136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
    <w:altName w:val="宋体"/>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Trebuchet MS">
    <w:panose1 w:val="020B0603020202020204"/>
    <w:charset w:val="00"/>
    <w:family w:val="swiss"/>
    <w:pitch w:val="default"/>
    <w:sig w:usb0="00000287" w:usb1="00000000" w:usb2="00000000" w:usb3="00000000" w:csb0="2000009F" w:csb1="00000000"/>
  </w:font>
  <w:font w:name="FuturaA Bk BT">
    <w:altName w:val="Arial"/>
    <w:panose1 w:val="00000000000000000000"/>
    <w:charset w:val="00"/>
    <w:family w:val="auto"/>
    <w:pitch w:val="default"/>
    <w:sig w:usb0="00000000" w:usb1="00000000" w:usb2="00000000" w:usb3="00000000" w:csb0="00000001" w:csb1="00000000"/>
  </w:font>
  <w:font w:name="Helvetica">
    <w:altName w:val="Arial"/>
    <w:panose1 w:val="020B0504020202030204"/>
    <w:charset w:val="00"/>
    <w:family w:val="swiss"/>
    <w:pitch w:val="default"/>
    <w:sig w:usb0="00000000" w:usb1="00000000" w:usb2="00000000" w:usb3="00000000" w:csb0="00000093" w:csb1="00000000"/>
  </w:font>
  <w:font w:name="Microsoft JhengHei">
    <w:panose1 w:val="020B0604030504040204"/>
    <w:charset w:val="88"/>
    <w:family w:val="swiss"/>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0500" cy="131445"/>
              <wp:effectExtent l="0" t="0" r="0" b="0"/>
              <wp:wrapNone/>
              <wp:docPr id="1" name="Text Box 1"/>
              <wp:cNvGraphicFramePr/>
              <a:graphic xmlns:a="http://schemas.openxmlformats.org/drawingml/2006/main">
                <a:graphicData uri="http://schemas.microsoft.com/office/word/2010/wordprocessingShape">
                  <wps:wsp>
                    <wps:cNvSpPr txBox="1">
                      <a:spLocks noChangeArrowheads="1"/>
                    </wps:cNvSpPr>
                    <wps:spPr bwMode="auto">
                      <a:xfrm>
                        <a:off x="0" y="0"/>
                        <a:ext cx="190500" cy="131445"/>
                      </a:xfrm>
                      <a:prstGeom prst="rect">
                        <a:avLst/>
                      </a:prstGeom>
                      <a:noFill/>
                      <a:ln>
                        <a:noFill/>
                      </a:ln>
                      <a:effectLst/>
                    </wps:spPr>
                    <wps:txbx>
                      <w:txbxContent>
                        <w:p>
                          <w:pPr>
                            <w:pStyle w:val="32"/>
                            <w:jc w:val="center"/>
                          </w:pPr>
                          <w:r>
                            <w:rPr>
                              <w:b/>
                              <w:bCs/>
                            </w:rPr>
                            <w:fldChar w:fldCharType="begin"/>
                          </w:r>
                          <w:r>
                            <w:rPr>
                              <w:b/>
                              <w:bCs/>
                            </w:rPr>
                            <w:instrText xml:space="preserve">PAGE</w:instrText>
                          </w:r>
                          <w:r>
                            <w:rPr>
                              <w:b/>
                              <w:bCs/>
                            </w:rPr>
                            <w:fldChar w:fldCharType="separate"/>
                          </w:r>
                          <w:r>
                            <w:rPr>
                              <w:b/>
                              <w:bCs/>
                            </w:rPr>
                            <w:t>52</w:t>
                          </w:r>
                          <w:r>
                            <w:rPr>
                              <w:b/>
                              <w:bCs/>
                            </w:rP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0.35pt;width:15pt;mso-position-horizontal:center;mso-position-horizontal-relative:margin;mso-wrap-style:none;z-index:251659264;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oqRS7NAAAAADAQAADwAAAAAAAAABACAAAAAiAAAAZHJzL2Rvd25yZXYueG1sUEsB&#10;AhQAFAAAAAgAh07iQI/QazL9AQAADwQAAA4AAAAAAAAAAQAgAAAAHwEAAGRycy9lMm9Eb2MueG1s&#10;UEsFBgAAAAAGAAYAWQEAAI4FAAAAAA==&#10;">
              <v:fill on="f" focussize="0,0"/>
              <v:stroke on="f"/>
              <v:imagedata o:title=""/>
              <o:lock v:ext="edit" aspectratio="f"/>
              <v:textbox inset="0mm,0mm,0mm,0mm" style="mso-fit-shape-to-text:t;">
                <w:txbxContent>
                  <w:p>
                    <w:pPr>
                      <w:pStyle w:val="32"/>
                      <w:jc w:val="center"/>
                    </w:pPr>
                    <w:r>
                      <w:rPr>
                        <w:b/>
                        <w:bCs/>
                      </w:rPr>
                      <w:fldChar w:fldCharType="begin"/>
                    </w:r>
                    <w:r>
                      <w:rPr>
                        <w:b/>
                        <w:bCs/>
                      </w:rPr>
                      <w:instrText xml:space="preserve">PAGE</w:instrText>
                    </w:r>
                    <w:r>
                      <w:rPr>
                        <w:b/>
                        <w:bCs/>
                      </w:rPr>
                      <w:fldChar w:fldCharType="separate"/>
                    </w:r>
                    <w:r>
                      <w:rPr>
                        <w:b/>
                        <w:bCs/>
                      </w:rPr>
                      <w:t>52</w:t>
                    </w:r>
                    <w:r>
                      <w:rPr>
                        <w:b/>
                        <w:bCs/>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fldChar w:fldCharType="begin"/>
    </w:r>
    <w:r>
      <w:instrText xml:space="preserve"> PAGE   \* MERGEFORMAT </w:instrText>
    </w:r>
    <w:r>
      <w:fldChar w:fldCharType="separate"/>
    </w:r>
    <w:r>
      <w:rPr>
        <w:lang w:val="zh-CN"/>
      </w:rPr>
      <w:t>-</w:t>
    </w:r>
    <w:r>
      <w:t xml:space="preserve"> 14 -</w:t>
    </w:r>
    <w:r>
      <w:fldChar w:fldCharType="end"/>
    </w:r>
  </w:p>
  <w:p>
    <w:pPr>
      <w:pStyle w:val="32"/>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300"/>
      </w:tabs>
      <w:snapToGrid w:val="0"/>
      <w:spacing w:line="300" w:lineRule="auto"/>
      <w:jc w:val="both"/>
    </w:pPr>
    <w:r>
      <w:rPr>
        <w:rFonts w:hint="eastAsia"/>
        <w:sz w:val="18"/>
        <w:szCs w:val="18"/>
        <w:u w:val="single"/>
        <w:lang w:val="en-US" w:eastAsia="zh-CN"/>
      </w:rPr>
      <w:t>南通市妇幼保健院污水、废气检测服务项目</w:t>
    </w:r>
    <w:r>
      <w:rPr>
        <w:rFonts w:hint="eastAsia"/>
        <w:sz w:val="18"/>
        <w:szCs w:val="18"/>
        <w:u w:val="single"/>
      </w:rPr>
      <w:t xml:space="preserve">  </w:t>
    </w:r>
    <w:r>
      <w:rPr>
        <w:rFonts w:hint="eastAsia"/>
        <w:sz w:val="18"/>
        <w:szCs w:val="18"/>
        <w:u w:val="single"/>
        <w:lang w:val="zh-CN"/>
      </w:rPr>
      <w:t xml:space="preserve">             </w:t>
    </w:r>
    <w:r>
      <w:rPr>
        <w:rFonts w:hint="eastAsia"/>
        <w:sz w:val="18"/>
        <w:szCs w:val="18"/>
        <w:u w:val="single"/>
        <w:lang w:val="en-US" w:eastAsia="zh-CN"/>
      </w:rPr>
      <w:t xml:space="preserve">              </w:t>
    </w:r>
    <w:r>
      <w:rPr>
        <w:rFonts w:hint="eastAsia"/>
        <w:sz w:val="18"/>
        <w:szCs w:val="18"/>
        <w:u w:val="single"/>
        <w:lang w:val="zh-CN"/>
      </w:rPr>
      <w:t xml:space="preserve">   </w:t>
    </w:r>
    <w:r>
      <w:rPr>
        <w:rFonts w:hint="eastAsia"/>
        <w:sz w:val="18"/>
        <w:szCs w:val="18"/>
        <w:u w:val="single"/>
        <w:lang w:val="en-US" w:eastAsia="zh-CN"/>
      </w:rPr>
      <w:t xml:space="preserve">                  </w:t>
    </w:r>
    <w:r>
      <w:rPr>
        <w:rFonts w:hint="eastAsia"/>
        <w:sz w:val="18"/>
        <w:szCs w:val="18"/>
        <w:u w:val="single"/>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300"/>
      </w:tabs>
      <w:snapToGrid w:val="0"/>
      <w:spacing w:line="300" w:lineRule="auto"/>
      <w:jc w:val="left"/>
    </w:pPr>
    <w:r>
      <w:rPr>
        <w:rFonts w:hint="eastAsia"/>
        <w:sz w:val="18"/>
        <w:szCs w:val="18"/>
        <w:u w:val="single"/>
        <w:lang w:val="en-US" w:eastAsia="zh-CN"/>
      </w:rPr>
      <w:t>南通市妇幼保健院污水、废气检测服务项目</w:t>
    </w:r>
    <w:r>
      <w:rPr>
        <w:rFonts w:hint="eastAsia"/>
        <w:sz w:val="18"/>
        <w:szCs w:val="18"/>
        <w:u w:val="single"/>
      </w:rPr>
      <w:t xml:space="preserve">  </w:t>
    </w:r>
    <w:r>
      <w:rPr>
        <w:rFonts w:hint="eastAsia"/>
        <w:sz w:val="18"/>
        <w:szCs w:val="18"/>
        <w:u w:val="single"/>
        <w:lang w:val="zh-CN"/>
      </w:rPr>
      <w:t xml:space="preserve">             </w:t>
    </w:r>
    <w:r>
      <w:rPr>
        <w:rFonts w:hint="eastAsia"/>
        <w:sz w:val="18"/>
        <w:szCs w:val="18"/>
        <w:u w:val="single"/>
        <w:lang w:val="en-US" w:eastAsia="zh-CN"/>
      </w:rPr>
      <w:t xml:space="preserve">              </w:t>
    </w:r>
    <w:r>
      <w:rPr>
        <w:rFonts w:hint="eastAsia"/>
        <w:sz w:val="18"/>
        <w:szCs w:val="18"/>
        <w:u w:val="single"/>
        <w:lang w:val="zh-CN"/>
      </w:rPr>
      <w:t xml:space="preserve">   </w:t>
    </w:r>
    <w:r>
      <w:rPr>
        <w:rFonts w:hint="eastAsia"/>
        <w:sz w:val="18"/>
        <w:szCs w:val="18"/>
        <w:u w:val="single"/>
        <w:lang w:val="en-US" w:eastAsia="zh-CN"/>
      </w:rPr>
      <w:t xml:space="preserve">                                                                       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300"/>
      </w:tabs>
      <w:snapToGrid w:val="0"/>
      <w:spacing w:line="300" w:lineRule="auto"/>
      <w:jc w:val="left"/>
    </w:pPr>
    <w:r>
      <w:rPr>
        <w:rFonts w:hint="eastAsia"/>
        <w:sz w:val="18"/>
        <w:szCs w:val="18"/>
        <w:u w:val="single"/>
        <w:lang w:val="en-US" w:eastAsia="zh-CN"/>
      </w:rPr>
      <w:t>南通市妇幼保健院污水、废气检测服务项目</w:t>
    </w:r>
    <w:r>
      <w:rPr>
        <w:rFonts w:hint="eastAsia"/>
        <w:sz w:val="18"/>
        <w:szCs w:val="18"/>
        <w:u w:val="single"/>
      </w:rPr>
      <w:t xml:space="preserve">  </w:t>
    </w:r>
    <w:r>
      <w:rPr>
        <w:rFonts w:hint="eastAsia"/>
        <w:sz w:val="18"/>
        <w:szCs w:val="18"/>
        <w:u w:val="single"/>
        <w:lang w:val="zh-CN"/>
      </w:rPr>
      <w:t xml:space="preserve">        </w:t>
    </w:r>
    <w:r>
      <w:rPr>
        <w:rFonts w:hint="eastAsia"/>
        <w:sz w:val="18"/>
        <w:szCs w:val="18"/>
        <w:u w:val="single"/>
        <w:lang w:val="en-US" w:eastAsia="zh-CN"/>
      </w:rPr>
      <w:t xml:space="preserve">                                        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300"/>
      </w:tabs>
      <w:snapToGrid w:val="0"/>
      <w:spacing w:line="300" w:lineRule="auto"/>
      <w:jc w:val="left"/>
    </w:pPr>
    <w:r>
      <w:rPr>
        <w:rFonts w:hint="eastAsia"/>
        <w:sz w:val="18"/>
        <w:szCs w:val="18"/>
        <w:u w:val="single"/>
        <w:lang w:val="en-US" w:eastAsia="zh-CN"/>
      </w:rPr>
      <w:t>南通市妇幼保健院污水、废气检测服务项目</w:t>
    </w:r>
    <w:r>
      <w:rPr>
        <w:rFonts w:hint="eastAsia"/>
        <w:sz w:val="18"/>
        <w:szCs w:val="18"/>
        <w:u w:val="single"/>
      </w:rPr>
      <w:t xml:space="preserve">  </w:t>
    </w:r>
    <w:r>
      <w:rPr>
        <w:rFonts w:hint="eastAsia"/>
        <w:sz w:val="18"/>
        <w:szCs w:val="18"/>
        <w:u w:val="single"/>
        <w:lang w:val="zh-CN"/>
      </w:rPr>
      <w:t xml:space="preserve">             </w:t>
    </w:r>
    <w:r>
      <w:rPr>
        <w:rFonts w:hint="eastAsia"/>
        <w:sz w:val="18"/>
        <w:szCs w:val="18"/>
        <w:u w:val="single"/>
        <w:lang w:val="en-US" w:eastAsia="zh-CN"/>
      </w:rPr>
      <w:t xml:space="preserve">              </w:t>
    </w:r>
    <w:r>
      <w:rPr>
        <w:rFonts w:hint="eastAsia"/>
        <w:sz w:val="18"/>
        <w:szCs w:val="18"/>
        <w:u w:val="single"/>
        <w:lang w:val="zh-CN"/>
      </w:rPr>
      <w:t xml:space="preserve">   </w:t>
    </w:r>
    <w:r>
      <w:rPr>
        <w:rFonts w:hint="eastAsia"/>
        <w:sz w:val="18"/>
        <w:szCs w:val="18"/>
        <w:u w:val="single"/>
        <w:lang w:val="en-US" w:eastAsia="zh-CN"/>
      </w:rPr>
      <w:t xml:space="preserve">                                                                       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6300"/>
      </w:tabs>
      <w:snapToGrid w:val="0"/>
      <w:spacing w:line="300" w:lineRule="auto"/>
      <w:jc w:val="left"/>
    </w:pPr>
    <w:r>
      <w:rPr>
        <w:rFonts w:hint="eastAsia"/>
        <w:sz w:val="18"/>
        <w:szCs w:val="18"/>
        <w:u w:val="single"/>
        <w:lang w:val="en-US" w:eastAsia="zh-CN"/>
      </w:rPr>
      <w:t>南通市妇幼保健院污水、废气检测服务项目</w:t>
    </w:r>
    <w:r>
      <w:rPr>
        <w:rFonts w:hint="eastAsia"/>
        <w:sz w:val="18"/>
        <w:szCs w:val="18"/>
        <w:u w:val="single"/>
      </w:rPr>
      <w:t xml:space="preserve">  </w:t>
    </w:r>
    <w:r>
      <w:rPr>
        <w:rFonts w:hint="eastAsia"/>
        <w:sz w:val="18"/>
        <w:szCs w:val="18"/>
        <w:u w:val="single"/>
        <w:lang w:val="zh-CN"/>
      </w:rPr>
      <w:t xml:space="preserve">             </w:t>
    </w:r>
    <w:r>
      <w:rPr>
        <w:rFonts w:hint="eastAsia"/>
        <w:sz w:val="18"/>
        <w:szCs w:val="18"/>
        <w:u w:val="single"/>
        <w:lang w:val="en-US" w:eastAsia="zh-CN"/>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CDB306"/>
    <w:multiLevelType w:val="singleLevel"/>
    <w:tmpl w:val="87CDB306"/>
    <w:lvl w:ilvl="0" w:tentative="0">
      <w:start w:val="1"/>
      <w:numFmt w:val="decimal"/>
      <w:suff w:val="nothing"/>
      <w:lvlText w:val="%1、"/>
      <w:lvlJc w:val="left"/>
    </w:lvl>
  </w:abstractNum>
  <w:abstractNum w:abstractNumId="1">
    <w:nsid w:val="F987E0F1"/>
    <w:multiLevelType w:val="singleLevel"/>
    <w:tmpl w:val="F987E0F1"/>
    <w:lvl w:ilvl="0" w:tentative="0">
      <w:start w:val="1"/>
      <w:numFmt w:val="decimal"/>
      <w:suff w:val="nothing"/>
      <w:lvlText w:val="%1、"/>
      <w:lvlJc w:val="left"/>
    </w:lvl>
  </w:abstractNum>
  <w:abstractNum w:abstractNumId="2">
    <w:nsid w:val="0000003D"/>
    <w:multiLevelType w:val="multilevel"/>
    <w:tmpl w:val="0000003D"/>
    <w:lvl w:ilvl="0" w:tentative="0">
      <w:start w:val="1"/>
      <w:numFmt w:val="chineseCountingThousand"/>
      <w:pStyle w:val="6"/>
      <w:lvlText w:val="第%1部分"/>
      <w:lvlJc w:val="left"/>
    </w:lvl>
    <w:lvl w:ilvl="1" w:tentative="0">
      <w:start w:val="1"/>
      <w:numFmt w:val="none"/>
      <w:suff w:val="nothing"/>
      <w:lvlText w:val=""/>
      <w:lvlJc w:val="left"/>
    </w:lvl>
    <w:lvl w:ilvl="2" w:tentative="0">
      <w:start w:val="1"/>
      <w:numFmt w:val="none"/>
      <w:suff w:val="nothing"/>
      <w:lvlText w:val=""/>
      <w:lvlJc w:val="left"/>
    </w:lvl>
    <w:lvl w:ilvl="3" w:tentative="0">
      <w:start w:val="1"/>
      <w:numFmt w:val="none"/>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suff w:val="nothing"/>
      <w:lvlText w:val=""/>
      <w:lvlJc w:val="left"/>
    </w:lvl>
    <w:lvl w:ilvl="7" w:tentative="0">
      <w:start w:val="1"/>
      <w:numFmt w:val="none"/>
      <w:suff w:val="nothing"/>
      <w:lvlText w:val=""/>
      <w:lvlJc w:val="left"/>
    </w:lvl>
    <w:lvl w:ilvl="8" w:tentative="0">
      <w:start w:val="1"/>
      <w:numFmt w:val="none"/>
      <w:suff w:val="nothing"/>
      <w:lvlText w:val=""/>
      <w:lvlJc w:val="left"/>
    </w:lvl>
  </w:abstractNum>
  <w:abstractNum w:abstractNumId="3">
    <w:nsid w:val="0D5AB26A"/>
    <w:multiLevelType w:val="singleLevel"/>
    <w:tmpl w:val="0D5AB26A"/>
    <w:lvl w:ilvl="0" w:tentative="0">
      <w:start w:val="1"/>
      <w:numFmt w:val="chineseCounting"/>
      <w:suff w:val="nothing"/>
      <w:lvlText w:val="%1、"/>
      <w:lvlJc w:val="left"/>
      <w:rPr>
        <w:rFonts w:hint="eastAsia"/>
      </w:rPr>
    </w:lvl>
  </w:abstractNum>
  <w:abstractNum w:abstractNumId="4">
    <w:nsid w:val="1655D05D"/>
    <w:multiLevelType w:val="singleLevel"/>
    <w:tmpl w:val="1655D05D"/>
    <w:lvl w:ilvl="0" w:tentative="0">
      <w:start w:val="2"/>
      <w:numFmt w:val="decimal"/>
      <w:suff w:val="nothing"/>
      <w:lvlText w:val="%1、"/>
      <w:lvlJc w:val="left"/>
    </w:lvl>
  </w:abstractNum>
  <w:abstractNum w:abstractNumId="5">
    <w:nsid w:val="2C0DFDC2"/>
    <w:multiLevelType w:val="singleLevel"/>
    <w:tmpl w:val="2C0DFDC2"/>
    <w:lvl w:ilvl="0" w:tentative="0">
      <w:start w:val="1"/>
      <w:numFmt w:val="decimal"/>
      <w:suff w:val="nothing"/>
      <w:lvlText w:val="%1、"/>
      <w:lvlJc w:val="left"/>
    </w:lvl>
  </w:abstractNum>
  <w:abstractNum w:abstractNumId="6">
    <w:nsid w:val="358A0AB6"/>
    <w:multiLevelType w:val="singleLevel"/>
    <w:tmpl w:val="358A0AB6"/>
    <w:lvl w:ilvl="0" w:tentative="0">
      <w:start w:val="7"/>
      <w:numFmt w:val="chineseCounting"/>
      <w:suff w:val="nothing"/>
      <w:lvlText w:val="%1、"/>
      <w:lvlJc w:val="left"/>
      <w:rPr>
        <w:rFonts w:hint="eastAsia"/>
      </w:rPr>
    </w:lvl>
  </w:abstractNum>
  <w:abstractNum w:abstractNumId="7">
    <w:nsid w:val="5A0942F7"/>
    <w:multiLevelType w:val="singleLevel"/>
    <w:tmpl w:val="5A0942F7"/>
    <w:lvl w:ilvl="0" w:tentative="0">
      <w:start w:val="1"/>
      <w:numFmt w:val="ideographTraditional"/>
      <w:suff w:val="nothing"/>
      <w:lvlText w:val="%1、"/>
      <w:lvlJc w:val="left"/>
      <w:rPr>
        <w:rFonts w:hint="eastAsia"/>
      </w:rPr>
    </w:lvl>
  </w:abstractNum>
  <w:abstractNum w:abstractNumId="8">
    <w:nsid w:val="5A0F3AED"/>
    <w:multiLevelType w:val="singleLevel"/>
    <w:tmpl w:val="5A0F3AED"/>
    <w:lvl w:ilvl="0" w:tentative="0">
      <w:start w:val="1"/>
      <w:numFmt w:val="decimal"/>
      <w:suff w:val="nothing"/>
      <w:lvlText w:val="%1、"/>
      <w:lvlJc w:val="left"/>
    </w:lvl>
  </w:abstractNum>
  <w:abstractNum w:abstractNumId="9">
    <w:nsid w:val="6F1A29ED"/>
    <w:multiLevelType w:val="singleLevel"/>
    <w:tmpl w:val="6F1A29ED"/>
    <w:lvl w:ilvl="0" w:tentative="0">
      <w:start w:val="1"/>
      <w:numFmt w:val="chineseCounting"/>
      <w:suff w:val="nothing"/>
      <w:lvlText w:val="%1、"/>
      <w:lvlJc w:val="left"/>
      <w:rPr>
        <w:rFonts w:hint="eastAsia"/>
      </w:rPr>
    </w:lvl>
  </w:abstractNum>
  <w:abstractNum w:abstractNumId="10">
    <w:nsid w:val="7C36C119"/>
    <w:multiLevelType w:val="singleLevel"/>
    <w:tmpl w:val="7C36C119"/>
    <w:lvl w:ilvl="0" w:tentative="0">
      <w:start w:val="1"/>
      <w:numFmt w:val="chineseCounting"/>
      <w:suff w:val="nothing"/>
      <w:lvlText w:val="%1、"/>
      <w:lvlJc w:val="left"/>
      <w:rPr>
        <w:rFonts w:hint="eastAsia"/>
      </w:rPr>
    </w:lvl>
  </w:abstractNum>
  <w:num w:numId="1">
    <w:abstractNumId w:val="2"/>
  </w:num>
  <w:num w:numId="2">
    <w:abstractNumId w:val="0"/>
  </w:num>
  <w:num w:numId="3">
    <w:abstractNumId w:val="6"/>
  </w:num>
  <w:num w:numId="4">
    <w:abstractNumId w:val="8"/>
  </w:num>
  <w:num w:numId="5">
    <w:abstractNumId w:val="5"/>
  </w:num>
  <w:num w:numId="6">
    <w:abstractNumId w:val="4"/>
  </w:num>
  <w:num w:numId="7">
    <w:abstractNumId w:val="3"/>
  </w:num>
  <w:num w:numId="8">
    <w:abstractNumId w:val="7"/>
  </w:num>
  <w:num w:numId="9">
    <w:abstractNumId w:val="10"/>
  </w:num>
  <w:num w:numId="10">
    <w:abstractNumId w:val="9"/>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4"/>
  <w:hyphenationZone w:val="360"/>
  <w:doNotHyphenateCaps/>
  <w:drawingGridHorizontalSpacing w:val="105"/>
  <w:drawingGridVerticalSpacing w:val="158"/>
  <w:displayHorizontalDrawingGridEvery w:val="1"/>
  <w:displayVerticalDrawingGridEvery w:val="2"/>
  <w:noPunctuationKerning w:val="1"/>
  <w:characterSpacingControl w:val="compressPunctuation"/>
  <w:noLineBreaksAfter w:lang="zh-CN" w:val="([{·‘“〈《「『【〔〖（．［｛￡￥"/>
  <w:noLineBreaksBefore w:lang="zh-CN" w:val="!),.:;?]}¨·ˇˉ―‖’”…∶、。〃々〉》」』】〕〗！＂＇），．：；？］｀｜｝～￠"/>
  <w:doNotValidateAgainstSchema/>
  <w:doNotDemarcateInvalidXml/>
  <w:hdrShapeDefaults>
    <o:shapelayout v:ext="edit">
      <o:idmap v:ext="edit" data="3"/>
    </o:shapelayout>
  </w:hdrShapeDefaults>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2OTMwYzcyYTYzZDNmYTk0N2YyODEwYjA1OTg2YjAifQ=="/>
  </w:docVars>
  <w:rsids>
    <w:rsidRoot w:val="00172A27"/>
    <w:rsid w:val="000058C1"/>
    <w:rsid w:val="00005F7A"/>
    <w:rsid w:val="00007F59"/>
    <w:rsid w:val="0001029F"/>
    <w:rsid w:val="000102D4"/>
    <w:rsid w:val="00016294"/>
    <w:rsid w:val="00017BBF"/>
    <w:rsid w:val="00021EFF"/>
    <w:rsid w:val="00021FC4"/>
    <w:rsid w:val="0002291C"/>
    <w:rsid w:val="00023F8C"/>
    <w:rsid w:val="0002545F"/>
    <w:rsid w:val="00026B68"/>
    <w:rsid w:val="00027032"/>
    <w:rsid w:val="00034047"/>
    <w:rsid w:val="0003602F"/>
    <w:rsid w:val="000361E7"/>
    <w:rsid w:val="000378F2"/>
    <w:rsid w:val="00037B25"/>
    <w:rsid w:val="00037B3B"/>
    <w:rsid w:val="00037E69"/>
    <w:rsid w:val="0004431A"/>
    <w:rsid w:val="00047F32"/>
    <w:rsid w:val="00050BBD"/>
    <w:rsid w:val="00053A57"/>
    <w:rsid w:val="00054028"/>
    <w:rsid w:val="00056E5D"/>
    <w:rsid w:val="0005762B"/>
    <w:rsid w:val="000606F5"/>
    <w:rsid w:val="00061BB0"/>
    <w:rsid w:val="00062482"/>
    <w:rsid w:val="00063304"/>
    <w:rsid w:val="000643A3"/>
    <w:rsid w:val="000655FD"/>
    <w:rsid w:val="00065E68"/>
    <w:rsid w:val="00066618"/>
    <w:rsid w:val="00070B68"/>
    <w:rsid w:val="00071345"/>
    <w:rsid w:val="00071716"/>
    <w:rsid w:val="000725D4"/>
    <w:rsid w:val="00074921"/>
    <w:rsid w:val="00074B89"/>
    <w:rsid w:val="00075380"/>
    <w:rsid w:val="00083910"/>
    <w:rsid w:val="00083EDB"/>
    <w:rsid w:val="00084E31"/>
    <w:rsid w:val="000851B6"/>
    <w:rsid w:val="00085F8A"/>
    <w:rsid w:val="00090781"/>
    <w:rsid w:val="000908FA"/>
    <w:rsid w:val="000939C5"/>
    <w:rsid w:val="00093FA3"/>
    <w:rsid w:val="00094062"/>
    <w:rsid w:val="00094F40"/>
    <w:rsid w:val="000978C3"/>
    <w:rsid w:val="00097CA4"/>
    <w:rsid w:val="000A179B"/>
    <w:rsid w:val="000A2C95"/>
    <w:rsid w:val="000A2F79"/>
    <w:rsid w:val="000A5F25"/>
    <w:rsid w:val="000A60BD"/>
    <w:rsid w:val="000A710B"/>
    <w:rsid w:val="000A7F3B"/>
    <w:rsid w:val="000B2047"/>
    <w:rsid w:val="000B2801"/>
    <w:rsid w:val="000B38FB"/>
    <w:rsid w:val="000B4A07"/>
    <w:rsid w:val="000C38DC"/>
    <w:rsid w:val="000C3E5E"/>
    <w:rsid w:val="000C4679"/>
    <w:rsid w:val="000C544A"/>
    <w:rsid w:val="000D121D"/>
    <w:rsid w:val="000D204D"/>
    <w:rsid w:val="000D2C01"/>
    <w:rsid w:val="000D3847"/>
    <w:rsid w:val="000D3D00"/>
    <w:rsid w:val="000D4886"/>
    <w:rsid w:val="000D4C32"/>
    <w:rsid w:val="000D653D"/>
    <w:rsid w:val="000D694F"/>
    <w:rsid w:val="000D6E50"/>
    <w:rsid w:val="000E29DF"/>
    <w:rsid w:val="000E322F"/>
    <w:rsid w:val="000E3AAC"/>
    <w:rsid w:val="000E4F98"/>
    <w:rsid w:val="000E5934"/>
    <w:rsid w:val="000E66F3"/>
    <w:rsid w:val="000F5A0A"/>
    <w:rsid w:val="000F7BDB"/>
    <w:rsid w:val="000F7EEF"/>
    <w:rsid w:val="00100AF9"/>
    <w:rsid w:val="00100FE7"/>
    <w:rsid w:val="001020F7"/>
    <w:rsid w:val="00103D77"/>
    <w:rsid w:val="00105BBC"/>
    <w:rsid w:val="001062B6"/>
    <w:rsid w:val="001078E8"/>
    <w:rsid w:val="00110BA5"/>
    <w:rsid w:val="0011354B"/>
    <w:rsid w:val="0011396D"/>
    <w:rsid w:val="00113EAD"/>
    <w:rsid w:val="0011474C"/>
    <w:rsid w:val="00114ADB"/>
    <w:rsid w:val="00115200"/>
    <w:rsid w:val="00120CE9"/>
    <w:rsid w:val="00123BD5"/>
    <w:rsid w:val="00125073"/>
    <w:rsid w:val="001255B6"/>
    <w:rsid w:val="00127592"/>
    <w:rsid w:val="0013050F"/>
    <w:rsid w:val="0013239E"/>
    <w:rsid w:val="00132A4A"/>
    <w:rsid w:val="00133CBD"/>
    <w:rsid w:val="001350E0"/>
    <w:rsid w:val="00135173"/>
    <w:rsid w:val="00136FE5"/>
    <w:rsid w:val="001419C0"/>
    <w:rsid w:val="00141CE1"/>
    <w:rsid w:val="00141EA3"/>
    <w:rsid w:val="0014374E"/>
    <w:rsid w:val="00144A8C"/>
    <w:rsid w:val="001505CF"/>
    <w:rsid w:val="00150875"/>
    <w:rsid w:val="00150998"/>
    <w:rsid w:val="00150D75"/>
    <w:rsid w:val="001528E4"/>
    <w:rsid w:val="001533B2"/>
    <w:rsid w:val="00157327"/>
    <w:rsid w:val="001663EB"/>
    <w:rsid w:val="001711E5"/>
    <w:rsid w:val="00172A27"/>
    <w:rsid w:val="00173C54"/>
    <w:rsid w:val="001746FC"/>
    <w:rsid w:val="001750E5"/>
    <w:rsid w:val="00181ECB"/>
    <w:rsid w:val="0018394A"/>
    <w:rsid w:val="00184E4B"/>
    <w:rsid w:val="00186A58"/>
    <w:rsid w:val="001877EC"/>
    <w:rsid w:val="00192AB4"/>
    <w:rsid w:val="00196C27"/>
    <w:rsid w:val="0019750A"/>
    <w:rsid w:val="001976BE"/>
    <w:rsid w:val="001A0983"/>
    <w:rsid w:val="001A1F4A"/>
    <w:rsid w:val="001A22DA"/>
    <w:rsid w:val="001A2821"/>
    <w:rsid w:val="001A4B38"/>
    <w:rsid w:val="001B0894"/>
    <w:rsid w:val="001B271D"/>
    <w:rsid w:val="001B462C"/>
    <w:rsid w:val="001B4D1C"/>
    <w:rsid w:val="001B4E47"/>
    <w:rsid w:val="001B56E3"/>
    <w:rsid w:val="001B5775"/>
    <w:rsid w:val="001B6B02"/>
    <w:rsid w:val="001C2231"/>
    <w:rsid w:val="001C2640"/>
    <w:rsid w:val="001C2C85"/>
    <w:rsid w:val="001C5FBE"/>
    <w:rsid w:val="001C6469"/>
    <w:rsid w:val="001D0AEE"/>
    <w:rsid w:val="001D1803"/>
    <w:rsid w:val="001D1E4A"/>
    <w:rsid w:val="001D38F1"/>
    <w:rsid w:val="001D60DD"/>
    <w:rsid w:val="001E02D1"/>
    <w:rsid w:val="001E2FCD"/>
    <w:rsid w:val="001E3534"/>
    <w:rsid w:val="001E35F0"/>
    <w:rsid w:val="001E48AB"/>
    <w:rsid w:val="001E4B5A"/>
    <w:rsid w:val="001E4DE8"/>
    <w:rsid w:val="001E6317"/>
    <w:rsid w:val="001F4880"/>
    <w:rsid w:val="001F5A4B"/>
    <w:rsid w:val="001F650B"/>
    <w:rsid w:val="001F66A9"/>
    <w:rsid w:val="00200061"/>
    <w:rsid w:val="00201B85"/>
    <w:rsid w:val="002025A0"/>
    <w:rsid w:val="00206420"/>
    <w:rsid w:val="00206AF1"/>
    <w:rsid w:val="00207784"/>
    <w:rsid w:val="00207F85"/>
    <w:rsid w:val="00210BA8"/>
    <w:rsid w:val="00211E09"/>
    <w:rsid w:val="00211E0E"/>
    <w:rsid w:val="00223466"/>
    <w:rsid w:val="00224F5F"/>
    <w:rsid w:val="00225670"/>
    <w:rsid w:val="002257D7"/>
    <w:rsid w:val="00225DFC"/>
    <w:rsid w:val="00225FA1"/>
    <w:rsid w:val="00230037"/>
    <w:rsid w:val="00231148"/>
    <w:rsid w:val="002315E8"/>
    <w:rsid w:val="00232A32"/>
    <w:rsid w:val="00235015"/>
    <w:rsid w:val="0023505E"/>
    <w:rsid w:val="00235BFC"/>
    <w:rsid w:val="00236425"/>
    <w:rsid w:val="00237122"/>
    <w:rsid w:val="00240EF7"/>
    <w:rsid w:val="002416D0"/>
    <w:rsid w:val="0024174B"/>
    <w:rsid w:val="0024510C"/>
    <w:rsid w:val="002456F3"/>
    <w:rsid w:val="00245B72"/>
    <w:rsid w:val="002465F4"/>
    <w:rsid w:val="00247445"/>
    <w:rsid w:val="002476BA"/>
    <w:rsid w:val="002509ED"/>
    <w:rsid w:val="002512A5"/>
    <w:rsid w:val="00253F6B"/>
    <w:rsid w:val="00260193"/>
    <w:rsid w:val="00260CD4"/>
    <w:rsid w:val="0026106F"/>
    <w:rsid w:val="002611FD"/>
    <w:rsid w:val="00261261"/>
    <w:rsid w:val="00261BC6"/>
    <w:rsid w:val="00262F8E"/>
    <w:rsid w:val="00264685"/>
    <w:rsid w:val="002656FE"/>
    <w:rsid w:val="00265FBC"/>
    <w:rsid w:val="00266DB4"/>
    <w:rsid w:val="0026722D"/>
    <w:rsid w:val="00271E05"/>
    <w:rsid w:val="00271F9E"/>
    <w:rsid w:val="0027365F"/>
    <w:rsid w:val="002743B2"/>
    <w:rsid w:val="00275DE2"/>
    <w:rsid w:val="002764D7"/>
    <w:rsid w:val="002816D3"/>
    <w:rsid w:val="002818BB"/>
    <w:rsid w:val="00284DE4"/>
    <w:rsid w:val="00291332"/>
    <w:rsid w:val="00291680"/>
    <w:rsid w:val="00291738"/>
    <w:rsid w:val="002917E0"/>
    <w:rsid w:val="002939C3"/>
    <w:rsid w:val="00295637"/>
    <w:rsid w:val="00295FD1"/>
    <w:rsid w:val="0029796E"/>
    <w:rsid w:val="00297B18"/>
    <w:rsid w:val="002A09EE"/>
    <w:rsid w:val="002A1F8F"/>
    <w:rsid w:val="002A2D12"/>
    <w:rsid w:val="002A2F7D"/>
    <w:rsid w:val="002A5D2A"/>
    <w:rsid w:val="002A7980"/>
    <w:rsid w:val="002A7DFA"/>
    <w:rsid w:val="002B7251"/>
    <w:rsid w:val="002B77A5"/>
    <w:rsid w:val="002B7CFD"/>
    <w:rsid w:val="002C2290"/>
    <w:rsid w:val="002C3237"/>
    <w:rsid w:val="002C43C2"/>
    <w:rsid w:val="002C5470"/>
    <w:rsid w:val="002C71C8"/>
    <w:rsid w:val="002D5067"/>
    <w:rsid w:val="002D6BC6"/>
    <w:rsid w:val="002D7709"/>
    <w:rsid w:val="002D7C8B"/>
    <w:rsid w:val="002E0741"/>
    <w:rsid w:val="002E214B"/>
    <w:rsid w:val="002E385C"/>
    <w:rsid w:val="002E5876"/>
    <w:rsid w:val="002E5B21"/>
    <w:rsid w:val="002E62B0"/>
    <w:rsid w:val="002F04DA"/>
    <w:rsid w:val="002F2C1A"/>
    <w:rsid w:val="002F2F03"/>
    <w:rsid w:val="002F44CF"/>
    <w:rsid w:val="002F4912"/>
    <w:rsid w:val="002F677F"/>
    <w:rsid w:val="00301698"/>
    <w:rsid w:val="0030187C"/>
    <w:rsid w:val="00303A7A"/>
    <w:rsid w:val="00305B2D"/>
    <w:rsid w:val="0030602E"/>
    <w:rsid w:val="00307ADC"/>
    <w:rsid w:val="003101C1"/>
    <w:rsid w:val="0031212E"/>
    <w:rsid w:val="00314EA0"/>
    <w:rsid w:val="0031503B"/>
    <w:rsid w:val="003175A8"/>
    <w:rsid w:val="0032064F"/>
    <w:rsid w:val="00326242"/>
    <w:rsid w:val="003311BA"/>
    <w:rsid w:val="00331BE9"/>
    <w:rsid w:val="00332927"/>
    <w:rsid w:val="003333B8"/>
    <w:rsid w:val="003339B0"/>
    <w:rsid w:val="00335723"/>
    <w:rsid w:val="003358D8"/>
    <w:rsid w:val="00340EED"/>
    <w:rsid w:val="00342585"/>
    <w:rsid w:val="003428D6"/>
    <w:rsid w:val="00343431"/>
    <w:rsid w:val="00343F86"/>
    <w:rsid w:val="00346FA1"/>
    <w:rsid w:val="00347DEF"/>
    <w:rsid w:val="00350C1C"/>
    <w:rsid w:val="00354446"/>
    <w:rsid w:val="00355DBE"/>
    <w:rsid w:val="00356CA9"/>
    <w:rsid w:val="0036237A"/>
    <w:rsid w:val="003643E9"/>
    <w:rsid w:val="00365DFC"/>
    <w:rsid w:val="00370706"/>
    <w:rsid w:val="0037207C"/>
    <w:rsid w:val="003726F6"/>
    <w:rsid w:val="00372BAE"/>
    <w:rsid w:val="00372E97"/>
    <w:rsid w:val="003740F9"/>
    <w:rsid w:val="00374DDC"/>
    <w:rsid w:val="00375D3C"/>
    <w:rsid w:val="003817E3"/>
    <w:rsid w:val="00381EBE"/>
    <w:rsid w:val="0038506A"/>
    <w:rsid w:val="003858EF"/>
    <w:rsid w:val="0038623A"/>
    <w:rsid w:val="00393ABA"/>
    <w:rsid w:val="003943B9"/>
    <w:rsid w:val="00396574"/>
    <w:rsid w:val="003967B3"/>
    <w:rsid w:val="00397129"/>
    <w:rsid w:val="003975A5"/>
    <w:rsid w:val="0039790E"/>
    <w:rsid w:val="00397C9B"/>
    <w:rsid w:val="003A01C6"/>
    <w:rsid w:val="003A2F50"/>
    <w:rsid w:val="003A310E"/>
    <w:rsid w:val="003A3BAC"/>
    <w:rsid w:val="003A3F72"/>
    <w:rsid w:val="003A5164"/>
    <w:rsid w:val="003A5379"/>
    <w:rsid w:val="003A57BD"/>
    <w:rsid w:val="003A6093"/>
    <w:rsid w:val="003A7167"/>
    <w:rsid w:val="003B1882"/>
    <w:rsid w:val="003B3F27"/>
    <w:rsid w:val="003B481D"/>
    <w:rsid w:val="003B4B7F"/>
    <w:rsid w:val="003B5138"/>
    <w:rsid w:val="003C0241"/>
    <w:rsid w:val="003C286E"/>
    <w:rsid w:val="003D0A3A"/>
    <w:rsid w:val="003D233D"/>
    <w:rsid w:val="003D5966"/>
    <w:rsid w:val="003D6CB7"/>
    <w:rsid w:val="003D72A4"/>
    <w:rsid w:val="003D7545"/>
    <w:rsid w:val="003D77DF"/>
    <w:rsid w:val="003D78F0"/>
    <w:rsid w:val="003E5F57"/>
    <w:rsid w:val="003E6CA3"/>
    <w:rsid w:val="003E7713"/>
    <w:rsid w:val="003E7931"/>
    <w:rsid w:val="003F2753"/>
    <w:rsid w:val="003F3F9A"/>
    <w:rsid w:val="003F4B46"/>
    <w:rsid w:val="003F6F81"/>
    <w:rsid w:val="00401ABC"/>
    <w:rsid w:val="00402D58"/>
    <w:rsid w:val="00403824"/>
    <w:rsid w:val="004050BB"/>
    <w:rsid w:val="004059F8"/>
    <w:rsid w:val="004064B2"/>
    <w:rsid w:val="00407C91"/>
    <w:rsid w:val="00411773"/>
    <w:rsid w:val="0041332F"/>
    <w:rsid w:val="0041416B"/>
    <w:rsid w:val="004161DA"/>
    <w:rsid w:val="00416484"/>
    <w:rsid w:val="00417B98"/>
    <w:rsid w:val="00420773"/>
    <w:rsid w:val="00425FD6"/>
    <w:rsid w:val="00427606"/>
    <w:rsid w:val="004279C7"/>
    <w:rsid w:val="004305B4"/>
    <w:rsid w:val="004311B0"/>
    <w:rsid w:val="0043369C"/>
    <w:rsid w:val="00433D36"/>
    <w:rsid w:val="0043477C"/>
    <w:rsid w:val="00434B38"/>
    <w:rsid w:val="00434E35"/>
    <w:rsid w:val="00437A68"/>
    <w:rsid w:val="00437C76"/>
    <w:rsid w:val="00441019"/>
    <w:rsid w:val="004425EF"/>
    <w:rsid w:val="00442B6C"/>
    <w:rsid w:val="004443DA"/>
    <w:rsid w:val="00447051"/>
    <w:rsid w:val="00447C56"/>
    <w:rsid w:val="00451E6C"/>
    <w:rsid w:val="00453C4A"/>
    <w:rsid w:val="00453E65"/>
    <w:rsid w:val="004561B2"/>
    <w:rsid w:val="00456CBC"/>
    <w:rsid w:val="0045785B"/>
    <w:rsid w:val="00460058"/>
    <w:rsid w:val="004623F7"/>
    <w:rsid w:val="0046356E"/>
    <w:rsid w:val="0046763F"/>
    <w:rsid w:val="00470C4C"/>
    <w:rsid w:val="0047155C"/>
    <w:rsid w:val="004719DC"/>
    <w:rsid w:val="004721E5"/>
    <w:rsid w:val="0047357C"/>
    <w:rsid w:val="00474A51"/>
    <w:rsid w:val="00481451"/>
    <w:rsid w:val="0048159E"/>
    <w:rsid w:val="004817C2"/>
    <w:rsid w:val="004817D8"/>
    <w:rsid w:val="004819B3"/>
    <w:rsid w:val="004820DF"/>
    <w:rsid w:val="00482A61"/>
    <w:rsid w:val="004851C2"/>
    <w:rsid w:val="004861CE"/>
    <w:rsid w:val="00487729"/>
    <w:rsid w:val="00490AC6"/>
    <w:rsid w:val="004910F0"/>
    <w:rsid w:val="00491943"/>
    <w:rsid w:val="00493E82"/>
    <w:rsid w:val="00494EEB"/>
    <w:rsid w:val="00496D73"/>
    <w:rsid w:val="004A24EE"/>
    <w:rsid w:val="004A377D"/>
    <w:rsid w:val="004A405A"/>
    <w:rsid w:val="004A4129"/>
    <w:rsid w:val="004A557D"/>
    <w:rsid w:val="004A56DD"/>
    <w:rsid w:val="004A570B"/>
    <w:rsid w:val="004A5934"/>
    <w:rsid w:val="004A7F32"/>
    <w:rsid w:val="004B1233"/>
    <w:rsid w:val="004B208A"/>
    <w:rsid w:val="004B2149"/>
    <w:rsid w:val="004B2D8C"/>
    <w:rsid w:val="004B67DE"/>
    <w:rsid w:val="004B72C5"/>
    <w:rsid w:val="004B7D94"/>
    <w:rsid w:val="004C03FF"/>
    <w:rsid w:val="004C05C3"/>
    <w:rsid w:val="004C06BA"/>
    <w:rsid w:val="004C2A62"/>
    <w:rsid w:val="004C420A"/>
    <w:rsid w:val="004C434E"/>
    <w:rsid w:val="004C7A0F"/>
    <w:rsid w:val="004D00F8"/>
    <w:rsid w:val="004D097D"/>
    <w:rsid w:val="004D110E"/>
    <w:rsid w:val="004D18A5"/>
    <w:rsid w:val="004D319A"/>
    <w:rsid w:val="004D3EA6"/>
    <w:rsid w:val="004D6FC7"/>
    <w:rsid w:val="004E523D"/>
    <w:rsid w:val="004E655A"/>
    <w:rsid w:val="004E704E"/>
    <w:rsid w:val="004F364D"/>
    <w:rsid w:val="004F534F"/>
    <w:rsid w:val="004F6D64"/>
    <w:rsid w:val="004F764E"/>
    <w:rsid w:val="004F7AFA"/>
    <w:rsid w:val="0050346C"/>
    <w:rsid w:val="0050399B"/>
    <w:rsid w:val="00503EBC"/>
    <w:rsid w:val="00503F21"/>
    <w:rsid w:val="00504311"/>
    <w:rsid w:val="00507F2E"/>
    <w:rsid w:val="00510574"/>
    <w:rsid w:val="00510919"/>
    <w:rsid w:val="005121CA"/>
    <w:rsid w:val="005129D6"/>
    <w:rsid w:val="00513F04"/>
    <w:rsid w:val="00514F19"/>
    <w:rsid w:val="00515933"/>
    <w:rsid w:val="005164FD"/>
    <w:rsid w:val="0051662D"/>
    <w:rsid w:val="005167BA"/>
    <w:rsid w:val="005177C6"/>
    <w:rsid w:val="005212FD"/>
    <w:rsid w:val="00522C17"/>
    <w:rsid w:val="00524448"/>
    <w:rsid w:val="00524AD2"/>
    <w:rsid w:val="005253B2"/>
    <w:rsid w:val="005255C4"/>
    <w:rsid w:val="00526435"/>
    <w:rsid w:val="005277CA"/>
    <w:rsid w:val="005300E8"/>
    <w:rsid w:val="00531B46"/>
    <w:rsid w:val="00531DCB"/>
    <w:rsid w:val="00532531"/>
    <w:rsid w:val="00532C54"/>
    <w:rsid w:val="00532D38"/>
    <w:rsid w:val="005333A1"/>
    <w:rsid w:val="00534718"/>
    <w:rsid w:val="0053747E"/>
    <w:rsid w:val="0053785D"/>
    <w:rsid w:val="00537AF6"/>
    <w:rsid w:val="00537DF0"/>
    <w:rsid w:val="00540647"/>
    <w:rsid w:val="00540E45"/>
    <w:rsid w:val="005413C8"/>
    <w:rsid w:val="00542C5D"/>
    <w:rsid w:val="00547813"/>
    <w:rsid w:val="005478BE"/>
    <w:rsid w:val="00550396"/>
    <w:rsid w:val="005506EF"/>
    <w:rsid w:val="00550E44"/>
    <w:rsid w:val="0055181C"/>
    <w:rsid w:val="00551D57"/>
    <w:rsid w:val="005520FF"/>
    <w:rsid w:val="005542D7"/>
    <w:rsid w:val="00555558"/>
    <w:rsid w:val="00556AF7"/>
    <w:rsid w:val="00560E05"/>
    <w:rsid w:val="00562961"/>
    <w:rsid w:val="0056421D"/>
    <w:rsid w:val="00564709"/>
    <w:rsid w:val="00565450"/>
    <w:rsid w:val="00565752"/>
    <w:rsid w:val="005658DD"/>
    <w:rsid w:val="00567762"/>
    <w:rsid w:val="0057032F"/>
    <w:rsid w:val="00570C05"/>
    <w:rsid w:val="00571718"/>
    <w:rsid w:val="00571BB6"/>
    <w:rsid w:val="00573D1A"/>
    <w:rsid w:val="00573FDD"/>
    <w:rsid w:val="00574C7B"/>
    <w:rsid w:val="0057597A"/>
    <w:rsid w:val="00575CC1"/>
    <w:rsid w:val="00575F45"/>
    <w:rsid w:val="00576BA1"/>
    <w:rsid w:val="005804A2"/>
    <w:rsid w:val="00580A48"/>
    <w:rsid w:val="005823FB"/>
    <w:rsid w:val="00582534"/>
    <w:rsid w:val="005841BC"/>
    <w:rsid w:val="005843B8"/>
    <w:rsid w:val="00584C69"/>
    <w:rsid w:val="00585154"/>
    <w:rsid w:val="00591060"/>
    <w:rsid w:val="00593169"/>
    <w:rsid w:val="0059320F"/>
    <w:rsid w:val="0059390D"/>
    <w:rsid w:val="00594010"/>
    <w:rsid w:val="00594BBE"/>
    <w:rsid w:val="005955DC"/>
    <w:rsid w:val="00595FA9"/>
    <w:rsid w:val="005972C3"/>
    <w:rsid w:val="005A313F"/>
    <w:rsid w:val="005A4119"/>
    <w:rsid w:val="005A4DA2"/>
    <w:rsid w:val="005A52A9"/>
    <w:rsid w:val="005A673F"/>
    <w:rsid w:val="005A68E8"/>
    <w:rsid w:val="005B1057"/>
    <w:rsid w:val="005B21DF"/>
    <w:rsid w:val="005B308C"/>
    <w:rsid w:val="005B6B68"/>
    <w:rsid w:val="005C0614"/>
    <w:rsid w:val="005C0967"/>
    <w:rsid w:val="005C176A"/>
    <w:rsid w:val="005C29BD"/>
    <w:rsid w:val="005C2B69"/>
    <w:rsid w:val="005D0590"/>
    <w:rsid w:val="005D2DA5"/>
    <w:rsid w:val="005D4622"/>
    <w:rsid w:val="005D60C9"/>
    <w:rsid w:val="005D7453"/>
    <w:rsid w:val="005D7943"/>
    <w:rsid w:val="005E087B"/>
    <w:rsid w:val="005E110C"/>
    <w:rsid w:val="005E5586"/>
    <w:rsid w:val="005E5EDB"/>
    <w:rsid w:val="005E70E4"/>
    <w:rsid w:val="005E7AE6"/>
    <w:rsid w:val="005F44E9"/>
    <w:rsid w:val="005F6563"/>
    <w:rsid w:val="00600D08"/>
    <w:rsid w:val="00602F00"/>
    <w:rsid w:val="00603887"/>
    <w:rsid w:val="006045E6"/>
    <w:rsid w:val="0060566C"/>
    <w:rsid w:val="00605AB6"/>
    <w:rsid w:val="00607B9A"/>
    <w:rsid w:val="00612E25"/>
    <w:rsid w:val="00622E32"/>
    <w:rsid w:val="006231DE"/>
    <w:rsid w:val="00624133"/>
    <w:rsid w:val="00624E4B"/>
    <w:rsid w:val="00626C16"/>
    <w:rsid w:val="00626D07"/>
    <w:rsid w:val="00627EC6"/>
    <w:rsid w:val="00630B33"/>
    <w:rsid w:val="0063335E"/>
    <w:rsid w:val="00634CFE"/>
    <w:rsid w:val="00635629"/>
    <w:rsid w:val="00636370"/>
    <w:rsid w:val="00636961"/>
    <w:rsid w:val="0064036E"/>
    <w:rsid w:val="00640665"/>
    <w:rsid w:val="0064286B"/>
    <w:rsid w:val="00644F94"/>
    <w:rsid w:val="0065025F"/>
    <w:rsid w:val="0065063B"/>
    <w:rsid w:val="0065066E"/>
    <w:rsid w:val="006532BB"/>
    <w:rsid w:val="006533D1"/>
    <w:rsid w:val="00654A54"/>
    <w:rsid w:val="00662095"/>
    <w:rsid w:val="00662669"/>
    <w:rsid w:val="00662D7B"/>
    <w:rsid w:val="0066442C"/>
    <w:rsid w:val="00665BE5"/>
    <w:rsid w:val="006724B4"/>
    <w:rsid w:val="00674238"/>
    <w:rsid w:val="00680C22"/>
    <w:rsid w:val="00681F0C"/>
    <w:rsid w:val="0068216A"/>
    <w:rsid w:val="0068305C"/>
    <w:rsid w:val="00683FC9"/>
    <w:rsid w:val="006857B3"/>
    <w:rsid w:val="00685908"/>
    <w:rsid w:val="006859E8"/>
    <w:rsid w:val="00685AC6"/>
    <w:rsid w:val="00685DB2"/>
    <w:rsid w:val="006869E9"/>
    <w:rsid w:val="0069031B"/>
    <w:rsid w:val="00691A51"/>
    <w:rsid w:val="00695F5C"/>
    <w:rsid w:val="00696012"/>
    <w:rsid w:val="00697637"/>
    <w:rsid w:val="00697667"/>
    <w:rsid w:val="006A01B3"/>
    <w:rsid w:val="006A2399"/>
    <w:rsid w:val="006A2DE9"/>
    <w:rsid w:val="006A3276"/>
    <w:rsid w:val="006A3AC0"/>
    <w:rsid w:val="006A3E2B"/>
    <w:rsid w:val="006A454F"/>
    <w:rsid w:val="006A4FF1"/>
    <w:rsid w:val="006B137D"/>
    <w:rsid w:val="006B1AE8"/>
    <w:rsid w:val="006B4A1E"/>
    <w:rsid w:val="006B5A48"/>
    <w:rsid w:val="006B609D"/>
    <w:rsid w:val="006C0AE2"/>
    <w:rsid w:val="006C0D94"/>
    <w:rsid w:val="006C269E"/>
    <w:rsid w:val="006C2924"/>
    <w:rsid w:val="006C4232"/>
    <w:rsid w:val="006C43C0"/>
    <w:rsid w:val="006C5551"/>
    <w:rsid w:val="006C639C"/>
    <w:rsid w:val="006D22A5"/>
    <w:rsid w:val="006D2963"/>
    <w:rsid w:val="006D485E"/>
    <w:rsid w:val="006D4923"/>
    <w:rsid w:val="006D69F6"/>
    <w:rsid w:val="006E0C07"/>
    <w:rsid w:val="006E3C15"/>
    <w:rsid w:val="006E517B"/>
    <w:rsid w:val="006F005C"/>
    <w:rsid w:val="006F1BC8"/>
    <w:rsid w:val="006F2549"/>
    <w:rsid w:val="006F27A5"/>
    <w:rsid w:val="006F7D2C"/>
    <w:rsid w:val="00700877"/>
    <w:rsid w:val="00703DDF"/>
    <w:rsid w:val="00707649"/>
    <w:rsid w:val="00707BF4"/>
    <w:rsid w:val="00710FDC"/>
    <w:rsid w:val="00711087"/>
    <w:rsid w:val="00711337"/>
    <w:rsid w:val="00711C49"/>
    <w:rsid w:val="00714F75"/>
    <w:rsid w:val="00715679"/>
    <w:rsid w:val="00717AF1"/>
    <w:rsid w:val="00717BA7"/>
    <w:rsid w:val="007243DF"/>
    <w:rsid w:val="00724E58"/>
    <w:rsid w:val="0072557A"/>
    <w:rsid w:val="007256B6"/>
    <w:rsid w:val="00730BEA"/>
    <w:rsid w:val="0073114F"/>
    <w:rsid w:val="00731507"/>
    <w:rsid w:val="007319A3"/>
    <w:rsid w:val="0073343E"/>
    <w:rsid w:val="00733713"/>
    <w:rsid w:val="00734C41"/>
    <w:rsid w:val="00734D24"/>
    <w:rsid w:val="00737082"/>
    <w:rsid w:val="00743EF3"/>
    <w:rsid w:val="00751575"/>
    <w:rsid w:val="00752A41"/>
    <w:rsid w:val="00753B5F"/>
    <w:rsid w:val="00754434"/>
    <w:rsid w:val="00755BF0"/>
    <w:rsid w:val="00756C6B"/>
    <w:rsid w:val="0076084E"/>
    <w:rsid w:val="007633E9"/>
    <w:rsid w:val="00763D48"/>
    <w:rsid w:val="007643DF"/>
    <w:rsid w:val="007661C4"/>
    <w:rsid w:val="00766DBF"/>
    <w:rsid w:val="00770313"/>
    <w:rsid w:val="007707B5"/>
    <w:rsid w:val="0077231F"/>
    <w:rsid w:val="0077585D"/>
    <w:rsid w:val="007801C6"/>
    <w:rsid w:val="00780780"/>
    <w:rsid w:val="00780D8A"/>
    <w:rsid w:val="00782093"/>
    <w:rsid w:val="007869AB"/>
    <w:rsid w:val="00787753"/>
    <w:rsid w:val="00787FF9"/>
    <w:rsid w:val="0079111A"/>
    <w:rsid w:val="007912A4"/>
    <w:rsid w:val="00791918"/>
    <w:rsid w:val="00791ABB"/>
    <w:rsid w:val="00793083"/>
    <w:rsid w:val="00794363"/>
    <w:rsid w:val="00795CE4"/>
    <w:rsid w:val="00795E3E"/>
    <w:rsid w:val="007978F4"/>
    <w:rsid w:val="007A29CA"/>
    <w:rsid w:val="007A3F59"/>
    <w:rsid w:val="007A40A5"/>
    <w:rsid w:val="007A46CB"/>
    <w:rsid w:val="007A4F32"/>
    <w:rsid w:val="007A5123"/>
    <w:rsid w:val="007A57DE"/>
    <w:rsid w:val="007A775F"/>
    <w:rsid w:val="007B2832"/>
    <w:rsid w:val="007B3B39"/>
    <w:rsid w:val="007B52DA"/>
    <w:rsid w:val="007B606D"/>
    <w:rsid w:val="007C02C7"/>
    <w:rsid w:val="007C195A"/>
    <w:rsid w:val="007C49FB"/>
    <w:rsid w:val="007C7791"/>
    <w:rsid w:val="007D017C"/>
    <w:rsid w:val="007D096D"/>
    <w:rsid w:val="007D288E"/>
    <w:rsid w:val="007D5DD6"/>
    <w:rsid w:val="007D6568"/>
    <w:rsid w:val="007D7EAD"/>
    <w:rsid w:val="007E5AE8"/>
    <w:rsid w:val="007E673A"/>
    <w:rsid w:val="007F08B4"/>
    <w:rsid w:val="007F1936"/>
    <w:rsid w:val="007F392F"/>
    <w:rsid w:val="007F5837"/>
    <w:rsid w:val="007F5D32"/>
    <w:rsid w:val="007F621E"/>
    <w:rsid w:val="007F6B3A"/>
    <w:rsid w:val="007F7318"/>
    <w:rsid w:val="00801D3C"/>
    <w:rsid w:val="00803A51"/>
    <w:rsid w:val="00803D57"/>
    <w:rsid w:val="0080404F"/>
    <w:rsid w:val="00804207"/>
    <w:rsid w:val="0080429F"/>
    <w:rsid w:val="008063ED"/>
    <w:rsid w:val="00806DB3"/>
    <w:rsid w:val="008130C3"/>
    <w:rsid w:val="00813985"/>
    <w:rsid w:val="00815C6D"/>
    <w:rsid w:val="008163EB"/>
    <w:rsid w:val="008167B1"/>
    <w:rsid w:val="00821F15"/>
    <w:rsid w:val="00822664"/>
    <w:rsid w:val="00824DCB"/>
    <w:rsid w:val="0082509F"/>
    <w:rsid w:val="00826621"/>
    <w:rsid w:val="00826720"/>
    <w:rsid w:val="00830B70"/>
    <w:rsid w:val="00832A24"/>
    <w:rsid w:val="00833A03"/>
    <w:rsid w:val="00834A43"/>
    <w:rsid w:val="008364E9"/>
    <w:rsid w:val="0084159C"/>
    <w:rsid w:val="0084730D"/>
    <w:rsid w:val="00850986"/>
    <w:rsid w:val="00851D6F"/>
    <w:rsid w:val="00851DD2"/>
    <w:rsid w:val="00856C37"/>
    <w:rsid w:val="00857F09"/>
    <w:rsid w:val="008614A0"/>
    <w:rsid w:val="00861850"/>
    <w:rsid w:val="008619E5"/>
    <w:rsid w:val="00862702"/>
    <w:rsid w:val="008643F3"/>
    <w:rsid w:val="008673FE"/>
    <w:rsid w:val="00873C20"/>
    <w:rsid w:val="0087464C"/>
    <w:rsid w:val="00874679"/>
    <w:rsid w:val="008801A2"/>
    <w:rsid w:val="00881374"/>
    <w:rsid w:val="00881ADC"/>
    <w:rsid w:val="008836C9"/>
    <w:rsid w:val="00885115"/>
    <w:rsid w:val="00886A80"/>
    <w:rsid w:val="00886E32"/>
    <w:rsid w:val="0089233C"/>
    <w:rsid w:val="00896233"/>
    <w:rsid w:val="00896A6F"/>
    <w:rsid w:val="008A0162"/>
    <w:rsid w:val="008A12D0"/>
    <w:rsid w:val="008A1DDD"/>
    <w:rsid w:val="008A1F9B"/>
    <w:rsid w:val="008A33C9"/>
    <w:rsid w:val="008A34CC"/>
    <w:rsid w:val="008A5535"/>
    <w:rsid w:val="008A5FAC"/>
    <w:rsid w:val="008A671F"/>
    <w:rsid w:val="008A7716"/>
    <w:rsid w:val="008A77DF"/>
    <w:rsid w:val="008A7CCD"/>
    <w:rsid w:val="008B0042"/>
    <w:rsid w:val="008B196B"/>
    <w:rsid w:val="008B198C"/>
    <w:rsid w:val="008B51B0"/>
    <w:rsid w:val="008B5E27"/>
    <w:rsid w:val="008B6147"/>
    <w:rsid w:val="008C0A97"/>
    <w:rsid w:val="008C18A5"/>
    <w:rsid w:val="008C27C3"/>
    <w:rsid w:val="008C49C4"/>
    <w:rsid w:val="008C5022"/>
    <w:rsid w:val="008C5B13"/>
    <w:rsid w:val="008C69DF"/>
    <w:rsid w:val="008C69E4"/>
    <w:rsid w:val="008C6B0A"/>
    <w:rsid w:val="008C7DB1"/>
    <w:rsid w:val="008D1214"/>
    <w:rsid w:val="008D1A0F"/>
    <w:rsid w:val="008D2D0E"/>
    <w:rsid w:val="008D42AF"/>
    <w:rsid w:val="008D55AC"/>
    <w:rsid w:val="008D55D5"/>
    <w:rsid w:val="008D722A"/>
    <w:rsid w:val="008E0864"/>
    <w:rsid w:val="008E14D6"/>
    <w:rsid w:val="008E185D"/>
    <w:rsid w:val="008E3424"/>
    <w:rsid w:val="008E3EB1"/>
    <w:rsid w:val="008E41B2"/>
    <w:rsid w:val="008E6B35"/>
    <w:rsid w:val="008F2292"/>
    <w:rsid w:val="008F37FA"/>
    <w:rsid w:val="008F444E"/>
    <w:rsid w:val="008F44CB"/>
    <w:rsid w:val="008F45E4"/>
    <w:rsid w:val="008F4CB3"/>
    <w:rsid w:val="008F4EC0"/>
    <w:rsid w:val="008F7D03"/>
    <w:rsid w:val="00900E85"/>
    <w:rsid w:val="00901AFD"/>
    <w:rsid w:val="0090226B"/>
    <w:rsid w:val="00904DBC"/>
    <w:rsid w:val="0090587E"/>
    <w:rsid w:val="00905C6A"/>
    <w:rsid w:val="00905E0F"/>
    <w:rsid w:val="00907FB5"/>
    <w:rsid w:val="00907FE3"/>
    <w:rsid w:val="0091265E"/>
    <w:rsid w:val="009129B8"/>
    <w:rsid w:val="009142DA"/>
    <w:rsid w:val="00915AFC"/>
    <w:rsid w:val="00916BF2"/>
    <w:rsid w:val="0092106B"/>
    <w:rsid w:val="00922387"/>
    <w:rsid w:val="009230B6"/>
    <w:rsid w:val="00931165"/>
    <w:rsid w:val="009312EF"/>
    <w:rsid w:val="00931DD2"/>
    <w:rsid w:val="009343B3"/>
    <w:rsid w:val="00934E93"/>
    <w:rsid w:val="009350AF"/>
    <w:rsid w:val="009353D7"/>
    <w:rsid w:val="009401C4"/>
    <w:rsid w:val="009416CA"/>
    <w:rsid w:val="009433B0"/>
    <w:rsid w:val="00943CEB"/>
    <w:rsid w:val="00945049"/>
    <w:rsid w:val="00946634"/>
    <w:rsid w:val="00947DE2"/>
    <w:rsid w:val="009505B0"/>
    <w:rsid w:val="009533E2"/>
    <w:rsid w:val="00953469"/>
    <w:rsid w:val="00955ADB"/>
    <w:rsid w:val="00955B05"/>
    <w:rsid w:val="009601D2"/>
    <w:rsid w:val="00962E18"/>
    <w:rsid w:val="0096392C"/>
    <w:rsid w:val="00967D78"/>
    <w:rsid w:val="009710E0"/>
    <w:rsid w:val="009716AF"/>
    <w:rsid w:val="009722BC"/>
    <w:rsid w:val="0097298E"/>
    <w:rsid w:val="00974EFA"/>
    <w:rsid w:val="00975657"/>
    <w:rsid w:val="00983BA5"/>
    <w:rsid w:val="00984FCF"/>
    <w:rsid w:val="00985679"/>
    <w:rsid w:val="00985A89"/>
    <w:rsid w:val="00986B8F"/>
    <w:rsid w:val="00986BEA"/>
    <w:rsid w:val="00992988"/>
    <w:rsid w:val="00994A91"/>
    <w:rsid w:val="00995678"/>
    <w:rsid w:val="009A1807"/>
    <w:rsid w:val="009A28C8"/>
    <w:rsid w:val="009A30A5"/>
    <w:rsid w:val="009A3155"/>
    <w:rsid w:val="009A3F9E"/>
    <w:rsid w:val="009A43D8"/>
    <w:rsid w:val="009A52DD"/>
    <w:rsid w:val="009A5E11"/>
    <w:rsid w:val="009A6682"/>
    <w:rsid w:val="009A68FF"/>
    <w:rsid w:val="009B076B"/>
    <w:rsid w:val="009B097D"/>
    <w:rsid w:val="009B147A"/>
    <w:rsid w:val="009B38DD"/>
    <w:rsid w:val="009B40C7"/>
    <w:rsid w:val="009B4FA1"/>
    <w:rsid w:val="009B7D0F"/>
    <w:rsid w:val="009C1375"/>
    <w:rsid w:val="009C2BE5"/>
    <w:rsid w:val="009C3A3F"/>
    <w:rsid w:val="009C42DC"/>
    <w:rsid w:val="009C4FC2"/>
    <w:rsid w:val="009C67DC"/>
    <w:rsid w:val="009C77FF"/>
    <w:rsid w:val="009D003F"/>
    <w:rsid w:val="009D080A"/>
    <w:rsid w:val="009D3EB4"/>
    <w:rsid w:val="009D6D83"/>
    <w:rsid w:val="009D7486"/>
    <w:rsid w:val="009D7F7C"/>
    <w:rsid w:val="009E523B"/>
    <w:rsid w:val="009E52AF"/>
    <w:rsid w:val="009E5581"/>
    <w:rsid w:val="009E61A2"/>
    <w:rsid w:val="009E6908"/>
    <w:rsid w:val="009F2972"/>
    <w:rsid w:val="009F2FD8"/>
    <w:rsid w:val="009F30E6"/>
    <w:rsid w:val="009F6E7B"/>
    <w:rsid w:val="009F7311"/>
    <w:rsid w:val="00A0052B"/>
    <w:rsid w:val="00A02DBF"/>
    <w:rsid w:val="00A03A53"/>
    <w:rsid w:val="00A04558"/>
    <w:rsid w:val="00A06346"/>
    <w:rsid w:val="00A1005B"/>
    <w:rsid w:val="00A10C27"/>
    <w:rsid w:val="00A134DA"/>
    <w:rsid w:val="00A13F6A"/>
    <w:rsid w:val="00A1453E"/>
    <w:rsid w:val="00A171CD"/>
    <w:rsid w:val="00A17A38"/>
    <w:rsid w:val="00A17E64"/>
    <w:rsid w:val="00A20226"/>
    <w:rsid w:val="00A20F3F"/>
    <w:rsid w:val="00A21916"/>
    <w:rsid w:val="00A2234B"/>
    <w:rsid w:val="00A22747"/>
    <w:rsid w:val="00A23372"/>
    <w:rsid w:val="00A23B26"/>
    <w:rsid w:val="00A25ACA"/>
    <w:rsid w:val="00A30720"/>
    <w:rsid w:val="00A357CF"/>
    <w:rsid w:val="00A359A2"/>
    <w:rsid w:val="00A368BE"/>
    <w:rsid w:val="00A3754F"/>
    <w:rsid w:val="00A40656"/>
    <w:rsid w:val="00A42EAB"/>
    <w:rsid w:val="00A4335E"/>
    <w:rsid w:val="00A442F4"/>
    <w:rsid w:val="00A44F34"/>
    <w:rsid w:val="00A46D18"/>
    <w:rsid w:val="00A5270F"/>
    <w:rsid w:val="00A532DA"/>
    <w:rsid w:val="00A54344"/>
    <w:rsid w:val="00A6280D"/>
    <w:rsid w:val="00A63A3E"/>
    <w:rsid w:val="00A63CBA"/>
    <w:rsid w:val="00A642C4"/>
    <w:rsid w:val="00A6482D"/>
    <w:rsid w:val="00A652DA"/>
    <w:rsid w:val="00A66307"/>
    <w:rsid w:val="00A7282B"/>
    <w:rsid w:val="00A8000E"/>
    <w:rsid w:val="00A819CD"/>
    <w:rsid w:val="00A81B7C"/>
    <w:rsid w:val="00A825A6"/>
    <w:rsid w:val="00A82D72"/>
    <w:rsid w:val="00A84548"/>
    <w:rsid w:val="00A86365"/>
    <w:rsid w:val="00A86970"/>
    <w:rsid w:val="00A86FF6"/>
    <w:rsid w:val="00A9067B"/>
    <w:rsid w:val="00A9252B"/>
    <w:rsid w:val="00A92EBE"/>
    <w:rsid w:val="00A9516B"/>
    <w:rsid w:val="00A95AEB"/>
    <w:rsid w:val="00AA0F61"/>
    <w:rsid w:val="00AA2853"/>
    <w:rsid w:val="00AA36C7"/>
    <w:rsid w:val="00AA4459"/>
    <w:rsid w:val="00AA495E"/>
    <w:rsid w:val="00AA6934"/>
    <w:rsid w:val="00AA6E9D"/>
    <w:rsid w:val="00AA799C"/>
    <w:rsid w:val="00AA7BA4"/>
    <w:rsid w:val="00AB0C2C"/>
    <w:rsid w:val="00AB1078"/>
    <w:rsid w:val="00AB1346"/>
    <w:rsid w:val="00AB26DB"/>
    <w:rsid w:val="00AB3176"/>
    <w:rsid w:val="00AB46D4"/>
    <w:rsid w:val="00AB4A81"/>
    <w:rsid w:val="00AB4CFA"/>
    <w:rsid w:val="00AC4838"/>
    <w:rsid w:val="00AC572A"/>
    <w:rsid w:val="00AC5D56"/>
    <w:rsid w:val="00AC7340"/>
    <w:rsid w:val="00AD0813"/>
    <w:rsid w:val="00AD24EF"/>
    <w:rsid w:val="00AD2983"/>
    <w:rsid w:val="00AD5992"/>
    <w:rsid w:val="00AD5A93"/>
    <w:rsid w:val="00AE024C"/>
    <w:rsid w:val="00AE194F"/>
    <w:rsid w:val="00AE371D"/>
    <w:rsid w:val="00AE39AB"/>
    <w:rsid w:val="00AE584F"/>
    <w:rsid w:val="00AE63C3"/>
    <w:rsid w:val="00AE7CFC"/>
    <w:rsid w:val="00AF0490"/>
    <w:rsid w:val="00AF0BB9"/>
    <w:rsid w:val="00AF291F"/>
    <w:rsid w:val="00AF3CBB"/>
    <w:rsid w:val="00AF6489"/>
    <w:rsid w:val="00AF7A9F"/>
    <w:rsid w:val="00B01D34"/>
    <w:rsid w:val="00B01F7F"/>
    <w:rsid w:val="00B03609"/>
    <w:rsid w:val="00B03831"/>
    <w:rsid w:val="00B03DBB"/>
    <w:rsid w:val="00B04254"/>
    <w:rsid w:val="00B05449"/>
    <w:rsid w:val="00B05903"/>
    <w:rsid w:val="00B066F8"/>
    <w:rsid w:val="00B06E17"/>
    <w:rsid w:val="00B10648"/>
    <w:rsid w:val="00B110E8"/>
    <w:rsid w:val="00B15007"/>
    <w:rsid w:val="00B16D73"/>
    <w:rsid w:val="00B16DE7"/>
    <w:rsid w:val="00B179CD"/>
    <w:rsid w:val="00B225D7"/>
    <w:rsid w:val="00B23C0F"/>
    <w:rsid w:val="00B24177"/>
    <w:rsid w:val="00B30D05"/>
    <w:rsid w:val="00B30DFD"/>
    <w:rsid w:val="00B31253"/>
    <w:rsid w:val="00B327DB"/>
    <w:rsid w:val="00B357A3"/>
    <w:rsid w:val="00B37370"/>
    <w:rsid w:val="00B41871"/>
    <w:rsid w:val="00B4336F"/>
    <w:rsid w:val="00B4522D"/>
    <w:rsid w:val="00B4598F"/>
    <w:rsid w:val="00B46BF7"/>
    <w:rsid w:val="00B50E29"/>
    <w:rsid w:val="00B51E97"/>
    <w:rsid w:val="00B52CBD"/>
    <w:rsid w:val="00B5327F"/>
    <w:rsid w:val="00B534B4"/>
    <w:rsid w:val="00B565FE"/>
    <w:rsid w:val="00B57C66"/>
    <w:rsid w:val="00B60458"/>
    <w:rsid w:val="00B61DC3"/>
    <w:rsid w:val="00B633C4"/>
    <w:rsid w:val="00B67AEA"/>
    <w:rsid w:val="00B72C66"/>
    <w:rsid w:val="00B72CA2"/>
    <w:rsid w:val="00B73C62"/>
    <w:rsid w:val="00B83C32"/>
    <w:rsid w:val="00B85816"/>
    <w:rsid w:val="00B875C0"/>
    <w:rsid w:val="00B90075"/>
    <w:rsid w:val="00B902A6"/>
    <w:rsid w:val="00B90608"/>
    <w:rsid w:val="00B9166F"/>
    <w:rsid w:val="00B920AD"/>
    <w:rsid w:val="00B93E24"/>
    <w:rsid w:val="00B94C8E"/>
    <w:rsid w:val="00B9514C"/>
    <w:rsid w:val="00B966AC"/>
    <w:rsid w:val="00BA0A06"/>
    <w:rsid w:val="00BA1064"/>
    <w:rsid w:val="00BA485C"/>
    <w:rsid w:val="00BA48FC"/>
    <w:rsid w:val="00BA4C75"/>
    <w:rsid w:val="00BA6979"/>
    <w:rsid w:val="00BA7863"/>
    <w:rsid w:val="00BA790D"/>
    <w:rsid w:val="00BB14DC"/>
    <w:rsid w:val="00BB279B"/>
    <w:rsid w:val="00BB3D58"/>
    <w:rsid w:val="00BB4323"/>
    <w:rsid w:val="00BB452C"/>
    <w:rsid w:val="00BB4532"/>
    <w:rsid w:val="00BB4A21"/>
    <w:rsid w:val="00BB650B"/>
    <w:rsid w:val="00BB6BFB"/>
    <w:rsid w:val="00BC2785"/>
    <w:rsid w:val="00BC30DC"/>
    <w:rsid w:val="00BC4E9E"/>
    <w:rsid w:val="00BC58A4"/>
    <w:rsid w:val="00BC781E"/>
    <w:rsid w:val="00BD03E6"/>
    <w:rsid w:val="00BD148F"/>
    <w:rsid w:val="00BD1973"/>
    <w:rsid w:val="00BD358F"/>
    <w:rsid w:val="00BD4809"/>
    <w:rsid w:val="00BD5170"/>
    <w:rsid w:val="00BD5E5C"/>
    <w:rsid w:val="00BD5F32"/>
    <w:rsid w:val="00BD6416"/>
    <w:rsid w:val="00BD774B"/>
    <w:rsid w:val="00BE437C"/>
    <w:rsid w:val="00BE5949"/>
    <w:rsid w:val="00BF0241"/>
    <w:rsid w:val="00BF19DE"/>
    <w:rsid w:val="00BF3055"/>
    <w:rsid w:val="00BF3E3E"/>
    <w:rsid w:val="00C01D39"/>
    <w:rsid w:val="00C036C5"/>
    <w:rsid w:val="00C04346"/>
    <w:rsid w:val="00C047F4"/>
    <w:rsid w:val="00C04B21"/>
    <w:rsid w:val="00C04E5F"/>
    <w:rsid w:val="00C05C52"/>
    <w:rsid w:val="00C05E68"/>
    <w:rsid w:val="00C06C84"/>
    <w:rsid w:val="00C103CD"/>
    <w:rsid w:val="00C112DA"/>
    <w:rsid w:val="00C1253A"/>
    <w:rsid w:val="00C12544"/>
    <w:rsid w:val="00C12799"/>
    <w:rsid w:val="00C213E5"/>
    <w:rsid w:val="00C24F60"/>
    <w:rsid w:val="00C25C9B"/>
    <w:rsid w:val="00C261AB"/>
    <w:rsid w:val="00C32303"/>
    <w:rsid w:val="00C324B5"/>
    <w:rsid w:val="00C36220"/>
    <w:rsid w:val="00C362DF"/>
    <w:rsid w:val="00C375ED"/>
    <w:rsid w:val="00C37B1F"/>
    <w:rsid w:val="00C37F58"/>
    <w:rsid w:val="00C42BB6"/>
    <w:rsid w:val="00C42F14"/>
    <w:rsid w:val="00C44F26"/>
    <w:rsid w:val="00C5077E"/>
    <w:rsid w:val="00C52EF2"/>
    <w:rsid w:val="00C533E2"/>
    <w:rsid w:val="00C535AB"/>
    <w:rsid w:val="00C53722"/>
    <w:rsid w:val="00C537C1"/>
    <w:rsid w:val="00C53809"/>
    <w:rsid w:val="00C53B40"/>
    <w:rsid w:val="00C55493"/>
    <w:rsid w:val="00C57D30"/>
    <w:rsid w:val="00C601D5"/>
    <w:rsid w:val="00C60DC9"/>
    <w:rsid w:val="00C623F7"/>
    <w:rsid w:val="00C62AA6"/>
    <w:rsid w:val="00C63034"/>
    <w:rsid w:val="00C6413D"/>
    <w:rsid w:val="00C65706"/>
    <w:rsid w:val="00C65ACA"/>
    <w:rsid w:val="00C66C45"/>
    <w:rsid w:val="00C67F24"/>
    <w:rsid w:val="00C716A7"/>
    <w:rsid w:val="00C73097"/>
    <w:rsid w:val="00C73F67"/>
    <w:rsid w:val="00C750E2"/>
    <w:rsid w:val="00C75E74"/>
    <w:rsid w:val="00C775B9"/>
    <w:rsid w:val="00C77802"/>
    <w:rsid w:val="00C81801"/>
    <w:rsid w:val="00C81DB2"/>
    <w:rsid w:val="00C86011"/>
    <w:rsid w:val="00C8675F"/>
    <w:rsid w:val="00C914D4"/>
    <w:rsid w:val="00C91905"/>
    <w:rsid w:val="00C92B10"/>
    <w:rsid w:val="00C94322"/>
    <w:rsid w:val="00C94724"/>
    <w:rsid w:val="00C94C06"/>
    <w:rsid w:val="00C953DF"/>
    <w:rsid w:val="00C96214"/>
    <w:rsid w:val="00C966DF"/>
    <w:rsid w:val="00C97197"/>
    <w:rsid w:val="00C97E68"/>
    <w:rsid w:val="00CA19DF"/>
    <w:rsid w:val="00CA1CDE"/>
    <w:rsid w:val="00CA27FF"/>
    <w:rsid w:val="00CA3DB6"/>
    <w:rsid w:val="00CA478F"/>
    <w:rsid w:val="00CA56B5"/>
    <w:rsid w:val="00CA5DFF"/>
    <w:rsid w:val="00CA7956"/>
    <w:rsid w:val="00CB2444"/>
    <w:rsid w:val="00CB670E"/>
    <w:rsid w:val="00CB677B"/>
    <w:rsid w:val="00CB6E94"/>
    <w:rsid w:val="00CB74DE"/>
    <w:rsid w:val="00CB7E4B"/>
    <w:rsid w:val="00CC0D30"/>
    <w:rsid w:val="00CC22FF"/>
    <w:rsid w:val="00CC6901"/>
    <w:rsid w:val="00CC79BA"/>
    <w:rsid w:val="00CC7E4B"/>
    <w:rsid w:val="00CD078C"/>
    <w:rsid w:val="00CD27BA"/>
    <w:rsid w:val="00CD2C75"/>
    <w:rsid w:val="00CD5DE2"/>
    <w:rsid w:val="00CD6C97"/>
    <w:rsid w:val="00CD72D6"/>
    <w:rsid w:val="00CE37CD"/>
    <w:rsid w:val="00CE5DE5"/>
    <w:rsid w:val="00CE64D2"/>
    <w:rsid w:val="00CF055B"/>
    <w:rsid w:val="00CF2334"/>
    <w:rsid w:val="00CF2864"/>
    <w:rsid w:val="00CF3ACB"/>
    <w:rsid w:val="00CF4491"/>
    <w:rsid w:val="00CF53AC"/>
    <w:rsid w:val="00CF7598"/>
    <w:rsid w:val="00D01A91"/>
    <w:rsid w:val="00D0364B"/>
    <w:rsid w:val="00D062E0"/>
    <w:rsid w:val="00D06F21"/>
    <w:rsid w:val="00D11D6B"/>
    <w:rsid w:val="00D12B9D"/>
    <w:rsid w:val="00D135A1"/>
    <w:rsid w:val="00D14282"/>
    <w:rsid w:val="00D144D7"/>
    <w:rsid w:val="00D17755"/>
    <w:rsid w:val="00D21EB2"/>
    <w:rsid w:val="00D22B47"/>
    <w:rsid w:val="00D24484"/>
    <w:rsid w:val="00D253CD"/>
    <w:rsid w:val="00D27C1B"/>
    <w:rsid w:val="00D320AF"/>
    <w:rsid w:val="00D32226"/>
    <w:rsid w:val="00D3542F"/>
    <w:rsid w:val="00D354F3"/>
    <w:rsid w:val="00D37314"/>
    <w:rsid w:val="00D3784D"/>
    <w:rsid w:val="00D41B42"/>
    <w:rsid w:val="00D41C70"/>
    <w:rsid w:val="00D43F36"/>
    <w:rsid w:val="00D44FC8"/>
    <w:rsid w:val="00D45E87"/>
    <w:rsid w:val="00D469C2"/>
    <w:rsid w:val="00D46DD3"/>
    <w:rsid w:val="00D4720E"/>
    <w:rsid w:val="00D47AE1"/>
    <w:rsid w:val="00D50E93"/>
    <w:rsid w:val="00D52A5B"/>
    <w:rsid w:val="00D54746"/>
    <w:rsid w:val="00D54CBA"/>
    <w:rsid w:val="00D55B86"/>
    <w:rsid w:val="00D61BD2"/>
    <w:rsid w:val="00D63E6D"/>
    <w:rsid w:val="00D6701F"/>
    <w:rsid w:val="00D67E85"/>
    <w:rsid w:val="00D700E9"/>
    <w:rsid w:val="00D70C0A"/>
    <w:rsid w:val="00D70E57"/>
    <w:rsid w:val="00D72AC8"/>
    <w:rsid w:val="00D730B6"/>
    <w:rsid w:val="00D7524C"/>
    <w:rsid w:val="00D76BB6"/>
    <w:rsid w:val="00D76CF0"/>
    <w:rsid w:val="00D76F95"/>
    <w:rsid w:val="00D771EC"/>
    <w:rsid w:val="00D77551"/>
    <w:rsid w:val="00D80D27"/>
    <w:rsid w:val="00D81E4C"/>
    <w:rsid w:val="00D83FC4"/>
    <w:rsid w:val="00D845E8"/>
    <w:rsid w:val="00D870B0"/>
    <w:rsid w:val="00D879F7"/>
    <w:rsid w:val="00D87B3C"/>
    <w:rsid w:val="00D91AA6"/>
    <w:rsid w:val="00D9477B"/>
    <w:rsid w:val="00D94A98"/>
    <w:rsid w:val="00D97119"/>
    <w:rsid w:val="00D97D95"/>
    <w:rsid w:val="00DA2214"/>
    <w:rsid w:val="00DA7DD8"/>
    <w:rsid w:val="00DB118B"/>
    <w:rsid w:val="00DB1ADF"/>
    <w:rsid w:val="00DB201F"/>
    <w:rsid w:val="00DB5DB5"/>
    <w:rsid w:val="00DB5E21"/>
    <w:rsid w:val="00DB6033"/>
    <w:rsid w:val="00DB7AF2"/>
    <w:rsid w:val="00DC4490"/>
    <w:rsid w:val="00DC77BC"/>
    <w:rsid w:val="00DC7E3B"/>
    <w:rsid w:val="00DD0E99"/>
    <w:rsid w:val="00DD2172"/>
    <w:rsid w:val="00DD2A18"/>
    <w:rsid w:val="00DD4A5B"/>
    <w:rsid w:val="00DD67D4"/>
    <w:rsid w:val="00DD6EF5"/>
    <w:rsid w:val="00DE070C"/>
    <w:rsid w:val="00DE3B1D"/>
    <w:rsid w:val="00DE5AF6"/>
    <w:rsid w:val="00DE7267"/>
    <w:rsid w:val="00DF0ADB"/>
    <w:rsid w:val="00DF0FAE"/>
    <w:rsid w:val="00DF1835"/>
    <w:rsid w:val="00DF2C98"/>
    <w:rsid w:val="00DF55D2"/>
    <w:rsid w:val="00DF6B0D"/>
    <w:rsid w:val="00DF7641"/>
    <w:rsid w:val="00E00A36"/>
    <w:rsid w:val="00E030A0"/>
    <w:rsid w:val="00E04F8B"/>
    <w:rsid w:val="00E05C21"/>
    <w:rsid w:val="00E06889"/>
    <w:rsid w:val="00E0728A"/>
    <w:rsid w:val="00E076B0"/>
    <w:rsid w:val="00E07812"/>
    <w:rsid w:val="00E130A4"/>
    <w:rsid w:val="00E138DB"/>
    <w:rsid w:val="00E14859"/>
    <w:rsid w:val="00E164B1"/>
    <w:rsid w:val="00E16B3D"/>
    <w:rsid w:val="00E17513"/>
    <w:rsid w:val="00E176AA"/>
    <w:rsid w:val="00E20385"/>
    <w:rsid w:val="00E21738"/>
    <w:rsid w:val="00E25058"/>
    <w:rsid w:val="00E256F6"/>
    <w:rsid w:val="00E27CA3"/>
    <w:rsid w:val="00E314D7"/>
    <w:rsid w:val="00E32D29"/>
    <w:rsid w:val="00E34192"/>
    <w:rsid w:val="00E36E77"/>
    <w:rsid w:val="00E37062"/>
    <w:rsid w:val="00E4046A"/>
    <w:rsid w:val="00E41148"/>
    <w:rsid w:val="00E41524"/>
    <w:rsid w:val="00E42471"/>
    <w:rsid w:val="00E425C8"/>
    <w:rsid w:val="00E46EF8"/>
    <w:rsid w:val="00E4769D"/>
    <w:rsid w:val="00E51424"/>
    <w:rsid w:val="00E52F6B"/>
    <w:rsid w:val="00E57D8C"/>
    <w:rsid w:val="00E62907"/>
    <w:rsid w:val="00E635E0"/>
    <w:rsid w:val="00E64374"/>
    <w:rsid w:val="00E66AB7"/>
    <w:rsid w:val="00E7010C"/>
    <w:rsid w:val="00E701DC"/>
    <w:rsid w:val="00E710E9"/>
    <w:rsid w:val="00E71856"/>
    <w:rsid w:val="00E727FE"/>
    <w:rsid w:val="00E72D7E"/>
    <w:rsid w:val="00E740E0"/>
    <w:rsid w:val="00E742E3"/>
    <w:rsid w:val="00E756ED"/>
    <w:rsid w:val="00E7625D"/>
    <w:rsid w:val="00E7633B"/>
    <w:rsid w:val="00E77BF3"/>
    <w:rsid w:val="00E8155B"/>
    <w:rsid w:val="00E82960"/>
    <w:rsid w:val="00E867DA"/>
    <w:rsid w:val="00E86A76"/>
    <w:rsid w:val="00E86BFD"/>
    <w:rsid w:val="00E90075"/>
    <w:rsid w:val="00E9041A"/>
    <w:rsid w:val="00E90B7D"/>
    <w:rsid w:val="00E923B5"/>
    <w:rsid w:val="00E92E17"/>
    <w:rsid w:val="00E933DA"/>
    <w:rsid w:val="00E938A8"/>
    <w:rsid w:val="00E95E1D"/>
    <w:rsid w:val="00EA0EC2"/>
    <w:rsid w:val="00EA63B3"/>
    <w:rsid w:val="00EB2718"/>
    <w:rsid w:val="00EB3463"/>
    <w:rsid w:val="00EB39FF"/>
    <w:rsid w:val="00EB5721"/>
    <w:rsid w:val="00EB5991"/>
    <w:rsid w:val="00EB6278"/>
    <w:rsid w:val="00EB7DC4"/>
    <w:rsid w:val="00EC0C97"/>
    <w:rsid w:val="00EC1BED"/>
    <w:rsid w:val="00EC2467"/>
    <w:rsid w:val="00EC37EB"/>
    <w:rsid w:val="00EC51EF"/>
    <w:rsid w:val="00EC737F"/>
    <w:rsid w:val="00EC7C3C"/>
    <w:rsid w:val="00ED01B4"/>
    <w:rsid w:val="00ED188F"/>
    <w:rsid w:val="00ED3A14"/>
    <w:rsid w:val="00ED3F32"/>
    <w:rsid w:val="00ED4562"/>
    <w:rsid w:val="00ED4F29"/>
    <w:rsid w:val="00ED5294"/>
    <w:rsid w:val="00ED546B"/>
    <w:rsid w:val="00ED608D"/>
    <w:rsid w:val="00ED628B"/>
    <w:rsid w:val="00ED7E54"/>
    <w:rsid w:val="00EE106C"/>
    <w:rsid w:val="00EE1077"/>
    <w:rsid w:val="00EE2482"/>
    <w:rsid w:val="00EE32BD"/>
    <w:rsid w:val="00EE43CC"/>
    <w:rsid w:val="00EE45D1"/>
    <w:rsid w:val="00EF0372"/>
    <w:rsid w:val="00EF1693"/>
    <w:rsid w:val="00EF1CBE"/>
    <w:rsid w:val="00EF2340"/>
    <w:rsid w:val="00EF378C"/>
    <w:rsid w:val="00EF3CDD"/>
    <w:rsid w:val="00EF445F"/>
    <w:rsid w:val="00EF45CE"/>
    <w:rsid w:val="00EF52E6"/>
    <w:rsid w:val="00EF601E"/>
    <w:rsid w:val="00EF7497"/>
    <w:rsid w:val="00EF7A30"/>
    <w:rsid w:val="00F00F8B"/>
    <w:rsid w:val="00F01049"/>
    <w:rsid w:val="00F012FA"/>
    <w:rsid w:val="00F0241B"/>
    <w:rsid w:val="00F0310F"/>
    <w:rsid w:val="00F036E6"/>
    <w:rsid w:val="00F0518A"/>
    <w:rsid w:val="00F0778C"/>
    <w:rsid w:val="00F12464"/>
    <w:rsid w:val="00F14957"/>
    <w:rsid w:val="00F1512F"/>
    <w:rsid w:val="00F15D6B"/>
    <w:rsid w:val="00F16031"/>
    <w:rsid w:val="00F16ABC"/>
    <w:rsid w:val="00F2684D"/>
    <w:rsid w:val="00F26C14"/>
    <w:rsid w:val="00F30AAD"/>
    <w:rsid w:val="00F32E6D"/>
    <w:rsid w:val="00F41266"/>
    <w:rsid w:val="00F41A32"/>
    <w:rsid w:val="00F43EF7"/>
    <w:rsid w:val="00F4416F"/>
    <w:rsid w:val="00F44F96"/>
    <w:rsid w:val="00F46A91"/>
    <w:rsid w:val="00F476C8"/>
    <w:rsid w:val="00F4776B"/>
    <w:rsid w:val="00F47BFA"/>
    <w:rsid w:val="00F507CC"/>
    <w:rsid w:val="00F5082F"/>
    <w:rsid w:val="00F5176C"/>
    <w:rsid w:val="00F51E56"/>
    <w:rsid w:val="00F54722"/>
    <w:rsid w:val="00F56C9F"/>
    <w:rsid w:val="00F56E6A"/>
    <w:rsid w:val="00F56F1D"/>
    <w:rsid w:val="00F60841"/>
    <w:rsid w:val="00F6120D"/>
    <w:rsid w:val="00F63553"/>
    <w:rsid w:val="00F65200"/>
    <w:rsid w:val="00F655F3"/>
    <w:rsid w:val="00F65860"/>
    <w:rsid w:val="00F65946"/>
    <w:rsid w:val="00F65D8D"/>
    <w:rsid w:val="00F6723F"/>
    <w:rsid w:val="00F6731F"/>
    <w:rsid w:val="00F67B1A"/>
    <w:rsid w:val="00F67FF1"/>
    <w:rsid w:val="00F70C83"/>
    <w:rsid w:val="00F71C2F"/>
    <w:rsid w:val="00F73122"/>
    <w:rsid w:val="00F735A6"/>
    <w:rsid w:val="00F744A3"/>
    <w:rsid w:val="00F74508"/>
    <w:rsid w:val="00F74742"/>
    <w:rsid w:val="00F75679"/>
    <w:rsid w:val="00F76605"/>
    <w:rsid w:val="00F81D88"/>
    <w:rsid w:val="00F822FA"/>
    <w:rsid w:val="00F9005F"/>
    <w:rsid w:val="00F9019E"/>
    <w:rsid w:val="00F905CA"/>
    <w:rsid w:val="00F90D04"/>
    <w:rsid w:val="00F92C22"/>
    <w:rsid w:val="00F93466"/>
    <w:rsid w:val="00F968D0"/>
    <w:rsid w:val="00FA0372"/>
    <w:rsid w:val="00FA03FA"/>
    <w:rsid w:val="00FA097E"/>
    <w:rsid w:val="00FA1667"/>
    <w:rsid w:val="00FA3DB1"/>
    <w:rsid w:val="00FA539F"/>
    <w:rsid w:val="00FA5B7C"/>
    <w:rsid w:val="00FA5EFA"/>
    <w:rsid w:val="00FA6B4A"/>
    <w:rsid w:val="00FA7953"/>
    <w:rsid w:val="00FB32E7"/>
    <w:rsid w:val="00FB5ADA"/>
    <w:rsid w:val="00FC0A61"/>
    <w:rsid w:val="00FC25F9"/>
    <w:rsid w:val="00FC3BE8"/>
    <w:rsid w:val="00FC5E7F"/>
    <w:rsid w:val="00FC65DD"/>
    <w:rsid w:val="00FD3861"/>
    <w:rsid w:val="00FD7D46"/>
    <w:rsid w:val="00FE5151"/>
    <w:rsid w:val="00FE52F4"/>
    <w:rsid w:val="00FE679E"/>
    <w:rsid w:val="00FF4CF3"/>
    <w:rsid w:val="00FF537D"/>
    <w:rsid w:val="00FF55C1"/>
    <w:rsid w:val="01274F14"/>
    <w:rsid w:val="01303A9E"/>
    <w:rsid w:val="01383FD0"/>
    <w:rsid w:val="01451617"/>
    <w:rsid w:val="0190158D"/>
    <w:rsid w:val="01B77047"/>
    <w:rsid w:val="0203063D"/>
    <w:rsid w:val="02043122"/>
    <w:rsid w:val="02055635"/>
    <w:rsid w:val="02346456"/>
    <w:rsid w:val="024E269D"/>
    <w:rsid w:val="027B1CE2"/>
    <w:rsid w:val="029F57DD"/>
    <w:rsid w:val="02D738A3"/>
    <w:rsid w:val="034464B8"/>
    <w:rsid w:val="036576B8"/>
    <w:rsid w:val="03C71EFB"/>
    <w:rsid w:val="03D735B0"/>
    <w:rsid w:val="03FA6CDF"/>
    <w:rsid w:val="04365FFA"/>
    <w:rsid w:val="04494A43"/>
    <w:rsid w:val="04500542"/>
    <w:rsid w:val="046D244C"/>
    <w:rsid w:val="046F1BE2"/>
    <w:rsid w:val="04822D08"/>
    <w:rsid w:val="04C851F1"/>
    <w:rsid w:val="04FB048C"/>
    <w:rsid w:val="051E2F28"/>
    <w:rsid w:val="052C29BF"/>
    <w:rsid w:val="05337A63"/>
    <w:rsid w:val="055C5785"/>
    <w:rsid w:val="05913412"/>
    <w:rsid w:val="05F06637"/>
    <w:rsid w:val="062C7228"/>
    <w:rsid w:val="06517EE9"/>
    <w:rsid w:val="06631EC2"/>
    <w:rsid w:val="06C55EEB"/>
    <w:rsid w:val="07004918"/>
    <w:rsid w:val="070B6221"/>
    <w:rsid w:val="07654B87"/>
    <w:rsid w:val="07BA720E"/>
    <w:rsid w:val="07CB7156"/>
    <w:rsid w:val="07E13B30"/>
    <w:rsid w:val="07EE2CA7"/>
    <w:rsid w:val="07EF709A"/>
    <w:rsid w:val="081F2D4C"/>
    <w:rsid w:val="084E2ACF"/>
    <w:rsid w:val="084F19C0"/>
    <w:rsid w:val="08635040"/>
    <w:rsid w:val="08A83B98"/>
    <w:rsid w:val="08B2562B"/>
    <w:rsid w:val="08B5584D"/>
    <w:rsid w:val="08BC41C1"/>
    <w:rsid w:val="09190838"/>
    <w:rsid w:val="095C7B83"/>
    <w:rsid w:val="098F731B"/>
    <w:rsid w:val="0996625D"/>
    <w:rsid w:val="09DE2A70"/>
    <w:rsid w:val="0A1F4EA7"/>
    <w:rsid w:val="0AB51489"/>
    <w:rsid w:val="0ABF0DA2"/>
    <w:rsid w:val="0ACE0B6C"/>
    <w:rsid w:val="0AEE6792"/>
    <w:rsid w:val="0B33524B"/>
    <w:rsid w:val="0BD17250"/>
    <w:rsid w:val="0BE64801"/>
    <w:rsid w:val="0C7965AF"/>
    <w:rsid w:val="0C8E3524"/>
    <w:rsid w:val="0C95751F"/>
    <w:rsid w:val="0CBE378C"/>
    <w:rsid w:val="0CD426C0"/>
    <w:rsid w:val="0D63355E"/>
    <w:rsid w:val="0D6402AD"/>
    <w:rsid w:val="0D6E00F5"/>
    <w:rsid w:val="0DE27351"/>
    <w:rsid w:val="0E133FA6"/>
    <w:rsid w:val="0E195228"/>
    <w:rsid w:val="0E2217A8"/>
    <w:rsid w:val="0E925E78"/>
    <w:rsid w:val="0EA20C5D"/>
    <w:rsid w:val="0EA54211"/>
    <w:rsid w:val="0EAB227A"/>
    <w:rsid w:val="0EAD5EAE"/>
    <w:rsid w:val="0EB36468"/>
    <w:rsid w:val="0EDB1EAC"/>
    <w:rsid w:val="0EDB759D"/>
    <w:rsid w:val="0F361774"/>
    <w:rsid w:val="0F3B7D92"/>
    <w:rsid w:val="0F66630C"/>
    <w:rsid w:val="0F760781"/>
    <w:rsid w:val="0F8B1453"/>
    <w:rsid w:val="0FCB5DCA"/>
    <w:rsid w:val="0FF10449"/>
    <w:rsid w:val="10485433"/>
    <w:rsid w:val="104C2911"/>
    <w:rsid w:val="107B6F12"/>
    <w:rsid w:val="11053C87"/>
    <w:rsid w:val="11316C22"/>
    <w:rsid w:val="11604A5C"/>
    <w:rsid w:val="1176169D"/>
    <w:rsid w:val="117C68E7"/>
    <w:rsid w:val="118263A1"/>
    <w:rsid w:val="1192240F"/>
    <w:rsid w:val="119603EC"/>
    <w:rsid w:val="11A331FA"/>
    <w:rsid w:val="11A87B15"/>
    <w:rsid w:val="11C224F8"/>
    <w:rsid w:val="11DA3D05"/>
    <w:rsid w:val="120038A1"/>
    <w:rsid w:val="121A67F7"/>
    <w:rsid w:val="121E029E"/>
    <w:rsid w:val="124D4083"/>
    <w:rsid w:val="12701BF6"/>
    <w:rsid w:val="1287461C"/>
    <w:rsid w:val="12D777F2"/>
    <w:rsid w:val="12DE47E6"/>
    <w:rsid w:val="12F639E2"/>
    <w:rsid w:val="133D1517"/>
    <w:rsid w:val="136532E8"/>
    <w:rsid w:val="13CC1FE7"/>
    <w:rsid w:val="141407F8"/>
    <w:rsid w:val="14747306"/>
    <w:rsid w:val="14953687"/>
    <w:rsid w:val="14D251DA"/>
    <w:rsid w:val="155913AC"/>
    <w:rsid w:val="158C47A5"/>
    <w:rsid w:val="15BC3411"/>
    <w:rsid w:val="1614567C"/>
    <w:rsid w:val="16271ECD"/>
    <w:rsid w:val="16A76302"/>
    <w:rsid w:val="16C521B5"/>
    <w:rsid w:val="16F3593D"/>
    <w:rsid w:val="173A3666"/>
    <w:rsid w:val="17405D8B"/>
    <w:rsid w:val="17482177"/>
    <w:rsid w:val="17794290"/>
    <w:rsid w:val="17DF684D"/>
    <w:rsid w:val="17F31E94"/>
    <w:rsid w:val="181736F0"/>
    <w:rsid w:val="18301873"/>
    <w:rsid w:val="185D59F5"/>
    <w:rsid w:val="18652B97"/>
    <w:rsid w:val="18D24826"/>
    <w:rsid w:val="1930763A"/>
    <w:rsid w:val="193564B7"/>
    <w:rsid w:val="198F35F7"/>
    <w:rsid w:val="199667D2"/>
    <w:rsid w:val="19C02A41"/>
    <w:rsid w:val="19C63AD7"/>
    <w:rsid w:val="19DC2403"/>
    <w:rsid w:val="19E94399"/>
    <w:rsid w:val="19EC5D5F"/>
    <w:rsid w:val="19EF6331"/>
    <w:rsid w:val="1A2417DD"/>
    <w:rsid w:val="1A3B555D"/>
    <w:rsid w:val="1AA40BC5"/>
    <w:rsid w:val="1AA52927"/>
    <w:rsid w:val="1AFC093E"/>
    <w:rsid w:val="1B63274F"/>
    <w:rsid w:val="1B751D18"/>
    <w:rsid w:val="1B837689"/>
    <w:rsid w:val="1BA35581"/>
    <w:rsid w:val="1BBC1B6B"/>
    <w:rsid w:val="1BE1312F"/>
    <w:rsid w:val="1BE54206"/>
    <w:rsid w:val="1BFD0B5F"/>
    <w:rsid w:val="1C1224F7"/>
    <w:rsid w:val="1C211FCC"/>
    <w:rsid w:val="1C215860"/>
    <w:rsid w:val="1C3B088A"/>
    <w:rsid w:val="1CD120FF"/>
    <w:rsid w:val="1CDF6B41"/>
    <w:rsid w:val="1CF87735"/>
    <w:rsid w:val="1D2F3F5E"/>
    <w:rsid w:val="1D3121A1"/>
    <w:rsid w:val="1D52110B"/>
    <w:rsid w:val="1D567D06"/>
    <w:rsid w:val="1D5E5041"/>
    <w:rsid w:val="1D6920D8"/>
    <w:rsid w:val="1DF127C5"/>
    <w:rsid w:val="1E994839"/>
    <w:rsid w:val="1EA43D4B"/>
    <w:rsid w:val="1ECB6CF3"/>
    <w:rsid w:val="1ED63936"/>
    <w:rsid w:val="1EE82E44"/>
    <w:rsid w:val="1F095BCD"/>
    <w:rsid w:val="1F324176"/>
    <w:rsid w:val="1F3839D1"/>
    <w:rsid w:val="1F980D5B"/>
    <w:rsid w:val="1FB35C2A"/>
    <w:rsid w:val="1FB7392F"/>
    <w:rsid w:val="1FD83FC9"/>
    <w:rsid w:val="200A7C06"/>
    <w:rsid w:val="20443B05"/>
    <w:rsid w:val="20540405"/>
    <w:rsid w:val="2056015F"/>
    <w:rsid w:val="20AB7349"/>
    <w:rsid w:val="20B11C5C"/>
    <w:rsid w:val="20BE2EDB"/>
    <w:rsid w:val="20CF18B8"/>
    <w:rsid w:val="20DC1B4D"/>
    <w:rsid w:val="20E75FEA"/>
    <w:rsid w:val="211B0EE6"/>
    <w:rsid w:val="21386BBD"/>
    <w:rsid w:val="21720075"/>
    <w:rsid w:val="219A49A8"/>
    <w:rsid w:val="21BE7C5E"/>
    <w:rsid w:val="21C77D00"/>
    <w:rsid w:val="21CA74E9"/>
    <w:rsid w:val="21DE261D"/>
    <w:rsid w:val="21EC2BAB"/>
    <w:rsid w:val="21F22C88"/>
    <w:rsid w:val="220D46BA"/>
    <w:rsid w:val="22A60EB5"/>
    <w:rsid w:val="22D23494"/>
    <w:rsid w:val="22D81D21"/>
    <w:rsid w:val="230F0A4B"/>
    <w:rsid w:val="23165F69"/>
    <w:rsid w:val="232B1CE8"/>
    <w:rsid w:val="238263F4"/>
    <w:rsid w:val="23AF4937"/>
    <w:rsid w:val="23D64254"/>
    <w:rsid w:val="24011960"/>
    <w:rsid w:val="24054A11"/>
    <w:rsid w:val="241137D9"/>
    <w:rsid w:val="245A05CA"/>
    <w:rsid w:val="24895FF2"/>
    <w:rsid w:val="24B66F7B"/>
    <w:rsid w:val="24B95CB1"/>
    <w:rsid w:val="25101C98"/>
    <w:rsid w:val="2549427F"/>
    <w:rsid w:val="25712482"/>
    <w:rsid w:val="25974A42"/>
    <w:rsid w:val="25E037D0"/>
    <w:rsid w:val="2614749F"/>
    <w:rsid w:val="268C368D"/>
    <w:rsid w:val="26B92AA7"/>
    <w:rsid w:val="26F23C5A"/>
    <w:rsid w:val="27251824"/>
    <w:rsid w:val="273F2C97"/>
    <w:rsid w:val="2750534C"/>
    <w:rsid w:val="276D2FA1"/>
    <w:rsid w:val="277838F6"/>
    <w:rsid w:val="279F2C36"/>
    <w:rsid w:val="283C7C55"/>
    <w:rsid w:val="28453812"/>
    <w:rsid w:val="28A65873"/>
    <w:rsid w:val="28A91911"/>
    <w:rsid w:val="28EC1885"/>
    <w:rsid w:val="291F27EC"/>
    <w:rsid w:val="29212C84"/>
    <w:rsid w:val="2933177B"/>
    <w:rsid w:val="29394C50"/>
    <w:rsid w:val="2974095E"/>
    <w:rsid w:val="29927401"/>
    <w:rsid w:val="299608E4"/>
    <w:rsid w:val="299B6946"/>
    <w:rsid w:val="29B80978"/>
    <w:rsid w:val="29C04EC5"/>
    <w:rsid w:val="29DE1E4D"/>
    <w:rsid w:val="2A0A7696"/>
    <w:rsid w:val="2A0D0F0C"/>
    <w:rsid w:val="2A176C00"/>
    <w:rsid w:val="2A6B1D80"/>
    <w:rsid w:val="2ADB6EB7"/>
    <w:rsid w:val="2AFB54C5"/>
    <w:rsid w:val="2B055F8A"/>
    <w:rsid w:val="2B0C03A4"/>
    <w:rsid w:val="2B200651"/>
    <w:rsid w:val="2B3841A3"/>
    <w:rsid w:val="2B6F658C"/>
    <w:rsid w:val="2BA33DC6"/>
    <w:rsid w:val="2BF16B92"/>
    <w:rsid w:val="2D511017"/>
    <w:rsid w:val="2DA67B66"/>
    <w:rsid w:val="2DFD7CDE"/>
    <w:rsid w:val="2E8818C4"/>
    <w:rsid w:val="2E922D73"/>
    <w:rsid w:val="2EBA1864"/>
    <w:rsid w:val="2EC85D5E"/>
    <w:rsid w:val="2ED50D09"/>
    <w:rsid w:val="2EF22E53"/>
    <w:rsid w:val="2F0748E7"/>
    <w:rsid w:val="2F0A6734"/>
    <w:rsid w:val="2F3D79D9"/>
    <w:rsid w:val="2F4219B8"/>
    <w:rsid w:val="2F9C54E2"/>
    <w:rsid w:val="2FC36919"/>
    <w:rsid w:val="2FC935F5"/>
    <w:rsid w:val="3014598E"/>
    <w:rsid w:val="3019494D"/>
    <w:rsid w:val="301B4DB2"/>
    <w:rsid w:val="302F5F5A"/>
    <w:rsid w:val="305C6B22"/>
    <w:rsid w:val="30B27717"/>
    <w:rsid w:val="30DB42DF"/>
    <w:rsid w:val="30E74DA6"/>
    <w:rsid w:val="30EC34E0"/>
    <w:rsid w:val="31172A76"/>
    <w:rsid w:val="31841167"/>
    <w:rsid w:val="31962F66"/>
    <w:rsid w:val="32484C4E"/>
    <w:rsid w:val="32605D06"/>
    <w:rsid w:val="32E90B44"/>
    <w:rsid w:val="33A43C30"/>
    <w:rsid w:val="33CE2C57"/>
    <w:rsid w:val="33DE6B77"/>
    <w:rsid w:val="33EC512B"/>
    <w:rsid w:val="341C101E"/>
    <w:rsid w:val="346F43F1"/>
    <w:rsid w:val="347D281C"/>
    <w:rsid w:val="34FA467B"/>
    <w:rsid w:val="35441A8C"/>
    <w:rsid w:val="35484BCD"/>
    <w:rsid w:val="355A3D41"/>
    <w:rsid w:val="35691819"/>
    <w:rsid w:val="35A304A9"/>
    <w:rsid w:val="35D573AE"/>
    <w:rsid w:val="364D7488"/>
    <w:rsid w:val="36741E16"/>
    <w:rsid w:val="36CC7811"/>
    <w:rsid w:val="36D654B6"/>
    <w:rsid w:val="36DD32BF"/>
    <w:rsid w:val="370C7272"/>
    <w:rsid w:val="371E4419"/>
    <w:rsid w:val="372F21F8"/>
    <w:rsid w:val="37355B09"/>
    <w:rsid w:val="37450A23"/>
    <w:rsid w:val="37482467"/>
    <w:rsid w:val="375A10AE"/>
    <w:rsid w:val="375F18CE"/>
    <w:rsid w:val="376D3A14"/>
    <w:rsid w:val="377543D4"/>
    <w:rsid w:val="379E050A"/>
    <w:rsid w:val="379F42F8"/>
    <w:rsid w:val="37A227C0"/>
    <w:rsid w:val="37A563A1"/>
    <w:rsid w:val="37FE1083"/>
    <w:rsid w:val="38112289"/>
    <w:rsid w:val="381439C0"/>
    <w:rsid w:val="382C54C9"/>
    <w:rsid w:val="3842422E"/>
    <w:rsid w:val="384E7A64"/>
    <w:rsid w:val="389567FE"/>
    <w:rsid w:val="389B0595"/>
    <w:rsid w:val="38A47140"/>
    <w:rsid w:val="38F80946"/>
    <w:rsid w:val="39197560"/>
    <w:rsid w:val="39275FEC"/>
    <w:rsid w:val="393153A6"/>
    <w:rsid w:val="3939253C"/>
    <w:rsid w:val="39875A90"/>
    <w:rsid w:val="39A53523"/>
    <w:rsid w:val="39A75360"/>
    <w:rsid w:val="39C661B5"/>
    <w:rsid w:val="3A24180E"/>
    <w:rsid w:val="3A3D44A3"/>
    <w:rsid w:val="3A6570A1"/>
    <w:rsid w:val="3A883352"/>
    <w:rsid w:val="3A98285C"/>
    <w:rsid w:val="3AA7541F"/>
    <w:rsid w:val="3AB16AFD"/>
    <w:rsid w:val="3ABD3CF2"/>
    <w:rsid w:val="3AD23706"/>
    <w:rsid w:val="3AD54D74"/>
    <w:rsid w:val="3ADF1772"/>
    <w:rsid w:val="3AE83617"/>
    <w:rsid w:val="3AFC44E4"/>
    <w:rsid w:val="3B377223"/>
    <w:rsid w:val="3C200787"/>
    <w:rsid w:val="3CE43D58"/>
    <w:rsid w:val="3D056DE5"/>
    <w:rsid w:val="3D150381"/>
    <w:rsid w:val="3D242DC0"/>
    <w:rsid w:val="3D3357D0"/>
    <w:rsid w:val="3D3861CD"/>
    <w:rsid w:val="3D444D9B"/>
    <w:rsid w:val="3D603B0C"/>
    <w:rsid w:val="3D804F81"/>
    <w:rsid w:val="3D9A53D2"/>
    <w:rsid w:val="3DA82763"/>
    <w:rsid w:val="3EB24A80"/>
    <w:rsid w:val="3EF344A0"/>
    <w:rsid w:val="3F0C5499"/>
    <w:rsid w:val="3F266B61"/>
    <w:rsid w:val="3F271710"/>
    <w:rsid w:val="3F564F2E"/>
    <w:rsid w:val="3F5A618E"/>
    <w:rsid w:val="3FD43A9E"/>
    <w:rsid w:val="403C0BE5"/>
    <w:rsid w:val="406538E2"/>
    <w:rsid w:val="40AE2408"/>
    <w:rsid w:val="40D61F9F"/>
    <w:rsid w:val="40E6513A"/>
    <w:rsid w:val="411002D9"/>
    <w:rsid w:val="41207F0A"/>
    <w:rsid w:val="41277CAD"/>
    <w:rsid w:val="415E7BFF"/>
    <w:rsid w:val="417254CB"/>
    <w:rsid w:val="418A329E"/>
    <w:rsid w:val="41DE7B28"/>
    <w:rsid w:val="421C406A"/>
    <w:rsid w:val="421C69ED"/>
    <w:rsid w:val="423D3A47"/>
    <w:rsid w:val="423F7E57"/>
    <w:rsid w:val="428B61F9"/>
    <w:rsid w:val="433112AC"/>
    <w:rsid w:val="43313437"/>
    <w:rsid w:val="433238B4"/>
    <w:rsid w:val="434E0C0A"/>
    <w:rsid w:val="438D6152"/>
    <w:rsid w:val="43C54EEF"/>
    <w:rsid w:val="43E02C27"/>
    <w:rsid w:val="443B1E1A"/>
    <w:rsid w:val="444875EB"/>
    <w:rsid w:val="44535F71"/>
    <w:rsid w:val="44A17A7E"/>
    <w:rsid w:val="44EE06E7"/>
    <w:rsid w:val="453C2484"/>
    <w:rsid w:val="453D6989"/>
    <w:rsid w:val="453F4987"/>
    <w:rsid w:val="45617CBE"/>
    <w:rsid w:val="456E21D5"/>
    <w:rsid w:val="457653A3"/>
    <w:rsid w:val="45BA70B1"/>
    <w:rsid w:val="45EA2CE8"/>
    <w:rsid w:val="45F74EDF"/>
    <w:rsid w:val="4600059B"/>
    <w:rsid w:val="46160E93"/>
    <w:rsid w:val="462D006C"/>
    <w:rsid w:val="464E252C"/>
    <w:rsid w:val="46910209"/>
    <w:rsid w:val="46AB5174"/>
    <w:rsid w:val="46B700F8"/>
    <w:rsid w:val="46BB44BC"/>
    <w:rsid w:val="46C439A3"/>
    <w:rsid w:val="46D272F4"/>
    <w:rsid w:val="473A4BD7"/>
    <w:rsid w:val="47510996"/>
    <w:rsid w:val="47570AD2"/>
    <w:rsid w:val="47580314"/>
    <w:rsid w:val="47B34831"/>
    <w:rsid w:val="47EB41FA"/>
    <w:rsid w:val="47EF7803"/>
    <w:rsid w:val="4804144A"/>
    <w:rsid w:val="48070487"/>
    <w:rsid w:val="48501411"/>
    <w:rsid w:val="48695334"/>
    <w:rsid w:val="486A7361"/>
    <w:rsid w:val="48890152"/>
    <w:rsid w:val="48C05E0B"/>
    <w:rsid w:val="48C93CA5"/>
    <w:rsid w:val="48F87457"/>
    <w:rsid w:val="490671E3"/>
    <w:rsid w:val="490E1280"/>
    <w:rsid w:val="4922407A"/>
    <w:rsid w:val="497A63F6"/>
    <w:rsid w:val="497B7D9F"/>
    <w:rsid w:val="498E6CD6"/>
    <w:rsid w:val="49BD25AC"/>
    <w:rsid w:val="49C93F25"/>
    <w:rsid w:val="49D14B65"/>
    <w:rsid w:val="4A7B0E59"/>
    <w:rsid w:val="4A803067"/>
    <w:rsid w:val="4AB74840"/>
    <w:rsid w:val="4AD728D0"/>
    <w:rsid w:val="4ADF597A"/>
    <w:rsid w:val="4AE30D8B"/>
    <w:rsid w:val="4B2D7D43"/>
    <w:rsid w:val="4B91508D"/>
    <w:rsid w:val="4B937275"/>
    <w:rsid w:val="4BB90631"/>
    <w:rsid w:val="4C450FB8"/>
    <w:rsid w:val="4C747E14"/>
    <w:rsid w:val="4CA84AAD"/>
    <w:rsid w:val="4CAC0E3F"/>
    <w:rsid w:val="4CEA5082"/>
    <w:rsid w:val="4D2B53D3"/>
    <w:rsid w:val="4D421E62"/>
    <w:rsid w:val="4D807BBE"/>
    <w:rsid w:val="4DFF2E91"/>
    <w:rsid w:val="4E01515D"/>
    <w:rsid w:val="4E405991"/>
    <w:rsid w:val="4E644A95"/>
    <w:rsid w:val="4E656BC0"/>
    <w:rsid w:val="4E65774D"/>
    <w:rsid w:val="4F0023CD"/>
    <w:rsid w:val="4F056DE1"/>
    <w:rsid w:val="4F15353E"/>
    <w:rsid w:val="4F19757E"/>
    <w:rsid w:val="4F223D03"/>
    <w:rsid w:val="4F6701AB"/>
    <w:rsid w:val="4F9E5377"/>
    <w:rsid w:val="4FCB101C"/>
    <w:rsid w:val="4FE6405E"/>
    <w:rsid w:val="50540AFB"/>
    <w:rsid w:val="50602A1B"/>
    <w:rsid w:val="50612797"/>
    <w:rsid w:val="50BB53A5"/>
    <w:rsid w:val="50DC73F1"/>
    <w:rsid w:val="50FB1272"/>
    <w:rsid w:val="51174AAA"/>
    <w:rsid w:val="51C54E50"/>
    <w:rsid w:val="51DE290C"/>
    <w:rsid w:val="51E311A7"/>
    <w:rsid w:val="521356D1"/>
    <w:rsid w:val="529D10AF"/>
    <w:rsid w:val="53494392"/>
    <w:rsid w:val="535809C3"/>
    <w:rsid w:val="538B3ECB"/>
    <w:rsid w:val="53E76275"/>
    <w:rsid w:val="54372316"/>
    <w:rsid w:val="547B4505"/>
    <w:rsid w:val="548E6390"/>
    <w:rsid w:val="549E4993"/>
    <w:rsid w:val="54C51393"/>
    <w:rsid w:val="54D9333A"/>
    <w:rsid w:val="54ED6EEB"/>
    <w:rsid w:val="55966BD2"/>
    <w:rsid w:val="56B23CA6"/>
    <w:rsid w:val="570755A7"/>
    <w:rsid w:val="573072C4"/>
    <w:rsid w:val="57471187"/>
    <w:rsid w:val="576F023D"/>
    <w:rsid w:val="577B6EE4"/>
    <w:rsid w:val="579D42FF"/>
    <w:rsid w:val="57AC5A21"/>
    <w:rsid w:val="57D2146B"/>
    <w:rsid w:val="57EF1F3E"/>
    <w:rsid w:val="581C0CA5"/>
    <w:rsid w:val="5828202C"/>
    <w:rsid w:val="58306DB2"/>
    <w:rsid w:val="584E2F27"/>
    <w:rsid w:val="5886355F"/>
    <w:rsid w:val="58891F15"/>
    <w:rsid w:val="58913390"/>
    <w:rsid w:val="58A35601"/>
    <w:rsid w:val="58BA7B88"/>
    <w:rsid w:val="591C62AA"/>
    <w:rsid w:val="593C1AF7"/>
    <w:rsid w:val="597E34F4"/>
    <w:rsid w:val="59DD23FD"/>
    <w:rsid w:val="59E24A9F"/>
    <w:rsid w:val="5A737CDB"/>
    <w:rsid w:val="5B51559A"/>
    <w:rsid w:val="5B761405"/>
    <w:rsid w:val="5BEC19E4"/>
    <w:rsid w:val="5BF8521E"/>
    <w:rsid w:val="5C0A7D4F"/>
    <w:rsid w:val="5C1B1303"/>
    <w:rsid w:val="5C241BA9"/>
    <w:rsid w:val="5C2453F7"/>
    <w:rsid w:val="5C4A3FC2"/>
    <w:rsid w:val="5C4D09E5"/>
    <w:rsid w:val="5D0852CE"/>
    <w:rsid w:val="5D2928D3"/>
    <w:rsid w:val="5D2F26AA"/>
    <w:rsid w:val="5D433B15"/>
    <w:rsid w:val="5D502207"/>
    <w:rsid w:val="5DBD180F"/>
    <w:rsid w:val="5E0369A2"/>
    <w:rsid w:val="5E1C522E"/>
    <w:rsid w:val="5E3B5015"/>
    <w:rsid w:val="5E820631"/>
    <w:rsid w:val="5E822C00"/>
    <w:rsid w:val="5ECD71E6"/>
    <w:rsid w:val="5ECF201B"/>
    <w:rsid w:val="5EDA7CAB"/>
    <w:rsid w:val="5EE501EE"/>
    <w:rsid w:val="5F332FFE"/>
    <w:rsid w:val="5F4315E3"/>
    <w:rsid w:val="5FDE769B"/>
    <w:rsid w:val="5FFB11ED"/>
    <w:rsid w:val="60136665"/>
    <w:rsid w:val="602350BD"/>
    <w:rsid w:val="60380678"/>
    <w:rsid w:val="605D60B2"/>
    <w:rsid w:val="60604FB9"/>
    <w:rsid w:val="609540A8"/>
    <w:rsid w:val="60B33EB4"/>
    <w:rsid w:val="60BB530A"/>
    <w:rsid w:val="611A335C"/>
    <w:rsid w:val="61216701"/>
    <w:rsid w:val="612B1527"/>
    <w:rsid w:val="626B5F89"/>
    <w:rsid w:val="627B32D8"/>
    <w:rsid w:val="62971E0C"/>
    <w:rsid w:val="62B90CFD"/>
    <w:rsid w:val="62FF6042"/>
    <w:rsid w:val="631F3899"/>
    <w:rsid w:val="63226337"/>
    <w:rsid w:val="632D650D"/>
    <w:rsid w:val="63863E37"/>
    <w:rsid w:val="63DC4A37"/>
    <w:rsid w:val="643709EB"/>
    <w:rsid w:val="64C753D2"/>
    <w:rsid w:val="64E82635"/>
    <w:rsid w:val="64EA3C69"/>
    <w:rsid w:val="64F168C1"/>
    <w:rsid w:val="64F459D0"/>
    <w:rsid w:val="6553668F"/>
    <w:rsid w:val="65555035"/>
    <w:rsid w:val="65647826"/>
    <w:rsid w:val="6582338C"/>
    <w:rsid w:val="65B22786"/>
    <w:rsid w:val="65CF7848"/>
    <w:rsid w:val="65E531E0"/>
    <w:rsid w:val="65F6754E"/>
    <w:rsid w:val="661735C0"/>
    <w:rsid w:val="66692167"/>
    <w:rsid w:val="66872C44"/>
    <w:rsid w:val="66A4324F"/>
    <w:rsid w:val="66DD6DB6"/>
    <w:rsid w:val="677D58AE"/>
    <w:rsid w:val="67EE62F1"/>
    <w:rsid w:val="67FE0ABC"/>
    <w:rsid w:val="68272B8D"/>
    <w:rsid w:val="682B4CB5"/>
    <w:rsid w:val="684A0973"/>
    <w:rsid w:val="685C088A"/>
    <w:rsid w:val="688D6550"/>
    <w:rsid w:val="68A36922"/>
    <w:rsid w:val="68A638C2"/>
    <w:rsid w:val="68C1245B"/>
    <w:rsid w:val="68CF44E4"/>
    <w:rsid w:val="68D474B9"/>
    <w:rsid w:val="68D9247A"/>
    <w:rsid w:val="692837A3"/>
    <w:rsid w:val="69520021"/>
    <w:rsid w:val="696E18C3"/>
    <w:rsid w:val="69774602"/>
    <w:rsid w:val="699A4315"/>
    <w:rsid w:val="699A7243"/>
    <w:rsid w:val="69B50573"/>
    <w:rsid w:val="69BE7D9A"/>
    <w:rsid w:val="6A2D2B79"/>
    <w:rsid w:val="6A3376F7"/>
    <w:rsid w:val="6A4533FD"/>
    <w:rsid w:val="6A477F04"/>
    <w:rsid w:val="6A496835"/>
    <w:rsid w:val="6A8E7740"/>
    <w:rsid w:val="6AD5648B"/>
    <w:rsid w:val="6AE90C42"/>
    <w:rsid w:val="6B122298"/>
    <w:rsid w:val="6B44347E"/>
    <w:rsid w:val="6B4B7148"/>
    <w:rsid w:val="6B7409C3"/>
    <w:rsid w:val="6C026F3C"/>
    <w:rsid w:val="6C1769F6"/>
    <w:rsid w:val="6C19025F"/>
    <w:rsid w:val="6C2C4F32"/>
    <w:rsid w:val="6C396029"/>
    <w:rsid w:val="6C3B64A7"/>
    <w:rsid w:val="6CD83A9C"/>
    <w:rsid w:val="6D220952"/>
    <w:rsid w:val="6D256766"/>
    <w:rsid w:val="6D6830E8"/>
    <w:rsid w:val="6D7F405A"/>
    <w:rsid w:val="6DB9174A"/>
    <w:rsid w:val="6DC248E6"/>
    <w:rsid w:val="6DC54E3E"/>
    <w:rsid w:val="6DEF09BC"/>
    <w:rsid w:val="6E1F0E23"/>
    <w:rsid w:val="6E8A1B32"/>
    <w:rsid w:val="6FA6229E"/>
    <w:rsid w:val="6FB96E19"/>
    <w:rsid w:val="6FCA266F"/>
    <w:rsid w:val="6FF900E7"/>
    <w:rsid w:val="70294286"/>
    <w:rsid w:val="708C7ADE"/>
    <w:rsid w:val="70C96F94"/>
    <w:rsid w:val="70D05D03"/>
    <w:rsid w:val="70F93881"/>
    <w:rsid w:val="711575EE"/>
    <w:rsid w:val="715349F8"/>
    <w:rsid w:val="71945E92"/>
    <w:rsid w:val="71BF1449"/>
    <w:rsid w:val="71DF3747"/>
    <w:rsid w:val="721A1FF2"/>
    <w:rsid w:val="721C4A53"/>
    <w:rsid w:val="72356C20"/>
    <w:rsid w:val="723E4008"/>
    <w:rsid w:val="725929D4"/>
    <w:rsid w:val="72A4317D"/>
    <w:rsid w:val="72AC1216"/>
    <w:rsid w:val="72B00049"/>
    <w:rsid w:val="72B70F99"/>
    <w:rsid w:val="73192710"/>
    <w:rsid w:val="732D44FD"/>
    <w:rsid w:val="73981574"/>
    <w:rsid w:val="73A03AE9"/>
    <w:rsid w:val="73B92936"/>
    <w:rsid w:val="73FB49FD"/>
    <w:rsid w:val="74376D48"/>
    <w:rsid w:val="74446098"/>
    <w:rsid w:val="746B414F"/>
    <w:rsid w:val="7472539D"/>
    <w:rsid w:val="747678BB"/>
    <w:rsid w:val="749036DA"/>
    <w:rsid w:val="74A13F3D"/>
    <w:rsid w:val="74DC45A8"/>
    <w:rsid w:val="750227FB"/>
    <w:rsid w:val="75693A34"/>
    <w:rsid w:val="759C3169"/>
    <w:rsid w:val="75B770CD"/>
    <w:rsid w:val="75CD34AB"/>
    <w:rsid w:val="75CF7ADF"/>
    <w:rsid w:val="764B4F25"/>
    <w:rsid w:val="76686C67"/>
    <w:rsid w:val="766C48DD"/>
    <w:rsid w:val="76CE603E"/>
    <w:rsid w:val="77162A8D"/>
    <w:rsid w:val="772C4514"/>
    <w:rsid w:val="774025C7"/>
    <w:rsid w:val="77894212"/>
    <w:rsid w:val="7800271B"/>
    <w:rsid w:val="782E08A0"/>
    <w:rsid w:val="78440AB3"/>
    <w:rsid w:val="785B79C8"/>
    <w:rsid w:val="78751BD5"/>
    <w:rsid w:val="787A7054"/>
    <w:rsid w:val="788F0084"/>
    <w:rsid w:val="78A73067"/>
    <w:rsid w:val="78A9768A"/>
    <w:rsid w:val="78AA4077"/>
    <w:rsid w:val="78CA0ADB"/>
    <w:rsid w:val="78D85865"/>
    <w:rsid w:val="792C66E3"/>
    <w:rsid w:val="79947274"/>
    <w:rsid w:val="79FE73E8"/>
    <w:rsid w:val="7A237A12"/>
    <w:rsid w:val="7A6054E2"/>
    <w:rsid w:val="7A8B7D4E"/>
    <w:rsid w:val="7A98230D"/>
    <w:rsid w:val="7B4269B8"/>
    <w:rsid w:val="7B60499C"/>
    <w:rsid w:val="7B6276D7"/>
    <w:rsid w:val="7BBF0CBF"/>
    <w:rsid w:val="7BCD0EC9"/>
    <w:rsid w:val="7C0C430A"/>
    <w:rsid w:val="7C361D53"/>
    <w:rsid w:val="7C515A2B"/>
    <w:rsid w:val="7CBF1AA2"/>
    <w:rsid w:val="7CF92CB6"/>
    <w:rsid w:val="7D841C93"/>
    <w:rsid w:val="7DA92046"/>
    <w:rsid w:val="7DDF015B"/>
    <w:rsid w:val="7DEE0A06"/>
    <w:rsid w:val="7E745C2A"/>
    <w:rsid w:val="7EA95F25"/>
    <w:rsid w:val="7EBF6D37"/>
    <w:rsid w:val="7ED31DC1"/>
    <w:rsid w:val="7EF47C86"/>
    <w:rsid w:val="7F3B5B00"/>
    <w:rsid w:val="7F3C785D"/>
    <w:rsid w:val="7F510FB4"/>
    <w:rsid w:val="7FCB0BE9"/>
    <w:rsid w:val="7FE147D1"/>
    <w:rsid w:val="7FEB6CD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qFormat="1" w:unhideWhenUsed="0" w:uiPriority="99" w:semiHidden="0" w:name="envelope return" w:locked="1"/>
    <w:lsdException w:qFormat="1" w:unhideWhenUsed="0" w:uiPriority="99" w:name="footnote reference"/>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qFormat="1" w:unhideWhenUsed="0" w:uiPriority="99" w:semiHidden="0" w:name="Body Text First Indent"/>
    <w:lsdException w:qFormat="1" w:unhideWhenUsed="0" w:uiPriority="99" w:semiHidden="0" w:name="Body Text First Indent 2" w:locked="1"/>
    <w:lsdException w:uiPriority="99" w:name="Note Heading" w:locked="1"/>
    <w:lsdException w:qFormat="1" w:unhideWhenUsed="0" w:uiPriority="99" w:semiHidden="0" w:name="Body Text 2"/>
    <w:lsdException w:uiPriority="99" w:name="Body Text 3" w:locked="1"/>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ocked="1"/>
    <w:lsdException w:qFormat="1" w:unhideWhenUsed="0" w:uiPriority="22" w:semiHidden="0" w:name="Strong" w:locked="1"/>
    <w:lsdException w:qFormat="1" w:unhideWhenUsed="0" w:uiPriority="20" w:semiHidden="0" w:name="Emphasis" w:locked="1"/>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6">
    <w:name w:val="heading 1"/>
    <w:basedOn w:val="1"/>
    <w:next w:val="1"/>
    <w:link w:val="62"/>
    <w:qFormat/>
    <w:uiPriority w:val="99"/>
    <w:pPr>
      <w:keepNext/>
      <w:keepLines/>
      <w:numPr>
        <w:ilvl w:val="0"/>
        <w:numId w:val="1"/>
      </w:numPr>
      <w:adjustRightInd w:val="0"/>
      <w:spacing w:before="340" w:after="330" w:line="578" w:lineRule="atLeast"/>
      <w:textAlignment w:val="baseline"/>
      <w:outlineLvl w:val="0"/>
    </w:pPr>
    <w:rPr>
      <w:b/>
      <w:bCs/>
      <w:kern w:val="44"/>
      <w:sz w:val="44"/>
      <w:szCs w:val="44"/>
    </w:rPr>
  </w:style>
  <w:style w:type="paragraph" w:styleId="7">
    <w:name w:val="heading 2"/>
    <w:basedOn w:val="1"/>
    <w:next w:val="1"/>
    <w:link w:val="63"/>
    <w:qFormat/>
    <w:uiPriority w:val="99"/>
    <w:pPr>
      <w:keepNext/>
      <w:keepLines/>
      <w:adjustRightInd w:val="0"/>
      <w:spacing w:before="260" w:after="260" w:line="416" w:lineRule="atLeast"/>
      <w:textAlignment w:val="baseline"/>
      <w:outlineLvl w:val="1"/>
    </w:pPr>
    <w:rPr>
      <w:rFonts w:ascii="Arial" w:hAnsi="Arial" w:eastAsia="黑体"/>
      <w:b/>
      <w:bCs/>
      <w:kern w:val="0"/>
      <w:sz w:val="32"/>
      <w:szCs w:val="32"/>
    </w:rPr>
  </w:style>
  <w:style w:type="paragraph" w:styleId="8">
    <w:name w:val="heading 3"/>
    <w:basedOn w:val="1"/>
    <w:next w:val="9"/>
    <w:link w:val="64"/>
    <w:qFormat/>
    <w:uiPriority w:val="99"/>
    <w:pPr>
      <w:keepNext/>
      <w:keepLines/>
      <w:adjustRightInd w:val="0"/>
      <w:spacing w:before="260" w:after="260" w:line="416" w:lineRule="atLeast"/>
      <w:textAlignment w:val="baseline"/>
      <w:outlineLvl w:val="2"/>
    </w:pPr>
    <w:rPr>
      <w:b/>
      <w:bCs/>
      <w:kern w:val="0"/>
      <w:sz w:val="32"/>
      <w:szCs w:val="32"/>
    </w:rPr>
  </w:style>
  <w:style w:type="paragraph" w:styleId="10">
    <w:name w:val="heading 4"/>
    <w:basedOn w:val="1"/>
    <w:next w:val="1"/>
    <w:link w:val="65"/>
    <w:qFormat/>
    <w:uiPriority w:val="99"/>
    <w:pPr>
      <w:keepNext/>
      <w:keepLines/>
      <w:adjustRightInd w:val="0"/>
      <w:spacing w:before="280" w:after="290" w:line="376" w:lineRule="atLeast"/>
      <w:textAlignment w:val="baseline"/>
      <w:outlineLvl w:val="3"/>
    </w:pPr>
    <w:rPr>
      <w:rFonts w:ascii="Arial" w:hAnsi="Arial" w:eastAsia="黑体"/>
      <w:b/>
      <w:bCs/>
      <w:sz w:val="28"/>
      <w:szCs w:val="28"/>
    </w:rPr>
  </w:style>
  <w:style w:type="paragraph" w:styleId="11">
    <w:name w:val="heading 5"/>
    <w:basedOn w:val="1"/>
    <w:next w:val="1"/>
    <w:link w:val="66"/>
    <w:qFormat/>
    <w:uiPriority w:val="99"/>
    <w:pPr>
      <w:keepNext/>
      <w:keepLines/>
      <w:adjustRightInd w:val="0"/>
      <w:spacing w:before="280" w:after="290" w:line="376" w:lineRule="atLeast"/>
      <w:textAlignment w:val="baseline"/>
      <w:outlineLvl w:val="4"/>
    </w:pPr>
    <w:rPr>
      <w:b/>
      <w:bCs/>
      <w:kern w:val="0"/>
      <w:sz w:val="28"/>
      <w:szCs w:val="28"/>
    </w:rPr>
  </w:style>
  <w:style w:type="paragraph" w:styleId="12">
    <w:name w:val="heading 6"/>
    <w:basedOn w:val="1"/>
    <w:next w:val="1"/>
    <w:link w:val="67"/>
    <w:qFormat/>
    <w:uiPriority w:val="99"/>
    <w:pPr>
      <w:keepNext/>
      <w:keepLines/>
      <w:adjustRightInd w:val="0"/>
      <w:spacing w:before="240" w:after="64" w:line="320" w:lineRule="atLeast"/>
      <w:textAlignment w:val="baseline"/>
      <w:outlineLvl w:val="5"/>
    </w:pPr>
    <w:rPr>
      <w:rFonts w:ascii="Cambria" w:hAnsi="Cambria"/>
      <w:b/>
      <w:bCs/>
      <w:kern w:val="0"/>
      <w:sz w:val="24"/>
      <w:szCs w:val="24"/>
    </w:rPr>
  </w:style>
  <w:style w:type="paragraph" w:styleId="13">
    <w:name w:val="heading 7"/>
    <w:basedOn w:val="1"/>
    <w:next w:val="1"/>
    <w:link w:val="68"/>
    <w:qFormat/>
    <w:uiPriority w:val="99"/>
    <w:pPr>
      <w:keepNext/>
      <w:keepLines/>
      <w:adjustRightInd w:val="0"/>
      <w:spacing w:before="240" w:after="64" w:line="320" w:lineRule="atLeast"/>
      <w:textAlignment w:val="baseline"/>
      <w:outlineLvl w:val="6"/>
    </w:pPr>
    <w:rPr>
      <w:b/>
      <w:bCs/>
      <w:kern w:val="0"/>
      <w:sz w:val="24"/>
      <w:szCs w:val="24"/>
    </w:rPr>
  </w:style>
  <w:style w:type="paragraph" w:styleId="14">
    <w:name w:val="heading 8"/>
    <w:basedOn w:val="1"/>
    <w:next w:val="1"/>
    <w:link w:val="69"/>
    <w:qFormat/>
    <w:uiPriority w:val="99"/>
    <w:pPr>
      <w:keepNext/>
      <w:keepLines/>
      <w:adjustRightInd w:val="0"/>
      <w:spacing w:before="240" w:after="64" w:line="320" w:lineRule="atLeast"/>
      <w:textAlignment w:val="baseline"/>
      <w:outlineLvl w:val="7"/>
    </w:pPr>
    <w:rPr>
      <w:rFonts w:ascii="Cambria" w:hAnsi="Cambria"/>
      <w:kern w:val="0"/>
      <w:sz w:val="24"/>
      <w:szCs w:val="24"/>
    </w:rPr>
  </w:style>
  <w:style w:type="paragraph" w:styleId="15">
    <w:name w:val="heading 9"/>
    <w:basedOn w:val="1"/>
    <w:next w:val="1"/>
    <w:link w:val="70"/>
    <w:qFormat/>
    <w:uiPriority w:val="99"/>
    <w:pPr>
      <w:keepNext/>
      <w:keepLines/>
      <w:adjustRightInd w:val="0"/>
      <w:spacing w:before="240" w:after="64" w:line="320" w:lineRule="atLeast"/>
      <w:textAlignment w:val="baseline"/>
      <w:outlineLvl w:val="8"/>
    </w:pPr>
    <w:rPr>
      <w:rFonts w:ascii="Cambria" w:hAnsi="Cambria"/>
      <w:kern w:val="0"/>
    </w:rPr>
  </w:style>
  <w:style w:type="character" w:default="1" w:styleId="53">
    <w:name w:val="Default Paragraph Font"/>
    <w:unhideWhenUsed/>
    <w:qFormat/>
    <w:uiPriority w:val="1"/>
  </w:style>
  <w:style w:type="table" w:default="1" w:styleId="51">
    <w:name w:val="Normal Table"/>
    <w:unhideWhenUsed/>
    <w:qFormat/>
    <w:uiPriority w:val="99"/>
    <w:tblPr>
      <w:tblCellMar>
        <w:top w:w="0" w:type="dxa"/>
        <w:left w:w="108" w:type="dxa"/>
        <w:bottom w:w="0" w:type="dxa"/>
        <w:right w:w="108" w:type="dxa"/>
      </w:tblCellMar>
    </w:tblPr>
  </w:style>
  <w:style w:type="paragraph" w:styleId="2">
    <w:name w:val="Body Text First Indent 2"/>
    <w:basedOn w:val="3"/>
    <w:next w:val="5"/>
    <w:link w:val="87"/>
    <w:qFormat/>
    <w:locked/>
    <w:uiPriority w:val="99"/>
    <w:pPr>
      <w:ind w:firstLine="420" w:firstLineChars="200"/>
    </w:pPr>
    <w:rPr>
      <w:sz w:val="21"/>
      <w:szCs w:val="21"/>
    </w:rPr>
  </w:style>
  <w:style w:type="paragraph" w:styleId="3">
    <w:name w:val="Body Text Indent"/>
    <w:basedOn w:val="1"/>
    <w:next w:val="4"/>
    <w:link w:val="74"/>
    <w:qFormat/>
    <w:uiPriority w:val="99"/>
    <w:pPr>
      <w:spacing w:after="156"/>
      <w:ind w:firstLine="480"/>
    </w:pPr>
    <w:rPr>
      <w:sz w:val="24"/>
      <w:szCs w:val="24"/>
    </w:rPr>
  </w:style>
  <w:style w:type="paragraph" w:styleId="4">
    <w:name w:val="envelope return"/>
    <w:basedOn w:val="1"/>
    <w:qFormat/>
    <w:locked/>
    <w:uiPriority w:val="99"/>
    <w:pPr>
      <w:snapToGrid w:val="0"/>
    </w:pPr>
    <w:rPr>
      <w:rFonts w:ascii="Arial" w:hAnsi="Arial" w:cs="Arial"/>
    </w:rPr>
  </w:style>
  <w:style w:type="paragraph" w:styleId="5">
    <w:name w:val="Body Text Indent 3"/>
    <w:basedOn w:val="1"/>
    <w:link w:val="82"/>
    <w:qFormat/>
    <w:uiPriority w:val="99"/>
    <w:pPr>
      <w:spacing w:after="120"/>
      <w:ind w:left="420" w:leftChars="200"/>
    </w:pPr>
    <w:rPr>
      <w:kern w:val="0"/>
      <w:sz w:val="16"/>
      <w:szCs w:val="16"/>
    </w:rPr>
  </w:style>
  <w:style w:type="paragraph" w:styleId="9">
    <w:name w:val="Normal Indent"/>
    <w:basedOn w:val="1"/>
    <w:link w:val="71"/>
    <w:qFormat/>
    <w:uiPriority w:val="99"/>
    <w:pPr>
      <w:ind w:firstLine="420"/>
    </w:pPr>
  </w:style>
  <w:style w:type="paragraph" w:styleId="16">
    <w:name w:val="List 3"/>
    <w:basedOn w:val="1"/>
    <w:qFormat/>
    <w:uiPriority w:val="99"/>
    <w:pPr>
      <w:ind w:left="100" w:leftChars="400" w:hanging="200" w:hangingChars="200"/>
    </w:pPr>
  </w:style>
  <w:style w:type="paragraph" w:styleId="17">
    <w:name w:val="toc 7"/>
    <w:basedOn w:val="1"/>
    <w:next w:val="1"/>
    <w:semiHidden/>
    <w:qFormat/>
    <w:uiPriority w:val="99"/>
    <w:pPr>
      <w:ind w:left="1260"/>
      <w:jc w:val="left"/>
    </w:pPr>
    <w:rPr>
      <w:sz w:val="18"/>
      <w:szCs w:val="18"/>
    </w:rPr>
  </w:style>
  <w:style w:type="paragraph" w:styleId="18">
    <w:name w:val="Document Map"/>
    <w:basedOn w:val="1"/>
    <w:link w:val="72"/>
    <w:semiHidden/>
    <w:qFormat/>
    <w:uiPriority w:val="99"/>
    <w:pPr>
      <w:shd w:val="clear" w:color="auto" w:fill="000080"/>
    </w:pPr>
    <w:rPr>
      <w:kern w:val="0"/>
      <w:sz w:val="2"/>
      <w:szCs w:val="2"/>
    </w:rPr>
  </w:style>
  <w:style w:type="paragraph" w:styleId="19">
    <w:name w:val="annotation text"/>
    <w:basedOn w:val="1"/>
    <w:link w:val="73"/>
    <w:semiHidden/>
    <w:qFormat/>
    <w:uiPriority w:val="99"/>
    <w:pPr>
      <w:jc w:val="left"/>
    </w:pPr>
  </w:style>
  <w:style w:type="paragraph" w:styleId="20">
    <w:name w:val="Body Text"/>
    <w:basedOn w:val="1"/>
    <w:next w:val="1"/>
    <w:link w:val="61"/>
    <w:qFormat/>
    <w:uiPriority w:val="99"/>
    <w:rPr>
      <w:kern w:val="0"/>
    </w:rPr>
  </w:style>
  <w:style w:type="paragraph" w:styleId="21">
    <w:name w:val="List 2"/>
    <w:basedOn w:val="1"/>
    <w:qFormat/>
    <w:uiPriority w:val="99"/>
    <w:pPr>
      <w:ind w:left="100" w:leftChars="200" w:hanging="200" w:hangingChars="200"/>
    </w:pPr>
  </w:style>
  <w:style w:type="paragraph" w:styleId="22">
    <w:name w:val="List Continue"/>
    <w:basedOn w:val="1"/>
    <w:qFormat/>
    <w:uiPriority w:val="99"/>
    <w:pPr>
      <w:spacing w:after="120"/>
      <w:ind w:left="420" w:leftChars="200"/>
    </w:pPr>
  </w:style>
  <w:style w:type="paragraph" w:styleId="23">
    <w:name w:val="Block Text"/>
    <w:basedOn w:val="1"/>
    <w:qFormat/>
    <w:uiPriority w:val="99"/>
    <w:pPr>
      <w:autoSpaceDE w:val="0"/>
      <w:autoSpaceDN w:val="0"/>
      <w:adjustRightInd w:val="0"/>
      <w:spacing w:line="300" w:lineRule="auto"/>
      <w:ind w:left="29" w:leftChars="12" w:right="6" w:firstLine="560" w:firstLineChars="200"/>
    </w:pPr>
    <w:rPr>
      <w:kern w:val="0"/>
      <w:sz w:val="28"/>
      <w:szCs w:val="28"/>
    </w:rPr>
  </w:style>
  <w:style w:type="paragraph" w:styleId="24">
    <w:name w:val="toc 5"/>
    <w:basedOn w:val="1"/>
    <w:next w:val="1"/>
    <w:semiHidden/>
    <w:qFormat/>
    <w:uiPriority w:val="99"/>
    <w:pPr>
      <w:ind w:left="840"/>
      <w:jc w:val="left"/>
    </w:pPr>
    <w:rPr>
      <w:sz w:val="18"/>
      <w:szCs w:val="18"/>
    </w:rPr>
  </w:style>
  <w:style w:type="paragraph" w:styleId="25">
    <w:name w:val="toc 3"/>
    <w:basedOn w:val="1"/>
    <w:next w:val="1"/>
    <w:semiHidden/>
    <w:qFormat/>
    <w:uiPriority w:val="99"/>
    <w:pPr>
      <w:ind w:left="420"/>
      <w:jc w:val="left"/>
    </w:pPr>
    <w:rPr>
      <w:i/>
      <w:iCs/>
      <w:sz w:val="20"/>
      <w:szCs w:val="20"/>
    </w:rPr>
  </w:style>
  <w:style w:type="paragraph" w:styleId="26">
    <w:name w:val="Plain Text"/>
    <w:basedOn w:val="1"/>
    <w:link w:val="75"/>
    <w:qFormat/>
    <w:uiPriority w:val="99"/>
    <w:rPr>
      <w:rFonts w:ascii="宋体" w:hAnsi="Courier New"/>
      <w:kern w:val="0"/>
    </w:rPr>
  </w:style>
  <w:style w:type="paragraph" w:styleId="27">
    <w:name w:val="toc 8"/>
    <w:basedOn w:val="1"/>
    <w:next w:val="1"/>
    <w:semiHidden/>
    <w:qFormat/>
    <w:uiPriority w:val="99"/>
    <w:pPr>
      <w:ind w:left="1470"/>
      <w:jc w:val="left"/>
    </w:pPr>
    <w:rPr>
      <w:sz w:val="18"/>
      <w:szCs w:val="18"/>
    </w:rPr>
  </w:style>
  <w:style w:type="paragraph" w:styleId="28">
    <w:name w:val="Date"/>
    <w:basedOn w:val="1"/>
    <w:next w:val="1"/>
    <w:link w:val="76"/>
    <w:qFormat/>
    <w:uiPriority w:val="99"/>
    <w:pPr>
      <w:widowControl/>
      <w:ind w:left="100"/>
      <w:jc w:val="left"/>
    </w:pPr>
    <w:rPr>
      <w:kern w:val="0"/>
    </w:rPr>
  </w:style>
  <w:style w:type="paragraph" w:styleId="29">
    <w:name w:val="Body Text Indent 2"/>
    <w:basedOn w:val="1"/>
    <w:link w:val="77"/>
    <w:qFormat/>
    <w:uiPriority w:val="99"/>
    <w:pPr>
      <w:ind w:left="1436" w:leftChars="684"/>
    </w:pPr>
    <w:rPr>
      <w:kern w:val="0"/>
    </w:rPr>
  </w:style>
  <w:style w:type="paragraph" w:styleId="30">
    <w:name w:val="List Continue 5"/>
    <w:basedOn w:val="1"/>
    <w:qFormat/>
    <w:uiPriority w:val="99"/>
    <w:pPr>
      <w:spacing w:after="120"/>
      <w:ind w:left="2100" w:leftChars="1000"/>
    </w:pPr>
  </w:style>
  <w:style w:type="paragraph" w:styleId="31">
    <w:name w:val="Balloon Text"/>
    <w:basedOn w:val="1"/>
    <w:link w:val="78"/>
    <w:semiHidden/>
    <w:qFormat/>
    <w:uiPriority w:val="99"/>
    <w:rPr>
      <w:sz w:val="18"/>
      <w:szCs w:val="18"/>
    </w:rPr>
  </w:style>
  <w:style w:type="paragraph" w:styleId="32">
    <w:name w:val="footer"/>
    <w:basedOn w:val="1"/>
    <w:link w:val="79"/>
    <w:qFormat/>
    <w:uiPriority w:val="99"/>
    <w:pPr>
      <w:tabs>
        <w:tab w:val="center" w:pos="4153"/>
        <w:tab w:val="right" w:pos="8306"/>
      </w:tabs>
      <w:snapToGrid w:val="0"/>
      <w:jc w:val="left"/>
    </w:pPr>
    <w:rPr>
      <w:sz w:val="18"/>
      <w:szCs w:val="18"/>
    </w:rPr>
  </w:style>
  <w:style w:type="paragraph" w:styleId="33">
    <w:name w:val="header"/>
    <w:basedOn w:val="1"/>
    <w:link w:val="80"/>
    <w:qFormat/>
    <w:uiPriority w:val="99"/>
    <w:pPr>
      <w:pBdr>
        <w:bottom w:val="single" w:color="auto" w:sz="6" w:space="1"/>
      </w:pBdr>
      <w:tabs>
        <w:tab w:val="center" w:pos="4153"/>
        <w:tab w:val="right" w:pos="8306"/>
      </w:tabs>
      <w:snapToGrid w:val="0"/>
      <w:jc w:val="center"/>
    </w:pPr>
    <w:rPr>
      <w:kern w:val="0"/>
      <w:sz w:val="18"/>
      <w:szCs w:val="18"/>
    </w:rPr>
  </w:style>
  <w:style w:type="paragraph" w:styleId="34">
    <w:name w:val="toc 1"/>
    <w:basedOn w:val="1"/>
    <w:next w:val="1"/>
    <w:semiHidden/>
    <w:qFormat/>
    <w:uiPriority w:val="99"/>
    <w:pPr>
      <w:tabs>
        <w:tab w:val="left" w:pos="840"/>
        <w:tab w:val="right" w:leader="dot" w:pos="9402"/>
      </w:tabs>
      <w:adjustRightInd w:val="0"/>
      <w:snapToGrid w:val="0"/>
      <w:spacing w:line="360" w:lineRule="auto"/>
      <w:jc w:val="left"/>
    </w:pPr>
    <w:rPr>
      <w:rFonts w:ascii="Arial" w:hAnsi="宋体" w:cs="Arial"/>
      <w:caps/>
      <w:w w:val="80"/>
      <w:sz w:val="24"/>
      <w:szCs w:val="24"/>
    </w:rPr>
  </w:style>
  <w:style w:type="paragraph" w:styleId="35">
    <w:name w:val="List Continue 4"/>
    <w:basedOn w:val="1"/>
    <w:qFormat/>
    <w:uiPriority w:val="99"/>
    <w:pPr>
      <w:spacing w:after="120"/>
      <w:ind w:left="1680" w:leftChars="800"/>
    </w:pPr>
  </w:style>
  <w:style w:type="paragraph" w:styleId="36">
    <w:name w:val="toc 4"/>
    <w:basedOn w:val="1"/>
    <w:next w:val="1"/>
    <w:semiHidden/>
    <w:qFormat/>
    <w:uiPriority w:val="99"/>
    <w:pPr>
      <w:tabs>
        <w:tab w:val="left" w:pos="1080"/>
        <w:tab w:val="right" w:leader="dot" w:pos="9125"/>
      </w:tabs>
      <w:adjustRightInd w:val="0"/>
      <w:snapToGrid w:val="0"/>
      <w:spacing w:line="360" w:lineRule="auto"/>
      <w:jc w:val="left"/>
    </w:pPr>
    <w:rPr>
      <w:sz w:val="18"/>
      <w:szCs w:val="18"/>
    </w:rPr>
  </w:style>
  <w:style w:type="paragraph" w:styleId="37">
    <w:name w:val="List"/>
    <w:basedOn w:val="1"/>
    <w:qFormat/>
    <w:uiPriority w:val="99"/>
    <w:pPr>
      <w:ind w:left="200" w:hanging="200" w:hangingChars="200"/>
    </w:pPr>
  </w:style>
  <w:style w:type="paragraph" w:styleId="38">
    <w:name w:val="footnote text"/>
    <w:basedOn w:val="1"/>
    <w:link w:val="81"/>
    <w:semiHidden/>
    <w:qFormat/>
    <w:uiPriority w:val="99"/>
    <w:pPr>
      <w:snapToGrid w:val="0"/>
      <w:jc w:val="left"/>
    </w:pPr>
    <w:rPr>
      <w:kern w:val="0"/>
      <w:sz w:val="18"/>
      <w:szCs w:val="18"/>
    </w:rPr>
  </w:style>
  <w:style w:type="paragraph" w:styleId="39">
    <w:name w:val="toc 6"/>
    <w:basedOn w:val="1"/>
    <w:next w:val="1"/>
    <w:semiHidden/>
    <w:qFormat/>
    <w:uiPriority w:val="99"/>
    <w:pPr>
      <w:ind w:left="1050"/>
      <w:jc w:val="left"/>
    </w:pPr>
    <w:rPr>
      <w:sz w:val="18"/>
      <w:szCs w:val="18"/>
    </w:rPr>
  </w:style>
  <w:style w:type="paragraph" w:styleId="40">
    <w:name w:val="List 5"/>
    <w:basedOn w:val="1"/>
    <w:qFormat/>
    <w:uiPriority w:val="99"/>
    <w:pPr>
      <w:ind w:left="100" w:leftChars="800" w:hanging="200" w:hangingChars="200"/>
    </w:pPr>
  </w:style>
  <w:style w:type="paragraph" w:styleId="41">
    <w:name w:val="toc 2"/>
    <w:basedOn w:val="1"/>
    <w:next w:val="1"/>
    <w:semiHidden/>
    <w:qFormat/>
    <w:uiPriority w:val="99"/>
    <w:pPr>
      <w:ind w:left="210"/>
      <w:jc w:val="left"/>
    </w:pPr>
    <w:rPr>
      <w:smallCaps/>
      <w:sz w:val="20"/>
      <w:szCs w:val="20"/>
    </w:rPr>
  </w:style>
  <w:style w:type="paragraph" w:styleId="42">
    <w:name w:val="toc 9"/>
    <w:basedOn w:val="1"/>
    <w:next w:val="1"/>
    <w:semiHidden/>
    <w:qFormat/>
    <w:uiPriority w:val="99"/>
    <w:pPr>
      <w:ind w:left="1680"/>
      <w:jc w:val="left"/>
    </w:pPr>
    <w:rPr>
      <w:sz w:val="18"/>
      <w:szCs w:val="18"/>
    </w:rPr>
  </w:style>
  <w:style w:type="paragraph" w:styleId="43">
    <w:name w:val="Body Text 2"/>
    <w:basedOn w:val="1"/>
    <w:link w:val="83"/>
    <w:qFormat/>
    <w:uiPriority w:val="99"/>
    <w:rPr>
      <w:kern w:val="0"/>
    </w:rPr>
  </w:style>
  <w:style w:type="paragraph" w:styleId="44">
    <w:name w:val="List 4"/>
    <w:basedOn w:val="1"/>
    <w:qFormat/>
    <w:uiPriority w:val="99"/>
    <w:pPr>
      <w:ind w:left="100" w:leftChars="600" w:hanging="200" w:hangingChars="200"/>
    </w:pPr>
  </w:style>
  <w:style w:type="paragraph" w:styleId="45">
    <w:name w:val="List Continue 2"/>
    <w:basedOn w:val="1"/>
    <w:qFormat/>
    <w:uiPriority w:val="99"/>
    <w:pPr>
      <w:spacing w:after="120"/>
      <w:ind w:left="840" w:leftChars="400"/>
    </w:pPr>
  </w:style>
  <w:style w:type="paragraph" w:styleId="46">
    <w:name w:val="HTML Preformatted"/>
    <w:basedOn w:val="1"/>
    <w:link w:val="84"/>
    <w:qFormat/>
    <w:uiPriority w:val="99"/>
    <w:rPr>
      <w:rFonts w:ascii="Courier New" w:hAnsi="Courier New"/>
      <w:sz w:val="20"/>
      <w:szCs w:val="20"/>
    </w:rPr>
  </w:style>
  <w:style w:type="paragraph" w:styleId="4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8">
    <w:name w:val="List Continue 3"/>
    <w:basedOn w:val="1"/>
    <w:qFormat/>
    <w:uiPriority w:val="99"/>
    <w:pPr>
      <w:spacing w:after="120"/>
      <w:ind w:left="1260" w:leftChars="600"/>
    </w:pPr>
  </w:style>
  <w:style w:type="paragraph" w:styleId="49">
    <w:name w:val="annotation subject"/>
    <w:basedOn w:val="19"/>
    <w:next w:val="19"/>
    <w:link w:val="85"/>
    <w:semiHidden/>
    <w:qFormat/>
    <w:uiPriority w:val="99"/>
    <w:rPr>
      <w:b/>
      <w:bCs/>
    </w:rPr>
  </w:style>
  <w:style w:type="paragraph" w:styleId="50">
    <w:name w:val="Body Text First Indent"/>
    <w:basedOn w:val="20"/>
    <w:link w:val="86"/>
    <w:qFormat/>
    <w:uiPriority w:val="99"/>
    <w:pPr>
      <w:spacing w:line="360" w:lineRule="auto"/>
      <w:ind w:firstLine="482"/>
    </w:pPr>
  </w:style>
  <w:style w:type="table" w:styleId="52">
    <w:name w:val="Table Grid"/>
    <w:basedOn w:val="51"/>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locked/>
    <w:uiPriority w:val="22"/>
    <w:rPr>
      <w:b/>
      <w:bCs/>
    </w:rPr>
  </w:style>
  <w:style w:type="character" w:styleId="55">
    <w:name w:val="page number"/>
    <w:qFormat/>
    <w:uiPriority w:val="99"/>
  </w:style>
  <w:style w:type="character" w:styleId="56">
    <w:name w:val="FollowedHyperlink"/>
    <w:qFormat/>
    <w:locked/>
    <w:uiPriority w:val="99"/>
    <w:rPr>
      <w:color w:val="auto"/>
      <w:u w:val="none"/>
    </w:rPr>
  </w:style>
  <w:style w:type="character" w:styleId="57">
    <w:name w:val="Hyperlink"/>
    <w:qFormat/>
    <w:uiPriority w:val="99"/>
    <w:rPr>
      <w:color w:val="auto"/>
      <w:u w:val="none"/>
    </w:rPr>
  </w:style>
  <w:style w:type="character" w:styleId="58">
    <w:name w:val="annotation reference"/>
    <w:semiHidden/>
    <w:qFormat/>
    <w:uiPriority w:val="99"/>
    <w:rPr>
      <w:sz w:val="21"/>
      <w:szCs w:val="21"/>
    </w:rPr>
  </w:style>
  <w:style w:type="character" w:styleId="59">
    <w:name w:val="footnote reference"/>
    <w:semiHidden/>
    <w:qFormat/>
    <w:uiPriority w:val="99"/>
    <w:rPr>
      <w:vertAlign w:val="superscript"/>
    </w:rPr>
  </w:style>
  <w:style w:type="paragraph" w:customStyle="1" w:styleId="60">
    <w:name w:val=" Char"/>
    <w:basedOn w:val="1"/>
    <w:qFormat/>
    <w:uiPriority w:val="0"/>
    <w:pPr>
      <w:widowControl/>
      <w:spacing w:after="160" w:afterLines="0" w:line="240" w:lineRule="exact"/>
      <w:jc w:val="left"/>
    </w:pPr>
    <w:rPr>
      <w:rFonts w:ascii="Verdana" w:hAnsi="Verdana" w:eastAsia="宋体"/>
      <w:kern w:val="0"/>
      <w:sz w:val="21"/>
      <w:lang w:eastAsia="en-US"/>
    </w:rPr>
  </w:style>
  <w:style w:type="character" w:customStyle="1" w:styleId="61">
    <w:name w:val="正文文本 Char"/>
    <w:link w:val="20"/>
    <w:semiHidden/>
    <w:qFormat/>
    <w:locked/>
    <w:uiPriority w:val="99"/>
    <w:rPr>
      <w:rFonts w:ascii="Times New Roman" w:hAnsi="Times New Roman" w:cs="Times New Roman"/>
      <w:sz w:val="21"/>
      <w:szCs w:val="21"/>
    </w:rPr>
  </w:style>
  <w:style w:type="character" w:customStyle="1" w:styleId="62">
    <w:name w:val="标题 1 Char"/>
    <w:link w:val="6"/>
    <w:qFormat/>
    <w:locked/>
    <w:uiPriority w:val="99"/>
    <w:rPr>
      <w:b/>
      <w:bCs/>
      <w:kern w:val="44"/>
      <w:sz w:val="44"/>
      <w:szCs w:val="44"/>
    </w:rPr>
  </w:style>
  <w:style w:type="character" w:customStyle="1" w:styleId="63">
    <w:name w:val="标题 2 Char"/>
    <w:link w:val="7"/>
    <w:qFormat/>
    <w:locked/>
    <w:uiPriority w:val="99"/>
    <w:rPr>
      <w:rFonts w:ascii="Arial" w:hAnsi="Arial" w:eastAsia="黑体" w:cs="Arial"/>
      <w:b/>
      <w:bCs/>
      <w:sz w:val="32"/>
      <w:szCs w:val="32"/>
    </w:rPr>
  </w:style>
  <w:style w:type="character" w:customStyle="1" w:styleId="64">
    <w:name w:val="标题 3 Char"/>
    <w:link w:val="8"/>
    <w:semiHidden/>
    <w:qFormat/>
    <w:locked/>
    <w:uiPriority w:val="99"/>
    <w:rPr>
      <w:rFonts w:ascii="Times New Roman" w:hAnsi="Times New Roman" w:cs="Times New Roman"/>
      <w:b/>
      <w:bCs/>
      <w:sz w:val="32"/>
      <w:szCs w:val="32"/>
    </w:rPr>
  </w:style>
  <w:style w:type="character" w:customStyle="1" w:styleId="65">
    <w:name w:val="标题 4 Char"/>
    <w:link w:val="10"/>
    <w:qFormat/>
    <w:locked/>
    <w:uiPriority w:val="99"/>
    <w:rPr>
      <w:rFonts w:ascii="Arial" w:hAnsi="Arial" w:eastAsia="黑体" w:cs="Arial"/>
      <w:b/>
      <w:bCs/>
      <w:kern w:val="2"/>
      <w:sz w:val="28"/>
      <w:szCs w:val="28"/>
      <w:lang w:val="en-US" w:eastAsia="zh-CN"/>
    </w:rPr>
  </w:style>
  <w:style w:type="character" w:customStyle="1" w:styleId="66">
    <w:name w:val="标题 5 Char"/>
    <w:link w:val="11"/>
    <w:semiHidden/>
    <w:qFormat/>
    <w:locked/>
    <w:uiPriority w:val="99"/>
    <w:rPr>
      <w:rFonts w:ascii="Times New Roman" w:hAnsi="Times New Roman" w:cs="Times New Roman"/>
      <w:b/>
      <w:bCs/>
      <w:sz w:val="28"/>
      <w:szCs w:val="28"/>
    </w:rPr>
  </w:style>
  <w:style w:type="character" w:customStyle="1" w:styleId="67">
    <w:name w:val="标题 6 Char"/>
    <w:link w:val="12"/>
    <w:semiHidden/>
    <w:qFormat/>
    <w:locked/>
    <w:uiPriority w:val="99"/>
    <w:rPr>
      <w:rFonts w:ascii="Cambria" w:hAnsi="Cambria" w:eastAsia="宋体" w:cs="Cambria"/>
      <w:b/>
      <w:bCs/>
      <w:sz w:val="24"/>
      <w:szCs w:val="24"/>
    </w:rPr>
  </w:style>
  <w:style w:type="character" w:customStyle="1" w:styleId="68">
    <w:name w:val="标题 7 Char"/>
    <w:link w:val="13"/>
    <w:semiHidden/>
    <w:qFormat/>
    <w:locked/>
    <w:uiPriority w:val="99"/>
    <w:rPr>
      <w:rFonts w:ascii="Times New Roman" w:hAnsi="Times New Roman" w:cs="Times New Roman"/>
      <w:b/>
      <w:bCs/>
      <w:sz w:val="24"/>
      <w:szCs w:val="24"/>
    </w:rPr>
  </w:style>
  <w:style w:type="character" w:customStyle="1" w:styleId="69">
    <w:name w:val="标题 8 Char"/>
    <w:link w:val="14"/>
    <w:semiHidden/>
    <w:qFormat/>
    <w:locked/>
    <w:uiPriority w:val="99"/>
    <w:rPr>
      <w:rFonts w:ascii="Cambria" w:hAnsi="Cambria" w:eastAsia="宋体" w:cs="Cambria"/>
      <w:sz w:val="24"/>
      <w:szCs w:val="24"/>
    </w:rPr>
  </w:style>
  <w:style w:type="character" w:customStyle="1" w:styleId="70">
    <w:name w:val="标题 9 Char"/>
    <w:link w:val="15"/>
    <w:semiHidden/>
    <w:qFormat/>
    <w:locked/>
    <w:uiPriority w:val="99"/>
    <w:rPr>
      <w:rFonts w:ascii="Cambria" w:hAnsi="Cambria" w:eastAsia="宋体" w:cs="Cambria"/>
      <w:sz w:val="21"/>
      <w:szCs w:val="21"/>
    </w:rPr>
  </w:style>
  <w:style w:type="character" w:customStyle="1" w:styleId="71">
    <w:name w:val="正文缩进 Char"/>
    <w:link w:val="9"/>
    <w:qFormat/>
    <w:locked/>
    <w:uiPriority w:val="99"/>
    <w:rPr>
      <w:kern w:val="2"/>
      <w:sz w:val="21"/>
      <w:szCs w:val="21"/>
    </w:rPr>
  </w:style>
  <w:style w:type="character" w:customStyle="1" w:styleId="72">
    <w:name w:val="文档结构图 Char"/>
    <w:link w:val="18"/>
    <w:semiHidden/>
    <w:qFormat/>
    <w:locked/>
    <w:uiPriority w:val="99"/>
    <w:rPr>
      <w:rFonts w:ascii="Times New Roman" w:hAnsi="Times New Roman" w:cs="Times New Roman"/>
      <w:sz w:val="2"/>
      <w:szCs w:val="2"/>
    </w:rPr>
  </w:style>
  <w:style w:type="character" w:customStyle="1" w:styleId="73">
    <w:name w:val="批注文字 Char"/>
    <w:link w:val="19"/>
    <w:qFormat/>
    <w:locked/>
    <w:uiPriority w:val="99"/>
    <w:rPr>
      <w:kern w:val="2"/>
      <w:sz w:val="21"/>
      <w:szCs w:val="21"/>
    </w:rPr>
  </w:style>
  <w:style w:type="character" w:customStyle="1" w:styleId="74">
    <w:name w:val="正文文本缩进 Char"/>
    <w:link w:val="3"/>
    <w:qFormat/>
    <w:locked/>
    <w:uiPriority w:val="99"/>
    <w:rPr>
      <w:kern w:val="2"/>
      <w:sz w:val="24"/>
      <w:szCs w:val="24"/>
    </w:rPr>
  </w:style>
  <w:style w:type="character" w:customStyle="1" w:styleId="75">
    <w:name w:val="纯文本 Char"/>
    <w:link w:val="26"/>
    <w:semiHidden/>
    <w:qFormat/>
    <w:locked/>
    <w:uiPriority w:val="99"/>
    <w:rPr>
      <w:rFonts w:ascii="宋体" w:hAnsi="Courier New" w:cs="宋体"/>
      <w:sz w:val="21"/>
      <w:szCs w:val="21"/>
    </w:rPr>
  </w:style>
  <w:style w:type="character" w:customStyle="1" w:styleId="76">
    <w:name w:val="日期 Char"/>
    <w:link w:val="28"/>
    <w:semiHidden/>
    <w:qFormat/>
    <w:locked/>
    <w:uiPriority w:val="99"/>
    <w:rPr>
      <w:rFonts w:ascii="Times New Roman" w:hAnsi="Times New Roman" w:cs="Times New Roman"/>
      <w:sz w:val="21"/>
      <w:szCs w:val="21"/>
    </w:rPr>
  </w:style>
  <w:style w:type="character" w:customStyle="1" w:styleId="77">
    <w:name w:val="正文文本缩进 2 Char"/>
    <w:link w:val="29"/>
    <w:semiHidden/>
    <w:qFormat/>
    <w:locked/>
    <w:uiPriority w:val="99"/>
    <w:rPr>
      <w:rFonts w:ascii="Times New Roman" w:hAnsi="Times New Roman" w:cs="Times New Roman"/>
      <w:sz w:val="21"/>
      <w:szCs w:val="21"/>
    </w:rPr>
  </w:style>
  <w:style w:type="character" w:customStyle="1" w:styleId="78">
    <w:name w:val="批注框文本 Char"/>
    <w:link w:val="31"/>
    <w:qFormat/>
    <w:locked/>
    <w:uiPriority w:val="99"/>
    <w:rPr>
      <w:rFonts w:eastAsia="宋体"/>
      <w:kern w:val="2"/>
      <w:sz w:val="18"/>
      <w:szCs w:val="18"/>
      <w:lang w:val="en-US" w:eastAsia="zh-CN"/>
    </w:rPr>
  </w:style>
  <w:style w:type="character" w:customStyle="1" w:styleId="79">
    <w:name w:val="页脚 Char"/>
    <w:link w:val="32"/>
    <w:qFormat/>
    <w:locked/>
    <w:uiPriority w:val="99"/>
    <w:rPr>
      <w:kern w:val="2"/>
      <w:sz w:val="18"/>
      <w:szCs w:val="18"/>
    </w:rPr>
  </w:style>
  <w:style w:type="character" w:customStyle="1" w:styleId="80">
    <w:name w:val="页眉 Char"/>
    <w:link w:val="33"/>
    <w:semiHidden/>
    <w:qFormat/>
    <w:locked/>
    <w:uiPriority w:val="99"/>
    <w:rPr>
      <w:rFonts w:ascii="Times New Roman" w:hAnsi="Times New Roman" w:cs="Times New Roman"/>
      <w:sz w:val="18"/>
      <w:szCs w:val="18"/>
    </w:rPr>
  </w:style>
  <w:style w:type="character" w:customStyle="1" w:styleId="81">
    <w:name w:val="脚注文本 Char"/>
    <w:link w:val="38"/>
    <w:semiHidden/>
    <w:qFormat/>
    <w:locked/>
    <w:uiPriority w:val="99"/>
    <w:rPr>
      <w:rFonts w:ascii="Times New Roman" w:hAnsi="Times New Roman" w:cs="Times New Roman"/>
      <w:sz w:val="18"/>
      <w:szCs w:val="18"/>
    </w:rPr>
  </w:style>
  <w:style w:type="character" w:customStyle="1" w:styleId="82">
    <w:name w:val="正文文本缩进 3 Char"/>
    <w:link w:val="5"/>
    <w:semiHidden/>
    <w:qFormat/>
    <w:locked/>
    <w:uiPriority w:val="99"/>
    <w:rPr>
      <w:rFonts w:ascii="Times New Roman" w:hAnsi="Times New Roman" w:cs="Times New Roman"/>
      <w:sz w:val="16"/>
      <w:szCs w:val="16"/>
    </w:rPr>
  </w:style>
  <w:style w:type="character" w:customStyle="1" w:styleId="83">
    <w:name w:val="正文文本 2 Char"/>
    <w:link w:val="43"/>
    <w:semiHidden/>
    <w:qFormat/>
    <w:locked/>
    <w:uiPriority w:val="99"/>
    <w:rPr>
      <w:rFonts w:ascii="Times New Roman" w:hAnsi="Times New Roman" w:cs="Times New Roman"/>
      <w:sz w:val="21"/>
      <w:szCs w:val="21"/>
    </w:rPr>
  </w:style>
  <w:style w:type="character" w:customStyle="1" w:styleId="84">
    <w:name w:val="HTML 预设格式 Char"/>
    <w:link w:val="46"/>
    <w:qFormat/>
    <w:locked/>
    <w:uiPriority w:val="99"/>
    <w:rPr>
      <w:rFonts w:ascii="Courier New" w:hAnsi="Courier New" w:cs="Courier New"/>
      <w:kern w:val="2"/>
    </w:rPr>
  </w:style>
  <w:style w:type="character" w:customStyle="1" w:styleId="85">
    <w:name w:val="批注主题 Char"/>
    <w:link w:val="49"/>
    <w:semiHidden/>
    <w:qFormat/>
    <w:locked/>
    <w:uiPriority w:val="99"/>
    <w:rPr>
      <w:rFonts w:ascii="Times New Roman" w:hAnsi="Times New Roman" w:cs="Times New Roman"/>
      <w:b/>
      <w:bCs/>
      <w:kern w:val="2"/>
      <w:sz w:val="21"/>
      <w:szCs w:val="21"/>
    </w:rPr>
  </w:style>
  <w:style w:type="character" w:customStyle="1" w:styleId="86">
    <w:name w:val="正文首行缩进 Char"/>
    <w:link w:val="50"/>
    <w:semiHidden/>
    <w:qFormat/>
    <w:locked/>
    <w:uiPriority w:val="99"/>
    <w:rPr>
      <w:rFonts w:ascii="Times New Roman" w:hAnsi="Times New Roman" w:cs="Times New Roman"/>
      <w:sz w:val="21"/>
      <w:szCs w:val="21"/>
    </w:rPr>
  </w:style>
  <w:style w:type="character" w:customStyle="1" w:styleId="87">
    <w:name w:val="正文首行缩进 2 Char"/>
    <w:link w:val="2"/>
    <w:qFormat/>
    <w:locked/>
    <w:uiPriority w:val="99"/>
    <w:rPr>
      <w:rFonts w:ascii="Times New Roman" w:hAnsi="Times New Roman" w:cs="Times New Roman"/>
      <w:kern w:val="2"/>
      <w:sz w:val="21"/>
      <w:szCs w:val="21"/>
    </w:rPr>
  </w:style>
  <w:style w:type="paragraph" w:customStyle="1" w:styleId="88">
    <w:name w:val="无间隔1"/>
    <w:qFormat/>
    <w:uiPriority w:val="0"/>
    <w:rPr>
      <w:rFonts w:ascii="Times New Roman" w:hAnsi="Times New Roman" w:eastAsia="宋体" w:cs="Times New Roman"/>
      <w:sz w:val="22"/>
      <w:szCs w:val="22"/>
      <w:lang w:val="en-US" w:eastAsia="en-US" w:bidi="en-US"/>
    </w:rPr>
  </w:style>
  <w:style w:type="paragraph" w:customStyle="1" w:styleId="89">
    <w:name w:val="一级条标题"/>
    <w:basedOn w:val="90"/>
    <w:next w:val="91"/>
    <w:qFormat/>
    <w:uiPriority w:val="0"/>
    <w:pPr>
      <w:tabs>
        <w:tab w:val="left" w:pos="810"/>
        <w:tab w:val="left" w:pos="907"/>
        <w:tab w:val="left" w:pos="1265"/>
      </w:tabs>
      <w:spacing w:before="0" w:after="0"/>
      <w:ind w:left="907" w:hanging="907"/>
      <w:outlineLvl w:val="2"/>
    </w:pPr>
    <w:rPr>
      <w:rFonts w:hAnsi="宋体"/>
      <w:kern w:val="0"/>
      <w:sz w:val="20"/>
      <w:szCs w:val="20"/>
    </w:rPr>
  </w:style>
  <w:style w:type="paragraph" w:customStyle="1" w:styleId="90">
    <w:name w:val="章标题"/>
    <w:next w:val="1"/>
    <w:qFormat/>
    <w:uiPriority w:val="0"/>
    <w:pPr>
      <w:tabs>
        <w:tab w:val="left" w:pos="810"/>
        <w:tab w:val="left" w:pos="1265"/>
      </w:tabs>
      <w:spacing w:before="50" w:after="50"/>
      <w:ind w:left="810" w:hanging="810"/>
      <w:jc w:val="both"/>
      <w:outlineLvl w:val="1"/>
    </w:pPr>
    <w:rPr>
      <w:rFonts w:ascii="黑体" w:hAnsi="Calibri" w:eastAsia="黑体" w:cs="Times New Roman"/>
      <w:kern w:val="2"/>
      <w:sz w:val="21"/>
      <w:szCs w:val="22"/>
      <w:lang w:val="en-US" w:eastAsia="zh-CN" w:bidi="ar-SA"/>
    </w:rPr>
  </w:style>
  <w:style w:type="paragraph" w:customStyle="1" w:styleId="91">
    <w:name w:val="段"/>
    <w:basedOn w:val="1"/>
    <w:next w:val="1"/>
    <w:qFormat/>
    <w:uiPriority w:val="0"/>
    <w:pPr>
      <w:widowControl/>
      <w:autoSpaceDE w:val="0"/>
      <w:autoSpaceDN w:val="0"/>
      <w:ind w:firstLine="200" w:firstLineChars="200"/>
    </w:pPr>
    <w:rPr>
      <w:rFonts w:hint="eastAsia" w:ascii="宋体"/>
      <w:kern w:val="0"/>
    </w:rPr>
  </w:style>
  <w:style w:type="character" w:customStyle="1" w:styleId="92">
    <w:name w:val="font31"/>
    <w:qFormat/>
    <w:uiPriority w:val="99"/>
    <w:rPr>
      <w:rFonts w:ascii="仿宋" w:hAnsi="仿宋" w:eastAsia="仿宋" w:cs="仿宋"/>
      <w:color w:val="000000"/>
      <w:sz w:val="20"/>
      <w:szCs w:val="20"/>
      <w:u w:val="none"/>
    </w:rPr>
  </w:style>
  <w:style w:type="character" w:customStyle="1" w:styleId="93">
    <w:name w:val="font51"/>
    <w:qFormat/>
    <w:uiPriority w:val="99"/>
    <w:rPr>
      <w:rFonts w:ascii="宋体" w:hAnsi="宋体" w:eastAsia="宋体" w:cs="宋体"/>
      <w:color w:val="000000"/>
      <w:sz w:val="24"/>
      <w:szCs w:val="24"/>
      <w:u w:val="none"/>
    </w:rPr>
  </w:style>
  <w:style w:type="character" w:customStyle="1" w:styleId="94">
    <w:name w:val="font101"/>
    <w:qFormat/>
    <w:uiPriority w:val="99"/>
    <w:rPr>
      <w:rFonts w:ascii="仿宋" w:hAnsi="仿宋" w:eastAsia="仿宋" w:cs="仿宋"/>
      <w:color w:val="000000"/>
      <w:sz w:val="20"/>
      <w:szCs w:val="20"/>
      <w:u w:val="none"/>
    </w:rPr>
  </w:style>
  <w:style w:type="character" w:customStyle="1" w:styleId="95">
    <w:name w:val="font111"/>
    <w:qFormat/>
    <w:uiPriority w:val="99"/>
    <w:rPr>
      <w:rFonts w:ascii="宋体" w:hAnsi="宋体" w:eastAsia="宋体" w:cs="宋体"/>
      <w:color w:val="000000"/>
      <w:sz w:val="20"/>
      <w:szCs w:val="20"/>
      <w:u w:val="none"/>
    </w:rPr>
  </w:style>
  <w:style w:type="character" w:customStyle="1" w:styleId="96">
    <w:name w:val="font81"/>
    <w:qFormat/>
    <w:uiPriority w:val="99"/>
    <w:rPr>
      <w:rFonts w:ascii="Arial" w:hAnsi="Arial" w:cs="Arial"/>
      <w:color w:val="000000"/>
      <w:sz w:val="20"/>
      <w:szCs w:val="20"/>
      <w:u w:val="none"/>
    </w:rPr>
  </w:style>
  <w:style w:type="character" w:customStyle="1" w:styleId="97">
    <w:name w:val="style1"/>
    <w:qFormat/>
    <w:uiPriority w:val="99"/>
  </w:style>
  <w:style w:type="character" w:customStyle="1" w:styleId="98">
    <w:name w:val="font71"/>
    <w:qFormat/>
    <w:uiPriority w:val="99"/>
    <w:rPr>
      <w:rFonts w:ascii="Wingdings 2" w:hAnsi="Wingdings 2" w:cs="Wingdings 2"/>
      <w:color w:val="000000"/>
      <w:sz w:val="20"/>
      <w:szCs w:val="20"/>
      <w:u w:val="none"/>
    </w:rPr>
  </w:style>
  <w:style w:type="character" w:customStyle="1" w:styleId="99">
    <w:name w:val="font91"/>
    <w:qFormat/>
    <w:uiPriority w:val="99"/>
    <w:rPr>
      <w:rFonts w:ascii="宋体" w:hAnsi="宋体" w:eastAsia="宋体" w:cs="宋体"/>
      <w:color w:val="000000"/>
      <w:sz w:val="20"/>
      <w:szCs w:val="20"/>
      <w:u w:val="none"/>
    </w:rPr>
  </w:style>
  <w:style w:type="character" w:customStyle="1" w:styleId="100">
    <w:name w:val="font01"/>
    <w:qFormat/>
    <w:uiPriority w:val="99"/>
    <w:rPr>
      <w:rFonts w:ascii="宋体" w:hAnsi="宋体" w:eastAsia="宋体" w:cs="宋体"/>
      <w:color w:val="FF0000"/>
      <w:sz w:val="24"/>
      <w:szCs w:val="24"/>
      <w:u w:val="none"/>
    </w:rPr>
  </w:style>
  <w:style w:type="character" w:customStyle="1" w:styleId="101">
    <w:name w:val="标题 1 Char Char"/>
    <w:qFormat/>
    <w:uiPriority w:val="99"/>
    <w:rPr>
      <w:rFonts w:ascii="宋体" w:hAnsi="宋体" w:eastAsia="宋体" w:cs="宋体"/>
      <w:b/>
      <w:bCs/>
      <w:spacing w:val="-2"/>
      <w:sz w:val="24"/>
      <w:szCs w:val="24"/>
      <w:lang w:val="en-US" w:eastAsia="zh-CN"/>
    </w:rPr>
  </w:style>
  <w:style w:type="character" w:customStyle="1" w:styleId="102">
    <w:name w:val="纯文本 Char_0_0"/>
    <w:link w:val="103"/>
    <w:qFormat/>
    <w:locked/>
    <w:uiPriority w:val="99"/>
    <w:rPr>
      <w:rFonts w:ascii="宋体" w:hAnsi="Courier New" w:cs="宋体"/>
      <w:kern w:val="2"/>
      <w:sz w:val="21"/>
      <w:szCs w:val="21"/>
    </w:rPr>
  </w:style>
  <w:style w:type="paragraph" w:customStyle="1" w:styleId="103">
    <w:name w:val="纯文本_0_0"/>
    <w:basedOn w:val="104"/>
    <w:link w:val="102"/>
    <w:qFormat/>
    <w:uiPriority w:val="99"/>
    <w:rPr>
      <w:rFonts w:ascii="宋体" w:hAnsi="Courier New" w:cs="Times New Roman"/>
    </w:rPr>
  </w:style>
  <w:style w:type="paragraph" w:customStyle="1" w:styleId="104">
    <w:name w:val="正文_7_1_0"/>
    <w:qFormat/>
    <w:uiPriority w:val="99"/>
    <w:pPr>
      <w:widowControl w:val="0"/>
      <w:jc w:val="both"/>
    </w:pPr>
    <w:rPr>
      <w:rFonts w:ascii="Calibri" w:hAnsi="Calibri" w:eastAsia="宋体" w:cs="Calibri"/>
      <w:kern w:val="2"/>
      <w:sz w:val="21"/>
      <w:szCs w:val="21"/>
      <w:lang w:val="en-US" w:eastAsia="zh-CN" w:bidi="ar-SA"/>
    </w:rPr>
  </w:style>
  <w:style w:type="character" w:customStyle="1" w:styleId="105">
    <w:name w:val="Style Heading 3 + Char"/>
    <w:link w:val="106"/>
    <w:qFormat/>
    <w:locked/>
    <w:uiPriority w:val="99"/>
    <w:rPr>
      <w:rFonts w:eastAsia="宋体"/>
      <w:b/>
      <w:bCs/>
      <w:kern w:val="2"/>
      <w:sz w:val="28"/>
      <w:szCs w:val="28"/>
      <w:lang w:val="en-US" w:eastAsia="zh-CN"/>
    </w:rPr>
  </w:style>
  <w:style w:type="paragraph" w:customStyle="1" w:styleId="106">
    <w:name w:val="Style Heading 3 +"/>
    <w:basedOn w:val="8"/>
    <w:link w:val="105"/>
    <w:qFormat/>
    <w:uiPriority w:val="99"/>
    <w:pPr>
      <w:adjustRightInd/>
      <w:spacing w:before="120" w:after="120" w:line="120" w:lineRule="atLeast"/>
      <w:textAlignment w:val="auto"/>
    </w:pPr>
    <w:rPr>
      <w:kern w:val="2"/>
      <w:sz w:val="28"/>
      <w:szCs w:val="28"/>
      <w:lang w:val="en-US" w:eastAsia="zh-CN"/>
    </w:rPr>
  </w:style>
  <w:style w:type="character" w:customStyle="1" w:styleId="107">
    <w:name w:val="font11"/>
    <w:qFormat/>
    <w:uiPriority w:val="99"/>
    <w:rPr>
      <w:rFonts w:ascii="宋体" w:hAnsi="宋体" w:eastAsia="宋体" w:cs="宋体"/>
      <w:color w:val="000000"/>
      <w:sz w:val="24"/>
      <w:szCs w:val="24"/>
      <w:u w:val="none"/>
    </w:rPr>
  </w:style>
  <w:style w:type="character" w:customStyle="1" w:styleId="108">
    <w:name w:val="font21"/>
    <w:qFormat/>
    <w:uiPriority w:val="99"/>
    <w:rPr>
      <w:rFonts w:ascii="楷体_GB2312" w:eastAsia="楷体_GB2312" w:cs="楷体_GB2312"/>
      <w:color w:val="000000"/>
      <w:sz w:val="24"/>
      <w:szCs w:val="24"/>
      <w:u w:val="none"/>
    </w:rPr>
  </w:style>
  <w:style w:type="character" w:customStyle="1" w:styleId="109">
    <w:name w:val="font41"/>
    <w:qFormat/>
    <w:uiPriority w:val="99"/>
    <w:rPr>
      <w:rFonts w:ascii="仿宋" w:hAnsi="仿宋" w:eastAsia="仿宋" w:cs="仿宋"/>
      <w:color w:val="000000"/>
      <w:sz w:val="20"/>
      <w:szCs w:val="20"/>
      <w:u w:val="none"/>
    </w:rPr>
  </w:style>
  <w:style w:type="paragraph" w:customStyle="1" w:styleId="110">
    <w:name w:val="Char Char Char1 Char"/>
    <w:basedOn w:val="1"/>
    <w:qFormat/>
    <w:uiPriority w:val="99"/>
  </w:style>
  <w:style w:type="paragraph" w:customStyle="1" w:styleId="111">
    <w:name w:val="标题 41"/>
    <w:qFormat/>
    <w:uiPriority w:val="0"/>
    <w:pPr>
      <w:widowControl w:val="0"/>
      <w:jc w:val="both"/>
    </w:pPr>
    <w:rPr>
      <w:rFonts w:ascii="Times New Roman" w:hAnsi="Arial Unicode MS" w:eastAsia="Arial Unicode MS" w:cs="Arial Unicode MS"/>
      <w:color w:val="000000"/>
      <w:u w:val="none" w:color="000000"/>
      <w:lang w:val="en-US" w:eastAsia="zh-CN" w:bidi="ar-SA"/>
    </w:rPr>
  </w:style>
  <w:style w:type="paragraph" w:customStyle="1" w:styleId="112">
    <w:name w:val="纯文本2"/>
    <w:basedOn w:val="1"/>
    <w:qFormat/>
    <w:uiPriority w:val="99"/>
    <w:rPr>
      <w:rFonts w:ascii="宋体" w:hAnsi="Courier New" w:cs="宋体"/>
      <w:sz w:val="28"/>
      <w:szCs w:val="28"/>
    </w:rPr>
  </w:style>
  <w:style w:type="paragraph" w:customStyle="1" w:styleId="113">
    <w:name w:val="Default"/>
    <w:qFormat/>
    <w:uiPriority w:val="99"/>
    <w:pPr>
      <w:widowControl w:val="0"/>
      <w:autoSpaceDE w:val="0"/>
      <w:autoSpaceDN w:val="0"/>
      <w:adjustRightInd w:val="0"/>
    </w:pPr>
    <w:rPr>
      <w:rFonts w:ascii="......." w:hAnsi="Calibri" w:eastAsia="......." w:cs="......."/>
      <w:color w:val="000000"/>
      <w:sz w:val="24"/>
      <w:szCs w:val="24"/>
      <w:lang w:val="en-US" w:eastAsia="zh-CN" w:bidi="ar-SA"/>
    </w:rPr>
  </w:style>
  <w:style w:type="paragraph" w:customStyle="1" w:styleId="114">
    <w:name w:val="6"/>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115">
    <w:name w:val="正文缩进2格"/>
    <w:basedOn w:val="1"/>
    <w:qFormat/>
    <w:uiPriority w:val="99"/>
    <w:pPr>
      <w:spacing w:line="600" w:lineRule="exact"/>
      <w:ind w:firstLine="639" w:firstLineChars="206"/>
    </w:pPr>
    <w:rPr>
      <w:rFonts w:ascii="仿宋_GB2312" w:hAnsi="宋体" w:eastAsia="仿宋_GB2312" w:cs="仿宋_GB2312"/>
      <w:sz w:val="31"/>
      <w:szCs w:val="31"/>
    </w:rPr>
  </w:style>
  <w:style w:type="paragraph" w:customStyle="1" w:styleId="116">
    <w:name w:val="1"/>
    <w:basedOn w:val="1"/>
    <w:next w:val="26"/>
    <w:qFormat/>
    <w:uiPriority w:val="99"/>
    <w:rPr>
      <w:rFonts w:ascii="宋体" w:hAnsi="Courier New" w:cs="宋体"/>
    </w:rPr>
  </w:style>
  <w:style w:type="paragraph" w:customStyle="1" w:styleId="117">
    <w:name w:val="Normal_12_0"/>
    <w:qFormat/>
    <w:uiPriority w:val="99"/>
    <w:rPr>
      <w:rFonts w:ascii="黑体" w:hAnsi="黑体" w:eastAsia="黑体" w:cs="黑体"/>
      <w:b/>
      <w:bCs/>
      <w:sz w:val="32"/>
      <w:szCs w:val="32"/>
      <w:lang w:val="en-US" w:eastAsia="zh-CN" w:bidi="ar-SA"/>
    </w:rPr>
  </w:style>
  <w:style w:type="paragraph" w:customStyle="1" w:styleId="118">
    <w:name w:val="p0"/>
    <w:basedOn w:val="1"/>
    <w:qFormat/>
    <w:uiPriority w:val="99"/>
    <w:pPr>
      <w:widowControl/>
    </w:pPr>
    <w:rPr>
      <w:kern w:val="0"/>
    </w:rPr>
  </w:style>
  <w:style w:type="paragraph" w:customStyle="1" w:styleId="119">
    <w:name w:val="列出段落1"/>
    <w:basedOn w:val="1"/>
    <w:qFormat/>
    <w:uiPriority w:val="99"/>
    <w:pPr>
      <w:ind w:firstLine="420" w:firstLineChars="200"/>
    </w:pPr>
  </w:style>
  <w:style w:type="paragraph" w:customStyle="1" w:styleId="120">
    <w:name w:val="样式 标题 1 + 宋体 段前: 0 磅 段后: 0 磅 行距: 单倍行距"/>
    <w:basedOn w:val="6"/>
    <w:next w:val="1"/>
    <w:qFormat/>
    <w:uiPriority w:val="99"/>
    <w:pPr>
      <w:spacing w:beforeLines="100" w:afterLines="100"/>
    </w:pPr>
    <w:rPr>
      <w:rFonts w:ascii="仿宋_GB2312" w:hAnsi="宋体" w:cs="仿宋_GB2312"/>
    </w:rPr>
  </w:style>
  <w:style w:type="paragraph" w:customStyle="1" w:styleId="121">
    <w:name w:val="图文"/>
    <w:basedOn w:val="1"/>
    <w:qFormat/>
    <w:uiPriority w:val="99"/>
    <w:pPr>
      <w:adjustRightInd w:val="0"/>
      <w:snapToGrid w:val="0"/>
      <w:spacing w:after="50" w:line="360" w:lineRule="auto"/>
    </w:pPr>
    <w:rPr>
      <w:sz w:val="24"/>
      <w:szCs w:val="24"/>
    </w:rPr>
  </w:style>
  <w:style w:type="paragraph" w:customStyle="1" w:styleId="122">
    <w:name w:val="列出段落11"/>
    <w:basedOn w:val="1"/>
    <w:qFormat/>
    <w:uiPriority w:val="99"/>
    <w:pPr>
      <w:ind w:firstLine="200" w:firstLineChars="200"/>
    </w:pPr>
    <w:rPr>
      <w:rFonts w:ascii="Calibri" w:hAnsi="Calibri" w:cs="Calibri"/>
    </w:rPr>
  </w:style>
  <w:style w:type="paragraph" w:styleId="123">
    <w:name w:val="List Paragraph"/>
    <w:basedOn w:val="1"/>
    <w:qFormat/>
    <w:uiPriority w:val="99"/>
    <w:pPr>
      <w:ind w:firstLine="420" w:firstLineChars="200"/>
    </w:pPr>
  </w:style>
  <w:style w:type="paragraph" w:customStyle="1" w:styleId="124">
    <w:name w:val="Char2"/>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125">
    <w:name w:val="默认段落字体 Para Char Char Char Char"/>
    <w:basedOn w:val="1"/>
    <w:qFormat/>
    <w:uiPriority w:val="99"/>
  </w:style>
  <w:style w:type="paragraph" w:customStyle="1" w:styleId="126">
    <w:name w:val="Char Char Char Char"/>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127">
    <w:name w:val="二级目录"/>
    <w:next w:val="1"/>
    <w:qFormat/>
    <w:uiPriority w:val="99"/>
    <w:pPr>
      <w:tabs>
        <w:tab w:val="left" w:pos="720"/>
      </w:tabs>
      <w:ind w:left="720" w:hanging="720"/>
      <w:outlineLvl w:val="1"/>
    </w:pPr>
    <w:rPr>
      <w:rFonts w:ascii="Times New Roman" w:hAnsi="Times New Roman" w:eastAsia="宋体" w:cs="Times New Roman"/>
      <w:b/>
      <w:bCs/>
      <w:kern w:val="2"/>
      <w:sz w:val="30"/>
      <w:szCs w:val="30"/>
      <w:lang w:val="en-US" w:eastAsia="zh-CN" w:bidi="ar-SA"/>
    </w:rPr>
  </w:style>
  <w:style w:type="paragraph" w:customStyle="1" w:styleId="128">
    <w:name w:val="简单回函地址"/>
    <w:basedOn w:val="1"/>
    <w:qFormat/>
    <w:uiPriority w:val="99"/>
  </w:style>
  <w:style w:type="paragraph" w:customStyle="1" w:styleId="129">
    <w:name w:val="Plain Text1"/>
    <w:basedOn w:val="1"/>
    <w:qFormat/>
    <w:uiPriority w:val="99"/>
    <w:pPr>
      <w:widowControl/>
      <w:adjustRightInd w:val="0"/>
      <w:jc w:val="left"/>
      <w:textAlignment w:val="baseline"/>
    </w:pPr>
    <w:rPr>
      <w:rFonts w:ascii="宋体" w:hAnsi="Courier New" w:eastAsia="楷体_GB2312" w:cs="宋体"/>
      <w:kern w:val="0"/>
      <w:sz w:val="26"/>
      <w:szCs w:val="26"/>
    </w:rPr>
  </w:style>
  <w:style w:type="paragraph" w:customStyle="1" w:styleId="130">
    <w:name w:val="文档正文"/>
    <w:basedOn w:val="1"/>
    <w:qFormat/>
    <w:uiPriority w:val="99"/>
    <w:pPr>
      <w:adjustRightInd w:val="0"/>
      <w:spacing w:line="480" w:lineRule="atLeast"/>
      <w:ind w:firstLine="567"/>
      <w:textAlignment w:val="baseline"/>
    </w:pPr>
    <w:rPr>
      <w:rFonts w:ascii="仿宋_GB2312" w:eastAsia="仿宋_GB2312" w:cs="仿宋_GB2312"/>
      <w:kern w:val="0"/>
      <w:sz w:val="28"/>
      <w:szCs w:val="28"/>
    </w:rPr>
  </w:style>
  <w:style w:type="paragraph" w:customStyle="1" w:styleId="131">
    <w:name w:val="样式 标题 2 + 黑色 行距: 1.5 倍行距"/>
    <w:basedOn w:val="7"/>
    <w:qFormat/>
    <w:uiPriority w:val="99"/>
    <w:pPr>
      <w:adjustRightInd/>
      <w:spacing w:line="360" w:lineRule="auto"/>
      <w:ind w:firstLine="3502" w:firstLineChars="1246"/>
      <w:textAlignment w:val="auto"/>
    </w:pPr>
    <w:rPr>
      <w:rFonts w:ascii="楷体_GB2312" w:hAnsi="宋体" w:eastAsia="楷体_GB2312" w:cs="楷体_GB2312"/>
      <w:kern w:val="2"/>
      <w:sz w:val="28"/>
      <w:szCs w:val="28"/>
    </w:rPr>
  </w:style>
  <w:style w:type="paragraph" w:customStyle="1" w:styleId="132">
    <w:name w:val="Body Text First Indent 21"/>
    <w:qFormat/>
    <w:uiPriority w:val="99"/>
    <w:pPr>
      <w:widowControl w:val="0"/>
      <w:spacing w:line="480" w:lineRule="auto"/>
      <w:ind w:firstLine="420" w:firstLineChars="200"/>
      <w:jc w:val="both"/>
    </w:pPr>
    <w:rPr>
      <w:rFonts w:ascii="仿宋" w:hAnsi="仿宋" w:eastAsia="仿宋" w:cs="仿宋"/>
      <w:kern w:val="2"/>
      <w:sz w:val="24"/>
      <w:szCs w:val="24"/>
      <w:lang w:val="en-US" w:eastAsia="zh-CN" w:bidi="ar-SA"/>
    </w:rPr>
  </w:style>
  <w:style w:type="paragraph" w:customStyle="1" w:styleId="133">
    <w:name w:val="正文_0"/>
    <w:qFormat/>
    <w:uiPriority w:val="99"/>
    <w:rPr>
      <w:rFonts w:ascii="Times New Roman" w:hAnsi="Times New Roman" w:eastAsia="宋体" w:cs="Times New Roman"/>
      <w:sz w:val="21"/>
      <w:szCs w:val="21"/>
      <w:lang w:val="en-US" w:eastAsia="zh-CN" w:bidi="ar-SA"/>
    </w:rPr>
  </w:style>
  <w:style w:type="paragraph" w:customStyle="1" w:styleId="134">
    <w:name w:val="msonormalcxspmidd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35">
    <w:name w:val="ZX-正文"/>
    <w:qFormat/>
    <w:uiPriority w:val="0"/>
    <w:pPr>
      <w:spacing w:beforeLines="50"/>
      <w:ind w:firstLine="480" w:firstLineChars="200"/>
    </w:pPr>
    <w:rPr>
      <w:rFonts w:ascii="Trebuchet MS" w:hAnsi="FuturaA Bk BT" w:eastAsia="宋体" w:cs="Times New Roman"/>
      <w:kern w:val="2"/>
      <w:sz w:val="24"/>
      <w:lang w:val="en-US" w:eastAsia="zh-CN" w:bidi="ar-SA"/>
    </w:rPr>
  </w:style>
  <w:style w:type="paragraph" w:customStyle="1" w:styleId="136">
    <w:name w:val="Body"/>
    <w:qFormat/>
    <w:uiPriority w:val="0"/>
    <w:rPr>
      <w:rFonts w:hint="eastAsia" w:ascii="Arial Unicode MS" w:hAnsi="Arial Unicode MS" w:eastAsia="Helvetica" w:cs="Arial Unicode MS"/>
      <w:color w:val="000000"/>
      <w:sz w:val="22"/>
      <w:szCs w:val="22"/>
      <w:lang w:val="en-US" w:eastAsia="zh-CN" w:bidi="ar-SA"/>
    </w:rPr>
  </w:style>
  <w:style w:type="paragraph" w:customStyle="1" w:styleId="137">
    <w:name w:val="Body text|1"/>
    <w:basedOn w:val="1"/>
    <w:qFormat/>
    <w:uiPriority w:val="0"/>
    <w:pPr>
      <w:widowControl w:val="0"/>
      <w:shd w:val="clear" w:color="auto" w:fill="auto"/>
      <w:spacing w:line="434" w:lineRule="auto"/>
      <w:ind w:firstLine="400"/>
    </w:pPr>
    <w:rPr>
      <w:rFonts w:ascii="宋体" w:hAnsi="宋体" w:eastAsia="宋体" w:cs="宋体"/>
      <w:sz w:val="20"/>
      <w:szCs w:val="20"/>
      <w:u w:val="none"/>
      <w:shd w:val="clear" w:color="auto" w:fill="auto"/>
      <w:lang w:val="zh-TW" w:eastAsia="zh-TW" w:bidi="zh-TW"/>
    </w:rPr>
  </w:style>
  <w:style w:type="paragraph" w:customStyle="1" w:styleId="138">
    <w:name w:val="_Style 17"/>
    <w:basedOn w:val="1"/>
    <w:next w:val="123"/>
    <w:qFormat/>
    <w:uiPriority w:val="99"/>
    <w:pPr>
      <w:spacing w:line="240" w:lineRule="auto"/>
      <w:ind w:firstLine="420" w:firstLineChars="200"/>
    </w:pPr>
    <w:rPr>
      <w:rFonts w:ascii="Calibri" w:hAnsi="Calibri" w:eastAsia="宋体" w:cs="Times New Roman"/>
      <w:sz w:val="21"/>
    </w:rPr>
  </w:style>
  <w:style w:type="paragraph" w:customStyle="1" w:styleId="13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40">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52</Pages>
  <Words>24031</Words>
  <Characters>24996</Characters>
  <Lines>207</Lines>
  <Paragraphs>58</Paragraphs>
  <TotalTime>7</TotalTime>
  <ScaleCrop>false</ScaleCrop>
  <LinksUpToDate>false</LinksUpToDate>
  <CharactersWithSpaces>26576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2021-04-13T03:26:00Z</dcterms:created>
  <dc:creator>ql</dc:creator>
  <cp:lastModifiedBy>A</cp:lastModifiedBy>
  <cp:lastPrinted>2022-10-18T07:28:00Z</cp:lastPrinted>
  <dcterms:modified xsi:type="dcterms:W3CDTF">2022-10-21T07:40:08Z</dcterms:modified>
  <dc:title>崇川区闸管所2020年闸（站）液压式启闭机维修保养项目</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73E616F815C64578A338056F49312DBC</vt:lpwstr>
  </property>
</Properties>
</file>