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jc w:val="center"/>
        <w:rPr>
          <w:rFonts w:ascii="宋体"/>
          <w:b/>
          <w:bCs/>
          <w:sz w:val="44"/>
          <w:szCs w:val="44"/>
        </w:rPr>
      </w:pPr>
    </w:p>
    <w:p>
      <w:pPr>
        <w:tabs>
          <w:tab w:val="left" w:pos="6300"/>
        </w:tabs>
        <w:snapToGrid w:val="0"/>
        <w:spacing w:line="300" w:lineRule="auto"/>
        <w:jc w:val="center"/>
        <w:rPr>
          <w:rFonts w:hint="eastAsia" w:ascii="宋体" w:hAnsi="宋体" w:cs="宋体"/>
          <w:b/>
          <w:bCs/>
          <w:sz w:val="48"/>
          <w:szCs w:val="48"/>
          <w:lang w:eastAsia="zh-CN"/>
        </w:rPr>
      </w:pPr>
      <w:r>
        <w:rPr>
          <w:rFonts w:hint="eastAsia" w:ascii="宋体" w:hAnsi="宋体" w:cs="宋体"/>
          <w:b/>
          <w:bCs/>
          <w:sz w:val="48"/>
          <w:szCs w:val="48"/>
          <w:lang w:eastAsia="zh-CN"/>
        </w:rPr>
        <w:t>南通市妇幼保健院低压电气设备设施维护</w:t>
      </w:r>
    </w:p>
    <w:p>
      <w:pPr>
        <w:tabs>
          <w:tab w:val="left" w:pos="6300"/>
        </w:tabs>
        <w:snapToGrid w:val="0"/>
        <w:spacing w:line="300" w:lineRule="auto"/>
        <w:jc w:val="center"/>
        <w:rPr>
          <w:rFonts w:hint="eastAsia" w:ascii="宋体" w:hAnsi="宋体" w:cs="宋体"/>
          <w:b/>
          <w:bCs/>
          <w:w w:val="80"/>
          <w:sz w:val="96"/>
          <w:szCs w:val="96"/>
        </w:rPr>
      </w:pPr>
      <w:r>
        <w:rPr>
          <w:rFonts w:hint="eastAsia" w:ascii="宋体" w:hAnsi="宋体" w:cs="宋体"/>
          <w:b/>
          <w:bCs/>
          <w:sz w:val="48"/>
          <w:szCs w:val="48"/>
          <w:lang w:eastAsia="zh-CN"/>
        </w:rPr>
        <w:t>维修服务项目</w:t>
      </w:r>
    </w:p>
    <w:p>
      <w:pPr>
        <w:pStyle w:val="20"/>
        <w:rPr>
          <w:rFonts w:hint="eastAsia" w:ascii="宋体" w:hAnsi="宋体" w:cs="宋体"/>
          <w:b/>
          <w:bCs/>
          <w:w w:val="80"/>
          <w:sz w:val="96"/>
          <w:szCs w:val="96"/>
        </w:rPr>
      </w:pPr>
    </w:p>
    <w:p>
      <w:pPr>
        <w:rPr>
          <w:rFonts w:hint="eastAsia"/>
        </w:rPr>
      </w:pPr>
    </w:p>
    <w:p>
      <w:pPr>
        <w:pStyle w:val="2"/>
        <w:rPr>
          <w:rFonts w:hint="eastAsia"/>
        </w:rPr>
      </w:pPr>
    </w:p>
    <w:p>
      <w:pPr>
        <w:rPr>
          <w:rFonts w:hint="eastAsia"/>
        </w:rPr>
      </w:pPr>
    </w:p>
    <w:p>
      <w:pPr>
        <w:rPr>
          <w:rFonts w:hint="eastAsia"/>
        </w:rPr>
      </w:pPr>
    </w:p>
    <w:p>
      <w:pPr>
        <w:rPr>
          <w:rFonts w:hint="eastAsia"/>
        </w:rPr>
      </w:pPr>
    </w:p>
    <w:p>
      <w:pPr>
        <w:tabs>
          <w:tab w:val="left" w:pos="6300"/>
        </w:tabs>
        <w:snapToGrid w:val="0"/>
        <w:spacing w:line="300" w:lineRule="auto"/>
        <w:jc w:val="center"/>
        <w:rPr>
          <w:rFonts w:ascii="宋体"/>
          <w:b/>
          <w:bCs/>
          <w:w w:val="80"/>
          <w:sz w:val="96"/>
          <w:szCs w:val="96"/>
        </w:rPr>
      </w:pPr>
      <w:r>
        <w:rPr>
          <w:rFonts w:hint="eastAsia" w:ascii="宋体" w:hAnsi="宋体" w:cs="宋体"/>
          <w:b/>
          <w:bCs/>
          <w:w w:val="80"/>
          <w:sz w:val="96"/>
          <w:szCs w:val="96"/>
        </w:rPr>
        <w:t>竞争性磋商文件</w:t>
      </w:r>
    </w:p>
    <w:p>
      <w:pPr>
        <w:jc w:val="center"/>
        <w:rPr>
          <w:rFonts w:ascii="宋体"/>
          <w:b/>
          <w:bCs/>
          <w:sz w:val="44"/>
          <w:szCs w:val="44"/>
        </w:rPr>
      </w:pPr>
    </w:p>
    <w:p>
      <w:pPr>
        <w:pStyle w:val="2"/>
        <w:rPr>
          <w:rFonts w:hint="eastAsia"/>
        </w:rPr>
      </w:pPr>
    </w:p>
    <w:p>
      <w:pPr>
        <w:pStyle w:val="20"/>
      </w:pPr>
    </w:p>
    <w:p/>
    <w:p>
      <w:pPr>
        <w:snapToGrid w:val="0"/>
        <w:spacing w:line="360" w:lineRule="auto"/>
        <w:jc w:val="center"/>
        <w:rPr>
          <w:sz w:val="32"/>
          <w:szCs w:val="32"/>
        </w:rPr>
      </w:pPr>
    </w:p>
    <w:p>
      <w:pPr>
        <w:spacing w:line="360" w:lineRule="auto"/>
        <w:jc w:val="center"/>
        <w:rPr>
          <w:rFonts w:ascii="宋体"/>
          <w:b/>
          <w:bCs/>
          <w:sz w:val="44"/>
          <w:szCs w:val="44"/>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ind w:firstLine="0" w:firstLineChars="0"/>
        <w:rPr>
          <w:rFonts w:hint="eastAsia"/>
        </w:rPr>
      </w:pPr>
    </w:p>
    <w:p>
      <w:pPr>
        <w:pStyle w:val="2"/>
        <w:rPr>
          <w:rFonts w:hint="eastAsia"/>
        </w:rPr>
      </w:pPr>
    </w:p>
    <w:p>
      <w:pPr>
        <w:adjustRightInd w:val="0"/>
        <w:snapToGrid w:val="0"/>
        <w:spacing w:line="360" w:lineRule="auto"/>
        <w:ind w:firstLine="2409" w:firstLineChars="800"/>
        <w:jc w:val="left"/>
        <w:rPr>
          <w:rFonts w:hint="eastAsia" w:ascii="宋体" w:hAnsi="宋体" w:cs="宋体"/>
          <w:b/>
          <w:bCs/>
          <w:sz w:val="30"/>
          <w:szCs w:val="30"/>
        </w:rPr>
      </w:pPr>
      <w:bookmarkStart w:id="0" w:name="_Toc94544827"/>
      <w:bookmarkStart w:id="1" w:name="_Toc521203417"/>
      <w:bookmarkStart w:id="2" w:name="_Toc521201596"/>
      <w:bookmarkStart w:id="3" w:name="_Toc11500279"/>
      <w:bookmarkStart w:id="4" w:name="_Toc11554638"/>
      <w:bookmarkStart w:id="5" w:name="_Toc8895738"/>
      <w:bookmarkStart w:id="6" w:name="_Toc11499583"/>
      <w:bookmarkStart w:id="7" w:name="_Toc94585339"/>
      <w:bookmarkStart w:id="8" w:name="_Toc94544743"/>
      <w:bookmarkStart w:id="9" w:name="_Toc12670502"/>
      <w:r>
        <w:rPr>
          <w:rFonts w:hint="eastAsia" w:ascii="宋体" w:hAnsi="宋体" w:cs="宋体"/>
          <w:b/>
          <w:bCs/>
          <w:sz w:val="30"/>
          <w:szCs w:val="30"/>
        </w:rPr>
        <w:t>采购单位：南通市妇幼保健院</w:t>
      </w:r>
    </w:p>
    <w:p>
      <w:pPr>
        <w:adjustRightInd w:val="0"/>
        <w:snapToGrid w:val="0"/>
        <w:spacing w:line="360" w:lineRule="auto"/>
        <w:ind w:firstLine="2409" w:firstLineChars="800"/>
        <w:jc w:val="left"/>
        <w:rPr>
          <w:rFonts w:hint="eastAsia" w:ascii="宋体" w:hAnsi="宋体" w:eastAsia="宋体" w:cs="宋体"/>
          <w:b/>
          <w:bCs/>
          <w:sz w:val="30"/>
          <w:szCs w:val="30"/>
          <w:lang w:eastAsia="zh-CN"/>
        </w:rPr>
      </w:pPr>
      <w:r>
        <w:rPr>
          <w:rFonts w:hint="eastAsia" w:ascii="宋体" w:hAnsi="宋体" w:cs="宋体"/>
          <w:b/>
          <w:bCs/>
          <w:sz w:val="30"/>
          <w:szCs w:val="30"/>
        </w:rPr>
        <w:t>代理机构：</w:t>
      </w:r>
      <w:r>
        <w:rPr>
          <w:rFonts w:hint="eastAsia" w:ascii="宋体" w:hAnsi="宋体" w:cs="宋体"/>
          <w:b/>
          <w:bCs/>
          <w:sz w:val="30"/>
          <w:szCs w:val="30"/>
          <w:lang w:eastAsia="zh-CN"/>
        </w:rPr>
        <w:t>中证房地产评估造价集团有限公司</w:t>
      </w:r>
    </w:p>
    <w:p>
      <w:pPr>
        <w:adjustRightInd w:val="0"/>
        <w:snapToGrid w:val="0"/>
        <w:spacing w:line="360" w:lineRule="auto"/>
        <w:jc w:val="center"/>
        <w:rPr>
          <w:rFonts w:ascii="宋体" w:hAnsi="宋体" w:cs="宋体"/>
          <w:b/>
          <w:bCs/>
          <w:w w:val="80"/>
          <w:sz w:val="52"/>
          <w:szCs w:val="52"/>
        </w:rPr>
      </w:pPr>
      <w:r>
        <w:rPr>
          <w:rFonts w:hint="eastAsia" w:ascii="宋体" w:hAnsi="宋体" w:cs="宋体"/>
          <w:b/>
          <w:bCs/>
          <w:sz w:val="30"/>
          <w:szCs w:val="30"/>
        </w:rPr>
        <w:t xml:space="preserve"> 二〇二</w:t>
      </w:r>
      <w:r>
        <w:rPr>
          <w:rFonts w:hint="eastAsia" w:ascii="宋体" w:hAnsi="宋体" w:cs="宋体"/>
          <w:b/>
          <w:bCs/>
          <w:sz w:val="30"/>
          <w:szCs w:val="30"/>
          <w:lang w:val="en-US" w:eastAsia="zh-CN"/>
        </w:rPr>
        <w:t>二</w:t>
      </w:r>
      <w:r>
        <w:rPr>
          <w:rFonts w:hint="eastAsia" w:ascii="宋体" w:hAnsi="宋体" w:cs="宋体"/>
          <w:b/>
          <w:bCs/>
          <w:sz w:val="30"/>
          <w:szCs w:val="30"/>
        </w:rPr>
        <w:t>年</w:t>
      </w:r>
      <w:r>
        <w:rPr>
          <w:rFonts w:hint="eastAsia" w:ascii="宋体" w:hAnsi="宋体" w:cs="宋体"/>
          <w:b/>
          <w:bCs/>
          <w:sz w:val="30"/>
          <w:szCs w:val="30"/>
          <w:lang w:val="en-US" w:eastAsia="zh-CN"/>
        </w:rPr>
        <w:t>十</w:t>
      </w:r>
      <w:r>
        <w:rPr>
          <w:rFonts w:hint="eastAsia" w:ascii="宋体" w:hAnsi="宋体" w:cs="宋体"/>
          <w:b/>
          <w:bCs/>
          <w:sz w:val="30"/>
          <w:szCs w:val="30"/>
          <w:lang w:eastAsia="zh-CN"/>
        </w:rPr>
        <w:t>月二十四日</w:t>
      </w:r>
      <w:r>
        <w:rPr>
          <w:rFonts w:hint="eastAsia" w:ascii="宋体" w:hAnsi="宋体" w:cs="宋体"/>
          <w:b/>
          <w:bCs/>
          <w:sz w:val="30"/>
          <w:szCs w:val="30"/>
        </w:rPr>
        <w:t xml:space="preserve">  </w:t>
      </w:r>
      <w:r>
        <w:rPr>
          <w:rFonts w:ascii="宋体"/>
          <w:b/>
          <w:bCs/>
          <w:sz w:val="44"/>
          <w:szCs w:val="44"/>
        </w:rPr>
        <w:br w:type="page"/>
      </w:r>
    </w:p>
    <w:p>
      <w:pPr>
        <w:adjustRightInd w:val="0"/>
        <w:snapToGrid w:val="0"/>
        <w:spacing w:line="360" w:lineRule="auto"/>
        <w:jc w:val="center"/>
        <w:rPr>
          <w:rFonts w:ascii="宋体"/>
          <w:b/>
          <w:bCs/>
          <w:i/>
          <w:iCs/>
          <w:w w:val="80"/>
          <w:sz w:val="52"/>
          <w:szCs w:val="52"/>
        </w:rPr>
      </w:pPr>
      <w:r>
        <w:rPr>
          <w:rFonts w:hint="eastAsia" w:ascii="宋体" w:hAnsi="宋体" w:cs="宋体"/>
          <w:b/>
          <w:bCs/>
          <w:w w:val="80"/>
          <w:sz w:val="52"/>
          <w:szCs w:val="52"/>
        </w:rPr>
        <w:t>目</w:t>
      </w:r>
      <w:r>
        <w:rPr>
          <w:rFonts w:ascii="宋体" w:hAnsi="宋体" w:cs="宋体"/>
          <w:b/>
          <w:bCs/>
          <w:w w:val="80"/>
          <w:sz w:val="52"/>
          <w:szCs w:val="52"/>
        </w:rPr>
        <w:t xml:space="preserve"> </w:t>
      </w:r>
      <w:r>
        <w:rPr>
          <w:rFonts w:hint="eastAsia" w:ascii="宋体" w:hAnsi="宋体" w:cs="宋体"/>
          <w:b/>
          <w:bCs/>
          <w:w w:val="80"/>
          <w:sz w:val="52"/>
          <w:szCs w:val="52"/>
        </w:rPr>
        <w:t xml:space="preserve"> 录</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第一章</w:t>
      </w:r>
      <w:r>
        <w:rPr>
          <w:rFonts w:ascii="宋体" w:cs="宋体"/>
          <w:caps w:val="0"/>
          <w:w w:val="100"/>
          <w:sz w:val="32"/>
          <w:szCs w:val="32"/>
        </w:rPr>
        <w:t xml:space="preserve"> </w:t>
      </w:r>
      <w:r>
        <w:rPr>
          <w:rFonts w:hint="eastAsia" w:ascii="宋体" w:cs="宋体"/>
          <w:caps w:val="0"/>
          <w:w w:val="100"/>
          <w:sz w:val="32"/>
          <w:szCs w:val="32"/>
        </w:rPr>
        <w:t>竞争性磋商公告</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第二章</w:t>
      </w:r>
      <w:r>
        <w:rPr>
          <w:rFonts w:ascii="宋体" w:cs="宋体"/>
          <w:caps w:val="0"/>
          <w:w w:val="100"/>
          <w:sz w:val="32"/>
          <w:szCs w:val="32"/>
        </w:rPr>
        <w:t xml:space="preserve"> </w:t>
      </w:r>
      <w:r>
        <w:rPr>
          <w:rFonts w:hint="eastAsia" w:ascii="宋体" w:cs="宋体"/>
          <w:caps w:val="0"/>
          <w:w w:val="100"/>
          <w:sz w:val="32"/>
          <w:szCs w:val="32"/>
        </w:rPr>
        <w:t>磋商供应商须知</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第三章</w:t>
      </w:r>
      <w:r>
        <w:rPr>
          <w:rFonts w:ascii="宋体" w:cs="宋体"/>
          <w:caps w:val="0"/>
          <w:w w:val="100"/>
          <w:sz w:val="32"/>
          <w:szCs w:val="32"/>
        </w:rPr>
        <w:t xml:space="preserve"> </w:t>
      </w:r>
      <w:r>
        <w:rPr>
          <w:rFonts w:hint="eastAsia" w:ascii="宋体" w:cs="宋体"/>
          <w:caps w:val="0"/>
          <w:w w:val="100"/>
          <w:sz w:val="32"/>
          <w:szCs w:val="32"/>
        </w:rPr>
        <w:t>项目需求</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第四章</w:t>
      </w:r>
      <w:r>
        <w:rPr>
          <w:rFonts w:ascii="宋体" w:cs="宋体"/>
          <w:caps w:val="0"/>
          <w:w w:val="100"/>
          <w:sz w:val="32"/>
          <w:szCs w:val="32"/>
        </w:rPr>
        <w:t xml:space="preserve"> </w:t>
      </w:r>
      <w:r>
        <w:rPr>
          <w:rFonts w:hint="eastAsia" w:ascii="宋体" w:cs="宋体"/>
          <w:caps w:val="0"/>
          <w:w w:val="100"/>
          <w:sz w:val="32"/>
          <w:szCs w:val="32"/>
        </w:rPr>
        <w:t>评审方法和程序</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第五章</w:t>
      </w:r>
      <w:r>
        <w:rPr>
          <w:rFonts w:ascii="宋体" w:cs="宋体"/>
          <w:caps w:val="0"/>
          <w:w w:val="100"/>
          <w:sz w:val="32"/>
          <w:szCs w:val="32"/>
        </w:rPr>
        <w:t xml:space="preserve"> </w:t>
      </w:r>
      <w:r>
        <w:rPr>
          <w:rFonts w:hint="eastAsia" w:ascii="宋体" w:cs="宋体"/>
          <w:caps w:val="0"/>
          <w:w w:val="100"/>
          <w:sz w:val="32"/>
          <w:szCs w:val="32"/>
        </w:rPr>
        <w:t>合同主要条款</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第六章</w:t>
      </w:r>
      <w:r>
        <w:rPr>
          <w:rFonts w:ascii="宋体" w:cs="宋体"/>
          <w:caps w:val="0"/>
          <w:w w:val="100"/>
          <w:sz w:val="32"/>
          <w:szCs w:val="32"/>
        </w:rPr>
        <w:t xml:space="preserve"> </w:t>
      </w:r>
      <w:r>
        <w:rPr>
          <w:rFonts w:hint="eastAsia" w:ascii="宋体" w:cs="宋体"/>
          <w:caps w:val="0"/>
          <w:w w:val="100"/>
          <w:sz w:val="32"/>
          <w:szCs w:val="32"/>
        </w:rPr>
        <w:t>合同授予</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第七章</w:t>
      </w:r>
      <w:r>
        <w:rPr>
          <w:rFonts w:ascii="宋体" w:cs="宋体"/>
          <w:caps w:val="0"/>
          <w:w w:val="100"/>
          <w:sz w:val="32"/>
          <w:szCs w:val="32"/>
        </w:rPr>
        <w:t xml:space="preserve"> </w:t>
      </w:r>
      <w:r>
        <w:rPr>
          <w:rFonts w:hint="eastAsia" w:ascii="宋体" w:cs="宋体"/>
          <w:caps w:val="0"/>
          <w:w w:val="100"/>
          <w:sz w:val="32"/>
          <w:szCs w:val="32"/>
        </w:rPr>
        <w:t>质疑提出和处理</w:t>
      </w:r>
    </w:p>
    <w:p>
      <w:pPr>
        <w:pStyle w:val="34"/>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第八章</w:t>
      </w:r>
      <w:r>
        <w:rPr>
          <w:rFonts w:ascii="宋体" w:cs="宋体"/>
          <w:caps w:val="0"/>
          <w:w w:val="100"/>
          <w:sz w:val="32"/>
          <w:szCs w:val="32"/>
        </w:rPr>
        <w:t xml:space="preserve"> </w:t>
      </w:r>
      <w:r>
        <w:rPr>
          <w:rFonts w:hint="eastAsia" w:ascii="宋体" w:cs="宋体"/>
          <w:caps w:val="0"/>
          <w:w w:val="100"/>
          <w:sz w:val="32"/>
          <w:szCs w:val="32"/>
        </w:rPr>
        <w:t>响应文件组成及格式</w:t>
      </w:r>
    </w:p>
    <w:p>
      <w:pPr>
        <w:rPr>
          <w:rFonts w:ascii="宋体"/>
          <w:sz w:val="36"/>
          <w:szCs w:val="36"/>
        </w:rPr>
      </w:pPr>
    </w:p>
    <w:p>
      <w:pPr>
        <w:rPr>
          <w:rFonts w:ascii="宋体"/>
          <w:sz w:val="36"/>
          <w:szCs w:val="36"/>
        </w:rPr>
      </w:pPr>
    </w:p>
    <w:p>
      <w:pPr>
        <w:snapToGrid w:val="0"/>
        <w:spacing w:line="360" w:lineRule="auto"/>
        <w:rPr>
          <w:rFonts w:ascii="宋体"/>
          <w:b/>
          <w:bCs/>
          <w:sz w:val="24"/>
          <w:szCs w:val="24"/>
        </w:rPr>
      </w:pPr>
      <w:r>
        <w:rPr>
          <w:rFonts w:ascii="宋体"/>
          <w:b/>
          <w:bCs/>
        </w:rPr>
        <w:br w:type="page"/>
      </w:r>
      <w:r>
        <w:rPr>
          <w:rFonts w:hint="eastAsia" w:ascii="宋体" w:hAnsi="宋体" w:cs="宋体"/>
          <w:b/>
          <w:bCs/>
          <w:sz w:val="24"/>
          <w:szCs w:val="24"/>
        </w:rPr>
        <w:t>尊敬的磋商供应商：</w:t>
      </w:r>
    </w:p>
    <w:p>
      <w:pPr>
        <w:snapToGrid w:val="0"/>
        <w:spacing w:line="360" w:lineRule="auto"/>
        <w:ind w:firstLine="482" w:firstLineChars="200"/>
        <w:rPr>
          <w:rFonts w:ascii="宋体"/>
          <w:b/>
          <w:bCs/>
          <w:sz w:val="24"/>
          <w:szCs w:val="24"/>
        </w:rPr>
      </w:pPr>
      <w:r>
        <w:rPr>
          <w:rFonts w:hint="eastAsia" w:ascii="宋体" w:hAnsi="宋体" w:cs="宋体"/>
          <w:b/>
          <w:bCs/>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25"/>
        <w:tabs>
          <w:tab w:val="left" w:pos="1050"/>
          <w:tab w:val="right" w:leader="dot" w:pos="9402"/>
        </w:tabs>
        <w:spacing w:line="360" w:lineRule="auto"/>
        <w:ind w:left="0"/>
        <w:jc w:val="center"/>
        <w:outlineLvl w:val="0"/>
        <w:rPr>
          <w:rFonts w:ascii="宋体"/>
          <w:b/>
          <w:bCs/>
          <w:i w:val="0"/>
          <w:iCs w:val="0"/>
          <w:sz w:val="44"/>
          <w:szCs w:val="44"/>
        </w:rPr>
      </w:pPr>
      <w:bookmarkStart w:id="10" w:name="_Toc363573853"/>
      <w:r>
        <w:rPr>
          <w:rFonts w:hint="eastAsia" w:ascii="宋体" w:hAnsi="宋体" w:cs="宋体"/>
          <w:b/>
          <w:bCs/>
          <w:i w:val="0"/>
          <w:iCs w:val="0"/>
          <w:w w:val="80"/>
          <w:sz w:val="44"/>
          <w:szCs w:val="44"/>
        </w:rPr>
        <w:t>第一章 竞争性磋商公</w:t>
      </w:r>
      <w:bookmarkEnd w:id="0"/>
      <w:bookmarkEnd w:id="1"/>
      <w:bookmarkEnd w:id="2"/>
      <w:bookmarkEnd w:id="3"/>
      <w:bookmarkEnd w:id="4"/>
      <w:bookmarkEnd w:id="5"/>
      <w:bookmarkEnd w:id="6"/>
      <w:bookmarkEnd w:id="7"/>
      <w:bookmarkEnd w:id="8"/>
      <w:bookmarkEnd w:id="9"/>
      <w:r>
        <w:rPr>
          <w:rFonts w:hint="eastAsia" w:ascii="宋体" w:hAnsi="宋体" w:cs="宋体"/>
          <w:b/>
          <w:bCs/>
          <w:i w:val="0"/>
          <w:iCs w:val="0"/>
          <w:w w:val="80"/>
          <w:sz w:val="44"/>
          <w:szCs w:val="44"/>
        </w:rPr>
        <w:t>告</w:t>
      </w:r>
      <w:bookmarkEnd w:id="10"/>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项目概况</w:t>
      </w:r>
    </w:p>
    <w:p>
      <w:pPr>
        <w:widowControl/>
        <w:snapToGrid w:val="0"/>
        <w:spacing w:line="360" w:lineRule="auto"/>
        <w:ind w:firstLine="470" w:firstLineChars="196"/>
        <w:jc w:val="left"/>
      </w:pPr>
      <w:r>
        <w:rPr>
          <w:rFonts w:hint="eastAsia" w:ascii="宋体" w:hAnsi="宋体" w:cs="宋体"/>
          <w:bCs/>
          <w:sz w:val="24"/>
          <w:szCs w:val="24"/>
          <w:u w:val="single" w:color="000000"/>
          <w:lang w:eastAsia="zh-CN"/>
        </w:rPr>
        <w:t>南通市妇幼保健院低压电气设备设施维护维修服务项目</w:t>
      </w:r>
      <w:r>
        <w:rPr>
          <w:rFonts w:hint="eastAsia" w:ascii="宋体" w:hAnsi="宋体" w:cs="宋体"/>
          <w:sz w:val="24"/>
          <w:szCs w:val="24"/>
        </w:rPr>
        <w:t>的潜在供应商应在</w:t>
      </w:r>
      <w:r>
        <w:rPr>
          <w:rFonts w:hint="eastAsia" w:ascii="宋体" w:hAnsi="宋体" w:cs="宋体"/>
          <w:sz w:val="24"/>
          <w:szCs w:val="24"/>
          <w:u w:val="single"/>
        </w:rPr>
        <w:t>南通市卫生健康委员会官网（http://wjw.nantong.gov.cn）和南通市妇幼保健院官网（http://www.ntfybj.com）</w:t>
      </w:r>
      <w:r>
        <w:rPr>
          <w:rFonts w:hint="eastAsia" w:ascii="宋体" w:hAnsi="宋体" w:cs="宋体"/>
          <w:sz w:val="24"/>
          <w:szCs w:val="24"/>
        </w:rPr>
        <w:t>获取采购文件，并于</w:t>
      </w:r>
      <w:r>
        <w:rPr>
          <w:rFonts w:hint="eastAsia" w:ascii="宋体" w:hAnsi="宋体" w:cs="宋体"/>
          <w:b/>
          <w:bCs/>
          <w:color w:val="auto"/>
          <w:sz w:val="24"/>
          <w:szCs w:val="24"/>
          <w:u w:val="single" w:color="000000"/>
        </w:rPr>
        <w:t xml:space="preserve"> 202</w:t>
      </w:r>
      <w:r>
        <w:rPr>
          <w:rFonts w:hint="eastAsia" w:ascii="宋体" w:hAnsi="宋体" w:cs="宋体"/>
          <w:b/>
          <w:bCs/>
          <w:color w:val="auto"/>
          <w:sz w:val="24"/>
          <w:szCs w:val="24"/>
          <w:u w:val="single" w:color="000000"/>
          <w:lang w:val="en-US" w:eastAsia="zh-CN"/>
        </w:rPr>
        <w:t>2</w:t>
      </w:r>
      <w:r>
        <w:rPr>
          <w:rFonts w:hint="eastAsia" w:ascii="宋体" w:hAnsi="宋体" w:cs="宋体"/>
          <w:b/>
          <w:bCs/>
          <w:color w:val="auto"/>
          <w:sz w:val="24"/>
          <w:szCs w:val="24"/>
          <w:u w:val="single" w:color="000000"/>
        </w:rPr>
        <w:t>年</w:t>
      </w:r>
      <w:r>
        <w:rPr>
          <w:rFonts w:hint="eastAsia" w:ascii="宋体" w:hAnsi="宋体" w:cs="宋体"/>
          <w:b/>
          <w:bCs/>
          <w:color w:val="auto"/>
          <w:sz w:val="24"/>
          <w:szCs w:val="24"/>
          <w:u w:val="single" w:color="000000"/>
          <w:lang w:val="en-US" w:eastAsia="zh-CN"/>
        </w:rPr>
        <w:t>11</w:t>
      </w:r>
      <w:r>
        <w:rPr>
          <w:rFonts w:hint="eastAsia" w:ascii="宋体" w:hAnsi="宋体" w:cs="宋体"/>
          <w:b/>
          <w:bCs/>
          <w:color w:val="auto"/>
          <w:sz w:val="24"/>
          <w:szCs w:val="24"/>
          <w:u w:val="single" w:color="000000"/>
        </w:rPr>
        <w:t>月</w:t>
      </w:r>
      <w:r>
        <w:rPr>
          <w:rFonts w:hint="eastAsia" w:ascii="宋体" w:hAnsi="宋体" w:cs="宋体"/>
          <w:b/>
          <w:bCs/>
          <w:color w:val="auto"/>
          <w:sz w:val="24"/>
          <w:szCs w:val="24"/>
          <w:u w:val="single" w:color="000000"/>
          <w:lang w:val="en-US" w:eastAsia="zh-CN"/>
        </w:rPr>
        <w:t>2</w:t>
      </w:r>
      <w:r>
        <w:rPr>
          <w:rFonts w:hint="eastAsia" w:ascii="宋体" w:hAnsi="宋体" w:cs="宋体"/>
          <w:b/>
          <w:bCs/>
          <w:color w:val="auto"/>
          <w:sz w:val="24"/>
          <w:szCs w:val="24"/>
          <w:u w:val="single" w:color="000000"/>
        </w:rPr>
        <w:t>日</w:t>
      </w:r>
      <w:r>
        <w:rPr>
          <w:rFonts w:hint="eastAsia" w:ascii="宋体" w:hAnsi="宋体" w:cs="宋体"/>
          <w:b/>
          <w:bCs/>
          <w:color w:val="auto"/>
          <w:sz w:val="24"/>
          <w:szCs w:val="24"/>
          <w:u w:val="single" w:color="000000"/>
          <w:lang w:val="en-US" w:eastAsia="zh-CN"/>
        </w:rPr>
        <w:t>9</w:t>
      </w:r>
      <w:r>
        <w:rPr>
          <w:rFonts w:hint="eastAsia" w:ascii="宋体" w:hAnsi="宋体" w:cs="宋体"/>
          <w:b/>
          <w:bCs/>
          <w:color w:val="auto"/>
          <w:sz w:val="24"/>
          <w:szCs w:val="24"/>
          <w:u w:val="single" w:color="000000"/>
        </w:rPr>
        <w:t>点</w:t>
      </w:r>
      <w:r>
        <w:rPr>
          <w:rFonts w:hint="eastAsia" w:ascii="宋体" w:hAnsi="宋体" w:cs="宋体"/>
          <w:b/>
          <w:bCs/>
          <w:color w:val="auto"/>
          <w:sz w:val="24"/>
          <w:szCs w:val="24"/>
          <w:u w:val="single" w:color="000000"/>
          <w:lang w:val="en-US" w:eastAsia="zh-CN"/>
        </w:rPr>
        <w:t>30</w:t>
      </w:r>
      <w:r>
        <w:rPr>
          <w:rFonts w:hint="eastAsia" w:ascii="宋体" w:hAnsi="宋体" w:cs="宋体"/>
          <w:b/>
          <w:bCs/>
          <w:color w:val="auto"/>
          <w:sz w:val="24"/>
          <w:szCs w:val="24"/>
          <w:u w:val="single" w:color="000000"/>
        </w:rPr>
        <w:t>分</w:t>
      </w:r>
      <w:r>
        <w:rPr>
          <w:rFonts w:hint="eastAsia" w:ascii="宋体" w:hAnsi="宋体" w:cs="宋体"/>
          <w:bCs/>
          <w:color w:val="auto"/>
          <w:sz w:val="24"/>
          <w:szCs w:val="24"/>
        </w:rPr>
        <w:t>（北京</w:t>
      </w:r>
      <w:r>
        <w:rPr>
          <w:rFonts w:hint="eastAsia" w:ascii="宋体" w:hAnsi="宋体" w:cs="宋体"/>
          <w:bCs/>
          <w:sz w:val="24"/>
          <w:szCs w:val="24"/>
        </w:rPr>
        <w:t>时间）前提交响应文件</w:t>
      </w:r>
      <w:r>
        <w:rPr>
          <w:rFonts w:hint="eastAsia" w:ascii="宋体" w:hAnsi="宋体" w:cs="宋体"/>
          <w:sz w:val="24"/>
          <w:szCs w:val="24"/>
        </w:rPr>
        <w:t>。</w:t>
      </w:r>
    </w:p>
    <w:p>
      <w:pPr>
        <w:pStyle w:val="7"/>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一、项目基本情况</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南通市妇幼保健院低压电气设备设施维护维修服务项目</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采购方式：竞争性磋商</w:t>
      </w:r>
    </w:p>
    <w:p>
      <w:pPr>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cs="宋体"/>
          <w:sz w:val="24"/>
          <w:szCs w:val="24"/>
        </w:rPr>
        <w:t>预算金额</w:t>
      </w:r>
      <w:r>
        <w:rPr>
          <w:rFonts w:hint="eastAsia" w:ascii="宋体" w:hAnsi="宋体" w:cs="宋体"/>
          <w:color w:val="auto"/>
          <w:sz w:val="24"/>
          <w:szCs w:val="24"/>
        </w:rPr>
        <w:t>：</w:t>
      </w:r>
      <w:r>
        <w:rPr>
          <w:rFonts w:hint="eastAsia" w:ascii="宋体" w:hAnsi="宋体" w:eastAsia="宋体" w:cs="宋体"/>
          <w:color w:val="auto"/>
          <w:sz w:val="24"/>
          <w:szCs w:val="24"/>
        </w:rPr>
        <w:t>人民币</w:t>
      </w:r>
      <w:r>
        <w:rPr>
          <w:rFonts w:hint="eastAsia" w:ascii="宋体" w:hAnsi="宋体" w:cs="宋体"/>
          <w:color w:val="auto"/>
          <w:sz w:val="24"/>
          <w:szCs w:val="24"/>
          <w:lang w:val="en-US" w:eastAsia="zh-CN"/>
        </w:rPr>
        <w:t>26.4万</w:t>
      </w:r>
      <w:r>
        <w:rPr>
          <w:rFonts w:hint="eastAsia" w:ascii="宋体" w:hAnsi="宋体" w:eastAsia="宋体" w:cs="宋体"/>
          <w:color w:val="auto"/>
          <w:sz w:val="24"/>
          <w:szCs w:val="24"/>
        </w:rPr>
        <w:t>元/年</w:t>
      </w:r>
    </w:p>
    <w:p>
      <w:pPr>
        <w:snapToGrid w:val="0"/>
        <w:spacing w:line="360" w:lineRule="auto"/>
        <w:ind w:firstLine="480" w:firstLineChars="200"/>
        <w:textAlignment w:val="baseline"/>
        <w:rPr>
          <w:rFonts w:hint="eastAsia" w:ascii="宋体" w:hAnsi="宋体" w:cs="宋体"/>
          <w:color w:val="auto"/>
          <w:sz w:val="24"/>
          <w:szCs w:val="24"/>
          <w:u w:val="single"/>
        </w:rPr>
      </w:pPr>
      <w:r>
        <w:rPr>
          <w:rFonts w:hint="eastAsia" w:ascii="宋体" w:hAnsi="宋体" w:cs="宋体"/>
          <w:color w:val="auto"/>
          <w:sz w:val="24"/>
          <w:szCs w:val="24"/>
        </w:rPr>
        <w:t>采购需求：详见第三章项目需求</w:t>
      </w:r>
    </w:p>
    <w:p>
      <w:pPr>
        <w:snapToGrid w:val="0"/>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rPr>
        <w:t>合同履行期限：本项目合同服务期暂定三年，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预计自2022年 11月至2025年 11月</w:t>
      </w:r>
      <w:r>
        <w:rPr>
          <w:rFonts w:hint="eastAsia" w:ascii="宋体" w:hAnsi="宋体" w:cs="宋体"/>
          <w:color w:val="auto"/>
          <w:sz w:val="24"/>
          <w:szCs w:val="24"/>
          <w:lang w:eastAsia="zh-CN"/>
        </w:rPr>
        <w:t>）</w:t>
      </w:r>
      <w:r>
        <w:rPr>
          <w:rFonts w:hint="eastAsia" w:ascii="宋体" w:hAnsi="宋体" w:cs="宋体"/>
          <w:color w:val="auto"/>
          <w:sz w:val="24"/>
          <w:szCs w:val="24"/>
        </w:rPr>
        <w:t>但合同一年一签。如成交供应商在合同期内履约情况优秀（即年度综合考核得分≥90分），则在第一年合同期满时，且采购人、成交供应商双方愿意，成交供应商承诺不增加服务费用的前提下，双方可续签下一年度合同，但最多续签两次。如成交供应商在合同期内年度综合考核得分＜90</w:t>
      </w:r>
      <w:r>
        <w:rPr>
          <w:rFonts w:hint="eastAsia" w:ascii="宋体" w:hAnsi="宋体" w:cs="宋体"/>
          <w:color w:val="auto"/>
          <w:sz w:val="24"/>
          <w:lang w:val="en-US" w:eastAsia="zh-CN"/>
        </w:rPr>
        <w:t>分</w:t>
      </w:r>
      <w:r>
        <w:rPr>
          <w:rFonts w:hint="eastAsia" w:ascii="宋体" w:hAnsi="宋体" w:cs="宋体"/>
          <w:color w:val="auto"/>
          <w:sz w:val="24"/>
          <w:szCs w:val="24"/>
        </w:rPr>
        <w:t>，则采购人不再与成交供应商续签合同。</w:t>
      </w:r>
    </w:p>
    <w:p>
      <w:pPr>
        <w:snapToGrid w:val="0"/>
        <w:spacing w:line="360" w:lineRule="auto"/>
        <w:ind w:firstLine="508" w:firstLineChars="200"/>
        <w:textAlignment w:val="baseline"/>
        <w:rPr>
          <w:rFonts w:hint="eastAsia" w:ascii="宋体" w:hAnsi="宋体" w:cs="宋体"/>
          <w:color w:val="auto"/>
          <w:sz w:val="24"/>
          <w:szCs w:val="24"/>
        </w:rPr>
      </w:pPr>
      <w:r>
        <w:rPr>
          <w:rFonts w:hint="eastAsia" w:ascii="宋体" w:hAnsi="宋体" w:cs="宋体"/>
          <w:color w:val="auto"/>
          <w:spacing w:val="7"/>
          <w:sz w:val="24"/>
          <w:szCs w:val="24"/>
          <w:shd w:val="clear" w:color="auto" w:fill="FFFFFF"/>
        </w:rPr>
        <w:t>本项目不接受联合体。</w:t>
      </w:r>
    </w:p>
    <w:p>
      <w:pPr>
        <w:pStyle w:val="7"/>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二、申请人的资格要求：</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一）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napToGrid w:val="0"/>
        <w:spacing w:line="360" w:lineRule="auto"/>
        <w:ind w:firstLine="480" w:firstLineChars="200"/>
        <w:textAlignment w:val="baseline"/>
        <w:rPr>
          <w:rFonts w:hint="eastAsia"/>
        </w:rPr>
      </w:pPr>
      <w:r>
        <w:rPr>
          <w:rFonts w:hint="eastAsia" w:ascii="宋体" w:hAnsi="宋体" w:cs="宋体"/>
          <w:sz w:val="24"/>
          <w:szCs w:val="24"/>
        </w:rPr>
        <w:t>其他资格要求：</w:t>
      </w:r>
    </w:p>
    <w:p>
      <w:pPr>
        <w:snapToGrid w:val="0"/>
        <w:spacing w:line="360" w:lineRule="auto"/>
        <w:ind w:firstLine="480" w:firstLineChars="200"/>
        <w:textAlignment w:val="baseline"/>
        <w:rPr>
          <w:rFonts w:hint="eastAsia" w:ascii="宋体" w:hAnsi="宋体" w:cs="宋体"/>
          <w:sz w:val="24"/>
          <w:szCs w:val="24"/>
          <w:highlight w:val="cyan"/>
        </w:rPr>
      </w:pPr>
      <w:r>
        <w:rPr>
          <w:rFonts w:hint="eastAsia" w:ascii="宋体" w:hAnsi="宋体" w:cs="宋体"/>
          <w:sz w:val="24"/>
          <w:szCs w:val="24"/>
        </w:rPr>
        <w:t>1、供应商必须有能力按本磋商文件规定的要求提供相关服务，须提供有效的三证合一的企业法人营业执照复印件或扫描件。</w:t>
      </w:r>
    </w:p>
    <w:p>
      <w:pPr>
        <w:snapToGrid w:val="0"/>
        <w:spacing w:line="360" w:lineRule="auto"/>
        <w:ind w:left="8"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、提供供应商的法定代表人或负责人身份证明及身份证原件的复印件或扫描件（须加盖供应商公章，格式参见竞争性磋商文件第八章）。</w:t>
      </w:r>
    </w:p>
    <w:p>
      <w:pPr>
        <w:snapToGrid w:val="0"/>
        <w:spacing w:line="360" w:lineRule="auto"/>
        <w:ind w:firstLine="559" w:firstLineChars="233"/>
        <w:textAlignment w:val="baseline"/>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、如为被委托受权人参加竞争性磋商的，还必须提供法定代表人或负责人签名或盖章的授权委托书及被委托受权人身份证这两项原件的复印件或扫描件（须加盖供应商公章，格式参见竞争性磋商文件第八章）。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w:t>
      </w:r>
      <w:r>
        <w:rPr>
          <w:rFonts w:hint="eastAsia" w:ascii="宋体" w:hAnsi="宋体" w:cs="宋体"/>
          <w:sz w:val="24"/>
          <w:szCs w:val="24"/>
          <w:lang w:val="en-US" w:eastAsia="zh-CN"/>
        </w:rPr>
        <w:t>供应商</w:t>
      </w:r>
      <w:r>
        <w:rPr>
          <w:rFonts w:hint="eastAsia" w:ascii="宋体" w:hAnsi="宋体" w:cs="宋体"/>
          <w:sz w:val="24"/>
          <w:szCs w:val="24"/>
        </w:rPr>
        <w:t>拟派服务人员须为供应商的正式员工</w:t>
      </w:r>
      <w:r>
        <w:rPr>
          <w:rFonts w:hint="eastAsia" w:ascii="宋体" w:hAnsi="宋体" w:cs="宋体"/>
          <w:sz w:val="24"/>
          <w:szCs w:val="24"/>
          <w:lang w:eastAsia="zh-CN"/>
        </w:rPr>
        <w:t>，</w:t>
      </w:r>
      <w:r>
        <w:rPr>
          <w:rFonts w:hint="eastAsia" w:ascii="宋体" w:hAnsi="宋体" w:cs="宋体"/>
          <w:sz w:val="24"/>
          <w:szCs w:val="24"/>
        </w:rPr>
        <w:t>须同时提供：①拟派人员与供应商签订的有效劳动合同复印件或扫描件；②合格有效的特种作业人员操作证复印件或扫描件。</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、供应商须提供参与本次项目政府采购活动前三年内，在经营活动中没有重大违法记录的书面《无重大违法记录声明函》（格式参见竞争性磋商文件第八章）。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、关于资格文件的声明函（格式参见竞争性磋商文件第八章）。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（二）本项目的特定资格要求：无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（三）落实政府采购政策需满足的资格要求：无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特别提醒】请各供应商认真对照资格要求，如不符合要求，无意或故意参与磋商的，所产生的一切后果由供应商承担。若供应商提供的相关材料为虚假或伪造，将作无效响应处理，并报财政部门将其列入政府采购黑名单。</w:t>
      </w:r>
    </w:p>
    <w:p>
      <w:pPr>
        <w:pStyle w:val="2"/>
        <w:snapToGrid w:val="0"/>
        <w:spacing w:after="0" w:line="360" w:lineRule="auto"/>
        <w:ind w:firstLine="482"/>
        <w:textAlignment w:val="baseline"/>
        <w:rPr>
          <w:rFonts w:hint="eastAsia" w:ascii="宋体" w:hAnsi="宋体" w:cs="宋体"/>
          <w:b/>
          <w:bCs/>
          <w:color w:val="333333"/>
          <w:kern w:val="0"/>
          <w:sz w:val="24"/>
          <w:szCs w:val="24"/>
        </w:rPr>
      </w:pPr>
      <w:r>
        <w:rPr>
          <w:rFonts w:hint="eastAsia" w:ascii="宋体" w:hAnsi="宋体" w:cs="宋体"/>
          <w:b/>
          <w:bCs/>
          <w:color w:val="333333"/>
          <w:kern w:val="0"/>
          <w:sz w:val="24"/>
          <w:szCs w:val="24"/>
        </w:rPr>
        <w:t>磋商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pStyle w:val="2"/>
        <w:snapToGrid w:val="0"/>
        <w:spacing w:after="0" w:line="360" w:lineRule="auto"/>
        <w:ind w:firstLine="482"/>
        <w:textAlignment w:val="baseline"/>
        <w:rPr>
          <w:rFonts w:hint="eastAsia" w:ascii="宋体" w:hAnsi="宋体" w:cs="宋体"/>
          <w:b/>
          <w:bCs/>
          <w:sz w:val="24"/>
          <w:szCs w:val="24"/>
        </w:rPr>
      </w:pPr>
      <w:r>
        <w:rPr>
          <w:rFonts w:hint="eastAsia" w:ascii="宋体" w:hAnsi="宋体" w:eastAsia="宋体" w:cs="宋体"/>
          <w:b/>
          <w:bCs/>
          <w:color w:val="333333"/>
          <w:kern w:val="0"/>
          <w:sz w:val="24"/>
          <w:szCs w:val="24"/>
        </w:rPr>
        <w:t>法定代表人为同一个人的两个及两个以上法人，母公司、全资子公司及其控股公司，都不得在同一采购项目相同标段中同时参加投标，一经发现，将视同围标处理。单位负责人为同一人或者存在直接控股、管理关系</w:t>
      </w:r>
      <w:r>
        <w:rPr>
          <w:rFonts w:hint="eastAsia" w:ascii="宋体" w:hAnsi="宋体" w:cs="宋体"/>
          <w:b/>
          <w:bCs/>
          <w:color w:val="333333"/>
          <w:kern w:val="0"/>
          <w:sz w:val="24"/>
          <w:szCs w:val="24"/>
        </w:rPr>
        <w:t>的不同供应商，不得同时参与同一采购项目相同标段的政府采购活动；为采购项目提供整体设计、规范编制或者项目管理、监理、检测等服务的供应商，不得再参加该采购项目的其他磋商活动</w:t>
      </w:r>
      <w:r>
        <w:rPr>
          <w:rFonts w:hint="eastAsia" w:ascii="宋体" w:hAnsi="宋体" w:cs="宋体"/>
          <w:b/>
          <w:bCs/>
          <w:sz w:val="24"/>
          <w:szCs w:val="24"/>
        </w:rPr>
        <w:t>；如发现供应商递交的资格后审材料有弄虚作假行为，该供应商将记入不良记录，并上报有关部门，如已中标，采购人有权取消其中标资格，并由该供应商承担由此带来可能的一切责任和损失</w:t>
      </w:r>
      <w:r>
        <w:rPr>
          <w:rFonts w:hint="eastAsia" w:ascii="宋体" w:hAnsi="宋体" w:cs="宋体"/>
          <w:b/>
          <w:bCs/>
          <w:color w:val="333333"/>
          <w:kern w:val="0"/>
          <w:sz w:val="24"/>
          <w:szCs w:val="24"/>
        </w:rPr>
        <w:t>。</w:t>
      </w:r>
    </w:p>
    <w:p>
      <w:pPr>
        <w:pStyle w:val="7"/>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三、获取采购文件</w:t>
      </w:r>
    </w:p>
    <w:p>
      <w:pPr>
        <w:snapToGrid w:val="0"/>
        <w:spacing w:line="360" w:lineRule="auto"/>
        <w:ind w:firstLine="540"/>
        <w:textAlignment w:val="baseline"/>
        <w:rPr>
          <w:rFonts w:hint="eastAsia" w:ascii="宋体" w:hAnsi="宋体" w:cs="宋体"/>
          <w:b/>
          <w:bCs/>
          <w:color w:val="auto"/>
          <w:sz w:val="24"/>
          <w:szCs w:val="24"/>
        </w:rPr>
      </w:pPr>
      <w:r>
        <w:rPr>
          <w:rFonts w:hint="eastAsia" w:ascii="宋体" w:hAnsi="宋体" w:cs="宋体"/>
          <w:b/>
          <w:bCs/>
          <w:color w:val="auto"/>
          <w:sz w:val="24"/>
          <w:szCs w:val="24"/>
        </w:rPr>
        <w:t>时  间：</w:t>
      </w:r>
      <w:r>
        <w:rPr>
          <w:rFonts w:hint="eastAsia" w:ascii="宋体" w:hAnsi="宋体" w:cs="宋体"/>
          <w:b/>
          <w:bCs/>
          <w:color w:val="auto"/>
          <w:sz w:val="24"/>
          <w:szCs w:val="24"/>
          <w:u w:val="single"/>
        </w:rPr>
        <w:t>自公告发布之日起</w:t>
      </w:r>
      <w:r>
        <w:rPr>
          <w:rFonts w:hint="eastAsia" w:ascii="宋体" w:hAnsi="宋体" w:cs="宋体"/>
          <w:b/>
          <w:bCs/>
          <w:color w:val="auto"/>
          <w:sz w:val="24"/>
          <w:szCs w:val="24"/>
        </w:rPr>
        <w:t>至</w:t>
      </w:r>
      <w:r>
        <w:rPr>
          <w:rFonts w:hint="eastAsia" w:ascii="宋体" w:hAnsi="宋体" w:cs="宋体"/>
          <w:b/>
          <w:bCs/>
          <w:color w:val="auto"/>
          <w:sz w:val="24"/>
          <w:szCs w:val="24"/>
          <w:u w:val="single" w:color="000000"/>
        </w:rPr>
        <w:t xml:space="preserve"> 202</w:t>
      </w:r>
      <w:r>
        <w:rPr>
          <w:rFonts w:hint="eastAsia" w:ascii="宋体" w:hAnsi="宋体" w:cs="宋体"/>
          <w:b/>
          <w:bCs/>
          <w:color w:val="auto"/>
          <w:sz w:val="24"/>
          <w:szCs w:val="24"/>
          <w:u w:val="single" w:color="000000"/>
          <w:lang w:val="en-US" w:eastAsia="zh-CN"/>
        </w:rPr>
        <w:t>2</w:t>
      </w:r>
      <w:r>
        <w:rPr>
          <w:rFonts w:hint="eastAsia" w:ascii="宋体" w:hAnsi="宋体" w:cs="宋体"/>
          <w:b/>
          <w:bCs/>
          <w:color w:val="auto"/>
          <w:sz w:val="24"/>
          <w:szCs w:val="24"/>
          <w:u w:val="single" w:color="000000"/>
        </w:rPr>
        <w:t>年</w:t>
      </w:r>
      <w:r>
        <w:rPr>
          <w:rFonts w:hint="eastAsia" w:ascii="宋体" w:hAnsi="宋体" w:cs="宋体"/>
          <w:b/>
          <w:bCs/>
          <w:color w:val="auto"/>
          <w:sz w:val="24"/>
          <w:szCs w:val="24"/>
          <w:u w:val="single" w:color="000000"/>
          <w:lang w:val="en-US" w:eastAsia="zh-CN"/>
        </w:rPr>
        <w:t>11</w:t>
      </w:r>
      <w:r>
        <w:rPr>
          <w:rFonts w:hint="eastAsia" w:ascii="宋体" w:hAnsi="宋体" w:cs="宋体"/>
          <w:b/>
          <w:bCs/>
          <w:color w:val="auto"/>
          <w:sz w:val="24"/>
          <w:szCs w:val="24"/>
          <w:u w:val="single" w:color="000000"/>
        </w:rPr>
        <w:t>月</w:t>
      </w:r>
      <w:r>
        <w:rPr>
          <w:rFonts w:hint="eastAsia" w:ascii="宋体" w:hAnsi="宋体" w:cs="宋体"/>
          <w:b/>
          <w:bCs/>
          <w:color w:val="auto"/>
          <w:sz w:val="24"/>
          <w:szCs w:val="24"/>
          <w:u w:val="single" w:color="000000"/>
          <w:lang w:val="en-US" w:eastAsia="zh-CN"/>
        </w:rPr>
        <w:t>2</w:t>
      </w:r>
      <w:r>
        <w:rPr>
          <w:rFonts w:hint="eastAsia" w:ascii="宋体" w:hAnsi="宋体" w:cs="宋体"/>
          <w:b/>
          <w:bCs/>
          <w:color w:val="auto"/>
          <w:sz w:val="24"/>
          <w:szCs w:val="24"/>
          <w:u w:val="single" w:color="000000"/>
        </w:rPr>
        <w:t>日</w:t>
      </w:r>
    </w:p>
    <w:p>
      <w:pPr>
        <w:snapToGrid w:val="0"/>
        <w:spacing w:line="360" w:lineRule="auto"/>
        <w:ind w:firstLine="540"/>
        <w:textAlignment w:val="baseline"/>
        <w:rPr>
          <w:rFonts w:hint="eastAsia" w:ascii="宋体" w:hAnsi="宋体" w:cs="宋体"/>
          <w:sz w:val="24"/>
          <w:szCs w:val="24"/>
          <w:u w:val="single"/>
        </w:rPr>
      </w:pPr>
      <w:r>
        <w:rPr>
          <w:rFonts w:hint="eastAsia" w:ascii="宋体" w:hAnsi="宋体" w:cs="宋体"/>
          <w:sz w:val="24"/>
          <w:szCs w:val="24"/>
        </w:rPr>
        <w:t>地  点：南通市卫生健康委员会官网（http://wjw.nantong.gov.cn）和南通市妇幼保健院官网（http://www.ntfybj.com）。</w:t>
      </w:r>
    </w:p>
    <w:p>
      <w:pPr>
        <w:snapToGrid w:val="0"/>
        <w:spacing w:line="360" w:lineRule="auto"/>
        <w:ind w:firstLine="540"/>
        <w:textAlignment w:val="baseline"/>
        <w:rPr>
          <w:rFonts w:hint="eastAsia" w:ascii="宋体" w:hAnsi="宋体" w:cs="宋体"/>
          <w:sz w:val="24"/>
          <w:szCs w:val="24"/>
          <w:u w:val="single"/>
        </w:rPr>
      </w:pPr>
      <w:r>
        <w:rPr>
          <w:rFonts w:hint="eastAsia" w:ascii="宋体" w:hAnsi="宋体" w:cs="宋体"/>
          <w:sz w:val="24"/>
          <w:szCs w:val="24"/>
        </w:rPr>
        <w:t>方  式：自行下载</w:t>
      </w:r>
    </w:p>
    <w:p>
      <w:pPr>
        <w:snapToGrid w:val="0"/>
        <w:spacing w:line="360" w:lineRule="auto"/>
        <w:ind w:firstLine="540"/>
        <w:textAlignment w:val="baseline"/>
        <w:rPr>
          <w:rFonts w:hint="eastAsia" w:ascii="宋体" w:hAnsi="宋体" w:cs="宋体"/>
          <w:sz w:val="24"/>
          <w:szCs w:val="24"/>
        </w:rPr>
      </w:pPr>
      <w:r>
        <w:rPr>
          <w:rFonts w:hint="eastAsia" w:ascii="宋体" w:hAnsi="宋体" w:cs="宋体"/>
          <w:sz w:val="24"/>
          <w:szCs w:val="24"/>
        </w:rPr>
        <w:t>售  价：每套300元，在递交磋商响应文件的同时提交给招标代理机构。</w:t>
      </w:r>
    </w:p>
    <w:p>
      <w:pPr>
        <w:pStyle w:val="7"/>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四、响应文件的提交</w:t>
      </w:r>
    </w:p>
    <w:p>
      <w:pPr>
        <w:snapToGrid w:val="0"/>
        <w:spacing w:line="360" w:lineRule="auto"/>
        <w:ind w:firstLine="482" w:firstLineChars="200"/>
        <w:textAlignment w:val="baseline"/>
        <w:rPr>
          <w:rFonts w:hint="eastAsia" w:ascii="宋体" w:hAnsi="宋体" w:cs="宋体"/>
          <w:b/>
          <w:bCs/>
          <w:color w:val="auto"/>
          <w:sz w:val="24"/>
          <w:szCs w:val="24"/>
          <w:u w:val="single"/>
        </w:rPr>
      </w:pPr>
      <w:r>
        <w:rPr>
          <w:rFonts w:hint="eastAsia" w:ascii="宋体" w:hAnsi="宋体" w:cs="宋体"/>
          <w:b/>
          <w:bCs/>
          <w:color w:val="auto"/>
          <w:sz w:val="24"/>
          <w:szCs w:val="24"/>
        </w:rPr>
        <w:t xml:space="preserve">截止时间： </w:t>
      </w:r>
      <w:r>
        <w:rPr>
          <w:rFonts w:hint="eastAsia" w:ascii="宋体" w:hAnsi="宋体" w:cs="宋体"/>
          <w:b/>
          <w:bCs/>
          <w:color w:val="auto"/>
          <w:sz w:val="24"/>
          <w:szCs w:val="24"/>
          <w:u w:val="single" w:color="000000"/>
        </w:rPr>
        <w:t xml:space="preserve"> 202</w:t>
      </w:r>
      <w:r>
        <w:rPr>
          <w:rFonts w:hint="eastAsia" w:ascii="宋体" w:hAnsi="宋体" w:cs="宋体"/>
          <w:b/>
          <w:bCs/>
          <w:color w:val="auto"/>
          <w:sz w:val="24"/>
          <w:szCs w:val="24"/>
          <w:u w:val="single" w:color="000000"/>
          <w:lang w:val="en-US" w:eastAsia="zh-CN"/>
        </w:rPr>
        <w:t>2</w:t>
      </w:r>
      <w:r>
        <w:rPr>
          <w:rFonts w:hint="eastAsia" w:ascii="宋体" w:hAnsi="宋体" w:cs="宋体"/>
          <w:b/>
          <w:bCs/>
          <w:color w:val="auto"/>
          <w:sz w:val="24"/>
          <w:szCs w:val="24"/>
          <w:u w:val="single" w:color="000000"/>
        </w:rPr>
        <w:t>年</w:t>
      </w:r>
      <w:r>
        <w:rPr>
          <w:rFonts w:hint="eastAsia" w:ascii="宋体" w:hAnsi="宋体" w:cs="宋体"/>
          <w:b/>
          <w:bCs/>
          <w:color w:val="auto"/>
          <w:sz w:val="24"/>
          <w:szCs w:val="24"/>
          <w:u w:val="single" w:color="000000"/>
          <w:lang w:val="en-US" w:eastAsia="zh-CN"/>
        </w:rPr>
        <w:t>11</w:t>
      </w:r>
      <w:r>
        <w:rPr>
          <w:rFonts w:hint="eastAsia" w:ascii="宋体" w:hAnsi="宋体" w:cs="宋体"/>
          <w:b/>
          <w:bCs/>
          <w:color w:val="auto"/>
          <w:sz w:val="24"/>
          <w:szCs w:val="24"/>
          <w:u w:val="single" w:color="000000"/>
        </w:rPr>
        <w:t>月</w:t>
      </w:r>
      <w:r>
        <w:rPr>
          <w:rFonts w:hint="eastAsia" w:ascii="宋体" w:hAnsi="宋体" w:cs="宋体"/>
          <w:b/>
          <w:bCs/>
          <w:color w:val="auto"/>
          <w:sz w:val="24"/>
          <w:szCs w:val="24"/>
          <w:u w:val="single" w:color="000000"/>
          <w:lang w:val="en-US" w:eastAsia="zh-CN"/>
        </w:rPr>
        <w:t>2</w:t>
      </w:r>
      <w:r>
        <w:rPr>
          <w:rFonts w:hint="eastAsia" w:ascii="宋体" w:hAnsi="宋体" w:cs="宋体"/>
          <w:b/>
          <w:bCs/>
          <w:color w:val="auto"/>
          <w:sz w:val="24"/>
          <w:szCs w:val="24"/>
          <w:u w:val="single" w:color="000000"/>
        </w:rPr>
        <w:t>日</w:t>
      </w:r>
      <w:r>
        <w:rPr>
          <w:rFonts w:hint="eastAsia" w:ascii="宋体" w:hAnsi="宋体" w:cs="宋体"/>
          <w:b/>
          <w:bCs/>
          <w:color w:val="auto"/>
          <w:sz w:val="24"/>
          <w:szCs w:val="24"/>
          <w:u w:val="single" w:color="000000"/>
          <w:lang w:val="en-US" w:eastAsia="zh-CN"/>
        </w:rPr>
        <w:t>9</w:t>
      </w:r>
      <w:r>
        <w:rPr>
          <w:rFonts w:hint="eastAsia" w:ascii="宋体" w:hAnsi="宋体" w:cs="宋体"/>
          <w:b/>
          <w:bCs/>
          <w:color w:val="auto"/>
          <w:sz w:val="24"/>
          <w:szCs w:val="24"/>
          <w:u w:val="single" w:color="000000"/>
        </w:rPr>
        <w:t>点</w:t>
      </w:r>
      <w:r>
        <w:rPr>
          <w:rFonts w:hint="eastAsia" w:ascii="宋体" w:hAnsi="宋体" w:cs="宋体"/>
          <w:b/>
          <w:bCs/>
          <w:color w:val="auto"/>
          <w:sz w:val="24"/>
          <w:szCs w:val="24"/>
          <w:u w:val="single" w:color="000000"/>
          <w:lang w:val="en-US" w:eastAsia="zh-CN"/>
        </w:rPr>
        <w:t>30</w:t>
      </w:r>
      <w:r>
        <w:rPr>
          <w:rFonts w:hint="eastAsia" w:ascii="宋体" w:hAnsi="宋体" w:cs="宋体"/>
          <w:b/>
          <w:bCs/>
          <w:color w:val="auto"/>
          <w:sz w:val="24"/>
          <w:szCs w:val="24"/>
          <w:u w:val="single" w:color="000000"/>
        </w:rPr>
        <w:t>分</w:t>
      </w:r>
      <w:r>
        <w:rPr>
          <w:rFonts w:hint="eastAsia" w:ascii="宋体" w:hAnsi="宋体" w:cs="宋体"/>
          <w:b/>
          <w:bCs/>
          <w:color w:val="auto"/>
          <w:sz w:val="24"/>
          <w:szCs w:val="24"/>
        </w:rPr>
        <w:t>（北京时间）</w:t>
      </w:r>
    </w:p>
    <w:p>
      <w:pPr>
        <w:snapToGrid w:val="0"/>
        <w:spacing w:line="360" w:lineRule="auto"/>
        <w:ind w:firstLine="482" w:firstLineChars="200"/>
        <w:textAlignment w:val="baseline"/>
        <w:rPr>
          <w:rFonts w:hint="eastAsia" w:ascii="宋体" w:hAnsi="宋体" w:cs="宋体"/>
          <w:color w:val="auto"/>
          <w:sz w:val="24"/>
          <w:szCs w:val="24"/>
          <w:u w:val="single"/>
        </w:rPr>
      </w:pPr>
      <w:r>
        <w:rPr>
          <w:rFonts w:hint="eastAsia" w:ascii="宋体" w:hAnsi="宋体" w:cs="宋体"/>
          <w:b/>
          <w:bCs/>
          <w:color w:val="auto"/>
          <w:sz w:val="24"/>
          <w:szCs w:val="24"/>
        </w:rPr>
        <w:t xml:space="preserve">地    点： </w:t>
      </w:r>
      <w:r>
        <w:rPr>
          <w:rFonts w:hint="eastAsia" w:ascii="宋体" w:hAnsi="宋体" w:cs="宋体"/>
          <w:b/>
          <w:bCs/>
          <w:color w:val="auto"/>
          <w:sz w:val="24"/>
          <w:szCs w:val="24"/>
          <w:u w:val="single"/>
          <w:lang w:eastAsia="zh-CN"/>
        </w:rPr>
        <w:t>南通市崇川区工农路358号12层中证开标室（浙商银行楼上</w:t>
      </w:r>
      <w:r>
        <w:rPr>
          <w:rFonts w:hint="eastAsia" w:ascii="宋体" w:hAnsi="宋体" w:cs="宋体"/>
          <w:color w:val="auto"/>
          <w:sz w:val="24"/>
          <w:szCs w:val="24"/>
          <w:u w:val="single"/>
          <w:lang w:eastAsia="zh-CN"/>
        </w:rPr>
        <w:t>）</w:t>
      </w:r>
    </w:p>
    <w:p>
      <w:pPr>
        <w:pStyle w:val="7"/>
        <w:snapToGrid w:val="0"/>
        <w:spacing w:before="0"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五、响应文件的开启</w:t>
      </w:r>
    </w:p>
    <w:p>
      <w:pPr>
        <w:snapToGrid w:val="0"/>
        <w:spacing w:line="360" w:lineRule="auto"/>
        <w:ind w:firstLine="482" w:firstLineChars="200"/>
        <w:textAlignment w:val="baseline"/>
        <w:rPr>
          <w:rFonts w:hint="eastAsia" w:ascii="宋体" w:hAnsi="宋体" w:cs="宋体"/>
          <w:b/>
          <w:bCs/>
          <w:color w:val="auto"/>
          <w:sz w:val="24"/>
          <w:szCs w:val="24"/>
          <w:u w:val="single"/>
        </w:rPr>
      </w:pPr>
      <w:r>
        <w:rPr>
          <w:rFonts w:hint="eastAsia" w:ascii="宋体" w:hAnsi="宋体" w:cs="宋体"/>
          <w:b/>
          <w:bCs/>
          <w:color w:val="auto"/>
          <w:sz w:val="24"/>
          <w:szCs w:val="24"/>
        </w:rPr>
        <w:t xml:space="preserve">时  间： </w:t>
      </w:r>
      <w:r>
        <w:rPr>
          <w:rFonts w:hint="eastAsia" w:ascii="宋体" w:hAnsi="宋体" w:cs="宋体"/>
          <w:b/>
          <w:bCs/>
          <w:color w:val="auto"/>
          <w:sz w:val="24"/>
          <w:szCs w:val="24"/>
          <w:u w:val="single" w:color="000000"/>
        </w:rPr>
        <w:t xml:space="preserve"> 202</w:t>
      </w:r>
      <w:r>
        <w:rPr>
          <w:rFonts w:hint="eastAsia" w:ascii="宋体" w:hAnsi="宋体" w:cs="宋体"/>
          <w:b/>
          <w:bCs/>
          <w:color w:val="auto"/>
          <w:sz w:val="24"/>
          <w:szCs w:val="24"/>
          <w:u w:val="single" w:color="000000"/>
          <w:lang w:val="en-US" w:eastAsia="zh-CN"/>
        </w:rPr>
        <w:t>2</w:t>
      </w:r>
      <w:r>
        <w:rPr>
          <w:rFonts w:hint="eastAsia" w:ascii="宋体" w:hAnsi="宋体" w:cs="宋体"/>
          <w:b/>
          <w:bCs/>
          <w:color w:val="auto"/>
          <w:sz w:val="24"/>
          <w:szCs w:val="24"/>
          <w:u w:val="single" w:color="000000"/>
        </w:rPr>
        <w:t>年</w:t>
      </w:r>
      <w:r>
        <w:rPr>
          <w:rFonts w:hint="eastAsia" w:ascii="宋体" w:hAnsi="宋体" w:cs="宋体"/>
          <w:b/>
          <w:bCs/>
          <w:color w:val="auto"/>
          <w:sz w:val="24"/>
          <w:szCs w:val="24"/>
          <w:u w:val="single" w:color="000000"/>
          <w:lang w:val="en-US" w:eastAsia="zh-CN"/>
        </w:rPr>
        <w:t>11</w:t>
      </w:r>
      <w:r>
        <w:rPr>
          <w:rFonts w:hint="eastAsia" w:ascii="宋体" w:hAnsi="宋体" w:cs="宋体"/>
          <w:b/>
          <w:bCs/>
          <w:color w:val="auto"/>
          <w:sz w:val="24"/>
          <w:szCs w:val="24"/>
          <w:u w:val="single" w:color="000000"/>
        </w:rPr>
        <w:t>月</w:t>
      </w:r>
      <w:r>
        <w:rPr>
          <w:rFonts w:hint="eastAsia" w:ascii="宋体" w:hAnsi="宋体" w:cs="宋体"/>
          <w:b/>
          <w:bCs/>
          <w:color w:val="auto"/>
          <w:sz w:val="24"/>
          <w:szCs w:val="24"/>
          <w:u w:val="single" w:color="000000"/>
          <w:lang w:val="en-US" w:eastAsia="zh-CN"/>
        </w:rPr>
        <w:t>2</w:t>
      </w:r>
      <w:r>
        <w:rPr>
          <w:rFonts w:hint="eastAsia" w:ascii="宋体" w:hAnsi="宋体" w:cs="宋体"/>
          <w:b/>
          <w:bCs/>
          <w:color w:val="auto"/>
          <w:sz w:val="24"/>
          <w:szCs w:val="24"/>
          <w:u w:val="single" w:color="000000"/>
        </w:rPr>
        <w:t>日</w:t>
      </w:r>
      <w:r>
        <w:rPr>
          <w:rFonts w:hint="eastAsia" w:ascii="宋体" w:hAnsi="宋体" w:cs="宋体"/>
          <w:b/>
          <w:bCs/>
          <w:color w:val="auto"/>
          <w:sz w:val="24"/>
          <w:szCs w:val="24"/>
          <w:u w:val="single" w:color="000000"/>
          <w:lang w:val="en-US" w:eastAsia="zh-CN"/>
        </w:rPr>
        <w:t>9</w:t>
      </w:r>
      <w:r>
        <w:rPr>
          <w:rFonts w:hint="eastAsia" w:ascii="宋体" w:hAnsi="宋体" w:cs="宋体"/>
          <w:b/>
          <w:bCs/>
          <w:color w:val="auto"/>
          <w:sz w:val="24"/>
          <w:szCs w:val="24"/>
          <w:u w:val="single" w:color="000000"/>
        </w:rPr>
        <w:t>点</w:t>
      </w:r>
      <w:r>
        <w:rPr>
          <w:rFonts w:hint="eastAsia" w:ascii="宋体" w:hAnsi="宋体" w:cs="宋体"/>
          <w:b/>
          <w:bCs/>
          <w:color w:val="auto"/>
          <w:sz w:val="24"/>
          <w:szCs w:val="24"/>
          <w:u w:val="single" w:color="000000"/>
          <w:lang w:val="en-US" w:eastAsia="zh-CN"/>
        </w:rPr>
        <w:t>30分</w:t>
      </w:r>
      <w:r>
        <w:rPr>
          <w:rFonts w:hint="eastAsia" w:ascii="宋体" w:hAnsi="宋体" w:cs="宋体"/>
          <w:b/>
          <w:bCs/>
          <w:color w:val="auto"/>
          <w:sz w:val="24"/>
          <w:szCs w:val="24"/>
        </w:rPr>
        <w:t>（北京时间）</w:t>
      </w:r>
    </w:p>
    <w:p>
      <w:pPr>
        <w:snapToGrid w:val="0"/>
        <w:spacing w:line="360" w:lineRule="auto"/>
        <w:ind w:firstLine="482" w:firstLineChars="200"/>
        <w:textAlignment w:val="baseline"/>
        <w:rPr>
          <w:rFonts w:hint="eastAsia" w:ascii="宋体" w:hAnsi="宋体" w:cs="宋体"/>
          <w:b/>
          <w:bCs/>
          <w:color w:val="auto"/>
          <w:sz w:val="24"/>
          <w:szCs w:val="24"/>
          <w:u w:val="single"/>
        </w:rPr>
      </w:pPr>
      <w:r>
        <w:rPr>
          <w:rFonts w:hint="eastAsia" w:ascii="宋体" w:hAnsi="宋体" w:cs="宋体"/>
          <w:b/>
          <w:bCs/>
          <w:color w:val="auto"/>
          <w:sz w:val="24"/>
          <w:szCs w:val="24"/>
        </w:rPr>
        <w:t xml:space="preserve">地  点： </w:t>
      </w:r>
      <w:r>
        <w:rPr>
          <w:rFonts w:hint="eastAsia" w:ascii="宋体" w:hAnsi="宋体" w:cs="宋体"/>
          <w:b/>
          <w:bCs/>
          <w:color w:val="auto"/>
          <w:sz w:val="24"/>
          <w:szCs w:val="24"/>
          <w:u w:val="single"/>
          <w:lang w:eastAsia="zh-CN"/>
        </w:rPr>
        <w:t>南通市崇川区工农路358号12层中证开标室（浙商银行楼上）</w:t>
      </w:r>
    </w:p>
    <w:p>
      <w:pPr>
        <w:pStyle w:val="91"/>
        <w:snapToGrid w:val="0"/>
        <w:spacing w:line="360" w:lineRule="auto"/>
        <w:ind w:firstLine="482"/>
        <w:rPr>
          <w:rFonts w:hAnsi="宋体" w:cs="宋体"/>
          <w:b/>
          <w:color w:val="auto"/>
          <w:sz w:val="24"/>
          <w:szCs w:val="24"/>
        </w:rPr>
      </w:pPr>
      <w:r>
        <w:rPr>
          <w:rFonts w:hAnsi="宋体" w:cs="宋体"/>
          <w:b/>
          <w:color w:val="auto"/>
          <w:sz w:val="24"/>
          <w:szCs w:val="24"/>
        </w:rPr>
        <w:t>特别提醒：</w:t>
      </w:r>
    </w:p>
    <w:p>
      <w:pPr>
        <w:pStyle w:val="91"/>
        <w:numPr>
          <w:ilvl w:val="0"/>
          <w:numId w:val="2"/>
        </w:numPr>
        <w:snapToGrid w:val="0"/>
        <w:spacing w:line="360" w:lineRule="auto"/>
        <w:ind w:firstLine="482"/>
        <w:rPr>
          <w:rFonts w:hAnsi="宋体" w:cs="宋体"/>
          <w:b/>
          <w:color w:val="auto"/>
          <w:sz w:val="24"/>
          <w:szCs w:val="24"/>
        </w:rPr>
      </w:pPr>
      <w:r>
        <w:rPr>
          <w:rFonts w:hAnsi="宋体" w:cs="宋体"/>
          <w:b/>
          <w:color w:val="auto"/>
          <w:sz w:val="24"/>
          <w:szCs w:val="24"/>
        </w:rPr>
        <w:t>各投标单位只允许委派一人参加投标，其余人员一律不得入内。疫情防控期间，参加投标的授权委托人须配合现场工作人员的检查（包括携带有效身份证件、实名登记、规范佩戴口罩、测量体温、出示健康码和行程卡等）。</w:t>
      </w:r>
    </w:p>
    <w:p>
      <w:pPr>
        <w:pStyle w:val="7"/>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六、公告期限</w:t>
      </w:r>
    </w:p>
    <w:p>
      <w:p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自本公告发布之日起3个工作日。</w:t>
      </w:r>
    </w:p>
    <w:p>
      <w:pPr>
        <w:pStyle w:val="7"/>
        <w:numPr>
          <w:ilvl w:val="0"/>
          <w:numId w:val="3"/>
        </w:numPr>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其他补充事宜：</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投标保证金：</w:t>
      </w:r>
      <w:r>
        <w:rPr>
          <w:rFonts w:hint="eastAsia" w:ascii="宋体" w:hAnsi="宋体" w:cs="宋体"/>
          <w:bCs/>
          <w:color w:val="000000"/>
          <w:sz w:val="24"/>
          <w:szCs w:val="24"/>
        </w:rPr>
        <w:t>无</w:t>
      </w:r>
      <w:r>
        <w:rPr>
          <w:rFonts w:hint="eastAsia" w:ascii="宋体" w:hAnsi="宋体" w:cs="宋体"/>
          <w:kern w:val="0"/>
          <w:sz w:val="24"/>
          <w:szCs w:val="24"/>
        </w:rPr>
        <w:t>。</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项目磋商活动模式：本项目采用现场开标模式。</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对项目需求部分（供应商其他资格要求、项目需求、评分标准）的询问、质疑请向采购人提出，由采购人负责答复；对项目磋商文件其它部分的询问请向采购招标代理机构提出。</w:t>
      </w:r>
    </w:p>
    <w:p>
      <w:pPr>
        <w:numPr>
          <w:ilvl w:val="0"/>
          <w:numId w:val="3"/>
        </w:numPr>
        <w:snapToGrid w:val="0"/>
        <w:spacing w:line="360" w:lineRule="auto"/>
        <w:textAlignment w:val="baseline"/>
        <w:rPr>
          <w:rFonts w:hint="eastAsia" w:ascii="宋体" w:hAnsi="宋体" w:cs="宋体"/>
          <w:b/>
          <w:bCs/>
          <w:sz w:val="24"/>
          <w:szCs w:val="24"/>
        </w:rPr>
      </w:pPr>
      <w:r>
        <w:rPr>
          <w:rFonts w:hint="eastAsia" w:ascii="宋体" w:hAnsi="宋体" w:cs="宋体"/>
          <w:b/>
          <w:bCs/>
          <w:sz w:val="24"/>
          <w:szCs w:val="24"/>
        </w:rPr>
        <w:t>凡对本次采购提出询问，请按以下方式联系。</w:t>
      </w:r>
    </w:p>
    <w:p>
      <w:pPr>
        <w:numPr>
          <w:ilvl w:val="0"/>
          <w:numId w:val="5"/>
        </w:num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采购人信息</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名    称：南通市妇幼保健院</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地    址： 南通市崇川区世纪大道399号</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联系方式：</w:t>
      </w:r>
      <w:r>
        <w:rPr>
          <w:rFonts w:hint="eastAsia" w:cs="宋体" w:asciiTheme="majorEastAsia" w:hAnsiTheme="majorEastAsia" w:eastAsiaTheme="majorEastAsia"/>
          <w:sz w:val="24"/>
          <w:szCs w:val="24"/>
        </w:rPr>
        <w:t xml:space="preserve">13962958761 </w:t>
      </w:r>
      <w:r>
        <w:rPr>
          <w:rFonts w:hint="eastAsia" w:ascii="宋体" w:hAnsi="宋体" w:cs="宋体"/>
          <w:sz w:val="24"/>
          <w:szCs w:val="24"/>
        </w:rPr>
        <w:t xml:space="preserve">   </w:t>
      </w:r>
    </w:p>
    <w:p>
      <w:pPr>
        <w:numPr>
          <w:ilvl w:val="0"/>
          <w:numId w:val="6"/>
        </w:num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采购代理机构信息</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名    称：</w:t>
      </w:r>
      <w:r>
        <w:rPr>
          <w:rFonts w:hint="eastAsia" w:ascii="宋体" w:hAnsi="宋体" w:cs="宋体"/>
          <w:sz w:val="24"/>
          <w:szCs w:val="24"/>
          <w:lang w:eastAsia="zh-CN"/>
        </w:rPr>
        <w:t>中证房地产评估造价集团有限公司</w:t>
      </w:r>
    </w:p>
    <w:p>
      <w:pPr>
        <w:snapToGrid w:val="0"/>
        <w:spacing w:line="360" w:lineRule="auto"/>
        <w:ind w:firstLine="480" w:firstLineChars="200"/>
        <w:textAlignment w:val="baseline"/>
        <w:rPr>
          <w:rFonts w:hint="default" w:ascii="宋体" w:hAnsi="宋体" w:eastAsia="宋体" w:cs="宋体"/>
          <w:sz w:val="24"/>
          <w:szCs w:val="24"/>
          <w:lang w:val="en-US" w:eastAsia="zh-CN"/>
        </w:rPr>
      </w:pPr>
      <w:r>
        <w:rPr>
          <w:rFonts w:hint="eastAsia" w:ascii="宋体" w:hAnsi="宋体" w:cs="宋体"/>
          <w:sz w:val="24"/>
          <w:szCs w:val="24"/>
        </w:rPr>
        <w:t>地    址：</w:t>
      </w:r>
      <w:r>
        <w:rPr>
          <w:rFonts w:hint="eastAsia" w:ascii="宋体" w:hAnsi="宋体" w:cs="宋体"/>
          <w:sz w:val="24"/>
          <w:szCs w:val="24"/>
          <w:lang w:eastAsia="zh-CN"/>
        </w:rPr>
        <w:t>南通市崇川区工农路358号12层</w:t>
      </w:r>
    </w:p>
    <w:p>
      <w:pPr>
        <w:snapToGrid w:val="0"/>
        <w:spacing w:line="360" w:lineRule="auto"/>
        <w:ind w:firstLine="480" w:firstLineChars="200"/>
        <w:textAlignment w:val="baseline"/>
        <w:rPr>
          <w:rFonts w:hint="eastAsia" w:ascii="宋体" w:hAnsi="宋体" w:cs="宋体"/>
          <w:sz w:val="24"/>
          <w:szCs w:val="24"/>
          <w:lang w:val="en-US" w:eastAsia="zh-CN"/>
        </w:rPr>
      </w:pPr>
      <w:r>
        <w:rPr>
          <w:rFonts w:hint="eastAsia" w:ascii="宋体" w:hAnsi="宋体" w:cs="宋体"/>
          <w:sz w:val="24"/>
          <w:szCs w:val="24"/>
        </w:rPr>
        <w:t>联系方式：</w:t>
      </w:r>
      <w:r>
        <w:rPr>
          <w:rFonts w:hint="eastAsia" w:ascii="宋体" w:hAnsi="宋体" w:cs="宋体"/>
          <w:sz w:val="24"/>
          <w:szCs w:val="24"/>
          <w:lang w:eastAsia="zh-CN"/>
        </w:rPr>
        <w:t>张林丽</w:t>
      </w:r>
      <w:r>
        <w:rPr>
          <w:rFonts w:hint="eastAsia" w:ascii="宋体" w:hAnsi="宋体" w:cs="宋体"/>
          <w:sz w:val="24"/>
          <w:szCs w:val="24"/>
          <w:lang w:val="en-US" w:eastAsia="zh-CN"/>
        </w:rPr>
        <w:t xml:space="preserve">    13646287155</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3、项目联系方式</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项目联系人：</w:t>
      </w:r>
      <w:r>
        <w:rPr>
          <w:rFonts w:hint="eastAsia" w:cs="宋体"/>
          <w:sz w:val="24"/>
          <w:szCs w:val="24"/>
          <w:lang w:eastAsia="zh-CN"/>
        </w:rPr>
        <w:t>张林丽</w:t>
      </w:r>
      <w:r>
        <w:rPr>
          <w:rFonts w:hint="eastAsia" w:ascii="宋体" w:hAnsi="宋体" w:cs="宋体"/>
          <w:sz w:val="24"/>
          <w:szCs w:val="24"/>
        </w:rPr>
        <w:t xml:space="preserve">            </w:t>
      </w:r>
    </w:p>
    <w:p>
      <w:pPr>
        <w:snapToGrid w:val="0"/>
        <w:spacing w:line="360" w:lineRule="auto"/>
        <w:ind w:firstLine="480" w:firstLineChars="200"/>
        <w:textAlignment w:val="baseline"/>
        <w:rPr>
          <w:rFonts w:hint="default" w:ascii="宋体" w:hAnsi="宋体" w:eastAsia="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13646287155</w:t>
      </w:r>
    </w:p>
    <w:p>
      <w:pPr>
        <w:pStyle w:val="2"/>
        <w:ind w:firstLine="480"/>
        <w:rPr>
          <w:rFonts w:hint="eastAsia" w:ascii="宋体" w:hAnsi="宋体"/>
          <w:sz w:val="24"/>
          <w:szCs w:val="24"/>
        </w:rPr>
      </w:pPr>
    </w:p>
    <w:p>
      <w:pPr>
        <w:pStyle w:val="2"/>
        <w:ind w:firstLine="480"/>
        <w:rPr>
          <w:rFonts w:hint="eastAsia" w:ascii="宋体" w:hAnsi="宋体"/>
          <w:sz w:val="24"/>
          <w:szCs w:val="24"/>
        </w:rPr>
      </w:pPr>
    </w:p>
    <w:p>
      <w:pPr>
        <w:snapToGrid w:val="0"/>
        <w:spacing w:line="360" w:lineRule="auto"/>
        <w:ind w:firstLine="420" w:firstLineChars="200"/>
        <w:rPr>
          <w:rFonts w:hint="eastAsia" w:ascii="宋体" w:hAnsi="宋体" w:cs="宋体"/>
          <w:sz w:val="24"/>
          <w:szCs w:val="24"/>
        </w:rPr>
      </w:pPr>
      <w:r>
        <w:rPr>
          <w:rFonts w:hint="eastAsia" w:ascii="宋体" w:hAnsi="宋体" w:cs="宋体"/>
          <w:szCs w:val="24"/>
        </w:rPr>
        <w:t xml:space="preserve">                                         </w:t>
      </w:r>
      <w:r>
        <w:rPr>
          <w:rFonts w:hint="eastAsia" w:ascii="宋体" w:hAnsi="宋体" w:cs="宋体"/>
          <w:color w:val="auto"/>
          <w:szCs w:val="24"/>
        </w:rPr>
        <w:t xml:space="preserve">             </w:t>
      </w:r>
      <w:r>
        <w:rPr>
          <w:rFonts w:hint="eastAsia" w:ascii="宋体" w:hAnsi="宋体" w:cs="宋体"/>
          <w:color w:val="auto"/>
          <w:sz w:val="24"/>
          <w:szCs w:val="24"/>
        </w:rPr>
        <w:t>二0二</w:t>
      </w:r>
      <w:r>
        <w:rPr>
          <w:rFonts w:hint="eastAsia" w:ascii="宋体" w:hAnsi="宋体" w:cs="宋体"/>
          <w:color w:val="auto"/>
          <w:sz w:val="24"/>
          <w:szCs w:val="24"/>
          <w:lang w:val="en-US" w:eastAsia="zh-CN"/>
        </w:rPr>
        <w:t>二</w:t>
      </w:r>
      <w:r>
        <w:rPr>
          <w:rFonts w:hint="eastAsia" w:ascii="宋体" w:hAnsi="宋体" w:cs="宋体"/>
          <w:color w:val="auto"/>
          <w:sz w:val="24"/>
          <w:szCs w:val="24"/>
        </w:rPr>
        <w:t>年</w:t>
      </w:r>
      <w:r>
        <w:rPr>
          <w:rFonts w:hint="eastAsia" w:ascii="宋体" w:hAnsi="宋体" w:cs="宋体"/>
          <w:color w:val="auto"/>
          <w:sz w:val="24"/>
          <w:szCs w:val="24"/>
          <w:lang w:val="en-US" w:eastAsia="zh-CN"/>
        </w:rPr>
        <w:t>十</w:t>
      </w:r>
      <w:r>
        <w:rPr>
          <w:rFonts w:hint="eastAsia" w:ascii="宋体" w:hAnsi="宋体" w:cs="宋体"/>
          <w:color w:val="auto"/>
          <w:sz w:val="24"/>
          <w:szCs w:val="24"/>
        </w:rPr>
        <w:t>月</w:t>
      </w:r>
      <w:r>
        <w:rPr>
          <w:rFonts w:hint="eastAsia" w:ascii="宋体" w:hAnsi="宋体" w:cs="宋体"/>
          <w:color w:val="auto"/>
          <w:sz w:val="24"/>
          <w:szCs w:val="24"/>
          <w:lang w:val="en-US" w:eastAsia="zh-CN"/>
        </w:rPr>
        <w:t>二十四</w:t>
      </w:r>
      <w:r>
        <w:rPr>
          <w:rFonts w:hint="eastAsia" w:ascii="宋体" w:hAnsi="宋体" w:cs="宋体"/>
          <w:color w:val="auto"/>
          <w:sz w:val="24"/>
          <w:szCs w:val="24"/>
        </w:rPr>
        <w:t>日</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br w:type="page"/>
      </w:r>
    </w:p>
    <w:p>
      <w:pPr>
        <w:spacing w:line="360" w:lineRule="auto"/>
        <w:ind w:firstLine="707" w:firstLineChars="200"/>
        <w:jc w:val="center"/>
        <w:rPr>
          <w:rFonts w:ascii="宋体"/>
          <w:w w:val="80"/>
        </w:rPr>
      </w:pPr>
      <w:bookmarkStart w:id="11" w:name="_Toc94544744"/>
      <w:bookmarkStart w:id="12" w:name="_Toc521203418"/>
      <w:bookmarkStart w:id="13" w:name="_Toc11499584"/>
      <w:bookmarkStart w:id="14" w:name="_Toc11554639"/>
      <w:bookmarkStart w:id="15" w:name="_Toc8895739"/>
      <w:bookmarkStart w:id="16" w:name="_Toc94544828"/>
      <w:bookmarkStart w:id="17" w:name="_Toc12670503"/>
      <w:bookmarkStart w:id="18" w:name="_Toc11500280"/>
      <w:bookmarkStart w:id="19" w:name="_Toc94585340"/>
      <w:bookmarkStart w:id="20" w:name="_Toc521201597"/>
      <w:bookmarkStart w:id="21" w:name="_Toc363573854"/>
      <w:r>
        <w:rPr>
          <w:rFonts w:hint="eastAsia" w:ascii="宋体" w:hAnsi="宋体" w:cs="宋体"/>
          <w:b/>
          <w:bCs/>
          <w:w w:val="80"/>
          <w:sz w:val="44"/>
          <w:szCs w:val="44"/>
        </w:rPr>
        <w:t>第二章</w:t>
      </w:r>
      <w:bookmarkEnd w:id="11"/>
      <w:bookmarkEnd w:id="12"/>
      <w:bookmarkEnd w:id="13"/>
      <w:bookmarkEnd w:id="14"/>
      <w:bookmarkEnd w:id="15"/>
      <w:bookmarkEnd w:id="16"/>
      <w:bookmarkEnd w:id="17"/>
      <w:bookmarkEnd w:id="18"/>
      <w:bookmarkEnd w:id="19"/>
      <w:bookmarkEnd w:id="20"/>
      <w:r>
        <w:rPr>
          <w:rFonts w:hint="eastAsia" w:ascii="宋体" w:hAnsi="宋体" w:cs="宋体"/>
          <w:b/>
          <w:bCs/>
          <w:w w:val="80"/>
          <w:sz w:val="44"/>
          <w:szCs w:val="44"/>
        </w:rPr>
        <w:t xml:space="preserve"> 磋商供应商须知</w:t>
      </w:r>
      <w:bookmarkEnd w:id="21"/>
    </w:p>
    <w:p>
      <w:pPr>
        <w:snapToGrid w:val="0"/>
        <w:spacing w:line="480" w:lineRule="exact"/>
        <w:ind w:firstLine="482" w:firstLineChars="200"/>
        <w:outlineLvl w:val="1"/>
        <w:rPr>
          <w:rFonts w:ascii="宋体"/>
          <w:b/>
          <w:bCs/>
          <w:sz w:val="24"/>
          <w:szCs w:val="24"/>
        </w:rPr>
      </w:pPr>
      <w:bookmarkStart w:id="22" w:name="_Toc12670504"/>
      <w:bookmarkStart w:id="23" w:name="_Toc521201598"/>
      <w:bookmarkStart w:id="24" w:name="_Toc11554640"/>
      <w:bookmarkStart w:id="25" w:name="_Toc8895740"/>
      <w:bookmarkStart w:id="26" w:name="_Toc11499585"/>
      <w:bookmarkStart w:id="27" w:name="_Toc94544871"/>
      <w:bookmarkStart w:id="28" w:name="_Toc521203419"/>
      <w:bookmarkStart w:id="29" w:name="_Toc94585341"/>
      <w:bookmarkStart w:id="30" w:name="_Toc94544745"/>
      <w:bookmarkStart w:id="31" w:name="_Toc11500281"/>
      <w:r>
        <w:rPr>
          <w:rFonts w:hint="eastAsia" w:ascii="宋体" w:hAnsi="宋体" w:cs="宋体"/>
          <w:b/>
          <w:bCs/>
          <w:sz w:val="24"/>
          <w:szCs w:val="24"/>
        </w:rPr>
        <w:t>一、说明</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、本竞争性磋商文件仅适用于</w:t>
      </w:r>
      <w:r>
        <w:rPr>
          <w:rFonts w:hint="eastAsia" w:ascii="宋体" w:hAnsi="宋体" w:cs="宋体"/>
          <w:sz w:val="24"/>
          <w:szCs w:val="24"/>
          <w:lang w:eastAsia="zh-CN"/>
        </w:rPr>
        <w:t>中证房地产评估造价集团有限公司</w:t>
      </w:r>
      <w:r>
        <w:rPr>
          <w:rFonts w:hint="eastAsia" w:ascii="宋体" w:hAnsi="宋体" w:cs="宋体"/>
          <w:sz w:val="24"/>
          <w:szCs w:val="24"/>
        </w:rPr>
        <w:t>组织的竞争性磋商采购活动。</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、竞争性磋商活动及因本次磋商产生的合同受中国法律制约和保护。</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、竞争性磋商文件的解释权属于采购人。</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4</w:t>
      </w:r>
      <w:r>
        <w:rPr>
          <w:rFonts w:hint="eastAsia" w:ascii="宋体" w:hAnsi="宋体" w:cs="宋体"/>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bCs/>
          <w:sz w:val="24"/>
          <w:szCs w:val="24"/>
        </w:rPr>
        <w:t>非书面形式的不作为日后质疑提出的依据。</w:t>
      </w:r>
    </w:p>
    <w:p>
      <w:pPr>
        <w:snapToGrid w:val="0"/>
        <w:spacing w:line="360" w:lineRule="auto"/>
        <w:ind w:firstLine="480" w:firstLineChars="200"/>
        <w:textAlignment w:val="baseline"/>
        <w:rPr>
          <w:rFonts w:hint="eastAsia" w:ascii="宋体" w:hAnsi="宋体" w:cs="宋体"/>
          <w:color w:val="000000"/>
          <w:sz w:val="24"/>
          <w:szCs w:val="24"/>
        </w:rPr>
      </w:pPr>
      <w:r>
        <w:rPr>
          <w:rFonts w:hint="eastAsia" w:ascii="宋体" w:hAnsi="宋体" w:cs="宋体"/>
          <w:color w:val="000000"/>
          <w:sz w:val="24"/>
          <w:szCs w:val="24"/>
        </w:rPr>
        <w:t>5、供应商应认真审阅</w:t>
      </w:r>
      <w:r>
        <w:rPr>
          <w:rFonts w:hint="eastAsia" w:ascii="宋体" w:hAnsi="宋体" w:cs="宋体"/>
          <w:sz w:val="24"/>
          <w:szCs w:val="24"/>
        </w:rPr>
        <w:t>磋商文件中</w:t>
      </w:r>
      <w:r>
        <w:rPr>
          <w:rFonts w:hint="eastAsia" w:ascii="宋体" w:hAnsi="宋体" w:cs="宋体"/>
          <w:color w:val="000000"/>
          <w:sz w:val="24"/>
          <w:szCs w:val="24"/>
        </w:rPr>
        <w:t>所有的事项、格式、条款和规范要求等，如果供应商没有按照磋商文件要求提交响应文件，或者响应文件没有对磋商文件做出实质性响应，将被拒绝参与项目的磋商。</w:t>
      </w:r>
    </w:p>
    <w:p>
      <w:pPr>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磋商文件项目需求提供的可能涉及到的工艺、材料、设备、商标、样本、技术规范、参数规格、品牌等，仅作为说明并没有限制性，供应商在磋商时可以选用替代，但这些替代的品牌、产品技术标准要优于或相当于项目需求技术规格中要求的标准，以满足采购人的需要。</w:t>
      </w:r>
    </w:p>
    <w:p>
      <w:pPr>
        <w:snapToGrid w:val="0"/>
        <w:spacing w:line="360" w:lineRule="auto"/>
        <w:ind w:firstLine="480" w:firstLineChars="200"/>
        <w:rPr>
          <w:rFonts w:hint="eastAsia"/>
        </w:rPr>
      </w:pPr>
      <w:r>
        <w:rPr>
          <w:sz w:val="24"/>
          <w:szCs w:val="24"/>
        </w:rPr>
        <w:t>7</w:t>
      </w:r>
      <w:r>
        <w:rPr>
          <w:rFonts w:hint="eastAsia"/>
          <w:sz w:val="24"/>
          <w:szCs w:val="24"/>
        </w:rPr>
        <w:t>、</w:t>
      </w:r>
      <w:r>
        <w:rPr>
          <w:rFonts w:hint="eastAsia" w:cs="宋体"/>
          <w:sz w:val="24"/>
          <w:szCs w:val="24"/>
        </w:rPr>
        <w:t>本磋商文件内所称的</w:t>
      </w:r>
      <w:r>
        <w:rPr>
          <w:sz w:val="24"/>
          <w:szCs w:val="24"/>
        </w:rPr>
        <w:t>“</w:t>
      </w:r>
      <w:r>
        <w:rPr>
          <w:rFonts w:hint="eastAsia" w:cs="宋体"/>
          <w:sz w:val="24"/>
          <w:szCs w:val="24"/>
        </w:rPr>
        <w:t>以上</w:t>
      </w:r>
      <w:r>
        <w:rPr>
          <w:sz w:val="24"/>
          <w:szCs w:val="24"/>
        </w:rPr>
        <w:t>”</w:t>
      </w:r>
      <w:r>
        <w:rPr>
          <w:rFonts w:hint="eastAsia" w:cs="宋体"/>
          <w:sz w:val="24"/>
          <w:szCs w:val="24"/>
        </w:rPr>
        <w:t>、</w:t>
      </w:r>
      <w:r>
        <w:rPr>
          <w:sz w:val="24"/>
          <w:szCs w:val="24"/>
        </w:rPr>
        <w:t>“</w:t>
      </w:r>
      <w:r>
        <w:rPr>
          <w:rFonts w:hint="eastAsia" w:cs="宋体"/>
          <w:sz w:val="24"/>
          <w:szCs w:val="24"/>
        </w:rPr>
        <w:t>以下</w:t>
      </w:r>
      <w:r>
        <w:rPr>
          <w:sz w:val="24"/>
          <w:szCs w:val="24"/>
        </w:rPr>
        <w:t>”</w:t>
      </w:r>
      <w:r>
        <w:rPr>
          <w:rFonts w:hint="eastAsia" w:cs="宋体"/>
          <w:sz w:val="24"/>
          <w:szCs w:val="24"/>
        </w:rPr>
        <w:t>、</w:t>
      </w:r>
      <w:r>
        <w:rPr>
          <w:sz w:val="24"/>
          <w:szCs w:val="24"/>
        </w:rPr>
        <w:t>“</w:t>
      </w:r>
      <w:r>
        <w:rPr>
          <w:rFonts w:hint="eastAsia" w:cs="宋体"/>
          <w:sz w:val="24"/>
          <w:szCs w:val="24"/>
        </w:rPr>
        <w:t>内</w:t>
      </w:r>
      <w:r>
        <w:rPr>
          <w:sz w:val="24"/>
          <w:szCs w:val="24"/>
        </w:rPr>
        <w:t>”</w:t>
      </w:r>
      <w:r>
        <w:rPr>
          <w:rFonts w:hint="eastAsia" w:cs="宋体"/>
          <w:sz w:val="24"/>
          <w:szCs w:val="24"/>
        </w:rPr>
        <w:t>、</w:t>
      </w:r>
      <w:r>
        <w:rPr>
          <w:sz w:val="24"/>
          <w:szCs w:val="24"/>
        </w:rPr>
        <w:t>“</w:t>
      </w:r>
      <w:r>
        <w:rPr>
          <w:rFonts w:hint="eastAsia" w:cs="宋体"/>
          <w:sz w:val="24"/>
          <w:szCs w:val="24"/>
        </w:rPr>
        <w:t>以内</w:t>
      </w:r>
      <w:r>
        <w:rPr>
          <w:sz w:val="24"/>
          <w:szCs w:val="24"/>
        </w:rPr>
        <w:t>”</w:t>
      </w:r>
      <w:r>
        <w:rPr>
          <w:rFonts w:hint="eastAsia" w:cs="宋体"/>
          <w:sz w:val="24"/>
          <w:szCs w:val="24"/>
        </w:rPr>
        <w:t>，包括本数；所称的</w:t>
      </w:r>
      <w:r>
        <w:rPr>
          <w:sz w:val="24"/>
          <w:szCs w:val="24"/>
        </w:rPr>
        <w:t>“</w:t>
      </w:r>
      <w:r>
        <w:rPr>
          <w:rFonts w:hint="eastAsia" w:cs="宋体"/>
          <w:sz w:val="24"/>
          <w:szCs w:val="24"/>
        </w:rPr>
        <w:t>不足</w:t>
      </w:r>
      <w:r>
        <w:rPr>
          <w:sz w:val="24"/>
          <w:szCs w:val="24"/>
        </w:rPr>
        <w:t>”</w:t>
      </w:r>
      <w:r>
        <w:rPr>
          <w:rFonts w:hint="eastAsia" w:cs="宋体"/>
          <w:sz w:val="24"/>
          <w:szCs w:val="24"/>
        </w:rPr>
        <w:t>、</w:t>
      </w:r>
      <w:r>
        <w:rPr>
          <w:sz w:val="24"/>
          <w:szCs w:val="24"/>
        </w:rPr>
        <w:t>“</w:t>
      </w:r>
      <w:r>
        <w:rPr>
          <w:rFonts w:hint="eastAsia" w:cs="宋体"/>
          <w:sz w:val="24"/>
          <w:szCs w:val="24"/>
        </w:rPr>
        <w:t>少于</w:t>
      </w:r>
      <w:r>
        <w:rPr>
          <w:sz w:val="24"/>
          <w:szCs w:val="24"/>
        </w:rPr>
        <w:t>”</w:t>
      </w:r>
      <w:r>
        <w:rPr>
          <w:rFonts w:hint="eastAsia" w:cs="宋体"/>
          <w:sz w:val="24"/>
          <w:szCs w:val="24"/>
        </w:rPr>
        <w:t>，不包括本数。</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二、磋商文件的澄清、修改、答疑</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pPr>
        <w:snapToGrid w:val="0"/>
        <w:spacing w:line="360" w:lineRule="auto"/>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、磋商文件的澄清、修改、补充等内容均以书面明确的形式发布，并以南通市卫生健康委员会官网（http://wjw.nantong.gov.cn）和南通市妇幼保健院官网（http://www.ntfybj.com）发布的信息为准。</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、澄清或者修改的内容可能影响到响应文件编制的，代理机构将在提交响应文件接收截止之日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pPr>
        <w:snapToGrid w:val="0"/>
        <w:spacing w:line="360" w:lineRule="auto"/>
        <w:ind w:firstLine="482" w:firstLineChars="200"/>
        <w:outlineLvl w:val="1"/>
        <w:rPr>
          <w:rFonts w:ascii="宋体" w:hAnsi="宋体" w:cs="宋体"/>
          <w:b/>
          <w:color w:val="000000"/>
          <w:sz w:val="24"/>
          <w:szCs w:val="24"/>
        </w:rPr>
      </w:pPr>
      <w:r>
        <w:rPr>
          <w:rFonts w:hint="eastAsia" w:ascii="宋体" w:hAnsi="宋体" w:cs="宋体"/>
          <w:b/>
          <w:color w:val="000000"/>
          <w:sz w:val="24"/>
          <w:szCs w:val="24"/>
        </w:rPr>
        <w:t>三、磋商项目涉及到的现场勘察</w:t>
      </w:r>
    </w:p>
    <w:p>
      <w:pPr>
        <w:snapToGrid w:val="0"/>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、采购人向供应商提供的有关现场的资料和数据，是采购人现有的并认为能使供应商可利用的资料。采购人对供应商由此而做出的推论、理解和结论概不负责。</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、经采购人允许，供应商可为勘察目的进入采购人的项目现场，但供应商不得因此使采购人承担有关的责任和蒙受损失。供应商应承担勘察现场的责任和风险。</w:t>
      </w:r>
    </w:p>
    <w:p>
      <w:pPr>
        <w:snapToGrid w:val="0"/>
        <w:spacing w:line="360" w:lineRule="auto"/>
        <w:ind w:firstLine="484" w:firstLineChars="202"/>
        <w:rPr>
          <w:rFonts w:ascii="宋体" w:hAnsi="宋体" w:cs="宋体"/>
          <w:sz w:val="24"/>
          <w:szCs w:val="24"/>
        </w:rPr>
      </w:pPr>
      <w:r>
        <w:rPr>
          <w:rFonts w:ascii="宋体" w:hAnsi="宋体" w:cs="宋体"/>
          <w:sz w:val="24"/>
          <w:szCs w:val="24"/>
        </w:rPr>
        <w:t>4</w:t>
      </w:r>
      <w:r>
        <w:rPr>
          <w:rFonts w:hint="eastAsia" w:ascii="宋体" w:hAnsi="宋体" w:cs="宋体"/>
          <w:sz w:val="24"/>
          <w:szCs w:val="24"/>
        </w:rPr>
        <w:t>、供应商应认真踏勘现场。在现场勘察时，熟悉服务及作业现场、现场周围交通道路等情况，以获得一切可能影响其投标的直接资料。供应商成交后，不得以不完全了解现场情况为理由而向采购人提出任何索赔的要求，对此采购人不承担任何责任并将不作任何答复与考虑。</w:t>
      </w:r>
    </w:p>
    <w:p>
      <w:pPr>
        <w:pStyle w:val="2"/>
        <w:ind w:firstLine="482"/>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现场踏勘联系人：</w:t>
      </w:r>
      <w:r>
        <w:rPr>
          <w:rFonts w:hint="eastAsia" w:ascii="宋体" w:hAnsi="宋体" w:cs="宋体"/>
          <w:b/>
          <w:bCs/>
          <w:color w:val="000000"/>
          <w:sz w:val="24"/>
          <w:szCs w:val="24"/>
          <w:lang w:eastAsia="zh-CN"/>
        </w:rPr>
        <w:t>张主任</w:t>
      </w:r>
      <w:r>
        <w:rPr>
          <w:rFonts w:hint="eastAsia" w:ascii="宋体" w:hAnsi="宋体" w:cs="宋体"/>
          <w:b/>
          <w:bCs/>
          <w:color w:val="000000"/>
          <w:sz w:val="24"/>
          <w:szCs w:val="24"/>
        </w:rPr>
        <w:t xml:space="preserve">      联系电话：13962958761 </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四、响应文件的编制及装订</w:t>
      </w:r>
    </w:p>
    <w:p>
      <w:pPr>
        <w:snapToGrid w:val="0"/>
        <w:spacing w:line="360" w:lineRule="auto"/>
        <w:ind w:firstLine="487" w:firstLineChars="202"/>
        <w:rPr>
          <w:rFonts w:ascii="宋体"/>
          <w:b/>
          <w:bCs/>
          <w:sz w:val="24"/>
          <w:szCs w:val="24"/>
        </w:rPr>
      </w:pPr>
      <w:r>
        <w:rPr>
          <w:rFonts w:hint="eastAsia" w:ascii="宋体" w:hAnsi="宋体" w:cs="宋体"/>
          <w:b/>
          <w:bCs/>
          <w:sz w:val="24"/>
          <w:szCs w:val="24"/>
        </w:rPr>
        <w:t>供应商按磋商文件要求编写响应文件，并牢固装订成册。响应文件均需采用</w:t>
      </w:r>
      <w:r>
        <w:rPr>
          <w:rFonts w:ascii="宋体" w:hAnsi="宋体" w:cs="宋体"/>
          <w:b/>
          <w:bCs/>
          <w:sz w:val="24"/>
          <w:szCs w:val="24"/>
        </w:rPr>
        <w:t>A4</w:t>
      </w:r>
      <w:r>
        <w:rPr>
          <w:rFonts w:hint="eastAsia" w:ascii="宋体" w:hAnsi="宋体" w:cs="宋体"/>
          <w:b/>
          <w:bCs/>
          <w:sz w:val="24"/>
          <w:szCs w:val="24"/>
        </w:rPr>
        <w:t>纸（图纸等除外），不允许使用活页夹、拉杆夹、文件夹、塑料方便式书脊（插入式或穿孔式）装订。响应文件不得行间插字、涂改、增删，如修改错漏处，须经响应文件签署人签字并加盖公章。</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五、响应文件的份数和签署</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商务报价响应文件，共</w:t>
      </w:r>
      <w:r>
        <w:rPr>
          <w:rFonts w:ascii="宋体" w:hAnsi="宋体" w:cs="宋体"/>
          <w:sz w:val="24"/>
          <w:szCs w:val="24"/>
        </w:rPr>
        <w:t>3</w:t>
      </w:r>
      <w:r>
        <w:rPr>
          <w:rFonts w:hint="eastAsia" w:ascii="宋体" w:hAnsi="宋体" w:cs="宋体"/>
          <w:sz w:val="24"/>
          <w:szCs w:val="24"/>
        </w:rPr>
        <w:t>部分组成（以下由文件序号代称）。</w:t>
      </w:r>
    </w:p>
    <w:p>
      <w:pPr>
        <w:snapToGrid w:val="0"/>
        <w:spacing w:line="360" w:lineRule="auto"/>
        <w:ind w:firstLine="480" w:firstLineChars="200"/>
        <w:rPr>
          <w:rFonts w:ascii="宋体"/>
          <w:sz w:val="24"/>
          <w:szCs w:val="24"/>
          <w:u w:val="single"/>
        </w:rPr>
      </w:pPr>
      <w:r>
        <w:rPr>
          <w:rFonts w:ascii="宋体" w:hAnsi="宋体" w:cs="宋体"/>
          <w:sz w:val="24"/>
          <w:szCs w:val="24"/>
        </w:rPr>
        <w:t>2</w:t>
      </w:r>
      <w:r>
        <w:rPr>
          <w:rFonts w:hint="eastAsia" w:ascii="宋体" w:hAnsi="宋体" w:cs="宋体"/>
          <w:sz w:val="24"/>
          <w:szCs w:val="24"/>
        </w:rPr>
        <w:t>、响应文件均为壹式叁份，其中“正本”壹份和“副本”贰份。</w:t>
      </w:r>
    </w:p>
    <w:p>
      <w:pPr>
        <w:snapToGrid w:val="0"/>
        <w:spacing w:line="360" w:lineRule="auto"/>
        <w:ind w:firstLine="470" w:firstLineChars="196"/>
        <w:rPr>
          <w:rFonts w:ascii="宋体"/>
          <w:sz w:val="24"/>
          <w:szCs w:val="24"/>
        </w:rPr>
      </w:pPr>
      <w:r>
        <w:rPr>
          <w:rFonts w:ascii="宋体" w:hAnsi="宋体" w:cs="宋体"/>
          <w:sz w:val="24"/>
          <w:szCs w:val="24"/>
        </w:rPr>
        <w:t>3</w:t>
      </w:r>
      <w:r>
        <w:rPr>
          <w:rFonts w:hint="eastAsia" w:ascii="宋体" w:hAnsi="宋体" w:cs="宋体"/>
          <w:sz w:val="24"/>
          <w:szCs w:val="24"/>
        </w:rPr>
        <w:t>、在每份响应文件上要明确标注项目名称、项目编号、对应的响应文件名称、供应商的全称、日期、“正本”、“副本”字样。“正本”和“副本”若有差异，概以“正本”为准。</w:t>
      </w:r>
    </w:p>
    <w:p>
      <w:pPr>
        <w:snapToGrid w:val="0"/>
        <w:spacing w:line="360" w:lineRule="auto"/>
        <w:ind w:firstLine="470" w:firstLineChars="196"/>
        <w:rPr>
          <w:rFonts w:ascii="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pPr>
        <w:snapToGrid w:val="0"/>
        <w:spacing w:line="360" w:lineRule="auto"/>
        <w:ind w:firstLine="470" w:firstLineChars="196"/>
        <w:rPr>
          <w:rFonts w:ascii="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、响应文件中的所有“正本”，其正文内容须按磋商文件要求由供应商法定代表人或被授权人签字（或盖章）并加盖单位公章。“副本”可复印，但须加盖单位公章。</w:t>
      </w:r>
    </w:p>
    <w:p>
      <w:pPr>
        <w:snapToGrid w:val="0"/>
        <w:spacing w:line="360" w:lineRule="auto"/>
        <w:ind w:firstLine="472" w:firstLineChars="196"/>
        <w:rPr>
          <w:rFonts w:ascii="宋体"/>
          <w:b/>
          <w:bCs/>
          <w:sz w:val="24"/>
          <w:szCs w:val="24"/>
        </w:rPr>
      </w:pPr>
      <w:r>
        <w:rPr>
          <w:rFonts w:hint="eastAsia" w:ascii="宋体" w:hAnsi="宋体" w:cs="宋体"/>
          <w:b/>
          <w:bCs/>
          <w:sz w:val="24"/>
          <w:szCs w:val="24"/>
        </w:rPr>
        <w:t>六、响应文件的密封及标记</w:t>
      </w:r>
    </w:p>
    <w:p>
      <w:pPr>
        <w:snapToGrid w:val="0"/>
        <w:spacing w:line="360" w:lineRule="auto"/>
        <w:ind w:firstLine="480" w:firstLineChars="200"/>
        <w:rPr>
          <w:rFonts w:ascii="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hint="eastAsia" w:ascii="宋体" w:hAnsi="宋体" w:cs="宋体"/>
          <w:b/>
          <w:bCs/>
          <w:color w:val="000000"/>
          <w:sz w:val="24"/>
          <w:szCs w:val="24"/>
        </w:rPr>
        <w:t>资格审查文件、技术响应文件、商务报价响应文件</w:t>
      </w:r>
      <w:r>
        <w:rPr>
          <w:rFonts w:hint="eastAsia" w:ascii="宋体" w:hAnsi="宋体" w:cs="宋体"/>
          <w:b/>
          <w:sz w:val="24"/>
          <w:szCs w:val="24"/>
        </w:rPr>
        <w:t>单独密封</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、密封后，应在每一密封的响应文件上明确标注磋商项目名称、响应文件各自对应的名称、供应商的全称及日期。</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【特别提醒】</w:t>
      </w:r>
      <w:r>
        <w:rPr>
          <w:rFonts w:hint="eastAsia" w:ascii="宋体" w:hAnsi="宋体" w:cs="宋体"/>
          <w:sz w:val="24"/>
          <w:szCs w:val="24"/>
        </w:rPr>
        <w:t>响应文件中的</w:t>
      </w:r>
      <w:r>
        <w:rPr>
          <w:rFonts w:hint="eastAsia" w:ascii="宋体" w:hAnsi="宋体" w:cs="宋体"/>
          <w:b/>
          <w:bCs/>
          <w:color w:val="000000"/>
          <w:sz w:val="24"/>
          <w:szCs w:val="24"/>
        </w:rPr>
        <w:t>资格审查文件、技术响应文件</w:t>
      </w:r>
      <w:r>
        <w:rPr>
          <w:rFonts w:hint="eastAsia" w:ascii="宋体" w:hAnsi="宋体" w:cs="宋体"/>
          <w:sz w:val="24"/>
          <w:szCs w:val="24"/>
        </w:rPr>
        <w:t>的“正本”或“副本”中，均不得含有商务报价响应文件中报价表（报价单）内的任何项目价格，否则作无效响应处理。</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七、</w:t>
      </w:r>
      <w:r>
        <w:rPr>
          <w:rFonts w:hint="eastAsia" w:ascii="宋体" w:hAnsi="宋体" w:cs="宋体"/>
          <w:b/>
          <w:bCs/>
          <w:color w:val="000000"/>
          <w:sz w:val="24"/>
          <w:szCs w:val="24"/>
        </w:rPr>
        <w:t>磋商报价</w:t>
      </w:r>
    </w:p>
    <w:p>
      <w:pPr>
        <w:snapToGrid w:val="0"/>
        <w:spacing w:line="360" w:lineRule="auto"/>
        <w:ind w:firstLine="494" w:firstLineChars="206"/>
        <w:rPr>
          <w:rFonts w:ascii="宋体"/>
          <w:sz w:val="24"/>
          <w:szCs w:val="24"/>
        </w:rPr>
      </w:pPr>
      <w:r>
        <w:rPr>
          <w:rFonts w:ascii="宋体" w:hAnsi="宋体" w:cs="宋体"/>
          <w:sz w:val="24"/>
          <w:szCs w:val="24"/>
        </w:rPr>
        <w:t>1</w:t>
      </w:r>
      <w:r>
        <w:rPr>
          <w:rFonts w:hint="eastAsia" w:ascii="宋体" w:hAnsi="宋体" w:cs="宋体"/>
          <w:sz w:val="24"/>
          <w:szCs w:val="24"/>
        </w:rPr>
        <w:t>、本项目不接受任何有选择的报价。</w:t>
      </w:r>
    </w:p>
    <w:p>
      <w:pPr>
        <w:snapToGrid w:val="0"/>
        <w:spacing w:line="360" w:lineRule="auto"/>
        <w:ind w:firstLine="494" w:firstLineChars="206"/>
        <w:rPr>
          <w:rFonts w:ascii="宋体"/>
          <w:sz w:val="24"/>
          <w:szCs w:val="24"/>
        </w:rPr>
      </w:pPr>
      <w:r>
        <w:rPr>
          <w:rFonts w:ascii="宋体" w:hAnsi="宋体" w:cs="宋体"/>
          <w:sz w:val="24"/>
          <w:szCs w:val="24"/>
        </w:rPr>
        <w:t>2</w:t>
      </w:r>
      <w:r>
        <w:rPr>
          <w:rFonts w:hint="eastAsia" w:ascii="宋体" w:hAnsi="宋体" w:cs="宋体"/>
          <w:sz w:val="24"/>
          <w:szCs w:val="24"/>
        </w:rPr>
        <w:t>、磋商报价均以人民币为报价的币种。</w:t>
      </w:r>
    </w:p>
    <w:p>
      <w:pPr>
        <w:snapToGrid w:val="0"/>
        <w:spacing w:line="360" w:lineRule="auto"/>
        <w:ind w:firstLine="494" w:firstLineChars="206"/>
        <w:rPr>
          <w:rFonts w:hint="eastAsia" w:ascii="宋体" w:hAnsi="宋体" w:eastAsia="宋体" w:cs="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、磋商报价表必须加盖单位公章且必须经法定代表人或被授权人签字或 盖章。</w:t>
      </w:r>
      <w:r>
        <w:rPr>
          <w:rFonts w:hint="eastAsia" w:ascii="宋体" w:hAnsi="宋体" w:eastAsia="宋体" w:cs="宋体"/>
          <w:snapToGrid/>
          <w:kern w:val="2"/>
          <w:sz w:val="24"/>
          <w:lang w:val="en-US" w:eastAsia="zh-CN"/>
        </w:rPr>
        <w:t>报价</w:t>
      </w:r>
      <w:r>
        <w:rPr>
          <w:rFonts w:hint="eastAsia" w:ascii="宋体" w:hAnsi="宋体" w:eastAsia="宋体" w:cs="宋体"/>
          <w:snapToGrid/>
          <w:kern w:val="2"/>
          <w:sz w:val="24"/>
        </w:rPr>
        <w:t>表中的报价出现前后不一致的，将执行财政部第 87 号令《政府采购货物和服务招标投标管理办法》第 59 条的规定修正:</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3.1开标一览表(报价表)内容与投标文件中相应内容不一致的，以开标一览表(报价表)为准;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3.2 大写金额和小写金额不一致的，以大写金额为准;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3.3单价金额小数点或者百分比有明显错位的，以开标一览表(报价表)的总价为准，并修改单价;</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3.4总价金额与按单价汇总金额不一致的，以单价金额计算结果为准。</w:t>
      </w:r>
    </w:p>
    <w:p>
      <w:pPr>
        <w:snapToGrid w:val="0"/>
        <w:spacing w:line="360" w:lineRule="auto"/>
        <w:ind w:firstLine="480" w:firstLineChars="200"/>
        <w:rPr>
          <w:rFonts w:hint="eastAsia" w:ascii="宋体" w:hAnsi="宋体" w:eastAsia="宋体" w:cs="宋体"/>
          <w:snapToGrid/>
          <w:kern w:val="2"/>
          <w:sz w:val="24"/>
          <w:lang w:val="en-US" w:eastAsia="zh-CN"/>
        </w:rPr>
      </w:pPr>
      <w:r>
        <w:rPr>
          <w:rFonts w:hint="eastAsia" w:ascii="宋体" w:hAnsi="宋体" w:eastAsia="宋体" w:cs="宋体"/>
          <w:snapToGrid/>
          <w:kern w:val="2"/>
          <w:sz w:val="24"/>
          <w:lang w:val="en-US" w:eastAsia="zh-CN"/>
        </w:rPr>
        <w:t>同</w:t>
      </w:r>
      <w:r>
        <w:rPr>
          <w:rFonts w:hint="eastAsia" w:ascii="宋体" w:hAnsi="宋体" w:eastAsia="宋体" w:cs="宋体"/>
          <w:snapToGrid/>
          <w:kern w:val="2"/>
          <w:sz w:val="24"/>
        </w:rPr>
        <w:t>时出现两种以上不一至致的，按照前款规定的顺序修正。修正后的报价按照本办法第五十一条第二款的规定经供应商确认后产生约束力，供应商不确认的，其响应无效。</w:t>
      </w:r>
      <w:r>
        <w:rPr>
          <w:rFonts w:hint="eastAsia" w:ascii="宋体" w:hAnsi="宋体" w:eastAsia="宋体" w:cs="宋体"/>
          <w:snapToGrid/>
          <w:kern w:val="2"/>
          <w:sz w:val="24"/>
          <w:lang w:val="en-US" w:eastAsia="zh-CN"/>
        </w:rPr>
        <w:t xml:space="preserve"> </w:t>
      </w:r>
    </w:p>
    <w:p>
      <w:pPr>
        <w:snapToGrid w:val="0"/>
        <w:spacing w:line="360" w:lineRule="auto"/>
        <w:ind w:firstLine="480" w:firstLineChars="200"/>
        <w:rPr>
          <w:rFonts w:hint="eastAsia" w:ascii="宋体" w:hAnsi="宋体" w:eastAsia="宋体" w:cs="宋体"/>
          <w:sz w:val="24"/>
          <w:szCs w:val="24"/>
          <w:lang w:eastAsia="zh-CN"/>
        </w:rPr>
      </w:pPr>
      <w:r>
        <w:rPr>
          <w:rFonts w:ascii="宋体" w:hAnsi="宋体" w:cs="宋体"/>
          <w:sz w:val="24"/>
          <w:szCs w:val="24"/>
        </w:rPr>
        <w:t>4</w:t>
      </w:r>
      <w:r>
        <w:rPr>
          <w:rFonts w:hint="eastAsia" w:ascii="宋体" w:hAnsi="宋体" w:cs="宋体"/>
          <w:sz w:val="24"/>
          <w:szCs w:val="24"/>
        </w:rPr>
        <w:t>、</w:t>
      </w:r>
      <w:r>
        <w:rPr>
          <w:rFonts w:hint="eastAsia" w:ascii="宋体" w:hAnsi="宋体" w:eastAsia="宋体" w:cs="宋体"/>
          <w:bCs/>
          <w:color w:val="000000"/>
          <w:sz w:val="24"/>
          <w:highlight w:val="none"/>
        </w:rPr>
        <w:t>本项目</w:t>
      </w:r>
      <w:r>
        <w:rPr>
          <w:rFonts w:hint="eastAsia" w:ascii="宋体" w:hAnsi="宋体" w:eastAsia="宋体" w:cs="宋体"/>
          <w:sz w:val="24"/>
          <w:highlight w:val="none"/>
        </w:rPr>
        <w:t>磋商报价</w:t>
      </w:r>
      <w:r>
        <w:rPr>
          <w:rFonts w:hint="eastAsia" w:ascii="宋体" w:hAnsi="宋体" w:eastAsia="宋体" w:cs="宋体"/>
          <w:bCs/>
          <w:color w:val="000000"/>
          <w:sz w:val="24"/>
          <w:highlight w:val="none"/>
        </w:rPr>
        <w:t>为</w:t>
      </w:r>
      <w:r>
        <w:rPr>
          <w:rFonts w:hint="eastAsia" w:ascii="宋体" w:hAnsi="宋体" w:eastAsia="宋体" w:cs="宋体"/>
          <w:bCs/>
          <w:color w:val="000000"/>
          <w:sz w:val="24"/>
          <w:highlight w:val="none"/>
          <w:lang w:val="zh-CN"/>
        </w:rPr>
        <w:t>固定总价报价</w:t>
      </w:r>
      <w:r>
        <w:rPr>
          <w:rFonts w:hint="eastAsia" w:ascii="宋体" w:hAnsi="宋体" w:eastAsia="宋体" w:cs="宋体"/>
          <w:sz w:val="24"/>
          <w:highlight w:val="none"/>
        </w:rPr>
        <w:t>，该价格一次性包定</w:t>
      </w:r>
      <w:r>
        <w:rPr>
          <w:rFonts w:hint="eastAsia" w:ascii="宋体" w:hAnsi="宋体" w:cs="宋体"/>
          <w:sz w:val="24"/>
          <w:szCs w:val="24"/>
        </w:rPr>
        <w:t>，</w:t>
      </w:r>
      <w:r>
        <w:rPr>
          <w:rFonts w:hint="eastAsia" w:ascii="宋体" w:hAnsi="宋体" w:cs="宋体"/>
          <w:sz w:val="24"/>
          <w:szCs w:val="24"/>
          <w:lang w:val="en-US" w:eastAsia="zh-CN"/>
        </w:rPr>
        <w:t>成交供应商须考虑</w:t>
      </w:r>
      <w:r>
        <w:rPr>
          <w:rFonts w:hint="eastAsia" w:ascii="宋体" w:hAnsi="宋体" w:cs="宋体"/>
          <w:sz w:val="24"/>
          <w:szCs w:val="24"/>
        </w:rPr>
        <w:t>合同期内最低工资标准上涨</w:t>
      </w:r>
      <w:r>
        <w:rPr>
          <w:rFonts w:hint="eastAsia" w:ascii="宋体" w:hAnsi="宋体" w:cs="宋体"/>
          <w:sz w:val="24"/>
          <w:szCs w:val="24"/>
          <w:lang w:eastAsia="zh-CN"/>
        </w:rPr>
        <w:t>、</w:t>
      </w:r>
      <w:r>
        <w:rPr>
          <w:rFonts w:hint="eastAsia" w:ascii="宋体" w:hAnsi="宋体" w:cs="宋体"/>
          <w:sz w:val="24"/>
          <w:szCs w:val="24"/>
          <w:lang w:val="en-US" w:eastAsia="zh-CN"/>
        </w:rPr>
        <w:t>加班费等费用</w:t>
      </w:r>
      <w:r>
        <w:rPr>
          <w:rFonts w:hint="eastAsia" w:ascii="宋体" w:hAnsi="宋体" w:cs="宋体"/>
          <w:sz w:val="24"/>
          <w:szCs w:val="24"/>
        </w:rPr>
        <w:t>，</w:t>
      </w:r>
      <w:r>
        <w:rPr>
          <w:rFonts w:hint="eastAsia" w:ascii="宋体" w:hAnsi="宋体" w:cs="宋体"/>
          <w:sz w:val="24"/>
          <w:szCs w:val="24"/>
          <w:lang w:val="en-US" w:eastAsia="zh-CN"/>
        </w:rPr>
        <w:t>服务期内</w:t>
      </w:r>
      <w:r>
        <w:rPr>
          <w:rFonts w:hint="eastAsia" w:ascii="宋体" w:hAnsi="宋体" w:cs="宋体"/>
          <w:sz w:val="24"/>
          <w:szCs w:val="24"/>
        </w:rPr>
        <w:t>合同价不调整</w:t>
      </w:r>
      <w:r>
        <w:rPr>
          <w:rFonts w:hint="eastAsia" w:ascii="宋体" w:hAnsi="宋体" w:cs="宋体"/>
          <w:sz w:val="24"/>
          <w:szCs w:val="24"/>
          <w:lang w:eastAsia="zh-CN"/>
        </w:rPr>
        <w:t>。</w:t>
      </w:r>
    </w:p>
    <w:p>
      <w:pPr>
        <w:snapToGrid w:val="0"/>
        <w:spacing w:line="360" w:lineRule="auto"/>
        <w:ind w:left="0" w:leftChars="0" w:firstLine="468" w:firstLineChars="195"/>
        <w:outlineLvl w:val="1"/>
        <w:rPr>
          <w:rFonts w:hint="eastAsia" w:ascii="宋体" w:hAnsi="宋体" w:cs="宋体"/>
          <w:b/>
          <w:bCs/>
          <w:color w:val="auto"/>
          <w:sz w:val="24"/>
          <w:szCs w:val="24"/>
        </w:rPr>
      </w:pPr>
      <w:r>
        <w:rPr>
          <w:rFonts w:hint="eastAsia" w:ascii="宋体" w:hAnsi="宋体" w:cs="宋体"/>
          <w:sz w:val="24"/>
          <w:szCs w:val="24"/>
          <w:lang w:val="en-US" w:eastAsia="zh-CN"/>
        </w:rPr>
        <w:t>5、</w:t>
      </w:r>
      <w:r>
        <w:rPr>
          <w:rFonts w:hint="eastAsia" w:ascii="宋体" w:hAnsi="宋体" w:cs="宋体"/>
          <w:b/>
          <w:bCs/>
          <w:sz w:val="24"/>
          <w:szCs w:val="24"/>
        </w:rPr>
        <w:t>磋商报价（以人民币计价</w:t>
      </w:r>
      <w:r>
        <w:rPr>
          <w:rFonts w:hint="eastAsia" w:ascii="宋体" w:hAnsi="宋体" w:cs="宋体"/>
          <w:b/>
          <w:bCs/>
          <w:color w:val="auto"/>
          <w:sz w:val="24"/>
          <w:szCs w:val="24"/>
        </w:rPr>
        <w:t>）应包括但不限于所有与本项目实施有关的所有费用包括：人员工资（含保险费</w:t>
      </w:r>
      <w:r>
        <w:rPr>
          <w:rFonts w:hint="eastAsia" w:ascii="宋体" w:hAnsi="宋体" w:cs="宋体"/>
          <w:b/>
          <w:bCs/>
          <w:color w:val="auto"/>
          <w:sz w:val="24"/>
          <w:szCs w:val="24"/>
          <w:lang w:eastAsia="zh-CN"/>
        </w:rPr>
        <w:t>、</w:t>
      </w:r>
      <w:r>
        <w:rPr>
          <w:rFonts w:hint="eastAsia" w:ascii="宋体" w:hAnsi="宋体" w:eastAsia="宋体" w:cs="宋体"/>
          <w:b/>
          <w:bCs/>
          <w:snapToGrid/>
          <w:color w:val="auto"/>
          <w:kern w:val="2"/>
          <w:sz w:val="24"/>
        </w:rPr>
        <w:t>含</w:t>
      </w:r>
      <w:r>
        <w:rPr>
          <w:rFonts w:hint="eastAsia" w:ascii="宋体" w:hAnsi="宋体" w:eastAsia="宋体" w:cs="宋体"/>
          <w:b/>
          <w:bCs/>
          <w:snapToGrid/>
          <w:color w:val="auto"/>
          <w:kern w:val="2"/>
          <w:sz w:val="24"/>
          <w:lang w:val="en-US" w:eastAsia="zh-CN"/>
        </w:rPr>
        <w:t>夜班、</w:t>
      </w:r>
      <w:r>
        <w:rPr>
          <w:rFonts w:hint="eastAsia" w:ascii="宋体" w:hAnsi="宋体" w:eastAsia="宋体" w:cs="宋体"/>
          <w:b/>
          <w:bCs/>
          <w:snapToGrid/>
          <w:color w:val="auto"/>
          <w:kern w:val="2"/>
          <w:sz w:val="24"/>
        </w:rPr>
        <w:t>周末及节假日加班费）</w:t>
      </w:r>
      <w:r>
        <w:rPr>
          <w:rFonts w:hint="eastAsia" w:ascii="宋体" w:hAnsi="宋体" w:cs="宋体"/>
          <w:b/>
          <w:bCs/>
          <w:color w:val="auto"/>
          <w:sz w:val="24"/>
          <w:szCs w:val="24"/>
        </w:rPr>
        <w:t>）、</w:t>
      </w:r>
      <w:r>
        <w:rPr>
          <w:rFonts w:hint="eastAsia" w:ascii="宋体" w:hAnsi="宋体" w:eastAsia="宋体" w:cs="宋体"/>
          <w:b/>
          <w:bCs/>
          <w:snapToGrid/>
          <w:color w:val="auto"/>
          <w:kern w:val="2"/>
          <w:sz w:val="24"/>
          <w:lang w:val="en-US" w:eastAsia="zh-CN"/>
        </w:rPr>
        <w:t>交通费、餐费补贴</w:t>
      </w:r>
      <w:r>
        <w:rPr>
          <w:rFonts w:hint="eastAsia" w:ascii="宋体" w:hAnsi="宋体" w:cs="宋体"/>
          <w:b/>
          <w:bCs/>
          <w:color w:val="auto"/>
          <w:sz w:val="24"/>
          <w:szCs w:val="24"/>
          <w:lang w:val="en-US" w:eastAsia="zh-CN"/>
        </w:rPr>
        <w:t>、</w:t>
      </w:r>
      <w:r>
        <w:rPr>
          <w:rFonts w:hint="eastAsia" w:ascii="宋体" w:hAnsi="宋体" w:cs="宋体"/>
          <w:b/>
          <w:bCs/>
          <w:color w:val="auto"/>
          <w:sz w:val="24"/>
          <w:szCs w:val="24"/>
        </w:rPr>
        <w:t>管理费、利润、税金、政策性文件规定及为达到采购人要求所包含的所有风险、责任等各项费用。但不包括</w:t>
      </w:r>
      <w:r>
        <w:rPr>
          <w:rFonts w:hint="eastAsia" w:ascii="宋体" w:hAnsi="宋体" w:cs="宋体"/>
          <w:b/>
          <w:bCs/>
          <w:color w:val="auto"/>
          <w:sz w:val="24"/>
          <w:szCs w:val="24"/>
          <w:lang w:eastAsia="zh-CN"/>
        </w:rPr>
        <w:t>：材料费</w:t>
      </w:r>
      <w:r>
        <w:rPr>
          <w:rFonts w:hint="eastAsia" w:ascii="宋体" w:hAnsi="宋体" w:cs="宋体"/>
          <w:b/>
          <w:bCs/>
          <w:color w:val="auto"/>
          <w:sz w:val="24"/>
          <w:szCs w:val="24"/>
        </w:rPr>
        <w:t>。</w:t>
      </w:r>
    </w:p>
    <w:p>
      <w:pPr>
        <w:snapToGrid w:val="0"/>
        <w:spacing w:line="360" w:lineRule="auto"/>
        <w:ind w:left="0" w:leftChars="0" w:firstLine="468" w:firstLineChars="195"/>
        <w:outlineLvl w:val="1"/>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snapToGrid w:val="0"/>
        <w:spacing w:line="360" w:lineRule="auto"/>
        <w:ind w:firstLine="480" w:firstLineChars="200"/>
        <w:textAlignment w:val="baseline"/>
      </w:pP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bCs/>
          <w:sz w:val="24"/>
        </w:rPr>
        <w:t>本次磋商项目的报价采用两轮报价，首次报价不得超过项目预算金额。除非在磋商中磋商小组对采购人需求内容作了调整增加，或对采购内容作了实质性变更，否则采购人不接受供应商高于自己前一轮的磋商报价，并作无效报价处理。最终报价将作为磋商小组评定成交供应商的依据。</w:t>
      </w:r>
    </w:p>
    <w:p>
      <w:pPr>
        <w:snapToGrid w:val="0"/>
        <w:spacing w:line="360" w:lineRule="auto"/>
        <w:ind w:left="0" w:leftChars="0" w:firstLine="468" w:firstLineChars="195"/>
        <w:outlineLvl w:val="1"/>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、本项目竞争性</w:t>
      </w:r>
      <w:r>
        <w:rPr>
          <w:rFonts w:hint="eastAsia" w:ascii="宋体" w:hAnsi="宋体" w:eastAsia="宋体" w:cs="宋体"/>
          <w:sz w:val="24"/>
          <w:szCs w:val="24"/>
        </w:rPr>
        <w:t>磋商的最终报价作为成交价。同时，供应商的最终成交价在合同实施期间不因市场变化因素而变动。</w:t>
      </w:r>
    </w:p>
    <w:p>
      <w:pPr>
        <w:snapToGrid w:val="0"/>
        <w:spacing w:line="360" w:lineRule="auto"/>
        <w:ind w:left="0" w:leftChars="0" w:firstLine="468" w:firstLineChars="195"/>
        <w:outlineLvl w:val="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bCs/>
          <w:sz w:val="24"/>
        </w:rPr>
        <w:t>由于新型冠状肺炎疫情的影响，因卫生防疫要求采取的措施、物资等一切费用包含在投标报价（即合同价）中，结算时不予调整。</w:t>
      </w:r>
    </w:p>
    <w:p>
      <w:pPr>
        <w:snapToGrid w:val="0"/>
        <w:spacing w:line="360" w:lineRule="auto"/>
        <w:ind w:firstLine="470" w:firstLineChars="196"/>
        <w:outlineLvl w:val="1"/>
        <w:rPr>
          <w:rFonts w:ascii="宋体"/>
          <w:sz w:val="24"/>
          <w:szCs w:val="24"/>
        </w:rPr>
      </w:pPr>
      <w:r>
        <w:rPr>
          <w:rFonts w:hint="eastAsia" w:ascii="宋体" w:hAnsi="宋体" w:cs="宋体"/>
          <w:sz w:val="24"/>
          <w:szCs w:val="24"/>
          <w:lang w:val="en-US" w:eastAsia="zh-CN"/>
        </w:rPr>
        <w:t>10</w:t>
      </w:r>
      <w:r>
        <w:rPr>
          <w:rFonts w:hint="eastAsia" w:ascii="宋体" w:hAnsi="宋体" w:cs="宋体"/>
          <w:sz w:val="24"/>
          <w:szCs w:val="24"/>
        </w:rPr>
        <w:t>、最低的磋商总价报价是成交的重要条件，但不是成交的唯一条件。</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八、联合体参与磋商</w:t>
      </w:r>
    </w:p>
    <w:p>
      <w:pPr>
        <w:snapToGrid w:val="0"/>
        <w:spacing w:line="360" w:lineRule="auto"/>
        <w:ind w:firstLine="470" w:firstLineChars="196"/>
        <w:outlineLvl w:val="1"/>
        <w:rPr>
          <w:rFonts w:hint="eastAsia" w:ascii="宋体" w:hAnsi="宋体" w:cs="宋体"/>
          <w:sz w:val="24"/>
          <w:szCs w:val="24"/>
        </w:rPr>
      </w:pPr>
      <w:r>
        <w:rPr>
          <w:rFonts w:hint="eastAsia" w:ascii="宋体" w:hAnsi="宋体" w:cs="宋体"/>
          <w:sz w:val="24"/>
          <w:szCs w:val="24"/>
        </w:rPr>
        <w:t>不接受任何形式的联合体参与本项目的竞争性磋商。</w:t>
      </w:r>
    </w:p>
    <w:p>
      <w:pPr>
        <w:snapToGrid w:val="0"/>
        <w:spacing w:line="360" w:lineRule="auto"/>
        <w:ind w:firstLine="496" w:firstLineChars="206"/>
        <w:outlineLvl w:val="1"/>
        <w:rPr>
          <w:sz w:val="24"/>
          <w:szCs w:val="24"/>
        </w:rPr>
      </w:pPr>
      <w:r>
        <w:rPr>
          <w:rFonts w:hint="eastAsia" w:cs="宋体"/>
          <w:b/>
          <w:bCs/>
          <w:sz w:val="24"/>
          <w:szCs w:val="24"/>
        </w:rPr>
        <w:t>九、磋商响应文件的有效期</w:t>
      </w:r>
    </w:p>
    <w:p>
      <w:pPr>
        <w:snapToGrid w:val="0"/>
        <w:spacing w:line="360" w:lineRule="auto"/>
        <w:ind w:firstLine="480" w:firstLineChars="200"/>
        <w:rPr>
          <w:sz w:val="24"/>
          <w:szCs w:val="24"/>
        </w:rPr>
      </w:pPr>
      <w:r>
        <w:rPr>
          <w:rFonts w:hint="eastAsia" w:ascii="Times New Roman" w:hAnsi="Times New Roman" w:eastAsia="宋体" w:cs="宋体"/>
          <w:sz w:val="24"/>
          <w:szCs w:val="24"/>
        </w:rPr>
        <w:t>1、从磋商响应</w:t>
      </w:r>
      <w:r>
        <w:rPr>
          <w:rFonts w:hint="eastAsia" w:cs="宋体"/>
          <w:sz w:val="24"/>
          <w:szCs w:val="24"/>
        </w:rPr>
        <w:t>文件接收截止之日算起，</w:t>
      </w:r>
      <w:r>
        <w:rPr>
          <w:b/>
          <w:bCs/>
          <w:sz w:val="24"/>
          <w:szCs w:val="24"/>
        </w:rPr>
        <w:t>45</w:t>
      </w:r>
      <w:r>
        <w:rPr>
          <w:rFonts w:hint="eastAsia" w:cs="宋体"/>
          <w:sz w:val="24"/>
          <w:szCs w:val="24"/>
        </w:rPr>
        <w:t>个</w:t>
      </w:r>
      <w:r>
        <w:rPr>
          <w:sz w:val="24"/>
          <w:szCs w:val="24"/>
        </w:rPr>
        <w:t>“</w:t>
      </w:r>
      <w:r>
        <w:rPr>
          <w:rFonts w:hint="eastAsia" w:cs="宋体"/>
          <w:sz w:val="24"/>
          <w:szCs w:val="24"/>
        </w:rPr>
        <w:t>日历天</w:t>
      </w:r>
      <w:r>
        <w:rPr>
          <w:sz w:val="24"/>
          <w:szCs w:val="24"/>
        </w:rPr>
        <w:t>”</w:t>
      </w:r>
      <w:r>
        <w:rPr>
          <w:rFonts w:hint="eastAsia" w:cs="宋体"/>
          <w:sz w:val="24"/>
          <w:szCs w:val="24"/>
        </w:rPr>
        <w:t>内磋商响应书应保持有效。有效期短于这个规定期限的磋商响应，将被拒绝。</w:t>
      </w:r>
    </w:p>
    <w:p>
      <w:pPr>
        <w:snapToGrid w:val="0"/>
        <w:spacing w:line="360" w:lineRule="auto"/>
        <w:ind w:firstLine="480" w:firstLineChars="200"/>
        <w:textAlignment w:val="baseline"/>
      </w:pPr>
      <w:r>
        <w:rPr>
          <w:sz w:val="24"/>
          <w:szCs w:val="24"/>
        </w:rPr>
        <w:t>2</w:t>
      </w:r>
      <w:r>
        <w:rPr>
          <w:rFonts w:hint="eastAsia"/>
          <w:sz w:val="24"/>
          <w:szCs w:val="24"/>
        </w:rPr>
        <w:t>、</w:t>
      </w:r>
      <w:r>
        <w:rPr>
          <w:rFonts w:hint="eastAsia" w:cs="宋体"/>
          <w:sz w:val="24"/>
          <w:szCs w:val="24"/>
        </w:rPr>
        <w:t>在特殊情况下，采购代理机构可与磋商响应供应商协商延长磋商响应书的有效期。这种要求和答复都应以书面、传真、或电报的形式进行。同意延长有效期的磋商响应供应商不能修改磋商响应文件。拒绝接受延期要求的磋商响应供应商的磋商响应将被拒绝。</w:t>
      </w:r>
    </w:p>
    <w:p>
      <w:pPr>
        <w:snapToGrid w:val="0"/>
        <w:spacing w:line="360" w:lineRule="auto"/>
        <w:ind w:firstLine="482" w:firstLineChars="200"/>
        <w:outlineLvl w:val="1"/>
        <w:rPr>
          <w:rFonts w:ascii="宋体"/>
          <w:sz w:val="24"/>
          <w:szCs w:val="24"/>
        </w:rPr>
      </w:pPr>
      <w:r>
        <w:rPr>
          <w:rFonts w:hint="eastAsia" w:ascii="宋体" w:hAnsi="宋体" w:cs="宋体"/>
          <w:b/>
          <w:bCs/>
          <w:sz w:val="24"/>
          <w:szCs w:val="24"/>
        </w:rPr>
        <w:t>十、响应文件及</w:t>
      </w:r>
      <w:r>
        <w:rPr>
          <w:rFonts w:hint="eastAsia" w:ascii="宋体" w:hAnsi="宋体" w:cs="宋体"/>
          <w:b/>
          <w:bCs/>
          <w:kern w:val="0"/>
          <w:sz w:val="24"/>
          <w:szCs w:val="24"/>
        </w:rPr>
        <w:t>磋商</w:t>
      </w:r>
      <w:r>
        <w:rPr>
          <w:rFonts w:hint="eastAsia" w:ascii="宋体" w:hAnsi="宋体" w:cs="宋体"/>
          <w:b/>
          <w:bCs/>
          <w:sz w:val="24"/>
          <w:szCs w:val="24"/>
        </w:rPr>
        <w:t>费用</w:t>
      </w:r>
    </w:p>
    <w:p>
      <w:pPr>
        <w:snapToGrid w:val="0"/>
        <w:spacing w:line="360" w:lineRule="auto"/>
        <w:ind w:firstLine="480" w:firstLineChars="200"/>
        <w:rPr>
          <w:rFonts w:hint="eastAsia" w:cs="宋体"/>
          <w:color w:val="auto"/>
          <w:sz w:val="24"/>
          <w:szCs w:val="24"/>
        </w:rPr>
      </w:pPr>
      <w:r>
        <w:rPr>
          <w:rFonts w:hint="eastAsia" w:cs="宋体"/>
          <w:sz w:val="24"/>
          <w:szCs w:val="24"/>
        </w:rPr>
        <w:t>1</w:t>
      </w:r>
      <w:r>
        <w:rPr>
          <w:rFonts w:hint="eastAsia" w:cs="宋体"/>
          <w:sz w:val="24"/>
          <w:szCs w:val="24"/>
          <w:lang w:eastAsia="zh-CN"/>
        </w:rPr>
        <w:t>、</w:t>
      </w:r>
      <w:r>
        <w:rPr>
          <w:rFonts w:hint="eastAsia" w:cs="宋体"/>
          <w:sz w:val="24"/>
          <w:szCs w:val="24"/>
        </w:rPr>
        <w:t>各投标供应商须在递交磋商响应文件的同时缴纳磋商文件资料费300元。无论是否成交，该费用不予退还。</w:t>
      </w:r>
    </w:p>
    <w:p>
      <w:pPr>
        <w:snapToGrid w:val="0"/>
        <w:spacing w:line="360" w:lineRule="auto"/>
        <w:ind w:firstLine="480" w:firstLineChars="200"/>
        <w:rPr>
          <w:rFonts w:hint="eastAsia" w:cs="宋体"/>
          <w:sz w:val="24"/>
          <w:szCs w:val="24"/>
        </w:rPr>
      </w:pPr>
      <w:r>
        <w:rPr>
          <w:rFonts w:hint="eastAsia" w:cs="宋体"/>
          <w:color w:val="auto"/>
          <w:sz w:val="24"/>
          <w:szCs w:val="24"/>
        </w:rPr>
        <w:t>2、本项目采购代理费</w:t>
      </w:r>
      <w:r>
        <w:rPr>
          <w:rFonts w:hint="eastAsia" w:cs="宋体"/>
          <w:color w:val="auto"/>
          <w:sz w:val="24"/>
          <w:szCs w:val="24"/>
          <w:lang w:eastAsia="zh-CN"/>
        </w:rPr>
        <w:t>（</w:t>
      </w:r>
      <w:r>
        <w:rPr>
          <w:rFonts w:hint="eastAsia" w:cs="宋体"/>
          <w:color w:val="auto"/>
          <w:sz w:val="24"/>
          <w:szCs w:val="24"/>
          <w:lang w:val="en-US" w:eastAsia="zh-CN"/>
        </w:rPr>
        <w:t>按照国家计委[2002]1980号、发改价格[2011]534号的规定标准的40%收取，不满1200元按1200元收取）</w:t>
      </w:r>
      <w:r>
        <w:rPr>
          <w:rFonts w:hint="eastAsia" w:cs="宋体"/>
          <w:color w:val="auto"/>
          <w:sz w:val="24"/>
          <w:szCs w:val="24"/>
        </w:rPr>
        <w:t>由成交供应商承担，请参加磋商的投标供应商在成本中自行考虑。上述费用领取成交通知书前，向代理公司一次性</w:t>
      </w:r>
      <w:r>
        <w:rPr>
          <w:rFonts w:hint="eastAsia" w:cs="宋体"/>
          <w:sz w:val="24"/>
          <w:szCs w:val="24"/>
        </w:rPr>
        <w:t>缴清。</w:t>
      </w:r>
    </w:p>
    <w:p>
      <w:pPr>
        <w:snapToGrid w:val="0"/>
        <w:spacing w:line="360" w:lineRule="auto"/>
        <w:ind w:firstLine="480" w:firstLineChars="200"/>
        <w:rPr>
          <w:rFonts w:hint="eastAsia" w:cs="宋体"/>
          <w:sz w:val="24"/>
          <w:szCs w:val="24"/>
        </w:rPr>
      </w:pPr>
      <w:r>
        <w:rPr>
          <w:rFonts w:hint="eastAsia" w:cs="宋体"/>
          <w:sz w:val="24"/>
          <w:szCs w:val="24"/>
          <w:lang w:val="en-US" w:eastAsia="zh-CN"/>
        </w:rPr>
        <w:t>3</w:t>
      </w:r>
      <w:r>
        <w:rPr>
          <w:rFonts w:hint="eastAsia" w:cs="宋体"/>
          <w:sz w:val="24"/>
          <w:szCs w:val="24"/>
        </w:rPr>
        <w:t>、磋商程序顺利进行后，除供应商的原件可退回外，其余所有的响应文件都将作为档案保存，不论成交与否，代理机构均不退回（未拆封的除外）。</w:t>
      </w:r>
    </w:p>
    <w:p>
      <w:pPr>
        <w:snapToGrid w:val="0"/>
        <w:spacing w:line="360" w:lineRule="auto"/>
        <w:ind w:firstLine="480" w:firstLineChars="200"/>
        <w:rPr>
          <w:rFonts w:hint="eastAsia" w:cs="宋体"/>
          <w:sz w:val="24"/>
          <w:szCs w:val="24"/>
        </w:rPr>
      </w:pPr>
      <w:r>
        <w:rPr>
          <w:rFonts w:hint="eastAsia" w:cs="宋体"/>
          <w:sz w:val="24"/>
          <w:szCs w:val="24"/>
          <w:lang w:val="en-US" w:eastAsia="zh-CN"/>
        </w:rPr>
        <w:t>4</w:t>
      </w:r>
      <w:r>
        <w:rPr>
          <w:rFonts w:hint="eastAsia" w:cs="宋体"/>
          <w:sz w:val="24"/>
          <w:szCs w:val="24"/>
        </w:rPr>
        <w:t>、无论磋商过程和结果如何，参加项目磋商的供应商自行承担与本次项目磋商有关的全部费用。</w:t>
      </w:r>
    </w:p>
    <w:p>
      <w:pPr>
        <w:snapToGri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十一、履约保证金</w:t>
      </w:r>
    </w:p>
    <w:p>
      <w:pPr>
        <w:snapToGrid w:val="0"/>
        <w:spacing w:line="360" w:lineRule="auto"/>
        <w:ind w:firstLine="470" w:firstLineChars="196"/>
        <w:outlineLvl w:val="1"/>
        <w:rPr>
          <w:rFonts w:ascii="宋体" w:hAnsi="宋体" w:cs="宋体"/>
          <w:sz w:val="24"/>
          <w:szCs w:val="24"/>
        </w:rPr>
      </w:pPr>
      <w:r>
        <w:rPr>
          <w:rFonts w:ascii="宋体" w:hAnsi="宋体" w:cs="宋体"/>
          <w:sz w:val="24"/>
          <w:szCs w:val="24"/>
        </w:rPr>
        <w:t>1</w:t>
      </w:r>
      <w:r>
        <w:rPr>
          <w:rFonts w:hint="eastAsia" w:ascii="宋体" w:hAnsi="宋体" w:cs="宋体"/>
          <w:sz w:val="24"/>
          <w:szCs w:val="24"/>
        </w:rPr>
        <w:t>、本项目成交后的履约保证金为项目中标价的</w:t>
      </w:r>
      <w:r>
        <w:rPr>
          <w:rFonts w:hint="eastAsia" w:ascii="宋体" w:hAnsi="宋体" w:cs="宋体"/>
          <w:sz w:val="24"/>
          <w:szCs w:val="24"/>
          <w:lang w:val="en-US" w:eastAsia="zh-CN"/>
        </w:rPr>
        <w:t>5</w:t>
      </w:r>
      <w:r>
        <w:rPr>
          <w:rFonts w:ascii="宋体" w:hAnsi="宋体" w:cs="宋体"/>
          <w:sz w:val="24"/>
          <w:szCs w:val="24"/>
        </w:rPr>
        <w:t>%</w:t>
      </w:r>
      <w:r>
        <w:rPr>
          <w:rFonts w:hint="eastAsia" w:ascii="宋体" w:hAnsi="宋体" w:cs="宋体"/>
          <w:sz w:val="24"/>
          <w:szCs w:val="24"/>
        </w:rPr>
        <w:t>。</w:t>
      </w:r>
    </w:p>
    <w:p>
      <w:pPr>
        <w:snapToGrid w:val="0"/>
        <w:spacing w:line="360" w:lineRule="auto"/>
        <w:ind w:firstLine="470" w:firstLineChars="196"/>
        <w:outlineLvl w:val="1"/>
        <w:rPr>
          <w:rFonts w:ascii="宋体"/>
          <w:sz w:val="24"/>
          <w:szCs w:val="24"/>
        </w:rPr>
      </w:pPr>
      <w:r>
        <w:rPr>
          <w:rFonts w:ascii="宋体" w:hAnsi="宋体" w:cs="宋体"/>
          <w:sz w:val="24"/>
          <w:szCs w:val="24"/>
        </w:rPr>
        <w:t>2</w:t>
      </w:r>
      <w:r>
        <w:rPr>
          <w:rFonts w:hint="eastAsia" w:ascii="宋体" w:hAnsi="宋体" w:cs="宋体"/>
          <w:sz w:val="24"/>
          <w:szCs w:val="24"/>
        </w:rPr>
        <w:t>、成交供应商的履约保证金须在采购代理通知发成交通知书之日起</w:t>
      </w:r>
      <w:r>
        <w:rPr>
          <w:rFonts w:ascii="宋体" w:hAnsi="宋体" w:cs="宋体"/>
          <w:sz w:val="24"/>
          <w:szCs w:val="24"/>
        </w:rPr>
        <w:t>3</w:t>
      </w:r>
      <w:r>
        <w:rPr>
          <w:rFonts w:hint="eastAsia" w:ascii="宋体" w:hAnsi="宋体" w:cs="宋体"/>
          <w:sz w:val="24"/>
          <w:szCs w:val="24"/>
        </w:rPr>
        <w:t>个工作日内汇入采购人账户，成交供应商凭“成交通知书”和已经汇至采购人账上的“履约保证金”凭证，并在采购代理通知发成交通知书之日起1</w:t>
      </w:r>
      <w:r>
        <w:rPr>
          <w:rFonts w:ascii="宋体" w:hAnsi="宋体" w:cs="宋体"/>
          <w:sz w:val="24"/>
          <w:szCs w:val="24"/>
        </w:rPr>
        <w:t>5</w:t>
      </w:r>
      <w:r>
        <w:rPr>
          <w:rFonts w:hint="eastAsia" w:ascii="宋体" w:hAnsi="宋体" w:cs="宋体"/>
          <w:sz w:val="24"/>
          <w:szCs w:val="24"/>
        </w:rPr>
        <w:t>日内与采购人签订合同。</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、成交供应商在按要求保质保量的完成该项目合同并通过验收后，采购人凭成交供应商提交的申请，一次性无息退还该合同项目的履约保证金。</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、由于成交供应商原因，在签订合同后出现不按合同履行的情况，采购人有权将履约保证金作为违约金，全额不予退还，同时采购人亦有权终止合同，成交供应商还须承担相应的法律赔偿责任。</w:t>
      </w:r>
    </w:p>
    <w:p>
      <w:pPr>
        <w:snapToGrid w:val="0"/>
        <w:spacing w:line="360" w:lineRule="auto"/>
        <w:ind w:firstLine="496" w:firstLineChars="206"/>
        <w:textAlignment w:val="baseline"/>
        <w:rPr>
          <w:rFonts w:hint="eastAsia" w:ascii="宋体" w:hAnsi="宋体" w:cs="宋体"/>
          <w:b/>
          <w:color w:val="000000"/>
          <w:sz w:val="24"/>
          <w:szCs w:val="24"/>
        </w:rPr>
      </w:pPr>
      <w:r>
        <w:rPr>
          <w:rFonts w:hint="eastAsia" w:ascii="宋体" w:hAnsi="宋体" w:cs="宋体"/>
          <w:b/>
          <w:color w:val="000000"/>
          <w:sz w:val="24"/>
          <w:szCs w:val="24"/>
        </w:rPr>
        <w:t>十二、付款方式</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服务期限三年，合同一年一签；</w:t>
      </w:r>
      <w:r>
        <w:rPr>
          <w:rFonts w:hint="eastAsia" w:ascii="宋体" w:hAnsi="宋体" w:cs="宋体"/>
          <w:sz w:val="24"/>
          <w:szCs w:val="24"/>
        </w:rPr>
        <w:t>采购人每季度进行一次考核，考核分大于90分（含90分）的，则全额支付上季度费用，</w:t>
      </w:r>
      <w:r>
        <w:rPr>
          <w:rFonts w:hint="eastAsia" w:ascii="宋体" w:hAnsi="宋体" w:eastAsia="宋体" w:cs="宋体"/>
          <w:b w:val="0"/>
          <w:bCs/>
          <w:sz w:val="24"/>
          <w:szCs w:val="24"/>
          <w:highlight w:val="none"/>
          <w:lang w:val="en-US" w:eastAsia="zh-CN"/>
        </w:rPr>
        <w:t>低于90分的，每低1分扣相应支付费用总额的1%</w:t>
      </w:r>
      <w:r>
        <w:rPr>
          <w:rFonts w:hint="eastAsia" w:ascii="宋体" w:hAnsi="宋体" w:cs="宋体"/>
          <w:sz w:val="24"/>
          <w:szCs w:val="24"/>
          <w:lang w:eastAsia="zh-CN"/>
        </w:rPr>
        <w:t>，</w:t>
      </w:r>
      <w:r>
        <w:rPr>
          <w:rFonts w:hint="eastAsia" w:ascii="宋体" w:hAnsi="宋体" w:cs="宋体"/>
          <w:sz w:val="24"/>
          <w:szCs w:val="24"/>
          <w:lang w:val="en-US" w:eastAsia="zh-CN"/>
        </w:rPr>
        <w:t>季度考核得分低于60分的，采购人有权不支付当季度费用</w:t>
      </w:r>
      <w:r>
        <w:rPr>
          <w:rFonts w:hint="eastAsia" w:ascii="宋体" w:hAnsi="宋体" w:cs="宋体"/>
          <w:sz w:val="24"/>
          <w:szCs w:val="24"/>
        </w:rPr>
        <w:t>。</w:t>
      </w:r>
    </w:p>
    <w:p>
      <w:pPr>
        <w:snapToGrid w:val="0"/>
        <w:spacing w:line="360" w:lineRule="auto"/>
        <w:ind w:firstLine="496" w:firstLineChars="206"/>
        <w:outlineLvl w:val="1"/>
        <w:rPr>
          <w:rFonts w:ascii="宋体" w:hAnsi="宋体" w:cs="宋体"/>
          <w:b/>
          <w:color w:val="auto"/>
          <w:sz w:val="24"/>
          <w:szCs w:val="24"/>
        </w:rPr>
      </w:pPr>
      <w:r>
        <w:rPr>
          <w:rFonts w:hint="eastAsia" w:ascii="宋体" w:hAnsi="宋体" w:cs="宋体"/>
          <w:b/>
          <w:bCs/>
          <w:color w:val="auto"/>
          <w:sz w:val="24"/>
          <w:szCs w:val="24"/>
        </w:rPr>
        <w:t>十三、</w:t>
      </w:r>
      <w:r>
        <w:rPr>
          <w:rFonts w:hint="eastAsia" w:ascii="宋体" w:hAnsi="宋体" w:cs="宋体"/>
          <w:b/>
          <w:color w:val="auto"/>
          <w:sz w:val="24"/>
          <w:szCs w:val="24"/>
        </w:rPr>
        <w:t>未尽事宜</w:t>
      </w:r>
    </w:p>
    <w:p>
      <w:pPr>
        <w:snapToGrid w:val="0"/>
        <w:spacing w:line="360" w:lineRule="auto"/>
        <w:ind w:firstLine="470" w:firstLineChars="196"/>
        <w:outlineLvl w:val="1"/>
        <w:rPr>
          <w:rFonts w:ascii="宋体" w:hAnsi="宋体" w:cs="宋体"/>
          <w:color w:val="auto"/>
          <w:sz w:val="24"/>
          <w:szCs w:val="24"/>
        </w:rPr>
        <w:sectPr>
          <w:headerReference r:id="rId4" w:type="first"/>
          <w:headerReference r:id="rId3" w:type="default"/>
          <w:footerReference r:id="rId5" w:type="default"/>
          <w:type w:val="continuous"/>
          <w:pgSz w:w="11906" w:h="16838"/>
          <w:pgMar w:top="1440" w:right="1361" w:bottom="1440" w:left="1361" w:header="851" w:footer="992" w:gutter="0"/>
          <w:pgNumType w:fmt="numberInDash"/>
          <w:cols w:space="720" w:num="1"/>
          <w:titlePg/>
          <w:docGrid w:linePitch="312" w:charSpace="0"/>
        </w:sectPr>
      </w:pPr>
      <w:r>
        <w:rPr>
          <w:rFonts w:hint="eastAsia" w:ascii="宋体" w:hAnsi="宋体" w:cs="宋体"/>
          <w:color w:val="auto"/>
          <w:sz w:val="24"/>
          <w:szCs w:val="24"/>
        </w:rPr>
        <w:t>按《中华人民共和国政府采购法》、《政府采</w:t>
      </w:r>
      <w:bookmarkStart w:id="32" w:name="_Toc363573855"/>
      <w:r>
        <w:rPr>
          <w:rFonts w:hint="eastAsia" w:ascii="宋体" w:hAnsi="宋体" w:cs="宋体"/>
          <w:color w:val="auto"/>
          <w:sz w:val="24"/>
          <w:szCs w:val="24"/>
        </w:rPr>
        <w:t>购竞争性磋商采购方式管理暂行办法》及其他有关法律法规的规定执行。</w:t>
      </w:r>
    </w:p>
    <w:bookmarkEnd w:id="22"/>
    <w:bookmarkEnd w:id="23"/>
    <w:bookmarkEnd w:id="24"/>
    <w:bookmarkEnd w:id="25"/>
    <w:bookmarkEnd w:id="26"/>
    <w:bookmarkEnd w:id="27"/>
    <w:bookmarkEnd w:id="28"/>
    <w:bookmarkEnd w:id="29"/>
    <w:bookmarkEnd w:id="30"/>
    <w:bookmarkEnd w:id="31"/>
    <w:bookmarkEnd w:id="32"/>
    <w:p>
      <w:pPr>
        <w:spacing w:line="460" w:lineRule="exact"/>
        <w:jc w:val="center"/>
        <w:rPr>
          <w:rFonts w:ascii="宋体" w:hAnsi="宋体" w:cs="宋体"/>
          <w:b/>
          <w:bCs/>
          <w:w w:val="80"/>
          <w:sz w:val="44"/>
          <w:szCs w:val="44"/>
        </w:rPr>
      </w:pPr>
      <w:bookmarkStart w:id="33" w:name="_Toc11554641"/>
      <w:bookmarkStart w:id="34" w:name="_Toc521203420"/>
      <w:bookmarkStart w:id="35" w:name="_Toc13803483"/>
      <w:bookmarkStart w:id="36" w:name="_Toc94585342"/>
      <w:bookmarkStart w:id="37" w:name="_Toc11499586"/>
      <w:bookmarkStart w:id="38" w:name="_Toc8895741"/>
      <w:bookmarkStart w:id="39" w:name="_Toc94544872"/>
      <w:bookmarkStart w:id="40" w:name="_Toc11500282"/>
      <w:bookmarkStart w:id="41" w:name="_Toc521201599"/>
      <w:bookmarkStart w:id="42" w:name="_Toc94544746"/>
      <w:bookmarkStart w:id="43" w:name="_Toc12670505"/>
      <w:bookmarkStart w:id="44" w:name="_Toc363573856"/>
      <w:r>
        <w:rPr>
          <w:rFonts w:hint="eastAsia" w:ascii="宋体" w:hAnsi="宋体" w:cs="宋体"/>
          <w:b/>
          <w:bCs/>
          <w:w w:val="80"/>
          <w:sz w:val="44"/>
          <w:szCs w:val="44"/>
        </w:rPr>
        <w:t>第三章  项目需求</w:t>
      </w:r>
    </w:p>
    <w:p>
      <w:pPr>
        <w:pStyle w:val="20"/>
      </w:pPr>
    </w:p>
    <w:p>
      <w:pPr>
        <w:snapToGrid w:val="0"/>
        <w:spacing w:line="360" w:lineRule="auto"/>
        <w:ind w:left="-210" w:leftChars="-100" w:firstLine="520" w:firstLineChars="216"/>
        <w:rPr>
          <w:rFonts w:ascii="宋体" w:hAnsi="宋体" w:cs="宋体"/>
          <w:kern w:val="0"/>
          <w:sz w:val="24"/>
          <w:szCs w:val="24"/>
          <w:lang w:val="zh-CN"/>
        </w:rPr>
      </w:pPr>
      <w:r>
        <w:rPr>
          <w:rFonts w:hint="eastAsia" w:ascii="宋体" w:hAnsi="宋体" w:cs="宋体"/>
          <w:b/>
          <w:sz w:val="24"/>
          <w:szCs w:val="24"/>
        </w:rPr>
        <w:t>特别提醒：</w:t>
      </w:r>
      <w:r>
        <w:rPr>
          <w:rFonts w:hint="eastAsia" w:ascii="宋体" w:hAnsi="宋体" w:cs="宋体"/>
          <w:b/>
          <w:kern w:val="0"/>
          <w:sz w:val="24"/>
          <w:szCs w:val="24"/>
          <w:lang w:val="zh-CN"/>
        </w:rPr>
        <w:t>请供应商制作投标响应文件时仔细研究项目需求说明。</w:t>
      </w:r>
      <w:r>
        <w:rPr>
          <w:rFonts w:hint="eastAsia" w:ascii="宋体" w:hAnsi="宋体" w:cs="宋体"/>
          <w:kern w:val="0"/>
          <w:sz w:val="24"/>
          <w:szCs w:val="24"/>
          <w:lang w:val="zh-CN"/>
        </w:rPr>
        <w:t>供应商不能简单照搬照抄采购单位项目需求说明中的技术要求，必须作实事求是的响应。如照搬照抄项目需求说明中的技术要求，成交后供应商在同采购单位签订合同和履约环节中不得提出异议，一切后果和损失由成交供应商承担。如供应商提供的货物和服务同采购单位提出的项目需求说明中的技术要求不同的，必须在《技术条款响应一览表》上明示，如不明示的视同完全响应。</w:t>
      </w:r>
    </w:p>
    <w:p>
      <w:pPr>
        <w:keepNext w:val="0"/>
        <w:keepLines w:val="0"/>
        <w:pageBreakBefore w:val="0"/>
        <w:widowControl w:val="0"/>
        <w:kinsoku/>
        <w:wordWrap/>
        <w:overflowPunct/>
        <w:topLinePunct w:val="0"/>
        <w:bidi w:val="0"/>
        <w:spacing w:line="360" w:lineRule="auto"/>
        <w:ind w:firstLine="482" w:firstLineChars="200"/>
        <w:textAlignment w:val="auto"/>
        <w:outlineLvl w:val="1"/>
        <w:rPr>
          <w:rFonts w:ascii="仿宋_GB2312" w:eastAsia="仿宋_GB2312"/>
          <w:sz w:val="32"/>
          <w:szCs w:val="32"/>
          <w:highlight w:val="none"/>
        </w:rPr>
      </w:pPr>
      <w:bookmarkStart w:id="45" w:name="_Toc4618"/>
      <w:r>
        <w:rPr>
          <w:rFonts w:hint="eastAsia" w:ascii="宋体" w:hAnsi="宋体" w:cs="宋体"/>
          <w:b/>
          <w:sz w:val="24"/>
          <w:szCs w:val="24"/>
          <w:highlight w:val="none"/>
        </w:rPr>
        <w:t>一</w:t>
      </w:r>
      <w:bookmarkEnd w:id="45"/>
      <w:bookmarkStart w:id="46" w:name="_Toc20972"/>
      <w:r>
        <w:rPr>
          <w:rFonts w:hint="eastAsia" w:ascii="宋体" w:hAnsi="宋体" w:cs="宋体"/>
          <w:b/>
          <w:sz w:val="24"/>
          <w:szCs w:val="24"/>
          <w:highlight w:val="none"/>
        </w:rPr>
        <w:t>、</w:t>
      </w:r>
      <w:r>
        <w:rPr>
          <w:rFonts w:hint="eastAsia"/>
          <w:b/>
          <w:sz w:val="24"/>
          <w:szCs w:val="24"/>
          <w:highlight w:val="none"/>
        </w:rPr>
        <w:t>电气等设备设施维护维修托管服务项目需求</w:t>
      </w:r>
      <w:bookmarkEnd w:id="46"/>
    </w:p>
    <w:p>
      <w:pPr>
        <w:keepNext w:val="0"/>
        <w:keepLines w:val="0"/>
        <w:pageBreakBefore w:val="0"/>
        <w:widowControl w:val="0"/>
        <w:kinsoku/>
        <w:wordWrap/>
        <w:overflowPunct/>
        <w:topLinePunct w:val="0"/>
        <w:bidi w:val="0"/>
        <w:spacing w:line="360" w:lineRule="auto"/>
        <w:ind w:firstLine="482" w:firstLineChars="200"/>
        <w:textAlignment w:val="auto"/>
        <w:outlineLvl w:val="2"/>
        <w:rPr>
          <w:rFonts w:hint="eastAsia" w:ascii="宋体" w:hAnsi="宋体" w:cs="宋体"/>
          <w:b/>
          <w:sz w:val="24"/>
          <w:szCs w:val="24"/>
          <w:highlight w:val="none"/>
        </w:rPr>
      </w:pPr>
      <w:bookmarkStart w:id="47" w:name="_Toc515899805"/>
      <w:bookmarkStart w:id="48" w:name="_Toc16561"/>
      <w:r>
        <w:rPr>
          <w:rFonts w:hint="eastAsia" w:ascii="宋体" w:hAnsi="宋体" w:cs="宋体"/>
          <w:b/>
          <w:sz w:val="24"/>
          <w:szCs w:val="24"/>
          <w:highlight w:val="none"/>
        </w:rPr>
        <w:t>（一）、</w:t>
      </w:r>
      <w:r>
        <w:rPr>
          <w:rFonts w:hint="eastAsia" w:ascii="宋体" w:hAnsi="宋体" w:cs="宋体"/>
          <w:b/>
          <w:sz w:val="24"/>
          <w:szCs w:val="24"/>
          <w:highlight w:val="none"/>
          <w:lang w:eastAsia="zh-CN"/>
        </w:rPr>
        <w:t>乙方</w:t>
      </w:r>
      <w:r>
        <w:rPr>
          <w:rFonts w:hint="eastAsia" w:ascii="宋体" w:hAnsi="宋体" w:cs="宋体"/>
          <w:b/>
          <w:sz w:val="24"/>
          <w:szCs w:val="24"/>
          <w:highlight w:val="none"/>
        </w:rPr>
        <w:t>式</w:t>
      </w:r>
      <w:bookmarkEnd w:id="47"/>
      <w:bookmarkEnd w:id="48"/>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乙方</w:t>
      </w:r>
      <w:r>
        <w:rPr>
          <w:rFonts w:hint="eastAsia" w:ascii="宋体" w:hAnsi="宋体" w:cs="宋体"/>
          <w:sz w:val="24"/>
          <w:szCs w:val="24"/>
          <w:highlight w:val="none"/>
        </w:rPr>
        <w:t>以向</w:t>
      </w:r>
      <w:r>
        <w:rPr>
          <w:rFonts w:hint="eastAsia" w:ascii="宋体" w:hAnsi="宋体" w:cs="宋体"/>
          <w:sz w:val="24"/>
          <w:szCs w:val="24"/>
          <w:highlight w:val="none"/>
          <w:lang w:eastAsia="zh-CN"/>
        </w:rPr>
        <w:t>甲方</w:t>
      </w:r>
      <w:r>
        <w:rPr>
          <w:rFonts w:hint="eastAsia" w:ascii="宋体" w:hAnsi="宋体" w:cs="宋体"/>
          <w:sz w:val="24"/>
          <w:szCs w:val="24"/>
          <w:highlight w:val="none"/>
        </w:rPr>
        <w:t>派遣服务人员在双方约定的任务范围内提供服务的方式履行服务任务。</w:t>
      </w:r>
    </w:p>
    <w:p>
      <w:pPr>
        <w:keepNext w:val="0"/>
        <w:keepLines w:val="0"/>
        <w:pageBreakBefore w:val="0"/>
        <w:widowControl w:val="0"/>
        <w:kinsoku/>
        <w:wordWrap/>
        <w:overflowPunct/>
        <w:topLinePunct w:val="0"/>
        <w:bidi w:val="0"/>
        <w:spacing w:line="360" w:lineRule="auto"/>
        <w:ind w:firstLine="482" w:firstLineChars="200"/>
        <w:textAlignment w:val="auto"/>
        <w:outlineLvl w:val="2"/>
        <w:rPr>
          <w:rFonts w:hint="eastAsia" w:ascii="宋体" w:hAnsi="宋体" w:cs="宋体"/>
          <w:b/>
          <w:sz w:val="24"/>
          <w:szCs w:val="24"/>
          <w:highlight w:val="none"/>
        </w:rPr>
      </w:pPr>
      <w:bookmarkStart w:id="49" w:name="_Toc515899806"/>
      <w:bookmarkStart w:id="50" w:name="_Toc21779"/>
      <w:r>
        <w:rPr>
          <w:rFonts w:hint="eastAsia" w:ascii="宋体" w:hAnsi="宋体" w:cs="宋体"/>
          <w:b/>
          <w:sz w:val="24"/>
          <w:szCs w:val="24"/>
          <w:highlight w:val="none"/>
        </w:rPr>
        <w:t>（二）、服务范围及内容</w:t>
      </w:r>
      <w:bookmarkEnd w:id="49"/>
      <w:bookmarkEnd w:id="50"/>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lang w:val="en-US" w:eastAsia="zh-CN"/>
        </w:rPr>
        <w:t>1</w:t>
      </w:r>
      <w:r>
        <w:rPr>
          <w:rFonts w:hint="eastAsia" w:ascii="宋体" w:hAnsi="宋体" w:cs="宋体"/>
          <w:bCs/>
          <w:sz w:val="24"/>
          <w:szCs w:val="24"/>
          <w:highlight w:val="none"/>
        </w:rPr>
        <w:t>.各类</w:t>
      </w:r>
      <w:r>
        <w:rPr>
          <w:rFonts w:hint="eastAsia" w:ascii="宋体" w:hAnsi="宋体" w:cs="宋体"/>
          <w:bCs/>
          <w:sz w:val="24"/>
          <w:szCs w:val="24"/>
          <w:highlight w:val="none"/>
          <w:lang w:eastAsia="zh-CN"/>
        </w:rPr>
        <w:t>电气</w:t>
      </w:r>
      <w:r>
        <w:rPr>
          <w:rFonts w:hint="eastAsia" w:ascii="宋体" w:hAnsi="宋体" w:cs="宋体"/>
          <w:bCs/>
          <w:sz w:val="24"/>
          <w:szCs w:val="24"/>
          <w:highlight w:val="none"/>
        </w:rPr>
        <w:t>设备</w:t>
      </w:r>
      <w:r>
        <w:rPr>
          <w:rFonts w:hint="eastAsia" w:ascii="宋体" w:hAnsi="宋体" w:cs="宋体"/>
          <w:bCs/>
          <w:sz w:val="24"/>
          <w:szCs w:val="24"/>
          <w:highlight w:val="none"/>
          <w:lang w:eastAsia="zh-CN"/>
        </w:rPr>
        <w:t>、设施</w:t>
      </w:r>
      <w:r>
        <w:rPr>
          <w:rFonts w:hint="eastAsia" w:ascii="宋体" w:hAnsi="宋体" w:cs="宋体"/>
          <w:bCs/>
          <w:sz w:val="24"/>
          <w:szCs w:val="24"/>
          <w:highlight w:val="none"/>
        </w:rPr>
        <w:t>的日常巡视、维护、记录</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1</w:t>
      </w:r>
      <w:r>
        <w:rPr>
          <w:rFonts w:hint="eastAsia" w:ascii="宋体" w:hAnsi="宋体" w:cs="宋体"/>
          <w:bCs/>
          <w:sz w:val="24"/>
          <w:szCs w:val="24"/>
          <w:highlight w:val="none"/>
        </w:rPr>
        <w:t>.1）按要求每</w:t>
      </w:r>
      <w:r>
        <w:rPr>
          <w:rFonts w:hint="eastAsia" w:ascii="宋体" w:hAnsi="宋体" w:cs="宋体"/>
          <w:bCs/>
          <w:sz w:val="24"/>
          <w:szCs w:val="24"/>
          <w:highlight w:val="none"/>
          <w:lang w:eastAsia="zh-CN"/>
        </w:rPr>
        <w:t>周</w:t>
      </w:r>
      <w:r>
        <w:rPr>
          <w:rFonts w:hint="eastAsia" w:ascii="宋体" w:hAnsi="宋体" w:cs="宋体"/>
          <w:bCs/>
          <w:sz w:val="24"/>
          <w:szCs w:val="24"/>
          <w:highlight w:val="none"/>
        </w:rPr>
        <w:t>巡视一次，并做好巡视记录；</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1</w:t>
      </w:r>
      <w:r>
        <w:rPr>
          <w:rFonts w:hint="eastAsia" w:ascii="宋体" w:hAnsi="宋体" w:cs="宋体"/>
          <w:bCs/>
          <w:sz w:val="24"/>
          <w:szCs w:val="24"/>
          <w:highlight w:val="none"/>
        </w:rPr>
        <w:t>.2）出现故障及时处理、报修、记录；</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1</w:t>
      </w:r>
      <w:r>
        <w:rPr>
          <w:rFonts w:hint="eastAsia" w:ascii="宋体" w:hAnsi="宋体" w:cs="宋体"/>
          <w:bCs/>
          <w:sz w:val="24"/>
          <w:szCs w:val="24"/>
          <w:highlight w:val="none"/>
        </w:rPr>
        <w:t>.3）其他简单事项；</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lang w:val="en-US" w:eastAsia="zh-CN"/>
        </w:rPr>
        <w:t>2</w:t>
      </w:r>
      <w:r>
        <w:rPr>
          <w:rFonts w:hint="eastAsia" w:ascii="宋体" w:hAnsi="宋体" w:cs="宋体"/>
          <w:bCs/>
          <w:sz w:val="24"/>
          <w:szCs w:val="24"/>
          <w:highlight w:val="none"/>
        </w:rPr>
        <w:t>.楼层、区域</w:t>
      </w:r>
      <w:r>
        <w:rPr>
          <w:rFonts w:hint="eastAsia" w:ascii="宋体" w:hAnsi="宋体" w:cs="宋体"/>
          <w:bCs/>
          <w:sz w:val="24"/>
          <w:szCs w:val="24"/>
          <w:highlight w:val="none"/>
          <w:lang w:eastAsia="zh-CN"/>
        </w:rPr>
        <w:t>弱</w:t>
      </w:r>
      <w:r>
        <w:rPr>
          <w:rFonts w:hint="eastAsia" w:ascii="宋体" w:hAnsi="宋体" w:cs="宋体"/>
          <w:bCs/>
          <w:sz w:val="24"/>
          <w:szCs w:val="24"/>
          <w:highlight w:val="none"/>
        </w:rPr>
        <w:t>电间的日常巡视、记录</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2</w:t>
      </w:r>
      <w:r>
        <w:rPr>
          <w:rFonts w:hint="eastAsia" w:ascii="宋体" w:hAnsi="宋体" w:cs="宋体"/>
          <w:bCs/>
          <w:sz w:val="24"/>
          <w:szCs w:val="24"/>
          <w:highlight w:val="none"/>
        </w:rPr>
        <w:t>.1）每</w:t>
      </w:r>
      <w:r>
        <w:rPr>
          <w:rFonts w:hint="eastAsia" w:ascii="宋体" w:hAnsi="宋体" w:cs="宋体"/>
          <w:bCs/>
          <w:sz w:val="24"/>
          <w:szCs w:val="24"/>
          <w:highlight w:val="none"/>
          <w:lang w:eastAsia="zh-CN"/>
        </w:rPr>
        <w:t>周</w:t>
      </w:r>
      <w:r>
        <w:rPr>
          <w:rFonts w:hint="eastAsia" w:ascii="宋体" w:hAnsi="宋体" w:cs="宋体"/>
          <w:bCs/>
          <w:sz w:val="24"/>
          <w:szCs w:val="24"/>
          <w:highlight w:val="none"/>
        </w:rPr>
        <w:t>巡查一次，并做好记录；</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2</w:t>
      </w:r>
      <w:r>
        <w:rPr>
          <w:rFonts w:hint="eastAsia" w:ascii="宋体" w:hAnsi="宋体" w:cs="宋体"/>
          <w:bCs/>
          <w:sz w:val="24"/>
          <w:szCs w:val="24"/>
          <w:highlight w:val="none"/>
        </w:rPr>
        <w:t>.2）出现故障及时处理、报修、记录；</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2</w:t>
      </w:r>
      <w:r>
        <w:rPr>
          <w:rFonts w:hint="eastAsia" w:ascii="宋体" w:hAnsi="宋体" w:cs="宋体"/>
          <w:bCs/>
          <w:sz w:val="24"/>
          <w:szCs w:val="24"/>
          <w:highlight w:val="none"/>
        </w:rPr>
        <w:t>.3）其他简单事项；</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lang w:val="en-US" w:eastAsia="zh-CN"/>
        </w:rPr>
        <w:t>3</w:t>
      </w:r>
      <w:r>
        <w:rPr>
          <w:rFonts w:hint="eastAsia" w:ascii="宋体" w:hAnsi="宋体" w:cs="宋体"/>
          <w:bCs/>
          <w:sz w:val="24"/>
          <w:szCs w:val="24"/>
          <w:highlight w:val="none"/>
        </w:rPr>
        <w:t>.负责生活热水系统运行状况的日常巡视、维护、记录</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3</w:t>
      </w:r>
      <w:r>
        <w:rPr>
          <w:rFonts w:hint="eastAsia" w:ascii="宋体" w:hAnsi="宋体" w:cs="宋体"/>
          <w:bCs/>
          <w:sz w:val="24"/>
          <w:szCs w:val="24"/>
          <w:highlight w:val="none"/>
        </w:rPr>
        <w:t>.1）每日巡视一次，并做好记录，保证按医院规定及时供应热水；</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3</w:t>
      </w:r>
      <w:r>
        <w:rPr>
          <w:rFonts w:hint="eastAsia" w:ascii="宋体" w:hAnsi="宋体" w:cs="宋体"/>
          <w:bCs/>
          <w:sz w:val="24"/>
          <w:szCs w:val="24"/>
          <w:highlight w:val="none"/>
        </w:rPr>
        <w:t>.2）出现故障及时处理、报修、记录；</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3</w:t>
      </w:r>
      <w:r>
        <w:rPr>
          <w:rFonts w:hint="eastAsia" w:ascii="宋体" w:hAnsi="宋体" w:cs="宋体"/>
          <w:bCs/>
          <w:sz w:val="24"/>
          <w:szCs w:val="24"/>
          <w:highlight w:val="none"/>
        </w:rPr>
        <w:t>.3）其他简单事项；</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.水电故障排查、处理（维修及更换）、记录</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范围：电水壶、电开水炉、电话、电视机、照明、排风机、上下水、马桶洁具、开关、插座、电热水器、小厨宝、感应龙头等；</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.维修处理及记录</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.1）按要求接修，第一时间赶到现场查看，不能及时解决的需与报修部门负责人（病区的需另外与病人及病人家属）做好解释沟通；</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.2）及时处理问题，不能解决的及时汇报；</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.3）问题处理完毕，及时向报修部门负责人汇报（病区的需另外告知病人及病人家属）；</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.4）做好常用材料、配件的库存储备，配件更换数量做好统计，常用设施、工具备齐；</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.5）做好维修记录本的记录工作（具体要求，详见附件一：《水电维修记录单》），或按照“后勤综合管理平台”系统要求操作；</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.日常水电巡视、维护、记录</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1</w:t>
      </w:r>
      <w:r>
        <w:rPr>
          <w:rFonts w:hint="eastAsia" w:ascii="宋体" w:hAnsi="宋体" w:cs="宋体"/>
          <w:bCs/>
          <w:sz w:val="24"/>
          <w:szCs w:val="24"/>
          <w:highlight w:val="none"/>
        </w:rPr>
        <w:t>）负责全院电气低压系统（除地下室配电间外）的日常维护维修，每日巡视各科室，保证全院用电设施、照明线路、照明器具安全、可靠、正常工作，并做好记录。</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lang w:val="en-US" w:eastAsia="zh-CN"/>
        </w:rPr>
        <w:t>7</w:t>
      </w:r>
      <w:r>
        <w:rPr>
          <w:rFonts w:hint="eastAsia" w:ascii="宋体" w:hAnsi="宋体" w:cs="宋体"/>
          <w:bCs/>
          <w:sz w:val="24"/>
          <w:szCs w:val="24"/>
          <w:highlight w:val="none"/>
        </w:rPr>
        <w:t>.其他</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7</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1</w:t>
      </w:r>
      <w:r>
        <w:rPr>
          <w:rFonts w:hint="eastAsia" w:ascii="宋体" w:hAnsi="宋体" w:cs="宋体"/>
          <w:bCs/>
          <w:sz w:val="24"/>
          <w:szCs w:val="24"/>
          <w:highlight w:val="none"/>
        </w:rPr>
        <w:t>）院内项目的施工配合；</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7</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2</w:t>
      </w:r>
      <w:r>
        <w:rPr>
          <w:rFonts w:hint="eastAsia" w:ascii="宋体" w:hAnsi="宋体" w:cs="宋体"/>
          <w:bCs/>
          <w:sz w:val="24"/>
          <w:szCs w:val="24"/>
          <w:highlight w:val="none"/>
        </w:rPr>
        <w:t>）完成保洁不在班期间的部分工作（马桶疏通）；</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7</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3</w:t>
      </w:r>
      <w:r>
        <w:rPr>
          <w:rFonts w:hint="eastAsia" w:ascii="宋体" w:hAnsi="宋体" w:cs="宋体"/>
          <w:bCs/>
          <w:sz w:val="24"/>
          <w:szCs w:val="24"/>
          <w:highlight w:val="none"/>
        </w:rPr>
        <w:t>）负责非正常上班时间水、电（低压部分）故障的紧急处理及报修；</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7</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）其他简单问题的处理；</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7</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）做好强弱电间、各类机房等房间的钥匙保管；</w:t>
      </w:r>
    </w:p>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outlineLvl w:val="2"/>
        <w:rPr>
          <w:rFonts w:hint="eastAsia" w:ascii="宋体" w:hAnsi="宋体" w:cs="宋体"/>
          <w:b/>
          <w:sz w:val="24"/>
          <w:szCs w:val="24"/>
          <w:highlight w:val="none"/>
        </w:rPr>
      </w:pPr>
      <w:bookmarkStart w:id="51" w:name="_Toc22596"/>
      <w:r>
        <w:rPr>
          <w:rFonts w:hint="eastAsia" w:ascii="宋体" w:hAnsi="宋体" w:cs="宋体"/>
          <w:b/>
          <w:sz w:val="24"/>
          <w:szCs w:val="24"/>
          <w:highlight w:val="none"/>
        </w:rPr>
        <w:t>（三）、</w:t>
      </w:r>
      <w:r>
        <w:rPr>
          <w:rFonts w:hint="eastAsia" w:ascii="宋体" w:hAnsi="宋体" w:cs="宋体"/>
          <w:b/>
          <w:sz w:val="24"/>
          <w:szCs w:val="24"/>
          <w:highlight w:val="none"/>
          <w:lang w:eastAsia="zh-CN"/>
        </w:rPr>
        <w:t>甲方</w:t>
      </w:r>
      <w:r>
        <w:rPr>
          <w:rFonts w:hint="eastAsia" w:ascii="宋体" w:hAnsi="宋体" w:cs="宋体"/>
          <w:b/>
          <w:sz w:val="24"/>
          <w:szCs w:val="24"/>
          <w:highlight w:val="none"/>
        </w:rPr>
        <w:t>的权利和责任</w:t>
      </w:r>
      <w:bookmarkEnd w:id="51"/>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eastAsia="zh-CN"/>
        </w:rPr>
        <w:t>甲方</w:t>
      </w:r>
      <w:r>
        <w:rPr>
          <w:rFonts w:hint="eastAsia" w:ascii="宋体" w:hAnsi="宋体" w:cs="宋体"/>
          <w:sz w:val="24"/>
          <w:szCs w:val="24"/>
          <w:highlight w:val="none"/>
        </w:rPr>
        <w:t>积极教育本单位人员尊重、配合和支持</w:t>
      </w:r>
      <w:r>
        <w:rPr>
          <w:rFonts w:hint="eastAsia" w:ascii="宋体" w:hAnsi="宋体" w:cs="宋体"/>
          <w:sz w:val="24"/>
          <w:szCs w:val="24"/>
          <w:highlight w:val="none"/>
          <w:lang w:eastAsia="zh-CN"/>
        </w:rPr>
        <w:t>乙方</w:t>
      </w:r>
      <w:r>
        <w:rPr>
          <w:rFonts w:hint="eastAsia" w:ascii="宋体" w:hAnsi="宋体" w:cs="宋体"/>
          <w:sz w:val="24"/>
          <w:szCs w:val="24"/>
          <w:highlight w:val="none"/>
        </w:rPr>
        <w:t>服务人员工作。</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eastAsia="zh-CN"/>
        </w:rPr>
        <w:t>甲方</w:t>
      </w:r>
      <w:r>
        <w:rPr>
          <w:rFonts w:hint="eastAsia" w:ascii="宋体" w:hAnsi="宋体" w:cs="宋体"/>
          <w:sz w:val="24"/>
          <w:szCs w:val="24"/>
          <w:highlight w:val="none"/>
        </w:rPr>
        <w:t>应按本合同考核标准、付款方式中的规定向</w:t>
      </w:r>
      <w:r>
        <w:rPr>
          <w:rFonts w:hint="eastAsia" w:ascii="宋体" w:hAnsi="宋体" w:cs="宋体"/>
          <w:sz w:val="24"/>
          <w:szCs w:val="24"/>
          <w:highlight w:val="none"/>
          <w:lang w:eastAsia="zh-CN"/>
        </w:rPr>
        <w:t>乙方</w:t>
      </w:r>
      <w:r>
        <w:rPr>
          <w:rFonts w:hint="eastAsia" w:ascii="宋体" w:hAnsi="宋体" w:cs="宋体"/>
          <w:sz w:val="24"/>
          <w:szCs w:val="24"/>
          <w:highlight w:val="none"/>
        </w:rPr>
        <w:t>支付服务费。</w:t>
      </w:r>
    </w:p>
    <w:p>
      <w:pPr>
        <w:keepNext w:val="0"/>
        <w:keepLines w:val="0"/>
        <w:pageBreakBefore w:val="0"/>
        <w:widowControl w:val="0"/>
        <w:kinsoku/>
        <w:wordWrap/>
        <w:overflowPunct/>
        <w:topLinePunct w:val="0"/>
        <w:bidi w:val="0"/>
        <w:spacing w:line="360" w:lineRule="auto"/>
        <w:ind w:firstLine="482" w:firstLineChars="200"/>
        <w:textAlignment w:val="auto"/>
        <w:outlineLvl w:val="2"/>
        <w:rPr>
          <w:rFonts w:hint="eastAsia" w:ascii="宋体" w:hAnsi="宋体" w:cs="宋体"/>
          <w:b/>
          <w:sz w:val="24"/>
          <w:szCs w:val="24"/>
          <w:highlight w:val="none"/>
        </w:rPr>
      </w:pPr>
      <w:bookmarkStart w:id="52" w:name="_Toc19439"/>
      <w:r>
        <w:rPr>
          <w:rFonts w:hint="eastAsia" w:ascii="宋体" w:hAnsi="宋体" w:cs="宋体"/>
          <w:b/>
          <w:sz w:val="24"/>
          <w:szCs w:val="24"/>
          <w:highlight w:val="none"/>
        </w:rPr>
        <w:t>（四）、</w:t>
      </w:r>
      <w:r>
        <w:rPr>
          <w:rFonts w:hint="eastAsia" w:ascii="宋体" w:hAnsi="宋体" w:cs="宋体"/>
          <w:b/>
          <w:sz w:val="24"/>
          <w:szCs w:val="24"/>
          <w:highlight w:val="none"/>
          <w:lang w:eastAsia="zh-CN"/>
        </w:rPr>
        <w:t>乙方</w:t>
      </w:r>
      <w:r>
        <w:rPr>
          <w:rFonts w:hint="eastAsia" w:ascii="宋体" w:hAnsi="宋体" w:cs="宋体"/>
          <w:b/>
          <w:sz w:val="24"/>
          <w:szCs w:val="24"/>
          <w:highlight w:val="none"/>
        </w:rPr>
        <w:t>的权利和责任</w:t>
      </w:r>
      <w:bookmarkEnd w:id="52"/>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eastAsia="zh-CN"/>
        </w:rPr>
        <w:t>乙方</w:t>
      </w:r>
      <w:r>
        <w:rPr>
          <w:rFonts w:hint="eastAsia" w:ascii="宋体" w:hAnsi="宋体" w:cs="宋体"/>
          <w:sz w:val="24"/>
          <w:szCs w:val="24"/>
          <w:highlight w:val="none"/>
        </w:rPr>
        <w:t>须按照</w:t>
      </w:r>
      <w:r>
        <w:rPr>
          <w:rFonts w:hint="eastAsia" w:ascii="宋体" w:hAnsi="宋体" w:cs="宋体"/>
          <w:sz w:val="24"/>
          <w:szCs w:val="24"/>
          <w:highlight w:val="none"/>
          <w:lang w:eastAsia="zh-CN"/>
        </w:rPr>
        <w:t>甲方</w:t>
      </w:r>
      <w:r>
        <w:rPr>
          <w:rFonts w:hint="eastAsia" w:ascii="宋体" w:hAnsi="宋体" w:cs="宋体"/>
          <w:sz w:val="24"/>
          <w:szCs w:val="24"/>
          <w:highlight w:val="none"/>
        </w:rPr>
        <w:t>的要求，定期对托管服务范围内的业务向</w:t>
      </w:r>
      <w:r>
        <w:rPr>
          <w:rFonts w:hint="eastAsia" w:ascii="宋体" w:hAnsi="宋体" w:cs="宋体"/>
          <w:sz w:val="24"/>
          <w:szCs w:val="24"/>
          <w:highlight w:val="none"/>
          <w:lang w:eastAsia="zh-CN"/>
        </w:rPr>
        <w:t>甲方</w:t>
      </w:r>
      <w:r>
        <w:rPr>
          <w:rFonts w:hint="eastAsia" w:ascii="宋体" w:hAnsi="宋体" w:cs="宋体"/>
          <w:sz w:val="24"/>
          <w:szCs w:val="24"/>
          <w:highlight w:val="none"/>
        </w:rPr>
        <w:t>负责人进行报汇报。</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z w:val="24"/>
          <w:szCs w:val="24"/>
          <w:highlight w:val="none"/>
          <w:lang w:eastAsia="zh-CN"/>
        </w:rPr>
        <w:t>乙方</w:t>
      </w:r>
      <w:r>
        <w:rPr>
          <w:rFonts w:hint="eastAsia" w:ascii="宋体" w:hAnsi="宋体" w:cs="宋体"/>
          <w:sz w:val="24"/>
          <w:szCs w:val="24"/>
          <w:highlight w:val="none"/>
        </w:rPr>
        <w:t>需要调整和更换服务人员时，须向</w:t>
      </w:r>
      <w:r>
        <w:rPr>
          <w:rFonts w:hint="eastAsia" w:ascii="宋体" w:hAnsi="宋体" w:cs="宋体"/>
          <w:sz w:val="24"/>
          <w:szCs w:val="24"/>
          <w:highlight w:val="none"/>
          <w:lang w:eastAsia="zh-CN"/>
        </w:rPr>
        <w:t>甲方</w:t>
      </w:r>
      <w:r>
        <w:rPr>
          <w:rFonts w:hint="eastAsia" w:ascii="宋体" w:hAnsi="宋体" w:cs="宋体"/>
          <w:sz w:val="24"/>
          <w:szCs w:val="24"/>
          <w:highlight w:val="none"/>
        </w:rPr>
        <w:t>提出书面申请，得到</w:t>
      </w:r>
      <w:r>
        <w:rPr>
          <w:rFonts w:hint="eastAsia" w:ascii="宋体" w:hAnsi="宋体" w:cs="宋体"/>
          <w:sz w:val="24"/>
          <w:szCs w:val="24"/>
          <w:highlight w:val="none"/>
          <w:lang w:eastAsia="zh-CN"/>
        </w:rPr>
        <w:t>甲方</w:t>
      </w:r>
      <w:r>
        <w:rPr>
          <w:rFonts w:hint="eastAsia" w:ascii="宋体" w:hAnsi="宋体" w:cs="宋体"/>
          <w:sz w:val="24"/>
          <w:szCs w:val="24"/>
          <w:highlight w:val="none"/>
        </w:rPr>
        <w:t>负责人的同意后，方可调整或更换。但</w:t>
      </w:r>
      <w:r>
        <w:rPr>
          <w:rFonts w:hint="eastAsia" w:ascii="宋体" w:hAnsi="宋体" w:cs="宋体"/>
          <w:sz w:val="24"/>
          <w:szCs w:val="24"/>
          <w:highlight w:val="none"/>
          <w:lang w:eastAsia="zh-CN"/>
        </w:rPr>
        <w:t>乙方</w:t>
      </w:r>
      <w:r>
        <w:rPr>
          <w:rFonts w:hint="eastAsia" w:ascii="宋体" w:hAnsi="宋体" w:cs="宋体"/>
          <w:sz w:val="24"/>
          <w:szCs w:val="24"/>
          <w:highlight w:val="none"/>
        </w:rPr>
        <w:t>接到</w:t>
      </w:r>
      <w:r>
        <w:rPr>
          <w:rFonts w:hint="eastAsia" w:ascii="宋体" w:hAnsi="宋体" w:cs="宋体"/>
          <w:sz w:val="24"/>
          <w:szCs w:val="24"/>
          <w:highlight w:val="none"/>
          <w:lang w:eastAsia="zh-CN"/>
        </w:rPr>
        <w:t>甲方</w:t>
      </w:r>
      <w:r>
        <w:rPr>
          <w:rFonts w:hint="eastAsia" w:ascii="宋体" w:hAnsi="宋体" w:cs="宋体"/>
          <w:sz w:val="24"/>
          <w:szCs w:val="24"/>
          <w:highlight w:val="none"/>
        </w:rPr>
        <w:t>相关问题提出更换服务人员的要求后的次日，须无条件地及时更换服务人员。</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z w:val="24"/>
          <w:szCs w:val="24"/>
          <w:highlight w:val="none"/>
          <w:lang w:eastAsia="zh-CN"/>
        </w:rPr>
        <w:t>乙方</w:t>
      </w:r>
      <w:r>
        <w:rPr>
          <w:rFonts w:hint="eastAsia" w:ascii="宋体" w:hAnsi="宋体" w:cs="宋体"/>
          <w:sz w:val="24"/>
          <w:szCs w:val="24"/>
          <w:highlight w:val="none"/>
        </w:rPr>
        <w:t>服务人员着装应整洁，工作服装由</w:t>
      </w:r>
      <w:r>
        <w:rPr>
          <w:rFonts w:hint="eastAsia" w:ascii="宋体" w:hAnsi="宋体" w:cs="宋体"/>
          <w:sz w:val="24"/>
          <w:szCs w:val="24"/>
          <w:highlight w:val="none"/>
          <w:lang w:eastAsia="zh-CN"/>
        </w:rPr>
        <w:t>乙方</w:t>
      </w:r>
      <w:r>
        <w:rPr>
          <w:rFonts w:hint="eastAsia" w:ascii="宋体" w:hAnsi="宋体" w:cs="宋体"/>
          <w:sz w:val="24"/>
          <w:szCs w:val="24"/>
          <w:highlight w:val="none"/>
        </w:rPr>
        <w:t>自行提供。</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4.</w:t>
      </w:r>
      <w:r>
        <w:rPr>
          <w:rFonts w:hint="eastAsia" w:ascii="宋体" w:hAnsi="宋体" w:cs="宋体"/>
          <w:sz w:val="24"/>
          <w:szCs w:val="24"/>
          <w:highlight w:val="none"/>
          <w:lang w:eastAsia="zh-CN"/>
        </w:rPr>
        <w:t>乙方</w:t>
      </w:r>
      <w:r>
        <w:rPr>
          <w:rFonts w:hint="eastAsia" w:ascii="宋体" w:hAnsi="宋体" w:cs="宋体"/>
          <w:sz w:val="24"/>
          <w:szCs w:val="24"/>
          <w:highlight w:val="none"/>
        </w:rPr>
        <w:t>应加强对服务人员的教育培训、监督和管理，确保服务的优质高效。</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5.</w:t>
      </w:r>
      <w:r>
        <w:rPr>
          <w:rFonts w:hint="eastAsia" w:ascii="宋体" w:hAnsi="宋体" w:cs="宋体"/>
          <w:sz w:val="24"/>
          <w:szCs w:val="24"/>
          <w:highlight w:val="none"/>
          <w:lang w:eastAsia="zh-CN"/>
        </w:rPr>
        <w:t>乙方</w:t>
      </w:r>
      <w:r>
        <w:rPr>
          <w:rFonts w:hint="eastAsia" w:ascii="宋体" w:hAnsi="宋体" w:cs="宋体"/>
          <w:sz w:val="24"/>
          <w:szCs w:val="24"/>
          <w:highlight w:val="none"/>
        </w:rPr>
        <w:t>服务人员在工作期间，应注意现场周围环境的安全因素，必须严格遵守</w:t>
      </w:r>
      <w:r>
        <w:rPr>
          <w:rFonts w:hint="eastAsia" w:ascii="宋体" w:hAnsi="宋体" w:cs="宋体"/>
          <w:sz w:val="24"/>
          <w:szCs w:val="24"/>
          <w:highlight w:val="none"/>
          <w:lang w:eastAsia="zh-CN"/>
        </w:rPr>
        <w:t>甲方</w:t>
      </w:r>
      <w:r>
        <w:rPr>
          <w:rFonts w:hint="eastAsia" w:ascii="宋体" w:hAnsi="宋体" w:cs="宋体"/>
          <w:sz w:val="24"/>
          <w:szCs w:val="24"/>
          <w:highlight w:val="none"/>
        </w:rPr>
        <w:t>的各项规章制度和各项安全管理规定。</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6.如因</w:t>
      </w:r>
      <w:r>
        <w:rPr>
          <w:rFonts w:hint="eastAsia" w:ascii="宋体" w:hAnsi="宋体" w:cs="宋体"/>
          <w:sz w:val="24"/>
          <w:szCs w:val="24"/>
          <w:highlight w:val="none"/>
          <w:lang w:eastAsia="zh-CN"/>
        </w:rPr>
        <w:t>乙方</w:t>
      </w:r>
      <w:r>
        <w:rPr>
          <w:rFonts w:hint="eastAsia" w:ascii="宋体" w:hAnsi="宋体" w:cs="宋体"/>
          <w:sz w:val="24"/>
          <w:szCs w:val="24"/>
          <w:highlight w:val="none"/>
        </w:rPr>
        <w:t>服务人员操作不当或服务人员不尽责任等</w:t>
      </w:r>
      <w:r>
        <w:rPr>
          <w:rFonts w:hint="eastAsia" w:ascii="宋体" w:hAnsi="宋体" w:cs="宋体"/>
          <w:sz w:val="24"/>
          <w:szCs w:val="24"/>
          <w:highlight w:val="none"/>
          <w:lang w:eastAsia="zh-CN"/>
        </w:rPr>
        <w:t>乙方</w:t>
      </w:r>
      <w:r>
        <w:rPr>
          <w:rFonts w:hint="eastAsia" w:ascii="宋体" w:hAnsi="宋体" w:cs="宋体"/>
          <w:sz w:val="24"/>
          <w:szCs w:val="24"/>
          <w:highlight w:val="none"/>
        </w:rPr>
        <w:t>原因导致</w:t>
      </w:r>
      <w:r>
        <w:rPr>
          <w:rFonts w:hint="eastAsia" w:ascii="宋体" w:hAnsi="宋体" w:cs="宋体"/>
          <w:sz w:val="24"/>
          <w:szCs w:val="24"/>
          <w:highlight w:val="none"/>
          <w:lang w:eastAsia="zh-CN"/>
        </w:rPr>
        <w:t>甲方</w:t>
      </w:r>
      <w:r>
        <w:rPr>
          <w:rFonts w:hint="eastAsia" w:ascii="宋体" w:hAnsi="宋体" w:cs="宋体"/>
          <w:sz w:val="24"/>
          <w:szCs w:val="24"/>
          <w:highlight w:val="none"/>
        </w:rPr>
        <w:t>设施损坏、火灾、人员伤亡等，</w:t>
      </w:r>
      <w:r>
        <w:rPr>
          <w:rFonts w:hint="eastAsia" w:ascii="宋体" w:hAnsi="宋体" w:cs="宋体"/>
          <w:sz w:val="24"/>
          <w:szCs w:val="24"/>
          <w:highlight w:val="none"/>
          <w:lang w:eastAsia="zh-CN"/>
        </w:rPr>
        <w:t>乙方</w:t>
      </w:r>
      <w:r>
        <w:rPr>
          <w:rFonts w:hint="eastAsia" w:ascii="宋体" w:hAnsi="宋体" w:cs="宋体"/>
          <w:sz w:val="24"/>
          <w:szCs w:val="24"/>
          <w:highlight w:val="none"/>
        </w:rPr>
        <w:t>应承担全部赔偿责任，</w:t>
      </w:r>
      <w:r>
        <w:rPr>
          <w:rFonts w:hint="eastAsia" w:ascii="宋体" w:hAnsi="宋体" w:cs="宋体"/>
          <w:sz w:val="24"/>
          <w:szCs w:val="24"/>
          <w:highlight w:val="none"/>
          <w:lang w:eastAsia="zh-CN"/>
        </w:rPr>
        <w:t>甲方</w:t>
      </w:r>
      <w:r>
        <w:rPr>
          <w:rFonts w:hint="eastAsia" w:ascii="宋体" w:hAnsi="宋体" w:cs="宋体"/>
          <w:sz w:val="24"/>
          <w:szCs w:val="24"/>
          <w:highlight w:val="none"/>
        </w:rPr>
        <w:t>不承担任何责任。</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7.如发生电力设施损坏、火灾、人员伤亡事故或故障时（以下简称“事故”），无论该事故是否是因</w:t>
      </w:r>
      <w:r>
        <w:rPr>
          <w:rFonts w:hint="eastAsia" w:ascii="宋体" w:hAnsi="宋体" w:cs="宋体"/>
          <w:sz w:val="24"/>
          <w:szCs w:val="24"/>
          <w:highlight w:val="none"/>
          <w:lang w:eastAsia="zh-CN"/>
        </w:rPr>
        <w:t>乙方</w:t>
      </w:r>
      <w:r>
        <w:rPr>
          <w:rFonts w:hint="eastAsia" w:ascii="宋体" w:hAnsi="宋体" w:cs="宋体"/>
          <w:sz w:val="24"/>
          <w:szCs w:val="24"/>
          <w:highlight w:val="none"/>
        </w:rPr>
        <w:t>服务人员在维修时操作不当或服务人员不尽责任所导致的，</w:t>
      </w:r>
      <w:r>
        <w:rPr>
          <w:rFonts w:hint="eastAsia" w:ascii="宋体" w:hAnsi="宋体" w:cs="宋体"/>
          <w:sz w:val="24"/>
          <w:szCs w:val="24"/>
          <w:highlight w:val="none"/>
          <w:lang w:eastAsia="zh-CN"/>
        </w:rPr>
        <w:t>乙方</w:t>
      </w:r>
      <w:r>
        <w:rPr>
          <w:rFonts w:hint="eastAsia" w:ascii="宋体" w:hAnsi="宋体" w:cs="宋体"/>
          <w:sz w:val="24"/>
          <w:szCs w:val="24"/>
          <w:highlight w:val="none"/>
        </w:rPr>
        <w:t>及</w:t>
      </w:r>
      <w:r>
        <w:rPr>
          <w:rFonts w:hint="eastAsia" w:ascii="宋体" w:hAnsi="宋体" w:cs="宋体"/>
          <w:sz w:val="24"/>
          <w:szCs w:val="24"/>
          <w:highlight w:val="none"/>
          <w:lang w:eastAsia="zh-CN"/>
        </w:rPr>
        <w:t>乙方</w:t>
      </w:r>
      <w:r>
        <w:rPr>
          <w:rFonts w:hint="eastAsia" w:ascii="宋体" w:hAnsi="宋体" w:cs="宋体"/>
          <w:sz w:val="24"/>
          <w:szCs w:val="24"/>
          <w:highlight w:val="none"/>
        </w:rPr>
        <w:t>服务人员应立即采取事故处理对应措施，并立即将有关情况报告</w:t>
      </w:r>
      <w:r>
        <w:rPr>
          <w:rFonts w:hint="eastAsia" w:ascii="宋体" w:hAnsi="宋体" w:cs="宋体"/>
          <w:sz w:val="24"/>
          <w:szCs w:val="24"/>
          <w:highlight w:val="none"/>
          <w:lang w:eastAsia="zh-CN"/>
        </w:rPr>
        <w:t>甲方</w:t>
      </w:r>
      <w:r>
        <w:rPr>
          <w:rFonts w:hint="eastAsia" w:ascii="宋体" w:hAnsi="宋体" w:cs="宋体"/>
          <w:sz w:val="24"/>
          <w:szCs w:val="24"/>
          <w:highlight w:val="none"/>
        </w:rPr>
        <w:t>负责人。在事故处理完毕后，应向</w:t>
      </w:r>
      <w:r>
        <w:rPr>
          <w:rFonts w:hint="eastAsia" w:ascii="宋体" w:hAnsi="宋体" w:cs="宋体"/>
          <w:sz w:val="24"/>
          <w:szCs w:val="24"/>
          <w:highlight w:val="none"/>
          <w:lang w:eastAsia="zh-CN"/>
        </w:rPr>
        <w:t>甲方</w:t>
      </w:r>
      <w:r>
        <w:rPr>
          <w:rFonts w:hint="eastAsia" w:ascii="宋体" w:hAnsi="宋体" w:cs="宋体"/>
          <w:sz w:val="24"/>
          <w:szCs w:val="24"/>
          <w:highlight w:val="none"/>
        </w:rPr>
        <w:t>负责人提交包括事故原因、事故处理对应措施及今后的防止措施等内容的事故报告书。</w: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8.合同期限内，</w:t>
      </w:r>
      <w:r>
        <w:rPr>
          <w:rFonts w:hint="eastAsia" w:ascii="宋体" w:hAnsi="宋体" w:cs="宋体"/>
          <w:sz w:val="24"/>
          <w:szCs w:val="24"/>
          <w:highlight w:val="none"/>
          <w:lang w:eastAsia="zh-CN"/>
        </w:rPr>
        <w:t>甲方</w:t>
      </w:r>
      <w:r>
        <w:rPr>
          <w:rFonts w:hint="eastAsia" w:ascii="宋体" w:hAnsi="宋体" w:cs="宋体"/>
          <w:sz w:val="24"/>
          <w:szCs w:val="24"/>
          <w:highlight w:val="none"/>
        </w:rPr>
        <w:t>所提供的相关文件资料，</w:t>
      </w:r>
      <w:r>
        <w:rPr>
          <w:rFonts w:hint="eastAsia" w:ascii="宋体" w:hAnsi="宋体" w:cs="宋体"/>
          <w:sz w:val="24"/>
          <w:szCs w:val="24"/>
          <w:highlight w:val="none"/>
          <w:lang w:eastAsia="zh-CN"/>
        </w:rPr>
        <w:t>乙方</w:t>
      </w:r>
      <w:r>
        <w:rPr>
          <w:rFonts w:hint="eastAsia" w:ascii="宋体" w:hAnsi="宋体" w:cs="宋体"/>
          <w:sz w:val="24"/>
          <w:szCs w:val="24"/>
          <w:highlight w:val="none"/>
        </w:rPr>
        <w:t>及</w:t>
      </w:r>
      <w:r>
        <w:rPr>
          <w:rFonts w:hint="eastAsia" w:ascii="宋体" w:hAnsi="宋体" w:cs="宋体"/>
          <w:sz w:val="24"/>
          <w:szCs w:val="24"/>
          <w:highlight w:val="none"/>
          <w:lang w:eastAsia="zh-CN"/>
        </w:rPr>
        <w:t>乙方</w:t>
      </w:r>
      <w:r>
        <w:rPr>
          <w:rFonts w:hint="eastAsia" w:ascii="宋体" w:hAnsi="宋体" w:cs="宋体"/>
          <w:sz w:val="24"/>
          <w:szCs w:val="24"/>
          <w:highlight w:val="none"/>
        </w:rPr>
        <w:t>服务人员不得复制，不得交给第三者查阅，亦不得将</w:t>
      </w:r>
      <w:r>
        <w:rPr>
          <w:rFonts w:hint="eastAsia" w:ascii="宋体" w:hAnsi="宋体" w:cs="宋体"/>
          <w:sz w:val="24"/>
          <w:szCs w:val="24"/>
          <w:highlight w:val="none"/>
          <w:lang w:eastAsia="zh-CN"/>
        </w:rPr>
        <w:t>甲方</w:t>
      </w:r>
      <w:r>
        <w:rPr>
          <w:rFonts w:hint="eastAsia" w:ascii="宋体" w:hAnsi="宋体" w:cs="宋体"/>
          <w:sz w:val="24"/>
          <w:szCs w:val="24"/>
          <w:highlight w:val="none"/>
        </w:rPr>
        <w:t>所提供的相关文件资料中的任何信息向第三者披露、泄露或提供。</w:t>
      </w:r>
      <w:r>
        <w:rPr>
          <w:rFonts w:hint="eastAsia" w:ascii="宋体" w:hAnsi="宋体" w:cs="宋体"/>
          <w:sz w:val="24"/>
          <w:szCs w:val="24"/>
          <w:highlight w:val="none"/>
          <w:lang w:eastAsia="zh-CN"/>
        </w:rPr>
        <w:t>乙方</w:t>
      </w:r>
      <w:r>
        <w:rPr>
          <w:rFonts w:hint="eastAsia" w:ascii="宋体" w:hAnsi="宋体" w:cs="宋体"/>
          <w:sz w:val="24"/>
          <w:szCs w:val="24"/>
          <w:highlight w:val="none"/>
        </w:rPr>
        <w:t>须在合同终止后，将相关文件资料返还给</w:t>
      </w:r>
      <w:r>
        <w:rPr>
          <w:rFonts w:hint="eastAsia" w:ascii="宋体" w:hAnsi="宋体" w:cs="宋体"/>
          <w:sz w:val="24"/>
          <w:szCs w:val="24"/>
          <w:highlight w:val="none"/>
          <w:lang w:eastAsia="zh-CN"/>
        </w:rPr>
        <w:t>甲方</w:t>
      </w:r>
      <w:r>
        <w:rPr>
          <w:rFonts w:hint="eastAsia" w:ascii="宋体" w:hAnsi="宋体" w:cs="宋体"/>
          <w:sz w:val="24"/>
          <w:szCs w:val="24"/>
          <w:highlight w:val="none"/>
        </w:rPr>
        <w:t>，并继续承担不得将</w:t>
      </w:r>
      <w:r>
        <w:rPr>
          <w:rFonts w:hint="eastAsia" w:ascii="宋体" w:hAnsi="宋体" w:cs="宋体"/>
          <w:sz w:val="24"/>
          <w:szCs w:val="24"/>
          <w:highlight w:val="none"/>
          <w:lang w:eastAsia="zh-CN"/>
        </w:rPr>
        <w:t>甲方</w:t>
      </w:r>
      <w:r>
        <w:rPr>
          <w:rFonts w:hint="eastAsia" w:ascii="宋体" w:hAnsi="宋体" w:cs="宋体"/>
          <w:sz w:val="24"/>
          <w:szCs w:val="24"/>
          <w:highlight w:val="none"/>
        </w:rPr>
        <w:t>所提供的相关文件资料中的任何信息向第三者披露、泄露或提供的保密义务。</w:t>
      </w:r>
    </w:p>
    <w:p>
      <w:pPr>
        <w:pStyle w:val="2"/>
        <w:keepNext w:val="0"/>
        <w:keepLines w:val="0"/>
        <w:pageBreakBefore w:val="0"/>
        <w:widowControl w:val="0"/>
        <w:kinsoku/>
        <w:wordWrap/>
        <w:overflowPunct/>
        <w:topLinePunct w:val="0"/>
        <w:bidi w:val="0"/>
        <w:spacing w:line="360" w:lineRule="auto"/>
        <w:ind w:firstLine="48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9.按照</w:t>
      </w:r>
      <w:r>
        <w:rPr>
          <w:rFonts w:hint="eastAsia" w:ascii="宋体" w:hAnsi="宋体" w:cs="宋体"/>
          <w:kern w:val="2"/>
          <w:sz w:val="24"/>
          <w:szCs w:val="24"/>
          <w:highlight w:val="none"/>
          <w:lang w:val="en-US" w:eastAsia="zh-CN" w:bidi="ar-SA"/>
        </w:rPr>
        <w:t>甲方</w:t>
      </w:r>
      <w:r>
        <w:rPr>
          <w:rFonts w:hint="eastAsia" w:ascii="宋体" w:hAnsi="宋体" w:eastAsia="宋体" w:cs="宋体"/>
          <w:kern w:val="2"/>
          <w:sz w:val="24"/>
          <w:szCs w:val="24"/>
          <w:highlight w:val="none"/>
          <w:lang w:val="en-US" w:eastAsia="zh-CN" w:bidi="ar-SA"/>
        </w:rPr>
        <w:t>相关管理规定，按要求完成维修的接单、维修、记录、值班、定期巡视等任务，保证优质服务。</w:t>
      </w:r>
    </w:p>
    <w:p>
      <w:pPr>
        <w:keepNext w:val="0"/>
        <w:keepLines w:val="0"/>
        <w:pageBreakBefore w:val="0"/>
        <w:widowControl w:val="0"/>
        <w:kinsoku/>
        <w:wordWrap/>
        <w:overflowPunct/>
        <w:topLinePunct w:val="0"/>
        <w:bidi w:val="0"/>
        <w:snapToGrid w:val="0"/>
        <w:spacing w:line="360" w:lineRule="auto"/>
        <w:ind w:firstLine="482" w:firstLineChars="200"/>
        <w:textAlignment w:val="auto"/>
        <w:rPr>
          <w:rFonts w:hint="eastAsia" w:ascii="宋体" w:hAnsi="宋体" w:cs="宋体"/>
          <w:color w:val="auto"/>
          <w:sz w:val="24"/>
          <w:szCs w:val="24"/>
          <w:u w:val="single"/>
        </w:rPr>
      </w:pPr>
      <w:bookmarkStart w:id="53" w:name="_Toc9417"/>
      <w:bookmarkStart w:id="54" w:name="_Toc18910"/>
      <w:r>
        <w:rPr>
          <w:rFonts w:hint="eastAsia" w:ascii="宋体" w:hAnsi="宋体" w:cs="宋体"/>
          <w:b/>
          <w:color w:val="auto"/>
          <w:kern w:val="0"/>
          <w:sz w:val="24"/>
          <w:szCs w:val="24"/>
          <w:highlight w:val="none"/>
          <w:lang w:eastAsia="zh-CN"/>
        </w:rPr>
        <w:t>二</w:t>
      </w:r>
      <w:r>
        <w:rPr>
          <w:rFonts w:hint="eastAsia" w:ascii="宋体" w:hAnsi="宋体" w:cs="宋体"/>
          <w:b/>
          <w:color w:val="auto"/>
          <w:kern w:val="0"/>
          <w:sz w:val="24"/>
          <w:szCs w:val="24"/>
          <w:highlight w:val="none"/>
        </w:rPr>
        <w:t>、</w:t>
      </w:r>
      <w:r>
        <w:rPr>
          <w:rFonts w:hint="eastAsia" w:ascii="宋体" w:hAnsi="宋体" w:cs="宋体"/>
          <w:b/>
          <w:color w:val="auto"/>
          <w:kern w:val="0"/>
          <w:sz w:val="24"/>
          <w:szCs w:val="24"/>
          <w:highlight w:val="none"/>
          <w:lang w:eastAsia="zh-CN"/>
        </w:rPr>
        <w:t>服务</w:t>
      </w:r>
      <w:r>
        <w:rPr>
          <w:rFonts w:hint="eastAsia" w:ascii="宋体" w:hAnsi="宋体" w:cs="宋体"/>
          <w:b/>
          <w:color w:val="auto"/>
          <w:kern w:val="0"/>
          <w:sz w:val="24"/>
          <w:szCs w:val="24"/>
          <w:highlight w:val="none"/>
        </w:rPr>
        <w:t>期限：</w:t>
      </w:r>
      <w:bookmarkEnd w:id="53"/>
      <w:r>
        <w:rPr>
          <w:rFonts w:hint="eastAsia" w:ascii="宋体" w:hAnsi="宋体" w:cs="宋体"/>
          <w:color w:val="auto"/>
          <w:sz w:val="24"/>
          <w:szCs w:val="24"/>
        </w:rPr>
        <w:t>本项目合同服务期暂定三年，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预计自2022年11月至2025年 11月</w:t>
      </w:r>
      <w:r>
        <w:rPr>
          <w:rFonts w:hint="eastAsia" w:ascii="宋体" w:hAnsi="宋体" w:cs="宋体"/>
          <w:color w:val="auto"/>
          <w:sz w:val="24"/>
          <w:szCs w:val="24"/>
          <w:lang w:eastAsia="zh-CN"/>
        </w:rPr>
        <w:t>）</w:t>
      </w:r>
      <w:r>
        <w:rPr>
          <w:rFonts w:hint="eastAsia" w:ascii="宋体" w:hAnsi="宋体" w:cs="宋体"/>
          <w:color w:val="auto"/>
          <w:sz w:val="24"/>
          <w:szCs w:val="24"/>
        </w:rPr>
        <w:t>但合同一年一签。如成交供应商在合同期内履约情况优秀（即年度综合考核得分≥90分），则在第一年合同期满时，且采购人、成交供应商双方愿意，成交供应商承诺不增加服务费用的前提下，双方可续签下一年度合同，但最多续签两次。如成交供应商在合同期内年度综合考核得分＜90</w:t>
      </w:r>
      <w:r>
        <w:rPr>
          <w:rFonts w:hint="eastAsia" w:ascii="宋体" w:hAnsi="宋体" w:cs="宋体"/>
          <w:color w:val="auto"/>
          <w:sz w:val="24"/>
          <w:lang w:val="en-US" w:eastAsia="zh-CN"/>
        </w:rPr>
        <w:t>分</w:t>
      </w:r>
      <w:r>
        <w:rPr>
          <w:rFonts w:hint="eastAsia" w:ascii="宋体" w:hAnsi="宋体" w:cs="宋体"/>
          <w:color w:val="auto"/>
          <w:sz w:val="24"/>
          <w:szCs w:val="24"/>
        </w:rPr>
        <w:t>，则采购人不再与成交供应商续签合同。</w:t>
      </w:r>
    </w:p>
    <w:p>
      <w:pPr>
        <w:keepNext w:val="0"/>
        <w:keepLines w:val="0"/>
        <w:pageBreakBefore w:val="0"/>
        <w:widowControl w:val="0"/>
        <w:kinsoku/>
        <w:wordWrap/>
        <w:overflowPunct/>
        <w:topLinePunct w:val="0"/>
        <w:bidi w:val="0"/>
        <w:spacing w:line="360" w:lineRule="auto"/>
        <w:ind w:firstLine="482" w:firstLineChars="200"/>
        <w:textAlignment w:val="auto"/>
        <w:outlineLvl w:val="2"/>
        <w:rPr>
          <w:rFonts w:hint="eastAsia" w:ascii="宋体" w:hAnsi="宋体" w:cs="宋体"/>
          <w:b/>
          <w:color w:val="auto"/>
          <w:sz w:val="24"/>
          <w:szCs w:val="24"/>
          <w:highlight w:val="none"/>
        </w:rPr>
      </w:pPr>
      <w:bookmarkStart w:id="55" w:name="_Toc29193"/>
      <w:r>
        <w:rPr>
          <w:rFonts w:hint="eastAsia" w:ascii="宋体" w:hAnsi="宋体" w:cs="宋体"/>
          <w:b/>
          <w:color w:val="auto"/>
          <w:sz w:val="24"/>
          <w:szCs w:val="24"/>
          <w:highlight w:val="none"/>
          <w:lang w:eastAsia="zh-CN"/>
        </w:rPr>
        <w:t>三</w:t>
      </w:r>
      <w:r>
        <w:rPr>
          <w:rFonts w:hint="eastAsia" w:ascii="宋体" w:hAnsi="宋体" w:cs="宋体"/>
          <w:b/>
          <w:color w:val="auto"/>
          <w:sz w:val="24"/>
          <w:szCs w:val="24"/>
          <w:highlight w:val="none"/>
        </w:rPr>
        <w:t>、配备人数及资格条件</w:t>
      </w:r>
      <w:bookmarkEnd w:id="55"/>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color w:val="auto"/>
          <w:sz w:val="24"/>
          <w:szCs w:val="24"/>
          <w:highlight w:val="none"/>
        </w:rPr>
        <w:t>1.根据国家电力设备运行值班操作规范、制度及</w:t>
      </w:r>
      <w:r>
        <w:rPr>
          <w:rFonts w:hint="eastAsia" w:ascii="宋体" w:hAnsi="宋体" w:cs="宋体"/>
          <w:bCs/>
          <w:color w:val="auto"/>
          <w:sz w:val="24"/>
          <w:szCs w:val="24"/>
          <w:highlight w:val="none"/>
          <w:lang w:eastAsia="zh-CN"/>
        </w:rPr>
        <w:t>甲方</w:t>
      </w:r>
      <w:r>
        <w:rPr>
          <w:rFonts w:hint="eastAsia" w:ascii="宋体" w:hAnsi="宋体" w:cs="宋体"/>
          <w:bCs/>
          <w:color w:val="auto"/>
          <w:sz w:val="24"/>
          <w:szCs w:val="24"/>
          <w:highlight w:val="none"/>
        </w:rPr>
        <w:t>任务范围，</w:t>
      </w:r>
      <w:r>
        <w:rPr>
          <w:rFonts w:hint="eastAsia" w:ascii="宋体" w:hAnsi="宋体" w:cs="宋体"/>
          <w:bCs/>
          <w:color w:val="auto"/>
          <w:sz w:val="24"/>
          <w:szCs w:val="24"/>
          <w:highlight w:val="none"/>
          <w:lang w:eastAsia="zh-CN"/>
        </w:rPr>
        <w:t>乙方</w:t>
      </w:r>
      <w:r>
        <w:rPr>
          <w:rFonts w:hint="eastAsia" w:ascii="宋体" w:hAnsi="宋体" w:cs="宋体"/>
          <w:bCs/>
          <w:color w:val="auto"/>
          <w:sz w:val="24"/>
          <w:szCs w:val="24"/>
          <w:highlight w:val="none"/>
        </w:rPr>
        <w:t>至少指派</w:t>
      </w:r>
      <w:r>
        <w:rPr>
          <w:rFonts w:hint="eastAsia" w:ascii="宋体" w:hAnsi="宋体" w:cs="宋体"/>
          <w:bCs/>
          <w:color w:val="auto"/>
          <w:sz w:val="24"/>
          <w:szCs w:val="24"/>
          <w:highlight w:val="none"/>
          <w:lang w:val="en-US" w:eastAsia="zh-CN"/>
        </w:rPr>
        <w:t>4</w:t>
      </w:r>
      <w:r>
        <w:rPr>
          <w:rFonts w:hint="eastAsia" w:ascii="宋体" w:hAnsi="宋体" w:cs="宋体"/>
          <w:bCs/>
          <w:color w:val="auto"/>
          <w:sz w:val="24"/>
          <w:szCs w:val="24"/>
          <w:highlight w:val="none"/>
        </w:rPr>
        <w:t>名人员实行本服务。（白班不少于</w:t>
      </w:r>
      <w:r>
        <w:rPr>
          <w:rFonts w:hint="eastAsia" w:ascii="宋体" w:hAnsi="宋体" w:cs="宋体"/>
          <w:bCs/>
          <w:color w:val="auto"/>
          <w:sz w:val="24"/>
          <w:szCs w:val="24"/>
          <w:highlight w:val="none"/>
          <w:lang w:val="en-US" w:eastAsia="zh-CN"/>
        </w:rPr>
        <w:t>1</w:t>
      </w:r>
      <w:r>
        <w:rPr>
          <w:rFonts w:hint="eastAsia" w:ascii="宋体" w:hAnsi="宋体" w:cs="宋体"/>
          <w:bCs/>
          <w:color w:val="auto"/>
          <w:sz w:val="24"/>
          <w:szCs w:val="24"/>
          <w:highlight w:val="none"/>
        </w:rPr>
        <w:t>人，</w:t>
      </w:r>
      <w:r>
        <w:rPr>
          <w:rFonts w:hint="eastAsia" w:ascii="宋体" w:hAnsi="宋体" w:cs="宋体"/>
          <w:bCs/>
          <w:color w:val="auto"/>
          <w:sz w:val="24"/>
          <w:szCs w:val="24"/>
          <w:highlight w:val="none"/>
          <w:lang w:eastAsia="zh-CN"/>
        </w:rPr>
        <w:t>中班不少于</w:t>
      </w:r>
      <w:r>
        <w:rPr>
          <w:rFonts w:hint="eastAsia" w:ascii="宋体" w:hAnsi="宋体" w:cs="宋体"/>
          <w:bCs/>
          <w:color w:val="auto"/>
          <w:sz w:val="24"/>
          <w:szCs w:val="24"/>
          <w:highlight w:val="none"/>
          <w:lang w:val="en-US" w:eastAsia="zh-CN"/>
        </w:rPr>
        <w:t>1人，</w:t>
      </w:r>
      <w:r>
        <w:rPr>
          <w:rFonts w:hint="eastAsia" w:ascii="宋体" w:hAnsi="宋体" w:cs="宋体"/>
          <w:bCs/>
          <w:color w:val="auto"/>
          <w:sz w:val="24"/>
          <w:szCs w:val="24"/>
          <w:highlight w:val="none"/>
        </w:rPr>
        <w:t>夜班不少于1人，排班时间内必须在医院现场）具体人员由</w:t>
      </w:r>
      <w:r>
        <w:rPr>
          <w:rFonts w:hint="eastAsia" w:ascii="宋体" w:hAnsi="宋体" w:cs="宋体"/>
          <w:bCs/>
          <w:color w:val="auto"/>
          <w:sz w:val="24"/>
          <w:szCs w:val="24"/>
          <w:highlight w:val="none"/>
          <w:lang w:eastAsia="zh-CN"/>
        </w:rPr>
        <w:t>乙方</w:t>
      </w:r>
      <w:r>
        <w:rPr>
          <w:rFonts w:hint="eastAsia" w:ascii="宋体" w:hAnsi="宋体" w:cs="宋体"/>
          <w:bCs/>
          <w:color w:val="auto"/>
          <w:sz w:val="24"/>
          <w:szCs w:val="24"/>
          <w:highlight w:val="none"/>
        </w:rPr>
        <w:t>安排决定，但</w:t>
      </w:r>
      <w:r>
        <w:rPr>
          <w:rFonts w:hint="eastAsia" w:ascii="宋体" w:hAnsi="宋体" w:cs="宋体"/>
          <w:bCs/>
          <w:color w:val="auto"/>
          <w:sz w:val="24"/>
          <w:szCs w:val="24"/>
          <w:highlight w:val="none"/>
          <w:lang w:eastAsia="zh-CN"/>
        </w:rPr>
        <w:t>乙方</w:t>
      </w:r>
      <w:r>
        <w:rPr>
          <w:rFonts w:hint="eastAsia" w:ascii="宋体" w:hAnsi="宋体" w:cs="宋体"/>
          <w:bCs/>
          <w:color w:val="auto"/>
          <w:sz w:val="24"/>
          <w:szCs w:val="24"/>
          <w:highlight w:val="none"/>
        </w:rPr>
        <w:t>必须在实行本服务前将具体人员名单、相关证件（包括特种作业人员操作证低压值班）复印件及排班表提交给</w:t>
      </w:r>
      <w:r>
        <w:rPr>
          <w:rFonts w:hint="eastAsia" w:ascii="宋体" w:hAnsi="宋体" w:cs="宋体"/>
          <w:bCs/>
          <w:color w:val="auto"/>
          <w:sz w:val="24"/>
          <w:szCs w:val="24"/>
          <w:highlight w:val="none"/>
          <w:lang w:eastAsia="zh-CN"/>
        </w:rPr>
        <w:t>甲</w:t>
      </w:r>
      <w:r>
        <w:rPr>
          <w:rFonts w:hint="eastAsia" w:ascii="宋体" w:hAnsi="宋体" w:cs="宋体"/>
          <w:bCs/>
          <w:sz w:val="24"/>
          <w:szCs w:val="24"/>
          <w:highlight w:val="none"/>
          <w:lang w:eastAsia="zh-CN"/>
        </w:rPr>
        <w:t>方</w:t>
      </w:r>
      <w:r>
        <w:rPr>
          <w:rFonts w:hint="eastAsia" w:ascii="宋体" w:hAnsi="宋体" w:cs="宋体"/>
          <w:bCs/>
          <w:sz w:val="24"/>
          <w:szCs w:val="24"/>
          <w:highlight w:val="none"/>
        </w:rPr>
        <w:t>。</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2.</w:t>
      </w:r>
      <w:r>
        <w:rPr>
          <w:rFonts w:hint="eastAsia" w:ascii="宋体" w:hAnsi="宋体" w:cs="宋体"/>
          <w:bCs/>
          <w:sz w:val="24"/>
          <w:szCs w:val="24"/>
          <w:highlight w:val="none"/>
          <w:lang w:eastAsia="zh-CN"/>
        </w:rPr>
        <w:t>乙方</w:t>
      </w:r>
      <w:r>
        <w:rPr>
          <w:rFonts w:hint="eastAsia" w:ascii="宋体" w:hAnsi="宋体" w:cs="宋体"/>
          <w:bCs/>
          <w:sz w:val="24"/>
          <w:szCs w:val="24"/>
          <w:highlight w:val="none"/>
        </w:rPr>
        <w:t>指派的服务人员必须满足以下条件：</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r>
        <w:rPr>
          <w:rFonts w:hint="eastAsia" w:ascii="宋体" w:hAnsi="宋体" w:cs="宋体"/>
          <w:bCs/>
          <w:color w:val="auto"/>
          <w:sz w:val="24"/>
          <w:szCs w:val="24"/>
          <w:highlight w:val="none"/>
          <w:lang w:eastAsia="zh-CN"/>
        </w:rPr>
        <w:t>乙方</w:t>
      </w:r>
      <w:r>
        <w:rPr>
          <w:rFonts w:hint="eastAsia" w:ascii="宋体" w:hAnsi="宋体" w:cs="宋体"/>
          <w:bCs/>
          <w:color w:val="auto"/>
          <w:sz w:val="24"/>
          <w:szCs w:val="24"/>
          <w:highlight w:val="none"/>
        </w:rPr>
        <w:t>的合同员工；</w:t>
      </w:r>
    </w:p>
    <w:p>
      <w:pPr>
        <w:keepNext w:val="0"/>
        <w:keepLines w:val="0"/>
        <w:pageBreakBefore w:val="0"/>
        <w:widowControl w:val="0"/>
        <w:kinsoku/>
        <w:wordWrap/>
        <w:overflowPunct/>
        <w:topLinePunct w:val="0"/>
        <w:autoSpaceDE w:val="0"/>
        <w:autoSpaceDN w:val="0"/>
        <w:bidi w:val="0"/>
        <w:adjustRightInd w:val="0"/>
        <w:spacing w:line="360" w:lineRule="auto"/>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（2）持有合格有效的特种作业人员操作证；</w:t>
      </w:r>
    </w:p>
    <w:p>
      <w:pPr>
        <w:pStyle w:val="2"/>
        <w:rPr>
          <w:rFonts w:hint="eastAsia"/>
          <w:color w:val="auto"/>
        </w:rPr>
      </w:pPr>
    </w:p>
    <w:bookmarkEnd w:id="54"/>
    <w:tbl>
      <w:tblPr>
        <w:tblStyle w:val="51"/>
        <w:tblpPr w:leftFromText="180" w:rightFromText="180" w:vertAnchor="text" w:horzAnchor="page" w:tblpX="1611" w:tblpY="-9775"/>
        <w:tblOverlap w:val="never"/>
        <w:tblW w:w="9180" w:type="dxa"/>
        <w:tblInd w:w="0" w:type="dxa"/>
        <w:tblLayout w:type="fixed"/>
        <w:tblCellMar>
          <w:top w:w="15" w:type="dxa"/>
          <w:left w:w="15" w:type="dxa"/>
          <w:bottom w:w="15" w:type="dxa"/>
          <w:right w:w="15" w:type="dxa"/>
        </w:tblCellMar>
      </w:tblPr>
      <w:tblGrid>
        <w:gridCol w:w="419"/>
        <w:gridCol w:w="5745"/>
        <w:gridCol w:w="661"/>
        <w:gridCol w:w="539"/>
        <w:gridCol w:w="974"/>
        <w:gridCol w:w="842"/>
      </w:tblGrid>
      <w:tr>
        <w:tblPrEx>
          <w:tblCellMar>
            <w:top w:w="15" w:type="dxa"/>
            <w:left w:w="15" w:type="dxa"/>
            <w:bottom w:w="15" w:type="dxa"/>
            <w:right w:w="15" w:type="dxa"/>
          </w:tblCellMar>
        </w:tblPrEx>
        <w:trPr>
          <w:trHeight w:val="1769" w:hRule="atLeast"/>
        </w:trPr>
        <w:tc>
          <w:tcPr>
            <w:tcW w:w="9180" w:type="dxa"/>
            <w:gridSpan w:val="6"/>
            <w:noWrap w:val="0"/>
            <w:vAlign w:val="bottom"/>
          </w:tcPr>
          <w:p>
            <w:pPr>
              <w:widowControl/>
              <w:textAlignment w:val="bottom"/>
              <w:rPr>
                <w:rFonts w:hint="eastAsia" w:ascii="宋体" w:hAnsi="宋体" w:cs="宋体"/>
                <w:b/>
                <w:color w:val="000000"/>
                <w:kern w:val="0"/>
                <w:sz w:val="28"/>
                <w:szCs w:val="28"/>
                <w:highlight w:val="none"/>
                <w:lang w:bidi="ar"/>
              </w:rPr>
            </w:pPr>
          </w:p>
          <w:p>
            <w:pPr>
              <w:rPr>
                <w:rFonts w:hint="eastAsia" w:ascii="宋体" w:hAnsi="宋体"/>
                <w:b/>
                <w:bCs/>
                <w:sz w:val="24"/>
                <w:szCs w:val="24"/>
                <w:highlight w:val="none"/>
              </w:rPr>
            </w:pPr>
          </w:p>
          <w:p>
            <w:pPr>
              <w:rPr>
                <w:rFonts w:hint="eastAsia" w:ascii="宋体" w:hAnsi="宋体"/>
                <w:b/>
                <w:bCs/>
                <w:sz w:val="24"/>
                <w:szCs w:val="24"/>
                <w:highlight w:val="none"/>
              </w:rPr>
            </w:pPr>
          </w:p>
          <w:p>
            <w:pPr>
              <w:rPr>
                <w:rFonts w:hint="eastAsia" w:ascii="宋体" w:hAnsi="宋体"/>
                <w:b/>
                <w:bCs/>
                <w:sz w:val="24"/>
                <w:szCs w:val="24"/>
                <w:highlight w:val="none"/>
              </w:rPr>
            </w:pPr>
          </w:p>
          <w:p>
            <w:pPr>
              <w:rPr>
                <w:rFonts w:hint="eastAsia" w:ascii="宋体" w:hAnsi="宋体"/>
                <w:b/>
                <w:bCs/>
                <w:sz w:val="24"/>
                <w:szCs w:val="24"/>
                <w:highlight w:val="none"/>
              </w:rPr>
            </w:pPr>
            <w:r>
              <w:rPr>
                <w:rFonts w:hint="eastAsia" w:ascii="宋体" w:hAnsi="宋体"/>
                <w:b/>
                <w:bCs/>
                <w:sz w:val="24"/>
                <w:szCs w:val="24"/>
                <w:highlight w:val="none"/>
              </w:rPr>
              <w:t>四、考核标准：</w:t>
            </w:r>
          </w:p>
          <w:p>
            <w:pPr>
              <w:widowControl/>
              <w:jc w:val="center"/>
              <w:textAlignment w:val="bottom"/>
              <w:rPr>
                <w:rFonts w:hint="eastAsia" w:ascii="宋体" w:hAnsi="宋体" w:cs="宋体"/>
                <w:b/>
                <w:color w:val="000000"/>
                <w:kern w:val="0"/>
                <w:sz w:val="28"/>
                <w:szCs w:val="28"/>
                <w:highlight w:val="none"/>
                <w:lang w:bidi="ar"/>
              </w:rPr>
            </w:pPr>
          </w:p>
          <w:p>
            <w:pPr>
              <w:widowControl/>
              <w:jc w:val="center"/>
              <w:textAlignment w:val="bottom"/>
              <w:rPr>
                <w:rFonts w:hint="eastAsia" w:ascii="宋体" w:hAnsi="宋体" w:cs="宋体"/>
                <w:b/>
                <w:color w:val="000000"/>
                <w:sz w:val="28"/>
                <w:szCs w:val="28"/>
                <w:highlight w:val="none"/>
              </w:rPr>
            </w:pPr>
            <w:r>
              <w:rPr>
                <w:rFonts w:hint="eastAsia" w:ascii="宋体" w:hAnsi="宋体" w:cs="宋体"/>
                <w:b/>
                <w:color w:val="000000"/>
                <w:sz w:val="28"/>
                <w:szCs w:val="28"/>
                <w:highlight w:val="none"/>
                <w:lang w:eastAsia="zh-CN"/>
              </w:rPr>
              <w:t>南通市妇幼保健院低压电气设备设施维护维修服务考核表</w:t>
            </w:r>
          </w:p>
        </w:tc>
      </w:tr>
      <w:tr>
        <w:tblPrEx>
          <w:tblCellMar>
            <w:top w:w="15" w:type="dxa"/>
            <w:left w:w="15" w:type="dxa"/>
            <w:bottom w:w="15" w:type="dxa"/>
            <w:right w:w="15" w:type="dxa"/>
          </w:tblCellMar>
        </w:tblPrEx>
        <w:trPr>
          <w:trHeight w:val="409" w:hRule="atLeast"/>
        </w:trPr>
        <w:tc>
          <w:tcPr>
            <w:tcW w:w="419" w:type="dxa"/>
            <w:noWrap w:val="0"/>
            <w:vAlign w:val="bottom"/>
          </w:tcPr>
          <w:p>
            <w:pPr>
              <w:jc w:val="center"/>
              <w:rPr>
                <w:rFonts w:hint="eastAsia" w:ascii="宋体" w:hAnsi="宋体" w:cs="宋体"/>
                <w:b/>
                <w:color w:val="000000"/>
                <w:sz w:val="18"/>
                <w:szCs w:val="18"/>
                <w:highlight w:val="none"/>
              </w:rPr>
            </w:pPr>
          </w:p>
        </w:tc>
        <w:tc>
          <w:tcPr>
            <w:tcW w:w="5745" w:type="dxa"/>
            <w:noWrap w:val="0"/>
            <w:vAlign w:val="bottom"/>
          </w:tcPr>
          <w:p>
            <w:pPr>
              <w:jc w:val="center"/>
              <w:rPr>
                <w:rFonts w:hint="eastAsia" w:ascii="宋体" w:hAnsi="宋体" w:cs="宋体"/>
                <w:color w:val="000000"/>
                <w:sz w:val="18"/>
                <w:szCs w:val="18"/>
                <w:highlight w:val="none"/>
              </w:rPr>
            </w:pPr>
          </w:p>
        </w:tc>
        <w:tc>
          <w:tcPr>
            <w:tcW w:w="661" w:type="dxa"/>
            <w:noWrap w:val="0"/>
            <w:vAlign w:val="bottom"/>
          </w:tcPr>
          <w:p>
            <w:pPr>
              <w:widowControl/>
              <w:jc w:val="center"/>
              <w:textAlignment w:val="bottom"/>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时间：</w:t>
            </w:r>
          </w:p>
        </w:tc>
        <w:tc>
          <w:tcPr>
            <w:tcW w:w="539" w:type="dxa"/>
            <w:noWrap w:val="0"/>
            <w:vAlign w:val="bottom"/>
          </w:tcPr>
          <w:p>
            <w:pPr>
              <w:jc w:val="center"/>
              <w:rPr>
                <w:rFonts w:hint="eastAsia" w:ascii="宋体" w:hAnsi="宋体" w:cs="宋体"/>
                <w:color w:val="000000"/>
                <w:sz w:val="18"/>
                <w:szCs w:val="18"/>
                <w:highlight w:val="none"/>
              </w:rPr>
            </w:pPr>
          </w:p>
        </w:tc>
        <w:tc>
          <w:tcPr>
            <w:tcW w:w="974" w:type="dxa"/>
            <w:noWrap w:val="0"/>
            <w:vAlign w:val="bottom"/>
          </w:tcPr>
          <w:p>
            <w:pPr>
              <w:widowControl/>
              <w:jc w:val="center"/>
              <w:textAlignment w:val="bottom"/>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总得分：</w:t>
            </w:r>
          </w:p>
        </w:tc>
        <w:tc>
          <w:tcPr>
            <w:tcW w:w="842" w:type="dxa"/>
            <w:noWrap w:val="0"/>
            <w:vAlign w:val="bottom"/>
          </w:tcPr>
          <w:p>
            <w:pPr>
              <w:jc w:val="cente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662"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18"/>
                <w:szCs w:val="18"/>
                <w:highlight w:val="none"/>
              </w:rPr>
            </w:pPr>
            <w:r>
              <w:rPr>
                <w:rFonts w:hint="eastAsia" w:ascii="宋体" w:hAnsi="宋体" w:cs="宋体"/>
                <w:b/>
                <w:color w:val="000000"/>
                <w:kern w:val="0"/>
                <w:sz w:val="18"/>
                <w:szCs w:val="18"/>
                <w:highlight w:val="none"/>
                <w:lang w:bidi="ar"/>
              </w:rPr>
              <w:t>序号</w:t>
            </w:r>
          </w:p>
        </w:tc>
        <w:tc>
          <w:tcPr>
            <w:tcW w:w="57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18"/>
                <w:szCs w:val="18"/>
                <w:highlight w:val="none"/>
              </w:rPr>
            </w:pPr>
            <w:r>
              <w:rPr>
                <w:rFonts w:hint="eastAsia" w:ascii="宋体" w:hAnsi="宋体" w:cs="宋体"/>
                <w:b/>
                <w:color w:val="000000"/>
                <w:kern w:val="0"/>
                <w:sz w:val="18"/>
                <w:szCs w:val="18"/>
                <w:highlight w:val="none"/>
                <w:lang w:bidi="ar"/>
              </w:rPr>
              <w:t>考核标准</w:t>
            </w:r>
          </w:p>
        </w:tc>
        <w:tc>
          <w:tcPr>
            <w:tcW w:w="6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18"/>
                <w:szCs w:val="18"/>
                <w:highlight w:val="none"/>
              </w:rPr>
            </w:pPr>
            <w:r>
              <w:rPr>
                <w:rFonts w:hint="eastAsia" w:ascii="宋体" w:hAnsi="宋体" w:cs="宋体"/>
                <w:b/>
                <w:color w:val="000000"/>
                <w:kern w:val="0"/>
                <w:sz w:val="18"/>
                <w:szCs w:val="18"/>
                <w:highlight w:val="none"/>
                <w:lang w:bidi="ar"/>
              </w:rPr>
              <w:t>考核要求</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18"/>
                <w:szCs w:val="18"/>
                <w:highlight w:val="none"/>
              </w:rPr>
            </w:pPr>
            <w:r>
              <w:rPr>
                <w:rFonts w:hint="eastAsia" w:ascii="宋体" w:hAnsi="宋体" w:cs="宋体"/>
                <w:b/>
                <w:color w:val="000000"/>
                <w:kern w:val="0"/>
                <w:sz w:val="18"/>
                <w:szCs w:val="18"/>
                <w:highlight w:val="none"/>
                <w:lang w:bidi="ar"/>
              </w:rPr>
              <w:t>分值</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18"/>
                <w:szCs w:val="18"/>
                <w:highlight w:val="none"/>
              </w:rPr>
            </w:pPr>
            <w:r>
              <w:rPr>
                <w:rFonts w:hint="eastAsia" w:ascii="宋体" w:hAnsi="宋体" w:cs="宋体"/>
                <w:b/>
                <w:color w:val="000000"/>
                <w:kern w:val="0"/>
                <w:sz w:val="18"/>
                <w:szCs w:val="18"/>
                <w:highlight w:val="none"/>
                <w:lang w:bidi="ar"/>
              </w:rPr>
              <w:t>扣分理由</w:t>
            </w:r>
          </w:p>
        </w:tc>
        <w:tc>
          <w:tcPr>
            <w:tcW w:w="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18"/>
                <w:szCs w:val="18"/>
                <w:highlight w:val="none"/>
              </w:rPr>
            </w:pPr>
            <w:r>
              <w:rPr>
                <w:rFonts w:hint="eastAsia" w:ascii="宋体" w:hAnsi="宋体" w:cs="宋体"/>
                <w:b/>
                <w:color w:val="000000"/>
                <w:kern w:val="0"/>
                <w:sz w:val="18"/>
                <w:szCs w:val="18"/>
                <w:highlight w:val="none"/>
                <w:lang w:bidi="ar"/>
              </w:rPr>
              <w:t>考核得分</w:t>
            </w:r>
          </w:p>
        </w:tc>
      </w:tr>
      <w:tr>
        <w:tblPrEx>
          <w:tblCellMar>
            <w:top w:w="15" w:type="dxa"/>
            <w:left w:w="15" w:type="dxa"/>
            <w:bottom w:w="15" w:type="dxa"/>
            <w:right w:w="15" w:type="dxa"/>
          </w:tblCellMar>
        </w:tblPrEx>
        <w:trPr>
          <w:trHeight w:val="949"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w:t>
            </w:r>
          </w:p>
        </w:tc>
        <w:tc>
          <w:tcPr>
            <w:tcW w:w="57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负责全院电气低压系统（除地下室高配间外）的日常巡视、维护、维修、记录，按要求巡视各科室、各机房、各强电间，空调机房，保证全院用电设施、照明电路、照明器具安全、可靠、正常工作。</w:t>
            </w:r>
          </w:p>
        </w:tc>
        <w:tc>
          <w:tcPr>
            <w:tcW w:w="6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履行合同条款到位</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kern w:val="0"/>
                <w:sz w:val="18"/>
                <w:szCs w:val="18"/>
                <w:highlight w:val="none"/>
                <w:lang w:val="en-US" w:eastAsia="zh-CN" w:bidi="ar"/>
              </w:rPr>
              <w:t>10</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4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1493"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w:t>
            </w:r>
          </w:p>
        </w:tc>
        <w:tc>
          <w:tcPr>
            <w:tcW w:w="57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负责全院热水循环泵、给水循环泵（增压泵）、空调热回收系统水泵、中央空调循环泵、负压吸引、空气压缩机、污水处理系统等所有泵运行状况的巡视、维护、记录，每年加一次润滑油。不运行的泵每月手动一次（集水坑提升泵除外，要求详见：地下室集水坑的日常巡视、报修、记录），并做好记录。</w:t>
            </w:r>
          </w:p>
        </w:tc>
        <w:tc>
          <w:tcPr>
            <w:tcW w:w="6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highlight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kern w:val="0"/>
                <w:sz w:val="18"/>
                <w:szCs w:val="18"/>
                <w:highlight w:val="none"/>
                <w:lang w:val="en-US" w:eastAsia="zh-CN" w:bidi="ar"/>
              </w:rPr>
              <w:t>10</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4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626"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w:t>
            </w:r>
          </w:p>
        </w:tc>
        <w:tc>
          <w:tcPr>
            <w:tcW w:w="57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负责生活热水系统运行状况的巡视、日常维护，保证按医院规定及时供应热水。</w:t>
            </w:r>
          </w:p>
        </w:tc>
        <w:tc>
          <w:tcPr>
            <w:tcW w:w="6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highlight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kern w:val="0"/>
                <w:sz w:val="18"/>
                <w:szCs w:val="18"/>
                <w:highlight w:val="none"/>
                <w:lang w:val="en-US" w:eastAsia="zh-CN" w:bidi="ar"/>
              </w:rPr>
              <w:t>10</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4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606"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4</w:t>
            </w:r>
          </w:p>
        </w:tc>
        <w:tc>
          <w:tcPr>
            <w:tcW w:w="57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负责各类巡视本、维修记录本的登记、记录。</w:t>
            </w:r>
          </w:p>
        </w:tc>
        <w:tc>
          <w:tcPr>
            <w:tcW w:w="6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highlight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10</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4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626"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5</w:t>
            </w:r>
          </w:p>
        </w:tc>
        <w:tc>
          <w:tcPr>
            <w:tcW w:w="57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负责非正常上班时间段水管爆裂等供水故障的紧急处理及报修；负责完成保洁不在班期间的部分工作（马桶疏通）。</w:t>
            </w:r>
          </w:p>
        </w:tc>
        <w:tc>
          <w:tcPr>
            <w:tcW w:w="6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highlight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kern w:val="0"/>
                <w:sz w:val="18"/>
                <w:szCs w:val="18"/>
                <w:highlight w:val="none"/>
                <w:lang w:val="en-US" w:eastAsia="zh-CN" w:bidi="ar"/>
              </w:rPr>
              <w:t>10</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4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626"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6</w:t>
            </w:r>
          </w:p>
        </w:tc>
        <w:tc>
          <w:tcPr>
            <w:tcW w:w="57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做好与报修科室、部门（病区包括病人及家属）的沟通，文明用语，不得发生争执。</w:t>
            </w:r>
          </w:p>
        </w:tc>
        <w:tc>
          <w:tcPr>
            <w:tcW w:w="6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highlight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10</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4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532"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7</w:t>
            </w:r>
          </w:p>
        </w:tc>
        <w:tc>
          <w:tcPr>
            <w:tcW w:w="57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各工种应协同工作不推诿、不拒绝。</w:t>
            </w:r>
          </w:p>
        </w:tc>
        <w:tc>
          <w:tcPr>
            <w:tcW w:w="6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违反规定，一旦查实，视情况扣分。</w:t>
            </w: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highlight w:val="none"/>
                <w:lang w:eastAsia="zh-CN"/>
              </w:rPr>
            </w:pPr>
            <w:r>
              <w:rPr>
                <w:rFonts w:hint="eastAsia" w:ascii="宋体" w:hAnsi="宋体" w:cs="宋体"/>
                <w:color w:val="000000"/>
                <w:kern w:val="0"/>
                <w:sz w:val="18"/>
                <w:szCs w:val="18"/>
                <w:highlight w:val="none"/>
                <w:lang w:val="en-US" w:eastAsia="zh-CN" w:bidi="ar"/>
              </w:rPr>
              <w:t>8</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4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532"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8</w:t>
            </w:r>
          </w:p>
        </w:tc>
        <w:tc>
          <w:tcPr>
            <w:tcW w:w="57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值班室无人且无特殊不接电话的。</w:t>
            </w:r>
          </w:p>
        </w:tc>
        <w:tc>
          <w:tcPr>
            <w:tcW w:w="6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highlight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4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532"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9</w:t>
            </w:r>
          </w:p>
        </w:tc>
        <w:tc>
          <w:tcPr>
            <w:tcW w:w="57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安排维修项目，无特殊情况不能及时完成的。</w:t>
            </w:r>
          </w:p>
        </w:tc>
        <w:tc>
          <w:tcPr>
            <w:tcW w:w="6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highlight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4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532"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10</w:t>
            </w:r>
          </w:p>
        </w:tc>
        <w:tc>
          <w:tcPr>
            <w:tcW w:w="57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白天值班、聊天、睡觉；无特殊空岗、离岗。</w:t>
            </w:r>
          </w:p>
        </w:tc>
        <w:tc>
          <w:tcPr>
            <w:tcW w:w="6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highlight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4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532"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11</w:t>
            </w:r>
          </w:p>
        </w:tc>
        <w:tc>
          <w:tcPr>
            <w:tcW w:w="57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按要求完成简单水电故障排查、维修。</w:t>
            </w:r>
          </w:p>
        </w:tc>
        <w:tc>
          <w:tcPr>
            <w:tcW w:w="6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highlight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4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532"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12</w:t>
            </w:r>
          </w:p>
        </w:tc>
        <w:tc>
          <w:tcPr>
            <w:tcW w:w="57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未按规定巡视且发现问题不处理或不汇报的。</w:t>
            </w:r>
          </w:p>
        </w:tc>
        <w:tc>
          <w:tcPr>
            <w:tcW w:w="6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highlight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highlight w:val="none"/>
                <w:lang w:eastAsia="zh-CN"/>
              </w:rPr>
            </w:pPr>
            <w:r>
              <w:rPr>
                <w:rFonts w:hint="eastAsia" w:ascii="宋体" w:hAnsi="宋体" w:cs="宋体"/>
                <w:color w:val="000000"/>
                <w:kern w:val="0"/>
                <w:sz w:val="18"/>
                <w:szCs w:val="18"/>
                <w:highlight w:val="none"/>
                <w:lang w:val="en-US" w:eastAsia="zh-CN" w:bidi="ar"/>
              </w:rPr>
              <w:t>8</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4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532"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13</w:t>
            </w:r>
          </w:p>
        </w:tc>
        <w:tc>
          <w:tcPr>
            <w:tcW w:w="57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未经领导批准擅作主张或随意听从使用部门要求造成医院管理失控的。</w:t>
            </w:r>
          </w:p>
        </w:tc>
        <w:tc>
          <w:tcPr>
            <w:tcW w:w="6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highlight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4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r>
      <w:tr>
        <w:tblPrEx>
          <w:tblCellMar>
            <w:top w:w="15" w:type="dxa"/>
            <w:left w:w="15" w:type="dxa"/>
            <w:bottom w:w="15" w:type="dxa"/>
            <w:right w:w="15" w:type="dxa"/>
          </w:tblCellMar>
        </w:tblPrEx>
        <w:trPr>
          <w:trHeight w:val="544"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14</w:t>
            </w:r>
          </w:p>
        </w:tc>
        <w:tc>
          <w:tcPr>
            <w:tcW w:w="574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其他不履行合同的部分。</w:t>
            </w:r>
          </w:p>
        </w:tc>
        <w:tc>
          <w:tcPr>
            <w:tcW w:w="66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highlight w:val="none"/>
              </w:rPr>
            </w:pPr>
          </w:p>
        </w:tc>
        <w:tc>
          <w:tcPr>
            <w:tcW w:w="5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974"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42"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r>
    </w:tbl>
    <w:p>
      <w:pPr>
        <w:spacing w:line="460" w:lineRule="exact"/>
        <w:rPr>
          <w:rFonts w:ascii="宋体" w:hAnsi="宋体" w:cs="宋体"/>
          <w:b/>
          <w:bCs/>
          <w:w w:val="80"/>
          <w:sz w:val="44"/>
          <w:szCs w:val="44"/>
        </w:rPr>
      </w:pPr>
      <w:r>
        <w:rPr>
          <w:rFonts w:hint="eastAsia" w:ascii="宋体" w:hAnsi="宋体"/>
          <w:b/>
          <w:bCs/>
          <w:sz w:val="24"/>
          <w:szCs w:val="24"/>
          <w:highlight w:val="none"/>
        </w:rPr>
        <w:br w:type="page"/>
      </w:r>
    </w:p>
    <w:p>
      <w:pPr>
        <w:pStyle w:val="60"/>
        <w:sectPr>
          <w:pgSz w:w="11906" w:h="16838"/>
          <w:pgMar w:top="1440" w:right="1361" w:bottom="1440" w:left="1361" w:header="851" w:footer="992" w:gutter="0"/>
          <w:cols w:space="720" w:num="1"/>
          <w:docGrid w:type="lines" w:linePitch="312" w:charSpace="0"/>
        </w:sectPr>
      </w:pPr>
    </w:p>
    <w:p>
      <w:pPr>
        <w:spacing w:line="460" w:lineRule="exact"/>
        <w:jc w:val="center"/>
        <w:rPr>
          <w:rFonts w:ascii="宋体"/>
          <w:kern w:val="0"/>
          <w:sz w:val="32"/>
          <w:szCs w:val="32"/>
        </w:rPr>
      </w:pPr>
      <w:r>
        <w:rPr>
          <w:rFonts w:hint="eastAsia" w:ascii="宋体" w:hAnsi="宋体" w:cs="宋体"/>
          <w:b/>
          <w:bCs/>
          <w:w w:val="80"/>
          <w:sz w:val="44"/>
          <w:szCs w:val="44"/>
        </w:rPr>
        <w:t>第四章</w:t>
      </w:r>
      <w:bookmarkEnd w:id="33"/>
      <w:bookmarkEnd w:id="34"/>
      <w:bookmarkEnd w:id="35"/>
      <w:bookmarkEnd w:id="36"/>
      <w:bookmarkEnd w:id="37"/>
      <w:bookmarkEnd w:id="38"/>
      <w:bookmarkEnd w:id="39"/>
      <w:bookmarkEnd w:id="40"/>
      <w:bookmarkEnd w:id="41"/>
      <w:bookmarkEnd w:id="42"/>
      <w:bookmarkEnd w:id="43"/>
      <w:bookmarkStart w:id="56" w:name="_Toc85627670"/>
      <w:bookmarkStart w:id="57" w:name="_Toc182848996"/>
      <w:bookmarkStart w:id="58" w:name="_Toc43217893"/>
      <w:bookmarkStart w:id="59" w:name="_Toc37322565"/>
      <w:bookmarkStart w:id="60" w:name="_Toc38121794"/>
      <w:bookmarkStart w:id="61" w:name="_Toc11554642"/>
      <w:bookmarkStart w:id="62" w:name="_Toc12670506"/>
      <w:bookmarkStart w:id="63" w:name="_Toc94544873"/>
      <w:bookmarkStart w:id="64" w:name="_Toc11500283"/>
      <w:bookmarkStart w:id="65" w:name="_Toc8895742"/>
      <w:bookmarkStart w:id="66" w:name="_Toc13803484"/>
      <w:bookmarkStart w:id="67" w:name="_Toc94544747"/>
      <w:bookmarkStart w:id="68" w:name="_Toc11499587"/>
      <w:r>
        <w:rPr>
          <w:rFonts w:hint="eastAsia" w:ascii="宋体" w:hAnsi="宋体" w:cs="宋体"/>
          <w:b/>
          <w:bCs/>
          <w:w w:val="80"/>
          <w:sz w:val="44"/>
          <w:szCs w:val="44"/>
        </w:rPr>
        <w:t xml:space="preserve">  评审方法和程序</w:t>
      </w:r>
      <w:bookmarkEnd w:id="44"/>
    </w:p>
    <w:bookmarkEnd w:id="56"/>
    <w:bookmarkEnd w:id="57"/>
    <w:bookmarkEnd w:id="58"/>
    <w:bookmarkEnd w:id="59"/>
    <w:bookmarkEnd w:id="60"/>
    <w:p>
      <w:pPr>
        <w:snapToGrid w:val="0"/>
        <w:spacing w:line="480" w:lineRule="exact"/>
        <w:ind w:firstLine="482" w:firstLineChars="200"/>
        <w:outlineLvl w:val="1"/>
        <w:rPr>
          <w:rFonts w:ascii="宋体"/>
          <w:b/>
          <w:bCs/>
          <w:sz w:val="24"/>
          <w:szCs w:val="24"/>
        </w:rPr>
      </w:pPr>
      <w:bookmarkStart w:id="69" w:name="_Toc363573857"/>
      <w:bookmarkEnd w:id="69"/>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一、代理机构组织磋商</w:t>
      </w:r>
    </w:p>
    <w:p>
      <w:pPr>
        <w:snapToGrid w:val="0"/>
        <w:spacing w:line="360" w:lineRule="auto"/>
        <w:ind w:firstLine="480"/>
        <w:rPr>
          <w:rFonts w:hint="eastAsia" w:ascii="宋体"/>
          <w:sz w:val="24"/>
          <w:szCs w:val="24"/>
        </w:rPr>
      </w:pPr>
      <w:r>
        <w:rPr>
          <w:rFonts w:ascii="宋体" w:hAnsi="宋体" w:cs="宋体"/>
          <w:sz w:val="24"/>
          <w:szCs w:val="24"/>
        </w:rPr>
        <w:t>1</w:t>
      </w:r>
      <w:r>
        <w:rPr>
          <w:rFonts w:hint="eastAsia" w:ascii="宋体" w:hAnsi="宋体" w:cs="宋体"/>
          <w:sz w:val="24"/>
          <w:szCs w:val="24"/>
        </w:rPr>
        <w:t>、本次竞争性磋商依据《中华人民共和国政府采购法》、《政府采购竞争性磋商采购方式管理暂行办法》及有关法规成立磋商小组。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、磋商小组的职责：</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并建议将其列入政府采购黑名单。</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、评审有关记录由磋商小组成员签名，存档备查。</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、供应商的法定代表人或被授权人须持身份证准时参加磋商开标会。</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二、磋商的原则及方法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、除非在磋商中磋商小组对采购人需求内容作了调整增加，或对采购内容作了实质性变更，否则</w:t>
      </w:r>
      <w:r>
        <w:rPr>
          <w:rFonts w:hint="eastAsia" w:ascii="宋体" w:hAnsi="宋体" w:cs="宋体"/>
          <w:b/>
          <w:bCs/>
          <w:sz w:val="24"/>
          <w:szCs w:val="24"/>
        </w:rPr>
        <w:t>采购人不接受供应商高于自己前一轮的磋商报价</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1</w:t>
      </w:r>
      <w:r>
        <w:rPr>
          <w:rFonts w:ascii="宋体" w:cs="宋体"/>
          <w:sz w:val="24"/>
          <w:szCs w:val="24"/>
        </w:rPr>
        <w:t>0</w:t>
      </w:r>
      <w:r>
        <w:rPr>
          <w:rFonts w:hint="eastAsia" w:ascii="宋体" w:hAnsi="宋体" w:cs="宋体"/>
          <w:sz w:val="24"/>
          <w:szCs w:val="24"/>
        </w:rPr>
        <w:t>、对于在磋商顺利开始后至最终报价前，根据磋商情况退出磋商的供应商，须以书面形式说明退出磋商的原因，经磋商小组同意可以退出磋商。</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、在磋商中，磋商的任何一方不得透露与磋商有关的其他响应磋商的供应商的技术资料、价格及其他信息。</w:t>
      </w:r>
    </w:p>
    <w:p>
      <w:pPr>
        <w:snapToGrid w:val="0"/>
        <w:spacing w:line="360" w:lineRule="auto"/>
        <w:ind w:firstLine="480" w:firstLineChars="200"/>
        <w:rPr>
          <w:rFonts w:ascii="宋体"/>
          <w:sz w:val="24"/>
          <w:szCs w:val="24"/>
        </w:rPr>
      </w:pPr>
      <w:r>
        <w:rPr>
          <w:rFonts w:ascii="宋体" w:hAnsi="宋体" w:cs="宋体"/>
          <w:sz w:val="24"/>
          <w:szCs w:val="24"/>
        </w:rPr>
        <w:t>12</w:t>
      </w:r>
      <w:r>
        <w:rPr>
          <w:rFonts w:hint="eastAsia" w:ascii="宋体" w:hAnsi="宋体" w:cs="宋体"/>
          <w:sz w:val="24"/>
          <w:szCs w:val="24"/>
        </w:rPr>
        <w:t>、凡两家或以上公司同一法人代表或其中一家公司为另一家公司单一最大股东的，不能同时参与同一采购项目相同标段的磋商采购活动，一经发现，将视同串标处理。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0" w:firstLineChars="200"/>
        <w:rPr>
          <w:rFonts w:hint="eastAsia" w:ascii="宋体" w:hAnsi="宋体" w:cs="宋体"/>
          <w:b/>
          <w:bCs/>
          <w:sz w:val="24"/>
          <w:szCs w:val="24"/>
        </w:rPr>
      </w:pPr>
      <w:r>
        <w:rPr>
          <w:rFonts w:ascii="宋体" w:hAnsi="宋体" w:cs="宋体"/>
          <w:sz w:val="24"/>
          <w:szCs w:val="24"/>
        </w:rPr>
        <w:t>13</w:t>
      </w:r>
      <w:r>
        <w:rPr>
          <w:rFonts w:hint="eastAsia" w:ascii="宋体" w:hAnsi="宋体" w:cs="宋体"/>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snapToGrid w:val="0"/>
        <w:spacing w:line="360" w:lineRule="auto"/>
        <w:ind w:firstLine="482" w:firstLineChars="200"/>
        <w:rPr>
          <w:rFonts w:ascii="宋体"/>
          <w:b/>
          <w:bCs/>
          <w:sz w:val="24"/>
          <w:szCs w:val="24"/>
        </w:rPr>
      </w:pPr>
      <w:r>
        <w:rPr>
          <w:rFonts w:hint="eastAsia" w:ascii="宋体" w:hAnsi="宋体" w:cs="宋体"/>
          <w:b/>
          <w:bCs/>
          <w:sz w:val="24"/>
          <w:szCs w:val="24"/>
        </w:rPr>
        <w:t>三、评估步骤</w:t>
      </w:r>
    </w:p>
    <w:p>
      <w:pPr>
        <w:snapToGrid w:val="0"/>
        <w:spacing w:line="360" w:lineRule="auto"/>
        <w:ind w:firstLine="482" w:firstLineChars="200"/>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、评审步骤规定：</w:t>
      </w:r>
    </w:p>
    <w:p>
      <w:pPr>
        <w:snapToGrid w:val="0"/>
        <w:spacing w:line="360" w:lineRule="auto"/>
        <w:ind w:firstLine="482" w:firstLineChars="200"/>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评估</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第三阶段：以供应商价格标文件内的</w:t>
      </w:r>
      <w:r>
        <w:rPr>
          <w:rFonts w:hint="eastAsia" w:ascii="宋体" w:hAnsi="宋体" w:cs="宋体"/>
          <w:sz w:val="24"/>
          <w:szCs w:val="24"/>
        </w:rPr>
        <w:t>竞争性磋商</w:t>
      </w:r>
      <w:r>
        <w:rPr>
          <w:rFonts w:hint="eastAsia" w:ascii="宋体" w:hAnsi="宋体" w:cs="宋体"/>
          <w:sz w:val="24"/>
          <w:szCs w:val="24"/>
          <w:lang w:val="zh-CN"/>
        </w:rPr>
        <w:t>报价（即首次报价）为基础，</w:t>
      </w:r>
      <w:r>
        <w:rPr>
          <w:rFonts w:hint="eastAsia" w:ascii="宋体" w:hAnsi="宋体" w:cs="宋体"/>
          <w:sz w:val="24"/>
          <w:szCs w:val="24"/>
        </w:rPr>
        <w:t>磋商小组与</w:t>
      </w:r>
      <w:r>
        <w:rPr>
          <w:rFonts w:hint="eastAsia" w:ascii="宋体" w:hAnsi="宋体" w:cs="宋体"/>
          <w:sz w:val="24"/>
          <w:szCs w:val="24"/>
          <w:lang w:val="zh-CN"/>
        </w:rPr>
        <w:t>供应商单一分别进行</w:t>
      </w:r>
      <w:r>
        <w:rPr>
          <w:rFonts w:hint="eastAsia" w:ascii="宋体" w:hAnsi="宋体" w:cs="宋体"/>
          <w:sz w:val="24"/>
          <w:szCs w:val="24"/>
        </w:rPr>
        <w:t>磋商</w:t>
      </w:r>
      <w:r>
        <w:rPr>
          <w:rFonts w:hint="eastAsia" w:ascii="宋体" w:hAnsi="宋体" w:cs="宋体"/>
          <w:sz w:val="24"/>
          <w:szCs w:val="24"/>
          <w:lang w:val="zh-CN"/>
        </w:rPr>
        <w:t>：内容主要是对</w:t>
      </w:r>
      <w:r>
        <w:rPr>
          <w:rFonts w:hint="eastAsia" w:ascii="宋体" w:hAnsi="宋体" w:cs="宋体"/>
          <w:sz w:val="24"/>
          <w:szCs w:val="24"/>
        </w:rPr>
        <w:t>竞争性磋商</w:t>
      </w:r>
      <w:r>
        <w:rPr>
          <w:rFonts w:hint="eastAsia" w:ascii="宋体" w:hAnsi="宋体" w:cs="宋体"/>
          <w:sz w:val="24"/>
          <w:szCs w:val="24"/>
          <w:lang w:val="zh-CN"/>
        </w:rPr>
        <w:t>响应文件中的项目方案的澄清、修正、补充、确认以及价格调整等。如</w:t>
      </w:r>
      <w:r>
        <w:rPr>
          <w:rFonts w:hint="eastAsia" w:ascii="宋体" w:hAnsi="宋体" w:cs="宋体"/>
          <w:sz w:val="24"/>
          <w:szCs w:val="24"/>
        </w:rPr>
        <w:t>磋商</w:t>
      </w:r>
      <w:r>
        <w:rPr>
          <w:rFonts w:hint="eastAsia" w:ascii="宋体" w:hAnsi="宋体" w:cs="宋体"/>
          <w:sz w:val="24"/>
          <w:szCs w:val="24"/>
          <w:lang w:val="zh-CN"/>
        </w:rPr>
        <w:t>内容导致</w:t>
      </w:r>
      <w:r>
        <w:rPr>
          <w:rFonts w:hint="eastAsia" w:ascii="宋体" w:hAnsi="宋体" w:cs="宋体"/>
          <w:sz w:val="24"/>
          <w:szCs w:val="24"/>
        </w:rPr>
        <w:t>竞争性磋商</w:t>
      </w:r>
      <w:r>
        <w:rPr>
          <w:rFonts w:hint="eastAsia" w:ascii="宋体" w:hAnsi="宋体" w:cs="宋体"/>
          <w:sz w:val="24"/>
          <w:szCs w:val="24"/>
          <w:lang w:val="zh-CN"/>
        </w:rPr>
        <w:t>文件有实质性变动的，</w:t>
      </w:r>
      <w:r>
        <w:rPr>
          <w:rFonts w:hint="eastAsia" w:ascii="宋体" w:hAnsi="宋体" w:cs="宋体"/>
          <w:sz w:val="24"/>
          <w:szCs w:val="24"/>
        </w:rPr>
        <w:t>磋商小组</w:t>
      </w:r>
      <w:r>
        <w:rPr>
          <w:rFonts w:hint="eastAsia" w:ascii="宋体" w:hAnsi="宋体" w:cs="宋体"/>
          <w:sz w:val="24"/>
          <w:szCs w:val="24"/>
          <w:lang w:val="zh-CN"/>
        </w:rPr>
        <w:t>应当以书面形式通知所有供应商。</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第四阶段：单一分别</w:t>
      </w:r>
      <w:r>
        <w:rPr>
          <w:rFonts w:hint="eastAsia" w:ascii="宋体" w:hAnsi="宋体" w:cs="宋体"/>
          <w:sz w:val="24"/>
          <w:szCs w:val="24"/>
        </w:rPr>
        <w:t>磋商</w:t>
      </w:r>
      <w:r>
        <w:rPr>
          <w:rFonts w:hint="eastAsia" w:ascii="宋体" w:hAnsi="宋体" w:cs="宋体"/>
          <w:sz w:val="24"/>
          <w:szCs w:val="24"/>
          <w:lang w:val="zh-CN"/>
        </w:rPr>
        <w:t>结束后，</w:t>
      </w:r>
      <w:r>
        <w:rPr>
          <w:rFonts w:hint="eastAsia" w:ascii="宋体" w:hAnsi="宋体" w:cs="宋体"/>
          <w:sz w:val="24"/>
          <w:szCs w:val="24"/>
        </w:rPr>
        <w:t>磋商小组</w:t>
      </w:r>
      <w:r>
        <w:rPr>
          <w:rFonts w:hint="eastAsia" w:ascii="宋体" w:hAnsi="宋体" w:cs="宋体"/>
          <w:sz w:val="24"/>
          <w:szCs w:val="24"/>
          <w:lang w:val="zh-CN"/>
        </w:rPr>
        <w:t>告知所有供应商的项目二次（最终）报价，并要求所有作出实质性响应的有效供应商在规定的时间内，在</w:t>
      </w:r>
      <w:r>
        <w:rPr>
          <w:rFonts w:hint="eastAsia" w:ascii="宋体" w:hAnsi="宋体" w:cs="宋体"/>
          <w:sz w:val="24"/>
          <w:szCs w:val="24"/>
        </w:rPr>
        <w:t>磋商</w:t>
      </w:r>
      <w:r>
        <w:rPr>
          <w:rFonts w:hint="eastAsia" w:ascii="宋体" w:hAnsi="宋体" w:cs="宋体"/>
          <w:sz w:val="24"/>
          <w:szCs w:val="24"/>
          <w:lang w:val="zh-CN"/>
        </w:rPr>
        <w:t>现场集体给出最终报价，同时最终报价中可包括但不限于如最终澄清方案、有关优惠承诺等。</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第五阶段：</w:t>
      </w:r>
      <w:r>
        <w:rPr>
          <w:rFonts w:hint="eastAsia" w:ascii="宋体" w:hAnsi="宋体" w:cs="宋体"/>
          <w:sz w:val="24"/>
          <w:szCs w:val="24"/>
        </w:rPr>
        <w:t>磋商小组</w:t>
      </w:r>
      <w:r>
        <w:rPr>
          <w:rFonts w:hint="eastAsia" w:ascii="宋体" w:hAnsi="宋体" w:cs="宋体"/>
          <w:sz w:val="24"/>
          <w:szCs w:val="24"/>
          <w:lang w:val="zh-CN"/>
        </w:rPr>
        <w:t>对供应商的最终报价进行评议和比较，在实质性响应</w:t>
      </w:r>
      <w:r>
        <w:rPr>
          <w:rFonts w:hint="eastAsia" w:ascii="宋体" w:hAnsi="宋体" w:cs="宋体"/>
          <w:sz w:val="24"/>
          <w:szCs w:val="24"/>
        </w:rPr>
        <w:t>竞争性磋商</w:t>
      </w:r>
      <w:r>
        <w:rPr>
          <w:rFonts w:hint="eastAsia" w:ascii="宋体" w:hAnsi="宋体" w:cs="宋体"/>
          <w:sz w:val="24"/>
          <w:szCs w:val="24"/>
          <w:lang w:val="zh-CN"/>
        </w:rPr>
        <w:t>文件，技术标和价格标部分都能满足</w:t>
      </w:r>
      <w:r>
        <w:rPr>
          <w:rFonts w:hint="eastAsia" w:ascii="宋体" w:hAnsi="宋体" w:cs="宋体"/>
          <w:sz w:val="24"/>
          <w:szCs w:val="24"/>
        </w:rPr>
        <w:t>竞争性磋商</w:t>
      </w:r>
      <w:r>
        <w:rPr>
          <w:rFonts w:hint="eastAsia" w:ascii="宋体" w:hAnsi="宋体" w:cs="宋体"/>
          <w:sz w:val="24"/>
          <w:szCs w:val="24"/>
          <w:lang w:val="zh-CN"/>
        </w:rPr>
        <w:t>文件的前提下，</w:t>
      </w:r>
      <w:r>
        <w:rPr>
          <w:rFonts w:hint="eastAsia" w:ascii="宋体" w:hAnsi="宋体" w:cs="宋体"/>
          <w:sz w:val="24"/>
          <w:szCs w:val="24"/>
        </w:rPr>
        <w:t>磋商小组</w:t>
      </w:r>
      <w:r>
        <w:rPr>
          <w:rFonts w:hint="eastAsia" w:ascii="宋体" w:hAnsi="宋体" w:cs="宋体"/>
          <w:sz w:val="24"/>
          <w:szCs w:val="24"/>
          <w:lang w:val="zh-CN"/>
        </w:rPr>
        <w:t>将校核后的各供应商的报价从低到高排序（</w:t>
      </w:r>
      <w:r>
        <w:rPr>
          <w:rFonts w:hint="eastAsia" w:ascii="宋体" w:hAnsi="宋体" w:cs="宋体"/>
          <w:sz w:val="24"/>
          <w:szCs w:val="24"/>
        </w:rPr>
        <w:t>明显低于成本的，且供应商不能合理说明或者不能提供相关证明材料的报价除外）</w:t>
      </w:r>
      <w:r>
        <w:rPr>
          <w:rFonts w:hint="eastAsia" w:ascii="宋体" w:hAnsi="宋体" w:cs="宋体"/>
          <w:sz w:val="24"/>
          <w:szCs w:val="24"/>
          <w:lang w:val="zh-CN"/>
        </w:rPr>
        <w:t>。</w:t>
      </w:r>
    </w:p>
    <w:p>
      <w:pPr>
        <w:snapToGrid w:val="0"/>
        <w:spacing w:line="360" w:lineRule="auto"/>
        <w:ind w:firstLine="480" w:firstLineChars="200"/>
        <w:rPr>
          <w:rFonts w:ascii="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四、磋商评定结果的方法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bCs/>
          <w:sz w:val="24"/>
          <w:szCs w:val="24"/>
          <w:u w:val="single"/>
        </w:rPr>
        <w:t>经磋商确定最终采购需求和提交最后报价的供应商后，</w:t>
      </w:r>
      <w:r>
        <w:rPr>
          <w:rFonts w:hint="eastAsia" w:ascii="宋体" w:hAnsi="宋体" w:cs="宋体"/>
          <w:sz w:val="24"/>
          <w:szCs w:val="24"/>
        </w:rPr>
        <w:t>由磋商小组采用综合评分法</w:t>
      </w:r>
      <w:r>
        <w:rPr>
          <w:rFonts w:hint="eastAsia" w:ascii="宋体" w:hAnsi="宋体" w:cs="宋体"/>
          <w:b/>
          <w:bCs/>
          <w:sz w:val="24"/>
          <w:szCs w:val="24"/>
          <w:u w:val="single"/>
        </w:rPr>
        <w:t>对提交最后报价的供应商的响应文件和最后报价</w:t>
      </w:r>
      <w:r>
        <w:rPr>
          <w:rFonts w:hint="eastAsia" w:ascii="宋体" w:hAnsi="宋体" w:cs="宋体"/>
          <w:sz w:val="24"/>
          <w:szCs w:val="24"/>
        </w:rPr>
        <w:t>进行综合评分。</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、评估时，磋商小组各成员应当独立对每个有效响应的文件进行评价、打分，然后汇总每个供应商每项评分因素的得分（计算结果均四舍五入保留两位小数）。</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、本次项目磋商的技术</w:t>
      </w:r>
      <w:r>
        <w:rPr>
          <w:rFonts w:hint="eastAsia" w:ascii="宋体" w:hAnsi="宋体" w:cs="宋体"/>
          <w:kern w:val="0"/>
          <w:sz w:val="24"/>
          <w:szCs w:val="24"/>
        </w:rPr>
        <w:t>响应文件</w:t>
      </w:r>
      <w:r>
        <w:rPr>
          <w:rFonts w:hint="eastAsia" w:ascii="宋体" w:hAnsi="宋体" w:cs="宋体"/>
          <w:sz w:val="24"/>
          <w:szCs w:val="24"/>
        </w:rPr>
        <w:t>和商务报价</w:t>
      </w:r>
      <w:r>
        <w:rPr>
          <w:rFonts w:hint="eastAsia" w:ascii="宋体" w:hAnsi="宋体" w:cs="宋体"/>
          <w:kern w:val="0"/>
          <w:sz w:val="24"/>
          <w:szCs w:val="24"/>
        </w:rPr>
        <w:t>响应文件</w:t>
      </w:r>
      <w:r>
        <w:rPr>
          <w:rFonts w:hint="eastAsia" w:ascii="宋体" w:hAnsi="宋体" w:cs="宋体"/>
          <w:sz w:val="24"/>
          <w:szCs w:val="24"/>
        </w:rPr>
        <w:t>评估总分值为</w:t>
      </w:r>
      <w:r>
        <w:rPr>
          <w:rFonts w:ascii="宋体" w:hAnsi="宋体" w:cs="宋体"/>
          <w:sz w:val="24"/>
          <w:szCs w:val="24"/>
        </w:rPr>
        <w:t>100</w:t>
      </w:r>
      <w:r>
        <w:rPr>
          <w:rFonts w:hint="eastAsia" w:ascii="宋体" w:hAnsi="宋体" w:cs="宋体"/>
          <w:sz w:val="24"/>
          <w:szCs w:val="24"/>
        </w:rPr>
        <w:t>分。两部分评估因素比重如下：</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技术响应文件分值占总分值的比重为</w:t>
      </w:r>
      <w:r>
        <w:rPr>
          <w:rFonts w:hint="eastAsia" w:ascii="宋体" w:hAnsi="宋体" w:cs="宋体"/>
          <w:kern w:val="0"/>
          <w:sz w:val="24"/>
          <w:szCs w:val="24"/>
          <w:u w:val="single"/>
          <w:lang w:val="en-US" w:eastAsia="zh-CN"/>
        </w:rPr>
        <w:t>70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商务报价响应文件分值占总分值的比重为</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30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dstrike/>
          <w:sz w:val="24"/>
          <w:szCs w:val="24"/>
        </w:rPr>
      </w:pPr>
      <w:r>
        <w:rPr>
          <w:rFonts w:ascii="宋体" w:hAnsi="宋体" w:cs="宋体"/>
          <w:sz w:val="24"/>
          <w:szCs w:val="24"/>
        </w:rPr>
        <w:t>4</w:t>
      </w:r>
      <w:r>
        <w:rPr>
          <w:rFonts w:hint="eastAsia" w:ascii="宋体" w:hAnsi="宋体" w:cs="宋体"/>
          <w:sz w:val="24"/>
          <w:szCs w:val="24"/>
        </w:rPr>
        <w:t>、技术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p>
    <w:p>
      <w:pPr>
        <w:snapToGrid w:val="0"/>
        <w:spacing w:line="360" w:lineRule="auto"/>
        <w:ind w:firstLine="480" w:firstLineChars="200"/>
      </w:pPr>
      <w:r>
        <w:rPr>
          <w:rFonts w:ascii="宋体" w:hAnsi="宋体" w:cs="宋体"/>
          <w:sz w:val="24"/>
          <w:szCs w:val="24"/>
        </w:rPr>
        <w:t>5</w:t>
      </w: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pPr>
        <w:snapToGrid w:val="0"/>
        <w:spacing w:line="360" w:lineRule="auto"/>
        <w:ind w:firstLine="460" w:firstLineChars="192"/>
        <w:rPr>
          <w:rFonts w:ascii="宋体" w:hAnsi="宋体" w:cs="宋体"/>
          <w:kern w:val="0"/>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kern w:val="0"/>
          <w:sz w:val="24"/>
          <w:szCs w:val="24"/>
        </w:rPr>
        <w:t>综合得分最高的供应商推荐为项目预成交供应商并出具评审磋商报告。</w:t>
      </w:r>
    </w:p>
    <w:p>
      <w:pPr>
        <w:snapToGrid w:val="0"/>
        <w:spacing w:line="360" w:lineRule="auto"/>
        <w:ind w:firstLine="460" w:firstLineChars="192"/>
        <w:rPr>
          <w:rFonts w:ascii="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pPr>
        <w:snapToGrid w:val="0"/>
        <w:spacing w:line="360" w:lineRule="auto"/>
        <w:ind w:firstLine="480" w:firstLineChars="200"/>
        <w:outlineLvl w:val="1"/>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）若总分相同，则按最终报价得分高者优先中标。</w:t>
      </w:r>
    </w:p>
    <w:p>
      <w:pPr>
        <w:snapToGrid w:val="0"/>
        <w:spacing w:line="360" w:lineRule="auto"/>
        <w:ind w:firstLine="480" w:firstLineChars="200"/>
        <w:outlineLvl w:val="1"/>
        <w:rPr>
          <w:rFonts w:ascii="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、对落标的供应商不做落标原因的解释。</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五、综合评分评审标准</w:t>
      </w:r>
    </w:p>
    <w:p>
      <w:pPr>
        <w:adjustRightInd w:val="0"/>
        <w:snapToGrid w:val="0"/>
        <w:spacing w:line="360" w:lineRule="auto"/>
        <w:ind w:firstLine="480" w:firstLineChars="200"/>
        <w:outlineLvl w:val="3"/>
        <w:rPr>
          <w:rFonts w:ascii="宋体"/>
          <w:sz w:val="24"/>
          <w:szCs w:val="24"/>
        </w:rPr>
      </w:pPr>
      <w:r>
        <w:rPr>
          <w:rFonts w:hint="eastAsia" w:ascii="宋体" w:hAnsi="宋体" w:cs="宋体"/>
          <w:sz w:val="24"/>
          <w:szCs w:val="24"/>
        </w:rPr>
        <w:t>（一）技术磋商响应评审：（</w:t>
      </w:r>
      <w:r>
        <w:rPr>
          <w:rFonts w:hint="eastAsia" w:ascii="宋体" w:hAnsi="宋体" w:cs="宋体"/>
          <w:sz w:val="24"/>
          <w:szCs w:val="24"/>
          <w:lang w:val="en-US" w:eastAsia="zh-CN"/>
        </w:rPr>
        <w:t>70</w:t>
      </w:r>
      <w:r>
        <w:rPr>
          <w:rFonts w:hint="eastAsia" w:ascii="宋体" w:hAnsi="宋体" w:cs="宋体"/>
          <w:sz w:val="24"/>
          <w:szCs w:val="24"/>
        </w:rPr>
        <w:t>分）</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416"/>
        <w:gridCol w:w="6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86" w:type="dxa"/>
            <w:noWrap w:val="0"/>
            <w:vAlign w:val="center"/>
          </w:tcPr>
          <w:p>
            <w:pPr>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分类</w:t>
            </w:r>
          </w:p>
        </w:tc>
        <w:tc>
          <w:tcPr>
            <w:tcW w:w="1416" w:type="dxa"/>
            <w:noWrap w:val="0"/>
            <w:vAlign w:val="center"/>
          </w:tcPr>
          <w:p>
            <w:pPr>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评分因素</w:t>
            </w:r>
          </w:p>
        </w:tc>
        <w:tc>
          <w:tcPr>
            <w:tcW w:w="6759" w:type="dxa"/>
            <w:noWrap w:val="0"/>
            <w:vAlign w:val="center"/>
          </w:tcPr>
          <w:p>
            <w:pPr>
              <w:spacing w:line="400" w:lineRule="exact"/>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8" w:hRule="atLeast"/>
        </w:trPr>
        <w:tc>
          <w:tcPr>
            <w:tcW w:w="1086" w:type="dxa"/>
            <w:vMerge w:val="restart"/>
            <w:noWrap w:val="0"/>
            <w:vAlign w:val="center"/>
          </w:tcPr>
          <w:p>
            <w:pPr>
              <w:spacing w:line="400" w:lineRule="exact"/>
              <w:rPr>
                <w:rFonts w:hint="eastAsia" w:ascii="宋体" w:hAnsi="宋体" w:cs="宋体"/>
                <w:sz w:val="24"/>
                <w:szCs w:val="24"/>
                <w:highlight w:val="none"/>
              </w:rPr>
            </w:pPr>
            <w:r>
              <w:rPr>
                <w:rFonts w:hint="eastAsia" w:ascii="宋体" w:hAnsi="宋体" w:cs="宋体"/>
                <w:sz w:val="24"/>
                <w:szCs w:val="24"/>
                <w:highlight w:val="none"/>
              </w:rPr>
              <w:t>技术标（</w:t>
            </w:r>
            <w:r>
              <w:rPr>
                <w:rFonts w:hint="eastAsia" w:ascii="宋体" w:hAnsi="宋体" w:cs="宋体"/>
                <w:sz w:val="24"/>
                <w:szCs w:val="24"/>
                <w:highlight w:val="none"/>
                <w:lang w:val="en-US" w:eastAsia="zh-CN"/>
              </w:rPr>
              <w:t>8</w:t>
            </w:r>
            <w:r>
              <w:rPr>
                <w:rFonts w:hint="eastAsia" w:ascii="宋体" w:hAnsi="宋体" w:cs="宋体"/>
                <w:sz w:val="24"/>
                <w:szCs w:val="24"/>
                <w:highlight w:val="none"/>
              </w:rPr>
              <w:t>0分）</w:t>
            </w:r>
          </w:p>
        </w:tc>
        <w:tc>
          <w:tcPr>
            <w:tcW w:w="1416" w:type="dxa"/>
            <w:noWrap w:val="0"/>
            <w:vAlign w:val="center"/>
          </w:tcPr>
          <w:p>
            <w:pPr>
              <w:snapToGrid w:val="0"/>
              <w:spacing w:line="400" w:lineRule="exact"/>
              <w:rPr>
                <w:rFonts w:hint="eastAsia" w:ascii="宋体" w:hAnsi="宋体" w:cs="宋体"/>
                <w:color w:val="FF0000"/>
                <w:sz w:val="24"/>
                <w:szCs w:val="24"/>
                <w:highlight w:val="none"/>
              </w:rPr>
            </w:pPr>
            <w:r>
              <w:rPr>
                <w:rFonts w:hint="eastAsia" w:ascii="宋体" w:hAnsi="宋体" w:cs="宋体"/>
                <w:sz w:val="24"/>
                <w:highlight w:val="none"/>
              </w:rPr>
              <w:t>综合实力评价（</w:t>
            </w:r>
            <w:r>
              <w:rPr>
                <w:rFonts w:hint="eastAsia" w:ascii="宋体" w:hAnsi="宋体" w:cs="宋体"/>
                <w:sz w:val="24"/>
                <w:highlight w:val="none"/>
                <w:lang w:val="en-US" w:eastAsia="zh-CN"/>
              </w:rPr>
              <w:t>13</w:t>
            </w:r>
            <w:r>
              <w:rPr>
                <w:rFonts w:hint="eastAsia" w:ascii="宋体" w:hAnsi="宋体" w:cs="宋体"/>
                <w:sz w:val="24"/>
                <w:highlight w:val="none"/>
              </w:rPr>
              <w:t>分）</w:t>
            </w:r>
          </w:p>
        </w:tc>
        <w:tc>
          <w:tcPr>
            <w:tcW w:w="6759" w:type="dxa"/>
            <w:noWrap w:val="0"/>
            <w:vAlign w:val="center"/>
          </w:tcPr>
          <w:p>
            <w:pPr>
              <w:numPr>
                <w:ilvl w:val="0"/>
                <w:numId w:val="7"/>
              </w:numPr>
              <w:snapToGrid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投标供应商具备有效的质量管理体系ISO9001认证证书。</w:t>
            </w:r>
          </w:p>
          <w:p>
            <w:pPr>
              <w:numPr>
                <w:ilvl w:val="0"/>
                <w:numId w:val="7"/>
              </w:numPr>
              <w:snapToGrid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投标供应商具备有效的环境管理体系ISO140001认证证书。</w:t>
            </w:r>
          </w:p>
          <w:p>
            <w:pPr>
              <w:numPr>
                <w:ilvl w:val="0"/>
                <w:numId w:val="0"/>
              </w:numPr>
              <w:snapToGrid w:val="0"/>
              <w:spacing w:line="400" w:lineRule="exact"/>
              <w:ind w:lef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3、投标供应商具备有效的职业健康安全管理体系ISO45001认证证书。</w:t>
            </w:r>
          </w:p>
          <w:p>
            <w:pPr>
              <w:numPr>
                <w:ilvl w:val="0"/>
                <w:numId w:val="0"/>
              </w:numPr>
              <w:snapToGrid w:val="0"/>
              <w:spacing w:line="40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以上管理体系证书</w:t>
            </w:r>
            <w:r>
              <w:rPr>
                <w:rFonts w:hint="eastAsia" w:ascii="宋体" w:hAnsi="宋体" w:eastAsia="宋体" w:cs="宋体"/>
                <w:sz w:val="24"/>
                <w:szCs w:val="24"/>
              </w:rPr>
              <w:t>每有一项得</w:t>
            </w:r>
            <w:r>
              <w:rPr>
                <w:rFonts w:hint="eastAsia" w:ascii="宋体" w:hAnsi="宋体" w:eastAsia="宋体" w:cs="宋体"/>
                <w:sz w:val="24"/>
                <w:szCs w:val="24"/>
                <w:lang w:val="en-US" w:eastAsia="zh-CN"/>
              </w:rPr>
              <w:t>3</w:t>
            </w:r>
            <w:r>
              <w:rPr>
                <w:rFonts w:hint="eastAsia" w:ascii="宋体" w:hAnsi="宋体" w:eastAsia="宋体" w:cs="宋体"/>
                <w:sz w:val="24"/>
                <w:szCs w:val="24"/>
              </w:rPr>
              <w:t>分，满分</w:t>
            </w:r>
            <w:r>
              <w:rPr>
                <w:rFonts w:hint="eastAsia" w:ascii="宋体" w:hAnsi="宋体" w:eastAsia="宋体" w:cs="宋体"/>
                <w:sz w:val="24"/>
                <w:szCs w:val="24"/>
                <w:lang w:val="en-US" w:eastAsia="zh-CN"/>
              </w:rPr>
              <w:t>9</w:t>
            </w:r>
            <w:r>
              <w:rPr>
                <w:rFonts w:hint="eastAsia" w:ascii="宋体" w:hAnsi="宋体" w:eastAsia="宋体" w:cs="宋体"/>
                <w:sz w:val="24"/>
                <w:szCs w:val="24"/>
              </w:rPr>
              <w:t>分</w:t>
            </w:r>
            <w:r>
              <w:rPr>
                <w:rFonts w:hint="eastAsia" w:ascii="宋体" w:hAnsi="宋体" w:eastAsia="宋体" w:cs="宋体"/>
                <w:sz w:val="24"/>
                <w:szCs w:val="24"/>
                <w:lang w:eastAsia="zh-CN"/>
              </w:rPr>
              <w:t>。</w:t>
            </w:r>
          </w:p>
          <w:p>
            <w:pPr>
              <w:pStyle w:val="2"/>
              <w:numPr>
                <w:ilvl w:val="0"/>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4、投标供应商获得过市级以上（含市级）荣誉有一个得1分，县区级（含街道）荣誉有一个得0.5分，本项最多得4分。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8" w:hRule="atLeast"/>
        </w:trPr>
        <w:tc>
          <w:tcPr>
            <w:tcW w:w="1086" w:type="dxa"/>
            <w:vMerge w:val="continue"/>
            <w:noWrap w:val="0"/>
            <w:vAlign w:val="center"/>
          </w:tcPr>
          <w:p>
            <w:pPr>
              <w:spacing w:line="400" w:lineRule="exact"/>
              <w:rPr>
                <w:rFonts w:hint="eastAsia" w:ascii="宋体" w:hAnsi="宋体" w:cs="宋体"/>
                <w:sz w:val="24"/>
                <w:szCs w:val="24"/>
                <w:highlight w:val="none"/>
              </w:rPr>
            </w:pPr>
          </w:p>
        </w:tc>
        <w:tc>
          <w:tcPr>
            <w:tcW w:w="1416" w:type="dxa"/>
            <w:noWrap w:val="0"/>
            <w:vAlign w:val="center"/>
          </w:tcPr>
          <w:p>
            <w:pPr>
              <w:snapToGrid w:val="0"/>
              <w:spacing w:line="400" w:lineRule="exact"/>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企业类似业绩（</w:t>
            </w:r>
            <w:r>
              <w:rPr>
                <w:rFonts w:hint="eastAsia" w:ascii="宋体" w:hAnsi="宋体" w:cs="宋体"/>
                <w:sz w:val="24"/>
                <w:szCs w:val="24"/>
                <w:highlight w:val="none"/>
                <w:lang w:val="en-US" w:eastAsia="zh-CN"/>
              </w:rPr>
              <w:t>11分</w:t>
            </w:r>
            <w:r>
              <w:rPr>
                <w:rFonts w:hint="eastAsia" w:ascii="宋体" w:hAnsi="宋体" w:cs="宋体"/>
                <w:sz w:val="24"/>
                <w:szCs w:val="24"/>
                <w:highlight w:val="none"/>
                <w:lang w:eastAsia="zh-CN"/>
              </w:rPr>
              <w:t>）</w:t>
            </w:r>
          </w:p>
        </w:tc>
        <w:tc>
          <w:tcPr>
            <w:tcW w:w="6759" w:type="dxa"/>
            <w:noWrap w:val="0"/>
            <w:vAlign w:val="center"/>
          </w:tcPr>
          <w:p>
            <w:pPr>
              <w:numPr>
                <w:ilvl w:val="0"/>
                <w:numId w:val="0"/>
              </w:numPr>
              <w:snapToGrid w:val="0"/>
              <w:spacing w:line="40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1、投标供应商自2017年1月1日起有政府或企事业单位水电设备设施等维护维修服务业绩的每有一项业绩的得2分，最多得8分。（需同时提供合同复印件及协议期内任意一个月的发票复印件，不提供的不得分。）</w:t>
            </w:r>
          </w:p>
          <w:p>
            <w:pPr>
              <w:numPr>
                <w:ilvl w:val="0"/>
                <w:numId w:val="0"/>
              </w:numPr>
              <w:snapToGrid w:val="0"/>
              <w:spacing w:line="40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2、投标供应商协助过医院完成三级复审，有一个年度得1分，最多得3分。（提供医院证明材料，不提供不得分。原件备查。）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continue"/>
            <w:noWrap w:val="0"/>
            <w:vAlign w:val="center"/>
          </w:tcPr>
          <w:p>
            <w:pPr>
              <w:spacing w:line="400" w:lineRule="exact"/>
              <w:rPr>
                <w:rFonts w:hint="eastAsia" w:ascii="宋体" w:hAnsi="宋体" w:cs="宋体"/>
                <w:sz w:val="24"/>
                <w:szCs w:val="24"/>
                <w:highlight w:val="none"/>
              </w:rPr>
            </w:pPr>
          </w:p>
        </w:tc>
        <w:tc>
          <w:tcPr>
            <w:tcW w:w="1416" w:type="dxa"/>
            <w:noWrap w:val="0"/>
            <w:vAlign w:val="center"/>
          </w:tcPr>
          <w:p>
            <w:pPr>
              <w:snapToGrid w:val="0"/>
              <w:spacing w:line="400" w:lineRule="exact"/>
              <w:rPr>
                <w:rFonts w:hint="eastAsia" w:ascii="宋体" w:hAnsi="宋体" w:cs="宋体"/>
                <w:sz w:val="24"/>
                <w:szCs w:val="24"/>
                <w:highlight w:val="none"/>
              </w:rPr>
            </w:pPr>
            <w:r>
              <w:rPr>
                <w:rFonts w:hint="eastAsia" w:ascii="宋体" w:hAnsi="宋体" w:cs="宋体"/>
                <w:sz w:val="24"/>
                <w:szCs w:val="24"/>
                <w:highlight w:val="none"/>
              </w:rPr>
              <w:t>人员评价（</w:t>
            </w:r>
            <w:r>
              <w:rPr>
                <w:rFonts w:hint="eastAsia" w:ascii="宋体" w:hAnsi="宋体" w:cs="宋体"/>
                <w:sz w:val="24"/>
                <w:szCs w:val="24"/>
                <w:highlight w:val="none"/>
                <w:lang w:val="en-US" w:eastAsia="zh-CN"/>
              </w:rPr>
              <w:t>14</w:t>
            </w:r>
            <w:r>
              <w:rPr>
                <w:rFonts w:hint="eastAsia" w:ascii="宋体" w:hAnsi="宋体" w:cs="宋体"/>
                <w:sz w:val="24"/>
                <w:szCs w:val="24"/>
                <w:highlight w:val="none"/>
              </w:rPr>
              <w:t>）</w:t>
            </w:r>
          </w:p>
        </w:tc>
        <w:tc>
          <w:tcPr>
            <w:tcW w:w="6759" w:type="dxa"/>
            <w:noWrap w:val="0"/>
            <w:vAlign w:val="center"/>
          </w:tcPr>
          <w:p>
            <w:pPr>
              <w:numPr>
                <w:ilvl w:val="0"/>
                <w:numId w:val="8"/>
              </w:numPr>
              <w:snapToGrid w:val="0"/>
              <w:spacing w:line="400" w:lineRule="exact"/>
              <w:rPr>
                <w:rFonts w:hint="eastAsia"/>
                <w:sz w:val="24"/>
                <w:szCs w:val="24"/>
                <w:lang w:eastAsia="zh-CN"/>
              </w:rPr>
            </w:pPr>
            <w:r>
              <w:rPr>
                <w:rFonts w:hint="eastAsia"/>
                <w:sz w:val="24"/>
                <w:szCs w:val="24"/>
              </w:rPr>
              <w:t>投标</w:t>
            </w:r>
            <w:r>
              <w:rPr>
                <w:rFonts w:hint="eastAsia"/>
                <w:sz w:val="24"/>
                <w:szCs w:val="24"/>
                <w:lang w:eastAsia="zh-CN"/>
              </w:rPr>
              <w:t>供应商拟派</w:t>
            </w:r>
            <w:r>
              <w:rPr>
                <w:rFonts w:hint="eastAsia"/>
                <w:sz w:val="24"/>
                <w:szCs w:val="24"/>
              </w:rPr>
              <w:t>人员</w:t>
            </w:r>
            <w:r>
              <w:rPr>
                <w:rFonts w:hint="eastAsia"/>
                <w:sz w:val="24"/>
                <w:szCs w:val="24"/>
                <w:lang w:eastAsia="zh-CN"/>
              </w:rPr>
              <w:t>中</w:t>
            </w:r>
            <w:r>
              <w:rPr>
                <w:rFonts w:hint="eastAsia"/>
                <w:sz w:val="24"/>
                <w:szCs w:val="24"/>
              </w:rPr>
              <w:t>自2017年1月1日起有过医院或类似医疗机构电气设备设施等维护维修服务</w:t>
            </w:r>
            <w:r>
              <w:rPr>
                <w:rFonts w:hint="eastAsia"/>
                <w:sz w:val="24"/>
                <w:szCs w:val="24"/>
                <w:lang w:eastAsia="zh-CN"/>
              </w:rPr>
              <w:t>的</w:t>
            </w:r>
            <w:r>
              <w:rPr>
                <w:rFonts w:hint="eastAsia"/>
                <w:sz w:val="24"/>
                <w:szCs w:val="24"/>
              </w:rPr>
              <w:t>，每有一人业绩的得</w:t>
            </w:r>
            <w:r>
              <w:rPr>
                <w:rFonts w:hint="eastAsia"/>
                <w:sz w:val="24"/>
                <w:szCs w:val="24"/>
                <w:lang w:val="en-US" w:eastAsia="zh-CN"/>
              </w:rPr>
              <w:t>1.5</w:t>
            </w:r>
            <w:r>
              <w:rPr>
                <w:rFonts w:hint="eastAsia"/>
                <w:sz w:val="24"/>
                <w:szCs w:val="24"/>
              </w:rPr>
              <w:t>分，最多得</w:t>
            </w:r>
            <w:r>
              <w:rPr>
                <w:rFonts w:hint="eastAsia"/>
                <w:sz w:val="24"/>
                <w:szCs w:val="24"/>
                <w:lang w:val="en-US" w:eastAsia="zh-CN"/>
              </w:rPr>
              <w:t>6</w:t>
            </w:r>
            <w:r>
              <w:rPr>
                <w:rFonts w:hint="eastAsia"/>
                <w:sz w:val="24"/>
                <w:szCs w:val="24"/>
              </w:rPr>
              <w:t>分。</w:t>
            </w:r>
            <w:r>
              <w:rPr>
                <w:rFonts w:hint="eastAsia"/>
                <w:sz w:val="24"/>
                <w:szCs w:val="24"/>
                <w:lang w:eastAsia="zh-CN"/>
              </w:rPr>
              <w:t>（投标供应商需提供拟派人员一览表，格式自拟。需提供医院主管部门的证明材料，不提供不得分。）</w:t>
            </w:r>
          </w:p>
          <w:p>
            <w:pPr>
              <w:numPr>
                <w:ilvl w:val="0"/>
                <w:numId w:val="8"/>
              </w:numPr>
              <w:snapToGrid w:val="0"/>
              <w:spacing w:line="400" w:lineRule="exact"/>
              <w:rPr>
                <w:rFonts w:hint="default"/>
                <w:sz w:val="24"/>
                <w:szCs w:val="24"/>
                <w:lang w:val="en-US" w:eastAsia="zh-CN"/>
              </w:rPr>
            </w:pPr>
            <w:r>
              <w:rPr>
                <w:rFonts w:hint="eastAsia"/>
                <w:sz w:val="24"/>
                <w:szCs w:val="24"/>
                <w:lang w:val="en-US" w:eastAsia="zh-CN"/>
              </w:rPr>
              <w:t>项目负责人具有机电专业大专及以上学历的得1分，获得市区级荣誉证书的得2分，具备高中级职业技能证书的得1分，具备高级物业管理师的得1分。</w:t>
            </w:r>
            <w:r>
              <w:rPr>
                <w:rFonts w:hint="eastAsia"/>
                <w:sz w:val="24"/>
                <w:szCs w:val="24"/>
                <w:lang w:eastAsia="zh-CN"/>
              </w:rPr>
              <w:t>（需提供相应的证明材料，不提供不得分。原件备查。）</w:t>
            </w:r>
          </w:p>
          <w:p>
            <w:pPr>
              <w:pStyle w:val="2"/>
              <w:ind w:left="0" w:leftChars="0" w:firstLine="0" w:firstLineChars="0"/>
              <w:rPr>
                <w:rFonts w:hint="default"/>
                <w:sz w:val="24"/>
                <w:szCs w:val="24"/>
                <w:lang w:val="en-US" w:eastAsia="zh-CN"/>
              </w:rPr>
            </w:pPr>
            <w:r>
              <w:rPr>
                <w:rFonts w:hint="eastAsia" w:ascii="宋体" w:hAnsi="宋体" w:eastAsia="宋体" w:cs="宋体"/>
                <w:kern w:val="2"/>
                <w:sz w:val="24"/>
                <w:szCs w:val="24"/>
                <w:lang w:val="en-US" w:eastAsia="zh-CN" w:bidi="ar-SA"/>
              </w:rPr>
              <w:t>3、拟派维修人员具有高压电工证书、制冷设备操作证、压力容器操作证的，有一个得1分，本项最多得</w:t>
            </w: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continue"/>
            <w:noWrap w:val="0"/>
            <w:vAlign w:val="center"/>
          </w:tcPr>
          <w:p>
            <w:pPr>
              <w:spacing w:line="400" w:lineRule="exact"/>
              <w:rPr>
                <w:rFonts w:hint="eastAsia" w:ascii="宋体" w:hAnsi="宋体" w:cs="宋体"/>
                <w:sz w:val="24"/>
                <w:szCs w:val="24"/>
                <w:highlight w:val="none"/>
              </w:rPr>
            </w:pPr>
          </w:p>
        </w:tc>
        <w:tc>
          <w:tcPr>
            <w:tcW w:w="1416" w:type="dxa"/>
            <w:noWrap w:val="0"/>
            <w:vAlign w:val="center"/>
          </w:tcPr>
          <w:p>
            <w:pPr>
              <w:snapToGrid w:val="0"/>
              <w:spacing w:line="400" w:lineRule="exact"/>
              <w:rPr>
                <w:rFonts w:hint="eastAsia" w:ascii="宋体" w:hAnsi="宋体" w:cs="宋体"/>
                <w:sz w:val="24"/>
                <w:highlight w:val="none"/>
              </w:rPr>
            </w:pPr>
            <w:r>
              <w:rPr>
                <w:rFonts w:hint="eastAsia" w:ascii="宋体" w:hAnsi="宋体" w:cs="宋体"/>
                <w:sz w:val="24"/>
                <w:highlight w:val="none"/>
              </w:rPr>
              <w:t>实施及质量保证方案（</w:t>
            </w:r>
            <w:r>
              <w:rPr>
                <w:rFonts w:hint="eastAsia" w:ascii="宋体" w:hAnsi="宋体" w:cs="宋体"/>
                <w:sz w:val="24"/>
                <w:highlight w:val="none"/>
                <w:lang w:val="en-US" w:eastAsia="zh-CN"/>
              </w:rPr>
              <w:t>20</w:t>
            </w:r>
            <w:r>
              <w:rPr>
                <w:rFonts w:hint="eastAsia" w:ascii="宋体" w:hAnsi="宋体" w:cs="宋体"/>
                <w:sz w:val="24"/>
                <w:highlight w:val="none"/>
              </w:rPr>
              <w:t>分）</w:t>
            </w:r>
          </w:p>
        </w:tc>
        <w:tc>
          <w:tcPr>
            <w:tcW w:w="6759" w:type="dxa"/>
            <w:noWrap w:val="0"/>
            <w:vAlign w:val="center"/>
          </w:tcPr>
          <w:p>
            <w:pPr>
              <w:snapToGrid w:val="0"/>
              <w:spacing w:line="360" w:lineRule="auto"/>
              <w:rPr>
                <w:rFonts w:hint="eastAsia" w:ascii="宋体" w:hAnsi="宋体"/>
                <w:sz w:val="24"/>
              </w:rPr>
            </w:pPr>
            <w:r>
              <w:rPr>
                <w:rFonts w:hint="eastAsia" w:ascii="宋体" w:hAnsi="宋体" w:cs="宋体"/>
                <w:sz w:val="24"/>
                <w:highlight w:val="none"/>
              </w:rPr>
              <w:t>根据项目实施要求制定的安全质量保证方案的合理行、可行性、对不可预见因素的预测、协调能力、实施步骤、服务质量保证措施酌情评分</w:t>
            </w:r>
            <w:r>
              <w:rPr>
                <w:rFonts w:hint="eastAsia" w:ascii="宋体" w:hAnsi="宋体" w:cs="宋体"/>
                <w:sz w:val="24"/>
                <w:highlight w:val="none"/>
                <w:lang w:eastAsia="zh-CN"/>
              </w:rPr>
              <w:t>。</w:t>
            </w:r>
            <w:r>
              <w:rPr>
                <w:rFonts w:hint="eastAsia" w:ascii="宋体" w:hAnsi="宋体"/>
                <w:sz w:val="24"/>
              </w:rPr>
              <w:t>优为</w:t>
            </w:r>
            <w:r>
              <w:rPr>
                <w:rFonts w:hint="eastAsia" w:ascii="宋体" w:hAnsi="宋体"/>
                <w:sz w:val="24"/>
                <w:lang w:val="en-US" w:eastAsia="zh-CN"/>
              </w:rPr>
              <w:t>15</w:t>
            </w:r>
            <w:r>
              <w:rPr>
                <w:rFonts w:hint="eastAsia" w:ascii="宋体" w:hAnsi="宋体"/>
                <w:sz w:val="24"/>
              </w:rPr>
              <w:t>-</w:t>
            </w:r>
            <w:r>
              <w:rPr>
                <w:rFonts w:hint="eastAsia" w:ascii="宋体" w:hAnsi="宋体"/>
                <w:sz w:val="24"/>
                <w:lang w:val="en-US" w:eastAsia="zh-CN"/>
              </w:rPr>
              <w:t>20</w:t>
            </w:r>
            <w:r>
              <w:rPr>
                <w:rFonts w:hint="eastAsia" w:ascii="宋体" w:hAnsi="宋体"/>
                <w:sz w:val="24"/>
              </w:rPr>
              <w:t>分，良为</w:t>
            </w: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14</w:t>
            </w:r>
            <w:r>
              <w:rPr>
                <w:rFonts w:hint="eastAsia" w:ascii="宋体" w:hAnsi="宋体"/>
                <w:sz w:val="24"/>
              </w:rPr>
              <w:t>分，一般为0-</w:t>
            </w:r>
            <w:r>
              <w:rPr>
                <w:rFonts w:hint="eastAsia" w:ascii="宋体" w:hAnsi="宋体"/>
                <w:sz w:val="24"/>
                <w:lang w:val="en-US" w:eastAsia="zh-CN"/>
              </w:rPr>
              <w:t>6</w:t>
            </w:r>
            <w:r>
              <w:rPr>
                <w:rFonts w:hint="eastAsia" w:ascii="宋体" w:hAnsi="宋体"/>
                <w:sz w:val="24"/>
              </w:rPr>
              <w:t>分。</w:t>
            </w:r>
          </w:p>
          <w:p>
            <w:pPr>
              <w:snapToGrid w:val="0"/>
              <w:spacing w:line="400" w:lineRule="exact"/>
              <w:rPr>
                <w:rFonts w:hint="eastAsia" w:ascii="宋体" w:hAnsi="宋体" w:cs="宋体"/>
                <w:sz w:val="24"/>
                <w:highlight w:val="none"/>
              </w:rPr>
            </w:pP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086" w:type="dxa"/>
            <w:vMerge w:val="continue"/>
            <w:noWrap w:val="0"/>
            <w:vAlign w:val="center"/>
          </w:tcPr>
          <w:p>
            <w:pPr>
              <w:spacing w:line="400" w:lineRule="exact"/>
              <w:rPr>
                <w:rFonts w:hint="eastAsia" w:ascii="宋体" w:hAnsi="宋体" w:cs="宋体"/>
                <w:sz w:val="24"/>
                <w:szCs w:val="24"/>
                <w:highlight w:val="none"/>
              </w:rPr>
            </w:pPr>
          </w:p>
        </w:tc>
        <w:tc>
          <w:tcPr>
            <w:tcW w:w="1416" w:type="dxa"/>
            <w:noWrap w:val="0"/>
            <w:vAlign w:val="center"/>
          </w:tcPr>
          <w:p>
            <w:pPr>
              <w:snapToGrid w:val="0"/>
              <w:spacing w:line="400" w:lineRule="exact"/>
              <w:rPr>
                <w:rFonts w:hint="eastAsia" w:ascii="宋体" w:hAnsi="宋体" w:cs="宋体"/>
                <w:sz w:val="24"/>
                <w:szCs w:val="24"/>
                <w:highlight w:val="none"/>
              </w:rPr>
            </w:pPr>
            <w:r>
              <w:rPr>
                <w:rFonts w:hint="eastAsia" w:ascii="宋体" w:hAnsi="宋体" w:cs="宋体"/>
                <w:sz w:val="24"/>
                <w:highlight w:val="none"/>
              </w:rPr>
              <w:t>服务承诺（</w:t>
            </w:r>
            <w:r>
              <w:rPr>
                <w:rFonts w:hint="eastAsia" w:ascii="宋体" w:hAnsi="宋体" w:cs="宋体"/>
                <w:sz w:val="24"/>
                <w:highlight w:val="none"/>
                <w:lang w:val="en-US" w:eastAsia="zh-CN"/>
              </w:rPr>
              <w:t>4</w:t>
            </w:r>
            <w:r>
              <w:rPr>
                <w:rFonts w:hint="eastAsia" w:ascii="宋体" w:hAnsi="宋体" w:cs="宋体"/>
                <w:sz w:val="24"/>
                <w:highlight w:val="none"/>
              </w:rPr>
              <w:t>分）</w:t>
            </w:r>
          </w:p>
        </w:tc>
        <w:tc>
          <w:tcPr>
            <w:tcW w:w="6759" w:type="dxa"/>
            <w:noWrap w:val="0"/>
            <w:vAlign w:val="center"/>
          </w:tcPr>
          <w:p>
            <w:pPr>
              <w:snapToGrid w:val="0"/>
              <w:spacing w:line="400" w:lineRule="exact"/>
              <w:rPr>
                <w:rFonts w:hint="eastAsia" w:ascii="宋体" w:hAnsi="宋体" w:cs="宋体"/>
                <w:sz w:val="24"/>
                <w:szCs w:val="24"/>
                <w:highlight w:val="none"/>
              </w:rPr>
            </w:pPr>
            <w:r>
              <w:rPr>
                <w:rFonts w:hint="eastAsia" w:ascii="宋体" w:hAnsi="宋体" w:cs="宋体"/>
                <w:sz w:val="24"/>
                <w:highlight w:val="none"/>
              </w:rPr>
              <w:t>阐述明细、合理，计划、措施方法得当且有针对性，在0-</w:t>
            </w:r>
            <w:r>
              <w:rPr>
                <w:rFonts w:hint="eastAsia" w:ascii="宋体" w:hAnsi="宋体" w:cs="宋体"/>
                <w:sz w:val="24"/>
                <w:highlight w:val="none"/>
                <w:lang w:val="en-US" w:eastAsia="zh-CN"/>
              </w:rPr>
              <w:t>4</w:t>
            </w:r>
            <w:r>
              <w:rPr>
                <w:rFonts w:hint="eastAsia" w:ascii="宋体" w:hAnsi="宋体" w:cs="宋体"/>
                <w:sz w:val="24"/>
                <w:highlight w:val="none"/>
              </w:rPr>
              <w:t>分之间打分。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086" w:type="dxa"/>
            <w:vMerge w:val="continue"/>
            <w:noWrap w:val="0"/>
            <w:vAlign w:val="center"/>
          </w:tcPr>
          <w:p>
            <w:pPr>
              <w:spacing w:line="400" w:lineRule="exact"/>
              <w:rPr>
                <w:rFonts w:hint="eastAsia" w:ascii="宋体" w:hAnsi="宋体" w:cs="宋体"/>
                <w:sz w:val="24"/>
                <w:szCs w:val="24"/>
                <w:highlight w:val="none"/>
              </w:rPr>
            </w:pPr>
          </w:p>
        </w:tc>
        <w:tc>
          <w:tcPr>
            <w:tcW w:w="1416" w:type="dxa"/>
            <w:noWrap w:val="0"/>
            <w:vAlign w:val="center"/>
          </w:tcPr>
          <w:p>
            <w:pPr>
              <w:snapToGrid w:val="0"/>
              <w:spacing w:line="400" w:lineRule="exact"/>
              <w:rPr>
                <w:rFonts w:hint="eastAsia" w:ascii="宋体" w:hAnsi="宋体" w:eastAsia="宋体" w:cs="宋体"/>
                <w:sz w:val="24"/>
                <w:highlight w:val="none"/>
                <w:lang w:eastAsia="zh-CN"/>
              </w:rPr>
            </w:pPr>
            <w:r>
              <w:rPr>
                <w:rFonts w:hint="eastAsia" w:ascii="宋体" w:hAnsi="宋体" w:cs="宋体"/>
                <w:sz w:val="24"/>
                <w:highlight w:val="none"/>
                <w:lang w:eastAsia="zh-CN"/>
              </w:rPr>
              <w:t>应急预案</w:t>
            </w: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分）</w:t>
            </w:r>
          </w:p>
        </w:tc>
        <w:tc>
          <w:tcPr>
            <w:tcW w:w="6759" w:type="dxa"/>
            <w:noWrap w:val="0"/>
            <w:vAlign w:val="center"/>
          </w:tcPr>
          <w:p>
            <w:pPr>
              <w:snapToGrid w:val="0"/>
              <w:spacing w:line="400" w:lineRule="exact"/>
              <w:rPr>
                <w:rFonts w:hint="eastAsia" w:ascii="宋体" w:hAnsi="宋体" w:cs="宋体"/>
                <w:sz w:val="24"/>
                <w:highlight w:val="none"/>
              </w:rPr>
            </w:pPr>
            <w:r>
              <w:rPr>
                <w:rFonts w:hint="eastAsia" w:ascii="宋体" w:hAnsi="宋体" w:cs="宋体"/>
                <w:sz w:val="24"/>
                <w:highlight w:val="none"/>
              </w:rPr>
              <w:t>阐述明细、合理，计划、措施方法得当且有针对性，在0-</w:t>
            </w:r>
            <w:r>
              <w:rPr>
                <w:rFonts w:hint="eastAsia" w:ascii="宋体" w:hAnsi="宋体" w:cs="宋体"/>
                <w:sz w:val="24"/>
                <w:highlight w:val="none"/>
                <w:lang w:val="en-US" w:eastAsia="zh-CN"/>
              </w:rPr>
              <w:t>5</w:t>
            </w:r>
            <w:r>
              <w:rPr>
                <w:rFonts w:hint="eastAsia" w:ascii="宋体" w:hAnsi="宋体" w:cs="宋体"/>
                <w:sz w:val="24"/>
                <w:highlight w:val="none"/>
              </w:rPr>
              <w:t>分之间打分。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086" w:type="dxa"/>
            <w:vMerge w:val="continue"/>
            <w:noWrap w:val="0"/>
            <w:vAlign w:val="center"/>
          </w:tcPr>
          <w:p>
            <w:pPr>
              <w:spacing w:line="400" w:lineRule="exact"/>
              <w:rPr>
                <w:rFonts w:hint="eastAsia" w:ascii="宋体" w:hAnsi="宋体" w:cs="宋体"/>
                <w:sz w:val="24"/>
                <w:szCs w:val="24"/>
                <w:highlight w:val="none"/>
              </w:rPr>
            </w:pPr>
          </w:p>
        </w:tc>
        <w:tc>
          <w:tcPr>
            <w:tcW w:w="1416" w:type="dxa"/>
            <w:noWrap w:val="0"/>
            <w:vAlign w:val="center"/>
          </w:tcPr>
          <w:p>
            <w:pPr>
              <w:snapToGrid w:val="0"/>
              <w:spacing w:line="400" w:lineRule="exact"/>
              <w:rPr>
                <w:rFonts w:hint="eastAsia" w:ascii="宋体" w:hAnsi="宋体" w:cs="宋体"/>
                <w:sz w:val="24"/>
                <w:highlight w:val="none"/>
                <w:lang w:eastAsia="zh-CN"/>
              </w:rPr>
            </w:pPr>
            <w:r>
              <w:rPr>
                <w:rFonts w:hint="eastAsia" w:ascii="宋体" w:hAnsi="宋体" w:cs="宋体"/>
                <w:sz w:val="24"/>
                <w:highlight w:val="none"/>
                <w:lang w:eastAsia="zh-CN"/>
              </w:rPr>
              <w:t>疫情管控（</w:t>
            </w:r>
            <w:r>
              <w:rPr>
                <w:rFonts w:hint="eastAsia" w:ascii="宋体" w:hAnsi="宋体" w:cs="宋体"/>
                <w:sz w:val="24"/>
                <w:highlight w:val="none"/>
                <w:lang w:val="en-US" w:eastAsia="zh-CN"/>
              </w:rPr>
              <w:t>3分</w:t>
            </w:r>
            <w:r>
              <w:rPr>
                <w:rFonts w:hint="eastAsia" w:ascii="宋体" w:hAnsi="宋体" w:cs="宋体"/>
                <w:sz w:val="24"/>
                <w:highlight w:val="none"/>
                <w:lang w:eastAsia="zh-CN"/>
              </w:rPr>
              <w:t>）</w:t>
            </w:r>
          </w:p>
        </w:tc>
        <w:tc>
          <w:tcPr>
            <w:tcW w:w="6759" w:type="dxa"/>
            <w:noWrap w:val="0"/>
            <w:vAlign w:val="center"/>
          </w:tcPr>
          <w:p>
            <w:pPr>
              <w:snapToGrid w:val="0"/>
              <w:spacing w:line="400" w:lineRule="exact"/>
              <w:rPr>
                <w:rFonts w:hint="eastAsia" w:ascii="宋体" w:hAnsi="宋体" w:cs="宋体"/>
                <w:sz w:val="24"/>
                <w:highlight w:val="none"/>
              </w:rPr>
            </w:pPr>
            <w:r>
              <w:rPr>
                <w:rFonts w:hint="eastAsia" w:ascii="宋体" w:hAnsi="宋体" w:cs="宋体"/>
                <w:sz w:val="24"/>
                <w:highlight w:val="none"/>
              </w:rPr>
              <w:t>阐述明细、合理，计划、措施方法得当且有针对性，在0-</w:t>
            </w:r>
            <w:r>
              <w:rPr>
                <w:rFonts w:hint="eastAsia" w:ascii="宋体" w:hAnsi="宋体" w:cs="宋体"/>
                <w:sz w:val="24"/>
                <w:highlight w:val="none"/>
                <w:lang w:val="en-US" w:eastAsia="zh-CN"/>
              </w:rPr>
              <w:t>3</w:t>
            </w:r>
            <w:r>
              <w:rPr>
                <w:rFonts w:hint="eastAsia" w:ascii="宋体" w:hAnsi="宋体" w:cs="宋体"/>
                <w:sz w:val="24"/>
                <w:highlight w:val="none"/>
              </w:rPr>
              <w:t>分之间打分。</w:t>
            </w:r>
          </w:p>
        </w:tc>
      </w:tr>
    </w:tbl>
    <w:p>
      <w:pPr>
        <w:snapToGrid w:val="0"/>
        <w:spacing w:line="440" w:lineRule="exact"/>
        <w:ind w:firstLine="480" w:firstLineChars="200"/>
        <w:outlineLvl w:val="1"/>
        <w:rPr>
          <w:rFonts w:hint="eastAsia" w:ascii="宋体" w:hAnsi="宋体" w:cs="宋体"/>
          <w:sz w:val="24"/>
          <w:szCs w:val="24"/>
        </w:rPr>
      </w:pPr>
    </w:p>
    <w:p>
      <w:pPr>
        <w:snapToGrid w:val="0"/>
        <w:spacing w:line="440" w:lineRule="exact"/>
        <w:ind w:firstLine="480" w:firstLineChars="200"/>
        <w:outlineLvl w:val="1"/>
        <w:rPr>
          <w:rFonts w:ascii="宋体"/>
          <w:b/>
          <w:bCs/>
          <w:sz w:val="24"/>
          <w:szCs w:val="24"/>
        </w:rPr>
      </w:pPr>
      <w:r>
        <w:rPr>
          <w:rFonts w:hint="eastAsia" w:ascii="宋体" w:hAnsi="宋体" w:cs="宋体"/>
          <w:sz w:val="24"/>
          <w:szCs w:val="24"/>
        </w:rPr>
        <w:t>注：以上打分项设得分上限，评委依据磋商文件载明的方法评分，评分四舍五入精确到小数点后两位。</w:t>
      </w:r>
    </w:p>
    <w:p>
      <w:pPr>
        <w:adjustRightInd w:val="0"/>
        <w:snapToGrid w:val="0"/>
        <w:spacing w:line="440" w:lineRule="exact"/>
        <w:ind w:firstLine="482" w:firstLineChars="200"/>
        <w:rPr>
          <w:rFonts w:ascii="宋体"/>
          <w:b/>
          <w:bCs/>
          <w:sz w:val="24"/>
          <w:szCs w:val="24"/>
        </w:rPr>
      </w:pPr>
      <w:r>
        <w:rPr>
          <w:rFonts w:hint="eastAsia" w:ascii="宋体" w:hAnsi="宋体" w:cs="宋体"/>
          <w:b/>
          <w:bCs/>
          <w:sz w:val="24"/>
          <w:szCs w:val="24"/>
          <w:u w:val="thick" w:color="FF0000"/>
        </w:rPr>
        <w:t>特别提醒：技术标评分中所涉及相关资料等证明材料均须提供原件的复印件加盖公章，并将原件带至开标现场备查，未携带原件或因携带原件不全所引起的后果由投标人自行承担</w:t>
      </w:r>
      <w:r>
        <w:rPr>
          <w:rFonts w:hint="eastAsia" w:ascii="宋体" w:hAnsi="宋体" w:cs="宋体"/>
          <w:b/>
          <w:bCs/>
          <w:sz w:val="24"/>
          <w:szCs w:val="24"/>
        </w:rPr>
        <w:t>。</w:t>
      </w:r>
    </w:p>
    <w:p>
      <w:pPr>
        <w:snapToGrid w:val="0"/>
        <w:spacing w:line="360" w:lineRule="auto"/>
        <w:ind w:firstLine="480" w:firstLineChars="200"/>
        <w:rPr>
          <w:rFonts w:ascii="宋体"/>
          <w:sz w:val="24"/>
          <w:szCs w:val="24"/>
        </w:rPr>
      </w:pPr>
      <w:r>
        <w:rPr>
          <w:rFonts w:hint="eastAsia" w:ascii="宋体" w:hAnsi="宋体" w:cs="宋体"/>
          <w:sz w:val="24"/>
          <w:szCs w:val="24"/>
        </w:rPr>
        <w:t>（二）商务报价响应评分：（</w:t>
      </w:r>
      <w:r>
        <w:rPr>
          <w:rFonts w:hint="eastAsia" w:ascii="宋体" w:hAnsi="宋体" w:cs="宋体"/>
          <w:sz w:val="24"/>
          <w:szCs w:val="24"/>
          <w:lang w:val="en-US" w:eastAsia="zh-CN"/>
        </w:rPr>
        <w:t>30</w:t>
      </w:r>
      <w:r>
        <w:rPr>
          <w:rFonts w:hint="eastAsia" w:ascii="宋体" w:hAnsi="宋体" w:cs="宋体"/>
          <w:sz w:val="24"/>
          <w:szCs w:val="24"/>
        </w:rPr>
        <w:t>分）</w:t>
      </w:r>
    </w:p>
    <w:p>
      <w:pPr>
        <w:snapToGrid w:val="0"/>
        <w:spacing w:line="360" w:lineRule="auto"/>
        <w:ind w:firstLine="482" w:firstLineChars="200"/>
        <w:textAlignment w:val="baseline"/>
        <w:rPr>
          <w:rFonts w:ascii="宋体" w:hAnsi="宋体" w:cs="宋体"/>
          <w:b/>
          <w:color w:val="auto"/>
          <w:sz w:val="24"/>
          <w:szCs w:val="24"/>
        </w:rPr>
      </w:pPr>
      <w:r>
        <w:rPr>
          <w:rFonts w:hint="eastAsia" w:ascii="宋体" w:hAnsi="宋体" w:cs="宋体"/>
          <w:b/>
          <w:sz w:val="24"/>
          <w:szCs w:val="24"/>
        </w:rPr>
        <w:t>1、本次项目最高限价为</w:t>
      </w:r>
      <w:r>
        <w:rPr>
          <w:rFonts w:hint="eastAsia" w:ascii="宋体" w:hAnsi="宋体" w:cs="宋体"/>
          <w:b/>
          <w:sz w:val="24"/>
          <w:szCs w:val="24"/>
          <w:highlight w:val="none"/>
        </w:rPr>
        <w:t>人</w:t>
      </w:r>
      <w:r>
        <w:rPr>
          <w:rFonts w:hint="eastAsia" w:ascii="宋体" w:hAnsi="宋体" w:cs="宋体"/>
          <w:b/>
          <w:color w:val="auto"/>
          <w:sz w:val="24"/>
          <w:szCs w:val="24"/>
          <w:highlight w:val="none"/>
        </w:rPr>
        <w:t>民币</w:t>
      </w:r>
      <w:r>
        <w:rPr>
          <w:rFonts w:hint="eastAsia" w:ascii="宋体" w:hAnsi="宋体" w:cs="宋体"/>
          <w:b/>
          <w:color w:val="auto"/>
          <w:sz w:val="24"/>
          <w:szCs w:val="24"/>
          <w:highlight w:val="none"/>
          <w:lang w:val="en-US" w:eastAsia="zh-CN"/>
        </w:rPr>
        <w:t>264000.00</w:t>
      </w:r>
      <w:r>
        <w:rPr>
          <w:rFonts w:hint="eastAsia" w:ascii="宋体" w:hAnsi="宋体" w:cs="宋体"/>
          <w:b/>
          <w:color w:val="auto"/>
          <w:sz w:val="24"/>
          <w:szCs w:val="24"/>
          <w:highlight w:val="none"/>
        </w:rPr>
        <w:t>元/年</w:t>
      </w:r>
      <w:r>
        <w:rPr>
          <w:rFonts w:hint="eastAsia" w:ascii="宋体" w:hAnsi="宋体" w:cs="宋体"/>
          <w:b/>
          <w:color w:val="auto"/>
          <w:sz w:val="24"/>
          <w:szCs w:val="24"/>
        </w:rPr>
        <w:t>，报价不得超过限价，否则做无效投标处理。</w:t>
      </w:r>
    </w:p>
    <w:p>
      <w:pPr>
        <w:snapToGrid w:val="0"/>
        <w:spacing w:line="360" w:lineRule="auto"/>
        <w:ind w:firstLine="480" w:firstLineChars="200"/>
        <w:textAlignment w:val="baseline"/>
        <w:rPr>
          <w:rFonts w:ascii="宋体" w:hAnsi="宋体" w:cs="宋体"/>
          <w:sz w:val="24"/>
          <w:szCs w:val="24"/>
        </w:rPr>
      </w:pPr>
      <w:r>
        <w:rPr>
          <w:rFonts w:ascii="宋体" w:hAnsi="宋体" w:cs="宋体"/>
          <w:sz w:val="24"/>
          <w:szCs w:val="24"/>
        </w:rPr>
        <w:t>2</w:t>
      </w:r>
      <w:r>
        <w:rPr>
          <w:rFonts w:hint="eastAsia" w:ascii="宋体" w:hAnsi="宋体" w:cs="宋体"/>
          <w:sz w:val="24"/>
          <w:szCs w:val="24"/>
        </w:rPr>
        <w:t>、满足磋商文件要求且最后报价最低的供应商的价格为磋商基准价，其商务报价</w:t>
      </w:r>
      <w:r>
        <w:rPr>
          <w:rFonts w:hint="eastAsia" w:ascii="宋体" w:hAnsi="宋体" w:cs="宋体"/>
          <w:kern w:val="0"/>
          <w:sz w:val="24"/>
          <w:szCs w:val="24"/>
        </w:rPr>
        <w:t>响应</w:t>
      </w:r>
      <w:r>
        <w:rPr>
          <w:rFonts w:hint="eastAsia" w:ascii="宋体" w:hAnsi="宋体" w:cs="宋体"/>
          <w:sz w:val="24"/>
          <w:szCs w:val="24"/>
        </w:rPr>
        <w:t>分为满分30分。其他供应商的商务报价</w:t>
      </w:r>
      <w:r>
        <w:rPr>
          <w:rFonts w:hint="eastAsia" w:ascii="宋体" w:hAnsi="宋体" w:cs="宋体"/>
          <w:kern w:val="0"/>
          <w:sz w:val="24"/>
          <w:szCs w:val="24"/>
        </w:rPr>
        <w:t>响应</w:t>
      </w:r>
      <w:r>
        <w:rPr>
          <w:rFonts w:hint="eastAsia" w:ascii="宋体" w:hAnsi="宋体" w:cs="宋体"/>
          <w:sz w:val="24"/>
          <w:szCs w:val="24"/>
        </w:rPr>
        <w:t>分统一按照下列公式计算：</w:t>
      </w:r>
    </w:p>
    <w:p>
      <w:pPr>
        <w:snapToGrid w:val="0"/>
        <w:spacing w:line="360" w:lineRule="auto"/>
        <w:ind w:firstLine="482" w:firstLineChars="200"/>
        <w:rPr>
          <w:rFonts w:ascii="宋体"/>
          <w:sz w:val="24"/>
          <w:szCs w:val="24"/>
        </w:rPr>
      </w:pPr>
      <w:r>
        <w:rPr>
          <w:rFonts w:hint="eastAsia" w:ascii="宋体" w:hAnsi="宋体" w:cs="宋体"/>
          <w:b/>
          <w:sz w:val="24"/>
          <w:szCs w:val="24"/>
        </w:rPr>
        <w:t>商务报价</w:t>
      </w:r>
      <w:r>
        <w:rPr>
          <w:rFonts w:hint="eastAsia" w:ascii="宋体" w:hAnsi="宋体" w:cs="宋体"/>
          <w:b/>
          <w:kern w:val="0"/>
          <w:sz w:val="24"/>
          <w:szCs w:val="24"/>
        </w:rPr>
        <w:t>响应</w:t>
      </w:r>
      <w:r>
        <w:rPr>
          <w:rFonts w:hint="eastAsia" w:ascii="宋体" w:hAnsi="宋体" w:cs="宋体"/>
          <w:b/>
          <w:sz w:val="24"/>
          <w:szCs w:val="24"/>
        </w:rPr>
        <w:t>分 =（磋商基准价/最后磋商报价）×</w:t>
      </w:r>
      <w:r>
        <w:rPr>
          <w:rFonts w:hint="eastAsia" w:ascii="宋体" w:hAnsi="宋体" w:cs="宋体"/>
          <w:b/>
          <w:sz w:val="24"/>
          <w:szCs w:val="24"/>
          <w:lang w:val="en-US" w:eastAsia="zh-CN"/>
        </w:rPr>
        <w:t>30</w:t>
      </w:r>
      <w:r>
        <w:rPr>
          <w:rFonts w:hint="eastAsia" w:ascii="宋体" w:hAnsi="宋体" w:cs="宋体"/>
          <w:b/>
          <w:sz w:val="24"/>
          <w:szCs w:val="24"/>
        </w:rPr>
        <w:t>%×100</w:t>
      </w:r>
    </w:p>
    <w:bookmarkEnd w:id="61"/>
    <w:bookmarkEnd w:id="62"/>
    <w:bookmarkEnd w:id="63"/>
    <w:bookmarkEnd w:id="64"/>
    <w:bookmarkEnd w:id="65"/>
    <w:bookmarkEnd w:id="66"/>
    <w:bookmarkEnd w:id="67"/>
    <w:bookmarkEnd w:id="68"/>
    <w:p>
      <w:pPr>
        <w:snapToGrid w:val="0"/>
        <w:spacing w:line="360" w:lineRule="auto"/>
        <w:ind w:firstLine="487" w:firstLineChars="202"/>
        <w:rPr>
          <w:rFonts w:hint="eastAsia" w:ascii="宋体" w:hAnsi="宋体" w:cs="宋体"/>
          <w:b/>
          <w:bCs/>
          <w:color w:val="auto"/>
          <w:sz w:val="24"/>
          <w:szCs w:val="24"/>
        </w:rPr>
      </w:pPr>
      <w:bookmarkStart w:id="70" w:name="_Hlk67169510"/>
      <w:bookmarkStart w:id="71" w:name="_Toc363573858"/>
      <w:bookmarkStart w:id="72" w:name="_Toc94585343"/>
      <w:r>
        <w:rPr>
          <w:rFonts w:hint="eastAsia" w:ascii="宋体" w:hAnsi="宋体" w:cs="宋体"/>
          <w:b/>
          <w:bCs/>
          <w:color w:val="auto"/>
          <w:sz w:val="24"/>
          <w:szCs w:val="24"/>
        </w:rPr>
        <w:t>4、关于落实政府采购政策的中小微企业价格评审</w:t>
      </w:r>
      <w:bookmarkEnd w:id="70"/>
    </w:p>
    <w:p>
      <w:pPr>
        <w:snapToGrid w:val="0"/>
        <w:spacing w:line="360" w:lineRule="auto"/>
        <w:ind w:firstLine="484" w:firstLineChars="202"/>
        <w:rPr>
          <w:rFonts w:hint="eastAsia" w:ascii="宋体" w:hAnsi="宋体" w:cs="宋体"/>
          <w:color w:val="auto"/>
          <w:sz w:val="24"/>
          <w:szCs w:val="24"/>
        </w:rPr>
      </w:pPr>
      <w:bookmarkStart w:id="73" w:name="_Hlk67609383"/>
      <w:r>
        <w:rPr>
          <w:rFonts w:hint="eastAsia" w:ascii="宋体" w:hAnsi="宋体" w:cs="宋体"/>
          <w:color w:val="auto"/>
          <w:sz w:val="24"/>
          <w:szCs w:val="24"/>
        </w:rPr>
        <w:t>（1）根据《政府采购促进中小企业发展管理办法》（财库﹝2020﹞46 号）的第四条，</w:t>
      </w:r>
      <w:r>
        <w:rPr>
          <w:rFonts w:hint="eastAsia" w:ascii="宋体" w:hAnsi="宋体" w:cs="宋体"/>
          <w:b/>
          <w:bCs/>
          <w:color w:val="auto"/>
          <w:sz w:val="24"/>
          <w:szCs w:val="24"/>
        </w:rPr>
        <w:t>本次采购的项目，其响应供应商提供的</w:t>
      </w:r>
      <w:r>
        <w:rPr>
          <w:rFonts w:hint="eastAsia" w:ascii="宋体" w:hAnsi="宋体" w:cs="宋体"/>
          <w:b/>
          <w:bCs/>
          <w:color w:val="auto"/>
          <w:sz w:val="24"/>
          <w:szCs w:val="24"/>
          <w:u w:val="thick" w:color="FF0000"/>
        </w:rPr>
        <w:t xml:space="preserve"> 服务 </w:t>
      </w:r>
      <w:r>
        <w:rPr>
          <w:rFonts w:hint="eastAsia" w:ascii="宋体" w:hAnsi="宋体" w:cs="宋体"/>
          <w:b/>
          <w:bCs/>
          <w:color w:val="auto"/>
          <w:sz w:val="24"/>
          <w:szCs w:val="24"/>
        </w:rPr>
        <w:t>符合：工信部联企业〔2011〕300号《关于印发中小企业划型标准规定的通知》中的</w:t>
      </w:r>
      <w:bookmarkStart w:id="74" w:name="_Hlk62787617"/>
      <w:r>
        <w:rPr>
          <w:rFonts w:hint="eastAsia" w:ascii="宋体" w:hAnsi="宋体" w:cs="宋体"/>
          <w:b/>
          <w:bCs/>
          <w:color w:val="auto"/>
          <w:sz w:val="24"/>
          <w:szCs w:val="24"/>
        </w:rPr>
        <w:t>中小企业</w:t>
      </w:r>
      <w:bookmarkStart w:id="75" w:name="_Hlk67153790"/>
      <w:r>
        <w:rPr>
          <w:rFonts w:hint="eastAsia" w:ascii="宋体" w:hAnsi="宋体" w:cs="宋体"/>
          <w:b/>
          <w:bCs/>
          <w:color w:val="auto"/>
          <w:sz w:val="24"/>
          <w:szCs w:val="24"/>
        </w:rPr>
        <w:t>“</w:t>
      </w:r>
      <w:r>
        <w:rPr>
          <w:rFonts w:hint="eastAsia" w:ascii="宋体" w:hAnsi="宋体" w:cs="宋体"/>
          <w:b/>
          <w:bCs/>
          <w:color w:val="auto"/>
          <w:sz w:val="24"/>
          <w:szCs w:val="24"/>
          <w:u w:val="thick" w:color="FF0000"/>
        </w:rPr>
        <w:t>其他未列明行业</w:t>
      </w:r>
      <w:r>
        <w:rPr>
          <w:rFonts w:hint="eastAsia" w:ascii="宋体" w:hAnsi="宋体" w:cs="宋体"/>
          <w:b/>
          <w:bCs/>
          <w:color w:val="auto"/>
          <w:sz w:val="24"/>
          <w:szCs w:val="24"/>
        </w:rPr>
        <w:t>”类</w:t>
      </w:r>
      <w:bookmarkEnd w:id="75"/>
      <w:r>
        <w:rPr>
          <w:rFonts w:hint="eastAsia" w:ascii="宋体" w:hAnsi="宋体" w:cs="宋体"/>
          <w:b/>
          <w:bCs/>
          <w:color w:val="auto"/>
          <w:sz w:val="24"/>
          <w:szCs w:val="24"/>
        </w:rPr>
        <w:t>的划型标准规定</w:t>
      </w:r>
      <w:bookmarkEnd w:id="74"/>
      <w:r>
        <w:rPr>
          <w:rFonts w:hint="eastAsia" w:ascii="宋体" w:hAnsi="宋体" w:cs="宋体"/>
          <w:b/>
          <w:bCs/>
          <w:color w:val="auto"/>
          <w:sz w:val="24"/>
          <w:szCs w:val="24"/>
        </w:rPr>
        <w:t>的，将享受中小企业扶持政策。</w:t>
      </w:r>
    </w:p>
    <w:p>
      <w:pPr>
        <w:snapToGrid w:val="0"/>
        <w:spacing w:line="360" w:lineRule="auto"/>
        <w:ind w:firstLine="487" w:firstLineChars="202"/>
        <w:rPr>
          <w:rFonts w:hint="eastAsia" w:ascii="宋体" w:hAnsi="宋体" w:cs="宋体"/>
          <w:color w:val="auto"/>
          <w:sz w:val="24"/>
          <w:szCs w:val="24"/>
        </w:rPr>
      </w:pPr>
      <w:r>
        <w:rPr>
          <w:rFonts w:hint="eastAsia" w:ascii="宋体" w:hAnsi="宋体" w:cs="宋体"/>
          <w:b/>
          <w:bCs/>
          <w:color w:val="auto"/>
          <w:sz w:val="24"/>
          <w:szCs w:val="24"/>
        </w:rPr>
        <w:t>“</w:t>
      </w:r>
      <w:r>
        <w:rPr>
          <w:rFonts w:hint="eastAsia" w:ascii="宋体" w:hAnsi="宋体" w:cs="宋体"/>
          <w:b/>
          <w:bCs/>
          <w:color w:val="auto"/>
          <w:sz w:val="24"/>
          <w:szCs w:val="24"/>
          <w:u w:val="thick" w:color="FF0000"/>
        </w:rPr>
        <w:t>其他未列明行业</w:t>
      </w:r>
      <w:r>
        <w:rPr>
          <w:rFonts w:hint="eastAsia" w:ascii="宋体" w:hAnsi="宋体" w:cs="宋体"/>
          <w:b/>
          <w:bCs/>
          <w:color w:val="auto"/>
          <w:sz w:val="24"/>
          <w:szCs w:val="24"/>
        </w:rPr>
        <w:t>”类中小企业划型标准</w:t>
      </w:r>
      <w:r>
        <w:rPr>
          <w:rFonts w:hint="eastAsia" w:ascii="宋体" w:hAnsi="宋体" w:cs="宋体"/>
          <w:color w:val="auto"/>
          <w:sz w:val="24"/>
          <w:szCs w:val="24"/>
        </w:rPr>
        <w:t>：</w:t>
      </w:r>
      <w:r>
        <w:rPr>
          <w:rFonts w:hint="eastAsia" w:ascii="宋体" w:hAnsi="宋体" w:cs="宋体"/>
          <w:color w:val="auto"/>
          <w:sz w:val="24"/>
          <w:szCs w:val="24"/>
          <w:u w:val="single"/>
        </w:rPr>
        <w:t>从业人员300人以下的为中小微型企业。其中，从业人员100人及以上的为中型企业；从业人员10人及以上的为小型企业；从业人员10人以下的为微型企业。</w:t>
      </w:r>
    </w:p>
    <w:p>
      <w:pPr>
        <w:snapToGrid w:val="0"/>
        <w:spacing w:line="360" w:lineRule="auto"/>
        <w:ind w:firstLine="484" w:firstLineChars="202"/>
        <w:rPr>
          <w:rFonts w:hint="eastAsia" w:ascii="宋体" w:hAnsi="宋体" w:cs="宋体"/>
          <w:color w:val="auto"/>
          <w:sz w:val="24"/>
          <w:szCs w:val="24"/>
        </w:rPr>
      </w:pPr>
      <w:r>
        <w:rPr>
          <w:rFonts w:hint="eastAsia" w:ascii="宋体" w:hAnsi="宋体" w:cs="宋体"/>
          <w:color w:val="auto"/>
          <w:sz w:val="24"/>
          <w:szCs w:val="24"/>
        </w:rPr>
        <w:t>（2）</w:t>
      </w:r>
      <w:bookmarkStart w:id="76" w:name="_Hlk67155978"/>
      <w:r>
        <w:rPr>
          <w:rFonts w:hint="eastAsia" w:ascii="宋体" w:hAnsi="宋体" w:cs="宋体"/>
          <w:color w:val="auto"/>
          <w:sz w:val="24"/>
          <w:szCs w:val="24"/>
        </w:rPr>
        <w:t>根据</w:t>
      </w:r>
      <w:bookmarkStart w:id="77" w:name="_Hlk67155505"/>
      <w:r>
        <w:rPr>
          <w:rFonts w:hint="eastAsia" w:ascii="宋体" w:hAnsi="宋体" w:cs="宋体"/>
          <w:color w:val="auto"/>
          <w:sz w:val="24"/>
          <w:szCs w:val="24"/>
        </w:rPr>
        <w:t>《政府采购促进中小企业发展管理办法》（财库﹝2020﹞46 号）</w:t>
      </w:r>
      <w:bookmarkEnd w:id="77"/>
      <w:r>
        <w:rPr>
          <w:rFonts w:hint="eastAsia" w:ascii="宋体" w:hAnsi="宋体" w:cs="宋体"/>
          <w:color w:val="auto"/>
          <w:sz w:val="24"/>
          <w:szCs w:val="24"/>
        </w:rPr>
        <w:t>的第九条规定</w:t>
      </w:r>
      <w:bookmarkEnd w:id="76"/>
      <w:r>
        <w:rPr>
          <w:rFonts w:hint="eastAsia" w:ascii="宋体" w:hAnsi="宋体" w:cs="宋体"/>
          <w:color w:val="auto"/>
          <w:sz w:val="24"/>
          <w:szCs w:val="24"/>
        </w:rPr>
        <w:t>，</w:t>
      </w:r>
      <w:bookmarkStart w:id="78" w:name="_Hlk67154819"/>
      <w:r>
        <w:rPr>
          <w:rFonts w:hint="eastAsia" w:ascii="宋体" w:hAnsi="宋体" w:cs="宋体"/>
          <w:b/>
          <w:bCs/>
          <w:color w:val="auto"/>
          <w:sz w:val="24"/>
          <w:szCs w:val="24"/>
          <w:u w:val="thick" w:color="FF0000"/>
        </w:rPr>
        <w:t>磋商供应商响应的服务是由</w:t>
      </w:r>
      <w:bookmarkStart w:id="79" w:name="_Hlk62900373"/>
      <w:r>
        <w:rPr>
          <w:rFonts w:hint="eastAsia" w:ascii="宋体" w:hAnsi="宋体" w:cs="宋体"/>
          <w:b/>
          <w:bCs/>
          <w:color w:val="auto"/>
          <w:sz w:val="24"/>
          <w:szCs w:val="24"/>
          <w:u w:val="thick" w:color="FF0000"/>
        </w:rPr>
        <w:t>小型、微型企业</w:t>
      </w:r>
      <w:bookmarkEnd w:id="78"/>
      <w:bookmarkEnd w:id="79"/>
      <w:r>
        <w:rPr>
          <w:rFonts w:hint="eastAsia" w:ascii="宋体" w:hAnsi="宋体" w:cs="宋体"/>
          <w:b/>
          <w:bCs/>
          <w:color w:val="auto"/>
          <w:sz w:val="24"/>
          <w:szCs w:val="24"/>
          <w:u w:val="thick" w:color="FF0000"/>
        </w:rPr>
        <w:t>提供</w:t>
      </w:r>
      <w:r>
        <w:rPr>
          <w:rFonts w:hint="eastAsia" w:ascii="宋体" w:hAnsi="宋体" w:cs="宋体"/>
          <w:color w:val="auto"/>
          <w:sz w:val="24"/>
          <w:szCs w:val="24"/>
        </w:rPr>
        <w:t>，该磋商供应商的报价将给予评审价格调整，具体方法如下：</w:t>
      </w:r>
    </w:p>
    <w:p>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① 按照转发《财政部 工业和信息化部关于印发〈政府采购促进中小企业发展管理办法〉的通知》(通财购[2021]18号）文件要求，对符合要求的供应商报价给予10%的扣除，用扣除后的价格参与评审，如果成交，则以其最终磋商报价作为成交价。</w:t>
      </w:r>
    </w:p>
    <w:p>
      <w:pPr>
        <w:snapToGrid w:val="0"/>
        <w:spacing w:line="360" w:lineRule="auto"/>
        <w:ind w:firstLine="480" w:firstLineChars="200"/>
        <w:rPr>
          <w:rFonts w:hint="eastAsia" w:ascii="宋体" w:hAnsi="宋体" w:cs="宋体"/>
          <w:color w:val="auto"/>
          <w:sz w:val="24"/>
          <w:szCs w:val="24"/>
        </w:rPr>
      </w:pPr>
      <w:bookmarkStart w:id="80" w:name="_Hlk67486828"/>
      <w:r>
        <w:rPr>
          <w:rFonts w:hint="eastAsia" w:ascii="宋体" w:hAnsi="宋体" w:cs="宋体"/>
          <w:color w:val="auto"/>
          <w:sz w:val="24"/>
          <w:szCs w:val="24"/>
        </w:rPr>
        <w:t xml:space="preserve">② </w:t>
      </w:r>
      <w:bookmarkStart w:id="81" w:name="_Hlk62901453"/>
      <w:bookmarkStart w:id="82" w:name="_Hlk62788551"/>
      <w:r>
        <w:rPr>
          <w:rFonts w:hint="eastAsia" w:ascii="宋体" w:hAnsi="宋体" w:cs="宋体"/>
          <w:color w:val="auto"/>
          <w:sz w:val="24"/>
          <w:szCs w:val="24"/>
        </w:rPr>
        <w:t>参加本次政府采购活动，符合要求的磋商供应商须严格按《政府采购促进中小企业发展管理办法》（财库﹝2020﹞46 号）的文件要求，出具填报“</w:t>
      </w:r>
      <w:bookmarkStart w:id="83" w:name="_Hlk67171734"/>
      <w:r>
        <w:rPr>
          <w:rFonts w:hint="eastAsia" w:ascii="宋体" w:hAnsi="宋体" w:cs="宋体"/>
          <w:color w:val="auto"/>
          <w:sz w:val="24"/>
          <w:szCs w:val="24"/>
        </w:rPr>
        <w:t>中小企业声明函</w:t>
      </w:r>
      <w:bookmarkEnd w:id="83"/>
      <w:r>
        <w:rPr>
          <w:rFonts w:hint="eastAsia" w:ascii="宋体" w:hAnsi="宋体" w:cs="宋体"/>
          <w:color w:val="auto"/>
          <w:sz w:val="24"/>
          <w:szCs w:val="24"/>
        </w:rPr>
        <w:t>”</w:t>
      </w:r>
      <w:r>
        <w:rPr>
          <w:rFonts w:hint="eastAsia" w:ascii="宋体" w:hAnsi="宋体" w:cs="宋体"/>
          <w:b/>
          <w:bCs/>
          <w:color w:val="auto"/>
          <w:sz w:val="24"/>
          <w:szCs w:val="24"/>
        </w:rPr>
        <w:t>（格式见第八章）</w:t>
      </w:r>
      <w:r>
        <w:rPr>
          <w:rFonts w:hint="eastAsia" w:ascii="宋体" w:hAnsi="宋体" w:cs="宋体"/>
          <w:color w:val="auto"/>
          <w:sz w:val="24"/>
          <w:szCs w:val="24"/>
        </w:rPr>
        <w:t>；</w:t>
      </w:r>
      <w:bookmarkEnd w:id="81"/>
    </w:p>
    <w:bookmarkEnd w:id="82"/>
    <w:p>
      <w:pPr>
        <w:snapToGrid w:val="0"/>
        <w:spacing w:line="360" w:lineRule="auto"/>
        <w:ind w:firstLine="560"/>
        <w:rPr>
          <w:rFonts w:hint="eastAsia" w:ascii="宋体" w:hAnsi="宋体" w:cs="宋体"/>
          <w:color w:val="auto"/>
          <w:sz w:val="24"/>
          <w:szCs w:val="24"/>
        </w:rPr>
      </w:pPr>
      <w:r>
        <w:rPr>
          <w:rFonts w:hint="eastAsia" w:ascii="宋体" w:hAnsi="宋体" w:cs="宋体"/>
          <w:color w:val="auto"/>
          <w:sz w:val="24"/>
          <w:szCs w:val="24"/>
        </w:rPr>
        <w:t>③ 本项目享受中小企业扶持政策的磋商供应商一旦成交，因提供“中小企业声明函”的行为引发争议和影响本项目采购执行效率，应当按本项目采购人或采购代理机构的通知，在2个工作日内提供服务供应商注册登记所在地的县级以上人民政府中小企业主管部门认定是小型、微型企业的证明原件，用以核对，逾期未提供的则视作提供的 “中小企业声明函”内容不实。</w:t>
      </w:r>
    </w:p>
    <w:p>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④ 若磋商供应商</w:t>
      </w:r>
      <w:bookmarkStart w:id="84" w:name="_Hlk67172184"/>
      <w:r>
        <w:rPr>
          <w:rFonts w:hint="eastAsia" w:ascii="宋体" w:hAnsi="宋体" w:cs="宋体"/>
          <w:color w:val="auto"/>
          <w:sz w:val="24"/>
          <w:szCs w:val="24"/>
        </w:rPr>
        <w:t>提供的 “中小企业声明函”内容不实</w:t>
      </w:r>
      <w:bookmarkEnd w:id="84"/>
      <w:r>
        <w:rPr>
          <w:rFonts w:hint="eastAsia" w:ascii="宋体" w:hAnsi="宋体" w:cs="宋体"/>
          <w:color w:val="auto"/>
          <w:sz w:val="24"/>
          <w:szCs w:val="24"/>
        </w:rPr>
        <w:t>的，属于提供虚假材料谋取成交；磋商供应商的该行为将报请政府采购监管的财政部门参照《中华人民共和国政府采购法》第七十七条的规定处理并给予行政处罚。</w:t>
      </w:r>
    </w:p>
    <w:bookmarkEnd w:id="80"/>
    <w:p>
      <w:pPr>
        <w:snapToGrid w:val="0"/>
        <w:spacing w:line="360" w:lineRule="auto"/>
        <w:ind w:firstLine="480" w:firstLineChars="200"/>
        <w:rPr>
          <w:rFonts w:ascii="宋体"/>
          <w:color w:val="auto"/>
          <w:sz w:val="24"/>
          <w:szCs w:val="24"/>
        </w:rPr>
      </w:pPr>
      <w:r>
        <w:rPr>
          <w:rFonts w:hint="eastAsia" w:ascii="宋体" w:hAnsi="宋体" w:cs="宋体"/>
          <w:color w:val="auto"/>
          <w:sz w:val="24"/>
          <w:szCs w:val="24"/>
        </w:rPr>
        <w:t>（3）</w:t>
      </w:r>
      <w:bookmarkStart w:id="85" w:name="_Hlk67486961"/>
      <w:r>
        <w:rPr>
          <w:rFonts w:hint="eastAsia" w:ascii="宋体" w:hAnsi="宋体" w:cs="宋体"/>
          <w:b/>
          <w:bCs/>
          <w:color w:val="auto"/>
          <w:sz w:val="24"/>
          <w:szCs w:val="24"/>
          <w:u w:val="thick" w:color="FF0000"/>
        </w:rPr>
        <w:t>不符合上述要求的磋商供应商，无须提供“中小企业声明函”</w:t>
      </w:r>
      <w:r>
        <w:rPr>
          <w:rFonts w:hint="eastAsia" w:ascii="宋体" w:hAnsi="宋体" w:cs="宋体"/>
          <w:color w:val="auto"/>
          <w:sz w:val="24"/>
          <w:szCs w:val="24"/>
        </w:rPr>
        <w:t>。</w:t>
      </w:r>
      <w:bookmarkEnd w:id="73"/>
      <w:bookmarkEnd w:id="85"/>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六、出现下列情形之一的，作无效响应处理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、磋商响应报价超出项目预算的；</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pPr>
        <w:snapToGrid w:val="0"/>
        <w:spacing w:line="360" w:lineRule="auto"/>
        <w:ind w:firstLine="480" w:firstLineChars="200"/>
        <w:rPr>
          <w:rFonts w:ascii="宋体"/>
          <w:dstrike/>
          <w:sz w:val="24"/>
          <w:szCs w:val="24"/>
        </w:rPr>
      </w:pPr>
      <w:r>
        <w:rPr>
          <w:rFonts w:ascii="宋体" w:hAnsi="宋体" w:cs="宋体"/>
          <w:sz w:val="24"/>
          <w:szCs w:val="24"/>
        </w:rPr>
        <w:t>10</w:t>
      </w:r>
      <w:r>
        <w:rPr>
          <w:rFonts w:hint="eastAsia" w:ascii="宋体" w:hAnsi="宋体" w:cs="宋体"/>
          <w:sz w:val="24"/>
          <w:szCs w:val="24"/>
        </w:rPr>
        <w:t>、不符合法律、法规和磋商文件中规定的其他实质性响应要求的；</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、磋商小组依据法律法规可以认定为无效投标的其他情况。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七、出现下列情形之一的，作废标处理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、因重大变故，采购任务取消的；</w:t>
      </w:r>
      <w:r>
        <w:rPr>
          <w:rFonts w:ascii="宋体"/>
          <w:sz w:val="24"/>
          <w:szCs w:val="24"/>
        </w:rPr>
        <w:tab/>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、磋商小组依据法律法规可以认定为废标的其他情况。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八、成交通知</w:t>
      </w:r>
    </w:p>
    <w:p>
      <w:pPr>
        <w:snapToGrid w:val="0"/>
        <w:spacing w:line="360" w:lineRule="auto"/>
        <w:ind w:firstLine="480" w:firstLineChars="200"/>
        <w:rPr>
          <w:rFonts w:hint="eastAsia" w:cs="宋体"/>
          <w:kern w:val="0"/>
          <w:sz w:val="24"/>
          <w:szCs w:val="24"/>
        </w:rPr>
      </w:pPr>
      <w:r>
        <w:rPr>
          <w:rFonts w:hint="eastAsia" w:cs="宋体"/>
          <w:kern w:val="0"/>
          <w:sz w:val="24"/>
          <w:szCs w:val="24"/>
        </w:rPr>
        <w:t>成交结果在</w:t>
      </w:r>
      <w:r>
        <w:rPr>
          <w:rFonts w:hint="eastAsia" w:ascii="宋体" w:hAnsi="宋体" w:cs="宋体"/>
          <w:sz w:val="24"/>
          <w:szCs w:val="24"/>
        </w:rPr>
        <w:t>南通市卫生健康委员会官网（http://wjw.nantong.gov.cn）和南通市妇幼保健院官网（http://www.ntfybj.com）公示</w:t>
      </w:r>
      <w:r>
        <w:rPr>
          <w:rFonts w:hint="eastAsia"/>
          <w:b/>
          <w:bCs/>
          <w:kern w:val="0"/>
          <w:sz w:val="24"/>
          <w:szCs w:val="24"/>
          <w:u w:val="single"/>
        </w:rPr>
        <w:t>1</w:t>
      </w:r>
      <w:r>
        <w:rPr>
          <w:rFonts w:hint="eastAsia" w:cs="宋体"/>
          <w:kern w:val="0"/>
          <w:sz w:val="24"/>
          <w:szCs w:val="24"/>
        </w:rPr>
        <w:t>个工作日。《成交通知书》一经发出，采购单位改变成交结果，或者供应商放弃成交的，各自承担相应的法律责任。《成交通知书》是采购合同的组成部分。</w:t>
      </w:r>
    </w:p>
    <w:p>
      <w:pPr>
        <w:snapToGrid w:val="0"/>
        <w:spacing w:line="480" w:lineRule="exact"/>
        <w:ind w:firstLine="477" w:firstLineChars="198"/>
        <w:rPr>
          <w:rFonts w:hint="eastAsia" w:ascii="宋体" w:hAnsi="宋体"/>
          <w:b/>
          <w:sz w:val="24"/>
        </w:rPr>
      </w:pPr>
      <w:r>
        <w:rPr>
          <w:rFonts w:hint="eastAsia" w:ascii="宋体" w:hAnsi="宋体"/>
          <w:b/>
          <w:sz w:val="24"/>
          <w:lang w:val="en-US" w:eastAsia="zh-CN"/>
        </w:rPr>
        <w:t>九</w:t>
      </w:r>
      <w:r>
        <w:rPr>
          <w:rFonts w:hint="eastAsia" w:ascii="宋体" w:hAnsi="宋体"/>
          <w:b/>
          <w:sz w:val="24"/>
        </w:rPr>
        <w:t>、其他注意事项</w:t>
      </w:r>
    </w:p>
    <w:p>
      <w:pPr>
        <w:snapToGrid w:val="0"/>
        <w:spacing w:line="480" w:lineRule="exact"/>
        <w:ind w:firstLine="570"/>
        <w:rPr>
          <w:sz w:val="24"/>
        </w:rPr>
      </w:pPr>
      <w:r>
        <w:rPr>
          <w:sz w:val="24"/>
        </w:rPr>
        <w:t>1、在</w:t>
      </w:r>
      <w:r>
        <w:rPr>
          <w:rFonts w:hint="eastAsia"/>
          <w:sz w:val="24"/>
          <w:lang w:val="en-US" w:eastAsia="zh-CN"/>
        </w:rPr>
        <w:t>磋商响应</w:t>
      </w:r>
      <w:r>
        <w:rPr>
          <w:rFonts w:hint="eastAsia" w:ascii="宋体" w:hAnsi="宋体" w:eastAsia="宋体" w:cs="宋体"/>
          <w:sz w:val="24"/>
          <w:lang w:val="en-US" w:eastAsia="zh-CN"/>
        </w:rPr>
        <w:t>﹑</w:t>
      </w:r>
      <w:r>
        <w:rPr>
          <w:sz w:val="24"/>
        </w:rPr>
        <w:t>开标时间，</w:t>
      </w:r>
      <w:r>
        <w:rPr>
          <w:rFonts w:hint="eastAsia"/>
          <w:sz w:val="24"/>
          <w:lang w:val="en-US" w:eastAsia="zh-CN"/>
        </w:rPr>
        <w:t>供应商</w:t>
      </w:r>
      <w:r>
        <w:rPr>
          <w:sz w:val="24"/>
        </w:rPr>
        <w:t>不得向评委询问情况，不得进行旨在影响评标结果的活动。</w:t>
      </w:r>
    </w:p>
    <w:p>
      <w:pPr>
        <w:snapToGrid w:val="0"/>
        <w:spacing w:line="480" w:lineRule="exact"/>
        <w:ind w:firstLine="570"/>
        <w:rPr>
          <w:sz w:val="24"/>
        </w:rPr>
      </w:pPr>
      <w:r>
        <w:rPr>
          <w:sz w:val="24"/>
        </w:rPr>
        <w:t>2、评委会不得向</w:t>
      </w:r>
      <w:r>
        <w:rPr>
          <w:rFonts w:hint="eastAsia"/>
          <w:sz w:val="24"/>
          <w:lang w:val="en-US" w:eastAsia="zh-CN"/>
        </w:rPr>
        <w:t>供应商</w:t>
      </w:r>
      <w:r>
        <w:rPr>
          <w:sz w:val="24"/>
        </w:rPr>
        <w:t>解释落标原因。</w:t>
      </w:r>
    </w:p>
    <w:p>
      <w:pPr>
        <w:snapToGrid w:val="0"/>
        <w:spacing w:line="480" w:lineRule="exact"/>
        <w:ind w:firstLine="570"/>
        <w:rPr>
          <w:sz w:val="24"/>
        </w:rPr>
      </w:pPr>
      <w:r>
        <w:rPr>
          <w:sz w:val="24"/>
        </w:rPr>
        <w:t>3、在</w:t>
      </w:r>
      <w:r>
        <w:rPr>
          <w:rFonts w:hint="eastAsia"/>
          <w:sz w:val="24"/>
          <w:lang w:val="en-US" w:eastAsia="zh-CN"/>
        </w:rPr>
        <w:t>磋商响应</w:t>
      </w:r>
      <w:r>
        <w:rPr>
          <w:rFonts w:hint="eastAsia" w:ascii="宋体" w:hAnsi="宋体" w:eastAsia="宋体" w:cs="宋体"/>
          <w:sz w:val="24"/>
          <w:lang w:val="en-US" w:eastAsia="zh-CN"/>
        </w:rPr>
        <w:t>﹑</w:t>
      </w:r>
      <w:r>
        <w:rPr>
          <w:sz w:val="24"/>
        </w:rPr>
        <w:t>评标过程中，如果</w:t>
      </w:r>
      <w:r>
        <w:rPr>
          <w:rFonts w:hint="eastAsia"/>
          <w:sz w:val="24"/>
          <w:lang w:val="en-US" w:eastAsia="zh-CN"/>
        </w:rPr>
        <w:t>供应商</w:t>
      </w:r>
      <w:r>
        <w:rPr>
          <w:sz w:val="24"/>
        </w:rPr>
        <w:t>联合故意抬高报价或出现其他不正当行为，采购人有权中止</w:t>
      </w:r>
      <w:r>
        <w:rPr>
          <w:rFonts w:hint="eastAsia"/>
          <w:sz w:val="24"/>
          <w:lang w:val="en-US" w:eastAsia="zh-CN"/>
        </w:rPr>
        <w:t>磋商响应</w:t>
      </w:r>
      <w:r>
        <w:rPr>
          <w:sz w:val="24"/>
        </w:rPr>
        <w:t>或评标。</w:t>
      </w:r>
    </w:p>
    <w:p>
      <w:pPr>
        <w:snapToGrid w:val="0"/>
        <w:spacing w:line="480" w:lineRule="exact"/>
        <w:ind w:firstLine="570"/>
        <w:rPr>
          <w:sz w:val="24"/>
        </w:rPr>
      </w:pPr>
      <w:r>
        <w:rPr>
          <w:sz w:val="24"/>
        </w:rPr>
        <w:t>4、凡在投</w:t>
      </w:r>
      <w:r>
        <w:rPr>
          <w:rFonts w:hint="eastAsia"/>
          <w:sz w:val="24"/>
          <w:lang w:val="en-US" w:eastAsia="zh-CN"/>
        </w:rPr>
        <w:t>磋商响应</w:t>
      </w:r>
      <w:r>
        <w:rPr>
          <w:sz w:val="24"/>
        </w:rPr>
        <w:t>、开标过程中，已提示是否异议的事项，</w:t>
      </w:r>
      <w:r>
        <w:rPr>
          <w:rFonts w:hint="eastAsia"/>
          <w:sz w:val="24"/>
          <w:lang w:val="en-US" w:eastAsia="zh-CN"/>
        </w:rPr>
        <w:t>供应商</w:t>
      </w:r>
      <w:r>
        <w:rPr>
          <w:sz w:val="24"/>
        </w:rPr>
        <w:t>当时没有提出异议的，事后不得针对上述事项提出质疑。</w:t>
      </w:r>
    </w:p>
    <w:p>
      <w:pPr>
        <w:snapToGrid w:val="0"/>
        <w:spacing w:line="480" w:lineRule="exact"/>
        <w:ind w:firstLine="482" w:firstLineChars="200"/>
        <w:rPr>
          <w:b/>
          <w:sz w:val="24"/>
        </w:rPr>
      </w:pPr>
      <w:r>
        <w:rPr>
          <w:rFonts w:hint="eastAsia"/>
          <w:b/>
          <w:sz w:val="24"/>
          <w:lang w:val="en-US" w:eastAsia="zh-CN"/>
        </w:rPr>
        <w:t>十</w:t>
      </w:r>
      <w:r>
        <w:rPr>
          <w:b/>
          <w:sz w:val="24"/>
        </w:rPr>
        <w:t>、变更为其他方式采购的情形</w:t>
      </w:r>
    </w:p>
    <w:p>
      <w:pPr>
        <w:autoSpaceDE w:val="0"/>
        <w:autoSpaceDN w:val="0"/>
        <w:adjustRightInd w:val="0"/>
        <w:snapToGrid w:val="0"/>
        <w:spacing w:line="480" w:lineRule="exact"/>
        <w:ind w:firstLine="480" w:firstLineChars="200"/>
        <w:rPr>
          <w:sz w:val="24"/>
          <w:lang w:val="zh-CN"/>
        </w:rPr>
      </w:pPr>
      <w:r>
        <w:rPr>
          <w:sz w:val="24"/>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Pr>
          <w:sz w:val="24"/>
          <w:lang w:val="zh-CN"/>
        </w:rPr>
        <w:t>磋商文件中对供应商资质、技术等要求，将作为</w:t>
      </w:r>
      <w:r>
        <w:rPr>
          <w:sz w:val="24"/>
        </w:rPr>
        <w:t>其他</w:t>
      </w:r>
      <w:r>
        <w:rPr>
          <w:sz w:val="24"/>
          <w:lang w:val="zh-CN"/>
        </w:rPr>
        <w:t>方式采购的基本要求和依据。原已经参加磋商并符合要求的供应商，根据自愿原则，参加</w:t>
      </w:r>
      <w:r>
        <w:rPr>
          <w:sz w:val="24"/>
        </w:rPr>
        <w:t>其他</w:t>
      </w:r>
      <w:r>
        <w:rPr>
          <w:sz w:val="24"/>
          <w:lang w:val="zh-CN"/>
        </w:rPr>
        <w:t>方式采购。</w:t>
      </w:r>
    </w:p>
    <w:p>
      <w:pPr>
        <w:pStyle w:val="115"/>
        <w:snapToGrid w:val="0"/>
        <w:spacing w:line="480" w:lineRule="exact"/>
        <w:ind w:firstLine="496"/>
        <w:contextualSpacing/>
        <w:rPr>
          <w:rFonts w:ascii="Times New Roman" w:hAnsi="Times New Roman" w:eastAsia="宋体"/>
          <w:sz w:val="24"/>
          <w:szCs w:val="24"/>
        </w:rPr>
      </w:pPr>
      <w:r>
        <w:rPr>
          <w:rFonts w:hint="eastAsia" w:ascii="Times New Roman" w:hAnsi="Times New Roman" w:eastAsia="宋体"/>
          <w:b/>
          <w:sz w:val="24"/>
          <w:szCs w:val="24"/>
          <w:lang w:val="en-US" w:eastAsia="zh-CN"/>
        </w:rPr>
        <w:t>十一</w:t>
      </w:r>
      <w:r>
        <w:rPr>
          <w:rFonts w:ascii="Times New Roman" w:hAnsi="Times New Roman" w:eastAsia="宋体"/>
          <w:b/>
          <w:sz w:val="24"/>
          <w:szCs w:val="24"/>
        </w:rPr>
        <w:t>、出现下列情形之一的，竞争性磋商采购活动终止，发布项目终止公告并说明原因，重新开展采购活动：</w:t>
      </w:r>
    </w:p>
    <w:p>
      <w:pPr>
        <w:pStyle w:val="115"/>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（一）因情况变化，不再符合规定的竞争性磋商采购方式适用情形的；</w:t>
      </w:r>
    </w:p>
    <w:p>
      <w:pPr>
        <w:pStyle w:val="115"/>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（二）出现影响采购公正的违法、违规行为的；</w:t>
      </w:r>
    </w:p>
    <w:p>
      <w:pPr>
        <w:pStyle w:val="115"/>
        <w:snapToGrid w:val="0"/>
        <w:spacing w:line="480" w:lineRule="exact"/>
        <w:ind w:firstLine="480" w:firstLineChars="200"/>
        <w:contextualSpacing/>
        <w:rPr>
          <w:rFonts w:ascii="Times New Roman" w:hAnsi="Times New Roman" w:eastAsia="宋体"/>
          <w:sz w:val="24"/>
          <w:szCs w:val="24"/>
        </w:rPr>
      </w:pPr>
      <w:r>
        <w:rPr>
          <w:rFonts w:ascii="Times New Roman" w:hAnsi="Times New Roman" w:eastAsia="宋体"/>
          <w:sz w:val="24"/>
          <w:szCs w:val="24"/>
        </w:rPr>
        <w:t>（三）在采购过程中符合要求的供应商或者报价未超过采购预算的供应商不足3家的（市场竞争不充分的科研项目，以及需要扶持的科技成果转化项目除外）。</w:t>
      </w:r>
    </w:p>
    <w:p>
      <w:pPr>
        <w:pStyle w:val="2"/>
      </w:pPr>
    </w:p>
    <w:p>
      <w:pPr>
        <w:pStyle w:val="6"/>
        <w:keepNext w:val="0"/>
        <w:keepLines w:val="0"/>
        <w:numPr>
          <w:ilvl w:val="0"/>
          <w:numId w:val="0"/>
        </w:numPr>
        <w:snapToGrid w:val="0"/>
        <w:spacing w:before="0" w:after="0" w:line="360" w:lineRule="auto"/>
        <w:jc w:val="center"/>
        <w:rPr>
          <w:rFonts w:ascii="宋体" w:hAnsi="宋体"/>
          <w:sz w:val="24"/>
          <w:szCs w:val="24"/>
        </w:rPr>
      </w:pPr>
      <w:r>
        <w:rPr>
          <w:rFonts w:ascii="宋体"/>
          <w:w w:val="80"/>
        </w:rPr>
        <w:br w:type="page"/>
      </w:r>
      <w:bookmarkEnd w:id="71"/>
      <w:bookmarkEnd w:id="72"/>
      <w:r>
        <w:rPr>
          <w:rFonts w:hint="eastAsia" w:ascii="宋体" w:hAnsi="宋体" w:cs="宋体"/>
          <w:w w:val="80"/>
        </w:rPr>
        <w:t>第五章  合同主要条款</w:t>
      </w:r>
      <w:bookmarkStart w:id="86" w:name="_Toc20744795"/>
      <w:bookmarkStart w:id="87" w:name="_Toc20744258"/>
      <w:bookmarkStart w:id="88" w:name="_Toc39047827"/>
    </w:p>
    <w:bookmarkEnd w:id="86"/>
    <w:bookmarkEnd w:id="87"/>
    <w:bookmarkEnd w:id="88"/>
    <w:p>
      <w:pPr>
        <w:spacing w:line="360" w:lineRule="auto"/>
        <w:jc w:val="center"/>
        <w:outlineLvl w:val="0"/>
        <w:rPr>
          <w:rFonts w:hint="eastAsia" w:ascii="宋体" w:hAnsi="宋体" w:cs="宋体"/>
          <w:b/>
          <w:iCs/>
          <w:w w:val="80"/>
          <w:sz w:val="44"/>
          <w:szCs w:val="44"/>
          <w:highlight w:val="none"/>
        </w:rPr>
      </w:pPr>
      <w:bookmarkStart w:id="89" w:name="_Toc29250"/>
      <w:r>
        <w:rPr>
          <w:rFonts w:hint="eastAsia" w:ascii="宋体" w:hAnsi="宋体" w:cs="宋体"/>
          <w:b/>
          <w:iCs/>
          <w:w w:val="80"/>
          <w:sz w:val="44"/>
          <w:szCs w:val="44"/>
          <w:highlight w:val="none"/>
        </w:rPr>
        <w:t>合 同 书</w:t>
      </w:r>
      <w:bookmarkEnd w:id="89"/>
      <w:r>
        <w:rPr>
          <w:rFonts w:hint="eastAsia" w:ascii="宋体" w:hAnsi="宋体" w:cs="宋体"/>
          <w:b/>
          <w:iCs/>
          <w:w w:val="80"/>
          <w:sz w:val="44"/>
          <w:szCs w:val="44"/>
          <w:highlight w:val="none"/>
        </w:rPr>
        <w:t xml:space="preserve"> </w:t>
      </w:r>
    </w:p>
    <w:p>
      <w:pPr>
        <w:keepNext w:val="0"/>
        <w:keepLines w:val="0"/>
        <w:pageBreakBefore w:val="0"/>
        <w:widowControl w:val="0"/>
        <w:kinsoku/>
        <w:wordWrap/>
        <w:overflowPunct/>
        <w:topLinePunct w:val="0"/>
        <w:bidi w:val="0"/>
        <w:snapToGrid/>
        <w:spacing w:line="480" w:lineRule="auto"/>
        <w:ind w:firstLine="482" w:firstLineChars="200"/>
        <w:textAlignment w:val="auto"/>
        <w:outlineLvl w:val="2"/>
        <w:rPr>
          <w:rFonts w:hint="eastAsia" w:ascii="宋体" w:hAnsi="宋体" w:cs="宋体"/>
          <w:b/>
          <w:bCs w:val="0"/>
          <w:kern w:val="0"/>
          <w:sz w:val="24"/>
          <w:szCs w:val="24"/>
          <w:highlight w:val="none"/>
        </w:rPr>
      </w:pPr>
      <w:r>
        <w:rPr>
          <w:rFonts w:hint="eastAsia" w:ascii="宋体" w:hAnsi="宋体" w:cs="宋体"/>
          <w:b/>
          <w:bCs w:val="0"/>
          <w:kern w:val="0"/>
          <w:sz w:val="24"/>
          <w:szCs w:val="24"/>
          <w:highlight w:val="none"/>
          <w:lang w:eastAsia="zh-CN"/>
        </w:rPr>
        <w:t>甲</w:t>
      </w:r>
      <w:r>
        <w:rPr>
          <w:rFonts w:hint="eastAsia" w:ascii="宋体" w:hAnsi="宋体" w:cs="宋体"/>
          <w:b/>
          <w:bCs w:val="0"/>
          <w:kern w:val="0"/>
          <w:sz w:val="24"/>
          <w:szCs w:val="24"/>
          <w:highlight w:val="none"/>
        </w:rPr>
        <w:t>方：</w:t>
      </w:r>
      <w:r>
        <w:rPr>
          <w:rFonts w:hint="eastAsia" w:ascii="宋体" w:hAnsi="宋体" w:cs="宋体"/>
          <w:b/>
          <w:bCs w:val="0"/>
          <w:kern w:val="0"/>
          <w:sz w:val="24"/>
          <w:szCs w:val="24"/>
          <w:highlight w:val="none"/>
          <w:u w:val="single"/>
          <w:lang w:val="en-US" w:eastAsia="zh-CN"/>
        </w:rPr>
        <w:t xml:space="preserve">                                    </w:t>
      </w:r>
      <w:r>
        <w:rPr>
          <w:rFonts w:hint="eastAsia" w:ascii="宋体" w:hAnsi="宋体" w:cs="宋体"/>
          <w:b/>
          <w:bCs w:val="0"/>
          <w:kern w:val="0"/>
          <w:sz w:val="24"/>
          <w:szCs w:val="24"/>
          <w:highlight w:val="none"/>
        </w:rPr>
        <w:t xml:space="preserve">                   </w:t>
      </w:r>
    </w:p>
    <w:p>
      <w:pPr>
        <w:keepNext w:val="0"/>
        <w:keepLines w:val="0"/>
        <w:pageBreakBefore w:val="0"/>
        <w:widowControl w:val="0"/>
        <w:kinsoku/>
        <w:wordWrap/>
        <w:overflowPunct/>
        <w:topLinePunct w:val="0"/>
        <w:bidi w:val="0"/>
        <w:snapToGrid/>
        <w:spacing w:line="480" w:lineRule="auto"/>
        <w:ind w:firstLine="482" w:firstLineChars="200"/>
        <w:textAlignment w:val="auto"/>
        <w:outlineLvl w:val="2"/>
        <w:rPr>
          <w:rFonts w:hint="eastAsia" w:ascii="宋体" w:hAnsi="宋体" w:cs="宋体"/>
          <w:b w:val="0"/>
          <w:bCs/>
          <w:kern w:val="0"/>
          <w:sz w:val="24"/>
          <w:szCs w:val="24"/>
          <w:highlight w:val="none"/>
        </w:rPr>
      </w:pPr>
      <w:r>
        <w:rPr>
          <w:rFonts w:hint="eastAsia" w:ascii="宋体" w:hAnsi="宋体" w:cs="宋体"/>
          <w:b/>
          <w:bCs w:val="0"/>
          <w:kern w:val="0"/>
          <w:sz w:val="24"/>
          <w:szCs w:val="24"/>
          <w:highlight w:val="none"/>
          <w:lang w:eastAsia="zh-CN"/>
        </w:rPr>
        <w:t>乙方：</w:t>
      </w:r>
      <w:r>
        <w:rPr>
          <w:rFonts w:hint="eastAsia" w:ascii="宋体" w:hAnsi="宋体" w:cs="宋体"/>
          <w:b/>
          <w:bCs w:val="0"/>
          <w:kern w:val="0"/>
          <w:sz w:val="24"/>
          <w:szCs w:val="24"/>
          <w:highlight w:val="none"/>
          <w:u w:val="single"/>
          <w:lang w:val="en-US" w:eastAsia="zh-CN"/>
        </w:rPr>
        <w:t xml:space="preserve">                                    </w:t>
      </w:r>
      <w:r>
        <w:rPr>
          <w:rFonts w:hint="eastAsia" w:ascii="宋体" w:hAnsi="宋体" w:cs="宋体"/>
          <w:b/>
          <w:bCs w:val="0"/>
          <w:kern w:val="0"/>
          <w:sz w:val="24"/>
          <w:szCs w:val="24"/>
          <w:highlight w:val="none"/>
        </w:rPr>
        <w:t xml:space="preserve">   </w:t>
      </w:r>
      <w:r>
        <w:rPr>
          <w:rFonts w:hint="eastAsia" w:ascii="宋体" w:hAnsi="宋体" w:cs="宋体"/>
          <w:b w:val="0"/>
          <w:bCs/>
          <w:kern w:val="0"/>
          <w:sz w:val="24"/>
          <w:szCs w:val="24"/>
          <w:highlight w:val="none"/>
        </w:rPr>
        <w:t xml:space="preserve">                </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rPr>
      </w:pPr>
      <w:r>
        <w:rPr>
          <w:rFonts w:hint="eastAsia" w:ascii="宋体" w:hAnsi="宋体" w:cs="宋体"/>
          <w:b w:val="0"/>
          <w:bCs/>
          <w:kern w:val="0"/>
          <w:sz w:val="24"/>
          <w:szCs w:val="24"/>
          <w:highlight w:val="none"/>
          <w:lang w:eastAsia="zh-CN"/>
        </w:rPr>
        <w:t>甲</w:t>
      </w:r>
      <w:r>
        <w:rPr>
          <w:rFonts w:hint="eastAsia" w:ascii="宋体" w:hAnsi="宋体" w:cs="宋体"/>
          <w:b w:val="0"/>
          <w:bCs/>
          <w:kern w:val="0"/>
          <w:sz w:val="24"/>
          <w:szCs w:val="24"/>
          <w:highlight w:val="none"/>
        </w:rPr>
        <w:t>乙双方本着平等自愿、诚实信用、协商一致的原则，根据《中华人民共和国合同法》及电力行业的有关规定，并结合本项目的具体情况，订立如下合同，以资共同遵守：</w:t>
      </w:r>
    </w:p>
    <w:p>
      <w:pPr>
        <w:keepNext w:val="0"/>
        <w:keepLines w:val="0"/>
        <w:pageBreakBefore w:val="0"/>
        <w:widowControl w:val="0"/>
        <w:numPr>
          <w:ilvl w:val="0"/>
          <w:numId w:val="9"/>
        </w:numPr>
        <w:kinsoku/>
        <w:wordWrap/>
        <w:overflowPunct/>
        <w:topLinePunct w:val="0"/>
        <w:bidi w:val="0"/>
        <w:snapToGrid/>
        <w:spacing w:line="480" w:lineRule="auto"/>
        <w:ind w:firstLine="480" w:firstLineChars="200"/>
        <w:textAlignment w:val="auto"/>
        <w:outlineLvl w:val="1"/>
        <w:rPr>
          <w:rFonts w:hint="eastAsia" w:ascii="宋体" w:hAnsi="宋体" w:cs="宋体"/>
          <w:b w:val="0"/>
          <w:bCs/>
          <w:color w:val="auto"/>
          <w:sz w:val="24"/>
          <w:szCs w:val="24"/>
          <w:highlight w:val="none"/>
        </w:rPr>
      </w:pPr>
      <w:r>
        <w:rPr>
          <w:rFonts w:hint="eastAsia" w:ascii="宋体" w:hAnsi="宋体" w:cs="宋体"/>
          <w:b w:val="0"/>
          <w:bCs/>
          <w:sz w:val="24"/>
          <w:szCs w:val="24"/>
          <w:highlight w:val="none"/>
          <w:lang w:eastAsia="zh-CN"/>
        </w:rPr>
        <w:t>项目名称：南通市妇幼保健院</w:t>
      </w:r>
      <w:r>
        <w:rPr>
          <w:rFonts w:hint="eastAsia" w:ascii="宋体" w:hAnsi="宋体" w:cs="宋体"/>
          <w:b w:val="0"/>
          <w:bCs/>
          <w:color w:val="auto"/>
          <w:sz w:val="24"/>
          <w:szCs w:val="24"/>
          <w:highlight w:val="none"/>
          <w:lang w:eastAsia="zh-CN"/>
        </w:rPr>
        <w:t>低压电气设备设施维护维修服务项目</w:t>
      </w:r>
      <w:r>
        <w:rPr>
          <w:rFonts w:hint="eastAsia" w:ascii="宋体" w:hAnsi="宋体" w:cs="宋体"/>
          <w:b w:val="0"/>
          <w:bCs/>
          <w:color w:val="auto"/>
          <w:sz w:val="24"/>
          <w:szCs w:val="24"/>
          <w:highlight w:val="none"/>
        </w:rPr>
        <w:t xml:space="preserve"> </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lang w:eastAsia="zh-CN"/>
        </w:rPr>
        <w:t>二</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eastAsia="zh-CN"/>
        </w:rPr>
        <w:t>服务</w:t>
      </w:r>
      <w:r>
        <w:rPr>
          <w:rFonts w:hint="eastAsia" w:ascii="宋体" w:hAnsi="宋体" w:cs="宋体"/>
          <w:b w:val="0"/>
          <w:bCs/>
          <w:color w:val="auto"/>
          <w:kern w:val="0"/>
          <w:sz w:val="24"/>
          <w:szCs w:val="24"/>
          <w:highlight w:val="none"/>
        </w:rPr>
        <w:t>期限：本项目合同服务期暂定三年，</w:t>
      </w:r>
      <w:r>
        <w:rPr>
          <w:rFonts w:hint="eastAsia" w:ascii="宋体" w:hAnsi="宋体" w:cs="宋体"/>
          <w:b w:val="0"/>
          <w:bCs/>
          <w:color w:val="auto"/>
          <w:kern w:val="0"/>
          <w:sz w:val="24"/>
          <w:szCs w:val="24"/>
          <w:highlight w:val="none"/>
          <w:lang w:eastAsia="zh-CN"/>
        </w:rPr>
        <w:t>（</w:t>
      </w:r>
      <w:r>
        <w:rPr>
          <w:rFonts w:hint="eastAsia" w:ascii="宋体" w:hAnsi="宋体" w:cs="宋体"/>
          <w:b w:val="0"/>
          <w:bCs/>
          <w:color w:val="auto"/>
          <w:kern w:val="0"/>
          <w:sz w:val="24"/>
          <w:szCs w:val="24"/>
          <w:highlight w:val="none"/>
          <w:lang w:val="en-US" w:eastAsia="zh-CN"/>
        </w:rPr>
        <w:t>本合同</w:t>
      </w:r>
      <w:bookmarkStart w:id="96" w:name="_GoBack"/>
      <w:bookmarkEnd w:id="96"/>
      <w:r>
        <w:rPr>
          <w:rFonts w:hint="eastAsia" w:ascii="宋体" w:hAnsi="宋体" w:cs="宋体"/>
          <w:b w:val="0"/>
          <w:bCs/>
          <w:color w:val="auto"/>
          <w:kern w:val="0"/>
          <w:sz w:val="24"/>
          <w:szCs w:val="24"/>
          <w:highlight w:val="none"/>
          <w:lang w:val="en-US" w:eastAsia="zh-CN"/>
        </w:rPr>
        <w:t>自2022年</w:t>
      </w:r>
      <w:r>
        <w:rPr>
          <w:rFonts w:hint="eastAsia" w:ascii="宋体" w:hAnsi="宋体" w:cs="宋体"/>
          <w:b w:val="0"/>
          <w:bCs/>
          <w:color w:val="auto"/>
          <w:kern w:val="0"/>
          <w:sz w:val="24"/>
          <w:szCs w:val="24"/>
          <w:highlight w:val="none"/>
          <w:u w:val="single"/>
          <w:lang w:val="en-US" w:eastAsia="zh-CN"/>
        </w:rPr>
        <w:t xml:space="preserve">   </w:t>
      </w:r>
      <w:r>
        <w:rPr>
          <w:rFonts w:hint="eastAsia" w:ascii="宋体" w:hAnsi="宋体" w:cs="宋体"/>
          <w:b w:val="0"/>
          <w:bCs/>
          <w:color w:val="auto"/>
          <w:kern w:val="0"/>
          <w:sz w:val="24"/>
          <w:szCs w:val="24"/>
          <w:highlight w:val="none"/>
          <w:lang w:val="en-US" w:eastAsia="zh-CN"/>
        </w:rPr>
        <w:t>月</w:t>
      </w:r>
      <w:r>
        <w:rPr>
          <w:rFonts w:hint="eastAsia" w:ascii="宋体" w:hAnsi="宋体" w:cs="宋体"/>
          <w:b w:val="0"/>
          <w:bCs/>
          <w:color w:val="auto"/>
          <w:kern w:val="0"/>
          <w:sz w:val="24"/>
          <w:szCs w:val="24"/>
          <w:highlight w:val="none"/>
          <w:u w:val="single"/>
          <w:lang w:val="en-US" w:eastAsia="zh-CN"/>
        </w:rPr>
        <w:t xml:space="preserve">   </w:t>
      </w:r>
      <w:r>
        <w:rPr>
          <w:rFonts w:hint="eastAsia" w:ascii="宋体" w:hAnsi="宋体" w:cs="宋体"/>
          <w:b w:val="0"/>
          <w:bCs/>
          <w:color w:val="auto"/>
          <w:kern w:val="0"/>
          <w:sz w:val="24"/>
          <w:szCs w:val="24"/>
          <w:highlight w:val="none"/>
          <w:lang w:val="en-US" w:eastAsia="zh-CN"/>
        </w:rPr>
        <w:t>日至2023年</w:t>
      </w:r>
      <w:r>
        <w:rPr>
          <w:rFonts w:hint="eastAsia" w:ascii="宋体" w:hAnsi="宋体" w:cs="宋体"/>
          <w:b w:val="0"/>
          <w:bCs/>
          <w:color w:val="auto"/>
          <w:kern w:val="0"/>
          <w:sz w:val="24"/>
          <w:szCs w:val="24"/>
          <w:highlight w:val="none"/>
          <w:u w:val="single"/>
          <w:lang w:val="en-US" w:eastAsia="zh-CN"/>
        </w:rPr>
        <w:t xml:space="preserve">   </w:t>
      </w:r>
      <w:r>
        <w:rPr>
          <w:rFonts w:hint="eastAsia" w:ascii="宋体" w:hAnsi="宋体" w:cs="宋体"/>
          <w:b w:val="0"/>
          <w:bCs/>
          <w:color w:val="auto"/>
          <w:kern w:val="0"/>
          <w:sz w:val="24"/>
          <w:szCs w:val="24"/>
          <w:highlight w:val="none"/>
          <w:lang w:val="en-US" w:eastAsia="zh-CN"/>
        </w:rPr>
        <w:t>月</w:t>
      </w:r>
      <w:r>
        <w:rPr>
          <w:rFonts w:hint="eastAsia" w:ascii="宋体" w:hAnsi="宋体" w:cs="宋体"/>
          <w:b w:val="0"/>
          <w:bCs/>
          <w:color w:val="auto"/>
          <w:kern w:val="0"/>
          <w:sz w:val="24"/>
          <w:szCs w:val="24"/>
          <w:highlight w:val="none"/>
          <w:u w:val="single"/>
          <w:lang w:val="en-US" w:eastAsia="zh-CN"/>
        </w:rPr>
        <w:t xml:space="preserve">    </w:t>
      </w:r>
      <w:r>
        <w:rPr>
          <w:rFonts w:hint="eastAsia" w:ascii="宋体" w:hAnsi="宋体" w:cs="宋体"/>
          <w:b w:val="0"/>
          <w:bCs/>
          <w:color w:val="auto"/>
          <w:kern w:val="0"/>
          <w:sz w:val="24"/>
          <w:szCs w:val="24"/>
          <w:highlight w:val="none"/>
          <w:lang w:val="en-US" w:eastAsia="zh-CN"/>
        </w:rPr>
        <w:t>日，本合同为第</w:t>
      </w:r>
      <w:r>
        <w:rPr>
          <w:rFonts w:hint="eastAsia" w:ascii="宋体" w:hAnsi="宋体" w:cs="宋体"/>
          <w:b w:val="0"/>
          <w:bCs/>
          <w:color w:val="auto"/>
          <w:kern w:val="0"/>
          <w:sz w:val="24"/>
          <w:szCs w:val="24"/>
          <w:highlight w:val="none"/>
          <w:u w:val="single"/>
          <w:lang w:val="en-US" w:eastAsia="zh-CN"/>
        </w:rPr>
        <w:t xml:space="preserve">    </w:t>
      </w:r>
      <w:r>
        <w:rPr>
          <w:rFonts w:hint="eastAsia" w:ascii="宋体" w:hAnsi="宋体" w:cs="宋体"/>
          <w:b w:val="0"/>
          <w:bCs/>
          <w:color w:val="auto"/>
          <w:kern w:val="0"/>
          <w:sz w:val="24"/>
          <w:szCs w:val="24"/>
          <w:highlight w:val="none"/>
          <w:lang w:val="en-US" w:eastAsia="zh-CN"/>
        </w:rPr>
        <w:t>年度。</w:t>
      </w:r>
      <w:r>
        <w:rPr>
          <w:rFonts w:hint="eastAsia" w:ascii="宋体" w:hAnsi="宋体" w:cs="宋体"/>
          <w:b w:val="0"/>
          <w:bCs/>
          <w:color w:val="auto"/>
          <w:kern w:val="0"/>
          <w:sz w:val="24"/>
          <w:szCs w:val="24"/>
          <w:highlight w:val="none"/>
          <w:lang w:eastAsia="zh-CN"/>
        </w:rPr>
        <w:t>）</w:t>
      </w:r>
      <w:r>
        <w:rPr>
          <w:rFonts w:hint="eastAsia" w:ascii="宋体" w:hAnsi="宋体" w:cs="宋体"/>
          <w:b w:val="0"/>
          <w:bCs/>
          <w:color w:val="auto"/>
          <w:kern w:val="0"/>
          <w:sz w:val="24"/>
          <w:szCs w:val="24"/>
          <w:highlight w:val="none"/>
        </w:rPr>
        <w:t>。如</w:t>
      </w:r>
      <w:r>
        <w:rPr>
          <w:rFonts w:hint="eastAsia" w:ascii="宋体" w:hAnsi="宋体" w:cs="宋体"/>
          <w:b w:val="0"/>
          <w:bCs/>
          <w:color w:val="auto"/>
          <w:kern w:val="0"/>
          <w:sz w:val="24"/>
          <w:szCs w:val="24"/>
          <w:highlight w:val="none"/>
          <w:lang w:eastAsia="zh-CN"/>
        </w:rPr>
        <w:t>乙方</w:t>
      </w:r>
      <w:r>
        <w:rPr>
          <w:rFonts w:hint="eastAsia" w:ascii="宋体" w:hAnsi="宋体" w:cs="宋体"/>
          <w:b w:val="0"/>
          <w:bCs/>
          <w:color w:val="auto"/>
          <w:kern w:val="0"/>
          <w:sz w:val="24"/>
          <w:szCs w:val="24"/>
          <w:highlight w:val="none"/>
        </w:rPr>
        <w:t>在合同期内履约情况优秀（即年度综合考核得分≥90分），则在第一年合同期满时，且</w:t>
      </w:r>
      <w:r>
        <w:rPr>
          <w:rFonts w:hint="eastAsia" w:ascii="宋体" w:hAnsi="宋体" w:cs="宋体"/>
          <w:b w:val="0"/>
          <w:bCs/>
          <w:color w:val="auto"/>
          <w:kern w:val="0"/>
          <w:sz w:val="24"/>
          <w:szCs w:val="24"/>
          <w:highlight w:val="none"/>
          <w:lang w:eastAsia="zh-CN"/>
        </w:rPr>
        <w:t>甲方、乙方</w:t>
      </w:r>
      <w:r>
        <w:rPr>
          <w:rFonts w:hint="eastAsia" w:ascii="宋体" w:hAnsi="宋体" w:cs="宋体"/>
          <w:b w:val="0"/>
          <w:bCs/>
          <w:color w:val="auto"/>
          <w:kern w:val="0"/>
          <w:sz w:val="24"/>
          <w:szCs w:val="24"/>
          <w:highlight w:val="none"/>
        </w:rPr>
        <w:t>双方愿意，成交供应商承诺不增加服务费用的前提下，双方可续签下一年度合同，但最多续签两次。如</w:t>
      </w:r>
      <w:r>
        <w:rPr>
          <w:rFonts w:hint="eastAsia" w:ascii="宋体" w:hAnsi="宋体" w:cs="宋体"/>
          <w:b w:val="0"/>
          <w:bCs/>
          <w:color w:val="auto"/>
          <w:kern w:val="0"/>
          <w:sz w:val="24"/>
          <w:szCs w:val="24"/>
          <w:highlight w:val="none"/>
          <w:lang w:eastAsia="zh-CN"/>
        </w:rPr>
        <w:t>乙方</w:t>
      </w:r>
      <w:r>
        <w:rPr>
          <w:rFonts w:hint="eastAsia" w:ascii="宋体" w:hAnsi="宋体" w:cs="宋体"/>
          <w:b w:val="0"/>
          <w:bCs/>
          <w:color w:val="auto"/>
          <w:kern w:val="0"/>
          <w:sz w:val="24"/>
          <w:szCs w:val="24"/>
          <w:highlight w:val="none"/>
        </w:rPr>
        <w:t>在合同期内年度综合考核得分＜</w:t>
      </w:r>
      <w:r>
        <w:rPr>
          <w:rFonts w:hint="eastAsia" w:ascii="宋体" w:hAnsi="宋体" w:cs="宋体"/>
          <w:b w:val="0"/>
          <w:bCs/>
          <w:color w:val="auto"/>
          <w:kern w:val="0"/>
          <w:sz w:val="24"/>
          <w:szCs w:val="24"/>
          <w:highlight w:val="none"/>
          <w:lang w:val="en-US" w:eastAsia="zh-CN"/>
        </w:rPr>
        <w:t>90分</w:t>
      </w:r>
      <w:r>
        <w:rPr>
          <w:rFonts w:hint="eastAsia" w:ascii="宋体" w:hAnsi="宋体" w:cs="宋体"/>
          <w:b w:val="0"/>
          <w:bCs/>
          <w:color w:val="auto"/>
          <w:kern w:val="0"/>
          <w:sz w:val="24"/>
          <w:szCs w:val="24"/>
          <w:highlight w:val="none"/>
        </w:rPr>
        <w:t>，则</w:t>
      </w:r>
      <w:r>
        <w:rPr>
          <w:rFonts w:hint="eastAsia" w:ascii="宋体" w:hAnsi="宋体" w:cs="宋体"/>
          <w:b w:val="0"/>
          <w:bCs/>
          <w:color w:val="auto"/>
          <w:kern w:val="0"/>
          <w:sz w:val="24"/>
          <w:szCs w:val="24"/>
          <w:highlight w:val="none"/>
          <w:lang w:eastAsia="zh-CN"/>
        </w:rPr>
        <w:t>甲方不</w:t>
      </w:r>
      <w:r>
        <w:rPr>
          <w:rFonts w:hint="eastAsia" w:ascii="宋体" w:hAnsi="宋体" w:cs="宋体"/>
          <w:b w:val="0"/>
          <w:bCs/>
          <w:color w:val="auto"/>
          <w:kern w:val="0"/>
          <w:sz w:val="24"/>
          <w:szCs w:val="24"/>
          <w:highlight w:val="none"/>
        </w:rPr>
        <w:t>再与</w:t>
      </w:r>
      <w:r>
        <w:rPr>
          <w:rFonts w:hint="eastAsia" w:ascii="宋体" w:hAnsi="宋体" w:cs="宋体"/>
          <w:b w:val="0"/>
          <w:bCs/>
          <w:color w:val="auto"/>
          <w:kern w:val="0"/>
          <w:sz w:val="24"/>
          <w:szCs w:val="24"/>
          <w:highlight w:val="none"/>
          <w:lang w:eastAsia="zh-CN"/>
        </w:rPr>
        <w:t>乙方</w:t>
      </w:r>
      <w:r>
        <w:rPr>
          <w:rFonts w:hint="eastAsia" w:ascii="宋体" w:hAnsi="宋体" w:cs="宋体"/>
          <w:b w:val="0"/>
          <w:bCs/>
          <w:color w:val="auto"/>
          <w:kern w:val="0"/>
          <w:sz w:val="24"/>
          <w:szCs w:val="24"/>
          <w:highlight w:val="none"/>
        </w:rPr>
        <w:t>续签合同。</w:t>
      </w:r>
    </w:p>
    <w:p>
      <w:pPr>
        <w:keepNext w:val="0"/>
        <w:keepLines w:val="0"/>
        <w:pageBreakBefore w:val="0"/>
        <w:widowControl w:val="0"/>
        <w:kinsoku/>
        <w:wordWrap/>
        <w:overflowPunct/>
        <w:topLinePunct w:val="0"/>
        <w:bidi w:val="0"/>
        <w:spacing w:line="360" w:lineRule="auto"/>
        <w:ind w:firstLine="480" w:firstLineChars="200"/>
        <w:textAlignment w:val="auto"/>
        <w:outlineLvl w:val="1"/>
        <w:rPr>
          <w:rFonts w:hint="eastAsia" w:ascii="仿宋_GB2312" w:eastAsia="宋体"/>
          <w:color w:val="auto"/>
          <w:sz w:val="32"/>
          <w:szCs w:val="32"/>
          <w:highlight w:val="none"/>
          <w:lang w:val="en-US" w:eastAsia="zh-CN"/>
        </w:rPr>
      </w:pPr>
      <w:r>
        <w:rPr>
          <w:rFonts w:hint="eastAsia" w:ascii="宋体" w:hAnsi="宋体" w:cs="宋体"/>
          <w:b w:val="0"/>
          <w:bCs/>
          <w:color w:val="auto"/>
          <w:sz w:val="24"/>
          <w:szCs w:val="24"/>
          <w:highlight w:val="none"/>
          <w:lang w:eastAsia="zh-CN"/>
        </w:rPr>
        <w:t>三</w:t>
      </w:r>
      <w:r>
        <w:rPr>
          <w:rFonts w:hint="eastAsia" w:ascii="宋体" w:hAnsi="宋体" w:cs="宋体"/>
          <w:b/>
          <w:color w:val="auto"/>
          <w:sz w:val="24"/>
          <w:szCs w:val="24"/>
          <w:highlight w:val="none"/>
        </w:rPr>
        <w:t>、</w:t>
      </w:r>
      <w:r>
        <w:rPr>
          <w:rFonts w:hint="eastAsia"/>
          <w:b/>
          <w:color w:val="auto"/>
          <w:sz w:val="24"/>
          <w:szCs w:val="24"/>
          <w:highlight w:val="none"/>
        </w:rPr>
        <w:t>服务</w:t>
      </w:r>
      <w:r>
        <w:rPr>
          <w:rFonts w:hint="eastAsia"/>
          <w:b/>
          <w:color w:val="auto"/>
          <w:sz w:val="24"/>
          <w:szCs w:val="24"/>
          <w:highlight w:val="none"/>
          <w:lang w:eastAsia="zh-CN"/>
        </w:rPr>
        <w:t>需求</w:t>
      </w:r>
    </w:p>
    <w:p>
      <w:pPr>
        <w:keepNext w:val="0"/>
        <w:keepLines w:val="0"/>
        <w:pageBreakBefore w:val="0"/>
        <w:widowControl w:val="0"/>
        <w:kinsoku/>
        <w:wordWrap/>
        <w:overflowPunct/>
        <w:topLinePunct w:val="0"/>
        <w:bidi w:val="0"/>
        <w:spacing w:line="360" w:lineRule="auto"/>
        <w:ind w:firstLine="482" w:firstLineChars="200"/>
        <w:textAlignment w:val="auto"/>
        <w:outlineLvl w:val="2"/>
        <w:rPr>
          <w:rFonts w:hint="eastAsia" w:ascii="宋体" w:hAnsi="宋体" w:cs="宋体"/>
          <w:b/>
          <w:color w:val="auto"/>
          <w:sz w:val="24"/>
          <w:szCs w:val="24"/>
          <w:highlight w:val="none"/>
        </w:rPr>
      </w:pPr>
      <w:r>
        <w:rPr>
          <w:rFonts w:hint="eastAsia" w:ascii="宋体" w:hAnsi="宋体" w:cs="宋体"/>
          <w:b/>
          <w:color w:val="auto"/>
          <w:sz w:val="24"/>
          <w:szCs w:val="24"/>
          <w:highlight w:val="none"/>
        </w:rPr>
        <w:t>（一）、</w:t>
      </w:r>
      <w:r>
        <w:rPr>
          <w:rFonts w:hint="eastAsia" w:ascii="宋体" w:hAnsi="宋体" w:cs="宋体"/>
          <w:b/>
          <w:color w:val="auto"/>
          <w:sz w:val="24"/>
          <w:szCs w:val="24"/>
          <w:highlight w:val="none"/>
          <w:lang w:eastAsia="zh-CN"/>
        </w:rPr>
        <w:t>乙</w:t>
      </w:r>
      <w:r>
        <w:rPr>
          <w:rFonts w:hint="eastAsia" w:ascii="宋体" w:hAnsi="宋体" w:cs="宋体"/>
          <w:b/>
          <w:color w:val="auto"/>
          <w:sz w:val="24"/>
          <w:szCs w:val="24"/>
          <w:highlight w:val="none"/>
          <w:lang w:val="en-US" w:eastAsia="zh-CN"/>
        </w:rPr>
        <w:t>方服务</w:t>
      </w:r>
      <w:r>
        <w:rPr>
          <w:rFonts w:hint="eastAsia" w:ascii="宋体" w:hAnsi="宋体" w:cs="宋体"/>
          <w:b/>
          <w:color w:val="auto"/>
          <w:sz w:val="24"/>
          <w:szCs w:val="24"/>
          <w:highlight w:val="none"/>
          <w:lang w:eastAsia="zh-CN"/>
        </w:rPr>
        <w:t>方</w:t>
      </w:r>
      <w:r>
        <w:rPr>
          <w:rFonts w:hint="eastAsia" w:ascii="宋体" w:hAnsi="宋体" w:cs="宋体"/>
          <w:b/>
          <w:color w:val="auto"/>
          <w:sz w:val="24"/>
          <w:szCs w:val="24"/>
          <w:highlight w:val="none"/>
        </w:rPr>
        <w:t>式</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eastAsia="zh-CN"/>
        </w:rPr>
        <w:t>乙方</w:t>
      </w:r>
      <w:r>
        <w:rPr>
          <w:rFonts w:hint="eastAsia" w:ascii="宋体" w:hAnsi="宋体" w:cs="宋体"/>
          <w:b w:val="0"/>
          <w:bCs/>
          <w:color w:val="auto"/>
          <w:kern w:val="0"/>
          <w:sz w:val="24"/>
          <w:szCs w:val="24"/>
          <w:highlight w:val="none"/>
        </w:rPr>
        <w:t>以向</w:t>
      </w:r>
      <w:r>
        <w:rPr>
          <w:rFonts w:hint="eastAsia" w:ascii="宋体" w:hAnsi="宋体" w:cs="宋体"/>
          <w:b w:val="0"/>
          <w:bCs/>
          <w:color w:val="auto"/>
          <w:kern w:val="0"/>
          <w:sz w:val="24"/>
          <w:szCs w:val="24"/>
          <w:highlight w:val="none"/>
          <w:lang w:eastAsia="zh-CN"/>
        </w:rPr>
        <w:t>甲方</w:t>
      </w:r>
      <w:r>
        <w:rPr>
          <w:rFonts w:hint="eastAsia" w:ascii="宋体" w:hAnsi="宋体" w:cs="宋体"/>
          <w:b w:val="0"/>
          <w:bCs/>
          <w:color w:val="auto"/>
          <w:kern w:val="0"/>
          <w:sz w:val="24"/>
          <w:szCs w:val="24"/>
          <w:highlight w:val="none"/>
        </w:rPr>
        <w:t>派遣服务人员在双方约定的任务范围内提供服务的方式履行服务任务。</w:t>
      </w:r>
      <w:r>
        <w:rPr>
          <w:rFonts w:hint="eastAsia" w:ascii="宋体" w:hAnsi="宋体" w:cs="宋体"/>
          <w:b w:val="0"/>
          <w:bCs/>
          <w:color w:val="auto"/>
          <w:kern w:val="0"/>
          <w:sz w:val="24"/>
          <w:szCs w:val="24"/>
          <w:highlight w:val="none"/>
          <w:lang w:val="en-US" w:eastAsia="zh-CN"/>
        </w:rPr>
        <w:t>根据国家电力设备运行值班操作规范、制度及甲方任务范围，乙方至少指派4名人员实行本服务。（白班不少于1人，中班不少于1人，夜班不少于1人，排班时间内必须在医院现场）具体人员由乙方安排决定，但乙方必须在实行本服务前将具体人员名单、相关证件（包括特种作业人员操作证低压值班）复印件及排班表提交给甲方。</w:t>
      </w:r>
    </w:p>
    <w:p>
      <w:pPr>
        <w:keepNext w:val="0"/>
        <w:keepLines w:val="0"/>
        <w:pageBreakBefore w:val="0"/>
        <w:widowControl w:val="0"/>
        <w:kinsoku/>
        <w:wordWrap/>
        <w:overflowPunct/>
        <w:topLinePunct w:val="0"/>
        <w:bidi w:val="0"/>
        <w:spacing w:line="360" w:lineRule="auto"/>
        <w:ind w:firstLine="482" w:firstLineChars="200"/>
        <w:textAlignment w:val="auto"/>
        <w:outlineLvl w:val="2"/>
        <w:rPr>
          <w:rFonts w:hint="eastAsia" w:ascii="宋体" w:hAnsi="宋体" w:cs="宋体"/>
          <w:b/>
          <w:sz w:val="24"/>
          <w:szCs w:val="24"/>
          <w:highlight w:val="none"/>
        </w:rPr>
      </w:pPr>
      <w:r>
        <w:rPr>
          <w:rFonts w:hint="eastAsia" w:ascii="宋体" w:hAnsi="宋体" w:cs="宋体"/>
          <w:b/>
          <w:sz w:val="24"/>
          <w:szCs w:val="24"/>
          <w:highlight w:val="none"/>
        </w:rPr>
        <w:t>（二）、服务范围及内容</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val="en-US" w:eastAsia="zh-CN"/>
        </w:rPr>
        <w:t>1</w:t>
      </w:r>
      <w:r>
        <w:rPr>
          <w:rFonts w:hint="eastAsia" w:ascii="宋体" w:hAnsi="宋体" w:cs="宋体"/>
          <w:b w:val="0"/>
          <w:bCs/>
          <w:kern w:val="0"/>
          <w:sz w:val="24"/>
          <w:szCs w:val="24"/>
          <w:highlight w:val="none"/>
          <w:lang w:eastAsia="zh-CN"/>
        </w:rPr>
        <w:t>.各类电气设备、设施的日常巡视、维护、记录</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eastAsia="zh-CN"/>
        </w:rPr>
        <w:t>（</w:t>
      </w:r>
      <w:r>
        <w:rPr>
          <w:rFonts w:hint="eastAsia" w:ascii="宋体" w:hAnsi="宋体" w:cs="宋体"/>
          <w:b w:val="0"/>
          <w:bCs/>
          <w:kern w:val="0"/>
          <w:sz w:val="24"/>
          <w:szCs w:val="24"/>
          <w:highlight w:val="none"/>
          <w:lang w:val="en-US" w:eastAsia="zh-CN"/>
        </w:rPr>
        <w:t>1</w:t>
      </w:r>
      <w:r>
        <w:rPr>
          <w:rFonts w:hint="eastAsia" w:ascii="宋体" w:hAnsi="宋体" w:cs="宋体"/>
          <w:b w:val="0"/>
          <w:bCs/>
          <w:kern w:val="0"/>
          <w:sz w:val="24"/>
          <w:szCs w:val="24"/>
          <w:highlight w:val="none"/>
          <w:lang w:eastAsia="zh-CN"/>
        </w:rPr>
        <w:t>.1）按要求每周巡视一次，并做好巡视记录；</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eastAsia="zh-CN"/>
        </w:rPr>
        <w:t>（</w:t>
      </w:r>
      <w:r>
        <w:rPr>
          <w:rFonts w:hint="eastAsia" w:ascii="宋体" w:hAnsi="宋体" w:cs="宋体"/>
          <w:b w:val="0"/>
          <w:bCs/>
          <w:kern w:val="0"/>
          <w:sz w:val="24"/>
          <w:szCs w:val="24"/>
          <w:highlight w:val="none"/>
          <w:lang w:val="en-US" w:eastAsia="zh-CN"/>
        </w:rPr>
        <w:t>1</w:t>
      </w:r>
      <w:r>
        <w:rPr>
          <w:rFonts w:hint="eastAsia" w:ascii="宋体" w:hAnsi="宋体" w:cs="宋体"/>
          <w:b w:val="0"/>
          <w:bCs/>
          <w:kern w:val="0"/>
          <w:sz w:val="24"/>
          <w:szCs w:val="24"/>
          <w:highlight w:val="none"/>
          <w:lang w:eastAsia="zh-CN"/>
        </w:rPr>
        <w:t>.2）出现故障及时处理、报修、记录；</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eastAsia="zh-CN"/>
        </w:rPr>
        <w:t>（</w:t>
      </w:r>
      <w:r>
        <w:rPr>
          <w:rFonts w:hint="eastAsia" w:ascii="宋体" w:hAnsi="宋体" w:cs="宋体"/>
          <w:b w:val="0"/>
          <w:bCs/>
          <w:kern w:val="0"/>
          <w:sz w:val="24"/>
          <w:szCs w:val="24"/>
          <w:highlight w:val="none"/>
          <w:lang w:val="en-US" w:eastAsia="zh-CN"/>
        </w:rPr>
        <w:t>1</w:t>
      </w:r>
      <w:r>
        <w:rPr>
          <w:rFonts w:hint="eastAsia" w:ascii="宋体" w:hAnsi="宋体" w:cs="宋体"/>
          <w:b w:val="0"/>
          <w:bCs/>
          <w:kern w:val="0"/>
          <w:sz w:val="24"/>
          <w:szCs w:val="24"/>
          <w:highlight w:val="none"/>
          <w:lang w:eastAsia="zh-CN"/>
        </w:rPr>
        <w:t>.3）其他简单事项；</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val="en-US" w:eastAsia="zh-CN"/>
        </w:rPr>
        <w:t>2</w:t>
      </w:r>
      <w:r>
        <w:rPr>
          <w:rFonts w:hint="eastAsia" w:ascii="宋体" w:hAnsi="宋体" w:cs="宋体"/>
          <w:b w:val="0"/>
          <w:bCs/>
          <w:kern w:val="0"/>
          <w:sz w:val="24"/>
          <w:szCs w:val="24"/>
          <w:highlight w:val="none"/>
          <w:lang w:eastAsia="zh-CN"/>
        </w:rPr>
        <w:t>.楼层、区域弱电间的日常巡视、记录</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eastAsia="zh-CN"/>
        </w:rPr>
        <w:t>（</w:t>
      </w:r>
      <w:r>
        <w:rPr>
          <w:rFonts w:hint="eastAsia" w:ascii="宋体" w:hAnsi="宋体" w:cs="宋体"/>
          <w:b w:val="0"/>
          <w:bCs/>
          <w:kern w:val="0"/>
          <w:sz w:val="24"/>
          <w:szCs w:val="24"/>
          <w:highlight w:val="none"/>
          <w:lang w:val="en-US" w:eastAsia="zh-CN"/>
        </w:rPr>
        <w:t>2</w:t>
      </w:r>
      <w:r>
        <w:rPr>
          <w:rFonts w:hint="eastAsia" w:ascii="宋体" w:hAnsi="宋体" w:cs="宋体"/>
          <w:b w:val="0"/>
          <w:bCs/>
          <w:kern w:val="0"/>
          <w:sz w:val="24"/>
          <w:szCs w:val="24"/>
          <w:highlight w:val="none"/>
          <w:lang w:eastAsia="zh-CN"/>
        </w:rPr>
        <w:t>.1）每周巡查一次，并做好记录；</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eastAsia="zh-CN"/>
        </w:rPr>
        <w:t>（</w:t>
      </w:r>
      <w:r>
        <w:rPr>
          <w:rFonts w:hint="eastAsia" w:ascii="宋体" w:hAnsi="宋体" w:cs="宋体"/>
          <w:b w:val="0"/>
          <w:bCs/>
          <w:kern w:val="0"/>
          <w:sz w:val="24"/>
          <w:szCs w:val="24"/>
          <w:highlight w:val="none"/>
          <w:lang w:val="en-US" w:eastAsia="zh-CN"/>
        </w:rPr>
        <w:t>2</w:t>
      </w:r>
      <w:r>
        <w:rPr>
          <w:rFonts w:hint="eastAsia" w:ascii="宋体" w:hAnsi="宋体" w:cs="宋体"/>
          <w:b w:val="0"/>
          <w:bCs/>
          <w:kern w:val="0"/>
          <w:sz w:val="24"/>
          <w:szCs w:val="24"/>
          <w:highlight w:val="none"/>
          <w:lang w:eastAsia="zh-CN"/>
        </w:rPr>
        <w:t>.2）出现故障及时处理、报修、记录；</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eastAsia="zh-CN"/>
        </w:rPr>
        <w:t>（</w:t>
      </w:r>
      <w:r>
        <w:rPr>
          <w:rFonts w:hint="eastAsia" w:ascii="宋体" w:hAnsi="宋体" w:cs="宋体"/>
          <w:b w:val="0"/>
          <w:bCs/>
          <w:kern w:val="0"/>
          <w:sz w:val="24"/>
          <w:szCs w:val="24"/>
          <w:highlight w:val="none"/>
          <w:lang w:val="en-US" w:eastAsia="zh-CN"/>
        </w:rPr>
        <w:t>2</w:t>
      </w:r>
      <w:r>
        <w:rPr>
          <w:rFonts w:hint="eastAsia" w:ascii="宋体" w:hAnsi="宋体" w:cs="宋体"/>
          <w:b w:val="0"/>
          <w:bCs/>
          <w:kern w:val="0"/>
          <w:sz w:val="24"/>
          <w:szCs w:val="24"/>
          <w:highlight w:val="none"/>
          <w:lang w:eastAsia="zh-CN"/>
        </w:rPr>
        <w:t>.3）其他简单事项；</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val="en-US" w:eastAsia="zh-CN"/>
        </w:rPr>
        <w:t>3</w:t>
      </w:r>
      <w:r>
        <w:rPr>
          <w:rFonts w:hint="eastAsia" w:ascii="宋体" w:hAnsi="宋体" w:cs="宋体"/>
          <w:b w:val="0"/>
          <w:bCs/>
          <w:kern w:val="0"/>
          <w:sz w:val="24"/>
          <w:szCs w:val="24"/>
          <w:highlight w:val="none"/>
          <w:lang w:eastAsia="zh-CN"/>
        </w:rPr>
        <w:t>.负责生活热水系统运行状况的日常巡视、维护、记录</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eastAsia="zh-CN"/>
        </w:rPr>
        <w:t>（</w:t>
      </w:r>
      <w:r>
        <w:rPr>
          <w:rFonts w:hint="eastAsia" w:ascii="宋体" w:hAnsi="宋体" w:cs="宋体"/>
          <w:b w:val="0"/>
          <w:bCs/>
          <w:kern w:val="0"/>
          <w:sz w:val="24"/>
          <w:szCs w:val="24"/>
          <w:highlight w:val="none"/>
          <w:lang w:val="en-US" w:eastAsia="zh-CN"/>
        </w:rPr>
        <w:t>3</w:t>
      </w:r>
      <w:r>
        <w:rPr>
          <w:rFonts w:hint="eastAsia" w:ascii="宋体" w:hAnsi="宋体" w:cs="宋体"/>
          <w:b w:val="0"/>
          <w:bCs/>
          <w:kern w:val="0"/>
          <w:sz w:val="24"/>
          <w:szCs w:val="24"/>
          <w:highlight w:val="none"/>
          <w:lang w:eastAsia="zh-CN"/>
        </w:rPr>
        <w:t>.1）每日巡视一次，并做好记录，保证按医院规定及时供应热水；</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eastAsia="zh-CN"/>
        </w:rPr>
        <w:t>（</w:t>
      </w:r>
      <w:r>
        <w:rPr>
          <w:rFonts w:hint="eastAsia" w:ascii="宋体" w:hAnsi="宋体" w:cs="宋体"/>
          <w:b w:val="0"/>
          <w:bCs/>
          <w:kern w:val="0"/>
          <w:sz w:val="24"/>
          <w:szCs w:val="24"/>
          <w:highlight w:val="none"/>
          <w:lang w:val="en-US" w:eastAsia="zh-CN"/>
        </w:rPr>
        <w:t>3</w:t>
      </w:r>
      <w:r>
        <w:rPr>
          <w:rFonts w:hint="eastAsia" w:ascii="宋体" w:hAnsi="宋体" w:cs="宋体"/>
          <w:b w:val="0"/>
          <w:bCs/>
          <w:kern w:val="0"/>
          <w:sz w:val="24"/>
          <w:szCs w:val="24"/>
          <w:highlight w:val="none"/>
          <w:lang w:eastAsia="zh-CN"/>
        </w:rPr>
        <w:t>.2）出现故障及时处理、报修、记录；</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eastAsia="zh-CN"/>
        </w:rPr>
        <w:t>（</w:t>
      </w:r>
      <w:r>
        <w:rPr>
          <w:rFonts w:hint="eastAsia" w:ascii="宋体" w:hAnsi="宋体" w:cs="宋体"/>
          <w:b w:val="0"/>
          <w:bCs/>
          <w:kern w:val="0"/>
          <w:sz w:val="24"/>
          <w:szCs w:val="24"/>
          <w:highlight w:val="none"/>
          <w:lang w:val="en-US" w:eastAsia="zh-CN"/>
        </w:rPr>
        <w:t>3</w:t>
      </w:r>
      <w:r>
        <w:rPr>
          <w:rFonts w:hint="eastAsia" w:ascii="宋体" w:hAnsi="宋体" w:cs="宋体"/>
          <w:b w:val="0"/>
          <w:bCs/>
          <w:kern w:val="0"/>
          <w:sz w:val="24"/>
          <w:szCs w:val="24"/>
          <w:highlight w:val="none"/>
          <w:lang w:eastAsia="zh-CN"/>
        </w:rPr>
        <w:t>.3）其他简单事项；</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val="en-US" w:eastAsia="zh-CN"/>
        </w:rPr>
        <w:t>4</w:t>
      </w:r>
      <w:r>
        <w:rPr>
          <w:rFonts w:hint="eastAsia" w:ascii="宋体" w:hAnsi="宋体" w:cs="宋体"/>
          <w:b w:val="0"/>
          <w:bCs/>
          <w:kern w:val="0"/>
          <w:sz w:val="24"/>
          <w:szCs w:val="24"/>
          <w:highlight w:val="none"/>
          <w:lang w:eastAsia="zh-CN"/>
        </w:rPr>
        <w:t>.水电故障排查、处理（维修及更换）、记录</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eastAsia="zh-CN"/>
        </w:rPr>
        <w:t>范围：电水壶、电开水炉、电话、电视机、照明、排风机、上下水、马桶洁具、开关、插座、电热水器、小厨宝、感应龙头等；</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val="en-US" w:eastAsia="zh-CN"/>
        </w:rPr>
        <w:t>5</w:t>
      </w:r>
      <w:r>
        <w:rPr>
          <w:rFonts w:hint="eastAsia" w:ascii="宋体" w:hAnsi="宋体" w:cs="宋体"/>
          <w:b w:val="0"/>
          <w:bCs/>
          <w:kern w:val="0"/>
          <w:sz w:val="24"/>
          <w:szCs w:val="24"/>
          <w:highlight w:val="none"/>
          <w:lang w:eastAsia="zh-CN"/>
        </w:rPr>
        <w:t>.维修处理及记录</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eastAsia="zh-CN"/>
        </w:rPr>
        <w:t>（</w:t>
      </w:r>
      <w:r>
        <w:rPr>
          <w:rFonts w:hint="eastAsia" w:ascii="宋体" w:hAnsi="宋体" w:cs="宋体"/>
          <w:b w:val="0"/>
          <w:bCs/>
          <w:kern w:val="0"/>
          <w:sz w:val="24"/>
          <w:szCs w:val="24"/>
          <w:highlight w:val="none"/>
          <w:lang w:val="en-US" w:eastAsia="zh-CN"/>
        </w:rPr>
        <w:t>5</w:t>
      </w:r>
      <w:r>
        <w:rPr>
          <w:rFonts w:hint="eastAsia" w:ascii="宋体" w:hAnsi="宋体" w:cs="宋体"/>
          <w:b w:val="0"/>
          <w:bCs/>
          <w:kern w:val="0"/>
          <w:sz w:val="24"/>
          <w:szCs w:val="24"/>
          <w:highlight w:val="none"/>
          <w:lang w:eastAsia="zh-CN"/>
        </w:rPr>
        <w:t>.1）按要求接修，第一时间赶到现场查看，不能及时解决的需与报修部门负责人（病区的需另外与病人及病人家属）做好解释沟通；</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eastAsia="zh-CN"/>
        </w:rPr>
        <w:t>（</w:t>
      </w:r>
      <w:r>
        <w:rPr>
          <w:rFonts w:hint="eastAsia" w:ascii="宋体" w:hAnsi="宋体" w:cs="宋体"/>
          <w:b w:val="0"/>
          <w:bCs/>
          <w:kern w:val="0"/>
          <w:sz w:val="24"/>
          <w:szCs w:val="24"/>
          <w:highlight w:val="none"/>
          <w:lang w:val="en-US" w:eastAsia="zh-CN"/>
        </w:rPr>
        <w:t>5</w:t>
      </w:r>
      <w:r>
        <w:rPr>
          <w:rFonts w:hint="eastAsia" w:ascii="宋体" w:hAnsi="宋体" w:cs="宋体"/>
          <w:b w:val="0"/>
          <w:bCs/>
          <w:kern w:val="0"/>
          <w:sz w:val="24"/>
          <w:szCs w:val="24"/>
          <w:highlight w:val="none"/>
          <w:lang w:eastAsia="zh-CN"/>
        </w:rPr>
        <w:t>.2）及时处理问题，不能解决的及时汇报；</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eastAsia="zh-CN"/>
        </w:rPr>
        <w:t>（</w:t>
      </w:r>
      <w:r>
        <w:rPr>
          <w:rFonts w:hint="eastAsia" w:ascii="宋体" w:hAnsi="宋体" w:cs="宋体"/>
          <w:b w:val="0"/>
          <w:bCs/>
          <w:kern w:val="0"/>
          <w:sz w:val="24"/>
          <w:szCs w:val="24"/>
          <w:highlight w:val="none"/>
          <w:lang w:val="en-US" w:eastAsia="zh-CN"/>
        </w:rPr>
        <w:t>5</w:t>
      </w:r>
      <w:r>
        <w:rPr>
          <w:rFonts w:hint="eastAsia" w:ascii="宋体" w:hAnsi="宋体" w:cs="宋体"/>
          <w:b w:val="0"/>
          <w:bCs/>
          <w:kern w:val="0"/>
          <w:sz w:val="24"/>
          <w:szCs w:val="24"/>
          <w:highlight w:val="none"/>
          <w:lang w:eastAsia="zh-CN"/>
        </w:rPr>
        <w:t>.3）问题处理完毕，及时向报修部门负责人汇报（病区的需另外告知病人及病人家属）；</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eastAsia="zh-CN"/>
        </w:rPr>
        <w:t>（</w:t>
      </w:r>
      <w:r>
        <w:rPr>
          <w:rFonts w:hint="eastAsia" w:ascii="宋体" w:hAnsi="宋体" w:cs="宋体"/>
          <w:b w:val="0"/>
          <w:bCs/>
          <w:kern w:val="0"/>
          <w:sz w:val="24"/>
          <w:szCs w:val="24"/>
          <w:highlight w:val="none"/>
          <w:lang w:val="en-US" w:eastAsia="zh-CN"/>
        </w:rPr>
        <w:t>5</w:t>
      </w:r>
      <w:r>
        <w:rPr>
          <w:rFonts w:hint="eastAsia" w:ascii="宋体" w:hAnsi="宋体" w:cs="宋体"/>
          <w:b w:val="0"/>
          <w:bCs/>
          <w:kern w:val="0"/>
          <w:sz w:val="24"/>
          <w:szCs w:val="24"/>
          <w:highlight w:val="none"/>
          <w:lang w:eastAsia="zh-CN"/>
        </w:rPr>
        <w:t>.4）做好常用材料、配件的库存储备，配件更换数量做好统计，常用设施、工具备齐；</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eastAsia="zh-CN"/>
        </w:rPr>
        <w:t>（</w:t>
      </w:r>
      <w:r>
        <w:rPr>
          <w:rFonts w:hint="eastAsia" w:ascii="宋体" w:hAnsi="宋体" w:cs="宋体"/>
          <w:b w:val="0"/>
          <w:bCs/>
          <w:kern w:val="0"/>
          <w:sz w:val="24"/>
          <w:szCs w:val="24"/>
          <w:highlight w:val="none"/>
          <w:lang w:val="en-US" w:eastAsia="zh-CN"/>
        </w:rPr>
        <w:t>5</w:t>
      </w:r>
      <w:r>
        <w:rPr>
          <w:rFonts w:hint="eastAsia" w:ascii="宋体" w:hAnsi="宋体" w:cs="宋体"/>
          <w:b w:val="0"/>
          <w:bCs/>
          <w:kern w:val="0"/>
          <w:sz w:val="24"/>
          <w:szCs w:val="24"/>
          <w:highlight w:val="none"/>
          <w:lang w:eastAsia="zh-CN"/>
        </w:rPr>
        <w:t>.5）做好维修记录本的记录工作（具体要求，详见附件一：《水电维修记录单》），或按照“后勤综合管理平台”系统要求操作；</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val="en-US" w:eastAsia="zh-CN"/>
        </w:rPr>
        <w:t>6</w:t>
      </w:r>
      <w:r>
        <w:rPr>
          <w:rFonts w:hint="eastAsia" w:ascii="宋体" w:hAnsi="宋体" w:cs="宋体"/>
          <w:b w:val="0"/>
          <w:bCs/>
          <w:kern w:val="0"/>
          <w:sz w:val="24"/>
          <w:szCs w:val="24"/>
          <w:highlight w:val="none"/>
          <w:lang w:eastAsia="zh-CN"/>
        </w:rPr>
        <w:t>.日常水电巡视、维护、记录</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eastAsia="zh-CN"/>
        </w:rPr>
        <w:t>（</w:t>
      </w:r>
      <w:r>
        <w:rPr>
          <w:rFonts w:hint="eastAsia" w:ascii="宋体" w:hAnsi="宋体" w:cs="宋体"/>
          <w:b w:val="0"/>
          <w:bCs/>
          <w:kern w:val="0"/>
          <w:sz w:val="24"/>
          <w:szCs w:val="24"/>
          <w:highlight w:val="none"/>
          <w:lang w:val="en-US" w:eastAsia="zh-CN"/>
        </w:rPr>
        <w:t>6</w:t>
      </w:r>
      <w:r>
        <w:rPr>
          <w:rFonts w:hint="eastAsia" w:ascii="宋体" w:hAnsi="宋体" w:cs="宋体"/>
          <w:b w:val="0"/>
          <w:bCs/>
          <w:kern w:val="0"/>
          <w:sz w:val="24"/>
          <w:szCs w:val="24"/>
          <w:highlight w:val="none"/>
          <w:lang w:eastAsia="zh-CN"/>
        </w:rPr>
        <w:t>.</w:t>
      </w:r>
      <w:r>
        <w:rPr>
          <w:rFonts w:hint="eastAsia" w:ascii="宋体" w:hAnsi="宋体" w:cs="宋体"/>
          <w:b w:val="0"/>
          <w:bCs/>
          <w:kern w:val="0"/>
          <w:sz w:val="24"/>
          <w:szCs w:val="24"/>
          <w:highlight w:val="none"/>
          <w:lang w:val="en-US" w:eastAsia="zh-CN"/>
        </w:rPr>
        <w:t>1</w:t>
      </w:r>
      <w:r>
        <w:rPr>
          <w:rFonts w:hint="eastAsia" w:ascii="宋体" w:hAnsi="宋体" w:cs="宋体"/>
          <w:b w:val="0"/>
          <w:bCs/>
          <w:kern w:val="0"/>
          <w:sz w:val="24"/>
          <w:szCs w:val="24"/>
          <w:highlight w:val="none"/>
          <w:lang w:eastAsia="zh-CN"/>
        </w:rPr>
        <w:t>）负责全院电气低压系统（除地下室配电间外）的日常维护维修，每日巡视各科室，保证全院用电设施、照明线路、照明器具安全、可靠、正常工作，并做好记录。</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val="en-US" w:eastAsia="zh-CN"/>
        </w:rPr>
        <w:t>7</w:t>
      </w:r>
      <w:r>
        <w:rPr>
          <w:rFonts w:hint="eastAsia" w:ascii="宋体" w:hAnsi="宋体" w:cs="宋体"/>
          <w:b w:val="0"/>
          <w:bCs/>
          <w:kern w:val="0"/>
          <w:sz w:val="24"/>
          <w:szCs w:val="24"/>
          <w:highlight w:val="none"/>
          <w:lang w:eastAsia="zh-CN"/>
        </w:rPr>
        <w:t>.其他</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eastAsia="zh-CN"/>
        </w:rPr>
        <w:t>（</w:t>
      </w:r>
      <w:r>
        <w:rPr>
          <w:rFonts w:hint="eastAsia" w:ascii="宋体" w:hAnsi="宋体" w:cs="宋体"/>
          <w:b w:val="0"/>
          <w:bCs/>
          <w:kern w:val="0"/>
          <w:sz w:val="24"/>
          <w:szCs w:val="24"/>
          <w:highlight w:val="none"/>
          <w:lang w:val="en-US" w:eastAsia="zh-CN"/>
        </w:rPr>
        <w:t>7</w:t>
      </w:r>
      <w:r>
        <w:rPr>
          <w:rFonts w:hint="eastAsia" w:ascii="宋体" w:hAnsi="宋体" w:cs="宋体"/>
          <w:b w:val="0"/>
          <w:bCs/>
          <w:kern w:val="0"/>
          <w:sz w:val="24"/>
          <w:szCs w:val="24"/>
          <w:highlight w:val="none"/>
          <w:lang w:eastAsia="zh-CN"/>
        </w:rPr>
        <w:t>.</w:t>
      </w:r>
      <w:r>
        <w:rPr>
          <w:rFonts w:hint="eastAsia" w:ascii="宋体" w:hAnsi="宋体" w:cs="宋体"/>
          <w:b w:val="0"/>
          <w:bCs/>
          <w:kern w:val="0"/>
          <w:sz w:val="24"/>
          <w:szCs w:val="24"/>
          <w:highlight w:val="none"/>
          <w:lang w:val="en-US" w:eastAsia="zh-CN"/>
        </w:rPr>
        <w:t>1</w:t>
      </w:r>
      <w:r>
        <w:rPr>
          <w:rFonts w:hint="eastAsia" w:ascii="宋体" w:hAnsi="宋体" w:cs="宋体"/>
          <w:b w:val="0"/>
          <w:bCs/>
          <w:kern w:val="0"/>
          <w:sz w:val="24"/>
          <w:szCs w:val="24"/>
          <w:highlight w:val="none"/>
          <w:lang w:eastAsia="zh-CN"/>
        </w:rPr>
        <w:t>）院内项目的施工配合；</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eastAsia="zh-CN"/>
        </w:rPr>
        <w:t>（</w:t>
      </w:r>
      <w:r>
        <w:rPr>
          <w:rFonts w:hint="eastAsia" w:ascii="宋体" w:hAnsi="宋体" w:cs="宋体"/>
          <w:b w:val="0"/>
          <w:bCs/>
          <w:kern w:val="0"/>
          <w:sz w:val="24"/>
          <w:szCs w:val="24"/>
          <w:highlight w:val="none"/>
          <w:lang w:val="en-US" w:eastAsia="zh-CN"/>
        </w:rPr>
        <w:t>7</w:t>
      </w:r>
      <w:r>
        <w:rPr>
          <w:rFonts w:hint="eastAsia" w:ascii="宋体" w:hAnsi="宋体" w:cs="宋体"/>
          <w:b w:val="0"/>
          <w:bCs/>
          <w:kern w:val="0"/>
          <w:sz w:val="24"/>
          <w:szCs w:val="24"/>
          <w:highlight w:val="none"/>
          <w:lang w:eastAsia="zh-CN"/>
        </w:rPr>
        <w:t>.</w:t>
      </w:r>
      <w:r>
        <w:rPr>
          <w:rFonts w:hint="eastAsia" w:ascii="宋体" w:hAnsi="宋体" w:cs="宋体"/>
          <w:b w:val="0"/>
          <w:bCs/>
          <w:kern w:val="0"/>
          <w:sz w:val="24"/>
          <w:szCs w:val="24"/>
          <w:highlight w:val="none"/>
          <w:lang w:val="en-US" w:eastAsia="zh-CN"/>
        </w:rPr>
        <w:t>2</w:t>
      </w:r>
      <w:r>
        <w:rPr>
          <w:rFonts w:hint="eastAsia" w:ascii="宋体" w:hAnsi="宋体" w:cs="宋体"/>
          <w:b w:val="0"/>
          <w:bCs/>
          <w:kern w:val="0"/>
          <w:sz w:val="24"/>
          <w:szCs w:val="24"/>
          <w:highlight w:val="none"/>
          <w:lang w:eastAsia="zh-CN"/>
        </w:rPr>
        <w:t>）完成保洁不在班期间的部分工作（马桶疏通）；</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eastAsia="zh-CN"/>
        </w:rPr>
        <w:t>（</w:t>
      </w:r>
      <w:r>
        <w:rPr>
          <w:rFonts w:hint="eastAsia" w:ascii="宋体" w:hAnsi="宋体" w:cs="宋体"/>
          <w:b w:val="0"/>
          <w:bCs/>
          <w:kern w:val="0"/>
          <w:sz w:val="24"/>
          <w:szCs w:val="24"/>
          <w:highlight w:val="none"/>
          <w:lang w:val="en-US" w:eastAsia="zh-CN"/>
        </w:rPr>
        <w:t>7</w:t>
      </w:r>
      <w:r>
        <w:rPr>
          <w:rFonts w:hint="eastAsia" w:ascii="宋体" w:hAnsi="宋体" w:cs="宋体"/>
          <w:b w:val="0"/>
          <w:bCs/>
          <w:kern w:val="0"/>
          <w:sz w:val="24"/>
          <w:szCs w:val="24"/>
          <w:highlight w:val="none"/>
          <w:lang w:eastAsia="zh-CN"/>
        </w:rPr>
        <w:t>.</w:t>
      </w:r>
      <w:r>
        <w:rPr>
          <w:rFonts w:hint="eastAsia" w:ascii="宋体" w:hAnsi="宋体" w:cs="宋体"/>
          <w:b w:val="0"/>
          <w:bCs/>
          <w:kern w:val="0"/>
          <w:sz w:val="24"/>
          <w:szCs w:val="24"/>
          <w:highlight w:val="none"/>
          <w:lang w:val="en-US" w:eastAsia="zh-CN"/>
        </w:rPr>
        <w:t>3</w:t>
      </w:r>
      <w:r>
        <w:rPr>
          <w:rFonts w:hint="eastAsia" w:ascii="宋体" w:hAnsi="宋体" w:cs="宋体"/>
          <w:b w:val="0"/>
          <w:bCs/>
          <w:kern w:val="0"/>
          <w:sz w:val="24"/>
          <w:szCs w:val="24"/>
          <w:highlight w:val="none"/>
          <w:lang w:eastAsia="zh-CN"/>
        </w:rPr>
        <w:t>）负责非正常上班时间水、电（低压部分）故障的紧急处理及报修；</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eastAsia="zh-CN"/>
        </w:rPr>
        <w:t>（</w:t>
      </w:r>
      <w:r>
        <w:rPr>
          <w:rFonts w:hint="eastAsia" w:ascii="宋体" w:hAnsi="宋体" w:cs="宋体"/>
          <w:b w:val="0"/>
          <w:bCs/>
          <w:kern w:val="0"/>
          <w:sz w:val="24"/>
          <w:szCs w:val="24"/>
          <w:highlight w:val="none"/>
          <w:lang w:val="en-US" w:eastAsia="zh-CN"/>
        </w:rPr>
        <w:t>7</w:t>
      </w:r>
      <w:r>
        <w:rPr>
          <w:rFonts w:hint="eastAsia" w:ascii="宋体" w:hAnsi="宋体" w:cs="宋体"/>
          <w:b w:val="0"/>
          <w:bCs/>
          <w:kern w:val="0"/>
          <w:sz w:val="24"/>
          <w:szCs w:val="24"/>
          <w:highlight w:val="none"/>
          <w:lang w:eastAsia="zh-CN"/>
        </w:rPr>
        <w:t>.</w:t>
      </w:r>
      <w:r>
        <w:rPr>
          <w:rFonts w:hint="eastAsia" w:ascii="宋体" w:hAnsi="宋体" w:cs="宋体"/>
          <w:b w:val="0"/>
          <w:bCs/>
          <w:kern w:val="0"/>
          <w:sz w:val="24"/>
          <w:szCs w:val="24"/>
          <w:highlight w:val="none"/>
          <w:lang w:val="en-US" w:eastAsia="zh-CN"/>
        </w:rPr>
        <w:t>4</w:t>
      </w:r>
      <w:r>
        <w:rPr>
          <w:rFonts w:hint="eastAsia" w:ascii="宋体" w:hAnsi="宋体" w:cs="宋体"/>
          <w:b w:val="0"/>
          <w:bCs/>
          <w:kern w:val="0"/>
          <w:sz w:val="24"/>
          <w:szCs w:val="24"/>
          <w:highlight w:val="none"/>
          <w:lang w:eastAsia="zh-CN"/>
        </w:rPr>
        <w:t>）其他简单问题的处理；</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eastAsia="zh-CN"/>
        </w:rPr>
      </w:pPr>
      <w:r>
        <w:rPr>
          <w:rFonts w:hint="eastAsia" w:ascii="宋体" w:hAnsi="宋体" w:cs="宋体"/>
          <w:b w:val="0"/>
          <w:bCs/>
          <w:kern w:val="0"/>
          <w:sz w:val="24"/>
          <w:szCs w:val="24"/>
          <w:highlight w:val="none"/>
          <w:lang w:eastAsia="zh-CN"/>
        </w:rPr>
        <w:t>（</w:t>
      </w:r>
      <w:r>
        <w:rPr>
          <w:rFonts w:hint="eastAsia" w:ascii="宋体" w:hAnsi="宋体" w:cs="宋体"/>
          <w:b w:val="0"/>
          <w:bCs/>
          <w:kern w:val="0"/>
          <w:sz w:val="24"/>
          <w:szCs w:val="24"/>
          <w:highlight w:val="none"/>
          <w:lang w:val="en-US" w:eastAsia="zh-CN"/>
        </w:rPr>
        <w:t>7</w:t>
      </w:r>
      <w:r>
        <w:rPr>
          <w:rFonts w:hint="eastAsia" w:ascii="宋体" w:hAnsi="宋体" w:cs="宋体"/>
          <w:b w:val="0"/>
          <w:bCs/>
          <w:kern w:val="0"/>
          <w:sz w:val="24"/>
          <w:szCs w:val="24"/>
          <w:highlight w:val="none"/>
          <w:lang w:eastAsia="zh-CN"/>
        </w:rPr>
        <w:t>.</w:t>
      </w:r>
      <w:r>
        <w:rPr>
          <w:rFonts w:hint="eastAsia" w:ascii="宋体" w:hAnsi="宋体" w:cs="宋体"/>
          <w:b w:val="0"/>
          <w:bCs/>
          <w:kern w:val="0"/>
          <w:sz w:val="24"/>
          <w:szCs w:val="24"/>
          <w:highlight w:val="none"/>
          <w:lang w:val="en-US" w:eastAsia="zh-CN"/>
        </w:rPr>
        <w:t>5</w:t>
      </w:r>
      <w:r>
        <w:rPr>
          <w:rFonts w:hint="eastAsia" w:ascii="宋体" w:hAnsi="宋体" w:cs="宋体"/>
          <w:b w:val="0"/>
          <w:bCs/>
          <w:kern w:val="0"/>
          <w:sz w:val="24"/>
          <w:szCs w:val="24"/>
          <w:highlight w:val="none"/>
          <w:lang w:eastAsia="zh-CN"/>
        </w:rPr>
        <w:t>）做好强弱电间、各类机房等房间的钥匙保管；</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val="en-US" w:eastAsia="zh-CN"/>
        </w:rPr>
      </w:pPr>
      <w:r>
        <w:rPr>
          <w:rFonts w:hint="eastAsia" w:ascii="宋体" w:hAnsi="宋体" w:cs="宋体"/>
          <w:b w:val="0"/>
          <w:bCs/>
          <w:kern w:val="0"/>
          <w:sz w:val="24"/>
          <w:szCs w:val="24"/>
          <w:highlight w:val="none"/>
          <w:lang w:val="en-US" w:eastAsia="zh-CN"/>
        </w:rPr>
        <w:t>（三）、甲方的权利和责任</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val="en-US" w:eastAsia="zh-CN"/>
        </w:rPr>
      </w:pPr>
      <w:r>
        <w:rPr>
          <w:rFonts w:hint="eastAsia" w:ascii="宋体" w:hAnsi="宋体" w:cs="宋体"/>
          <w:b w:val="0"/>
          <w:bCs/>
          <w:kern w:val="0"/>
          <w:sz w:val="24"/>
          <w:szCs w:val="24"/>
          <w:highlight w:val="none"/>
          <w:lang w:val="en-US" w:eastAsia="zh-CN"/>
        </w:rPr>
        <w:t>1.甲方积极教育本单位人员尊重、配合和支持乙方服务人员工作。</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val="en-US" w:eastAsia="zh-CN"/>
        </w:rPr>
      </w:pPr>
      <w:r>
        <w:rPr>
          <w:rFonts w:hint="eastAsia" w:ascii="宋体" w:hAnsi="宋体" w:cs="宋体"/>
          <w:b w:val="0"/>
          <w:bCs/>
          <w:kern w:val="0"/>
          <w:sz w:val="24"/>
          <w:szCs w:val="24"/>
          <w:highlight w:val="none"/>
          <w:lang w:val="en-US" w:eastAsia="zh-CN"/>
        </w:rPr>
        <w:t>2.甲方应按本合同考核标准、付款方式中的规定向乙方支付服务费。</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val="en-US" w:eastAsia="zh-CN"/>
        </w:rPr>
      </w:pPr>
      <w:r>
        <w:rPr>
          <w:rFonts w:hint="eastAsia" w:ascii="宋体" w:hAnsi="宋体" w:cs="宋体"/>
          <w:b w:val="0"/>
          <w:bCs/>
          <w:kern w:val="0"/>
          <w:sz w:val="24"/>
          <w:szCs w:val="24"/>
          <w:highlight w:val="none"/>
          <w:lang w:val="en-US" w:eastAsia="zh-CN"/>
        </w:rPr>
        <w:t>（四）、乙方的权利和责任</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val="en-US" w:eastAsia="zh-CN"/>
        </w:rPr>
      </w:pPr>
      <w:r>
        <w:rPr>
          <w:rFonts w:hint="eastAsia" w:ascii="宋体" w:hAnsi="宋体" w:cs="宋体"/>
          <w:b w:val="0"/>
          <w:bCs/>
          <w:kern w:val="0"/>
          <w:sz w:val="24"/>
          <w:szCs w:val="24"/>
          <w:highlight w:val="none"/>
          <w:lang w:val="en-US" w:eastAsia="zh-CN"/>
        </w:rPr>
        <w:t>1．乙方须按照甲方的要求，定期对托管服务范围内的业务向甲方负责人进行报汇报。</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val="en-US" w:eastAsia="zh-CN"/>
        </w:rPr>
      </w:pPr>
      <w:r>
        <w:rPr>
          <w:rFonts w:hint="eastAsia" w:ascii="宋体" w:hAnsi="宋体" w:cs="宋体"/>
          <w:b w:val="0"/>
          <w:bCs/>
          <w:kern w:val="0"/>
          <w:sz w:val="24"/>
          <w:szCs w:val="24"/>
          <w:highlight w:val="none"/>
          <w:lang w:val="en-US" w:eastAsia="zh-CN"/>
        </w:rPr>
        <w:t>2.乙方需要调整和更换服务人员时，须向甲方提出书面申请，得到甲方负责人的同意后，方可调整或更换。但乙方接到甲方相关问题提出更换服务人员的要求后的次日，须无条件地及时更换服务人员。</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val="en-US" w:eastAsia="zh-CN"/>
        </w:rPr>
      </w:pPr>
      <w:r>
        <w:rPr>
          <w:rFonts w:hint="eastAsia" w:ascii="宋体" w:hAnsi="宋体" w:cs="宋体"/>
          <w:b w:val="0"/>
          <w:bCs/>
          <w:kern w:val="0"/>
          <w:sz w:val="24"/>
          <w:szCs w:val="24"/>
          <w:highlight w:val="none"/>
          <w:lang w:val="en-US" w:eastAsia="zh-CN"/>
        </w:rPr>
        <w:t>3.乙方服务人员着装应整洁，工作服装由乙方自行提供。</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val="en-US" w:eastAsia="zh-CN"/>
        </w:rPr>
      </w:pPr>
      <w:r>
        <w:rPr>
          <w:rFonts w:hint="eastAsia" w:ascii="宋体" w:hAnsi="宋体" w:cs="宋体"/>
          <w:b w:val="0"/>
          <w:bCs/>
          <w:kern w:val="0"/>
          <w:sz w:val="24"/>
          <w:szCs w:val="24"/>
          <w:highlight w:val="none"/>
          <w:lang w:val="en-US" w:eastAsia="zh-CN"/>
        </w:rPr>
        <w:t>4.乙方应加强对服务人员的教育培训、监督和管理，确保服务的优质高效。</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val="en-US" w:eastAsia="zh-CN"/>
        </w:rPr>
      </w:pPr>
      <w:r>
        <w:rPr>
          <w:rFonts w:hint="eastAsia" w:ascii="宋体" w:hAnsi="宋体" w:cs="宋体"/>
          <w:b w:val="0"/>
          <w:bCs/>
          <w:kern w:val="0"/>
          <w:sz w:val="24"/>
          <w:szCs w:val="24"/>
          <w:highlight w:val="none"/>
          <w:lang w:val="en-US" w:eastAsia="zh-CN"/>
        </w:rPr>
        <w:t>5.乙方服务人员在工作期间，应注意现场周围环境的安全因素，必须严格遵守甲方的各项规章制度和各项安全管理规定。</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val="en-US" w:eastAsia="zh-CN"/>
        </w:rPr>
      </w:pPr>
      <w:r>
        <w:rPr>
          <w:rFonts w:hint="eastAsia" w:ascii="宋体" w:hAnsi="宋体" w:cs="宋体"/>
          <w:b w:val="0"/>
          <w:bCs/>
          <w:kern w:val="0"/>
          <w:sz w:val="24"/>
          <w:szCs w:val="24"/>
          <w:highlight w:val="none"/>
          <w:lang w:val="en-US" w:eastAsia="zh-CN"/>
        </w:rPr>
        <w:t>6.如因乙方服务人员操作不当或服务人员不尽责任等乙方原因导致甲方设施损坏、火灾、人员伤亡等，乙方应承担全部赔偿责任，甲方不承担任何责任。</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val="en-US" w:eastAsia="zh-CN"/>
        </w:rPr>
      </w:pPr>
      <w:r>
        <w:rPr>
          <w:rFonts w:hint="eastAsia" w:ascii="宋体" w:hAnsi="宋体" w:cs="宋体"/>
          <w:b w:val="0"/>
          <w:bCs/>
          <w:kern w:val="0"/>
          <w:sz w:val="24"/>
          <w:szCs w:val="24"/>
          <w:highlight w:val="none"/>
          <w:lang w:val="en-US" w:eastAsia="zh-CN"/>
        </w:rPr>
        <w:t>7.如发生电力设施损坏、火灾、人员伤亡事故或故障时（以下简称“事故”），无论该事故是否是因乙方服务人员在维修时操作不当或服务人员不尽责任所导致的，乙方及乙方服务人员应立即采取事故处理对应措施，并立即将有关情况报告甲方负责人。在事故处理完毕后，应向甲方负责人提交包括事故原因、事故处理对应措施及今后的防止措施等内容的事故报告书。</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val="en-US" w:eastAsia="zh-CN"/>
        </w:rPr>
      </w:pPr>
      <w:r>
        <w:rPr>
          <w:rFonts w:hint="eastAsia" w:ascii="宋体" w:hAnsi="宋体" w:cs="宋体"/>
          <w:b w:val="0"/>
          <w:bCs/>
          <w:kern w:val="0"/>
          <w:sz w:val="24"/>
          <w:szCs w:val="24"/>
          <w:highlight w:val="none"/>
          <w:lang w:val="en-US" w:eastAsia="zh-CN"/>
        </w:rPr>
        <w:t>8.合同期限内，甲方所提供的相关文件资料，乙方及乙方服务人员不得复制，不得交给第三者查阅，亦不得将甲方所提供的相关文件资料中的任何信息向第三者披露、泄露或提供。乙方须在合同终止后，将相关文件资料返还给甲方，并继续承担不得将甲方所提供的相关文件资料中的任何信息向第三者披露、泄露或提供的保密义务。</w:t>
      </w:r>
    </w:p>
    <w:p>
      <w:pPr>
        <w:keepNext w:val="0"/>
        <w:keepLines w:val="0"/>
        <w:pageBreakBefore w:val="0"/>
        <w:widowControl w:val="0"/>
        <w:kinsoku/>
        <w:wordWrap/>
        <w:overflowPunct/>
        <w:topLinePunct w:val="0"/>
        <w:bidi w:val="0"/>
        <w:snapToGrid/>
        <w:spacing w:line="480" w:lineRule="auto"/>
        <w:ind w:firstLine="480" w:firstLineChars="200"/>
        <w:textAlignment w:val="auto"/>
        <w:outlineLvl w:val="2"/>
        <w:rPr>
          <w:rFonts w:hint="eastAsia" w:ascii="宋体" w:hAnsi="宋体" w:cs="宋体"/>
          <w:b w:val="0"/>
          <w:bCs/>
          <w:kern w:val="0"/>
          <w:sz w:val="24"/>
          <w:szCs w:val="24"/>
          <w:highlight w:val="none"/>
          <w:lang w:val="en-US" w:eastAsia="zh-CN"/>
        </w:rPr>
      </w:pPr>
      <w:r>
        <w:rPr>
          <w:rFonts w:hint="eastAsia" w:ascii="宋体" w:hAnsi="宋体" w:cs="宋体"/>
          <w:b w:val="0"/>
          <w:bCs/>
          <w:kern w:val="0"/>
          <w:sz w:val="24"/>
          <w:szCs w:val="24"/>
          <w:highlight w:val="none"/>
          <w:lang w:val="en-US" w:eastAsia="zh-CN"/>
        </w:rPr>
        <w:t>9.按照甲方相关管理规定，按要求完成维修的接单、维修、记录、值班、定期巡视等任务，保证优质服务。</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outlineLvl w:val="1"/>
        <w:rPr>
          <w:rFonts w:hint="eastAsia" w:ascii="宋体" w:hAnsi="宋体" w:cs="宋体"/>
          <w:b w:val="0"/>
          <w:bCs/>
          <w:color w:val="auto"/>
          <w:sz w:val="24"/>
          <w:szCs w:val="24"/>
          <w:highlight w:val="none"/>
          <w:lang w:eastAsia="zh-CN"/>
        </w:rPr>
      </w:pPr>
      <w:bookmarkStart w:id="90" w:name="_Toc26113"/>
      <w:r>
        <w:rPr>
          <w:rFonts w:hint="eastAsia" w:ascii="宋体" w:hAnsi="宋体" w:cs="宋体"/>
          <w:b w:val="0"/>
          <w:bCs/>
          <w:sz w:val="24"/>
          <w:szCs w:val="24"/>
          <w:highlight w:val="none"/>
          <w:lang w:eastAsia="zh-CN"/>
        </w:rPr>
        <w:t>四、</w:t>
      </w:r>
      <w:r>
        <w:rPr>
          <w:rFonts w:hint="eastAsia" w:ascii="宋体" w:hAnsi="宋体" w:cs="宋体"/>
          <w:b w:val="0"/>
          <w:bCs/>
          <w:sz w:val="24"/>
          <w:szCs w:val="24"/>
          <w:highlight w:val="none"/>
        </w:rPr>
        <w:t>合同总价</w:t>
      </w:r>
      <w:bookmarkEnd w:id="90"/>
      <w:r>
        <w:rPr>
          <w:rFonts w:hint="eastAsia" w:ascii="宋体" w:hAnsi="宋体" w:cs="宋体"/>
          <w:b w:val="0"/>
          <w:bCs/>
          <w:sz w:val="24"/>
          <w:szCs w:val="24"/>
          <w:highlight w:val="none"/>
          <w:lang w:eastAsia="zh-CN"/>
        </w:rPr>
        <w:t>：</w:t>
      </w:r>
      <w:bookmarkStart w:id="91" w:name="_Toc5560"/>
      <w:r>
        <w:rPr>
          <w:rFonts w:hint="eastAsia" w:ascii="宋体" w:hAnsi="宋体" w:cs="宋体"/>
          <w:b w:val="0"/>
          <w:bCs/>
          <w:sz w:val="24"/>
          <w:szCs w:val="24"/>
          <w:highlight w:val="none"/>
          <w:lang w:eastAsia="zh-CN"/>
        </w:rPr>
        <w:t xml:space="preserve"> 本合同金额为（大写）：</w:t>
      </w:r>
      <w:r>
        <w:rPr>
          <w:rFonts w:hint="eastAsia" w:ascii="宋体" w:hAnsi="宋体" w:cs="宋体"/>
          <w:b w:val="0"/>
          <w:bCs/>
          <w:sz w:val="24"/>
          <w:szCs w:val="24"/>
          <w:highlight w:val="none"/>
          <w:u w:val="single"/>
          <w:lang w:eastAsia="zh-CN"/>
        </w:rPr>
        <w:t xml:space="preserve">  </w:t>
      </w:r>
      <w:r>
        <w:rPr>
          <w:rFonts w:hint="eastAsia" w:ascii="宋体" w:hAnsi="宋体" w:cs="宋体"/>
          <w:b w:val="0"/>
          <w:bCs/>
          <w:sz w:val="24"/>
          <w:szCs w:val="24"/>
          <w:highlight w:val="none"/>
          <w:u w:val="single"/>
          <w:lang w:val="en-US" w:eastAsia="zh-CN"/>
        </w:rPr>
        <w:t xml:space="preserve">    </w:t>
      </w:r>
      <w:r>
        <w:rPr>
          <w:rFonts w:hint="eastAsia" w:ascii="宋体" w:hAnsi="宋体" w:cs="宋体"/>
          <w:b w:val="0"/>
          <w:bCs/>
          <w:sz w:val="24"/>
          <w:szCs w:val="24"/>
          <w:highlight w:val="none"/>
          <w:u w:val="single"/>
          <w:lang w:eastAsia="zh-CN"/>
        </w:rPr>
        <w:t xml:space="preserve">  </w:t>
      </w:r>
      <w:r>
        <w:rPr>
          <w:rFonts w:hint="eastAsia" w:ascii="宋体" w:hAnsi="宋体" w:cs="宋体"/>
          <w:b w:val="0"/>
          <w:bCs/>
          <w:sz w:val="24"/>
          <w:szCs w:val="24"/>
          <w:highlight w:val="none"/>
          <w:lang w:eastAsia="zh-CN"/>
        </w:rPr>
        <w:t xml:space="preserve"> 圆整</w:t>
      </w:r>
      <w:r>
        <w:rPr>
          <w:rFonts w:hint="eastAsia" w:ascii="宋体" w:hAnsi="宋体" w:cs="宋体"/>
          <w:b w:val="0"/>
          <w:bCs/>
          <w:sz w:val="24"/>
          <w:szCs w:val="24"/>
          <w:highlight w:val="none"/>
          <w:lang w:val="en-US" w:eastAsia="zh-CN"/>
        </w:rPr>
        <w:t>/年</w:t>
      </w:r>
      <w:r>
        <w:rPr>
          <w:rFonts w:hint="eastAsia" w:ascii="宋体" w:hAnsi="宋体" w:cs="宋体"/>
          <w:b w:val="0"/>
          <w:bCs/>
          <w:sz w:val="24"/>
          <w:szCs w:val="24"/>
          <w:highlight w:val="none"/>
          <w:lang w:eastAsia="zh-CN"/>
        </w:rPr>
        <w:t>（￥</w:t>
      </w:r>
      <w:r>
        <w:rPr>
          <w:rFonts w:hint="eastAsia" w:ascii="宋体" w:hAnsi="宋体" w:cs="宋体"/>
          <w:b w:val="0"/>
          <w:bCs/>
          <w:sz w:val="24"/>
          <w:szCs w:val="24"/>
          <w:highlight w:val="none"/>
          <w:u w:val="single"/>
          <w:lang w:eastAsia="zh-CN"/>
        </w:rPr>
        <w:t xml:space="preserve">  </w:t>
      </w:r>
      <w:r>
        <w:rPr>
          <w:rFonts w:hint="eastAsia" w:ascii="宋体" w:hAnsi="宋体" w:cs="宋体"/>
          <w:b w:val="0"/>
          <w:bCs/>
          <w:sz w:val="24"/>
          <w:szCs w:val="24"/>
          <w:highlight w:val="none"/>
          <w:u w:val="single"/>
          <w:lang w:val="en-US" w:eastAsia="zh-CN"/>
        </w:rPr>
        <w:t xml:space="preserve">     </w:t>
      </w:r>
      <w:r>
        <w:rPr>
          <w:rFonts w:hint="eastAsia" w:ascii="宋体" w:hAnsi="宋体" w:cs="宋体"/>
          <w:b w:val="0"/>
          <w:bCs/>
          <w:sz w:val="24"/>
          <w:szCs w:val="24"/>
          <w:highlight w:val="none"/>
          <w:u w:val="single"/>
          <w:lang w:eastAsia="zh-CN"/>
        </w:rPr>
        <w:t xml:space="preserve">  </w:t>
      </w:r>
      <w:r>
        <w:rPr>
          <w:rFonts w:hint="eastAsia" w:ascii="宋体" w:hAnsi="宋体" w:cs="宋体"/>
          <w:b w:val="0"/>
          <w:bCs/>
          <w:sz w:val="24"/>
          <w:szCs w:val="24"/>
          <w:highlight w:val="none"/>
          <w:lang w:eastAsia="zh-CN"/>
        </w:rPr>
        <w:t>元</w:t>
      </w:r>
      <w:r>
        <w:rPr>
          <w:rFonts w:hint="eastAsia" w:ascii="宋体" w:hAnsi="宋体" w:cs="宋体"/>
          <w:b w:val="0"/>
          <w:bCs/>
          <w:sz w:val="24"/>
          <w:szCs w:val="24"/>
          <w:highlight w:val="none"/>
          <w:lang w:val="en-US" w:eastAsia="zh-CN"/>
        </w:rPr>
        <w:t>/年</w:t>
      </w:r>
      <w:r>
        <w:rPr>
          <w:rFonts w:hint="eastAsia" w:ascii="宋体" w:hAnsi="宋体" w:cs="宋体"/>
          <w:b w:val="0"/>
          <w:bCs/>
          <w:sz w:val="24"/>
          <w:szCs w:val="24"/>
          <w:highlight w:val="none"/>
          <w:lang w:eastAsia="zh-CN"/>
        </w:rPr>
        <w:t>）人民币。</w:t>
      </w:r>
      <w:r>
        <w:rPr>
          <w:rFonts w:hint="eastAsia" w:ascii="宋体" w:hAnsi="宋体" w:cs="宋体"/>
          <w:b w:val="0"/>
          <w:bCs/>
          <w:color w:val="auto"/>
          <w:sz w:val="24"/>
          <w:szCs w:val="24"/>
          <w:highlight w:val="none"/>
          <w:lang w:eastAsia="zh-CN"/>
        </w:rPr>
        <w:t>本合同价款</w:t>
      </w:r>
      <w:r>
        <w:rPr>
          <w:rFonts w:hint="eastAsia" w:ascii="宋体" w:hAnsi="宋体" w:eastAsia="宋体" w:cs="宋体"/>
          <w:snapToGrid/>
          <w:color w:val="auto"/>
          <w:kern w:val="2"/>
          <w:sz w:val="24"/>
          <w:lang w:val="en-US" w:eastAsia="zh-CN"/>
        </w:rPr>
        <w:t>包括但不限于所有与本项目实施有关的所有费用包括：人员工资（含保险费、含夜班、周末及节假日加班费）、交通费、餐费补贴、管理费、利润、税金、政策性文件规定及为达到</w:t>
      </w:r>
      <w:r>
        <w:rPr>
          <w:rFonts w:hint="eastAsia" w:ascii="宋体" w:hAnsi="宋体" w:cs="宋体"/>
          <w:snapToGrid/>
          <w:color w:val="auto"/>
          <w:kern w:val="2"/>
          <w:sz w:val="24"/>
          <w:lang w:val="en-US" w:eastAsia="zh-CN"/>
        </w:rPr>
        <w:t>甲方</w:t>
      </w:r>
      <w:r>
        <w:rPr>
          <w:rFonts w:hint="eastAsia" w:ascii="宋体" w:hAnsi="宋体" w:eastAsia="宋体" w:cs="宋体"/>
          <w:snapToGrid/>
          <w:color w:val="auto"/>
          <w:kern w:val="2"/>
          <w:sz w:val="24"/>
          <w:lang w:val="en-US" w:eastAsia="zh-CN"/>
        </w:rPr>
        <w:t>要求所包含的所有风险、责任等各项费用</w:t>
      </w:r>
      <w:r>
        <w:rPr>
          <w:rFonts w:hint="eastAsia" w:ascii="宋体" w:hAnsi="宋体" w:cs="宋体"/>
          <w:b w:val="0"/>
          <w:bCs/>
          <w:color w:val="auto"/>
          <w:sz w:val="24"/>
          <w:szCs w:val="24"/>
          <w:highlight w:val="none"/>
          <w:lang w:eastAsia="zh-CN"/>
        </w:rPr>
        <w:t>，甲方在上述合同价款之外不再向乙方支付其他任何费用。</w:t>
      </w:r>
    </w:p>
    <w:p>
      <w:pPr>
        <w:wordWrap w:val="0"/>
        <w:spacing w:line="360" w:lineRule="auto"/>
        <w:ind w:firstLine="480" w:firstLineChars="200"/>
        <w:rPr>
          <w:rFonts w:hint="eastAsia" w:ascii="宋体" w:hAnsi="宋体" w:eastAsia="宋体"/>
          <w:color w:val="auto"/>
          <w:sz w:val="24"/>
          <w:szCs w:val="24"/>
        </w:rPr>
      </w:pPr>
      <w:r>
        <w:rPr>
          <w:rFonts w:hint="eastAsia" w:ascii="宋体" w:hAnsi="宋体" w:eastAsia="宋体"/>
          <w:color w:val="auto"/>
          <w:sz w:val="24"/>
          <w:szCs w:val="24"/>
          <w:lang w:eastAsia="zh-CN"/>
        </w:rPr>
        <w:t>五</w:t>
      </w:r>
      <w:r>
        <w:rPr>
          <w:rFonts w:hint="eastAsia" w:ascii="宋体" w:hAnsi="宋体" w:eastAsia="宋体"/>
          <w:color w:val="auto"/>
          <w:sz w:val="24"/>
          <w:szCs w:val="24"/>
        </w:rPr>
        <w:t>、合同款支付</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outlineLvl w:val="1"/>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合同签订生效后，</w:t>
      </w:r>
      <w:r>
        <w:rPr>
          <w:rFonts w:hint="eastAsia" w:ascii="宋体" w:hAnsi="宋体" w:eastAsia="宋体" w:cs="宋体"/>
          <w:b w:val="0"/>
          <w:bCs/>
          <w:color w:val="auto"/>
          <w:sz w:val="24"/>
          <w:szCs w:val="24"/>
          <w:highlight w:val="none"/>
          <w:lang w:val="en-US" w:eastAsia="zh-CN"/>
        </w:rPr>
        <w:t>每</w:t>
      </w:r>
      <w:r>
        <w:rPr>
          <w:rFonts w:hint="eastAsia" w:ascii="宋体" w:hAnsi="宋体" w:cs="宋体"/>
          <w:b w:val="0"/>
          <w:bCs/>
          <w:color w:val="auto"/>
          <w:sz w:val="24"/>
          <w:szCs w:val="24"/>
          <w:highlight w:val="none"/>
          <w:lang w:val="en-US" w:eastAsia="zh-CN"/>
        </w:rPr>
        <w:t>季</w:t>
      </w:r>
      <w:r>
        <w:rPr>
          <w:rFonts w:hint="eastAsia" w:ascii="宋体" w:hAnsi="宋体" w:eastAsia="宋体" w:cs="宋体"/>
          <w:b w:val="0"/>
          <w:bCs/>
          <w:color w:val="auto"/>
          <w:sz w:val="24"/>
          <w:szCs w:val="24"/>
          <w:highlight w:val="none"/>
          <w:lang w:val="en-US" w:eastAsia="zh-CN"/>
        </w:rPr>
        <w:t>考</w:t>
      </w:r>
      <w:r>
        <w:rPr>
          <w:rFonts w:hint="eastAsia" w:ascii="宋体" w:hAnsi="宋体" w:eastAsia="宋体" w:cs="宋体"/>
          <w:b w:val="0"/>
          <w:bCs/>
          <w:sz w:val="24"/>
          <w:szCs w:val="24"/>
          <w:highlight w:val="none"/>
          <w:lang w:val="en-US" w:eastAsia="zh-CN"/>
        </w:rPr>
        <w:t>核一次，根据季度考核得分，每次考核总分为100分，高于等于90分，全额支付季度费用，低于90分的，每低1分扣相应支付费用总额的1%。年度考核</w:t>
      </w:r>
      <w:r>
        <w:rPr>
          <w:rFonts w:hint="eastAsia" w:ascii="宋体" w:hAnsi="宋体" w:eastAsia="宋体" w:cs="宋体"/>
          <w:b w:val="0"/>
          <w:bCs/>
          <w:sz w:val="24"/>
          <w:szCs w:val="24"/>
          <w:highlight w:val="none"/>
        </w:rPr>
        <w:t>＜90</w:t>
      </w:r>
      <w:r>
        <w:rPr>
          <w:rFonts w:hint="eastAsia" w:ascii="宋体" w:hAnsi="宋体" w:eastAsia="宋体" w:cs="宋体"/>
          <w:b w:val="0"/>
          <w:bCs/>
          <w:sz w:val="24"/>
          <w:szCs w:val="24"/>
          <w:highlight w:val="none"/>
          <w:lang w:val="en-US" w:eastAsia="zh-CN"/>
        </w:rPr>
        <w:t>分不再续签合同。每季度不计息支付费用</w:t>
      </w:r>
      <w:r>
        <w:rPr>
          <w:rFonts w:hint="eastAsia" w:ascii="宋体" w:hAnsi="宋体" w:eastAsia="宋体" w:cs="宋体"/>
          <w:b w:val="0"/>
          <w:bCs/>
          <w:sz w:val="24"/>
          <w:szCs w:val="24"/>
          <w:highlight w:val="none"/>
        </w:rPr>
        <w:t>，每次付款为本合同金额的</w:t>
      </w:r>
      <w:r>
        <w:rPr>
          <w:rFonts w:hint="eastAsia" w:ascii="宋体" w:hAnsi="宋体" w:eastAsia="宋体" w:cs="宋体"/>
          <w:b w:val="0"/>
          <w:bCs/>
          <w:sz w:val="24"/>
          <w:szCs w:val="24"/>
          <w:highlight w:val="none"/>
          <w:lang w:val="en-US" w:eastAsia="zh-CN"/>
        </w:rPr>
        <w:t>25</w:t>
      </w:r>
      <w:r>
        <w:rPr>
          <w:rFonts w:hint="eastAsia" w:ascii="宋体" w:hAnsi="宋体" w:eastAsia="宋体" w:cs="宋体"/>
          <w:b w:val="0"/>
          <w:bCs/>
          <w:sz w:val="24"/>
          <w:szCs w:val="24"/>
          <w:highlight w:val="none"/>
        </w:rPr>
        <w:t xml:space="preserve">%，即人民币 </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b w:val="0"/>
          <w:bCs/>
          <w:sz w:val="24"/>
          <w:szCs w:val="24"/>
          <w:highlight w:val="none"/>
          <w:u w:val="single"/>
        </w:rPr>
        <w:t xml:space="preserve">  </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b w:val="0"/>
          <w:bCs/>
          <w:sz w:val="24"/>
          <w:szCs w:val="24"/>
          <w:highlight w:val="none"/>
        </w:rPr>
        <w:t>元（大写：人民币</w:t>
      </w:r>
      <w:r>
        <w:rPr>
          <w:rFonts w:hint="eastAsia" w:ascii="宋体" w:hAnsi="宋体" w:eastAsia="宋体" w:cs="宋体"/>
          <w:b w:val="0"/>
          <w:bCs/>
          <w:sz w:val="24"/>
          <w:szCs w:val="24"/>
          <w:highlight w:val="none"/>
          <w:lang w:val="en-US" w:eastAsia="zh-CN"/>
        </w:rPr>
        <w:t xml:space="preserve"> </w:t>
      </w:r>
      <w:r>
        <w:rPr>
          <w:rFonts w:hint="eastAsia" w:ascii="宋体" w:hAnsi="宋体" w:eastAsia="宋体" w:cs="宋体"/>
          <w:b w:val="0"/>
          <w:bCs/>
          <w:sz w:val="24"/>
          <w:szCs w:val="24"/>
          <w:highlight w:val="none"/>
          <w:u w:val="single"/>
          <w:lang w:val="en-US" w:eastAsia="zh-CN"/>
        </w:rPr>
        <w:t xml:space="preserve">      </w:t>
      </w:r>
      <w:r>
        <w:rPr>
          <w:rFonts w:hint="eastAsia" w:ascii="宋体" w:hAnsi="宋体" w:eastAsia="宋体" w:cs="宋体"/>
          <w:b w:val="0"/>
          <w:bCs/>
          <w:sz w:val="24"/>
          <w:szCs w:val="24"/>
          <w:highlight w:val="none"/>
        </w:rPr>
        <w:t>元)。每个结算期满后10日内由乙方提供等额服务费发票、并经甲方审核后付款。</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outlineLvl w:val="1"/>
        <w:rPr>
          <w:rFonts w:hint="eastAsia" w:ascii="宋体" w:hAnsi="宋体" w:cs="宋体"/>
          <w:b w:val="0"/>
          <w:bCs/>
          <w:sz w:val="24"/>
          <w:szCs w:val="24"/>
          <w:highlight w:val="none"/>
        </w:rPr>
      </w:pPr>
      <w:r>
        <w:rPr>
          <w:rFonts w:hint="eastAsia" w:ascii="宋体" w:hAnsi="宋体" w:cs="宋体"/>
          <w:b w:val="0"/>
          <w:bCs/>
          <w:sz w:val="24"/>
          <w:szCs w:val="24"/>
          <w:highlight w:val="none"/>
          <w:lang w:eastAsia="zh-CN"/>
        </w:rPr>
        <w:t>六</w:t>
      </w:r>
      <w:r>
        <w:rPr>
          <w:rFonts w:hint="eastAsia" w:ascii="宋体" w:hAnsi="宋体" w:cs="宋体"/>
          <w:b w:val="0"/>
          <w:bCs/>
          <w:sz w:val="24"/>
          <w:szCs w:val="24"/>
          <w:highlight w:val="none"/>
        </w:rPr>
        <w:t>、违约责任：</w:t>
      </w:r>
      <w:bookmarkEnd w:id="91"/>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1、双方按本合同及其附件的规定本着权利和义务相对应的原则确定相互的违约责任。</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2、</w:t>
      </w:r>
      <w:r>
        <w:rPr>
          <w:rFonts w:hint="eastAsia" w:ascii="宋体" w:hAnsi="宋体" w:cs="宋体"/>
          <w:bCs/>
          <w:sz w:val="24"/>
          <w:szCs w:val="24"/>
          <w:highlight w:val="none"/>
          <w:lang w:eastAsia="zh-CN"/>
        </w:rPr>
        <w:t>甲</w:t>
      </w:r>
      <w:r>
        <w:rPr>
          <w:rFonts w:hint="eastAsia" w:ascii="宋体" w:hAnsi="宋体" w:cs="宋体"/>
          <w:bCs/>
          <w:sz w:val="24"/>
          <w:szCs w:val="24"/>
          <w:highlight w:val="none"/>
        </w:rPr>
        <w:t>方按规定考核</w:t>
      </w:r>
      <w:r>
        <w:rPr>
          <w:rFonts w:hint="eastAsia" w:ascii="宋体" w:hAnsi="宋体" w:cs="宋体"/>
          <w:bCs/>
          <w:sz w:val="24"/>
          <w:szCs w:val="24"/>
          <w:highlight w:val="none"/>
          <w:lang w:eastAsia="zh-CN"/>
        </w:rPr>
        <w:t>乙</w:t>
      </w:r>
      <w:r>
        <w:rPr>
          <w:rFonts w:hint="eastAsia" w:ascii="宋体" w:hAnsi="宋体" w:cs="宋体"/>
          <w:bCs/>
          <w:sz w:val="24"/>
          <w:szCs w:val="24"/>
          <w:highlight w:val="none"/>
        </w:rPr>
        <w:t>方，事实成立即可追究</w:t>
      </w:r>
      <w:r>
        <w:rPr>
          <w:rFonts w:hint="eastAsia" w:ascii="宋体" w:hAnsi="宋体" w:cs="宋体"/>
          <w:bCs/>
          <w:sz w:val="24"/>
          <w:szCs w:val="24"/>
          <w:highlight w:val="none"/>
          <w:lang w:eastAsia="zh-CN"/>
        </w:rPr>
        <w:t>乙方</w:t>
      </w:r>
      <w:r>
        <w:rPr>
          <w:rFonts w:hint="eastAsia" w:ascii="宋体" w:hAnsi="宋体" w:cs="宋体"/>
          <w:bCs/>
          <w:sz w:val="24"/>
          <w:szCs w:val="24"/>
          <w:highlight w:val="none"/>
        </w:rPr>
        <w:t>经济责任。</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3、</w:t>
      </w:r>
      <w:r>
        <w:rPr>
          <w:rFonts w:hint="eastAsia" w:ascii="宋体" w:hAnsi="宋体" w:cs="宋体"/>
          <w:bCs/>
          <w:sz w:val="24"/>
          <w:szCs w:val="24"/>
          <w:highlight w:val="none"/>
          <w:lang w:eastAsia="zh-CN"/>
        </w:rPr>
        <w:t>乙</w:t>
      </w:r>
      <w:r>
        <w:rPr>
          <w:rFonts w:hint="eastAsia" w:ascii="宋体" w:hAnsi="宋体" w:cs="宋体"/>
          <w:bCs/>
          <w:sz w:val="24"/>
          <w:szCs w:val="24"/>
          <w:highlight w:val="none"/>
        </w:rPr>
        <w:t>方合同违约（提前终止、合同终止不及时撤出等）</w:t>
      </w:r>
      <w:r>
        <w:rPr>
          <w:rFonts w:hint="eastAsia" w:ascii="宋体" w:hAnsi="宋体" w:cs="宋体"/>
          <w:bCs/>
          <w:sz w:val="24"/>
          <w:szCs w:val="24"/>
          <w:highlight w:val="none"/>
          <w:lang w:eastAsia="zh-CN"/>
        </w:rPr>
        <w:t>甲</w:t>
      </w:r>
      <w:r>
        <w:rPr>
          <w:rFonts w:hint="eastAsia" w:ascii="宋体" w:hAnsi="宋体" w:cs="宋体"/>
          <w:bCs/>
          <w:sz w:val="24"/>
          <w:szCs w:val="24"/>
          <w:highlight w:val="none"/>
        </w:rPr>
        <w:t>按本合同总价的20%向</w:t>
      </w:r>
      <w:r>
        <w:rPr>
          <w:rFonts w:hint="eastAsia" w:ascii="宋体" w:hAnsi="宋体" w:cs="宋体"/>
          <w:bCs/>
          <w:sz w:val="24"/>
          <w:szCs w:val="24"/>
          <w:highlight w:val="none"/>
          <w:lang w:eastAsia="zh-CN"/>
        </w:rPr>
        <w:t>乙</w:t>
      </w:r>
      <w:r>
        <w:rPr>
          <w:rFonts w:hint="eastAsia" w:ascii="宋体" w:hAnsi="宋体" w:cs="宋体"/>
          <w:bCs/>
          <w:sz w:val="24"/>
          <w:szCs w:val="24"/>
          <w:highlight w:val="none"/>
        </w:rPr>
        <w:t>方收取违约金；如</w:t>
      </w:r>
      <w:r>
        <w:rPr>
          <w:rFonts w:hint="eastAsia" w:ascii="宋体" w:hAnsi="宋体" w:cs="宋体"/>
          <w:bCs/>
          <w:sz w:val="24"/>
          <w:szCs w:val="24"/>
          <w:highlight w:val="none"/>
          <w:lang w:eastAsia="zh-CN"/>
        </w:rPr>
        <w:t>甲</w:t>
      </w:r>
      <w:r>
        <w:rPr>
          <w:rFonts w:hint="eastAsia" w:ascii="宋体" w:hAnsi="宋体" w:cs="宋体"/>
          <w:bCs/>
          <w:sz w:val="24"/>
          <w:szCs w:val="24"/>
          <w:highlight w:val="none"/>
        </w:rPr>
        <w:t>方合同违约（如不按合同终止、不及时续订合同等违约行为）</w:t>
      </w:r>
      <w:r>
        <w:rPr>
          <w:rFonts w:hint="eastAsia" w:ascii="宋体" w:hAnsi="宋体" w:cs="宋体"/>
          <w:bCs/>
          <w:sz w:val="24"/>
          <w:szCs w:val="24"/>
          <w:highlight w:val="none"/>
          <w:lang w:eastAsia="zh-CN"/>
        </w:rPr>
        <w:t>乙</w:t>
      </w:r>
      <w:r>
        <w:rPr>
          <w:rFonts w:hint="eastAsia" w:ascii="宋体" w:hAnsi="宋体" w:cs="宋体"/>
          <w:bCs/>
          <w:sz w:val="24"/>
          <w:szCs w:val="24"/>
          <w:highlight w:val="none"/>
        </w:rPr>
        <w:t>方向</w:t>
      </w:r>
      <w:r>
        <w:rPr>
          <w:rFonts w:hint="eastAsia" w:ascii="宋体" w:hAnsi="宋体" w:cs="宋体"/>
          <w:bCs/>
          <w:sz w:val="24"/>
          <w:szCs w:val="24"/>
          <w:highlight w:val="none"/>
          <w:lang w:eastAsia="zh-CN"/>
        </w:rPr>
        <w:t>甲</w:t>
      </w:r>
      <w:r>
        <w:rPr>
          <w:rFonts w:hint="eastAsia" w:ascii="宋体" w:hAnsi="宋体" w:cs="宋体"/>
          <w:bCs/>
          <w:sz w:val="24"/>
          <w:szCs w:val="24"/>
          <w:highlight w:val="none"/>
        </w:rPr>
        <w:t>方收取合同总价20%的违约金。</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4、</w:t>
      </w:r>
      <w:r>
        <w:rPr>
          <w:rFonts w:hint="eastAsia" w:ascii="宋体" w:hAnsi="宋体" w:cs="宋体"/>
          <w:bCs/>
          <w:sz w:val="24"/>
          <w:szCs w:val="24"/>
          <w:highlight w:val="none"/>
          <w:lang w:eastAsia="zh-CN"/>
        </w:rPr>
        <w:t>甲</w:t>
      </w:r>
      <w:r>
        <w:rPr>
          <w:rFonts w:hint="eastAsia" w:ascii="宋体" w:hAnsi="宋体" w:cs="宋体"/>
          <w:bCs/>
          <w:sz w:val="24"/>
          <w:szCs w:val="24"/>
          <w:highlight w:val="none"/>
        </w:rPr>
        <w:t>方不按规定时间支付合同款的违约行为，</w:t>
      </w:r>
      <w:r>
        <w:rPr>
          <w:rFonts w:hint="eastAsia" w:ascii="宋体" w:hAnsi="宋体" w:cs="宋体"/>
          <w:bCs/>
          <w:sz w:val="24"/>
          <w:szCs w:val="24"/>
          <w:highlight w:val="none"/>
          <w:lang w:eastAsia="zh-CN"/>
        </w:rPr>
        <w:t>乙</w:t>
      </w:r>
      <w:r>
        <w:rPr>
          <w:rFonts w:hint="eastAsia" w:ascii="宋体" w:hAnsi="宋体" w:cs="宋体"/>
          <w:bCs/>
          <w:sz w:val="24"/>
          <w:szCs w:val="24"/>
          <w:highlight w:val="none"/>
        </w:rPr>
        <w:t>方按每天2‰的费率收取</w:t>
      </w:r>
      <w:r>
        <w:rPr>
          <w:rFonts w:hint="eastAsia" w:ascii="宋体" w:hAnsi="宋体" w:cs="宋体"/>
          <w:bCs/>
          <w:sz w:val="24"/>
          <w:szCs w:val="24"/>
          <w:highlight w:val="none"/>
          <w:lang w:eastAsia="zh-CN"/>
        </w:rPr>
        <w:t>甲</w:t>
      </w:r>
      <w:r>
        <w:rPr>
          <w:rFonts w:hint="eastAsia" w:ascii="宋体" w:hAnsi="宋体" w:cs="宋体"/>
          <w:bCs/>
          <w:sz w:val="24"/>
          <w:szCs w:val="24"/>
          <w:highlight w:val="none"/>
        </w:rPr>
        <w:t>方滞纳款的滞纳金。</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outlineLvl w:val="1"/>
        <w:rPr>
          <w:rFonts w:hint="eastAsia" w:ascii="宋体" w:hAnsi="宋体" w:cs="宋体"/>
          <w:b w:val="0"/>
          <w:bCs w:val="0"/>
          <w:sz w:val="24"/>
          <w:szCs w:val="24"/>
          <w:highlight w:val="none"/>
        </w:rPr>
      </w:pPr>
      <w:bookmarkStart w:id="92" w:name="_Toc8150"/>
      <w:r>
        <w:rPr>
          <w:rFonts w:hint="eastAsia" w:ascii="宋体" w:hAnsi="宋体" w:cs="宋体"/>
          <w:b w:val="0"/>
          <w:bCs w:val="0"/>
          <w:sz w:val="24"/>
          <w:szCs w:val="24"/>
          <w:highlight w:val="none"/>
          <w:lang w:eastAsia="zh-CN"/>
        </w:rPr>
        <w:t>七</w:t>
      </w:r>
      <w:r>
        <w:rPr>
          <w:rFonts w:hint="eastAsia" w:ascii="宋体" w:hAnsi="宋体" w:cs="宋体"/>
          <w:b w:val="0"/>
          <w:bCs w:val="0"/>
          <w:sz w:val="24"/>
          <w:szCs w:val="24"/>
          <w:highlight w:val="none"/>
        </w:rPr>
        <w:t>、合同中止或延期条件</w:t>
      </w:r>
      <w:bookmarkEnd w:id="92"/>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1、</w:t>
      </w:r>
      <w:r>
        <w:rPr>
          <w:rFonts w:hint="eastAsia" w:ascii="宋体" w:hAnsi="宋体" w:cs="宋体"/>
          <w:b w:val="0"/>
          <w:bCs w:val="0"/>
          <w:sz w:val="24"/>
          <w:szCs w:val="24"/>
          <w:highlight w:val="none"/>
          <w:lang w:eastAsia="zh-CN"/>
        </w:rPr>
        <w:t>乙方</w:t>
      </w:r>
      <w:r>
        <w:rPr>
          <w:rFonts w:hint="eastAsia" w:ascii="宋体" w:hAnsi="宋体" w:cs="宋体"/>
          <w:b w:val="0"/>
          <w:bCs w:val="0"/>
          <w:sz w:val="24"/>
          <w:szCs w:val="24"/>
          <w:highlight w:val="none"/>
        </w:rPr>
        <w:t>管理工作处于瘫痪状态，严重影响</w:t>
      </w:r>
      <w:r>
        <w:rPr>
          <w:rFonts w:hint="eastAsia" w:ascii="宋体" w:hAnsi="宋体" w:cs="宋体"/>
          <w:b w:val="0"/>
          <w:bCs w:val="0"/>
          <w:sz w:val="24"/>
          <w:szCs w:val="24"/>
          <w:highlight w:val="none"/>
          <w:lang w:eastAsia="zh-CN"/>
        </w:rPr>
        <w:t>甲方</w:t>
      </w:r>
      <w:r>
        <w:rPr>
          <w:rFonts w:hint="eastAsia" w:ascii="宋体" w:hAnsi="宋体" w:cs="宋体"/>
          <w:b w:val="0"/>
          <w:bCs w:val="0"/>
          <w:sz w:val="24"/>
          <w:szCs w:val="24"/>
          <w:highlight w:val="none"/>
        </w:rPr>
        <w:t>医疗工作。</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2、</w:t>
      </w:r>
      <w:r>
        <w:rPr>
          <w:rFonts w:hint="eastAsia" w:ascii="宋体" w:hAnsi="宋体" w:cs="宋体"/>
          <w:b w:val="0"/>
          <w:bCs w:val="0"/>
          <w:sz w:val="24"/>
          <w:szCs w:val="24"/>
          <w:highlight w:val="none"/>
          <w:lang w:eastAsia="zh-CN"/>
        </w:rPr>
        <w:t>甲方</w:t>
      </w:r>
      <w:r>
        <w:rPr>
          <w:rFonts w:hint="eastAsia" w:ascii="宋体" w:hAnsi="宋体" w:cs="宋体"/>
          <w:b w:val="0"/>
          <w:bCs w:val="0"/>
          <w:sz w:val="24"/>
          <w:szCs w:val="24"/>
          <w:highlight w:val="none"/>
        </w:rPr>
        <w:t>不能及时按协议支付承包费用。</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3、双方达成共识的协议中止或延期的其它条件。</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outlineLvl w:val="1"/>
        <w:rPr>
          <w:rFonts w:hint="eastAsia" w:ascii="宋体" w:hAnsi="宋体" w:cs="宋体"/>
          <w:b w:val="0"/>
          <w:bCs w:val="0"/>
          <w:sz w:val="24"/>
          <w:szCs w:val="24"/>
          <w:highlight w:val="none"/>
        </w:rPr>
      </w:pPr>
      <w:bookmarkStart w:id="93" w:name="_Toc4016"/>
      <w:r>
        <w:rPr>
          <w:rFonts w:hint="eastAsia" w:ascii="宋体" w:hAnsi="宋体" w:cs="宋体"/>
          <w:b w:val="0"/>
          <w:bCs w:val="0"/>
          <w:sz w:val="24"/>
          <w:szCs w:val="24"/>
          <w:highlight w:val="none"/>
          <w:lang w:eastAsia="zh-CN"/>
        </w:rPr>
        <w:t>八、</w:t>
      </w:r>
      <w:r>
        <w:rPr>
          <w:rFonts w:hint="eastAsia" w:ascii="宋体" w:hAnsi="宋体" w:cs="宋体"/>
          <w:b w:val="0"/>
          <w:bCs w:val="0"/>
          <w:sz w:val="24"/>
          <w:szCs w:val="24"/>
          <w:highlight w:val="none"/>
        </w:rPr>
        <w:t>争议解决：</w:t>
      </w:r>
      <w:bookmarkEnd w:id="93"/>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双方在本合同履行中发生的任何争议应尽可能的协商解决，如协商不成双方同意将争议提交南通仲裁委员会进行仲裁。</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outlineLvl w:val="1"/>
        <w:rPr>
          <w:rFonts w:hint="eastAsia" w:ascii="宋体" w:hAnsi="宋体" w:cs="宋体"/>
          <w:b w:val="0"/>
          <w:bCs w:val="0"/>
          <w:sz w:val="24"/>
          <w:szCs w:val="24"/>
          <w:highlight w:val="none"/>
        </w:rPr>
      </w:pPr>
      <w:bookmarkStart w:id="94" w:name="_Toc20451"/>
      <w:r>
        <w:rPr>
          <w:rFonts w:hint="eastAsia" w:ascii="宋体" w:hAnsi="宋体" w:cs="宋体"/>
          <w:b w:val="0"/>
          <w:bCs w:val="0"/>
          <w:sz w:val="24"/>
          <w:szCs w:val="24"/>
          <w:highlight w:val="none"/>
          <w:lang w:eastAsia="zh-CN"/>
        </w:rPr>
        <w:t>九、</w:t>
      </w:r>
      <w:r>
        <w:rPr>
          <w:rFonts w:hint="eastAsia" w:ascii="宋体" w:hAnsi="宋体" w:cs="宋体"/>
          <w:b w:val="0"/>
          <w:bCs w:val="0"/>
          <w:sz w:val="24"/>
          <w:szCs w:val="24"/>
          <w:highlight w:val="none"/>
        </w:rPr>
        <w:t>其他约定：</w:t>
      </w:r>
      <w:bookmarkEnd w:id="94"/>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1</w:t>
      </w:r>
      <w:r>
        <w:rPr>
          <w:rFonts w:hint="eastAsia" w:ascii="宋体" w:hAnsi="宋体" w:cs="宋体"/>
          <w:b w:val="0"/>
          <w:bCs w:val="0"/>
          <w:sz w:val="24"/>
          <w:szCs w:val="24"/>
          <w:highlight w:val="none"/>
          <w:lang w:eastAsia="zh-CN"/>
        </w:rPr>
        <w:t>、乙方</w:t>
      </w:r>
      <w:r>
        <w:rPr>
          <w:rFonts w:hint="eastAsia" w:ascii="宋体" w:hAnsi="宋体" w:cs="宋体"/>
          <w:b w:val="0"/>
          <w:bCs w:val="0"/>
          <w:sz w:val="24"/>
          <w:szCs w:val="24"/>
          <w:highlight w:val="none"/>
        </w:rPr>
        <w:t>必须按规定配备各种必备工具和职工个人安全防护用品。</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2</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本合同期限内因</w:t>
      </w:r>
      <w:r>
        <w:rPr>
          <w:rFonts w:hint="eastAsia" w:ascii="宋体" w:hAnsi="宋体" w:cs="宋体"/>
          <w:b w:val="0"/>
          <w:bCs w:val="0"/>
          <w:sz w:val="24"/>
          <w:szCs w:val="24"/>
          <w:highlight w:val="none"/>
          <w:lang w:eastAsia="zh-CN"/>
        </w:rPr>
        <w:t>甲方</w:t>
      </w:r>
      <w:r>
        <w:rPr>
          <w:rFonts w:hint="eastAsia" w:ascii="宋体" w:hAnsi="宋体" w:cs="宋体"/>
          <w:b w:val="0"/>
          <w:bCs w:val="0"/>
          <w:sz w:val="24"/>
          <w:szCs w:val="24"/>
          <w:highlight w:val="none"/>
        </w:rPr>
        <w:t>原因未能及时对电气设备进行大修、年检、维护而产生的后果由</w:t>
      </w:r>
      <w:r>
        <w:rPr>
          <w:rFonts w:hint="eastAsia" w:ascii="宋体" w:hAnsi="宋体" w:cs="宋体"/>
          <w:b w:val="0"/>
          <w:bCs w:val="0"/>
          <w:sz w:val="24"/>
          <w:szCs w:val="24"/>
          <w:highlight w:val="none"/>
          <w:lang w:eastAsia="zh-CN"/>
        </w:rPr>
        <w:t>甲方</w:t>
      </w:r>
      <w:r>
        <w:rPr>
          <w:rFonts w:hint="eastAsia" w:ascii="宋体" w:hAnsi="宋体" w:cs="宋体"/>
          <w:b w:val="0"/>
          <w:bCs w:val="0"/>
          <w:sz w:val="24"/>
          <w:szCs w:val="24"/>
          <w:highlight w:val="none"/>
        </w:rPr>
        <w:t>负责，承包费用</w:t>
      </w:r>
      <w:r>
        <w:rPr>
          <w:rFonts w:hint="eastAsia" w:ascii="宋体" w:hAnsi="宋体" w:cs="宋体"/>
          <w:b w:val="0"/>
          <w:bCs w:val="0"/>
          <w:sz w:val="24"/>
          <w:szCs w:val="24"/>
          <w:highlight w:val="none"/>
          <w:lang w:eastAsia="zh-CN"/>
        </w:rPr>
        <w:t>乙方</w:t>
      </w:r>
      <w:r>
        <w:rPr>
          <w:rFonts w:hint="eastAsia" w:ascii="宋体" w:hAnsi="宋体" w:cs="宋体"/>
          <w:b w:val="0"/>
          <w:bCs w:val="0"/>
          <w:sz w:val="24"/>
          <w:szCs w:val="24"/>
          <w:highlight w:val="none"/>
        </w:rPr>
        <w:t>不再退给</w:t>
      </w:r>
      <w:r>
        <w:rPr>
          <w:rFonts w:hint="eastAsia" w:ascii="宋体" w:hAnsi="宋体" w:cs="宋体"/>
          <w:b w:val="0"/>
          <w:bCs w:val="0"/>
          <w:sz w:val="24"/>
          <w:szCs w:val="24"/>
          <w:highlight w:val="none"/>
          <w:lang w:eastAsia="zh-CN"/>
        </w:rPr>
        <w:t>甲方</w:t>
      </w:r>
      <w:r>
        <w:rPr>
          <w:rFonts w:hint="eastAsia" w:ascii="宋体" w:hAnsi="宋体" w:cs="宋体"/>
          <w:b w:val="0"/>
          <w:bCs w:val="0"/>
          <w:sz w:val="24"/>
          <w:szCs w:val="24"/>
          <w:highlight w:val="none"/>
        </w:rPr>
        <w:t>。</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lang w:val="en-US" w:eastAsia="zh-CN"/>
        </w:rPr>
        <w:t>3</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rPr>
        <w:t>本合同时限内，因</w:t>
      </w:r>
      <w:r>
        <w:rPr>
          <w:rFonts w:hint="eastAsia" w:ascii="宋体" w:hAnsi="宋体" w:cs="宋体"/>
          <w:b w:val="0"/>
          <w:bCs w:val="0"/>
          <w:sz w:val="24"/>
          <w:szCs w:val="24"/>
          <w:highlight w:val="none"/>
          <w:lang w:eastAsia="zh-CN"/>
        </w:rPr>
        <w:t>乙方</w:t>
      </w:r>
      <w:r>
        <w:rPr>
          <w:rFonts w:hint="eastAsia" w:ascii="宋体" w:hAnsi="宋体" w:cs="宋体"/>
          <w:b w:val="0"/>
          <w:bCs w:val="0"/>
          <w:sz w:val="24"/>
          <w:szCs w:val="24"/>
          <w:highlight w:val="none"/>
        </w:rPr>
        <w:t>责任原因对</w:t>
      </w:r>
      <w:r>
        <w:rPr>
          <w:rFonts w:hint="eastAsia" w:ascii="宋体" w:hAnsi="宋体" w:cs="宋体"/>
          <w:b w:val="0"/>
          <w:bCs w:val="0"/>
          <w:sz w:val="24"/>
          <w:szCs w:val="24"/>
          <w:highlight w:val="none"/>
          <w:lang w:eastAsia="zh-CN"/>
        </w:rPr>
        <w:t>甲方</w:t>
      </w:r>
      <w:r>
        <w:rPr>
          <w:rFonts w:hint="eastAsia" w:ascii="宋体" w:hAnsi="宋体" w:cs="宋体"/>
          <w:b w:val="0"/>
          <w:bCs w:val="0"/>
          <w:sz w:val="24"/>
          <w:szCs w:val="24"/>
          <w:highlight w:val="none"/>
        </w:rPr>
        <w:t>所造成的损失由</w:t>
      </w:r>
      <w:r>
        <w:rPr>
          <w:rFonts w:hint="eastAsia" w:ascii="宋体" w:hAnsi="宋体" w:cs="宋体"/>
          <w:b w:val="0"/>
          <w:bCs w:val="0"/>
          <w:sz w:val="24"/>
          <w:szCs w:val="24"/>
          <w:highlight w:val="none"/>
          <w:lang w:eastAsia="zh-CN"/>
        </w:rPr>
        <w:t>乙方</w:t>
      </w:r>
      <w:r>
        <w:rPr>
          <w:rFonts w:hint="eastAsia" w:ascii="宋体" w:hAnsi="宋体" w:cs="宋体"/>
          <w:b w:val="0"/>
          <w:bCs w:val="0"/>
          <w:sz w:val="24"/>
          <w:szCs w:val="24"/>
          <w:highlight w:val="none"/>
        </w:rPr>
        <w:t>承担。</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lang w:val="en-US" w:eastAsia="zh-CN"/>
        </w:rPr>
        <w:t>4、</w:t>
      </w:r>
      <w:r>
        <w:rPr>
          <w:rFonts w:hint="eastAsia" w:ascii="宋体" w:hAnsi="宋体" w:cs="宋体"/>
          <w:b w:val="0"/>
          <w:bCs w:val="0"/>
          <w:sz w:val="24"/>
          <w:szCs w:val="24"/>
          <w:highlight w:val="none"/>
          <w:lang w:eastAsia="zh-CN"/>
        </w:rPr>
        <w:t>乙方</w:t>
      </w:r>
      <w:r>
        <w:rPr>
          <w:rFonts w:hint="eastAsia" w:ascii="宋体" w:hAnsi="宋体" w:cs="宋体"/>
          <w:b w:val="0"/>
          <w:bCs w:val="0"/>
          <w:sz w:val="24"/>
          <w:szCs w:val="24"/>
          <w:highlight w:val="none"/>
        </w:rPr>
        <w:t>人员工作中发生的个人安全（包括交通安全）责任事件由</w:t>
      </w:r>
      <w:r>
        <w:rPr>
          <w:rFonts w:hint="eastAsia" w:ascii="宋体" w:hAnsi="宋体" w:cs="宋体"/>
          <w:b w:val="0"/>
          <w:bCs w:val="0"/>
          <w:sz w:val="24"/>
          <w:szCs w:val="24"/>
          <w:highlight w:val="none"/>
          <w:lang w:eastAsia="zh-CN"/>
        </w:rPr>
        <w:t>乙方</w:t>
      </w:r>
      <w:r>
        <w:rPr>
          <w:rFonts w:hint="eastAsia" w:ascii="宋体" w:hAnsi="宋体" w:cs="宋体"/>
          <w:b w:val="0"/>
          <w:bCs w:val="0"/>
          <w:sz w:val="24"/>
          <w:szCs w:val="24"/>
          <w:highlight w:val="none"/>
        </w:rPr>
        <w:t>负责。</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lang w:val="en-US" w:eastAsia="zh-CN"/>
        </w:rPr>
        <w:t>5、</w:t>
      </w:r>
      <w:r>
        <w:rPr>
          <w:rFonts w:hint="eastAsia" w:ascii="宋体" w:hAnsi="宋体" w:cs="宋体"/>
          <w:b w:val="0"/>
          <w:bCs w:val="0"/>
          <w:sz w:val="24"/>
          <w:szCs w:val="24"/>
          <w:highlight w:val="none"/>
        </w:rPr>
        <w:t>本合同未尽事宜，双方可另行协商，订立书面补充协议，对未及考虑或遗漏的事项按中华人民共和国的相关法规及诚实、诚信原则处理，协商不成即按合同第八款处理。</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cs="宋体"/>
          <w:b w:val="0"/>
          <w:bCs w:val="0"/>
          <w:sz w:val="24"/>
          <w:szCs w:val="24"/>
          <w:highlight w:val="none"/>
        </w:rPr>
      </w:pPr>
      <w:r>
        <w:rPr>
          <w:rFonts w:hint="eastAsia" w:ascii="宋体" w:hAnsi="宋体" w:cs="宋体"/>
          <w:b w:val="0"/>
          <w:bCs w:val="0"/>
          <w:sz w:val="24"/>
          <w:szCs w:val="24"/>
          <w:highlight w:val="none"/>
        </w:rPr>
        <w:t>十、本合同一式</w:t>
      </w:r>
      <w:r>
        <w:rPr>
          <w:rFonts w:hint="eastAsia" w:ascii="宋体" w:hAnsi="宋体" w:cs="宋体"/>
          <w:b w:val="0"/>
          <w:bCs w:val="0"/>
          <w:sz w:val="24"/>
          <w:szCs w:val="24"/>
          <w:highlight w:val="none"/>
          <w:u w:val="single"/>
        </w:rPr>
        <w:t>肆</w:t>
      </w:r>
      <w:r>
        <w:rPr>
          <w:rFonts w:hint="eastAsia" w:ascii="宋体" w:hAnsi="宋体" w:cs="宋体"/>
          <w:b w:val="0"/>
          <w:bCs w:val="0"/>
          <w:sz w:val="24"/>
          <w:szCs w:val="24"/>
          <w:highlight w:val="none"/>
        </w:rPr>
        <w:t>份，</w:t>
      </w:r>
      <w:r>
        <w:rPr>
          <w:rFonts w:hint="eastAsia" w:ascii="宋体" w:hAnsi="宋体" w:cs="宋体"/>
          <w:b w:val="0"/>
          <w:bCs w:val="0"/>
          <w:sz w:val="24"/>
          <w:szCs w:val="24"/>
          <w:highlight w:val="none"/>
          <w:lang w:val="en-US" w:eastAsia="zh-CN"/>
        </w:rPr>
        <w:t>甲</w:t>
      </w:r>
      <w:r>
        <w:rPr>
          <w:rFonts w:hint="eastAsia" w:ascii="宋体" w:hAnsi="宋体" w:cs="宋体"/>
          <w:b w:val="0"/>
          <w:bCs w:val="0"/>
          <w:sz w:val="24"/>
          <w:szCs w:val="24"/>
          <w:highlight w:val="none"/>
        </w:rPr>
        <w:t>方执</w:t>
      </w:r>
      <w:r>
        <w:rPr>
          <w:rFonts w:hint="eastAsia" w:ascii="宋体" w:hAnsi="宋体" w:cs="宋体"/>
          <w:b w:val="0"/>
          <w:bCs w:val="0"/>
          <w:sz w:val="24"/>
          <w:szCs w:val="24"/>
          <w:highlight w:val="none"/>
          <w:u w:val="single"/>
        </w:rPr>
        <w:t>叁</w:t>
      </w:r>
      <w:r>
        <w:rPr>
          <w:rFonts w:hint="eastAsia" w:ascii="宋体" w:hAnsi="宋体" w:cs="宋体"/>
          <w:b w:val="0"/>
          <w:bCs w:val="0"/>
          <w:sz w:val="24"/>
          <w:szCs w:val="24"/>
          <w:highlight w:val="none"/>
        </w:rPr>
        <w:t>份，</w:t>
      </w:r>
      <w:r>
        <w:rPr>
          <w:rFonts w:hint="eastAsia" w:ascii="宋体" w:hAnsi="宋体" w:cs="宋体"/>
          <w:b w:val="0"/>
          <w:bCs w:val="0"/>
          <w:sz w:val="24"/>
          <w:szCs w:val="24"/>
          <w:highlight w:val="none"/>
          <w:lang w:val="en-US" w:eastAsia="zh-CN"/>
        </w:rPr>
        <w:t>乙</w:t>
      </w:r>
      <w:r>
        <w:rPr>
          <w:rFonts w:hint="eastAsia" w:ascii="宋体" w:hAnsi="宋体" w:cs="宋体"/>
          <w:b w:val="0"/>
          <w:bCs w:val="0"/>
          <w:sz w:val="24"/>
          <w:szCs w:val="24"/>
          <w:highlight w:val="none"/>
        </w:rPr>
        <w:t>方执</w:t>
      </w:r>
      <w:r>
        <w:rPr>
          <w:rFonts w:hint="eastAsia" w:ascii="宋体" w:hAnsi="宋体" w:cs="宋体"/>
          <w:b w:val="0"/>
          <w:bCs w:val="0"/>
          <w:sz w:val="24"/>
          <w:szCs w:val="24"/>
          <w:highlight w:val="none"/>
          <w:u w:val="single"/>
        </w:rPr>
        <w:t>壹</w:t>
      </w:r>
      <w:r>
        <w:rPr>
          <w:rFonts w:hint="eastAsia" w:ascii="宋体" w:hAnsi="宋体" w:cs="宋体"/>
          <w:b w:val="0"/>
          <w:bCs w:val="0"/>
          <w:sz w:val="24"/>
          <w:szCs w:val="24"/>
          <w:highlight w:val="none"/>
        </w:rPr>
        <w:t>份，盖章签字后生效。</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cs="宋体"/>
          <w:bCs/>
          <w:sz w:val="24"/>
          <w:szCs w:val="24"/>
          <w:highlight w:val="none"/>
        </w:rPr>
      </w:pPr>
      <w:r>
        <w:rPr>
          <w:rFonts w:hint="eastAsia" w:ascii="宋体" w:hAnsi="宋体" w:cs="宋体"/>
          <w:b w:val="0"/>
          <w:bCs w:val="0"/>
          <w:sz w:val="24"/>
          <w:szCs w:val="24"/>
          <w:highlight w:val="none"/>
        </w:rPr>
        <w:t>十</w:t>
      </w:r>
      <w:r>
        <w:rPr>
          <w:rFonts w:hint="eastAsia" w:ascii="宋体" w:hAnsi="宋体" w:cs="宋体"/>
          <w:b w:val="0"/>
          <w:bCs w:val="0"/>
          <w:sz w:val="24"/>
          <w:szCs w:val="24"/>
          <w:highlight w:val="none"/>
          <w:lang w:eastAsia="zh-CN"/>
        </w:rPr>
        <w:t>一</w:t>
      </w:r>
      <w:r>
        <w:rPr>
          <w:rFonts w:hint="eastAsia" w:ascii="宋体" w:hAnsi="宋体" w:cs="宋体"/>
          <w:b w:val="0"/>
          <w:bCs w:val="0"/>
          <w:sz w:val="24"/>
          <w:szCs w:val="24"/>
          <w:highlight w:val="none"/>
        </w:rPr>
        <w:t>、其它约定事项</w:t>
      </w:r>
      <w:r>
        <w:rPr>
          <w:rFonts w:hint="eastAsia" w:ascii="宋体" w:hAnsi="宋体" w:cs="宋体"/>
          <w:b w:val="0"/>
          <w:bCs w:val="0"/>
          <w:sz w:val="24"/>
          <w:szCs w:val="24"/>
          <w:highlight w:val="none"/>
          <w:lang w:eastAsia="zh-CN"/>
        </w:rPr>
        <w:t>：乙方</w:t>
      </w:r>
      <w:r>
        <w:rPr>
          <w:rFonts w:hint="eastAsia" w:ascii="宋体" w:hAnsi="宋体" w:cs="宋体"/>
          <w:b w:val="0"/>
          <w:bCs w:val="0"/>
          <w:sz w:val="24"/>
          <w:szCs w:val="24"/>
          <w:highlight w:val="none"/>
        </w:rPr>
        <w:t>人员的证件应及时年审、年审不</w:t>
      </w:r>
      <w:r>
        <w:rPr>
          <w:rFonts w:hint="eastAsia" w:ascii="宋体" w:hAnsi="宋体" w:cs="宋体"/>
          <w:bCs/>
          <w:sz w:val="24"/>
          <w:szCs w:val="24"/>
          <w:highlight w:val="none"/>
        </w:rPr>
        <w:t>通过的应及时更换持证人员</w:t>
      </w:r>
      <w:r>
        <w:rPr>
          <w:rFonts w:hint="eastAsia" w:ascii="宋体" w:hAnsi="宋体" w:cs="宋体"/>
          <w:bCs/>
          <w:sz w:val="24"/>
          <w:szCs w:val="24"/>
          <w:highlight w:val="none"/>
          <w:lang w:eastAsia="zh-CN"/>
        </w:rPr>
        <w:t>。</w:t>
      </w:r>
      <w:r>
        <w:rPr>
          <w:rFonts w:hint="eastAsia" w:ascii="宋体" w:hAnsi="宋体" w:cs="宋体"/>
          <w:bCs/>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cs="宋体"/>
          <w:bCs/>
          <w:color w:val="auto"/>
          <w:sz w:val="24"/>
          <w:szCs w:val="24"/>
          <w:highlight w:val="none"/>
          <w:lang w:val="en-US" w:eastAsia="zh-CN"/>
        </w:rPr>
        <w:t>十二、</w:t>
      </w:r>
      <w:r>
        <w:rPr>
          <w:rFonts w:hint="eastAsia" w:ascii="宋体" w:hAnsi="宋体" w:eastAsia="宋体" w:cs="宋体"/>
          <w:bCs/>
          <w:color w:val="auto"/>
          <w:sz w:val="24"/>
          <w:szCs w:val="24"/>
        </w:rPr>
        <w:t>甲方竞争性</w:t>
      </w:r>
      <w:r>
        <w:rPr>
          <w:rFonts w:hint="eastAsia" w:ascii="宋体" w:hAnsi="宋体" w:eastAsia="宋体" w:cs="宋体"/>
          <w:bCs/>
          <w:color w:val="auto"/>
          <w:sz w:val="24"/>
          <w:szCs w:val="24"/>
          <w:lang w:val="en-US" w:eastAsia="zh-CN"/>
        </w:rPr>
        <w:t>磋商</w:t>
      </w:r>
      <w:r>
        <w:rPr>
          <w:rFonts w:hint="eastAsia" w:ascii="宋体" w:hAnsi="宋体" w:eastAsia="宋体" w:cs="宋体"/>
          <w:bCs/>
          <w:color w:val="auto"/>
          <w:sz w:val="24"/>
          <w:szCs w:val="24"/>
        </w:rPr>
        <w:t>文件、乙方响应文件、会议记录均为本合同的组成部分，具有同等法律效力</w:t>
      </w:r>
      <w:r>
        <w:rPr>
          <w:rFonts w:hint="eastAsia" w:ascii="宋体" w:hAnsi="宋体" w:eastAsia="宋体" w:cs="宋体"/>
          <w:bCs/>
          <w:color w:val="auto"/>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附件一：</w:t>
      </w:r>
      <w:r>
        <w:rPr>
          <w:rFonts w:hint="eastAsia" w:ascii="宋体" w:hAnsi="宋体" w:cs="宋体"/>
          <w:bCs/>
          <w:color w:val="auto"/>
          <w:sz w:val="24"/>
          <w:szCs w:val="24"/>
          <w:highlight w:val="none"/>
        </w:rPr>
        <w:t xml:space="preserve"> </w:t>
      </w:r>
      <w:r>
        <w:rPr>
          <w:rFonts w:hint="eastAsia" w:ascii="宋体" w:hAnsi="宋体" w:eastAsia="宋体" w:cs="宋体"/>
          <w:bCs/>
          <w:color w:val="auto"/>
          <w:sz w:val="24"/>
          <w:szCs w:val="24"/>
        </w:rPr>
        <w:t xml:space="preserve"> 水电维修记录单 </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lang w:val="en-US" w:eastAsia="zh-CN"/>
        </w:rPr>
        <w:t>附件二：</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lang w:eastAsia="zh-CN"/>
        </w:rPr>
        <w:t>低压电气设备设施维护维修服务</w:t>
      </w:r>
      <w:r>
        <w:rPr>
          <w:rFonts w:hint="eastAsia" w:ascii="宋体" w:hAnsi="宋体" w:eastAsia="宋体" w:cs="宋体"/>
          <w:bCs/>
          <w:color w:val="auto"/>
          <w:sz w:val="24"/>
          <w:szCs w:val="24"/>
        </w:rPr>
        <w:t xml:space="preserve">考核表        </w:t>
      </w:r>
      <w:r>
        <w:rPr>
          <w:rFonts w:hint="eastAsia" w:ascii="宋体" w:hAnsi="宋体" w:cs="宋体"/>
          <w:bCs/>
          <w:color w:val="auto"/>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甲</w:t>
      </w:r>
      <w:r>
        <w:rPr>
          <w:rFonts w:hint="eastAsia" w:ascii="宋体" w:hAnsi="宋体" w:cs="宋体"/>
          <w:bCs/>
          <w:color w:val="auto"/>
          <w:sz w:val="24"/>
          <w:szCs w:val="24"/>
          <w:highlight w:val="none"/>
        </w:rPr>
        <w:t xml:space="preserve">方签章：                        </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lang w:eastAsia="zh-CN"/>
        </w:rPr>
        <w:t>乙方</w:t>
      </w:r>
      <w:r>
        <w:rPr>
          <w:rFonts w:hint="eastAsia" w:ascii="宋体" w:hAnsi="宋体" w:cs="宋体"/>
          <w:bCs/>
          <w:color w:val="auto"/>
          <w:sz w:val="24"/>
          <w:szCs w:val="24"/>
          <w:highlight w:val="none"/>
        </w:rPr>
        <w:t xml:space="preserve">签章： </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法定</w:t>
      </w:r>
      <w:r>
        <w:rPr>
          <w:rFonts w:hint="eastAsia" w:ascii="宋体" w:hAnsi="宋体" w:cs="宋体"/>
          <w:bCs/>
          <w:color w:val="auto"/>
          <w:sz w:val="24"/>
          <w:szCs w:val="24"/>
          <w:highlight w:val="none"/>
        </w:rPr>
        <w:t xml:space="preserve">代表人签字：                      </w:t>
      </w:r>
      <w:r>
        <w:rPr>
          <w:rFonts w:hint="eastAsia" w:ascii="宋体" w:hAnsi="宋体" w:cs="宋体"/>
          <w:bCs/>
          <w:color w:val="auto"/>
          <w:sz w:val="24"/>
          <w:szCs w:val="24"/>
          <w:highlight w:val="none"/>
          <w:lang w:val="en-US" w:eastAsia="zh-CN"/>
        </w:rPr>
        <w:t>法定</w:t>
      </w:r>
      <w:r>
        <w:rPr>
          <w:rFonts w:hint="eastAsia" w:ascii="宋体" w:hAnsi="宋体" w:cs="宋体"/>
          <w:bCs/>
          <w:color w:val="auto"/>
          <w:sz w:val="24"/>
          <w:szCs w:val="24"/>
          <w:highlight w:val="none"/>
        </w:rPr>
        <w:t xml:space="preserve">代表人签字：                                </w:t>
      </w:r>
    </w:p>
    <w:p>
      <w:pPr>
        <w:keepNext w:val="0"/>
        <w:keepLines w:val="0"/>
        <w:pageBreakBefore w:val="0"/>
        <w:widowControl w:val="0"/>
        <w:kinsoku/>
        <w:wordWrap/>
        <w:overflowPunct/>
        <w:topLinePunct w:val="0"/>
        <w:autoSpaceDE w:val="0"/>
        <w:autoSpaceDN w:val="0"/>
        <w:bidi w:val="0"/>
        <w:adjustRightInd w:val="0"/>
        <w:snapToGrid/>
        <w:spacing w:line="480" w:lineRule="auto"/>
        <w:ind w:firstLine="480" w:firstLineChars="200"/>
        <w:textAlignment w:val="auto"/>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合同订立日期：     年   月    日</w:t>
      </w:r>
    </w:p>
    <w:p>
      <w:pPr>
        <w:ind w:firstLine="1476" w:firstLineChars="700"/>
        <w:rPr>
          <w:rFonts w:hint="eastAsia" w:ascii="宋体" w:hAnsi="宋体" w:eastAsia="宋体" w:cs="仿宋"/>
          <w:b/>
          <w:bCs/>
          <w:color w:val="auto"/>
          <w:lang w:val="en-US" w:eastAsia="zh-CN"/>
        </w:rPr>
      </w:pPr>
    </w:p>
    <w:p>
      <w:pPr>
        <w:ind w:firstLine="1476" w:firstLineChars="700"/>
        <w:rPr>
          <w:rFonts w:hint="eastAsia" w:ascii="宋体" w:hAnsi="宋体" w:eastAsia="宋体" w:cs="仿宋"/>
          <w:b/>
          <w:bCs/>
          <w:color w:val="auto"/>
          <w:lang w:val="en-US" w:eastAsia="zh-CN"/>
        </w:rPr>
      </w:pPr>
      <w:r>
        <w:rPr>
          <w:rFonts w:hint="eastAsia" w:ascii="宋体" w:hAnsi="宋体" w:eastAsia="宋体" w:cs="仿宋"/>
          <w:b/>
          <w:bCs/>
          <w:color w:val="auto"/>
          <w:lang w:val="en-US" w:eastAsia="zh-CN"/>
        </w:rPr>
        <w:t>注：采购单位保留调整合同条款的权利。</w:t>
      </w:r>
    </w:p>
    <w:p>
      <w:pPr>
        <w:pStyle w:val="2"/>
        <w:rPr>
          <w:rFonts w:hint="eastAsia"/>
          <w:color w:val="FF0000"/>
        </w:rPr>
      </w:pPr>
    </w:p>
    <w:p>
      <w:pPr>
        <w:rPr>
          <w:rFonts w:hint="eastAsia" w:ascii="宋体" w:hAnsi="宋体" w:cs="宋体"/>
          <w:bCs/>
          <w:sz w:val="24"/>
          <w:szCs w:val="24"/>
          <w:highlight w:val="none"/>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pStyle w:val="2"/>
        <w:rPr>
          <w:rFonts w:hint="eastAsia" w:ascii="宋体" w:hAnsi="宋体" w:eastAsia="宋体" w:cs="Times New Roman"/>
          <w:b/>
          <w:bCs/>
          <w:sz w:val="24"/>
          <w:szCs w:val="24"/>
          <w:lang w:val="en-US" w:eastAsia="zh-CN"/>
        </w:rPr>
      </w:pPr>
    </w:p>
    <w:p>
      <w:pPr>
        <w:pStyle w:val="5"/>
        <w:rPr>
          <w:rFonts w:hint="eastAsia" w:ascii="宋体" w:hAnsi="宋体" w:eastAsia="宋体" w:cs="Times New Roman"/>
          <w:b/>
          <w:bCs/>
          <w:sz w:val="24"/>
          <w:szCs w:val="24"/>
          <w:lang w:val="en-US" w:eastAsia="zh-CN"/>
        </w:rPr>
      </w:pPr>
    </w:p>
    <w:p>
      <w:pPr>
        <w:pStyle w:val="5"/>
        <w:rPr>
          <w:rFonts w:hint="eastAsia" w:ascii="宋体" w:hAnsi="宋体" w:eastAsia="宋体" w:cs="Times New Roman"/>
          <w:b/>
          <w:bCs/>
          <w:sz w:val="24"/>
          <w:szCs w:val="24"/>
          <w:lang w:val="en-US" w:eastAsia="zh-CN"/>
        </w:rPr>
      </w:pPr>
    </w:p>
    <w:p>
      <w:pPr>
        <w:pStyle w:val="5"/>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pStyle w:val="2"/>
        <w:rPr>
          <w:rFonts w:hint="eastAsia" w:ascii="宋体" w:hAnsi="宋体" w:eastAsia="宋体" w:cs="Times New Roman"/>
          <w:b/>
          <w:bCs/>
          <w:sz w:val="24"/>
          <w:szCs w:val="24"/>
          <w:lang w:val="en-US" w:eastAsia="zh-CN"/>
        </w:rPr>
      </w:pPr>
    </w:p>
    <w:p>
      <w:pPr>
        <w:rPr>
          <w:rFonts w:hint="eastAsia" w:ascii="宋体" w:hAnsi="宋体" w:eastAsia="宋体" w:cs="Times New Roman"/>
          <w:b/>
          <w:bCs/>
          <w:sz w:val="24"/>
          <w:szCs w:val="24"/>
          <w:lang w:val="en-US" w:eastAsia="zh-CN"/>
        </w:rPr>
      </w:pPr>
    </w:p>
    <w:p>
      <w:pPr>
        <w:rPr>
          <w:rFonts w:hint="eastAsia" w:ascii="宋体" w:hAnsi="宋体" w:eastAsia="宋体" w:cs="Times New Roman"/>
          <w:b/>
          <w:bCs/>
          <w:sz w:val="24"/>
          <w:szCs w:val="24"/>
          <w:lang w:val="en-US" w:eastAsia="zh-CN"/>
        </w:rPr>
      </w:pPr>
    </w:p>
    <w:p>
      <w:pPr>
        <w:pStyle w:val="2"/>
        <w:rPr>
          <w:rFonts w:hint="eastAsia" w:ascii="宋体" w:hAnsi="宋体" w:eastAsia="宋体" w:cs="Times New Roman"/>
          <w:b/>
          <w:bCs/>
          <w:sz w:val="24"/>
          <w:szCs w:val="24"/>
          <w:lang w:val="en-US" w:eastAsia="zh-CN"/>
        </w:rPr>
      </w:pPr>
    </w:p>
    <w:p>
      <w:pPr>
        <w:spacing w:line="600" w:lineRule="exact"/>
        <w:ind w:firstLine="643" w:firstLineChars="200"/>
        <w:rPr>
          <w:rFonts w:hint="eastAsia" w:ascii="宋体" w:hAnsi="宋体" w:cs="宋体"/>
          <w:b/>
          <w:sz w:val="32"/>
          <w:szCs w:val="32"/>
          <w:highlight w:val="none"/>
        </w:rPr>
      </w:pPr>
      <w:r>
        <w:rPr>
          <w:rFonts w:hint="eastAsia" w:ascii="宋体" w:hAnsi="宋体" w:cs="宋体"/>
          <w:b/>
          <w:sz w:val="32"/>
          <w:szCs w:val="32"/>
          <w:highlight w:val="none"/>
        </w:rPr>
        <w:t>附件</w:t>
      </w:r>
      <w:r>
        <w:rPr>
          <w:rFonts w:hint="eastAsia" w:ascii="宋体" w:hAnsi="宋体" w:cs="宋体"/>
          <w:b/>
          <w:sz w:val="32"/>
          <w:szCs w:val="32"/>
          <w:highlight w:val="none"/>
          <w:lang w:val="en-US" w:eastAsia="zh-CN"/>
        </w:rPr>
        <w:t>一</w:t>
      </w:r>
      <w:r>
        <w:rPr>
          <w:rFonts w:hint="eastAsia" w:ascii="宋体" w:hAnsi="宋体" w:cs="宋体"/>
          <w:b/>
          <w:sz w:val="32"/>
          <w:szCs w:val="32"/>
          <w:highlight w:val="none"/>
        </w:rPr>
        <w:t>：</w:t>
      </w:r>
    </w:p>
    <w:p>
      <w:pPr>
        <w:spacing w:line="600" w:lineRule="exact"/>
        <w:ind w:firstLine="643" w:firstLineChars="200"/>
        <w:jc w:val="center"/>
        <w:rPr>
          <w:rFonts w:hint="eastAsia" w:ascii="宋体" w:hAnsi="宋体" w:cs="宋体"/>
          <w:b/>
          <w:bCs/>
          <w:sz w:val="32"/>
          <w:szCs w:val="32"/>
          <w:highlight w:val="none"/>
        </w:rPr>
      </w:pPr>
      <w:r>
        <w:rPr>
          <w:rFonts w:hint="eastAsia" w:ascii="宋体" w:hAnsi="宋体" w:cs="宋体"/>
          <w:b/>
          <w:bCs/>
          <w:sz w:val="32"/>
          <w:szCs w:val="32"/>
          <w:highlight w:val="none"/>
        </w:rPr>
        <w:t>《水电维修记录单》</w:t>
      </w:r>
    </w:p>
    <w:tbl>
      <w:tblPr>
        <w:tblStyle w:val="51"/>
        <w:tblpPr w:leftFromText="180" w:rightFromText="180" w:vertAnchor="text" w:horzAnchor="margin" w:tblpXSpec="center" w:tblpY="518"/>
        <w:tblW w:w="9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3486"/>
        <w:gridCol w:w="2310"/>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noWrap w:val="0"/>
            <w:vAlign w:val="center"/>
          </w:tcPr>
          <w:p>
            <w:pPr>
              <w:spacing w:line="600" w:lineRule="exact"/>
              <w:jc w:val="center"/>
              <w:rPr>
                <w:rFonts w:hint="eastAsia" w:ascii="宋体" w:hAnsi="宋体" w:cs="宋体"/>
                <w:b/>
                <w:sz w:val="30"/>
                <w:szCs w:val="30"/>
                <w:highlight w:val="none"/>
              </w:rPr>
            </w:pPr>
            <w:r>
              <w:rPr>
                <w:rFonts w:hint="eastAsia" w:ascii="宋体" w:hAnsi="宋体" w:cs="宋体"/>
                <w:b/>
                <w:sz w:val="30"/>
                <w:szCs w:val="30"/>
                <w:highlight w:val="none"/>
              </w:rPr>
              <w:t>报修科室</w:t>
            </w:r>
          </w:p>
        </w:tc>
        <w:tc>
          <w:tcPr>
            <w:tcW w:w="3486" w:type="dxa"/>
            <w:noWrap w:val="0"/>
            <w:vAlign w:val="center"/>
          </w:tcPr>
          <w:p>
            <w:pPr>
              <w:spacing w:line="600" w:lineRule="exact"/>
              <w:jc w:val="center"/>
              <w:rPr>
                <w:rFonts w:hint="eastAsia" w:ascii="宋体" w:hAnsi="宋体" w:cs="宋体"/>
                <w:b/>
                <w:sz w:val="30"/>
                <w:szCs w:val="30"/>
                <w:highlight w:val="none"/>
              </w:rPr>
            </w:pPr>
          </w:p>
        </w:tc>
        <w:tc>
          <w:tcPr>
            <w:tcW w:w="2310" w:type="dxa"/>
            <w:noWrap w:val="0"/>
            <w:vAlign w:val="center"/>
          </w:tcPr>
          <w:p>
            <w:pPr>
              <w:spacing w:line="600" w:lineRule="exact"/>
              <w:jc w:val="center"/>
              <w:rPr>
                <w:rFonts w:hint="eastAsia" w:ascii="宋体" w:hAnsi="宋体" w:cs="宋体"/>
                <w:b/>
                <w:sz w:val="30"/>
                <w:szCs w:val="30"/>
                <w:highlight w:val="none"/>
              </w:rPr>
            </w:pPr>
            <w:r>
              <w:rPr>
                <w:rFonts w:hint="eastAsia" w:ascii="宋体" w:hAnsi="宋体" w:cs="宋体"/>
                <w:b/>
                <w:sz w:val="30"/>
                <w:szCs w:val="30"/>
                <w:highlight w:val="none"/>
              </w:rPr>
              <w:t>报修时间</w:t>
            </w:r>
          </w:p>
        </w:tc>
        <w:tc>
          <w:tcPr>
            <w:tcW w:w="1718" w:type="dxa"/>
            <w:noWrap w:val="0"/>
            <w:vAlign w:val="center"/>
          </w:tcPr>
          <w:p>
            <w:pPr>
              <w:spacing w:line="600" w:lineRule="exact"/>
              <w:jc w:val="center"/>
              <w:rPr>
                <w:rFonts w:hint="eastAsia" w:ascii="宋体" w:hAnsi="宋体" w:cs="宋体"/>
                <w:b/>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7" w:type="dxa"/>
            <w:noWrap w:val="0"/>
            <w:vAlign w:val="center"/>
          </w:tcPr>
          <w:p>
            <w:pPr>
              <w:spacing w:line="600" w:lineRule="exact"/>
              <w:jc w:val="center"/>
              <w:rPr>
                <w:rFonts w:hint="eastAsia" w:ascii="宋体" w:hAnsi="宋体" w:cs="宋体"/>
                <w:b/>
                <w:sz w:val="30"/>
                <w:szCs w:val="30"/>
                <w:highlight w:val="none"/>
              </w:rPr>
            </w:pPr>
            <w:r>
              <w:rPr>
                <w:rFonts w:hint="eastAsia" w:ascii="宋体" w:hAnsi="宋体" w:cs="宋体"/>
                <w:b/>
                <w:sz w:val="30"/>
                <w:szCs w:val="30"/>
                <w:highlight w:val="none"/>
              </w:rPr>
              <w:t>科室确认</w:t>
            </w:r>
          </w:p>
        </w:tc>
        <w:tc>
          <w:tcPr>
            <w:tcW w:w="3486" w:type="dxa"/>
            <w:noWrap w:val="0"/>
            <w:vAlign w:val="center"/>
          </w:tcPr>
          <w:p>
            <w:pPr>
              <w:spacing w:line="600" w:lineRule="exact"/>
              <w:jc w:val="center"/>
              <w:rPr>
                <w:rFonts w:hint="eastAsia" w:ascii="宋体" w:hAnsi="宋体" w:cs="宋体"/>
                <w:b/>
                <w:sz w:val="30"/>
                <w:szCs w:val="30"/>
                <w:highlight w:val="none"/>
              </w:rPr>
            </w:pPr>
          </w:p>
        </w:tc>
        <w:tc>
          <w:tcPr>
            <w:tcW w:w="2310" w:type="dxa"/>
            <w:noWrap w:val="0"/>
            <w:vAlign w:val="center"/>
          </w:tcPr>
          <w:p>
            <w:pPr>
              <w:spacing w:line="600" w:lineRule="exact"/>
              <w:jc w:val="center"/>
              <w:rPr>
                <w:rFonts w:hint="eastAsia" w:ascii="宋体" w:hAnsi="宋体" w:cs="宋体"/>
                <w:b/>
                <w:sz w:val="30"/>
                <w:szCs w:val="30"/>
                <w:highlight w:val="none"/>
              </w:rPr>
            </w:pPr>
            <w:r>
              <w:rPr>
                <w:rFonts w:hint="eastAsia" w:ascii="宋体" w:hAnsi="宋体" w:cs="宋体"/>
                <w:b/>
                <w:sz w:val="30"/>
                <w:szCs w:val="30"/>
                <w:highlight w:val="none"/>
              </w:rPr>
              <w:t>完成时间</w:t>
            </w:r>
          </w:p>
        </w:tc>
        <w:tc>
          <w:tcPr>
            <w:tcW w:w="1718" w:type="dxa"/>
            <w:noWrap w:val="0"/>
            <w:vAlign w:val="center"/>
          </w:tcPr>
          <w:p>
            <w:pPr>
              <w:spacing w:line="600" w:lineRule="exact"/>
              <w:jc w:val="center"/>
              <w:rPr>
                <w:rFonts w:hint="eastAsia" w:ascii="宋体" w:hAnsi="宋体" w:cs="宋体"/>
                <w:b/>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trPr>
        <w:tc>
          <w:tcPr>
            <w:tcW w:w="1977" w:type="dxa"/>
            <w:noWrap w:val="0"/>
            <w:vAlign w:val="center"/>
          </w:tcPr>
          <w:p>
            <w:pPr>
              <w:spacing w:line="600" w:lineRule="exact"/>
              <w:jc w:val="center"/>
              <w:rPr>
                <w:rFonts w:hint="eastAsia" w:ascii="宋体" w:hAnsi="宋体" w:cs="宋体"/>
                <w:b/>
                <w:sz w:val="30"/>
                <w:szCs w:val="30"/>
                <w:highlight w:val="none"/>
              </w:rPr>
            </w:pPr>
            <w:r>
              <w:rPr>
                <w:rFonts w:hint="eastAsia" w:ascii="宋体" w:hAnsi="宋体" w:cs="宋体"/>
                <w:b/>
                <w:sz w:val="30"/>
                <w:szCs w:val="30"/>
                <w:highlight w:val="none"/>
              </w:rPr>
              <w:t>问题简述</w:t>
            </w:r>
          </w:p>
        </w:tc>
        <w:tc>
          <w:tcPr>
            <w:tcW w:w="7514" w:type="dxa"/>
            <w:gridSpan w:val="3"/>
            <w:noWrap w:val="0"/>
            <w:vAlign w:val="center"/>
          </w:tcPr>
          <w:p>
            <w:pPr>
              <w:spacing w:line="600" w:lineRule="exact"/>
              <w:jc w:val="center"/>
              <w:rPr>
                <w:rFonts w:hint="eastAsia" w:ascii="宋体" w:hAnsi="宋体" w:cs="宋体"/>
                <w:b/>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1977" w:type="dxa"/>
            <w:noWrap w:val="0"/>
            <w:vAlign w:val="center"/>
          </w:tcPr>
          <w:p>
            <w:pPr>
              <w:spacing w:line="600" w:lineRule="exact"/>
              <w:jc w:val="center"/>
              <w:rPr>
                <w:rFonts w:hint="eastAsia" w:ascii="宋体" w:hAnsi="宋体" w:cs="宋体"/>
                <w:b/>
                <w:sz w:val="30"/>
                <w:szCs w:val="30"/>
                <w:highlight w:val="none"/>
              </w:rPr>
            </w:pPr>
            <w:r>
              <w:rPr>
                <w:rFonts w:hint="eastAsia" w:ascii="宋体" w:hAnsi="宋体" w:cs="宋体"/>
                <w:b/>
                <w:sz w:val="30"/>
                <w:szCs w:val="30"/>
                <w:highlight w:val="none"/>
              </w:rPr>
              <w:t>处理记录</w:t>
            </w:r>
          </w:p>
        </w:tc>
        <w:tc>
          <w:tcPr>
            <w:tcW w:w="7514" w:type="dxa"/>
            <w:gridSpan w:val="3"/>
            <w:noWrap w:val="0"/>
            <w:vAlign w:val="center"/>
          </w:tcPr>
          <w:p>
            <w:pPr>
              <w:spacing w:line="600" w:lineRule="exact"/>
              <w:jc w:val="center"/>
              <w:rPr>
                <w:rFonts w:hint="eastAsia" w:ascii="宋体" w:hAnsi="宋体" w:cs="宋体"/>
                <w:b/>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1977" w:type="dxa"/>
            <w:noWrap w:val="0"/>
            <w:vAlign w:val="center"/>
          </w:tcPr>
          <w:p>
            <w:pPr>
              <w:spacing w:line="600" w:lineRule="exact"/>
              <w:jc w:val="center"/>
              <w:rPr>
                <w:rFonts w:hint="eastAsia" w:ascii="宋体" w:hAnsi="宋体" w:cs="宋体"/>
                <w:b/>
                <w:sz w:val="30"/>
                <w:szCs w:val="30"/>
                <w:highlight w:val="none"/>
              </w:rPr>
            </w:pPr>
            <w:r>
              <w:rPr>
                <w:rFonts w:hint="eastAsia" w:ascii="宋体" w:hAnsi="宋体" w:cs="宋体"/>
                <w:b/>
                <w:sz w:val="30"/>
                <w:szCs w:val="30"/>
                <w:highlight w:val="none"/>
              </w:rPr>
              <w:t>反馈</w:t>
            </w:r>
          </w:p>
        </w:tc>
        <w:tc>
          <w:tcPr>
            <w:tcW w:w="7514" w:type="dxa"/>
            <w:gridSpan w:val="3"/>
            <w:noWrap w:val="0"/>
            <w:vAlign w:val="center"/>
          </w:tcPr>
          <w:p>
            <w:pPr>
              <w:spacing w:line="600" w:lineRule="exact"/>
              <w:jc w:val="center"/>
              <w:rPr>
                <w:rFonts w:hint="eastAsia" w:ascii="宋体" w:hAnsi="宋体" w:cs="宋体"/>
                <w:b/>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977" w:type="dxa"/>
            <w:noWrap w:val="0"/>
            <w:vAlign w:val="center"/>
          </w:tcPr>
          <w:p>
            <w:pPr>
              <w:spacing w:line="600" w:lineRule="exact"/>
              <w:jc w:val="center"/>
              <w:rPr>
                <w:rFonts w:hint="eastAsia" w:ascii="宋体" w:hAnsi="宋体" w:cs="宋体"/>
                <w:b/>
                <w:sz w:val="30"/>
                <w:szCs w:val="30"/>
                <w:highlight w:val="none"/>
              </w:rPr>
            </w:pPr>
            <w:r>
              <w:rPr>
                <w:rFonts w:hint="eastAsia" w:ascii="宋体" w:hAnsi="宋体" w:cs="宋体"/>
                <w:b/>
                <w:sz w:val="30"/>
                <w:szCs w:val="30"/>
                <w:highlight w:val="none"/>
              </w:rPr>
              <w:t>备注</w:t>
            </w:r>
          </w:p>
        </w:tc>
        <w:tc>
          <w:tcPr>
            <w:tcW w:w="7514" w:type="dxa"/>
            <w:gridSpan w:val="3"/>
            <w:noWrap w:val="0"/>
            <w:vAlign w:val="center"/>
          </w:tcPr>
          <w:p>
            <w:pPr>
              <w:spacing w:line="600" w:lineRule="exact"/>
              <w:jc w:val="center"/>
              <w:rPr>
                <w:rFonts w:hint="eastAsia" w:ascii="宋体" w:hAnsi="宋体" w:cs="宋体"/>
                <w:b/>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977" w:type="dxa"/>
            <w:noWrap w:val="0"/>
            <w:vAlign w:val="center"/>
          </w:tcPr>
          <w:p>
            <w:pPr>
              <w:spacing w:line="600" w:lineRule="exact"/>
              <w:jc w:val="center"/>
              <w:rPr>
                <w:rFonts w:hint="eastAsia" w:ascii="宋体" w:hAnsi="宋体" w:cs="宋体"/>
                <w:b/>
                <w:sz w:val="30"/>
                <w:szCs w:val="30"/>
                <w:highlight w:val="none"/>
              </w:rPr>
            </w:pPr>
            <w:r>
              <w:rPr>
                <w:rFonts w:hint="eastAsia" w:ascii="宋体" w:hAnsi="宋体" w:cs="宋体"/>
                <w:b/>
                <w:sz w:val="30"/>
                <w:szCs w:val="30"/>
                <w:highlight w:val="none"/>
              </w:rPr>
              <w:t>接单人</w:t>
            </w:r>
          </w:p>
        </w:tc>
        <w:tc>
          <w:tcPr>
            <w:tcW w:w="7514" w:type="dxa"/>
            <w:gridSpan w:val="3"/>
            <w:noWrap w:val="0"/>
            <w:vAlign w:val="center"/>
          </w:tcPr>
          <w:p>
            <w:pPr>
              <w:spacing w:line="600" w:lineRule="exact"/>
              <w:jc w:val="center"/>
              <w:rPr>
                <w:rFonts w:hint="eastAsia" w:ascii="宋体" w:hAnsi="宋体" w:cs="宋体"/>
                <w:b/>
                <w:sz w:val="30"/>
                <w:szCs w:val="30"/>
                <w:highlight w:val="none"/>
              </w:rPr>
            </w:pPr>
          </w:p>
        </w:tc>
      </w:tr>
    </w:tbl>
    <w:p>
      <w:pPr>
        <w:spacing w:line="600" w:lineRule="exact"/>
        <w:ind w:firstLine="643" w:firstLineChars="200"/>
        <w:jc w:val="center"/>
        <w:rPr>
          <w:rFonts w:hint="eastAsia" w:ascii="宋体" w:hAnsi="宋体" w:cs="宋体"/>
          <w:b/>
          <w:bCs/>
          <w:sz w:val="32"/>
          <w:szCs w:val="32"/>
          <w:highlight w:val="none"/>
        </w:rPr>
      </w:pPr>
    </w:p>
    <w:p>
      <w:pPr>
        <w:spacing w:line="600" w:lineRule="exact"/>
        <w:ind w:firstLine="643" w:firstLineChars="200"/>
        <w:jc w:val="center"/>
        <w:rPr>
          <w:rFonts w:hint="eastAsia" w:ascii="宋体" w:hAnsi="宋体" w:cs="宋体"/>
          <w:b/>
          <w:sz w:val="32"/>
          <w:szCs w:val="32"/>
          <w:highlight w:val="none"/>
        </w:rPr>
      </w:pPr>
    </w:p>
    <w:p>
      <w:pPr>
        <w:spacing w:line="600" w:lineRule="exact"/>
        <w:ind w:firstLine="480" w:firstLineChars="200"/>
        <w:rPr>
          <w:rFonts w:ascii="宋体" w:hAnsi="宋体" w:cs="宋体"/>
          <w:sz w:val="24"/>
          <w:szCs w:val="24"/>
          <w:highlight w:val="none"/>
        </w:rPr>
        <w:sectPr>
          <w:footerReference r:id="rId6" w:type="default"/>
          <w:pgSz w:w="11906" w:h="16838"/>
          <w:pgMar w:top="1134" w:right="1134" w:bottom="1134" w:left="1621" w:header="851" w:footer="992" w:gutter="0"/>
          <w:pgNumType w:fmt="numberInDash"/>
          <w:cols w:space="720" w:num="1"/>
          <w:docGrid w:linePitch="380" w:charSpace="0"/>
        </w:sectPr>
      </w:pPr>
    </w:p>
    <w:p>
      <w:pPr>
        <w:spacing w:line="600" w:lineRule="exact"/>
        <w:rPr>
          <w:rFonts w:hint="eastAsia" w:ascii="宋体" w:hAnsi="宋体" w:cs="宋体"/>
          <w:sz w:val="24"/>
          <w:szCs w:val="24"/>
          <w:highlight w:val="none"/>
        </w:rPr>
      </w:pPr>
    </w:p>
    <w:tbl>
      <w:tblPr>
        <w:tblStyle w:val="51"/>
        <w:tblpPr w:leftFromText="180" w:rightFromText="180" w:vertAnchor="text" w:horzAnchor="page" w:tblpX="1611" w:tblpY="-9775"/>
        <w:tblOverlap w:val="never"/>
        <w:tblW w:w="10759" w:type="dxa"/>
        <w:tblInd w:w="0" w:type="dxa"/>
        <w:tblLayout w:type="fixed"/>
        <w:tblCellMar>
          <w:top w:w="15" w:type="dxa"/>
          <w:left w:w="15" w:type="dxa"/>
          <w:bottom w:w="15" w:type="dxa"/>
          <w:right w:w="15" w:type="dxa"/>
        </w:tblCellMar>
      </w:tblPr>
      <w:tblGrid>
        <w:gridCol w:w="419"/>
        <w:gridCol w:w="5734"/>
        <w:gridCol w:w="660"/>
        <w:gridCol w:w="538"/>
        <w:gridCol w:w="973"/>
        <w:gridCol w:w="838"/>
        <w:gridCol w:w="1597"/>
      </w:tblGrid>
      <w:tr>
        <w:tblPrEx>
          <w:tblCellMar>
            <w:top w:w="15" w:type="dxa"/>
            <w:left w:w="15" w:type="dxa"/>
            <w:bottom w:w="15" w:type="dxa"/>
            <w:right w:w="15" w:type="dxa"/>
          </w:tblCellMar>
        </w:tblPrEx>
        <w:trPr>
          <w:trHeight w:val="540" w:hRule="atLeast"/>
        </w:trPr>
        <w:tc>
          <w:tcPr>
            <w:tcW w:w="9162" w:type="dxa"/>
            <w:gridSpan w:val="6"/>
            <w:noWrap w:val="0"/>
            <w:vAlign w:val="bottom"/>
          </w:tcPr>
          <w:p>
            <w:pPr>
              <w:widowControl/>
              <w:textAlignment w:val="bottom"/>
              <w:rPr>
                <w:rFonts w:hint="eastAsia" w:ascii="宋体" w:hAnsi="宋体" w:cs="宋体"/>
                <w:b/>
                <w:color w:val="000000"/>
                <w:kern w:val="0"/>
                <w:sz w:val="28"/>
                <w:szCs w:val="28"/>
                <w:highlight w:val="none"/>
                <w:lang w:bidi="ar"/>
              </w:rPr>
            </w:pPr>
          </w:p>
          <w:p>
            <w:pPr>
              <w:rPr>
                <w:rFonts w:hint="eastAsia" w:ascii="宋体" w:hAnsi="宋体"/>
                <w:b/>
                <w:bCs/>
                <w:sz w:val="24"/>
                <w:szCs w:val="24"/>
                <w:highlight w:val="none"/>
              </w:rPr>
            </w:pPr>
          </w:p>
          <w:p>
            <w:pPr>
              <w:rPr>
                <w:rFonts w:hint="eastAsia" w:ascii="宋体" w:hAnsi="宋体"/>
                <w:b/>
                <w:bCs/>
                <w:sz w:val="24"/>
                <w:szCs w:val="24"/>
                <w:highlight w:val="none"/>
              </w:rPr>
            </w:pPr>
          </w:p>
          <w:p>
            <w:pPr>
              <w:rPr>
                <w:rFonts w:hint="eastAsia" w:ascii="宋体" w:hAnsi="宋体"/>
                <w:b/>
                <w:bCs/>
                <w:sz w:val="24"/>
                <w:szCs w:val="24"/>
                <w:highlight w:val="none"/>
              </w:rPr>
            </w:pPr>
          </w:p>
          <w:p>
            <w:pPr>
              <w:rPr>
                <w:rFonts w:hint="eastAsia" w:ascii="宋体" w:hAnsi="宋体"/>
                <w:b/>
                <w:bCs/>
                <w:sz w:val="24"/>
                <w:szCs w:val="24"/>
                <w:highlight w:val="none"/>
              </w:rPr>
            </w:pPr>
            <w:r>
              <w:rPr>
                <w:rFonts w:hint="eastAsia" w:ascii="宋体" w:hAnsi="宋体"/>
                <w:b/>
                <w:bCs/>
                <w:sz w:val="24"/>
                <w:szCs w:val="24"/>
                <w:highlight w:val="none"/>
              </w:rPr>
              <w:t>附件</w:t>
            </w:r>
            <w:r>
              <w:rPr>
                <w:rFonts w:hint="eastAsia" w:ascii="宋体" w:hAnsi="宋体"/>
                <w:b/>
                <w:bCs/>
                <w:sz w:val="24"/>
                <w:szCs w:val="24"/>
                <w:highlight w:val="none"/>
                <w:lang w:val="en-US" w:eastAsia="zh-CN"/>
              </w:rPr>
              <w:t>二</w:t>
            </w:r>
            <w:r>
              <w:rPr>
                <w:rFonts w:hint="eastAsia" w:ascii="宋体" w:hAnsi="宋体"/>
                <w:b/>
                <w:bCs/>
                <w:sz w:val="24"/>
                <w:szCs w:val="24"/>
                <w:highlight w:val="none"/>
              </w:rPr>
              <w:t>：</w:t>
            </w:r>
          </w:p>
          <w:p>
            <w:pPr>
              <w:widowControl/>
              <w:jc w:val="center"/>
              <w:textAlignment w:val="bottom"/>
              <w:rPr>
                <w:rFonts w:hint="eastAsia" w:ascii="宋体" w:hAnsi="宋体" w:cs="宋体"/>
                <w:b/>
                <w:color w:val="000000"/>
                <w:kern w:val="0"/>
                <w:sz w:val="28"/>
                <w:szCs w:val="28"/>
                <w:highlight w:val="none"/>
                <w:lang w:bidi="ar"/>
              </w:rPr>
            </w:pPr>
          </w:p>
          <w:p>
            <w:pPr>
              <w:widowControl/>
              <w:jc w:val="center"/>
              <w:textAlignment w:val="bottom"/>
              <w:rPr>
                <w:rFonts w:hint="eastAsia" w:ascii="宋体" w:hAnsi="宋体" w:cs="宋体"/>
                <w:b/>
                <w:color w:val="000000"/>
                <w:sz w:val="28"/>
                <w:szCs w:val="28"/>
                <w:highlight w:val="none"/>
              </w:rPr>
            </w:pPr>
            <w:r>
              <w:rPr>
                <w:rFonts w:hint="eastAsia" w:ascii="宋体" w:hAnsi="宋体" w:cs="宋体"/>
                <w:b/>
                <w:color w:val="000000"/>
                <w:kern w:val="0"/>
                <w:sz w:val="28"/>
                <w:szCs w:val="28"/>
                <w:highlight w:val="none"/>
                <w:lang w:eastAsia="zh-CN" w:bidi="ar"/>
              </w:rPr>
              <w:t>南通市妇幼保健院低压电气设备设施维护维修服务</w:t>
            </w:r>
            <w:r>
              <w:rPr>
                <w:rFonts w:hint="eastAsia" w:ascii="宋体" w:hAnsi="宋体" w:cs="宋体"/>
                <w:b/>
                <w:color w:val="000000"/>
                <w:kern w:val="0"/>
                <w:sz w:val="28"/>
                <w:szCs w:val="28"/>
                <w:highlight w:val="none"/>
                <w:lang w:bidi="ar"/>
              </w:rPr>
              <w:t>考核表</w:t>
            </w:r>
          </w:p>
        </w:tc>
        <w:tc>
          <w:tcPr>
            <w:tcW w:w="1597" w:type="dxa"/>
            <w:noWrap w:val="0"/>
            <w:vAlign w:val="bottom"/>
          </w:tcPr>
          <w:p>
            <w:pPr>
              <w:rPr>
                <w:rFonts w:hint="eastAsia" w:ascii="宋体" w:hAnsi="宋体" w:cs="宋体"/>
                <w:color w:val="000000"/>
                <w:sz w:val="24"/>
                <w:szCs w:val="24"/>
                <w:highlight w:val="none"/>
              </w:rPr>
            </w:pPr>
          </w:p>
        </w:tc>
      </w:tr>
      <w:tr>
        <w:tblPrEx>
          <w:tblCellMar>
            <w:top w:w="15" w:type="dxa"/>
            <w:left w:w="15" w:type="dxa"/>
            <w:bottom w:w="15" w:type="dxa"/>
            <w:right w:w="15" w:type="dxa"/>
          </w:tblCellMar>
        </w:tblPrEx>
        <w:trPr>
          <w:trHeight w:val="301" w:hRule="atLeast"/>
        </w:trPr>
        <w:tc>
          <w:tcPr>
            <w:tcW w:w="419" w:type="dxa"/>
            <w:noWrap w:val="0"/>
            <w:vAlign w:val="bottom"/>
          </w:tcPr>
          <w:p>
            <w:pPr>
              <w:jc w:val="center"/>
              <w:rPr>
                <w:rFonts w:hint="eastAsia" w:ascii="宋体" w:hAnsi="宋体" w:cs="宋体"/>
                <w:b/>
                <w:color w:val="000000"/>
                <w:sz w:val="18"/>
                <w:szCs w:val="18"/>
                <w:highlight w:val="none"/>
              </w:rPr>
            </w:pPr>
          </w:p>
        </w:tc>
        <w:tc>
          <w:tcPr>
            <w:tcW w:w="5734" w:type="dxa"/>
            <w:noWrap w:val="0"/>
            <w:vAlign w:val="bottom"/>
          </w:tcPr>
          <w:p>
            <w:pPr>
              <w:jc w:val="center"/>
              <w:rPr>
                <w:rFonts w:hint="eastAsia" w:ascii="宋体" w:hAnsi="宋体" w:cs="宋体"/>
                <w:color w:val="000000"/>
                <w:sz w:val="18"/>
                <w:szCs w:val="18"/>
                <w:highlight w:val="none"/>
              </w:rPr>
            </w:pPr>
          </w:p>
        </w:tc>
        <w:tc>
          <w:tcPr>
            <w:tcW w:w="660" w:type="dxa"/>
            <w:noWrap w:val="0"/>
            <w:vAlign w:val="bottom"/>
          </w:tcPr>
          <w:p>
            <w:pPr>
              <w:widowControl/>
              <w:jc w:val="center"/>
              <w:textAlignment w:val="bottom"/>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时间：</w:t>
            </w:r>
          </w:p>
        </w:tc>
        <w:tc>
          <w:tcPr>
            <w:tcW w:w="538" w:type="dxa"/>
            <w:noWrap w:val="0"/>
            <w:vAlign w:val="bottom"/>
          </w:tcPr>
          <w:p>
            <w:pPr>
              <w:jc w:val="center"/>
              <w:rPr>
                <w:rFonts w:hint="eastAsia" w:ascii="宋体" w:hAnsi="宋体" w:cs="宋体"/>
                <w:color w:val="000000"/>
                <w:sz w:val="18"/>
                <w:szCs w:val="18"/>
                <w:highlight w:val="none"/>
              </w:rPr>
            </w:pPr>
          </w:p>
        </w:tc>
        <w:tc>
          <w:tcPr>
            <w:tcW w:w="973" w:type="dxa"/>
            <w:noWrap w:val="0"/>
            <w:vAlign w:val="bottom"/>
          </w:tcPr>
          <w:p>
            <w:pPr>
              <w:widowControl/>
              <w:jc w:val="center"/>
              <w:textAlignment w:val="bottom"/>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总得分：</w:t>
            </w:r>
          </w:p>
        </w:tc>
        <w:tc>
          <w:tcPr>
            <w:tcW w:w="838" w:type="dxa"/>
            <w:noWrap w:val="0"/>
            <w:vAlign w:val="bottom"/>
          </w:tcPr>
          <w:p>
            <w:pPr>
              <w:jc w:val="center"/>
              <w:rPr>
                <w:rFonts w:hint="eastAsia" w:ascii="宋体" w:hAnsi="宋体" w:cs="宋体"/>
                <w:color w:val="000000"/>
                <w:sz w:val="18"/>
                <w:szCs w:val="18"/>
                <w:highlight w:val="none"/>
              </w:rPr>
            </w:pPr>
          </w:p>
        </w:tc>
        <w:tc>
          <w:tcPr>
            <w:tcW w:w="1597" w:type="dxa"/>
            <w:noWrap w:val="0"/>
            <w:vAlign w:val="bottom"/>
          </w:tcPr>
          <w:p>
            <w:pPr>
              <w:rPr>
                <w:rFonts w:hint="eastAsia" w:ascii="宋体" w:hAnsi="宋体" w:cs="宋体"/>
                <w:color w:val="000000"/>
                <w:sz w:val="24"/>
                <w:szCs w:val="24"/>
                <w:highlight w:val="none"/>
              </w:rPr>
            </w:pPr>
          </w:p>
        </w:tc>
      </w:tr>
      <w:tr>
        <w:tblPrEx>
          <w:tblCellMar>
            <w:top w:w="15" w:type="dxa"/>
            <w:left w:w="15" w:type="dxa"/>
            <w:bottom w:w="15" w:type="dxa"/>
            <w:right w:w="15" w:type="dxa"/>
          </w:tblCellMar>
        </w:tblPrEx>
        <w:trPr>
          <w:trHeight w:val="495"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18"/>
                <w:szCs w:val="18"/>
                <w:highlight w:val="none"/>
              </w:rPr>
            </w:pPr>
            <w:r>
              <w:rPr>
                <w:rFonts w:hint="eastAsia" w:ascii="宋体" w:hAnsi="宋体" w:cs="宋体"/>
                <w:b/>
                <w:color w:val="000000"/>
                <w:kern w:val="0"/>
                <w:sz w:val="18"/>
                <w:szCs w:val="18"/>
                <w:highlight w:val="none"/>
                <w:lang w:bidi="ar"/>
              </w:rPr>
              <w:t>序号</w:t>
            </w:r>
          </w:p>
        </w:tc>
        <w:tc>
          <w:tcPr>
            <w:tcW w:w="5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18"/>
                <w:szCs w:val="18"/>
                <w:highlight w:val="none"/>
              </w:rPr>
            </w:pPr>
            <w:r>
              <w:rPr>
                <w:rFonts w:hint="eastAsia" w:ascii="宋体" w:hAnsi="宋体" w:cs="宋体"/>
                <w:b/>
                <w:color w:val="000000"/>
                <w:kern w:val="0"/>
                <w:sz w:val="18"/>
                <w:szCs w:val="18"/>
                <w:highlight w:val="none"/>
                <w:lang w:bidi="ar"/>
              </w:rPr>
              <w:t>考核标准</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18"/>
                <w:szCs w:val="18"/>
                <w:highlight w:val="none"/>
              </w:rPr>
            </w:pPr>
            <w:r>
              <w:rPr>
                <w:rFonts w:hint="eastAsia" w:ascii="宋体" w:hAnsi="宋体" w:cs="宋体"/>
                <w:b/>
                <w:color w:val="000000"/>
                <w:kern w:val="0"/>
                <w:sz w:val="18"/>
                <w:szCs w:val="18"/>
                <w:highlight w:val="none"/>
                <w:lang w:bidi="ar"/>
              </w:rPr>
              <w:t>考核要求</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18"/>
                <w:szCs w:val="18"/>
                <w:highlight w:val="none"/>
              </w:rPr>
            </w:pPr>
            <w:r>
              <w:rPr>
                <w:rFonts w:hint="eastAsia" w:ascii="宋体" w:hAnsi="宋体" w:cs="宋体"/>
                <w:b/>
                <w:color w:val="000000"/>
                <w:kern w:val="0"/>
                <w:sz w:val="18"/>
                <w:szCs w:val="18"/>
                <w:highlight w:val="none"/>
                <w:lang w:bidi="ar"/>
              </w:rPr>
              <w:t>分值</w:t>
            </w:r>
          </w:p>
        </w:tc>
        <w:tc>
          <w:tcPr>
            <w:tcW w:w="9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18"/>
                <w:szCs w:val="18"/>
                <w:highlight w:val="none"/>
              </w:rPr>
            </w:pPr>
            <w:r>
              <w:rPr>
                <w:rFonts w:hint="eastAsia" w:ascii="宋体" w:hAnsi="宋体" w:cs="宋体"/>
                <w:b/>
                <w:color w:val="000000"/>
                <w:kern w:val="0"/>
                <w:sz w:val="18"/>
                <w:szCs w:val="18"/>
                <w:highlight w:val="none"/>
                <w:lang w:bidi="ar"/>
              </w:rPr>
              <w:t>扣分理由</w:t>
            </w:r>
          </w:p>
        </w:tc>
        <w:tc>
          <w:tcPr>
            <w:tcW w:w="8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sz w:val="18"/>
                <w:szCs w:val="18"/>
                <w:highlight w:val="none"/>
              </w:rPr>
            </w:pPr>
            <w:r>
              <w:rPr>
                <w:rFonts w:hint="eastAsia" w:ascii="宋体" w:hAnsi="宋体" w:cs="宋体"/>
                <w:b/>
                <w:color w:val="000000"/>
                <w:kern w:val="0"/>
                <w:sz w:val="18"/>
                <w:szCs w:val="18"/>
                <w:highlight w:val="none"/>
                <w:lang w:bidi="ar"/>
              </w:rPr>
              <w:t>考核得分</w:t>
            </w:r>
          </w:p>
        </w:tc>
        <w:tc>
          <w:tcPr>
            <w:tcW w:w="1597" w:type="dxa"/>
            <w:noWrap w:val="0"/>
            <w:vAlign w:val="bottom"/>
          </w:tcPr>
          <w:p>
            <w:pPr>
              <w:rPr>
                <w:rFonts w:hint="eastAsia" w:ascii="宋体" w:hAnsi="宋体" w:cs="宋体"/>
                <w:color w:val="000000"/>
                <w:sz w:val="24"/>
                <w:szCs w:val="24"/>
                <w:highlight w:val="none"/>
              </w:rPr>
            </w:pPr>
          </w:p>
        </w:tc>
      </w:tr>
      <w:tr>
        <w:tblPrEx>
          <w:tblCellMar>
            <w:top w:w="15" w:type="dxa"/>
            <w:left w:w="15" w:type="dxa"/>
            <w:bottom w:w="15" w:type="dxa"/>
            <w:right w:w="15" w:type="dxa"/>
          </w:tblCellMar>
        </w:tblPrEx>
        <w:trPr>
          <w:trHeight w:val="727"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w:t>
            </w:r>
          </w:p>
        </w:tc>
        <w:tc>
          <w:tcPr>
            <w:tcW w:w="57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负责全院电气低压系统（除地下室高配间外）的日常巡视、维护、维修、记录，按要求巡视各科室、各机房、各强电间，空调机房，保证全院用电设施、照明电路、照明器具安全、可靠、正常工作。</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履行合同条款到位</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kern w:val="0"/>
                <w:sz w:val="18"/>
                <w:szCs w:val="18"/>
                <w:highlight w:val="none"/>
                <w:lang w:val="en-US" w:eastAsia="zh-CN" w:bidi="ar"/>
              </w:rPr>
              <w:t>10</w:t>
            </w:r>
          </w:p>
        </w:tc>
        <w:tc>
          <w:tcPr>
            <w:tcW w:w="97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1597" w:type="dxa"/>
            <w:noWrap w:val="0"/>
            <w:vAlign w:val="bottom"/>
          </w:tcPr>
          <w:p>
            <w:pPr>
              <w:rPr>
                <w:rFonts w:hint="eastAsia" w:ascii="宋体" w:hAnsi="宋体" w:cs="宋体"/>
                <w:color w:val="000000"/>
                <w:sz w:val="24"/>
                <w:szCs w:val="24"/>
                <w:highlight w:val="none"/>
              </w:rPr>
            </w:pPr>
          </w:p>
        </w:tc>
      </w:tr>
      <w:tr>
        <w:tblPrEx>
          <w:tblCellMar>
            <w:top w:w="15" w:type="dxa"/>
            <w:left w:w="15" w:type="dxa"/>
            <w:bottom w:w="15" w:type="dxa"/>
            <w:right w:w="15" w:type="dxa"/>
          </w:tblCellMar>
        </w:tblPrEx>
        <w:trPr>
          <w:trHeight w:val="660"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w:t>
            </w:r>
          </w:p>
        </w:tc>
        <w:tc>
          <w:tcPr>
            <w:tcW w:w="57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负责全院热水循环泵、给水循环泵（增压泵）、空调热回收系统水泵、中央空调循环泵、负压吸引、空气压缩机、污水处理系统等所有泵运行状况的巡视、维护、记录，每年加一次润滑油。不运行的泵每月手动一次（集水坑提升泵除外，要求详见：地下室集水坑的日常巡视、报修、记录），并做好记录。</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kern w:val="0"/>
                <w:sz w:val="18"/>
                <w:szCs w:val="18"/>
                <w:highlight w:val="none"/>
                <w:lang w:val="en-US" w:eastAsia="zh-CN" w:bidi="ar"/>
              </w:rPr>
              <w:t>10</w:t>
            </w:r>
          </w:p>
        </w:tc>
        <w:tc>
          <w:tcPr>
            <w:tcW w:w="97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1597" w:type="dxa"/>
            <w:noWrap w:val="0"/>
            <w:vAlign w:val="bottom"/>
          </w:tcPr>
          <w:p>
            <w:pPr>
              <w:rPr>
                <w:rFonts w:hint="eastAsia" w:ascii="宋体" w:hAnsi="宋体" w:cs="宋体"/>
                <w:color w:val="000000"/>
                <w:sz w:val="24"/>
                <w:szCs w:val="24"/>
                <w:highlight w:val="none"/>
              </w:rPr>
            </w:pPr>
          </w:p>
        </w:tc>
      </w:tr>
      <w:tr>
        <w:tblPrEx>
          <w:tblCellMar>
            <w:top w:w="15" w:type="dxa"/>
            <w:left w:w="15" w:type="dxa"/>
            <w:bottom w:w="15" w:type="dxa"/>
            <w:right w:w="15" w:type="dxa"/>
          </w:tblCellMar>
        </w:tblPrEx>
        <w:trPr>
          <w:trHeight w:val="466"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w:t>
            </w:r>
          </w:p>
        </w:tc>
        <w:tc>
          <w:tcPr>
            <w:tcW w:w="57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负责生活热水系统运行状况的巡视、日常维护，保证按医院规定及时供应热水。</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kern w:val="0"/>
                <w:sz w:val="18"/>
                <w:szCs w:val="18"/>
                <w:highlight w:val="none"/>
                <w:lang w:val="en-US" w:eastAsia="zh-CN" w:bidi="ar"/>
              </w:rPr>
              <w:t>10</w:t>
            </w:r>
          </w:p>
        </w:tc>
        <w:tc>
          <w:tcPr>
            <w:tcW w:w="97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1597" w:type="dxa"/>
            <w:noWrap w:val="0"/>
            <w:vAlign w:val="bottom"/>
          </w:tcPr>
          <w:p>
            <w:pPr>
              <w:rPr>
                <w:rFonts w:hint="eastAsia" w:ascii="宋体" w:hAnsi="宋体" w:cs="宋体"/>
                <w:color w:val="000000"/>
                <w:sz w:val="24"/>
                <w:szCs w:val="24"/>
                <w:highlight w:val="none"/>
              </w:rPr>
            </w:pPr>
          </w:p>
        </w:tc>
      </w:tr>
      <w:tr>
        <w:tblPrEx>
          <w:tblCellMar>
            <w:top w:w="15" w:type="dxa"/>
            <w:left w:w="15" w:type="dxa"/>
            <w:bottom w:w="15" w:type="dxa"/>
            <w:right w:w="15" w:type="dxa"/>
          </w:tblCellMar>
        </w:tblPrEx>
        <w:trPr>
          <w:trHeight w:val="450"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4</w:t>
            </w:r>
          </w:p>
        </w:tc>
        <w:tc>
          <w:tcPr>
            <w:tcW w:w="57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负责各类巡视本、维修记录本的登记、记录。</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10</w:t>
            </w:r>
          </w:p>
        </w:tc>
        <w:tc>
          <w:tcPr>
            <w:tcW w:w="97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1597" w:type="dxa"/>
            <w:noWrap w:val="0"/>
            <w:vAlign w:val="bottom"/>
          </w:tcPr>
          <w:p>
            <w:pPr>
              <w:rPr>
                <w:rFonts w:hint="eastAsia" w:ascii="宋体" w:hAnsi="宋体" w:cs="宋体"/>
                <w:color w:val="000000"/>
                <w:sz w:val="24"/>
                <w:szCs w:val="24"/>
                <w:highlight w:val="none"/>
              </w:rPr>
            </w:pPr>
          </w:p>
        </w:tc>
      </w:tr>
      <w:tr>
        <w:tblPrEx>
          <w:tblCellMar>
            <w:top w:w="15" w:type="dxa"/>
            <w:left w:w="15" w:type="dxa"/>
            <w:bottom w:w="15" w:type="dxa"/>
            <w:right w:w="15" w:type="dxa"/>
          </w:tblCellMar>
        </w:tblPrEx>
        <w:trPr>
          <w:trHeight w:val="430"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5</w:t>
            </w:r>
          </w:p>
        </w:tc>
        <w:tc>
          <w:tcPr>
            <w:tcW w:w="57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负责非正常上班时间段水管爆裂等供水故障的紧急处理及报修；负责完成保洁不在班期间的部分工作（马桶疏通）。</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kern w:val="0"/>
                <w:sz w:val="18"/>
                <w:szCs w:val="18"/>
                <w:highlight w:val="none"/>
                <w:lang w:val="en-US" w:eastAsia="zh-CN" w:bidi="ar"/>
              </w:rPr>
              <w:t>10</w:t>
            </w:r>
          </w:p>
        </w:tc>
        <w:tc>
          <w:tcPr>
            <w:tcW w:w="97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1597" w:type="dxa"/>
            <w:noWrap w:val="0"/>
            <w:vAlign w:val="bottom"/>
          </w:tcPr>
          <w:p>
            <w:pPr>
              <w:rPr>
                <w:rFonts w:hint="eastAsia" w:ascii="宋体" w:hAnsi="宋体" w:cs="宋体"/>
                <w:color w:val="000000"/>
                <w:sz w:val="24"/>
                <w:szCs w:val="24"/>
                <w:highlight w:val="none"/>
              </w:rPr>
            </w:pPr>
          </w:p>
        </w:tc>
      </w:tr>
      <w:tr>
        <w:tblPrEx>
          <w:tblCellMar>
            <w:top w:w="15" w:type="dxa"/>
            <w:left w:w="15" w:type="dxa"/>
            <w:bottom w:w="15" w:type="dxa"/>
            <w:right w:w="15" w:type="dxa"/>
          </w:tblCellMar>
        </w:tblPrEx>
        <w:trPr>
          <w:trHeight w:val="390"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6</w:t>
            </w:r>
          </w:p>
        </w:tc>
        <w:tc>
          <w:tcPr>
            <w:tcW w:w="57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做好与报修科室、部门（病区包括病人及家属）的沟通，文明用语，不得发生争执。</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10</w:t>
            </w:r>
          </w:p>
        </w:tc>
        <w:tc>
          <w:tcPr>
            <w:tcW w:w="97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1597" w:type="dxa"/>
            <w:noWrap w:val="0"/>
            <w:vAlign w:val="bottom"/>
          </w:tcPr>
          <w:p>
            <w:pPr>
              <w:rPr>
                <w:rFonts w:hint="eastAsia" w:ascii="宋体" w:hAnsi="宋体" w:cs="宋体"/>
                <w:color w:val="000000"/>
                <w:sz w:val="24"/>
                <w:szCs w:val="24"/>
                <w:highlight w:val="none"/>
              </w:rPr>
            </w:pPr>
          </w:p>
        </w:tc>
      </w:tr>
      <w:tr>
        <w:tblPrEx>
          <w:tblCellMar>
            <w:top w:w="15" w:type="dxa"/>
            <w:left w:w="15" w:type="dxa"/>
            <w:bottom w:w="15" w:type="dxa"/>
            <w:right w:w="15" w:type="dxa"/>
          </w:tblCellMar>
        </w:tblPrEx>
        <w:trPr>
          <w:trHeight w:val="390"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7</w:t>
            </w:r>
          </w:p>
        </w:tc>
        <w:tc>
          <w:tcPr>
            <w:tcW w:w="57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各工种应协同工作不推诿、不拒绝。</w:t>
            </w:r>
          </w:p>
        </w:tc>
        <w:tc>
          <w:tcPr>
            <w:tcW w:w="6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违反规定，一旦查实，视情况扣分。</w:t>
            </w: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highlight w:val="none"/>
                <w:lang w:eastAsia="zh-CN"/>
              </w:rPr>
            </w:pPr>
            <w:r>
              <w:rPr>
                <w:rFonts w:hint="eastAsia" w:ascii="宋体" w:hAnsi="宋体" w:cs="宋体"/>
                <w:color w:val="000000"/>
                <w:kern w:val="0"/>
                <w:sz w:val="18"/>
                <w:szCs w:val="18"/>
                <w:highlight w:val="none"/>
                <w:lang w:val="en-US" w:eastAsia="zh-CN" w:bidi="ar"/>
              </w:rPr>
              <w:t>8</w:t>
            </w:r>
          </w:p>
        </w:tc>
        <w:tc>
          <w:tcPr>
            <w:tcW w:w="97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1597" w:type="dxa"/>
            <w:noWrap w:val="0"/>
            <w:vAlign w:val="bottom"/>
          </w:tcPr>
          <w:p>
            <w:pPr>
              <w:rPr>
                <w:rFonts w:hint="eastAsia" w:ascii="宋体" w:hAnsi="宋体" w:cs="宋体"/>
                <w:color w:val="000000"/>
                <w:sz w:val="24"/>
                <w:szCs w:val="24"/>
                <w:highlight w:val="none"/>
              </w:rPr>
            </w:pPr>
          </w:p>
        </w:tc>
      </w:tr>
      <w:tr>
        <w:tblPrEx>
          <w:tblCellMar>
            <w:top w:w="15" w:type="dxa"/>
            <w:left w:w="15" w:type="dxa"/>
            <w:bottom w:w="15" w:type="dxa"/>
            <w:right w:w="15" w:type="dxa"/>
          </w:tblCellMar>
        </w:tblPrEx>
        <w:trPr>
          <w:trHeight w:val="390"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8</w:t>
            </w:r>
          </w:p>
        </w:tc>
        <w:tc>
          <w:tcPr>
            <w:tcW w:w="57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值班室无人且无特殊不接电话的。</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97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1597" w:type="dxa"/>
            <w:noWrap w:val="0"/>
            <w:vAlign w:val="bottom"/>
          </w:tcPr>
          <w:p>
            <w:pPr>
              <w:rPr>
                <w:rFonts w:hint="eastAsia" w:ascii="宋体" w:hAnsi="宋体" w:cs="宋体"/>
                <w:color w:val="000000"/>
                <w:sz w:val="24"/>
                <w:szCs w:val="24"/>
                <w:highlight w:val="none"/>
              </w:rPr>
            </w:pPr>
          </w:p>
        </w:tc>
      </w:tr>
      <w:tr>
        <w:tblPrEx>
          <w:tblCellMar>
            <w:top w:w="15" w:type="dxa"/>
            <w:left w:w="15" w:type="dxa"/>
            <w:bottom w:w="15" w:type="dxa"/>
            <w:right w:w="15" w:type="dxa"/>
          </w:tblCellMar>
        </w:tblPrEx>
        <w:trPr>
          <w:trHeight w:val="390"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9</w:t>
            </w:r>
          </w:p>
        </w:tc>
        <w:tc>
          <w:tcPr>
            <w:tcW w:w="57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安排维修项目，无特殊情况不能及时完成的。</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97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1597" w:type="dxa"/>
            <w:noWrap w:val="0"/>
            <w:vAlign w:val="bottom"/>
          </w:tcPr>
          <w:p>
            <w:pPr>
              <w:rPr>
                <w:rFonts w:hint="eastAsia" w:ascii="宋体" w:hAnsi="宋体" w:cs="宋体"/>
                <w:color w:val="000000"/>
                <w:sz w:val="24"/>
                <w:szCs w:val="24"/>
                <w:highlight w:val="none"/>
              </w:rPr>
            </w:pPr>
          </w:p>
        </w:tc>
      </w:tr>
      <w:tr>
        <w:tblPrEx>
          <w:tblCellMar>
            <w:top w:w="15" w:type="dxa"/>
            <w:left w:w="15" w:type="dxa"/>
            <w:bottom w:w="15" w:type="dxa"/>
            <w:right w:w="15" w:type="dxa"/>
          </w:tblCellMar>
        </w:tblPrEx>
        <w:trPr>
          <w:trHeight w:val="390"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10</w:t>
            </w:r>
          </w:p>
        </w:tc>
        <w:tc>
          <w:tcPr>
            <w:tcW w:w="57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白天值班、聊天、睡觉；无特殊空岗、离岗。</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97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1597" w:type="dxa"/>
            <w:noWrap w:val="0"/>
            <w:vAlign w:val="bottom"/>
          </w:tcPr>
          <w:p>
            <w:pPr>
              <w:rPr>
                <w:rFonts w:hint="eastAsia" w:ascii="宋体" w:hAnsi="宋体" w:cs="宋体"/>
                <w:color w:val="000000"/>
                <w:sz w:val="24"/>
                <w:szCs w:val="24"/>
                <w:highlight w:val="none"/>
              </w:rPr>
            </w:pPr>
          </w:p>
        </w:tc>
      </w:tr>
      <w:tr>
        <w:tblPrEx>
          <w:tblCellMar>
            <w:top w:w="15" w:type="dxa"/>
            <w:left w:w="15" w:type="dxa"/>
            <w:bottom w:w="15" w:type="dxa"/>
            <w:right w:w="15" w:type="dxa"/>
          </w:tblCellMar>
        </w:tblPrEx>
        <w:trPr>
          <w:trHeight w:val="390"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11</w:t>
            </w:r>
          </w:p>
        </w:tc>
        <w:tc>
          <w:tcPr>
            <w:tcW w:w="57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按要求完成简单水电故障排查、维修。</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97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1597" w:type="dxa"/>
            <w:noWrap w:val="0"/>
            <w:vAlign w:val="bottom"/>
          </w:tcPr>
          <w:p>
            <w:pPr>
              <w:rPr>
                <w:rFonts w:hint="eastAsia" w:ascii="宋体" w:hAnsi="宋体" w:cs="宋体"/>
                <w:color w:val="000000"/>
                <w:sz w:val="24"/>
                <w:szCs w:val="24"/>
                <w:highlight w:val="none"/>
              </w:rPr>
            </w:pPr>
          </w:p>
        </w:tc>
      </w:tr>
      <w:tr>
        <w:tblPrEx>
          <w:tblCellMar>
            <w:top w:w="15" w:type="dxa"/>
            <w:left w:w="15" w:type="dxa"/>
            <w:bottom w:w="15" w:type="dxa"/>
            <w:right w:w="15" w:type="dxa"/>
          </w:tblCellMar>
        </w:tblPrEx>
        <w:trPr>
          <w:trHeight w:val="390"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12</w:t>
            </w:r>
          </w:p>
        </w:tc>
        <w:tc>
          <w:tcPr>
            <w:tcW w:w="57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未按规定巡视且发现问题不处理或不汇报的。</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18"/>
                <w:szCs w:val="18"/>
                <w:highlight w:val="none"/>
                <w:lang w:eastAsia="zh-CN"/>
              </w:rPr>
            </w:pPr>
            <w:r>
              <w:rPr>
                <w:rFonts w:hint="eastAsia" w:ascii="宋体" w:hAnsi="宋体" w:cs="宋体"/>
                <w:color w:val="000000"/>
                <w:kern w:val="0"/>
                <w:sz w:val="18"/>
                <w:szCs w:val="18"/>
                <w:highlight w:val="none"/>
                <w:lang w:val="en-US" w:eastAsia="zh-CN" w:bidi="ar"/>
              </w:rPr>
              <w:t>8</w:t>
            </w:r>
          </w:p>
        </w:tc>
        <w:tc>
          <w:tcPr>
            <w:tcW w:w="97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1597" w:type="dxa"/>
            <w:noWrap w:val="0"/>
            <w:vAlign w:val="bottom"/>
          </w:tcPr>
          <w:p>
            <w:pPr>
              <w:rPr>
                <w:rFonts w:hint="eastAsia" w:ascii="宋体" w:hAnsi="宋体" w:cs="宋体"/>
                <w:color w:val="000000"/>
                <w:sz w:val="24"/>
                <w:szCs w:val="24"/>
                <w:highlight w:val="none"/>
              </w:rPr>
            </w:pPr>
          </w:p>
        </w:tc>
      </w:tr>
      <w:tr>
        <w:tblPrEx>
          <w:tblCellMar>
            <w:top w:w="15" w:type="dxa"/>
            <w:left w:w="15" w:type="dxa"/>
            <w:bottom w:w="15" w:type="dxa"/>
            <w:right w:w="15" w:type="dxa"/>
          </w:tblCellMar>
        </w:tblPrEx>
        <w:trPr>
          <w:trHeight w:val="390"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13</w:t>
            </w:r>
          </w:p>
        </w:tc>
        <w:tc>
          <w:tcPr>
            <w:tcW w:w="57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 xml:space="preserve"> 未经领导批准擅作主张或随意听从使用部门要求造成医院管理失控的。</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97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1597" w:type="dxa"/>
            <w:noWrap w:val="0"/>
            <w:vAlign w:val="bottom"/>
          </w:tcPr>
          <w:p>
            <w:pPr>
              <w:rPr>
                <w:rFonts w:hint="eastAsia" w:ascii="宋体" w:hAnsi="宋体" w:cs="宋体"/>
                <w:color w:val="000000"/>
                <w:sz w:val="24"/>
                <w:szCs w:val="24"/>
                <w:highlight w:val="none"/>
              </w:rPr>
            </w:pPr>
          </w:p>
        </w:tc>
      </w:tr>
      <w:tr>
        <w:tblPrEx>
          <w:tblCellMar>
            <w:top w:w="15" w:type="dxa"/>
            <w:left w:w="15" w:type="dxa"/>
            <w:bottom w:w="15" w:type="dxa"/>
            <w:right w:w="15" w:type="dxa"/>
          </w:tblCellMar>
        </w:tblPrEx>
        <w:trPr>
          <w:trHeight w:val="390" w:hRule="atLeast"/>
        </w:trPr>
        <w:tc>
          <w:tcPr>
            <w:tcW w:w="4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14</w:t>
            </w:r>
          </w:p>
        </w:tc>
        <w:tc>
          <w:tcPr>
            <w:tcW w:w="57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其他不履行合同的部分。</w:t>
            </w:r>
          </w:p>
        </w:tc>
        <w:tc>
          <w:tcPr>
            <w:tcW w:w="6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18"/>
                <w:szCs w:val="18"/>
                <w:highlight w:val="none"/>
              </w:rPr>
            </w:pPr>
          </w:p>
        </w:tc>
        <w:tc>
          <w:tcPr>
            <w:tcW w:w="5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4</w:t>
            </w:r>
          </w:p>
        </w:tc>
        <w:tc>
          <w:tcPr>
            <w:tcW w:w="97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838"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宋体" w:hAnsi="宋体" w:cs="宋体"/>
                <w:color w:val="000000"/>
                <w:sz w:val="18"/>
                <w:szCs w:val="18"/>
                <w:highlight w:val="none"/>
              </w:rPr>
            </w:pPr>
          </w:p>
        </w:tc>
        <w:tc>
          <w:tcPr>
            <w:tcW w:w="1597" w:type="dxa"/>
            <w:noWrap w:val="0"/>
            <w:vAlign w:val="bottom"/>
          </w:tcPr>
          <w:p>
            <w:pPr>
              <w:rPr>
                <w:rFonts w:hint="eastAsia" w:ascii="宋体" w:hAnsi="宋体" w:cs="宋体"/>
                <w:color w:val="000000"/>
                <w:sz w:val="24"/>
                <w:szCs w:val="24"/>
                <w:highlight w:val="none"/>
              </w:rPr>
            </w:pPr>
          </w:p>
        </w:tc>
      </w:tr>
    </w:tbl>
    <w:p>
      <w:pPr>
        <w:rPr>
          <w:rFonts w:hint="eastAsia"/>
          <w:lang w:val="en-US" w:eastAsia="zh-CN"/>
        </w:rPr>
      </w:pPr>
    </w:p>
    <w:p>
      <w:pPr>
        <w:pStyle w:val="2"/>
        <w:rPr>
          <w:rFonts w:hint="eastAsia" w:ascii="宋体" w:hAnsi="宋体" w:eastAsia="宋体" w:cs="Times New Roman"/>
          <w:b/>
          <w:bCs/>
          <w:sz w:val="24"/>
          <w:szCs w:val="24"/>
          <w:lang w:val="en-US" w:eastAsia="zh-CN"/>
        </w:rPr>
      </w:pPr>
    </w:p>
    <w:p>
      <w:pPr>
        <w:rPr>
          <w:rFonts w:hint="eastAsia" w:ascii="宋体" w:hAnsi="宋体" w:eastAsia="宋体" w:cs="Times New Roman"/>
          <w:b/>
          <w:bCs/>
          <w:sz w:val="24"/>
          <w:szCs w:val="24"/>
          <w:lang w:val="en-US" w:eastAsia="zh-CN"/>
        </w:rPr>
      </w:pPr>
    </w:p>
    <w:p>
      <w:pPr>
        <w:pStyle w:val="2"/>
        <w:rPr>
          <w:rFonts w:hint="eastAsia" w:ascii="宋体" w:hAnsi="宋体" w:eastAsia="宋体" w:cs="Times New Roman"/>
          <w:b/>
          <w:bCs/>
          <w:sz w:val="24"/>
          <w:szCs w:val="24"/>
          <w:lang w:val="en-US" w:eastAsia="zh-CN"/>
        </w:rPr>
      </w:pPr>
    </w:p>
    <w:p>
      <w:pPr>
        <w:rPr>
          <w:rFonts w:hint="eastAsia" w:ascii="宋体" w:hAnsi="宋体" w:eastAsia="宋体" w:cs="Times New Roman"/>
          <w:b/>
          <w:bCs/>
          <w:sz w:val="24"/>
          <w:szCs w:val="24"/>
          <w:lang w:val="en-US" w:eastAsia="zh-CN"/>
        </w:rPr>
      </w:pPr>
    </w:p>
    <w:p>
      <w:pPr>
        <w:pStyle w:val="2"/>
        <w:rPr>
          <w:rFonts w:hint="eastAsia" w:ascii="宋体" w:hAnsi="宋体" w:eastAsia="宋体" w:cs="Times New Roman"/>
          <w:b/>
          <w:bCs/>
          <w:sz w:val="24"/>
          <w:szCs w:val="24"/>
          <w:lang w:val="en-US" w:eastAsia="zh-CN"/>
        </w:rPr>
      </w:pPr>
    </w:p>
    <w:p>
      <w:pPr>
        <w:rPr>
          <w:rFonts w:hint="eastAsia" w:ascii="宋体" w:hAnsi="宋体" w:eastAsia="宋体" w:cs="Times New Roman"/>
          <w:b/>
          <w:bCs/>
          <w:sz w:val="24"/>
          <w:szCs w:val="24"/>
          <w:lang w:val="en-US" w:eastAsia="zh-CN"/>
        </w:rPr>
      </w:pPr>
    </w:p>
    <w:p>
      <w:pPr>
        <w:pStyle w:val="2"/>
        <w:rPr>
          <w:rFonts w:hint="eastAsia"/>
          <w:lang w:val="en-US" w:eastAsia="zh-CN"/>
        </w:rPr>
      </w:pPr>
    </w:p>
    <w:p>
      <w:pPr>
        <w:rPr>
          <w:rFonts w:hint="eastAsia" w:ascii="宋体" w:hAnsi="宋体" w:eastAsia="宋体" w:cs="Times New Roman"/>
          <w:b/>
          <w:bCs/>
          <w:sz w:val="24"/>
          <w:szCs w:val="24"/>
          <w:lang w:val="en-US" w:eastAsia="zh-CN"/>
        </w:rPr>
      </w:pPr>
    </w:p>
    <w:p>
      <w:pPr>
        <w:pStyle w:val="2"/>
        <w:rPr>
          <w:rFonts w:hint="eastAsia" w:ascii="宋体" w:hAnsi="宋体" w:eastAsia="宋体" w:cs="Times New Roman"/>
          <w:b/>
          <w:bCs/>
          <w:sz w:val="24"/>
          <w:szCs w:val="24"/>
          <w:lang w:val="en-US" w:eastAsia="zh-CN"/>
        </w:rPr>
      </w:pPr>
    </w:p>
    <w:p>
      <w:pPr>
        <w:rPr>
          <w:rFonts w:hint="eastAsia"/>
          <w:lang w:val="en-US" w:eastAsia="zh-CN"/>
        </w:rPr>
      </w:pPr>
    </w:p>
    <w:p>
      <w:pPr>
        <w:rPr>
          <w:rFonts w:hint="eastAsia"/>
          <w:lang w:val="en-US" w:eastAsia="zh-CN"/>
        </w:rPr>
      </w:pPr>
    </w:p>
    <w:p>
      <w:pPr>
        <w:pStyle w:val="2"/>
        <w:numPr>
          <w:ilvl w:val="0"/>
          <w:numId w:val="0"/>
        </w:numPr>
        <w:ind w:leftChars="0"/>
        <w:jc w:val="both"/>
        <w:rPr>
          <w:rFonts w:ascii="宋体" w:hAnsi="宋体" w:cs="宋体"/>
          <w:b/>
          <w:color w:val="000000"/>
          <w:w w:val="80"/>
          <w:sz w:val="44"/>
          <w:szCs w:val="44"/>
        </w:rPr>
      </w:pPr>
      <w:r>
        <w:rPr>
          <w:rFonts w:hint="eastAsia" w:ascii="宋体" w:hAnsi="宋体" w:cs="宋体"/>
          <w:b/>
          <w:color w:val="000000"/>
          <w:w w:val="80"/>
          <w:sz w:val="44"/>
          <w:szCs w:val="44"/>
          <w:lang w:val="en-US" w:eastAsia="zh-CN"/>
        </w:rPr>
        <w:t xml:space="preserve">                  </w:t>
      </w:r>
      <w:r>
        <w:rPr>
          <w:rFonts w:hint="eastAsia" w:ascii="宋体" w:hAnsi="宋体" w:cs="宋体"/>
          <w:b/>
          <w:color w:val="000000"/>
          <w:w w:val="80"/>
          <w:sz w:val="44"/>
          <w:szCs w:val="44"/>
        </w:rPr>
        <w:t>第六章   合同授予</w:t>
      </w:r>
    </w:p>
    <w:p>
      <w:pPr>
        <w:snapToGrid w:val="0"/>
        <w:spacing w:line="520" w:lineRule="exact"/>
        <w:ind w:firstLine="484" w:firstLineChars="202"/>
        <w:textAlignment w:val="baseline"/>
        <w:rPr>
          <w:rFonts w:ascii="宋体" w:hAnsi="宋体" w:cs="宋体"/>
          <w:color w:val="000000"/>
          <w:sz w:val="24"/>
          <w:szCs w:val="24"/>
        </w:rPr>
      </w:pPr>
    </w:p>
    <w:p>
      <w:pPr>
        <w:snapToGrid w:val="0"/>
        <w:spacing w:line="520" w:lineRule="exact"/>
        <w:ind w:firstLine="484" w:firstLineChars="202"/>
        <w:textAlignment w:val="baseline"/>
        <w:rPr>
          <w:rFonts w:ascii="宋体" w:hAnsi="宋体" w:cs="宋体"/>
          <w:kern w:val="0"/>
          <w:sz w:val="24"/>
          <w:szCs w:val="24"/>
        </w:rPr>
      </w:pPr>
      <w:r>
        <w:rPr>
          <w:rFonts w:hint="eastAsia" w:ascii="宋体" w:hAnsi="宋体" w:cs="宋体"/>
          <w:color w:val="000000"/>
          <w:sz w:val="24"/>
          <w:szCs w:val="24"/>
        </w:rPr>
        <w:t>一、由于项目服务时间紧迫，成交供应商在《成交通知书》发出后15日内必须按照磋商文件确定的事项签订采购合同。合</w:t>
      </w:r>
      <w:r>
        <w:rPr>
          <w:rFonts w:hint="eastAsia" w:ascii="宋体" w:hAnsi="宋体" w:cs="宋体"/>
          <w:color w:val="auto"/>
          <w:sz w:val="24"/>
          <w:szCs w:val="24"/>
        </w:rPr>
        <w:t>同一式肆份，</w:t>
      </w:r>
      <w:r>
        <w:rPr>
          <w:rFonts w:hint="eastAsia" w:ascii="宋体" w:hAnsi="宋体" w:cs="宋体"/>
          <w:b w:val="0"/>
          <w:bCs w:val="0"/>
          <w:color w:val="auto"/>
          <w:sz w:val="24"/>
          <w:szCs w:val="24"/>
          <w:highlight w:val="none"/>
          <w:lang w:val="en-US" w:eastAsia="zh-CN"/>
        </w:rPr>
        <w:t>甲</w:t>
      </w:r>
      <w:r>
        <w:rPr>
          <w:rFonts w:hint="eastAsia" w:ascii="宋体" w:hAnsi="宋体" w:cs="宋体"/>
          <w:b w:val="0"/>
          <w:bCs w:val="0"/>
          <w:color w:val="auto"/>
          <w:sz w:val="24"/>
          <w:szCs w:val="24"/>
          <w:highlight w:val="none"/>
        </w:rPr>
        <w:t>方执</w:t>
      </w:r>
      <w:r>
        <w:rPr>
          <w:rFonts w:hint="eastAsia" w:ascii="宋体" w:hAnsi="宋体" w:cs="宋体"/>
          <w:b w:val="0"/>
          <w:bCs w:val="0"/>
          <w:color w:val="auto"/>
          <w:sz w:val="24"/>
          <w:szCs w:val="24"/>
          <w:highlight w:val="none"/>
          <w:u w:val="single"/>
        </w:rPr>
        <w:t>叁</w:t>
      </w:r>
      <w:r>
        <w:rPr>
          <w:rFonts w:hint="eastAsia" w:ascii="宋体" w:hAnsi="宋体" w:cs="宋体"/>
          <w:b w:val="0"/>
          <w:bCs w:val="0"/>
          <w:color w:val="auto"/>
          <w:sz w:val="24"/>
          <w:szCs w:val="24"/>
          <w:highlight w:val="none"/>
        </w:rPr>
        <w:t>份，</w:t>
      </w:r>
      <w:r>
        <w:rPr>
          <w:rFonts w:hint="eastAsia" w:ascii="宋体" w:hAnsi="宋体" w:cs="宋体"/>
          <w:b w:val="0"/>
          <w:bCs w:val="0"/>
          <w:color w:val="auto"/>
          <w:sz w:val="24"/>
          <w:szCs w:val="24"/>
          <w:highlight w:val="none"/>
          <w:lang w:val="en-US" w:eastAsia="zh-CN"/>
        </w:rPr>
        <w:t>乙</w:t>
      </w:r>
      <w:r>
        <w:rPr>
          <w:rFonts w:hint="eastAsia" w:ascii="宋体" w:hAnsi="宋体" w:cs="宋体"/>
          <w:b w:val="0"/>
          <w:bCs w:val="0"/>
          <w:color w:val="auto"/>
          <w:sz w:val="24"/>
          <w:szCs w:val="24"/>
          <w:highlight w:val="none"/>
        </w:rPr>
        <w:t>方执</w:t>
      </w:r>
      <w:r>
        <w:rPr>
          <w:rFonts w:hint="eastAsia" w:ascii="宋体" w:hAnsi="宋体" w:cs="宋体"/>
          <w:b w:val="0"/>
          <w:bCs w:val="0"/>
          <w:color w:val="auto"/>
          <w:sz w:val="24"/>
          <w:szCs w:val="24"/>
          <w:highlight w:val="none"/>
          <w:u w:val="single"/>
        </w:rPr>
        <w:t>壹</w:t>
      </w:r>
      <w:r>
        <w:rPr>
          <w:rFonts w:hint="eastAsia" w:ascii="宋体" w:hAnsi="宋体" w:cs="宋体"/>
          <w:b w:val="0"/>
          <w:bCs w:val="0"/>
          <w:color w:val="auto"/>
          <w:sz w:val="24"/>
          <w:szCs w:val="24"/>
          <w:highlight w:val="none"/>
        </w:rPr>
        <w:t>份</w:t>
      </w:r>
      <w:r>
        <w:rPr>
          <w:rFonts w:hint="eastAsia" w:ascii="宋体" w:hAnsi="宋体"/>
          <w:color w:val="auto"/>
          <w:sz w:val="24"/>
          <w:szCs w:val="24"/>
        </w:rPr>
        <w:t>，其他存</w:t>
      </w:r>
      <w:r>
        <w:rPr>
          <w:rFonts w:hint="eastAsia" w:ascii="宋体" w:hAnsi="宋体"/>
          <w:sz w:val="24"/>
          <w:szCs w:val="24"/>
        </w:rPr>
        <w:t>档备查。</w:t>
      </w:r>
      <w:r>
        <w:rPr>
          <w:rFonts w:hint="eastAsia" w:ascii="宋体" w:hAnsi="宋体" w:cs="宋体"/>
          <w:kern w:val="0"/>
          <w:sz w:val="24"/>
          <w:szCs w:val="24"/>
        </w:rPr>
        <w:t xml:space="preserve">所签合同不得对磋商文件作实质性修改。采购人不得向成交供应商提出不合理的要求作为签订合同的条件，不得与成交供应商私下订立背离磋商文件实质性内容的协议。 </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 xml:space="preserve"> 二、采购人按合同约定积极配合</w:t>
      </w:r>
      <w:r>
        <w:rPr>
          <w:rFonts w:hint="eastAsia" w:ascii="宋体" w:hAnsi="宋体" w:cs="宋体"/>
          <w:color w:val="000000"/>
          <w:sz w:val="24"/>
        </w:rPr>
        <w:t>成交供应商</w:t>
      </w:r>
      <w:r>
        <w:rPr>
          <w:rFonts w:hint="eastAsia" w:ascii="宋体" w:hAnsi="宋体" w:cs="宋体"/>
          <w:sz w:val="24"/>
          <w:szCs w:val="24"/>
        </w:rPr>
        <w:t>履约，</w:t>
      </w:r>
      <w:r>
        <w:rPr>
          <w:rFonts w:hint="eastAsia" w:ascii="宋体" w:hAnsi="宋体" w:cs="宋体"/>
          <w:color w:val="000000"/>
          <w:sz w:val="24"/>
        </w:rPr>
        <w:t>成交供应商</w:t>
      </w:r>
      <w:r>
        <w:rPr>
          <w:rFonts w:hint="eastAsia" w:ascii="宋体" w:hAnsi="宋体" w:cs="宋体"/>
          <w:sz w:val="24"/>
          <w:szCs w:val="24"/>
        </w:rPr>
        <w:t>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三、采购人故意推迟项目验收时间的，与</w:t>
      </w:r>
      <w:r>
        <w:rPr>
          <w:rFonts w:hint="eastAsia" w:ascii="宋体" w:hAnsi="宋体" w:cs="宋体"/>
          <w:color w:val="000000"/>
          <w:sz w:val="24"/>
        </w:rPr>
        <w:t>成交供应商</w:t>
      </w:r>
      <w:r>
        <w:rPr>
          <w:rFonts w:hint="eastAsia" w:ascii="宋体" w:hAnsi="宋体" w:cs="宋体"/>
          <w:sz w:val="24"/>
          <w:szCs w:val="24"/>
        </w:rPr>
        <w:t>串通或要求</w:t>
      </w:r>
      <w:r>
        <w:rPr>
          <w:rFonts w:hint="eastAsia" w:ascii="宋体" w:hAnsi="宋体" w:cs="宋体"/>
          <w:color w:val="000000"/>
          <w:sz w:val="24"/>
        </w:rPr>
        <w:t>成交供应商</w:t>
      </w:r>
      <w:r>
        <w:rPr>
          <w:rFonts w:hint="eastAsia" w:ascii="宋体" w:hAnsi="宋体" w:cs="宋体"/>
          <w:sz w:val="24"/>
          <w:szCs w:val="24"/>
        </w:rPr>
        <w:t>通过减少货物数量或降低服务标准的，在履行合同中采取更改配置、调换物品等手段的，要求</w:t>
      </w:r>
      <w:r>
        <w:rPr>
          <w:rFonts w:hint="eastAsia" w:ascii="宋体" w:hAnsi="宋体" w:cs="宋体"/>
          <w:color w:val="000000"/>
          <w:sz w:val="24"/>
        </w:rPr>
        <w:t>成交供应商</w:t>
      </w:r>
      <w:r>
        <w:rPr>
          <w:rFonts w:hint="eastAsia" w:ascii="宋体" w:hAnsi="宋体" w:cs="宋体"/>
          <w:sz w:val="24"/>
          <w:szCs w:val="24"/>
        </w:rPr>
        <w:t>出具虚假发票或任意更改销售发票的，谋取不正当利益的，承担相应的法律责任。</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四、</w:t>
      </w:r>
      <w:r>
        <w:rPr>
          <w:rFonts w:hint="eastAsia" w:ascii="宋体" w:hAnsi="宋体" w:cs="宋体"/>
          <w:color w:val="000000"/>
          <w:sz w:val="24"/>
        </w:rPr>
        <w:t>成交供应商</w:t>
      </w:r>
      <w:r>
        <w:rPr>
          <w:rFonts w:hint="eastAsia" w:ascii="宋体" w:hAnsi="宋体" w:cs="宋体"/>
          <w:sz w:val="24"/>
          <w:szCs w:val="24"/>
        </w:rPr>
        <w:t>出现违约情形，应当及时纠正或补偿；造成损失的，按合同约定追究违约责任；发现有假冒、伪劣、走私产品、商业贿赂等违法情形的，应由采购人移交工商、质监、公安等行政执法部门依法查处。</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五、不响应付款方式的，视同响应文件无效，按无效响应文件处理。</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六、付款方式详见磋商文件第五章。</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七、以上项目款的支付不计息。</w:t>
      </w:r>
    </w:p>
    <w:p>
      <w:pPr>
        <w:rPr>
          <w:rFonts w:ascii="宋体" w:hAnsi="宋体" w:cs="宋体"/>
          <w:b/>
          <w:bCs/>
          <w:kern w:val="44"/>
          <w:sz w:val="44"/>
          <w:szCs w:val="44"/>
        </w:rPr>
      </w:pPr>
    </w:p>
    <w:p>
      <w:pPr>
        <w:spacing w:line="360" w:lineRule="auto"/>
        <w:jc w:val="center"/>
        <w:rPr>
          <w:rFonts w:ascii="宋体"/>
          <w:sz w:val="24"/>
          <w:szCs w:val="24"/>
        </w:rPr>
      </w:pPr>
      <w:r>
        <w:rPr>
          <w:rFonts w:hint="eastAsia" w:ascii="宋体" w:hAnsi="宋体" w:cs="宋体"/>
          <w:b/>
          <w:bCs/>
          <w:kern w:val="44"/>
          <w:sz w:val="44"/>
          <w:szCs w:val="44"/>
        </w:rPr>
        <w:br w:type="page"/>
      </w:r>
      <w:r>
        <w:rPr>
          <w:rFonts w:hint="eastAsia" w:ascii="宋体" w:hAnsi="宋体" w:cs="宋体"/>
          <w:b/>
          <w:bCs/>
          <w:kern w:val="44"/>
          <w:sz w:val="44"/>
          <w:szCs w:val="44"/>
        </w:rPr>
        <w:t>第七章</w:t>
      </w:r>
      <w:r>
        <w:rPr>
          <w:rFonts w:ascii="宋体" w:hAnsi="宋体" w:cs="宋体"/>
          <w:b/>
          <w:bCs/>
          <w:kern w:val="44"/>
          <w:sz w:val="44"/>
          <w:szCs w:val="44"/>
        </w:rPr>
        <w:t xml:space="preserve"> </w:t>
      </w:r>
      <w:r>
        <w:rPr>
          <w:rFonts w:hint="eastAsia" w:ascii="宋体" w:hAnsi="宋体" w:cs="宋体"/>
          <w:b/>
          <w:bCs/>
          <w:kern w:val="44"/>
          <w:sz w:val="44"/>
          <w:szCs w:val="44"/>
        </w:rPr>
        <w:t>质疑提出和处理</w:t>
      </w:r>
    </w:p>
    <w:p>
      <w:pPr>
        <w:adjustRightInd w:val="0"/>
        <w:snapToGrid w:val="0"/>
        <w:spacing w:line="480" w:lineRule="exact"/>
        <w:ind w:firstLine="480" w:firstLineChars="200"/>
        <w:rPr>
          <w:rFonts w:ascii="宋体" w:hAnsi="宋体" w:cs="宋体"/>
          <w:sz w:val="24"/>
          <w:szCs w:val="24"/>
        </w:rPr>
      </w:pP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一、质疑的提出</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、质疑人必须是直接参加本次磋商活动的当事人。</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、下载磋商文件的供应商应根据第二章“磋商供应商须知”中第一条第</w:t>
      </w:r>
      <w:r>
        <w:rPr>
          <w:rFonts w:ascii="宋体" w:hAnsi="宋体" w:cs="宋体"/>
          <w:sz w:val="24"/>
          <w:szCs w:val="24"/>
        </w:rPr>
        <w:t>4</w:t>
      </w:r>
      <w:r>
        <w:rPr>
          <w:rFonts w:hint="eastAsia" w:ascii="宋体" w:hAnsi="宋体" w:cs="宋体"/>
          <w:sz w:val="24"/>
          <w:szCs w:val="24"/>
        </w:rPr>
        <w:t>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对不能提供相关佐证材料的、涉及商业秘密的、非书面形式的、非送达的、匿名的《质疑函》将不予受理。</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相关佐证材料要具备客观性、关联性、合法性，无法查实的（如宣传册、媒体报道、猜测、推理等）不能作为佐证材料。</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采购单位或采购代理机构不负责搜集相关佐证材料等工作。</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二、《质疑函》的受理和回复</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、《质疑函》须由质疑人的法定代表人或参加本次磋商被授权人送达采购单位和采购代理机构。</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、采购单位、采购代理机构负责将质疑人提出的质疑相关材料提供给相关专家或评估小组审核，并将审核意见回复质疑人。</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、因质疑情况复杂，组织论证或审查时间较长的，采购单位、采购代理机构以书面形式通知质疑人，可适当延长质疑回复处理时间。</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三、质疑处理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、质疑成立的处理。采购单位或采购代理机构终止采购，并建议有关部门给相关当事人予以处理。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、质疑不成立的处理。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）质疑人书面《申请撤回质疑函》的，不作违约处理。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）质疑人在规定的时间内不配合进行质疑调查处理的，按自动撤回《质疑函》处理。</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）质疑人不按《质疑函》格式就提出质疑的，作违约处理。同时，视情列入不良供应商名单。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）质疑人不能提供相关佐证材料的，采购单位、采购代理机构已指出，质疑人仍然坚持提出质疑的，作违约处理。同时，列入不良供应商名单。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sz w:val="24"/>
          <w:szCs w:val="24"/>
        </w:rPr>
        <w:t>1</w:t>
      </w:r>
      <w:r>
        <w:rPr>
          <w:rFonts w:hint="eastAsia" w:ascii="宋体" w:hAnsi="宋体" w:cs="宋体"/>
          <w:sz w:val="24"/>
          <w:szCs w:val="24"/>
        </w:rPr>
        <w:t>年内禁入本区域内的政府采购活动的违约处理，依次类推；视情在南通公共资源交易平台、省、国家级相关媒体予以披露。</w:t>
      </w:r>
    </w:p>
    <w:p>
      <w:pPr>
        <w:adjustRightInd w:val="0"/>
        <w:snapToGrid w:val="0"/>
        <w:spacing w:line="48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）质疑人承担使用虚假材料或恶意方式质疑的法律责任。</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四、无佐证材料的举报作违约处理。供应商不得进行不提供相关佐证材料（含无法查实的如宣传册、媒体报道、猜测、推理等）向有关部门的举报，否则作违约处理。同时对其在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五、投诉不成立的作违约处理。供应商进行质疑后，采购单位回复质疑不成立，供应商仍进行投诉的，并最终投诉不成立的，作违约处理。采购单位有权对其在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六、《质疑函》、《质疑回复函》，质疑、举报、投诉不成立的等相关情况，视情在南通公共资源交易平台、省、国家级等相关媒体予以披露。并建议相关政府采购机构对该供应商同步实施</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七、质疑供应商对采购单位或代理机构的答复不满意或者采购单位或代理机构未在规定的时间内作出答复的，可以在答复期满后</w:t>
      </w:r>
      <w:r>
        <w:rPr>
          <w:rFonts w:ascii="宋体" w:hAnsi="宋体" w:cs="宋体"/>
          <w:sz w:val="24"/>
          <w:szCs w:val="24"/>
        </w:rPr>
        <w:t>15</w:t>
      </w:r>
      <w:r>
        <w:rPr>
          <w:rFonts w:hint="eastAsia" w:ascii="宋体" w:hAnsi="宋体" w:cs="宋体"/>
          <w:sz w:val="24"/>
          <w:szCs w:val="24"/>
        </w:rPr>
        <w:t>个工作日内向南通市政府采购监督管理部门投诉。</w:t>
      </w:r>
    </w:p>
    <w:p>
      <w:pPr>
        <w:pStyle w:val="6"/>
        <w:keepNext w:val="0"/>
        <w:keepLines w:val="0"/>
        <w:numPr>
          <w:ilvl w:val="0"/>
          <w:numId w:val="0"/>
        </w:numPr>
        <w:snapToGrid w:val="0"/>
        <w:spacing w:before="0" w:after="156" w:afterLines="50" w:line="520" w:lineRule="exact"/>
        <w:ind w:left="420"/>
        <w:jc w:val="center"/>
        <w:rPr>
          <w:rFonts w:ascii="宋体"/>
        </w:rPr>
      </w:pPr>
      <w:bookmarkStart w:id="95" w:name="_Toc363573860"/>
      <w:r>
        <w:rPr>
          <w:rFonts w:ascii="宋体"/>
          <w:w w:val="80"/>
          <w:sz w:val="24"/>
          <w:szCs w:val="24"/>
        </w:rPr>
        <w:br w:type="page"/>
      </w:r>
      <w:r>
        <w:rPr>
          <w:rFonts w:hint="eastAsia" w:ascii="宋体" w:hAnsi="宋体" w:cs="宋体"/>
          <w:w w:val="80"/>
        </w:rPr>
        <w:t>第八章</w:t>
      </w:r>
      <w:r>
        <w:rPr>
          <w:rFonts w:hint="eastAsia" w:ascii="宋体" w:hAnsi="宋体" w:cs="宋体"/>
          <w:w w:val="80"/>
          <w:lang w:val="en-US" w:eastAsia="zh-CN"/>
        </w:rPr>
        <w:t xml:space="preserve"> </w:t>
      </w:r>
      <w:r>
        <w:rPr>
          <w:rFonts w:hint="eastAsia" w:ascii="宋体" w:hAnsi="宋体" w:cs="宋体"/>
          <w:w w:val="80"/>
        </w:rPr>
        <w:t>响应文件组成及格式</w:t>
      </w:r>
      <w:bookmarkEnd w:id="95"/>
    </w:p>
    <w:p>
      <w:pPr>
        <w:widowControl/>
        <w:snapToGrid w:val="0"/>
        <w:spacing w:line="360" w:lineRule="auto"/>
        <w:ind w:firstLine="472" w:firstLineChars="196"/>
        <w:jc w:val="left"/>
        <w:rPr>
          <w:rFonts w:ascii="宋体" w:hAnsi="宋体" w:cs="宋体"/>
          <w:b/>
          <w:bCs/>
          <w:sz w:val="24"/>
          <w:szCs w:val="24"/>
        </w:rPr>
      </w:pP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widowControl/>
        <w:numPr>
          <w:ilvl w:val="0"/>
          <w:numId w:val="10"/>
        </w:numPr>
        <w:snapToGrid w:val="0"/>
        <w:spacing w:line="360" w:lineRule="auto"/>
        <w:ind w:firstLine="472" w:firstLineChars="196"/>
        <w:jc w:val="left"/>
        <w:rPr>
          <w:rFonts w:ascii="宋体"/>
          <w:b/>
          <w:bCs/>
          <w:sz w:val="24"/>
          <w:szCs w:val="24"/>
          <w:lang w:val="zh-CN"/>
        </w:rPr>
      </w:pPr>
      <w:r>
        <w:rPr>
          <w:rFonts w:hint="eastAsia" w:ascii="宋体" w:hAnsi="宋体" w:cs="宋体"/>
          <w:b/>
          <w:bCs/>
          <w:sz w:val="24"/>
          <w:szCs w:val="24"/>
        </w:rPr>
        <w:t>资格审查文件</w:t>
      </w:r>
      <w:r>
        <w:rPr>
          <w:rFonts w:hint="eastAsia" w:ascii="宋体" w:hAnsi="宋体" w:cs="宋体"/>
          <w:b/>
          <w:bCs/>
          <w:sz w:val="24"/>
          <w:szCs w:val="24"/>
          <w:lang w:val="zh-CN"/>
        </w:rPr>
        <w:t>（</w:t>
      </w:r>
      <w:r>
        <w:rPr>
          <w:rFonts w:hint="eastAsia" w:ascii="宋体" w:hAnsi="宋体" w:cs="宋体"/>
          <w:b/>
          <w:bCs/>
          <w:sz w:val="24"/>
          <w:szCs w:val="24"/>
        </w:rPr>
        <w:t>单独密封</w:t>
      </w:r>
      <w:r>
        <w:rPr>
          <w:rFonts w:hint="eastAsia" w:ascii="宋体" w:hAnsi="宋体" w:cs="宋体"/>
          <w:b/>
          <w:bCs/>
          <w:sz w:val="24"/>
          <w:szCs w:val="24"/>
          <w:lang w:val="zh-CN"/>
        </w:rPr>
        <w:t>）</w:t>
      </w:r>
    </w:p>
    <w:p>
      <w:pPr>
        <w:numPr>
          <w:ilvl w:val="0"/>
          <w:numId w:val="11"/>
        </w:numPr>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供应商必须有能力按本磋商文件规定的要求提供相关服务，须提供有效的三证合一的企业法人营业执照复印件或扫描件。</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2、 提供供应商的法定代表人或负责人身份证明及身份证原件的复印件或扫描件（须加盖供应商公章，格式参见竞争性磋商文件第八章）；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3、如为被委托受权人参加竞争性磋商的，还必须提供法定代表人或负责人签名或盖章的授权委托书及被委托受权人身份证这两项原件的复印件或扫描件（须加盖供应商公章，格式参见竞争性磋商文件第八章）；</w:t>
      </w:r>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供应商须拟派</w:t>
      </w:r>
      <w:r>
        <w:rPr>
          <w:rFonts w:hint="eastAsia" w:ascii="宋体" w:hAnsi="宋体" w:cs="宋体"/>
          <w:sz w:val="24"/>
          <w:szCs w:val="24"/>
        </w:rPr>
        <w:t>服务人员须为供应商的正式员工</w:t>
      </w:r>
      <w:r>
        <w:rPr>
          <w:rFonts w:hint="eastAsia" w:ascii="宋体" w:hAnsi="宋体" w:cs="宋体"/>
          <w:sz w:val="24"/>
          <w:szCs w:val="24"/>
          <w:lang w:eastAsia="zh-CN"/>
        </w:rPr>
        <w:t>，</w:t>
      </w:r>
      <w:r>
        <w:rPr>
          <w:rFonts w:hint="eastAsia" w:ascii="宋体" w:hAnsi="宋体" w:cs="宋体"/>
          <w:sz w:val="24"/>
          <w:szCs w:val="24"/>
        </w:rPr>
        <w:t>须同时提供：①拟派人员与供应商签订的有效劳动合同复印件或扫描件；②合格有效的特种作业人员操作证复印件或扫描件。</w:t>
      </w:r>
    </w:p>
    <w:p>
      <w:pPr>
        <w:pStyle w:val="2"/>
        <w:snapToGrid w:val="0"/>
        <w:spacing w:after="0" w:line="360" w:lineRule="auto"/>
        <w:ind w:firstLine="480"/>
        <w:rPr>
          <w:rFonts w:hint="eastAsia" w:ascii="宋体" w:hAnsi="宋体" w:cs="宋体"/>
          <w:bCs/>
          <w:color w:val="000000"/>
          <w:sz w:val="24"/>
          <w:szCs w:val="24"/>
        </w:rPr>
      </w:pPr>
      <w:r>
        <w:rPr>
          <w:rFonts w:hint="eastAsia" w:ascii="宋体" w:hAnsi="宋体" w:cs="宋体"/>
          <w:bCs/>
          <w:color w:val="000000"/>
          <w:sz w:val="24"/>
          <w:szCs w:val="24"/>
        </w:rPr>
        <w:t>5、供应商一般情况表（格式参见第八章）；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供应商</w:t>
      </w:r>
      <w:r>
        <w:rPr>
          <w:rFonts w:hint="eastAsia" w:ascii="宋体" w:hAnsi="宋体" w:cs="宋体"/>
          <w:sz w:val="24"/>
          <w:szCs w:val="24"/>
          <w:lang w:val="en-US" w:eastAsia="zh-CN"/>
        </w:rPr>
        <w:t>2022年以来</w:t>
      </w:r>
      <w:r>
        <w:rPr>
          <w:rFonts w:hint="eastAsia" w:ascii="宋体" w:hAnsi="宋体" w:cs="宋体"/>
          <w:sz w:val="24"/>
          <w:szCs w:val="24"/>
        </w:rPr>
        <w:t>任意一个月依法缴纳税收和社会保障资金的相关材料复印件或扫描件；</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供应商具有履行合同所必需的设备和专业技术能力的书面声明（格式参见第八章）；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、供应商须提供参与本次项目政府采购活动前三年内，在经营活动中没有重大违法记录的书面《无重大违法记录声明函》（格式参见竞争性磋商文件第八章）；</w:t>
      </w:r>
    </w:p>
    <w:p>
      <w:pPr>
        <w:widowControl/>
        <w:snapToGrid w:val="0"/>
        <w:spacing w:line="360" w:lineRule="auto"/>
        <w:ind w:firstLine="470" w:firstLineChars="196"/>
        <w:jc w:val="left"/>
        <w:textAlignment w:val="baseline"/>
      </w:pPr>
      <w:r>
        <w:rPr>
          <w:rFonts w:hint="eastAsia" w:ascii="宋体" w:hAnsi="宋体" w:cs="宋体"/>
          <w:sz w:val="24"/>
          <w:szCs w:val="24"/>
          <w:lang w:val="en-US" w:eastAsia="zh-CN"/>
        </w:rPr>
        <w:t>9</w:t>
      </w:r>
      <w:r>
        <w:rPr>
          <w:rFonts w:hint="eastAsia" w:ascii="宋体" w:hAnsi="宋体" w:cs="宋体"/>
          <w:sz w:val="24"/>
          <w:szCs w:val="24"/>
        </w:rPr>
        <w:t>、关于资格文件的声明函（格式参见竞争性磋商文件第八章）。</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注：以上材料如为复印件或扫描件均需加盖单位公章，要求提供原件查验的，因携带原件不全而由此引起的后果由投标人自负。</w:t>
      </w:r>
    </w:p>
    <w:p>
      <w:pPr>
        <w:widowControl/>
        <w:snapToGrid w:val="0"/>
        <w:spacing w:line="360" w:lineRule="auto"/>
        <w:ind w:firstLine="472" w:firstLineChars="196"/>
        <w:jc w:val="left"/>
        <w:textAlignment w:val="baseline"/>
        <w:rPr>
          <w:rFonts w:ascii="宋体" w:hAnsi="宋体"/>
          <w:b/>
          <w:sz w:val="24"/>
          <w:szCs w:val="24"/>
        </w:rPr>
      </w:pPr>
      <w:r>
        <w:rPr>
          <w:rFonts w:hint="eastAsia" w:ascii="宋体" w:hAnsi="宋体"/>
          <w:b/>
          <w:sz w:val="24"/>
          <w:szCs w:val="24"/>
        </w:rPr>
        <w:t>二、技术响应文件（单独密封）</w:t>
      </w:r>
    </w:p>
    <w:p>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1、竞争性磋商响应函（格式参见第八章）；</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sz w:val="24"/>
          <w:szCs w:val="24"/>
        </w:rPr>
        <w:t>2、</w:t>
      </w:r>
      <w:r>
        <w:rPr>
          <w:rFonts w:hint="eastAsia" w:ascii="宋体" w:hAnsi="宋体" w:cs="宋体"/>
          <w:sz w:val="24"/>
          <w:szCs w:val="24"/>
        </w:rPr>
        <w:t>评标办法和项目需求中所涉及的事项需提供的所有资料；</w:t>
      </w:r>
    </w:p>
    <w:p>
      <w:pPr>
        <w:snapToGrid w:val="0"/>
        <w:spacing w:line="360" w:lineRule="auto"/>
        <w:ind w:firstLine="480" w:firstLineChars="200"/>
        <w:jc w:val="left"/>
        <w:textAlignment w:val="baseline"/>
        <w:rPr>
          <w:sz w:val="24"/>
          <w:szCs w:val="24"/>
        </w:rPr>
      </w:pPr>
      <w:r>
        <w:rPr>
          <w:rFonts w:hint="eastAsia" w:ascii="宋体" w:hAnsi="宋体" w:cs="宋体"/>
          <w:sz w:val="24"/>
          <w:szCs w:val="24"/>
          <w:lang w:val="en-US" w:eastAsia="zh-CN"/>
        </w:rPr>
        <w:t>3</w:t>
      </w:r>
      <w:r>
        <w:rPr>
          <w:rFonts w:hint="eastAsia" w:ascii="宋体" w:hAnsi="宋体" w:cs="宋体"/>
          <w:sz w:val="24"/>
          <w:szCs w:val="24"/>
        </w:rPr>
        <w:t>、评标办法和项目需求中未涉及的事项，供应商认为需要提交的其他资料。</w:t>
      </w:r>
    </w:p>
    <w:p>
      <w:pPr>
        <w:widowControl/>
        <w:snapToGrid w:val="0"/>
        <w:spacing w:line="360" w:lineRule="auto"/>
        <w:ind w:firstLine="470" w:firstLineChars="196"/>
        <w:jc w:val="left"/>
        <w:textAlignment w:val="baseline"/>
        <w:rPr>
          <w:rFonts w:ascii="宋体" w:hAnsi="宋体" w:cs="宋体"/>
          <w:bCs/>
          <w:color w:val="000000"/>
          <w:sz w:val="24"/>
          <w:szCs w:val="24"/>
        </w:rPr>
      </w:pPr>
      <w:r>
        <w:rPr>
          <w:rFonts w:hint="eastAsia" w:ascii="宋体" w:hAnsi="宋体"/>
          <w:sz w:val="24"/>
          <w:szCs w:val="24"/>
        </w:rPr>
        <w:t>注：为方便评委评审，请供应商按评标办法中所涉及的事项顺序进行编制，可以补充相</w:t>
      </w:r>
      <w:r>
        <w:rPr>
          <w:rFonts w:hint="eastAsia" w:ascii="宋体" w:hAnsi="宋体" w:cs="宋体"/>
          <w:color w:val="000000"/>
          <w:sz w:val="24"/>
          <w:szCs w:val="24"/>
        </w:rPr>
        <w:t>关材料；</w:t>
      </w: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三、商务报价响应文件（单独密封）</w:t>
      </w:r>
    </w:p>
    <w:p>
      <w:pPr>
        <w:snapToGrid w:val="0"/>
        <w:spacing w:line="360" w:lineRule="auto"/>
        <w:ind w:firstLine="480" w:firstLineChars="200"/>
        <w:jc w:val="left"/>
        <w:textAlignment w:val="baseline"/>
        <w:rPr>
          <w:rFonts w:hint="eastAsia" w:ascii="宋体" w:hAnsi="宋体" w:cs="宋体"/>
          <w:bCs/>
          <w:color w:val="000000"/>
          <w:sz w:val="24"/>
          <w:szCs w:val="24"/>
          <w:lang w:val="zh-CN"/>
        </w:rPr>
      </w:pPr>
      <w:r>
        <w:rPr>
          <w:rFonts w:hint="eastAsia" w:ascii="宋体" w:hAnsi="宋体" w:cs="宋体"/>
          <w:bCs/>
          <w:color w:val="000000"/>
          <w:sz w:val="24"/>
          <w:szCs w:val="24"/>
          <w:lang w:val="zh-CN"/>
        </w:rPr>
        <w:t>1、</w:t>
      </w:r>
      <w:r>
        <w:rPr>
          <w:rFonts w:hint="eastAsia" w:ascii="宋体" w:hAnsi="宋体" w:cs="宋体"/>
          <w:bCs/>
          <w:color w:val="000000"/>
          <w:sz w:val="24"/>
          <w:szCs w:val="24"/>
        </w:rPr>
        <w:t>磋商</w:t>
      </w:r>
      <w:r>
        <w:rPr>
          <w:rFonts w:hint="eastAsia" w:ascii="宋体" w:hAnsi="宋体" w:cs="宋体"/>
          <w:bCs/>
          <w:color w:val="000000"/>
          <w:sz w:val="24"/>
          <w:szCs w:val="24"/>
          <w:lang w:val="zh-CN"/>
        </w:rPr>
        <w:t>响应报价总表（格式参见第八章）；</w:t>
      </w:r>
    </w:p>
    <w:p>
      <w:pPr>
        <w:snapToGrid w:val="0"/>
        <w:spacing w:line="360" w:lineRule="auto"/>
        <w:ind w:firstLine="480" w:firstLineChars="200"/>
        <w:jc w:val="left"/>
        <w:textAlignment w:val="baseline"/>
        <w:rPr>
          <w:rFonts w:hint="eastAsia" w:ascii="宋体" w:hAnsi="宋体" w:cs="宋体"/>
          <w:bCs/>
          <w:color w:val="000000"/>
          <w:sz w:val="24"/>
          <w:szCs w:val="24"/>
          <w:lang w:val="zh-CN"/>
        </w:rPr>
      </w:pPr>
      <w:r>
        <w:rPr>
          <w:rFonts w:hint="eastAsia" w:ascii="宋体" w:hAnsi="宋体" w:cs="宋体"/>
          <w:bCs/>
          <w:color w:val="000000"/>
          <w:sz w:val="24"/>
          <w:szCs w:val="24"/>
        </w:rPr>
        <w:t>2、</w:t>
      </w:r>
      <w:r>
        <w:rPr>
          <w:rFonts w:hint="eastAsia" w:ascii="宋体" w:hAnsi="宋体" w:cs="宋体"/>
          <w:bCs/>
          <w:color w:val="000000"/>
          <w:sz w:val="24"/>
          <w:szCs w:val="24"/>
          <w:lang w:val="zh-CN"/>
        </w:rPr>
        <w:t>中小企业声明函（</w:t>
      </w:r>
      <w:r>
        <w:rPr>
          <w:rFonts w:hint="eastAsia" w:ascii="宋体" w:hAnsi="宋体" w:cs="宋体"/>
          <w:bCs/>
          <w:color w:val="000000"/>
          <w:sz w:val="24"/>
          <w:szCs w:val="24"/>
        </w:rPr>
        <w:t>如有）</w:t>
      </w:r>
      <w:r>
        <w:rPr>
          <w:rFonts w:hint="eastAsia" w:ascii="宋体" w:hAnsi="宋体" w:cs="宋体"/>
          <w:bCs/>
          <w:color w:val="000000"/>
          <w:sz w:val="24"/>
          <w:szCs w:val="24"/>
          <w:lang w:val="zh-CN"/>
        </w:rPr>
        <w:t>。</w:t>
      </w:r>
    </w:p>
    <w:p>
      <w:pPr>
        <w:widowControl/>
        <w:snapToGrid w:val="0"/>
        <w:spacing w:line="360" w:lineRule="auto"/>
        <w:jc w:val="left"/>
        <w:rPr>
          <w:rFonts w:ascii="宋体"/>
          <w:b/>
          <w:bCs/>
          <w:sz w:val="28"/>
          <w:szCs w:val="28"/>
        </w:rPr>
      </w:pPr>
      <w:r>
        <w:rPr>
          <w:rFonts w:ascii="宋体"/>
          <w:b/>
          <w:bCs/>
          <w:sz w:val="28"/>
          <w:szCs w:val="28"/>
          <w:highlight w:val="yellow"/>
        </w:rPr>
        <w:br w:type="page"/>
      </w:r>
      <w:r>
        <w:rPr>
          <w:rFonts w:hint="eastAsia" w:ascii="宋体" w:hAnsi="宋体" w:cs="宋体"/>
          <w:b/>
          <w:bCs/>
          <w:sz w:val="28"/>
          <w:szCs w:val="28"/>
        </w:rPr>
        <w:t>附件：</w:t>
      </w:r>
    </w:p>
    <w:p>
      <w:pPr>
        <w:snapToGrid w:val="0"/>
        <w:spacing w:line="520" w:lineRule="exact"/>
        <w:jc w:val="center"/>
        <w:outlineLvl w:val="3"/>
        <w:rPr>
          <w:rFonts w:ascii="宋体"/>
          <w:b/>
          <w:bCs/>
          <w:sz w:val="28"/>
          <w:szCs w:val="28"/>
        </w:rPr>
      </w:pPr>
      <w:r>
        <w:rPr>
          <w:rFonts w:ascii="宋体" w:hAnsi="宋体" w:cs="宋体"/>
          <w:b/>
          <w:bCs/>
          <w:sz w:val="28"/>
          <w:szCs w:val="28"/>
        </w:rPr>
        <w:t>1</w:t>
      </w:r>
      <w:r>
        <w:rPr>
          <w:rFonts w:hint="eastAsia" w:ascii="宋体" w:hAnsi="宋体" w:cs="宋体"/>
          <w:b/>
          <w:bCs/>
          <w:sz w:val="28"/>
          <w:szCs w:val="28"/>
        </w:rPr>
        <w:t>、法定代表人身份证明</w:t>
      </w:r>
    </w:p>
    <w:p>
      <w:pPr>
        <w:snapToGrid w:val="0"/>
        <w:spacing w:line="520" w:lineRule="exact"/>
        <w:jc w:val="center"/>
        <w:rPr>
          <w:rFonts w:ascii="宋体"/>
          <w:sz w:val="24"/>
          <w:szCs w:val="24"/>
        </w:rPr>
      </w:pPr>
    </w:p>
    <w:p>
      <w:pPr>
        <w:snapToGrid w:val="0"/>
        <w:spacing w:line="520" w:lineRule="exact"/>
        <w:jc w:val="center"/>
        <w:rPr>
          <w:rFonts w:ascii="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rPr>
          <w:rFonts w:ascii="宋体"/>
          <w:sz w:val="24"/>
          <w:szCs w:val="24"/>
          <w:u w:val="single"/>
        </w:rPr>
      </w:pPr>
      <w:r>
        <w:rPr>
          <w:rFonts w:hint="eastAsia" w:ascii="宋体" w:hAnsi="宋体" w:cs="宋体"/>
          <w:sz w:val="24"/>
          <w:szCs w:val="24"/>
          <w:u w:val="single"/>
        </w:rPr>
        <w:t>南通市妇幼保健院：</w:t>
      </w:r>
      <w:r>
        <w:rPr>
          <w:rFonts w:ascii="宋体" w:hAnsi="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sz w:val="24"/>
          <w:szCs w:val="24"/>
        </w:rPr>
      </w:pPr>
      <w:r>
        <w:rPr>
          <w:rFonts w:hint="eastAsia" w:cs="宋体"/>
          <w:sz w:val="24"/>
          <w:szCs w:val="24"/>
          <w:u w:val="single" w:color="000000"/>
        </w:rPr>
        <w:t>　　　　　</w:t>
      </w:r>
      <w:r>
        <w:rPr>
          <w:rFonts w:hint="eastAsia" w:cs="宋体"/>
          <w:sz w:val="24"/>
          <w:szCs w:val="24"/>
        </w:rPr>
        <w:t>（先生／女士）现任我单位</w:t>
      </w:r>
      <w:r>
        <w:rPr>
          <w:rFonts w:hint="eastAsia" w:cs="宋体"/>
          <w:sz w:val="24"/>
          <w:szCs w:val="24"/>
          <w:u w:val="single" w:color="000000"/>
        </w:rPr>
        <w:t>　　　　 　　　</w:t>
      </w:r>
      <w:r>
        <w:rPr>
          <w:rFonts w:hint="eastAsia" w:cs="宋体"/>
          <w:sz w:val="24"/>
          <w:szCs w:val="24"/>
        </w:rPr>
        <w:t>职务，为法定代表人，特此证明。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cs="宋体"/>
          <w:sz w:val="24"/>
          <w:szCs w:val="24"/>
        </w:rPr>
      </w:pPr>
      <w:r>
        <w:rPr>
          <w:rFonts w:hint="eastAsia" w:cs="宋体"/>
          <w:sz w:val="24"/>
          <w:szCs w:val="24"/>
        </w:rPr>
        <w:t>身份证号码：</w:t>
      </w:r>
    </w:p>
    <w:p>
      <w:pPr>
        <w:snapToGrid w:val="0"/>
        <w:spacing w:line="420" w:lineRule="exact"/>
        <w:ind w:firstLine="480" w:firstLineChars="200"/>
        <w:textAlignment w:val="baseline"/>
        <w:rPr>
          <w:rFonts w:cs="宋体"/>
          <w:sz w:val="24"/>
          <w:szCs w:val="24"/>
        </w:rPr>
      </w:pPr>
    </w:p>
    <w:p>
      <w:pPr>
        <w:snapToGrid w:val="0"/>
        <w:spacing w:line="420" w:lineRule="exact"/>
        <w:ind w:firstLine="480" w:firstLineChars="200"/>
        <w:textAlignment w:val="baseline"/>
        <w:rPr>
          <w:sz w:val="24"/>
          <w:szCs w:val="24"/>
          <w:u w:val="single"/>
        </w:rPr>
      </w:pPr>
    </w:p>
    <w:p>
      <w:pPr>
        <w:snapToGrid w:val="0"/>
        <w:spacing w:line="520" w:lineRule="exact"/>
        <w:jc w:val="right"/>
        <w:textAlignment w:val="baseline"/>
        <w:rPr>
          <w:rFonts w:ascii="宋体" w:hAnsi="宋体" w:cs="宋体"/>
          <w:color w:val="000000"/>
          <w:sz w:val="24"/>
          <w:szCs w:val="24"/>
        </w:rPr>
      </w:pPr>
      <w:r>
        <w:rPr>
          <w:rFonts w:hint="eastAsia" w:cs="宋体"/>
          <w:sz w:val="24"/>
          <w:szCs w:val="24"/>
        </w:rPr>
        <w:t xml:space="preserve">                      </w:t>
      </w:r>
      <w:r>
        <w:rPr>
          <w:rFonts w:hint="eastAsia" w:ascii="宋体" w:hAnsi="宋体" w:cs="宋体"/>
          <w:color w:val="000000"/>
          <w:sz w:val="24"/>
          <w:szCs w:val="24"/>
        </w:rPr>
        <w:t>竞争性磋商响应单位：（加盖公章）</w:t>
      </w:r>
    </w:p>
    <w:p>
      <w:pPr>
        <w:snapToGrid w:val="0"/>
        <w:spacing w:line="420" w:lineRule="exact"/>
        <w:ind w:right="960" w:firstLine="484" w:firstLineChars="202"/>
        <w:jc w:val="center"/>
        <w:textAlignment w:val="baseline"/>
        <w:rPr>
          <w:sz w:val="20"/>
        </w:rPr>
      </w:pPr>
      <w:r>
        <w:rPr>
          <w:rFonts w:hint="eastAsia" w:ascii="宋体" w:hAnsi="宋体" w:cs="宋体"/>
          <w:color w:val="000000"/>
          <w:sz w:val="24"/>
          <w:szCs w:val="24"/>
        </w:rPr>
        <w:t xml:space="preserve">                                            年      月     日</w:t>
      </w:r>
    </w:p>
    <w:p>
      <w:pPr>
        <w:snapToGrid w:val="0"/>
        <w:spacing w:line="420" w:lineRule="exact"/>
        <w:ind w:firstLine="404" w:firstLineChars="202"/>
        <w:jc w:val="left"/>
        <w:textAlignment w:val="baseline"/>
        <w:rPr>
          <w:sz w:val="20"/>
        </w:rPr>
      </w:pPr>
    </w:p>
    <w:tbl>
      <w:tblPr>
        <w:tblStyle w:val="51"/>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法定代表人身份证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360" w:lineRule="auto"/>
        <w:ind w:firstLine="480" w:firstLineChars="200"/>
        <w:jc w:val="left"/>
        <w:textAlignment w:val="baseline"/>
        <w:rPr>
          <w:rFonts w:cs="宋体"/>
          <w:sz w:val="24"/>
          <w:szCs w:val="24"/>
        </w:rPr>
      </w:pPr>
      <w:r>
        <w:rPr>
          <w:rFonts w:hint="eastAsia" w:cs="宋体"/>
          <w:sz w:val="24"/>
          <w:szCs w:val="24"/>
        </w:rPr>
        <w:t>注：如为法定代表人参加项目</w:t>
      </w:r>
      <w:r>
        <w:rPr>
          <w:rFonts w:hint="eastAsia" w:ascii="宋体" w:hAnsi="宋体" w:cs="宋体"/>
          <w:color w:val="000000"/>
          <w:sz w:val="24"/>
          <w:szCs w:val="24"/>
        </w:rPr>
        <w:t>竞争性磋商响应</w:t>
      </w:r>
      <w:r>
        <w:rPr>
          <w:rFonts w:hint="eastAsia" w:cs="宋体"/>
          <w:sz w:val="24"/>
          <w:szCs w:val="24"/>
        </w:rPr>
        <w:t>，须将身份证原件带至竞争性磋商现场备查。</w:t>
      </w:r>
    </w:p>
    <w:p>
      <w:pPr>
        <w:snapToGrid w:val="0"/>
        <w:spacing w:line="360" w:lineRule="auto"/>
        <w:ind w:firstLine="480" w:firstLineChars="200"/>
        <w:jc w:val="left"/>
        <w:textAlignment w:val="baseline"/>
        <w:rPr>
          <w:rFonts w:cs="宋体"/>
          <w:sz w:val="24"/>
          <w:szCs w:val="24"/>
        </w:rPr>
      </w:pPr>
      <w:r>
        <w:rPr>
          <w:rFonts w:hint="eastAsia" w:cs="宋体"/>
          <w:sz w:val="24"/>
          <w:szCs w:val="24"/>
        </w:rPr>
        <w:t>如为被委托受权人参加项目竞争性</w:t>
      </w:r>
      <w:r>
        <w:rPr>
          <w:rFonts w:hint="eastAsia" w:ascii="宋体" w:hAnsi="宋体" w:cs="宋体"/>
          <w:color w:val="000000"/>
          <w:sz w:val="24"/>
          <w:szCs w:val="24"/>
        </w:rPr>
        <w:t>磋商</w:t>
      </w:r>
      <w:r>
        <w:rPr>
          <w:rFonts w:hint="eastAsia" w:cs="宋体"/>
          <w:sz w:val="24"/>
          <w:szCs w:val="24"/>
        </w:rPr>
        <w:t>响应，无须将法定代表人身份证原件带至竞争性</w:t>
      </w:r>
      <w:r>
        <w:rPr>
          <w:rFonts w:hint="eastAsia" w:ascii="宋体" w:hAnsi="宋体" w:cs="宋体"/>
          <w:color w:val="000000"/>
          <w:sz w:val="24"/>
          <w:szCs w:val="24"/>
        </w:rPr>
        <w:t>磋商</w:t>
      </w:r>
      <w:r>
        <w:rPr>
          <w:rFonts w:hint="eastAsia" w:cs="宋体"/>
          <w:sz w:val="24"/>
          <w:szCs w:val="24"/>
        </w:rPr>
        <w:t>现场备查，仅需提供本证明。</w:t>
      </w:r>
    </w:p>
    <w:p>
      <w:pPr>
        <w:snapToGrid w:val="0"/>
        <w:spacing w:line="520" w:lineRule="exact"/>
        <w:ind w:firstLine="482" w:firstLineChars="200"/>
        <w:rPr>
          <w:rFonts w:ascii="宋体"/>
          <w:b/>
          <w:bCs/>
          <w:sz w:val="24"/>
          <w:szCs w:val="24"/>
        </w:rPr>
      </w:pPr>
    </w:p>
    <w:p>
      <w:pPr>
        <w:snapToGrid w:val="0"/>
        <w:spacing w:line="520" w:lineRule="exact"/>
        <w:jc w:val="center"/>
        <w:outlineLvl w:val="3"/>
        <w:rPr>
          <w:rFonts w:ascii="宋体"/>
          <w:b/>
          <w:bCs/>
          <w:sz w:val="28"/>
          <w:szCs w:val="28"/>
        </w:rPr>
      </w:pPr>
      <w:r>
        <w:rPr>
          <w:rFonts w:ascii="宋体"/>
          <w:b/>
          <w:bCs/>
          <w:sz w:val="24"/>
          <w:szCs w:val="24"/>
        </w:rPr>
        <w:br w:type="page"/>
      </w:r>
      <w:r>
        <w:rPr>
          <w:rFonts w:ascii="宋体" w:hAnsi="宋体" w:cs="宋体"/>
          <w:b/>
          <w:bCs/>
          <w:sz w:val="28"/>
          <w:szCs w:val="28"/>
        </w:rPr>
        <w:t>2</w:t>
      </w:r>
      <w:r>
        <w:rPr>
          <w:rFonts w:hint="eastAsia" w:ascii="宋体" w:hAnsi="宋体" w:cs="宋体"/>
          <w:b/>
          <w:bCs/>
          <w:sz w:val="28"/>
          <w:szCs w:val="28"/>
        </w:rPr>
        <w:t>、授权委托书</w:t>
      </w:r>
    </w:p>
    <w:p>
      <w:pPr>
        <w:snapToGrid w:val="0"/>
        <w:spacing w:line="520" w:lineRule="exact"/>
        <w:jc w:val="center"/>
        <w:rPr>
          <w:rFonts w:ascii="宋体"/>
          <w:sz w:val="24"/>
          <w:szCs w:val="24"/>
        </w:rPr>
      </w:pPr>
      <w:r>
        <w:rPr>
          <w:rFonts w:hint="eastAsia" w:ascii="宋体" w:hAnsi="宋体" w:cs="宋体"/>
          <w:sz w:val="24"/>
          <w:szCs w:val="24"/>
        </w:rPr>
        <w:t>（如被授权人参加磋商，须出示此证明）</w:t>
      </w:r>
    </w:p>
    <w:p>
      <w:pPr>
        <w:snapToGrid w:val="0"/>
        <w:spacing w:line="520" w:lineRule="exact"/>
        <w:jc w:val="center"/>
        <w:rPr>
          <w:rFonts w:ascii="宋体"/>
          <w:sz w:val="24"/>
          <w:szCs w:val="24"/>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snapToGrid w:val="0"/>
        <w:spacing w:line="360" w:lineRule="auto"/>
        <w:ind w:firstLine="484" w:firstLineChars="202"/>
        <w:textAlignment w:val="baseline"/>
        <w:rPr>
          <w:sz w:val="24"/>
          <w:szCs w:val="24"/>
        </w:rPr>
      </w:pPr>
      <w:r>
        <w:rPr>
          <w:rFonts w:hint="eastAsia" w:cs="宋体"/>
          <w:sz w:val="24"/>
          <w:szCs w:val="24"/>
        </w:rPr>
        <w:t>本授权委托书声明：我</w:t>
      </w:r>
      <w:r>
        <w:rPr>
          <w:rFonts w:hint="eastAsia" w:cs="宋体"/>
          <w:sz w:val="24"/>
          <w:szCs w:val="24"/>
          <w:u w:val="single" w:color="000000"/>
        </w:rPr>
        <w:t xml:space="preserve">　    </w:t>
      </w:r>
      <w:r>
        <w:rPr>
          <w:rFonts w:hint="eastAsia" w:cs="宋体"/>
          <w:sz w:val="24"/>
          <w:szCs w:val="24"/>
        </w:rPr>
        <w:t>（姓名）系</w:t>
      </w:r>
      <w:r>
        <w:rPr>
          <w:rFonts w:hint="eastAsia" w:cs="宋体"/>
          <w:sz w:val="24"/>
          <w:szCs w:val="24"/>
          <w:u w:val="single" w:color="000000"/>
        </w:rPr>
        <w:t xml:space="preserve">　            </w:t>
      </w:r>
      <w:r>
        <w:rPr>
          <w:rFonts w:hint="eastAsia" w:cs="宋体"/>
          <w:sz w:val="24"/>
          <w:szCs w:val="24"/>
        </w:rPr>
        <w:t>（供应商名称）的法定代表人，现授权委托</w:t>
      </w:r>
      <w:r>
        <w:rPr>
          <w:rFonts w:hint="eastAsia" w:cs="宋体"/>
          <w:sz w:val="24"/>
          <w:szCs w:val="24"/>
          <w:u w:val="single" w:color="000000"/>
        </w:rPr>
        <w:t xml:space="preserve">　　     </w:t>
      </w:r>
      <w:r>
        <w:rPr>
          <w:rFonts w:hint="eastAsia" w:cs="宋体"/>
          <w:sz w:val="24"/>
          <w:szCs w:val="24"/>
        </w:rPr>
        <w:t>（姓名）为我公司为被委托受权人，以本公司的名义参加本项目的竞争性磋商响应活动。被委托受权人在开标、评审磋商活动、合同谈判过程中所签署的一切文件和处理与之有关的一切事务，我均予以承认。</w:t>
      </w:r>
    </w:p>
    <w:p>
      <w:pPr>
        <w:snapToGrid w:val="0"/>
        <w:spacing w:line="360" w:lineRule="auto"/>
        <w:ind w:firstLine="484" w:firstLineChars="202"/>
        <w:textAlignment w:val="baseline"/>
        <w:rPr>
          <w:rFonts w:cs="宋体"/>
          <w:sz w:val="24"/>
          <w:szCs w:val="24"/>
        </w:rPr>
      </w:pPr>
      <w:r>
        <w:rPr>
          <w:rFonts w:hint="eastAsia" w:cs="宋体"/>
          <w:sz w:val="24"/>
          <w:szCs w:val="24"/>
        </w:rPr>
        <w:t>被委托受权人无转委权。特此委托。</w:t>
      </w:r>
    </w:p>
    <w:p>
      <w:pPr>
        <w:pStyle w:val="20"/>
        <w:snapToGrid w:val="0"/>
        <w:spacing w:line="360" w:lineRule="auto"/>
        <w:textAlignment w:val="baseline"/>
        <w:rPr>
          <w:szCs w:val="24"/>
        </w:rPr>
      </w:pPr>
    </w:p>
    <w:p>
      <w:pPr>
        <w:snapToGrid w:val="0"/>
        <w:spacing w:line="360" w:lineRule="auto"/>
        <w:ind w:firstLine="972" w:firstLineChars="405"/>
        <w:textAlignment w:val="baseline"/>
        <w:rPr>
          <w:sz w:val="24"/>
          <w:szCs w:val="24"/>
        </w:rPr>
      </w:pPr>
      <w:r>
        <w:rPr>
          <w:rFonts w:hint="eastAsia" w:cs="宋体"/>
          <w:sz w:val="24"/>
          <w:szCs w:val="24"/>
        </w:rPr>
        <w:t>法定代表人签字：</w:t>
      </w:r>
    </w:p>
    <w:p>
      <w:pPr>
        <w:snapToGrid w:val="0"/>
        <w:spacing w:line="360" w:lineRule="auto"/>
        <w:ind w:firstLine="972" w:firstLineChars="405"/>
        <w:textAlignment w:val="baseline"/>
        <w:rPr>
          <w:sz w:val="24"/>
          <w:szCs w:val="24"/>
        </w:rPr>
      </w:pPr>
      <w:r>
        <w:rPr>
          <w:rFonts w:hint="eastAsia" w:cs="宋体"/>
          <w:sz w:val="24"/>
          <w:szCs w:val="24"/>
        </w:rPr>
        <w:t>被委托受权人身份证号：</w:t>
      </w:r>
    </w:p>
    <w:p>
      <w:pPr>
        <w:snapToGrid w:val="0"/>
        <w:spacing w:line="360" w:lineRule="auto"/>
        <w:ind w:firstLine="972" w:firstLineChars="405"/>
        <w:textAlignment w:val="baseline"/>
        <w:rPr>
          <w:sz w:val="24"/>
          <w:szCs w:val="24"/>
        </w:rPr>
      </w:pPr>
      <w:r>
        <w:rPr>
          <w:rFonts w:hint="eastAsia" w:cs="宋体"/>
          <w:sz w:val="24"/>
          <w:szCs w:val="24"/>
        </w:rPr>
        <w:t>被委托受权人签字：</w:t>
      </w:r>
    </w:p>
    <w:p>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420" w:lineRule="exact"/>
        <w:ind w:firstLine="484" w:firstLineChars="202"/>
        <w:jc w:val="right"/>
        <w:textAlignment w:val="baseline"/>
        <w:rPr>
          <w:sz w:val="20"/>
        </w:rPr>
      </w:pPr>
      <w:r>
        <w:rPr>
          <w:rFonts w:hint="eastAsia" w:ascii="宋体" w:hAnsi="宋体" w:cs="宋体"/>
          <w:color w:val="000000"/>
          <w:sz w:val="24"/>
          <w:szCs w:val="24"/>
        </w:rPr>
        <w:t>年      月     日</w:t>
      </w:r>
    </w:p>
    <w:p>
      <w:pPr>
        <w:snapToGrid w:val="0"/>
        <w:spacing w:line="420" w:lineRule="exact"/>
        <w:ind w:firstLine="404" w:firstLineChars="202"/>
        <w:jc w:val="left"/>
        <w:textAlignment w:val="baseline"/>
        <w:rPr>
          <w:sz w:val="20"/>
        </w:rPr>
      </w:pPr>
    </w:p>
    <w:p>
      <w:pPr>
        <w:snapToGrid w:val="0"/>
        <w:spacing w:line="420" w:lineRule="exact"/>
        <w:ind w:firstLine="404" w:firstLineChars="202"/>
        <w:jc w:val="left"/>
        <w:textAlignment w:val="baseline"/>
        <w:rPr>
          <w:sz w:val="20"/>
        </w:rPr>
      </w:pPr>
    </w:p>
    <w:tbl>
      <w:tblPr>
        <w:tblStyle w:val="51"/>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被委托受权人身份证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left"/>
        <w:textAlignment w:val="baseline"/>
        <w:rPr>
          <w:sz w:val="24"/>
          <w:szCs w:val="24"/>
        </w:rPr>
      </w:pPr>
      <w:r>
        <w:rPr>
          <w:rFonts w:hint="eastAsia" w:cs="宋体"/>
          <w:sz w:val="24"/>
          <w:szCs w:val="24"/>
        </w:rPr>
        <w:t>注：如为被委托受权人参加项目竞争性磋商响应，须将身份证原件带至竞争性磋商现场备查。</w:t>
      </w:r>
    </w:p>
    <w:p>
      <w:pPr>
        <w:snapToGrid w:val="0"/>
        <w:spacing w:line="520" w:lineRule="exact"/>
        <w:jc w:val="center"/>
        <w:outlineLvl w:val="3"/>
        <w:rPr>
          <w:rFonts w:ascii="宋体"/>
          <w:b/>
          <w:bCs/>
          <w:sz w:val="28"/>
          <w:szCs w:val="28"/>
        </w:rPr>
      </w:pPr>
    </w:p>
    <w:p>
      <w:pPr>
        <w:jc w:val="center"/>
        <w:rPr>
          <w:rFonts w:hint="eastAsia" w:ascii="宋体" w:hAnsi="宋体" w:cs="宋体"/>
          <w:b/>
          <w:sz w:val="24"/>
          <w:szCs w:val="24"/>
        </w:rPr>
      </w:pPr>
      <w:r>
        <w:br w:type="page"/>
      </w:r>
      <w:r>
        <w:rPr>
          <w:rFonts w:hint="eastAsia" w:ascii="宋体" w:hAnsi="宋体" w:cs="宋体"/>
          <w:b/>
          <w:color w:val="000000"/>
          <w:sz w:val="24"/>
          <w:szCs w:val="24"/>
        </w:rPr>
        <w:t>3、</w:t>
      </w:r>
      <w:r>
        <w:rPr>
          <w:rFonts w:hint="eastAsia" w:ascii="宋体" w:hAnsi="宋体" w:cs="宋体"/>
          <w:b/>
          <w:sz w:val="24"/>
          <w:szCs w:val="24"/>
        </w:rPr>
        <w:t>供应商一般情况表</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企业名称</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总部地址</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分支机构</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当地代表处地址</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电话</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联系人</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传真</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电子邮件</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注册地</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注册年份</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资质等级</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w:t>
            </w:r>
            <w:r>
              <w:rPr>
                <w:rFonts w:hint="eastAsia" w:ascii="宋体" w:hAnsi="宋体" w:cs="宋体"/>
                <w:color w:val="000000"/>
                <w:sz w:val="24"/>
                <w:szCs w:val="24"/>
              </w:rPr>
              <w:t>具备的相关</w:t>
            </w:r>
            <w:r>
              <w:rPr>
                <w:rFonts w:ascii="宋体" w:hAnsi="宋体" w:cs="宋体"/>
                <w:color w:val="000000"/>
                <w:sz w:val="24"/>
                <w:szCs w:val="24"/>
              </w:rPr>
              <w:t>资质等级</w:t>
            </w:r>
            <w:r>
              <w:rPr>
                <w:rFonts w:hint="eastAsia" w:ascii="宋体" w:hAnsi="宋体" w:cs="宋体"/>
                <w:color w:val="000000"/>
                <w:sz w:val="24"/>
                <w:szCs w:val="24"/>
              </w:rPr>
              <w:t>及相应的</w:t>
            </w:r>
            <w:r>
              <w:rPr>
                <w:rFonts w:ascii="宋体" w:hAnsi="宋体" w:cs="宋体"/>
                <w:color w:val="000000"/>
                <w:sz w:val="24"/>
                <w:szCs w:val="24"/>
              </w:rPr>
              <w:t>证书号</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质量管理体系</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   （是否通过，何种）   质量保证体系认证（如通过请附相关</w:t>
            </w:r>
            <w:r>
              <w:rPr>
                <w:rFonts w:hint="eastAsia" w:ascii="宋体" w:hAnsi="宋体" w:cs="宋体"/>
                <w:color w:val="000000"/>
                <w:sz w:val="24"/>
                <w:szCs w:val="24"/>
              </w:rPr>
              <w:t>在有效期内的</w:t>
            </w:r>
            <w:r>
              <w:rPr>
                <w:rFonts w:ascii="宋体" w:hAnsi="宋体" w:cs="宋体"/>
                <w:color w:val="000000"/>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项目负责人</w:t>
            </w:r>
          </w:p>
        </w:tc>
        <w:tc>
          <w:tcPr>
            <w:tcW w:w="1559" w:type="dxa"/>
            <w:gridSpan w:val="2"/>
            <w:noWrap w:val="0"/>
            <w:vAlign w:val="top"/>
          </w:tcPr>
          <w:p>
            <w:pPr>
              <w:spacing w:line="520" w:lineRule="exact"/>
              <w:ind w:firstLine="484" w:firstLineChars="202"/>
              <w:rPr>
                <w:rFonts w:ascii="宋体" w:hAnsi="宋体" w:cs="宋体"/>
                <w:color w:val="000000"/>
                <w:sz w:val="24"/>
                <w:szCs w:val="24"/>
              </w:rPr>
            </w:pPr>
          </w:p>
        </w:tc>
        <w:tc>
          <w:tcPr>
            <w:tcW w:w="1417" w:type="dxa"/>
            <w:gridSpan w:val="2"/>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年龄</w:t>
            </w:r>
          </w:p>
        </w:tc>
        <w:tc>
          <w:tcPr>
            <w:tcW w:w="1466" w:type="dxa"/>
            <w:gridSpan w:val="2"/>
            <w:noWrap w:val="0"/>
            <w:vAlign w:val="top"/>
          </w:tcPr>
          <w:p>
            <w:pPr>
              <w:spacing w:line="520" w:lineRule="exact"/>
              <w:ind w:firstLine="484" w:firstLineChars="202"/>
              <w:rPr>
                <w:rFonts w:ascii="宋体" w:hAnsi="宋体" w:cs="宋体"/>
                <w:color w:val="000000"/>
                <w:sz w:val="24"/>
                <w:szCs w:val="24"/>
              </w:rPr>
            </w:pPr>
          </w:p>
        </w:tc>
        <w:tc>
          <w:tcPr>
            <w:tcW w:w="1320" w:type="dxa"/>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性别</w:t>
            </w:r>
          </w:p>
        </w:tc>
        <w:tc>
          <w:tcPr>
            <w:tcW w:w="1467" w:type="dxa"/>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职务职称</w:t>
            </w:r>
          </w:p>
        </w:tc>
        <w:tc>
          <w:tcPr>
            <w:tcW w:w="2976" w:type="dxa"/>
            <w:gridSpan w:val="4"/>
            <w:noWrap w:val="0"/>
            <w:vAlign w:val="top"/>
          </w:tcPr>
          <w:p>
            <w:pPr>
              <w:spacing w:line="520" w:lineRule="exact"/>
              <w:ind w:firstLine="484" w:firstLineChars="202"/>
              <w:rPr>
                <w:rFonts w:ascii="宋体" w:hAnsi="宋体" w:cs="宋体"/>
                <w:color w:val="000000"/>
                <w:sz w:val="24"/>
                <w:szCs w:val="24"/>
              </w:rPr>
            </w:pPr>
          </w:p>
        </w:tc>
        <w:tc>
          <w:tcPr>
            <w:tcW w:w="1466" w:type="dxa"/>
            <w:gridSpan w:val="2"/>
            <w:noWrap w:val="0"/>
            <w:vAlign w:val="top"/>
          </w:tcPr>
          <w:p>
            <w:pPr>
              <w:spacing w:line="520" w:lineRule="exact"/>
              <w:rPr>
                <w:rFonts w:ascii="宋体" w:hAnsi="宋体" w:cs="宋体"/>
                <w:color w:val="000000"/>
                <w:sz w:val="24"/>
                <w:szCs w:val="24"/>
              </w:rPr>
            </w:pPr>
            <w:r>
              <w:rPr>
                <w:rFonts w:hint="eastAsia" w:ascii="宋体" w:hAnsi="宋体" w:cs="宋体"/>
                <w:color w:val="000000"/>
                <w:sz w:val="24"/>
                <w:szCs w:val="24"/>
              </w:rPr>
              <w:t>执业资格</w:t>
            </w:r>
          </w:p>
        </w:tc>
        <w:tc>
          <w:tcPr>
            <w:tcW w:w="2787" w:type="dxa"/>
            <w:gridSpan w:val="2"/>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经营范围</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营业执照载明：</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1.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2.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3.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从事类似相关项目的经历及</w:t>
            </w:r>
            <w:r>
              <w:rPr>
                <w:rFonts w:ascii="宋体" w:hAnsi="宋体" w:cs="宋体"/>
                <w:color w:val="000000"/>
                <w:sz w:val="24"/>
                <w:szCs w:val="24"/>
              </w:rPr>
              <w:t>年数</w:t>
            </w:r>
          </w:p>
        </w:tc>
        <w:tc>
          <w:tcPr>
            <w:tcW w:w="6521" w:type="dxa"/>
            <w:gridSpan w:val="7"/>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其他认为有必要提供的内容，可自行添加</w:t>
            </w:r>
          </w:p>
        </w:tc>
        <w:tc>
          <w:tcPr>
            <w:tcW w:w="6521" w:type="dxa"/>
            <w:gridSpan w:val="7"/>
            <w:noWrap w:val="0"/>
            <w:vAlign w:val="top"/>
          </w:tcPr>
          <w:p>
            <w:pPr>
              <w:spacing w:line="520" w:lineRule="exact"/>
              <w:ind w:firstLine="484" w:firstLineChars="202"/>
              <w:rPr>
                <w:rFonts w:ascii="宋体" w:hAnsi="宋体" w:cs="宋体"/>
                <w:color w:val="000000"/>
                <w:sz w:val="24"/>
                <w:szCs w:val="24"/>
              </w:rPr>
            </w:pPr>
          </w:p>
        </w:tc>
      </w:tr>
    </w:tbl>
    <w:p>
      <w:pPr>
        <w:snapToGrid w:val="0"/>
        <w:spacing w:line="360" w:lineRule="auto"/>
        <w:ind w:right="79"/>
        <w:textAlignment w:val="baseline"/>
        <w:rPr>
          <w:rFonts w:ascii="宋体" w:hAnsi="宋体" w:cs="宋体"/>
          <w:color w:val="000000"/>
          <w:sz w:val="24"/>
          <w:szCs w:val="24"/>
        </w:rPr>
      </w:pPr>
      <w:r>
        <w:rPr>
          <w:rFonts w:hint="eastAsia" w:ascii="宋体" w:hAnsi="宋体" w:cs="宋体"/>
          <w:color w:val="000000"/>
          <w:sz w:val="24"/>
          <w:szCs w:val="24"/>
        </w:rPr>
        <w:t>竞争性磋商响应</w:t>
      </w:r>
      <w:r>
        <w:rPr>
          <w:rFonts w:hint="eastAsia" w:ascii="宋体" w:hAnsi="宋体" w:cs="宋体"/>
          <w:szCs w:val="24"/>
        </w:rPr>
        <w:t>供应商：（单位盖章）</w:t>
      </w:r>
    </w:p>
    <w:p>
      <w:pPr>
        <w:snapToGrid w:val="0"/>
        <w:spacing w:line="360" w:lineRule="auto"/>
        <w:rPr>
          <w:rFonts w:ascii="宋体" w:hAnsi="宋体" w:cs="宋体"/>
          <w:color w:val="000000"/>
          <w:sz w:val="24"/>
          <w:szCs w:val="24"/>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r>
        <w:rPr>
          <w:rFonts w:hint="eastAsia" w:ascii="宋体" w:hAnsi="宋体" w:cs="宋体"/>
          <w:color w:val="000000"/>
          <w:sz w:val="24"/>
          <w:szCs w:val="24"/>
        </w:rPr>
        <w:t xml:space="preserve">            </w:t>
      </w:r>
    </w:p>
    <w:p>
      <w:pPr>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日期：  年  月  日</w:t>
      </w:r>
      <w:r>
        <w:rPr>
          <w:rFonts w:hint="eastAsia" w:ascii="宋体" w:hAnsi="宋体" w:cs="宋体"/>
          <w:color w:val="000000"/>
          <w:sz w:val="24"/>
          <w:szCs w:val="24"/>
        </w:rPr>
        <w:br w:type="page"/>
      </w:r>
    </w:p>
    <w:p>
      <w:pPr>
        <w:snapToGrid w:val="0"/>
        <w:spacing w:line="520" w:lineRule="exact"/>
        <w:ind w:firstLine="562" w:firstLineChars="200"/>
        <w:jc w:val="center"/>
        <w:outlineLvl w:val="3"/>
        <w:rPr>
          <w:rFonts w:hint="eastAsia" w:ascii="宋体" w:hAnsi="宋体" w:cs="宋体"/>
          <w:b/>
          <w:bCs/>
          <w:color w:val="000000"/>
          <w:sz w:val="28"/>
          <w:szCs w:val="28"/>
        </w:rPr>
      </w:pPr>
      <w:r>
        <w:rPr>
          <w:rFonts w:hint="eastAsia" w:ascii="宋体" w:hAnsi="宋体" w:cs="宋体"/>
          <w:b/>
          <w:bCs/>
          <w:color w:val="000000"/>
          <w:sz w:val="28"/>
          <w:szCs w:val="28"/>
        </w:rPr>
        <w:t>4、具有履行合同所必需的设备和专业技术能力的书面声明</w:t>
      </w:r>
    </w:p>
    <w:p>
      <w:pPr>
        <w:spacing w:line="360" w:lineRule="auto"/>
        <w:rPr>
          <w:rFonts w:hint="eastAsia" w:ascii="宋体" w:hAnsi="宋体"/>
          <w:color w:val="000000"/>
          <w:sz w:val="24"/>
          <w:szCs w:val="24"/>
        </w:rPr>
      </w:pP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我单位（供应商名称）郑重声明：</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我公司在完全理解本项目招标的技术要求，商务条款及其他内容后，决定参与该项目的投标活动。并声明，如中标，我公司将提供足够的设备和专业技术能力保证合同履行。服务满足招标文件中的要求。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本公司对上述声明的真实性负责。如有虚假，我公司同意按我方合同违约处理，并依法承担相应法律责任。</w:t>
      </w: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5280" w:firstLineChars="2200"/>
        <w:rPr>
          <w:rFonts w:ascii="宋体" w:hAnsi="宋体"/>
          <w:color w:val="000000"/>
          <w:sz w:val="24"/>
          <w:szCs w:val="24"/>
        </w:rPr>
      </w:pPr>
      <w:r>
        <w:rPr>
          <w:rFonts w:hint="eastAsia" w:ascii="宋体" w:hAnsi="宋体"/>
          <w:color w:val="000000"/>
          <w:sz w:val="24"/>
          <w:szCs w:val="24"/>
        </w:rPr>
        <w:t>声明单位：（公章）</w:t>
      </w:r>
    </w:p>
    <w:p>
      <w:pPr>
        <w:snapToGrid w:val="0"/>
        <w:spacing w:line="360" w:lineRule="auto"/>
        <w:jc w:val="center"/>
        <w:textAlignment w:val="baseline"/>
        <w:rPr>
          <w:rFonts w:hint="eastAsia" w:ascii="宋体" w:hAnsi="宋体"/>
          <w:color w:val="000000"/>
          <w:sz w:val="24"/>
          <w:szCs w:val="24"/>
          <w:lang w:val="zh-CN"/>
        </w:rPr>
      </w:pPr>
      <w:r>
        <w:rPr>
          <w:rFonts w:hint="eastAsia" w:ascii="宋体" w:hAnsi="宋体"/>
          <w:color w:val="000000"/>
          <w:szCs w:val="24"/>
        </w:rPr>
        <w:t xml:space="preserve">                                  </w:t>
      </w:r>
      <w:r>
        <w:rPr>
          <w:rFonts w:hint="eastAsia" w:ascii="宋体" w:hAnsi="宋体"/>
          <w:color w:val="000000"/>
          <w:sz w:val="24"/>
          <w:szCs w:val="24"/>
        </w:rPr>
        <w:t xml:space="preserve"> </w:t>
      </w:r>
      <w:r>
        <w:rPr>
          <w:rFonts w:hint="eastAsia" w:ascii="宋体" w:hAnsi="宋体"/>
          <w:color w:val="000000"/>
          <w:sz w:val="24"/>
          <w:szCs w:val="24"/>
          <w:lang w:val="zh-CN"/>
        </w:rPr>
        <w:t>日期：</w:t>
      </w:r>
      <w:r>
        <w:rPr>
          <w:rFonts w:hint="eastAsia" w:ascii="宋体" w:hAnsi="宋体"/>
          <w:color w:val="000000"/>
          <w:sz w:val="24"/>
          <w:szCs w:val="24"/>
        </w:rPr>
        <w:t xml:space="preserve">  </w:t>
      </w:r>
      <w:r>
        <w:rPr>
          <w:rFonts w:hint="eastAsia" w:ascii="宋体" w:hAnsi="宋体"/>
          <w:color w:val="000000"/>
          <w:sz w:val="24"/>
          <w:szCs w:val="24"/>
          <w:lang w:val="zh-CN"/>
        </w:rPr>
        <w:t>年</w:t>
      </w:r>
      <w:r>
        <w:rPr>
          <w:rFonts w:hint="eastAsia" w:ascii="宋体" w:hAnsi="宋体"/>
          <w:color w:val="000000"/>
          <w:sz w:val="24"/>
          <w:szCs w:val="24"/>
        </w:rPr>
        <w:t xml:space="preserve">   </w:t>
      </w:r>
      <w:r>
        <w:rPr>
          <w:rFonts w:hint="eastAsia" w:ascii="宋体" w:hAnsi="宋体"/>
          <w:color w:val="000000"/>
          <w:sz w:val="24"/>
          <w:szCs w:val="24"/>
          <w:lang w:val="zh-CN"/>
        </w:rPr>
        <w:t>月</w:t>
      </w:r>
      <w:r>
        <w:rPr>
          <w:rFonts w:hint="eastAsia" w:ascii="宋体" w:hAnsi="宋体"/>
          <w:color w:val="000000"/>
          <w:sz w:val="24"/>
          <w:szCs w:val="24"/>
        </w:rPr>
        <w:t xml:space="preserve">   </w:t>
      </w:r>
      <w:r>
        <w:rPr>
          <w:rFonts w:hint="eastAsia" w:ascii="宋体" w:hAnsi="宋体"/>
          <w:color w:val="000000"/>
          <w:sz w:val="24"/>
          <w:szCs w:val="24"/>
          <w:lang w:val="zh-CN"/>
        </w:rPr>
        <w:t>日</w:t>
      </w:r>
    </w:p>
    <w:p>
      <w:pPr>
        <w:spacing w:line="360" w:lineRule="auto"/>
        <w:jc w:val="center"/>
        <w:rPr>
          <w:rFonts w:ascii="宋体"/>
          <w:b/>
          <w:bCs/>
          <w:sz w:val="28"/>
          <w:szCs w:val="28"/>
        </w:rPr>
      </w:pPr>
      <w:r>
        <w:br w:type="page"/>
      </w:r>
      <w:r>
        <w:rPr>
          <w:rFonts w:hint="eastAsia" w:ascii="宋体" w:hAnsi="宋体" w:cs="宋体"/>
          <w:b/>
          <w:bCs/>
          <w:sz w:val="28"/>
          <w:szCs w:val="28"/>
          <w:lang w:val="en-US" w:eastAsia="zh-CN"/>
        </w:rPr>
        <w:t>5</w:t>
      </w:r>
      <w:r>
        <w:rPr>
          <w:rFonts w:hint="eastAsia" w:ascii="宋体" w:hAnsi="宋体" w:cs="宋体"/>
          <w:b/>
          <w:bCs/>
          <w:sz w:val="28"/>
          <w:szCs w:val="28"/>
        </w:rPr>
        <w:t>、无重大违法记录声明</w:t>
      </w: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我单位</w:t>
      </w:r>
      <w:r>
        <w:rPr>
          <w:rFonts w:ascii="宋体" w:hAnsi="宋体" w:cs="宋体"/>
          <w:sz w:val="24"/>
          <w:szCs w:val="24"/>
          <w:u w:val="single"/>
        </w:rPr>
        <w:t xml:space="preserve">               </w:t>
      </w:r>
      <w:r>
        <w:rPr>
          <w:rFonts w:hint="eastAsia" w:ascii="宋体" w:hAnsi="宋体" w:cs="宋体"/>
          <w:sz w:val="24"/>
          <w:szCs w:val="24"/>
        </w:rPr>
        <w:t>（供应商名称）郑重声明：</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参加政府采购活动前</w:t>
      </w:r>
      <w:r>
        <w:rPr>
          <w:rFonts w:ascii="宋体" w:hAnsi="宋体" w:cs="宋体"/>
          <w:sz w:val="24"/>
          <w:szCs w:val="24"/>
        </w:rPr>
        <w:t>3</w:t>
      </w:r>
      <w:r>
        <w:rPr>
          <w:rFonts w:hint="eastAsia" w:ascii="宋体" w:hAnsi="宋体" w:cs="宋体"/>
          <w:sz w:val="24"/>
          <w:szCs w:val="24"/>
        </w:rPr>
        <w:t>年内在经营活动中</w:t>
      </w:r>
      <w:r>
        <w:rPr>
          <w:rFonts w:ascii="宋体" w:hAnsi="宋体" w:cs="宋体"/>
          <w:sz w:val="24"/>
          <w:szCs w:val="24"/>
          <w:u w:val="single"/>
        </w:rPr>
        <w:t xml:space="preserve">        </w:t>
      </w:r>
      <w:r>
        <w:rPr>
          <w:rFonts w:hint="eastAsia" w:ascii="宋体" w:hAnsi="宋体" w:cs="宋体"/>
          <w:sz w:val="24"/>
          <w:szCs w:val="24"/>
        </w:rPr>
        <w:t>（在下划线上如实填写：有或没有）重大违法记录。</w:t>
      </w:r>
    </w:p>
    <w:p>
      <w:pPr>
        <w:spacing w:line="560" w:lineRule="exact"/>
        <w:ind w:firstLine="480"/>
        <w:rPr>
          <w:rFonts w:ascii="宋体"/>
          <w:sz w:val="24"/>
          <w:szCs w:val="24"/>
        </w:rPr>
      </w:pPr>
      <w:r>
        <w:rPr>
          <w:rFonts w:hint="eastAsia" w:ascii="宋体" w:hAnsi="宋体"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420" w:lineRule="exact"/>
        <w:rPr>
          <w:rFonts w:ascii="宋体"/>
          <w:sz w:val="24"/>
          <w:szCs w:val="24"/>
        </w:rPr>
      </w:pPr>
      <w:r>
        <w:rPr>
          <w:rFonts w:ascii="宋体" w:hAnsi="宋体" w:cs="宋体"/>
          <w:sz w:val="24"/>
          <w:szCs w:val="24"/>
        </w:rPr>
        <w:t xml:space="preserve">                                                       </w:t>
      </w:r>
    </w:p>
    <w:p>
      <w:pPr>
        <w:spacing w:line="420" w:lineRule="exact"/>
        <w:ind w:firstLine="6360" w:firstLineChars="2650"/>
        <w:rPr>
          <w:rFonts w:ascii="宋体"/>
          <w:sz w:val="24"/>
          <w:szCs w:val="24"/>
        </w:rPr>
      </w:pPr>
      <w:r>
        <w:rPr>
          <w:rFonts w:ascii="宋体" w:hAnsi="宋体" w:cs="宋体"/>
          <w:sz w:val="24"/>
          <w:szCs w:val="24"/>
        </w:rPr>
        <w:t xml:space="preserve"> </w:t>
      </w:r>
      <w:r>
        <w:rPr>
          <w:rFonts w:hint="eastAsia" w:ascii="宋体" w:hAnsi="宋体" w:cs="宋体"/>
          <w:sz w:val="24"/>
          <w:szCs w:val="24"/>
        </w:rPr>
        <w:t>声明人：（公章）</w:t>
      </w:r>
    </w:p>
    <w:p>
      <w:pPr>
        <w:spacing w:line="4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360" w:lineRule="auto"/>
        <w:jc w:val="center"/>
        <w:outlineLvl w:val="4"/>
        <w:rPr>
          <w:rFonts w:ascii="宋体"/>
          <w:b/>
          <w:bCs/>
          <w:sz w:val="28"/>
          <w:szCs w:val="28"/>
        </w:rPr>
      </w:pPr>
      <w:r>
        <w:rPr>
          <w:rFonts w:ascii="宋体"/>
          <w:b/>
          <w:bCs/>
          <w:sz w:val="28"/>
          <w:szCs w:val="28"/>
        </w:rPr>
        <w:br w:type="page"/>
      </w:r>
      <w:r>
        <w:rPr>
          <w:rFonts w:hint="eastAsia" w:ascii="宋体"/>
          <w:b/>
          <w:bCs/>
          <w:sz w:val="28"/>
          <w:szCs w:val="28"/>
          <w:lang w:val="en-US" w:eastAsia="zh-CN"/>
        </w:rPr>
        <w:t>6</w:t>
      </w:r>
      <w:r>
        <w:rPr>
          <w:rFonts w:hint="eastAsia" w:ascii="宋体" w:hAnsi="宋体" w:cs="宋体"/>
          <w:b/>
          <w:bCs/>
          <w:sz w:val="28"/>
          <w:szCs w:val="28"/>
        </w:rPr>
        <w:t>、关于资格文件的声明函</w:t>
      </w:r>
    </w:p>
    <w:p>
      <w:pPr>
        <w:snapToGrid w:val="0"/>
        <w:spacing w:line="360" w:lineRule="auto"/>
        <w:rPr>
          <w:rFonts w:ascii="宋体"/>
          <w:sz w:val="24"/>
          <w:szCs w:val="24"/>
          <w:u w:val="single"/>
        </w:rPr>
      </w:pPr>
    </w:p>
    <w:p>
      <w:pPr>
        <w:snapToGrid w:val="0"/>
        <w:spacing w:line="360" w:lineRule="auto"/>
        <w:rPr>
          <w:rFonts w:ascii="宋体"/>
          <w:sz w:val="24"/>
          <w:szCs w:val="24"/>
          <w:u w:val="single"/>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overflowPunct w:val="0"/>
        <w:adjustRightInd w:val="0"/>
        <w:spacing w:line="360" w:lineRule="auto"/>
        <w:ind w:firstLine="660"/>
        <w:jc w:val="left"/>
        <w:textAlignment w:val="baseline"/>
        <w:rPr>
          <w:rFonts w:ascii="宋体"/>
          <w:sz w:val="24"/>
          <w:szCs w:val="24"/>
        </w:rPr>
      </w:pPr>
      <w:r>
        <w:rPr>
          <w:rFonts w:hint="eastAsia" w:ascii="宋体" w:hAnsi="宋体" w:cs="宋体"/>
          <w:sz w:val="24"/>
          <w:szCs w:val="24"/>
        </w:rPr>
        <w:t>本公司愿就由贵单位组织实施的</w:t>
      </w:r>
      <w:r>
        <w:rPr>
          <w:rFonts w:ascii="宋体" w:hAnsi="宋体" w:cs="宋体"/>
          <w:sz w:val="24"/>
          <w:szCs w:val="24"/>
          <w:u w:val="single"/>
        </w:rPr>
        <w:t xml:space="preserve">                        </w:t>
      </w:r>
      <w:r>
        <w:rPr>
          <w:rFonts w:hint="eastAsia" w:ascii="宋体" w:hAnsi="宋体" w:cs="宋体"/>
          <w:sz w:val="24"/>
          <w:szCs w:val="24"/>
        </w:rPr>
        <w:t>（项目名称及项目编号</w:t>
      </w:r>
      <w:r>
        <w:rPr>
          <w:rFonts w:ascii="宋体" w:hAnsi="宋体" w:cs="宋体"/>
          <w:sz w:val="24"/>
          <w:szCs w:val="24"/>
        </w:rPr>
        <w:t>)</w:t>
      </w:r>
      <w:r>
        <w:rPr>
          <w:rFonts w:hint="eastAsia" w:ascii="宋体" w:hAnsi="宋体" w:cs="宋体"/>
          <w:sz w:val="24"/>
          <w:szCs w:val="24"/>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sz w:val="24"/>
          <w:szCs w:val="24"/>
        </w:rPr>
      </w:pPr>
    </w:p>
    <w:p>
      <w:pPr>
        <w:overflowPunct w:val="0"/>
        <w:adjustRightInd w:val="0"/>
        <w:spacing w:line="360" w:lineRule="auto"/>
        <w:ind w:firstLine="420"/>
        <w:jc w:val="left"/>
        <w:textAlignment w:val="baseline"/>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pacing w:line="360" w:lineRule="auto"/>
        <w:rPr>
          <w:rFonts w:ascii="宋体"/>
          <w:b/>
          <w:bCs/>
          <w:sz w:val="30"/>
          <w:szCs w:val="30"/>
        </w:rPr>
      </w:pPr>
    </w:p>
    <w:p>
      <w:pPr>
        <w:snapToGrid w:val="0"/>
        <w:spacing w:line="520" w:lineRule="exact"/>
        <w:ind w:firstLine="420" w:firstLineChars="200"/>
        <w:jc w:val="center"/>
        <w:rPr>
          <w:rFonts w:ascii="宋体"/>
          <w:b/>
          <w:bCs/>
          <w:sz w:val="28"/>
          <w:szCs w:val="28"/>
        </w:rPr>
      </w:pPr>
      <w:r>
        <w:br w:type="page"/>
      </w:r>
      <w:r>
        <w:rPr>
          <w:rFonts w:hint="eastAsia" w:ascii="宋体" w:hAnsi="宋体" w:cs="宋体"/>
          <w:b/>
          <w:bCs/>
          <w:sz w:val="28"/>
          <w:szCs w:val="28"/>
          <w:lang w:val="en-US" w:eastAsia="zh-CN"/>
        </w:rPr>
        <w:t>7</w:t>
      </w:r>
      <w:r>
        <w:rPr>
          <w:rFonts w:hint="eastAsia" w:ascii="宋体" w:hAnsi="宋体" w:cs="宋体"/>
          <w:b/>
          <w:bCs/>
          <w:sz w:val="28"/>
          <w:szCs w:val="28"/>
        </w:rPr>
        <w:t>、竞争性磋商响应函（格式不得变动）</w:t>
      </w:r>
    </w:p>
    <w:p>
      <w:pPr>
        <w:snapToGrid w:val="0"/>
        <w:spacing w:line="520" w:lineRule="exact"/>
        <w:rPr>
          <w:rFonts w:ascii="宋体"/>
          <w:sz w:val="24"/>
          <w:szCs w:val="24"/>
          <w:u w:val="single"/>
        </w:rPr>
      </w:pPr>
    </w:p>
    <w:p>
      <w:pPr>
        <w:snapToGrid w:val="0"/>
        <w:spacing w:line="520" w:lineRule="exact"/>
        <w:rPr>
          <w:rFonts w:ascii="宋体"/>
          <w:sz w:val="24"/>
          <w:szCs w:val="24"/>
          <w:u w:val="single"/>
        </w:rPr>
      </w:pPr>
      <w:r>
        <w:rPr>
          <w:rFonts w:hint="eastAsia" w:ascii="宋体" w:hAnsi="宋体" w:cs="宋体"/>
          <w:sz w:val="24"/>
          <w:szCs w:val="24"/>
          <w:u w:val="single"/>
        </w:rPr>
        <w:t>南通市妇幼保健院：</w:t>
      </w:r>
    </w:p>
    <w:p>
      <w:pPr>
        <w:snapToGrid w:val="0"/>
        <w:spacing w:line="520" w:lineRule="exact"/>
        <w:ind w:firstLine="480" w:firstLineChars="200"/>
        <w:rPr>
          <w:rFonts w:ascii="宋体"/>
          <w:sz w:val="24"/>
          <w:szCs w:val="24"/>
        </w:rPr>
      </w:pPr>
      <w:r>
        <w:rPr>
          <w:rFonts w:hint="eastAsia" w:ascii="宋体" w:hAnsi="宋体" w:cs="宋体"/>
          <w:sz w:val="24"/>
          <w:szCs w:val="24"/>
        </w:rPr>
        <w:t>依据贵单位委托代理机构组织的</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（磋商项目名称及项目编号</w:t>
      </w:r>
      <w:r>
        <w:rPr>
          <w:rFonts w:ascii="宋体" w:hAnsi="宋体" w:cs="宋体"/>
          <w:sz w:val="24"/>
          <w:szCs w:val="24"/>
        </w:rPr>
        <w:t>)</w:t>
      </w:r>
      <w:r>
        <w:rPr>
          <w:rFonts w:hint="eastAsia" w:ascii="宋体" w:hAnsi="宋体" w:cs="宋体"/>
          <w:sz w:val="24"/>
          <w:szCs w:val="24"/>
        </w:rPr>
        <w:t>项目竞争性磋商的邀请，我方授权</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（职务）为全权代表参加该项目的磋商工作，全权处理本次竞争性磋商的有关事宜。同时，我公司声明如下：</w:t>
      </w:r>
    </w:p>
    <w:p>
      <w:pPr>
        <w:snapToGrid w:val="0"/>
        <w:spacing w:line="5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pPr>
        <w:snapToGrid w:val="0"/>
        <w:spacing w:line="52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、一旦成交，我方承诺无正当理由拒绝签订合同，将被贵方取消成交资格。</w:t>
      </w:r>
    </w:p>
    <w:p>
      <w:pPr>
        <w:snapToGrid w:val="0"/>
        <w:spacing w:line="52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
          <w:bCs/>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widowControl/>
        <w:snapToGrid w:val="0"/>
        <w:jc w:val="center"/>
        <w:textAlignment w:val="baseline"/>
        <w:rPr>
          <w:rFonts w:hint="eastAsia" w:ascii="宋体" w:hAnsi="宋体" w:cs="宋体"/>
          <w:b/>
          <w:bCs/>
          <w:sz w:val="28"/>
          <w:szCs w:val="28"/>
        </w:rPr>
      </w:pPr>
      <w:r>
        <w:rPr>
          <w:rFonts w:ascii="宋体"/>
          <w:b/>
          <w:bCs/>
          <w:sz w:val="28"/>
          <w:szCs w:val="28"/>
        </w:rPr>
        <w:br w:type="page"/>
      </w:r>
      <w:r>
        <w:rPr>
          <w:rFonts w:hint="eastAsia" w:ascii="宋体" w:hAnsi="宋体" w:cs="宋体"/>
          <w:b/>
          <w:bCs/>
          <w:sz w:val="28"/>
          <w:szCs w:val="28"/>
          <w:lang w:val="en-US" w:eastAsia="zh-CN"/>
        </w:rPr>
        <w:t>8</w:t>
      </w:r>
      <w:r>
        <w:rPr>
          <w:rFonts w:hint="eastAsia" w:ascii="宋体" w:hAnsi="宋体" w:cs="宋体"/>
          <w:b/>
          <w:bCs/>
          <w:sz w:val="28"/>
          <w:szCs w:val="28"/>
        </w:rPr>
        <w:t>、磋商响应报价总表</w:t>
      </w:r>
    </w:p>
    <w:p>
      <w:pPr>
        <w:pStyle w:val="20"/>
        <w:snapToGrid w:val="0"/>
        <w:textAlignment w:val="baseline"/>
      </w:pPr>
    </w:p>
    <w:tbl>
      <w:tblPr>
        <w:tblStyle w:val="51"/>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项目名称</w:t>
            </w:r>
          </w:p>
        </w:tc>
        <w:tc>
          <w:tcPr>
            <w:tcW w:w="7564"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lang w:val="zh-CN"/>
              </w:rPr>
              <w:t>南通市妇幼保健院低压电气设备设施维护维修服务项目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磋商总价报价（首次）</w:t>
            </w:r>
          </w:p>
        </w:tc>
        <w:tc>
          <w:tcPr>
            <w:tcW w:w="7564" w:type="dxa"/>
            <w:noWrap w:val="0"/>
            <w:vAlign w:val="center"/>
          </w:tcPr>
          <w:p>
            <w:pPr>
              <w:snapToGrid w:val="0"/>
              <w:spacing w:line="420" w:lineRule="exact"/>
              <w:rPr>
                <w:rFonts w:hint="eastAsia"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w:t>
            </w:r>
            <w:r>
              <w:rPr>
                <w:rFonts w:hint="eastAsia" w:ascii="宋体" w:hAnsi="宋体" w:cs="宋体"/>
                <w:snapToGrid w:val="0"/>
                <w:sz w:val="24"/>
                <w:szCs w:val="24"/>
                <w:u w:val="single"/>
                <w:lang w:val="en-US" w:eastAsia="zh-CN"/>
              </w:rPr>
              <w:t xml:space="preserve">          元/年</w:t>
            </w:r>
            <w:r>
              <w:rPr>
                <w:rFonts w:hint="eastAsia" w:cs="宋体"/>
                <w:sz w:val="24"/>
                <w:szCs w:val="24"/>
              </w:rPr>
              <w:t xml:space="preserve"> </w:t>
            </w:r>
          </w:p>
          <w:p>
            <w:pPr>
              <w:snapToGrid w:val="0"/>
              <w:spacing w:line="420" w:lineRule="exact"/>
              <w:ind w:left="1130" w:hanging="1130" w:hangingChars="471"/>
              <w:textAlignment w:val="baseline"/>
              <w:rPr>
                <w:sz w:val="20"/>
                <w:szCs w:val="22"/>
              </w:rPr>
            </w:pPr>
            <w:r>
              <w:rPr>
                <w:rFonts w:hint="eastAsia" w:cs="宋体"/>
                <w:sz w:val="24"/>
                <w:szCs w:val="24"/>
              </w:rPr>
              <w:t>小写：￥</w:t>
            </w:r>
            <w:r>
              <w:rPr>
                <w:rFonts w:hint="eastAsia" w:cs="宋体"/>
                <w:sz w:val="24"/>
                <w:szCs w:val="24"/>
                <w:u w:val="single"/>
              </w:rPr>
              <w:t xml:space="preserve">                 </w:t>
            </w:r>
            <w:r>
              <w:rPr>
                <w:rFonts w:hint="eastAsia" w:ascii="宋体" w:hAnsi="宋体" w:cs="宋体"/>
                <w:snapToGrid w:val="0"/>
                <w:sz w:val="24"/>
                <w:szCs w:val="24"/>
                <w:u w:val="single"/>
                <w:lang w:val="en-US" w:eastAsia="zh-CN"/>
              </w:rPr>
              <w:t>元/年</w:t>
            </w:r>
            <w:r>
              <w:rPr>
                <w:rFonts w:hint="eastAsia"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磋商总价报价</w:t>
            </w:r>
          </w:p>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第二次</w:t>
            </w:r>
            <w:r>
              <w:rPr>
                <w:rFonts w:hint="eastAsia" w:ascii="宋体" w:hAnsi="宋体" w:cs="宋体"/>
                <w:sz w:val="24"/>
                <w:szCs w:val="24"/>
              </w:rPr>
              <w:t>）</w:t>
            </w:r>
          </w:p>
          <w:p>
            <w:pPr>
              <w:snapToGrid w:val="0"/>
              <w:spacing w:line="480" w:lineRule="exact"/>
              <w:jc w:val="center"/>
              <w:textAlignment w:val="baseline"/>
              <w:rPr>
                <w:sz w:val="20"/>
                <w:szCs w:val="22"/>
              </w:rPr>
            </w:pPr>
            <w:r>
              <w:rPr>
                <w:rFonts w:hint="eastAsia" w:ascii="宋体" w:hAnsi="宋体" w:cs="宋体"/>
                <w:b/>
                <w:bCs/>
                <w:sz w:val="24"/>
                <w:szCs w:val="24"/>
                <w:highlight w:val="none"/>
                <w:u w:val="single" w:color="000000"/>
              </w:rPr>
              <w:t>（磋商现场填写）</w:t>
            </w:r>
          </w:p>
        </w:tc>
        <w:tc>
          <w:tcPr>
            <w:tcW w:w="7564" w:type="dxa"/>
            <w:noWrap w:val="0"/>
            <w:vAlign w:val="center"/>
          </w:tcPr>
          <w:p>
            <w:pPr>
              <w:snapToGrid w:val="0"/>
              <w:spacing w:line="420" w:lineRule="exact"/>
              <w:rPr>
                <w:rFonts w:hint="eastAsia"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w:t>
            </w:r>
            <w:r>
              <w:rPr>
                <w:rFonts w:hint="eastAsia" w:ascii="宋体" w:hAnsi="宋体" w:cs="宋体"/>
                <w:snapToGrid w:val="0"/>
                <w:sz w:val="24"/>
                <w:szCs w:val="24"/>
                <w:u w:val="single"/>
                <w:lang w:val="en-US" w:eastAsia="zh-CN"/>
              </w:rPr>
              <w:t xml:space="preserve">        元/年</w:t>
            </w:r>
            <w:r>
              <w:rPr>
                <w:rFonts w:hint="eastAsia" w:ascii="宋体" w:hAnsi="宋体" w:cs="宋体"/>
                <w:snapToGrid w:val="0"/>
                <w:sz w:val="24"/>
                <w:szCs w:val="24"/>
              </w:rPr>
              <w:t>。</w:t>
            </w:r>
            <w:r>
              <w:rPr>
                <w:rFonts w:hint="eastAsia" w:cs="宋体"/>
                <w:sz w:val="24"/>
                <w:szCs w:val="24"/>
              </w:rPr>
              <w:t xml:space="preserve"> </w:t>
            </w:r>
          </w:p>
          <w:p>
            <w:pPr>
              <w:snapToGrid w:val="0"/>
              <w:spacing w:line="420" w:lineRule="exact"/>
              <w:ind w:left="1130" w:hanging="1130" w:hangingChars="471"/>
              <w:textAlignment w:val="baseline"/>
              <w:rPr>
                <w:rFonts w:cs="宋体"/>
                <w:sz w:val="20"/>
                <w:szCs w:val="22"/>
              </w:rPr>
            </w:pPr>
            <w:r>
              <w:rPr>
                <w:rFonts w:hint="eastAsia" w:cs="宋体"/>
                <w:sz w:val="24"/>
                <w:szCs w:val="24"/>
              </w:rPr>
              <w:t>小写：￥</w:t>
            </w:r>
            <w:r>
              <w:rPr>
                <w:rFonts w:hint="eastAsia" w:cs="宋体"/>
                <w:sz w:val="24"/>
                <w:szCs w:val="24"/>
                <w:u w:val="single"/>
              </w:rPr>
              <w:t xml:space="preserve">                 </w:t>
            </w:r>
            <w:r>
              <w:rPr>
                <w:rFonts w:hint="eastAsia" w:ascii="宋体" w:hAnsi="宋体" w:cs="宋体"/>
                <w:snapToGrid w:val="0"/>
                <w:sz w:val="24"/>
                <w:szCs w:val="24"/>
                <w:u w:val="singl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60"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付款条件</w:t>
            </w:r>
          </w:p>
        </w:tc>
        <w:tc>
          <w:tcPr>
            <w:tcW w:w="7564"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完全接受并响应本项目磋商文件的要求。</w:t>
            </w:r>
          </w:p>
        </w:tc>
      </w:tr>
    </w:tbl>
    <w:p>
      <w:pPr>
        <w:pStyle w:val="2"/>
        <w:snapToGrid w:val="0"/>
        <w:ind w:firstLine="0" w:firstLineChars="0"/>
        <w:textAlignment w:val="baseline"/>
        <w:rPr>
          <w:szCs w:val="24"/>
        </w:rPr>
      </w:pPr>
    </w:p>
    <w:p>
      <w:pPr>
        <w:pStyle w:val="112"/>
        <w:snapToGrid w:val="0"/>
        <w:spacing w:line="360" w:lineRule="auto"/>
        <w:ind w:firstLine="241" w:firstLineChars="100"/>
        <w:textAlignment w:val="baseline"/>
        <w:rPr>
          <w:rFonts w:ascii="Times New Roman" w:hAnsi="宋体"/>
          <w:b/>
          <w:sz w:val="24"/>
        </w:rPr>
      </w:pPr>
      <w:r>
        <w:rPr>
          <w:rFonts w:hint="eastAsia" w:ascii="Times New Roman" w:hAnsi="宋体"/>
          <w:b/>
          <w:sz w:val="24"/>
        </w:rPr>
        <w:t>注：1、最终总价报价将在磋商现场填写，响应文件密封提交时只需填写首次磋商总价报价。2、本表式不得自行改动。</w:t>
      </w:r>
    </w:p>
    <w:p>
      <w:pPr>
        <w:snapToGrid w:val="0"/>
        <w:spacing w:line="360" w:lineRule="auto"/>
        <w:ind w:left="0" w:leftChars="0" w:firstLine="470" w:firstLineChars="195"/>
        <w:outlineLvl w:val="1"/>
        <w:rPr>
          <w:b/>
          <w:bCs/>
          <w:color w:val="auto"/>
        </w:rPr>
      </w:pPr>
      <w:r>
        <w:rPr>
          <w:rFonts w:hint="eastAsia" w:hAnsi="宋体" w:cs="宋体"/>
          <w:b/>
          <w:sz w:val="24"/>
        </w:rPr>
        <w:t>3</w:t>
      </w:r>
      <w:r>
        <w:rPr>
          <w:rFonts w:hint="eastAsia" w:ascii="宋体" w:hAnsi="宋体" w:cs="宋体"/>
          <w:b/>
          <w:bCs/>
          <w:sz w:val="24"/>
          <w:szCs w:val="24"/>
        </w:rPr>
        <w:t>、磋商报</w:t>
      </w:r>
      <w:r>
        <w:rPr>
          <w:rFonts w:hint="eastAsia" w:ascii="宋体" w:hAnsi="宋体" w:cs="宋体"/>
          <w:b/>
          <w:bCs/>
          <w:color w:val="auto"/>
          <w:sz w:val="24"/>
          <w:szCs w:val="24"/>
        </w:rPr>
        <w:t>价（以人民币计价）应包括但不限于所有与本项目实施有关的所有费用包括：人员工资（含保险费</w:t>
      </w:r>
      <w:r>
        <w:rPr>
          <w:rFonts w:hint="eastAsia" w:ascii="宋体" w:hAnsi="宋体" w:cs="宋体"/>
          <w:b/>
          <w:bCs/>
          <w:color w:val="auto"/>
          <w:sz w:val="24"/>
          <w:szCs w:val="24"/>
          <w:lang w:eastAsia="zh-CN"/>
        </w:rPr>
        <w:t>、</w:t>
      </w:r>
      <w:r>
        <w:rPr>
          <w:rFonts w:hint="eastAsia" w:ascii="宋体" w:hAnsi="宋体" w:eastAsia="宋体" w:cs="宋体"/>
          <w:b/>
          <w:bCs/>
          <w:snapToGrid/>
          <w:color w:val="auto"/>
          <w:kern w:val="2"/>
          <w:sz w:val="24"/>
        </w:rPr>
        <w:t>含</w:t>
      </w:r>
      <w:r>
        <w:rPr>
          <w:rFonts w:hint="eastAsia" w:ascii="宋体" w:hAnsi="宋体" w:eastAsia="宋体" w:cs="宋体"/>
          <w:b/>
          <w:bCs/>
          <w:snapToGrid/>
          <w:color w:val="auto"/>
          <w:kern w:val="2"/>
          <w:sz w:val="24"/>
          <w:lang w:val="en-US" w:eastAsia="zh-CN"/>
        </w:rPr>
        <w:t>夜班、</w:t>
      </w:r>
      <w:r>
        <w:rPr>
          <w:rFonts w:hint="eastAsia" w:ascii="宋体" w:hAnsi="宋体" w:eastAsia="宋体" w:cs="宋体"/>
          <w:b/>
          <w:bCs/>
          <w:snapToGrid/>
          <w:color w:val="auto"/>
          <w:kern w:val="2"/>
          <w:sz w:val="24"/>
        </w:rPr>
        <w:t>周末及节假日加班费）</w:t>
      </w:r>
      <w:r>
        <w:rPr>
          <w:rFonts w:hint="eastAsia" w:ascii="宋体" w:hAnsi="宋体" w:cs="宋体"/>
          <w:b/>
          <w:bCs/>
          <w:color w:val="auto"/>
          <w:sz w:val="24"/>
          <w:szCs w:val="24"/>
        </w:rPr>
        <w:t>）、</w:t>
      </w:r>
      <w:r>
        <w:rPr>
          <w:rFonts w:hint="eastAsia" w:ascii="宋体" w:hAnsi="宋体" w:eastAsia="宋体" w:cs="宋体"/>
          <w:b/>
          <w:bCs/>
          <w:snapToGrid/>
          <w:color w:val="auto"/>
          <w:kern w:val="2"/>
          <w:sz w:val="24"/>
          <w:lang w:val="en-US" w:eastAsia="zh-CN"/>
        </w:rPr>
        <w:t>交通费、餐费补贴</w:t>
      </w:r>
      <w:r>
        <w:rPr>
          <w:rFonts w:hint="eastAsia" w:ascii="宋体" w:hAnsi="宋体" w:cs="宋体"/>
          <w:b/>
          <w:bCs/>
          <w:color w:val="auto"/>
          <w:sz w:val="24"/>
          <w:szCs w:val="24"/>
          <w:lang w:val="en-US" w:eastAsia="zh-CN"/>
        </w:rPr>
        <w:t>、</w:t>
      </w:r>
      <w:r>
        <w:rPr>
          <w:rFonts w:hint="eastAsia" w:ascii="宋体" w:hAnsi="宋体" w:cs="宋体"/>
          <w:b/>
          <w:bCs/>
          <w:color w:val="auto"/>
          <w:sz w:val="24"/>
          <w:szCs w:val="24"/>
        </w:rPr>
        <w:t>管理费、利润、税金、政策性文件规定及为达到采购人要求所包含的所有风险、责任等各项费用。但不包括</w:t>
      </w:r>
      <w:r>
        <w:rPr>
          <w:rFonts w:hint="eastAsia" w:ascii="宋体" w:hAnsi="宋体" w:cs="宋体"/>
          <w:b/>
          <w:bCs/>
          <w:color w:val="auto"/>
          <w:sz w:val="24"/>
          <w:szCs w:val="24"/>
          <w:lang w:eastAsia="zh-CN"/>
        </w:rPr>
        <w:t>：材料费</w:t>
      </w:r>
      <w:r>
        <w:rPr>
          <w:rFonts w:hint="eastAsia" w:ascii="宋体" w:hAnsi="宋体" w:cs="宋体"/>
          <w:b/>
          <w:bCs/>
          <w:color w:val="auto"/>
          <w:sz w:val="24"/>
          <w:szCs w:val="24"/>
        </w:rPr>
        <w:t>。</w:t>
      </w:r>
    </w:p>
    <w:p>
      <w:pPr>
        <w:snapToGrid w:val="0"/>
        <w:spacing w:line="360" w:lineRule="auto"/>
        <w:ind w:right="79"/>
        <w:textAlignment w:val="baseline"/>
        <w:rPr>
          <w:rFonts w:ascii="宋体" w:hAnsi="宋体" w:cs="宋体"/>
          <w:color w:val="000000"/>
          <w:sz w:val="24"/>
          <w:szCs w:val="24"/>
        </w:rPr>
      </w:pPr>
      <w:r>
        <w:rPr>
          <w:rFonts w:hint="eastAsia" w:ascii="宋体" w:hAnsi="宋体" w:cs="宋体"/>
          <w:sz w:val="24"/>
          <w:szCs w:val="24"/>
        </w:rPr>
        <w:t>竞争性磋商响应供应商：（单位盖章）</w:t>
      </w:r>
    </w:p>
    <w:p>
      <w:pPr>
        <w:pStyle w:val="112"/>
        <w:tabs>
          <w:tab w:val="left" w:pos="5665"/>
          <w:tab w:val="right" w:pos="8360"/>
        </w:tabs>
        <w:snapToGrid w:val="0"/>
        <w:spacing w:line="360" w:lineRule="auto"/>
        <w:ind w:right="42"/>
        <w:textAlignment w:val="baseline"/>
        <w:rPr>
          <w:rFonts w:hAnsi="宋体"/>
          <w:sz w:val="24"/>
          <w:u w:val="single"/>
        </w:rPr>
      </w:pPr>
      <w:r>
        <w:rPr>
          <w:rFonts w:hint="eastAsia" w:hAnsi="宋体"/>
          <w:sz w:val="24"/>
        </w:rPr>
        <w:t>法定代表人或</w:t>
      </w:r>
      <w:r>
        <w:rPr>
          <w:rFonts w:hint="eastAsia" w:hAnsi="宋体" w:cs="仿宋_GB2312"/>
          <w:sz w:val="24"/>
        </w:rPr>
        <w:t>被授权人（签字或盖章）</w:t>
      </w:r>
      <w:r>
        <w:rPr>
          <w:rFonts w:hint="eastAsia" w:hAnsi="宋体"/>
          <w:sz w:val="24"/>
        </w:rPr>
        <w:t>：</w:t>
      </w:r>
    </w:p>
    <w:p>
      <w:pPr>
        <w:pStyle w:val="112"/>
        <w:tabs>
          <w:tab w:val="left" w:pos="5665"/>
          <w:tab w:val="right" w:pos="8360"/>
        </w:tabs>
        <w:snapToGrid w:val="0"/>
        <w:spacing w:line="360" w:lineRule="auto"/>
        <w:ind w:right="42"/>
        <w:textAlignment w:val="baseline"/>
        <w:rPr>
          <w:rFonts w:hint="eastAsia" w:hAnsi="宋体"/>
          <w:color w:val="000000"/>
          <w:sz w:val="24"/>
          <w:lang w:val="zh-CN"/>
        </w:rPr>
      </w:pPr>
      <w:r>
        <w:rPr>
          <w:rFonts w:hint="eastAsia" w:hAnsi="宋体"/>
          <w:color w:val="000000"/>
          <w:sz w:val="24"/>
          <w:lang w:val="zh-CN"/>
        </w:rPr>
        <w:t>日期：</w:t>
      </w:r>
      <w:r>
        <w:rPr>
          <w:rFonts w:hint="eastAsia"/>
          <w:color w:val="000000"/>
          <w:sz w:val="24"/>
        </w:rPr>
        <w:t xml:space="preserve">  </w:t>
      </w:r>
      <w:r>
        <w:rPr>
          <w:rFonts w:hint="eastAsia" w:hAnsi="宋体"/>
          <w:color w:val="000000"/>
          <w:sz w:val="24"/>
          <w:lang w:val="zh-CN"/>
        </w:rPr>
        <w:t>年</w:t>
      </w:r>
      <w:r>
        <w:rPr>
          <w:rFonts w:hint="eastAsia"/>
          <w:color w:val="000000"/>
          <w:sz w:val="24"/>
        </w:rPr>
        <w:t xml:space="preserve">   </w:t>
      </w:r>
      <w:r>
        <w:rPr>
          <w:rFonts w:hint="eastAsia" w:hAnsi="宋体"/>
          <w:color w:val="000000"/>
          <w:sz w:val="24"/>
          <w:lang w:val="zh-CN"/>
        </w:rPr>
        <w:t>月</w:t>
      </w:r>
      <w:r>
        <w:rPr>
          <w:rFonts w:hint="eastAsia"/>
          <w:color w:val="000000"/>
          <w:sz w:val="24"/>
        </w:rPr>
        <w:t xml:space="preserve">   </w:t>
      </w:r>
      <w:r>
        <w:rPr>
          <w:rFonts w:hint="eastAsia" w:hAnsi="宋体"/>
          <w:color w:val="000000"/>
          <w:sz w:val="24"/>
          <w:lang w:val="zh-CN"/>
        </w:rPr>
        <w:t>日</w:t>
      </w:r>
    </w:p>
    <w:p>
      <w:pPr>
        <w:pStyle w:val="112"/>
        <w:tabs>
          <w:tab w:val="left" w:pos="5665"/>
          <w:tab w:val="right" w:pos="8360"/>
        </w:tabs>
        <w:snapToGrid w:val="0"/>
        <w:spacing w:line="360" w:lineRule="auto"/>
        <w:ind w:right="42"/>
        <w:jc w:val="center"/>
        <w:textAlignment w:val="baseline"/>
        <w:rPr>
          <w:rFonts w:hAnsi="宋体"/>
          <w:b/>
          <w:bCs/>
          <w:sz w:val="24"/>
          <w:szCs w:val="24"/>
        </w:rPr>
      </w:pPr>
      <w:r>
        <w:rPr>
          <w:rFonts w:hint="eastAsia" w:hAnsi="宋体"/>
          <w:color w:val="000000"/>
          <w:sz w:val="24"/>
          <w:lang w:val="zh-CN"/>
        </w:rPr>
        <w:br w:type="page"/>
      </w:r>
      <w:r>
        <w:rPr>
          <w:rFonts w:hint="eastAsia" w:hAnsi="宋体"/>
          <w:b/>
          <w:bCs/>
          <w:sz w:val="24"/>
          <w:szCs w:val="24"/>
          <w:lang w:val="en-US" w:eastAsia="zh-CN"/>
        </w:rPr>
        <w:t>9</w:t>
      </w:r>
      <w:r>
        <w:rPr>
          <w:rFonts w:hint="eastAsia" w:hAnsi="宋体"/>
          <w:b/>
          <w:bCs/>
          <w:sz w:val="24"/>
          <w:szCs w:val="24"/>
        </w:rPr>
        <w:t>、中小企业声明函（格式）</w:t>
      </w:r>
    </w:p>
    <w:p>
      <w:pPr>
        <w:pStyle w:val="2"/>
        <w:snapToGrid w:val="0"/>
        <w:ind w:firstLine="0" w:firstLineChars="0"/>
        <w:textAlignment w:val="baseline"/>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本公司郑重声明，根据《政府采购促进中小企业发展管理办法》（财库﹝2020﹞46 号）的规定，本公司参加</w:t>
      </w:r>
      <w:r>
        <w:rPr>
          <w:rFonts w:hint="eastAsia" w:ascii="宋体" w:hAnsi="宋体" w:cs="宋体"/>
          <w:sz w:val="24"/>
          <w:szCs w:val="24"/>
          <w:u w:val="single"/>
          <w:lang w:val="zh-CN"/>
        </w:rPr>
        <w:t>南通市</w:t>
      </w:r>
      <w:r>
        <w:rPr>
          <w:rFonts w:hint="eastAsia" w:ascii="宋体" w:hAnsi="宋体" w:cs="宋体"/>
          <w:sz w:val="24"/>
          <w:szCs w:val="24"/>
          <w:u w:val="single"/>
        </w:rPr>
        <w:t>妇幼保健院</w:t>
      </w:r>
      <w:r>
        <w:rPr>
          <w:rFonts w:hint="eastAsia" w:ascii="宋体" w:hAnsi="宋体" w:cs="宋体"/>
          <w:sz w:val="24"/>
          <w:szCs w:val="24"/>
        </w:rPr>
        <w:t>的</w:t>
      </w:r>
      <w:r>
        <w:rPr>
          <w:rFonts w:hint="eastAsia" w:ascii="宋体" w:hAnsi="宋体" w:cs="宋体"/>
          <w:sz w:val="24"/>
          <w:szCs w:val="24"/>
          <w:u w:val="single"/>
          <w:lang w:val="zh-CN"/>
        </w:rPr>
        <w:t>南通市妇幼保健院低压电气设备设施维护维修服务项目</w:t>
      </w:r>
      <w:r>
        <w:rPr>
          <w:rFonts w:hint="eastAsia" w:ascii="宋体" w:hAnsi="宋体" w:cs="宋体"/>
          <w:sz w:val="24"/>
          <w:szCs w:val="24"/>
        </w:rPr>
        <w:t>采购活动，</w:t>
      </w:r>
      <w:r>
        <w:rPr>
          <w:rFonts w:hint="eastAsia" w:ascii="宋体" w:hAnsi="宋体" w:cs="宋体"/>
          <w:kern w:val="0"/>
          <w:sz w:val="24"/>
          <w:szCs w:val="24"/>
        </w:rPr>
        <w:t>该项目</w:t>
      </w:r>
      <w:r>
        <w:rPr>
          <w:rFonts w:hint="eastAsia" w:ascii="宋体" w:hAnsi="宋体" w:cs="宋体"/>
          <w:sz w:val="24"/>
          <w:szCs w:val="24"/>
        </w:rPr>
        <w:t xml:space="preserve">服务全部由符合政策要求的中小企业提供。具体情况如下： </w:t>
      </w:r>
    </w:p>
    <w:p>
      <w:pPr>
        <w:snapToGrid w:val="0"/>
        <w:spacing w:line="360" w:lineRule="auto"/>
        <w:ind w:firstLine="480" w:firstLineChars="200"/>
        <w:rPr>
          <w:rFonts w:hint="eastAsia" w:ascii="宋体" w:hAnsi="宋体" w:cs="宋体"/>
          <w:sz w:val="24"/>
          <w:szCs w:val="24"/>
          <w:u w:val="single"/>
        </w:rPr>
      </w:pP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zh-CN"/>
        </w:rPr>
        <w:t>南通市妇幼保健院低压电气设备设施维护维修服务项目</w:t>
      </w:r>
      <w:r>
        <w:rPr>
          <w:rFonts w:hint="eastAsia" w:ascii="宋体" w:hAnsi="宋体" w:cs="宋体"/>
          <w:sz w:val="24"/>
          <w:szCs w:val="24"/>
        </w:rPr>
        <w:t>，属于</w:t>
      </w:r>
      <w:r>
        <w:rPr>
          <w:rFonts w:hint="eastAsia" w:ascii="宋体" w:hAnsi="宋体" w:cs="宋体"/>
          <w:sz w:val="24"/>
          <w:szCs w:val="24"/>
          <w:u w:val="single"/>
        </w:rPr>
        <w:t xml:space="preserve"> 其他未列明行业 </w:t>
      </w:r>
      <w:r>
        <w:rPr>
          <w:rFonts w:hint="eastAsia" w:ascii="宋体" w:hAnsi="宋体" w:cs="宋体"/>
          <w:sz w:val="24"/>
          <w:szCs w:val="24"/>
        </w:rPr>
        <w:t>；承接企业为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t xml:space="preserve"> </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以上企业，不属于大企业的分支机构，不存在控股股东为大企业的情形，也不存在与大企业的负责人为同一人的情形。 </w:t>
      </w:r>
    </w:p>
    <w:p>
      <w:pPr>
        <w:pStyle w:val="20"/>
        <w:snapToGrid w:val="0"/>
        <w:spacing w:line="360" w:lineRule="auto"/>
        <w:ind w:right="415" w:firstLine="640"/>
        <w:textAlignment w:val="baseline"/>
        <w:rPr>
          <w:rFonts w:hint="eastAsia" w:ascii="宋体" w:hAnsi="宋体" w:cs="宋体"/>
          <w:szCs w:val="24"/>
        </w:rPr>
      </w:pPr>
      <w:r>
        <w:rPr>
          <w:rFonts w:hint="eastAsia" w:ascii="宋体" w:hAnsi="宋体" w:cs="宋体"/>
          <w:szCs w:val="24"/>
        </w:rPr>
        <w:t>本企业对上述声明内容的真实性负责。如有虚假，将依法承担相应责任。</w:t>
      </w:r>
    </w:p>
    <w:p>
      <w:pPr>
        <w:pStyle w:val="89"/>
        <w:rPr>
          <w:rFonts w:hint="eastAsia" w:ascii="宋体" w:eastAsia="宋体" w:cs="宋体"/>
          <w:sz w:val="24"/>
          <w:szCs w:val="24"/>
        </w:rPr>
      </w:pPr>
    </w:p>
    <w:p>
      <w:pPr>
        <w:pStyle w:val="91"/>
        <w:ind w:firstLine="420"/>
      </w:pPr>
    </w:p>
    <w:p>
      <w:pPr>
        <w:snapToGrid w:val="0"/>
        <w:spacing w:line="480" w:lineRule="auto"/>
        <w:ind w:right="79" w:firstLine="4800" w:firstLineChars="2000"/>
        <w:textAlignment w:val="baseline"/>
        <w:rPr>
          <w:rFonts w:ascii="宋体" w:hAnsi="宋体" w:cs="宋体"/>
          <w:color w:val="000000"/>
          <w:sz w:val="24"/>
          <w:szCs w:val="24"/>
        </w:rPr>
      </w:pPr>
    </w:p>
    <w:p>
      <w:pPr>
        <w:pStyle w:val="20"/>
        <w:snapToGrid w:val="0"/>
        <w:spacing w:line="360" w:lineRule="auto"/>
        <w:ind w:right="415" w:firstLine="640"/>
        <w:textAlignment w:val="baseline"/>
        <w:rPr>
          <w:rFonts w:ascii="宋体" w:hAnsi="宋体" w:cs="宋体"/>
          <w:szCs w:val="24"/>
          <w:lang w:val="zh-CN"/>
        </w:rPr>
      </w:pPr>
      <w:r>
        <w:rPr>
          <w:rFonts w:hint="eastAsia" w:ascii="宋体" w:hAnsi="宋体" w:cs="宋体"/>
          <w:color w:val="000000"/>
          <w:szCs w:val="24"/>
        </w:rPr>
        <w:t>竞争性磋商响应</w:t>
      </w:r>
      <w:r>
        <w:rPr>
          <w:rFonts w:hint="eastAsia" w:ascii="宋体" w:hAnsi="宋体" w:cs="宋体"/>
          <w:szCs w:val="24"/>
        </w:rPr>
        <w:t>供应商：（单位盖章）</w:t>
      </w:r>
    </w:p>
    <w:p>
      <w:pPr>
        <w:pStyle w:val="20"/>
        <w:snapToGrid w:val="0"/>
        <w:spacing w:line="360" w:lineRule="auto"/>
        <w:ind w:right="415" w:firstLine="640"/>
        <w:textAlignment w:val="baseline"/>
        <w:rPr>
          <w:rFonts w:ascii="宋体" w:hAnsi="宋体" w:cs="宋体"/>
          <w:szCs w:val="24"/>
        </w:rPr>
      </w:pPr>
      <w:r>
        <w:rPr>
          <w:rFonts w:hint="eastAsia" w:ascii="宋体" w:hAnsi="宋体" w:cs="宋体"/>
          <w:szCs w:val="24"/>
        </w:rPr>
        <w:t>法定代表人或被委托授权人：（签字或盖章）</w:t>
      </w:r>
    </w:p>
    <w:p>
      <w:pPr>
        <w:pStyle w:val="20"/>
        <w:snapToGrid w:val="0"/>
        <w:spacing w:line="360" w:lineRule="auto"/>
        <w:ind w:right="415" w:firstLine="640"/>
        <w:textAlignment w:val="baseline"/>
        <w:rPr>
          <w:rFonts w:ascii="宋体" w:hAnsi="宋体" w:cs="宋体"/>
          <w:szCs w:val="24"/>
        </w:rPr>
      </w:pPr>
      <w:r>
        <w:rPr>
          <w:rFonts w:hint="eastAsia" w:ascii="宋体" w:hAnsi="宋体" w:cs="宋体"/>
          <w:szCs w:val="24"/>
        </w:rPr>
        <w:t>日期：        年      月     日</w:t>
      </w:r>
    </w:p>
    <w:p>
      <w:pPr>
        <w:snapToGrid w:val="0"/>
        <w:spacing w:line="420" w:lineRule="exact"/>
        <w:ind w:firstLine="412" w:firstLineChars="206"/>
        <w:textAlignment w:val="baseline"/>
        <w:rPr>
          <w:rFonts w:ascii="宋体" w:hAnsi="宋体" w:cs="宋体"/>
          <w:sz w:val="20"/>
        </w:rPr>
      </w:pPr>
    </w:p>
    <w:p>
      <w:pPr>
        <w:snapToGrid w:val="0"/>
        <w:spacing w:line="420" w:lineRule="exact"/>
        <w:ind w:firstLine="432" w:firstLineChars="206"/>
        <w:textAlignment w:val="baseline"/>
        <w:rPr>
          <w:rFonts w:ascii="宋体" w:hAnsi="宋体" w:cs="宋体"/>
          <w:sz w:val="20"/>
        </w:rPr>
      </w:pPr>
      <w:r>
        <w:rPr>
          <w:rFonts w:hint="eastAsia" w:ascii="宋体" w:hAnsi="宋体" w:cs="宋体"/>
        </w:rPr>
        <w:t>注：</w:t>
      </w:r>
    </w:p>
    <w:p>
      <w:pPr>
        <w:snapToGrid w:val="0"/>
        <w:spacing w:line="420" w:lineRule="exact"/>
        <w:ind w:firstLine="432" w:firstLineChars="206"/>
        <w:textAlignment w:val="baseline"/>
        <w:rPr>
          <w:rFonts w:ascii="宋体" w:hAnsi="宋体" w:cs="宋体"/>
          <w:sz w:val="20"/>
        </w:rPr>
      </w:pPr>
      <w:r>
        <w:rPr>
          <w:rFonts w:hint="eastAsia" w:ascii="宋体" w:hAnsi="宋体" w:cs="宋体"/>
        </w:rPr>
        <w:t>（1）从业人员、营业收入、资产总额填报上一年度数据，无上一年度数据的新成立企业可不填报。</w:t>
      </w:r>
    </w:p>
    <w:p>
      <w:pPr>
        <w:snapToGrid w:val="0"/>
        <w:spacing w:line="420" w:lineRule="exact"/>
        <w:ind w:firstLine="432" w:firstLineChars="206"/>
        <w:textAlignment w:val="baseline"/>
        <w:rPr>
          <w:rFonts w:ascii="宋体" w:hAnsi="宋体" w:cs="宋体"/>
          <w:sz w:val="20"/>
        </w:rPr>
      </w:pPr>
      <w:r>
        <w:rPr>
          <w:rFonts w:hint="eastAsia" w:ascii="宋体" w:hAnsi="宋体" w:cs="宋体"/>
        </w:rPr>
        <w:t>（2）关于落实政府采购政策的中小微企业价格评审，详见本竞争性磋商文件第四章第五条的规定内容。</w:t>
      </w:r>
    </w:p>
    <w:p>
      <w:pPr>
        <w:snapToGrid w:val="0"/>
        <w:spacing w:line="420" w:lineRule="exact"/>
        <w:ind w:firstLine="434" w:firstLineChars="206"/>
        <w:textAlignment w:val="baseline"/>
        <w:rPr>
          <w:rFonts w:ascii="宋体" w:hAnsi="宋体" w:cs="宋体"/>
          <w:b/>
          <w:bCs/>
          <w:sz w:val="20"/>
        </w:rPr>
      </w:pPr>
      <w:r>
        <w:rPr>
          <w:rFonts w:hint="eastAsia" w:ascii="宋体" w:hAnsi="宋体" w:cs="宋体"/>
          <w:b/>
          <w:bCs/>
        </w:rPr>
        <w:t>（3）本项目不享受中小企业扶持政策的磋商供应商，无须提供“中小企业声明函”。</w:t>
      </w:r>
    </w:p>
    <w:p>
      <w:pPr>
        <w:snapToGrid w:val="0"/>
        <w:spacing w:line="420" w:lineRule="exact"/>
        <w:ind w:firstLine="414" w:firstLineChars="206"/>
        <w:textAlignment w:val="baseline"/>
        <w:rPr>
          <w:rFonts w:ascii="宋体" w:hAnsi="宋体" w:cs="宋体"/>
          <w:b/>
          <w:bCs/>
          <w:sz w:val="20"/>
        </w:rPr>
      </w:pPr>
    </w:p>
    <w:p>
      <w:pPr>
        <w:snapToGrid w:val="0"/>
        <w:spacing w:line="420" w:lineRule="exact"/>
        <w:ind w:firstLine="412" w:firstLineChars="206"/>
        <w:textAlignment w:val="baseline"/>
        <w:rPr>
          <w:sz w:val="20"/>
        </w:rPr>
      </w:pPr>
    </w:p>
    <w:p>
      <w:pPr>
        <w:snapToGrid w:val="0"/>
        <w:spacing w:line="420" w:lineRule="exact"/>
        <w:jc w:val="center"/>
        <w:textAlignment w:val="baseline"/>
        <w:rPr>
          <w:b/>
          <w:bCs/>
        </w:rPr>
      </w:pPr>
      <w:r>
        <w:rPr>
          <w:b/>
          <w:bCs/>
        </w:rPr>
        <w:t>……</w:t>
      </w:r>
      <w:r>
        <w:rPr>
          <w:rFonts w:hint="eastAsia" w:cs="宋体"/>
          <w:b/>
          <w:bCs/>
        </w:rPr>
        <w:t>全文结束</w:t>
      </w:r>
      <w:r>
        <w:rPr>
          <w:b/>
          <w:bCs/>
        </w:rPr>
        <w:t>……</w:t>
      </w:r>
    </w:p>
    <w:p>
      <w:pPr>
        <w:pStyle w:val="2"/>
        <w:rPr>
          <w:b/>
          <w:bCs/>
        </w:rPr>
      </w:pPr>
    </w:p>
    <w:p>
      <w:pPr>
        <w:pStyle w:val="2"/>
        <w:rPr>
          <w:b/>
          <w:bCs/>
        </w:rPr>
      </w:pPr>
    </w:p>
    <w:p>
      <w:pPr>
        <w:pStyle w:val="2"/>
        <w:ind w:left="0" w:leftChars="0" w:firstLine="0" w:firstLineChars="0"/>
        <w:rPr>
          <w:b/>
          <w:bCs/>
        </w:rPr>
      </w:pPr>
    </w:p>
    <w:sectPr>
      <w:pgSz w:w="11906" w:h="16838"/>
      <w:pgMar w:top="1440" w:right="1361"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FuturaA Bk BT">
    <w:altName w:val="Arial"/>
    <w:panose1 w:val="00000000000000000000"/>
    <w:charset w:val="00"/>
    <w:family w:val="auto"/>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2"/>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QazL9AQAADwQAAA4AAABkcnMvZTJvRG9jLnhtbK1TTW/bMAy9D9h/&#10;EHRf7HTtsBlxiq5BhgHdB9D2ByiyHAuzRIFSYme/fpRkZ1136aEXgaLIR75HanU9mp4dFXoNtubL&#10;RcmZshIabfc1f3zYvvvImQ/CNqIHq2p+Up5fr9++WQ2uUhfQQd8oZARifTW4mnchuKoovOyUEX4B&#10;Tll6bAGNCHTFfdGgGAjd9MVFWX4oBsDGIUjlPXk3+ZFPiPgSQGhbLdUG5MEoGzIqql4EouQ77Txf&#10;p27bVsnwo229CqyvOTEN6aQiZO/iWaxXotqjcJ2WUwviJS0842SEtlT0DLURQbAD6v+gjJYIHtqw&#10;kGCKTCQpQiyW5TNt7jvhVOJCUnt3Ft2/Hqz8fvyJTDe0CZxZYWjgD2oM7DOMbBnVGZyvKOjeUVgY&#10;yR0jI1Pv7kD+8szCbSfsXt0gwtAp0VB3KbN4kppxfATZDd+goTLiECABjS2aCEhiMEKnyZzOk4mt&#10;yFjyU3lV0oukp+X75eXlVeytENWc7NCHLwoMi0bNkQafwMXxzoccOofEWha2uu/T8Hv7j4Mws0el&#10;7ZmyI5XYfeYRxt04SbOD5kSkEPJm0b8iowP8zdlAW1VzS5+Is/6rJVniAs4GzsZuNoSVlFjzwFk2&#10;b0Ne1INDve8Idxb+hqTb6kQrNpZ7IDnihfYkCTPtdFzEp/cU9fc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RS7NAAAAADAQAADwAAAAAAAAABACAAAAAiAAAAZHJzL2Rvd25yZXYueG1sUEsB&#10;AhQAFAAAAAgAh07iQI/QazL9AQAADwQAAA4AAAAAAAAAAQAgAAAAHwEAAGRycy9lMm9Eb2MueG1s&#10;UEsFBgAAAAAGAAYAWQEAAI4FAAAAAA==&#10;">
              <v:fill on="f" focussize="0,0"/>
              <v:stroke on="f"/>
              <v:imagedata o:title=""/>
              <o:lock v:ext="edit" aspectratio="f"/>
              <v:textbox inset="0mm,0mm,0mm,0mm" style="mso-fit-shape-to-text:t;">
                <w:txbxContent>
                  <w:p>
                    <w:pPr>
                      <w:pStyle w:val="32"/>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 PAGE   \* MERGEFORMAT </w:instrText>
    </w:r>
    <w:r>
      <w:fldChar w:fldCharType="separate"/>
    </w:r>
    <w:r>
      <w:rPr>
        <w:lang w:val="zh-CN"/>
      </w:rPr>
      <w:t>-</w:t>
    </w:r>
    <w:r>
      <w:t xml:space="preserve"> 14 -</w:t>
    </w:r>
    <w:r>
      <w:fldChar w:fldCharType="end"/>
    </w:r>
  </w:p>
  <w:p>
    <w:pPr>
      <w:pStyle w:val="32"/>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300"/>
      </w:tabs>
      <w:snapToGrid w:val="0"/>
      <w:spacing w:line="300" w:lineRule="auto"/>
      <w:jc w:val="both"/>
    </w:pPr>
    <w:r>
      <w:rPr>
        <w:rFonts w:hint="eastAsia"/>
        <w:sz w:val="18"/>
        <w:szCs w:val="18"/>
        <w:u w:val="single"/>
        <w:lang w:eastAsia="zh-CN"/>
      </w:rPr>
      <w:t>南通市妇幼保健院低压电气设备设施维护维修服务项目</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lang w:val="en-US" w:eastAsia="zh-CN"/>
      </w:rPr>
      <w:t xml:space="preserve">              </w:t>
    </w:r>
    <w:r>
      <w:rPr>
        <w:rFonts w:hint="eastAsia"/>
        <w:sz w:val="18"/>
        <w:szCs w:val="18"/>
        <w:u w:val="single"/>
        <w:lang w:val="zh-CN"/>
      </w:rPr>
      <w:t xml:space="preserve">   </w:t>
    </w:r>
    <w:r>
      <w:rPr>
        <w:rFonts w:hint="eastAsia"/>
        <w:sz w:val="18"/>
        <w:szCs w:val="18"/>
        <w:u w:val="single"/>
        <w:lang w:val="en-US" w:eastAsia="zh-CN"/>
      </w:rPr>
      <w:t xml:space="preserve">       </w:t>
    </w:r>
    <w:r>
      <w:rPr>
        <w:rFonts w:hint="eastAsia"/>
        <w:sz w:val="18"/>
        <w:szCs w:val="18"/>
        <w:u w:val="single"/>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DB306"/>
    <w:multiLevelType w:val="singleLevel"/>
    <w:tmpl w:val="87CDB306"/>
    <w:lvl w:ilvl="0" w:tentative="0">
      <w:start w:val="1"/>
      <w:numFmt w:val="decimal"/>
      <w:suff w:val="nothing"/>
      <w:lvlText w:val="%1、"/>
      <w:lvlJc w:val="left"/>
    </w:lvl>
  </w:abstractNum>
  <w:abstractNum w:abstractNumId="1">
    <w:nsid w:val="A04F18A4"/>
    <w:multiLevelType w:val="singleLevel"/>
    <w:tmpl w:val="A04F18A4"/>
    <w:lvl w:ilvl="0" w:tentative="0">
      <w:start w:val="1"/>
      <w:numFmt w:val="decimal"/>
      <w:suff w:val="nothing"/>
      <w:lvlText w:val="%1、"/>
      <w:lvlJc w:val="left"/>
    </w:lvl>
  </w:abstractNum>
  <w:abstractNum w:abstractNumId="2">
    <w:nsid w:val="D7890B79"/>
    <w:multiLevelType w:val="singleLevel"/>
    <w:tmpl w:val="D7890B79"/>
    <w:lvl w:ilvl="0" w:tentative="0">
      <w:start w:val="1"/>
      <w:numFmt w:val="decimal"/>
      <w:suff w:val="nothing"/>
      <w:lvlText w:val="%1、"/>
      <w:lvlJc w:val="left"/>
    </w:lvl>
  </w:abstractNum>
  <w:abstractNum w:abstractNumId="3">
    <w:nsid w:val="F987E0F1"/>
    <w:multiLevelType w:val="singleLevel"/>
    <w:tmpl w:val="F987E0F1"/>
    <w:lvl w:ilvl="0" w:tentative="0">
      <w:start w:val="1"/>
      <w:numFmt w:val="decimal"/>
      <w:suff w:val="nothing"/>
      <w:lvlText w:val="%1、"/>
      <w:lvlJc w:val="left"/>
    </w:lvl>
  </w:abstractNum>
  <w:abstractNum w:abstractNumId="4">
    <w:nsid w:val="0000003D"/>
    <w:multiLevelType w:val="multilevel"/>
    <w:tmpl w:val="0000003D"/>
    <w:lvl w:ilvl="0" w:tentative="0">
      <w:start w:val="1"/>
      <w:numFmt w:val="chineseCountingThousand"/>
      <w:pStyle w:val="6"/>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5">
    <w:nsid w:val="1655D05D"/>
    <w:multiLevelType w:val="singleLevel"/>
    <w:tmpl w:val="1655D05D"/>
    <w:lvl w:ilvl="0" w:tentative="0">
      <w:start w:val="2"/>
      <w:numFmt w:val="decimal"/>
      <w:suff w:val="nothing"/>
      <w:lvlText w:val="%1、"/>
      <w:lvlJc w:val="left"/>
    </w:lvl>
  </w:abstractNum>
  <w:abstractNum w:abstractNumId="6">
    <w:nsid w:val="2C0DFDC2"/>
    <w:multiLevelType w:val="singleLevel"/>
    <w:tmpl w:val="2C0DFDC2"/>
    <w:lvl w:ilvl="0" w:tentative="0">
      <w:start w:val="1"/>
      <w:numFmt w:val="decimal"/>
      <w:suff w:val="nothing"/>
      <w:lvlText w:val="%1、"/>
      <w:lvlJc w:val="left"/>
    </w:lvl>
  </w:abstractNum>
  <w:abstractNum w:abstractNumId="7">
    <w:nsid w:val="358A0AB6"/>
    <w:multiLevelType w:val="singleLevel"/>
    <w:tmpl w:val="358A0AB6"/>
    <w:lvl w:ilvl="0" w:tentative="0">
      <w:start w:val="7"/>
      <w:numFmt w:val="chineseCounting"/>
      <w:suff w:val="nothing"/>
      <w:lvlText w:val="%1、"/>
      <w:lvlJc w:val="left"/>
      <w:rPr>
        <w:rFonts w:hint="eastAsia"/>
      </w:rPr>
    </w:lvl>
  </w:abstractNum>
  <w:abstractNum w:abstractNumId="8">
    <w:nsid w:val="5A0F3AED"/>
    <w:multiLevelType w:val="singleLevel"/>
    <w:tmpl w:val="5A0F3AED"/>
    <w:lvl w:ilvl="0" w:tentative="0">
      <w:start w:val="1"/>
      <w:numFmt w:val="decimal"/>
      <w:suff w:val="nothing"/>
      <w:lvlText w:val="%1、"/>
      <w:lvlJc w:val="left"/>
    </w:lvl>
  </w:abstractNum>
  <w:abstractNum w:abstractNumId="9">
    <w:nsid w:val="6F1A29ED"/>
    <w:multiLevelType w:val="singleLevel"/>
    <w:tmpl w:val="6F1A29ED"/>
    <w:lvl w:ilvl="0" w:tentative="0">
      <w:start w:val="1"/>
      <w:numFmt w:val="chineseCounting"/>
      <w:suff w:val="nothing"/>
      <w:lvlText w:val="%1、"/>
      <w:lvlJc w:val="left"/>
      <w:rPr>
        <w:rFonts w:hint="eastAsia"/>
      </w:rPr>
    </w:lvl>
  </w:abstractNum>
  <w:abstractNum w:abstractNumId="10">
    <w:nsid w:val="7C36C119"/>
    <w:multiLevelType w:val="singleLevel"/>
    <w:tmpl w:val="7C36C119"/>
    <w:lvl w:ilvl="0" w:tentative="0">
      <w:start w:val="1"/>
      <w:numFmt w:val="chineseCounting"/>
      <w:suff w:val="nothing"/>
      <w:lvlText w:val="%1、"/>
      <w:lvlJc w:val="left"/>
      <w:rPr>
        <w:rFonts w:hint="eastAsia"/>
      </w:rPr>
    </w:lvl>
  </w:abstractNum>
  <w:num w:numId="1">
    <w:abstractNumId w:val="4"/>
  </w:num>
  <w:num w:numId="2">
    <w:abstractNumId w:val="0"/>
  </w:num>
  <w:num w:numId="3">
    <w:abstractNumId w:val="7"/>
  </w:num>
  <w:num w:numId="4">
    <w:abstractNumId w:val="8"/>
  </w:num>
  <w:num w:numId="5">
    <w:abstractNumId w:val="6"/>
  </w:num>
  <w:num w:numId="6">
    <w:abstractNumId w:val="5"/>
  </w:num>
  <w:num w:numId="7">
    <w:abstractNumId w:val="2"/>
  </w:num>
  <w:num w:numId="8">
    <w:abstractNumId w:val="1"/>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4"/>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NTc0NGE2MGY3YmQ5Y2M0ZjBjMWE2OTcxYmRhZmEifQ=="/>
  </w:docVars>
  <w:rsids>
    <w:rsidRoot w:val="00172A27"/>
    <w:rsid w:val="000058C1"/>
    <w:rsid w:val="00005F7A"/>
    <w:rsid w:val="00007F59"/>
    <w:rsid w:val="0001029F"/>
    <w:rsid w:val="000102D4"/>
    <w:rsid w:val="00016294"/>
    <w:rsid w:val="00017BBF"/>
    <w:rsid w:val="00021EFF"/>
    <w:rsid w:val="00021FC4"/>
    <w:rsid w:val="0002291C"/>
    <w:rsid w:val="00023F8C"/>
    <w:rsid w:val="0002545F"/>
    <w:rsid w:val="00026B68"/>
    <w:rsid w:val="00027032"/>
    <w:rsid w:val="00034047"/>
    <w:rsid w:val="0003602F"/>
    <w:rsid w:val="000361E7"/>
    <w:rsid w:val="000378F2"/>
    <w:rsid w:val="00037B25"/>
    <w:rsid w:val="00037B3B"/>
    <w:rsid w:val="00037E69"/>
    <w:rsid w:val="0004431A"/>
    <w:rsid w:val="00047F32"/>
    <w:rsid w:val="00050BBD"/>
    <w:rsid w:val="00053A57"/>
    <w:rsid w:val="00054028"/>
    <w:rsid w:val="00056E5D"/>
    <w:rsid w:val="0005762B"/>
    <w:rsid w:val="000606F5"/>
    <w:rsid w:val="00061BB0"/>
    <w:rsid w:val="00062482"/>
    <w:rsid w:val="00063304"/>
    <w:rsid w:val="000643A3"/>
    <w:rsid w:val="000655FD"/>
    <w:rsid w:val="00065E68"/>
    <w:rsid w:val="00066618"/>
    <w:rsid w:val="00070B68"/>
    <w:rsid w:val="00071345"/>
    <w:rsid w:val="00071716"/>
    <w:rsid w:val="000725D4"/>
    <w:rsid w:val="00074921"/>
    <w:rsid w:val="00074B89"/>
    <w:rsid w:val="00075380"/>
    <w:rsid w:val="00083910"/>
    <w:rsid w:val="00083EDB"/>
    <w:rsid w:val="00084E31"/>
    <w:rsid w:val="000851B6"/>
    <w:rsid w:val="00085F8A"/>
    <w:rsid w:val="00090781"/>
    <w:rsid w:val="000908FA"/>
    <w:rsid w:val="000939C5"/>
    <w:rsid w:val="00094062"/>
    <w:rsid w:val="00094F40"/>
    <w:rsid w:val="000978C3"/>
    <w:rsid w:val="00097CA4"/>
    <w:rsid w:val="000A179B"/>
    <w:rsid w:val="000A2C95"/>
    <w:rsid w:val="000A2F79"/>
    <w:rsid w:val="000A5F25"/>
    <w:rsid w:val="000A60BD"/>
    <w:rsid w:val="000A710B"/>
    <w:rsid w:val="000A7F3B"/>
    <w:rsid w:val="000B2047"/>
    <w:rsid w:val="000B2801"/>
    <w:rsid w:val="000B38FB"/>
    <w:rsid w:val="000B4A07"/>
    <w:rsid w:val="000C38DC"/>
    <w:rsid w:val="000C3E5E"/>
    <w:rsid w:val="000C4679"/>
    <w:rsid w:val="000C544A"/>
    <w:rsid w:val="000D121D"/>
    <w:rsid w:val="000D204D"/>
    <w:rsid w:val="000D2C01"/>
    <w:rsid w:val="000D3847"/>
    <w:rsid w:val="000D3D00"/>
    <w:rsid w:val="000D4886"/>
    <w:rsid w:val="000D4C32"/>
    <w:rsid w:val="000D653D"/>
    <w:rsid w:val="000D694F"/>
    <w:rsid w:val="000D6E50"/>
    <w:rsid w:val="000E29DF"/>
    <w:rsid w:val="000E322F"/>
    <w:rsid w:val="000E3AAC"/>
    <w:rsid w:val="000E4F98"/>
    <w:rsid w:val="000E5934"/>
    <w:rsid w:val="000E66F3"/>
    <w:rsid w:val="000F5A0A"/>
    <w:rsid w:val="000F7BDB"/>
    <w:rsid w:val="000F7EEF"/>
    <w:rsid w:val="00100AF9"/>
    <w:rsid w:val="00100FE7"/>
    <w:rsid w:val="001020F7"/>
    <w:rsid w:val="00103D77"/>
    <w:rsid w:val="00105BBC"/>
    <w:rsid w:val="001062B6"/>
    <w:rsid w:val="001078E8"/>
    <w:rsid w:val="00110BA5"/>
    <w:rsid w:val="0011354B"/>
    <w:rsid w:val="0011396D"/>
    <w:rsid w:val="00113EAD"/>
    <w:rsid w:val="0011474C"/>
    <w:rsid w:val="00114ADB"/>
    <w:rsid w:val="00115200"/>
    <w:rsid w:val="00120CE9"/>
    <w:rsid w:val="00123BD5"/>
    <w:rsid w:val="00125073"/>
    <w:rsid w:val="001255B6"/>
    <w:rsid w:val="00127592"/>
    <w:rsid w:val="0013050F"/>
    <w:rsid w:val="0013239E"/>
    <w:rsid w:val="00132A4A"/>
    <w:rsid w:val="00133CBD"/>
    <w:rsid w:val="001350E0"/>
    <w:rsid w:val="00135173"/>
    <w:rsid w:val="00136FE5"/>
    <w:rsid w:val="001419C0"/>
    <w:rsid w:val="00141CE1"/>
    <w:rsid w:val="00141EA3"/>
    <w:rsid w:val="0014374E"/>
    <w:rsid w:val="00144A8C"/>
    <w:rsid w:val="001505CF"/>
    <w:rsid w:val="00150875"/>
    <w:rsid w:val="00150998"/>
    <w:rsid w:val="00150D75"/>
    <w:rsid w:val="001528E4"/>
    <w:rsid w:val="001533B2"/>
    <w:rsid w:val="00157327"/>
    <w:rsid w:val="001663EB"/>
    <w:rsid w:val="001711E5"/>
    <w:rsid w:val="00172A27"/>
    <w:rsid w:val="00173C54"/>
    <w:rsid w:val="001746FC"/>
    <w:rsid w:val="001750E5"/>
    <w:rsid w:val="00181ECB"/>
    <w:rsid w:val="0018394A"/>
    <w:rsid w:val="00184E4B"/>
    <w:rsid w:val="00186A58"/>
    <w:rsid w:val="001877EC"/>
    <w:rsid w:val="00192AB4"/>
    <w:rsid w:val="00196C27"/>
    <w:rsid w:val="0019750A"/>
    <w:rsid w:val="001976BE"/>
    <w:rsid w:val="001A0983"/>
    <w:rsid w:val="001A1F4A"/>
    <w:rsid w:val="001A22DA"/>
    <w:rsid w:val="001A2821"/>
    <w:rsid w:val="001A4B38"/>
    <w:rsid w:val="001B0894"/>
    <w:rsid w:val="001B271D"/>
    <w:rsid w:val="001B462C"/>
    <w:rsid w:val="001B4D1C"/>
    <w:rsid w:val="001B4E47"/>
    <w:rsid w:val="001B56E3"/>
    <w:rsid w:val="001B5775"/>
    <w:rsid w:val="001B6B02"/>
    <w:rsid w:val="001C2231"/>
    <w:rsid w:val="001C2640"/>
    <w:rsid w:val="001C2C85"/>
    <w:rsid w:val="001C5FBE"/>
    <w:rsid w:val="001C6469"/>
    <w:rsid w:val="001D0AEE"/>
    <w:rsid w:val="001D1803"/>
    <w:rsid w:val="001D1E4A"/>
    <w:rsid w:val="001D38F1"/>
    <w:rsid w:val="001D60DD"/>
    <w:rsid w:val="001E02D1"/>
    <w:rsid w:val="001E2FCD"/>
    <w:rsid w:val="001E3534"/>
    <w:rsid w:val="001E35F0"/>
    <w:rsid w:val="001E48AB"/>
    <w:rsid w:val="001E4B5A"/>
    <w:rsid w:val="001E4DE8"/>
    <w:rsid w:val="001E6317"/>
    <w:rsid w:val="001F4880"/>
    <w:rsid w:val="001F5A4B"/>
    <w:rsid w:val="001F650B"/>
    <w:rsid w:val="001F66A9"/>
    <w:rsid w:val="00200061"/>
    <w:rsid w:val="00201B85"/>
    <w:rsid w:val="002025A0"/>
    <w:rsid w:val="00206420"/>
    <w:rsid w:val="00206AF1"/>
    <w:rsid w:val="00207784"/>
    <w:rsid w:val="00207F85"/>
    <w:rsid w:val="00210BA8"/>
    <w:rsid w:val="00211E09"/>
    <w:rsid w:val="00211E0E"/>
    <w:rsid w:val="00223466"/>
    <w:rsid w:val="00224F5F"/>
    <w:rsid w:val="00225670"/>
    <w:rsid w:val="002257D7"/>
    <w:rsid w:val="00225DFC"/>
    <w:rsid w:val="00225FA1"/>
    <w:rsid w:val="00230037"/>
    <w:rsid w:val="00231148"/>
    <w:rsid w:val="002315E8"/>
    <w:rsid w:val="00232A32"/>
    <w:rsid w:val="00235015"/>
    <w:rsid w:val="0023505E"/>
    <w:rsid w:val="00235BFC"/>
    <w:rsid w:val="00236425"/>
    <w:rsid w:val="00237122"/>
    <w:rsid w:val="00240EF7"/>
    <w:rsid w:val="002416D0"/>
    <w:rsid w:val="0024174B"/>
    <w:rsid w:val="0024510C"/>
    <w:rsid w:val="002456F3"/>
    <w:rsid w:val="00245B72"/>
    <w:rsid w:val="002465F4"/>
    <w:rsid w:val="00247445"/>
    <w:rsid w:val="002476BA"/>
    <w:rsid w:val="002509ED"/>
    <w:rsid w:val="002512A5"/>
    <w:rsid w:val="00253F6B"/>
    <w:rsid w:val="00260193"/>
    <w:rsid w:val="00260CD4"/>
    <w:rsid w:val="0026106F"/>
    <w:rsid w:val="002611FD"/>
    <w:rsid w:val="00261261"/>
    <w:rsid w:val="00261BC6"/>
    <w:rsid w:val="00262F8E"/>
    <w:rsid w:val="00264685"/>
    <w:rsid w:val="002656FE"/>
    <w:rsid w:val="00265FBC"/>
    <w:rsid w:val="00266DB4"/>
    <w:rsid w:val="0026722D"/>
    <w:rsid w:val="00271E05"/>
    <w:rsid w:val="00271F9E"/>
    <w:rsid w:val="0027365F"/>
    <w:rsid w:val="002743B2"/>
    <w:rsid w:val="00275DE2"/>
    <w:rsid w:val="002764D7"/>
    <w:rsid w:val="002816D3"/>
    <w:rsid w:val="002818BB"/>
    <w:rsid w:val="00284DE4"/>
    <w:rsid w:val="00291332"/>
    <w:rsid w:val="00291680"/>
    <w:rsid w:val="00291738"/>
    <w:rsid w:val="002917E0"/>
    <w:rsid w:val="002939C3"/>
    <w:rsid w:val="00295637"/>
    <w:rsid w:val="00295FD1"/>
    <w:rsid w:val="0029796E"/>
    <w:rsid w:val="00297B18"/>
    <w:rsid w:val="002A09EE"/>
    <w:rsid w:val="002A1F8F"/>
    <w:rsid w:val="002A2D12"/>
    <w:rsid w:val="002A2F7D"/>
    <w:rsid w:val="002A5D2A"/>
    <w:rsid w:val="002A7980"/>
    <w:rsid w:val="002A7DFA"/>
    <w:rsid w:val="002B7251"/>
    <w:rsid w:val="002B77A5"/>
    <w:rsid w:val="002B7CFD"/>
    <w:rsid w:val="002C2290"/>
    <w:rsid w:val="002C3237"/>
    <w:rsid w:val="002C43C2"/>
    <w:rsid w:val="002C5470"/>
    <w:rsid w:val="002C71C8"/>
    <w:rsid w:val="002D5067"/>
    <w:rsid w:val="002D6BC6"/>
    <w:rsid w:val="002D7709"/>
    <w:rsid w:val="002D7C8B"/>
    <w:rsid w:val="002E0741"/>
    <w:rsid w:val="002E214B"/>
    <w:rsid w:val="002E385C"/>
    <w:rsid w:val="002E5876"/>
    <w:rsid w:val="002E5B21"/>
    <w:rsid w:val="002E62B0"/>
    <w:rsid w:val="002F04DA"/>
    <w:rsid w:val="002F2C1A"/>
    <w:rsid w:val="002F2F03"/>
    <w:rsid w:val="002F44CF"/>
    <w:rsid w:val="002F4912"/>
    <w:rsid w:val="002F677F"/>
    <w:rsid w:val="00301698"/>
    <w:rsid w:val="0030187C"/>
    <w:rsid w:val="00303A7A"/>
    <w:rsid w:val="00305B2D"/>
    <w:rsid w:val="0030602E"/>
    <w:rsid w:val="00307ADC"/>
    <w:rsid w:val="003101C1"/>
    <w:rsid w:val="0031212E"/>
    <w:rsid w:val="00314EA0"/>
    <w:rsid w:val="0031503B"/>
    <w:rsid w:val="003175A8"/>
    <w:rsid w:val="0032064F"/>
    <w:rsid w:val="00326242"/>
    <w:rsid w:val="003311BA"/>
    <w:rsid w:val="00331BE9"/>
    <w:rsid w:val="00332927"/>
    <w:rsid w:val="003333B8"/>
    <w:rsid w:val="003339B0"/>
    <w:rsid w:val="00335723"/>
    <w:rsid w:val="003358D8"/>
    <w:rsid w:val="00340EED"/>
    <w:rsid w:val="00342585"/>
    <w:rsid w:val="003428D6"/>
    <w:rsid w:val="00343431"/>
    <w:rsid w:val="00343F86"/>
    <w:rsid w:val="00346FA1"/>
    <w:rsid w:val="00347DEF"/>
    <w:rsid w:val="00350C1C"/>
    <w:rsid w:val="00354446"/>
    <w:rsid w:val="00355DBE"/>
    <w:rsid w:val="00356CA9"/>
    <w:rsid w:val="0036237A"/>
    <w:rsid w:val="003643E9"/>
    <w:rsid w:val="00365DFC"/>
    <w:rsid w:val="00370706"/>
    <w:rsid w:val="0037207C"/>
    <w:rsid w:val="003726F6"/>
    <w:rsid w:val="00372BAE"/>
    <w:rsid w:val="00372E97"/>
    <w:rsid w:val="003740F9"/>
    <w:rsid w:val="00374DDC"/>
    <w:rsid w:val="00375D3C"/>
    <w:rsid w:val="003817E3"/>
    <w:rsid w:val="00381EBE"/>
    <w:rsid w:val="0038506A"/>
    <w:rsid w:val="003858EF"/>
    <w:rsid w:val="0038623A"/>
    <w:rsid w:val="00393ABA"/>
    <w:rsid w:val="003943B9"/>
    <w:rsid w:val="00396574"/>
    <w:rsid w:val="003967B3"/>
    <w:rsid w:val="00397129"/>
    <w:rsid w:val="003975A5"/>
    <w:rsid w:val="0039790E"/>
    <w:rsid w:val="00397C9B"/>
    <w:rsid w:val="003A01C6"/>
    <w:rsid w:val="003A2F50"/>
    <w:rsid w:val="003A310E"/>
    <w:rsid w:val="003A3BAC"/>
    <w:rsid w:val="003A3F72"/>
    <w:rsid w:val="003A5164"/>
    <w:rsid w:val="003A5379"/>
    <w:rsid w:val="003A57BD"/>
    <w:rsid w:val="003A6093"/>
    <w:rsid w:val="003A7167"/>
    <w:rsid w:val="003B1882"/>
    <w:rsid w:val="003B3F27"/>
    <w:rsid w:val="003B481D"/>
    <w:rsid w:val="003B4B7F"/>
    <w:rsid w:val="003B5138"/>
    <w:rsid w:val="003C0241"/>
    <w:rsid w:val="003C286E"/>
    <w:rsid w:val="003D0A3A"/>
    <w:rsid w:val="003D233D"/>
    <w:rsid w:val="003D5966"/>
    <w:rsid w:val="003D6CB7"/>
    <w:rsid w:val="003D72A4"/>
    <w:rsid w:val="003D7545"/>
    <w:rsid w:val="003D77DF"/>
    <w:rsid w:val="003D78F0"/>
    <w:rsid w:val="003E5F57"/>
    <w:rsid w:val="003E6CA3"/>
    <w:rsid w:val="003E7713"/>
    <w:rsid w:val="003E7931"/>
    <w:rsid w:val="003F2753"/>
    <w:rsid w:val="003F3F9A"/>
    <w:rsid w:val="003F4B46"/>
    <w:rsid w:val="003F6F81"/>
    <w:rsid w:val="00401ABC"/>
    <w:rsid w:val="00402D58"/>
    <w:rsid w:val="00403824"/>
    <w:rsid w:val="004050BB"/>
    <w:rsid w:val="004059F8"/>
    <w:rsid w:val="004064B2"/>
    <w:rsid w:val="00407C91"/>
    <w:rsid w:val="00411773"/>
    <w:rsid w:val="0041332F"/>
    <w:rsid w:val="0041416B"/>
    <w:rsid w:val="004161DA"/>
    <w:rsid w:val="00416484"/>
    <w:rsid w:val="00417B98"/>
    <w:rsid w:val="00420773"/>
    <w:rsid w:val="00425FD6"/>
    <w:rsid w:val="00427606"/>
    <w:rsid w:val="004279C7"/>
    <w:rsid w:val="004305B4"/>
    <w:rsid w:val="004311B0"/>
    <w:rsid w:val="0043369C"/>
    <w:rsid w:val="00433D36"/>
    <w:rsid w:val="0043477C"/>
    <w:rsid w:val="00434B38"/>
    <w:rsid w:val="00434E35"/>
    <w:rsid w:val="00437A68"/>
    <w:rsid w:val="00437C76"/>
    <w:rsid w:val="00441019"/>
    <w:rsid w:val="004425EF"/>
    <w:rsid w:val="00442B6C"/>
    <w:rsid w:val="004443DA"/>
    <w:rsid w:val="00447051"/>
    <w:rsid w:val="00447C56"/>
    <w:rsid w:val="00451E6C"/>
    <w:rsid w:val="00453C4A"/>
    <w:rsid w:val="00453E65"/>
    <w:rsid w:val="004561B2"/>
    <w:rsid w:val="00456CBC"/>
    <w:rsid w:val="0045785B"/>
    <w:rsid w:val="00460058"/>
    <w:rsid w:val="004623F7"/>
    <w:rsid w:val="0046356E"/>
    <w:rsid w:val="0046763F"/>
    <w:rsid w:val="00470C4C"/>
    <w:rsid w:val="0047155C"/>
    <w:rsid w:val="004719DC"/>
    <w:rsid w:val="004721E5"/>
    <w:rsid w:val="0047357C"/>
    <w:rsid w:val="00474A51"/>
    <w:rsid w:val="00481451"/>
    <w:rsid w:val="0048159E"/>
    <w:rsid w:val="004817C2"/>
    <w:rsid w:val="004817D8"/>
    <w:rsid w:val="004819B3"/>
    <w:rsid w:val="004820DF"/>
    <w:rsid w:val="00482A61"/>
    <w:rsid w:val="004851C2"/>
    <w:rsid w:val="004861CE"/>
    <w:rsid w:val="00487729"/>
    <w:rsid w:val="00490AC6"/>
    <w:rsid w:val="004910F0"/>
    <w:rsid w:val="00491943"/>
    <w:rsid w:val="00493E82"/>
    <w:rsid w:val="00494EEB"/>
    <w:rsid w:val="00496D73"/>
    <w:rsid w:val="004A24EE"/>
    <w:rsid w:val="004A377D"/>
    <w:rsid w:val="004A405A"/>
    <w:rsid w:val="004A4129"/>
    <w:rsid w:val="004A557D"/>
    <w:rsid w:val="004A56DD"/>
    <w:rsid w:val="004A570B"/>
    <w:rsid w:val="004A5934"/>
    <w:rsid w:val="004A7F32"/>
    <w:rsid w:val="004B1233"/>
    <w:rsid w:val="004B208A"/>
    <w:rsid w:val="004B2149"/>
    <w:rsid w:val="004B2D8C"/>
    <w:rsid w:val="004B67DE"/>
    <w:rsid w:val="004B72C5"/>
    <w:rsid w:val="004B7D94"/>
    <w:rsid w:val="004C03FF"/>
    <w:rsid w:val="004C05C3"/>
    <w:rsid w:val="004C06BA"/>
    <w:rsid w:val="004C2A62"/>
    <w:rsid w:val="004C420A"/>
    <w:rsid w:val="004C434E"/>
    <w:rsid w:val="004C7A0F"/>
    <w:rsid w:val="004D00F8"/>
    <w:rsid w:val="004D097D"/>
    <w:rsid w:val="004D110E"/>
    <w:rsid w:val="004D18A5"/>
    <w:rsid w:val="004D319A"/>
    <w:rsid w:val="004D3EA6"/>
    <w:rsid w:val="004D6FC7"/>
    <w:rsid w:val="004E523D"/>
    <w:rsid w:val="004E655A"/>
    <w:rsid w:val="004E704E"/>
    <w:rsid w:val="004F364D"/>
    <w:rsid w:val="004F534F"/>
    <w:rsid w:val="004F6D64"/>
    <w:rsid w:val="004F764E"/>
    <w:rsid w:val="004F7AFA"/>
    <w:rsid w:val="0050346C"/>
    <w:rsid w:val="0050399B"/>
    <w:rsid w:val="00503EBC"/>
    <w:rsid w:val="00503F21"/>
    <w:rsid w:val="00504311"/>
    <w:rsid w:val="00507F2E"/>
    <w:rsid w:val="00510574"/>
    <w:rsid w:val="00510919"/>
    <w:rsid w:val="005121CA"/>
    <w:rsid w:val="005129D6"/>
    <w:rsid w:val="00513F04"/>
    <w:rsid w:val="00514F19"/>
    <w:rsid w:val="00515933"/>
    <w:rsid w:val="005164FD"/>
    <w:rsid w:val="0051662D"/>
    <w:rsid w:val="005167BA"/>
    <w:rsid w:val="005177C6"/>
    <w:rsid w:val="005212FD"/>
    <w:rsid w:val="00522C17"/>
    <w:rsid w:val="00524448"/>
    <w:rsid w:val="00524AD2"/>
    <w:rsid w:val="005253B2"/>
    <w:rsid w:val="005255C4"/>
    <w:rsid w:val="00526435"/>
    <w:rsid w:val="005277CA"/>
    <w:rsid w:val="005300E8"/>
    <w:rsid w:val="00531B46"/>
    <w:rsid w:val="00531DCB"/>
    <w:rsid w:val="00532531"/>
    <w:rsid w:val="00532C54"/>
    <w:rsid w:val="00532D38"/>
    <w:rsid w:val="005333A1"/>
    <w:rsid w:val="00534718"/>
    <w:rsid w:val="0053747E"/>
    <w:rsid w:val="0053785D"/>
    <w:rsid w:val="00537AF6"/>
    <w:rsid w:val="00537DF0"/>
    <w:rsid w:val="00540647"/>
    <w:rsid w:val="00540E45"/>
    <w:rsid w:val="005413C8"/>
    <w:rsid w:val="00542C5D"/>
    <w:rsid w:val="00547813"/>
    <w:rsid w:val="005478BE"/>
    <w:rsid w:val="00550396"/>
    <w:rsid w:val="005506EF"/>
    <w:rsid w:val="00550E44"/>
    <w:rsid w:val="0055181C"/>
    <w:rsid w:val="00551D57"/>
    <w:rsid w:val="005520FF"/>
    <w:rsid w:val="005542D7"/>
    <w:rsid w:val="00555558"/>
    <w:rsid w:val="00556AF7"/>
    <w:rsid w:val="00560E05"/>
    <w:rsid w:val="00562961"/>
    <w:rsid w:val="0056421D"/>
    <w:rsid w:val="00564709"/>
    <w:rsid w:val="00565450"/>
    <w:rsid w:val="00565752"/>
    <w:rsid w:val="005658DD"/>
    <w:rsid w:val="00567762"/>
    <w:rsid w:val="0057032F"/>
    <w:rsid w:val="00570C05"/>
    <w:rsid w:val="00571718"/>
    <w:rsid w:val="00571BB6"/>
    <w:rsid w:val="00573D1A"/>
    <w:rsid w:val="00573FDD"/>
    <w:rsid w:val="00574C7B"/>
    <w:rsid w:val="0057597A"/>
    <w:rsid w:val="00575CC1"/>
    <w:rsid w:val="00575F45"/>
    <w:rsid w:val="00576BA1"/>
    <w:rsid w:val="005804A2"/>
    <w:rsid w:val="00580A48"/>
    <w:rsid w:val="005823FB"/>
    <w:rsid w:val="00582534"/>
    <w:rsid w:val="005841BC"/>
    <w:rsid w:val="005843B8"/>
    <w:rsid w:val="00584C69"/>
    <w:rsid w:val="00585154"/>
    <w:rsid w:val="00591060"/>
    <w:rsid w:val="00593169"/>
    <w:rsid w:val="0059320F"/>
    <w:rsid w:val="0059390D"/>
    <w:rsid w:val="00594010"/>
    <w:rsid w:val="00594BBE"/>
    <w:rsid w:val="005955DC"/>
    <w:rsid w:val="00595FA9"/>
    <w:rsid w:val="005972C3"/>
    <w:rsid w:val="005A313F"/>
    <w:rsid w:val="005A4119"/>
    <w:rsid w:val="005A4DA2"/>
    <w:rsid w:val="005A52A9"/>
    <w:rsid w:val="005A673F"/>
    <w:rsid w:val="005A68E8"/>
    <w:rsid w:val="005B1057"/>
    <w:rsid w:val="005B21DF"/>
    <w:rsid w:val="005B308C"/>
    <w:rsid w:val="005B6B68"/>
    <w:rsid w:val="005C0614"/>
    <w:rsid w:val="005C0967"/>
    <w:rsid w:val="005C176A"/>
    <w:rsid w:val="005C29BD"/>
    <w:rsid w:val="005C2B69"/>
    <w:rsid w:val="005D0590"/>
    <w:rsid w:val="005D2DA5"/>
    <w:rsid w:val="005D4622"/>
    <w:rsid w:val="005D60C9"/>
    <w:rsid w:val="005D7453"/>
    <w:rsid w:val="005D7943"/>
    <w:rsid w:val="005E087B"/>
    <w:rsid w:val="005E110C"/>
    <w:rsid w:val="005E5586"/>
    <w:rsid w:val="005E5EDB"/>
    <w:rsid w:val="005E70E4"/>
    <w:rsid w:val="005E7AE6"/>
    <w:rsid w:val="005F44E9"/>
    <w:rsid w:val="005F6563"/>
    <w:rsid w:val="00600D08"/>
    <w:rsid w:val="00602F00"/>
    <w:rsid w:val="00603887"/>
    <w:rsid w:val="006045E6"/>
    <w:rsid w:val="0060566C"/>
    <w:rsid w:val="00605AB6"/>
    <w:rsid w:val="00607B9A"/>
    <w:rsid w:val="00612E25"/>
    <w:rsid w:val="00622E32"/>
    <w:rsid w:val="006231DE"/>
    <w:rsid w:val="00624133"/>
    <w:rsid w:val="00624E4B"/>
    <w:rsid w:val="00626C16"/>
    <w:rsid w:val="00626D07"/>
    <w:rsid w:val="00627EC6"/>
    <w:rsid w:val="00630B33"/>
    <w:rsid w:val="0063335E"/>
    <w:rsid w:val="00634CFE"/>
    <w:rsid w:val="00635629"/>
    <w:rsid w:val="00636370"/>
    <w:rsid w:val="00636961"/>
    <w:rsid w:val="0064036E"/>
    <w:rsid w:val="00640665"/>
    <w:rsid w:val="0064286B"/>
    <w:rsid w:val="00644F94"/>
    <w:rsid w:val="0065025F"/>
    <w:rsid w:val="0065063B"/>
    <w:rsid w:val="0065066E"/>
    <w:rsid w:val="006532BB"/>
    <w:rsid w:val="006533D1"/>
    <w:rsid w:val="00654A54"/>
    <w:rsid w:val="00662095"/>
    <w:rsid w:val="00662669"/>
    <w:rsid w:val="00662D7B"/>
    <w:rsid w:val="0066442C"/>
    <w:rsid w:val="00665BE5"/>
    <w:rsid w:val="006724B4"/>
    <w:rsid w:val="00674238"/>
    <w:rsid w:val="00680C22"/>
    <w:rsid w:val="00681F0C"/>
    <w:rsid w:val="0068216A"/>
    <w:rsid w:val="0068305C"/>
    <w:rsid w:val="00683FC9"/>
    <w:rsid w:val="006857B3"/>
    <w:rsid w:val="00685908"/>
    <w:rsid w:val="006859E8"/>
    <w:rsid w:val="00685AC6"/>
    <w:rsid w:val="00685DB2"/>
    <w:rsid w:val="006869E9"/>
    <w:rsid w:val="0069031B"/>
    <w:rsid w:val="00691A51"/>
    <w:rsid w:val="00695F5C"/>
    <w:rsid w:val="00696012"/>
    <w:rsid w:val="00697637"/>
    <w:rsid w:val="00697667"/>
    <w:rsid w:val="006A01B3"/>
    <w:rsid w:val="006A2399"/>
    <w:rsid w:val="006A2DE9"/>
    <w:rsid w:val="006A3276"/>
    <w:rsid w:val="006A3AC0"/>
    <w:rsid w:val="006A3E2B"/>
    <w:rsid w:val="006A454F"/>
    <w:rsid w:val="006A4FF1"/>
    <w:rsid w:val="006B137D"/>
    <w:rsid w:val="006B1AE8"/>
    <w:rsid w:val="006B4A1E"/>
    <w:rsid w:val="006B5A48"/>
    <w:rsid w:val="006B609D"/>
    <w:rsid w:val="006C0AE2"/>
    <w:rsid w:val="006C0D94"/>
    <w:rsid w:val="006C269E"/>
    <w:rsid w:val="006C2924"/>
    <w:rsid w:val="006C4232"/>
    <w:rsid w:val="006C43C0"/>
    <w:rsid w:val="006C5551"/>
    <w:rsid w:val="006C639C"/>
    <w:rsid w:val="006D22A5"/>
    <w:rsid w:val="006D2963"/>
    <w:rsid w:val="006D485E"/>
    <w:rsid w:val="006D4923"/>
    <w:rsid w:val="006D69F6"/>
    <w:rsid w:val="006E0C07"/>
    <w:rsid w:val="006E3C15"/>
    <w:rsid w:val="006E517B"/>
    <w:rsid w:val="006F005C"/>
    <w:rsid w:val="006F1BC8"/>
    <w:rsid w:val="006F2549"/>
    <w:rsid w:val="006F27A5"/>
    <w:rsid w:val="006F7D2C"/>
    <w:rsid w:val="00700877"/>
    <w:rsid w:val="00703DDF"/>
    <w:rsid w:val="00707649"/>
    <w:rsid w:val="00707BF4"/>
    <w:rsid w:val="00710FDC"/>
    <w:rsid w:val="00711087"/>
    <w:rsid w:val="00711337"/>
    <w:rsid w:val="00711C49"/>
    <w:rsid w:val="00714F75"/>
    <w:rsid w:val="00715679"/>
    <w:rsid w:val="00717AF1"/>
    <w:rsid w:val="00717BA7"/>
    <w:rsid w:val="007243DF"/>
    <w:rsid w:val="00724E58"/>
    <w:rsid w:val="0072557A"/>
    <w:rsid w:val="007256B6"/>
    <w:rsid w:val="00730BEA"/>
    <w:rsid w:val="0073114F"/>
    <w:rsid w:val="00731507"/>
    <w:rsid w:val="007319A3"/>
    <w:rsid w:val="0073343E"/>
    <w:rsid w:val="00733713"/>
    <w:rsid w:val="00734C41"/>
    <w:rsid w:val="00734D24"/>
    <w:rsid w:val="00737082"/>
    <w:rsid w:val="00743EF3"/>
    <w:rsid w:val="00751575"/>
    <w:rsid w:val="00752A41"/>
    <w:rsid w:val="00753B5F"/>
    <w:rsid w:val="00754434"/>
    <w:rsid w:val="00755BF0"/>
    <w:rsid w:val="00756C6B"/>
    <w:rsid w:val="0076084E"/>
    <w:rsid w:val="007633E9"/>
    <w:rsid w:val="00763D48"/>
    <w:rsid w:val="007643DF"/>
    <w:rsid w:val="007661C4"/>
    <w:rsid w:val="00766DBF"/>
    <w:rsid w:val="00770313"/>
    <w:rsid w:val="007707B5"/>
    <w:rsid w:val="0077231F"/>
    <w:rsid w:val="0077585D"/>
    <w:rsid w:val="007801C6"/>
    <w:rsid w:val="00780780"/>
    <w:rsid w:val="00780D8A"/>
    <w:rsid w:val="00782093"/>
    <w:rsid w:val="007869AB"/>
    <w:rsid w:val="00787753"/>
    <w:rsid w:val="00787FF9"/>
    <w:rsid w:val="0079111A"/>
    <w:rsid w:val="007912A4"/>
    <w:rsid w:val="00791918"/>
    <w:rsid w:val="00791ABB"/>
    <w:rsid w:val="00793083"/>
    <w:rsid w:val="00794363"/>
    <w:rsid w:val="00795CE4"/>
    <w:rsid w:val="00795E3E"/>
    <w:rsid w:val="007978F4"/>
    <w:rsid w:val="007A29CA"/>
    <w:rsid w:val="007A3F59"/>
    <w:rsid w:val="007A40A5"/>
    <w:rsid w:val="007A46CB"/>
    <w:rsid w:val="007A4F32"/>
    <w:rsid w:val="007A5123"/>
    <w:rsid w:val="007A57DE"/>
    <w:rsid w:val="007A775F"/>
    <w:rsid w:val="007B2832"/>
    <w:rsid w:val="007B3B39"/>
    <w:rsid w:val="007B52DA"/>
    <w:rsid w:val="007B606D"/>
    <w:rsid w:val="007C02C7"/>
    <w:rsid w:val="007C195A"/>
    <w:rsid w:val="007C49FB"/>
    <w:rsid w:val="007C7791"/>
    <w:rsid w:val="007D017C"/>
    <w:rsid w:val="007D096D"/>
    <w:rsid w:val="007D288E"/>
    <w:rsid w:val="007D5DD6"/>
    <w:rsid w:val="007D6568"/>
    <w:rsid w:val="007D7EAD"/>
    <w:rsid w:val="007E5AE8"/>
    <w:rsid w:val="007E673A"/>
    <w:rsid w:val="007F08B4"/>
    <w:rsid w:val="007F1936"/>
    <w:rsid w:val="007F392F"/>
    <w:rsid w:val="007F5837"/>
    <w:rsid w:val="007F5D32"/>
    <w:rsid w:val="007F621E"/>
    <w:rsid w:val="007F6B3A"/>
    <w:rsid w:val="007F7318"/>
    <w:rsid w:val="00801D3C"/>
    <w:rsid w:val="00803A51"/>
    <w:rsid w:val="00803D57"/>
    <w:rsid w:val="0080404F"/>
    <w:rsid w:val="00804207"/>
    <w:rsid w:val="0080429F"/>
    <w:rsid w:val="008063ED"/>
    <w:rsid w:val="00806DB3"/>
    <w:rsid w:val="008130C3"/>
    <w:rsid w:val="00813985"/>
    <w:rsid w:val="00815C6D"/>
    <w:rsid w:val="008163EB"/>
    <w:rsid w:val="008167B1"/>
    <w:rsid w:val="00821F15"/>
    <w:rsid w:val="00822664"/>
    <w:rsid w:val="00824DCB"/>
    <w:rsid w:val="0082509F"/>
    <w:rsid w:val="00826621"/>
    <w:rsid w:val="00826720"/>
    <w:rsid w:val="00830B70"/>
    <w:rsid w:val="00832A24"/>
    <w:rsid w:val="00833A03"/>
    <w:rsid w:val="00834A43"/>
    <w:rsid w:val="008364E9"/>
    <w:rsid w:val="0084159C"/>
    <w:rsid w:val="0084730D"/>
    <w:rsid w:val="00850986"/>
    <w:rsid w:val="00851D6F"/>
    <w:rsid w:val="00851DD2"/>
    <w:rsid w:val="00856C37"/>
    <w:rsid w:val="00857F09"/>
    <w:rsid w:val="008614A0"/>
    <w:rsid w:val="00861850"/>
    <w:rsid w:val="008619E5"/>
    <w:rsid w:val="00862702"/>
    <w:rsid w:val="008643F3"/>
    <w:rsid w:val="008673FE"/>
    <w:rsid w:val="00873C20"/>
    <w:rsid w:val="0087464C"/>
    <w:rsid w:val="00874679"/>
    <w:rsid w:val="008801A2"/>
    <w:rsid w:val="00881374"/>
    <w:rsid w:val="00881ADC"/>
    <w:rsid w:val="008836C9"/>
    <w:rsid w:val="00885115"/>
    <w:rsid w:val="00886A80"/>
    <w:rsid w:val="00886E32"/>
    <w:rsid w:val="0089233C"/>
    <w:rsid w:val="00896233"/>
    <w:rsid w:val="00896A6F"/>
    <w:rsid w:val="008A0162"/>
    <w:rsid w:val="008A12D0"/>
    <w:rsid w:val="008A1DDD"/>
    <w:rsid w:val="008A1F9B"/>
    <w:rsid w:val="008A33C9"/>
    <w:rsid w:val="008A34CC"/>
    <w:rsid w:val="008A5535"/>
    <w:rsid w:val="008A5FAC"/>
    <w:rsid w:val="008A671F"/>
    <w:rsid w:val="008A7716"/>
    <w:rsid w:val="008A77DF"/>
    <w:rsid w:val="008A7CCD"/>
    <w:rsid w:val="008B0042"/>
    <w:rsid w:val="008B196B"/>
    <w:rsid w:val="008B198C"/>
    <w:rsid w:val="008B51B0"/>
    <w:rsid w:val="008B5E27"/>
    <w:rsid w:val="008B6147"/>
    <w:rsid w:val="008C0A97"/>
    <w:rsid w:val="008C18A5"/>
    <w:rsid w:val="008C27C3"/>
    <w:rsid w:val="008C49C4"/>
    <w:rsid w:val="008C5022"/>
    <w:rsid w:val="008C5B13"/>
    <w:rsid w:val="008C69DF"/>
    <w:rsid w:val="008C69E4"/>
    <w:rsid w:val="008C6B0A"/>
    <w:rsid w:val="008C7DB1"/>
    <w:rsid w:val="008D1214"/>
    <w:rsid w:val="008D1A0F"/>
    <w:rsid w:val="008D2D0E"/>
    <w:rsid w:val="008D42AF"/>
    <w:rsid w:val="008D55AC"/>
    <w:rsid w:val="008D55D5"/>
    <w:rsid w:val="008D722A"/>
    <w:rsid w:val="008E0864"/>
    <w:rsid w:val="008E14D6"/>
    <w:rsid w:val="008E185D"/>
    <w:rsid w:val="008E3424"/>
    <w:rsid w:val="008E3EB1"/>
    <w:rsid w:val="008E41B2"/>
    <w:rsid w:val="008E6B35"/>
    <w:rsid w:val="008F2292"/>
    <w:rsid w:val="008F37FA"/>
    <w:rsid w:val="008F444E"/>
    <w:rsid w:val="008F44CB"/>
    <w:rsid w:val="008F45E4"/>
    <w:rsid w:val="008F4CB3"/>
    <w:rsid w:val="008F4EC0"/>
    <w:rsid w:val="008F7D03"/>
    <w:rsid w:val="00900E85"/>
    <w:rsid w:val="00901AFD"/>
    <w:rsid w:val="0090226B"/>
    <w:rsid w:val="00904DBC"/>
    <w:rsid w:val="0090587E"/>
    <w:rsid w:val="00905C6A"/>
    <w:rsid w:val="00905E0F"/>
    <w:rsid w:val="00907FB5"/>
    <w:rsid w:val="00907FE3"/>
    <w:rsid w:val="0091265E"/>
    <w:rsid w:val="009129B8"/>
    <w:rsid w:val="009142DA"/>
    <w:rsid w:val="00915AFC"/>
    <w:rsid w:val="00916BF2"/>
    <w:rsid w:val="0092106B"/>
    <w:rsid w:val="00922387"/>
    <w:rsid w:val="009230B6"/>
    <w:rsid w:val="00931165"/>
    <w:rsid w:val="009312EF"/>
    <w:rsid w:val="00931DD2"/>
    <w:rsid w:val="009343B3"/>
    <w:rsid w:val="00934E93"/>
    <w:rsid w:val="009350AF"/>
    <w:rsid w:val="009353D7"/>
    <w:rsid w:val="009401C4"/>
    <w:rsid w:val="009416CA"/>
    <w:rsid w:val="009433B0"/>
    <w:rsid w:val="00943CEB"/>
    <w:rsid w:val="00945049"/>
    <w:rsid w:val="00946634"/>
    <w:rsid w:val="00947DE2"/>
    <w:rsid w:val="009505B0"/>
    <w:rsid w:val="009533E2"/>
    <w:rsid w:val="00953469"/>
    <w:rsid w:val="00955ADB"/>
    <w:rsid w:val="00955B05"/>
    <w:rsid w:val="009601D2"/>
    <w:rsid w:val="00962E18"/>
    <w:rsid w:val="0096392C"/>
    <w:rsid w:val="00967D78"/>
    <w:rsid w:val="009710E0"/>
    <w:rsid w:val="009716AF"/>
    <w:rsid w:val="009722BC"/>
    <w:rsid w:val="0097298E"/>
    <w:rsid w:val="00974EFA"/>
    <w:rsid w:val="00975657"/>
    <w:rsid w:val="00983BA5"/>
    <w:rsid w:val="00984FCF"/>
    <w:rsid w:val="00985679"/>
    <w:rsid w:val="00985A89"/>
    <w:rsid w:val="00986B8F"/>
    <w:rsid w:val="00986BEA"/>
    <w:rsid w:val="00992988"/>
    <w:rsid w:val="00994A91"/>
    <w:rsid w:val="00995678"/>
    <w:rsid w:val="009A1807"/>
    <w:rsid w:val="009A28C8"/>
    <w:rsid w:val="009A30A5"/>
    <w:rsid w:val="009A3155"/>
    <w:rsid w:val="009A3F9E"/>
    <w:rsid w:val="009A43D8"/>
    <w:rsid w:val="009A52DD"/>
    <w:rsid w:val="009A5E11"/>
    <w:rsid w:val="009A6682"/>
    <w:rsid w:val="009A68FF"/>
    <w:rsid w:val="009B076B"/>
    <w:rsid w:val="009B097D"/>
    <w:rsid w:val="009B147A"/>
    <w:rsid w:val="009B38DD"/>
    <w:rsid w:val="009B40C7"/>
    <w:rsid w:val="009B4FA1"/>
    <w:rsid w:val="009B7D0F"/>
    <w:rsid w:val="009C1375"/>
    <w:rsid w:val="009C2BE5"/>
    <w:rsid w:val="009C3A3F"/>
    <w:rsid w:val="009C42DC"/>
    <w:rsid w:val="009C4FC2"/>
    <w:rsid w:val="009C67DC"/>
    <w:rsid w:val="009C77FF"/>
    <w:rsid w:val="009D003F"/>
    <w:rsid w:val="009D080A"/>
    <w:rsid w:val="009D3EB4"/>
    <w:rsid w:val="009D6D83"/>
    <w:rsid w:val="009D7486"/>
    <w:rsid w:val="009D7F7C"/>
    <w:rsid w:val="009E523B"/>
    <w:rsid w:val="009E52AF"/>
    <w:rsid w:val="009E5581"/>
    <w:rsid w:val="009E61A2"/>
    <w:rsid w:val="009E6908"/>
    <w:rsid w:val="009F2972"/>
    <w:rsid w:val="009F2FD8"/>
    <w:rsid w:val="009F30E6"/>
    <w:rsid w:val="009F6E7B"/>
    <w:rsid w:val="009F7311"/>
    <w:rsid w:val="00A0052B"/>
    <w:rsid w:val="00A02DBF"/>
    <w:rsid w:val="00A03A53"/>
    <w:rsid w:val="00A04558"/>
    <w:rsid w:val="00A06346"/>
    <w:rsid w:val="00A1005B"/>
    <w:rsid w:val="00A10C27"/>
    <w:rsid w:val="00A134DA"/>
    <w:rsid w:val="00A13F6A"/>
    <w:rsid w:val="00A1453E"/>
    <w:rsid w:val="00A171CD"/>
    <w:rsid w:val="00A17A38"/>
    <w:rsid w:val="00A17E64"/>
    <w:rsid w:val="00A20226"/>
    <w:rsid w:val="00A20F3F"/>
    <w:rsid w:val="00A21916"/>
    <w:rsid w:val="00A2234B"/>
    <w:rsid w:val="00A22747"/>
    <w:rsid w:val="00A23372"/>
    <w:rsid w:val="00A23B26"/>
    <w:rsid w:val="00A25ACA"/>
    <w:rsid w:val="00A30720"/>
    <w:rsid w:val="00A357CF"/>
    <w:rsid w:val="00A359A2"/>
    <w:rsid w:val="00A368BE"/>
    <w:rsid w:val="00A3754F"/>
    <w:rsid w:val="00A40656"/>
    <w:rsid w:val="00A42EAB"/>
    <w:rsid w:val="00A4335E"/>
    <w:rsid w:val="00A442F4"/>
    <w:rsid w:val="00A44F34"/>
    <w:rsid w:val="00A46D18"/>
    <w:rsid w:val="00A5270F"/>
    <w:rsid w:val="00A532DA"/>
    <w:rsid w:val="00A54344"/>
    <w:rsid w:val="00A6280D"/>
    <w:rsid w:val="00A63A3E"/>
    <w:rsid w:val="00A63CBA"/>
    <w:rsid w:val="00A642C4"/>
    <w:rsid w:val="00A6482D"/>
    <w:rsid w:val="00A652DA"/>
    <w:rsid w:val="00A66307"/>
    <w:rsid w:val="00A7282B"/>
    <w:rsid w:val="00A8000E"/>
    <w:rsid w:val="00A819CD"/>
    <w:rsid w:val="00A81B7C"/>
    <w:rsid w:val="00A825A6"/>
    <w:rsid w:val="00A82D72"/>
    <w:rsid w:val="00A84548"/>
    <w:rsid w:val="00A86365"/>
    <w:rsid w:val="00A86970"/>
    <w:rsid w:val="00A86FF6"/>
    <w:rsid w:val="00A9067B"/>
    <w:rsid w:val="00A9252B"/>
    <w:rsid w:val="00A92EBE"/>
    <w:rsid w:val="00A9516B"/>
    <w:rsid w:val="00A95AEB"/>
    <w:rsid w:val="00AA0F61"/>
    <w:rsid w:val="00AA2853"/>
    <w:rsid w:val="00AA36C7"/>
    <w:rsid w:val="00AA4459"/>
    <w:rsid w:val="00AA495E"/>
    <w:rsid w:val="00AA6934"/>
    <w:rsid w:val="00AA6E9D"/>
    <w:rsid w:val="00AA799C"/>
    <w:rsid w:val="00AA7BA4"/>
    <w:rsid w:val="00AB0C2C"/>
    <w:rsid w:val="00AB1078"/>
    <w:rsid w:val="00AB1346"/>
    <w:rsid w:val="00AB26DB"/>
    <w:rsid w:val="00AB3176"/>
    <w:rsid w:val="00AB46D4"/>
    <w:rsid w:val="00AB4A81"/>
    <w:rsid w:val="00AB4CFA"/>
    <w:rsid w:val="00AC4838"/>
    <w:rsid w:val="00AC572A"/>
    <w:rsid w:val="00AC5D56"/>
    <w:rsid w:val="00AC7340"/>
    <w:rsid w:val="00AD0813"/>
    <w:rsid w:val="00AD24EF"/>
    <w:rsid w:val="00AD2983"/>
    <w:rsid w:val="00AD5992"/>
    <w:rsid w:val="00AD5A93"/>
    <w:rsid w:val="00AE024C"/>
    <w:rsid w:val="00AE194F"/>
    <w:rsid w:val="00AE371D"/>
    <w:rsid w:val="00AE39AB"/>
    <w:rsid w:val="00AE584F"/>
    <w:rsid w:val="00AE63C3"/>
    <w:rsid w:val="00AE7CFC"/>
    <w:rsid w:val="00AF0490"/>
    <w:rsid w:val="00AF0BB9"/>
    <w:rsid w:val="00AF291F"/>
    <w:rsid w:val="00AF3CBB"/>
    <w:rsid w:val="00AF6489"/>
    <w:rsid w:val="00AF7A9F"/>
    <w:rsid w:val="00B01D34"/>
    <w:rsid w:val="00B01F7F"/>
    <w:rsid w:val="00B03609"/>
    <w:rsid w:val="00B03831"/>
    <w:rsid w:val="00B03DBB"/>
    <w:rsid w:val="00B04254"/>
    <w:rsid w:val="00B05449"/>
    <w:rsid w:val="00B05903"/>
    <w:rsid w:val="00B066F8"/>
    <w:rsid w:val="00B06E17"/>
    <w:rsid w:val="00B10648"/>
    <w:rsid w:val="00B110E8"/>
    <w:rsid w:val="00B15007"/>
    <w:rsid w:val="00B16D73"/>
    <w:rsid w:val="00B16DE7"/>
    <w:rsid w:val="00B179CD"/>
    <w:rsid w:val="00B225D7"/>
    <w:rsid w:val="00B23C0F"/>
    <w:rsid w:val="00B24177"/>
    <w:rsid w:val="00B30D05"/>
    <w:rsid w:val="00B30DFD"/>
    <w:rsid w:val="00B31253"/>
    <w:rsid w:val="00B327DB"/>
    <w:rsid w:val="00B357A3"/>
    <w:rsid w:val="00B37370"/>
    <w:rsid w:val="00B41871"/>
    <w:rsid w:val="00B4336F"/>
    <w:rsid w:val="00B4522D"/>
    <w:rsid w:val="00B4598F"/>
    <w:rsid w:val="00B46BF7"/>
    <w:rsid w:val="00B50E29"/>
    <w:rsid w:val="00B51E97"/>
    <w:rsid w:val="00B52CBD"/>
    <w:rsid w:val="00B5327F"/>
    <w:rsid w:val="00B534B4"/>
    <w:rsid w:val="00B565FE"/>
    <w:rsid w:val="00B57C66"/>
    <w:rsid w:val="00B60458"/>
    <w:rsid w:val="00B61DC3"/>
    <w:rsid w:val="00B633C4"/>
    <w:rsid w:val="00B67AEA"/>
    <w:rsid w:val="00B72C66"/>
    <w:rsid w:val="00B72CA2"/>
    <w:rsid w:val="00B73C62"/>
    <w:rsid w:val="00B83C32"/>
    <w:rsid w:val="00B85816"/>
    <w:rsid w:val="00B875C0"/>
    <w:rsid w:val="00B90075"/>
    <w:rsid w:val="00B902A6"/>
    <w:rsid w:val="00B90608"/>
    <w:rsid w:val="00B9166F"/>
    <w:rsid w:val="00B920AD"/>
    <w:rsid w:val="00B93E24"/>
    <w:rsid w:val="00B94C8E"/>
    <w:rsid w:val="00B9514C"/>
    <w:rsid w:val="00B966AC"/>
    <w:rsid w:val="00BA0A06"/>
    <w:rsid w:val="00BA1064"/>
    <w:rsid w:val="00BA485C"/>
    <w:rsid w:val="00BA48FC"/>
    <w:rsid w:val="00BA4C75"/>
    <w:rsid w:val="00BA6979"/>
    <w:rsid w:val="00BA7863"/>
    <w:rsid w:val="00BA790D"/>
    <w:rsid w:val="00BB14DC"/>
    <w:rsid w:val="00BB279B"/>
    <w:rsid w:val="00BB3D58"/>
    <w:rsid w:val="00BB4323"/>
    <w:rsid w:val="00BB452C"/>
    <w:rsid w:val="00BB4532"/>
    <w:rsid w:val="00BB4A21"/>
    <w:rsid w:val="00BB650B"/>
    <w:rsid w:val="00BB6BFB"/>
    <w:rsid w:val="00BC2785"/>
    <w:rsid w:val="00BC30DC"/>
    <w:rsid w:val="00BC4E9E"/>
    <w:rsid w:val="00BC58A4"/>
    <w:rsid w:val="00BC781E"/>
    <w:rsid w:val="00BD03E6"/>
    <w:rsid w:val="00BD148F"/>
    <w:rsid w:val="00BD1973"/>
    <w:rsid w:val="00BD358F"/>
    <w:rsid w:val="00BD4809"/>
    <w:rsid w:val="00BD5170"/>
    <w:rsid w:val="00BD5E5C"/>
    <w:rsid w:val="00BD5F32"/>
    <w:rsid w:val="00BD6416"/>
    <w:rsid w:val="00BD774B"/>
    <w:rsid w:val="00BE437C"/>
    <w:rsid w:val="00BE5949"/>
    <w:rsid w:val="00BF0241"/>
    <w:rsid w:val="00BF19DE"/>
    <w:rsid w:val="00BF3055"/>
    <w:rsid w:val="00BF3E3E"/>
    <w:rsid w:val="00C01D39"/>
    <w:rsid w:val="00C036C5"/>
    <w:rsid w:val="00C04346"/>
    <w:rsid w:val="00C047F4"/>
    <w:rsid w:val="00C04B21"/>
    <w:rsid w:val="00C04E5F"/>
    <w:rsid w:val="00C05C52"/>
    <w:rsid w:val="00C05E68"/>
    <w:rsid w:val="00C06C84"/>
    <w:rsid w:val="00C103CD"/>
    <w:rsid w:val="00C112DA"/>
    <w:rsid w:val="00C1253A"/>
    <w:rsid w:val="00C12544"/>
    <w:rsid w:val="00C12799"/>
    <w:rsid w:val="00C213E5"/>
    <w:rsid w:val="00C24F60"/>
    <w:rsid w:val="00C25C9B"/>
    <w:rsid w:val="00C261AB"/>
    <w:rsid w:val="00C32303"/>
    <w:rsid w:val="00C324B5"/>
    <w:rsid w:val="00C36220"/>
    <w:rsid w:val="00C362DF"/>
    <w:rsid w:val="00C375ED"/>
    <w:rsid w:val="00C37B1F"/>
    <w:rsid w:val="00C37F58"/>
    <w:rsid w:val="00C42BB6"/>
    <w:rsid w:val="00C42F14"/>
    <w:rsid w:val="00C44F26"/>
    <w:rsid w:val="00C5077E"/>
    <w:rsid w:val="00C52EF2"/>
    <w:rsid w:val="00C533E2"/>
    <w:rsid w:val="00C535AB"/>
    <w:rsid w:val="00C53722"/>
    <w:rsid w:val="00C537C1"/>
    <w:rsid w:val="00C53809"/>
    <w:rsid w:val="00C53B40"/>
    <w:rsid w:val="00C55493"/>
    <w:rsid w:val="00C57D30"/>
    <w:rsid w:val="00C601D5"/>
    <w:rsid w:val="00C60DC9"/>
    <w:rsid w:val="00C623F7"/>
    <w:rsid w:val="00C62AA6"/>
    <w:rsid w:val="00C63034"/>
    <w:rsid w:val="00C6413D"/>
    <w:rsid w:val="00C65706"/>
    <w:rsid w:val="00C65ACA"/>
    <w:rsid w:val="00C66C45"/>
    <w:rsid w:val="00C67F24"/>
    <w:rsid w:val="00C716A7"/>
    <w:rsid w:val="00C73097"/>
    <w:rsid w:val="00C73F67"/>
    <w:rsid w:val="00C750E2"/>
    <w:rsid w:val="00C75E74"/>
    <w:rsid w:val="00C775B9"/>
    <w:rsid w:val="00C77802"/>
    <w:rsid w:val="00C81801"/>
    <w:rsid w:val="00C81DB2"/>
    <w:rsid w:val="00C86011"/>
    <w:rsid w:val="00C8675F"/>
    <w:rsid w:val="00C914D4"/>
    <w:rsid w:val="00C91905"/>
    <w:rsid w:val="00C92B10"/>
    <w:rsid w:val="00C94322"/>
    <w:rsid w:val="00C94724"/>
    <w:rsid w:val="00C94C06"/>
    <w:rsid w:val="00C953DF"/>
    <w:rsid w:val="00C96214"/>
    <w:rsid w:val="00C966DF"/>
    <w:rsid w:val="00C97197"/>
    <w:rsid w:val="00C97E68"/>
    <w:rsid w:val="00CA19DF"/>
    <w:rsid w:val="00CA1CDE"/>
    <w:rsid w:val="00CA27FF"/>
    <w:rsid w:val="00CA3DB6"/>
    <w:rsid w:val="00CA478F"/>
    <w:rsid w:val="00CA56B5"/>
    <w:rsid w:val="00CA5DFF"/>
    <w:rsid w:val="00CA7956"/>
    <w:rsid w:val="00CB2444"/>
    <w:rsid w:val="00CB670E"/>
    <w:rsid w:val="00CB677B"/>
    <w:rsid w:val="00CB6E94"/>
    <w:rsid w:val="00CB74DE"/>
    <w:rsid w:val="00CB7E4B"/>
    <w:rsid w:val="00CC0D30"/>
    <w:rsid w:val="00CC22FF"/>
    <w:rsid w:val="00CC6901"/>
    <w:rsid w:val="00CC79BA"/>
    <w:rsid w:val="00CC7E4B"/>
    <w:rsid w:val="00CD078C"/>
    <w:rsid w:val="00CD27BA"/>
    <w:rsid w:val="00CD2C75"/>
    <w:rsid w:val="00CD5DE2"/>
    <w:rsid w:val="00CD6C97"/>
    <w:rsid w:val="00CD72D6"/>
    <w:rsid w:val="00CE37CD"/>
    <w:rsid w:val="00CE5DE5"/>
    <w:rsid w:val="00CE64D2"/>
    <w:rsid w:val="00CF055B"/>
    <w:rsid w:val="00CF2334"/>
    <w:rsid w:val="00CF2864"/>
    <w:rsid w:val="00CF3ACB"/>
    <w:rsid w:val="00CF4491"/>
    <w:rsid w:val="00CF53AC"/>
    <w:rsid w:val="00CF7598"/>
    <w:rsid w:val="00D01A91"/>
    <w:rsid w:val="00D0364B"/>
    <w:rsid w:val="00D062E0"/>
    <w:rsid w:val="00D06F21"/>
    <w:rsid w:val="00D11D6B"/>
    <w:rsid w:val="00D12B9D"/>
    <w:rsid w:val="00D135A1"/>
    <w:rsid w:val="00D14282"/>
    <w:rsid w:val="00D144D7"/>
    <w:rsid w:val="00D17755"/>
    <w:rsid w:val="00D21EB2"/>
    <w:rsid w:val="00D22B47"/>
    <w:rsid w:val="00D24484"/>
    <w:rsid w:val="00D253CD"/>
    <w:rsid w:val="00D27C1B"/>
    <w:rsid w:val="00D320AF"/>
    <w:rsid w:val="00D32226"/>
    <w:rsid w:val="00D3542F"/>
    <w:rsid w:val="00D354F3"/>
    <w:rsid w:val="00D37314"/>
    <w:rsid w:val="00D3784D"/>
    <w:rsid w:val="00D41B42"/>
    <w:rsid w:val="00D41C70"/>
    <w:rsid w:val="00D43F36"/>
    <w:rsid w:val="00D44FC8"/>
    <w:rsid w:val="00D45E87"/>
    <w:rsid w:val="00D469C2"/>
    <w:rsid w:val="00D46DD3"/>
    <w:rsid w:val="00D4720E"/>
    <w:rsid w:val="00D47AE1"/>
    <w:rsid w:val="00D50E93"/>
    <w:rsid w:val="00D52A5B"/>
    <w:rsid w:val="00D54746"/>
    <w:rsid w:val="00D54CBA"/>
    <w:rsid w:val="00D55B86"/>
    <w:rsid w:val="00D61BD2"/>
    <w:rsid w:val="00D63E6D"/>
    <w:rsid w:val="00D6701F"/>
    <w:rsid w:val="00D67E85"/>
    <w:rsid w:val="00D700E9"/>
    <w:rsid w:val="00D70C0A"/>
    <w:rsid w:val="00D70E57"/>
    <w:rsid w:val="00D72AC8"/>
    <w:rsid w:val="00D730B6"/>
    <w:rsid w:val="00D7524C"/>
    <w:rsid w:val="00D76BB6"/>
    <w:rsid w:val="00D76CF0"/>
    <w:rsid w:val="00D76F95"/>
    <w:rsid w:val="00D771EC"/>
    <w:rsid w:val="00D77551"/>
    <w:rsid w:val="00D80D27"/>
    <w:rsid w:val="00D81E4C"/>
    <w:rsid w:val="00D83FC4"/>
    <w:rsid w:val="00D845E8"/>
    <w:rsid w:val="00D870B0"/>
    <w:rsid w:val="00D879F7"/>
    <w:rsid w:val="00D87B3C"/>
    <w:rsid w:val="00D91AA6"/>
    <w:rsid w:val="00D9477B"/>
    <w:rsid w:val="00D94A98"/>
    <w:rsid w:val="00D97119"/>
    <w:rsid w:val="00D97D95"/>
    <w:rsid w:val="00DA2214"/>
    <w:rsid w:val="00DA7DD8"/>
    <w:rsid w:val="00DB118B"/>
    <w:rsid w:val="00DB1ADF"/>
    <w:rsid w:val="00DB201F"/>
    <w:rsid w:val="00DB5DB5"/>
    <w:rsid w:val="00DB5E21"/>
    <w:rsid w:val="00DB6033"/>
    <w:rsid w:val="00DB7AF2"/>
    <w:rsid w:val="00DC4490"/>
    <w:rsid w:val="00DC77BC"/>
    <w:rsid w:val="00DC7E3B"/>
    <w:rsid w:val="00DD0E99"/>
    <w:rsid w:val="00DD2172"/>
    <w:rsid w:val="00DD2A18"/>
    <w:rsid w:val="00DD4A5B"/>
    <w:rsid w:val="00DD67D4"/>
    <w:rsid w:val="00DD6EF5"/>
    <w:rsid w:val="00DE070C"/>
    <w:rsid w:val="00DE3B1D"/>
    <w:rsid w:val="00DE5AF6"/>
    <w:rsid w:val="00DE7267"/>
    <w:rsid w:val="00DF0ADB"/>
    <w:rsid w:val="00DF0FAE"/>
    <w:rsid w:val="00DF1835"/>
    <w:rsid w:val="00DF2C98"/>
    <w:rsid w:val="00DF55D2"/>
    <w:rsid w:val="00DF6B0D"/>
    <w:rsid w:val="00DF7641"/>
    <w:rsid w:val="00E00A36"/>
    <w:rsid w:val="00E030A0"/>
    <w:rsid w:val="00E04F8B"/>
    <w:rsid w:val="00E05C21"/>
    <w:rsid w:val="00E06889"/>
    <w:rsid w:val="00E0728A"/>
    <w:rsid w:val="00E076B0"/>
    <w:rsid w:val="00E07812"/>
    <w:rsid w:val="00E130A4"/>
    <w:rsid w:val="00E138DB"/>
    <w:rsid w:val="00E14859"/>
    <w:rsid w:val="00E164B1"/>
    <w:rsid w:val="00E16B3D"/>
    <w:rsid w:val="00E17513"/>
    <w:rsid w:val="00E176AA"/>
    <w:rsid w:val="00E20385"/>
    <w:rsid w:val="00E21738"/>
    <w:rsid w:val="00E25058"/>
    <w:rsid w:val="00E256F6"/>
    <w:rsid w:val="00E27CA3"/>
    <w:rsid w:val="00E314D7"/>
    <w:rsid w:val="00E32D29"/>
    <w:rsid w:val="00E34192"/>
    <w:rsid w:val="00E36E77"/>
    <w:rsid w:val="00E37062"/>
    <w:rsid w:val="00E4046A"/>
    <w:rsid w:val="00E41148"/>
    <w:rsid w:val="00E41524"/>
    <w:rsid w:val="00E42471"/>
    <w:rsid w:val="00E425C8"/>
    <w:rsid w:val="00E46EF8"/>
    <w:rsid w:val="00E4769D"/>
    <w:rsid w:val="00E51424"/>
    <w:rsid w:val="00E52F6B"/>
    <w:rsid w:val="00E57D8C"/>
    <w:rsid w:val="00E62907"/>
    <w:rsid w:val="00E635E0"/>
    <w:rsid w:val="00E64374"/>
    <w:rsid w:val="00E66AB7"/>
    <w:rsid w:val="00E7010C"/>
    <w:rsid w:val="00E701DC"/>
    <w:rsid w:val="00E710E9"/>
    <w:rsid w:val="00E71856"/>
    <w:rsid w:val="00E727FE"/>
    <w:rsid w:val="00E72D7E"/>
    <w:rsid w:val="00E740E0"/>
    <w:rsid w:val="00E742E3"/>
    <w:rsid w:val="00E756ED"/>
    <w:rsid w:val="00E7625D"/>
    <w:rsid w:val="00E7633B"/>
    <w:rsid w:val="00E77BF3"/>
    <w:rsid w:val="00E8155B"/>
    <w:rsid w:val="00E82960"/>
    <w:rsid w:val="00E867DA"/>
    <w:rsid w:val="00E86A76"/>
    <w:rsid w:val="00E86BFD"/>
    <w:rsid w:val="00E90075"/>
    <w:rsid w:val="00E9041A"/>
    <w:rsid w:val="00E90B7D"/>
    <w:rsid w:val="00E923B5"/>
    <w:rsid w:val="00E92E17"/>
    <w:rsid w:val="00E933DA"/>
    <w:rsid w:val="00E938A8"/>
    <w:rsid w:val="00E95E1D"/>
    <w:rsid w:val="00EA0EC2"/>
    <w:rsid w:val="00EA63B3"/>
    <w:rsid w:val="00EB2718"/>
    <w:rsid w:val="00EB3463"/>
    <w:rsid w:val="00EB39FF"/>
    <w:rsid w:val="00EB5721"/>
    <w:rsid w:val="00EB5991"/>
    <w:rsid w:val="00EB6278"/>
    <w:rsid w:val="00EB7DC4"/>
    <w:rsid w:val="00EC0C97"/>
    <w:rsid w:val="00EC1BED"/>
    <w:rsid w:val="00EC2467"/>
    <w:rsid w:val="00EC37EB"/>
    <w:rsid w:val="00EC51EF"/>
    <w:rsid w:val="00EC737F"/>
    <w:rsid w:val="00EC7C3C"/>
    <w:rsid w:val="00ED01B4"/>
    <w:rsid w:val="00ED188F"/>
    <w:rsid w:val="00ED3A14"/>
    <w:rsid w:val="00ED3F32"/>
    <w:rsid w:val="00ED4562"/>
    <w:rsid w:val="00ED4F29"/>
    <w:rsid w:val="00ED5294"/>
    <w:rsid w:val="00ED546B"/>
    <w:rsid w:val="00ED608D"/>
    <w:rsid w:val="00ED628B"/>
    <w:rsid w:val="00ED7E54"/>
    <w:rsid w:val="00EE106C"/>
    <w:rsid w:val="00EE1077"/>
    <w:rsid w:val="00EE2482"/>
    <w:rsid w:val="00EE32BD"/>
    <w:rsid w:val="00EE43CC"/>
    <w:rsid w:val="00EE45D1"/>
    <w:rsid w:val="00EF0372"/>
    <w:rsid w:val="00EF1693"/>
    <w:rsid w:val="00EF1CBE"/>
    <w:rsid w:val="00EF2340"/>
    <w:rsid w:val="00EF378C"/>
    <w:rsid w:val="00EF3CDD"/>
    <w:rsid w:val="00EF445F"/>
    <w:rsid w:val="00EF45CE"/>
    <w:rsid w:val="00EF52E6"/>
    <w:rsid w:val="00EF601E"/>
    <w:rsid w:val="00EF7497"/>
    <w:rsid w:val="00EF7A30"/>
    <w:rsid w:val="00F00F8B"/>
    <w:rsid w:val="00F01049"/>
    <w:rsid w:val="00F012FA"/>
    <w:rsid w:val="00F0241B"/>
    <w:rsid w:val="00F0310F"/>
    <w:rsid w:val="00F036E6"/>
    <w:rsid w:val="00F0518A"/>
    <w:rsid w:val="00F0778C"/>
    <w:rsid w:val="00F12464"/>
    <w:rsid w:val="00F14957"/>
    <w:rsid w:val="00F1512F"/>
    <w:rsid w:val="00F15D6B"/>
    <w:rsid w:val="00F16031"/>
    <w:rsid w:val="00F16ABC"/>
    <w:rsid w:val="00F2684D"/>
    <w:rsid w:val="00F26C14"/>
    <w:rsid w:val="00F30AAD"/>
    <w:rsid w:val="00F32E6D"/>
    <w:rsid w:val="00F41266"/>
    <w:rsid w:val="00F41A32"/>
    <w:rsid w:val="00F43EF7"/>
    <w:rsid w:val="00F4416F"/>
    <w:rsid w:val="00F44F96"/>
    <w:rsid w:val="00F46A91"/>
    <w:rsid w:val="00F476C8"/>
    <w:rsid w:val="00F4776B"/>
    <w:rsid w:val="00F47BFA"/>
    <w:rsid w:val="00F507CC"/>
    <w:rsid w:val="00F5082F"/>
    <w:rsid w:val="00F5176C"/>
    <w:rsid w:val="00F51E56"/>
    <w:rsid w:val="00F54722"/>
    <w:rsid w:val="00F56C9F"/>
    <w:rsid w:val="00F56E6A"/>
    <w:rsid w:val="00F56F1D"/>
    <w:rsid w:val="00F60841"/>
    <w:rsid w:val="00F6120D"/>
    <w:rsid w:val="00F63553"/>
    <w:rsid w:val="00F65200"/>
    <w:rsid w:val="00F655F3"/>
    <w:rsid w:val="00F65860"/>
    <w:rsid w:val="00F65946"/>
    <w:rsid w:val="00F65D8D"/>
    <w:rsid w:val="00F6723F"/>
    <w:rsid w:val="00F6731F"/>
    <w:rsid w:val="00F67B1A"/>
    <w:rsid w:val="00F67FF1"/>
    <w:rsid w:val="00F70C83"/>
    <w:rsid w:val="00F71C2F"/>
    <w:rsid w:val="00F73122"/>
    <w:rsid w:val="00F735A6"/>
    <w:rsid w:val="00F744A3"/>
    <w:rsid w:val="00F74508"/>
    <w:rsid w:val="00F74742"/>
    <w:rsid w:val="00F75679"/>
    <w:rsid w:val="00F76605"/>
    <w:rsid w:val="00F81D88"/>
    <w:rsid w:val="00F822FA"/>
    <w:rsid w:val="00F9005F"/>
    <w:rsid w:val="00F9019E"/>
    <w:rsid w:val="00F905CA"/>
    <w:rsid w:val="00F90D04"/>
    <w:rsid w:val="00F92C22"/>
    <w:rsid w:val="00F93466"/>
    <w:rsid w:val="00F968D0"/>
    <w:rsid w:val="00FA0372"/>
    <w:rsid w:val="00FA03FA"/>
    <w:rsid w:val="00FA097E"/>
    <w:rsid w:val="00FA1667"/>
    <w:rsid w:val="00FA3DB1"/>
    <w:rsid w:val="00FA539F"/>
    <w:rsid w:val="00FA5B7C"/>
    <w:rsid w:val="00FA5EFA"/>
    <w:rsid w:val="00FA6B4A"/>
    <w:rsid w:val="00FA7953"/>
    <w:rsid w:val="00FB32E7"/>
    <w:rsid w:val="00FB5ADA"/>
    <w:rsid w:val="00FC0A61"/>
    <w:rsid w:val="00FC25F9"/>
    <w:rsid w:val="00FC3BE8"/>
    <w:rsid w:val="00FC5E7F"/>
    <w:rsid w:val="00FC65DD"/>
    <w:rsid w:val="00FD3861"/>
    <w:rsid w:val="00FD7D46"/>
    <w:rsid w:val="00FE5151"/>
    <w:rsid w:val="00FE52F4"/>
    <w:rsid w:val="00FE679E"/>
    <w:rsid w:val="00FF4CF3"/>
    <w:rsid w:val="00FF537D"/>
    <w:rsid w:val="00FF55C1"/>
    <w:rsid w:val="01274F14"/>
    <w:rsid w:val="01303A9E"/>
    <w:rsid w:val="01383FD0"/>
    <w:rsid w:val="01451617"/>
    <w:rsid w:val="0190158D"/>
    <w:rsid w:val="01B77047"/>
    <w:rsid w:val="0203063D"/>
    <w:rsid w:val="02043122"/>
    <w:rsid w:val="02055635"/>
    <w:rsid w:val="02346456"/>
    <w:rsid w:val="024E269D"/>
    <w:rsid w:val="027B1CE2"/>
    <w:rsid w:val="029F57DD"/>
    <w:rsid w:val="02D738A3"/>
    <w:rsid w:val="034464B8"/>
    <w:rsid w:val="036576B8"/>
    <w:rsid w:val="03C71EFB"/>
    <w:rsid w:val="03D735B0"/>
    <w:rsid w:val="03FA6CDF"/>
    <w:rsid w:val="04365FFA"/>
    <w:rsid w:val="04494A43"/>
    <w:rsid w:val="04500542"/>
    <w:rsid w:val="046D244C"/>
    <w:rsid w:val="046F1BE2"/>
    <w:rsid w:val="04822D08"/>
    <w:rsid w:val="04C851F1"/>
    <w:rsid w:val="04FB048C"/>
    <w:rsid w:val="052C29BF"/>
    <w:rsid w:val="05337A63"/>
    <w:rsid w:val="055C5785"/>
    <w:rsid w:val="05913412"/>
    <w:rsid w:val="05F06637"/>
    <w:rsid w:val="062C7228"/>
    <w:rsid w:val="06517EE9"/>
    <w:rsid w:val="06631EC2"/>
    <w:rsid w:val="06C55EEB"/>
    <w:rsid w:val="06C56AD4"/>
    <w:rsid w:val="07004918"/>
    <w:rsid w:val="070B6221"/>
    <w:rsid w:val="07654B87"/>
    <w:rsid w:val="07BA720E"/>
    <w:rsid w:val="07CB7156"/>
    <w:rsid w:val="07E13B30"/>
    <w:rsid w:val="07EE2CA7"/>
    <w:rsid w:val="07EF709A"/>
    <w:rsid w:val="081F2D4C"/>
    <w:rsid w:val="084E2ACF"/>
    <w:rsid w:val="084F19C0"/>
    <w:rsid w:val="08635040"/>
    <w:rsid w:val="08A83B98"/>
    <w:rsid w:val="08B2562B"/>
    <w:rsid w:val="08B5584D"/>
    <w:rsid w:val="08BC41C1"/>
    <w:rsid w:val="09190838"/>
    <w:rsid w:val="095C7B83"/>
    <w:rsid w:val="098F731B"/>
    <w:rsid w:val="0996625D"/>
    <w:rsid w:val="09DE2A70"/>
    <w:rsid w:val="0A1F4EA7"/>
    <w:rsid w:val="0A8F047A"/>
    <w:rsid w:val="0AB51489"/>
    <w:rsid w:val="0ABF0DA2"/>
    <w:rsid w:val="0ACE0B6C"/>
    <w:rsid w:val="0AEE6792"/>
    <w:rsid w:val="0B33524B"/>
    <w:rsid w:val="0BD17250"/>
    <w:rsid w:val="0BE64801"/>
    <w:rsid w:val="0C7965AF"/>
    <w:rsid w:val="0C8E3524"/>
    <w:rsid w:val="0C95751F"/>
    <w:rsid w:val="0CBE378C"/>
    <w:rsid w:val="0CD426C0"/>
    <w:rsid w:val="0D63355E"/>
    <w:rsid w:val="0D6402AD"/>
    <w:rsid w:val="0D6E00F5"/>
    <w:rsid w:val="0DE27351"/>
    <w:rsid w:val="0E133FA6"/>
    <w:rsid w:val="0E195228"/>
    <w:rsid w:val="0E2217A8"/>
    <w:rsid w:val="0E925E78"/>
    <w:rsid w:val="0EA20C5D"/>
    <w:rsid w:val="0EA54211"/>
    <w:rsid w:val="0EAB227A"/>
    <w:rsid w:val="0EAD5EAE"/>
    <w:rsid w:val="0EB36468"/>
    <w:rsid w:val="0EDB1EAC"/>
    <w:rsid w:val="0EDB759D"/>
    <w:rsid w:val="0F361774"/>
    <w:rsid w:val="0F3B7D92"/>
    <w:rsid w:val="0F587009"/>
    <w:rsid w:val="0F66630C"/>
    <w:rsid w:val="0F760781"/>
    <w:rsid w:val="0FCB5DCA"/>
    <w:rsid w:val="0FF066A8"/>
    <w:rsid w:val="0FF10449"/>
    <w:rsid w:val="10485433"/>
    <w:rsid w:val="104C2911"/>
    <w:rsid w:val="107B6F12"/>
    <w:rsid w:val="11053C87"/>
    <w:rsid w:val="11316C22"/>
    <w:rsid w:val="11604A5C"/>
    <w:rsid w:val="1176169D"/>
    <w:rsid w:val="117C68E7"/>
    <w:rsid w:val="118263A1"/>
    <w:rsid w:val="119603EC"/>
    <w:rsid w:val="11A331FA"/>
    <w:rsid w:val="11A87B15"/>
    <w:rsid w:val="11C224F8"/>
    <w:rsid w:val="11DA3D05"/>
    <w:rsid w:val="120038A1"/>
    <w:rsid w:val="121A67F7"/>
    <w:rsid w:val="121E029E"/>
    <w:rsid w:val="124D4083"/>
    <w:rsid w:val="12701BF6"/>
    <w:rsid w:val="1287461C"/>
    <w:rsid w:val="12D777F2"/>
    <w:rsid w:val="12DE47E6"/>
    <w:rsid w:val="12F639E2"/>
    <w:rsid w:val="133D1517"/>
    <w:rsid w:val="136532E8"/>
    <w:rsid w:val="13CC1FE7"/>
    <w:rsid w:val="141407F8"/>
    <w:rsid w:val="14747306"/>
    <w:rsid w:val="14953687"/>
    <w:rsid w:val="14D251DA"/>
    <w:rsid w:val="155913AC"/>
    <w:rsid w:val="15BC3411"/>
    <w:rsid w:val="1614567C"/>
    <w:rsid w:val="16271ECD"/>
    <w:rsid w:val="16A76302"/>
    <w:rsid w:val="16C521B5"/>
    <w:rsid w:val="16F3593D"/>
    <w:rsid w:val="173A3666"/>
    <w:rsid w:val="17405D8B"/>
    <w:rsid w:val="17482177"/>
    <w:rsid w:val="17794290"/>
    <w:rsid w:val="17DF684D"/>
    <w:rsid w:val="17F31E94"/>
    <w:rsid w:val="181736F0"/>
    <w:rsid w:val="18301873"/>
    <w:rsid w:val="185D59F5"/>
    <w:rsid w:val="18652B97"/>
    <w:rsid w:val="18D24826"/>
    <w:rsid w:val="1930763A"/>
    <w:rsid w:val="193564B7"/>
    <w:rsid w:val="198F35F7"/>
    <w:rsid w:val="199667D2"/>
    <w:rsid w:val="19C02A41"/>
    <w:rsid w:val="19C63AD7"/>
    <w:rsid w:val="19DC2403"/>
    <w:rsid w:val="19E94399"/>
    <w:rsid w:val="19EC5D5F"/>
    <w:rsid w:val="19EF6331"/>
    <w:rsid w:val="1A2417DD"/>
    <w:rsid w:val="1A3B555D"/>
    <w:rsid w:val="1AA40BC5"/>
    <w:rsid w:val="1AA52927"/>
    <w:rsid w:val="1AFC093E"/>
    <w:rsid w:val="1B63274F"/>
    <w:rsid w:val="1B751D18"/>
    <w:rsid w:val="1B837689"/>
    <w:rsid w:val="1BA35581"/>
    <w:rsid w:val="1BBC1B6B"/>
    <w:rsid w:val="1BE1312F"/>
    <w:rsid w:val="1BE54206"/>
    <w:rsid w:val="1BFD0B5F"/>
    <w:rsid w:val="1C1224F7"/>
    <w:rsid w:val="1C211FCC"/>
    <w:rsid w:val="1C215860"/>
    <w:rsid w:val="1C3B088A"/>
    <w:rsid w:val="1CD120FF"/>
    <w:rsid w:val="1CDF6B41"/>
    <w:rsid w:val="1CED6CF9"/>
    <w:rsid w:val="1D2F3F5E"/>
    <w:rsid w:val="1D3121A1"/>
    <w:rsid w:val="1D52110B"/>
    <w:rsid w:val="1D567D06"/>
    <w:rsid w:val="1D5E5041"/>
    <w:rsid w:val="1D6920D8"/>
    <w:rsid w:val="1DF127C5"/>
    <w:rsid w:val="1E994839"/>
    <w:rsid w:val="1EA43D4B"/>
    <w:rsid w:val="1ECB6CF3"/>
    <w:rsid w:val="1ED63936"/>
    <w:rsid w:val="1EE82E44"/>
    <w:rsid w:val="1F095BCD"/>
    <w:rsid w:val="1F324176"/>
    <w:rsid w:val="1F3839D1"/>
    <w:rsid w:val="1F980D5B"/>
    <w:rsid w:val="1FB35C2A"/>
    <w:rsid w:val="1FB7392F"/>
    <w:rsid w:val="1FD83FC9"/>
    <w:rsid w:val="200A7C06"/>
    <w:rsid w:val="20443B05"/>
    <w:rsid w:val="20540405"/>
    <w:rsid w:val="2056015F"/>
    <w:rsid w:val="20AB7349"/>
    <w:rsid w:val="20AC2D10"/>
    <w:rsid w:val="20B11C5C"/>
    <w:rsid w:val="20BE2EDB"/>
    <w:rsid w:val="20CF18B8"/>
    <w:rsid w:val="20DC1B4D"/>
    <w:rsid w:val="20E75FEA"/>
    <w:rsid w:val="211B0EE6"/>
    <w:rsid w:val="21386BBD"/>
    <w:rsid w:val="219A49A8"/>
    <w:rsid w:val="21BE7C5E"/>
    <w:rsid w:val="21C77D00"/>
    <w:rsid w:val="21CA74E9"/>
    <w:rsid w:val="21DE261D"/>
    <w:rsid w:val="21EC2BAB"/>
    <w:rsid w:val="21F22C88"/>
    <w:rsid w:val="220D46BA"/>
    <w:rsid w:val="22A60EB5"/>
    <w:rsid w:val="22D23494"/>
    <w:rsid w:val="22D81D21"/>
    <w:rsid w:val="230F0A4B"/>
    <w:rsid w:val="23165F69"/>
    <w:rsid w:val="232B1CE8"/>
    <w:rsid w:val="232F19D7"/>
    <w:rsid w:val="238263F4"/>
    <w:rsid w:val="23AF4937"/>
    <w:rsid w:val="23D64254"/>
    <w:rsid w:val="24011960"/>
    <w:rsid w:val="24054A11"/>
    <w:rsid w:val="241137D9"/>
    <w:rsid w:val="245A05CA"/>
    <w:rsid w:val="247B4D12"/>
    <w:rsid w:val="24895FF2"/>
    <w:rsid w:val="24B66F7B"/>
    <w:rsid w:val="24B95CB1"/>
    <w:rsid w:val="25101C98"/>
    <w:rsid w:val="2549427F"/>
    <w:rsid w:val="25974A42"/>
    <w:rsid w:val="25E037D0"/>
    <w:rsid w:val="2614749F"/>
    <w:rsid w:val="262E41C8"/>
    <w:rsid w:val="268C368D"/>
    <w:rsid w:val="26B92AA7"/>
    <w:rsid w:val="26F23C5A"/>
    <w:rsid w:val="27251824"/>
    <w:rsid w:val="273F2C97"/>
    <w:rsid w:val="2750534C"/>
    <w:rsid w:val="276D2FA1"/>
    <w:rsid w:val="277838F6"/>
    <w:rsid w:val="279F2C36"/>
    <w:rsid w:val="283C7C55"/>
    <w:rsid w:val="28453812"/>
    <w:rsid w:val="28A65873"/>
    <w:rsid w:val="28A91911"/>
    <w:rsid w:val="28EC1885"/>
    <w:rsid w:val="29161CF1"/>
    <w:rsid w:val="291F27EC"/>
    <w:rsid w:val="29212C84"/>
    <w:rsid w:val="2933177B"/>
    <w:rsid w:val="29394C50"/>
    <w:rsid w:val="2974095E"/>
    <w:rsid w:val="29927401"/>
    <w:rsid w:val="299608E4"/>
    <w:rsid w:val="299B6946"/>
    <w:rsid w:val="29B80978"/>
    <w:rsid w:val="29C04EC5"/>
    <w:rsid w:val="29D34CE3"/>
    <w:rsid w:val="29DE1E4D"/>
    <w:rsid w:val="2A0A7696"/>
    <w:rsid w:val="2A0D0F0C"/>
    <w:rsid w:val="2A176C00"/>
    <w:rsid w:val="2A6B1D80"/>
    <w:rsid w:val="2ADB6EB7"/>
    <w:rsid w:val="2AFB54C5"/>
    <w:rsid w:val="2B055F8A"/>
    <w:rsid w:val="2B0C03A4"/>
    <w:rsid w:val="2B200651"/>
    <w:rsid w:val="2B3841A3"/>
    <w:rsid w:val="2B6F658C"/>
    <w:rsid w:val="2BA33DC6"/>
    <w:rsid w:val="2BF16B92"/>
    <w:rsid w:val="2D511017"/>
    <w:rsid w:val="2DA67B66"/>
    <w:rsid w:val="2DFD7CDE"/>
    <w:rsid w:val="2E8818C4"/>
    <w:rsid w:val="2E922D73"/>
    <w:rsid w:val="2EBA1864"/>
    <w:rsid w:val="2EC85D5E"/>
    <w:rsid w:val="2ED50D09"/>
    <w:rsid w:val="2EF22E53"/>
    <w:rsid w:val="2EF51D26"/>
    <w:rsid w:val="2F0748E7"/>
    <w:rsid w:val="2F0A6734"/>
    <w:rsid w:val="2F3D79D9"/>
    <w:rsid w:val="2F4219B8"/>
    <w:rsid w:val="2F9C54E2"/>
    <w:rsid w:val="2FC36919"/>
    <w:rsid w:val="2FC935F5"/>
    <w:rsid w:val="3014598E"/>
    <w:rsid w:val="3019494D"/>
    <w:rsid w:val="301B4DB2"/>
    <w:rsid w:val="302F5F5A"/>
    <w:rsid w:val="305C6B22"/>
    <w:rsid w:val="30B27717"/>
    <w:rsid w:val="30DB42DF"/>
    <w:rsid w:val="30E74DA6"/>
    <w:rsid w:val="30EC34E0"/>
    <w:rsid w:val="31172A76"/>
    <w:rsid w:val="31841167"/>
    <w:rsid w:val="31962F66"/>
    <w:rsid w:val="32484C4E"/>
    <w:rsid w:val="32605D06"/>
    <w:rsid w:val="32E90B44"/>
    <w:rsid w:val="33A43C30"/>
    <w:rsid w:val="33CE2C57"/>
    <w:rsid w:val="33DE6B77"/>
    <w:rsid w:val="33EC512B"/>
    <w:rsid w:val="341C101E"/>
    <w:rsid w:val="346F43F1"/>
    <w:rsid w:val="347D281C"/>
    <w:rsid w:val="34FA467B"/>
    <w:rsid w:val="35441A8C"/>
    <w:rsid w:val="35484BCD"/>
    <w:rsid w:val="355A3D41"/>
    <w:rsid w:val="35691819"/>
    <w:rsid w:val="35A238E7"/>
    <w:rsid w:val="35A304A9"/>
    <w:rsid w:val="35D573AE"/>
    <w:rsid w:val="364D7488"/>
    <w:rsid w:val="365A6926"/>
    <w:rsid w:val="36741E16"/>
    <w:rsid w:val="36CC7811"/>
    <w:rsid w:val="36D654B6"/>
    <w:rsid w:val="36DD32BF"/>
    <w:rsid w:val="370C7272"/>
    <w:rsid w:val="371E4419"/>
    <w:rsid w:val="372F21F8"/>
    <w:rsid w:val="37355B09"/>
    <w:rsid w:val="37450A23"/>
    <w:rsid w:val="37482467"/>
    <w:rsid w:val="375A10AE"/>
    <w:rsid w:val="375F18CE"/>
    <w:rsid w:val="376D3A14"/>
    <w:rsid w:val="377543D4"/>
    <w:rsid w:val="379E050A"/>
    <w:rsid w:val="379F42F8"/>
    <w:rsid w:val="37A227C0"/>
    <w:rsid w:val="37A563A1"/>
    <w:rsid w:val="37FE1083"/>
    <w:rsid w:val="38112289"/>
    <w:rsid w:val="381439C0"/>
    <w:rsid w:val="382C54C9"/>
    <w:rsid w:val="3842422E"/>
    <w:rsid w:val="384E7A64"/>
    <w:rsid w:val="389567FE"/>
    <w:rsid w:val="389B0595"/>
    <w:rsid w:val="38A47140"/>
    <w:rsid w:val="38F80946"/>
    <w:rsid w:val="39197560"/>
    <w:rsid w:val="39275FEC"/>
    <w:rsid w:val="393153A6"/>
    <w:rsid w:val="3939253C"/>
    <w:rsid w:val="39875A90"/>
    <w:rsid w:val="39A53523"/>
    <w:rsid w:val="39A75360"/>
    <w:rsid w:val="39C661B5"/>
    <w:rsid w:val="3A24180E"/>
    <w:rsid w:val="3A3D44A3"/>
    <w:rsid w:val="3A6570A1"/>
    <w:rsid w:val="3A883352"/>
    <w:rsid w:val="3A98285C"/>
    <w:rsid w:val="3AA7541F"/>
    <w:rsid w:val="3AB16AFD"/>
    <w:rsid w:val="3ABD3CF2"/>
    <w:rsid w:val="3AD23706"/>
    <w:rsid w:val="3AD54D74"/>
    <w:rsid w:val="3ADF1772"/>
    <w:rsid w:val="3AE83617"/>
    <w:rsid w:val="3AFC44E4"/>
    <w:rsid w:val="3B377223"/>
    <w:rsid w:val="3C200787"/>
    <w:rsid w:val="3CE43D58"/>
    <w:rsid w:val="3D056DE5"/>
    <w:rsid w:val="3D150381"/>
    <w:rsid w:val="3D242DC0"/>
    <w:rsid w:val="3D3357D0"/>
    <w:rsid w:val="3D3861CD"/>
    <w:rsid w:val="3D444D9B"/>
    <w:rsid w:val="3D603B0C"/>
    <w:rsid w:val="3D9A53D2"/>
    <w:rsid w:val="3DA82763"/>
    <w:rsid w:val="3EB24A80"/>
    <w:rsid w:val="3EF344A0"/>
    <w:rsid w:val="3F0C5499"/>
    <w:rsid w:val="3F106D4D"/>
    <w:rsid w:val="3F266B61"/>
    <w:rsid w:val="3F271710"/>
    <w:rsid w:val="3F564F2E"/>
    <w:rsid w:val="3F5A618E"/>
    <w:rsid w:val="403C0BE5"/>
    <w:rsid w:val="406538E2"/>
    <w:rsid w:val="40AE2408"/>
    <w:rsid w:val="40D61F9F"/>
    <w:rsid w:val="40E6513A"/>
    <w:rsid w:val="41207F0A"/>
    <w:rsid w:val="41277CAD"/>
    <w:rsid w:val="415E7BFF"/>
    <w:rsid w:val="417254CB"/>
    <w:rsid w:val="418A329E"/>
    <w:rsid w:val="41DE7B28"/>
    <w:rsid w:val="421C406A"/>
    <w:rsid w:val="421C69ED"/>
    <w:rsid w:val="423D3A47"/>
    <w:rsid w:val="423F7E57"/>
    <w:rsid w:val="428B61F9"/>
    <w:rsid w:val="433112AC"/>
    <w:rsid w:val="43313437"/>
    <w:rsid w:val="433238B4"/>
    <w:rsid w:val="434E0C0A"/>
    <w:rsid w:val="438D6152"/>
    <w:rsid w:val="43C54EEF"/>
    <w:rsid w:val="43E02C27"/>
    <w:rsid w:val="443B1E1A"/>
    <w:rsid w:val="444875EB"/>
    <w:rsid w:val="44535F71"/>
    <w:rsid w:val="44A17A7E"/>
    <w:rsid w:val="44EE06E7"/>
    <w:rsid w:val="452B7DF8"/>
    <w:rsid w:val="453C2484"/>
    <w:rsid w:val="453D6989"/>
    <w:rsid w:val="453F4987"/>
    <w:rsid w:val="45617CBE"/>
    <w:rsid w:val="456E21D5"/>
    <w:rsid w:val="45BA70B1"/>
    <w:rsid w:val="45EA2CE8"/>
    <w:rsid w:val="45F74EDF"/>
    <w:rsid w:val="4600059B"/>
    <w:rsid w:val="46160E93"/>
    <w:rsid w:val="462D006C"/>
    <w:rsid w:val="464E252C"/>
    <w:rsid w:val="46AB5174"/>
    <w:rsid w:val="46B700F8"/>
    <w:rsid w:val="46BB44BC"/>
    <w:rsid w:val="46D272F4"/>
    <w:rsid w:val="473A4BD7"/>
    <w:rsid w:val="47510996"/>
    <w:rsid w:val="47570AD2"/>
    <w:rsid w:val="47580314"/>
    <w:rsid w:val="47B34831"/>
    <w:rsid w:val="47EB41FA"/>
    <w:rsid w:val="47EF7803"/>
    <w:rsid w:val="4804144A"/>
    <w:rsid w:val="48070487"/>
    <w:rsid w:val="48501411"/>
    <w:rsid w:val="48695334"/>
    <w:rsid w:val="486A7361"/>
    <w:rsid w:val="48890152"/>
    <w:rsid w:val="48C05E0B"/>
    <w:rsid w:val="48C93CA5"/>
    <w:rsid w:val="48F87457"/>
    <w:rsid w:val="490671E3"/>
    <w:rsid w:val="490E1280"/>
    <w:rsid w:val="4922407A"/>
    <w:rsid w:val="497A63F6"/>
    <w:rsid w:val="497B7D9F"/>
    <w:rsid w:val="498E6CD6"/>
    <w:rsid w:val="49BD25AC"/>
    <w:rsid w:val="49C93F25"/>
    <w:rsid w:val="49D14B65"/>
    <w:rsid w:val="4A7B0E59"/>
    <w:rsid w:val="4A803067"/>
    <w:rsid w:val="4AB74840"/>
    <w:rsid w:val="4AC65755"/>
    <w:rsid w:val="4AD728D0"/>
    <w:rsid w:val="4ADF597A"/>
    <w:rsid w:val="4AE30D8B"/>
    <w:rsid w:val="4B2D7D43"/>
    <w:rsid w:val="4B91508D"/>
    <w:rsid w:val="4B937275"/>
    <w:rsid w:val="4BB90631"/>
    <w:rsid w:val="4C450FB8"/>
    <w:rsid w:val="4C747E14"/>
    <w:rsid w:val="4CA84AAD"/>
    <w:rsid w:val="4CAB66D1"/>
    <w:rsid w:val="4CAC0E3F"/>
    <w:rsid w:val="4CEA5082"/>
    <w:rsid w:val="4D2B53D3"/>
    <w:rsid w:val="4D421E62"/>
    <w:rsid w:val="4D807BBE"/>
    <w:rsid w:val="4E01515D"/>
    <w:rsid w:val="4E405991"/>
    <w:rsid w:val="4E644A95"/>
    <w:rsid w:val="4E656BC0"/>
    <w:rsid w:val="4E65774D"/>
    <w:rsid w:val="4F0023CD"/>
    <w:rsid w:val="4F056DE1"/>
    <w:rsid w:val="4F15353E"/>
    <w:rsid w:val="4F19757E"/>
    <w:rsid w:val="4F223D03"/>
    <w:rsid w:val="4F6701AB"/>
    <w:rsid w:val="4F9E5377"/>
    <w:rsid w:val="4FCB101C"/>
    <w:rsid w:val="4FE6405E"/>
    <w:rsid w:val="50540AFB"/>
    <w:rsid w:val="50602A1B"/>
    <w:rsid w:val="50612797"/>
    <w:rsid w:val="50BB53A5"/>
    <w:rsid w:val="50DC73F1"/>
    <w:rsid w:val="50FB1272"/>
    <w:rsid w:val="51174AAA"/>
    <w:rsid w:val="51C54E50"/>
    <w:rsid w:val="51DE290C"/>
    <w:rsid w:val="51E311A7"/>
    <w:rsid w:val="521356D1"/>
    <w:rsid w:val="529D10AF"/>
    <w:rsid w:val="53494392"/>
    <w:rsid w:val="535809C3"/>
    <w:rsid w:val="53E76275"/>
    <w:rsid w:val="54372316"/>
    <w:rsid w:val="547B4505"/>
    <w:rsid w:val="548E6390"/>
    <w:rsid w:val="549E4993"/>
    <w:rsid w:val="54C51393"/>
    <w:rsid w:val="54D9333A"/>
    <w:rsid w:val="54ED6EEB"/>
    <w:rsid w:val="55966BD2"/>
    <w:rsid w:val="55D07DDD"/>
    <w:rsid w:val="56B23CA6"/>
    <w:rsid w:val="570755A7"/>
    <w:rsid w:val="573072C4"/>
    <w:rsid w:val="57471187"/>
    <w:rsid w:val="576F023D"/>
    <w:rsid w:val="577B6EE4"/>
    <w:rsid w:val="57AC5A21"/>
    <w:rsid w:val="57D2146B"/>
    <w:rsid w:val="57EF1F3E"/>
    <w:rsid w:val="581C0CA5"/>
    <w:rsid w:val="5828202C"/>
    <w:rsid w:val="584E2F27"/>
    <w:rsid w:val="5886355F"/>
    <w:rsid w:val="58891F15"/>
    <w:rsid w:val="58913390"/>
    <w:rsid w:val="58A35601"/>
    <w:rsid w:val="58BA7B88"/>
    <w:rsid w:val="58E46A61"/>
    <w:rsid w:val="591C62AA"/>
    <w:rsid w:val="593C1AF7"/>
    <w:rsid w:val="597E34F4"/>
    <w:rsid w:val="59DD23FD"/>
    <w:rsid w:val="59E24A9F"/>
    <w:rsid w:val="5A737CDB"/>
    <w:rsid w:val="5B761405"/>
    <w:rsid w:val="5BEC19E4"/>
    <w:rsid w:val="5BF8521E"/>
    <w:rsid w:val="5C0A7D4F"/>
    <w:rsid w:val="5C1B1303"/>
    <w:rsid w:val="5C241BA9"/>
    <w:rsid w:val="5C2453F7"/>
    <w:rsid w:val="5C4D09E5"/>
    <w:rsid w:val="5D0852CE"/>
    <w:rsid w:val="5D2928D3"/>
    <w:rsid w:val="5D2F26AA"/>
    <w:rsid w:val="5D433B15"/>
    <w:rsid w:val="5D502207"/>
    <w:rsid w:val="5DBD180F"/>
    <w:rsid w:val="5E0369A2"/>
    <w:rsid w:val="5E1C522E"/>
    <w:rsid w:val="5E3B5015"/>
    <w:rsid w:val="5E820631"/>
    <w:rsid w:val="5E822C00"/>
    <w:rsid w:val="5ECD71E6"/>
    <w:rsid w:val="5ECF201B"/>
    <w:rsid w:val="5EDA7CAB"/>
    <w:rsid w:val="5EE501EE"/>
    <w:rsid w:val="5F332FFE"/>
    <w:rsid w:val="5F4315E3"/>
    <w:rsid w:val="5FDE769B"/>
    <w:rsid w:val="5FFB11ED"/>
    <w:rsid w:val="60136665"/>
    <w:rsid w:val="602350BD"/>
    <w:rsid w:val="60380678"/>
    <w:rsid w:val="605D60B2"/>
    <w:rsid w:val="60604FB9"/>
    <w:rsid w:val="609540A8"/>
    <w:rsid w:val="60B33EB4"/>
    <w:rsid w:val="60BB530A"/>
    <w:rsid w:val="611A1018"/>
    <w:rsid w:val="611A335C"/>
    <w:rsid w:val="61216701"/>
    <w:rsid w:val="612B1527"/>
    <w:rsid w:val="626B5F89"/>
    <w:rsid w:val="627B32D8"/>
    <w:rsid w:val="62971E0C"/>
    <w:rsid w:val="62B90CFD"/>
    <w:rsid w:val="62FF6042"/>
    <w:rsid w:val="631F3899"/>
    <w:rsid w:val="63226337"/>
    <w:rsid w:val="632D650D"/>
    <w:rsid w:val="63382CE9"/>
    <w:rsid w:val="63863E37"/>
    <w:rsid w:val="63DC4A37"/>
    <w:rsid w:val="643709EB"/>
    <w:rsid w:val="64C753D2"/>
    <w:rsid w:val="64E82635"/>
    <w:rsid w:val="64F168C1"/>
    <w:rsid w:val="64F459D0"/>
    <w:rsid w:val="6553668F"/>
    <w:rsid w:val="65555035"/>
    <w:rsid w:val="65647826"/>
    <w:rsid w:val="6582338C"/>
    <w:rsid w:val="65B22786"/>
    <w:rsid w:val="65CF7848"/>
    <w:rsid w:val="65E531E0"/>
    <w:rsid w:val="65F6754E"/>
    <w:rsid w:val="661735C0"/>
    <w:rsid w:val="66692167"/>
    <w:rsid w:val="66872C44"/>
    <w:rsid w:val="669E19F6"/>
    <w:rsid w:val="66A4324F"/>
    <w:rsid w:val="66DD6DB6"/>
    <w:rsid w:val="677D58AE"/>
    <w:rsid w:val="67C03DCB"/>
    <w:rsid w:val="67EE62F1"/>
    <w:rsid w:val="67FE0ABC"/>
    <w:rsid w:val="68272B8D"/>
    <w:rsid w:val="682B4CB5"/>
    <w:rsid w:val="684A0973"/>
    <w:rsid w:val="685C088A"/>
    <w:rsid w:val="688D6550"/>
    <w:rsid w:val="68A36922"/>
    <w:rsid w:val="68A638C2"/>
    <w:rsid w:val="68C1245B"/>
    <w:rsid w:val="68CF44E4"/>
    <w:rsid w:val="68D474B9"/>
    <w:rsid w:val="68D9247A"/>
    <w:rsid w:val="692837A3"/>
    <w:rsid w:val="69520021"/>
    <w:rsid w:val="696E18C3"/>
    <w:rsid w:val="69774602"/>
    <w:rsid w:val="698D01CC"/>
    <w:rsid w:val="699A4315"/>
    <w:rsid w:val="699A7243"/>
    <w:rsid w:val="69B50573"/>
    <w:rsid w:val="69BE7D9A"/>
    <w:rsid w:val="6A2D2B79"/>
    <w:rsid w:val="6A3376F7"/>
    <w:rsid w:val="6A4533FD"/>
    <w:rsid w:val="6A477F04"/>
    <w:rsid w:val="6A496835"/>
    <w:rsid w:val="6A8E7740"/>
    <w:rsid w:val="6AD5648B"/>
    <w:rsid w:val="6AE90C42"/>
    <w:rsid w:val="6B122298"/>
    <w:rsid w:val="6B44347E"/>
    <w:rsid w:val="6B4B7148"/>
    <w:rsid w:val="6B7409C3"/>
    <w:rsid w:val="6C026F3C"/>
    <w:rsid w:val="6C1769F6"/>
    <w:rsid w:val="6C19025F"/>
    <w:rsid w:val="6C2C4F32"/>
    <w:rsid w:val="6C396029"/>
    <w:rsid w:val="6C3B64A7"/>
    <w:rsid w:val="6CD83A9C"/>
    <w:rsid w:val="6D220952"/>
    <w:rsid w:val="6D256766"/>
    <w:rsid w:val="6D6830E8"/>
    <w:rsid w:val="6D7F405A"/>
    <w:rsid w:val="6DB9174A"/>
    <w:rsid w:val="6DC248E6"/>
    <w:rsid w:val="6DC54E3E"/>
    <w:rsid w:val="6DEF09BC"/>
    <w:rsid w:val="6E1F0E23"/>
    <w:rsid w:val="6E8A1B32"/>
    <w:rsid w:val="6FA6229E"/>
    <w:rsid w:val="6FB96E19"/>
    <w:rsid w:val="6FCA266F"/>
    <w:rsid w:val="6FF900E7"/>
    <w:rsid w:val="70294286"/>
    <w:rsid w:val="708C7ADE"/>
    <w:rsid w:val="70C96F94"/>
    <w:rsid w:val="70D05D03"/>
    <w:rsid w:val="70F93881"/>
    <w:rsid w:val="711575EE"/>
    <w:rsid w:val="715349F8"/>
    <w:rsid w:val="71945E92"/>
    <w:rsid w:val="71BF1449"/>
    <w:rsid w:val="71DF3747"/>
    <w:rsid w:val="721A1FF2"/>
    <w:rsid w:val="72356C20"/>
    <w:rsid w:val="72382AB4"/>
    <w:rsid w:val="723E4008"/>
    <w:rsid w:val="725929D4"/>
    <w:rsid w:val="72A4317D"/>
    <w:rsid w:val="72AC1216"/>
    <w:rsid w:val="72B00049"/>
    <w:rsid w:val="72B70F99"/>
    <w:rsid w:val="73192710"/>
    <w:rsid w:val="732D44FD"/>
    <w:rsid w:val="73981574"/>
    <w:rsid w:val="73A03AE9"/>
    <w:rsid w:val="73B92936"/>
    <w:rsid w:val="73FB49FD"/>
    <w:rsid w:val="74376D48"/>
    <w:rsid w:val="74446098"/>
    <w:rsid w:val="746B414F"/>
    <w:rsid w:val="7472539D"/>
    <w:rsid w:val="747678BB"/>
    <w:rsid w:val="749036DA"/>
    <w:rsid w:val="74A13F3D"/>
    <w:rsid w:val="74DC45A8"/>
    <w:rsid w:val="750227FB"/>
    <w:rsid w:val="75693A34"/>
    <w:rsid w:val="759C3169"/>
    <w:rsid w:val="75B770CD"/>
    <w:rsid w:val="75CD34AB"/>
    <w:rsid w:val="75CF7ADF"/>
    <w:rsid w:val="764B4F25"/>
    <w:rsid w:val="76686C67"/>
    <w:rsid w:val="766C48DD"/>
    <w:rsid w:val="76CE603E"/>
    <w:rsid w:val="77162A8D"/>
    <w:rsid w:val="774025C7"/>
    <w:rsid w:val="77894212"/>
    <w:rsid w:val="7800271B"/>
    <w:rsid w:val="782E08A0"/>
    <w:rsid w:val="78440AB3"/>
    <w:rsid w:val="785B79C8"/>
    <w:rsid w:val="78751BD5"/>
    <w:rsid w:val="787A7054"/>
    <w:rsid w:val="788F0084"/>
    <w:rsid w:val="78A73067"/>
    <w:rsid w:val="78A9768A"/>
    <w:rsid w:val="78AA4077"/>
    <w:rsid w:val="78CA0ADB"/>
    <w:rsid w:val="78D85865"/>
    <w:rsid w:val="792C66E3"/>
    <w:rsid w:val="79947274"/>
    <w:rsid w:val="79FE73E8"/>
    <w:rsid w:val="7A237A12"/>
    <w:rsid w:val="7A6054E2"/>
    <w:rsid w:val="7A8B7D4E"/>
    <w:rsid w:val="7A98230D"/>
    <w:rsid w:val="7B4269B8"/>
    <w:rsid w:val="7B60499C"/>
    <w:rsid w:val="7B6276D7"/>
    <w:rsid w:val="7BBF0CBF"/>
    <w:rsid w:val="7BCD0EC9"/>
    <w:rsid w:val="7C0C430A"/>
    <w:rsid w:val="7C361D53"/>
    <w:rsid w:val="7C515A2B"/>
    <w:rsid w:val="7CBF1AA2"/>
    <w:rsid w:val="7CEE34AC"/>
    <w:rsid w:val="7CF92CB6"/>
    <w:rsid w:val="7D841C93"/>
    <w:rsid w:val="7DA92046"/>
    <w:rsid w:val="7DDF015B"/>
    <w:rsid w:val="7DEE0A06"/>
    <w:rsid w:val="7E745C2A"/>
    <w:rsid w:val="7EA95F25"/>
    <w:rsid w:val="7EBF6D37"/>
    <w:rsid w:val="7ED31DC1"/>
    <w:rsid w:val="7EF47C86"/>
    <w:rsid w:val="7F3B5B00"/>
    <w:rsid w:val="7F3C785D"/>
    <w:rsid w:val="7F510FB4"/>
    <w:rsid w:val="7FCB0BE9"/>
    <w:rsid w:val="7FE147D1"/>
    <w:rsid w:val="7FEB6C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62"/>
    <w:qFormat/>
    <w:uiPriority w:val="99"/>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7">
    <w:name w:val="heading 2"/>
    <w:basedOn w:val="1"/>
    <w:next w:val="1"/>
    <w:link w:val="63"/>
    <w:qFormat/>
    <w:uiPriority w:val="99"/>
    <w:pPr>
      <w:keepNext/>
      <w:keepLines/>
      <w:adjustRightInd w:val="0"/>
      <w:spacing w:before="260" w:after="260" w:line="416" w:lineRule="atLeast"/>
      <w:textAlignment w:val="baseline"/>
      <w:outlineLvl w:val="1"/>
    </w:pPr>
    <w:rPr>
      <w:rFonts w:ascii="Arial" w:hAnsi="Arial" w:eastAsia="黑体"/>
      <w:b/>
      <w:bCs/>
      <w:kern w:val="0"/>
      <w:sz w:val="32"/>
      <w:szCs w:val="32"/>
    </w:rPr>
  </w:style>
  <w:style w:type="paragraph" w:styleId="8">
    <w:name w:val="heading 3"/>
    <w:basedOn w:val="1"/>
    <w:next w:val="9"/>
    <w:link w:val="64"/>
    <w:qFormat/>
    <w:uiPriority w:val="99"/>
    <w:pPr>
      <w:keepNext/>
      <w:keepLines/>
      <w:adjustRightInd w:val="0"/>
      <w:spacing w:before="260" w:after="260" w:line="416" w:lineRule="atLeast"/>
      <w:textAlignment w:val="baseline"/>
      <w:outlineLvl w:val="2"/>
    </w:pPr>
    <w:rPr>
      <w:b/>
      <w:bCs/>
      <w:kern w:val="0"/>
      <w:sz w:val="32"/>
      <w:szCs w:val="32"/>
    </w:rPr>
  </w:style>
  <w:style w:type="paragraph" w:styleId="10">
    <w:name w:val="heading 4"/>
    <w:basedOn w:val="1"/>
    <w:next w:val="1"/>
    <w:link w:val="65"/>
    <w:qFormat/>
    <w:uiPriority w:val="99"/>
    <w:pPr>
      <w:keepNext/>
      <w:keepLines/>
      <w:adjustRightInd w:val="0"/>
      <w:spacing w:before="280" w:after="290" w:line="376" w:lineRule="atLeast"/>
      <w:textAlignment w:val="baseline"/>
      <w:outlineLvl w:val="3"/>
    </w:pPr>
    <w:rPr>
      <w:rFonts w:ascii="Arial" w:hAnsi="Arial" w:eastAsia="黑体"/>
      <w:b/>
      <w:bCs/>
      <w:sz w:val="28"/>
      <w:szCs w:val="28"/>
    </w:rPr>
  </w:style>
  <w:style w:type="paragraph" w:styleId="11">
    <w:name w:val="heading 5"/>
    <w:basedOn w:val="1"/>
    <w:next w:val="1"/>
    <w:link w:val="66"/>
    <w:qFormat/>
    <w:uiPriority w:val="99"/>
    <w:pPr>
      <w:keepNext/>
      <w:keepLines/>
      <w:adjustRightInd w:val="0"/>
      <w:spacing w:before="280" w:after="290" w:line="376" w:lineRule="atLeast"/>
      <w:textAlignment w:val="baseline"/>
      <w:outlineLvl w:val="4"/>
    </w:pPr>
    <w:rPr>
      <w:b/>
      <w:bCs/>
      <w:kern w:val="0"/>
      <w:sz w:val="28"/>
      <w:szCs w:val="28"/>
    </w:rPr>
  </w:style>
  <w:style w:type="paragraph" w:styleId="12">
    <w:name w:val="heading 6"/>
    <w:basedOn w:val="1"/>
    <w:next w:val="1"/>
    <w:link w:val="67"/>
    <w:qFormat/>
    <w:uiPriority w:val="99"/>
    <w:pPr>
      <w:keepNext/>
      <w:keepLines/>
      <w:adjustRightInd w:val="0"/>
      <w:spacing w:before="240" w:after="64" w:line="320" w:lineRule="atLeast"/>
      <w:textAlignment w:val="baseline"/>
      <w:outlineLvl w:val="5"/>
    </w:pPr>
    <w:rPr>
      <w:rFonts w:ascii="Cambria" w:hAnsi="Cambria"/>
      <w:b/>
      <w:bCs/>
      <w:kern w:val="0"/>
      <w:sz w:val="24"/>
      <w:szCs w:val="24"/>
    </w:rPr>
  </w:style>
  <w:style w:type="paragraph" w:styleId="13">
    <w:name w:val="heading 7"/>
    <w:basedOn w:val="1"/>
    <w:next w:val="1"/>
    <w:link w:val="68"/>
    <w:qFormat/>
    <w:uiPriority w:val="99"/>
    <w:pPr>
      <w:keepNext/>
      <w:keepLines/>
      <w:adjustRightInd w:val="0"/>
      <w:spacing w:before="240" w:after="64" w:line="320" w:lineRule="atLeast"/>
      <w:textAlignment w:val="baseline"/>
      <w:outlineLvl w:val="6"/>
    </w:pPr>
    <w:rPr>
      <w:b/>
      <w:bCs/>
      <w:kern w:val="0"/>
      <w:sz w:val="24"/>
      <w:szCs w:val="24"/>
    </w:rPr>
  </w:style>
  <w:style w:type="paragraph" w:styleId="14">
    <w:name w:val="heading 8"/>
    <w:basedOn w:val="1"/>
    <w:next w:val="1"/>
    <w:link w:val="69"/>
    <w:qFormat/>
    <w:uiPriority w:val="99"/>
    <w:pPr>
      <w:keepNext/>
      <w:keepLines/>
      <w:adjustRightInd w:val="0"/>
      <w:spacing w:before="240" w:after="64" w:line="320" w:lineRule="atLeast"/>
      <w:textAlignment w:val="baseline"/>
      <w:outlineLvl w:val="7"/>
    </w:pPr>
    <w:rPr>
      <w:rFonts w:ascii="Cambria" w:hAnsi="Cambria"/>
      <w:kern w:val="0"/>
      <w:sz w:val="24"/>
      <w:szCs w:val="24"/>
    </w:rPr>
  </w:style>
  <w:style w:type="paragraph" w:styleId="15">
    <w:name w:val="heading 9"/>
    <w:basedOn w:val="1"/>
    <w:next w:val="1"/>
    <w:link w:val="70"/>
    <w:qFormat/>
    <w:uiPriority w:val="99"/>
    <w:pPr>
      <w:keepNext/>
      <w:keepLines/>
      <w:adjustRightInd w:val="0"/>
      <w:spacing w:before="240" w:after="64" w:line="320" w:lineRule="atLeast"/>
      <w:textAlignment w:val="baseline"/>
      <w:outlineLvl w:val="8"/>
    </w:pPr>
    <w:rPr>
      <w:rFonts w:ascii="Cambria" w:hAnsi="Cambria"/>
      <w:kern w:val="0"/>
    </w:rPr>
  </w:style>
  <w:style w:type="character" w:default="1" w:styleId="53">
    <w:name w:val="Default Paragraph Font"/>
    <w:unhideWhenUsed/>
    <w:qFormat/>
    <w:uiPriority w:val="1"/>
  </w:style>
  <w:style w:type="table" w:default="1" w:styleId="5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link w:val="87"/>
    <w:qFormat/>
    <w:locked/>
    <w:uiPriority w:val="99"/>
    <w:pPr>
      <w:ind w:firstLine="420" w:firstLineChars="200"/>
    </w:pPr>
    <w:rPr>
      <w:sz w:val="21"/>
      <w:szCs w:val="21"/>
    </w:rPr>
  </w:style>
  <w:style w:type="paragraph" w:styleId="3">
    <w:name w:val="Body Text Indent"/>
    <w:basedOn w:val="1"/>
    <w:next w:val="4"/>
    <w:link w:val="74"/>
    <w:qFormat/>
    <w:uiPriority w:val="99"/>
    <w:pPr>
      <w:spacing w:after="156"/>
      <w:ind w:firstLine="480"/>
    </w:pPr>
    <w:rPr>
      <w:sz w:val="24"/>
      <w:szCs w:val="24"/>
    </w:rPr>
  </w:style>
  <w:style w:type="paragraph" w:styleId="4">
    <w:name w:val="envelope return"/>
    <w:basedOn w:val="1"/>
    <w:qFormat/>
    <w:locked/>
    <w:uiPriority w:val="99"/>
    <w:pPr>
      <w:snapToGrid w:val="0"/>
    </w:pPr>
    <w:rPr>
      <w:rFonts w:ascii="Arial" w:hAnsi="Arial" w:cs="Arial"/>
    </w:rPr>
  </w:style>
  <w:style w:type="paragraph" w:styleId="5">
    <w:name w:val="Body Text Indent 3"/>
    <w:basedOn w:val="1"/>
    <w:link w:val="82"/>
    <w:qFormat/>
    <w:uiPriority w:val="99"/>
    <w:pPr>
      <w:spacing w:after="120"/>
      <w:ind w:left="420" w:leftChars="200"/>
    </w:pPr>
    <w:rPr>
      <w:kern w:val="0"/>
      <w:sz w:val="16"/>
      <w:szCs w:val="16"/>
    </w:rPr>
  </w:style>
  <w:style w:type="paragraph" w:styleId="9">
    <w:name w:val="Normal Indent"/>
    <w:basedOn w:val="1"/>
    <w:link w:val="71"/>
    <w:qFormat/>
    <w:uiPriority w:val="99"/>
    <w:pPr>
      <w:ind w:firstLine="420"/>
    </w:pPr>
  </w:style>
  <w:style w:type="paragraph" w:styleId="16">
    <w:name w:val="List 3"/>
    <w:basedOn w:val="1"/>
    <w:qFormat/>
    <w:uiPriority w:val="99"/>
    <w:pPr>
      <w:ind w:left="100" w:leftChars="400" w:hanging="200" w:hangingChars="200"/>
    </w:pPr>
  </w:style>
  <w:style w:type="paragraph" w:styleId="17">
    <w:name w:val="toc 7"/>
    <w:basedOn w:val="1"/>
    <w:next w:val="1"/>
    <w:semiHidden/>
    <w:qFormat/>
    <w:uiPriority w:val="99"/>
    <w:pPr>
      <w:ind w:left="1260"/>
      <w:jc w:val="left"/>
    </w:pPr>
    <w:rPr>
      <w:sz w:val="18"/>
      <w:szCs w:val="18"/>
    </w:rPr>
  </w:style>
  <w:style w:type="paragraph" w:styleId="18">
    <w:name w:val="Document Map"/>
    <w:basedOn w:val="1"/>
    <w:link w:val="72"/>
    <w:semiHidden/>
    <w:qFormat/>
    <w:uiPriority w:val="99"/>
    <w:pPr>
      <w:shd w:val="clear" w:color="auto" w:fill="000080"/>
    </w:pPr>
    <w:rPr>
      <w:kern w:val="0"/>
      <w:sz w:val="2"/>
      <w:szCs w:val="2"/>
    </w:rPr>
  </w:style>
  <w:style w:type="paragraph" w:styleId="19">
    <w:name w:val="annotation text"/>
    <w:basedOn w:val="1"/>
    <w:link w:val="73"/>
    <w:semiHidden/>
    <w:qFormat/>
    <w:uiPriority w:val="99"/>
    <w:pPr>
      <w:jc w:val="left"/>
    </w:pPr>
  </w:style>
  <w:style w:type="paragraph" w:styleId="20">
    <w:name w:val="Body Text"/>
    <w:basedOn w:val="1"/>
    <w:next w:val="1"/>
    <w:link w:val="61"/>
    <w:qFormat/>
    <w:uiPriority w:val="99"/>
    <w:rPr>
      <w:kern w:val="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spacing w:after="120"/>
      <w:ind w:left="420" w:leftChars="200"/>
    </w:pPr>
  </w:style>
  <w:style w:type="paragraph" w:styleId="23">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4">
    <w:name w:val="toc 5"/>
    <w:basedOn w:val="1"/>
    <w:next w:val="1"/>
    <w:semiHidden/>
    <w:qFormat/>
    <w:uiPriority w:val="99"/>
    <w:pPr>
      <w:ind w:left="840"/>
      <w:jc w:val="left"/>
    </w:pPr>
    <w:rPr>
      <w:sz w:val="18"/>
      <w:szCs w:val="18"/>
    </w:rPr>
  </w:style>
  <w:style w:type="paragraph" w:styleId="25">
    <w:name w:val="toc 3"/>
    <w:basedOn w:val="1"/>
    <w:next w:val="1"/>
    <w:semiHidden/>
    <w:qFormat/>
    <w:uiPriority w:val="99"/>
    <w:pPr>
      <w:ind w:left="420"/>
      <w:jc w:val="left"/>
    </w:pPr>
    <w:rPr>
      <w:i/>
      <w:iCs/>
      <w:sz w:val="20"/>
      <w:szCs w:val="20"/>
    </w:rPr>
  </w:style>
  <w:style w:type="paragraph" w:styleId="26">
    <w:name w:val="Plain Text"/>
    <w:basedOn w:val="1"/>
    <w:link w:val="75"/>
    <w:qFormat/>
    <w:uiPriority w:val="99"/>
    <w:rPr>
      <w:rFonts w:ascii="宋体" w:hAnsi="Courier New"/>
      <w:kern w:val="0"/>
    </w:rPr>
  </w:style>
  <w:style w:type="paragraph" w:styleId="27">
    <w:name w:val="toc 8"/>
    <w:basedOn w:val="1"/>
    <w:next w:val="1"/>
    <w:semiHidden/>
    <w:qFormat/>
    <w:uiPriority w:val="99"/>
    <w:pPr>
      <w:ind w:left="1470"/>
      <w:jc w:val="left"/>
    </w:pPr>
    <w:rPr>
      <w:sz w:val="18"/>
      <w:szCs w:val="18"/>
    </w:rPr>
  </w:style>
  <w:style w:type="paragraph" w:styleId="28">
    <w:name w:val="Date"/>
    <w:basedOn w:val="1"/>
    <w:next w:val="1"/>
    <w:link w:val="76"/>
    <w:qFormat/>
    <w:uiPriority w:val="99"/>
    <w:pPr>
      <w:widowControl/>
      <w:ind w:left="100"/>
      <w:jc w:val="left"/>
    </w:pPr>
    <w:rPr>
      <w:kern w:val="0"/>
    </w:rPr>
  </w:style>
  <w:style w:type="paragraph" w:styleId="29">
    <w:name w:val="Body Text Indent 2"/>
    <w:basedOn w:val="1"/>
    <w:link w:val="77"/>
    <w:qFormat/>
    <w:uiPriority w:val="99"/>
    <w:pPr>
      <w:ind w:left="1436" w:leftChars="684"/>
    </w:pPr>
    <w:rPr>
      <w:kern w:val="0"/>
    </w:rPr>
  </w:style>
  <w:style w:type="paragraph" w:styleId="30">
    <w:name w:val="List Continue 5"/>
    <w:basedOn w:val="1"/>
    <w:qFormat/>
    <w:uiPriority w:val="99"/>
    <w:pPr>
      <w:spacing w:after="120"/>
      <w:ind w:left="2100" w:leftChars="1000"/>
    </w:pPr>
  </w:style>
  <w:style w:type="paragraph" w:styleId="31">
    <w:name w:val="Balloon Text"/>
    <w:basedOn w:val="1"/>
    <w:link w:val="78"/>
    <w:semiHidden/>
    <w:qFormat/>
    <w:uiPriority w:val="99"/>
    <w:rPr>
      <w:sz w:val="18"/>
      <w:szCs w:val="18"/>
    </w:rPr>
  </w:style>
  <w:style w:type="paragraph" w:styleId="32">
    <w:name w:val="footer"/>
    <w:basedOn w:val="1"/>
    <w:link w:val="79"/>
    <w:qFormat/>
    <w:uiPriority w:val="99"/>
    <w:pPr>
      <w:tabs>
        <w:tab w:val="center" w:pos="4153"/>
        <w:tab w:val="right" w:pos="8306"/>
      </w:tabs>
      <w:snapToGrid w:val="0"/>
      <w:jc w:val="left"/>
    </w:pPr>
    <w:rPr>
      <w:sz w:val="18"/>
      <w:szCs w:val="18"/>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35">
    <w:name w:val="List Continue 4"/>
    <w:basedOn w:val="1"/>
    <w:qFormat/>
    <w:uiPriority w:val="99"/>
    <w:pPr>
      <w:spacing w:after="120"/>
      <w:ind w:left="1680" w:leftChars="800"/>
    </w:pPr>
  </w:style>
  <w:style w:type="paragraph" w:styleId="36">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37">
    <w:name w:val="List"/>
    <w:basedOn w:val="1"/>
    <w:qFormat/>
    <w:uiPriority w:val="99"/>
    <w:pPr>
      <w:ind w:left="200" w:hanging="200" w:hangingChars="200"/>
    </w:pPr>
  </w:style>
  <w:style w:type="paragraph" w:styleId="38">
    <w:name w:val="footnote text"/>
    <w:basedOn w:val="1"/>
    <w:link w:val="81"/>
    <w:semiHidden/>
    <w:qFormat/>
    <w:uiPriority w:val="99"/>
    <w:pPr>
      <w:snapToGrid w:val="0"/>
      <w:jc w:val="left"/>
    </w:pPr>
    <w:rPr>
      <w:kern w:val="0"/>
      <w:sz w:val="18"/>
      <w:szCs w:val="18"/>
    </w:rPr>
  </w:style>
  <w:style w:type="paragraph" w:styleId="39">
    <w:name w:val="toc 6"/>
    <w:basedOn w:val="1"/>
    <w:next w:val="1"/>
    <w:semiHidden/>
    <w:qFormat/>
    <w:uiPriority w:val="99"/>
    <w:pPr>
      <w:ind w:left="1050"/>
      <w:jc w:val="left"/>
    </w:pPr>
    <w:rPr>
      <w:sz w:val="18"/>
      <w:szCs w:val="18"/>
    </w:rPr>
  </w:style>
  <w:style w:type="paragraph" w:styleId="40">
    <w:name w:val="List 5"/>
    <w:basedOn w:val="1"/>
    <w:qFormat/>
    <w:uiPriority w:val="99"/>
    <w:pPr>
      <w:ind w:left="100" w:leftChars="800" w:hanging="200" w:hangingChars="200"/>
    </w:pPr>
  </w:style>
  <w:style w:type="paragraph" w:styleId="41">
    <w:name w:val="toc 2"/>
    <w:basedOn w:val="1"/>
    <w:next w:val="1"/>
    <w:semiHidden/>
    <w:qFormat/>
    <w:uiPriority w:val="99"/>
    <w:pPr>
      <w:ind w:left="210"/>
      <w:jc w:val="left"/>
    </w:pPr>
    <w:rPr>
      <w:smallCaps/>
      <w:sz w:val="20"/>
      <w:szCs w:val="20"/>
    </w:rPr>
  </w:style>
  <w:style w:type="paragraph" w:styleId="42">
    <w:name w:val="toc 9"/>
    <w:basedOn w:val="1"/>
    <w:next w:val="1"/>
    <w:semiHidden/>
    <w:qFormat/>
    <w:uiPriority w:val="99"/>
    <w:pPr>
      <w:ind w:left="1680"/>
      <w:jc w:val="left"/>
    </w:pPr>
    <w:rPr>
      <w:sz w:val="18"/>
      <w:szCs w:val="18"/>
    </w:rPr>
  </w:style>
  <w:style w:type="paragraph" w:styleId="43">
    <w:name w:val="Body Text 2"/>
    <w:basedOn w:val="1"/>
    <w:link w:val="83"/>
    <w:qFormat/>
    <w:uiPriority w:val="99"/>
    <w:rPr>
      <w:kern w:val="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spacing w:after="120"/>
      <w:ind w:left="840" w:leftChars="400"/>
    </w:pPr>
  </w:style>
  <w:style w:type="paragraph" w:styleId="46">
    <w:name w:val="HTML Preformatted"/>
    <w:basedOn w:val="1"/>
    <w:link w:val="84"/>
    <w:qFormat/>
    <w:uiPriority w:val="99"/>
    <w:rPr>
      <w:rFonts w:ascii="Courier New" w:hAnsi="Courier New"/>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8">
    <w:name w:val="List Continue 3"/>
    <w:basedOn w:val="1"/>
    <w:qFormat/>
    <w:uiPriority w:val="99"/>
    <w:pPr>
      <w:spacing w:after="120"/>
      <w:ind w:left="1260" w:leftChars="600"/>
    </w:pPr>
  </w:style>
  <w:style w:type="paragraph" w:styleId="49">
    <w:name w:val="annotation subject"/>
    <w:basedOn w:val="19"/>
    <w:next w:val="19"/>
    <w:link w:val="85"/>
    <w:semiHidden/>
    <w:qFormat/>
    <w:uiPriority w:val="99"/>
    <w:rPr>
      <w:b/>
      <w:bCs/>
    </w:rPr>
  </w:style>
  <w:style w:type="paragraph" w:styleId="50">
    <w:name w:val="Body Text First Indent"/>
    <w:basedOn w:val="20"/>
    <w:link w:val="86"/>
    <w:qFormat/>
    <w:uiPriority w:val="99"/>
    <w:pPr>
      <w:spacing w:line="360" w:lineRule="auto"/>
      <w:ind w:firstLine="482"/>
    </w:pPr>
  </w:style>
  <w:style w:type="table" w:styleId="52">
    <w:name w:val="Table Grid"/>
    <w:basedOn w:val="5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locked/>
    <w:uiPriority w:val="22"/>
    <w:rPr>
      <w:b/>
      <w:bCs/>
    </w:rPr>
  </w:style>
  <w:style w:type="character" w:styleId="55">
    <w:name w:val="page number"/>
    <w:qFormat/>
    <w:uiPriority w:val="99"/>
  </w:style>
  <w:style w:type="character" w:styleId="56">
    <w:name w:val="FollowedHyperlink"/>
    <w:qFormat/>
    <w:locked/>
    <w:uiPriority w:val="99"/>
    <w:rPr>
      <w:color w:val="auto"/>
      <w:u w:val="none"/>
    </w:rPr>
  </w:style>
  <w:style w:type="character" w:styleId="57">
    <w:name w:val="Hyperlink"/>
    <w:qFormat/>
    <w:uiPriority w:val="99"/>
    <w:rPr>
      <w:color w:val="auto"/>
      <w:u w:val="none"/>
    </w:rPr>
  </w:style>
  <w:style w:type="character" w:styleId="58">
    <w:name w:val="annotation reference"/>
    <w:semiHidden/>
    <w:qFormat/>
    <w:uiPriority w:val="99"/>
    <w:rPr>
      <w:sz w:val="21"/>
      <w:szCs w:val="21"/>
    </w:rPr>
  </w:style>
  <w:style w:type="character" w:styleId="59">
    <w:name w:val="footnote reference"/>
    <w:semiHidden/>
    <w:qFormat/>
    <w:uiPriority w:val="99"/>
    <w:rPr>
      <w:vertAlign w:val="superscript"/>
    </w:rPr>
  </w:style>
  <w:style w:type="paragraph" w:customStyle="1" w:styleId="60">
    <w:name w:val=" Char"/>
    <w:basedOn w:val="1"/>
    <w:qFormat/>
    <w:uiPriority w:val="0"/>
    <w:pPr>
      <w:widowControl/>
      <w:spacing w:after="160" w:afterLines="0" w:line="240" w:lineRule="exact"/>
      <w:jc w:val="left"/>
    </w:pPr>
    <w:rPr>
      <w:rFonts w:ascii="Verdana" w:hAnsi="Verdana" w:eastAsia="宋体"/>
      <w:kern w:val="0"/>
      <w:sz w:val="21"/>
      <w:lang w:eastAsia="en-US"/>
    </w:rPr>
  </w:style>
  <w:style w:type="character" w:customStyle="1" w:styleId="61">
    <w:name w:val="正文文本 Char"/>
    <w:link w:val="20"/>
    <w:semiHidden/>
    <w:qFormat/>
    <w:locked/>
    <w:uiPriority w:val="99"/>
    <w:rPr>
      <w:rFonts w:ascii="Times New Roman" w:hAnsi="Times New Roman" w:cs="Times New Roman"/>
      <w:sz w:val="21"/>
      <w:szCs w:val="21"/>
    </w:rPr>
  </w:style>
  <w:style w:type="character" w:customStyle="1" w:styleId="62">
    <w:name w:val="标题 1 Char"/>
    <w:link w:val="6"/>
    <w:qFormat/>
    <w:locked/>
    <w:uiPriority w:val="99"/>
    <w:rPr>
      <w:b/>
      <w:bCs/>
      <w:kern w:val="44"/>
      <w:sz w:val="44"/>
      <w:szCs w:val="44"/>
    </w:rPr>
  </w:style>
  <w:style w:type="character" w:customStyle="1" w:styleId="63">
    <w:name w:val="标题 2 Char"/>
    <w:link w:val="7"/>
    <w:qFormat/>
    <w:locked/>
    <w:uiPriority w:val="99"/>
    <w:rPr>
      <w:rFonts w:ascii="Arial" w:hAnsi="Arial" w:eastAsia="黑体" w:cs="Arial"/>
      <w:b/>
      <w:bCs/>
      <w:sz w:val="32"/>
      <w:szCs w:val="32"/>
    </w:rPr>
  </w:style>
  <w:style w:type="character" w:customStyle="1" w:styleId="64">
    <w:name w:val="标题 3 Char"/>
    <w:link w:val="8"/>
    <w:semiHidden/>
    <w:qFormat/>
    <w:locked/>
    <w:uiPriority w:val="99"/>
    <w:rPr>
      <w:rFonts w:ascii="Times New Roman" w:hAnsi="Times New Roman" w:cs="Times New Roman"/>
      <w:b/>
      <w:bCs/>
      <w:sz w:val="32"/>
      <w:szCs w:val="32"/>
    </w:rPr>
  </w:style>
  <w:style w:type="character" w:customStyle="1" w:styleId="65">
    <w:name w:val="标题 4 Char"/>
    <w:link w:val="10"/>
    <w:qFormat/>
    <w:locked/>
    <w:uiPriority w:val="99"/>
    <w:rPr>
      <w:rFonts w:ascii="Arial" w:hAnsi="Arial" w:eastAsia="黑体" w:cs="Arial"/>
      <w:b/>
      <w:bCs/>
      <w:kern w:val="2"/>
      <w:sz w:val="28"/>
      <w:szCs w:val="28"/>
      <w:lang w:val="en-US" w:eastAsia="zh-CN"/>
    </w:rPr>
  </w:style>
  <w:style w:type="character" w:customStyle="1" w:styleId="66">
    <w:name w:val="标题 5 Char"/>
    <w:link w:val="11"/>
    <w:semiHidden/>
    <w:qFormat/>
    <w:locked/>
    <w:uiPriority w:val="99"/>
    <w:rPr>
      <w:rFonts w:ascii="Times New Roman" w:hAnsi="Times New Roman" w:cs="Times New Roman"/>
      <w:b/>
      <w:bCs/>
      <w:sz w:val="28"/>
      <w:szCs w:val="28"/>
    </w:rPr>
  </w:style>
  <w:style w:type="character" w:customStyle="1" w:styleId="67">
    <w:name w:val="标题 6 Char"/>
    <w:link w:val="12"/>
    <w:semiHidden/>
    <w:qFormat/>
    <w:locked/>
    <w:uiPriority w:val="99"/>
    <w:rPr>
      <w:rFonts w:ascii="Cambria" w:hAnsi="Cambria" w:eastAsia="宋体" w:cs="Cambria"/>
      <w:b/>
      <w:bCs/>
      <w:sz w:val="24"/>
      <w:szCs w:val="24"/>
    </w:rPr>
  </w:style>
  <w:style w:type="character" w:customStyle="1" w:styleId="68">
    <w:name w:val="标题 7 Char"/>
    <w:link w:val="13"/>
    <w:semiHidden/>
    <w:qFormat/>
    <w:locked/>
    <w:uiPriority w:val="99"/>
    <w:rPr>
      <w:rFonts w:ascii="Times New Roman" w:hAnsi="Times New Roman" w:cs="Times New Roman"/>
      <w:b/>
      <w:bCs/>
      <w:sz w:val="24"/>
      <w:szCs w:val="24"/>
    </w:rPr>
  </w:style>
  <w:style w:type="character" w:customStyle="1" w:styleId="69">
    <w:name w:val="标题 8 Char"/>
    <w:link w:val="14"/>
    <w:semiHidden/>
    <w:qFormat/>
    <w:locked/>
    <w:uiPriority w:val="99"/>
    <w:rPr>
      <w:rFonts w:ascii="Cambria" w:hAnsi="Cambria" w:eastAsia="宋体" w:cs="Cambria"/>
      <w:sz w:val="24"/>
      <w:szCs w:val="24"/>
    </w:rPr>
  </w:style>
  <w:style w:type="character" w:customStyle="1" w:styleId="70">
    <w:name w:val="标题 9 Char"/>
    <w:link w:val="15"/>
    <w:semiHidden/>
    <w:qFormat/>
    <w:locked/>
    <w:uiPriority w:val="99"/>
    <w:rPr>
      <w:rFonts w:ascii="Cambria" w:hAnsi="Cambria" w:eastAsia="宋体" w:cs="Cambria"/>
      <w:sz w:val="21"/>
      <w:szCs w:val="21"/>
    </w:rPr>
  </w:style>
  <w:style w:type="character" w:customStyle="1" w:styleId="71">
    <w:name w:val="正文缩进 Char"/>
    <w:link w:val="9"/>
    <w:qFormat/>
    <w:locked/>
    <w:uiPriority w:val="99"/>
    <w:rPr>
      <w:kern w:val="2"/>
      <w:sz w:val="21"/>
      <w:szCs w:val="21"/>
    </w:rPr>
  </w:style>
  <w:style w:type="character" w:customStyle="1" w:styleId="72">
    <w:name w:val="文档结构图 Char"/>
    <w:link w:val="18"/>
    <w:semiHidden/>
    <w:qFormat/>
    <w:locked/>
    <w:uiPriority w:val="99"/>
    <w:rPr>
      <w:rFonts w:ascii="Times New Roman" w:hAnsi="Times New Roman" w:cs="Times New Roman"/>
      <w:sz w:val="2"/>
      <w:szCs w:val="2"/>
    </w:rPr>
  </w:style>
  <w:style w:type="character" w:customStyle="1" w:styleId="73">
    <w:name w:val="批注文字 Char"/>
    <w:link w:val="19"/>
    <w:qFormat/>
    <w:locked/>
    <w:uiPriority w:val="99"/>
    <w:rPr>
      <w:kern w:val="2"/>
      <w:sz w:val="21"/>
      <w:szCs w:val="21"/>
    </w:rPr>
  </w:style>
  <w:style w:type="character" w:customStyle="1" w:styleId="74">
    <w:name w:val="正文文本缩进 Char"/>
    <w:link w:val="3"/>
    <w:qFormat/>
    <w:locked/>
    <w:uiPriority w:val="99"/>
    <w:rPr>
      <w:kern w:val="2"/>
      <w:sz w:val="24"/>
      <w:szCs w:val="24"/>
    </w:rPr>
  </w:style>
  <w:style w:type="character" w:customStyle="1" w:styleId="75">
    <w:name w:val="纯文本 Char"/>
    <w:link w:val="26"/>
    <w:semiHidden/>
    <w:qFormat/>
    <w:locked/>
    <w:uiPriority w:val="99"/>
    <w:rPr>
      <w:rFonts w:ascii="宋体" w:hAnsi="Courier New" w:cs="宋体"/>
      <w:sz w:val="21"/>
      <w:szCs w:val="21"/>
    </w:rPr>
  </w:style>
  <w:style w:type="character" w:customStyle="1" w:styleId="76">
    <w:name w:val="日期 Char"/>
    <w:link w:val="28"/>
    <w:semiHidden/>
    <w:qFormat/>
    <w:locked/>
    <w:uiPriority w:val="99"/>
    <w:rPr>
      <w:rFonts w:ascii="Times New Roman" w:hAnsi="Times New Roman" w:cs="Times New Roman"/>
      <w:sz w:val="21"/>
      <w:szCs w:val="21"/>
    </w:rPr>
  </w:style>
  <w:style w:type="character" w:customStyle="1" w:styleId="77">
    <w:name w:val="正文文本缩进 2 Char"/>
    <w:link w:val="29"/>
    <w:semiHidden/>
    <w:qFormat/>
    <w:locked/>
    <w:uiPriority w:val="99"/>
    <w:rPr>
      <w:rFonts w:ascii="Times New Roman" w:hAnsi="Times New Roman" w:cs="Times New Roman"/>
      <w:sz w:val="21"/>
      <w:szCs w:val="21"/>
    </w:rPr>
  </w:style>
  <w:style w:type="character" w:customStyle="1" w:styleId="78">
    <w:name w:val="批注框文本 Char"/>
    <w:link w:val="31"/>
    <w:qFormat/>
    <w:locked/>
    <w:uiPriority w:val="99"/>
    <w:rPr>
      <w:rFonts w:eastAsia="宋体"/>
      <w:kern w:val="2"/>
      <w:sz w:val="18"/>
      <w:szCs w:val="18"/>
      <w:lang w:val="en-US" w:eastAsia="zh-CN"/>
    </w:rPr>
  </w:style>
  <w:style w:type="character" w:customStyle="1" w:styleId="79">
    <w:name w:val="页脚 Char"/>
    <w:link w:val="32"/>
    <w:qFormat/>
    <w:locked/>
    <w:uiPriority w:val="99"/>
    <w:rPr>
      <w:kern w:val="2"/>
      <w:sz w:val="18"/>
      <w:szCs w:val="18"/>
    </w:rPr>
  </w:style>
  <w:style w:type="character" w:customStyle="1" w:styleId="80">
    <w:name w:val="页眉 Char"/>
    <w:link w:val="33"/>
    <w:semiHidden/>
    <w:qFormat/>
    <w:locked/>
    <w:uiPriority w:val="99"/>
    <w:rPr>
      <w:rFonts w:ascii="Times New Roman" w:hAnsi="Times New Roman" w:cs="Times New Roman"/>
      <w:sz w:val="18"/>
      <w:szCs w:val="18"/>
    </w:rPr>
  </w:style>
  <w:style w:type="character" w:customStyle="1" w:styleId="81">
    <w:name w:val="脚注文本 Char"/>
    <w:link w:val="38"/>
    <w:semiHidden/>
    <w:qFormat/>
    <w:locked/>
    <w:uiPriority w:val="99"/>
    <w:rPr>
      <w:rFonts w:ascii="Times New Roman" w:hAnsi="Times New Roman" w:cs="Times New Roman"/>
      <w:sz w:val="18"/>
      <w:szCs w:val="18"/>
    </w:rPr>
  </w:style>
  <w:style w:type="character" w:customStyle="1" w:styleId="82">
    <w:name w:val="正文文本缩进 3 Char"/>
    <w:link w:val="5"/>
    <w:semiHidden/>
    <w:qFormat/>
    <w:locked/>
    <w:uiPriority w:val="99"/>
    <w:rPr>
      <w:rFonts w:ascii="Times New Roman" w:hAnsi="Times New Roman" w:cs="Times New Roman"/>
      <w:sz w:val="16"/>
      <w:szCs w:val="16"/>
    </w:rPr>
  </w:style>
  <w:style w:type="character" w:customStyle="1" w:styleId="83">
    <w:name w:val="正文文本 2 Char"/>
    <w:link w:val="43"/>
    <w:semiHidden/>
    <w:qFormat/>
    <w:locked/>
    <w:uiPriority w:val="99"/>
    <w:rPr>
      <w:rFonts w:ascii="Times New Roman" w:hAnsi="Times New Roman" w:cs="Times New Roman"/>
      <w:sz w:val="21"/>
      <w:szCs w:val="21"/>
    </w:rPr>
  </w:style>
  <w:style w:type="character" w:customStyle="1" w:styleId="84">
    <w:name w:val="HTML 预设格式 Char"/>
    <w:link w:val="46"/>
    <w:qFormat/>
    <w:locked/>
    <w:uiPriority w:val="99"/>
    <w:rPr>
      <w:rFonts w:ascii="Courier New" w:hAnsi="Courier New" w:cs="Courier New"/>
      <w:kern w:val="2"/>
    </w:rPr>
  </w:style>
  <w:style w:type="character" w:customStyle="1" w:styleId="85">
    <w:name w:val="批注主题 Char"/>
    <w:link w:val="49"/>
    <w:semiHidden/>
    <w:qFormat/>
    <w:locked/>
    <w:uiPriority w:val="99"/>
    <w:rPr>
      <w:rFonts w:ascii="Times New Roman" w:hAnsi="Times New Roman" w:cs="Times New Roman"/>
      <w:b/>
      <w:bCs/>
      <w:kern w:val="2"/>
      <w:sz w:val="21"/>
      <w:szCs w:val="21"/>
    </w:rPr>
  </w:style>
  <w:style w:type="character" w:customStyle="1" w:styleId="86">
    <w:name w:val="正文首行缩进 Char"/>
    <w:link w:val="50"/>
    <w:semiHidden/>
    <w:qFormat/>
    <w:locked/>
    <w:uiPriority w:val="99"/>
    <w:rPr>
      <w:rFonts w:ascii="Times New Roman" w:hAnsi="Times New Roman" w:cs="Times New Roman"/>
      <w:sz w:val="21"/>
      <w:szCs w:val="21"/>
    </w:rPr>
  </w:style>
  <w:style w:type="character" w:customStyle="1" w:styleId="87">
    <w:name w:val="正文首行缩进 2 Char"/>
    <w:link w:val="2"/>
    <w:qFormat/>
    <w:locked/>
    <w:uiPriority w:val="99"/>
    <w:rPr>
      <w:rFonts w:ascii="Times New Roman" w:hAnsi="Times New Roman" w:cs="Times New Roman"/>
      <w:kern w:val="2"/>
      <w:sz w:val="21"/>
      <w:szCs w:val="21"/>
    </w:rPr>
  </w:style>
  <w:style w:type="paragraph" w:customStyle="1" w:styleId="88">
    <w:name w:val="无间隔1"/>
    <w:qFormat/>
    <w:uiPriority w:val="0"/>
    <w:rPr>
      <w:rFonts w:ascii="Times New Roman" w:hAnsi="Times New Roman" w:eastAsia="宋体" w:cs="Times New Roman"/>
      <w:sz w:val="22"/>
      <w:szCs w:val="22"/>
      <w:lang w:val="en-US" w:eastAsia="en-US" w:bidi="en-US"/>
    </w:rPr>
  </w:style>
  <w:style w:type="paragraph" w:customStyle="1" w:styleId="89">
    <w:name w:val="一级条标题"/>
    <w:basedOn w:val="90"/>
    <w:next w:val="91"/>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0">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1">
    <w:name w:val="段"/>
    <w:basedOn w:val="1"/>
    <w:next w:val="1"/>
    <w:qFormat/>
    <w:uiPriority w:val="0"/>
    <w:pPr>
      <w:widowControl/>
      <w:autoSpaceDE w:val="0"/>
      <w:autoSpaceDN w:val="0"/>
      <w:ind w:firstLine="200" w:firstLineChars="200"/>
    </w:pPr>
    <w:rPr>
      <w:rFonts w:hint="eastAsia" w:ascii="宋体"/>
      <w:kern w:val="0"/>
    </w:rPr>
  </w:style>
  <w:style w:type="character" w:customStyle="1" w:styleId="92">
    <w:name w:val="font31"/>
    <w:qFormat/>
    <w:uiPriority w:val="99"/>
    <w:rPr>
      <w:rFonts w:ascii="仿宋" w:hAnsi="仿宋" w:eastAsia="仿宋" w:cs="仿宋"/>
      <w:color w:val="000000"/>
      <w:sz w:val="20"/>
      <w:szCs w:val="20"/>
      <w:u w:val="none"/>
    </w:rPr>
  </w:style>
  <w:style w:type="character" w:customStyle="1" w:styleId="93">
    <w:name w:val="font51"/>
    <w:qFormat/>
    <w:uiPriority w:val="99"/>
    <w:rPr>
      <w:rFonts w:ascii="宋体" w:hAnsi="宋体" w:eastAsia="宋体" w:cs="宋体"/>
      <w:color w:val="000000"/>
      <w:sz w:val="24"/>
      <w:szCs w:val="24"/>
      <w:u w:val="none"/>
    </w:rPr>
  </w:style>
  <w:style w:type="character" w:customStyle="1" w:styleId="94">
    <w:name w:val="font101"/>
    <w:qFormat/>
    <w:uiPriority w:val="99"/>
    <w:rPr>
      <w:rFonts w:ascii="仿宋" w:hAnsi="仿宋" w:eastAsia="仿宋" w:cs="仿宋"/>
      <w:color w:val="000000"/>
      <w:sz w:val="20"/>
      <w:szCs w:val="20"/>
      <w:u w:val="none"/>
    </w:rPr>
  </w:style>
  <w:style w:type="character" w:customStyle="1" w:styleId="95">
    <w:name w:val="font111"/>
    <w:qFormat/>
    <w:uiPriority w:val="99"/>
    <w:rPr>
      <w:rFonts w:ascii="宋体" w:hAnsi="宋体" w:eastAsia="宋体" w:cs="宋体"/>
      <w:color w:val="000000"/>
      <w:sz w:val="20"/>
      <w:szCs w:val="20"/>
      <w:u w:val="none"/>
    </w:rPr>
  </w:style>
  <w:style w:type="character" w:customStyle="1" w:styleId="96">
    <w:name w:val="font81"/>
    <w:qFormat/>
    <w:uiPriority w:val="99"/>
    <w:rPr>
      <w:rFonts w:ascii="Arial" w:hAnsi="Arial" w:cs="Arial"/>
      <w:color w:val="000000"/>
      <w:sz w:val="20"/>
      <w:szCs w:val="20"/>
      <w:u w:val="none"/>
    </w:rPr>
  </w:style>
  <w:style w:type="character" w:customStyle="1" w:styleId="97">
    <w:name w:val="style1"/>
    <w:qFormat/>
    <w:uiPriority w:val="99"/>
  </w:style>
  <w:style w:type="character" w:customStyle="1" w:styleId="98">
    <w:name w:val="font71"/>
    <w:qFormat/>
    <w:uiPriority w:val="99"/>
    <w:rPr>
      <w:rFonts w:ascii="Wingdings 2" w:hAnsi="Wingdings 2" w:cs="Wingdings 2"/>
      <w:color w:val="000000"/>
      <w:sz w:val="20"/>
      <w:szCs w:val="20"/>
      <w:u w:val="none"/>
    </w:rPr>
  </w:style>
  <w:style w:type="character" w:customStyle="1" w:styleId="99">
    <w:name w:val="font91"/>
    <w:qFormat/>
    <w:uiPriority w:val="99"/>
    <w:rPr>
      <w:rFonts w:ascii="宋体" w:hAnsi="宋体" w:eastAsia="宋体" w:cs="宋体"/>
      <w:color w:val="000000"/>
      <w:sz w:val="20"/>
      <w:szCs w:val="20"/>
      <w:u w:val="none"/>
    </w:rPr>
  </w:style>
  <w:style w:type="character" w:customStyle="1" w:styleId="100">
    <w:name w:val="font01"/>
    <w:qFormat/>
    <w:uiPriority w:val="99"/>
    <w:rPr>
      <w:rFonts w:ascii="宋体" w:hAnsi="宋体" w:eastAsia="宋体" w:cs="宋体"/>
      <w:color w:val="FF0000"/>
      <w:sz w:val="24"/>
      <w:szCs w:val="24"/>
      <w:u w:val="none"/>
    </w:rPr>
  </w:style>
  <w:style w:type="character" w:customStyle="1" w:styleId="101">
    <w:name w:val="标题 1 Char Char"/>
    <w:qFormat/>
    <w:uiPriority w:val="99"/>
    <w:rPr>
      <w:rFonts w:ascii="宋体" w:hAnsi="宋体" w:eastAsia="宋体" w:cs="宋体"/>
      <w:b/>
      <w:bCs/>
      <w:spacing w:val="-2"/>
      <w:sz w:val="24"/>
      <w:szCs w:val="24"/>
      <w:lang w:val="en-US" w:eastAsia="zh-CN"/>
    </w:rPr>
  </w:style>
  <w:style w:type="character" w:customStyle="1" w:styleId="102">
    <w:name w:val="纯文本 Char_0_0"/>
    <w:link w:val="103"/>
    <w:qFormat/>
    <w:locked/>
    <w:uiPriority w:val="99"/>
    <w:rPr>
      <w:rFonts w:ascii="宋体" w:hAnsi="Courier New" w:cs="宋体"/>
      <w:kern w:val="2"/>
      <w:sz w:val="21"/>
      <w:szCs w:val="21"/>
    </w:rPr>
  </w:style>
  <w:style w:type="paragraph" w:customStyle="1" w:styleId="103">
    <w:name w:val="纯文本_0_0"/>
    <w:basedOn w:val="104"/>
    <w:link w:val="102"/>
    <w:qFormat/>
    <w:uiPriority w:val="99"/>
    <w:rPr>
      <w:rFonts w:ascii="宋体" w:hAnsi="Courier New" w:cs="Times New Roman"/>
    </w:rPr>
  </w:style>
  <w:style w:type="paragraph" w:customStyle="1" w:styleId="104">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105">
    <w:name w:val="Style Heading 3 + Char"/>
    <w:link w:val="106"/>
    <w:qFormat/>
    <w:locked/>
    <w:uiPriority w:val="99"/>
    <w:rPr>
      <w:rFonts w:eastAsia="宋体"/>
      <w:b/>
      <w:bCs/>
      <w:kern w:val="2"/>
      <w:sz w:val="28"/>
      <w:szCs w:val="28"/>
      <w:lang w:val="en-US" w:eastAsia="zh-CN"/>
    </w:rPr>
  </w:style>
  <w:style w:type="paragraph" w:customStyle="1" w:styleId="106">
    <w:name w:val="Style Heading 3 +"/>
    <w:basedOn w:val="8"/>
    <w:link w:val="105"/>
    <w:qFormat/>
    <w:uiPriority w:val="99"/>
    <w:pPr>
      <w:adjustRightInd/>
      <w:spacing w:before="120" w:after="120" w:line="120" w:lineRule="atLeast"/>
      <w:textAlignment w:val="auto"/>
    </w:pPr>
    <w:rPr>
      <w:kern w:val="2"/>
      <w:sz w:val="28"/>
      <w:szCs w:val="28"/>
      <w:lang w:val="en-US" w:eastAsia="zh-CN"/>
    </w:rPr>
  </w:style>
  <w:style w:type="character" w:customStyle="1" w:styleId="107">
    <w:name w:val="font11"/>
    <w:qFormat/>
    <w:uiPriority w:val="99"/>
    <w:rPr>
      <w:rFonts w:ascii="宋体" w:hAnsi="宋体" w:eastAsia="宋体" w:cs="宋体"/>
      <w:color w:val="000000"/>
      <w:sz w:val="24"/>
      <w:szCs w:val="24"/>
      <w:u w:val="none"/>
    </w:rPr>
  </w:style>
  <w:style w:type="character" w:customStyle="1" w:styleId="108">
    <w:name w:val="font21"/>
    <w:qFormat/>
    <w:uiPriority w:val="99"/>
    <w:rPr>
      <w:rFonts w:ascii="楷体_GB2312" w:eastAsia="楷体_GB2312" w:cs="楷体_GB2312"/>
      <w:color w:val="000000"/>
      <w:sz w:val="24"/>
      <w:szCs w:val="24"/>
      <w:u w:val="none"/>
    </w:rPr>
  </w:style>
  <w:style w:type="character" w:customStyle="1" w:styleId="109">
    <w:name w:val="font41"/>
    <w:qFormat/>
    <w:uiPriority w:val="99"/>
    <w:rPr>
      <w:rFonts w:ascii="仿宋" w:hAnsi="仿宋" w:eastAsia="仿宋" w:cs="仿宋"/>
      <w:color w:val="000000"/>
      <w:sz w:val="20"/>
      <w:szCs w:val="20"/>
      <w:u w:val="none"/>
    </w:rPr>
  </w:style>
  <w:style w:type="paragraph" w:customStyle="1" w:styleId="110">
    <w:name w:val="Char Char Char1 Char"/>
    <w:basedOn w:val="1"/>
    <w:qFormat/>
    <w:uiPriority w:val="99"/>
  </w:style>
  <w:style w:type="paragraph" w:customStyle="1" w:styleId="111">
    <w:name w:val="标题 41"/>
    <w:qFormat/>
    <w:uiPriority w:val="0"/>
    <w:pPr>
      <w:widowControl w:val="0"/>
      <w:jc w:val="both"/>
    </w:pPr>
    <w:rPr>
      <w:rFonts w:ascii="Times New Roman" w:hAnsi="Arial Unicode MS" w:eastAsia="Arial Unicode MS" w:cs="Arial Unicode MS"/>
      <w:color w:val="000000"/>
      <w:u w:val="none" w:color="000000"/>
      <w:lang w:val="en-US" w:eastAsia="zh-CN" w:bidi="ar-SA"/>
    </w:rPr>
  </w:style>
  <w:style w:type="paragraph" w:customStyle="1" w:styleId="112">
    <w:name w:val="纯文本2"/>
    <w:basedOn w:val="1"/>
    <w:qFormat/>
    <w:uiPriority w:val="99"/>
    <w:rPr>
      <w:rFonts w:ascii="宋体" w:hAnsi="Courier New" w:cs="宋体"/>
      <w:sz w:val="28"/>
      <w:szCs w:val="28"/>
    </w:rPr>
  </w:style>
  <w:style w:type="paragraph" w:customStyle="1" w:styleId="113">
    <w:name w:val="Default"/>
    <w:qFormat/>
    <w:uiPriority w:val="99"/>
    <w:pPr>
      <w:widowControl w:val="0"/>
      <w:autoSpaceDE w:val="0"/>
      <w:autoSpaceDN w:val="0"/>
      <w:adjustRightInd w:val="0"/>
    </w:pPr>
    <w:rPr>
      <w:rFonts w:ascii="......." w:hAnsi="Calibri" w:eastAsia="......." w:cs="......."/>
      <w:color w:val="000000"/>
      <w:sz w:val="24"/>
      <w:szCs w:val="24"/>
      <w:lang w:val="en-US" w:eastAsia="zh-CN" w:bidi="ar-SA"/>
    </w:rPr>
  </w:style>
  <w:style w:type="paragraph" w:customStyle="1" w:styleId="114">
    <w:name w:val="6"/>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5">
    <w:name w:val="正文缩进2格"/>
    <w:basedOn w:val="1"/>
    <w:qFormat/>
    <w:uiPriority w:val="99"/>
    <w:pPr>
      <w:spacing w:line="600" w:lineRule="exact"/>
      <w:ind w:firstLine="639" w:firstLineChars="206"/>
    </w:pPr>
    <w:rPr>
      <w:rFonts w:ascii="仿宋_GB2312" w:hAnsi="宋体" w:eastAsia="仿宋_GB2312" w:cs="仿宋_GB2312"/>
      <w:sz w:val="31"/>
      <w:szCs w:val="31"/>
    </w:rPr>
  </w:style>
  <w:style w:type="paragraph" w:customStyle="1" w:styleId="116">
    <w:name w:val="1"/>
    <w:basedOn w:val="1"/>
    <w:next w:val="26"/>
    <w:qFormat/>
    <w:uiPriority w:val="99"/>
    <w:rPr>
      <w:rFonts w:ascii="宋体" w:hAnsi="Courier New" w:cs="宋体"/>
    </w:rPr>
  </w:style>
  <w:style w:type="paragraph" w:customStyle="1" w:styleId="117">
    <w:name w:val="Normal_12_0"/>
    <w:qFormat/>
    <w:uiPriority w:val="99"/>
    <w:rPr>
      <w:rFonts w:ascii="黑体" w:hAnsi="黑体" w:eastAsia="黑体" w:cs="黑体"/>
      <w:b/>
      <w:bCs/>
      <w:sz w:val="32"/>
      <w:szCs w:val="32"/>
      <w:lang w:val="en-US" w:eastAsia="zh-CN" w:bidi="ar-SA"/>
    </w:rPr>
  </w:style>
  <w:style w:type="paragraph" w:customStyle="1" w:styleId="118">
    <w:name w:val="p0"/>
    <w:basedOn w:val="1"/>
    <w:qFormat/>
    <w:uiPriority w:val="99"/>
    <w:pPr>
      <w:widowControl/>
    </w:pPr>
    <w:rPr>
      <w:kern w:val="0"/>
    </w:rPr>
  </w:style>
  <w:style w:type="paragraph" w:customStyle="1" w:styleId="119">
    <w:name w:val="列出段落1"/>
    <w:basedOn w:val="1"/>
    <w:qFormat/>
    <w:uiPriority w:val="99"/>
    <w:pPr>
      <w:ind w:firstLine="420" w:firstLineChars="200"/>
    </w:pPr>
  </w:style>
  <w:style w:type="paragraph" w:customStyle="1" w:styleId="120">
    <w:name w:val="样式 标题 1 + 宋体 段前: 0 磅 段后: 0 磅 行距: 单倍行距"/>
    <w:basedOn w:val="6"/>
    <w:next w:val="1"/>
    <w:qFormat/>
    <w:uiPriority w:val="99"/>
    <w:pPr>
      <w:spacing w:beforeLines="100" w:afterLines="100"/>
    </w:pPr>
    <w:rPr>
      <w:rFonts w:ascii="仿宋_GB2312" w:hAnsi="宋体" w:cs="仿宋_GB2312"/>
    </w:rPr>
  </w:style>
  <w:style w:type="paragraph" w:customStyle="1" w:styleId="121">
    <w:name w:val="图文"/>
    <w:basedOn w:val="1"/>
    <w:qFormat/>
    <w:uiPriority w:val="99"/>
    <w:pPr>
      <w:adjustRightInd w:val="0"/>
      <w:snapToGrid w:val="0"/>
      <w:spacing w:after="50" w:line="360" w:lineRule="auto"/>
    </w:pPr>
    <w:rPr>
      <w:sz w:val="24"/>
      <w:szCs w:val="24"/>
    </w:rPr>
  </w:style>
  <w:style w:type="paragraph" w:customStyle="1" w:styleId="122">
    <w:name w:val="列出段落11"/>
    <w:basedOn w:val="1"/>
    <w:qFormat/>
    <w:uiPriority w:val="99"/>
    <w:pPr>
      <w:ind w:firstLine="200" w:firstLineChars="200"/>
    </w:pPr>
    <w:rPr>
      <w:rFonts w:ascii="Calibri" w:hAnsi="Calibri" w:cs="Calibri"/>
    </w:rPr>
  </w:style>
  <w:style w:type="paragraph" w:styleId="123">
    <w:name w:val="List Paragraph"/>
    <w:basedOn w:val="1"/>
    <w:qFormat/>
    <w:uiPriority w:val="99"/>
    <w:pPr>
      <w:ind w:firstLine="420" w:firstLineChars="200"/>
    </w:pPr>
  </w:style>
  <w:style w:type="paragraph" w:customStyle="1" w:styleId="124">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5">
    <w:name w:val="默认段落字体 Para Char Char Char Char"/>
    <w:basedOn w:val="1"/>
    <w:qFormat/>
    <w:uiPriority w:val="99"/>
  </w:style>
  <w:style w:type="paragraph" w:customStyle="1" w:styleId="126">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7">
    <w:name w:val="二级目录"/>
    <w:next w:val="1"/>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128">
    <w:name w:val="简单回函地址"/>
    <w:basedOn w:val="1"/>
    <w:qFormat/>
    <w:uiPriority w:val="99"/>
  </w:style>
  <w:style w:type="paragraph" w:customStyle="1" w:styleId="129">
    <w:name w:val="Plain Text1"/>
    <w:basedOn w:val="1"/>
    <w:qFormat/>
    <w:uiPriority w:val="99"/>
    <w:pPr>
      <w:widowControl/>
      <w:adjustRightInd w:val="0"/>
      <w:jc w:val="left"/>
      <w:textAlignment w:val="baseline"/>
    </w:pPr>
    <w:rPr>
      <w:rFonts w:ascii="宋体" w:hAnsi="Courier New" w:eastAsia="楷体_GB2312" w:cs="宋体"/>
      <w:kern w:val="0"/>
      <w:sz w:val="26"/>
      <w:szCs w:val="26"/>
    </w:rPr>
  </w:style>
  <w:style w:type="paragraph" w:customStyle="1" w:styleId="130">
    <w:name w:val="文档正文"/>
    <w:basedOn w:val="1"/>
    <w:qFormat/>
    <w:uiPriority w:val="99"/>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31">
    <w:name w:val="样式 标题 2 + 黑色 行距: 1.5 倍行距"/>
    <w:basedOn w:val="7"/>
    <w:qFormat/>
    <w:uiPriority w:val="99"/>
    <w:pPr>
      <w:adjustRightInd/>
      <w:spacing w:line="360" w:lineRule="auto"/>
      <w:ind w:firstLine="3502" w:firstLineChars="1246"/>
      <w:textAlignment w:val="auto"/>
    </w:pPr>
    <w:rPr>
      <w:rFonts w:ascii="楷体_GB2312" w:hAnsi="宋体" w:eastAsia="楷体_GB2312" w:cs="楷体_GB2312"/>
      <w:kern w:val="2"/>
      <w:sz w:val="28"/>
      <w:szCs w:val="28"/>
    </w:rPr>
  </w:style>
  <w:style w:type="paragraph" w:customStyle="1" w:styleId="132">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paragraph" w:customStyle="1" w:styleId="133">
    <w:name w:val="正文_0"/>
    <w:qFormat/>
    <w:uiPriority w:val="99"/>
    <w:rPr>
      <w:rFonts w:ascii="Times New Roman" w:hAnsi="Times New Roman" w:eastAsia="宋体" w:cs="Times New Roman"/>
      <w:sz w:val="21"/>
      <w:szCs w:val="21"/>
      <w:lang w:val="en-US" w:eastAsia="zh-CN" w:bidi="ar-SA"/>
    </w:rPr>
  </w:style>
  <w:style w:type="paragraph" w:customStyle="1" w:styleId="134">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5">
    <w:name w:val="ZX-正文"/>
    <w:qFormat/>
    <w:uiPriority w:val="0"/>
    <w:pPr>
      <w:spacing w:beforeLines="50"/>
      <w:ind w:firstLine="480" w:firstLineChars="200"/>
    </w:pPr>
    <w:rPr>
      <w:rFonts w:ascii="Trebuchet MS" w:hAnsi="FuturaA Bk BT" w:eastAsia="宋体" w:cs="Times New Roman"/>
      <w:kern w:val="2"/>
      <w:sz w:val="24"/>
      <w:lang w:val="en-US" w:eastAsia="zh-CN" w:bidi="ar-SA"/>
    </w:rPr>
  </w:style>
  <w:style w:type="paragraph" w:customStyle="1" w:styleId="136">
    <w:name w:val="Body"/>
    <w:qFormat/>
    <w:uiPriority w:val="0"/>
    <w:rPr>
      <w:rFonts w:hint="eastAsia" w:ascii="Arial Unicode MS" w:hAnsi="Arial Unicode MS" w:eastAsia="Helvetica" w:cs="Arial Unicode MS"/>
      <w:color w:val="000000"/>
      <w:sz w:val="22"/>
      <w:szCs w:val="22"/>
      <w:lang w:val="en-US" w:eastAsia="zh-CN" w:bidi="ar-SA"/>
    </w:rPr>
  </w:style>
  <w:style w:type="paragraph" w:customStyle="1" w:styleId="137">
    <w:name w:val="Body text|1"/>
    <w:basedOn w:val="1"/>
    <w:qFormat/>
    <w:uiPriority w:val="0"/>
    <w:pPr>
      <w:widowControl w:val="0"/>
      <w:shd w:val="clear" w:color="auto" w:fill="auto"/>
      <w:spacing w:line="434" w:lineRule="auto"/>
      <w:ind w:firstLine="400"/>
    </w:pPr>
    <w:rPr>
      <w:rFonts w:ascii="宋体" w:hAnsi="宋体" w:eastAsia="宋体" w:cs="宋体"/>
      <w:sz w:val="20"/>
      <w:szCs w:val="20"/>
      <w:u w:val="none"/>
      <w:shd w:val="clear" w:color="auto" w:fill="auto"/>
      <w:lang w:val="zh-TW" w:eastAsia="zh-TW" w:bidi="zh-TW"/>
    </w:rPr>
  </w:style>
  <w:style w:type="paragraph" w:customStyle="1" w:styleId="138">
    <w:name w:val="_Style 17"/>
    <w:basedOn w:val="1"/>
    <w:next w:val="123"/>
    <w:qFormat/>
    <w:uiPriority w:val="99"/>
    <w:pPr>
      <w:spacing w:line="240" w:lineRule="auto"/>
      <w:ind w:firstLine="420" w:firstLineChars="200"/>
    </w:pPr>
    <w:rPr>
      <w:rFonts w:ascii="Calibri" w:hAnsi="Calibri" w:eastAsia="宋体" w:cs="Times New Roman"/>
      <w:sz w:val="21"/>
    </w:rPr>
  </w:style>
  <w:style w:type="paragraph" w:customStyle="1" w:styleId="139">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24069</Words>
  <Characters>24670</Characters>
  <Lines>207</Lines>
  <Paragraphs>58</Paragraphs>
  <TotalTime>8</TotalTime>
  <ScaleCrop>false</ScaleCrop>
  <LinksUpToDate>false</LinksUpToDate>
  <CharactersWithSpaces>26019</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2021-04-13T03:26:00Z</dcterms:created>
  <dc:creator>ql</dc:creator>
  <cp:lastModifiedBy>admin</cp:lastModifiedBy>
  <cp:lastPrinted>2022-10-18T07:21:00Z</cp:lastPrinted>
  <dcterms:modified xsi:type="dcterms:W3CDTF">2022-10-21T07:57:54Z</dcterms:modified>
  <dc:title>崇川区闸管所2020年闸（站）液压式启闭机维修保养项目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85CEE10AF0794A4D931510BDC08C8766</vt:lpwstr>
  </property>
</Properties>
</file>