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59"/>
        <w:tabs>
          <w:tab w:val="left" w:pos="420"/>
        </w:tabs>
        <w:spacing w:before="120"/>
        <w:ind w:firstLine="210"/>
      </w:pPr>
    </w:p>
    <w:p>
      <w:pPr>
        <w:tabs>
          <w:tab w:val="left" w:pos="1050"/>
          <w:tab w:val="right" w:leader="dot" w:pos="9402"/>
        </w:tabs>
        <w:spacing w:after="190" w:afterLines="50"/>
        <w:jc w:val="center"/>
        <w:rPr>
          <w:rFonts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南通市妇幼保健院五级电子病历数据质量自评系统采购项目</w:t>
      </w:r>
    </w:p>
    <w:p>
      <w:pPr>
        <w:tabs>
          <w:tab w:val="left" w:pos="1050"/>
          <w:tab w:val="right" w:leader="dot" w:pos="9402"/>
        </w:tabs>
        <w:spacing w:line="1600" w:lineRule="exact"/>
        <w:jc w:val="center"/>
        <w:rPr>
          <w:rFonts w:ascii="方正小标宋简体" w:hAnsi="Calibri" w:eastAsia="方正小标宋简体"/>
          <w:sz w:val="56"/>
          <w:szCs w:val="56"/>
        </w:rPr>
      </w:pPr>
      <w:r>
        <w:rPr>
          <w:rFonts w:hint="eastAsia" w:ascii="方正小标宋简体" w:hAnsi="宋体" w:eastAsia="方正小标宋简体" w:cs="方正小标宋简体"/>
          <w:sz w:val="56"/>
          <w:szCs w:val="56"/>
        </w:rPr>
        <w:t>竞争性磋商文件</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7"/>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项目编号：2022XXCS001</w:t>
      </w: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9"/>
        <w:tabs>
          <w:tab w:val="left" w:pos="420"/>
        </w:tabs>
        <w:spacing w:before="120"/>
        <w:ind w:firstLine="210"/>
      </w:pPr>
    </w:p>
    <w:p>
      <w:pPr>
        <w:pStyle w:val="59"/>
        <w:tabs>
          <w:tab w:val="left" w:pos="420"/>
        </w:tabs>
        <w:spacing w:before="120"/>
        <w:ind w:firstLine="210"/>
      </w:pPr>
    </w:p>
    <w:p>
      <w:pPr>
        <w:pStyle w:val="59"/>
        <w:tabs>
          <w:tab w:val="left" w:pos="420"/>
        </w:tabs>
        <w:spacing w:before="120"/>
        <w:ind w:firstLine="210"/>
      </w:pPr>
    </w:p>
    <w:p>
      <w:pPr>
        <w:pStyle w:val="59"/>
        <w:tabs>
          <w:tab w:val="left" w:pos="420"/>
        </w:tabs>
        <w:spacing w:before="120"/>
        <w:ind w:firstLine="210"/>
      </w:pPr>
    </w:p>
    <w:p>
      <w:pPr>
        <w:pStyle w:val="59"/>
        <w:tabs>
          <w:tab w:val="left" w:pos="420"/>
        </w:tabs>
        <w:spacing w:before="120"/>
        <w:ind w:firstLine="210"/>
      </w:pPr>
    </w:p>
    <w:p>
      <w:pPr>
        <w:pStyle w:val="59"/>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采购人：南通市妇幼保健院</w:t>
      </w:r>
    </w:p>
    <w:p>
      <w:pPr>
        <w:snapToGrid w:val="0"/>
        <w:spacing w:line="360" w:lineRule="auto"/>
        <w:jc w:val="center"/>
        <w:rPr>
          <w:rFonts w:ascii="宋体" w:hAnsi="宋体" w:eastAsia="宋体" w:cs="宋体"/>
          <w:kern w:val="0"/>
          <w:sz w:val="32"/>
          <w:szCs w:val="32"/>
          <w:highlight w:val="none"/>
        </w:rPr>
      </w:pPr>
      <w:r>
        <w:rPr>
          <w:rFonts w:hint="eastAsia" w:ascii="宋体" w:hAnsi="宋体" w:eastAsia="宋体" w:cs="宋体"/>
          <w:kern w:val="0"/>
          <w:sz w:val="32"/>
          <w:szCs w:val="32"/>
          <w:highlight w:val="none"/>
        </w:rPr>
        <w:t>采购代理机构：江苏海审工程咨询有限公司</w:t>
      </w:r>
    </w:p>
    <w:p>
      <w:pPr>
        <w:snapToGrid w:val="0"/>
        <w:spacing w:line="360" w:lineRule="auto"/>
        <w:jc w:val="center"/>
        <w:rPr>
          <w:rFonts w:ascii="宋体" w:hAnsi="宋体" w:eastAsia="宋体"/>
          <w:b/>
          <w:bCs/>
          <w:w w:val="80"/>
          <w:sz w:val="44"/>
          <w:szCs w:val="44"/>
          <w:highlight w:val="none"/>
        </w:rPr>
      </w:pPr>
      <w:r>
        <w:rPr>
          <w:rFonts w:hint="eastAsia" w:ascii="宋体" w:hAnsi="宋体" w:eastAsia="宋体" w:cs="宋体"/>
          <w:kern w:val="0"/>
          <w:sz w:val="32"/>
          <w:szCs w:val="32"/>
          <w:highlight w:val="none"/>
        </w:rPr>
        <w:t>二〇二二年</w:t>
      </w:r>
      <w:r>
        <w:rPr>
          <w:rFonts w:hint="eastAsia" w:ascii="宋体" w:hAnsi="宋体" w:eastAsia="宋体" w:cs="宋体"/>
          <w:kern w:val="0"/>
          <w:sz w:val="32"/>
          <w:szCs w:val="32"/>
          <w:highlight w:val="none"/>
          <w:lang w:val="en-US" w:eastAsia="zh-CN"/>
        </w:rPr>
        <w:t>九</w:t>
      </w:r>
      <w:r>
        <w:rPr>
          <w:rFonts w:hint="eastAsia" w:ascii="宋体" w:hAnsi="宋体" w:eastAsia="宋体" w:cs="宋体"/>
          <w:kern w:val="0"/>
          <w:sz w:val="32"/>
          <w:szCs w:val="32"/>
          <w:highlight w:val="none"/>
        </w:rPr>
        <w:t>月</w:t>
      </w:r>
      <w:r>
        <w:rPr>
          <w:rFonts w:hint="default" w:ascii="宋体" w:hAnsi="宋体" w:eastAsia="宋体" w:cs="宋体"/>
          <w:kern w:val="0"/>
          <w:sz w:val="32"/>
          <w:szCs w:val="32"/>
          <w:highlight w:val="none"/>
          <w:lang w:val="en-US"/>
        </w:rPr>
        <mc:AlternateContent>
          <mc:Choice Requires="wps">
            <w:drawing>
              <wp:anchor distT="0" distB="0" distL="114300" distR="114300" simplePos="0" relativeHeight="251660288" behindDoc="0" locked="0" layoutInCell="1" allowOverlap="1">
                <wp:simplePos x="0" y="0"/>
                <wp:positionH relativeFrom="column">
                  <wp:posOffset>2471420</wp:posOffset>
                </wp:positionH>
                <wp:positionV relativeFrom="paragraph">
                  <wp:posOffset>514985</wp:posOffset>
                </wp:positionV>
                <wp:extent cx="809625" cy="482600"/>
                <wp:effectExtent l="0" t="0" r="9525" b="12700"/>
                <wp:wrapNone/>
                <wp:docPr id="3" name="文本框 3"/>
                <wp:cNvGraphicFramePr/>
                <a:graphic xmlns:a="http://schemas.openxmlformats.org/drawingml/2006/main">
                  <a:graphicData uri="http://schemas.microsoft.com/office/word/2010/wordprocessingShape">
                    <wps:wsp>
                      <wps:cNvSpPr txBox="1"/>
                      <wps:spPr>
                        <a:xfrm>
                          <a:off x="0" y="0"/>
                          <a:ext cx="809625" cy="482600"/>
                        </a:xfrm>
                        <a:prstGeom prst="rect">
                          <a:avLst/>
                        </a:prstGeom>
                        <a:solidFill>
                          <a:srgbClr val="FFFFFF"/>
                        </a:solidFill>
                        <a:ln>
                          <a:noFill/>
                        </a:ln>
                        <a:effectLst/>
                      </wps:spPr>
                      <wps:txbx>
                        <w:txbxContent>
                          <w:p>
                            <w:pPr>
                              <w:pStyle w:val="59"/>
                              <w:tabs>
                                <w:tab w:val="left" w:pos="420"/>
                              </w:tabs>
                              <w:spacing w:before="120"/>
                              <w:ind w:firstLine="210"/>
                            </w:pPr>
                          </w:p>
                        </w:txbxContent>
                      </wps:txbx>
                      <wps:bodyPr upright="1"/>
                    </wps:wsp>
                  </a:graphicData>
                </a:graphic>
              </wp:anchor>
            </w:drawing>
          </mc:Choice>
          <mc:Fallback>
            <w:pict>
              <v:shape id="_x0000_s1026" o:spid="_x0000_s1026" o:spt="202" type="#_x0000_t202" style="position:absolute;left:0pt;margin-left:194.6pt;margin-top:40.55pt;height:38pt;width:63.75pt;z-index:251660288;mso-width-relative:page;mso-height-relative:page;" fillcolor="#FFFFFF" filled="t"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4F7l2AAA&#10;AAoBAAAPAAAAAAAAAAEAIAAAACIAAABkcnMvZG93bnJldi54bWxQSwECFAAUAAAACACHTuJAP/Ml&#10;0qwBAAA2AwAADgAAAAAAAAABACAAAAAnAQAAZHJzL2Uyb0RvYy54bWxQSwUGAAAAAAYABgBZAQAA&#10;RQUAAAAA&#10;">
                <v:fill on="t" focussize="0,0"/>
                <v:stroke on="f"/>
                <v:imagedata o:title=""/>
                <o:lock v:ext="edit" aspectratio="f"/>
                <v:textbox>
                  <w:txbxContent>
                    <w:p>
                      <w:pPr>
                        <w:pStyle w:val="59"/>
                        <w:tabs>
                          <w:tab w:val="left" w:pos="420"/>
                        </w:tabs>
                        <w:spacing w:before="120"/>
                        <w:ind w:firstLine="210"/>
                      </w:pPr>
                    </w:p>
                  </w:txbxContent>
                </v:textbox>
              </v:shape>
            </w:pict>
          </mc:Fallback>
        </mc:AlternateContent>
      </w:r>
      <w:r>
        <w:rPr>
          <w:rFonts w:hint="default" w:ascii="宋体" w:hAnsi="宋体" w:eastAsia="宋体" w:cs="宋体"/>
          <w:kern w:val="0"/>
          <w:sz w:val="32"/>
          <w:szCs w:val="32"/>
          <w:highlight w:val="none"/>
          <w:lang w:val="en-US"/>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9321800</wp:posOffset>
                </wp:positionV>
                <wp:extent cx="809625" cy="482600"/>
                <wp:effectExtent l="0" t="0" r="9525" b="12700"/>
                <wp:wrapNone/>
                <wp:docPr id="1" name="文本框 1"/>
                <wp:cNvGraphicFramePr/>
                <a:graphic xmlns:a="http://schemas.openxmlformats.org/drawingml/2006/main">
                  <a:graphicData uri="http://schemas.microsoft.com/office/word/2010/wordprocessingShape">
                    <wps:wsp>
                      <wps:cNvSpPr txBox="1"/>
                      <wps:spPr>
                        <a:xfrm>
                          <a:off x="0" y="0"/>
                          <a:ext cx="809625" cy="482600"/>
                        </a:xfrm>
                        <a:prstGeom prst="rect">
                          <a:avLst/>
                        </a:prstGeom>
                        <a:solidFill>
                          <a:srgbClr val="FFFFFF"/>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203.6pt;margin-top:734pt;height:38pt;width:63.75pt;z-index:251661312;mso-width-relative:page;mso-height-relative:page;" fillcolor="#FFFFFF" filled="t"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Dd6BtkAAAAN&#10;AQAADwAAAAAAAAABACAAAAAiAAAAZHJzL2Rvd25yZXYueG1sUEsBAhQAFAAAAAgAh07iQG+6EiCp&#10;AQAANgMAAA4AAAAAAAAAAQAgAAAAKAEAAGRycy9lMm9Eb2MueG1sUEsFBgAAAAAGAAYAWQEAAEMF&#10;AAAAAA==&#10;">
                <v:fill on="t" focussize="0,0"/>
                <v:stroke on="f"/>
                <v:imagedata o:title=""/>
                <o:lock v:ext="edit" aspectratio="f"/>
                <v:textbox>
                  <w:txbxContent>
                    <w:p/>
                  </w:txbxContent>
                </v:textbox>
              </v:shape>
            </w:pict>
          </mc:Fallback>
        </mc:AlternateContent>
      </w:r>
      <w:r>
        <w:rPr>
          <w:rFonts w:hint="eastAsia" w:ascii="宋体" w:hAnsi="宋体" w:eastAsia="宋体" w:cs="宋体"/>
          <w:kern w:val="0"/>
          <w:sz w:val="32"/>
          <w:szCs w:val="32"/>
          <w:highlight w:val="none"/>
          <w:lang w:val="en-US" w:eastAsia="zh-CN"/>
        </w:rPr>
        <w:t>二十七</w:t>
      </w:r>
      <w:r>
        <w:rPr>
          <w:rFonts w:hint="eastAsia" w:ascii="宋体" w:hAnsi="宋体" w:eastAsia="宋体" w:cs="宋体"/>
          <w:kern w:val="0"/>
          <w:sz w:val="32"/>
          <w:szCs w:val="32"/>
          <w:highlight w:val="none"/>
        </w:rPr>
        <w:t>日</w: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rPr>
          <w:rFonts w:asciiTheme="majorEastAsia" w:hAnsiTheme="majorEastAsia" w:eastAsiaTheme="majorEastAsia" w:cstheme="minorEastAsia"/>
          <w:b/>
          <w:w w:val="80"/>
          <w:sz w:val="36"/>
          <w:szCs w:val="36"/>
        </w:rPr>
      </w:pPr>
    </w:p>
    <w:p>
      <w:pPr>
        <w:sectPr>
          <w:headerReference r:id="rId4" w:type="first"/>
          <w:footerReference r:id="rId6" w:type="first"/>
          <w:headerReference r:id="rId3" w:type="default"/>
          <w:footerReference r:id="rId5" w:type="default"/>
          <w:pgSz w:w="11906" w:h="16838"/>
          <w:pgMar w:top="1418" w:right="851" w:bottom="709" w:left="1418" w:header="851" w:footer="449" w:gutter="0"/>
          <w:cols w:space="720" w:num="1"/>
          <w:docGrid w:type="lines" w:linePitch="380" w:charSpace="-5735"/>
        </w:sectPr>
      </w:pPr>
    </w:p>
    <w:p>
      <w:pPr>
        <w:pStyle w:val="77"/>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40"/>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40"/>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40"/>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40"/>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40"/>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40"/>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40"/>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418" w:right="851" w:bottom="709" w:left="1418" w:header="851" w:footer="449" w:gutter="0"/>
          <w:pgNumType w:start="1"/>
          <w:cols w:space="720" w:num="1"/>
          <w:docGrid w:type="lines" w:linePitch="380" w:charSpace="-5735"/>
        </w:sect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海审工程咨询有限公司（以下称代理机构）受南通市妇幼保健院（以下称采购单位）的委托，就南通市妇幼保健院五级电子病历数据质量自评系统采购项目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项目名称：南通市妇幼保健院五级电子病历数据质量自评系统采购项目；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项目编号：2022XXCS001；</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r>
        <w:rPr>
          <w:rFonts w:hint="eastAsia" w:cs="宋体" w:asciiTheme="majorEastAsia" w:hAnsiTheme="majorEastAsia" w:eastAsiaTheme="majorEastAsia"/>
          <w:sz w:val="24"/>
          <w:szCs w:val="24"/>
        </w:rPr>
        <w:t>；</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rPr>
        <w:t>18万元</w:t>
      </w:r>
      <w:bookmarkEnd w:id="2"/>
      <w:r>
        <w:rPr>
          <w:rFonts w:hint="eastAsia" w:cs="宋体" w:asciiTheme="majorEastAsia" w:hAnsiTheme="majorEastAsia" w:eastAsiaTheme="majorEastAsia"/>
          <w:sz w:val="24"/>
          <w:szCs w:val="24"/>
        </w:rPr>
        <w:t>，投标报价超过采购预算的为无效响应文件。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项目需求：详见磋商文件第三章；</w:t>
      </w:r>
    </w:p>
    <w:p>
      <w:pPr>
        <w:widowControl/>
        <w:numPr>
          <w:ilvl w:val="0"/>
          <w:numId w:val="2"/>
        </w:numPr>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潜在供应商资格</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（一）谈判供应商资格要求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1、具有独立承担民事责任的能力（法人或者其他组织的营业执照等证明文件，自然人的身份证明）；</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2、具有良好的商业信誉和健全的财务会计制度（提供2021年度</w:t>
      </w:r>
      <w:r>
        <w:rPr>
          <w:rFonts w:hint="eastAsia" w:cs="宋体" w:asciiTheme="majorEastAsia" w:hAnsiTheme="majorEastAsia" w:eastAsiaTheme="majorEastAsia"/>
          <w:sz w:val="24"/>
          <w:szCs w:val="24"/>
          <w:lang w:val="en-US" w:eastAsia="zh-CN"/>
        </w:rPr>
        <w:t>有效</w:t>
      </w:r>
      <w:r>
        <w:rPr>
          <w:rFonts w:hint="eastAsia" w:cs="宋体" w:asciiTheme="majorEastAsia" w:hAnsiTheme="majorEastAsia" w:eastAsiaTheme="majorEastAsia"/>
          <w:sz w:val="24"/>
          <w:szCs w:val="24"/>
        </w:rPr>
        <w:t>的财务状况报告（成立不满一年不需提供））；</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3、具有依法缴纳税收和社会保障资金的良好记录（提供2021年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月1日以来任意1个月的依法缴纳税收和社会保障资金的相关材料）；</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4、具有履行合同所必需的设备和专业技术能力（格式见第七章）；</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5、提供参与本次项目采购活动前三年内在经营活动中没有重大违法记录的书面《无重大违法记录声明函》（格式见第七章）；</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7、本项目不接受联合体投标，中标后不得分包、转包。</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（二）本项目的特定资格要求：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法定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（三）拒绝以下投标人参与投标：</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投标人之间存在下列互为关联关系的情形之一的，不得同时参加本项目采购：</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(1)单位负责人为同一人或者存在直接控股、管理关系的不同投标人；</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(2)为采购项目提供整体设计、规范编制或者项目管理、监理、检测等服务的投标人；</w:t>
      </w:r>
    </w:p>
    <w:p>
      <w:pPr>
        <w:widowControl/>
        <w:wordWrap w:val="0"/>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被“信用中国”网站（www.creditchina.gov.cn）、中国政府采购网（http://www.ccgp.gov.cn/）、和国家企业信用信息公示系统（http://www.gsxt.gov.cn/index.html）列为失信被执行人名单、重大税收违法案件当事人名单、政府采购严重违法失信行为记录名单、经营异常名录、严重违法失信企业名单。</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具体资格要求详见第七章“资格审查文件”。</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投标人认真对照资格条件，如不符合要求的，无意或故意参与投标所产生的一切后果由投标人自行承担；开标过程中，投标人提供的相关证件为虚假或伪造，或者其他人员持法定代表人或授权委托人的身份证参与投标，一经发现则取消投标人资格，如已成交，采购人有权取消其成交资格，并由该投标人承担由此带来可能的一切责任和损失。</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特别提醒】单位负责人为同一人或者存在直接控股、管理关系的不同投标人，不得同时参与同一采购项目相同标段的政府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成交，采购人有权取消其成交资格，并由该投标人承担由此带来的一切责任和损失。</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妇幼保健院官网（http://www.ntfybj.com/）、南通市卫生健康委员会官网（http://wjw.nantong.gov.cn/）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1、截止</w:t>
      </w:r>
      <w:r>
        <w:rPr>
          <w:rFonts w:hint="eastAsia" w:cs="宋体" w:asciiTheme="majorEastAsia" w:hAnsiTheme="majorEastAsia" w:eastAsiaTheme="majorEastAsia"/>
          <w:color w:val="auto"/>
          <w:sz w:val="24"/>
          <w:szCs w:val="24"/>
          <w:highlight w:val="none"/>
        </w:rPr>
        <w:t>时间：</w:t>
      </w:r>
      <w:r>
        <w:rPr>
          <w:rFonts w:hint="eastAsia" w:cs="宋体" w:asciiTheme="majorEastAsia" w:hAnsiTheme="majorEastAsia" w:eastAsiaTheme="majorEastAsia"/>
          <w:b/>
          <w:color w:val="auto"/>
          <w:sz w:val="24"/>
          <w:szCs w:val="24"/>
          <w:highlight w:val="none"/>
          <w:u w:val="single"/>
        </w:rPr>
        <w:t>2022年</w:t>
      </w:r>
      <w:r>
        <w:rPr>
          <w:rFonts w:hint="eastAsia" w:cs="宋体" w:asciiTheme="majorEastAsia" w:hAnsiTheme="majorEastAsia" w:eastAsiaTheme="majorEastAsia"/>
          <w:b/>
          <w:color w:val="auto"/>
          <w:sz w:val="24"/>
          <w:szCs w:val="24"/>
          <w:highlight w:val="none"/>
          <w:u w:val="single"/>
          <w:lang w:val="en-US" w:eastAsia="zh-CN"/>
        </w:rPr>
        <w:t>10</w:t>
      </w:r>
      <w:r>
        <w:rPr>
          <w:rFonts w:hint="eastAsia" w:cs="宋体" w:asciiTheme="majorEastAsia" w:hAnsiTheme="majorEastAsia" w:eastAsiaTheme="majorEastAsia"/>
          <w:b/>
          <w:color w:val="auto"/>
          <w:sz w:val="24"/>
          <w:szCs w:val="24"/>
          <w:highlight w:val="none"/>
          <w:u w:val="single"/>
        </w:rPr>
        <w:t>月</w:t>
      </w:r>
      <w:r>
        <w:rPr>
          <w:rFonts w:hint="eastAsia" w:cs="宋体" w:asciiTheme="majorEastAsia" w:hAnsiTheme="majorEastAsia" w:eastAsiaTheme="majorEastAsia"/>
          <w:b/>
          <w:color w:val="auto"/>
          <w:sz w:val="24"/>
          <w:szCs w:val="24"/>
          <w:highlight w:val="none"/>
          <w:u w:val="single"/>
          <w:lang w:val="en-US" w:eastAsia="zh-CN"/>
        </w:rPr>
        <w:t>17</w:t>
      </w:r>
      <w:r>
        <w:rPr>
          <w:rFonts w:hint="eastAsia" w:cs="宋体" w:asciiTheme="majorEastAsia" w:hAnsiTheme="majorEastAsia" w:eastAsiaTheme="majorEastAsia"/>
          <w:b/>
          <w:color w:val="auto"/>
          <w:sz w:val="24"/>
          <w:szCs w:val="24"/>
          <w:highlight w:val="none"/>
          <w:u w:val="single"/>
        </w:rPr>
        <w:t>日</w:t>
      </w:r>
      <w:r>
        <w:rPr>
          <w:rFonts w:hint="eastAsia" w:cs="宋体" w:asciiTheme="majorEastAsia" w:hAnsiTheme="majorEastAsia" w:eastAsiaTheme="majorEastAsia"/>
          <w:b/>
          <w:color w:val="auto"/>
          <w:sz w:val="24"/>
          <w:szCs w:val="24"/>
          <w:highlight w:val="none"/>
          <w:u w:val="single"/>
          <w:lang w:val="en-US" w:eastAsia="zh-CN"/>
        </w:rPr>
        <w:t>14</w:t>
      </w:r>
      <w:r>
        <w:rPr>
          <w:rFonts w:hint="eastAsia" w:cs="宋体" w:asciiTheme="majorEastAsia" w:hAnsiTheme="majorEastAsia" w:eastAsiaTheme="majorEastAsia"/>
          <w:b/>
          <w:color w:val="auto"/>
          <w:sz w:val="24"/>
          <w:szCs w:val="24"/>
          <w:highlight w:val="none"/>
          <w:u w:val="single"/>
        </w:rPr>
        <w:t>时</w:t>
      </w:r>
      <w:r>
        <w:rPr>
          <w:rFonts w:hint="eastAsia" w:cs="宋体" w:asciiTheme="majorEastAsia" w:hAnsiTheme="majorEastAsia" w:eastAsiaTheme="majorEastAsia"/>
          <w:b/>
          <w:color w:val="auto"/>
          <w:sz w:val="24"/>
          <w:szCs w:val="24"/>
          <w:highlight w:val="none"/>
          <w:u w:val="single"/>
          <w:lang w:val="en-US" w:eastAsia="zh-CN"/>
        </w:rPr>
        <w:t>30</w:t>
      </w:r>
      <w:r>
        <w:rPr>
          <w:rFonts w:hint="eastAsia" w:cs="宋体" w:asciiTheme="majorEastAsia" w:hAnsiTheme="majorEastAsia" w:eastAsiaTheme="majorEastAsia"/>
          <w:b/>
          <w:color w:val="auto"/>
          <w:sz w:val="24"/>
          <w:szCs w:val="24"/>
          <w:highlight w:val="none"/>
          <w:u w:val="single"/>
        </w:rPr>
        <w:t>分</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000000" w:themeColor="text1"/>
          <w:sz w:val="24"/>
          <w:szCs w:val="24"/>
          <w14:textFill>
            <w14:solidFill>
              <w14:schemeClr w14:val="tx1"/>
            </w14:solidFill>
          </w14:textFill>
        </w:rPr>
        <w:t>北京时间）。</w:t>
      </w:r>
    </w:p>
    <w:p>
      <w:pPr>
        <w:widowControl/>
        <w:snapToGrid w:val="0"/>
        <w:spacing w:line="440" w:lineRule="exact"/>
        <w:ind w:firstLine="480" w:firstLineChars="200"/>
        <w:jc w:val="left"/>
        <w:rPr>
          <w:rFonts w:cs="宋体" w:asciiTheme="majorEastAsia" w:hAnsiTheme="majorEastAsia" w:eastAsiaTheme="majorEastAsia"/>
          <w:bCs/>
          <w:sz w:val="24"/>
          <w:szCs w:val="24"/>
          <w:highlight w:val="none"/>
        </w:rPr>
      </w:pPr>
      <w:r>
        <w:rPr>
          <w:rFonts w:hint="eastAsia" w:cs="宋体" w:asciiTheme="majorEastAsia" w:hAnsiTheme="majorEastAsia" w:eastAsiaTheme="majorEastAsia"/>
          <w:sz w:val="24"/>
          <w:szCs w:val="24"/>
          <w:highlight w:val="none"/>
        </w:rPr>
        <w:t>2、地点：</w:t>
      </w:r>
      <w:r>
        <w:rPr>
          <w:rFonts w:hint="eastAsia" w:cs="宋体" w:asciiTheme="majorEastAsia" w:hAnsiTheme="majorEastAsia" w:eastAsiaTheme="majorEastAsia"/>
          <w:bCs/>
          <w:sz w:val="24"/>
          <w:szCs w:val="24"/>
          <w:highlight w:val="none"/>
        </w:rPr>
        <w:t>江苏海审工程咨询有限公司（</w:t>
      </w:r>
      <w:r>
        <w:rPr>
          <w:rFonts w:hint="eastAsia" w:cs="宋体" w:asciiTheme="majorEastAsia" w:hAnsiTheme="majorEastAsia" w:eastAsiaTheme="majorEastAsia"/>
          <w:sz w:val="24"/>
          <w:szCs w:val="24"/>
          <w:highlight w:val="none"/>
        </w:rPr>
        <w:t>南通市崇川区星城路299号（创源科技园3号楼501室开标室）</w:t>
      </w:r>
      <w:r>
        <w:rPr>
          <w:rFonts w:hint="eastAsia" w:cs="宋体" w:asciiTheme="majorEastAsia" w:hAnsiTheme="majorEastAsia" w:eastAsiaTheme="majorEastAsia"/>
          <w:bCs/>
          <w:sz w:val="24"/>
          <w:szCs w:val="24"/>
          <w:highlight w:val="none"/>
        </w:rPr>
        <w:t>）</w:t>
      </w:r>
      <w:r>
        <w:rPr>
          <w:rFonts w:hint="eastAsia" w:cs="宋体" w:asciiTheme="majorEastAsia" w:hAnsiTheme="majorEastAsia" w:eastAsiaTheme="majorEastAsia"/>
          <w:sz w:val="24"/>
          <w:szCs w:val="24"/>
          <w:highlight w:val="none"/>
        </w:rPr>
        <w:t>，如有变动另行通知。</w:t>
      </w:r>
      <w:r>
        <w:rPr>
          <w:rFonts w:hint="eastAsia" w:cs="宋体" w:asciiTheme="majorEastAsia" w:hAnsiTheme="majorEastAsia" w:eastAsiaTheme="majorEastAsia"/>
          <w:bCs/>
          <w:sz w:val="24"/>
          <w:szCs w:val="24"/>
          <w:highlight w:val="none"/>
        </w:rPr>
        <w:t>逾期送达或者未送达指定地点的响应文件，采购人不予受理。</w:t>
      </w:r>
    </w:p>
    <w:p>
      <w:pPr>
        <w:widowControl/>
        <w:snapToGrid w:val="0"/>
        <w:spacing w:line="440" w:lineRule="exact"/>
        <w:ind w:firstLine="472" w:firstLineChars="196"/>
        <w:jc w:val="left"/>
        <w:rPr>
          <w:rFonts w:ascii="宋体" w:hAnsi="宋体" w:eastAsia="宋体" w:cs="宋体"/>
          <w:b/>
          <w:bCs/>
          <w:kern w:val="0"/>
          <w:sz w:val="24"/>
          <w:szCs w:val="24"/>
        </w:rPr>
      </w:pPr>
      <w:r>
        <w:rPr>
          <w:rFonts w:hint="eastAsia" w:ascii="宋体" w:hAnsi="宋体" w:eastAsia="宋体" w:cs="宋体"/>
          <w:b/>
          <w:bCs/>
          <w:kern w:val="0"/>
          <w:sz w:val="24"/>
          <w:szCs w:val="24"/>
        </w:rPr>
        <w:t>3、因目前仍属于新冠疫情防控阶段，故只允许每个供应商单位的1名人员（须为法人或授权委托人）进入开标现场。请各供应商代表做好自身防护，全程配戴口罩，同时还须接受园区及开标现场工作人员的检查（包括但不限于信息登记、检查健康码、行程码、核酸检测证明等）。若健康码为黄码和红码，则一律不得进入开标现场。若开标当日，南通市防疫部门有最新规定且高于上述标准，则以开标当日南通市防疫部门的规定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五、开启</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1、时间：</w:t>
      </w:r>
      <w:r>
        <w:rPr>
          <w:rFonts w:hint="eastAsia" w:cs="宋体" w:asciiTheme="majorEastAsia" w:hAnsiTheme="majorEastAsia" w:eastAsiaTheme="majorEastAsia"/>
          <w:b/>
          <w:sz w:val="24"/>
          <w:szCs w:val="24"/>
          <w:u w:val="single"/>
        </w:rPr>
        <w:t>同响应文件提交截止时间</w:t>
      </w:r>
      <w:r>
        <w:rPr>
          <w:rFonts w:hint="eastAsia" w:cs="宋体" w:asciiTheme="majorEastAsia" w:hAnsiTheme="majorEastAsia" w:eastAsiaTheme="majorEastAsia"/>
          <w:bCs/>
          <w:sz w:val="24"/>
          <w:szCs w:val="24"/>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w:t>
      </w:r>
      <w:r>
        <w:rPr>
          <w:rFonts w:hint="eastAsia" w:cs="宋体" w:asciiTheme="majorEastAsia" w:hAnsiTheme="majorEastAsia" w:eastAsiaTheme="majorEastAsia"/>
          <w:b/>
          <w:sz w:val="24"/>
          <w:szCs w:val="24"/>
          <w:u w:val="single"/>
        </w:rPr>
        <w:t>同响应文件提交地点</w:t>
      </w:r>
      <w:r>
        <w:rPr>
          <w:rFonts w:hint="eastAsia" w:cs="宋体" w:asciiTheme="majorEastAsia" w:hAnsiTheme="majorEastAsia" w:eastAsiaTheme="majorEastAsia"/>
          <w:bCs/>
          <w:sz w:val="24"/>
          <w:szCs w:val="24"/>
        </w:rPr>
        <w:t>。</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六、联系方式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称：南通市妇幼保健院</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联系人：羌女士</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联系电话：0513-59008062</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称：江苏海审工程咨询有限公司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址：南通市崇川区星城路299号（创源科技园3号楼501室）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联系人：张倩</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联系电话：18205155828</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箱：834302239@qq.com</w:t>
      </w: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4、补充说明、澄清或修改的内容可能影响到磋商响应文件编制，采购代理机构将在首次提交磋商响应文件截止日5天前，发布补充说明、澄清或修改公告。不足5日的，应当顺延首次提交磋商响应文件截止之日。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w:t>
      </w:r>
      <w:r>
        <w:rPr>
          <w:rFonts w:hint="eastAsia" w:asciiTheme="majorEastAsia" w:hAnsiTheme="majorEastAsia" w:eastAsiaTheme="majorEastAsia" w:cstheme="minorEastAsia"/>
          <w:sz w:val="24"/>
          <w:szCs w:val="24"/>
          <w:lang w:val="en-US" w:eastAsia="zh-CN"/>
        </w:rPr>
        <w:t>报价</w:t>
      </w:r>
      <w:r>
        <w:rPr>
          <w:rFonts w:hint="eastAsia" w:asciiTheme="majorEastAsia" w:hAnsiTheme="majorEastAsia" w:eastAsiaTheme="majorEastAsia" w:cstheme="minorEastAsia"/>
          <w:sz w:val="24"/>
          <w:szCs w:val="24"/>
        </w:rPr>
        <w:t>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报价的总价中应包含：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6、本项目磋商报价包含实地调研、专家访谈、资料编制等的所有费用（含交通费等）。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8、竞争性磋商的最终报价为成交价。同时，供应商的最终成交价在合同实施期间不因市场变化因素而变动。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napToGrid w:val="0"/>
        <w:spacing w:line="480" w:lineRule="exact"/>
        <w:ind w:firstLine="460" w:firstLineChars="192"/>
        <w:rPr>
          <w:rFonts w:ascii="宋体" w:hAnsi="宋体" w:eastAsia="宋体" w:cs="宋体"/>
          <w:color w:val="000000"/>
          <w:sz w:val="24"/>
          <w:szCs w:val="24"/>
        </w:rPr>
      </w:pPr>
      <w:r>
        <w:rPr>
          <w:rFonts w:hint="eastAsia" w:ascii="宋体" w:hAnsi="宋体" w:eastAsia="宋体" w:cs="宋体"/>
          <w:sz w:val="24"/>
          <w:szCs w:val="24"/>
        </w:rPr>
        <w:t>1、供应商应承担其编制响应文件以及递交响应文件所涉及的一切费用。无论磋商结果如何，采购人对上述费用不负任何责任</w:t>
      </w:r>
      <w:r>
        <w:rPr>
          <w:rFonts w:hint="eastAsia" w:ascii="宋体" w:hAnsi="宋体" w:eastAsia="宋体" w:cs="宋体"/>
          <w:color w:val="000000"/>
          <w:sz w:val="24"/>
          <w:szCs w:val="24"/>
        </w:rPr>
        <w:t>。</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2、磋商文件及相关资料费300元/份，由供应商在递交响应文件时缴纳，售后不退。</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3、本次磋商采购代理服务费人民币</w:t>
      </w:r>
      <w:r>
        <w:rPr>
          <w:rFonts w:hint="eastAsia" w:ascii="宋体" w:hAnsi="宋体" w:eastAsia="宋体" w:cs="宋体"/>
          <w:sz w:val="24"/>
          <w:szCs w:val="24"/>
          <w:u w:val="single"/>
        </w:rPr>
        <w:t>1200元</w:t>
      </w:r>
      <w:r>
        <w:rPr>
          <w:rFonts w:hint="eastAsia" w:ascii="宋体" w:hAnsi="宋体" w:eastAsia="宋体" w:cs="宋体"/>
          <w:sz w:val="24"/>
          <w:szCs w:val="24"/>
        </w:rPr>
        <w:t>整，供应商须综合考虑在响应报价内，由成交供应商在领取成交通知书时向采购代理机构一次性付清。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按照《中华人民共和国政府采购法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napToGrid w:val="0"/>
        <w:spacing w:line="360" w:lineRule="auto"/>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pPr>
        <w:pStyle w:val="179"/>
        <w:numPr>
          <w:ilvl w:val="0"/>
          <w:numId w:val="3"/>
        </w:numPr>
        <w:snapToGrid w:val="0"/>
        <w:spacing w:line="360" w:lineRule="auto"/>
        <w:ind w:left="0" w:firstLine="460" w:firstLineChars="191"/>
        <w:rPr>
          <w:rFonts w:ascii="宋体" w:hAnsi="宋体" w:cs="宋体"/>
          <w:szCs w:val="24"/>
        </w:rPr>
      </w:pPr>
      <w:bookmarkStart w:id="5" w:name="_Toc332035209"/>
      <w:bookmarkStart w:id="6" w:name="_Toc332043507"/>
      <w:r>
        <w:rPr>
          <w:rFonts w:hint="eastAsia" w:ascii="宋体" w:hAnsi="宋体" w:cs="宋体"/>
          <w:szCs w:val="24"/>
        </w:rPr>
        <w:t>建设要求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数据质量是医疗信息化建设的重要保障部份。数据质量管理平台能够通过对临床业务系统进行数据采集，形成有组织的，以时间轴为主线，符合国家电子病历评价标准，具备基础统计数据采集，数据质量评估分析，图形化展示，统一管理以及自动化问题定位等功能。</w:t>
      </w:r>
    </w:p>
    <w:p>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软件基本要求：主要用于医院电子病历评级的</w:t>
      </w:r>
      <w:r>
        <w:rPr>
          <w:rFonts w:hint="eastAsia" w:ascii="宋体" w:hAnsi="宋体" w:eastAsia="宋体" w:cs="宋体"/>
          <w:sz w:val="24"/>
          <w:szCs w:val="24"/>
          <w:highlight w:val="none"/>
        </w:rPr>
        <w:t>数据质量管理，至少支持5级的评价标准。</w:t>
      </w:r>
    </w:p>
    <w:bookmarkEnd w:id="5"/>
    <w:bookmarkEnd w:id="6"/>
    <w:p>
      <w:pPr>
        <w:pStyle w:val="179"/>
        <w:numPr>
          <w:ilvl w:val="0"/>
          <w:numId w:val="3"/>
        </w:numPr>
        <w:snapToGrid w:val="0"/>
        <w:spacing w:line="360" w:lineRule="auto"/>
        <w:ind w:left="0" w:firstLine="460" w:firstLineChars="191"/>
        <w:rPr>
          <w:rFonts w:ascii="宋体" w:hAnsi="宋体" w:cs="宋体"/>
          <w:szCs w:val="24"/>
          <w:highlight w:val="none"/>
        </w:rPr>
      </w:pPr>
      <w:r>
        <w:rPr>
          <w:rFonts w:hint="eastAsia" w:ascii="宋体" w:hAnsi="宋体" w:cs="宋体"/>
          <w:szCs w:val="24"/>
          <w:highlight w:val="none"/>
        </w:rPr>
        <w:t>主要技术参数</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highlight w:val="none"/>
        </w:rPr>
        <w:t>1、要求对照评价准则，能提供对一致性、完整性、整合</w:t>
      </w:r>
      <w:r>
        <w:rPr>
          <w:rFonts w:hint="eastAsia" w:ascii="宋体" w:hAnsi="宋体" w:eastAsia="宋体" w:cs="宋体"/>
          <w:sz w:val="24"/>
          <w:szCs w:val="24"/>
        </w:rPr>
        <w:t>性、及时性规则的语句规范，统一SQL语句的书写口径，便于填报人员的填报，使业务逻辑清晰明了，避免产生SQL语句歧义及SQL语句管理混乱的问题；</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2、要求包含对规则的内置理解，并支持定期更新规则逻辑，可自动复用分母数据，以及将符合内置逻辑关联的SQL条目自动插入到相应规则中，减少理解规则带来的成本开销；</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3、要求对照一致性标准，支持字典明细项批量统计及存储统计结果，并可输出到标准文档中；</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要求能提供独立的数据采集、数据交换机制，不依赖于第三方数据交换（ETL）工具。能真实、有效的从生产系统中采集到最新的业务数据，并且能方便的对SQL语句及数据采集步骤进行优化、调整。数据安全方面需对数据库连接等敏感信息进行加密存储，减少风险和安全隐患；</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要求能够在同一业务考核项内支持多数据源数据汇总，且存储的语句可直接在业务生产库中校验执行；能提供直观的评测项目进展及得分情况展示，能够将系统功能整改后的最终数据质量结果及时、准确的反馈到评测分值中，从而实现用户的快速自评目标；</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6、要求能提供各业务系统数据与测评标准的是否符合的检测功能，为进一步的改进提供有效参考；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7、要求自动分析整合性、及时性等跨系统规则的业务数据，并可集中展示跨库比对结果，包括符合要求的数据以及异常数据明细，方便用户定位数据差异；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8、要求能提供测评项的有效、异常数据展示。</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*9、要求能支持国家下发的数据提取列表内容，可按模块填写语句并自动从生产库统计结果，同样支持国家指定格式输出word文档；</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*10、能提供根据测评结果自动导出符合国家申报规范的数据质量实证材料，减轻填报人员的工作量及工作失误；</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*11、能提供根据国家卫健委最新评价标准规则对现行评价规则进行免费更新。能及时、有效的与国家标准保持同步。</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12、能通过整体态势一览的方式观察宏观状态，快速了解填报工作进度及当前问题；</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13、要求在身份认证、数据库连接等关键信息加密，提供有效保护，提高系统的安全性；</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14、要求对客户生产数据库的访问，为避免破坏、挪用等行为，在所有涉及访问数据资产的地方，仅仅能够执行规定的动作，可以有效的保护了客户的数据资产；</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15、要求对于重点信息的修改、数据资产的访问等行为，具有全面详细的日志记录，便于追踪纠错；</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16、要求软件重点信息定时自动备份，可以有效恢复，避免意外丢失；</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17、要求能够并发执行数据抽取任务，以及具备完善的冲突回避机制，避免数据库读写冲突引起锁表，执行抽取任务时，可以继续进行其他业务操作；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18、要求能够支持设置任意时间范围（精确到天）的批量规则执行，批量执行进度直观可见；</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19、要求能够对当前平台的整体执行结果进行归档存储，管理，以及对历史归档数据查看调阅，归档数据需保证数据完整且精准封存，不可变更；</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20、要求能够对每一次提交的规则相关SQL语句进行快照存储，便于出现误操作时进行SQL语句恢复；</w:t>
      </w:r>
    </w:p>
    <w:p>
      <w:pPr>
        <w:snapToGrid w:val="0"/>
        <w:spacing w:line="360" w:lineRule="auto"/>
        <w:ind w:firstLine="480" w:firstLineChars="200"/>
      </w:pPr>
      <w:r>
        <w:rPr>
          <w:rFonts w:hint="eastAsia" w:ascii="宋体" w:hAnsi="宋体" w:eastAsia="宋体" w:cs="宋体"/>
          <w:sz w:val="24"/>
          <w:szCs w:val="24"/>
        </w:rPr>
        <w:t>21、要求提供前端SQL执行日志检索功能，便于监管SQL填报工作状态。</w:t>
      </w:r>
    </w:p>
    <w:p>
      <w:pPr>
        <w:pStyle w:val="179"/>
        <w:numPr>
          <w:ilvl w:val="0"/>
          <w:numId w:val="3"/>
        </w:numPr>
        <w:snapToGrid w:val="0"/>
        <w:spacing w:line="360" w:lineRule="auto"/>
        <w:ind w:left="0" w:firstLine="460" w:firstLineChars="191"/>
        <w:rPr>
          <w:rFonts w:ascii="宋体" w:hAnsi="宋体" w:cs="宋体"/>
          <w:szCs w:val="24"/>
        </w:rPr>
      </w:pPr>
      <w:bookmarkStart w:id="7" w:name="_Toc312756349"/>
      <w:bookmarkEnd w:id="7"/>
      <w:bookmarkStart w:id="8" w:name="_Toc332043541"/>
      <w:bookmarkEnd w:id="8"/>
      <w:bookmarkStart w:id="9" w:name="_Toc312756001"/>
      <w:bookmarkEnd w:id="9"/>
      <w:bookmarkStart w:id="10" w:name="_Toc312756460"/>
      <w:bookmarkEnd w:id="10"/>
      <w:bookmarkStart w:id="11" w:name="_Toc312756286"/>
      <w:bookmarkEnd w:id="11"/>
      <w:bookmarkStart w:id="12" w:name="_Toc331491200"/>
      <w:bookmarkEnd w:id="12"/>
      <w:bookmarkStart w:id="13" w:name="_Toc312756121"/>
      <w:bookmarkEnd w:id="13"/>
      <w:bookmarkStart w:id="14" w:name="_Toc312757556"/>
      <w:bookmarkEnd w:id="14"/>
      <w:bookmarkStart w:id="15" w:name="_Toc332043540"/>
      <w:bookmarkEnd w:id="15"/>
      <w:bookmarkStart w:id="16" w:name="_Toc331491201"/>
      <w:bookmarkEnd w:id="16"/>
      <w:bookmarkStart w:id="17" w:name="_Toc312756465"/>
      <w:bookmarkEnd w:id="17"/>
      <w:bookmarkStart w:id="18" w:name="_Toc332035285"/>
      <w:bookmarkEnd w:id="18"/>
      <w:bookmarkStart w:id="19" w:name="_Toc312756287"/>
      <w:bookmarkEnd w:id="19"/>
      <w:bookmarkStart w:id="20" w:name="_Toc312756204"/>
      <w:bookmarkEnd w:id="20"/>
      <w:bookmarkStart w:id="21" w:name="_Toc312756561"/>
      <w:bookmarkEnd w:id="21"/>
      <w:bookmarkStart w:id="22" w:name="_Toc312756346"/>
      <w:bookmarkEnd w:id="22"/>
      <w:bookmarkStart w:id="23" w:name="_Toc331491203"/>
      <w:bookmarkEnd w:id="23"/>
      <w:bookmarkStart w:id="24" w:name="_Toc312756122"/>
      <w:bookmarkEnd w:id="24"/>
      <w:bookmarkStart w:id="25" w:name="_Toc312757551"/>
      <w:bookmarkEnd w:id="25"/>
      <w:bookmarkStart w:id="26" w:name="_Toc332035220"/>
      <w:bookmarkEnd w:id="26"/>
      <w:bookmarkStart w:id="27" w:name="_Toc332035216"/>
      <w:bookmarkEnd w:id="27"/>
      <w:bookmarkStart w:id="28" w:name="_Toc312756464"/>
      <w:bookmarkEnd w:id="28"/>
      <w:bookmarkStart w:id="29" w:name="_Toc312757552"/>
      <w:bookmarkEnd w:id="29"/>
      <w:bookmarkStart w:id="30" w:name="_Toc312756463"/>
      <w:bookmarkEnd w:id="30"/>
      <w:bookmarkStart w:id="31" w:name="_Toc312756124"/>
      <w:bookmarkEnd w:id="31"/>
      <w:bookmarkStart w:id="32" w:name="_Toc312756347"/>
      <w:bookmarkEnd w:id="32"/>
      <w:bookmarkStart w:id="33" w:name="_Toc332043542"/>
      <w:bookmarkEnd w:id="33"/>
      <w:bookmarkStart w:id="34" w:name="_Toc331491198"/>
      <w:bookmarkEnd w:id="34"/>
      <w:bookmarkStart w:id="35" w:name="_Toc312756557"/>
      <w:bookmarkEnd w:id="35"/>
      <w:bookmarkStart w:id="36" w:name="_Toc332035283"/>
      <w:bookmarkEnd w:id="36"/>
      <w:bookmarkStart w:id="37" w:name="_Toc312756003"/>
      <w:bookmarkEnd w:id="37"/>
      <w:bookmarkStart w:id="38" w:name="_Toc332035181"/>
      <w:bookmarkEnd w:id="38"/>
      <w:bookmarkStart w:id="39" w:name="_Toc312756348"/>
      <w:bookmarkEnd w:id="39"/>
      <w:bookmarkStart w:id="40" w:name="_Toc312756289"/>
      <w:bookmarkEnd w:id="40"/>
      <w:bookmarkStart w:id="41" w:name="_Toc332035215"/>
      <w:bookmarkEnd w:id="41"/>
      <w:bookmarkStart w:id="42" w:name="_Toc332035180"/>
      <w:bookmarkEnd w:id="42"/>
      <w:bookmarkStart w:id="43" w:name="_Toc332035280"/>
      <w:bookmarkEnd w:id="43"/>
      <w:bookmarkStart w:id="44" w:name="_Toc312756459"/>
      <w:bookmarkEnd w:id="44"/>
      <w:bookmarkStart w:id="45" w:name="_Toc332035286"/>
      <w:bookmarkEnd w:id="45"/>
      <w:bookmarkStart w:id="46" w:name="_Toc332035182"/>
      <w:bookmarkEnd w:id="46"/>
      <w:bookmarkStart w:id="47" w:name="_Toc332035183"/>
      <w:bookmarkEnd w:id="47"/>
      <w:bookmarkStart w:id="48" w:name="_Toc312757553"/>
      <w:bookmarkEnd w:id="48"/>
      <w:bookmarkStart w:id="49" w:name="_Toc312756200"/>
      <w:bookmarkEnd w:id="49"/>
      <w:bookmarkStart w:id="50" w:name="_Toc312755999"/>
      <w:bookmarkEnd w:id="50"/>
      <w:bookmarkStart w:id="51" w:name="_Toc312755998"/>
      <w:bookmarkEnd w:id="51"/>
      <w:bookmarkStart w:id="52" w:name="_Toc332035219"/>
      <w:bookmarkEnd w:id="52"/>
      <w:bookmarkStart w:id="53" w:name="_Toc332043539"/>
      <w:bookmarkEnd w:id="53"/>
      <w:bookmarkStart w:id="54" w:name="_Toc312755997"/>
      <w:bookmarkEnd w:id="54"/>
      <w:bookmarkStart w:id="55" w:name="_Toc332035281"/>
      <w:bookmarkEnd w:id="55"/>
      <w:bookmarkStart w:id="56" w:name="_Toc332035217"/>
      <w:bookmarkEnd w:id="56"/>
      <w:bookmarkStart w:id="57" w:name="_Toc332035185"/>
      <w:bookmarkEnd w:id="57"/>
      <w:bookmarkStart w:id="58" w:name="_Toc312756558"/>
      <w:bookmarkEnd w:id="58"/>
      <w:bookmarkStart w:id="59" w:name="_Toc332035186"/>
      <w:bookmarkEnd w:id="59"/>
      <w:bookmarkStart w:id="60" w:name="_Toc312756125"/>
      <w:bookmarkEnd w:id="60"/>
      <w:bookmarkStart w:id="61" w:name="_Toc332035218"/>
      <w:bookmarkEnd w:id="61"/>
      <w:bookmarkStart w:id="62" w:name="_Toc312756000"/>
      <w:bookmarkEnd w:id="62"/>
      <w:bookmarkStart w:id="63" w:name="_Toc312756556"/>
      <w:bookmarkEnd w:id="63"/>
      <w:bookmarkStart w:id="64" w:name="_Toc312756002"/>
      <w:bookmarkEnd w:id="64"/>
      <w:bookmarkStart w:id="65" w:name="_Toc332043538"/>
      <w:bookmarkEnd w:id="65"/>
      <w:bookmarkStart w:id="66" w:name="_Toc312757555"/>
      <w:bookmarkEnd w:id="66"/>
      <w:bookmarkStart w:id="67" w:name="_Toc312756288"/>
      <w:bookmarkEnd w:id="67"/>
      <w:bookmarkStart w:id="68" w:name="_Toc312756198"/>
      <w:bookmarkEnd w:id="68"/>
      <w:bookmarkStart w:id="69" w:name="_Toc312756120"/>
      <w:bookmarkEnd w:id="69"/>
      <w:bookmarkStart w:id="70" w:name="_Toc312756126"/>
      <w:bookmarkEnd w:id="70"/>
      <w:bookmarkStart w:id="71" w:name="_Toc312756285"/>
      <w:bookmarkEnd w:id="71"/>
      <w:bookmarkStart w:id="72" w:name="_Toc332035214"/>
      <w:bookmarkEnd w:id="72"/>
      <w:bookmarkStart w:id="73" w:name="_Toc331491197"/>
      <w:bookmarkEnd w:id="73"/>
      <w:bookmarkStart w:id="74" w:name="_Toc312756202"/>
      <w:bookmarkEnd w:id="74"/>
      <w:bookmarkStart w:id="75" w:name="_Toc332043543"/>
      <w:bookmarkEnd w:id="75"/>
      <w:bookmarkStart w:id="76" w:name="_Toc312756559"/>
      <w:bookmarkEnd w:id="76"/>
      <w:bookmarkStart w:id="77" w:name="_Toc332035184"/>
      <w:bookmarkEnd w:id="77"/>
      <w:bookmarkStart w:id="78" w:name="_Toc312756291"/>
      <w:bookmarkEnd w:id="78"/>
      <w:bookmarkStart w:id="79" w:name="_Toc312756201"/>
      <w:bookmarkEnd w:id="79"/>
      <w:bookmarkStart w:id="80" w:name="_Toc332035284"/>
      <w:bookmarkEnd w:id="80"/>
      <w:bookmarkStart w:id="81" w:name="_Toc312756123"/>
      <w:bookmarkEnd w:id="81"/>
      <w:bookmarkStart w:id="82" w:name="_Toc312756290"/>
      <w:bookmarkEnd w:id="82"/>
      <w:bookmarkStart w:id="83" w:name="_Toc312756560"/>
      <w:bookmarkEnd w:id="83"/>
      <w:bookmarkStart w:id="84" w:name="_Toc312757554"/>
      <w:bookmarkEnd w:id="84"/>
      <w:bookmarkStart w:id="85" w:name="_Toc332035282"/>
      <w:bookmarkEnd w:id="85"/>
      <w:bookmarkStart w:id="86" w:name="_Toc312757550"/>
      <w:bookmarkEnd w:id="86"/>
      <w:bookmarkStart w:id="87" w:name="_Toc332043544"/>
      <w:bookmarkEnd w:id="87"/>
      <w:bookmarkStart w:id="88" w:name="_Toc331491202"/>
      <w:bookmarkEnd w:id="88"/>
      <w:bookmarkStart w:id="89" w:name="_Toc312756199"/>
      <w:bookmarkEnd w:id="89"/>
      <w:bookmarkStart w:id="90" w:name="_Toc312756462"/>
      <w:bookmarkEnd w:id="90"/>
      <w:bookmarkStart w:id="91" w:name="_Toc331491199"/>
      <w:bookmarkEnd w:id="91"/>
      <w:bookmarkStart w:id="92" w:name="_Toc312756344"/>
      <w:bookmarkEnd w:id="92"/>
      <w:bookmarkStart w:id="93" w:name="_Toc312756350"/>
      <w:bookmarkEnd w:id="93"/>
      <w:bookmarkStart w:id="94" w:name="_Toc312756555"/>
      <w:bookmarkEnd w:id="94"/>
      <w:bookmarkStart w:id="95" w:name="_Toc312756461"/>
      <w:bookmarkEnd w:id="95"/>
      <w:bookmarkStart w:id="96" w:name="_Toc312756203"/>
      <w:bookmarkEnd w:id="96"/>
      <w:bookmarkStart w:id="97" w:name="_Toc312756345"/>
      <w:bookmarkEnd w:id="97"/>
      <w:bookmarkStart w:id="98" w:name="_Toc312757557"/>
      <w:bookmarkStart w:id="99" w:name="_Toc332043546"/>
      <w:r>
        <w:rPr>
          <w:rFonts w:hint="eastAsia" w:ascii="宋体" w:hAnsi="宋体" w:cs="宋体"/>
          <w:szCs w:val="24"/>
        </w:rPr>
        <w:t>采购标的数量、采购项目交付或者实施的时间和地点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tcPr>
          <w:p>
            <w:pPr>
              <w:jc w:val="center"/>
              <w:rPr>
                <w:rFonts w:ascii="仿宋" w:hAnsi="仿宋" w:eastAsia="仿宋"/>
                <w:b/>
                <w:sz w:val="28"/>
                <w:szCs w:val="28"/>
              </w:rPr>
            </w:pPr>
            <w:r>
              <w:rPr>
                <w:rFonts w:hint="eastAsia" w:ascii="仿宋" w:hAnsi="仿宋" w:eastAsia="仿宋"/>
                <w:b/>
                <w:sz w:val="28"/>
                <w:szCs w:val="28"/>
              </w:rPr>
              <w:t>序号</w:t>
            </w:r>
          </w:p>
        </w:tc>
        <w:tc>
          <w:tcPr>
            <w:tcW w:w="2130" w:type="dxa"/>
            <w:shd w:val="clear" w:color="auto" w:fill="auto"/>
          </w:tcPr>
          <w:p>
            <w:pPr>
              <w:jc w:val="center"/>
              <w:rPr>
                <w:rFonts w:ascii="仿宋" w:hAnsi="仿宋" w:eastAsia="仿宋"/>
                <w:b/>
                <w:sz w:val="28"/>
                <w:szCs w:val="28"/>
              </w:rPr>
            </w:pPr>
            <w:r>
              <w:rPr>
                <w:rFonts w:hint="eastAsia" w:ascii="仿宋" w:hAnsi="仿宋" w:eastAsia="仿宋"/>
                <w:b/>
                <w:sz w:val="28"/>
                <w:szCs w:val="28"/>
              </w:rPr>
              <w:t>货物名称</w:t>
            </w:r>
          </w:p>
        </w:tc>
        <w:tc>
          <w:tcPr>
            <w:tcW w:w="2131" w:type="dxa"/>
            <w:shd w:val="clear" w:color="auto" w:fill="auto"/>
          </w:tcPr>
          <w:p>
            <w:pPr>
              <w:jc w:val="center"/>
              <w:rPr>
                <w:rFonts w:ascii="仿宋" w:hAnsi="仿宋" w:eastAsia="仿宋"/>
                <w:b/>
                <w:sz w:val="28"/>
                <w:szCs w:val="28"/>
              </w:rPr>
            </w:pPr>
            <w:r>
              <w:rPr>
                <w:rFonts w:hint="eastAsia" w:ascii="仿宋" w:hAnsi="仿宋" w:eastAsia="仿宋"/>
                <w:b/>
                <w:sz w:val="28"/>
                <w:szCs w:val="28"/>
              </w:rPr>
              <w:t>数量（套）</w:t>
            </w:r>
          </w:p>
        </w:tc>
        <w:tc>
          <w:tcPr>
            <w:tcW w:w="2131" w:type="dxa"/>
            <w:shd w:val="clear" w:color="auto" w:fill="auto"/>
          </w:tcPr>
          <w:p>
            <w:pPr>
              <w:jc w:val="center"/>
              <w:rPr>
                <w:rFonts w:ascii="仿宋" w:hAnsi="仿宋" w:eastAsia="仿宋"/>
                <w:b/>
                <w:sz w:val="28"/>
                <w:szCs w:val="28"/>
              </w:rPr>
            </w:pPr>
            <w:r>
              <w:rPr>
                <w:rFonts w:hint="eastAsia" w:ascii="仿宋" w:hAnsi="仿宋" w:eastAsia="仿宋"/>
                <w:b/>
                <w:sz w:val="28"/>
                <w:szCs w:val="28"/>
              </w:rPr>
              <w:t>授权形式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1</w:t>
            </w:r>
          </w:p>
        </w:tc>
        <w:tc>
          <w:tcPr>
            <w:tcW w:w="213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电子病历数据质量自评系统</w:t>
            </w:r>
          </w:p>
        </w:tc>
        <w:tc>
          <w:tcPr>
            <w:tcW w:w="2131"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1</w:t>
            </w:r>
          </w:p>
        </w:tc>
        <w:tc>
          <w:tcPr>
            <w:tcW w:w="2131"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永久授权</w:t>
            </w:r>
          </w:p>
        </w:tc>
      </w:tr>
    </w:tbl>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3.1服务地点：南通市妇幼保健院指定地点。</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3.2安装完成时间：自合同签订之日起15天内。</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3.3安装标准：符合我国国家有关技术规范和技术标准。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3.4验收完成后对信息中心工程师进行后续功能更新培训，包括相应操作手册变更以及线上指导。</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3.5厂家标配功能、配置、软件不得拆分报价，上述尚未包括的所有功能、配置、软件请报成交价，否则视为标准配置。</w:t>
      </w:r>
    </w:p>
    <w:p>
      <w:pPr>
        <w:pStyle w:val="179"/>
        <w:numPr>
          <w:ilvl w:val="0"/>
          <w:numId w:val="3"/>
        </w:numPr>
        <w:snapToGrid w:val="0"/>
        <w:spacing w:line="360" w:lineRule="auto"/>
        <w:ind w:left="0" w:firstLine="460" w:firstLineChars="191"/>
        <w:rPr>
          <w:rFonts w:ascii="宋体" w:hAnsi="宋体" w:cs="宋体"/>
          <w:szCs w:val="24"/>
        </w:rPr>
      </w:pPr>
      <w:r>
        <w:rPr>
          <w:rFonts w:hint="eastAsia" w:ascii="宋体" w:hAnsi="宋体" w:cs="宋体"/>
          <w:szCs w:val="24"/>
        </w:rPr>
        <w:t>售后服务及培训</w:t>
      </w:r>
    </w:p>
    <w:bookmarkEnd w:id="98"/>
    <w:bookmarkEnd w:id="99"/>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本项目自验收合格之日起，免费维护期不少于一年，在质保内提供免费功能升级服务。免费维护期后每年的维保费用不高于成交价格的8%。</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维修即时响应，远程不能解决的，72小时内维修人员到达现场（包括节假日），要求第一年提供不少于3次的现场指导培训。免费提供操作培训。</w:t>
      </w:r>
    </w:p>
    <w:p>
      <w:pPr>
        <w:pStyle w:val="179"/>
        <w:numPr>
          <w:ilvl w:val="0"/>
          <w:numId w:val="3"/>
        </w:numPr>
        <w:snapToGrid w:val="0"/>
        <w:spacing w:line="360" w:lineRule="auto"/>
        <w:ind w:left="0" w:firstLine="460" w:firstLineChars="191"/>
        <w:rPr>
          <w:rFonts w:ascii="宋体" w:hAnsi="宋体" w:cs="宋体"/>
          <w:szCs w:val="24"/>
        </w:rPr>
      </w:pPr>
      <w:r>
        <w:rPr>
          <w:rFonts w:hint="eastAsia" w:ascii="宋体" w:hAnsi="宋体" w:cs="宋体"/>
          <w:szCs w:val="24"/>
        </w:rPr>
        <w:t>采购标的验收标准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采购单位按合同约定积极配合成交商履约，在接到投标人提出验收申请后，及时组织相关专业技术人员，必要时邀请质检等部门共同参与验收，并出具验收报告，验收合格的作为支付货款的依据。</w:t>
      </w:r>
    </w:p>
    <w:p>
      <w:pPr>
        <w:pStyle w:val="179"/>
        <w:numPr>
          <w:ilvl w:val="0"/>
          <w:numId w:val="3"/>
        </w:numPr>
        <w:snapToGrid w:val="0"/>
        <w:spacing w:line="360" w:lineRule="auto"/>
        <w:ind w:left="0" w:firstLine="460" w:firstLineChars="191"/>
        <w:rPr>
          <w:rFonts w:ascii="宋体" w:hAnsi="宋体" w:cs="宋体"/>
          <w:szCs w:val="24"/>
        </w:rPr>
      </w:pPr>
      <w:r>
        <w:rPr>
          <w:rFonts w:hint="eastAsia" w:ascii="宋体" w:hAnsi="宋体" w:cs="宋体"/>
          <w:szCs w:val="24"/>
        </w:rPr>
        <w:t>采购标的其他技术、服务等要求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以上条款的内容如果需要修改或者有其他未涉及的事项，由双方协商解决。</w:t>
      </w:r>
    </w:p>
    <w:p>
      <w:pPr>
        <w:pStyle w:val="179"/>
        <w:numPr>
          <w:ilvl w:val="0"/>
          <w:numId w:val="3"/>
        </w:numPr>
        <w:snapToGrid w:val="0"/>
        <w:spacing w:line="360" w:lineRule="auto"/>
        <w:ind w:left="0" w:firstLine="460" w:firstLineChars="191"/>
        <w:rPr>
          <w:rFonts w:ascii="宋体" w:hAnsi="宋体" w:cs="宋体"/>
          <w:szCs w:val="24"/>
        </w:rPr>
      </w:pPr>
      <w:r>
        <w:rPr>
          <w:rFonts w:hint="eastAsia" w:ascii="宋体" w:hAnsi="宋体" w:cs="宋体"/>
          <w:szCs w:val="24"/>
        </w:rPr>
        <w:t>付款条件</w:t>
      </w:r>
    </w:p>
    <w:p>
      <w:pPr>
        <w:widowControl/>
        <w:shd w:val="clear" w:color="auto" w:fill="FFFFFF"/>
        <w:ind w:firstLine="364" w:firstLineChars="151"/>
        <w:rPr>
          <w:rFonts w:ascii="宋体" w:hAnsi="宋体" w:eastAsia="宋体" w:cs="宋体"/>
          <w:sz w:val="24"/>
          <w:szCs w:val="24"/>
        </w:rPr>
      </w:pPr>
      <w:r>
        <w:rPr>
          <w:rFonts w:hint="eastAsia" w:ascii="宋体" w:hAnsi="宋体" w:eastAsia="宋体" w:cs="宋体"/>
          <w:b/>
          <w:sz w:val="24"/>
          <w:szCs w:val="24"/>
        </w:rPr>
        <w:t>合同的签订：</w:t>
      </w:r>
      <w:r>
        <w:rPr>
          <w:rFonts w:hint="eastAsia" w:ascii="宋体" w:hAnsi="宋体" w:eastAsia="宋体" w:cs="宋体"/>
          <w:sz w:val="24"/>
          <w:szCs w:val="24"/>
        </w:rPr>
        <w:t>自中标（成交）通知书发出之日起30日内按时签约。</w:t>
      </w:r>
    </w:p>
    <w:p>
      <w:pPr>
        <w:widowControl/>
        <w:shd w:val="clear" w:color="auto" w:fill="FFFFFF"/>
        <w:ind w:firstLine="364" w:firstLineChars="151"/>
        <w:rPr>
          <w:rFonts w:ascii="宋体" w:hAnsi="宋体" w:eastAsia="宋体" w:cs="宋体"/>
          <w:sz w:val="24"/>
          <w:szCs w:val="24"/>
        </w:rPr>
      </w:pPr>
      <w:r>
        <w:rPr>
          <w:rFonts w:hint="eastAsia" w:ascii="宋体" w:hAnsi="宋体" w:eastAsia="宋体" w:cs="宋体"/>
          <w:b/>
          <w:kern w:val="0"/>
          <w:sz w:val="24"/>
          <w:szCs w:val="24"/>
        </w:rPr>
        <w:t>付款方式：</w:t>
      </w:r>
      <w:r>
        <w:rPr>
          <w:rFonts w:hint="eastAsia" w:ascii="宋体" w:hAnsi="宋体" w:eastAsia="宋体" w:cs="宋体"/>
          <w:sz w:val="24"/>
          <w:szCs w:val="24"/>
        </w:rPr>
        <w:t>合同签订后15天内支付合同价的30%，验收合格后15天内支付合同价的60%，免费维护期结束后15天内支付合同价的10%。</w:t>
      </w:r>
    </w:p>
    <w:p>
      <w:pPr>
        <w:pStyle w:val="24"/>
      </w:pPr>
    </w:p>
    <w:p>
      <w:pPr>
        <w:pStyle w:val="180"/>
        <w:rPr>
          <w:rFonts w:hint="eastAsia"/>
          <w:u w:val="single"/>
        </w:rPr>
      </w:pPr>
    </w:p>
    <w:p>
      <w:pPr>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100"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1、本次竞争性磋商按照《中华人民共和国政府采购法》、《政府采购竞争性磋商采购方式管理暂行办法》及有关法规成立磋商小组。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1、磋商小组参照《中华人民共和国政府采购法》、《政府采购竞争性磋商采购方式管理暂行办法》以及有关政府采购的相关法规，遵循“公开、公平、公正、择优、信用”的原则进行磋商评审。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17、</w:t>
      </w:r>
      <w:r>
        <w:rPr>
          <w:rFonts w:hint="eastAsia" w:ascii="宋体" w:hAnsi="宋体" w:eastAsia="宋体" w:cs="宋体"/>
          <w:sz w:val="24"/>
          <w:szCs w:val="24"/>
        </w:rPr>
        <w:t>若本次采购过程中符合要求的供应商不足三家，则终止本次竞争性磋商采购活动，重新开展采购活动。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3、本次项目磋商的技术和报价评审总分值为100分。两部分评审因素比重如下：</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技术分值占总分值的比重为80%（权重）（四舍五入保留两位小数）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报价分值占总分值的比重为20%（权重）（四舍五入保留两位小数）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7" w:firstLineChars="202"/>
        <w:rPr>
          <w:rFonts w:asciiTheme="majorEastAsia" w:hAnsiTheme="majorEastAsia" w:eastAsiaTheme="majorEastAsia" w:cstheme="minorEastAsia"/>
          <w:b/>
          <w:bCs/>
          <w:color w:val="000000" w:themeColor="text1"/>
          <w:sz w:val="24"/>
          <w:szCs w:val="24"/>
          <w14:textFill>
            <w14:solidFill>
              <w14:schemeClr w14:val="tx1"/>
            </w14:solidFill>
          </w14:textFill>
        </w:rPr>
      </w:pPr>
      <w:r>
        <w:rPr>
          <w:rFonts w:hint="eastAsia" w:asciiTheme="majorEastAsia" w:hAnsiTheme="majorEastAsia" w:eastAsiaTheme="majorEastAsia" w:cstheme="minorEastAsia"/>
          <w:b/>
          <w:bCs/>
          <w:color w:val="000000" w:themeColor="text1"/>
          <w:sz w:val="24"/>
          <w:szCs w:val="24"/>
          <w14:textFill>
            <w14:solidFill>
              <w14:schemeClr w14:val="tx1"/>
            </w14:solidFill>
          </w14:textFill>
        </w:rPr>
        <w:t>4、供应商技术标最终得分取所有评委的算术平均值，得分采用四舍五入法保留小数点后两位小数。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7、确定成交候选人的特殊情况处理：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100"/>
    <w:p>
      <w:pPr>
        <w:snapToGrid w:val="0"/>
        <w:spacing w:line="300" w:lineRule="auto"/>
        <w:ind w:firstLine="555"/>
        <w:rPr>
          <w:rFonts w:asciiTheme="majorEastAsia" w:hAnsiTheme="majorEastAsia" w:eastAsiaTheme="majorEastAsia" w:cstheme="minorEastAsia"/>
          <w:b/>
          <w:bCs/>
          <w:color w:val="000000" w:themeColor="text1"/>
          <w:sz w:val="24"/>
          <w:szCs w:val="24"/>
          <w14:textFill>
            <w14:solidFill>
              <w14:schemeClr w14:val="tx1"/>
            </w14:solidFill>
          </w14:textFill>
        </w:rPr>
      </w:pPr>
      <w:r>
        <w:rPr>
          <w:rFonts w:hint="eastAsia" w:asciiTheme="majorEastAsia" w:hAnsiTheme="majorEastAsia" w:eastAsiaTheme="majorEastAsia" w:cstheme="minorEastAsia"/>
          <w:sz w:val="24"/>
          <w:szCs w:val="24"/>
        </w:rPr>
        <w:t>（一）技术标满分80分，以下所设分值均为各条评分最大得分值，评标委员会根据以下几个方面进行综合评估打分</w:t>
      </w:r>
      <w:r>
        <w:rPr>
          <w:rFonts w:hint="eastAsia" w:asciiTheme="majorEastAsia" w:hAnsiTheme="majorEastAsia" w:eastAsiaTheme="majorEastAsia" w:cstheme="minorEastAsia"/>
          <w:b/>
          <w:bCs/>
          <w:color w:val="000000" w:themeColor="text1"/>
          <w:sz w:val="24"/>
          <w:szCs w:val="24"/>
          <w14:textFill>
            <w14:solidFill>
              <w14:schemeClr w14:val="tx1"/>
            </w14:solidFill>
          </w14:textFill>
        </w:rPr>
        <w:t>(供应商技术标最终得分取所有评委的算术平均值，得分采用四舍五入法保留小数点后两位小数。)</w:t>
      </w:r>
    </w:p>
    <w:tbl>
      <w:tblPr>
        <w:tblStyle w:val="60"/>
        <w:tblW w:w="9988" w:type="dxa"/>
        <w:jc w:val="center"/>
        <w:tblLayout w:type="fixed"/>
        <w:tblCellMar>
          <w:top w:w="0" w:type="dxa"/>
          <w:left w:w="108" w:type="dxa"/>
          <w:bottom w:w="0" w:type="dxa"/>
          <w:right w:w="108" w:type="dxa"/>
        </w:tblCellMar>
      </w:tblPr>
      <w:tblGrid>
        <w:gridCol w:w="885"/>
        <w:gridCol w:w="1559"/>
        <w:gridCol w:w="993"/>
        <w:gridCol w:w="6551"/>
      </w:tblGrid>
      <w:tr>
        <w:tblPrEx>
          <w:tblCellMar>
            <w:top w:w="0" w:type="dxa"/>
            <w:left w:w="108" w:type="dxa"/>
            <w:bottom w:w="0" w:type="dxa"/>
            <w:right w:w="108" w:type="dxa"/>
          </w:tblCellMar>
        </w:tblPrEx>
        <w:trPr>
          <w:cantSplit/>
          <w:trHeight w:val="567"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评分点名称</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分值</w:t>
            </w:r>
          </w:p>
        </w:tc>
        <w:tc>
          <w:tcPr>
            <w:tcW w:w="6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评审标准</w:t>
            </w:r>
          </w:p>
        </w:tc>
      </w:tr>
      <w:tr>
        <w:tblPrEx>
          <w:tblCellMar>
            <w:top w:w="0" w:type="dxa"/>
            <w:left w:w="108" w:type="dxa"/>
            <w:bottom w:w="0" w:type="dxa"/>
            <w:right w:w="108" w:type="dxa"/>
          </w:tblCellMar>
        </w:tblPrEx>
        <w:trPr>
          <w:trHeight w:val="717" w:hRule="atLeast"/>
          <w:jc w:val="center"/>
        </w:trPr>
        <w:tc>
          <w:tcPr>
            <w:tcW w:w="88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559" w:type="dxa"/>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技术性能</w:t>
            </w:r>
          </w:p>
          <w:p>
            <w:pPr>
              <w:widowControl/>
              <w:jc w:val="center"/>
              <w:rPr>
                <w:rFonts w:ascii="宋体" w:hAnsi="宋体" w:eastAsia="宋体" w:cs="宋体"/>
                <w:kern w:val="0"/>
                <w:sz w:val="21"/>
                <w:szCs w:val="21"/>
              </w:rPr>
            </w:pPr>
            <w:r>
              <w:rPr>
                <w:rFonts w:hint="eastAsia" w:ascii="宋体" w:hAnsi="宋体" w:eastAsia="宋体" w:cs="宋体"/>
                <w:kern w:val="0"/>
                <w:sz w:val="21"/>
                <w:szCs w:val="21"/>
              </w:rPr>
              <w:t>（60分）</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0-40</w:t>
            </w:r>
          </w:p>
        </w:tc>
        <w:tc>
          <w:tcPr>
            <w:tcW w:w="6551"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对软件基本技术参数的满足程度进行评分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技术要求</w:t>
            </w:r>
            <w:r>
              <w:rPr>
                <w:rFonts w:hint="eastAsia" w:ascii="宋体" w:hAnsi="宋体" w:eastAsia="宋体" w:cs="宋体"/>
                <w:kern w:val="0"/>
                <w:sz w:val="21"/>
                <w:szCs w:val="21"/>
                <w:highlight w:val="none"/>
              </w:rPr>
              <w:t>详见第三章项目需求主要技术参数</w:t>
            </w:r>
            <w:r>
              <w:rPr>
                <w:rFonts w:hint="eastAsia" w:ascii="宋体" w:hAnsi="宋体" w:eastAsia="宋体" w:cs="宋体"/>
                <w:kern w:val="0"/>
                <w:sz w:val="21"/>
                <w:szCs w:val="21"/>
                <w:highlight w:val="none"/>
                <w:lang w:eastAsia="zh-CN"/>
              </w:rPr>
              <w:t>。</w:t>
            </w:r>
          </w:p>
          <w:p>
            <w:pPr>
              <w:widowControl/>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全部满足的得40分，参数负偏离一项的扣3分，最高40分，最低为0分。主要技术参数部分加*项，若有一项不能实现，既作为无效投标。</w:t>
            </w:r>
            <w:r>
              <w:rPr>
                <w:rFonts w:hint="eastAsia" w:ascii="宋体" w:hAnsi="宋体" w:eastAsia="宋体" w:cs="宋体"/>
                <w:kern w:val="0"/>
                <w:sz w:val="21"/>
                <w:szCs w:val="21"/>
                <w:highlight w:val="none"/>
                <w:lang w:val="en-US" w:eastAsia="zh-CN"/>
              </w:rPr>
              <w:t>提供有效的技术性能满足程度</w:t>
            </w:r>
            <w:bookmarkStart w:id="112" w:name="_GoBack"/>
            <w:bookmarkEnd w:id="112"/>
            <w:r>
              <w:rPr>
                <w:rFonts w:hint="eastAsia" w:ascii="宋体" w:hAnsi="宋体" w:eastAsia="宋体" w:cs="宋体"/>
                <w:kern w:val="0"/>
                <w:sz w:val="21"/>
                <w:szCs w:val="21"/>
                <w:highlight w:val="none"/>
                <w:lang w:val="en-US" w:eastAsia="zh-CN"/>
              </w:rPr>
              <w:t>方案。</w:t>
            </w:r>
          </w:p>
        </w:tc>
      </w:tr>
      <w:tr>
        <w:tblPrEx>
          <w:tblCellMar>
            <w:top w:w="0" w:type="dxa"/>
            <w:left w:w="108" w:type="dxa"/>
            <w:bottom w:w="0" w:type="dxa"/>
            <w:right w:w="108" w:type="dxa"/>
          </w:tblCellMar>
        </w:tblPrEx>
        <w:trPr>
          <w:trHeight w:val="738" w:hRule="atLeast"/>
          <w:jc w:val="center"/>
        </w:trPr>
        <w:tc>
          <w:tcPr>
            <w:tcW w:w="88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p>
        </w:tc>
        <w:tc>
          <w:tcPr>
            <w:tcW w:w="1559"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0-10</w:t>
            </w:r>
          </w:p>
        </w:tc>
        <w:tc>
          <w:tcPr>
            <w:tcW w:w="6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1"/>
                <w:szCs w:val="21"/>
              </w:rPr>
            </w:pPr>
            <w:r>
              <w:rPr>
                <w:rFonts w:hint="eastAsia" w:ascii="宋体" w:hAnsi="宋体" w:eastAsia="宋体" w:cs="宋体"/>
                <w:kern w:val="0"/>
                <w:sz w:val="21"/>
                <w:szCs w:val="21"/>
              </w:rPr>
              <w:t>安装、调试、验收的方案和措施10分。分3个档次，优秀完备的</w:t>
            </w:r>
            <w:r>
              <w:rPr>
                <w:rFonts w:ascii="宋体" w:hAnsi="宋体" w:eastAsia="宋体" w:cs="宋体"/>
                <w:kern w:val="0"/>
                <w:sz w:val="21"/>
                <w:szCs w:val="21"/>
              </w:rPr>
              <w:t>10</w:t>
            </w:r>
            <w:r>
              <w:rPr>
                <w:rFonts w:hint="eastAsia" w:ascii="宋体" w:hAnsi="宋体" w:eastAsia="宋体" w:cs="宋体"/>
                <w:kern w:val="0"/>
                <w:sz w:val="21"/>
                <w:szCs w:val="21"/>
              </w:rPr>
              <w:t>分-</w:t>
            </w:r>
            <w:r>
              <w:rPr>
                <w:rFonts w:ascii="宋体" w:hAnsi="宋体" w:eastAsia="宋体" w:cs="宋体"/>
                <w:kern w:val="0"/>
                <w:sz w:val="21"/>
                <w:szCs w:val="21"/>
              </w:rPr>
              <w:t>7</w:t>
            </w:r>
            <w:r>
              <w:rPr>
                <w:rFonts w:hint="eastAsia" w:ascii="宋体" w:hAnsi="宋体" w:eastAsia="宋体" w:cs="宋体"/>
                <w:kern w:val="0"/>
                <w:sz w:val="21"/>
                <w:szCs w:val="21"/>
              </w:rPr>
              <w:t>分、具备一般可行性的</w:t>
            </w:r>
            <w:r>
              <w:rPr>
                <w:rFonts w:ascii="宋体" w:hAnsi="宋体" w:eastAsia="宋体" w:cs="宋体"/>
                <w:kern w:val="0"/>
                <w:sz w:val="21"/>
                <w:szCs w:val="21"/>
              </w:rPr>
              <w:t>6</w:t>
            </w:r>
            <w:r>
              <w:rPr>
                <w:rFonts w:hint="eastAsia" w:ascii="宋体" w:hAnsi="宋体" w:eastAsia="宋体" w:cs="宋体"/>
                <w:kern w:val="0"/>
                <w:sz w:val="21"/>
                <w:szCs w:val="21"/>
              </w:rPr>
              <w:t>分-</w:t>
            </w:r>
            <w:r>
              <w:rPr>
                <w:rFonts w:ascii="宋体" w:hAnsi="宋体" w:eastAsia="宋体" w:cs="宋体"/>
                <w:kern w:val="0"/>
                <w:sz w:val="21"/>
                <w:szCs w:val="21"/>
              </w:rPr>
              <w:t>3</w:t>
            </w:r>
            <w:r>
              <w:rPr>
                <w:rFonts w:hint="eastAsia" w:ascii="宋体" w:hAnsi="宋体" w:eastAsia="宋体" w:cs="宋体"/>
                <w:kern w:val="0"/>
                <w:sz w:val="21"/>
                <w:szCs w:val="21"/>
              </w:rPr>
              <w:t>分、内容空洞，不具备可行性的</w:t>
            </w:r>
            <w:r>
              <w:rPr>
                <w:rFonts w:ascii="宋体" w:hAnsi="宋体" w:eastAsia="宋体" w:cs="宋体"/>
                <w:kern w:val="0"/>
                <w:sz w:val="21"/>
                <w:szCs w:val="21"/>
              </w:rPr>
              <w:t>2</w:t>
            </w:r>
            <w:r>
              <w:rPr>
                <w:rFonts w:hint="eastAsia" w:ascii="宋体" w:hAnsi="宋体" w:eastAsia="宋体" w:cs="宋体"/>
                <w:kern w:val="0"/>
                <w:sz w:val="21"/>
                <w:szCs w:val="21"/>
              </w:rPr>
              <w:t>分-</w:t>
            </w:r>
            <w:r>
              <w:rPr>
                <w:rFonts w:ascii="宋体" w:hAnsi="宋体" w:eastAsia="宋体" w:cs="宋体"/>
                <w:kern w:val="0"/>
                <w:sz w:val="21"/>
                <w:szCs w:val="21"/>
              </w:rPr>
              <w:t>0</w:t>
            </w:r>
            <w:r>
              <w:rPr>
                <w:rFonts w:hint="eastAsia" w:ascii="宋体" w:hAnsi="宋体" w:eastAsia="宋体" w:cs="宋体"/>
                <w:kern w:val="0"/>
                <w:sz w:val="21"/>
                <w:szCs w:val="21"/>
              </w:rPr>
              <w:t>分。</w:t>
            </w:r>
          </w:p>
        </w:tc>
      </w:tr>
      <w:tr>
        <w:tblPrEx>
          <w:tblCellMar>
            <w:top w:w="0" w:type="dxa"/>
            <w:left w:w="108" w:type="dxa"/>
            <w:bottom w:w="0" w:type="dxa"/>
            <w:right w:w="108" w:type="dxa"/>
          </w:tblCellMar>
        </w:tblPrEx>
        <w:trPr>
          <w:trHeight w:val="737" w:hRule="atLeast"/>
          <w:jc w:val="center"/>
        </w:trPr>
        <w:tc>
          <w:tcPr>
            <w:tcW w:w="88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p>
        </w:tc>
        <w:tc>
          <w:tcPr>
            <w:tcW w:w="155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0-10</w:t>
            </w:r>
          </w:p>
        </w:tc>
        <w:tc>
          <w:tcPr>
            <w:tcW w:w="6551" w:type="dxa"/>
            <w:tcBorders>
              <w:top w:val="nil"/>
              <w:left w:val="nil"/>
              <w:bottom w:val="single" w:color="auto" w:sz="4" w:space="0"/>
              <w:right w:val="single" w:color="auto" w:sz="4" w:space="0"/>
            </w:tcBorders>
            <w:shd w:val="clear" w:color="auto" w:fill="auto"/>
          </w:tcPr>
          <w:p>
            <w:pPr>
              <w:widowControl/>
              <w:rPr>
                <w:rFonts w:ascii="宋体" w:hAnsi="宋体" w:eastAsia="宋体" w:cs="宋体"/>
                <w:kern w:val="0"/>
                <w:sz w:val="21"/>
                <w:szCs w:val="21"/>
              </w:rPr>
            </w:pPr>
            <w:r>
              <w:rPr>
                <w:rFonts w:hint="eastAsia" w:ascii="宋体" w:hAnsi="宋体" w:eastAsia="宋体" w:cs="宋体"/>
                <w:kern w:val="0"/>
                <w:sz w:val="21"/>
                <w:szCs w:val="21"/>
              </w:rPr>
              <w:t>有明确可行的项目工程实施表（综合考虑工作内容，工作周期，是否具备可行性，分3个档次，优秀完备的</w:t>
            </w:r>
            <w:r>
              <w:rPr>
                <w:rFonts w:ascii="宋体" w:hAnsi="宋体" w:eastAsia="宋体" w:cs="宋体"/>
                <w:kern w:val="0"/>
                <w:sz w:val="21"/>
                <w:szCs w:val="21"/>
              </w:rPr>
              <w:t>10</w:t>
            </w:r>
            <w:r>
              <w:rPr>
                <w:rFonts w:hint="eastAsia" w:ascii="宋体" w:hAnsi="宋体" w:eastAsia="宋体" w:cs="宋体"/>
                <w:kern w:val="0"/>
                <w:sz w:val="21"/>
                <w:szCs w:val="21"/>
              </w:rPr>
              <w:t>分-</w:t>
            </w:r>
            <w:r>
              <w:rPr>
                <w:rFonts w:ascii="宋体" w:hAnsi="宋体" w:eastAsia="宋体" w:cs="宋体"/>
                <w:kern w:val="0"/>
                <w:sz w:val="21"/>
                <w:szCs w:val="21"/>
              </w:rPr>
              <w:t>7</w:t>
            </w:r>
            <w:r>
              <w:rPr>
                <w:rFonts w:hint="eastAsia" w:ascii="宋体" w:hAnsi="宋体" w:eastAsia="宋体" w:cs="宋体"/>
                <w:kern w:val="0"/>
                <w:sz w:val="21"/>
                <w:szCs w:val="21"/>
              </w:rPr>
              <w:t>分、具备一般可行性的</w:t>
            </w:r>
            <w:r>
              <w:rPr>
                <w:rFonts w:ascii="宋体" w:hAnsi="宋体" w:eastAsia="宋体" w:cs="宋体"/>
                <w:kern w:val="0"/>
                <w:sz w:val="21"/>
                <w:szCs w:val="21"/>
              </w:rPr>
              <w:t>6</w:t>
            </w:r>
            <w:r>
              <w:rPr>
                <w:rFonts w:hint="eastAsia" w:ascii="宋体" w:hAnsi="宋体" w:eastAsia="宋体" w:cs="宋体"/>
                <w:kern w:val="0"/>
                <w:sz w:val="21"/>
                <w:szCs w:val="21"/>
              </w:rPr>
              <w:t>分-</w:t>
            </w:r>
            <w:r>
              <w:rPr>
                <w:rFonts w:ascii="宋体" w:hAnsi="宋体" w:eastAsia="宋体" w:cs="宋体"/>
                <w:kern w:val="0"/>
                <w:sz w:val="21"/>
                <w:szCs w:val="21"/>
              </w:rPr>
              <w:t>3</w:t>
            </w:r>
            <w:r>
              <w:rPr>
                <w:rFonts w:hint="eastAsia" w:ascii="宋体" w:hAnsi="宋体" w:eastAsia="宋体" w:cs="宋体"/>
                <w:kern w:val="0"/>
                <w:sz w:val="21"/>
                <w:szCs w:val="21"/>
              </w:rPr>
              <w:t>分、内容空洞，不具备可行性的</w:t>
            </w:r>
            <w:r>
              <w:rPr>
                <w:rFonts w:ascii="宋体" w:hAnsi="宋体" w:eastAsia="宋体" w:cs="宋体"/>
                <w:kern w:val="0"/>
                <w:sz w:val="21"/>
                <w:szCs w:val="21"/>
              </w:rPr>
              <w:t>2</w:t>
            </w:r>
            <w:r>
              <w:rPr>
                <w:rFonts w:hint="eastAsia" w:ascii="宋体" w:hAnsi="宋体" w:eastAsia="宋体" w:cs="宋体"/>
                <w:kern w:val="0"/>
                <w:sz w:val="21"/>
                <w:szCs w:val="21"/>
              </w:rPr>
              <w:t>分-</w:t>
            </w:r>
            <w:r>
              <w:rPr>
                <w:rFonts w:ascii="宋体" w:hAnsi="宋体" w:eastAsia="宋体" w:cs="宋体"/>
                <w:kern w:val="0"/>
                <w:sz w:val="21"/>
                <w:szCs w:val="21"/>
              </w:rPr>
              <w:t>0</w:t>
            </w:r>
            <w:r>
              <w:rPr>
                <w:rFonts w:hint="eastAsia" w:ascii="宋体" w:hAnsi="宋体" w:eastAsia="宋体" w:cs="宋体"/>
                <w:kern w:val="0"/>
                <w:sz w:val="21"/>
                <w:szCs w:val="21"/>
              </w:rPr>
              <w:t>分。</w:t>
            </w:r>
          </w:p>
        </w:tc>
      </w:tr>
      <w:tr>
        <w:tblPrEx>
          <w:tblCellMar>
            <w:top w:w="0" w:type="dxa"/>
            <w:left w:w="108" w:type="dxa"/>
            <w:bottom w:w="0" w:type="dxa"/>
            <w:right w:w="108" w:type="dxa"/>
          </w:tblCellMar>
        </w:tblPrEx>
        <w:trPr>
          <w:trHeight w:val="1019"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企业资质及业绩（15分）</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0-15</w:t>
            </w:r>
          </w:p>
        </w:tc>
        <w:tc>
          <w:tcPr>
            <w:tcW w:w="6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1"/>
                <w:szCs w:val="21"/>
              </w:rPr>
            </w:pPr>
            <w:r>
              <w:rPr>
                <w:rFonts w:hint="eastAsia" w:ascii="宋体" w:hAnsi="宋体" w:eastAsia="宋体" w:cs="宋体"/>
                <w:sz w:val="21"/>
                <w:szCs w:val="21"/>
              </w:rPr>
              <w:t>投标单位自2019年6月1日（以合同日期为准）以来承担过类似医院同类型项目成功案例及业绩等，每有一个案例得3分，最高15分。（提供有效的合同复印件等证明材料并加盖公章）。</w:t>
            </w:r>
          </w:p>
        </w:tc>
      </w:tr>
      <w:tr>
        <w:tblPrEx>
          <w:tblCellMar>
            <w:top w:w="0" w:type="dxa"/>
            <w:left w:w="108" w:type="dxa"/>
            <w:bottom w:w="0" w:type="dxa"/>
            <w:right w:w="108" w:type="dxa"/>
          </w:tblCellMar>
        </w:tblPrEx>
        <w:trPr>
          <w:trHeight w:val="84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售后服务</w:t>
            </w:r>
          </w:p>
          <w:p>
            <w:pPr>
              <w:widowControl/>
              <w:jc w:val="center"/>
              <w:rPr>
                <w:rFonts w:ascii="宋体" w:hAnsi="宋体" w:eastAsia="宋体" w:cs="宋体"/>
                <w:kern w:val="0"/>
                <w:sz w:val="21"/>
                <w:szCs w:val="21"/>
              </w:rPr>
            </w:pPr>
            <w:r>
              <w:rPr>
                <w:rFonts w:hint="eastAsia" w:ascii="宋体" w:hAnsi="宋体" w:eastAsia="宋体" w:cs="宋体"/>
                <w:kern w:val="0"/>
                <w:sz w:val="21"/>
                <w:szCs w:val="21"/>
              </w:rPr>
              <w:t>（5分）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0-5</w:t>
            </w:r>
          </w:p>
        </w:tc>
        <w:tc>
          <w:tcPr>
            <w:tcW w:w="6551"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kern w:val="0"/>
                <w:sz w:val="21"/>
                <w:szCs w:val="21"/>
                <w:lang w:val="en-US" w:eastAsia="zh-CN"/>
              </w:rPr>
            </w:pPr>
            <w:r>
              <w:rPr>
                <w:rFonts w:hint="eastAsia" w:ascii="宋体" w:hAnsi="宋体" w:eastAsia="宋体" w:cs="宋体"/>
                <w:sz w:val="21"/>
                <w:szCs w:val="21"/>
              </w:rPr>
              <w:t>售后服务承诺，满足招标文件要求质保期，包含技术服务和技术培训内容等，优秀的得</w:t>
            </w:r>
            <w:r>
              <w:rPr>
                <w:rFonts w:ascii="宋体" w:hAnsi="宋体" w:eastAsia="宋体" w:cs="宋体"/>
                <w:kern w:val="0"/>
                <w:sz w:val="21"/>
                <w:szCs w:val="21"/>
              </w:rPr>
              <w:t>5</w:t>
            </w:r>
            <w:r>
              <w:rPr>
                <w:rFonts w:hint="eastAsia" w:ascii="宋体" w:hAnsi="宋体" w:eastAsia="宋体" w:cs="宋体"/>
                <w:kern w:val="0"/>
                <w:sz w:val="21"/>
                <w:szCs w:val="21"/>
              </w:rPr>
              <w:t>分-</w:t>
            </w:r>
            <w:r>
              <w:rPr>
                <w:rFonts w:ascii="宋体" w:hAnsi="宋体" w:eastAsia="宋体" w:cs="宋体"/>
                <w:kern w:val="0"/>
                <w:sz w:val="21"/>
                <w:szCs w:val="21"/>
              </w:rPr>
              <w:t>4</w:t>
            </w:r>
            <w:r>
              <w:rPr>
                <w:rFonts w:hint="eastAsia" w:ascii="宋体" w:hAnsi="宋体" w:eastAsia="宋体" w:cs="宋体"/>
                <w:kern w:val="0"/>
                <w:sz w:val="21"/>
                <w:szCs w:val="21"/>
              </w:rPr>
              <w:t>分</w:t>
            </w:r>
            <w:r>
              <w:rPr>
                <w:rFonts w:hint="eastAsia" w:ascii="宋体" w:hAnsi="宋体" w:eastAsia="宋体" w:cs="宋体"/>
                <w:sz w:val="21"/>
                <w:szCs w:val="21"/>
              </w:rPr>
              <w:t>，一般的得</w:t>
            </w:r>
            <w:r>
              <w:rPr>
                <w:rFonts w:ascii="宋体" w:hAnsi="宋体" w:eastAsia="宋体" w:cs="宋体"/>
                <w:kern w:val="0"/>
                <w:sz w:val="21"/>
                <w:szCs w:val="21"/>
              </w:rPr>
              <w:t>3</w:t>
            </w:r>
            <w:r>
              <w:rPr>
                <w:rFonts w:hint="eastAsia" w:ascii="宋体" w:hAnsi="宋体" w:eastAsia="宋体" w:cs="宋体"/>
                <w:kern w:val="0"/>
                <w:sz w:val="21"/>
                <w:szCs w:val="21"/>
              </w:rPr>
              <w:t>分-</w:t>
            </w:r>
            <w:r>
              <w:rPr>
                <w:rFonts w:ascii="宋体" w:hAnsi="宋体" w:eastAsia="宋体" w:cs="宋体"/>
                <w:kern w:val="0"/>
                <w:sz w:val="21"/>
                <w:szCs w:val="21"/>
              </w:rPr>
              <w:t>2</w:t>
            </w:r>
            <w:r>
              <w:rPr>
                <w:rFonts w:hint="eastAsia" w:ascii="宋体" w:hAnsi="宋体" w:eastAsia="宋体" w:cs="宋体"/>
                <w:kern w:val="0"/>
                <w:sz w:val="21"/>
                <w:szCs w:val="21"/>
              </w:rPr>
              <w:t>分</w:t>
            </w:r>
            <w:r>
              <w:rPr>
                <w:rFonts w:hint="eastAsia" w:ascii="宋体" w:hAnsi="宋体" w:eastAsia="宋体" w:cs="宋体"/>
                <w:sz w:val="21"/>
                <w:szCs w:val="21"/>
              </w:rPr>
              <w:t>，最低不得分。</w:t>
            </w:r>
            <w:r>
              <w:rPr>
                <w:rFonts w:hint="eastAsia" w:ascii="宋体" w:hAnsi="宋体" w:eastAsia="宋体" w:cs="宋体"/>
                <w:sz w:val="21"/>
                <w:szCs w:val="21"/>
                <w:lang w:val="en-US" w:eastAsia="zh-CN"/>
              </w:rPr>
              <w:t>提供有效的售后服务承诺，格式自拟。</w:t>
            </w:r>
          </w:p>
        </w:tc>
      </w:tr>
      <w:tr>
        <w:tblPrEx>
          <w:tblCellMar>
            <w:top w:w="0" w:type="dxa"/>
            <w:left w:w="108" w:type="dxa"/>
            <w:bottom w:w="0" w:type="dxa"/>
            <w:right w:w="108" w:type="dxa"/>
          </w:tblCellMar>
        </w:tblPrEx>
        <w:trPr>
          <w:cantSplit/>
          <w:trHeight w:val="779" w:hRule="atLeast"/>
          <w:jc w:val="center"/>
        </w:trPr>
        <w:tc>
          <w:tcPr>
            <w:tcW w:w="998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42" w:firstLineChars="200"/>
              <w:rPr>
                <w:rFonts w:ascii="宋体" w:hAnsi="宋体" w:eastAsia="宋体" w:cs="宋体"/>
                <w:kern w:val="0"/>
                <w:sz w:val="21"/>
                <w:szCs w:val="21"/>
              </w:rPr>
            </w:pPr>
            <w:r>
              <w:rPr>
                <w:rFonts w:hint="eastAsia" w:ascii="宋体" w:hAnsi="宋体" w:eastAsia="宋体" w:cs="宋体"/>
                <w:b/>
                <w:bCs/>
                <w:kern w:val="0"/>
                <w:sz w:val="22"/>
                <w:szCs w:val="22"/>
              </w:rPr>
              <w:t>注：评标办法中涉及的业绩合同等证明材料，如为复印件均须加盖供应商公章，否则该项不得分。</w:t>
            </w:r>
          </w:p>
        </w:tc>
      </w:tr>
    </w:tbl>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（二）价格标评分：（20分）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1、本次投标报价采用固定总价报价，本项目最高限价为18万元。</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2、有效报价：指投标报价不高于最高限价的报价，高于最高限价的作无效标处理。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3、报价得分：价格分统一采用低价优先法计算，即满足磋商文件要求且最终报价最低的供应商的价格为磋商基准价，其价格分为满分。其他供应商的价格分统一按照下列公式计算：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磋商报价得分=（磋商基准价/最终磋商报价）×20%×100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pacing w:line="500" w:lineRule="exact"/>
        <w:ind w:firstLine="240" w:firstLineChars="100"/>
        <w:rPr>
          <w:rFonts w:ascii="宋体" w:hAnsi="宋体" w:eastAsia="宋体" w:cs="宋体"/>
          <w:sz w:val="24"/>
        </w:rPr>
      </w:pPr>
      <w:r>
        <w:rPr>
          <w:rFonts w:hint="eastAsia" w:ascii="宋体" w:hAnsi="宋体" w:eastAsia="宋体" w:cs="宋体"/>
          <w:sz w:val="24"/>
        </w:rPr>
        <w:t>（1）根据《政府采购促进中小企业发展管理办法》（财库﹝2020﹞46 号）的第四条，</w:t>
      </w:r>
      <w:r>
        <w:rPr>
          <w:rFonts w:hint="eastAsia" w:ascii="宋体" w:hAnsi="宋体" w:eastAsia="宋体" w:cs="宋体"/>
          <w:b/>
          <w:bCs/>
          <w:sz w:val="24"/>
        </w:rPr>
        <w:t>本次采购项目建设属于</w:t>
      </w:r>
      <w:r>
        <w:rPr>
          <w:rFonts w:hint="eastAsia" w:ascii="宋体" w:hAnsi="宋体" w:eastAsia="宋体" w:cs="宋体"/>
          <w:b/>
          <w:bCs/>
          <w:sz w:val="24"/>
          <w:u w:val="thick" w:color="FF0000"/>
        </w:rPr>
        <w:t>服务</w:t>
      </w:r>
      <w:r>
        <w:rPr>
          <w:rFonts w:hint="eastAsia" w:ascii="宋体" w:hAnsi="宋体" w:eastAsia="宋体" w:cs="宋体"/>
          <w:b/>
          <w:bCs/>
          <w:sz w:val="24"/>
        </w:rPr>
        <w:t>项目，其投标单位提供的</w:t>
      </w:r>
      <w:r>
        <w:rPr>
          <w:rFonts w:hint="eastAsia" w:ascii="宋体" w:hAnsi="宋体" w:eastAsia="宋体" w:cs="宋体"/>
          <w:b/>
          <w:bCs/>
          <w:sz w:val="24"/>
          <w:u w:val="thick" w:color="FF0000"/>
        </w:rPr>
        <w:t>服务内容</w:t>
      </w:r>
      <w:r>
        <w:rPr>
          <w:rFonts w:hint="eastAsia" w:ascii="宋体" w:hAnsi="宋体" w:eastAsia="宋体" w:cs="宋体"/>
          <w:b/>
          <w:bCs/>
          <w:sz w:val="24"/>
        </w:rPr>
        <w:t>符合：工信部联企业〔2011〕300号《关于印发中小企业划型标准规定的通知》中的中小企业“</w:t>
      </w:r>
      <w:r>
        <w:rPr>
          <w:rFonts w:hint="eastAsia" w:ascii="宋体" w:hAnsi="宋体" w:eastAsia="宋体" w:cs="宋体"/>
          <w:b/>
          <w:bCs/>
          <w:sz w:val="24"/>
          <w:u w:val="thick" w:color="FF0000"/>
        </w:rPr>
        <w:t>软件和信息技术服务业</w:t>
      </w:r>
      <w:r>
        <w:rPr>
          <w:rFonts w:hint="eastAsia" w:ascii="宋体" w:hAnsi="宋体" w:eastAsia="宋体" w:cs="宋体"/>
          <w:b/>
          <w:bCs/>
          <w:sz w:val="24"/>
        </w:rPr>
        <w:t>”类的划型标准规定的，将享受中小企业扶持政策。</w:t>
      </w:r>
    </w:p>
    <w:p>
      <w:pPr>
        <w:spacing w:line="420" w:lineRule="exact"/>
        <w:ind w:firstLine="487" w:firstLineChars="202"/>
        <w:rPr>
          <w:rFonts w:ascii="宋体" w:hAnsi="宋体" w:eastAsia="宋体" w:cs="宋体"/>
          <w:sz w:val="24"/>
        </w:rPr>
      </w:pPr>
      <w:r>
        <w:rPr>
          <w:rFonts w:hint="eastAsia" w:ascii="宋体" w:hAnsi="宋体" w:eastAsia="宋体" w:cs="宋体"/>
          <w:b/>
          <w:bCs/>
          <w:sz w:val="24"/>
        </w:rPr>
        <w:t>“</w:t>
      </w:r>
      <w:r>
        <w:rPr>
          <w:rFonts w:hint="eastAsia" w:ascii="宋体" w:hAnsi="宋体" w:eastAsia="宋体" w:cs="宋体"/>
          <w:b/>
          <w:bCs/>
          <w:sz w:val="24"/>
          <w:u w:val="thick" w:color="FF0000"/>
        </w:rPr>
        <w:t>软件和信息技术服务业”</w:t>
      </w:r>
      <w:r>
        <w:rPr>
          <w:rFonts w:hint="eastAsia" w:ascii="宋体" w:hAnsi="宋体" w:eastAsia="宋体" w:cs="宋体"/>
          <w:b/>
          <w:bCs/>
          <w:sz w:val="24"/>
        </w:rPr>
        <w:t>中小企业划型标准：</w:t>
      </w:r>
      <w:r>
        <w:rPr>
          <w:rFonts w:hint="eastAsia" w:ascii="宋体" w:hAnsi="宋体" w:eastAsia="宋体" w:cs="宋体"/>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420" w:lineRule="exact"/>
        <w:ind w:firstLine="484" w:firstLineChars="202"/>
        <w:rPr>
          <w:rFonts w:ascii="宋体" w:hAnsi="宋体" w:eastAsia="宋体" w:cs="宋体"/>
          <w:sz w:val="24"/>
        </w:rPr>
      </w:pPr>
      <w:r>
        <w:rPr>
          <w:rFonts w:hint="eastAsia" w:ascii="宋体" w:hAnsi="宋体" w:eastAsia="宋体" w:cs="宋体"/>
          <w:sz w:val="24"/>
        </w:rPr>
        <w:t>（2）根据《政府采购促进中小企业发展管理办法》（财库﹝2020﹞46 号）的第四条规定，</w:t>
      </w:r>
      <w:r>
        <w:rPr>
          <w:rFonts w:hint="eastAsia" w:ascii="宋体" w:hAnsi="宋体" w:eastAsia="宋体" w:cs="宋体"/>
          <w:b/>
          <w:bCs/>
          <w:sz w:val="24"/>
          <w:u w:val="thick" w:color="FF0000"/>
        </w:rPr>
        <w:t>投标单位提供投标的全部服务人员为中小企业依照《中华人民共和国劳动合同法》订立劳动合同的从业人员的</w:t>
      </w:r>
      <w:r>
        <w:rPr>
          <w:rFonts w:hint="eastAsia" w:ascii="宋体" w:hAnsi="宋体" w:eastAsia="宋体" w:cs="宋体"/>
          <w:sz w:val="24"/>
        </w:rPr>
        <w:t>，以及《关于进一步加大政府采购支持中小企业力度的通知》（通财购〔2022〕23号）要求，该投标报价将给予评审时的价格调整，具体方法如下：</w:t>
      </w:r>
    </w:p>
    <w:p>
      <w:pPr>
        <w:spacing w:line="500" w:lineRule="exact"/>
        <w:ind w:firstLine="480" w:firstLineChars="200"/>
        <w:rPr>
          <w:rFonts w:ascii="宋体" w:hAnsi="宋体" w:eastAsia="宋体" w:cs="宋体"/>
          <w:sz w:val="24"/>
        </w:rPr>
      </w:pPr>
      <w:r>
        <w:rPr>
          <w:rFonts w:hint="eastAsia" w:ascii="宋体" w:hAnsi="宋体" w:eastAsia="宋体" w:cs="宋体"/>
          <w:sz w:val="24"/>
        </w:rPr>
        <w:t>①对符合要求的投标单位的投标报价给予10%的扣除价格，用扣除后的价格参与投标报价的评分，如果中标，则以其投标报价作为中标价。</w:t>
      </w:r>
    </w:p>
    <w:p>
      <w:pPr>
        <w:spacing w:line="500" w:lineRule="exact"/>
        <w:ind w:firstLine="480" w:firstLineChars="200"/>
        <w:rPr>
          <w:rFonts w:ascii="宋体" w:hAnsi="宋体" w:eastAsia="宋体" w:cs="宋体"/>
          <w:sz w:val="24"/>
        </w:rPr>
      </w:pPr>
      <w:r>
        <w:rPr>
          <w:rFonts w:hint="eastAsia" w:ascii="宋体" w:hAnsi="宋体" w:eastAsia="宋体" w:cs="宋体"/>
          <w:sz w:val="24"/>
        </w:rPr>
        <w:t>注：大中型企业与小微企业组成联合体，联合协议协议约定小微企业合同份额占到合同总金额30%以上的，给予联合体单位报价4%的扣除价格，用扣除后的价格参与投标报价的评分，如果中标，则以其投标报价作为中标价。</w:t>
      </w:r>
    </w:p>
    <w:p>
      <w:pPr>
        <w:spacing w:line="500" w:lineRule="exact"/>
        <w:ind w:firstLine="480" w:firstLineChars="200"/>
        <w:rPr>
          <w:rFonts w:ascii="宋体" w:hAnsi="宋体" w:eastAsia="宋体" w:cs="宋体"/>
          <w:sz w:val="24"/>
        </w:rPr>
      </w:pPr>
      <w:r>
        <w:rPr>
          <w:rFonts w:hint="eastAsia" w:ascii="宋体" w:hAnsi="宋体" w:eastAsia="宋体" w:cs="宋体"/>
          <w:sz w:val="24"/>
        </w:rPr>
        <w:t>②参加本次政府采购活动，符合要求的投标单位须严格按《政府采购促进中小企业发展管理办法》（财库﹝2020﹞46 号）的文件要求，出具填报“中小企业声明函”</w:t>
      </w:r>
      <w:r>
        <w:rPr>
          <w:rFonts w:hint="eastAsia" w:ascii="宋体" w:hAnsi="宋体" w:eastAsia="宋体" w:cs="宋体"/>
          <w:b/>
          <w:bCs/>
          <w:sz w:val="24"/>
          <w:u w:val="thick" w:color="FF0000"/>
        </w:rPr>
        <w:t>（格式见第七章）</w:t>
      </w:r>
      <w:r>
        <w:rPr>
          <w:rFonts w:hint="eastAsia" w:ascii="宋体" w:hAnsi="宋体" w:eastAsia="宋体" w:cs="宋体"/>
          <w:sz w:val="24"/>
        </w:rPr>
        <w:t>；</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u w:val="thick" w:color="FF0000"/>
        </w:rPr>
        <w:t>在本次采购项目中，投标单位提供的服务内容既有中小企业服务项目，也有大型企业服务项目的，将不享受《政府采购促进中小企业发展管理办法》（财库﹝2020﹞46 号）规定的中小企业扶持政策</w:t>
      </w:r>
      <w:r>
        <w:rPr>
          <w:rFonts w:hint="eastAsia" w:ascii="宋体" w:hAnsi="宋体" w:eastAsia="宋体" w:cs="宋体"/>
          <w:sz w:val="24"/>
        </w:rPr>
        <w:t>。</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u w:val="thick" w:color="FF0000"/>
        </w:rPr>
        <w:t>不符合上述要求的投标单位，无须提供“中小企业声明函”</w:t>
      </w:r>
    </w:p>
    <w:p>
      <w:pPr>
        <w:snapToGrid w:val="0"/>
        <w:spacing w:line="420" w:lineRule="exact"/>
        <w:ind w:firstLine="487" w:firstLineChars="202"/>
        <w:outlineLvl w:val="3"/>
        <w:rPr>
          <w:rFonts w:ascii="宋体" w:hAnsi="宋体" w:eastAsia="宋体" w:cs="宋体"/>
          <w:b/>
          <w:bCs/>
          <w:sz w:val="24"/>
        </w:rPr>
      </w:pPr>
      <w:bookmarkStart w:id="101" w:name="_Hlk69436353"/>
      <w:r>
        <w:rPr>
          <w:rFonts w:hint="eastAsia" w:ascii="宋体" w:hAnsi="宋体" w:eastAsia="宋体" w:cs="宋体"/>
          <w:b/>
          <w:bCs/>
          <w:sz w:val="24"/>
        </w:rPr>
        <w:t>2、针对残疾人福利性单位的采购政策</w:t>
      </w:r>
      <w:bookmarkEnd w:id="101"/>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（1）享受政府采购支持政策的残疾人福利性单位应当同时满足以下条件：</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① 安置的残疾人占本单位在职职工人数的比例不低于25%（含25%），并且安置的残疾人人数不少于10人（含10人）；</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② 依法与安置的每位残疾人签订了一年以上（含一年）的劳动合同或服务协议；</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③ 为安置的每位残疾人按月足额缴纳了基本养老保险、基本医疗保险、失业保险、工伤保险和生育保险等社会保险费；</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④ 通过银行等金融机构向安置的每位残疾人，按月支付了不低于单位所在区县适用的经省级人民政府批准的月最低工资标准的工资；</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⑤ 提供本单位制造的货物、承担的工程或者服务（以下简称产品），或者提供其他残疾人福利性单位制造的货物（不包括使用非残疾人福利性单位注册商标的货物）。</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（2）根据《关于促进残疾人就业政府采购政策的通知》（财库〔2017〕141号），符合条件的残疾人福利性单位在参加政府采购活动时，应当提供《残疾人福利性单位声明函》</w:t>
      </w:r>
      <w:r>
        <w:rPr>
          <w:rFonts w:hint="eastAsia" w:ascii="宋体" w:hAnsi="宋体" w:eastAsia="宋体" w:cs="宋体"/>
          <w:b/>
          <w:bCs/>
          <w:sz w:val="24"/>
        </w:rPr>
        <w:t>（</w:t>
      </w:r>
      <w:r>
        <w:rPr>
          <w:rFonts w:hint="eastAsia" w:ascii="宋体" w:hAnsi="宋体" w:eastAsia="宋体" w:cs="宋体"/>
          <w:b/>
          <w:bCs/>
          <w:sz w:val="24"/>
          <w:u w:val="thick" w:color="FF0000"/>
        </w:rPr>
        <w:t>格式见第七章</w:t>
      </w:r>
      <w:r>
        <w:rPr>
          <w:rFonts w:hint="eastAsia" w:ascii="宋体" w:hAnsi="宋体" w:eastAsia="宋体" w:cs="宋体"/>
          <w:b/>
          <w:bCs/>
          <w:sz w:val="24"/>
        </w:rPr>
        <w:t>）</w:t>
      </w:r>
      <w:r>
        <w:rPr>
          <w:rFonts w:hint="eastAsia" w:ascii="宋体" w:hAnsi="宋体" w:eastAsia="宋体" w:cs="宋体"/>
          <w:sz w:val="24"/>
        </w:rPr>
        <w:t>，并对声明的真实性负责。</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（3）残疾人福利性单位视同小型、微型企业，享受政府采购促进中小企业发展的政府采购政策。符合</w:t>
      </w:r>
      <w:r>
        <w:rPr>
          <w:rFonts w:hint="eastAsia" w:ascii="宋体" w:hAnsi="宋体" w:eastAsia="宋体" w:cs="宋体"/>
          <w:color w:val="auto"/>
          <w:sz w:val="24"/>
        </w:rPr>
        <w:t>要求的供应商</w:t>
      </w:r>
      <w:bookmarkStart w:id="102" w:name="_Hlk69252353"/>
      <w:r>
        <w:rPr>
          <w:rFonts w:hint="eastAsia" w:ascii="宋体" w:hAnsi="宋体" w:eastAsia="宋体" w:cs="宋体"/>
          <w:color w:val="auto"/>
          <w:sz w:val="24"/>
        </w:rPr>
        <w:t>报价将给予10%的价格扣除，用扣除后的价格参与投标报价</w:t>
      </w:r>
      <w:bookmarkEnd w:id="102"/>
      <w:r>
        <w:rPr>
          <w:rFonts w:hint="eastAsia" w:ascii="宋体" w:hAnsi="宋体" w:eastAsia="宋体" w:cs="宋体"/>
          <w:color w:val="auto"/>
          <w:sz w:val="24"/>
        </w:rPr>
        <w:t>的评审，如果中标，则以其原投标报价作为中标价</w:t>
      </w:r>
      <w:r>
        <w:rPr>
          <w:rFonts w:hint="eastAsia" w:ascii="宋体" w:hAnsi="宋体" w:eastAsia="宋体" w:cs="宋体"/>
          <w:sz w:val="24"/>
        </w:rPr>
        <w:t>。</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（4）残疾人福利性单位属于小型、微型企业的，不重复享受政策。</w:t>
      </w:r>
    </w:p>
    <w:p>
      <w:pPr>
        <w:snapToGrid w:val="0"/>
        <w:spacing w:line="420" w:lineRule="exact"/>
        <w:ind w:firstLine="484" w:firstLineChars="202"/>
        <w:rPr>
          <w:rFonts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u w:val="thick" w:color="FF0000"/>
        </w:rPr>
        <w:t>不符合上述要求的供应商，无须提供“残疾人福利性单位声明函”</w:t>
      </w:r>
      <w:r>
        <w:rPr>
          <w:rFonts w:hint="eastAsia" w:ascii="宋体" w:hAnsi="宋体" w:eastAsia="宋体" w:cs="宋体"/>
          <w:sz w:val="24"/>
        </w:rPr>
        <w:t>。</w:t>
      </w:r>
    </w:p>
    <w:p>
      <w:pPr>
        <w:snapToGrid w:val="0"/>
        <w:spacing w:line="420" w:lineRule="exact"/>
        <w:ind w:firstLine="487" w:firstLineChars="202"/>
        <w:outlineLvl w:val="3"/>
        <w:rPr>
          <w:rFonts w:ascii="宋体" w:hAnsi="宋体" w:eastAsia="宋体" w:cs="宋体"/>
          <w:b/>
          <w:bCs/>
          <w:sz w:val="24"/>
        </w:rPr>
      </w:pPr>
      <w:r>
        <w:rPr>
          <w:rFonts w:hint="eastAsia" w:ascii="宋体" w:hAnsi="宋体" w:eastAsia="宋体" w:cs="宋体"/>
          <w:b/>
          <w:bCs/>
          <w:sz w:val="24"/>
        </w:rPr>
        <w:t>3、针对监狱企业的采购政策</w:t>
      </w:r>
    </w:p>
    <w:p>
      <w:pPr>
        <w:snapToGrid w:val="0"/>
        <w:spacing w:line="500" w:lineRule="exact"/>
        <w:ind w:firstLine="470" w:firstLineChars="196"/>
        <w:rPr>
          <w:rFonts w:ascii="宋体" w:hAnsi="宋体" w:eastAsia="宋体" w:cs="宋体"/>
          <w:b/>
          <w:bCs/>
          <w:sz w:val="24"/>
        </w:rPr>
      </w:pPr>
      <w:r>
        <w:rPr>
          <w:rFonts w:hint="eastAsia" w:ascii="宋体" w:hAnsi="宋体" w:eastAsia="宋体" w:cs="宋体"/>
          <w:sz w:val="24"/>
        </w:rPr>
        <w:t>（1）根据《财政部司法部关于政府采购支持监狱企业发展有关问题的通知》（财库〔2014〕68号），监狱企业参加政府采购活动时，应当提供由省级以上监狱管理局、戒毒管理局（含新疆生产建设兵团）出具的，投标单位属于监狱企业的证明文件</w:t>
      </w:r>
      <w:r>
        <w:rPr>
          <w:rFonts w:hint="eastAsia" w:ascii="宋体" w:hAnsi="宋体" w:eastAsia="宋体" w:cs="宋体"/>
          <w:b/>
          <w:bCs/>
          <w:sz w:val="24"/>
        </w:rPr>
        <w:t>（</w:t>
      </w:r>
      <w:r>
        <w:rPr>
          <w:rFonts w:hint="eastAsia" w:ascii="宋体" w:hAnsi="宋体" w:eastAsia="宋体" w:cs="宋体"/>
          <w:b/>
          <w:bCs/>
          <w:sz w:val="24"/>
          <w:u w:val="thick" w:color="FF0000"/>
        </w:rPr>
        <w:t>注：无格式，请自拟。</w:t>
      </w:r>
      <w:r>
        <w:rPr>
          <w:rFonts w:hint="eastAsia" w:ascii="宋体" w:hAnsi="宋体" w:eastAsia="宋体" w:cs="宋体"/>
          <w:b/>
          <w:bCs/>
          <w:sz w:val="24"/>
        </w:rPr>
        <w:t>）</w:t>
      </w:r>
      <w:r>
        <w:rPr>
          <w:rFonts w:hint="eastAsia" w:ascii="宋体" w:hAnsi="宋体" w:eastAsia="宋体" w:cs="宋体"/>
          <w:sz w:val="24"/>
        </w:rPr>
        <w:t>。</w:t>
      </w:r>
    </w:p>
    <w:p>
      <w:pPr>
        <w:snapToGrid w:val="0"/>
        <w:spacing w:line="500" w:lineRule="exact"/>
        <w:ind w:firstLine="470" w:firstLineChars="196"/>
        <w:rPr>
          <w:rFonts w:ascii="宋体" w:hAnsi="宋体" w:eastAsia="宋体" w:cs="宋体"/>
          <w:b/>
          <w:bCs/>
          <w:sz w:val="24"/>
        </w:rPr>
      </w:pPr>
      <w:r>
        <w:rPr>
          <w:rFonts w:hint="eastAsia" w:ascii="宋体" w:hAnsi="宋体" w:eastAsia="宋体" w:cs="宋体"/>
          <w:sz w:val="24"/>
        </w:rPr>
        <w:t>（2）监狱企业视同小型、微型企业，享受政府采购促进中小企业发展的政府采购政策。符合要求的供</w:t>
      </w:r>
      <w:r>
        <w:rPr>
          <w:rFonts w:hint="eastAsia" w:ascii="宋体" w:hAnsi="宋体" w:eastAsia="宋体" w:cs="宋体"/>
          <w:color w:val="auto"/>
          <w:sz w:val="24"/>
        </w:rPr>
        <w:t>应商报价将给予10%的价格</w:t>
      </w:r>
      <w:r>
        <w:rPr>
          <w:rFonts w:hint="eastAsia" w:ascii="宋体" w:hAnsi="宋体" w:eastAsia="宋体" w:cs="宋体"/>
          <w:sz w:val="24"/>
        </w:rPr>
        <w:t>扣除，用扣除后的价格参与投标报价的评审，如果中标，则以其原投标报价作为中标价。</w:t>
      </w:r>
    </w:p>
    <w:p>
      <w:pPr>
        <w:snapToGrid w:val="0"/>
        <w:spacing w:line="500" w:lineRule="exact"/>
        <w:ind w:firstLine="470" w:firstLineChars="196"/>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u w:val="thick" w:color="FF0000"/>
        </w:rPr>
        <w:t>不符合上述要求的投标单位，无须提供“监狱企业的证明文件”</w:t>
      </w:r>
      <w:r>
        <w:rPr>
          <w:rFonts w:hint="eastAsia" w:ascii="宋体" w:hAnsi="宋体" w:eastAsia="宋体" w:cs="宋体"/>
          <w:sz w:val="24"/>
        </w:rPr>
        <w:t>。</w:t>
      </w:r>
    </w:p>
    <w:p>
      <w:pPr>
        <w:snapToGrid w:val="0"/>
        <w:spacing w:line="420" w:lineRule="exact"/>
        <w:ind w:firstLine="487" w:firstLineChars="202"/>
        <w:outlineLvl w:val="3"/>
        <w:rPr>
          <w:rFonts w:ascii="宋体" w:hAnsi="宋体" w:eastAsia="宋体" w:cs="宋体"/>
          <w:sz w:val="24"/>
        </w:rPr>
      </w:pPr>
      <w:r>
        <w:rPr>
          <w:rFonts w:hint="eastAsia" w:ascii="宋体" w:hAnsi="宋体" w:eastAsia="宋体" w:cs="宋体"/>
          <w:b/>
          <w:bCs/>
          <w:sz w:val="24"/>
        </w:rPr>
        <w:t>4、享受政府采购政策的其他约定</w:t>
      </w:r>
    </w:p>
    <w:p>
      <w:pPr>
        <w:snapToGrid w:val="0"/>
        <w:spacing w:line="500" w:lineRule="exact"/>
        <w:ind w:firstLine="470" w:firstLineChars="196"/>
        <w:rPr>
          <w:rFonts w:ascii="宋体" w:hAnsi="宋体" w:eastAsia="宋体" w:cs="宋体"/>
          <w:sz w:val="24"/>
        </w:rPr>
      </w:pPr>
      <w:r>
        <w:rPr>
          <w:rFonts w:hint="eastAsia" w:ascii="宋体" w:hAnsi="宋体" w:eastAsia="宋体" w:cs="宋体"/>
          <w:sz w:val="24"/>
        </w:rPr>
        <w:t>（1）本项目享受中小企业扶持政策的投标单位一旦中标，因提供“中小企业声明函”的行为引发争议和影响本项目采购执行效率，应当按本项目采购单位或采购代理机构的通知，在10工作日内及时提供本项目</w:t>
      </w:r>
      <w:r>
        <w:rPr>
          <w:rFonts w:hint="eastAsia" w:ascii="宋体" w:hAnsi="宋体" w:eastAsia="宋体" w:cs="宋体"/>
          <w:b/>
          <w:bCs/>
          <w:sz w:val="24"/>
          <w:u w:val="single"/>
        </w:rPr>
        <w:t>服务内容</w:t>
      </w:r>
      <w:r>
        <w:rPr>
          <w:rFonts w:hint="eastAsia" w:ascii="宋体" w:hAnsi="宋体" w:eastAsia="宋体" w:cs="宋体"/>
          <w:sz w:val="24"/>
        </w:rPr>
        <w:t>各个供应商出具的该企业注册登记所在地的县级以上人民政府中小企业主管部门认定该是小型、微型企业的证明原件，用以核对，逾期未提供的则视作提供的“中小企业声明函”内容不实，且该情形属于以提供虚假材料谋取中标；中标人的该行为将报请政府采购监管的财政部门，按《中华人民共和国政府采购法》第七十七条第一款的规定处理，其中标无效。</w:t>
      </w:r>
    </w:p>
    <w:p>
      <w:pPr>
        <w:snapToGrid w:val="0"/>
        <w:spacing w:line="500" w:lineRule="exact"/>
        <w:ind w:firstLine="470" w:firstLineChars="196"/>
        <w:rPr>
          <w:rFonts w:ascii="宋体" w:hAnsi="宋体" w:eastAsia="宋体" w:cs="宋体"/>
          <w:sz w:val="24"/>
        </w:rPr>
      </w:pPr>
      <w:r>
        <w:rPr>
          <w:rFonts w:hint="eastAsia" w:ascii="宋体" w:hAnsi="宋体" w:eastAsia="宋体" w:cs="宋体"/>
          <w:sz w:val="24"/>
        </w:rPr>
        <w:t>（2）本项目享受中小企业扶持政策的投标单位一旦中标，因提供“残疾人福利性单位声明函”的行为引发争议和影响本项目采购执行效率，应当按本项目采购单位或采购代理机构的通知，在10个工作日内及时提供</w:t>
      </w:r>
      <w:r>
        <w:rPr>
          <w:rFonts w:hint="eastAsia" w:ascii="宋体" w:hAnsi="宋体" w:eastAsia="宋体" w:cs="宋体"/>
          <w:b/>
          <w:bCs/>
          <w:sz w:val="24"/>
          <w:u w:val="single"/>
        </w:rPr>
        <w:t>“享受政府采购支持政策的残疾人福利性单位应当同时满足条件）”</w:t>
      </w:r>
      <w:r>
        <w:rPr>
          <w:rFonts w:hint="eastAsia" w:ascii="宋体" w:hAnsi="宋体" w:eastAsia="宋体" w:cs="宋体"/>
          <w:sz w:val="24"/>
        </w:rPr>
        <w:t>的全部证明材料的原件，用以核对，逾期未提供的则视作提供的“残疾人福利性单位声明函”内容不实，且该情形属于以提供虚假材料谋取中标；中标人的该行为将报请政府采购监管的财政部门，按《中华人民共和国政府采购法》第七十七条第一款的规定处理，其中标无效。</w:t>
      </w:r>
    </w:p>
    <w:p>
      <w:pPr>
        <w:snapToGrid w:val="0"/>
        <w:spacing w:line="500" w:lineRule="exact"/>
        <w:ind w:firstLine="470" w:firstLineChars="196"/>
        <w:rPr>
          <w:rFonts w:ascii="宋体" w:hAnsi="宋体" w:eastAsia="宋体" w:cs="宋体"/>
          <w:sz w:val="24"/>
        </w:rPr>
      </w:pPr>
      <w:r>
        <w:rPr>
          <w:rFonts w:hint="eastAsia" w:ascii="宋体" w:hAnsi="宋体" w:eastAsia="宋体" w:cs="宋体"/>
          <w:sz w:val="24"/>
        </w:rPr>
        <w:t>（3）本项目享受中小企业扶持政策的投标单位一旦中标，因提供“监狱企业的证明文件”的行为引发争议和影响本项目采购执行效率，应当按本项目采购单位或采购代理机构的通知，在10个工作日内及时提供本项目</w:t>
      </w:r>
      <w:r>
        <w:rPr>
          <w:rFonts w:hint="eastAsia" w:ascii="宋体" w:hAnsi="宋体" w:eastAsia="宋体" w:cs="宋体"/>
          <w:b/>
          <w:bCs/>
          <w:sz w:val="24"/>
          <w:u w:val="single"/>
        </w:rPr>
        <w:t>服务内容</w:t>
      </w:r>
      <w:r>
        <w:rPr>
          <w:rFonts w:hint="eastAsia" w:ascii="宋体" w:hAnsi="宋体" w:eastAsia="宋体" w:cs="宋体"/>
          <w:sz w:val="24"/>
        </w:rPr>
        <w:t>产权为属于司法部监狱管理局、戒毒管理局、直属煤矿管理局，各省、自治区、直辖市监狱管理局、戒毒管理局，各地（设区的市）监狱、强制隔离戒毒所、戒毒康复所，以及新疆生产建设兵团监狱管理局、戒毒管理局企业的证明材料原件，用以核对，逾期未提供的则视作提供的“监狱企业的证明文件”内容不实，且该情形属于以提供虚假材料谋取中标；中标供应商的该行为将报请政府采购监管的财政部门，按《中华人民共和国政府采购法》第七十七条第一款的规定处理，其中标无效。</w:t>
      </w:r>
    </w:p>
    <w:p>
      <w:pPr>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1、未按时交纳磋商保证金或金额不足的；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1、竞争性磋商结束后，招标采购人将成交结果在指定媒体上公示1个工作日。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103"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103"/>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104" w:name="_Toc94585343"/>
      <w:bookmarkStart w:id="105" w:name="_Toc363573858"/>
      <w:r>
        <w:rPr>
          <w:rFonts w:hint="eastAsia" w:hAnsi="宋体" w:eastAsia="宋体"/>
          <w:sz w:val="24"/>
          <w:szCs w:val="24"/>
        </w:rPr>
        <w:t>一、成交供应商在接到《成交通知书》后3</w:t>
      </w:r>
      <w:r>
        <w:rPr>
          <w:rFonts w:hAnsi="宋体" w:eastAsia="宋体"/>
          <w:sz w:val="24"/>
          <w:szCs w:val="24"/>
        </w:rPr>
        <w:t>0</w:t>
      </w:r>
      <w:r>
        <w:rPr>
          <w:rFonts w:hint="eastAsia" w:hAnsi="宋体" w:eastAsia="宋体"/>
          <w:sz w:val="24"/>
          <w:szCs w:val="24"/>
        </w:rPr>
        <w:t>日内与采购人签订合同。合同签订后成交供应商方可履约，否则引起的一切后果由成交人自行承担。合同一式四份（采购人、供应商各两份）。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06" w:name="OLE_LINK1"/>
      <w:bookmarkStart w:id="107" w:name="OLE_LINK2"/>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06"/>
      <w:bookmarkEnd w:id="107"/>
      <w:r>
        <w:rPr>
          <w:rFonts w:hint="eastAsia" w:hAnsi="宋体" w:eastAsia="宋体"/>
          <w:sz w:val="24"/>
          <w:szCs w:val="24"/>
        </w:rPr>
        <w:t>。</w:t>
      </w:r>
    </w:p>
    <w:p>
      <w:pPr>
        <w:spacing w:line="360" w:lineRule="auto"/>
        <w:ind w:firstLine="480" w:firstLineChars="200"/>
        <w:rPr>
          <w:rFonts w:hAnsi="宋体" w:eastAsia="宋体"/>
          <w:sz w:val="24"/>
          <w:szCs w:val="24"/>
        </w:rPr>
      </w:pPr>
      <w:r>
        <w:rPr>
          <w:rFonts w:hint="eastAsia" w:hAnsi="宋体" w:eastAsia="宋体"/>
          <w:sz w:val="24"/>
          <w:szCs w:val="24"/>
        </w:rPr>
        <w:t>五、</w:t>
      </w:r>
      <w:r>
        <w:rPr>
          <w:rFonts w:hAnsi="宋体" w:eastAsia="宋体"/>
          <w:sz w:val="24"/>
          <w:szCs w:val="24"/>
        </w:rPr>
        <w:t>每次采购</w:t>
      </w:r>
      <w:r>
        <w:rPr>
          <w:rFonts w:hint="eastAsia" w:hAnsi="宋体" w:eastAsia="宋体"/>
          <w:sz w:val="24"/>
          <w:szCs w:val="24"/>
        </w:rPr>
        <w:t>人</w:t>
      </w:r>
      <w:r>
        <w:rPr>
          <w:rFonts w:hAnsi="宋体" w:eastAsia="宋体"/>
          <w:sz w:val="24"/>
          <w:szCs w:val="24"/>
        </w:rPr>
        <w:t>付款前，</w:t>
      </w:r>
      <w:r>
        <w:rPr>
          <w:rFonts w:hint="eastAsia" w:hAnsi="宋体" w:eastAsia="宋体"/>
          <w:kern w:val="0"/>
          <w:sz w:val="24"/>
          <w:szCs w:val="24"/>
          <w:lang w:val="zh-CN"/>
        </w:rPr>
        <w:t>成交供应商</w:t>
      </w:r>
      <w:r>
        <w:rPr>
          <w:rFonts w:hAnsi="宋体" w:eastAsia="宋体"/>
          <w:sz w:val="24"/>
          <w:szCs w:val="24"/>
        </w:rPr>
        <w:t>根据结算金额按国家有关财税规定开出合法发票交采购</w:t>
      </w:r>
      <w:r>
        <w:rPr>
          <w:rFonts w:hint="eastAsia" w:hAnsi="宋体" w:eastAsia="宋体"/>
          <w:sz w:val="24"/>
          <w:szCs w:val="24"/>
        </w:rPr>
        <w:t>人</w:t>
      </w:r>
      <w:r>
        <w:rPr>
          <w:rFonts w:hAnsi="宋体" w:eastAsia="宋体"/>
          <w:sz w:val="24"/>
          <w:szCs w:val="24"/>
        </w:rPr>
        <w:t>办理付款手续。</w:t>
      </w:r>
    </w:p>
    <w:p>
      <w:pPr>
        <w:pStyle w:val="77"/>
      </w:pPr>
    </w:p>
    <w:p>
      <w:pPr>
        <w:widowControl/>
        <w:jc w:val="left"/>
        <w:rPr>
          <w:rFonts w:ascii="宋体" w:hAnsi="宋体" w:eastAsia="宋体" w:cs="宋体"/>
          <w:b/>
          <w:sz w:val="24"/>
          <w:szCs w:val="22"/>
        </w:rPr>
      </w:pP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bookmarkEnd w:id="104"/>
    <w:bookmarkEnd w:id="105"/>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bookmarkStart w:id="108" w:name="_Toc363573859"/>
      <w:r>
        <w:rPr>
          <w:rFonts w:hint="eastAsia" w:asciiTheme="majorEastAsia" w:hAnsiTheme="majorEastAsia" w:eastAsiaTheme="majorEastAsia" w:cstheme="minorEastAsia"/>
          <w:b/>
          <w:w w:val="80"/>
          <w:sz w:val="36"/>
          <w:szCs w:val="36"/>
        </w:rPr>
        <w:t>第六章 质疑与投诉</w:t>
      </w:r>
      <w:bookmarkEnd w:id="108"/>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供应商不得进行不提供相关佐证材料（含无法查实的如宣传册、媒体报道、猜测、推理等）而向有关部门的举报，否则对其在1至3年内禁入由采购单位组织的政府采购活动。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供应商进行质疑后，采购人回复质疑不成立，质疑人仍进行投诉的，并最终投诉不成立的，采购单位有权对其在1至3年内禁入由采购单位组织的政府采购活动。</w:t>
      </w:r>
    </w:p>
    <w:p>
      <w:pPr>
        <w:pStyle w:val="2"/>
        <w:ind w:left="520" w:firstLine="518"/>
        <w:rPr>
          <w:rFonts w:asciiTheme="majorEastAsia" w:hAnsiTheme="majorEastAsia" w:eastAsiaTheme="majorEastAsia" w:cstheme="minorEastAsia"/>
          <w:b/>
          <w:w w:val="80"/>
          <w:sz w:val="32"/>
          <w:szCs w:val="32"/>
        </w:rPr>
      </w:pPr>
      <w:bookmarkStart w:id="109" w:name="_Toc363573860"/>
    </w:p>
    <w:p>
      <w:pPr>
        <w:pStyle w:val="2"/>
        <w:ind w:left="520" w:firstLine="560"/>
        <w:rPr>
          <w:rFonts w:asciiTheme="majorEastAsia" w:hAnsiTheme="majorEastAsia" w:eastAsiaTheme="majorEastAsia"/>
        </w:rPr>
      </w:pPr>
    </w:p>
    <w:p>
      <w:pPr>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09"/>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、提供企业法人或者其他组织的营业执照等证明文件复印件。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2、提供2021年度</w:t>
      </w:r>
      <w:r>
        <w:rPr>
          <w:rFonts w:hint="eastAsia" w:asciiTheme="majorEastAsia" w:hAnsiTheme="majorEastAsia" w:eastAsiaTheme="majorEastAsia" w:cstheme="minorEastAsia"/>
          <w:sz w:val="24"/>
          <w:szCs w:val="24"/>
          <w:lang w:val="en-US" w:eastAsia="zh-CN"/>
        </w:rPr>
        <w:t>有效</w:t>
      </w:r>
      <w:r>
        <w:rPr>
          <w:rFonts w:hint="eastAsia" w:asciiTheme="majorEastAsia" w:hAnsiTheme="majorEastAsia" w:eastAsiaTheme="majorEastAsia" w:cstheme="minorEastAsia"/>
          <w:sz w:val="24"/>
          <w:szCs w:val="24"/>
        </w:rPr>
        <w:t>的财务状况报告复印件（成立不满一年不需提供）。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3、提供2021年</w:t>
      </w:r>
      <w:r>
        <w:rPr>
          <w:rFonts w:hint="eastAsia" w:asciiTheme="majorEastAsia" w:hAnsiTheme="majorEastAsia" w:eastAsiaTheme="majorEastAsia" w:cstheme="minorEastAsia"/>
          <w:sz w:val="24"/>
          <w:szCs w:val="24"/>
          <w:lang w:val="en-US" w:eastAsia="zh-CN"/>
        </w:rPr>
        <w:t>9</w:t>
      </w:r>
      <w:r>
        <w:rPr>
          <w:rFonts w:hint="eastAsia" w:asciiTheme="majorEastAsia" w:hAnsiTheme="majorEastAsia" w:eastAsiaTheme="majorEastAsia" w:cstheme="minorEastAsia"/>
          <w:sz w:val="24"/>
          <w:szCs w:val="24"/>
        </w:rPr>
        <w:t>月1日以来任意1个月的依法缴纳税收和社会保障资金的相关材料复印件。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4、具有履行合同所必需的设备和专业技术能力（格式见第七章）。</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5、提供参与本次项目采购活动前三年内在经营活动中没有重大违法记录的书面《无重大违法记录声明函》（格式见第七章）。</w:t>
      </w:r>
    </w:p>
    <w:p>
      <w:pPr>
        <w:snapToGrid w:val="0"/>
        <w:spacing w:line="360" w:lineRule="auto"/>
        <w:ind w:firstLine="480" w:firstLineChars="200"/>
      </w:pPr>
      <w:r>
        <w:rPr>
          <w:rFonts w:hint="eastAsia" w:asciiTheme="majorEastAsia" w:hAnsiTheme="majorEastAsia" w:eastAsiaTheme="majorEastAsia" w:cstheme="minorEastAsia"/>
          <w:sz w:val="24"/>
          <w:szCs w:val="24"/>
        </w:rPr>
        <w:t>6、关于资格文件的声明函（格式见第七章）。</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w:t>
      </w:r>
      <w:r>
        <w:rPr>
          <w:rFonts w:hint="eastAsia" w:asciiTheme="majorEastAsia" w:hAnsiTheme="majorEastAsia" w:eastAsiaTheme="majorEastAsia" w:cstheme="minorEastAsia"/>
          <w:sz w:val="24"/>
          <w:szCs w:val="24"/>
          <w:lang w:val="zh-CN"/>
        </w:rPr>
        <w:t>投标人法定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r>
        <w:rPr>
          <w:rFonts w:hint="eastAsia" w:asciiTheme="majorEastAsia" w:hAnsiTheme="majorEastAsia" w:eastAsiaTheme="majorEastAsia" w:cstheme="minorEastAsia"/>
          <w:sz w:val="24"/>
          <w:szCs w:val="24"/>
        </w:rPr>
        <w:t>（格式见第七章）</w:t>
      </w:r>
      <w:r>
        <w:rPr>
          <w:rFonts w:hint="eastAsia" w:asciiTheme="majorEastAsia" w:hAnsiTheme="majorEastAsia" w:eastAsiaTheme="majorEastAsia" w:cstheme="minorEastAsia"/>
          <w:sz w:val="24"/>
          <w:szCs w:val="24"/>
          <w:lang w:val="zh-CN"/>
        </w:rPr>
        <w:t>。</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B、技术响应文件：（一个密封包，内含：1份“正本”和2份“副本”。）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细则，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报价响应文件中的报价，包括本竞争性磋商文件规定涵盖的所有采购范围及相应说明的全部内容涉及到的费用。本次磋商采购项目的付款方式要求，必须全部响应不得有任何负偏离，且不接受任何意在更改的说明，否则作无效磋商处理。供应商成交后如据此提出疑义，不履行签订合同等下一步工作，采购人有权取消其成交资格。</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3、磋商响应报价明细表（格式参见附件）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4、小型、微型企业声明函（若有）（格式参见附件）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5、残疾人福利性单位声明函（若有）（格式参见附件）</w:t>
      </w:r>
    </w:p>
    <w:p>
      <w:pPr>
        <w:spacing w:line="360" w:lineRule="exact"/>
        <w:jc w:val="center"/>
        <w:rPr>
          <w:rFonts w:asciiTheme="majorEastAsia" w:hAnsiTheme="majorEastAsia" w:eastAsiaTheme="majorEastAsia" w:cstheme="minorEastAsia"/>
          <w:w w:val="80"/>
          <w:kern w:val="44"/>
          <w:sz w:val="21"/>
          <w:szCs w:val="21"/>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7" w:firstLineChars="202"/>
        <w:rPr>
          <w:rFonts w:asciiTheme="majorEastAsia" w:hAnsiTheme="majorEastAsia" w:eastAsiaTheme="majorEastAsia" w:cstheme="minorEastAsia"/>
          <w:b/>
          <w:sz w:val="24"/>
          <w:szCs w:val="24"/>
        </w:rPr>
      </w:pPr>
    </w:p>
    <w:p>
      <w:pPr>
        <w:adjustRightInd w:val="0"/>
        <w:snapToGrid w:val="0"/>
        <w:spacing w:line="360" w:lineRule="auto"/>
        <w:outlineLvl w:val="1"/>
        <w:rPr>
          <w:rFonts w:hint="eastAsia" w:asciiTheme="majorEastAsia" w:hAnsiTheme="majorEastAsia" w:eastAsiaTheme="majorEastAsia" w:cstheme="minorEastAsia"/>
          <w:b/>
          <w:sz w:val="24"/>
          <w:szCs w:val="24"/>
        </w:rPr>
      </w:pPr>
    </w:p>
    <w:p>
      <w:pPr>
        <w:adjustRightInd w:val="0"/>
        <w:snapToGrid w:val="0"/>
        <w:spacing w:line="360" w:lineRule="auto"/>
        <w:outlineLvl w:val="1"/>
        <w:rPr>
          <w:rFonts w:hint="eastAsia" w:asciiTheme="majorEastAsia" w:hAnsiTheme="majorEastAsia" w:eastAsiaTheme="majorEastAsia" w:cstheme="minorEastAsia"/>
          <w:b/>
          <w:sz w:val="24"/>
          <w:szCs w:val="24"/>
        </w:rPr>
      </w:pPr>
    </w:p>
    <w:p>
      <w:pPr>
        <w:rPr>
          <w:rFonts w:hint="eastAsia"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br w:type="page"/>
      </w: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rPr>
          <w:rFonts w:hint="eastAsia" w:ascii="等线" w:hAnsi="等线" w:eastAsia="等线" w:cs="等线"/>
          <w:b/>
          <w:color w:val="000000"/>
          <w:sz w:val="24"/>
          <w:szCs w:val="24"/>
        </w:rPr>
      </w:pPr>
    </w:p>
    <w:p>
      <w:pPr>
        <w:spacing w:line="360" w:lineRule="auto"/>
        <w:jc w:val="center"/>
        <w:rPr>
          <w:rFonts w:hint="eastAsia" w:ascii="宋体" w:hAnsi="宋体" w:eastAsia="宋体" w:cs="宋体"/>
          <w:sz w:val="28"/>
          <w:szCs w:val="28"/>
        </w:rPr>
      </w:pPr>
      <w:bookmarkStart w:id="110" w:name="_Toc482189588"/>
      <w:bookmarkEnd w:id="110"/>
      <w:bookmarkStart w:id="111" w:name="_Toc482192402"/>
      <w:r>
        <w:rPr>
          <w:rFonts w:hint="eastAsia" w:ascii="宋体" w:hAnsi="宋体" w:eastAsia="宋体" w:cs="宋体"/>
          <w:sz w:val="28"/>
          <w:szCs w:val="28"/>
        </w:rPr>
        <w:t>封面</w:t>
      </w:r>
      <w:bookmarkEnd w:id="111"/>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竞争性磋商供应商响应文件</w:t>
      </w:r>
    </w:p>
    <w:p>
      <w:pPr>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w:t>
      </w:r>
      <w:r>
        <w:rPr>
          <w:rFonts w:hint="eastAsia" w:ascii="宋体" w:hAnsi="宋体" w:eastAsia="宋体" w:cs="宋体"/>
          <w:b/>
          <w:sz w:val="24"/>
        </w:rPr>
        <w:t>资格后审</w:t>
      </w:r>
      <w:r>
        <w:rPr>
          <w:rFonts w:hint="eastAsia" w:ascii="宋体" w:hAnsi="宋体" w:eastAsia="宋体" w:cs="宋体"/>
          <w:b/>
          <w:bCs/>
          <w:kern w:val="0"/>
          <w:sz w:val="28"/>
          <w:szCs w:val="28"/>
        </w:rPr>
        <w:t>）</w:t>
      </w:r>
    </w:p>
    <w:p>
      <w:pPr>
        <w:pStyle w:val="2"/>
        <w:ind w:firstLine="720"/>
        <w:rPr>
          <w:rFonts w:hint="eastAsia" w:ascii="宋体" w:hAnsi="宋体" w:eastAsia="宋体" w:cs="宋体"/>
          <w:b/>
          <w:bCs/>
          <w:sz w:val="36"/>
          <w:szCs w:val="36"/>
        </w:rPr>
      </w:pPr>
    </w:p>
    <w:p>
      <w:pPr>
        <w:pStyle w:val="2"/>
        <w:ind w:firstLine="720"/>
        <w:rPr>
          <w:rFonts w:hint="eastAsia" w:ascii="宋体" w:hAnsi="宋体" w:eastAsia="宋体" w:cs="宋体"/>
          <w:b/>
          <w:bCs/>
          <w:sz w:val="36"/>
          <w:szCs w:val="36"/>
        </w:rPr>
      </w:pPr>
    </w:p>
    <w:p>
      <w:pPr>
        <w:spacing w:line="360" w:lineRule="auto"/>
        <w:jc w:val="center"/>
        <w:rPr>
          <w:rFonts w:hint="eastAsia" w:ascii="宋体" w:hAnsi="宋体" w:eastAsia="宋体" w:cs="宋体"/>
          <w:b/>
          <w:bCs/>
          <w:kern w:val="0"/>
          <w:sz w:val="24"/>
          <w:szCs w:val="24"/>
        </w:rPr>
      </w:pPr>
    </w:p>
    <w:p>
      <w:pPr>
        <w:spacing w:line="360" w:lineRule="auto"/>
        <w:ind w:firstLine="1920" w:firstLineChars="800"/>
        <w:rPr>
          <w:rFonts w:hint="eastAsia" w:ascii="宋体" w:hAnsi="宋体" w:eastAsia="宋体" w:cs="宋体"/>
          <w:sz w:val="24"/>
        </w:rPr>
      </w:pPr>
      <w:r>
        <w:rPr>
          <w:rFonts w:hint="eastAsia" w:ascii="宋体" w:hAnsi="宋体" w:eastAsia="宋体" w:cs="宋体"/>
          <w:sz w:val="24"/>
        </w:rPr>
        <w:t>对应投标文件填写：资格审查文件</w:t>
      </w:r>
    </w:p>
    <w:p>
      <w:pPr>
        <w:spacing w:line="360" w:lineRule="auto"/>
        <w:ind w:firstLine="1920" w:firstLineChars="800"/>
        <w:rPr>
          <w:rFonts w:hint="eastAsia" w:ascii="宋体" w:hAnsi="宋体" w:eastAsia="宋体" w:cs="宋体"/>
          <w:sz w:val="24"/>
        </w:rPr>
      </w:pPr>
      <w:r>
        <w:rPr>
          <w:rFonts w:hint="eastAsia" w:ascii="宋体" w:hAnsi="宋体" w:eastAsia="宋体" w:cs="宋体"/>
          <w:sz w:val="24"/>
        </w:rPr>
        <w:t>对应投标文件填写：技术标文件</w:t>
      </w:r>
    </w:p>
    <w:p>
      <w:pPr>
        <w:spacing w:line="360" w:lineRule="auto"/>
        <w:ind w:firstLine="1920" w:firstLineChars="800"/>
        <w:rPr>
          <w:rFonts w:hint="eastAsia" w:ascii="宋体" w:hAnsi="宋体" w:eastAsia="宋体" w:cs="宋体"/>
          <w:sz w:val="24"/>
        </w:rPr>
      </w:pPr>
      <w:r>
        <w:rPr>
          <w:rFonts w:hint="eastAsia" w:ascii="宋体" w:hAnsi="宋体" w:eastAsia="宋体" w:cs="宋体"/>
          <w:sz w:val="24"/>
        </w:rPr>
        <w:t>对应投标文件填写：报价响应文件</w:t>
      </w:r>
    </w:p>
    <w:p>
      <w:pPr>
        <w:spacing w:line="360" w:lineRule="auto"/>
        <w:jc w:val="center"/>
        <w:rPr>
          <w:rFonts w:hint="eastAsia" w:ascii="宋体" w:hAnsi="宋体" w:eastAsia="宋体" w:cs="宋体"/>
          <w:b/>
          <w:bCs/>
          <w:sz w:val="24"/>
          <w:szCs w:val="24"/>
        </w:rPr>
      </w:pPr>
    </w:p>
    <w:p>
      <w:pPr>
        <w:spacing w:line="360" w:lineRule="auto"/>
        <w:ind w:firstLine="843" w:firstLineChars="300"/>
        <w:jc w:val="left"/>
        <w:rPr>
          <w:rFonts w:hint="eastAsia" w:ascii="宋体" w:hAnsi="宋体" w:eastAsia="宋体" w:cs="宋体"/>
          <w:b/>
          <w:bCs/>
          <w:sz w:val="28"/>
          <w:szCs w:val="28"/>
        </w:rPr>
      </w:pPr>
    </w:p>
    <w:p>
      <w:pPr>
        <w:pStyle w:val="2"/>
        <w:ind w:firstLine="560"/>
        <w:rPr>
          <w:rFonts w:hint="eastAsia" w:ascii="宋体" w:hAnsi="宋体" w:eastAsia="宋体" w:cs="宋体"/>
          <w:b/>
          <w:bCs/>
          <w:sz w:val="28"/>
          <w:szCs w:val="28"/>
        </w:rPr>
      </w:pPr>
    </w:p>
    <w:p>
      <w:pPr>
        <w:pStyle w:val="2"/>
        <w:ind w:firstLine="560"/>
        <w:rPr>
          <w:rFonts w:hint="eastAsia" w:ascii="宋体" w:hAnsi="宋体" w:eastAsia="宋体" w:cs="宋体"/>
          <w:b/>
          <w:bCs/>
          <w:sz w:val="28"/>
          <w:szCs w:val="28"/>
        </w:rPr>
      </w:pPr>
    </w:p>
    <w:p>
      <w:pPr>
        <w:spacing w:line="360" w:lineRule="auto"/>
        <w:ind w:firstLine="843" w:firstLineChars="300"/>
        <w:jc w:val="left"/>
        <w:rPr>
          <w:rFonts w:hint="eastAsia" w:ascii="宋体" w:hAnsi="宋体" w:eastAsia="宋体" w:cs="宋体"/>
          <w:b/>
          <w:bCs/>
          <w:sz w:val="28"/>
          <w:szCs w:val="28"/>
        </w:rPr>
      </w:pP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投标供应商：参加投标供应商全称（公章）</w:t>
      </w: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姓名：性别：年龄：职务：</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手机：传真：</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被授权人的姓名）代表我公司参加（项目名称）项目的政府采购活动，全权处理一切与该项目招标有关的事务。其在办理上述事宜过程中所签署的所有文件我公司均予以承认。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 性别：年龄：职务：</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p>
    <w:p>
      <w:pPr>
        <w:spacing w:line="480" w:lineRule="exact"/>
        <w:rPr>
          <w:rFonts w:ascii="宋体" w:hAnsi="宋体" w:eastAsia="宋体" w:cs="宋体"/>
          <w:sz w:val="24"/>
          <w:szCs w:val="24"/>
        </w:rPr>
      </w:pPr>
      <w:r>
        <w:rPr>
          <w:rFonts w:hint="eastAsia" w:ascii="宋体" w:hAnsi="宋体" w:eastAsia="宋体" w:cs="宋体"/>
          <w:sz w:val="24"/>
          <w:szCs w:val="24"/>
        </w:rPr>
        <w:t>手机：传真：</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参加本项目采购活动前3年内在经营活动中</w:t>
      </w:r>
      <w:r>
        <w:rPr>
          <w:rFonts w:hint="eastAsia" w:ascii="宋体" w:hAnsi="宋体" w:eastAsia="宋体" w:cs="宋体"/>
          <w:sz w:val="24"/>
          <w:szCs w:val="24"/>
          <w:u w:val="single"/>
        </w:rPr>
        <w:t>（在下划线上如实填写：有或没有）</w:t>
      </w:r>
      <w:r>
        <w:rPr>
          <w:rFonts w:hint="eastAsia" w:ascii="宋体" w:hAnsi="宋体" w:eastAsia="宋体" w:cs="宋体"/>
          <w:sz w:val="24"/>
          <w:szCs w:val="24"/>
        </w:rPr>
        <w:t>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10"/>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（项目名称)</w:t>
      </w:r>
      <w:r>
        <w:rPr>
          <w:rFonts w:hint="eastAsia" w:ascii="宋体" w:hAnsi="宋体" w:eastAsia="宋体" w:cs="宋体"/>
          <w:bCs/>
          <w:szCs w:val="24"/>
        </w:rPr>
        <w:t>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360" w:lineRule="auto"/>
        <w:rPr>
          <w:rFonts w:ascii="宋体" w:hAnsi="宋体" w:eastAsia="宋体" w:cs="宋体"/>
          <w:bCs/>
          <w:szCs w:val="24"/>
        </w:rPr>
      </w:pP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0"/>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81"/>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380"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31"/>
        <w:gridCol w:w="862"/>
        <w:gridCol w:w="371"/>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4322" w:type="pct"/>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pct"/>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3858" w:type="pct"/>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309" w:type="pct"/>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51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771" w:type="pct"/>
            <w:vAlign w:val="center"/>
          </w:tcPr>
          <w:p>
            <w:pPr>
              <w:tabs>
                <w:tab w:val="left" w:pos="4320"/>
              </w:tabs>
              <w:rPr>
                <w:rFonts w:ascii="宋体" w:hAnsi="宋体" w:eastAsia="宋体"/>
                <w:sz w:val="24"/>
                <w:szCs w:val="24"/>
              </w:rPr>
            </w:pPr>
          </w:p>
        </w:tc>
        <w:tc>
          <w:tcPr>
            <w:tcW w:w="64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842" w:type="pct"/>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309" w:type="pct"/>
            <w:vMerge w:val="continue"/>
            <w:vAlign w:val="center"/>
          </w:tcPr>
          <w:p>
            <w:pPr>
              <w:tabs>
                <w:tab w:val="left" w:pos="4320"/>
              </w:tabs>
              <w:rPr>
                <w:rFonts w:ascii="宋体" w:hAnsi="宋体" w:eastAsia="宋体"/>
                <w:sz w:val="24"/>
                <w:szCs w:val="24"/>
              </w:rPr>
            </w:pPr>
          </w:p>
        </w:tc>
        <w:tc>
          <w:tcPr>
            <w:tcW w:w="516" w:type="pct"/>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773" w:type="pct"/>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896" w:type="pct"/>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882" w:type="pct"/>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516" w:type="pct"/>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2260" w:type="pct"/>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2295" w:type="pct"/>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446" w:type="pct"/>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2295" w:type="pct"/>
            <w:gridSpan w:val="6"/>
            <w:tcBorders>
              <w:bottom w:val="double" w:color="auto" w:sz="4" w:space="0"/>
            </w:tcBorders>
            <w:vAlign w:val="center"/>
          </w:tcPr>
          <w:p>
            <w:pPr>
              <w:tabs>
                <w:tab w:val="left" w:pos="4320"/>
              </w:tabs>
              <w:rPr>
                <w:rFonts w:ascii="宋体" w:hAnsi="宋体" w:eastAsia="宋体"/>
                <w:sz w:val="24"/>
                <w:szCs w:val="24"/>
              </w:rPr>
            </w:pPr>
          </w:p>
        </w:tc>
        <w:tc>
          <w:tcPr>
            <w:tcW w:w="2260" w:type="pct"/>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380"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6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72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15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155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809"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721" w:type="pct"/>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31"/>
        <w:snapToGrid w:val="0"/>
        <w:spacing w:line="300" w:lineRule="auto"/>
        <w:contextualSpacing/>
        <w:rPr>
          <w:rFonts w:hAnsi="宋体" w:eastAsia="宋体"/>
          <w:b/>
          <w:sz w:val="24"/>
          <w:szCs w:val="24"/>
        </w:rPr>
      </w:pPr>
      <w:r>
        <w:rPr>
          <w:rFonts w:hint="eastAsia" w:hAnsi="宋体" w:eastAsia="宋体"/>
          <w:b/>
          <w:sz w:val="24"/>
          <w:szCs w:val="24"/>
        </w:rPr>
        <w:t>注：</w:t>
      </w:r>
    </w:p>
    <w:p>
      <w:pPr>
        <w:pStyle w:val="31"/>
        <w:snapToGrid w:val="0"/>
        <w:spacing w:line="300" w:lineRule="auto"/>
        <w:ind w:firstLine="480" w:firstLineChars="200"/>
        <w:contextualSpacing/>
        <w:rPr>
          <w:rFonts w:hAnsi="宋体" w:eastAsia="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31"/>
        <w:snapToGrid w:val="0"/>
        <w:spacing w:line="300" w:lineRule="auto"/>
        <w:ind w:firstLine="480" w:firstLineChars="200"/>
        <w:contextualSpacing/>
        <w:rPr>
          <w:rFonts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pStyle w:val="31"/>
        <w:snapToGrid w:val="0"/>
        <w:spacing w:line="300" w:lineRule="auto"/>
        <w:ind w:firstLine="480" w:firstLineChars="200"/>
        <w:contextualSpacing/>
        <w:rPr>
          <w:rFonts w:hAnsi="宋体" w:eastAsia="宋体"/>
          <w:sz w:val="24"/>
          <w:szCs w:val="24"/>
        </w:rPr>
      </w:pPr>
      <w:r>
        <w:rPr>
          <w:rFonts w:hint="eastAsia" w:hAnsi="宋体" w:eastAsia="宋体"/>
          <w:sz w:val="24"/>
          <w:szCs w:val="24"/>
        </w:rPr>
        <w:t>3、供应商若提供其他增值服务，可以在表中自行据实填写。</w:t>
      </w:r>
    </w:p>
    <w:p>
      <w:pPr>
        <w:widowControl/>
        <w:jc w:val="left"/>
        <w:rPr>
          <w:rFonts w:ascii="宋体" w:hAnsi="宋体" w:eastAsia="宋体"/>
          <w:b/>
          <w:sz w:val="28"/>
          <w:szCs w:val="28"/>
        </w:rPr>
      </w:pPr>
      <w:r>
        <w:rPr>
          <w:rFonts w:ascii="宋体" w:hAnsi="宋体" w:eastAsia="宋体"/>
          <w:b/>
          <w:sz w:val="28"/>
          <w:szCs w:val="28"/>
        </w:rPr>
        <w:br w:type="page"/>
      </w:r>
    </w:p>
    <w:p>
      <w:pPr>
        <w:snapToGrid w:val="0"/>
        <w:spacing w:after="190"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（磋商项目名称)</w:t>
      </w:r>
      <w:r>
        <w:rPr>
          <w:rFonts w:hint="eastAsia" w:ascii="宋体" w:hAnsi="宋体" w:eastAsia="宋体" w:cs="宋体"/>
          <w:sz w:val="24"/>
          <w:szCs w:val="24"/>
        </w:rPr>
        <w:t>项目竞争性磋商的邀请，我方授权</w:t>
      </w:r>
      <w:r>
        <w:rPr>
          <w:rFonts w:hint="eastAsia" w:ascii="宋体" w:hAnsi="宋体" w:eastAsia="宋体" w:cs="宋体"/>
          <w:sz w:val="24"/>
          <w:szCs w:val="24"/>
          <w:u w:val="single"/>
        </w:rPr>
        <w:t>（姓名）（职务）</w:t>
      </w:r>
      <w:r>
        <w:rPr>
          <w:rFonts w:hint="eastAsia" w:ascii="宋体" w:hAnsi="宋体" w:eastAsia="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napToGrid w:val="0"/>
        <w:spacing w:after="380" w:afterLines="100" w:line="520" w:lineRule="exact"/>
        <w:jc w:val="center"/>
        <w:rPr>
          <w:rFonts w:ascii="宋体" w:hAnsi="宋体" w:eastAsia="宋体" w:cs="宋体"/>
          <w:b/>
          <w:sz w:val="28"/>
          <w:szCs w:val="28"/>
        </w:rPr>
      </w:pPr>
      <w:r>
        <w:rPr>
          <w:rFonts w:hint="eastAsia" w:ascii="宋体" w:hAnsi="宋体" w:eastAsia="宋体"/>
          <w:b/>
          <w:sz w:val="28"/>
          <w:szCs w:val="28"/>
        </w:rPr>
        <w:br w:type="page"/>
      </w:r>
      <w:r>
        <w:rPr>
          <w:rFonts w:hint="eastAsia" w:ascii="宋体" w:hAnsi="宋体" w:eastAsia="宋体" w:cs="宋体"/>
          <w:b/>
          <w:sz w:val="28"/>
          <w:szCs w:val="28"/>
        </w:rPr>
        <w:t>磋商响应报价总表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60"/>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41"/>
        <w:gridCol w:w="5036"/>
        <w:gridCol w:w="20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107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u w:val="single"/>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1079" w:type="pct"/>
            <w:vMerge w:val="restart"/>
            <w:tcBorders>
              <w:top w:val="single" w:color="auto" w:sz="4" w:space="0"/>
              <w:left w:val="single" w:color="auto" w:sz="4" w:space="0"/>
              <w:right w:val="single" w:color="auto" w:sz="4" w:space="0"/>
            </w:tcBorders>
            <w:vAlign w:val="center"/>
          </w:tcPr>
          <w:p>
            <w:pPr>
              <w:kinsoku w:val="0"/>
              <w:topLinePunct/>
              <w:snapToGrid w:val="0"/>
              <w:spacing w:line="520" w:lineRule="exact"/>
              <w:jc w:val="left"/>
              <w:rPr>
                <w:rFonts w:ascii="方正仿宋_GBK" w:eastAsia="宋体"/>
                <w:sz w:val="24"/>
                <w:szCs w:val="24"/>
              </w:rPr>
            </w:pPr>
            <w:r>
              <w:rPr>
                <w:rFonts w:hint="eastAsia" w:ascii="方正仿宋_GBK" w:eastAsia="宋体"/>
                <w:sz w:val="24"/>
                <w:szCs w:val="24"/>
              </w:rPr>
              <w:t>作为报价标评分依据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最终报价</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1079" w:type="pct"/>
            <w:vMerge w:val="continue"/>
            <w:tcBorders>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2"/>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4"/>
        </w:numPr>
        <w:kinsoku w:val="0"/>
        <w:topLinePunct/>
        <w:snapToGrid w:val="0"/>
        <w:spacing w:line="360" w:lineRule="auto"/>
        <w:rPr>
          <w:rFonts w:ascii="方正仿宋_GBK" w:eastAsia="宋体"/>
          <w:sz w:val="24"/>
          <w:szCs w:val="24"/>
        </w:rPr>
      </w:pP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4"/>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rPr>
        <w:t>最终报价将在开标现场填写，报价响应文件密封提交时只需填写“首轮报价”。</w:t>
      </w:r>
      <w:r>
        <w:rPr>
          <w:rFonts w:hint="eastAsia" w:ascii="宋体" w:hAnsi="宋体" w:eastAsia="宋体" w:cs="宋体"/>
          <w:b/>
          <w:bCs/>
          <w:sz w:val="24"/>
          <w:szCs w:val="24"/>
        </w:rPr>
        <w:t>且最终报价时，磋商响应报价明细表以首次报价为基数同比例下浮。</w:t>
      </w:r>
    </w:p>
    <w:p>
      <w:pPr>
        <w:rPr>
          <w:rFonts w:ascii="宋体" w:hAnsi="宋体" w:eastAsia="宋体" w:cs="宋体"/>
          <w:sz w:val="24"/>
          <w:szCs w:val="24"/>
        </w:rPr>
      </w:pPr>
      <w:r>
        <w:rPr>
          <w:rFonts w:hint="eastAsia" w:ascii="宋体" w:hAnsi="宋体" w:eastAsia="宋体" w:cs="宋体"/>
          <w:b/>
          <w:bCs/>
          <w:sz w:val="24"/>
          <w:szCs w:val="24"/>
        </w:rPr>
        <w:br w:type="page"/>
      </w:r>
    </w:p>
    <w:p>
      <w:pPr>
        <w:pStyle w:val="2"/>
        <w:ind w:left="0" w:leftChars="0" w:firstLine="0" w:firstLineChars="0"/>
        <w:jc w:val="center"/>
        <w:rPr>
          <w:rFonts w:ascii="宋体" w:hAnsi="宋体" w:cs="宋体"/>
          <w:b/>
          <w:szCs w:val="28"/>
        </w:rPr>
      </w:pPr>
      <w:r>
        <w:rPr>
          <w:rFonts w:hint="eastAsia" w:ascii="宋体" w:hAnsi="宋体" w:cs="宋体"/>
          <w:b/>
          <w:szCs w:val="28"/>
        </w:rPr>
        <w:t>磋商响应报价明细表</w:t>
      </w:r>
    </w:p>
    <w:p>
      <w:pPr>
        <w:kinsoku w:val="0"/>
        <w:topLinePunct/>
        <w:snapToGrid w:val="0"/>
        <w:spacing w:line="520" w:lineRule="exact"/>
        <w:rPr>
          <w:rFonts w:ascii="宋体" w:hAnsi="宋体" w:cs="宋体"/>
          <w:b/>
          <w:sz w:val="28"/>
          <w:szCs w:val="28"/>
        </w:rPr>
      </w:pPr>
      <w:r>
        <w:rPr>
          <w:rFonts w:hint="eastAsia" w:ascii="宋体" w:hAnsi="宋体" w:eastAsia="宋体" w:cs="宋体"/>
          <w:sz w:val="24"/>
          <w:szCs w:val="24"/>
        </w:rPr>
        <w:t>项目名称</w:t>
      </w:r>
      <w:r>
        <w:rPr>
          <w:rFonts w:ascii="方正仿宋_GBK" w:eastAsia="宋体"/>
          <w:b/>
          <w:sz w:val="24"/>
          <w:szCs w:val="24"/>
        </w:rPr>
        <w:t>：</w:t>
      </w:r>
    </w:p>
    <w:tbl>
      <w:tblPr>
        <w:tblStyle w:val="60"/>
        <w:tblW w:w="8984" w:type="dxa"/>
        <w:tblInd w:w="91" w:type="dxa"/>
        <w:tblLayout w:type="fixed"/>
        <w:tblCellMar>
          <w:top w:w="0" w:type="dxa"/>
          <w:left w:w="108" w:type="dxa"/>
          <w:bottom w:w="0" w:type="dxa"/>
          <w:right w:w="108" w:type="dxa"/>
        </w:tblCellMar>
      </w:tblPr>
      <w:tblGrid>
        <w:gridCol w:w="1149"/>
        <w:gridCol w:w="3515"/>
        <w:gridCol w:w="2848"/>
        <w:gridCol w:w="1472"/>
      </w:tblGrid>
      <w:tr>
        <w:tblPrEx>
          <w:tblCellMar>
            <w:top w:w="0" w:type="dxa"/>
            <w:left w:w="108" w:type="dxa"/>
            <w:bottom w:w="0" w:type="dxa"/>
            <w:right w:w="108" w:type="dxa"/>
          </w:tblCellMar>
        </w:tblPrEx>
        <w:trPr>
          <w:trHeight w:val="567"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351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分项名称</w:t>
            </w:r>
          </w:p>
        </w:tc>
        <w:tc>
          <w:tcPr>
            <w:tcW w:w="2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金额（元）</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总价</w:t>
            </w:r>
          </w:p>
        </w:tc>
        <w:tc>
          <w:tcPr>
            <w:tcW w:w="7835" w:type="dxa"/>
            <w:gridSpan w:val="3"/>
            <w:tcBorders>
              <w:top w:val="nil"/>
              <w:left w:val="nil"/>
              <w:bottom w:val="single" w:color="auto" w:sz="4" w:space="0"/>
              <w:right w:val="single" w:color="auto" w:sz="4" w:space="0"/>
            </w:tcBorders>
            <w:vAlign w:val="center"/>
          </w:tcPr>
          <w:p>
            <w:pPr>
              <w:rPr>
                <w:rFonts w:ascii="宋体" w:hAnsi="宋体" w:eastAsia="宋体" w:cs="宋体"/>
                <w:b/>
                <w:bCs/>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b/>
          <w:sz w:val="28"/>
          <w:szCs w:val="28"/>
        </w:rPr>
      </w:pPr>
      <w:r>
        <w:rPr>
          <w:rFonts w:hint="eastAsia" w:ascii="宋体" w:hAnsi="宋体" w:eastAsia="宋体" w:cs="宋体"/>
          <w:sz w:val="24"/>
          <w:szCs w:val="24"/>
        </w:rPr>
        <w:t>日期：</w:t>
      </w:r>
      <w:r>
        <w:rPr>
          <w:rFonts w:hint="eastAsia" w:ascii="宋体" w:hAnsi="宋体" w:eastAsia="宋体"/>
          <w:b/>
          <w:sz w:val="28"/>
          <w:szCs w:val="28"/>
        </w:rPr>
        <w:br w:type="page"/>
      </w:r>
    </w:p>
    <w:p>
      <w:pPr>
        <w:spacing w:after="380"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软件和信息技术服务业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软件和信息技术服务业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2"/>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417" w:right="1417" w:bottom="1417" w:left="1418" w:header="851" w:footer="448" w:gutter="0"/>
      <w:pgNumType w:start="1"/>
      <w:cols w:space="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E77149-2F22-40C4-B827-12C0CDE47E92}"/>
  </w:font>
  <w:font w:name="黑体">
    <w:panose1 w:val="02010609060101010101"/>
    <w:charset w:val="86"/>
    <w:family w:val="auto"/>
    <w:pitch w:val="default"/>
    <w:sig w:usb0="800002BF" w:usb1="38CF7CFA" w:usb2="00000016" w:usb3="00000000" w:csb0="00040001" w:csb1="00000000"/>
    <w:embedRegular r:id="rId2" w:fontKey="{B86F61FE-78E9-4F1D-8EFB-B8BD4CF70E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46E0692-DE8C-4808-879D-5E2582DCFDB2}"/>
  </w:font>
  <w:font w:name="楷体_GB2312">
    <w:altName w:val="楷体"/>
    <w:panose1 w:val="00000000000000000000"/>
    <w:charset w:val="86"/>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0" w:usb1="00000000" w:usb2="00000000" w:usb3="00000000" w:csb0="00000000" w:csb1="00000000"/>
    <w:embedRegular r:id="rId4" w:fontKey="{AF2C07D1-42F1-417C-9011-47497083B8A9}"/>
  </w:font>
  <w:font w:name="仿宋">
    <w:panose1 w:val="02010609060101010101"/>
    <w:charset w:val="86"/>
    <w:family w:val="modern"/>
    <w:pitch w:val="default"/>
    <w:sig w:usb0="800002BF" w:usb1="38CF7CFA" w:usb2="00000016" w:usb3="00000000" w:csb0="00040001" w:csb1="00000000"/>
    <w:embedRegular r:id="rId5" w:fontKey="{0F985CE6-B470-46F6-85AA-FBCD6976C66B}"/>
  </w:font>
  <w:font w:name="等线">
    <w:panose1 w:val="02010600030101010101"/>
    <w:charset w:val="86"/>
    <w:family w:val="auto"/>
    <w:pitch w:val="default"/>
    <w:sig w:usb0="A00002BF" w:usb1="38CF7CFA" w:usb2="00000016" w:usb3="00000000" w:csb0="0004000F" w:csb1="00000000"/>
    <w:embedRegular r:id="rId6" w:fontKey="{9FAFE677-BDD8-4CB7-B2C9-E9B1AFA0D9EE}"/>
  </w:font>
  <w:font w:name="方正仿宋_GBK">
    <w:panose1 w:val="02000000000000000000"/>
    <w:charset w:val="86"/>
    <w:family w:val="script"/>
    <w:pitch w:val="default"/>
    <w:sig w:usb0="00000000" w:usb1="00000000" w:usb2="00000000" w:usb3="00000000" w:csb0="00000000" w:csb1="00000000"/>
    <w:embedRegular r:id="rId7" w:fontKey="{F70F0805-3E8B-4D91-AC81-9130F9E0A12D}"/>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1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8"/>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36</w:t>
                          </w:r>
                          <w:r>
                            <w:fldChar w:fldCharType="end"/>
                          </w:r>
                          <w:r>
                            <w:rPr>
                              <w:rFonts w:hint="eastAsia"/>
                            </w:rPr>
                            <w:t>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h2NHmz&#10;AQAAWgMAAA4AAAAAAAAAAQAgAAAAHgEAAGRycy9lMm9Eb2MueG1sUEsFBgAAAAAGAAYAWQEAAEMF&#10;AAAAAA==&#10;">
              <v:fill on="f" focussize="0,0"/>
              <v:stroke on="f"/>
              <v:imagedata o:title=""/>
              <o:lock v:ext="edit" aspectratio="f"/>
              <v:textbox inset="0mm,0mm,0mm,0mm" style="mso-fit-shape-to-text:t;">
                <w:txbxContent>
                  <w:p>
                    <w:pPr>
                      <w:pStyle w:val="38"/>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36</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4"/>
      <w:jc w:val="center"/>
    </w:pPr>
    <w:r>
      <mc:AlternateContent>
        <mc:Choice Requires="wps">
          <w:drawing>
            <wp:anchor distT="0" distB="0" distL="114300" distR="114300" simplePos="0" relativeHeight="251660288" behindDoc="0" locked="0" layoutInCell="1" allowOverlap="1">
              <wp:simplePos x="0" y="0"/>
              <wp:positionH relativeFrom="margin">
                <wp:posOffset>2853055</wp:posOffset>
              </wp:positionH>
              <wp:positionV relativeFrom="paragraph">
                <wp:posOffset>-312420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left:224.65pt;margin-top:-24.6pt;height:144pt;width:144pt;mso-position-horizontal-relative:margin;mso-wrap-style:none;z-index:251660288;mso-width-relative:page;mso-height-relative:page;" filled="f" stroked="f" coordsize="21600,21600" o:gfxdata="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vMf3Y&#10;AAAACwEAAA8AAAAAAAAAAQAgAAAAIgAAAGRycy9kb3ducmV2LnhtbFBLAQIUABQAAAAIAIdO4kAa&#10;SVzNrgEAAEsDAAAOAAAAAAAAAAEAIAAAACcBAABkcnMvZTJvRG9jLnhtbFBLBQYAAAAABgAGAFkB&#10;AABHBQ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FA61A"/>
    <w:multiLevelType w:val="singleLevel"/>
    <w:tmpl w:val="B31FA61A"/>
    <w:lvl w:ilvl="0" w:tentative="0">
      <w:start w:val="2"/>
      <w:numFmt w:val="chineseCounting"/>
      <w:suff w:val="nothing"/>
      <w:lvlText w:val="%1、"/>
      <w:lvlJc w:val="left"/>
      <w:rPr>
        <w:rFonts w:hint="eastAsia"/>
      </w:rPr>
    </w:lvl>
  </w:abstractNum>
  <w:abstractNum w:abstractNumId="1">
    <w:nsid w:val="21125CBE"/>
    <w:multiLevelType w:val="singleLevel"/>
    <w:tmpl w:val="21125CBE"/>
    <w:lvl w:ilvl="0" w:tentative="0">
      <w:start w:val="1"/>
      <w:numFmt w:val="decimal"/>
      <w:suff w:val="nothing"/>
      <w:lvlText w:val="（%1）"/>
      <w:lvlJc w:val="left"/>
    </w:lvl>
  </w:abstractNum>
  <w:abstractNum w:abstractNumId="2">
    <w:nsid w:val="42075084"/>
    <w:multiLevelType w:val="multilevel"/>
    <w:tmpl w:val="42075084"/>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0"/>
  <w:drawingGridHorizontalSpacing w:val="119"/>
  <w:drawingGridVerticalSpacing w:val="193"/>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GIzMTYxNzg1ZDExNTkzZDFlZmUyOGNkMzExMTYifQ=="/>
  </w:docVars>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27C"/>
    <w:rsid w:val="00165311"/>
    <w:rsid w:val="001672ED"/>
    <w:rsid w:val="00170FB0"/>
    <w:rsid w:val="00172A27"/>
    <w:rsid w:val="001734DA"/>
    <w:rsid w:val="0017368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0595"/>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2FFD"/>
    <w:rsid w:val="001E67E6"/>
    <w:rsid w:val="001F11D9"/>
    <w:rsid w:val="001F4F25"/>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475D9"/>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56EB"/>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2DBC"/>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122CC"/>
    <w:rsid w:val="00320827"/>
    <w:rsid w:val="00323B19"/>
    <w:rsid w:val="00323E90"/>
    <w:rsid w:val="00326FF0"/>
    <w:rsid w:val="00327D3B"/>
    <w:rsid w:val="00331D4D"/>
    <w:rsid w:val="0033212D"/>
    <w:rsid w:val="00333E8B"/>
    <w:rsid w:val="00334616"/>
    <w:rsid w:val="00336479"/>
    <w:rsid w:val="0033666B"/>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90B"/>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00E"/>
    <w:rsid w:val="00392AF9"/>
    <w:rsid w:val="00393216"/>
    <w:rsid w:val="00393C45"/>
    <w:rsid w:val="0039406B"/>
    <w:rsid w:val="003962B9"/>
    <w:rsid w:val="003A0200"/>
    <w:rsid w:val="003A041B"/>
    <w:rsid w:val="003A3A48"/>
    <w:rsid w:val="003A3FB5"/>
    <w:rsid w:val="003A5458"/>
    <w:rsid w:val="003B224B"/>
    <w:rsid w:val="003B5297"/>
    <w:rsid w:val="003C01E5"/>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054D7"/>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65E0"/>
    <w:rsid w:val="0044710D"/>
    <w:rsid w:val="00447819"/>
    <w:rsid w:val="004516E0"/>
    <w:rsid w:val="00451E99"/>
    <w:rsid w:val="00453594"/>
    <w:rsid w:val="0045486D"/>
    <w:rsid w:val="00455D6E"/>
    <w:rsid w:val="00462461"/>
    <w:rsid w:val="0046266E"/>
    <w:rsid w:val="00463B9D"/>
    <w:rsid w:val="004647FD"/>
    <w:rsid w:val="00465CCF"/>
    <w:rsid w:val="004663A1"/>
    <w:rsid w:val="0046790B"/>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20B7"/>
    <w:rsid w:val="004A58E9"/>
    <w:rsid w:val="004B394E"/>
    <w:rsid w:val="004B3C41"/>
    <w:rsid w:val="004B416F"/>
    <w:rsid w:val="004B5228"/>
    <w:rsid w:val="004B7197"/>
    <w:rsid w:val="004C01AE"/>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E6FD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48D8"/>
    <w:rsid w:val="00516BFF"/>
    <w:rsid w:val="005178A4"/>
    <w:rsid w:val="00522084"/>
    <w:rsid w:val="0052332B"/>
    <w:rsid w:val="005238B4"/>
    <w:rsid w:val="0052405F"/>
    <w:rsid w:val="005246BE"/>
    <w:rsid w:val="00526D3C"/>
    <w:rsid w:val="005272D4"/>
    <w:rsid w:val="005277E0"/>
    <w:rsid w:val="00531CF6"/>
    <w:rsid w:val="005325F8"/>
    <w:rsid w:val="005365B4"/>
    <w:rsid w:val="00537220"/>
    <w:rsid w:val="005376FE"/>
    <w:rsid w:val="00540E80"/>
    <w:rsid w:val="00541707"/>
    <w:rsid w:val="00543318"/>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473"/>
    <w:rsid w:val="005C78F8"/>
    <w:rsid w:val="005D31AE"/>
    <w:rsid w:val="005D3C3B"/>
    <w:rsid w:val="005D3F20"/>
    <w:rsid w:val="005D4228"/>
    <w:rsid w:val="005D64B6"/>
    <w:rsid w:val="005D676D"/>
    <w:rsid w:val="005D77DF"/>
    <w:rsid w:val="005E39BE"/>
    <w:rsid w:val="005E3A5A"/>
    <w:rsid w:val="005E3FB9"/>
    <w:rsid w:val="005E4BC7"/>
    <w:rsid w:val="005E70DE"/>
    <w:rsid w:val="005E7887"/>
    <w:rsid w:val="005F0F8E"/>
    <w:rsid w:val="005F10BC"/>
    <w:rsid w:val="005F14C7"/>
    <w:rsid w:val="005F2398"/>
    <w:rsid w:val="005F3656"/>
    <w:rsid w:val="005F3A91"/>
    <w:rsid w:val="005F66A2"/>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0AD3"/>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5C77"/>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13B"/>
    <w:rsid w:val="006B5C45"/>
    <w:rsid w:val="006B5FDC"/>
    <w:rsid w:val="006B680E"/>
    <w:rsid w:val="006B69E7"/>
    <w:rsid w:val="006B7DA9"/>
    <w:rsid w:val="006C221E"/>
    <w:rsid w:val="006C34DC"/>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07C34"/>
    <w:rsid w:val="0071080E"/>
    <w:rsid w:val="00710FE4"/>
    <w:rsid w:val="00712DF0"/>
    <w:rsid w:val="007141B2"/>
    <w:rsid w:val="00717059"/>
    <w:rsid w:val="00720EFB"/>
    <w:rsid w:val="0072262C"/>
    <w:rsid w:val="00723C25"/>
    <w:rsid w:val="00724D91"/>
    <w:rsid w:val="0072649D"/>
    <w:rsid w:val="0073050F"/>
    <w:rsid w:val="007310A1"/>
    <w:rsid w:val="00731DFF"/>
    <w:rsid w:val="007325D3"/>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0E80"/>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86338"/>
    <w:rsid w:val="00893145"/>
    <w:rsid w:val="00893EE9"/>
    <w:rsid w:val="00894C90"/>
    <w:rsid w:val="008977DD"/>
    <w:rsid w:val="008A3B70"/>
    <w:rsid w:val="008B0D14"/>
    <w:rsid w:val="008B16E6"/>
    <w:rsid w:val="008B6075"/>
    <w:rsid w:val="008C0C45"/>
    <w:rsid w:val="008C3C73"/>
    <w:rsid w:val="008C3E39"/>
    <w:rsid w:val="008C430E"/>
    <w:rsid w:val="008C56A6"/>
    <w:rsid w:val="008C5A9A"/>
    <w:rsid w:val="008C6ADC"/>
    <w:rsid w:val="008C7C90"/>
    <w:rsid w:val="008D020D"/>
    <w:rsid w:val="008D027B"/>
    <w:rsid w:val="008D0962"/>
    <w:rsid w:val="008D25F1"/>
    <w:rsid w:val="008D37F3"/>
    <w:rsid w:val="008D6BA5"/>
    <w:rsid w:val="008D6D55"/>
    <w:rsid w:val="008E0F91"/>
    <w:rsid w:val="008E11B2"/>
    <w:rsid w:val="008E14FA"/>
    <w:rsid w:val="008E2194"/>
    <w:rsid w:val="008E3517"/>
    <w:rsid w:val="008E4704"/>
    <w:rsid w:val="008E6C11"/>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1C61"/>
    <w:rsid w:val="00952492"/>
    <w:rsid w:val="009551FB"/>
    <w:rsid w:val="00961D41"/>
    <w:rsid w:val="00964A0C"/>
    <w:rsid w:val="00965936"/>
    <w:rsid w:val="00965DB4"/>
    <w:rsid w:val="00965FFE"/>
    <w:rsid w:val="00966DBD"/>
    <w:rsid w:val="00966F6E"/>
    <w:rsid w:val="009671A8"/>
    <w:rsid w:val="00972C2F"/>
    <w:rsid w:val="0097401D"/>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0F0"/>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096E"/>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60C7"/>
    <w:rsid w:val="00A476C6"/>
    <w:rsid w:val="00A47B9A"/>
    <w:rsid w:val="00A53B1D"/>
    <w:rsid w:val="00A54AA7"/>
    <w:rsid w:val="00A551DD"/>
    <w:rsid w:val="00A5607A"/>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0AF8"/>
    <w:rsid w:val="00B01A63"/>
    <w:rsid w:val="00B020A0"/>
    <w:rsid w:val="00B02272"/>
    <w:rsid w:val="00B04A00"/>
    <w:rsid w:val="00B10397"/>
    <w:rsid w:val="00B120A2"/>
    <w:rsid w:val="00B12892"/>
    <w:rsid w:val="00B12914"/>
    <w:rsid w:val="00B140C7"/>
    <w:rsid w:val="00B15071"/>
    <w:rsid w:val="00B153A1"/>
    <w:rsid w:val="00B15B6F"/>
    <w:rsid w:val="00B16405"/>
    <w:rsid w:val="00B16B67"/>
    <w:rsid w:val="00B2055A"/>
    <w:rsid w:val="00B20CB8"/>
    <w:rsid w:val="00B212A9"/>
    <w:rsid w:val="00B22C52"/>
    <w:rsid w:val="00B26B86"/>
    <w:rsid w:val="00B2711F"/>
    <w:rsid w:val="00B274DD"/>
    <w:rsid w:val="00B326FE"/>
    <w:rsid w:val="00B33905"/>
    <w:rsid w:val="00B34D47"/>
    <w:rsid w:val="00B37216"/>
    <w:rsid w:val="00B427A0"/>
    <w:rsid w:val="00B4312C"/>
    <w:rsid w:val="00B43C00"/>
    <w:rsid w:val="00B44E2F"/>
    <w:rsid w:val="00B459BE"/>
    <w:rsid w:val="00B45DBC"/>
    <w:rsid w:val="00B47B12"/>
    <w:rsid w:val="00B50E6B"/>
    <w:rsid w:val="00B51705"/>
    <w:rsid w:val="00B543AD"/>
    <w:rsid w:val="00B5617F"/>
    <w:rsid w:val="00B56734"/>
    <w:rsid w:val="00B5730E"/>
    <w:rsid w:val="00B6019E"/>
    <w:rsid w:val="00B60D04"/>
    <w:rsid w:val="00B62582"/>
    <w:rsid w:val="00B62A37"/>
    <w:rsid w:val="00B661A4"/>
    <w:rsid w:val="00B674D9"/>
    <w:rsid w:val="00B70546"/>
    <w:rsid w:val="00B70680"/>
    <w:rsid w:val="00B70C6A"/>
    <w:rsid w:val="00B71A74"/>
    <w:rsid w:val="00B71E55"/>
    <w:rsid w:val="00B734C5"/>
    <w:rsid w:val="00B73C1B"/>
    <w:rsid w:val="00B75680"/>
    <w:rsid w:val="00B7657E"/>
    <w:rsid w:val="00B81D23"/>
    <w:rsid w:val="00B824F9"/>
    <w:rsid w:val="00B826D8"/>
    <w:rsid w:val="00B83C28"/>
    <w:rsid w:val="00B91D91"/>
    <w:rsid w:val="00B92EEE"/>
    <w:rsid w:val="00B9357D"/>
    <w:rsid w:val="00B94274"/>
    <w:rsid w:val="00B94C27"/>
    <w:rsid w:val="00B959E7"/>
    <w:rsid w:val="00B96916"/>
    <w:rsid w:val="00B97CAA"/>
    <w:rsid w:val="00B97E46"/>
    <w:rsid w:val="00BA071E"/>
    <w:rsid w:val="00BA0989"/>
    <w:rsid w:val="00BA486F"/>
    <w:rsid w:val="00BA48F9"/>
    <w:rsid w:val="00BA51BD"/>
    <w:rsid w:val="00BA5538"/>
    <w:rsid w:val="00BA5547"/>
    <w:rsid w:val="00BA57DC"/>
    <w:rsid w:val="00BA5891"/>
    <w:rsid w:val="00BA7427"/>
    <w:rsid w:val="00BB0B1B"/>
    <w:rsid w:val="00BB23A2"/>
    <w:rsid w:val="00BC1349"/>
    <w:rsid w:val="00BC5F9A"/>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4EA4"/>
    <w:rsid w:val="00BF56E4"/>
    <w:rsid w:val="00BF625E"/>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277B0"/>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5C27"/>
    <w:rsid w:val="00C563D1"/>
    <w:rsid w:val="00C60673"/>
    <w:rsid w:val="00C6068F"/>
    <w:rsid w:val="00C613AF"/>
    <w:rsid w:val="00C613E4"/>
    <w:rsid w:val="00C6276C"/>
    <w:rsid w:val="00C63604"/>
    <w:rsid w:val="00C636AE"/>
    <w:rsid w:val="00C648F5"/>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453B"/>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1428"/>
    <w:rsid w:val="00CE2048"/>
    <w:rsid w:val="00CE348A"/>
    <w:rsid w:val="00CE5471"/>
    <w:rsid w:val="00CE54C8"/>
    <w:rsid w:val="00CE57B7"/>
    <w:rsid w:val="00CE66AD"/>
    <w:rsid w:val="00CE742C"/>
    <w:rsid w:val="00CF0904"/>
    <w:rsid w:val="00CF0F3B"/>
    <w:rsid w:val="00CF30CC"/>
    <w:rsid w:val="00D01C79"/>
    <w:rsid w:val="00D036D4"/>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428C"/>
    <w:rsid w:val="00D25374"/>
    <w:rsid w:val="00D255CD"/>
    <w:rsid w:val="00D27CE8"/>
    <w:rsid w:val="00D27FC1"/>
    <w:rsid w:val="00D30D9B"/>
    <w:rsid w:val="00D319BA"/>
    <w:rsid w:val="00D33C80"/>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2F65"/>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6563"/>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6D5"/>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2D0"/>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A04"/>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810648"/>
    <w:rsid w:val="01956EE8"/>
    <w:rsid w:val="01A80022"/>
    <w:rsid w:val="01AD358E"/>
    <w:rsid w:val="02214C21"/>
    <w:rsid w:val="02465336"/>
    <w:rsid w:val="02691BF4"/>
    <w:rsid w:val="02694A4E"/>
    <w:rsid w:val="02722DB7"/>
    <w:rsid w:val="02813929"/>
    <w:rsid w:val="02814CE3"/>
    <w:rsid w:val="02B770D9"/>
    <w:rsid w:val="02BC42FC"/>
    <w:rsid w:val="02DE32B9"/>
    <w:rsid w:val="02E92253"/>
    <w:rsid w:val="0301674D"/>
    <w:rsid w:val="03250D00"/>
    <w:rsid w:val="035407CA"/>
    <w:rsid w:val="035A20C8"/>
    <w:rsid w:val="035C31A1"/>
    <w:rsid w:val="035F3853"/>
    <w:rsid w:val="03804CF4"/>
    <w:rsid w:val="0397409D"/>
    <w:rsid w:val="03A54ECB"/>
    <w:rsid w:val="03D375DD"/>
    <w:rsid w:val="03D754F6"/>
    <w:rsid w:val="03FC4557"/>
    <w:rsid w:val="03FF4716"/>
    <w:rsid w:val="04381AAF"/>
    <w:rsid w:val="048B1C2C"/>
    <w:rsid w:val="04EA1848"/>
    <w:rsid w:val="04F557F5"/>
    <w:rsid w:val="054C2F13"/>
    <w:rsid w:val="055A71F6"/>
    <w:rsid w:val="05834324"/>
    <w:rsid w:val="058541DA"/>
    <w:rsid w:val="059F3C96"/>
    <w:rsid w:val="05BA022C"/>
    <w:rsid w:val="05D257D1"/>
    <w:rsid w:val="05D40FA8"/>
    <w:rsid w:val="05D46F4C"/>
    <w:rsid w:val="0602185E"/>
    <w:rsid w:val="064364B4"/>
    <w:rsid w:val="0664643D"/>
    <w:rsid w:val="06820EF1"/>
    <w:rsid w:val="068C0E4D"/>
    <w:rsid w:val="069254AF"/>
    <w:rsid w:val="069270EA"/>
    <w:rsid w:val="06D40937"/>
    <w:rsid w:val="06E757C9"/>
    <w:rsid w:val="06F643EA"/>
    <w:rsid w:val="06FD61D2"/>
    <w:rsid w:val="074A2ABE"/>
    <w:rsid w:val="07516C9E"/>
    <w:rsid w:val="076E604D"/>
    <w:rsid w:val="07A6697C"/>
    <w:rsid w:val="07B345CA"/>
    <w:rsid w:val="07C76145"/>
    <w:rsid w:val="07E74731"/>
    <w:rsid w:val="07F72D4C"/>
    <w:rsid w:val="0808438A"/>
    <w:rsid w:val="084368FC"/>
    <w:rsid w:val="088428E1"/>
    <w:rsid w:val="088D4A91"/>
    <w:rsid w:val="089C6095"/>
    <w:rsid w:val="08C43481"/>
    <w:rsid w:val="08CE0E70"/>
    <w:rsid w:val="08EB72CB"/>
    <w:rsid w:val="08FC1A5A"/>
    <w:rsid w:val="09037A4E"/>
    <w:rsid w:val="091D7F1A"/>
    <w:rsid w:val="09587CF3"/>
    <w:rsid w:val="09934A8C"/>
    <w:rsid w:val="0998630C"/>
    <w:rsid w:val="09A14C44"/>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4B694B"/>
    <w:rsid w:val="0B507865"/>
    <w:rsid w:val="0B6544D2"/>
    <w:rsid w:val="0B6A6F81"/>
    <w:rsid w:val="0B7D4716"/>
    <w:rsid w:val="0B850711"/>
    <w:rsid w:val="0B8A37AE"/>
    <w:rsid w:val="0B8B3F15"/>
    <w:rsid w:val="0B9F28B8"/>
    <w:rsid w:val="0BA8720D"/>
    <w:rsid w:val="0BAA2A3D"/>
    <w:rsid w:val="0BBA1E62"/>
    <w:rsid w:val="0C0C665E"/>
    <w:rsid w:val="0C254F18"/>
    <w:rsid w:val="0C506870"/>
    <w:rsid w:val="0C617140"/>
    <w:rsid w:val="0C6D3894"/>
    <w:rsid w:val="0C723619"/>
    <w:rsid w:val="0C960A6A"/>
    <w:rsid w:val="0CA06AD2"/>
    <w:rsid w:val="0CBF3301"/>
    <w:rsid w:val="0CC21DAB"/>
    <w:rsid w:val="0CC8351A"/>
    <w:rsid w:val="0CD0081C"/>
    <w:rsid w:val="0CDF5015"/>
    <w:rsid w:val="0CF8203D"/>
    <w:rsid w:val="0CFD4ED4"/>
    <w:rsid w:val="0D320033"/>
    <w:rsid w:val="0D392A89"/>
    <w:rsid w:val="0D631CE5"/>
    <w:rsid w:val="0DAE6B51"/>
    <w:rsid w:val="0DCC4CBA"/>
    <w:rsid w:val="0DCD276C"/>
    <w:rsid w:val="0DDE5621"/>
    <w:rsid w:val="0DED3A56"/>
    <w:rsid w:val="0E2B2DC3"/>
    <w:rsid w:val="0E651A19"/>
    <w:rsid w:val="0E662B1E"/>
    <w:rsid w:val="0E6A133C"/>
    <w:rsid w:val="0E734839"/>
    <w:rsid w:val="0E7870C4"/>
    <w:rsid w:val="0E8C28EA"/>
    <w:rsid w:val="0E9061BD"/>
    <w:rsid w:val="0EB46233"/>
    <w:rsid w:val="0EC12E6D"/>
    <w:rsid w:val="0ED165FA"/>
    <w:rsid w:val="0ED77BF5"/>
    <w:rsid w:val="0EDD2545"/>
    <w:rsid w:val="0EE940C8"/>
    <w:rsid w:val="0F1D2352"/>
    <w:rsid w:val="0F442697"/>
    <w:rsid w:val="0F5862B1"/>
    <w:rsid w:val="0F680AEC"/>
    <w:rsid w:val="0F7B53FF"/>
    <w:rsid w:val="0F81333F"/>
    <w:rsid w:val="0F8A4AEB"/>
    <w:rsid w:val="0FA07739"/>
    <w:rsid w:val="0FC60FF1"/>
    <w:rsid w:val="0FF24DCB"/>
    <w:rsid w:val="102B7B10"/>
    <w:rsid w:val="10737446"/>
    <w:rsid w:val="108366C1"/>
    <w:rsid w:val="108A631E"/>
    <w:rsid w:val="10B85DBF"/>
    <w:rsid w:val="10D26BB3"/>
    <w:rsid w:val="10D3396F"/>
    <w:rsid w:val="10DA6853"/>
    <w:rsid w:val="10EA6441"/>
    <w:rsid w:val="11084D00"/>
    <w:rsid w:val="11247DA4"/>
    <w:rsid w:val="11250309"/>
    <w:rsid w:val="11351B87"/>
    <w:rsid w:val="11367223"/>
    <w:rsid w:val="11463498"/>
    <w:rsid w:val="11531D43"/>
    <w:rsid w:val="115D4F2A"/>
    <w:rsid w:val="11705255"/>
    <w:rsid w:val="11956DB9"/>
    <w:rsid w:val="11972241"/>
    <w:rsid w:val="11A02C0B"/>
    <w:rsid w:val="11C0331A"/>
    <w:rsid w:val="11FF767D"/>
    <w:rsid w:val="12501D56"/>
    <w:rsid w:val="126342DC"/>
    <w:rsid w:val="126A3CE5"/>
    <w:rsid w:val="12804EC3"/>
    <w:rsid w:val="12B9724A"/>
    <w:rsid w:val="12ED108C"/>
    <w:rsid w:val="12F712DA"/>
    <w:rsid w:val="12F9050F"/>
    <w:rsid w:val="130E043F"/>
    <w:rsid w:val="131F5F39"/>
    <w:rsid w:val="133A4BEB"/>
    <w:rsid w:val="134176DB"/>
    <w:rsid w:val="13627322"/>
    <w:rsid w:val="13753078"/>
    <w:rsid w:val="13876133"/>
    <w:rsid w:val="139D423C"/>
    <w:rsid w:val="139E459A"/>
    <w:rsid w:val="13CA31FB"/>
    <w:rsid w:val="13DA36B2"/>
    <w:rsid w:val="13E62AA2"/>
    <w:rsid w:val="14076394"/>
    <w:rsid w:val="143E021E"/>
    <w:rsid w:val="14674D59"/>
    <w:rsid w:val="148E216F"/>
    <w:rsid w:val="14A254B8"/>
    <w:rsid w:val="14BC5E70"/>
    <w:rsid w:val="14C672CD"/>
    <w:rsid w:val="14DE2975"/>
    <w:rsid w:val="15013288"/>
    <w:rsid w:val="150C509E"/>
    <w:rsid w:val="15164B5B"/>
    <w:rsid w:val="15345223"/>
    <w:rsid w:val="157F0C2D"/>
    <w:rsid w:val="15840A28"/>
    <w:rsid w:val="1584515F"/>
    <w:rsid w:val="159630D3"/>
    <w:rsid w:val="15997100"/>
    <w:rsid w:val="15997116"/>
    <w:rsid w:val="15C209F0"/>
    <w:rsid w:val="15C42D05"/>
    <w:rsid w:val="15FA376A"/>
    <w:rsid w:val="16024EBD"/>
    <w:rsid w:val="16041EF6"/>
    <w:rsid w:val="16071DBE"/>
    <w:rsid w:val="161C741E"/>
    <w:rsid w:val="162738EA"/>
    <w:rsid w:val="162C0A4E"/>
    <w:rsid w:val="16493FE4"/>
    <w:rsid w:val="168D5D74"/>
    <w:rsid w:val="168E0CC6"/>
    <w:rsid w:val="169B6E04"/>
    <w:rsid w:val="16AA05CE"/>
    <w:rsid w:val="16B87DCE"/>
    <w:rsid w:val="16C24E28"/>
    <w:rsid w:val="16E469AA"/>
    <w:rsid w:val="171F37D3"/>
    <w:rsid w:val="17207639"/>
    <w:rsid w:val="17220BA3"/>
    <w:rsid w:val="173C1970"/>
    <w:rsid w:val="17424D63"/>
    <w:rsid w:val="175C5C65"/>
    <w:rsid w:val="17901906"/>
    <w:rsid w:val="17DD7C1B"/>
    <w:rsid w:val="17F36EC3"/>
    <w:rsid w:val="180B42DA"/>
    <w:rsid w:val="1819223D"/>
    <w:rsid w:val="1826077F"/>
    <w:rsid w:val="182E62D8"/>
    <w:rsid w:val="18407366"/>
    <w:rsid w:val="184940B0"/>
    <w:rsid w:val="18577D43"/>
    <w:rsid w:val="18680B1D"/>
    <w:rsid w:val="1885777E"/>
    <w:rsid w:val="18973FA0"/>
    <w:rsid w:val="18D02ADB"/>
    <w:rsid w:val="18D331A5"/>
    <w:rsid w:val="19137C4F"/>
    <w:rsid w:val="19431471"/>
    <w:rsid w:val="19474AD7"/>
    <w:rsid w:val="194F02E7"/>
    <w:rsid w:val="194F7866"/>
    <w:rsid w:val="196D5014"/>
    <w:rsid w:val="19857774"/>
    <w:rsid w:val="19C6160B"/>
    <w:rsid w:val="19CB1EC2"/>
    <w:rsid w:val="19DB1E50"/>
    <w:rsid w:val="19F849D2"/>
    <w:rsid w:val="1A1127D8"/>
    <w:rsid w:val="1A1D29AB"/>
    <w:rsid w:val="1A210B98"/>
    <w:rsid w:val="1A303D97"/>
    <w:rsid w:val="1A960820"/>
    <w:rsid w:val="1ABF7614"/>
    <w:rsid w:val="1AC35713"/>
    <w:rsid w:val="1AC63CB3"/>
    <w:rsid w:val="1ACB2EAF"/>
    <w:rsid w:val="1AEB0597"/>
    <w:rsid w:val="1B2E229B"/>
    <w:rsid w:val="1B3255AD"/>
    <w:rsid w:val="1B474F93"/>
    <w:rsid w:val="1B5631C8"/>
    <w:rsid w:val="1B756948"/>
    <w:rsid w:val="1B911BAE"/>
    <w:rsid w:val="1B9F78D5"/>
    <w:rsid w:val="1BB30234"/>
    <w:rsid w:val="1BB832DA"/>
    <w:rsid w:val="1BD17EDE"/>
    <w:rsid w:val="1BF352DE"/>
    <w:rsid w:val="1C0B491D"/>
    <w:rsid w:val="1C116F86"/>
    <w:rsid w:val="1C1A68EE"/>
    <w:rsid w:val="1C44686C"/>
    <w:rsid w:val="1C4B3813"/>
    <w:rsid w:val="1C5B5914"/>
    <w:rsid w:val="1C807FCE"/>
    <w:rsid w:val="1C825FF9"/>
    <w:rsid w:val="1C864A20"/>
    <w:rsid w:val="1CA35A5D"/>
    <w:rsid w:val="1CBB092F"/>
    <w:rsid w:val="1CC57CC9"/>
    <w:rsid w:val="1CC670EE"/>
    <w:rsid w:val="1CCC3229"/>
    <w:rsid w:val="1CEE1F73"/>
    <w:rsid w:val="1CFA75DD"/>
    <w:rsid w:val="1CFC16DE"/>
    <w:rsid w:val="1D1A2F73"/>
    <w:rsid w:val="1D265AD0"/>
    <w:rsid w:val="1D4860AC"/>
    <w:rsid w:val="1D4F6142"/>
    <w:rsid w:val="1D527E58"/>
    <w:rsid w:val="1D714C82"/>
    <w:rsid w:val="1D767F48"/>
    <w:rsid w:val="1D8532A9"/>
    <w:rsid w:val="1DC62616"/>
    <w:rsid w:val="1DD9496F"/>
    <w:rsid w:val="1E382A67"/>
    <w:rsid w:val="1E42613D"/>
    <w:rsid w:val="1E484788"/>
    <w:rsid w:val="1E567115"/>
    <w:rsid w:val="1E634E61"/>
    <w:rsid w:val="1E6B2E70"/>
    <w:rsid w:val="1E7C3D8A"/>
    <w:rsid w:val="1EA356EA"/>
    <w:rsid w:val="1EB73811"/>
    <w:rsid w:val="1F3A72BD"/>
    <w:rsid w:val="1F444828"/>
    <w:rsid w:val="1F4D4DB6"/>
    <w:rsid w:val="1F845030"/>
    <w:rsid w:val="1F8A1413"/>
    <w:rsid w:val="1FA76E67"/>
    <w:rsid w:val="1FA90056"/>
    <w:rsid w:val="1FB65710"/>
    <w:rsid w:val="1FE1584E"/>
    <w:rsid w:val="1FE529F2"/>
    <w:rsid w:val="2006569D"/>
    <w:rsid w:val="20477A01"/>
    <w:rsid w:val="206072F7"/>
    <w:rsid w:val="208E6E0B"/>
    <w:rsid w:val="209A09D7"/>
    <w:rsid w:val="20A82056"/>
    <w:rsid w:val="20AC402F"/>
    <w:rsid w:val="20CB5BF0"/>
    <w:rsid w:val="20D163CA"/>
    <w:rsid w:val="20D94915"/>
    <w:rsid w:val="20F1668D"/>
    <w:rsid w:val="211760BC"/>
    <w:rsid w:val="212F0B83"/>
    <w:rsid w:val="215B5B29"/>
    <w:rsid w:val="21DF4E50"/>
    <w:rsid w:val="21E563CE"/>
    <w:rsid w:val="21F07845"/>
    <w:rsid w:val="22124A61"/>
    <w:rsid w:val="222E1053"/>
    <w:rsid w:val="225C5D5B"/>
    <w:rsid w:val="22632497"/>
    <w:rsid w:val="22AA67A1"/>
    <w:rsid w:val="22B51778"/>
    <w:rsid w:val="22E74322"/>
    <w:rsid w:val="22EB68CB"/>
    <w:rsid w:val="22F418E1"/>
    <w:rsid w:val="22FB2088"/>
    <w:rsid w:val="230A71CF"/>
    <w:rsid w:val="23112E7E"/>
    <w:rsid w:val="23576FB8"/>
    <w:rsid w:val="23AF1AC9"/>
    <w:rsid w:val="23AF4E6A"/>
    <w:rsid w:val="23B90846"/>
    <w:rsid w:val="23D17176"/>
    <w:rsid w:val="23E3329B"/>
    <w:rsid w:val="23EC3A28"/>
    <w:rsid w:val="23EE4289"/>
    <w:rsid w:val="23EF0F02"/>
    <w:rsid w:val="24151B98"/>
    <w:rsid w:val="241A2C4F"/>
    <w:rsid w:val="242129F9"/>
    <w:rsid w:val="2433187A"/>
    <w:rsid w:val="24465B52"/>
    <w:rsid w:val="24692A5B"/>
    <w:rsid w:val="24712A8F"/>
    <w:rsid w:val="24842A91"/>
    <w:rsid w:val="24EE4A55"/>
    <w:rsid w:val="24F84BD0"/>
    <w:rsid w:val="2503688A"/>
    <w:rsid w:val="250D607D"/>
    <w:rsid w:val="25164C41"/>
    <w:rsid w:val="25177802"/>
    <w:rsid w:val="25201620"/>
    <w:rsid w:val="25537B5A"/>
    <w:rsid w:val="25573D92"/>
    <w:rsid w:val="255810F8"/>
    <w:rsid w:val="255A1335"/>
    <w:rsid w:val="25791C0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CE5EEF"/>
    <w:rsid w:val="27FF38FF"/>
    <w:rsid w:val="28173EBF"/>
    <w:rsid w:val="281C62D3"/>
    <w:rsid w:val="2828479D"/>
    <w:rsid w:val="28452A97"/>
    <w:rsid w:val="285F5C4A"/>
    <w:rsid w:val="287774BA"/>
    <w:rsid w:val="28C45743"/>
    <w:rsid w:val="28C86A2E"/>
    <w:rsid w:val="28D93758"/>
    <w:rsid w:val="28E45B3C"/>
    <w:rsid w:val="28E818A5"/>
    <w:rsid w:val="290C16D2"/>
    <w:rsid w:val="29382C3B"/>
    <w:rsid w:val="294206A7"/>
    <w:rsid w:val="295B75F1"/>
    <w:rsid w:val="29617CE2"/>
    <w:rsid w:val="296E0309"/>
    <w:rsid w:val="299B236E"/>
    <w:rsid w:val="29AC7287"/>
    <w:rsid w:val="29B24EF5"/>
    <w:rsid w:val="29E32AA7"/>
    <w:rsid w:val="29E35EE3"/>
    <w:rsid w:val="2A4A7932"/>
    <w:rsid w:val="2A5C63A7"/>
    <w:rsid w:val="2A6D6F90"/>
    <w:rsid w:val="2A864C63"/>
    <w:rsid w:val="2AA00028"/>
    <w:rsid w:val="2AB45DF7"/>
    <w:rsid w:val="2AB82483"/>
    <w:rsid w:val="2AD82733"/>
    <w:rsid w:val="2AD9619B"/>
    <w:rsid w:val="2AE13145"/>
    <w:rsid w:val="2AE40EA9"/>
    <w:rsid w:val="2AFC6512"/>
    <w:rsid w:val="2B186F23"/>
    <w:rsid w:val="2B6007B5"/>
    <w:rsid w:val="2B6911F0"/>
    <w:rsid w:val="2B8B4CC5"/>
    <w:rsid w:val="2B995E7A"/>
    <w:rsid w:val="2BA472C5"/>
    <w:rsid w:val="2BAB1B4B"/>
    <w:rsid w:val="2BB370F2"/>
    <w:rsid w:val="2BE14742"/>
    <w:rsid w:val="2BFD18E1"/>
    <w:rsid w:val="2C136EEB"/>
    <w:rsid w:val="2C28319A"/>
    <w:rsid w:val="2C393A8C"/>
    <w:rsid w:val="2C3E0754"/>
    <w:rsid w:val="2C5954AF"/>
    <w:rsid w:val="2C683624"/>
    <w:rsid w:val="2C765850"/>
    <w:rsid w:val="2CA13196"/>
    <w:rsid w:val="2CA15C86"/>
    <w:rsid w:val="2CC258F1"/>
    <w:rsid w:val="2D0A2886"/>
    <w:rsid w:val="2D114A45"/>
    <w:rsid w:val="2D14722D"/>
    <w:rsid w:val="2D201C06"/>
    <w:rsid w:val="2D497CFA"/>
    <w:rsid w:val="2D4A6BCC"/>
    <w:rsid w:val="2D531A92"/>
    <w:rsid w:val="2D5559EE"/>
    <w:rsid w:val="2D5B4AF5"/>
    <w:rsid w:val="2D6C1624"/>
    <w:rsid w:val="2D6E6496"/>
    <w:rsid w:val="2D9A56E9"/>
    <w:rsid w:val="2D9F2F8E"/>
    <w:rsid w:val="2DA94576"/>
    <w:rsid w:val="2DEF5B92"/>
    <w:rsid w:val="2DFC51E3"/>
    <w:rsid w:val="2E11510E"/>
    <w:rsid w:val="2E514CE7"/>
    <w:rsid w:val="2E700F13"/>
    <w:rsid w:val="2E85644A"/>
    <w:rsid w:val="2ED71E94"/>
    <w:rsid w:val="2F0D69E0"/>
    <w:rsid w:val="2F2D580F"/>
    <w:rsid w:val="2F4C533E"/>
    <w:rsid w:val="2F5D284E"/>
    <w:rsid w:val="2F7C0FE4"/>
    <w:rsid w:val="2FBD50C9"/>
    <w:rsid w:val="2FD55076"/>
    <w:rsid w:val="2FD82029"/>
    <w:rsid w:val="2FE02E0F"/>
    <w:rsid w:val="2FE82F4B"/>
    <w:rsid w:val="2FF54433"/>
    <w:rsid w:val="301B1DEB"/>
    <w:rsid w:val="303A498C"/>
    <w:rsid w:val="304361D7"/>
    <w:rsid w:val="309053F0"/>
    <w:rsid w:val="30971A44"/>
    <w:rsid w:val="30A71A03"/>
    <w:rsid w:val="30B76DD3"/>
    <w:rsid w:val="31200CA6"/>
    <w:rsid w:val="312B25D1"/>
    <w:rsid w:val="312D07C4"/>
    <w:rsid w:val="31607A38"/>
    <w:rsid w:val="316D61ED"/>
    <w:rsid w:val="31A31257"/>
    <w:rsid w:val="31C82735"/>
    <w:rsid w:val="31D26289"/>
    <w:rsid w:val="31E51061"/>
    <w:rsid w:val="31F85B08"/>
    <w:rsid w:val="31FF6390"/>
    <w:rsid w:val="32B43F62"/>
    <w:rsid w:val="32BE4472"/>
    <w:rsid w:val="32D0708B"/>
    <w:rsid w:val="331368C5"/>
    <w:rsid w:val="33237731"/>
    <w:rsid w:val="33242675"/>
    <w:rsid w:val="332544EC"/>
    <w:rsid w:val="332C53ED"/>
    <w:rsid w:val="333635A1"/>
    <w:rsid w:val="33427A8A"/>
    <w:rsid w:val="3345492A"/>
    <w:rsid w:val="335A0A43"/>
    <w:rsid w:val="337B1669"/>
    <w:rsid w:val="337D1DE2"/>
    <w:rsid w:val="33A07769"/>
    <w:rsid w:val="33F16546"/>
    <w:rsid w:val="341546E7"/>
    <w:rsid w:val="343108D0"/>
    <w:rsid w:val="34797042"/>
    <w:rsid w:val="348120F8"/>
    <w:rsid w:val="34815805"/>
    <w:rsid w:val="34891A30"/>
    <w:rsid w:val="34CC4C21"/>
    <w:rsid w:val="34E53739"/>
    <w:rsid w:val="35150C1D"/>
    <w:rsid w:val="352168AD"/>
    <w:rsid w:val="353460D9"/>
    <w:rsid w:val="354406FB"/>
    <w:rsid w:val="35446D13"/>
    <w:rsid w:val="35491572"/>
    <w:rsid w:val="35577A6D"/>
    <w:rsid w:val="355E5798"/>
    <w:rsid w:val="356B7EB7"/>
    <w:rsid w:val="357655DF"/>
    <w:rsid w:val="35906881"/>
    <w:rsid w:val="35995E12"/>
    <w:rsid w:val="35B244B3"/>
    <w:rsid w:val="35BC2A54"/>
    <w:rsid w:val="35BE6A26"/>
    <w:rsid w:val="35D822F1"/>
    <w:rsid w:val="36002D6F"/>
    <w:rsid w:val="3618509E"/>
    <w:rsid w:val="361F664A"/>
    <w:rsid w:val="3656053F"/>
    <w:rsid w:val="365A7BD6"/>
    <w:rsid w:val="36680F65"/>
    <w:rsid w:val="366F636A"/>
    <w:rsid w:val="367E431F"/>
    <w:rsid w:val="36922539"/>
    <w:rsid w:val="36A30626"/>
    <w:rsid w:val="36AE7720"/>
    <w:rsid w:val="36D23FC0"/>
    <w:rsid w:val="36DC5906"/>
    <w:rsid w:val="36E1278F"/>
    <w:rsid w:val="37077167"/>
    <w:rsid w:val="371E0E9F"/>
    <w:rsid w:val="375A1A64"/>
    <w:rsid w:val="37720598"/>
    <w:rsid w:val="37A76CB0"/>
    <w:rsid w:val="37E7463B"/>
    <w:rsid w:val="37E77D81"/>
    <w:rsid w:val="37E86146"/>
    <w:rsid w:val="38051F75"/>
    <w:rsid w:val="3828047D"/>
    <w:rsid w:val="3832060D"/>
    <w:rsid w:val="383E5D13"/>
    <w:rsid w:val="38527D74"/>
    <w:rsid w:val="388D160E"/>
    <w:rsid w:val="38977FAC"/>
    <w:rsid w:val="38A725AB"/>
    <w:rsid w:val="38CE00A1"/>
    <w:rsid w:val="38D07720"/>
    <w:rsid w:val="38D35437"/>
    <w:rsid w:val="38E64434"/>
    <w:rsid w:val="38E94A2A"/>
    <w:rsid w:val="38F33B9F"/>
    <w:rsid w:val="38F35351"/>
    <w:rsid w:val="38F513D0"/>
    <w:rsid w:val="39072DA0"/>
    <w:rsid w:val="39314D94"/>
    <w:rsid w:val="39342951"/>
    <w:rsid w:val="3952420A"/>
    <w:rsid w:val="396335F9"/>
    <w:rsid w:val="397A71EE"/>
    <w:rsid w:val="39901D2E"/>
    <w:rsid w:val="39B642D6"/>
    <w:rsid w:val="39C84498"/>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C401E1A"/>
    <w:rsid w:val="3C920DF0"/>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829BD"/>
    <w:rsid w:val="3DDD07CC"/>
    <w:rsid w:val="3DE43B38"/>
    <w:rsid w:val="3E197238"/>
    <w:rsid w:val="3E24017F"/>
    <w:rsid w:val="3E323C0A"/>
    <w:rsid w:val="3E3B2304"/>
    <w:rsid w:val="3E7876A1"/>
    <w:rsid w:val="3E8149E8"/>
    <w:rsid w:val="3EA52028"/>
    <w:rsid w:val="3EA60FBC"/>
    <w:rsid w:val="3EBA58E0"/>
    <w:rsid w:val="3EC36BFF"/>
    <w:rsid w:val="3EC6214E"/>
    <w:rsid w:val="3F466DAD"/>
    <w:rsid w:val="3F674697"/>
    <w:rsid w:val="3F794848"/>
    <w:rsid w:val="3F9B7C57"/>
    <w:rsid w:val="3FA34BA7"/>
    <w:rsid w:val="40196D3B"/>
    <w:rsid w:val="402C4D17"/>
    <w:rsid w:val="40544683"/>
    <w:rsid w:val="405764E0"/>
    <w:rsid w:val="40745E25"/>
    <w:rsid w:val="407943F8"/>
    <w:rsid w:val="40B1416E"/>
    <w:rsid w:val="40B8754E"/>
    <w:rsid w:val="40BD7D08"/>
    <w:rsid w:val="40DD37E5"/>
    <w:rsid w:val="40E6701E"/>
    <w:rsid w:val="40F06EB9"/>
    <w:rsid w:val="40F42743"/>
    <w:rsid w:val="41021168"/>
    <w:rsid w:val="410B6192"/>
    <w:rsid w:val="410F0271"/>
    <w:rsid w:val="413269B3"/>
    <w:rsid w:val="4146051F"/>
    <w:rsid w:val="414A2837"/>
    <w:rsid w:val="415E5B36"/>
    <w:rsid w:val="41BD0421"/>
    <w:rsid w:val="41D00B16"/>
    <w:rsid w:val="41D61D60"/>
    <w:rsid w:val="41EE01F7"/>
    <w:rsid w:val="41F86803"/>
    <w:rsid w:val="42164393"/>
    <w:rsid w:val="42202300"/>
    <w:rsid w:val="42502DBA"/>
    <w:rsid w:val="425F3B61"/>
    <w:rsid w:val="42647B93"/>
    <w:rsid w:val="427C3D01"/>
    <w:rsid w:val="428329AE"/>
    <w:rsid w:val="42950D32"/>
    <w:rsid w:val="42D16E15"/>
    <w:rsid w:val="42E73C50"/>
    <w:rsid w:val="42FE308B"/>
    <w:rsid w:val="430D6D78"/>
    <w:rsid w:val="4327159F"/>
    <w:rsid w:val="432D34DB"/>
    <w:rsid w:val="43353889"/>
    <w:rsid w:val="434A55A8"/>
    <w:rsid w:val="436215CF"/>
    <w:rsid w:val="4363675F"/>
    <w:rsid w:val="437152B6"/>
    <w:rsid w:val="43817B85"/>
    <w:rsid w:val="43826E71"/>
    <w:rsid w:val="438C223A"/>
    <w:rsid w:val="439D2630"/>
    <w:rsid w:val="43EA0710"/>
    <w:rsid w:val="44507E68"/>
    <w:rsid w:val="44800C43"/>
    <w:rsid w:val="44DB4FCD"/>
    <w:rsid w:val="451B11A5"/>
    <w:rsid w:val="453A68D8"/>
    <w:rsid w:val="45803D6A"/>
    <w:rsid w:val="45880DC1"/>
    <w:rsid w:val="459E1709"/>
    <w:rsid w:val="45A23A5F"/>
    <w:rsid w:val="45B34DBA"/>
    <w:rsid w:val="45BA5886"/>
    <w:rsid w:val="45DF4336"/>
    <w:rsid w:val="460F1470"/>
    <w:rsid w:val="46276F82"/>
    <w:rsid w:val="4630621B"/>
    <w:rsid w:val="46483BF1"/>
    <w:rsid w:val="46660544"/>
    <w:rsid w:val="46981B6A"/>
    <w:rsid w:val="46C44CB1"/>
    <w:rsid w:val="46D31D07"/>
    <w:rsid w:val="46D65712"/>
    <w:rsid w:val="47014642"/>
    <w:rsid w:val="472C71B9"/>
    <w:rsid w:val="473D19FE"/>
    <w:rsid w:val="477C395A"/>
    <w:rsid w:val="47E27C6C"/>
    <w:rsid w:val="47F82EC0"/>
    <w:rsid w:val="48184CDA"/>
    <w:rsid w:val="48440270"/>
    <w:rsid w:val="488055D6"/>
    <w:rsid w:val="488A3B4F"/>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C26A24"/>
    <w:rsid w:val="4AFB6587"/>
    <w:rsid w:val="4B13134E"/>
    <w:rsid w:val="4B232B6E"/>
    <w:rsid w:val="4B387251"/>
    <w:rsid w:val="4B750526"/>
    <w:rsid w:val="4B8003F3"/>
    <w:rsid w:val="4B895F92"/>
    <w:rsid w:val="4BA27D69"/>
    <w:rsid w:val="4BA86E5C"/>
    <w:rsid w:val="4BD255D4"/>
    <w:rsid w:val="4BD97D96"/>
    <w:rsid w:val="4BFA2797"/>
    <w:rsid w:val="4BFF0E28"/>
    <w:rsid w:val="4C165BFD"/>
    <w:rsid w:val="4C1F4452"/>
    <w:rsid w:val="4C4A4B42"/>
    <w:rsid w:val="4C7E5299"/>
    <w:rsid w:val="4C8D50BF"/>
    <w:rsid w:val="4C963B70"/>
    <w:rsid w:val="4CA54603"/>
    <w:rsid w:val="4CD14D2B"/>
    <w:rsid w:val="4CD83308"/>
    <w:rsid w:val="4CED2962"/>
    <w:rsid w:val="4CF813FD"/>
    <w:rsid w:val="4D084D38"/>
    <w:rsid w:val="4D230C0D"/>
    <w:rsid w:val="4D4E7CD3"/>
    <w:rsid w:val="4D98678F"/>
    <w:rsid w:val="4DA84062"/>
    <w:rsid w:val="4DB43701"/>
    <w:rsid w:val="4DDD23AC"/>
    <w:rsid w:val="4DEF4CFA"/>
    <w:rsid w:val="4DEF7E22"/>
    <w:rsid w:val="4DF31C11"/>
    <w:rsid w:val="4DFD2351"/>
    <w:rsid w:val="4E0A160C"/>
    <w:rsid w:val="4E2B1A47"/>
    <w:rsid w:val="4E432C41"/>
    <w:rsid w:val="4E7A31EE"/>
    <w:rsid w:val="4EC902C2"/>
    <w:rsid w:val="4ED1623E"/>
    <w:rsid w:val="4EE361B8"/>
    <w:rsid w:val="4EFB7EDE"/>
    <w:rsid w:val="4F1F1701"/>
    <w:rsid w:val="4F4D11C7"/>
    <w:rsid w:val="4F575A13"/>
    <w:rsid w:val="4F733441"/>
    <w:rsid w:val="4F750D06"/>
    <w:rsid w:val="4F9E44CA"/>
    <w:rsid w:val="4FA770AE"/>
    <w:rsid w:val="4FB94E78"/>
    <w:rsid w:val="4FCF1816"/>
    <w:rsid w:val="4FEB6DB3"/>
    <w:rsid w:val="4FF0542B"/>
    <w:rsid w:val="50092F8F"/>
    <w:rsid w:val="501854D6"/>
    <w:rsid w:val="50360195"/>
    <w:rsid w:val="50553563"/>
    <w:rsid w:val="50592A1A"/>
    <w:rsid w:val="506F5409"/>
    <w:rsid w:val="507E1EEF"/>
    <w:rsid w:val="50DF24D8"/>
    <w:rsid w:val="50E716C8"/>
    <w:rsid w:val="50FA7977"/>
    <w:rsid w:val="50FB03C4"/>
    <w:rsid w:val="51070F2E"/>
    <w:rsid w:val="51142C77"/>
    <w:rsid w:val="511F4CD6"/>
    <w:rsid w:val="51686850"/>
    <w:rsid w:val="517A7E74"/>
    <w:rsid w:val="51B17968"/>
    <w:rsid w:val="51BE579D"/>
    <w:rsid w:val="51ED5DCB"/>
    <w:rsid w:val="51EE6382"/>
    <w:rsid w:val="522B3695"/>
    <w:rsid w:val="522F353D"/>
    <w:rsid w:val="5248671B"/>
    <w:rsid w:val="524F3B94"/>
    <w:rsid w:val="52751C0F"/>
    <w:rsid w:val="52D4340A"/>
    <w:rsid w:val="52E10787"/>
    <w:rsid w:val="53637539"/>
    <w:rsid w:val="5367331F"/>
    <w:rsid w:val="53A652BB"/>
    <w:rsid w:val="53C9620D"/>
    <w:rsid w:val="53E74EDB"/>
    <w:rsid w:val="53F66153"/>
    <w:rsid w:val="53F971F0"/>
    <w:rsid w:val="53FB451E"/>
    <w:rsid w:val="54001E25"/>
    <w:rsid w:val="540E49BE"/>
    <w:rsid w:val="54203525"/>
    <w:rsid w:val="5438386B"/>
    <w:rsid w:val="545661A8"/>
    <w:rsid w:val="54847625"/>
    <w:rsid w:val="54B0541D"/>
    <w:rsid w:val="54B11B55"/>
    <w:rsid w:val="54B247BB"/>
    <w:rsid w:val="54EE5947"/>
    <w:rsid w:val="5513022F"/>
    <w:rsid w:val="55501CD9"/>
    <w:rsid w:val="55663A71"/>
    <w:rsid w:val="556A5789"/>
    <w:rsid w:val="559F3434"/>
    <w:rsid w:val="55B623BE"/>
    <w:rsid w:val="55C62DF5"/>
    <w:rsid w:val="55DF7D1C"/>
    <w:rsid w:val="55E51DF7"/>
    <w:rsid w:val="55EE7739"/>
    <w:rsid w:val="55F62827"/>
    <w:rsid w:val="55FE64C0"/>
    <w:rsid w:val="5630671D"/>
    <w:rsid w:val="5632011C"/>
    <w:rsid w:val="563A356B"/>
    <w:rsid w:val="56621453"/>
    <w:rsid w:val="56783306"/>
    <w:rsid w:val="568A6076"/>
    <w:rsid w:val="568A6752"/>
    <w:rsid w:val="568C3F71"/>
    <w:rsid w:val="568D436A"/>
    <w:rsid w:val="56B055BC"/>
    <w:rsid w:val="56C1107F"/>
    <w:rsid w:val="56DE235C"/>
    <w:rsid w:val="56FD54DC"/>
    <w:rsid w:val="570A0C39"/>
    <w:rsid w:val="570A5A0C"/>
    <w:rsid w:val="574A1676"/>
    <w:rsid w:val="574A459A"/>
    <w:rsid w:val="57507EF7"/>
    <w:rsid w:val="57530EB6"/>
    <w:rsid w:val="57652950"/>
    <w:rsid w:val="576615A2"/>
    <w:rsid w:val="57A37B3F"/>
    <w:rsid w:val="57DE176D"/>
    <w:rsid w:val="58051827"/>
    <w:rsid w:val="58346AE0"/>
    <w:rsid w:val="58461A4D"/>
    <w:rsid w:val="5852271D"/>
    <w:rsid w:val="58706933"/>
    <w:rsid w:val="589A4E1B"/>
    <w:rsid w:val="58FA0801"/>
    <w:rsid w:val="5904690A"/>
    <w:rsid w:val="591A2A68"/>
    <w:rsid w:val="592336D0"/>
    <w:rsid w:val="59273E6A"/>
    <w:rsid w:val="59445D3E"/>
    <w:rsid w:val="595479FF"/>
    <w:rsid w:val="598E14FD"/>
    <w:rsid w:val="59905B7F"/>
    <w:rsid w:val="59E3110A"/>
    <w:rsid w:val="59F61F47"/>
    <w:rsid w:val="5A0A19A8"/>
    <w:rsid w:val="5A15589C"/>
    <w:rsid w:val="5A347622"/>
    <w:rsid w:val="5A3C7DAC"/>
    <w:rsid w:val="5A3F268A"/>
    <w:rsid w:val="5A965ED7"/>
    <w:rsid w:val="5A9F65A3"/>
    <w:rsid w:val="5AAC5E8A"/>
    <w:rsid w:val="5AD219D2"/>
    <w:rsid w:val="5AEF4A27"/>
    <w:rsid w:val="5B4051A5"/>
    <w:rsid w:val="5B7C29AB"/>
    <w:rsid w:val="5B986277"/>
    <w:rsid w:val="5BAF7552"/>
    <w:rsid w:val="5C0105A7"/>
    <w:rsid w:val="5C1B5746"/>
    <w:rsid w:val="5C320050"/>
    <w:rsid w:val="5C494700"/>
    <w:rsid w:val="5C4B40E5"/>
    <w:rsid w:val="5C790E14"/>
    <w:rsid w:val="5C7C1436"/>
    <w:rsid w:val="5C8A3BC2"/>
    <w:rsid w:val="5CC43B58"/>
    <w:rsid w:val="5CDC0284"/>
    <w:rsid w:val="5CEF35D9"/>
    <w:rsid w:val="5D2B07EE"/>
    <w:rsid w:val="5D48016A"/>
    <w:rsid w:val="5D6913B3"/>
    <w:rsid w:val="5D773D59"/>
    <w:rsid w:val="5D8B4093"/>
    <w:rsid w:val="5DB8685E"/>
    <w:rsid w:val="5DBD6713"/>
    <w:rsid w:val="5DC47C5B"/>
    <w:rsid w:val="5DFA514F"/>
    <w:rsid w:val="5E19076E"/>
    <w:rsid w:val="5E321ED9"/>
    <w:rsid w:val="5E332186"/>
    <w:rsid w:val="5E9C591A"/>
    <w:rsid w:val="5EE05C0D"/>
    <w:rsid w:val="5EE5484E"/>
    <w:rsid w:val="5EE81299"/>
    <w:rsid w:val="5F0B5DDB"/>
    <w:rsid w:val="5F1D4AF2"/>
    <w:rsid w:val="5F245978"/>
    <w:rsid w:val="5F2477FA"/>
    <w:rsid w:val="5F31588B"/>
    <w:rsid w:val="5F923565"/>
    <w:rsid w:val="5FA7529F"/>
    <w:rsid w:val="5FD301A1"/>
    <w:rsid w:val="5FE53E07"/>
    <w:rsid w:val="5FF150DF"/>
    <w:rsid w:val="600229F0"/>
    <w:rsid w:val="602925E7"/>
    <w:rsid w:val="604828EF"/>
    <w:rsid w:val="604B6261"/>
    <w:rsid w:val="605B2C04"/>
    <w:rsid w:val="606B0C4A"/>
    <w:rsid w:val="607A7D44"/>
    <w:rsid w:val="60A90BD5"/>
    <w:rsid w:val="60CE303D"/>
    <w:rsid w:val="60EC4185"/>
    <w:rsid w:val="60FB0385"/>
    <w:rsid w:val="614319A1"/>
    <w:rsid w:val="614C35F5"/>
    <w:rsid w:val="61524E4C"/>
    <w:rsid w:val="615B60AF"/>
    <w:rsid w:val="617E3A05"/>
    <w:rsid w:val="619C60A9"/>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2025BB"/>
    <w:rsid w:val="63427313"/>
    <w:rsid w:val="637113C7"/>
    <w:rsid w:val="6399402F"/>
    <w:rsid w:val="63B357B1"/>
    <w:rsid w:val="63B776A1"/>
    <w:rsid w:val="63C95418"/>
    <w:rsid w:val="64017CDA"/>
    <w:rsid w:val="64144F00"/>
    <w:rsid w:val="6437378F"/>
    <w:rsid w:val="64507592"/>
    <w:rsid w:val="64803237"/>
    <w:rsid w:val="64AC3D58"/>
    <w:rsid w:val="64E96AEB"/>
    <w:rsid w:val="654A5137"/>
    <w:rsid w:val="656202B8"/>
    <w:rsid w:val="656A00FA"/>
    <w:rsid w:val="657B44FB"/>
    <w:rsid w:val="65806949"/>
    <w:rsid w:val="658D46CF"/>
    <w:rsid w:val="65DF67CB"/>
    <w:rsid w:val="65ED6EB4"/>
    <w:rsid w:val="65F70C5F"/>
    <w:rsid w:val="660447FF"/>
    <w:rsid w:val="66194C4A"/>
    <w:rsid w:val="662863D0"/>
    <w:rsid w:val="66305190"/>
    <w:rsid w:val="66384AA8"/>
    <w:rsid w:val="663D3C1C"/>
    <w:rsid w:val="665E5B1B"/>
    <w:rsid w:val="668003E0"/>
    <w:rsid w:val="66991162"/>
    <w:rsid w:val="66B17443"/>
    <w:rsid w:val="66E77CD1"/>
    <w:rsid w:val="67397DB3"/>
    <w:rsid w:val="676F4A49"/>
    <w:rsid w:val="67976253"/>
    <w:rsid w:val="67A337F5"/>
    <w:rsid w:val="67A46D34"/>
    <w:rsid w:val="67C933E3"/>
    <w:rsid w:val="67F05320"/>
    <w:rsid w:val="680B4AF5"/>
    <w:rsid w:val="685A3C7C"/>
    <w:rsid w:val="68732E59"/>
    <w:rsid w:val="6880447B"/>
    <w:rsid w:val="688C6207"/>
    <w:rsid w:val="68A8404F"/>
    <w:rsid w:val="68E00D94"/>
    <w:rsid w:val="68F331B5"/>
    <w:rsid w:val="69086590"/>
    <w:rsid w:val="690960EE"/>
    <w:rsid w:val="695B3155"/>
    <w:rsid w:val="69743B79"/>
    <w:rsid w:val="69856A65"/>
    <w:rsid w:val="69AC2E6D"/>
    <w:rsid w:val="69B00F02"/>
    <w:rsid w:val="69C22990"/>
    <w:rsid w:val="69D313DD"/>
    <w:rsid w:val="69EC41C7"/>
    <w:rsid w:val="69F34593"/>
    <w:rsid w:val="69F43330"/>
    <w:rsid w:val="69FF5191"/>
    <w:rsid w:val="6A096586"/>
    <w:rsid w:val="6A1D72DD"/>
    <w:rsid w:val="6A2E4AB1"/>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59783B"/>
    <w:rsid w:val="6C8508CC"/>
    <w:rsid w:val="6CA25869"/>
    <w:rsid w:val="6CC32924"/>
    <w:rsid w:val="6CCC42B0"/>
    <w:rsid w:val="6CE3660D"/>
    <w:rsid w:val="6CEB7132"/>
    <w:rsid w:val="6CEC4A10"/>
    <w:rsid w:val="6D154FB5"/>
    <w:rsid w:val="6D653588"/>
    <w:rsid w:val="6D760601"/>
    <w:rsid w:val="6D887135"/>
    <w:rsid w:val="6D8D5EDA"/>
    <w:rsid w:val="6DA14A3B"/>
    <w:rsid w:val="6DD312E4"/>
    <w:rsid w:val="6DE16578"/>
    <w:rsid w:val="6E2B3705"/>
    <w:rsid w:val="6E3378A3"/>
    <w:rsid w:val="6E360A08"/>
    <w:rsid w:val="6E47459E"/>
    <w:rsid w:val="6E6F0A0B"/>
    <w:rsid w:val="6E760705"/>
    <w:rsid w:val="6E7A4EC3"/>
    <w:rsid w:val="6E883319"/>
    <w:rsid w:val="6EA95FBE"/>
    <w:rsid w:val="6EAB6DBA"/>
    <w:rsid w:val="6EAC4EA4"/>
    <w:rsid w:val="6ED40F99"/>
    <w:rsid w:val="6ED75CE0"/>
    <w:rsid w:val="6EDC5CDA"/>
    <w:rsid w:val="6F073C7A"/>
    <w:rsid w:val="6F166D30"/>
    <w:rsid w:val="6F1D2B2D"/>
    <w:rsid w:val="6F521D1A"/>
    <w:rsid w:val="6F590238"/>
    <w:rsid w:val="6F5E4765"/>
    <w:rsid w:val="6F65356C"/>
    <w:rsid w:val="6F7539A7"/>
    <w:rsid w:val="6F7A220E"/>
    <w:rsid w:val="6F7D56B3"/>
    <w:rsid w:val="6F946221"/>
    <w:rsid w:val="6F9715A1"/>
    <w:rsid w:val="6FDB6CC8"/>
    <w:rsid w:val="6FEE1CB5"/>
    <w:rsid w:val="6FFF422E"/>
    <w:rsid w:val="70084D89"/>
    <w:rsid w:val="707B282F"/>
    <w:rsid w:val="7081021E"/>
    <w:rsid w:val="70884927"/>
    <w:rsid w:val="708A7E30"/>
    <w:rsid w:val="70940D5A"/>
    <w:rsid w:val="70CA78D6"/>
    <w:rsid w:val="70F80517"/>
    <w:rsid w:val="7151205B"/>
    <w:rsid w:val="71586E5A"/>
    <w:rsid w:val="715B3E96"/>
    <w:rsid w:val="71884FBD"/>
    <w:rsid w:val="7192293B"/>
    <w:rsid w:val="719E1F90"/>
    <w:rsid w:val="71A0032A"/>
    <w:rsid w:val="71C109B9"/>
    <w:rsid w:val="721D7820"/>
    <w:rsid w:val="72600905"/>
    <w:rsid w:val="72690461"/>
    <w:rsid w:val="729A2792"/>
    <w:rsid w:val="72BF3583"/>
    <w:rsid w:val="72EE59B4"/>
    <w:rsid w:val="73114271"/>
    <w:rsid w:val="733B61CF"/>
    <w:rsid w:val="73546BA4"/>
    <w:rsid w:val="736B60F2"/>
    <w:rsid w:val="737E6E1F"/>
    <w:rsid w:val="738556EF"/>
    <w:rsid w:val="73C23401"/>
    <w:rsid w:val="73DE6DF5"/>
    <w:rsid w:val="73E54A68"/>
    <w:rsid w:val="742A2BCD"/>
    <w:rsid w:val="742A7075"/>
    <w:rsid w:val="743B3197"/>
    <w:rsid w:val="743B7B94"/>
    <w:rsid w:val="7455337E"/>
    <w:rsid w:val="747913A3"/>
    <w:rsid w:val="749D0716"/>
    <w:rsid w:val="74A84516"/>
    <w:rsid w:val="74AA0F3E"/>
    <w:rsid w:val="74B33A93"/>
    <w:rsid w:val="74FA131B"/>
    <w:rsid w:val="752E4780"/>
    <w:rsid w:val="753B039A"/>
    <w:rsid w:val="753B4B58"/>
    <w:rsid w:val="753C0018"/>
    <w:rsid w:val="756A2B2A"/>
    <w:rsid w:val="757F689B"/>
    <w:rsid w:val="758768A9"/>
    <w:rsid w:val="75B87600"/>
    <w:rsid w:val="75BF5554"/>
    <w:rsid w:val="763368A0"/>
    <w:rsid w:val="766008D0"/>
    <w:rsid w:val="766963BF"/>
    <w:rsid w:val="766B45E7"/>
    <w:rsid w:val="76730668"/>
    <w:rsid w:val="767C0347"/>
    <w:rsid w:val="76971BAC"/>
    <w:rsid w:val="76A44790"/>
    <w:rsid w:val="76A84336"/>
    <w:rsid w:val="77170794"/>
    <w:rsid w:val="772E2F50"/>
    <w:rsid w:val="773223AD"/>
    <w:rsid w:val="773F479D"/>
    <w:rsid w:val="77481B4F"/>
    <w:rsid w:val="775252D0"/>
    <w:rsid w:val="776B1197"/>
    <w:rsid w:val="777F7E7E"/>
    <w:rsid w:val="77D91F39"/>
    <w:rsid w:val="77E763B3"/>
    <w:rsid w:val="77FB442E"/>
    <w:rsid w:val="783D7A4B"/>
    <w:rsid w:val="784561C3"/>
    <w:rsid w:val="78541389"/>
    <w:rsid w:val="78774485"/>
    <w:rsid w:val="78877660"/>
    <w:rsid w:val="789C3665"/>
    <w:rsid w:val="78E02236"/>
    <w:rsid w:val="78E86041"/>
    <w:rsid w:val="793C7926"/>
    <w:rsid w:val="79514A92"/>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714CE7"/>
    <w:rsid w:val="7A7F48E8"/>
    <w:rsid w:val="7A7F6691"/>
    <w:rsid w:val="7A9221EA"/>
    <w:rsid w:val="7AA06D58"/>
    <w:rsid w:val="7AA36CA7"/>
    <w:rsid w:val="7ADC074F"/>
    <w:rsid w:val="7AE922FC"/>
    <w:rsid w:val="7AF64447"/>
    <w:rsid w:val="7B2565F7"/>
    <w:rsid w:val="7B304DFB"/>
    <w:rsid w:val="7B341E1B"/>
    <w:rsid w:val="7B62085C"/>
    <w:rsid w:val="7B66517C"/>
    <w:rsid w:val="7B6E4DD3"/>
    <w:rsid w:val="7B7656D4"/>
    <w:rsid w:val="7B994A47"/>
    <w:rsid w:val="7BAA7EB8"/>
    <w:rsid w:val="7BC45E5D"/>
    <w:rsid w:val="7BCD4C49"/>
    <w:rsid w:val="7BD40DAA"/>
    <w:rsid w:val="7BE26A40"/>
    <w:rsid w:val="7BE941A7"/>
    <w:rsid w:val="7BEB6EFF"/>
    <w:rsid w:val="7C0269F8"/>
    <w:rsid w:val="7C2B0845"/>
    <w:rsid w:val="7C3E41E8"/>
    <w:rsid w:val="7C4F4B44"/>
    <w:rsid w:val="7C7F7941"/>
    <w:rsid w:val="7C903AD5"/>
    <w:rsid w:val="7C9B17CF"/>
    <w:rsid w:val="7CA8210A"/>
    <w:rsid w:val="7CAA3D3D"/>
    <w:rsid w:val="7CAB68B0"/>
    <w:rsid w:val="7CAF0749"/>
    <w:rsid w:val="7CB0500F"/>
    <w:rsid w:val="7CBA7334"/>
    <w:rsid w:val="7CD337BC"/>
    <w:rsid w:val="7D1244F1"/>
    <w:rsid w:val="7D2718BD"/>
    <w:rsid w:val="7D2857D6"/>
    <w:rsid w:val="7D3D2DAD"/>
    <w:rsid w:val="7D4134FC"/>
    <w:rsid w:val="7D805101"/>
    <w:rsid w:val="7D86074C"/>
    <w:rsid w:val="7D981F45"/>
    <w:rsid w:val="7DB42776"/>
    <w:rsid w:val="7E1917EC"/>
    <w:rsid w:val="7E254C97"/>
    <w:rsid w:val="7E4475B2"/>
    <w:rsid w:val="7E497198"/>
    <w:rsid w:val="7E583FC1"/>
    <w:rsid w:val="7E612329"/>
    <w:rsid w:val="7E6C1B77"/>
    <w:rsid w:val="7E7C73F9"/>
    <w:rsid w:val="7E7D1421"/>
    <w:rsid w:val="7E8A6DB4"/>
    <w:rsid w:val="7E9A29F0"/>
    <w:rsid w:val="7E9B2C88"/>
    <w:rsid w:val="7EDA1AC4"/>
    <w:rsid w:val="7EE30A84"/>
    <w:rsid w:val="7EFB0AF6"/>
    <w:rsid w:val="7F0C2625"/>
    <w:rsid w:val="7F603249"/>
    <w:rsid w:val="7F7929A8"/>
    <w:rsid w:val="7F7C2FD8"/>
    <w:rsid w:val="7F8E7012"/>
    <w:rsid w:val="7FA83A1E"/>
    <w:rsid w:val="7FC10CFD"/>
    <w:rsid w:val="7FC63E44"/>
    <w:rsid w:val="7FD422D8"/>
    <w:rsid w:val="7FD56D64"/>
    <w:rsid w:val="7FD57E32"/>
    <w:rsid w:val="7FEB01BF"/>
    <w:rsid w:val="7FF3207B"/>
    <w:rsid w:val="7FF513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80"/>
    <w:qFormat/>
    <w:uiPriority w:val="0"/>
    <w:pPr>
      <w:keepNext/>
      <w:keepLines/>
      <w:spacing w:line="578" w:lineRule="auto"/>
      <w:outlineLvl w:val="0"/>
    </w:pPr>
    <w:rPr>
      <w:b/>
      <w:bCs/>
      <w:kern w:val="44"/>
      <w:sz w:val="44"/>
      <w:szCs w:val="44"/>
    </w:rPr>
  </w:style>
  <w:style w:type="paragraph" w:styleId="6">
    <w:name w:val="heading 2"/>
    <w:basedOn w:val="1"/>
    <w:next w:val="1"/>
    <w:link w:val="81"/>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82"/>
    <w:qFormat/>
    <w:uiPriority w:val="0"/>
    <w:pPr>
      <w:keepNext/>
      <w:keepLines/>
      <w:adjustRightInd w:val="0"/>
      <w:jc w:val="left"/>
      <w:textAlignment w:val="baseline"/>
      <w:outlineLvl w:val="2"/>
    </w:pPr>
    <w:rPr>
      <w:b/>
      <w:bCs/>
      <w:kern w:val="0"/>
      <w:sz w:val="32"/>
      <w:szCs w:val="32"/>
    </w:rPr>
  </w:style>
  <w:style w:type="paragraph" w:styleId="8">
    <w:name w:val="heading 4"/>
    <w:basedOn w:val="1"/>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83"/>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4"/>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5"/>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6"/>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7"/>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155"/>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paragraph" w:styleId="3">
    <w:name w:val="Body Text Indent"/>
    <w:basedOn w:val="1"/>
    <w:next w:val="4"/>
    <w:link w:val="92"/>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4"/>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90"/>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8"/>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9"/>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25"/>
    <w:link w:val="91"/>
    <w:qFormat/>
    <w:uiPriority w:val="0"/>
    <w:pPr>
      <w:spacing w:line="400" w:lineRule="exact"/>
    </w:pPr>
    <w:rPr>
      <w:kern w:val="0"/>
      <w:sz w:val="20"/>
    </w:rPr>
  </w:style>
  <w:style w:type="paragraph" w:customStyle="1" w:styleId="25">
    <w:name w:val="style4"/>
    <w:basedOn w:val="1"/>
    <w:next w:val="26"/>
    <w:qFormat/>
    <w:uiPriority w:val="99"/>
    <w:pPr>
      <w:widowControl/>
      <w:spacing w:before="280" w:after="280"/>
    </w:pPr>
    <w:rPr>
      <w:rFonts w:ascii="宋体"/>
      <w:sz w:val="18"/>
    </w:rPr>
  </w:style>
  <w:style w:type="paragraph" w:customStyle="1" w:styleId="26">
    <w:name w:val="2"/>
    <w:next w:val="1"/>
    <w:qFormat/>
    <w:uiPriority w:val="99"/>
    <w:pPr>
      <w:widowControl w:val="0"/>
      <w:jc w:val="both"/>
    </w:pPr>
    <w:rPr>
      <w:rFonts w:ascii="Calibri" w:hAnsi="Calibri" w:eastAsia="宋体" w:cs="Times New Roman"/>
      <w:sz w:val="21"/>
      <w:szCs w:val="22"/>
      <w:lang w:val="en-US" w:eastAsia="zh-CN" w:bidi="ar-SA"/>
    </w:rPr>
  </w:style>
  <w:style w:type="paragraph" w:styleId="27">
    <w:name w:val="Block Text"/>
    <w:basedOn w:val="1"/>
    <w:next w:val="1"/>
    <w:qFormat/>
    <w:locked/>
    <w:uiPriority w:val="0"/>
    <w:pPr>
      <w:autoSpaceDE w:val="0"/>
      <w:autoSpaceDN w:val="0"/>
      <w:adjustRightInd w:val="0"/>
      <w:spacing w:line="300" w:lineRule="auto"/>
      <w:ind w:left="29" w:leftChars="27" w:right="6" w:firstLine="560" w:firstLineChars="200"/>
    </w:pPr>
    <w:rPr>
      <w:kern w:val="0"/>
      <w:sz w:val="28"/>
    </w:rPr>
  </w:style>
  <w:style w:type="paragraph" w:styleId="28">
    <w:name w:val="index 4"/>
    <w:basedOn w:val="1"/>
    <w:next w:val="1"/>
    <w:semiHidden/>
    <w:qFormat/>
    <w:uiPriority w:val="99"/>
    <w:pPr>
      <w:ind w:left="1260"/>
    </w:pPr>
  </w:style>
  <w:style w:type="paragraph" w:styleId="29">
    <w:name w:val="toc 5"/>
    <w:basedOn w:val="1"/>
    <w:next w:val="1"/>
    <w:semiHidden/>
    <w:qFormat/>
    <w:uiPriority w:val="99"/>
    <w:pPr>
      <w:ind w:left="1680"/>
    </w:pPr>
  </w:style>
  <w:style w:type="paragraph" w:styleId="30">
    <w:name w:val="toc 3"/>
    <w:basedOn w:val="1"/>
    <w:next w:val="1"/>
    <w:qFormat/>
    <w:uiPriority w:val="39"/>
    <w:pPr>
      <w:ind w:left="840"/>
    </w:pPr>
  </w:style>
  <w:style w:type="paragraph" w:styleId="31">
    <w:name w:val="Plain Text"/>
    <w:basedOn w:val="1"/>
    <w:link w:val="93"/>
    <w:qFormat/>
    <w:uiPriority w:val="0"/>
    <w:rPr>
      <w:rFonts w:ascii="宋体" w:hAnsi="Courier New"/>
    </w:rPr>
  </w:style>
  <w:style w:type="paragraph" w:styleId="32">
    <w:name w:val="toc 8"/>
    <w:basedOn w:val="1"/>
    <w:next w:val="1"/>
    <w:semiHidden/>
    <w:qFormat/>
    <w:uiPriority w:val="99"/>
    <w:pPr>
      <w:ind w:left="2940"/>
    </w:pPr>
  </w:style>
  <w:style w:type="paragraph" w:styleId="33">
    <w:name w:val="index 3"/>
    <w:basedOn w:val="1"/>
    <w:next w:val="1"/>
    <w:semiHidden/>
    <w:qFormat/>
    <w:uiPriority w:val="99"/>
    <w:pPr>
      <w:ind w:left="840"/>
    </w:pPr>
  </w:style>
  <w:style w:type="paragraph" w:styleId="34">
    <w:name w:val="Date"/>
    <w:basedOn w:val="1"/>
    <w:next w:val="1"/>
    <w:link w:val="94"/>
    <w:qFormat/>
    <w:uiPriority w:val="0"/>
    <w:rPr>
      <w:kern w:val="0"/>
      <w:sz w:val="20"/>
    </w:rPr>
  </w:style>
  <w:style w:type="paragraph" w:styleId="35">
    <w:name w:val="Body Text Indent 2"/>
    <w:basedOn w:val="1"/>
    <w:link w:val="95"/>
    <w:qFormat/>
    <w:uiPriority w:val="0"/>
    <w:pPr>
      <w:tabs>
        <w:tab w:val="left" w:pos="0"/>
      </w:tabs>
      <w:spacing w:line="360" w:lineRule="auto"/>
      <w:ind w:firstLine="502" w:firstLineChars="209"/>
    </w:pPr>
    <w:rPr>
      <w:kern w:val="0"/>
      <w:sz w:val="20"/>
    </w:rPr>
  </w:style>
  <w:style w:type="paragraph" w:styleId="36">
    <w:name w:val="endnote text"/>
    <w:basedOn w:val="1"/>
    <w:link w:val="154"/>
    <w:qFormat/>
    <w:locked/>
    <w:uiPriority w:val="0"/>
    <w:pPr>
      <w:adjustRightInd w:val="0"/>
      <w:snapToGrid w:val="0"/>
      <w:spacing w:line="360" w:lineRule="atLeast"/>
      <w:jc w:val="left"/>
      <w:textAlignment w:val="baseline"/>
    </w:pPr>
    <w:rPr>
      <w:rFonts w:eastAsia="宋体"/>
      <w:kern w:val="0"/>
      <w:sz w:val="24"/>
    </w:rPr>
  </w:style>
  <w:style w:type="paragraph" w:styleId="37">
    <w:name w:val="Balloon Text"/>
    <w:basedOn w:val="1"/>
    <w:link w:val="96"/>
    <w:qFormat/>
    <w:uiPriority w:val="0"/>
    <w:rPr>
      <w:kern w:val="0"/>
      <w:sz w:val="2"/>
    </w:rPr>
  </w:style>
  <w:style w:type="paragraph" w:styleId="38">
    <w:name w:val="footer"/>
    <w:basedOn w:val="1"/>
    <w:link w:val="97"/>
    <w:qFormat/>
    <w:uiPriority w:val="0"/>
    <w:pPr>
      <w:tabs>
        <w:tab w:val="center" w:pos="4153"/>
        <w:tab w:val="right" w:pos="8306"/>
      </w:tabs>
      <w:snapToGrid w:val="0"/>
      <w:jc w:val="left"/>
    </w:pPr>
    <w:rPr>
      <w:kern w:val="0"/>
      <w:sz w:val="18"/>
      <w:szCs w:val="18"/>
    </w:rPr>
  </w:style>
  <w:style w:type="paragraph" w:styleId="39">
    <w:name w:val="header"/>
    <w:basedOn w:val="1"/>
    <w:link w:val="98"/>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adjustRightInd w:val="0"/>
      <w:jc w:val="left"/>
      <w:textAlignment w:val="baseline"/>
    </w:pPr>
    <w:rPr>
      <w:sz w:val="24"/>
    </w:rPr>
  </w:style>
  <w:style w:type="paragraph" w:styleId="41">
    <w:name w:val="toc 4"/>
    <w:basedOn w:val="1"/>
    <w:next w:val="1"/>
    <w:semiHidden/>
    <w:qFormat/>
    <w:uiPriority w:val="99"/>
    <w:pPr>
      <w:ind w:left="1260"/>
    </w:pPr>
  </w:style>
  <w:style w:type="paragraph" w:styleId="42">
    <w:name w:val="index heading"/>
    <w:basedOn w:val="1"/>
    <w:next w:val="43"/>
    <w:semiHidden/>
    <w:qFormat/>
    <w:uiPriority w:val="99"/>
  </w:style>
  <w:style w:type="paragraph" w:styleId="43">
    <w:name w:val="index 1"/>
    <w:basedOn w:val="1"/>
    <w:next w:val="1"/>
    <w:semiHidden/>
    <w:qFormat/>
    <w:uiPriority w:val="99"/>
  </w:style>
  <w:style w:type="paragraph" w:styleId="44">
    <w:name w:val="Subtitle"/>
    <w:basedOn w:val="1"/>
    <w:link w:val="151"/>
    <w:qFormat/>
    <w:locked/>
    <w:uiPriority w:val="0"/>
    <w:pPr>
      <w:adjustRightInd w:val="0"/>
      <w:spacing w:after="60" w:line="360" w:lineRule="atLeast"/>
      <w:jc w:val="center"/>
      <w:textAlignment w:val="baseline"/>
    </w:pPr>
    <w:rPr>
      <w:rFonts w:ascii="Arial" w:hAnsi="Arial" w:eastAsia="黑体"/>
      <w:i/>
      <w:kern w:val="0"/>
      <w:sz w:val="24"/>
    </w:rPr>
  </w:style>
  <w:style w:type="paragraph" w:styleId="45">
    <w:name w:val="footnote text"/>
    <w:basedOn w:val="1"/>
    <w:link w:val="99"/>
    <w:semiHidden/>
    <w:qFormat/>
    <w:uiPriority w:val="99"/>
    <w:pPr>
      <w:snapToGrid w:val="0"/>
      <w:jc w:val="left"/>
    </w:pPr>
    <w:rPr>
      <w:kern w:val="0"/>
      <w:sz w:val="18"/>
      <w:szCs w:val="18"/>
    </w:rPr>
  </w:style>
  <w:style w:type="paragraph" w:styleId="46">
    <w:name w:val="toc 6"/>
    <w:basedOn w:val="1"/>
    <w:next w:val="1"/>
    <w:semiHidden/>
    <w:qFormat/>
    <w:uiPriority w:val="99"/>
    <w:pPr>
      <w:ind w:left="2100"/>
    </w:pPr>
  </w:style>
  <w:style w:type="paragraph" w:styleId="47">
    <w:name w:val="Body Text Indent 3"/>
    <w:basedOn w:val="1"/>
    <w:link w:val="100"/>
    <w:qFormat/>
    <w:uiPriority w:val="0"/>
    <w:pPr>
      <w:spacing w:line="360" w:lineRule="auto"/>
      <w:ind w:firstLine="617" w:firstLineChars="257"/>
    </w:pPr>
    <w:rPr>
      <w:kern w:val="0"/>
      <w:sz w:val="16"/>
      <w:szCs w:val="16"/>
    </w:rPr>
  </w:style>
  <w:style w:type="paragraph" w:styleId="48">
    <w:name w:val="index 7"/>
    <w:basedOn w:val="1"/>
    <w:next w:val="1"/>
    <w:semiHidden/>
    <w:qFormat/>
    <w:uiPriority w:val="99"/>
    <w:pPr>
      <w:ind w:left="2520"/>
    </w:pPr>
  </w:style>
  <w:style w:type="paragraph" w:styleId="49">
    <w:name w:val="index 9"/>
    <w:basedOn w:val="1"/>
    <w:next w:val="1"/>
    <w:semiHidden/>
    <w:qFormat/>
    <w:uiPriority w:val="99"/>
    <w:pPr>
      <w:ind w:left="3360"/>
    </w:pPr>
  </w:style>
  <w:style w:type="paragraph" w:styleId="50">
    <w:name w:val="table of figures"/>
    <w:basedOn w:val="1"/>
    <w:next w:val="1"/>
    <w:semiHidden/>
    <w:qFormat/>
    <w:uiPriority w:val="99"/>
    <w:pPr>
      <w:adjustRightInd w:val="0"/>
      <w:ind w:left="420" w:hanging="420"/>
      <w:jc w:val="left"/>
      <w:textAlignment w:val="baseline"/>
    </w:pPr>
    <w:rPr>
      <w:smallCaps/>
      <w:sz w:val="24"/>
    </w:rPr>
  </w:style>
  <w:style w:type="paragraph" w:styleId="51">
    <w:name w:val="toc 2"/>
    <w:basedOn w:val="1"/>
    <w:next w:val="1"/>
    <w:qFormat/>
    <w:uiPriority w:val="39"/>
    <w:pPr>
      <w:ind w:left="420"/>
    </w:pPr>
  </w:style>
  <w:style w:type="paragraph" w:styleId="52">
    <w:name w:val="toc 9"/>
    <w:basedOn w:val="1"/>
    <w:next w:val="1"/>
    <w:semiHidden/>
    <w:qFormat/>
    <w:uiPriority w:val="99"/>
    <w:pPr>
      <w:ind w:left="3360"/>
    </w:pPr>
  </w:style>
  <w:style w:type="paragraph" w:styleId="53">
    <w:name w:val="Body Text 2"/>
    <w:basedOn w:val="1"/>
    <w:link w:val="148"/>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4">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5">
    <w:name w:val="Normal (Web)"/>
    <w:basedOn w:val="1"/>
    <w:qFormat/>
    <w:uiPriority w:val="0"/>
    <w:pPr>
      <w:spacing w:before="100" w:beforeAutospacing="1" w:after="100" w:afterAutospacing="1"/>
      <w:jc w:val="left"/>
    </w:pPr>
    <w:rPr>
      <w:kern w:val="0"/>
      <w:sz w:val="24"/>
    </w:rPr>
  </w:style>
  <w:style w:type="paragraph" w:styleId="56">
    <w:name w:val="index 2"/>
    <w:basedOn w:val="1"/>
    <w:next w:val="1"/>
    <w:semiHidden/>
    <w:qFormat/>
    <w:uiPriority w:val="99"/>
    <w:pPr>
      <w:ind w:left="420"/>
    </w:pPr>
  </w:style>
  <w:style w:type="paragraph" w:styleId="57">
    <w:name w:val="Title"/>
    <w:basedOn w:val="1"/>
    <w:next w:val="1"/>
    <w:link w:val="102"/>
    <w:qFormat/>
    <w:locked/>
    <w:uiPriority w:val="0"/>
    <w:pPr>
      <w:adjustRightInd w:val="0"/>
      <w:spacing w:line="420" w:lineRule="atLeast"/>
      <w:jc w:val="center"/>
      <w:textAlignment w:val="baseline"/>
      <w:outlineLvl w:val="0"/>
    </w:pPr>
    <w:rPr>
      <w:rFonts w:ascii="Arial" w:hAnsi="Arial"/>
      <w:b/>
      <w:kern w:val="0"/>
      <w:sz w:val="32"/>
    </w:rPr>
  </w:style>
  <w:style w:type="paragraph" w:styleId="58">
    <w:name w:val="annotation subject"/>
    <w:basedOn w:val="21"/>
    <w:next w:val="21"/>
    <w:link w:val="89"/>
    <w:semiHidden/>
    <w:qFormat/>
    <w:uiPriority w:val="99"/>
    <w:rPr>
      <w:b/>
      <w:bCs/>
      <w:sz w:val="20"/>
    </w:rPr>
  </w:style>
  <w:style w:type="paragraph" w:styleId="59">
    <w:name w:val="Body Text First Indent"/>
    <w:basedOn w:val="24"/>
    <w:link w:val="150"/>
    <w:qFormat/>
    <w:locked/>
    <w:uiPriority w:val="0"/>
    <w:pPr>
      <w:widowControl/>
      <w:spacing w:after="120" w:line="240" w:lineRule="auto"/>
      <w:ind w:firstLine="420" w:firstLineChars="100"/>
      <w:jc w:val="left"/>
    </w:pPr>
    <w:rPr>
      <w:rFonts w:eastAsia="宋体"/>
      <w:sz w:val="21"/>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99"/>
    <w:rPr>
      <w:rFonts w:cs="Times New Roman"/>
      <w:b/>
    </w:rPr>
  </w:style>
  <w:style w:type="character" w:styleId="64">
    <w:name w:val="endnote reference"/>
    <w:qFormat/>
    <w:locked/>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rFonts w:cs="Times New Roman"/>
      <w:color w:val="954F72"/>
      <w:u w:val="single"/>
    </w:rPr>
  </w:style>
  <w:style w:type="character" w:styleId="67">
    <w:name w:val="Emphasis"/>
    <w:basedOn w:val="62"/>
    <w:qFormat/>
    <w:uiPriority w:val="99"/>
    <w:rPr>
      <w:rFonts w:cs="Times New Roman"/>
      <w:i/>
    </w:rPr>
  </w:style>
  <w:style w:type="character" w:styleId="68">
    <w:name w:val="line number"/>
    <w:basedOn w:val="62"/>
    <w:qFormat/>
    <w:uiPriority w:val="0"/>
    <w:rPr>
      <w:rFonts w:cs="Times New Roman"/>
    </w:rPr>
  </w:style>
  <w:style w:type="character" w:styleId="69">
    <w:name w:val="HTML Definition"/>
    <w:basedOn w:val="62"/>
    <w:qFormat/>
    <w:uiPriority w:val="99"/>
    <w:rPr>
      <w:rFonts w:cs="Times New Roman"/>
      <w:i/>
    </w:rPr>
  </w:style>
  <w:style w:type="character" w:styleId="70">
    <w:name w:val="Hyperlink"/>
    <w:basedOn w:val="62"/>
    <w:qFormat/>
    <w:uiPriority w:val="0"/>
    <w:rPr>
      <w:rFonts w:cs="Times New Roman"/>
      <w:color w:val="0000FF"/>
      <w:u w:val="single"/>
    </w:rPr>
  </w:style>
  <w:style w:type="character" w:styleId="71">
    <w:name w:val="HTML Code"/>
    <w:basedOn w:val="62"/>
    <w:qFormat/>
    <w:uiPriority w:val="99"/>
    <w:rPr>
      <w:rFonts w:ascii="Menlo" w:hAnsi="Menlo" w:cs="Times New Roman"/>
      <w:color w:val="C7254E"/>
      <w:sz w:val="21"/>
      <w:shd w:val="clear" w:color="auto" w:fill="F9F2F4"/>
    </w:rPr>
  </w:style>
  <w:style w:type="character" w:styleId="72">
    <w:name w:val="annotation reference"/>
    <w:basedOn w:val="62"/>
    <w:semiHidden/>
    <w:qFormat/>
    <w:uiPriority w:val="99"/>
    <w:rPr>
      <w:rFonts w:cs="Times New Roman"/>
      <w:sz w:val="21"/>
    </w:rPr>
  </w:style>
  <w:style w:type="character" w:styleId="73">
    <w:name w:val="HTML Cite"/>
    <w:basedOn w:val="62"/>
    <w:qFormat/>
    <w:uiPriority w:val="99"/>
    <w:rPr>
      <w:rFonts w:cs="Times New Roman"/>
    </w:rPr>
  </w:style>
  <w:style w:type="character" w:styleId="74">
    <w:name w:val="footnote reference"/>
    <w:basedOn w:val="62"/>
    <w:semiHidden/>
    <w:qFormat/>
    <w:uiPriority w:val="99"/>
    <w:rPr>
      <w:rFonts w:cs="Times New Roman"/>
      <w:vertAlign w:val="superscript"/>
    </w:rPr>
  </w:style>
  <w:style w:type="character" w:styleId="75">
    <w:name w:val="HTML Keyboard"/>
    <w:basedOn w:val="62"/>
    <w:qFormat/>
    <w:uiPriority w:val="99"/>
    <w:rPr>
      <w:rFonts w:ascii="Menlo" w:hAnsi="Menlo" w:cs="Times New Roman"/>
      <w:sz w:val="21"/>
    </w:rPr>
  </w:style>
  <w:style w:type="character" w:styleId="76">
    <w:name w:val="HTML Sample"/>
    <w:basedOn w:val="62"/>
    <w:qFormat/>
    <w:uiPriority w:val="99"/>
    <w:rPr>
      <w:rFonts w:ascii="Menlo" w:hAnsi="Menlo" w:cs="Times New Roman"/>
      <w:sz w:val="21"/>
    </w:rPr>
  </w:style>
  <w:style w:type="paragraph" w:customStyle="1" w:styleId="7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8">
    <w:name w:val="正文文本首行缩进 21"/>
    <w:basedOn w:val="3"/>
    <w:unhideWhenUsed/>
    <w:qFormat/>
    <w:uiPriority w:val="99"/>
    <w:pPr>
      <w:ind w:firstLine="420" w:firstLineChars="200"/>
    </w:pPr>
    <w:rPr>
      <w:rFonts w:ascii="Calibri" w:hAnsi="Calibri"/>
      <w:szCs w:val="26"/>
    </w:rPr>
  </w:style>
  <w:style w:type="paragraph" w:customStyle="1" w:styleId="79">
    <w:name w:val="正文文本首行缩进 211"/>
    <w:basedOn w:val="3"/>
    <w:unhideWhenUsed/>
    <w:qFormat/>
    <w:uiPriority w:val="99"/>
    <w:pPr>
      <w:ind w:firstLine="420" w:firstLineChars="200"/>
    </w:pPr>
    <w:rPr>
      <w:rFonts w:ascii="Calibri" w:hAnsi="Calibri"/>
      <w:szCs w:val="26"/>
    </w:rPr>
  </w:style>
  <w:style w:type="character" w:customStyle="1" w:styleId="80">
    <w:name w:val="标题 1 字符"/>
    <w:basedOn w:val="62"/>
    <w:link w:val="5"/>
    <w:qFormat/>
    <w:locked/>
    <w:uiPriority w:val="99"/>
    <w:rPr>
      <w:rFonts w:eastAsia="楷体_GB2312" w:cs="Times New Roman"/>
      <w:b/>
      <w:kern w:val="44"/>
      <w:sz w:val="44"/>
    </w:rPr>
  </w:style>
  <w:style w:type="character" w:customStyle="1" w:styleId="81">
    <w:name w:val="标题 2 字符"/>
    <w:basedOn w:val="62"/>
    <w:link w:val="6"/>
    <w:qFormat/>
    <w:locked/>
    <w:uiPriority w:val="99"/>
    <w:rPr>
      <w:rFonts w:ascii="宋体" w:hAnsi="宋体" w:eastAsia="楷体_GB2312" w:cs="Times New Roman"/>
      <w:b/>
      <w:kern w:val="2"/>
      <w:sz w:val="26"/>
      <w:lang w:val="en-US" w:eastAsia="zh-CN"/>
    </w:rPr>
  </w:style>
  <w:style w:type="character" w:customStyle="1" w:styleId="82">
    <w:name w:val="标题 3 字符"/>
    <w:basedOn w:val="62"/>
    <w:link w:val="7"/>
    <w:semiHidden/>
    <w:qFormat/>
    <w:locked/>
    <w:uiPriority w:val="99"/>
    <w:rPr>
      <w:rFonts w:eastAsia="楷体_GB2312" w:cs="Times New Roman"/>
      <w:b/>
      <w:sz w:val="32"/>
    </w:rPr>
  </w:style>
  <w:style w:type="character" w:customStyle="1" w:styleId="83">
    <w:name w:val="标题 5 字符"/>
    <w:basedOn w:val="62"/>
    <w:link w:val="9"/>
    <w:semiHidden/>
    <w:qFormat/>
    <w:locked/>
    <w:uiPriority w:val="99"/>
    <w:rPr>
      <w:rFonts w:eastAsia="楷体_GB2312" w:cs="Times New Roman"/>
      <w:b/>
      <w:sz w:val="28"/>
    </w:rPr>
  </w:style>
  <w:style w:type="character" w:customStyle="1" w:styleId="84">
    <w:name w:val="标题 6 字符"/>
    <w:basedOn w:val="62"/>
    <w:link w:val="11"/>
    <w:semiHidden/>
    <w:qFormat/>
    <w:locked/>
    <w:uiPriority w:val="99"/>
    <w:rPr>
      <w:rFonts w:ascii="Cambria" w:hAnsi="Cambria" w:eastAsia="宋体" w:cs="Times New Roman"/>
      <w:b/>
      <w:sz w:val="24"/>
    </w:rPr>
  </w:style>
  <w:style w:type="character" w:customStyle="1" w:styleId="85">
    <w:name w:val="标题 7 字符"/>
    <w:basedOn w:val="62"/>
    <w:link w:val="12"/>
    <w:semiHidden/>
    <w:qFormat/>
    <w:locked/>
    <w:uiPriority w:val="99"/>
    <w:rPr>
      <w:rFonts w:eastAsia="楷体_GB2312" w:cs="Times New Roman"/>
      <w:b/>
      <w:sz w:val="24"/>
    </w:rPr>
  </w:style>
  <w:style w:type="character" w:customStyle="1" w:styleId="86">
    <w:name w:val="标题 8 字符"/>
    <w:basedOn w:val="62"/>
    <w:link w:val="13"/>
    <w:semiHidden/>
    <w:qFormat/>
    <w:locked/>
    <w:uiPriority w:val="99"/>
    <w:rPr>
      <w:rFonts w:ascii="Cambria" w:hAnsi="Cambria" w:eastAsia="宋体" w:cs="Times New Roman"/>
      <w:sz w:val="24"/>
    </w:rPr>
  </w:style>
  <w:style w:type="character" w:customStyle="1" w:styleId="87">
    <w:name w:val="标题 9 字符"/>
    <w:basedOn w:val="62"/>
    <w:link w:val="14"/>
    <w:semiHidden/>
    <w:qFormat/>
    <w:locked/>
    <w:uiPriority w:val="99"/>
    <w:rPr>
      <w:rFonts w:ascii="Cambria" w:hAnsi="Cambria" w:eastAsia="宋体" w:cs="Times New Roman"/>
      <w:sz w:val="21"/>
    </w:rPr>
  </w:style>
  <w:style w:type="character" w:customStyle="1" w:styleId="88">
    <w:name w:val="批注文字 字符"/>
    <w:basedOn w:val="62"/>
    <w:link w:val="21"/>
    <w:semiHidden/>
    <w:qFormat/>
    <w:locked/>
    <w:uiPriority w:val="99"/>
    <w:rPr>
      <w:rFonts w:eastAsia="楷体_GB2312" w:cs="Times New Roman"/>
      <w:kern w:val="2"/>
      <w:sz w:val="26"/>
    </w:rPr>
  </w:style>
  <w:style w:type="character" w:customStyle="1" w:styleId="89">
    <w:name w:val="批注主题 字符"/>
    <w:basedOn w:val="88"/>
    <w:link w:val="58"/>
    <w:semiHidden/>
    <w:qFormat/>
    <w:locked/>
    <w:uiPriority w:val="99"/>
    <w:rPr>
      <w:rFonts w:eastAsia="楷体_GB2312" w:cs="Times New Roman"/>
      <w:b/>
      <w:kern w:val="2"/>
      <w:sz w:val="20"/>
    </w:rPr>
  </w:style>
  <w:style w:type="character" w:customStyle="1" w:styleId="90">
    <w:name w:val="文档结构图 字符"/>
    <w:basedOn w:val="62"/>
    <w:link w:val="19"/>
    <w:semiHidden/>
    <w:qFormat/>
    <w:locked/>
    <w:uiPriority w:val="99"/>
    <w:rPr>
      <w:rFonts w:eastAsia="楷体_GB2312" w:cs="Times New Roman"/>
      <w:sz w:val="2"/>
    </w:rPr>
  </w:style>
  <w:style w:type="character" w:customStyle="1" w:styleId="91">
    <w:name w:val="正文文本 字符"/>
    <w:basedOn w:val="62"/>
    <w:link w:val="24"/>
    <w:qFormat/>
    <w:locked/>
    <w:uiPriority w:val="0"/>
    <w:rPr>
      <w:rFonts w:eastAsia="楷体_GB2312" w:cs="Times New Roman"/>
      <w:sz w:val="20"/>
    </w:rPr>
  </w:style>
  <w:style w:type="character" w:customStyle="1" w:styleId="92">
    <w:name w:val="正文文本缩进 字符"/>
    <w:basedOn w:val="62"/>
    <w:link w:val="3"/>
    <w:qFormat/>
    <w:locked/>
    <w:uiPriority w:val="0"/>
    <w:rPr>
      <w:rFonts w:ascii="方正仿宋简体" w:hAnsi="创艺简仿宋" w:eastAsia="方正仿宋简体" w:cs="Times New Roman"/>
      <w:kern w:val="2"/>
      <w:sz w:val="24"/>
      <w:lang w:val="en-US" w:eastAsia="zh-CN"/>
    </w:rPr>
  </w:style>
  <w:style w:type="character" w:customStyle="1" w:styleId="93">
    <w:name w:val="纯文本 字符"/>
    <w:basedOn w:val="62"/>
    <w:link w:val="31"/>
    <w:qFormat/>
    <w:locked/>
    <w:uiPriority w:val="0"/>
    <w:rPr>
      <w:rFonts w:ascii="宋体" w:hAnsi="Courier New" w:eastAsia="楷体_GB2312" w:cs="Times New Roman"/>
      <w:kern w:val="2"/>
      <w:sz w:val="26"/>
      <w:lang w:val="en-US" w:eastAsia="zh-CN"/>
    </w:rPr>
  </w:style>
  <w:style w:type="character" w:customStyle="1" w:styleId="94">
    <w:name w:val="日期 字符"/>
    <w:basedOn w:val="62"/>
    <w:link w:val="34"/>
    <w:qFormat/>
    <w:locked/>
    <w:uiPriority w:val="0"/>
    <w:rPr>
      <w:rFonts w:eastAsia="楷体_GB2312" w:cs="Times New Roman"/>
      <w:sz w:val="20"/>
    </w:rPr>
  </w:style>
  <w:style w:type="character" w:customStyle="1" w:styleId="95">
    <w:name w:val="正文文本缩进 2 字符"/>
    <w:basedOn w:val="62"/>
    <w:link w:val="35"/>
    <w:semiHidden/>
    <w:qFormat/>
    <w:locked/>
    <w:uiPriority w:val="99"/>
    <w:rPr>
      <w:rFonts w:eastAsia="楷体_GB2312" w:cs="Times New Roman"/>
      <w:sz w:val="20"/>
    </w:rPr>
  </w:style>
  <w:style w:type="character" w:customStyle="1" w:styleId="96">
    <w:name w:val="批注框文本 字符"/>
    <w:basedOn w:val="62"/>
    <w:link w:val="37"/>
    <w:semiHidden/>
    <w:qFormat/>
    <w:locked/>
    <w:uiPriority w:val="99"/>
    <w:rPr>
      <w:rFonts w:eastAsia="楷体_GB2312" w:cs="Times New Roman"/>
      <w:sz w:val="2"/>
    </w:rPr>
  </w:style>
  <w:style w:type="character" w:customStyle="1" w:styleId="97">
    <w:name w:val="页脚 字符"/>
    <w:basedOn w:val="62"/>
    <w:link w:val="38"/>
    <w:qFormat/>
    <w:locked/>
    <w:uiPriority w:val="0"/>
    <w:rPr>
      <w:rFonts w:eastAsia="楷体_GB2312" w:cs="Times New Roman"/>
      <w:sz w:val="18"/>
    </w:rPr>
  </w:style>
  <w:style w:type="character" w:customStyle="1" w:styleId="98">
    <w:name w:val="页眉 字符"/>
    <w:basedOn w:val="62"/>
    <w:link w:val="39"/>
    <w:qFormat/>
    <w:locked/>
    <w:uiPriority w:val="99"/>
    <w:rPr>
      <w:rFonts w:eastAsia="楷体_GB2312" w:cs="Times New Roman"/>
      <w:kern w:val="2"/>
      <w:sz w:val="18"/>
    </w:rPr>
  </w:style>
  <w:style w:type="character" w:customStyle="1" w:styleId="99">
    <w:name w:val="脚注文本 字符"/>
    <w:basedOn w:val="62"/>
    <w:link w:val="45"/>
    <w:semiHidden/>
    <w:qFormat/>
    <w:locked/>
    <w:uiPriority w:val="99"/>
    <w:rPr>
      <w:rFonts w:eastAsia="楷体_GB2312" w:cs="Times New Roman"/>
      <w:sz w:val="18"/>
    </w:rPr>
  </w:style>
  <w:style w:type="character" w:customStyle="1" w:styleId="100">
    <w:name w:val="正文文本缩进 3 字符"/>
    <w:basedOn w:val="62"/>
    <w:link w:val="47"/>
    <w:qFormat/>
    <w:locked/>
    <w:uiPriority w:val="0"/>
    <w:rPr>
      <w:rFonts w:eastAsia="楷体_GB2312" w:cs="Times New Roman"/>
      <w:sz w:val="16"/>
    </w:rPr>
  </w:style>
  <w:style w:type="character" w:customStyle="1" w:styleId="101">
    <w:name w:val="HTML 预设格式 字符"/>
    <w:basedOn w:val="62"/>
    <w:link w:val="54"/>
    <w:semiHidden/>
    <w:qFormat/>
    <w:locked/>
    <w:uiPriority w:val="99"/>
    <w:rPr>
      <w:rFonts w:ascii="Courier New" w:hAnsi="Courier New" w:eastAsia="楷体_GB2312" w:cs="Times New Roman"/>
      <w:sz w:val="20"/>
    </w:rPr>
  </w:style>
  <w:style w:type="character" w:customStyle="1" w:styleId="102">
    <w:name w:val="标题 字符"/>
    <w:basedOn w:val="62"/>
    <w:link w:val="57"/>
    <w:qFormat/>
    <w:locked/>
    <w:uiPriority w:val="0"/>
    <w:rPr>
      <w:rFonts w:ascii="Cambria" w:hAnsi="Cambria" w:cs="Times New Roman"/>
      <w:b/>
      <w:bCs/>
      <w:sz w:val="32"/>
      <w:szCs w:val="32"/>
    </w:rPr>
  </w:style>
  <w:style w:type="paragraph" w:customStyle="1" w:styleId="103">
    <w:name w:val="列出段落1"/>
    <w:basedOn w:val="1"/>
    <w:qFormat/>
    <w:uiPriority w:val="99"/>
    <w:pPr>
      <w:ind w:firstLine="420" w:firstLineChars="200"/>
    </w:pPr>
    <w:rPr>
      <w:rFonts w:eastAsia="宋体"/>
      <w:sz w:val="21"/>
      <w:szCs w:val="24"/>
    </w:rPr>
  </w:style>
  <w:style w:type="paragraph" w:customStyle="1" w:styleId="104">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5">
    <w:name w:val="纯文本1"/>
    <w:basedOn w:val="1"/>
    <w:qFormat/>
    <w:uiPriority w:val="99"/>
    <w:pPr>
      <w:adjustRightInd w:val="0"/>
      <w:textAlignment w:val="baseline"/>
    </w:pPr>
    <w:rPr>
      <w:rFonts w:ascii="宋体" w:hAnsi="Courier New"/>
      <w:sz w:val="28"/>
    </w:rPr>
  </w:style>
  <w:style w:type="paragraph" w:customStyle="1" w:styleId="106">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7">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8">
    <w:name w:val="纯文本2"/>
    <w:basedOn w:val="1"/>
    <w:qFormat/>
    <w:uiPriority w:val="99"/>
    <w:pPr>
      <w:adjustRightInd w:val="0"/>
      <w:textAlignment w:val="baseline"/>
    </w:pPr>
    <w:rPr>
      <w:rFonts w:ascii="宋体" w:hAnsi="Courier New"/>
    </w:rPr>
  </w:style>
  <w:style w:type="paragraph" w:customStyle="1" w:styleId="109">
    <w:name w:val="_Style 1"/>
    <w:basedOn w:val="1"/>
    <w:qFormat/>
    <w:uiPriority w:val="99"/>
    <w:pPr>
      <w:ind w:firstLine="420" w:firstLineChars="200"/>
    </w:pPr>
  </w:style>
  <w:style w:type="paragraph" w:customStyle="1" w:styleId="11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Char1"/>
    <w:basedOn w:val="1"/>
    <w:qFormat/>
    <w:uiPriority w:val="99"/>
    <w:rPr>
      <w:rFonts w:ascii="Tahoma" w:hAnsi="Tahoma" w:eastAsia="宋体"/>
      <w:sz w:val="24"/>
    </w:rPr>
  </w:style>
  <w:style w:type="character" w:customStyle="1" w:styleId="112">
    <w:name w:val="bds_more5"/>
    <w:qFormat/>
    <w:uiPriority w:val="99"/>
  </w:style>
  <w:style w:type="character" w:customStyle="1" w:styleId="113">
    <w:name w:val="noused"/>
    <w:qFormat/>
    <w:uiPriority w:val="99"/>
    <w:rPr>
      <w:b/>
      <w:color w:val="FFFFFF"/>
      <w:sz w:val="21"/>
    </w:rPr>
  </w:style>
  <w:style w:type="character" w:customStyle="1" w:styleId="114">
    <w:name w:val="正文缩进 字符"/>
    <w:link w:val="10"/>
    <w:qFormat/>
    <w:locked/>
    <w:uiPriority w:val="0"/>
    <w:rPr>
      <w:rFonts w:eastAsia="楷体_GB2312"/>
      <w:kern w:val="2"/>
      <w:sz w:val="24"/>
      <w:lang w:val="en-US" w:eastAsia="zh-CN"/>
    </w:rPr>
  </w:style>
  <w:style w:type="character" w:customStyle="1" w:styleId="115">
    <w:name w:val="Char Char2"/>
    <w:qFormat/>
    <w:uiPriority w:val="99"/>
    <w:rPr>
      <w:rFonts w:ascii="宋体" w:hAnsi="宋体" w:eastAsia="楷体_GB2312"/>
      <w:b/>
      <w:kern w:val="2"/>
      <w:sz w:val="26"/>
      <w:lang w:val="en-US" w:eastAsia="zh-CN"/>
    </w:rPr>
  </w:style>
  <w:style w:type="character" w:customStyle="1" w:styleId="116">
    <w:name w:val="bds_nopic1"/>
    <w:qFormat/>
    <w:uiPriority w:val="99"/>
  </w:style>
  <w:style w:type="character" w:customStyle="1" w:styleId="117">
    <w:name w:val="state"/>
    <w:qFormat/>
    <w:uiPriority w:val="99"/>
    <w:rPr>
      <w:b/>
      <w:color w:val="FFFFFF"/>
      <w:sz w:val="19"/>
    </w:rPr>
  </w:style>
  <w:style w:type="character" w:customStyle="1" w:styleId="118">
    <w:name w:val="bds_more6"/>
    <w:qFormat/>
    <w:uiPriority w:val="99"/>
  </w:style>
  <w:style w:type="character" w:customStyle="1" w:styleId="119">
    <w:name w:val="active"/>
    <w:qFormat/>
    <w:uiPriority w:val="99"/>
    <w:rPr>
      <w:color w:val="00FF00"/>
      <w:shd w:val="clear" w:color="auto" w:fill="000000"/>
    </w:rPr>
  </w:style>
  <w:style w:type="character" w:customStyle="1" w:styleId="120">
    <w:name w:val="bds_nopic2"/>
    <w:qFormat/>
    <w:uiPriority w:val="99"/>
  </w:style>
  <w:style w:type="character" w:customStyle="1" w:styleId="121">
    <w:name w:val="hilite6"/>
    <w:qFormat/>
    <w:uiPriority w:val="99"/>
    <w:rPr>
      <w:color w:val="FFFFFF"/>
      <w:shd w:val="clear" w:color="auto" w:fill="776666"/>
    </w:rPr>
  </w:style>
  <w:style w:type="character" w:customStyle="1" w:styleId="122">
    <w:name w:val="active8"/>
    <w:qFormat/>
    <w:uiPriority w:val="99"/>
    <w:rPr>
      <w:color w:val="00FF00"/>
      <w:shd w:val="clear" w:color="auto" w:fill="000000"/>
    </w:rPr>
  </w:style>
  <w:style w:type="character" w:customStyle="1" w:styleId="123">
    <w:name w:val="bds_more8"/>
    <w:qFormat/>
    <w:uiPriority w:val="99"/>
    <w:rPr>
      <w:rFonts w:ascii="宋体" w:hAnsi="宋体" w:eastAsia="宋体"/>
    </w:rPr>
  </w:style>
  <w:style w:type="character" w:customStyle="1" w:styleId="124">
    <w:name w:val="other"/>
    <w:qFormat/>
    <w:uiPriority w:val="99"/>
  </w:style>
  <w:style w:type="character" w:customStyle="1" w:styleId="125">
    <w:name w:val="hover61"/>
    <w:qFormat/>
    <w:uiPriority w:val="99"/>
    <w:rPr>
      <w:shd w:val="clear" w:color="auto" w:fill="FF0000"/>
    </w:rPr>
  </w:style>
  <w:style w:type="character" w:customStyle="1" w:styleId="126">
    <w:name w:val="bsharetext"/>
    <w:qFormat/>
    <w:uiPriority w:val="99"/>
  </w:style>
  <w:style w:type="character" w:customStyle="1" w:styleId="127">
    <w:name w:val="bds_nopic"/>
    <w:qFormat/>
    <w:uiPriority w:val="99"/>
  </w:style>
  <w:style w:type="character" w:customStyle="1" w:styleId="128">
    <w:name w:val="grid2"/>
    <w:qFormat/>
    <w:uiPriority w:val="99"/>
  </w:style>
  <w:style w:type="character" w:customStyle="1" w:styleId="129">
    <w:name w:val="hilite"/>
    <w:qFormat/>
    <w:uiPriority w:val="99"/>
    <w:rPr>
      <w:color w:val="FFFFFF"/>
      <w:shd w:val="clear" w:color="auto" w:fill="776666"/>
    </w:rPr>
  </w:style>
  <w:style w:type="character" w:customStyle="1" w:styleId="130">
    <w:name w:val="bds_more4"/>
    <w:qFormat/>
    <w:uiPriority w:val="99"/>
    <w:rPr>
      <w:rFonts w:ascii="宋体" w:hAnsi="宋体" w:eastAsia="宋体"/>
    </w:rPr>
  </w:style>
  <w:style w:type="character" w:customStyle="1" w:styleId="131">
    <w:name w:val="bds_more7"/>
    <w:qFormat/>
    <w:uiPriority w:val="99"/>
  </w:style>
  <w:style w:type="character" w:customStyle="1" w:styleId="132">
    <w:name w:val="grid"/>
    <w:qFormat/>
    <w:uiPriority w:val="99"/>
  </w:style>
  <w:style w:type="paragraph" w:customStyle="1" w:styleId="133">
    <w:name w:val="纯文本3"/>
    <w:basedOn w:val="1"/>
    <w:qFormat/>
    <w:uiPriority w:val="99"/>
    <w:pPr>
      <w:adjustRightInd w:val="0"/>
      <w:textAlignment w:val="baseline"/>
    </w:pPr>
    <w:rPr>
      <w:rFonts w:ascii="宋体" w:hAnsi="Courier New"/>
    </w:rPr>
  </w:style>
  <w:style w:type="paragraph" w:customStyle="1" w:styleId="134">
    <w:name w:val="正文文字3"/>
    <w:basedOn w:val="24"/>
    <w:qFormat/>
    <w:uiPriority w:val="0"/>
    <w:pPr>
      <w:ind w:left="30" w:leftChars="30" w:right="30" w:rightChars="30"/>
    </w:pPr>
  </w:style>
  <w:style w:type="paragraph" w:customStyle="1" w:styleId="135">
    <w:name w:val="flNote"/>
    <w:basedOn w:val="1"/>
    <w:qFormat/>
    <w:uiPriority w:val="0"/>
    <w:pPr>
      <w:spacing w:before="320" w:after="160"/>
      <w:jc w:val="center"/>
    </w:pPr>
    <w:rPr>
      <w:rFonts w:ascii="Arial" w:eastAsia="黑体"/>
      <w:sz w:val="30"/>
    </w:rPr>
  </w:style>
  <w:style w:type="paragraph" w:customStyle="1" w:styleId="136">
    <w:name w:val="Plain Text1"/>
    <w:basedOn w:val="1"/>
    <w:qFormat/>
    <w:uiPriority w:val="99"/>
    <w:rPr>
      <w:rFonts w:ascii="宋体" w:hAnsi="Courier New"/>
      <w:sz w:val="28"/>
    </w:rPr>
  </w:style>
  <w:style w:type="paragraph" w:customStyle="1" w:styleId="137">
    <w:name w:val="标题 2 + 黑色 行距: 1.5 倍行距"/>
    <w:basedOn w:val="6"/>
    <w:qFormat/>
    <w:uiPriority w:val="99"/>
    <w:pPr>
      <w:spacing w:line="360" w:lineRule="auto"/>
    </w:pPr>
    <w:rPr>
      <w:rFonts w:eastAsia="宋体" w:cs="宋体"/>
      <w:color w:val="000000"/>
    </w:rPr>
  </w:style>
  <w:style w:type="character" w:customStyle="1" w:styleId="138">
    <w:name w:val="font11"/>
    <w:basedOn w:val="62"/>
    <w:qFormat/>
    <w:uiPriority w:val="0"/>
    <w:rPr>
      <w:rFonts w:hint="eastAsia" w:ascii="宋体" w:hAnsi="宋体" w:eastAsia="宋体" w:cs="宋体"/>
      <w:color w:val="000000"/>
      <w:sz w:val="24"/>
      <w:szCs w:val="24"/>
      <w:u w:val="none"/>
    </w:rPr>
  </w:style>
  <w:style w:type="paragraph" w:styleId="139">
    <w:name w:val="List Paragraph"/>
    <w:basedOn w:val="1"/>
    <w:unhideWhenUsed/>
    <w:qFormat/>
    <w:uiPriority w:val="34"/>
    <w:pPr>
      <w:ind w:firstLine="420" w:firstLineChars="200"/>
    </w:pPr>
  </w:style>
  <w:style w:type="character" w:customStyle="1" w:styleId="140">
    <w:name w:val="flName Char"/>
    <w:qFormat/>
    <w:uiPriority w:val="0"/>
    <w:rPr>
      <w:rFonts w:ascii="Arial" w:hAnsi="Arial" w:eastAsia="黑体"/>
      <w:sz w:val="32"/>
      <w:lang w:val="en-US" w:eastAsia="zh-CN"/>
    </w:rPr>
  </w:style>
  <w:style w:type="character" w:customStyle="1" w:styleId="141">
    <w:name w:val="样式 宋体"/>
    <w:qFormat/>
    <w:uiPriority w:val="0"/>
    <w:rPr>
      <w:rFonts w:ascii="宋体" w:hAnsi="宋体" w:eastAsia="宋体"/>
      <w:sz w:val="24"/>
      <w:szCs w:val="24"/>
    </w:rPr>
  </w:style>
  <w:style w:type="character" w:customStyle="1" w:styleId="142">
    <w:name w:val="style81"/>
    <w:qFormat/>
    <w:uiPriority w:val="0"/>
    <w:rPr>
      <w:b/>
      <w:bCs/>
      <w:color w:val="666666"/>
      <w:sz w:val="21"/>
      <w:szCs w:val="21"/>
    </w:rPr>
  </w:style>
  <w:style w:type="character" w:customStyle="1" w:styleId="143">
    <w:name w:val="尾注文本 Char"/>
    <w:qFormat/>
    <w:uiPriority w:val="0"/>
    <w:rPr>
      <w:sz w:val="24"/>
    </w:rPr>
  </w:style>
  <w:style w:type="character" w:customStyle="1" w:styleId="144">
    <w:name w:val="正文1 Char"/>
    <w:qFormat/>
    <w:uiPriority w:val="0"/>
    <w:rPr>
      <w:rFonts w:ascii="宋体" w:hAnsi="宋体" w:eastAsia="宋体"/>
      <w:b/>
      <w:kern w:val="2"/>
      <w:sz w:val="24"/>
      <w:szCs w:val="24"/>
      <w:lang w:val="en-US" w:eastAsia="zh-CN" w:bidi="ar-SA"/>
    </w:rPr>
  </w:style>
  <w:style w:type="character" w:customStyle="1" w:styleId="145">
    <w:name w:val="正文首行缩进 Char"/>
    <w:basedOn w:val="91"/>
    <w:qFormat/>
    <w:uiPriority w:val="0"/>
    <w:rPr>
      <w:rFonts w:eastAsia="楷体_GB2312" w:cs="Times New Roman"/>
      <w:sz w:val="21"/>
    </w:rPr>
  </w:style>
  <w:style w:type="character" w:customStyle="1" w:styleId="146">
    <w:name w:val="standdate1"/>
    <w:qFormat/>
    <w:uiPriority w:val="0"/>
    <w:rPr>
      <w:rFonts w:ascii="黑体" w:eastAsia="黑体"/>
      <w:color w:val="auto"/>
      <w:sz w:val="24"/>
      <w:u w:val="none"/>
    </w:rPr>
  </w:style>
  <w:style w:type="character" w:customStyle="1" w:styleId="147">
    <w:name w:val="正文首行缩进 2 Char"/>
    <w:basedOn w:val="92"/>
    <w:qFormat/>
    <w:uiPriority w:val="0"/>
    <w:rPr>
      <w:rFonts w:ascii="方正仿宋简体" w:hAnsi="创艺简仿宋" w:eastAsia="方正仿宋简体" w:cs="Times New Roman"/>
      <w:kern w:val="2"/>
      <w:sz w:val="28"/>
      <w:lang w:val="en-US" w:eastAsia="zh-CN"/>
    </w:rPr>
  </w:style>
  <w:style w:type="character" w:customStyle="1" w:styleId="148">
    <w:name w:val="正文文本 2 字符"/>
    <w:basedOn w:val="62"/>
    <w:link w:val="53"/>
    <w:qFormat/>
    <w:uiPriority w:val="0"/>
    <w:rPr>
      <w:rFonts w:ascii="仿宋_GB2312" w:eastAsia="仿宋_GB2312"/>
      <w:sz w:val="24"/>
      <w:szCs w:val="24"/>
    </w:rPr>
  </w:style>
  <w:style w:type="character" w:customStyle="1" w:styleId="149">
    <w:name w:val="正文文本 3 字符"/>
    <w:basedOn w:val="62"/>
    <w:link w:val="23"/>
    <w:qFormat/>
    <w:uiPriority w:val="0"/>
    <w:rPr>
      <w:color w:val="FF0000"/>
      <w:sz w:val="21"/>
      <w:szCs w:val="21"/>
    </w:rPr>
  </w:style>
  <w:style w:type="character" w:customStyle="1" w:styleId="150">
    <w:name w:val="正文首行缩进 字符"/>
    <w:basedOn w:val="91"/>
    <w:link w:val="59"/>
    <w:semiHidden/>
    <w:qFormat/>
    <w:uiPriority w:val="99"/>
    <w:rPr>
      <w:rFonts w:eastAsia="楷体_GB2312" w:cs="Times New Roman"/>
      <w:kern w:val="2"/>
      <w:sz w:val="26"/>
    </w:rPr>
  </w:style>
  <w:style w:type="character" w:customStyle="1" w:styleId="151">
    <w:name w:val="副标题 字符"/>
    <w:basedOn w:val="62"/>
    <w:link w:val="44"/>
    <w:qFormat/>
    <w:uiPriority w:val="0"/>
    <w:rPr>
      <w:rFonts w:ascii="Arial" w:hAnsi="Arial" w:eastAsia="黑体"/>
      <w:i/>
      <w:sz w:val="24"/>
    </w:rPr>
  </w:style>
  <w:style w:type="paragraph" w:customStyle="1" w:styleId="152">
    <w:name w:val="flName"/>
    <w:basedOn w:val="135"/>
    <w:qFormat/>
    <w:uiPriority w:val="0"/>
    <w:pPr>
      <w:adjustRightInd w:val="0"/>
      <w:spacing w:line="360" w:lineRule="atLeast"/>
      <w:textAlignment w:val="baseline"/>
    </w:pPr>
    <w:rPr>
      <w:rFonts w:hAnsi="Arial"/>
      <w:kern w:val="0"/>
      <w:sz w:val="32"/>
    </w:rPr>
  </w:style>
  <w:style w:type="paragraph" w:customStyle="1" w:styleId="153">
    <w:name w:val="Char Char1 Char"/>
    <w:basedOn w:val="1"/>
    <w:qFormat/>
    <w:uiPriority w:val="0"/>
    <w:rPr>
      <w:rFonts w:eastAsia="宋体"/>
      <w:sz w:val="24"/>
      <w:szCs w:val="24"/>
    </w:rPr>
  </w:style>
  <w:style w:type="character" w:customStyle="1" w:styleId="154">
    <w:name w:val="尾注文本 字符"/>
    <w:basedOn w:val="62"/>
    <w:link w:val="36"/>
    <w:semiHidden/>
    <w:qFormat/>
    <w:uiPriority w:val="99"/>
    <w:rPr>
      <w:rFonts w:eastAsia="楷体_GB2312"/>
      <w:kern w:val="2"/>
      <w:sz w:val="26"/>
    </w:rPr>
  </w:style>
  <w:style w:type="character" w:customStyle="1" w:styleId="155">
    <w:name w:val="正文首行缩进 2 字符"/>
    <w:basedOn w:val="92"/>
    <w:link w:val="2"/>
    <w:semiHidden/>
    <w:qFormat/>
    <w:uiPriority w:val="99"/>
    <w:rPr>
      <w:rFonts w:ascii="方正仿宋简体" w:hAnsi="创艺简仿宋" w:eastAsia="楷体_GB2312" w:cs="Times New Roman"/>
      <w:kern w:val="2"/>
      <w:sz w:val="26"/>
      <w:lang w:val="en-US" w:eastAsia="zh-CN"/>
    </w:rPr>
  </w:style>
  <w:style w:type="paragraph" w:customStyle="1" w:styleId="156">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8">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9">
    <w:name w:val="font0"/>
    <w:basedOn w:val="1"/>
    <w:qFormat/>
    <w:uiPriority w:val="0"/>
    <w:pPr>
      <w:widowControl/>
      <w:spacing w:before="100" w:after="100"/>
      <w:jc w:val="left"/>
    </w:pPr>
    <w:rPr>
      <w:rFonts w:ascii="宋体" w:hAnsi="宋体" w:eastAsia="宋体"/>
      <w:kern w:val="0"/>
      <w:sz w:val="24"/>
    </w:rPr>
  </w:style>
  <w:style w:type="paragraph" w:customStyle="1" w:styleId="160">
    <w:name w:val="Char2"/>
    <w:basedOn w:val="19"/>
    <w:next w:val="1"/>
    <w:qFormat/>
    <w:uiPriority w:val="0"/>
    <w:rPr>
      <w:rFonts w:ascii="Tahoma" w:hAnsi="Tahoma" w:eastAsia="宋体"/>
      <w:kern w:val="2"/>
      <w:sz w:val="24"/>
      <w:szCs w:val="24"/>
    </w:rPr>
  </w:style>
  <w:style w:type="paragraph" w:customStyle="1" w:styleId="161">
    <w:name w:val="standdate"/>
    <w:basedOn w:val="38"/>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62">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63">
    <w:name w:val="Char3"/>
    <w:basedOn w:val="1"/>
    <w:qFormat/>
    <w:uiPriority w:val="0"/>
    <w:rPr>
      <w:rFonts w:eastAsia="宋体"/>
      <w:sz w:val="21"/>
      <w:szCs w:val="24"/>
    </w:rPr>
  </w:style>
  <w:style w:type="paragraph" w:customStyle="1" w:styleId="164">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5">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7">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8">
    <w:name w:val="flType"/>
    <w:basedOn w:val="152"/>
    <w:qFormat/>
    <w:uiPriority w:val="0"/>
    <w:pPr>
      <w:spacing w:before="560" w:after="120"/>
    </w:pPr>
    <w:rPr>
      <w:sz w:val="28"/>
    </w:rPr>
  </w:style>
  <w:style w:type="paragraph" w:customStyle="1" w:styleId="169">
    <w:name w:val="字元 字元"/>
    <w:basedOn w:val="1"/>
    <w:qFormat/>
    <w:uiPriority w:val="0"/>
    <w:rPr>
      <w:rFonts w:eastAsia="宋体"/>
      <w:sz w:val="21"/>
      <w:szCs w:val="24"/>
    </w:rPr>
  </w:style>
  <w:style w:type="paragraph" w:customStyle="1" w:styleId="170">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71">
    <w:name w:val="Variable"/>
    <w:qFormat/>
    <w:uiPriority w:val="0"/>
    <w:rPr>
      <w:i/>
    </w:rPr>
  </w:style>
  <w:style w:type="paragraph" w:customStyle="1" w:styleId="172">
    <w:name w:val="正文首行缩进 21"/>
    <w:basedOn w:val="173"/>
    <w:qFormat/>
    <w:uiPriority w:val="0"/>
    <w:pPr>
      <w:ind w:firstLine="200" w:firstLineChars="200"/>
    </w:pPr>
  </w:style>
  <w:style w:type="paragraph" w:customStyle="1" w:styleId="173">
    <w:name w:val="正文文本缩进 New"/>
    <w:basedOn w:val="174"/>
    <w:next w:val="175"/>
    <w:qFormat/>
    <w:uiPriority w:val="0"/>
    <w:pPr>
      <w:ind w:left="420" w:leftChars="200"/>
    </w:pPr>
  </w:style>
  <w:style w:type="paragraph" w:customStyle="1" w:styleId="174">
    <w:name w:val="正文 New"/>
    <w:next w:val="1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寄信人地址 New"/>
    <w:basedOn w:val="174"/>
    <w:qFormat/>
    <w:uiPriority w:val="0"/>
    <w:pPr>
      <w:snapToGrid w:val="0"/>
    </w:pPr>
    <w:rPr>
      <w:rFonts w:ascii="Arial" w:hAnsi="Arial"/>
    </w:rPr>
  </w:style>
  <w:style w:type="paragraph" w:customStyle="1" w:styleId="176">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7">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8">
    <w:name w:val="样式 小四 加粗"/>
    <w:basedOn w:val="62"/>
    <w:qFormat/>
    <w:uiPriority w:val="0"/>
    <w:rPr>
      <w:rFonts w:eastAsia="黑体"/>
      <w:b/>
      <w:bCs/>
      <w:sz w:val="24"/>
    </w:rPr>
  </w:style>
  <w:style w:type="paragraph" w:customStyle="1" w:styleId="179">
    <w:name w:val="标题 3_0"/>
    <w:basedOn w:val="180"/>
    <w:next w:val="180"/>
    <w:qFormat/>
    <w:uiPriority w:val="0"/>
    <w:pPr>
      <w:keepNext/>
      <w:keepLines/>
      <w:spacing w:line="400" w:lineRule="exact"/>
      <w:ind w:firstLine="454"/>
      <w:outlineLvl w:val="2"/>
    </w:pPr>
    <w:rPr>
      <w:b/>
      <w:sz w:val="24"/>
      <w:szCs w:val="20"/>
    </w:rPr>
  </w:style>
  <w:style w:type="paragraph" w:customStyle="1" w:styleId="18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DataSourc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3686C-E29F-4061-A108-A2E5C7531192}">
  <ds:schemaRefs/>
</ds:datastoreItem>
</file>

<file path=customXml/itemProps3.xml><?xml version="1.0" encoding="utf-8"?>
<ds:datastoreItem xmlns:ds="http://schemas.openxmlformats.org/officeDocument/2006/customXml" ds:itemID="{B289F375-2B21-4815-A42B-FA50BFE035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19481</Words>
  <Characters>19926</Characters>
  <Lines>148</Lines>
  <Paragraphs>41</Paragraphs>
  <TotalTime>14</TotalTime>
  <ScaleCrop>false</ScaleCrop>
  <LinksUpToDate>false</LinksUpToDate>
  <CharactersWithSpaces>20338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2021-10-08T03:15:00Z</dcterms:created>
  <dc:creator>gt2017020601</dc:creator>
  <cp:lastModifiedBy>柠了个檬</cp:lastModifiedBy>
  <cp:lastPrinted>2021-10-08T02:43:00Z</cp:lastPrinted>
  <dcterms:modified xsi:type="dcterms:W3CDTF">2022-09-27T06:36:10Z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0D79DA58C3D7438694E5CA02FBB48530</vt:lpwstr>
  </property>
  <property fmtid="{D5CDD505-2E9C-101B-9397-08002B2CF9AE}" pid="4" name="UFIDA_U9App_DataSourceXMLPart">
    <vt:lpwstr>{7733686C-E29F-4061-A108-A2E5C7531192}</vt:lpwstr>
  </property>
</Properties>
</file>