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Theme="majorEastAsia" w:hAnsiTheme="majorEastAsia" w:eastAsiaTheme="majorEastAsia" w:cstheme="minorEastAsia"/>
        </w:rPr>
      </w:pPr>
    </w:p>
    <w:p>
      <w:pPr>
        <w:pStyle w:val="56"/>
        <w:tabs>
          <w:tab w:val="left" w:pos="420"/>
        </w:tabs>
        <w:spacing w:before="120"/>
        <w:ind w:firstLine="210"/>
      </w:pPr>
    </w:p>
    <w:p>
      <w:pPr>
        <w:tabs>
          <w:tab w:val="left" w:pos="1050"/>
          <w:tab w:val="right" w:leader="dot" w:pos="9402"/>
        </w:tabs>
        <w:jc w:val="center"/>
        <w:rPr>
          <w:rFonts w:hint="eastAsia" w:ascii="黑体" w:hAnsi="黑体" w:eastAsia="黑体" w:cs="黑体"/>
          <w:sz w:val="48"/>
          <w:szCs w:val="48"/>
        </w:rPr>
      </w:pPr>
      <w:r>
        <w:rPr>
          <w:rFonts w:hint="eastAsia" w:ascii="黑体" w:hAnsi="黑体" w:eastAsia="黑体" w:cs="黑体"/>
          <w:sz w:val="48"/>
          <w:szCs w:val="48"/>
        </w:rPr>
        <w:t>南通市妇幼保健院</w:t>
      </w:r>
    </w:p>
    <w:p>
      <w:pPr>
        <w:tabs>
          <w:tab w:val="left" w:pos="1050"/>
          <w:tab w:val="right" w:leader="dot" w:pos="9402"/>
        </w:tabs>
        <w:jc w:val="center"/>
        <w:rPr>
          <w:rFonts w:asciiTheme="majorEastAsia" w:hAnsiTheme="majorEastAsia" w:eastAsiaTheme="majorEastAsia" w:cstheme="majorEastAsia"/>
          <w:b/>
          <w:bCs/>
          <w:sz w:val="56"/>
          <w:szCs w:val="56"/>
        </w:rPr>
      </w:pPr>
      <w:r>
        <w:rPr>
          <w:rFonts w:hint="eastAsia" w:ascii="黑体" w:hAnsi="黑体" w:eastAsia="黑体" w:cs="黑体"/>
          <w:sz w:val="48"/>
          <w:szCs w:val="48"/>
        </w:rPr>
        <w:t>网络安全等级保护测评服务项目</w:t>
      </w:r>
    </w:p>
    <w:p>
      <w:pPr>
        <w:tabs>
          <w:tab w:val="left" w:pos="1050"/>
          <w:tab w:val="right" w:leader="dot" w:pos="9402"/>
        </w:tabs>
        <w:spacing w:line="1600" w:lineRule="exact"/>
        <w:jc w:val="center"/>
        <w:rPr>
          <w:rFonts w:hint="eastAsia" w:ascii="方正小标宋简体" w:hAnsi="Calibri" w:eastAsia="方正小标宋简体"/>
          <w:sz w:val="56"/>
          <w:szCs w:val="56"/>
          <w:lang w:eastAsia="zh-CN"/>
        </w:rPr>
      </w:pPr>
      <w:r>
        <w:rPr>
          <w:rFonts w:hint="eastAsia" w:ascii="宋体" w:hAnsi="宋体" w:eastAsia="宋体" w:cs="宋体"/>
          <w:sz w:val="52"/>
          <w:szCs w:val="52"/>
        </w:rPr>
        <w:t>竞争性磋商文件</w:t>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spacing w:after="191" w:afterLines="50" w:line="520" w:lineRule="exact"/>
        <w:jc w:val="center"/>
        <w:textAlignment w:val="auto"/>
        <w:rPr>
          <w:rFonts w:hint="eastAsia" w:ascii="宋体" w:hAnsi="宋体" w:eastAsia="宋体" w:cs="宋体"/>
          <w:sz w:val="36"/>
          <w:szCs w:val="36"/>
        </w:rPr>
      </w:pPr>
      <w:r>
        <w:rPr>
          <w:rFonts w:hint="eastAsia" w:ascii="宋体" w:hAnsi="宋体" w:eastAsia="宋体" w:cs="宋体"/>
          <w:sz w:val="36"/>
          <w:szCs w:val="36"/>
        </w:rPr>
        <w:t>（资格后审）</w:t>
      </w:r>
    </w:p>
    <w:p>
      <w:pPr>
        <w:pStyle w:val="74"/>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项目编号：2022XXCS003</w:t>
      </w:r>
    </w:p>
    <w:p>
      <w:pPr>
        <w:snapToGrid w:val="0"/>
        <w:spacing w:line="360" w:lineRule="auto"/>
        <w:rPr>
          <w:rFonts w:ascii="Arial" w:hAnsi="Arial" w:eastAsia="黑体"/>
          <w:b/>
          <w:bCs/>
          <w:sz w:val="36"/>
          <w:szCs w:val="36"/>
        </w:rPr>
      </w:pPr>
    </w:p>
    <w:p>
      <w:pPr>
        <w:snapToGrid w:val="0"/>
        <w:spacing w:line="360" w:lineRule="auto"/>
        <w:jc w:val="center"/>
        <w:rPr>
          <w:rFonts w:ascii="宋体" w:hAnsi="宋体" w:eastAsia="宋体"/>
          <w:kern w:val="0"/>
          <w:sz w:val="32"/>
          <w:szCs w:val="32"/>
        </w:rPr>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snapToGrid w:val="0"/>
        <w:spacing w:line="360" w:lineRule="auto"/>
        <w:jc w:val="center"/>
        <w:rPr>
          <w:rFonts w:ascii="宋体" w:hAnsi="宋体" w:eastAsia="宋体"/>
          <w:kern w:val="0"/>
          <w:sz w:val="32"/>
          <w:szCs w:val="32"/>
        </w:rPr>
      </w:pP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采购人：南通市妇幼保健院</w:t>
      </w: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代理机构：江苏方桂圆工程项目管理有限公司</w:t>
      </w:r>
    </w:p>
    <w:p>
      <w:pPr>
        <w:snapToGrid w:val="0"/>
        <w:spacing w:line="360" w:lineRule="auto"/>
        <w:jc w:val="center"/>
        <w:rPr>
          <w:rFonts w:ascii="宋体" w:hAnsi="宋体" w:eastAsia="宋体"/>
          <w:b/>
          <w:bCs/>
          <w:w w:val="80"/>
          <w:sz w:val="44"/>
          <w:szCs w:val="44"/>
        </w:rPr>
      </w:pPr>
      <w:r>
        <w:rPr>
          <w:rFonts w:hint="eastAsia" w:ascii="宋体" w:hAnsi="宋体" w:eastAsia="宋体" w:cs="宋体"/>
          <w:kern w:val="0"/>
          <w:sz w:val="32"/>
          <w:szCs w:val="32"/>
        </w:rPr>
        <w:t>二〇二</w:t>
      </w:r>
      <w:r>
        <w:rPr>
          <w:rFonts w:hint="eastAsia" w:ascii="宋体" w:hAnsi="宋体" w:eastAsia="宋体" w:cs="宋体"/>
          <w:kern w:val="0"/>
          <w:sz w:val="32"/>
          <w:szCs w:val="32"/>
          <w:lang w:eastAsia="zh-CN"/>
        </w:rPr>
        <w:t>二</w:t>
      </w:r>
      <w:r>
        <w:rPr>
          <w:rFonts w:hint="eastAsia" w:ascii="宋体" w:hAnsi="宋体" w:eastAsia="宋体" w:cs="宋体"/>
          <w:kern w:val="0"/>
          <w:sz w:val="32"/>
          <w:szCs w:val="32"/>
        </w:rPr>
        <w:t>年</w:t>
      </w:r>
      <w:r>
        <w:rPr>
          <w:rFonts w:hint="eastAsia" w:ascii="宋体" w:hAnsi="宋体" w:eastAsia="宋体" w:cs="宋体"/>
          <w:kern w:val="0"/>
          <w:sz w:val="32"/>
          <w:szCs w:val="32"/>
          <w:lang w:eastAsia="zh-CN"/>
        </w:rPr>
        <w:t>九</w:t>
      </w:r>
      <w:r>
        <w:rPr>
          <w:rFonts w:hint="eastAsia" w:ascii="宋体" w:hAnsi="宋体" w:eastAsia="宋体" w:cs="宋体"/>
          <w:kern w:val="0"/>
          <w:sz w:val="32"/>
          <w:szCs w:val="32"/>
        </w:rPr>
        <w:t>月</w:t>
      </w:r>
      <w:r>
        <w:pict>
          <v:shape id="_x0000_s2051" o:spid="_x0000_s2051" o:spt="202" type="#_x0000_t202" style="position:absolute;left:0pt;margin-left:194.6pt;margin-top:40.55pt;height:38pt;width:63.75pt;z-index:251660288;mso-width-relative:page;mso-height-relative:page;" stroked="f" coordsize="21600,21600" o:gfxdata="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uBe5dgAAAAKAQAADwAAAAAAAAABACAAAAAiAAAAZHJzL2Rvd25yZXYu&#10;eG1sUEsBAhQAFAAAAAgAh07iQDSudsXCAQAAdgMAAA4AAAAAAAAAAQAgAAAAJwEAAGRycy9lMm9E&#10;b2MueG1sUEsFBgAAAAAGAAYAWQEAAFsFAAAAAA==&#10;">
            <v:path/>
            <v:fill focussize="0,0"/>
            <v:stroke on="f" joinstyle="miter"/>
            <v:imagedata o:title=""/>
            <o:lock v:ext="edit"/>
            <v:textbox>
              <w:txbxContent>
                <w:p/>
              </w:txbxContent>
            </v:textbox>
          </v:shape>
        </w:pict>
      </w:r>
      <w:r>
        <w:pict>
          <v:shape id="_x0000_s2050" o:spid="_x0000_s2050" o:spt="202" type="#_x0000_t202" style="position:absolute;left:0pt;margin-left:203.6pt;margin-top:734pt;height:38pt;width:63.75pt;z-index:251661312;mso-width-relative:page;mso-height-relative:page;" stroked="f" coordsize="21600,21600" o:gfxdata="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Dd6BtkAAAANAQAADwAAAAAAAAABACAAAAAiAAAAZHJzL2Rvd25yZXYu&#10;eG1sUEsBAhQAFAAAAAgAh07iQGDXBtzBAQAAdgMAAA4AAAAAAAAAAQAgAAAAKAEAAGRycy9lMm9E&#10;b2MueG1sUEsFBgAAAAAGAAYAWQEAAFsFAAAAAA==&#10;">
            <v:path/>
            <v:fill focussize="0,0"/>
            <v:stroke on="f" joinstyle="miter"/>
            <v:imagedata o:title=""/>
            <o:lock v:ext="edit"/>
            <v:textbox>
              <w:txbxContent>
                <w:p/>
              </w:txbxContent>
            </v:textbox>
          </v:shape>
        </w:pict>
      </w: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rPr>
          <w:rFonts w:asciiTheme="majorEastAsia" w:hAnsiTheme="majorEastAsia" w:eastAsiaTheme="majorEastAsia" w:cstheme="minorEastAsia"/>
          <w:b/>
          <w:w w:val="80"/>
          <w:sz w:val="36"/>
          <w:szCs w:val="36"/>
        </w:rPr>
      </w:pPr>
    </w:p>
    <w:p>
      <w:pPr>
        <w:sectPr>
          <w:headerReference r:id="rId4" w:type="first"/>
          <w:footerReference r:id="rId6" w:type="first"/>
          <w:headerReference r:id="rId3" w:type="default"/>
          <w:footerReference r:id="rId5" w:type="default"/>
          <w:pgSz w:w="11906" w:h="16838"/>
          <w:pgMar w:top="1418" w:right="851" w:bottom="709" w:left="1418" w:header="851" w:footer="449" w:gutter="0"/>
          <w:cols w:space="720" w:num="1"/>
          <w:docGrid w:type="lines" w:linePitch="380" w:charSpace="-5735"/>
        </w:sectPr>
      </w:pPr>
    </w:p>
    <w:p>
      <w:pPr>
        <w:pStyle w:val="74"/>
      </w:pPr>
    </w:p>
    <w:p>
      <w:pPr>
        <w:tabs>
          <w:tab w:val="left" w:pos="1050"/>
          <w:tab w:val="right" w:leader="dot" w:pos="9402"/>
        </w:tabs>
        <w:spacing w:line="520" w:lineRule="exact"/>
        <w:jc w:val="center"/>
        <w:outlineLvl w:val="0"/>
        <w:rPr>
          <w:rFonts w:asciiTheme="majorEastAsia" w:hAnsiTheme="majorEastAsia" w:eastAsiaTheme="majorEastAsia" w:cstheme="minorEastAsia"/>
          <w:b/>
          <w:w w:val="80"/>
          <w:sz w:val="52"/>
          <w:szCs w:val="52"/>
        </w:rPr>
      </w:pPr>
      <w:r>
        <w:rPr>
          <w:rFonts w:hint="eastAsia" w:asciiTheme="majorEastAsia" w:hAnsiTheme="majorEastAsia" w:eastAsiaTheme="majorEastAsia" w:cstheme="minorEastAsia"/>
          <w:b/>
          <w:w w:val="80"/>
          <w:sz w:val="52"/>
          <w:szCs w:val="52"/>
        </w:rPr>
        <w:t>目  录</w:t>
      </w:r>
    </w:p>
    <w:p>
      <w:pPr>
        <w:pStyle w:val="38"/>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b/>
          <w:bCs/>
          <w:sz w:val="36"/>
          <w:szCs w:val="36"/>
        </w:rPr>
        <w:fldChar w:fldCharType="begin"/>
      </w:r>
      <w:r>
        <w:rPr>
          <w:rFonts w:hint="eastAsia" w:asciiTheme="majorEastAsia" w:hAnsiTheme="majorEastAsia" w:eastAsiaTheme="majorEastAsia" w:cstheme="minorEastAsia"/>
          <w:b/>
          <w:bCs/>
          <w:sz w:val="36"/>
          <w:szCs w:val="36"/>
        </w:rPr>
        <w:instrText xml:space="preserve"> TOC \o "1-1"</w:instrText>
      </w:r>
      <w:r>
        <w:rPr>
          <w:rFonts w:hint="eastAsia" w:asciiTheme="majorEastAsia" w:hAnsiTheme="majorEastAsia" w:eastAsiaTheme="majorEastAsia" w:cstheme="minorEastAsia"/>
          <w:b/>
          <w:bCs/>
          <w:sz w:val="36"/>
          <w:szCs w:val="36"/>
        </w:rPr>
        <w:fldChar w:fldCharType="separate"/>
      </w:r>
      <w:r>
        <w:rPr>
          <w:rFonts w:hint="eastAsia" w:asciiTheme="majorEastAsia" w:hAnsiTheme="majorEastAsia" w:eastAsiaTheme="majorEastAsia" w:cstheme="minorEastAsia"/>
          <w:sz w:val="32"/>
          <w:szCs w:val="32"/>
        </w:rPr>
        <w:t>第一章 竞争性磋商公告</w:t>
      </w:r>
    </w:p>
    <w:p>
      <w:pPr>
        <w:pStyle w:val="38"/>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第二章 供应商须知</w:t>
      </w:r>
    </w:p>
    <w:p>
      <w:pPr>
        <w:pStyle w:val="38"/>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第三章 项目需求</w:t>
      </w:r>
    </w:p>
    <w:p>
      <w:pPr>
        <w:pStyle w:val="38"/>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第四章 评审方法和程序</w:t>
      </w:r>
    </w:p>
    <w:p>
      <w:pPr>
        <w:pStyle w:val="38"/>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第五章 合同授予与履约</w:t>
      </w:r>
    </w:p>
    <w:p>
      <w:pPr>
        <w:pStyle w:val="38"/>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第六章 质疑与投诉</w:t>
      </w:r>
    </w:p>
    <w:p>
      <w:pPr>
        <w:pStyle w:val="38"/>
        <w:tabs>
          <w:tab w:val="right" w:leader="dot" w:pos="9072"/>
        </w:tabs>
        <w:spacing w:line="1200" w:lineRule="exact"/>
        <w:ind w:right="-2"/>
        <w:rPr>
          <w:rFonts w:asciiTheme="majorEastAsia" w:hAnsiTheme="majorEastAsia" w:eastAsiaTheme="majorEastAsia" w:cstheme="minorEastAsia"/>
          <w:sz w:val="36"/>
          <w:szCs w:val="36"/>
        </w:rPr>
      </w:pPr>
      <w:r>
        <w:rPr>
          <w:rFonts w:hint="eastAsia" w:asciiTheme="majorEastAsia" w:hAnsiTheme="majorEastAsia" w:eastAsiaTheme="majorEastAsia" w:cstheme="minorEastAsia"/>
          <w:sz w:val="32"/>
          <w:szCs w:val="32"/>
        </w:rPr>
        <w:t>第七章 磋商响应相关格式及文件</w:t>
      </w:r>
    </w:p>
    <w:p>
      <w:pPr>
        <w:pStyle w:val="11"/>
        <w:tabs>
          <w:tab w:val="center" w:pos="4818"/>
          <w:tab w:val="left" w:pos="5827"/>
        </w:tabs>
        <w:overflowPunct w:val="0"/>
        <w:snapToGrid w:val="0"/>
        <w:spacing w:line="360" w:lineRule="auto"/>
        <w:ind w:right="-2" w:firstLine="0"/>
        <w:rPr>
          <w:rFonts w:asciiTheme="majorEastAsia" w:hAnsiTheme="majorEastAsia" w:eastAsiaTheme="majorEastAsia" w:cstheme="minorEastAsia"/>
          <w:b/>
          <w:bCs/>
          <w:sz w:val="30"/>
          <w:szCs w:val="30"/>
        </w:rPr>
      </w:pPr>
      <w:r>
        <w:rPr>
          <w:rFonts w:hint="eastAsia" w:asciiTheme="majorEastAsia" w:hAnsiTheme="majorEastAsia" w:eastAsiaTheme="majorEastAsia" w:cstheme="minorEastAsia"/>
          <w:b/>
          <w:bCs/>
          <w:sz w:val="36"/>
          <w:szCs w:val="36"/>
        </w:rPr>
        <w:fldChar w:fldCharType="end"/>
      </w:r>
    </w:p>
    <w:p>
      <w:pPr>
        <w:pStyle w:val="11"/>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1"/>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1"/>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1"/>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1"/>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1"/>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1"/>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1"/>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sectPr>
          <w:footerReference r:id="rId7" w:type="default"/>
          <w:pgSz w:w="11906" w:h="16838"/>
          <w:pgMar w:top="1418" w:right="851" w:bottom="709" w:left="1418" w:header="851" w:footer="449" w:gutter="0"/>
          <w:pgNumType w:start="1"/>
          <w:cols w:space="720" w:num="1"/>
          <w:docGrid w:type="lines" w:linePitch="380" w:charSpace="-5735"/>
        </w:sectPr>
      </w:pPr>
    </w:p>
    <w:p>
      <w:pPr>
        <w:pStyle w:val="11"/>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pPr>
      <w:r>
        <w:rPr>
          <w:rFonts w:hint="eastAsia" w:asciiTheme="majorEastAsia" w:hAnsiTheme="majorEastAsia" w:eastAsiaTheme="majorEastAsia" w:cstheme="minorEastAsia"/>
          <w:szCs w:val="24"/>
        </w:rPr>
        <w:t>尊敬的投标供应商（以下称供应商）：</w:t>
      </w:r>
      <w:r>
        <w:rPr>
          <w:rFonts w:hint="eastAsia" w:asciiTheme="majorEastAsia" w:hAnsiTheme="majorEastAsia" w:eastAsiaTheme="majorEastAsia" w:cstheme="minorEastAsia"/>
          <w:szCs w:val="24"/>
        </w:rPr>
        <w:tab/>
      </w:r>
    </w:p>
    <w:p>
      <w:pPr>
        <w:snapToGrid w:val="0"/>
        <w:spacing w:line="440" w:lineRule="exact"/>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欢迎参加本采购项目的竞争性磋商。为了保证本次招标顺利进行，请在制作磋商响应文件（以下称投标文件）之前，仔细阅读本竞争性磋商文件的各项条款，并按要求制作和递交投标文件。谢谢合作！</w:t>
      </w:r>
      <w:bookmarkStart w:id="0" w:name="_Toc363573853"/>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第一章</w:t>
      </w:r>
      <w:bookmarkEnd w:id="0"/>
      <w:r>
        <w:rPr>
          <w:rFonts w:hint="eastAsia" w:asciiTheme="majorEastAsia" w:hAnsiTheme="majorEastAsia" w:eastAsiaTheme="majorEastAsia" w:cstheme="minorEastAsia"/>
          <w:b/>
          <w:w w:val="80"/>
          <w:sz w:val="36"/>
          <w:szCs w:val="36"/>
        </w:rPr>
        <w:t xml:space="preserve"> 竞争性磋商公告</w:t>
      </w:r>
    </w:p>
    <w:p>
      <w:pPr>
        <w:widowControl/>
        <w:snapToGrid w:val="0"/>
        <w:spacing w:line="440" w:lineRule="exact"/>
        <w:ind w:firstLine="470" w:firstLineChars="196"/>
        <w:jc w:val="left"/>
        <w:rPr>
          <w:rFonts w:cs="宋体" w:asciiTheme="majorEastAsia" w:hAnsiTheme="majorEastAsia" w:eastAsiaTheme="majorEastAsia"/>
          <w:sz w:val="24"/>
          <w:szCs w:val="24"/>
        </w:rPr>
      </w:pPr>
      <w:bookmarkStart w:id="1" w:name="_Toc363573854"/>
      <w:r>
        <w:rPr>
          <w:rFonts w:hint="eastAsia" w:cs="宋体" w:asciiTheme="majorEastAsia" w:hAnsiTheme="majorEastAsia" w:eastAsiaTheme="majorEastAsia"/>
          <w:sz w:val="24"/>
          <w:szCs w:val="24"/>
        </w:rPr>
        <w:t>江苏方桂圆工程项目管理有限公司（以下称代理机构）受南通市妇幼保健院（以下称采购单位）的委托，就南通市妇幼保健院网络安全等级保护测评服务项目组织竞争性磋商采购，诚邀符合条件的潜在供应商参加该项目的竞争性磋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一、项目基本情况</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项目名称：南通市妇幼保健院网络安全等级保护测评服务项目</w:t>
      </w:r>
    </w:p>
    <w:p>
      <w:pPr>
        <w:widowControl/>
        <w:snapToGrid w:val="0"/>
        <w:spacing w:line="440" w:lineRule="exact"/>
        <w:ind w:firstLine="470" w:firstLineChars="196"/>
        <w:jc w:val="left"/>
        <w:rPr>
          <w:rFonts w:cs="宋体" w:asciiTheme="majorEastAsia" w:hAnsiTheme="majorEastAsia" w:eastAsiaTheme="majorEastAsia"/>
          <w:sz w:val="24"/>
          <w:szCs w:val="24"/>
          <w:highlight w:val="yellow"/>
        </w:rPr>
      </w:pPr>
      <w:r>
        <w:rPr>
          <w:rFonts w:hint="eastAsia" w:cs="宋体" w:asciiTheme="majorEastAsia" w:hAnsiTheme="majorEastAsia" w:eastAsiaTheme="majorEastAsia"/>
          <w:sz w:val="24"/>
          <w:szCs w:val="24"/>
          <w:highlight w:val="none"/>
        </w:rPr>
        <w:t>项目编号：2022XXCS003</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采购方式：竞争性磋商</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项目预算：</w:t>
      </w:r>
      <w:bookmarkStart w:id="2" w:name="_Hlk71055035"/>
      <w:r>
        <w:rPr>
          <w:rFonts w:hint="eastAsia" w:cs="宋体" w:asciiTheme="majorEastAsia" w:hAnsiTheme="majorEastAsia" w:eastAsiaTheme="majorEastAsia"/>
          <w:sz w:val="24"/>
          <w:szCs w:val="24"/>
          <w:lang w:val="en-US" w:eastAsia="zh-CN"/>
        </w:rPr>
        <w:t>21</w:t>
      </w:r>
      <w:r>
        <w:rPr>
          <w:rFonts w:hint="eastAsia" w:cs="宋体" w:asciiTheme="majorEastAsia" w:hAnsiTheme="majorEastAsia" w:eastAsiaTheme="majorEastAsia"/>
          <w:sz w:val="24"/>
          <w:szCs w:val="24"/>
        </w:rPr>
        <w:t>万元</w:t>
      </w:r>
      <w:bookmarkEnd w:id="2"/>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项目需求：详见磋商文件第三章</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服务期限：一年</w:t>
      </w:r>
    </w:p>
    <w:p>
      <w:pPr>
        <w:widowControl/>
        <w:snapToGrid w:val="0"/>
        <w:spacing w:line="440" w:lineRule="exact"/>
        <w:ind w:firstLine="482" w:firstLineChars="200"/>
        <w:jc w:val="left"/>
        <w:rPr>
          <w:rFonts w:hint="eastAsia" w:cs="宋体" w:asciiTheme="majorEastAsia" w:hAnsiTheme="majorEastAsia" w:eastAsiaTheme="majorEastAsia"/>
          <w:b/>
          <w:sz w:val="24"/>
          <w:szCs w:val="24"/>
          <w:lang w:val="en-US" w:eastAsia="zh-CN"/>
        </w:rPr>
      </w:pPr>
      <w:r>
        <w:rPr>
          <w:rFonts w:hint="eastAsia" w:cs="宋体" w:asciiTheme="majorEastAsia" w:hAnsiTheme="majorEastAsia" w:eastAsiaTheme="majorEastAsia"/>
          <w:b/>
          <w:sz w:val="24"/>
          <w:szCs w:val="24"/>
        </w:rPr>
        <w:t>二、潜在供应商资格</w:t>
      </w:r>
      <w:r>
        <w:rPr>
          <w:rFonts w:hint="eastAsia" w:cs="宋体" w:asciiTheme="majorEastAsia" w:hAnsiTheme="majorEastAsia" w:eastAsiaTheme="majorEastAsia"/>
          <w:b/>
          <w:sz w:val="24"/>
          <w:szCs w:val="24"/>
          <w:lang w:val="en-US" w:eastAsia="zh-CN"/>
        </w:rPr>
        <w:t xml:space="preserve">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w:t>
      </w:r>
      <w:r>
        <w:rPr>
          <w:rFonts w:hint="eastAsia" w:cs="宋体" w:asciiTheme="majorEastAsia" w:hAnsiTheme="majorEastAsia" w:eastAsiaTheme="majorEastAsia"/>
          <w:sz w:val="24"/>
          <w:szCs w:val="24"/>
          <w:lang w:eastAsia="zh-CN"/>
        </w:rPr>
        <w:t>；法律、行政法规规定的其他条件</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法定代表人</w:t>
      </w:r>
      <w:r>
        <w:rPr>
          <w:rFonts w:hint="eastAsia" w:cs="宋体" w:asciiTheme="majorEastAsia" w:hAnsiTheme="majorEastAsia" w:eastAsiaTheme="majorEastAsia"/>
          <w:sz w:val="24"/>
          <w:szCs w:val="24"/>
        </w:rPr>
        <w:t>（或分公司负责人）</w:t>
      </w:r>
      <w:r>
        <w:rPr>
          <w:rFonts w:hint="eastAsia" w:cs="宋体" w:asciiTheme="majorEastAsia" w:hAnsiTheme="majorEastAsia" w:eastAsiaTheme="majorEastAsia"/>
          <w:sz w:val="24"/>
          <w:szCs w:val="24"/>
          <w:lang w:val="zh-CN"/>
        </w:rPr>
        <w:t>为同一个人的两个及两个以上法人，母公司、全资子公司及其控股公司，都不得在同一采购项目相同标段中同时参加投标，一经发现，将视同围标处理。</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r>
        <w:rPr>
          <w:rFonts w:hint="eastAsia" w:cs="宋体" w:asciiTheme="majorEastAsia" w:hAnsiTheme="majorEastAsia" w:eastAsiaTheme="majorEastAsia"/>
          <w:sz w:val="24"/>
          <w:szCs w:val="24"/>
          <w:lang w:val="zh-CN"/>
        </w:rPr>
        <w:t>供应商为具有独立法人的企业或者其他组织机构，有能力提供本次采购项目所要求的服务</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4、供应商</w:t>
      </w:r>
      <w:r>
        <w:rPr>
          <w:rFonts w:hint="eastAsia" w:cs="宋体" w:asciiTheme="majorEastAsia" w:hAnsiTheme="majorEastAsia" w:eastAsiaTheme="majorEastAsia"/>
          <w:sz w:val="24"/>
          <w:szCs w:val="24"/>
          <w:lang w:eastAsia="zh-CN"/>
        </w:rPr>
        <w:t>须</w:t>
      </w:r>
      <w:r>
        <w:rPr>
          <w:rFonts w:hint="eastAsia" w:cs="宋体" w:asciiTheme="majorEastAsia" w:hAnsiTheme="majorEastAsia" w:eastAsiaTheme="majorEastAsia"/>
          <w:sz w:val="24"/>
          <w:szCs w:val="24"/>
        </w:rPr>
        <w:t>具有有效期内的《网络安全等级测评与检测评估机构服务认证证书》。</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r>
        <w:rPr>
          <w:rFonts w:hint="eastAsia" w:cs="宋体" w:asciiTheme="majorEastAsia" w:hAnsiTheme="majorEastAsia" w:eastAsiaTheme="majorEastAsia"/>
          <w:sz w:val="24"/>
          <w:szCs w:val="24"/>
          <w:lang w:val="zh-CN"/>
        </w:rPr>
        <w:t>法定代表人参加投标的，必须提供法定代表人身份证明及法定代表人本人身份证复印件；非法定代表人参加投标的，必须提供法定代表人签字或盖章的授权委托书及法定代表人、授权委托人的两人身份证的复印件。</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6、提供《资格声明函》。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7、提供《关于资格文件的声明函》。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r>
        <w:rPr>
          <w:rFonts w:cs="宋体" w:asciiTheme="majorEastAsia" w:hAnsiTheme="majorEastAsia" w:eastAsiaTheme="majorEastAsia"/>
          <w:sz w:val="24"/>
          <w:szCs w:val="24"/>
        </w:rPr>
        <w:t>本项目不接受联合体投标</w:t>
      </w:r>
      <w:r>
        <w:rPr>
          <w:rFonts w:hint="eastAsia" w:cs="宋体" w:asciiTheme="majorEastAsia" w:hAnsiTheme="majorEastAsia" w:eastAsiaTheme="majorEastAsia"/>
          <w:sz w:val="24"/>
          <w:szCs w:val="24"/>
        </w:rPr>
        <w:t>。</w:t>
      </w:r>
    </w:p>
    <w:p>
      <w:pPr>
        <w:widowControl/>
        <w:snapToGrid w:val="0"/>
        <w:spacing w:line="440" w:lineRule="exact"/>
        <w:ind w:firstLine="472" w:firstLineChars="196"/>
        <w:jc w:val="left"/>
        <w:rPr>
          <w:rFonts w:cs="宋体" w:asciiTheme="majorEastAsia" w:hAnsiTheme="majorEastAsia" w:eastAsiaTheme="majorEastAsia"/>
          <w:b/>
          <w:sz w:val="24"/>
          <w:szCs w:val="24"/>
          <w:u w:val="single"/>
        </w:rPr>
      </w:pPr>
      <w:r>
        <w:rPr>
          <w:rFonts w:hint="eastAsia" w:cs="宋体" w:asciiTheme="majorEastAsia" w:hAnsiTheme="majorEastAsia" w:eastAsiaTheme="majorEastAsia"/>
          <w:b/>
          <w:sz w:val="24"/>
          <w:szCs w:val="24"/>
          <w:u w:val="single"/>
        </w:rPr>
        <w:t xml:space="preserve">具体资格要求详见第七章“资格审查文件”。 </w:t>
      </w:r>
    </w:p>
    <w:p>
      <w:pPr>
        <w:widowControl/>
        <w:snapToGrid w:val="0"/>
        <w:spacing w:line="440" w:lineRule="exact"/>
        <w:ind w:firstLine="472" w:firstLineChars="196"/>
        <w:jc w:val="left"/>
        <w:rPr>
          <w:rFonts w:hint="eastAsia"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请供应商认真对照资格要求，如不符合要求，无意或故意参与投标的，所产生的一切后果由供应商承担。对提供虚假材料的响应供应商作无效标处理，且将依照相关法律法规规定处理。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三、获取磋商采购文件</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有意愿参与本项目磋商的供应商，请于本公告发布之日起至开标前，至</w:t>
      </w:r>
      <w:r>
        <w:rPr>
          <w:rFonts w:hint="eastAsia" w:cs="宋体" w:asciiTheme="majorEastAsia" w:hAnsiTheme="majorEastAsia" w:eastAsiaTheme="majorEastAsia"/>
          <w:bCs/>
          <w:sz w:val="24"/>
          <w:szCs w:val="24"/>
          <w:highlight w:val="none"/>
        </w:rPr>
        <w:t>“南通市妇幼保健院官网（http://www.ntfybj.com/）”或“南通市卫生健康委员会官网</w:t>
      </w:r>
      <w:r>
        <w:rPr>
          <w:rFonts w:hint="eastAsia" w:cs="宋体" w:asciiTheme="majorEastAsia" w:hAnsiTheme="majorEastAsia" w:eastAsiaTheme="majorEastAsia"/>
          <w:bCs/>
          <w:sz w:val="24"/>
          <w:szCs w:val="24"/>
        </w:rPr>
        <w:t>（http://wjw.nantong.gov.cn/）”自行下载本项目的竞争性磋商文件。凡涉及磋商文件的补充说明、澄清或修改，均以上述网站发布的信息为准。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四、响应文件提交</w:t>
      </w:r>
    </w:p>
    <w:p>
      <w:pPr>
        <w:widowControl/>
        <w:snapToGrid w:val="0"/>
        <w:spacing w:line="440" w:lineRule="exact"/>
        <w:ind w:firstLine="470" w:firstLineChars="196"/>
        <w:jc w:val="left"/>
        <w:rPr>
          <w:rFonts w:cs="宋体" w:asciiTheme="majorEastAsia" w:hAnsiTheme="majorEastAsia" w:eastAsiaTheme="majorEastAsia"/>
          <w:color w:val="000000" w:themeColor="text1"/>
          <w:sz w:val="24"/>
          <w:szCs w:val="24"/>
          <w:highlight w:val="yellow"/>
        </w:rPr>
      </w:pPr>
      <w:r>
        <w:rPr>
          <w:rFonts w:hint="eastAsia" w:cs="宋体" w:asciiTheme="majorEastAsia" w:hAnsiTheme="majorEastAsia" w:eastAsiaTheme="majorEastAsia"/>
          <w:color w:val="000000" w:themeColor="text1"/>
          <w:sz w:val="24"/>
          <w:szCs w:val="24"/>
          <w:highlight w:val="none"/>
        </w:rPr>
        <w:t>1、截止时间：202</w:t>
      </w:r>
      <w:r>
        <w:rPr>
          <w:rFonts w:hint="eastAsia" w:cs="宋体" w:asciiTheme="majorEastAsia" w:hAnsiTheme="majorEastAsia" w:eastAsiaTheme="majorEastAsia"/>
          <w:color w:val="000000" w:themeColor="text1"/>
          <w:sz w:val="24"/>
          <w:szCs w:val="24"/>
          <w:highlight w:val="none"/>
          <w:lang w:val="en-US" w:eastAsia="zh-CN"/>
        </w:rPr>
        <w:t>2</w:t>
      </w:r>
      <w:r>
        <w:rPr>
          <w:rFonts w:hint="eastAsia" w:cs="宋体" w:asciiTheme="majorEastAsia" w:hAnsiTheme="majorEastAsia" w:eastAsiaTheme="majorEastAsia"/>
          <w:color w:val="000000" w:themeColor="text1"/>
          <w:sz w:val="24"/>
          <w:szCs w:val="24"/>
          <w:highlight w:val="none"/>
        </w:rPr>
        <w:t>年</w:t>
      </w:r>
      <w:r>
        <w:rPr>
          <w:rFonts w:hint="eastAsia" w:cs="宋体" w:asciiTheme="majorEastAsia" w:hAnsiTheme="majorEastAsia" w:eastAsiaTheme="majorEastAsia"/>
          <w:color w:val="000000" w:themeColor="text1"/>
          <w:sz w:val="24"/>
          <w:szCs w:val="24"/>
          <w:highlight w:val="none"/>
          <w:lang w:val="en-US" w:eastAsia="zh-CN"/>
        </w:rPr>
        <w:t>10</w:t>
      </w:r>
      <w:r>
        <w:rPr>
          <w:rFonts w:hint="eastAsia" w:cs="宋体" w:asciiTheme="majorEastAsia" w:hAnsiTheme="majorEastAsia" w:eastAsiaTheme="majorEastAsia"/>
          <w:color w:val="000000" w:themeColor="text1"/>
          <w:sz w:val="24"/>
          <w:szCs w:val="24"/>
          <w:highlight w:val="none"/>
        </w:rPr>
        <w:t>月</w:t>
      </w:r>
      <w:r>
        <w:rPr>
          <w:rFonts w:hint="eastAsia" w:cs="宋体" w:asciiTheme="majorEastAsia" w:hAnsiTheme="majorEastAsia" w:eastAsiaTheme="majorEastAsia"/>
          <w:color w:val="000000" w:themeColor="text1"/>
          <w:sz w:val="24"/>
          <w:szCs w:val="24"/>
          <w:highlight w:val="none"/>
          <w:lang w:val="en-US" w:eastAsia="zh-CN"/>
        </w:rPr>
        <w:t>18</w:t>
      </w:r>
      <w:r>
        <w:rPr>
          <w:rFonts w:hint="eastAsia" w:cs="宋体" w:asciiTheme="majorEastAsia" w:hAnsiTheme="majorEastAsia" w:eastAsiaTheme="majorEastAsia"/>
          <w:color w:val="000000" w:themeColor="text1"/>
          <w:sz w:val="24"/>
          <w:szCs w:val="24"/>
          <w:highlight w:val="none"/>
        </w:rPr>
        <w:t>日14时30分</w:t>
      </w:r>
      <w:r>
        <w:rPr>
          <w:rFonts w:hint="eastAsia" w:cs="宋体" w:asciiTheme="majorEastAsia" w:hAnsiTheme="majorEastAsia" w:eastAsiaTheme="majorEastAsia"/>
          <w:color w:val="000000" w:themeColor="text1"/>
          <w:sz w:val="24"/>
          <w:szCs w:val="24"/>
          <w:highlight w:val="none"/>
        </w:rPr>
        <w:t>（北京时间）。</w:t>
      </w:r>
    </w:p>
    <w:p>
      <w:pPr>
        <w:widowControl/>
        <w:snapToGrid w:val="0"/>
        <w:spacing w:line="440" w:lineRule="exact"/>
        <w:ind w:firstLine="480" w:firstLineChars="200"/>
        <w:jc w:val="left"/>
        <w:rPr>
          <w:rFonts w:cs="宋体" w:asciiTheme="majorEastAsia" w:hAnsiTheme="majorEastAsia" w:eastAsiaTheme="majorEastAsia"/>
          <w:bCs/>
          <w:sz w:val="24"/>
          <w:szCs w:val="24"/>
        </w:rPr>
      </w:pPr>
      <w:r>
        <w:rPr>
          <w:rFonts w:hint="eastAsia" w:cs="宋体" w:asciiTheme="majorEastAsia" w:hAnsiTheme="majorEastAsia" w:eastAsiaTheme="majorEastAsia"/>
          <w:sz w:val="24"/>
          <w:szCs w:val="24"/>
        </w:rPr>
        <w:t>2、地点：</w:t>
      </w:r>
      <w:r>
        <w:rPr>
          <w:rFonts w:hint="eastAsia" w:cs="宋体" w:asciiTheme="majorEastAsia" w:hAnsiTheme="majorEastAsia" w:eastAsiaTheme="majorEastAsia"/>
          <w:bCs/>
          <w:sz w:val="24"/>
          <w:szCs w:val="24"/>
        </w:rPr>
        <w:t>江苏方桂圆工程项目管理有限公司（</w:t>
      </w:r>
      <w:r>
        <w:rPr>
          <w:rFonts w:hint="eastAsia" w:cs="宋体" w:asciiTheme="majorEastAsia" w:hAnsiTheme="majorEastAsia" w:eastAsiaTheme="majorEastAsia"/>
          <w:sz w:val="24"/>
          <w:szCs w:val="24"/>
        </w:rPr>
        <w:t>南通市世纪大道恒隆国际</w:t>
      </w:r>
      <w:r>
        <w:rPr>
          <w:rFonts w:hint="eastAsia" w:cs="宋体" w:asciiTheme="majorEastAsia" w:hAnsiTheme="majorEastAsia" w:eastAsiaTheme="majorEastAsia"/>
          <w:sz w:val="24"/>
          <w:szCs w:val="24"/>
          <w:lang w:eastAsia="zh-CN"/>
        </w:rPr>
        <w:t>大厦</w:t>
      </w:r>
      <w:r>
        <w:rPr>
          <w:rFonts w:hint="eastAsia" w:cs="宋体" w:asciiTheme="majorEastAsia" w:hAnsiTheme="majorEastAsia" w:eastAsiaTheme="majorEastAsia"/>
          <w:sz w:val="24"/>
          <w:szCs w:val="24"/>
        </w:rPr>
        <w:t>A座701</w:t>
      </w:r>
      <w:r>
        <w:rPr>
          <w:rFonts w:hint="eastAsia" w:cs="宋体" w:asciiTheme="majorEastAsia" w:hAnsiTheme="majorEastAsia" w:eastAsiaTheme="majorEastAsia"/>
          <w:bCs/>
          <w:sz w:val="24"/>
          <w:szCs w:val="24"/>
        </w:rPr>
        <w:t>）</w:t>
      </w:r>
      <w:r>
        <w:rPr>
          <w:rFonts w:hint="eastAsia" w:cs="宋体" w:asciiTheme="majorEastAsia" w:hAnsiTheme="majorEastAsia" w:eastAsiaTheme="majorEastAsia"/>
          <w:sz w:val="24"/>
          <w:szCs w:val="24"/>
        </w:rPr>
        <w:t>，如有变动另行通知。</w:t>
      </w:r>
      <w:r>
        <w:rPr>
          <w:rFonts w:hint="eastAsia" w:cs="宋体" w:asciiTheme="majorEastAsia" w:hAnsiTheme="majorEastAsia" w:eastAsiaTheme="majorEastAsia"/>
          <w:bCs/>
          <w:sz w:val="24"/>
          <w:szCs w:val="24"/>
        </w:rPr>
        <w:t>逾期送达或者未送达指定地点的响应文件，采购人不予受理。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ascii="宋体" w:hAnsi="宋体" w:eastAsia="宋体" w:cs="宋体"/>
          <w:b/>
          <w:bCs/>
          <w:kern w:val="0"/>
          <w:sz w:val="24"/>
          <w:szCs w:val="24"/>
        </w:rPr>
        <w:t>3、根据疫情防控工作要求，请参加本项目招投标活动的人员，在进入活动现场时，务必携带有效身份证件，规范佩戴口罩，接受实名登记和体温检测，出具近14日健康码及行程轨迹，自觉服从和配合现场工作人员安排。如各省、市有最新防控要求的，按当地最新发布的防控要求执行。各投标人关注微信公众号“江海南通”，及时查看已发布或最新发布的相关疫情防控要求，并按照最新发布的疫情防控要求执行，疫情防控咨询电话：0513-85590062。如因未达到当地疫情防控要求，而被限制进入开投标场地的或被强制隔离等情况的，由当事人自行承担相关风险和责任。“江海南通”微信公众号：</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ascii="宋体" w:hAnsi="宋体" w:eastAsia="宋体" w:cs="宋体"/>
          <w:b/>
          <w:bCs/>
          <w:kern w:val="0"/>
          <w:sz w:val="24"/>
          <w:szCs w:val="24"/>
        </w:rPr>
        <w:drawing>
          <wp:anchor distT="0" distB="0" distL="114300" distR="114300" simplePos="0" relativeHeight="251662336" behindDoc="0" locked="0" layoutInCell="1" allowOverlap="1">
            <wp:simplePos x="0" y="0"/>
            <wp:positionH relativeFrom="column">
              <wp:posOffset>3932555</wp:posOffset>
            </wp:positionH>
            <wp:positionV relativeFrom="paragraph">
              <wp:posOffset>53340</wp:posOffset>
            </wp:positionV>
            <wp:extent cx="1781175" cy="1797050"/>
            <wp:effectExtent l="0" t="0" r="9525" b="1270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81175" cy="1797050"/>
                    </a:xfrm>
                    <a:prstGeom prst="rect">
                      <a:avLst/>
                    </a:prstGeom>
                    <a:noFill/>
                    <a:ln>
                      <a:noFill/>
                    </a:ln>
                  </pic:spPr>
                </pic:pic>
              </a:graphicData>
            </a:graphic>
          </wp:anchor>
        </w:drawing>
      </w: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numPr>
          <w:ilvl w:val="0"/>
          <w:numId w:val="2"/>
        </w:numPr>
        <w:snapToGrid w:val="0"/>
        <w:spacing w:line="440" w:lineRule="exact"/>
        <w:ind w:firstLine="472" w:firstLineChars="196"/>
        <w:jc w:val="left"/>
        <w:rPr>
          <w:rFonts w:hint="eastAsia"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rPr>
        <w:t>开启</w:t>
      </w:r>
      <w:r>
        <w:rPr>
          <w:rFonts w:hint="eastAsia" w:cs="宋体" w:asciiTheme="majorEastAsia" w:hAnsiTheme="majorEastAsia" w:eastAsiaTheme="majorEastAsia"/>
          <w:b/>
          <w:sz w:val="24"/>
          <w:szCs w:val="24"/>
          <w:lang w:eastAsia="zh-CN"/>
        </w:rPr>
        <w:t>响应文件</w:t>
      </w:r>
    </w:p>
    <w:p>
      <w:pPr>
        <w:widowControl/>
        <w:numPr>
          <w:ilvl w:val="0"/>
          <w:numId w:val="0"/>
        </w:numPr>
        <w:snapToGrid w:val="0"/>
        <w:spacing w:line="440" w:lineRule="exact"/>
        <w:ind w:firstLine="480" w:firstLineChars="200"/>
        <w:jc w:val="left"/>
        <w:rPr>
          <w:rFonts w:cs="宋体" w:asciiTheme="majorEastAsia" w:hAnsiTheme="majorEastAsia" w:eastAsiaTheme="majorEastAsia"/>
          <w:bCs/>
          <w:color w:val="000000" w:themeColor="text1"/>
          <w:sz w:val="24"/>
          <w:szCs w:val="24"/>
        </w:rPr>
      </w:pPr>
      <w:r>
        <w:rPr>
          <w:rFonts w:hint="eastAsia" w:cs="宋体" w:asciiTheme="majorEastAsia" w:hAnsiTheme="majorEastAsia" w:eastAsiaTheme="majorEastAsia"/>
          <w:bCs/>
          <w:color w:val="000000" w:themeColor="text1"/>
          <w:sz w:val="24"/>
          <w:szCs w:val="24"/>
          <w:highlight w:val="none"/>
        </w:rPr>
        <w:t>1、时间：202</w:t>
      </w:r>
      <w:r>
        <w:rPr>
          <w:rFonts w:hint="eastAsia" w:cs="宋体" w:asciiTheme="majorEastAsia" w:hAnsiTheme="majorEastAsia" w:eastAsiaTheme="majorEastAsia"/>
          <w:bCs/>
          <w:color w:val="000000" w:themeColor="text1"/>
          <w:sz w:val="24"/>
          <w:szCs w:val="24"/>
          <w:highlight w:val="none"/>
          <w:lang w:val="en-US" w:eastAsia="zh-CN"/>
        </w:rPr>
        <w:t>2</w:t>
      </w:r>
      <w:r>
        <w:rPr>
          <w:rFonts w:hint="eastAsia" w:cs="宋体" w:asciiTheme="majorEastAsia" w:hAnsiTheme="majorEastAsia" w:eastAsiaTheme="majorEastAsia"/>
          <w:bCs/>
          <w:color w:val="000000" w:themeColor="text1"/>
          <w:sz w:val="24"/>
          <w:szCs w:val="24"/>
          <w:highlight w:val="none"/>
        </w:rPr>
        <w:t>年</w:t>
      </w:r>
      <w:r>
        <w:rPr>
          <w:rFonts w:hint="eastAsia" w:cs="宋体" w:asciiTheme="majorEastAsia" w:hAnsiTheme="majorEastAsia" w:eastAsiaTheme="majorEastAsia"/>
          <w:bCs/>
          <w:color w:val="000000" w:themeColor="text1"/>
          <w:sz w:val="24"/>
          <w:szCs w:val="24"/>
          <w:highlight w:val="none"/>
          <w:lang w:val="en-US" w:eastAsia="zh-CN"/>
        </w:rPr>
        <w:t>10</w:t>
      </w:r>
      <w:r>
        <w:rPr>
          <w:rFonts w:hint="eastAsia" w:cs="宋体" w:asciiTheme="majorEastAsia" w:hAnsiTheme="majorEastAsia" w:eastAsiaTheme="majorEastAsia"/>
          <w:bCs/>
          <w:color w:val="000000" w:themeColor="text1"/>
          <w:sz w:val="24"/>
          <w:szCs w:val="24"/>
          <w:highlight w:val="none"/>
        </w:rPr>
        <w:t>月</w:t>
      </w:r>
      <w:r>
        <w:rPr>
          <w:rFonts w:hint="eastAsia" w:cs="宋体" w:asciiTheme="majorEastAsia" w:hAnsiTheme="majorEastAsia" w:eastAsiaTheme="majorEastAsia"/>
          <w:bCs/>
          <w:color w:val="000000" w:themeColor="text1"/>
          <w:sz w:val="24"/>
          <w:szCs w:val="24"/>
          <w:highlight w:val="none"/>
          <w:lang w:val="en-US" w:eastAsia="zh-CN"/>
        </w:rPr>
        <w:t>18</w:t>
      </w:r>
      <w:r>
        <w:rPr>
          <w:rFonts w:hint="eastAsia" w:cs="宋体" w:asciiTheme="majorEastAsia" w:hAnsiTheme="majorEastAsia" w:eastAsiaTheme="majorEastAsia"/>
          <w:bCs/>
          <w:color w:val="000000" w:themeColor="text1"/>
          <w:sz w:val="24"/>
          <w:szCs w:val="24"/>
          <w:highlight w:val="none"/>
        </w:rPr>
        <w:t>日14时30分（</w:t>
      </w:r>
      <w:r>
        <w:rPr>
          <w:rFonts w:hint="eastAsia" w:cs="宋体" w:asciiTheme="majorEastAsia" w:hAnsiTheme="majorEastAsia" w:eastAsiaTheme="majorEastAsia"/>
          <w:bCs/>
          <w:color w:val="000000" w:themeColor="text1"/>
          <w:sz w:val="24"/>
          <w:szCs w:val="24"/>
        </w:rPr>
        <w:t>北京时间）。</w:t>
      </w:r>
    </w:p>
    <w:p>
      <w:pPr>
        <w:widowControl/>
        <w:snapToGrid w:val="0"/>
        <w:spacing w:line="440" w:lineRule="exact"/>
        <w:ind w:firstLine="470"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Cs/>
          <w:sz w:val="24"/>
          <w:szCs w:val="24"/>
        </w:rPr>
        <w:t>2、地点：江苏方桂圆工程项目管理有限公司（</w:t>
      </w:r>
      <w:r>
        <w:rPr>
          <w:rFonts w:hint="eastAsia" w:cs="宋体" w:asciiTheme="majorEastAsia" w:hAnsiTheme="majorEastAsia" w:eastAsiaTheme="majorEastAsia"/>
          <w:sz w:val="24"/>
          <w:szCs w:val="24"/>
        </w:rPr>
        <w:t>南通市世纪大道恒隆国际</w:t>
      </w:r>
      <w:r>
        <w:rPr>
          <w:rFonts w:hint="eastAsia" w:cs="宋体" w:asciiTheme="majorEastAsia" w:hAnsiTheme="majorEastAsia" w:eastAsiaTheme="majorEastAsia"/>
          <w:sz w:val="24"/>
          <w:szCs w:val="24"/>
          <w:lang w:eastAsia="zh-CN"/>
        </w:rPr>
        <w:t>大厦</w:t>
      </w:r>
      <w:r>
        <w:rPr>
          <w:rFonts w:hint="eastAsia" w:cs="宋体" w:asciiTheme="majorEastAsia" w:hAnsiTheme="majorEastAsia" w:eastAsiaTheme="majorEastAsia"/>
          <w:sz w:val="24"/>
          <w:szCs w:val="24"/>
        </w:rPr>
        <w:t>A座701</w:t>
      </w:r>
      <w:r>
        <w:rPr>
          <w:rFonts w:hint="eastAsia" w:cs="宋体" w:asciiTheme="majorEastAsia" w:hAnsiTheme="majorEastAsia" w:eastAsiaTheme="majorEastAsia"/>
          <w:bCs/>
          <w:sz w:val="24"/>
          <w:szCs w:val="24"/>
        </w:rPr>
        <w:t>）</w:t>
      </w:r>
      <w:r>
        <w:rPr>
          <w:rFonts w:hint="eastAsia" w:cs="宋体" w:asciiTheme="majorEastAsia" w:hAnsiTheme="majorEastAsia" w:eastAsiaTheme="majorEastAsia"/>
          <w:sz w:val="24"/>
          <w:szCs w:val="24"/>
        </w:rPr>
        <w:t>，如有变动另行通知。</w:t>
      </w:r>
    </w:p>
    <w:p>
      <w:pPr>
        <w:spacing w:line="440" w:lineRule="exact"/>
        <w:ind w:firstLine="487" w:firstLineChars="202"/>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lang w:eastAsia="zh-CN"/>
        </w:rPr>
        <w:t>六</w:t>
      </w:r>
      <w:r>
        <w:rPr>
          <w:rFonts w:hint="eastAsia" w:cs="宋体" w:asciiTheme="majorEastAsia" w:hAnsiTheme="majorEastAsia" w:eastAsiaTheme="majorEastAsia"/>
          <w:b/>
          <w:sz w:val="24"/>
          <w:szCs w:val="24"/>
        </w:rPr>
        <w:t>、联系方式</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1、采购人信息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称：南通市妇幼保健院</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 xml:space="preserve">联系人：肖激雷         </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联系电话：0513-59008062</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2、采购代理机构信息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称：江苏方桂圆工程项目管理有限公司</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  址：南通市世纪大道恒隆国际大厦A座701室</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联系人：毛琴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联系电话：0513-55886299　</w:t>
      </w:r>
    </w:p>
    <w:p>
      <w:pPr>
        <w:widowControl/>
        <w:snapToGrid w:val="0"/>
        <w:spacing w:line="440" w:lineRule="exact"/>
        <w:ind w:firstLine="470" w:firstLineChars="196"/>
        <w:jc w:val="left"/>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邮  箱： </w:t>
      </w:r>
      <w:r>
        <w:fldChar w:fldCharType="begin"/>
      </w:r>
      <w:r>
        <w:instrText xml:space="preserve"> HYPERLINK "mailto:543907018@qq.com" </w:instrText>
      </w:r>
      <w:r>
        <w:fldChar w:fldCharType="separate"/>
      </w:r>
      <w:r>
        <w:rPr>
          <w:rFonts w:hint="eastAsia" w:cs="宋体" w:asciiTheme="majorEastAsia" w:hAnsiTheme="majorEastAsia" w:eastAsiaTheme="majorEastAsia"/>
          <w:sz w:val="24"/>
          <w:szCs w:val="24"/>
        </w:rPr>
        <w:t>fgyjszx2@163.com</w:t>
      </w:r>
      <w:r>
        <w:rPr>
          <w:rFonts w:hint="eastAsia" w:cs="宋体" w:asciiTheme="majorEastAsia" w:hAnsiTheme="majorEastAsia" w:eastAsiaTheme="majorEastAsia"/>
          <w:sz w:val="24"/>
          <w:szCs w:val="24"/>
        </w:rPr>
        <w:fldChar w:fldCharType="end"/>
      </w:r>
    </w:p>
    <w:p>
      <w:pPr>
        <w:widowControl/>
        <w:snapToGrid w:val="0"/>
        <w:spacing w:line="440" w:lineRule="exact"/>
        <w:ind w:firstLine="470" w:firstLineChars="196"/>
        <w:jc w:val="left"/>
        <w:rPr>
          <w:rFonts w:hint="eastAsia" w:cs="宋体" w:asciiTheme="majorEastAsia" w:hAnsiTheme="majorEastAsia" w:eastAsiaTheme="majorEastAsia"/>
          <w:sz w:val="24"/>
          <w:szCs w:val="24"/>
        </w:rPr>
      </w:pPr>
    </w:p>
    <w:p>
      <w:pPr>
        <w:widowControl/>
        <w:snapToGrid w:val="0"/>
        <w:spacing w:line="440" w:lineRule="exact"/>
        <w:ind w:firstLine="470" w:firstLineChars="196"/>
        <w:jc w:val="right"/>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南通市妇幼保健院</w:t>
      </w:r>
    </w:p>
    <w:p>
      <w:pPr>
        <w:widowControl/>
        <w:snapToGrid w:val="0"/>
        <w:spacing w:line="440" w:lineRule="exact"/>
        <w:ind w:firstLine="470" w:firstLineChars="196"/>
        <w:jc w:val="righ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2022年9月26日</w:t>
      </w: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第二章 供应商须知</w:t>
      </w:r>
      <w:bookmarkEnd w:id="1"/>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一、说明</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1、本磋商文件仅适用于江苏方桂圆工程项目管理有限公司组织的招标采购活动。</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2、磋商活动及因本次磋商产生的合同受中国法律制约和保护。</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3、磋商文件的解释权属于江苏方桂圆工程项目管理有限公司。</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hint="eastAsia" w:asciiTheme="majorEastAsia" w:hAnsiTheme="majorEastAsia" w:eastAsiaTheme="majorEastAsia" w:cstheme="minorEastAsia"/>
          <w:b/>
          <w:bCs/>
          <w:sz w:val="24"/>
          <w:szCs w:val="24"/>
          <w:lang w:val="en-US" w:eastAsia="zh-CN"/>
        </w:rPr>
        <w:t>5</w:t>
      </w:r>
      <w:r>
        <w:rPr>
          <w:rFonts w:hint="eastAsia" w:asciiTheme="majorEastAsia" w:hAnsiTheme="majorEastAsia" w:eastAsiaTheme="majorEastAsia" w:cstheme="minorEastAsia"/>
          <w:b/>
          <w:bCs/>
          <w:sz w:val="24"/>
          <w:szCs w:val="24"/>
        </w:rPr>
        <w:t>个工作日内以书面实名制形式提出质疑</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bCs/>
          <w:sz w:val="24"/>
          <w:szCs w:val="24"/>
        </w:rPr>
        <w:t>未提出询问或是未在规定期间内提出的视作供应商接受本项目磋商公告及磋商文件中的全部内容</w:t>
      </w:r>
      <w:r>
        <w:rPr>
          <w:rFonts w:hint="eastAsia" w:asciiTheme="majorEastAsia" w:hAnsiTheme="majorEastAsia" w:eastAsiaTheme="majorEastAsia" w:cstheme="minorEastAsia"/>
          <w:sz w:val="24"/>
          <w:szCs w:val="24"/>
        </w:rPr>
        <w:t>；供应商不得在招标活动期间及招标结束后针对本项目磋商公告及磋商文件中的所有内容提出质疑事项。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5、供应商应认真审阅本磋商文件中的所有事项、格式、条款和规范要求等，如果供应商没有按照磋商文件要求提交磋商响应文件，或者磋商响应文件没有对磋商文件做出实质性响应，将被拒绝参与项目的磋商。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二、磋商文件的补充说明、澄清、修改、答疑</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1、采购代理机构有权对发出的磋商文件进行必要的补充说明、澄清或修改。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2、凡涉及磋商文件的补充说明、澄清或修改，均以采购代理机构发布的信息为准。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3、采购代理机构对磋商文件的补充说明、澄清或修改，将构成本项目磋商文件的一部分，对供应商具有约束力。</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4、补充说明、澄清或修改的内容可能影响到磋商响应文件编制，采购代理机构将在首次提交磋商响应文件截止日</w:t>
      </w:r>
      <w:r>
        <w:rPr>
          <w:rFonts w:hint="eastAsia" w:asciiTheme="majorEastAsia" w:hAnsiTheme="majorEastAsia" w:eastAsiaTheme="majorEastAsia" w:cstheme="minorEastAsia"/>
          <w:sz w:val="24"/>
          <w:szCs w:val="24"/>
          <w:lang w:val="en-US" w:eastAsia="zh-CN"/>
        </w:rPr>
        <w:t>3</w:t>
      </w:r>
      <w:r>
        <w:rPr>
          <w:rFonts w:hint="eastAsia" w:asciiTheme="majorEastAsia" w:hAnsiTheme="majorEastAsia" w:eastAsiaTheme="majorEastAsia" w:cstheme="minorEastAsia"/>
          <w:sz w:val="24"/>
          <w:szCs w:val="24"/>
        </w:rPr>
        <w:t>日前，发布补充说明、澄清或修改公告。不足</w:t>
      </w:r>
      <w:r>
        <w:rPr>
          <w:rFonts w:hint="eastAsia" w:asciiTheme="majorEastAsia" w:hAnsiTheme="majorEastAsia" w:eastAsiaTheme="majorEastAsia" w:cstheme="minorEastAsia"/>
          <w:sz w:val="24"/>
          <w:szCs w:val="24"/>
          <w:lang w:val="en-US" w:eastAsia="zh-CN"/>
        </w:rPr>
        <w:t>3</w:t>
      </w:r>
      <w:r>
        <w:rPr>
          <w:rFonts w:hint="eastAsia" w:asciiTheme="majorEastAsia" w:hAnsiTheme="majorEastAsia" w:eastAsiaTheme="majorEastAsia" w:cstheme="minorEastAsia"/>
          <w:sz w:val="24"/>
          <w:szCs w:val="24"/>
        </w:rPr>
        <w:t>日的，应当顺延提交首次响应文件截止时间。</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5、除非采购代理机构以书面、公告的形式对磋商文件作出澄清、修改、补充并通知到供应商，供应商对涉及磋商文件的任何推论、理解和结论所造成的结果，均由供应商自负。</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6、采购人视情组织答疑会。如有产生答疑且对磋商文件内容有修改，采购代理机构将按照本须知有关规定，以补充通知（公告）的方式发出并通知到供应商。</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三、磋商响应文件的组成及装订</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1、磋商响应文件由：①资格审查文件、②技术响应文件、③价格响应文件共三部分组成（以下由文件序号代称）。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按磋商响应文件组成顺序编写响应文件，并牢固胶装成册。磋商响应文件均需采用A4纸（图纸等除外），不允许使用活页夹、拉杆夹、文件夹、塑料方便式书脊（插入式或穿孔式）装订。磋商响应文件不得行间插字、涂改、增删。修改错漏处，须经供应商法人代表或其委托的代理人（以下称被委托授权人）签字（或盖章）并加盖公章。</w:t>
      </w:r>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四、磋商响应文件的份数、签署和退还</w:t>
      </w:r>
    </w:p>
    <w:p>
      <w:pPr>
        <w:snapToGrid w:val="0"/>
        <w:spacing w:line="360" w:lineRule="auto"/>
        <w:ind w:firstLine="480" w:firstLineChars="200"/>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sz w:val="24"/>
          <w:szCs w:val="24"/>
        </w:rPr>
        <w:t>1、磋商响应文件均为一份“正本”和两份“副本”</w:t>
      </w:r>
      <w:r>
        <w:rPr>
          <w:rFonts w:hint="eastAsia" w:asciiTheme="majorEastAsia" w:hAnsiTheme="majorEastAsia" w:eastAsiaTheme="majorEastAsia" w:cstheme="minorEastAsia"/>
          <w:b/>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2、在每一份磋商响应文件上要明确标注项目名称、磋商响应文件各自对应的名称、供应商全称、“正本”、“副本”字样，“正本”和“副本”若有差异，概以“正本”为准。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3、磋商响应文件中的所有“正本”，须为打印的，其正文内容由法定代表人或被委托授权人签字（或盖章）并加盖公章，“副本”可为“正本”的复印件，但须加盖单位公章。</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4、磋商程序顺利进行后，所有磋商响应文件都将作为档案保存，不论成交与否，采购代理机构均不退回（未拆封的除外）。</w:t>
      </w:r>
    </w:p>
    <w:p>
      <w:pPr>
        <w:snapToGrid w:val="0"/>
        <w:spacing w:line="360" w:lineRule="auto"/>
        <w:ind w:firstLine="472" w:firstLineChars="196"/>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五、磋商响应文件的密封及标记</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1、供应商须将本项目磋商响应文件：①、②、③</w:t>
      </w:r>
      <w:r>
        <w:rPr>
          <w:rFonts w:hint="eastAsia" w:asciiTheme="majorEastAsia" w:hAnsiTheme="majorEastAsia" w:eastAsiaTheme="majorEastAsia" w:cstheme="minorEastAsia"/>
          <w:b/>
          <w:sz w:val="24"/>
          <w:szCs w:val="24"/>
        </w:rPr>
        <w:t>分别单独密封</w:t>
      </w:r>
      <w:r>
        <w:rPr>
          <w:rFonts w:hint="eastAsia" w:asciiTheme="majorEastAsia" w:hAnsiTheme="majorEastAsia" w:eastAsiaTheme="majorEastAsia" w:cstheme="minorEastAsia"/>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2、密封后，应在每一密封件上明确标注磋商项目名称、磋商响应文件各自对应的名称、供应商全称及日期，同时加盖供应商公章。</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特别提醒：</w:t>
      </w:r>
      <w:r>
        <w:rPr>
          <w:rFonts w:hint="eastAsia" w:asciiTheme="majorEastAsia" w:hAnsiTheme="majorEastAsia" w:eastAsiaTheme="majorEastAsia" w:cstheme="minorEastAsia"/>
          <w:bCs/>
          <w:sz w:val="24"/>
          <w:szCs w:val="24"/>
        </w:rPr>
        <w:t>资格审查文件及技术响应文件</w:t>
      </w:r>
      <w:r>
        <w:rPr>
          <w:rFonts w:hint="eastAsia" w:asciiTheme="majorEastAsia" w:hAnsiTheme="majorEastAsia" w:eastAsiaTheme="majorEastAsia" w:cstheme="minorEastAsia"/>
          <w:sz w:val="24"/>
          <w:szCs w:val="24"/>
        </w:rPr>
        <w:t>中，均不得含有任何有关报价的内容，否则作无效磋商处理。</w:t>
      </w:r>
    </w:p>
    <w:p>
      <w:pPr>
        <w:snapToGrid w:val="0"/>
        <w:spacing w:line="360" w:lineRule="auto"/>
        <w:ind w:firstLine="472" w:firstLineChars="196"/>
        <w:outlineLvl w:val="1"/>
        <w:rPr>
          <w:rFonts w:hint="eastAsia" w:asciiTheme="majorEastAsia" w:hAnsiTheme="majorEastAsia" w:eastAsiaTheme="majorEastAsia" w:cstheme="minorEastAsia"/>
          <w:b/>
          <w:bCs/>
          <w:sz w:val="24"/>
          <w:szCs w:val="24"/>
        </w:rPr>
      </w:pPr>
      <w:bookmarkStart w:id="3" w:name="_Toc363573855"/>
      <w:r>
        <w:rPr>
          <w:rFonts w:hint="eastAsia" w:asciiTheme="majorEastAsia" w:hAnsiTheme="majorEastAsia" w:eastAsiaTheme="majorEastAsia" w:cstheme="minorEastAsia"/>
          <w:b/>
          <w:bCs/>
          <w:sz w:val="24"/>
          <w:szCs w:val="24"/>
        </w:rPr>
        <w:t>六、磋商报价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1、本项目不接受任何有选择的报价。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2、磋商报价均以人民币为报价的币种。</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3、磋商报价表必须加盖供应商公章且必须经法定代表人或被授权人签字或盖章。报价表中的大写金额与小写金额、总价金额与按单价汇总金额，若有差异，将执行《政府采购货物和服务招标投标管理办法》第</w:t>
      </w:r>
      <w:r>
        <w:rPr>
          <w:rFonts w:hint="eastAsia" w:ascii="宋体" w:hAnsi="宋体" w:eastAsia="宋体" w:cs="宋体"/>
          <w:sz w:val="24"/>
          <w:szCs w:val="24"/>
          <w:lang w:val="en-US" w:eastAsia="zh-CN"/>
        </w:rPr>
        <w:t>59</w:t>
      </w:r>
      <w:r>
        <w:rPr>
          <w:rFonts w:hint="eastAsia" w:ascii="宋体" w:hAnsi="宋体" w:eastAsia="宋体" w:cs="宋体"/>
          <w:sz w:val="24"/>
          <w:szCs w:val="24"/>
        </w:rPr>
        <w:t>条的规定。</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4、供应商应按本竞争性磋商文件内项目需求及合同条款的全部采购内容计算总价，最终磋商报价应包括本项目的全部费用及相关的服务费。</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磋商响应报价应包括但不限于：供应商为完成本项目规定的各项工作所承担的全部费用、利润和税金及政策性文件规定合同包含内的所有风险责任等各项费用，不论其在招标文件中是否提及。即招标物交付使用前的所有费用以及免保期内的服务费用等包含响应竞争性磋商文件采购要求的所有费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480" w:lineRule="exact"/>
        <w:ind w:firstLine="494" w:firstLineChars="206"/>
        <w:rPr>
          <w:rFonts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、竞争性磋商的最终报价为成交价。同时，供应商的最终成交价在合同实施期间不因市场变化因素而变动。</w:t>
      </w:r>
    </w:p>
    <w:p>
      <w:pPr>
        <w:snapToGrid w:val="0"/>
        <w:spacing w:line="480" w:lineRule="exact"/>
        <w:ind w:firstLine="482" w:firstLineChars="200"/>
        <w:outlineLvl w:val="1"/>
        <w:rPr>
          <w:rFonts w:ascii="宋体" w:hAnsi="宋体" w:eastAsia="宋体" w:cs="宋体"/>
          <w:sz w:val="24"/>
          <w:szCs w:val="24"/>
        </w:rPr>
      </w:pPr>
      <w:r>
        <w:rPr>
          <w:rFonts w:hint="eastAsia" w:ascii="宋体" w:hAnsi="宋体" w:eastAsia="宋体" w:cs="宋体"/>
          <w:b/>
          <w:bCs/>
          <w:color w:val="000000"/>
          <w:sz w:val="24"/>
          <w:szCs w:val="24"/>
        </w:rPr>
        <w:t>七、</w:t>
      </w:r>
      <w:r>
        <w:rPr>
          <w:rFonts w:hint="eastAsia" w:ascii="宋体" w:hAnsi="宋体" w:eastAsia="宋体" w:cs="宋体"/>
          <w:b/>
          <w:kern w:val="0"/>
          <w:sz w:val="24"/>
          <w:szCs w:val="24"/>
        </w:rPr>
        <w:t>磋商</w:t>
      </w:r>
      <w:r>
        <w:rPr>
          <w:rFonts w:hint="eastAsia" w:ascii="宋体" w:hAnsi="宋体" w:eastAsia="宋体" w:cs="宋体"/>
          <w:b/>
          <w:bCs/>
          <w:sz w:val="24"/>
          <w:szCs w:val="24"/>
        </w:rPr>
        <w:t>费用</w:t>
      </w:r>
    </w:p>
    <w:p>
      <w:pPr>
        <w:snapToGrid w:val="0"/>
        <w:spacing w:line="480" w:lineRule="exact"/>
        <w:ind w:firstLine="460" w:firstLineChars="192"/>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1、磋商文件及相关资料费300元/份，由供应商在递交响应文件时一同缴纳给代理机构，无论是否成交，该费用不予退还。</w:t>
      </w:r>
    </w:p>
    <w:p>
      <w:pPr>
        <w:snapToGrid w:val="0"/>
        <w:spacing w:line="480" w:lineRule="exact"/>
        <w:ind w:firstLine="460" w:firstLineChars="192"/>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2、本次磋商采购代理服务费</w:t>
      </w:r>
      <w:r>
        <w:rPr>
          <w:rFonts w:hint="eastAsia" w:ascii="宋体" w:hAnsi="宋体" w:eastAsia="宋体" w:cs="宋体"/>
          <w:b w:val="0"/>
          <w:bCs w:val="0"/>
          <w:color w:val="000000"/>
          <w:sz w:val="24"/>
          <w:szCs w:val="24"/>
          <w:u w:val="single"/>
          <w:lang w:val="en-US" w:eastAsia="zh-CN"/>
        </w:rPr>
        <w:t>1260</w:t>
      </w:r>
      <w:r>
        <w:rPr>
          <w:rFonts w:hint="eastAsia" w:ascii="宋体" w:hAnsi="宋体" w:eastAsia="宋体" w:cs="宋体"/>
          <w:b w:val="0"/>
          <w:bCs w:val="0"/>
          <w:color w:val="000000"/>
          <w:sz w:val="24"/>
          <w:szCs w:val="24"/>
          <w:u w:val="single"/>
          <w:lang w:val="zh-CN"/>
        </w:rPr>
        <w:t>元</w:t>
      </w:r>
      <w:r>
        <w:rPr>
          <w:rFonts w:hint="eastAsia" w:ascii="宋体" w:hAnsi="宋体" w:eastAsia="宋体" w:cs="宋体"/>
          <w:b w:val="0"/>
          <w:bCs w:val="0"/>
          <w:color w:val="000000"/>
          <w:sz w:val="24"/>
          <w:szCs w:val="24"/>
          <w:lang w:val="zh-CN"/>
        </w:rPr>
        <w:t>由成交供应商承担，请参加磋商的供应商在成本中自行考虑，由成交供应商在领取成交通知书时向采购代理机构一次性付清。</w:t>
      </w:r>
    </w:p>
    <w:p>
      <w:pPr>
        <w:snapToGrid w:val="0"/>
        <w:spacing w:line="480" w:lineRule="exact"/>
        <w:ind w:firstLine="460" w:firstLineChars="19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3、供应商另须将评委评审费综合考虑在响应报价内，费用标准按省财政厅《关于规范列支政府采购专家评审费的通知》(通财购〔2018〕18号)执行。</w:t>
      </w:r>
    </w:p>
    <w:p>
      <w:pPr>
        <w:snapToGrid w:val="0"/>
        <w:spacing w:line="480" w:lineRule="exact"/>
        <w:ind w:firstLine="460" w:firstLineChars="192"/>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lang w:val="zh-CN"/>
        </w:rPr>
        <w:t>、无论磋商过程和结果如何，参加项目磋商的供应商自行承担与本次项目磋商有关的全部费用。</w:t>
      </w:r>
    </w:p>
    <w:p>
      <w:pPr>
        <w:snapToGrid w:val="0"/>
        <w:spacing w:line="480" w:lineRule="exact"/>
        <w:ind w:firstLine="463" w:firstLineChars="19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八、履约保证金</w:t>
      </w:r>
    </w:p>
    <w:p>
      <w:pPr>
        <w:snapToGrid w:val="0"/>
        <w:spacing w:line="480" w:lineRule="exact"/>
        <w:ind w:firstLine="460" w:firstLineChars="192"/>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本项目无需缴纳履约保证金</w:t>
      </w:r>
    </w:p>
    <w:p>
      <w:pPr>
        <w:snapToGrid w:val="0"/>
        <w:spacing w:line="480" w:lineRule="exact"/>
        <w:ind w:firstLine="463" w:firstLineChars="192"/>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九、未尽事宜</w:t>
      </w:r>
    </w:p>
    <w:p>
      <w:pPr>
        <w:snapToGrid w:val="0"/>
        <w:spacing w:line="480" w:lineRule="exact"/>
        <w:ind w:firstLine="494" w:firstLineChars="206"/>
        <w:rPr>
          <w:rFonts w:hint="eastAsia" w:asciiTheme="majorEastAsia" w:hAnsiTheme="majorEastAsia" w:eastAsiaTheme="majorEastAsia" w:cstheme="minorEastAsia"/>
          <w:b/>
          <w:sz w:val="24"/>
          <w:szCs w:val="24"/>
        </w:rPr>
      </w:pPr>
      <w:r>
        <w:rPr>
          <w:rFonts w:hint="eastAsia" w:ascii="宋体" w:hAnsi="宋体" w:eastAsia="宋体" w:cs="宋体"/>
          <w:color w:val="000000"/>
          <w:sz w:val="24"/>
          <w:szCs w:val="24"/>
        </w:rPr>
        <w:t>按《中华人民共和国政府采购法</w:t>
      </w:r>
      <w:r>
        <w:rPr>
          <w:rFonts w:hint="eastAsia" w:ascii="宋体" w:hAnsi="宋体" w:eastAsia="宋体" w:cs="宋体"/>
          <w:color w:val="000000"/>
          <w:sz w:val="28"/>
          <w:szCs w:val="28"/>
        </w:rPr>
        <w:t>》、</w:t>
      </w:r>
      <w:r>
        <w:rPr>
          <w:rFonts w:hint="eastAsia" w:ascii="宋体" w:hAnsi="宋体" w:eastAsia="宋体" w:cs="宋体"/>
          <w:color w:val="000000"/>
          <w:sz w:val="24"/>
          <w:szCs w:val="24"/>
        </w:rPr>
        <w:t>《政府采购竞争性磋商采购方式管理暂行办法》及其他有关法律法规的规定执行。若本文件与法律法规规定有冲突之处，则按照法律法规规定执行。</w:t>
      </w:r>
      <w:r>
        <w:rPr>
          <w:rFonts w:hint="eastAsia" w:asciiTheme="majorEastAsia" w:hAnsiTheme="majorEastAsia" w:eastAsiaTheme="majorEastAsia" w:cstheme="minorEastAsia"/>
          <w:b/>
          <w:sz w:val="24"/>
          <w:szCs w:val="24"/>
        </w:rPr>
        <w:br w:type="page"/>
      </w:r>
    </w:p>
    <w:p>
      <w:pPr>
        <w:snapToGrid w:val="0"/>
        <w:spacing w:line="480" w:lineRule="exact"/>
        <w:ind w:firstLine="596" w:firstLineChars="206"/>
        <w:jc w:val="center"/>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第三章 项目需求</w:t>
      </w:r>
      <w:bookmarkEnd w:id="3"/>
    </w:p>
    <w:p>
      <w:pPr>
        <w:spacing w:line="480" w:lineRule="exact"/>
        <w:ind w:firstLine="482" w:firstLineChars="200"/>
        <w:rPr>
          <w:rFonts w:ascii="宋体" w:hAnsi="宋体" w:eastAsia="宋体"/>
          <w:sz w:val="24"/>
          <w:szCs w:val="24"/>
        </w:rPr>
      </w:pPr>
      <w:bookmarkStart w:id="4" w:name="_Toc13543213"/>
      <w:r>
        <w:rPr>
          <w:rFonts w:hint="eastAsia" w:ascii="宋体" w:hAnsi="宋体" w:eastAsia="宋体"/>
          <w:b/>
          <w:sz w:val="24"/>
          <w:szCs w:val="24"/>
        </w:rPr>
        <w:t>请供应商在制作响应文件时仔细研究项目需求说明</w:t>
      </w:r>
      <w:r>
        <w:rPr>
          <w:rFonts w:hint="eastAsia" w:ascii="宋体" w:hAnsi="宋体" w:eastAsia="宋体"/>
          <w:sz w:val="24"/>
          <w:szCs w:val="24"/>
        </w:rPr>
        <w:t>。供应商不能简单照搬照抄采购人项目需求说明中的各项要求，必须作实事求是的响应。如照搬照抄项目需求中的要求的，成交供应商在同采购人签订合同和履约环节中不得提出异议，一切后果和损失由成交供应商承担。如供应商提供的货物或服务同采购人提出的项目需求不同的，必须在《技术服务条款响应表》上明示，如不明示的视同完全响应。</w:t>
      </w:r>
    </w:p>
    <w:p>
      <w:pPr>
        <w:spacing w:line="480" w:lineRule="exact"/>
        <w:ind w:firstLine="482" w:firstLineChars="200"/>
        <w:rPr>
          <w:rFonts w:ascii="宋体" w:hAnsi="宋体" w:eastAsia="宋体"/>
          <w:sz w:val="24"/>
          <w:szCs w:val="24"/>
        </w:rPr>
      </w:pPr>
      <w:r>
        <w:rPr>
          <w:rFonts w:hint="eastAsia" w:ascii="宋体" w:hAnsi="宋体" w:eastAsia="宋体"/>
          <w:b/>
          <w:bCs/>
          <w:sz w:val="24"/>
          <w:szCs w:val="24"/>
        </w:rPr>
        <w:t>一、项目概况</w:t>
      </w:r>
    </w:p>
    <w:p>
      <w:pPr>
        <w:widowControl/>
        <w:spacing w:line="480" w:lineRule="exact"/>
        <w:ind w:firstLine="480" w:firstLineChars="200"/>
        <w:contextualSpacing/>
        <w:rPr>
          <w:rFonts w:ascii="宋体" w:hAnsi="宋体" w:eastAsia="宋体"/>
          <w:sz w:val="24"/>
          <w:szCs w:val="24"/>
        </w:rPr>
      </w:pPr>
      <w:r>
        <w:rPr>
          <w:rFonts w:hint="eastAsia" w:ascii="宋体" w:hAnsi="宋体" w:eastAsia="宋体"/>
          <w:sz w:val="24"/>
          <w:szCs w:val="24"/>
        </w:rPr>
        <w:t>为落实《网络安全法》第二十一条第三款“网络运营者应当按照网络安全等级保护制度的要求”，南通市妇幼保健院决定对单位信息系统进行网络安全等级保护测评，以明确信息系统现状，发现系统内部存在的安全隐患和不足，明确整改方向，降低系统被攻击的风险。同时拟采购相应的网络安全服务，从而确保系统安全稳定运行，提升系统安全防护能力，构筑整体安全防护体系。</w:t>
      </w:r>
    </w:p>
    <w:p>
      <w:pPr>
        <w:widowControl/>
        <w:spacing w:line="480" w:lineRule="exact"/>
        <w:ind w:firstLine="480" w:firstLineChars="200"/>
        <w:contextualSpacing/>
        <w:rPr>
          <w:rFonts w:ascii="宋体" w:hAnsi="宋体" w:eastAsia="宋体"/>
          <w:sz w:val="24"/>
          <w:szCs w:val="24"/>
        </w:rPr>
      </w:pPr>
      <w:r>
        <w:rPr>
          <w:rFonts w:hint="eastAsia" w:ascii="宋体" w:hAnsi="宋体" w:eastAsia="宋体"/>
          <w:sz w:val="24"/>
          <w:szCs w:val="24"/>
        </w:rPr>
        <w:t>1、测评范围</w:t>
      </w:r>
    </w:p>
    <w:tbl>
      <w:tblPr>
        <w:tblStyle w:val="5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524"/>
        <w:gridCol w:w="782"/>
        <w:gridCol w:w="2070"/>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2"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435"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系统名称</w:t>
            </w:r>
          </w:p>
        </w:tc>
        <w:tc>
          <w:tcPr>
            <w:tcW w:w="421"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系统数量</w:t>
            </w:r>
          </w:p>
        </w:tc>
        <w:tc>
          <w:tcPr>
            <w:tcW w:w="1114"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备案情况</w:t>
            </w:r>
          </w:p>
        </w:tc>
        <w:tc>
          <w:tcPr>
            <w:tcW w:w="626"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2"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2435"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集成平台数据中心</w:t>
            </w:r>
          </w:p>
        </w:tc>
        <w:tc>
          <w:tcPr>
            <w:tcW w:w="421"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1个</w:t>
            </w:r>
          </w:p>
        </w:tc>
        <w:tc>
          <w:tcPr>
            <w:tcW w:w="1114"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三级</w:t>
            </w:r>
          </w:p>
        </w:tc>
        <w:tc>
          <w:tcPr>
            <w:tcW w:w="626" w:type="pct"/>
            <w:vAlign w:val="center"/>
          </w:tcPr>
          <w:p>
            <w:pPr>
              <w:pStyle w:val="136"/>
              <w:spacing w:line="276"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2"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2435"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互联网医院</w:t>
            </w:r>
          </w:p>
        </w:tc>
        <w:tc>
          <w:tcPr>
            <w:tcW w:w="421"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1个</w:t>
            </w:r>
          </w:p>
        </w:tc>
        <w:tc>
          <w:tcPr>
            <w:tcW w:w="1114"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三级</w:t>
            </w:r>
          </w:p>
        </w:tc>
        <w:tc>
          <w:tcPr>
            <w:tcW w:w="626" w:type="pct"/>
            <w:vAlign w:val="center"/>
          </w:tcPr>
          <w:p>
            <w:pPr>
              <w:pStyle w:val="136"/>
              <w:spacing w:line="276"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2"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2435"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CIS临床医疗信息系统</w:t>
            </w:r>
          </w:p>
        </w:tc>
        <w:tc>
          <w:tcPr>
            <w:tcW w:w="421"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1个</w:t>
            </w:r>
          </w:p>
        </w:tc>
        <w:tc>
          <w:tcPr>
            <w:tcW w:w="1114"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三级</w:t>
            </w:r>
          </w:p>
        </w:tc>
        <w:tc>
          <w:tcPr>
            <w:tcW w:w="626" w:type="pct"/>
            <w:vAlign w:val="center"/>
          </w:tcPr>
          <w:p>
            <w:pPr>
              <w:pStyle w:val="136"/>
              <w:spacing w:line="276"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2"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2435"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雕龙病案</w:t>
            </w:r>
          </w:p>
        </w:tc>
        <w:tc>
          <w:tcPr>
            <w:tcW w:w="421"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1个</w:t>
            </w:r>
          </w:p>
        </w:tc>
        <w:tc>
          <w:tcPr>
            <w:tcW w:w="1114"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二级</w:t>
            </w:r>
          </w:p>
        </w:tc>
        <w:tc>
          <w:tcPr>
            <w:tcW w:w="626" w:type="pct"/>
            <w:vAlign w:val="center"/>
          </w:tcPr>
          <w:p>
            <w:pPr>
              <w:pStyle w:val="136"/>
              <w:spacing w:line="276"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2" w:type="pct"/>
            <w:vAlign w:val="center"/>
          </w:tcPr>
          <w:p>
            <w:pPr>
              <w:pStyle w:val="136"/>
              <w:spacing w:line="276"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435"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医院官网</w:t>
            </w:r>
          </w:p>
        </w:tc>
        <w:tc>
          <w:tcPr>
            <w:tcW w:w="421"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1个</w:t>
            </w:r>
          </w:p>
        </w:tc>
        <w:tc>
          <w:tcPr>
            <w:tcW w:w="1114"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二级</w:t>
            </w:r>
          </w:p>
        </w:tc>
        <w:tc>
          <w:tcPr>
            <w:tcW w:w="626" w:type="pct"/>
            <w:vAlign w:val="center"/>
          </w:tcPr>
          <w:p>
            <w:pPr>
              <w:pStyle w:val="136"/>
              <w:spacing w:line="276" w:lineRule="auto"/>
              <w:ind w:firstLine="0" w:firstLineChars="0"/>
              <w:jc w:val="center"/>
              <w:rPr>
                <w:rFonts w:hint="eastAsia" w:ascii="宋体" w:hAnsi="宋体" w:eastAsia="宋体" w:cs="宋体"/>
                <w:sz w:val="24"/>
                <w:szCs w:val="24"/>
              </w:rPr>
            </w:pPr>
          </w:p>
        </w:tc>
      </w:tr>
    </w:tbl>
    <w:p>
      <w:pPr>
        <w:spacing w:line="480" w:lineRule="exact"/>
        <w:ind w:firstLine="480" w:firstLineChars="200"/>
        <w:rPr>
          <w:rFonts w:ascii="宋体" w:hAnsi="宋体" w:eastAsia="宋体"/>
          <w:sz w:val="24"/>
          <w:szCs w:val="24"/>
        </w:rPr>
      </w:pPr>
      <w:r>
        <w:rPr>
          <w:rFonts w:hint="eastAsia" w:ascii="宋体" w:hAnsi="宋体" w:eastAsia="宋体"/>
          <w:sz w:val="24"/>
          <w:szCs w:val="24"/>
        </w:rPr>
        <w:t>2、安全服务内容</w:t>
      </w:r>
    </w:p>
    <w:tbl>
      <w:tblPr>
        <w:tblStyle w:val="57"/>
        <w:tblW w:w="502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2"/>
        <w:gridCol w:w="1870"/>
        <w:gridCol w:w="4829"/>
        <w:gridCol w:w="17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418"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eastAsia="宋体"/>
              </w:rPr>
            </w:pPr>
            <w:r>
              <w:rPr>
                <w:rFonts w:hint="eastAsia" w:eastAsia="宋体"/>
              </w:rPr>
              <w:t>序号</w:t>
            </w:r>
          </w:p>
        </w:tc>
        <w:tc>
          <w:tcPr>
            <w:tcW w:w="1012"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eastAsia="宋体"/>
              </w:rPr>
            </w:pPr>
            <w:r>
              <w:rPr>
                <w:rFonts w:hint="eastAsia" w:eastAsia="宋体"/>
              </w:rPr>
              <w:t>服务项目</w:t>
            </w:r>
          </w:p>
        </w:tc>
        <w:tc>
          <w:tcPr>
            <w:tcW w:w="2614"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eastAsia="宋体"/>
              </w:rPr>
            </w:pPr>
            <w:r>
              <w:rPr>
                <w:rFonts w:hint="eastAsia" w:eastAsia="宋体"/>
              </w:rPr>
              <w:t>服务内容</w:t>
            </w:r>
          </w:p>
        </w:tc>
        <w:tc>
          <w:tcPr>
            <w:tcW w:w="954"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eastAsia="宋体"/>
              </w:rPr>
            </w:pPr>
            <w:r>
              <w:rPr>
                <w:rFonts w:hint="eastAsia" w:eastAsia="宋体"/>
              </w:rPr>
              <w:t>服务时间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54" w:hRule="atLeast"/>
          <w:jc w:val="center"/>
        </w:trPr>
        <w:tc>
          <w:tcPr>
            <w:tcW w:w="41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eastAsia="宋体"/>
              </w:rPr>
            </w:pPr>
            <w:r>
              <w:rPr>
                <w:rFonts w:hint="eastAsia" w:eastAsia="宋体"/>
              </w:rPr>
              <w:t>1</w:t>
            </w:r>
          </w:p>
        </w:tc>
        <w:tc>
          <w:tcPr>
            <w:tcW w:w="1985" w:type="dxa"/>
            <w:tcBorders>
              <w:top w:val="nil"/>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hint="eastAsia" w:eastAsia="宋体"/>
              </w:rPr>
            </w:pPr>
            <w:r>
              <w:rPr>
                <w:rFonts w:hint="eastAsia" w:eastAsia="宋体"/>
              </w:rPr>
              <w:t>培训</w:t>
            </w:r>
          </w:p>
        </w:tc>
        <w:tc>
          <w:tcPr>
            <w:tcW w:w="5127" w:type="dxa"/>
            <w:tcBorders>
              <w:top w:val="nil"/>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hint="eastAsia" w:eastAsia="宋体"/>
              </w:rPr>
            </w:pPr>
            <w:r>
              <w:rPr>
                <w:rFonts w:hint="eastAsia" w:eastAsia="宋体"/>
              </w:rPr>
              <w:t>提供CISP培训名额</w:t>
            </w:r>
            <w:r>
              <w:rPr>
                <w:rFonts w:hint="eastAsia" w:eastAsia="宋体"/>
                <w:lang w:val="en-US" w:eastAsia="zh-CN"/>
              </w:rPr>
              <w:t>2</w:t>
            </w:r>
            <w:r>
              <w:rPr>
                <w:rFonts w:hint="eastAsia" w:eastAsia="宋体"/>
              </w:rPr>
              <w:t>个</w:t>
            </w:r>
          </w:p>
        </w:tc>
        <w:tc>
          <w:tcPr>
            <w:tcW w:w="954" w:type="pct"/>
            <w:tcBorders>
              <w:top w:val="nil"/>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eastAsia="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54" w:hRule="atLeast"/>
          <w:jc w:val="center"/>
        </w:trPr>
        <w:tc>
          <w:tcPr>
            <w:tcW w:w="41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eastAsia="宋体"/>
              </w:rPr>
            </w:pPr>
            <w:r>
              <w:rPr>
                <w:rFonts w:hint="eastAsia" w:eastAsia="宋体"/>
              </w:rPr>
              <w:t>2</w:t>
            </w:r>
          </w:p>
        </w:tc>
        <w:tc>
          <w:tcPr>
            <w:tcW w:w="1985" w:type="dxa"/>
            <w:tcBorders>
              <w:top w:val="nil"/>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hint="eastAsia" w:eastAsia="宋体"/>
              </w:rPr>
            </w:pPr>
            <w:r>
              <w:rPr>
                <w:rFonts w:hint="eastAsia" w:eastAsia="宋体"/>
              </w:rPr>
              <w:t>网站云防护</w:t>
            </w:r>
          </w:p>
        </w:tc>
        <w:tc>
          <w:tcPr>
            <w:tcW w:w="5127" w:type="dxa"/>
            <w:tcBorders>
              <w:top w:val="nil"/>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hint="eastAsia" w:eastAsia="宋体"/>
                <w:lang w:eastAsia="zh-CN"/>
              </w:rPr>
            </w:pPr>
            <w:r>
              <w:rPr>
                <w:rFonts w:hint="eastAsia" w:eastAsia="宋体"/>
              </w:rPr>
              <w:t>对南通市妇幼保健院互联网资产进行</w:t>
            </w:r>
            <w:r>
              <w:rPr>
                <w:rFonts w:hint="eastAsia" w:eastAsia="宋体"/>
                <w:lang w:val="en-US" w:eastAsia="zh-CN"/>
              </w:rPr>
              <w:t>7*24小时</w:t>
            </w:r>
            <w:r>
              <w:rPr>
                <w:rFonts w:hint="eastAsia" w:eastAsia="宋体"/>
              </w:rPr>
              <w:t>云waf防御</w:t>
            </w:r>
            <w:r>
              <w:rPr>
                <w:rFonts w:hint="eastAsia" w:eastAsia="宋体"/>
                <w:lang w:eastAsia="zh-CN"/>
              </w:rPr>
              <w:t>，每月出具《安全服务报告》</w:t>
            </w:r>
          </w:p>
        </w:tc>
        <w:tc>
          <w:tcPr>
            <w:tcW w:w="954" w:type="pct"/>
            <w:tcBorders>
              <w:top w:val="nil"/>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eastAsia="宋体"/>
              </w:rPr>
            </w:pPr>
            <w:r>
              <w:rPr>
                <w:rFonts w:hint="eastAsia" w:eastAsia="宋体"/>
                <w:lang w:eastAsia="zh-CN"/>
              </w:rPr>
              <w:t>合同签订日起</w:t>
            </w:r>
            <w:r>
              <w:rPr>
                <w:rFonts w:hint="eastAsia" w:eastAsia="宋体"/>
              </w:rPr>
              <w:t>一年</w:t>
            </w:r>
          </w:p>
        </w:tc>
      </w:tr>
    </w:tbl>
    <w:p>
      <w:pPr>
        <w:spacing w:line="480" w:lineRule="exact"/>
        <w:ind w:firstLine="482" w:firstLineChars="200"/>
        <w:rPr>
          <w:rFonts w:ascii="宋体" w:hAnsi="宋体" w:eastAsia="宋体"/>
          <w:b/>
          <w:bCs/>
          <w:sz w:val="24"/>
          <w:szCs w:val="24"/>
        </w:rPr>
      </w:pPr>
      <w:r>
        <w:rPr>
          <w:rFonts w:hint="eastAsia" w:ascii="宋体" w:hAnsi="宋体" w:eastAsia="宋体"/>
          <w:b/>
          <w:bCs/>
          <w:sz w:val="24"/>
          <w:szCs w:val="24"/>
        </w:rPr>
        <w:t>二、测评内容</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1、总体要求：</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A．完成上述系统安全等级测评工作，测评后经用户方确认，出具符合网络安全等级保护测评要求的测评报告；</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B．对上述系统不符合网络安全等级保护有关管理规范和技术标准的，提出可行性整改方案，提供相应的安全整改建议书。</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2、质量要求：</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A．等级测评及服务原则：符合性原则、标准性原则、规范性原则、可控性原则、整体性原则。</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B．网络安全等级保护定级及测评服务依据：</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《中华人民共和国网络安全法》</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《GB/T22239-2019信息安全技术 网络安全等级保护基本要求》，</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《GB/T28448-2019 信息安全技术 网络安全等级保护测评要求》，</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《GB/T 28449-2018 信息安全技术 网络安全等级保护测评过程指南》，</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《GB/T 25058-2019 信息安全技术 网络安全等级保护实施指南》。</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3、网络安全等级保护测评内容：</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A．安全技术测评：包括安全物理环境、安全区域边界、安全通信网络、安全计算环境和安全管理中心五个方面的安全测评；</w:t>
      </w:r>
    </w:p>
    <w:p>
      <w:pPr>
        <w:spacing w:line="48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B．安全管理测评：安全管理机构、安全管理制度、安全管理人员、安全建设管理和安全运维管理五个方面的安全控制测评</w:t>
      </w:r>
      <w:r>
        <w:rPr>
          <w:rFonts w:hint="eastAsia" w:ascii="宋体" w:hAnsi="宋体" w:eastAsia="宋体"/>
          <w:sz w:val="24"/>
          <w:szCs w:val="24"/>
          <w:lang w:eastAsia="zh-CN"/>
        </w:rPr>
        <w:t>；</w:t>
      </w:r>
    </w:p>
    <w:p>
      <w:pPr>
        <w:spacing w:line="480" w:lineRule="exact"/>
        <w:ind w:firstLine="480" w:firstLineChars="200"/>
        <w:rPr>
          <w:rFonts w:eastAsia="宋体"/>
          <w:sz w:val="24"/>
          <w:szCs w:val="24"/>
        </w:rPr>
      </w:pPr>
      <w:r>
        <w:rPr>
          <w:rFonts w:hint="eastAsia" w:ascii="宋体" w:hAnsi="宋体" w:eastAsia="宋体"/>
          <w:sz w:val="24"/>
          <w:szCs w:val="24"/>
        </w:rPr>
        <w:t>4、提供整改咨询服务，根据所测系统的最终测评报告，对系统现状提出安全整改建议并协助整改工作，以期达到整改目的。</w:t>
      </w:r>
    </w:p>
    <w:p>
      <w:pPr>
        <w:spacing w:line="480" w:lineRule="exact"/>
        <w:ind w:firstLine="482" w:firstLineChars="200"/>
        <w:rPr>
          <w:rFonts w:ascii="宋体" w:hAnsi="宋体" w:eastAsia="宋体"/>
          <w:b/>
          <w:sz w:val="24"/>
          <w:szCs w:val="24"/>
        </w:rPr>
      </w:pPr>
      <w:r>
        <w:rPr>
          <w:rFonts w:hint="eastAsia" w:ascii="宋体" w:hAnsi="宋体" w:eastAsia="宋体"/>
          <w:b/>
          <w:sz w:val="24"/>
          <w:szCs w:val="24"/>
        </w:rPr>
        <w:t>三、测评原则</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1、客观性和公正性原则：</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测评人员应当没有偏见，在最小主观判断情形下，按照评估双方相互认可的评估方案，基于明确定义的测评方式和解释，实施评估活动。</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2、可重复性和可再现性原则：</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3、连续性原则：</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4、扩展性原则：</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在评估过程结束后，信息安全测评过程要保持扩展性，从扩展的属性上进一步加强测评结束后采购方的安全管理有效性和可用性。</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5、保密原则：</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在测评过程中，需严格遵循保密原则，双方签订保密协议，对服务过程中涉及到的任何用户信息未经允许不向其他任何第三方泄漏，以及不得利用这些信息损害采购方利益。</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6、互动原则：</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在整个测评过程中，强调采购方的互动参与，每个阶段都能够及时根据采购方的要求和实际情况对测评的内容、方式做出相关调整，进而更好的进行风险评估工作。</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7、最小影响原则：</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测评工作应该尽可能小地影响系统和网络的正常运行，不能对业务的正常运行产生明显的影响（包括系统性能明显下降、网络阻塞、服务中断等），如无法避免，则应做出说明。</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8、规范性原则：</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网络安全等级保护测评服务的实施必须由专业的测评服务人员依照规范的操作流程进行，对操作过程和结果要有相应的记录，并提供完整的服务报告。</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9、质量保障原则：</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在整个测评过程中，须特别重视项目质量管理。项目的实施将严格按照项目实施方案和流程进行，并由项目协调小组从中监督，控制项目的进度和质量。</w:t>
      </w:r>
    </w:p>
    <w:p>
      <w:pPr>
        <w:spacing w:line="480" w:lineRule="exact"/>
        <w:ind w:firstLine="482" w:firstLineChars="200"/>
        <w:rPr>
          <w:rFonts w:ascii="宋体" w:hAnsi="宋体" w:eastAsia="宋体"/>
          <w:b/>
          <w:sz w:val="24"/>
          <w:szCs w:val="24"/>
        </w:rPr>
      </w:pPr>
      <w:r>
        <w:rPr>
          <w:rFonts w:hint="eastAsia" w:ascii="宋体" w:hAnsi="宋体" w:eastAsia="宋体"/>
          <w:b/>
          <w:sz w:val="24"/>
          <w:szCs w:val="24"/>
        </w:rPr>
        <w:t>四、测评人员和时限要求</w:t>
      </w:r>
    </w:p>
    <w:p>
      <w:pPr>
        <w:spacing w:line="480" w:lineRule="exact"/>
        <w:ind w:firstLine="482" w:firstLineChars="200"/>
        <w:rPr>
          <w:rFonts w:ascii="宋体" w:hAnsi="宋体" w:eastAsia="宋体"/>
          <w:sz w:val="24"/>
          <w:szCs w:val="24"/>
        </w:rPr>
      </w:pPr>
      <w:r>
        <w:rPr>
          <w:rFonts w:hint="eastAsia" w:ascii="宋体" w:hAnsi="宋体" w:eastAsia="宋体"/>
          <w:b/>
          <w:bCs/>
          <w:sz w:val="24"/>
          <w:szCs w:val="24"/>
        </w:rPr>
        <w:t>1、测评驻场人员要求：本次测评至少需要1名高级测评师，1名中级测评师， 2名初级测评师。</w:t>
      </w:r>
      <w:r>
        <w:rPr>
          <w:rFonts w:hint="eastAsia" w:ascii="宋体" w:hAnsi="宋体" w:eastAsia="宋体"/>
          <w:sz w:val="24"/>
          <w:szCs w:val="24"/>
        </w:rPr>
        <w:t>本次等保测评项目不得转包或者分包，所有驻场测评师必须是中标公司自己的正式员工,所有驻场测评师必须持证上岗，</w:t>
      </w:r>
      <w:r>
        <w:rPr>
          <w:rFonts w:hint="eastAsia" w:ascii="宋体" w:hAnsi="宋体" w:eastAsia="宋体"/>
          <w:b/>
          <w:bCs/>
          <w:sz w:val="24"/>
          <w:szCs w:val="24"/>
        </w:rPr>
        <w:t>响应文件中应提供项目组成员名单、社保主管部门出具的响应单位为其缴纳社保的证明、相关证书复印件等</w:t>
      </w:r>
      <w:r>
        <w:rPr>
          <w:rFonts w:hint="eastAsia" w:ascii="宋体" w:hAnsi="宋体" w:eastAsia="宋体"/>
          <w:sz w:val="24"/>
          <w:szCs w:val="24"/>
        </w:rPr>
        <w:t>，</w:t>
      </w:r>
      <w:r>
        <w:rPr>
          <w:rFonts w:hint="eastAsia" w:ascii="宋体" w:hAnsi="宋体" w:eastAsia="宋体"/>
          <w:b/>
          <w:bCs/>
          <w:sz w:val="24"/>
          <w:szCs w:val="24"/>
        </w:rPr>
        <w:t>未经采购方同意，项目组成员不得更改。</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2、测评时间要求：按照被测单位要求，合同签订完毕一周内启动测评工作。</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3、测评期限要求：签订合同后60天内完成网络安全等级保护测评并出具盖章报告，并完成备案。</w:t>
      </w:r>
    </w:p>
    <w:p>
      <w:pPr>
        <w:spacing w:line="480" w:lineRule="exact"/>
        <w:ind w:firstLine="482" w:firstLineChars="200"/>
        <w:rPr>
          <w:rFonts w:hint="eastAsia" w:ascii="宋体" w:hAnsi="宋体" w:eastAsia="宋体"/>
          <w:b/>
          <w:sz w:val="24"/>
          <w:szCs w:val="24"/>
        </w:rPr>
      </w:pPr>
      <w:r>
        <w:rPr>
          <w:rFonts w:hint="eastAsia" w:ascii="宋体" w:hAnsi="宋体" w:eastAsia="宋体"/>
          <w:b/>
          <w:sz w:val="24"/>
          <w:szCs w:val="24"/>
        </w:rPr>
        <w:t>五、网络安全服务具体内容</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1、培训服务</w:t>
      </w:r>
    </w:p>
    <w:p>
      <w:pPr>
        <w:spacing w:line="48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提供CISP培训名额</w:t>
      </w:r>
      <w:r>
        <w:rPr>
          <w:rFonts w:hint="eastAsia" w:ascii="宋体" w:hAnsi="宋体" w:eastAsia="宋体"/>
          <w:sz w:val="24"/>
          <w:szCs w:val="24"/>
          <w:lang w:val="en-US" w:eastAsia="zh-CN"/>
        </w:rPr>
        <w:t>2</w:t>
      </w:r>
      <w:r>
        <w:rPr>
          <w:rFonts w:hint="eastAsia" w:ascii="宋体" w:hAnsi="宋体" w:eastAsia="宋体"/>
          <w:sz w:val="24"/>
          <w:szCs w:val="24"/>
        </w:rPr>
        <w:t>个</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2、web应用安全防护服务</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服务内容：通过云WAF方式，对用户的访问请求进行监控过滤，能够抵御通用类型的SQL注入、文件包含、远程命令、WEBSHELL、XSS跨站、代码执行、文件注入等攻击威胁。</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服务频次：7*24小时</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服务交付：每月出具《安全服务报告》</w:t>
      </w:r>
    </w:p>
    <w:p>
      <w:pPr>
        <w:spacing w:line="480" w:lineRule="exact"/>
        <w:ind w:firstLine="482" w:firstLineChars="200"/>
        <w:rPr>
          <w:rFonts w:ascii="宋体" w:hAnsi="宋体" w:eastAsia="宋体"/>
          <w:b/>
          <w:sz w:val="24"/>
          <w:szCs w:val="24"/>
        </w:rPr>
      </w:pPr>
      <w:r>
        <w:rPr>
          <w:rFonts w:hint="eastAsia" w:ascii="宋体" w:hAnsi="宋体" w:eastAsia="宋体"/>
          <w:b/>
          <w:sz w:val="24"/>
          <w:szCs w:val="24"/>
          <w:lang w:eastAsia="zh-CN"/>
        </w:rPr>
        <w:t>六</w:t>
      </w:r>
      <w:r>
        <w:rPr>
          <w:rFonts w:hint="eastAsia" w:ascii="宋体" w:hAnsi="宋体" w:eastAsia="宋体"/>
          <w:b/>
          <w:sz w:val="24"/>
          <w:szCs w:val="24"/>
        </w:rPr>
        <w:t>、服务地点</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采购方指定地点。</w:t>
      </w:r>
    </w:p>
    <w:p>
      <w:pPr>
        <w:spacing w:line="480" w:lineRule="exact"/>
        <w:ind w:firstLine="482" w:firstLineChars="200"/>
        <w:rPr>
          <w:rFonts w:ascii="宋体" w:hAnsi="宋体" w:eastAsia="宋体"/>
          <w:b/>
          <w:sz w:val="24"/>
          <w:szCs w:val="24"/>
        </w:rPr>
      </w:pPr>
      <w:r>
        <w:rPr>
          <w:rFonts w:hint="eastAsia" w:ascii="宋体" w:hAnsi="宋体" w:eastAsia="宋体"/>
          <w:b/>
          <w:sz w:val="24"/>
          <w:szCs w:val="24"/>
          <w:lang w:eastAsia="zh-CN"/>
        </w:rPr>
        <w:t>七</w:t>
      </w:r>
      <w:r>
        <w:rPr>
          <w:rFonts w:hint="eastAsia" w:ascii="宋体" w:hAnsi="宋体" w:eastAsia="宋体"/>
          <w:b/>
          <w:sz w:val="24"/>
          <w:szCs w:val="24"/>
        </w:rPr>
        <w:t>、付款时间和条件</w:t>
      </w:r>
    </w:p>
    <w:p>
      <w:pPr>
        <w:spacing w:line="480" w:lineRule="exact"/>
        <w:ind w:firstLine="480" w:firstLineChars="200"/>
        <w:rPr>
          <w:rFonts w:asciiTheme="majorEastAsia" w:hAnsiTheme="majorEastAsia" w:eastAsiaTheme="majorEastAsia"/>
          <w:sz w:val="24"/>
          <w:szCs w:val="24"/>
        </w:rPr>
      </w:pPr>
      <w:r>
        <w:rPr>
          <w:rFonts w:hint="eastAsia" w:ascii="宋体" w:hAnsi="宋体" w:eastAsia="宋体"/>
          <w:sz w:val="24"/>
          <w:szCs w:val="24"/>
        </w:rPr>
        <w:t>本项目的测评费用,自提交测评报告起30个工作日内，由采购方一次性付清全款。</w:t>
      </w:r>
      <w:r>
        <w:rPr>
          <w:rFonts w:hint="eastAsia" w:asciiTheme="majorEastAsia" w:hAnsiTheme="majorEastAsia" w:eastAsiaTheme="majorEastAsia"/>
          <w:b/>
          <w:bCs/>
          <w:sz w:val="36"/>
          <w:szCs w:val="36"/>
          <w:lang w:val="zh-CN"/>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第四章</w:t>
      </w:r>
      <w:bookmarkStart w:id="5" w:name="_Toc182848996"/>
      <w:r>
        <w:rPr>
          <w:rFonts w:hint="eastAsia" w:asciiTheme="majorEastAsia" w:hAnsiTheme="majorEastAsia" w:eastAsiaTheme="majorEastAsia" w:cstheme="minorEastAsia"/>
          <w:b/>
          <w:w w:val="80"/>
          <w:sz w:val="36"/>
          <w:szCs w:val="36"/>
        </w:rPr>
        <w:t xml:space="preserve"> 评审方法和程序</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一、采购代理机构组织磋商</w:t>
      </w:r>
    </w:p>
    <w:p>
      <w:pPr>
        <w:adjustRightInd w:val="0"/>
        <w:snapToGrid w:val="0"/>
        <w:spacing w:line="360" w:lineRule="auto"/>
        <w:ind w:firstLine="484" w:firstLineChars="202"/>
        <w:outlineLvl w:val="1"/>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1、本次竞争性磋商依据《中华人民共和国政府采购法》、《政府采购竞争性磋商采购方式管理暂行办法》及有关法规成立磋商小组。磋商小组由评审专家组成，评审专家3人。</w:t>
      </w:r>
    </w:p>
    <w:p>
      <w:pPr>
        <w:numPr>
          <w:ilvl w:val="0"/>
          <w:numId w:val="3"/>
        </w:numPr>
        <w:adjustRightInd w:val="0"/>
        <w:snapToGrid w:val="0"/>
        <w:spacing w:line="360" w:lineRule="auto"/>
        <w:ind w:firstLine="484" w:firstLineChars="202"/>
        <w:outlineLvl w:val="1"/>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采用竞争性磋商方式的政府采购项目，评审专家应当从政府采购评审专家库内相关专业的专家名单中随机抽取。情况特殊或通过随机方式难以确定合适的评审专家的，经财政部门同意，可以自行选定评审专家。</w:t>
      </w:r>
    </w:p>
    <w:p>
      <w:pPr>
        <w:numPr>
          <w:ilvl w:val="0"/>
          <w:numId w:val="0"/>
        </w:numPr>
        <w:adjustRightInd w:val="0"/>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二、磋商小组的职责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磋商小组负责具体的磋商评审事务，并履行以下职责：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1、审查磋商响应文件是否符合磋商文件的要求，并做出评价；</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2、可以要求供应商对磋商响应文件内的有关事项做出解释或澄清；</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3、推荐中标候选人或按次序排列的中标候选人名单；</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4、磋商小组成员应当履行下列义务：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（1）遵纪守法，客观、公正、廉洁地履行职责；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（2）磋商小组成员应当按照客观、公正、审慎的原则，根据磋商文件规定的评审程序、评审方法和评审标准进行独立评审；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（3）磋商小组成员应当遵守评审工作纪律，不得泄漏磋商评审情况和磋商评审中获悉的商业秘密，对个人的评审意见承担法律责任；</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（4）磋商评审程序中的有关记录由磋商小组成员签名，存档备查；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（5）磋商小组成员在评审过程中发现供应商有行贿、提供虚假材料或者串通等违法行为的，应当及时向财政部门报告；</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（6）磋商小组成员在磋商评审过程中受到非法干涉的，应当及时向财政、监察等部门举报；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（7）磋商小组成员有义务及责任配合采购人答复供应商提出的质疑，配合财政部门的投诉处理和监督检查工作。</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竞争性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6、在磋商响应文件的评审、澄清、评价和比较以及授予合同的过程中，供应商对采购人和磋商小组成员有施加影响的任何行为，都将取消其中标资格。</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三、磋商原则及方法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只有资格条件评审合格的供应商，才可参加技术标评分。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在对响应文件的有效性、完整性和响应程度进行审查时，可以以书面形式要求供应商对响应文件中含义不明确、同类问题表述不一致或者有明显文字和计算错误的内容等作出必要的澄清、说明或者更正。</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5、磋商小组所有成员应当集中与单一供应商分别进行磋商，并给予所有参加磋商的供应商平等的磋商机会。</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6、在磋商过程中，磋商小组可以根据磋商文件和磋商情况实质性变动采购需求中的技术、服务要求，但不得变动磋商文件中的其他内容。实质性变动的内容，须经采购单位代表确认。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7、对磋商文件作出的实质性变动是磋商文件的有效组成部分，磋商小组应当及时以书面形式同时通知所有参加磋商的供应商。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11、除非在磋商中磋商小组对采购单位需求内容作了调整增加，或对采购内容作了实质性变更，否则采购单位不接受供应商高于自己前一轮的磋商报价。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12、对于在磋商顺利开始后至最终报价前，根据磋商情况退出磋商的供应商，须以书面形式说明退出磋商的原因，经磋商小组同意可以退出磋商。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13、在磋商中，磋商的任何一方不得透露与磋商有关的其他响应磋商的供应商的技术资料、价格及其他信息。</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14、凡两家或以上公司同一法人代表或其中一家公司为另一家公司单一最大股东的，不能同时参与同一采购项目相同标段的磋商采购活动，一经发现，将视同串标处理。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15、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16、报价磋商响应评审内容包括分析总报价（首次）及各个分项报价（如有）是否合理，报价范围是否完整，有无重大错漏项及是否完全符合付款方式要求。如果供应商的响应报价中有漏项，且漏项构成未实质性响应磋商文件要求的，按无效磋商处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17、若本次采购投标供应商不足三家，则终止本次竞争性磋商采购活动，重新开展采购活动。</w:t>
      </w:r>
    </w:p>
    <w:p>
      <w:pPr>
        <w:snapToGrid w:val="0"/>
        <w:spacing w:line="360" w:lineRule="auto"/>
        <w:ind w:firstLine="484" w:firstLineChars="202"/>
        <w:outlineLvl w:val="1"/>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18、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国，发布项目终止公告并说明原因，重新开展采购活动。（财库（2015）124号）</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四、磋商评定结果的方法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1、经磋商确定最终采购需求和提交最后报价的供应商后，由磋商小组采用综合评分法对提交最后报价的供应商的响应文件和最后报价进行综合评分。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2、评审时，磋商小组各成员应当独立对每个有效响应的文件进行评价、打分，然后汇总每个供应商每项评分因素的得分（计算结果均四舍五入保留两位小数）。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3、本次项目磋商的技术和报价评审总分值为100分。两部分评审因素比重如下： </w:t>
      </w:r>
    </w:p>
    <w:p>
      <w:pPr>
        <w:snapToGrid w:val="0"/>
        <w:spacing w:line="360" w:lineRule="auto"/>
        <w:ind w:firstLine="484" w:firstLineChars="202"/>
        <w:rPr>
          <w:rFonts w:asciiTheme="majorEastAsia" w:hAnsiTheme="majorEastAsia" w:eastAsiaTheme="majorEastAsia" w:cstheme="minorEastAsia"/>
          <w:sz w:val="24"/>
          <w:szCs w:val="24"/>
          <w:u w:val="single"/>
        </w:rPr>
      </w:pPr>
      <w:r>
        <w:rPr>
          <w:rFonts w:hint="eastAsia" w:asciiTheme="majorEastAsia" w:hAnsiTheme="majorEastAsia" w:eastAsiaTheme="majorEastAsia" w:cstheme="minorEastAsia"/>
          <w:sz w:val="24"/>
          <w:szCs w:val="24"/>
          <w:u w:val="single"/>
        </w:rPr>
        <w:t>技术分值占总分值的比重为 70%（权重）（四舍五入保留两位小数）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u w:val="single"/>
        </w:rPr>
        <w:t>报价分值占总分值的比重为 30%（权重）（四舍五入保留两位小数）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4、技术分按算术平均值计算，分值四舍五入保留两位小数。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5、报价分统一采用低价优先法计算直接取得，与技术分相加为供应商的综合得分（四舍五入保留两位小数）。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6、综合得分最高的供应商推荐为项目预成交人并出具评审磋商报告。</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7、确定成交候选人的特殊情况处理： </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（1）若总分相同，则按最终报价响应得分高者优先成交。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（2）若总分且最终报价响应得分相同，则采取现场抽签的方式确定（投标供应商的抽签顺序分别为各投标供应商递交响应文件签到顺序号）。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8、磋商评审时，评委对评审的细则若有争议，由磋商小组集体讨论确定，并对未尽情况有最终解释权。</w:t>
      </w:r>
    </w:p>
    <w:p>
      <w:pPr>
        <w:snapToGrid w:val="0"/>
        <w:spacing w:line="360" w:lineRule="auto"/>
        <w:ind w:firstLine="484" w:firstLineChars="202"/>
        <w:outlineLvl w:val="1"/>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9、对落标的供应商不做落标原因的解释。</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五、综合评分规则</w:t>
      </w:r>
    </w:p>
    <w:bookmarkEnd w:id="5"/>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（一）技术标满分70分，评标委员会根据以下几个方面进行综合评估打分(取算术平均值，得分采用四舍五入法保留小数点后两位小数。)</w:t>
      </w:r>
    </w:p>
    <w:tbl>
      <w:tblPr>
        <w:tblStyle w:val="57"/>
        <w:tblW w:w="4997" w:type="pct"/>
        <w:tblInd w:w="0" w:type="dxa"/>
        <w:tblLayout w:type="autofit"/>
        <w:tblCellMar>
          <w:top w:w="0" w:type="dxa"/>
          <w:left w:w="108" w:type="dxa"/>
          <w:bottom w:w="0" w:type="dxa"/>
          <w:right w:w="108" w:type="dxa"/>
        </w:tblCellMar>
      </w:tblPr>
      <w:tblGrid>
        <w:gridCol w:w="1135"/>
        <w:gridCol w:w="787"/>
        <w:gridCol w:w="7359"/>
      </w:tblGrid>
      <w:tr>
        <w:tblPrEx>
          <w:tblCellMar>
            <w:top w:w="0" w:type="dxa"/>
            <w:left w:w="108" w:type="dxa"/>
            <w:bottom w:w="0" w:type="dxa"/>
            <w:right w:w="108" w:type="dxa"/>
          </w:tblCellMar>
        </w:tblPrEx>
        <w:trPr>
          <w:trHeight w:val="499" w:hRule="atLeast"/>
        </w:trPr>
        <w:tc>
          <w:tcPr>
            <w:tcW w:w="61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
                <w:sz w:val="24"/>
                <w:szCs w:val="24"/>
              </w:rPr>
            </w:pPr>
            <w:r>
              <w:rPr>
                <w:rFonts w:hint="eastAsia" w:ascii="宋体" w:hAnsi="宋体" w:eastAsia="宋体" w:cs="宋体"/>
                <w:b/>
                <w:sz w:val="24"/>
                <w:szCs w:val="24"/>
              </w:rPr>
              <w:t>评审项</w:t>
            </w:r>
          </w:p>
        </w:tc>
        <w:tc>
          <w:tcPr>
            <w:tcW w:w="42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
                <w:sz w:val="24"/>
                <w:szCs w:val="24"/>
              </w:rPr>
            </w:pPr>
            <w:r>
              <w:rPr>
                <w:rFonts w:hint="eastAsia" w:ascii="宋体" w:hAnsi="宋体" w:eastAsia="宋体" w:cs="宋体"/>
                <w:b/>
                <w:sz w:val="24"/>
                <w:szCs w:val="24"/>
              </w:rPr>
              <w:t>满分分值</w:t>
            </w:r>
          </w:p>
        </w:tc>
        <w:tc>
          <w:tcPr>
            <w:tcW w:w="396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
                <w:sz w:val="24"/>
                <w:szCs w:val="24"/>
              </w:rPr>
            </w:pPr>
            <w:r>
              <w:rPr>
                <w:rFonts w:hint="eastAsia" w:ascii="宋体" w:hAnsi="宋体" w:eastAsia="宋体" w:cs="宋体"/>
                <w:b/>
                <w:sz w:val="24"/>
                <w:szCs w:val="24"/>
              </w:rPr>
              <w:t>评分标准</w:t>
            </w:r>
          </w:p>
        </w:tc>
      </w:tr>
      <w:tr>
        <w:tblPrEx>
          <w:tblCellMar>
            <w:top w:w="0" w:type="dxa"/>
            <w:left w:w="108" w:type="dxa"/>
            <w:bottom w:w="0" w:type="dxa"/>
            <w:right w:w="108" w:type="dxa"/>
          </w:tblCellMar>
        </w:tblPrEx>
        <w:trPr>
          <w:trHeight w:val="3413" w:hRule="atLeast"/>
        </w:trPr>
        <w:tc>
          <w:tcPr>
            <w:tcW w:w="61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公司</w:t>
            </w:r>
          </w:p>
          <w:p>
            <w:pPr>
              <w:spacing w:line="360" w:lineRule="exact"/>
              <w:jc w:val="center"/>
              <w:rPr>
                <w:rFonts w:ascii="宋体" w:hAnsi="宋体" w:eastAsia="宋体" w:cs="宋体"/>
                <w:sz w:val="24"/>
                <w:szCs w:val="24"/>
              </w:rPr>
            </w:pPr>
            <w:r>
              <w:rPr>
                <w:rFonts w:hint="eastAsia" w:ascii="宋体" w:hAnsi="宋体" w:eastAsia="宋体" w:cs="宋体"/>
                <w:sz w:val="24"/>
                <w:szCs w:val="24"/>
              </w:rPr>
              <w:t>资质</w:t>
            </w:r>
          </w:p>
          <w:p>
            <w:pPr>
              <w:spacing w:line="360" w:lineRule="exact"/>
              <w:jc w:val="center"/>
              <w:rPr>
                <w:rFonts w:ascii="宋体" w:hAnsi="宋体" w:eastAsia="宋体" w:cs="宋体"/>
                <w:sz w:val="24"/>
                <w:szCs w:val="24"/>
              </w:rPr>
            </w:pPr>
            <w:r>
              <w:rPr>
                <w:rFonts w:hint="eastAsia" w:ascii="宋体" w:hAnsi="宋体" w:eastAsia="宋体" w:cs="宋体"/>
                <w:sz w:val="24"/>
                <w:szCs w:val="24"/>
              </w:rPr>
              <w:t>（12分）</w:t>
            </w:r>
          </w:p>
        </w:tc>
        <w:tc>
          <w:tcPr>
            <w:tcW w:w="42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12</w:t>
            </w:r>
          </w:p>
        </w:tc>
        <w:tc>
          <w:tcPr>
            <w:tcW w:w="396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1.具有中国网络安全审查技术与认证中心（CCRC）颁发的信息安全风险评估服务资质的得3分，没有不得分。</w:t>
            </w:r>
          </w:p>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2.具有中国网络安全审查技术与认证中心（CCRC）颁发的信息系统安全运维服务资质的得3分，没有不得分。</w:t>
            </w:r>
          </w:p>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3.具有IS</w:t>
            </w:r>
            <w:r>
              <w:rPr>
                <w:rFonts w:hint="eastAsia" w:ascii="宋体" w:hAnsi="宋体" w:eastAsia="宋体" w:cs="宋体"/>
                <w:color w:val="000000"/>
                <w:sz w:val="24"/>
                <w:szCs w:val="24"/>
                <w:lang w:val="en-US" w:eastAsia="zh-CN"/>
              </w:rPr>
              <w:t>O</w:t>
            </w:r>
            <w:r>
              <w:rPr>
                <w:rFonts w:hint="eastAsia" w:ascii="宋体" w:hAnsi="宋体" w:eastAsia="宋体" w:cs="宋体"/>
                <w:color w:val="000000"/>
                <w:sz w:val="24"/>
                <w:szCs w:val="24"/>
              </w:rPr>
              <w:t>27001网络安全管理体系认证证书的得3分（认证范围必须含：等级保护测评），没有不得分。</w:t>
            </w:r>
          </w:p>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4.具有ISO9001质量管理体系认证证书的得3分（认证范围必须含：等级保护测评），没有不得分。</w:t>
            </w:r>
          </w:p>
          <w:p>
            <w:pPr>
              <w:spacing w:line="360" w:lineRule="exact"/>
              <w:jc w:val="left"/>
              <w:rPr>
                <w:rFonts w:eastAsia="宋体"/>
                <w:sz w:val="28"/>
              </w:rPr>
            </w:pPr>
            <w:r>
              <w:rPr>
                <w:rFonts w:hint="eastAsia" w:ascii="宋体" w:hAnsi="宋体" w:eastAsia="宋体" w:cs="宋体"/>
                <w:color w:val="000000"/>
                <w:sz w:val="24"/>
                <w:szCs w:val="24"/>
              </w:rPr>
              <w:t>注：</w:t>
            </w:r>
            <w:r>
              <w:rPr>
                <w:rFonts w:hint="eastAsia" w:ascii="宋体" w:hAnsi="宋体" w:eastAsia="宋体" w:cs="宋体"/>
                <w:color w:val="000000"/>
                <w:sz w:val="24"/>
                <w:szCs w:val="24"/>
                <w:lang w:eastAsia="zh-CN"/>
              </w:rPr>
              <w:t>以上</w:t>
            </w:r>
            <w:r>
              <w:rPr>
                <w:rFonts w:hint="eastAsia" w:ascii="宋体" w:hAnsi="宋体" w:eastAsia="宋体" w:cs="宋体"/>
                <w:color w:val="000000"/>
                <w:sz w:val="24"/>
                <w:szCs w:val="24"/>
              </w:rPr>
              <w:t>提供相关证明材料复印件并加盖供应商公章。</w:t>
            </w:r>
          </w:p>
        </w:tc>
      </w:tr>
      <w:tr>
        <w:tblPrEx>
          <w:tblCellMar>
            <w:top w:w="0" w:type="dxa"/>
            <w:left w:w="108" w:type="dxa"/>
            <w:bottom w:w="0" w:type="dxa"/>
            <w:right w:w="108" w:type="dxa"/>
          </w:tblCellMar>
        </w:tblPrEx>
        <w:trPr>
          <w:trHeight w:val="1320" w:hRule="atLeast"/>
        </w:trPr>
        <w:tc>
          <w:tcPr>
            <w:tcW w:w="611"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w:t>
            </w:r>
          </w:p>
          <w:p>
            <w:pPr>
              <w:spacing w:line="360" w:lineRule="exact"/>
              <w:jc w:val="center"/>
              <w:rPr>
                <w:rFonts w:ascii="宋体" w:hAnsi="宋体" w:eastAsia="宋体" w:cs="宋体"/>
                <w:sz w:val="24"/>
                <w:szCs w:val="24"/>
              </w:rPr>
            </w:pPr>
            <w:r>
              <w:rPr>
                <w:rFonts w:hint="eastAsia" w:ascii="宋体" w:hAnsi="宋体" w:eastAsia="宋体" w:cs="宋体"/>
                <w:sz w:val="24"/>
                <w:szCs w:val="24"/>
              </w:rPr>
              <w:t>实力</w:t>
            </w:r>
          </w:p>
          <w:p>
            <w:pPr>
              <w:spacing w:line="360" w:lineRule="exact"/>
              <w:jc w:val="center"/>
              <w:rPr>
                <w:rFonts w:ascii="宋体" w:hAnsi="宋体" w:eastAsia="宋体" w:cs="宋体"/>
                <w:sz w:val="24"/>
                <w:szCs w:val="24"/>
              </w:rPr>
            </w:pPr>
            <w:r>
              <w:rPr>
                <w:rFonts w:hint="eastAsia" w:ascii="宋体" w:hAnsi="宋体" w:eastAsia="宋体" w:cs="宋体"/>
                <w:sz w:val="24"/>
                <w:szCs w:val="24"/>
              </w:rPr>
              <w:t>（10分）</w:t>
            </w:r>
          </w:p>
        </w:tc>
        <w:tc>
          <w:tcPr>
            <w:tcW w:w="42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396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供应商</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年以上（含</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年）在CNAS测评能力验证结果均为“满意”的得5分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供应商</w:t>
            </w:r>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年以上（含</w:t>
            </w:r>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年）在CNAS测评能力验证结果均为“满意”的得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；本项最高得</w:t>
            </w:r>
            <w:r>
              <w:rPr>
                <w:rFonts w:hint="eastAsia" w:ascii="宋体" w:hAnsi="宋体" w:eastAsia="宋体" w:cs="宋体"/>
                <w:color w:val="000000"/>
                <w:sz w:val="24"/>
                <w:szCs w:val="24"/>
                <w:lang w:val="en-US" w:eastAsia="zh-CN"/>
              </w:rPr>
              <w:t>5分。</w:t>
            </w:r>
          </w:p>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注：提供</w:t>
            </w:r>
            <w:r>
              <w:rPr>
                <w:rFonts w:hint="eastAsia" w:ascii="宋体" w:hAnsi="宋体" w:eastAsia="宋体" w:cs="宋体"/>
                <w:color w:val="000000"/>
                <w:sz w:val="24"/>
                <w:szCs w:val="24"/>
                <w:lang w:eastAsia="zh-CN"/>
              </w:rPr>
              <w:t>有效期内的证明材料</w:t>
            </w:r>
            <w:r>
              <w:rPr>
                <w:rFonts w:hint="eastAsia" w:ascii="宋体" w:hAnsi="宋体" w:eastAsia="宋体" w:cs="宋体"/>
                <w:color w:val="000000"/>
                <w:sz w:val="24"/>
                <w:szCs w:val="24"/>
              </w:rPr>
              <w:t>复印件并加盖供应商公章。</w:t>
            </w:r>
          </w:p>
        </w:tc>
      </w:tr>
      <w:tr>
        <w:tblPrEx>
          <w:tblCellMar>
            <w:top w:w="0" w:type="dxa"/>
            <w:left w:w="108" w:type="dxa"/>
            <w:bottom w:w="0" w:type="dxa"/>
            <w:right w:w="108" w:type="dxa"/>
          </w:tblCellMar>
        </w:tblPrEx>
        <w:trPr>
          <w:trHeight w:val="1674" w:hRule="atLeast"/>
        </w:trPr>
        <w:tc>
          <w:tcPr>
            <w:tcW w:w="611" w:type="pct"/>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4"/>
                <w:szCs w:val="24"/>
              </w:rPr>
            </w:pPr>
          </w:p>
        </w:tc>
        <w:tc>
          <w:tcPr>
            <w:tcW w:w="42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396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供应商与信息安全等级保护关键技术国家工程实验室有合作的得5分；供应商与信息安全等级保护关键技术国家工程实验室分实验室有合作的得3分；</w:t>
            </w:r>
            <w:r>
              <w:rPr>
                <w:rFonts w:hint="eastAsia" w:ascii="宋体" w:hAnsi="宋体" w:eastAsia="宋体" w:cs="宋体"/>
                <w:color w:val="000000"/>
                <w:sz w:val="24"/>
                <w:szCs w:val="24"/>
                <w:lang w:eastAsia="zh-CN"/>
              </w:rPr>
              <w:t>本项最高得</w:t>
            </w:r>
            <w:r>
              <w:rPr>
                <w:rFonts w:hint="eastAsia" w:ascii="宋体" w:hAnsi="宋体" w:eastAsia="宋体" w:cs="宋体"/>
                <w:color w:val="000000"/>
                <w:sz w:val="24"/>
                <w:szCs w:val="24"/>
                <w:lang w:val="en-US" w:eastAsia="zh-CN"/>
              </w:rPr>
              <w:t>5分</w:t>
            </w:r>
            <w:r>
              <w:rPr>
                <w:rFonts w:hint="eastAsia" w:ascii="宋体" w:hAnsi="宋体" w:eastAsia="宋体" w:cs="宋体"/>
                <w:color w:val="000000"/>
                <w:sz w:val="24"/>
                <w:szCs w:val="24"/>
              </w:rPr>
              <w:t>。</w:t>
            </w:r>
          </w:p>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注：提供正式的合作协议复印件并加盖供应商公章。</w:t>
            </w:r>
          </w:p>
        </w:tc>
      </w:tr>
      <w:tr>
        <w:tblPrEx>
          <w:tblCellMar>
            <w:top w:w="0" w:type="dxa"/>
            <w:left w:w="108" w:type="dxa"/>
            <w:bottom w:w="0" w:type="dxa"/>
            <w:right w:w="108" w:type="dxa"/>
          </w:tblCellMar>
        </w:tblPrEx>
        <w:trPr>
          <w:trHeight w:val="6704" w:hRule="atLeast"/>
        </w:trPr>
        <w:tc>
          <w:tcPr>
            <w:tcW w:w="61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项目组</w:t>
            </w:r>
          </w:p>
          <w:p>
            <w:pPr>
              <w:spacing w:line="3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成员</w:t>
            </w:r>
          </w:p>
          <w:p>
            <w:pPr>
              <w:spacing w:line="3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（20分）</w:t>
            </w:r>
          </w:p>
        </w:tc>
        <w:tc>
          <w:tcPr>
            <w:tcW w:w="42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20</w:t>
            </w:r>
          </w:p>
        </w:tc>
        <w:tc>
          <w:tcPr>
            <w:tcW w:w="396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1.本项目拟派团队的项目经理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为高级测评师的得3分，有CISSP认证的得3分，</w:t>
            </w:r>
            <w:r>
              <w:rPr>
                <w:rFonts w:hint="eastAsia" w:ascii="宋体" w:hAnsi="宋体" w:eastAsia="宋体" w:cs="宋体"/>
                <w:color w:val="000000"/>
                <w:sz w:val="24"/>
                <w:szCs w:val="24"/>
                <w:lang w:eastAsia="zh-CN"/>
              </w:rPr>
              <w:t>有</w:t>
            </w:r>
            <w:r>
              <w:rPr>
                <w:rFonts w:hint="eastAsia" w:ascii="宋体" w:hAnsi="宋体" w:eastAsia="宋体" w:cs="宋体"/>
                <w:color w:val="000000"/>
                <w:sz w:val="24"/>
                <w:szCs w:val="24"/>
              </w:rPr>
              <w:t>CISP认证的得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，有重要信息系统安全等级保护培训证书（</w:t>
            </w:r>
            <w:r>
              <w:rPr>
                <w:rFonts w:hint="eastAsia" w:ascii="宋体" w:hAnsi="宋体" w:eastAsia="宋体" w:cs="宋体"/>
                <w:color w:val="000000"/>
                <w:sz w:val="24"/>
                <w:szCs w:val="24"/>
                <w:lang w:val="en-US" w:eastAsia="zh-CN"/>
              </w:rPr>
              <w:t>CIIP-T</w:t>
            </w:r>
            <w:r>
              <w:rPr>
                <w:rFonts w:hint="eastAsia" w:ascii="宋体" w:hAnsi="宋体" w:eastAsia="宋体" w:cs="宋体"/>
                <w:color w:val="000000"/>
                <w:sz w:val="24"/>
                <w:szCs w:val="24"/>
                <w:lang w:eastAsia="zh-CN"/>
              </w:rPr>
              <w:t>）的得</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rPr>
              <w:t>最高得</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2.除项目经理外，本项目拟派团队中持有高级测评师，每人次得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分，最高得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p>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3.除项目经理外，本项目拟派团队中持有中华人民共和国人力资源和社会保障部、工业和信息化部批准颁发的“信息安全工程师”证书，有一个得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分，最高</w:t>
            </w:r>
            <w:r>
              <w:rPr>
                <w:rFonts w:hint="eastAsia" w:ascii="宋体" w:hAnsi="宋体" w:eastAsia="宋体" w:cs="宋体"/>
                <w:color w:val="000000"/>
                <w:sz w:val="24"/>
                <w:szCs w:val="24"/>
                <w:lang w:eastAsia="zh-CN"/>
              </w:rPr>
              <w:t>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4.除项目经理外，本项目拟派团队中持有信息安全保障人员认证证书（CISAW），每人次得1分，最高得2分；</w:t>
            </w:r>
          </w:p>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5.除项目经理外，本项目拟派团队中持有重要信息系统安全等级保护培训证书（CIIP-T），每人次得1分，最高得2分。</w:t>
            </w:r>
          </w:p>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 xml:space="preserve">注： </w:t>
            </w:r>
          </w:p>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①</w:t>
            </w:r>
            <w:r>
              <w:rPr>
                <w:rFonts w:hint="eastAsia" w:ascii="宋体" w:hAnsi="宋体" w:eastAsia="宋体" w:cs="宋体"/>
                <w:color w:val="000000"/>
                <w:sz w:val="24"/>
                <w:szCs w:val="24"/>
                <w:highlight w:val="none"/>
                <w:shd w:val="clear"/>
              </w:rPr>
              <w:t>提供拟派</w:t>
            </w:r>
            <w:r>
              <w:rPr>
                <w:rFonts w:hint="eastAsia" w:ascii="宋体" w:hAnsi="宋体" w:eastAsia="宋体" w:cs="宋体"/>
                <w:color w:val="000000"/>
                <w:sz w:val="24"/>
                <w:szCs w:val="24"/>
                <w:highlight w:val="none"/>
                <w:shd w:val="clear"/>
                <w:lang w:eastAsia="zh-CN"/>
              </w:rPr>
              <w:t>团队</w:t>
            </w:r>
            <w:r>
              <w:rPr>
                <w:rFonts w:hint="eastAsia" w:ascii="宋体" w:hAnsi="宋体" w:eastAsia="宋体" w:cs="宋体"/>
                <w:color w:val="000000"/>
                <w:sz w:val="24"/>
                <w:szCs w:val="24"/>
                <w:highlight w:val="none"/>
                <w:shd w:val="clear"/>
              </w:rPr>
              <w:t>成员名单以</w:t>
            </w:r>
            <w:r>
              <w:rPr>
                <w:rFonts w:hint="eastAsia" w:ascii="宋体" w:hAnsi="宋体" w:eastAsia="宋体" w:cs="宋体"/>
                <w:color w:val="000000"/>
                <w:sz w:val="24"/>
                <w:szCs w:val="24"/>
              </w:rPr>
              <w:t>及以上相关证明材料复印件并加盖供应商公章；</w:t>
            </w:r>
          </w:p>
          <w:p>
            <w:pPr>
              <w:spacing w:line="36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②</w:t>
            </w:r>
            <w:r>
              <w:rPr>
                <w:rFonts w:hint="eastAsia" w:ascii="宋体" w:hAnsi="宋体" w:eastAsia="宋体" w:cs="宋体"/>
                <w:color w:val="000000"/>
                <w:sz w:val="24"/>
                <w:szCs w:val="24"/>
              </w:rPr>
              <w:t>拟派人员</w:t>
            </w:r>
            <w:r>
              <w:rPr>
                <w:rFonts w:hint="eastAsia" w:ascii="宋体" w:hAnsi="宋体" w:eastAsia="宋体" w:cs="宋体"/>
                <w:color w:val="000000"/>
                <w:sz w:val="24"/>
                <w:szCs w:val="24"/>
                <w:lang w:eastAsia="zh-CN"/>
              </w:rPr>
              <w:t>须</w:t>
            </w:r>
            <w:r>
              <w:rPr>
                <w:rFonts w:hint="eastAsia" w:ascii="宋体" w:hAnsi="宋体" w:eastAsia="宋体" w:cs="宋体"/>
                <w:color w:val="000000"/>
                <w:sz w:val="24"/>
                <w:szCs w:val="24"/>
              </w:rPr>
              <w:t>为本单位正式员工，提供供应商为其缴纳的</w:t>
            </w:r>
            <w:r>
              <w:rPr>
                <w:rFonts w:hint="eastAsia" w:ascii="宋体" w:hAnsi="宋体" w:eastAsia="宋体" w:cs="宋体"/>
                <w:color w:val="000000"/>
                <w:sz w:val="24"/>
                <w:szCs w:val="24"/>
                <w:lang w:val="en-US" w:eastAsia="zh-CN"/>
              </w:rPr>
              <w:t>2022年近3个月</w:t>
            </w:r>
            <w:r>
              <w:rPr>
                <w:rFonts w:hint="eastAsia" w:ascii="宋体" w:hAnsi="宋体" w:eastAsia="宋体" w:cs="宋体"/>
                <w:color w:val="000000"/>
                <w:sz w:val="24"/>
                <w:szCs w:val="24"/>
                <w:lang w:val="zh-CN"/>
              </w:rPr>
              <w:t>的社保缴费证明复印件</w:t>
            </w:r>
            <w:r>
              <w:rPr>
                <w:rFonts w:hint="eastAsia" w:ascii="宋体" w:hAnsi="宋体" w:eastAsia="宋体" w:cs="宋体"/>
                <w:color w:val="000000"/>
                <w:sz w:val="24"/>
                <w:szCs w:val="24"/>
              </w:rPr>
              <w:t>并加盖单位公章。</w:t>
            </w:r>
          </w:p>
          <w:p>
            <w:pPr>
              <w:spacing w:line="36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③拟派人员</w:t>
            </w:r>
            <w:r>
              <w:rPr>
                <w:rFonts w:hint="eastAsia" w:ascii="宋体" w:hAnsi="宋体" w:eastAsia="宋体" w:cs="宋体"/>
                <w:color w:val="000000"/>
                <w:sz w:val="24"/>
                <w:szCs w:val="24"/>
              </w:rPr>
              <w:t>至少需要1名高级测评师，1名中级测评师，2名初级测评师</w:t>
            </w:r>
            <w:r>
              <w:rPr>
                <w:rFonts w:hint="eastAsia" w:ascii="宋体" w:hAnsi="宋体" w:eastAsia="宋体" w:cs="宋体"/>
                <w:color w:val="000000"/>
                <w:sz w:val="24"/>
                <w:szCs w:val="24"/>
                <w:lang w:eastAsia="zh-CN"/>
              </w:rPr>
              <w:t>，否则作无效投标处理。</w:t>
            </w:r>
          </w:p>
        </w:tc>
      </w:tr>
      <w:tr>
        <w:tblPrEx>
          <w:tblCellMar>
            <w:top w:w="0" w:type="dxa"/>
            <w:left w:w="108" w:type="dxa"/>
            <w:bottom w:w="0" w:type="dxa"/>
            <w:right w:w="108" w:type="dxa"/>
          </w:tblCellMar>
        </w:tblPrEx>
        <w:trPr>
          <w:trHeight w:val="1250" w:hRule="atLeast"/>
        </w:trPr>
        <w:tc>
          <w:tcPr>
            <w:tcW w:w="61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业绩</w:t>
            </w:r>
          </w:p>
          <w:p>
            <w:pPr>
              <w:spacing w:line="3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（8分）</w:t>
            </w:r>
          </w:p>
        </w:tc>
        <w:tc>
          <w:tcPr>
            <w:tcW w:w="42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396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提供2020年1月1日以来（以合同签订日期为准）类似测评业绩：每个业绩得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分，最高得8分。</w:t>
            </w:r>
          </w:p>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注：提供合同复印件并加盖供应商公章。</w:t>
            </w:r>
          </w:p>
        </w:tc>
      </w:tr>
      <w:tr>
        <w:tblPrEx>
          <w:tblCellMar>
            <w:top w:w="0" w:type="dxa"/>
            <w:left w:w="108" w:type="dxa"/>
            <w:bottom w:w="0" w:type="dxa"/>
            <w:right w:w="108" w:type="dxa"/>
          </w:tblCellMar>
        </w:tblPrEx>
        <w:trPr>
          <w:trHeight w:val="1573" w:hRule="atLeast"/>
        </w:trPr>
        <w:tc>
          <w:tcPr>
            <w:tcW w:w="611"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w:t>
            </w:r>
          </w:p>
          <w:p>
            <w:pPr>
              <w:spacing w:line="3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能力</w:t>
            </w:r>
          </w:p>
          <w:p>
            <w:pPr>
              <w:spacing w:line="3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（20分）</w:t>
            </w:r>
          </w:p>
        </w:tc>
        <w:tc>
          <w:tcPr>
            <w:tcW w:w="42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p>
        </w:tc>
        <w:tc>
          <w:tcPr>
            <w:tcW w:w="396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根据</w:t>
            </w:r>
            <w:r>
              <w:rPr>
                <w:rFonts w:hint="eastAsia" w:ascii="宋体" w:hAnsi="宋体" w:eastAsia="宋体" w:cs="宋体"/>
                <w:color w:val="000000"/>
                <w:sz w:val="24"/>
                <w:szCs w:val="24"/>
                <w:lang w:eastAsia="zh-CN"/>
              </w:rPr>
              <w:t>本项目</w:t>
            </w:r>
            <w:r>
              <w:rPr>
                <w:rFonts w:hint="eastAsia" w:ascii="宋体" w:hAnsi="宋体" w:eastAsia="宋体" w:cs="宋体"/>
                <w:color w:val="000000"/>
                <w:sz w:val="24"/>
                <w:szCs w:val="24"/>
              </w:rPr>
              <w:t>招标需求进行等保测评的方案设计，能够详细描述信息系统现状，制定的方案科学、合理、全面、可行性高的得10-15分；方案粗糙、过程不够全面、可行性一般的得5-9分；方案简单，可行性差的得0-4分。</w:t>
            </w:r>
          </w:p>
        </w:tc>
      </w:tr>
      <w:tr>
        <w:tblPrEx>
          <w:tblCellMar>
            <w:top w:w="0" w:type="dxa"/>
            <w:left w:w="108" w:type="dxa"/>
            <w:bottom w:w="0" w:type="dxa"/>
            <w:right w:w="108" w:type="dxa"/>
          </w:tblCellMar>
        </w:tblPrEx>
        <w:trPr>
          <w:trHeight w:val="2380" w:hRule="atLeast"/>
        </w:trPr>
        <w:tc>
          <w:tcPr>
            <w:tcW w:w="611" w:type="pct"/>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24"/>
                <w:szCs w:val="24"/>
              </w:rPr>
            </w:pPr>
          </w:p>
        </w:tc>
        <w:tc>
          <w:tcPr>
            <w:tcW w:w="42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p>
        </w:tc>
        <w:tc>
          <w:tcPr>
            <w:tcW w:w="396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安全事件应急响应能力：我单位承载业务系统非常重要，不容有失，一旦发生网络安全事件，必须得到及时处理，供应商必须提供网络安全事件应急响应服务，承诺0.5小时内响应得5分，1小时内响应得3分，2小时内响应得1分，超过2小时不得分。。</w:t>
            </w:r>
          </w:p>
          <w:p>
            <w:pPr>
              <w:spacing w:line="360" w:lineRule="exact"/>
              <w:jc w:val="left"/>
              <w:rPr>
                <w:rFonts w:ascii="宋体" w:hAnsi="宋体" w:eastAsia="宋体" w:cs="宋体"/>
                <w:color w:val="000000"/>
                <w:sz w:val="24"/>
                <w:szCs w:val="24"/>
              </w:rPr>
            </w:pPr>
            <w:r>
              <w:rPr>
                <w:rFonts w:hint="eastAsia" w:ascii="宋体" w:hAnsi="宋体" w:eastAsia="宋体" w:cs="宋体"/>
                <w:color w:val="000000"/>
                <w:sz w:val="24"/>
                <w:szCs w:val="24"/>
              </w:rPr>
              <w:t>注：提供应急响应承诺函（格式自拟），安全事件应急响应服务时间以供应商注册地址</w:t>
            </w:r>
            <w:r>
              <w:rPr>
                <w:rFonts w:hint="eastAsia" w:ascii="宋体" w:hAnsi="宋体" w:eastAsia="宋体" w:cs="宋体"/>
                <w:color w:val="000000"/>
                <w:sz w:val="24"/>
                <w:szCs w:val="24"/>
                <w:lang w:eastAsia="zh-CN"/>
              </w:rPr>
              <w:t>或办事处</w:t>
            </w:r>
            <w:r>
              <w:rPr>
                <w:rFonts w:hint="eastAsia" w:ascii="宋体" w:hAnsi="宋体" w:eastAsia="宋体" w:cs="宋体"/>
                <w:color w:val="000000"/>
                <w:sz w:val="24"/>
                <w:szCs w:val="24"/>
              </w:rPr>
              <w:t>至被测评单位主流导航地图截图为准。</w:t>
            </w:r>
          </w:p>
        </w:tc>
      </w:tr>
    </w:tbl>
    <w:p>
      <w:pPr>
        <w:snapToGrid w:val="0"/>
        <w:spacing w:line="300" w:lineRule="auto"/>
        <w:ind w:firstLine="555"/>
        <w:rPr>
          <w:rFonts w:asciiTheme="majorEastAsia" w:hAnsiTheme="majorEastAsia" w:eastAsiaTheme="majorEastAsia" w:cstheme="minorEastAsia"/>
          <w:b/>
          <w:sz w:val="24"/>
        </w:rPr>
      </w:pPr>
      <w:r>
        <w:rPr>
          <w:rFonts w:hint="eastAsia" w:asciiTheme="majorEastAsia" w:hAnsiTheme="majorEastAsia" w:eastAsiaTheme="majorEastAsia" w:cstheme="minorEastAsia"/>
          <w:b/>
          <w:kern w:val="0"/>
          <w:sz w:val="24"/>
        </w:rPr>
        <w:t>注：</w:t>
      </w:r>
      <w:r>
        <w:rPr>
          <w:rFonts w:hint="eastAsia" w:asciiTheme="majorEastAsia" w:hAnsiTheme="majorEastAsia" w:eastAsiaTheme="majorEastAsia" w:cstheme="minorEastAsia"/>
          <w:b/>
          <w:sz w:val="24"/>
        </w:rPr>
        <w:t>评标办法中涉及人员证书、业绩合同等证明材料，如为复印件均须加盖供应商公章，否则该项不得分。</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（二）价格标评分：（30分）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1、本次投标报价采用固定总价报价，本项目最高限价为</w:t>
      </w:r>
      <w:r>
        <w:rPr>
          <w:rFonts w:hint="eastAsia" w:asciiTheme="majorEastAsia" w:hAnsiTheme="majorEastAsia" w:eastAsiaTheme="majorEastAsia" w:cstheme="minorEastAsia"/>
          <w:bCs/>
          <w:sz w:val="24"/>
          <w:szCs w:val="24"/>
          <w:lang w:val="en-US" w:eastAsia="zh-CN"/>
        </w:rPr>
        <w:t>21</w:t>
      </w:r>
      <w:r>
        <w:rPr>
          <w:rFonts w:hint="eastAsia" w:asciiTheme="majorEastAsia" w:hAnsiTheme="majorEastAsia" w:eastAsiaTheme="majorEastAsia" w:cstheme="minorEastAsia"/>
          <w:bCs/>
          <w:sz w:val="24"/>
          <w:szCs w:val="24"/>
        </w:rPr>
        <w:t>万元。</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2、有效报价：指投标报价低于或等于最高限价的报价，高于最高限价的作废标处理。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3、报价得分：价格分统一采用低价优先法计算，即满足磋商文件要求且最终报价最低的供应商的价格为磋商基准价，其价格分为满分。其他供应商的价格分统一按照下列公式计算：</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磋商报价得分=（磋商基准价/最终磋商报价）×30%×100</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（三）政府采购政策功能落实</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1、小微型企业价格扣除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（1）本项目对小型和微型企业产品给予10%的扣除价格，用扣除后的价格参与评审。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（2）供应商需按照采购文件的要求提供相应的《</w:t>
      </w:r>
      <w:r>
        <w:rPr>
          <w:rFonts w:hint="eastAsia" w:asciiTheme="majorEastAsia" w:hAnsiTheme="majorEastAsia" w:eastAsiaTheme="majorEastAsia" w:cstheme="minorEastAsia"/>
          <w:sz w:val="24"/>
          <w:szCs w:val="24"/>
          <w:lang w:eastAsia="zh-CN"/>
        </w:rPr>
        <w:t>中小</w:t>
      </w:r>
      <w:r>
        <w:rPr>
          <w:rFonts w:hint="eastAsia" w:asciiTheme="majorEastAsia" w:hAnsiTheme="majorEastAsia" w:eastAsiaTheme="majorEastAsia" w:cstheme="minorEastAsia"/>
          <w:sz w:val="24"/>
          <w:szCs w:val="24"/>
        </w:rPr>
        <w:t>企业声明函》。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（3）企业标准请参照《关于印发中小企业划型标准规定的通知》（工信部联企业[2011]300号）文件规定自行填写。</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（1）本项目对残疾人福利性单位视同小型、微型企业，给予10%的价格扣除，用扣除后的价格参与评审。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（2）残疾人福利单位需按照采购文件的要求提供《残疾人福利性单位声明函》。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（3）残疾人福利单位标准请参照《关于促进残疾人就业政府采购政策的通知》（财库〔2017〕141号）。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3、监狱和戒毒企业价格扣除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（1）本项目对监狱和戒毒企业（简称监狱企业）视同小型、微型企业，给予10%的价格扣除，用扣除后的价格参与评审。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（3）监狱企业标准请参照《关于政府采购支持监狱企业发展有关问题的通知》（财库[2014]68号）。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4、残疾人福利单位、监狱企业属于小型、微型企业的，不重复享受政策。</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 xml:space="preserve">%的价格扣除，用扣除后的价格参与评审。 </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6、联合体各方均为小型、微型企业（残疾人福利单位、监狱企业）的，联合体享受</w:t>
      </w:r>
      <w:r>
        <w:rPr>
          <w:rFonts w:hint="eastAsia" w:asciiTheme="majorEastAsia" w:hAnsiTheme="majorEastAsia" w:eastAsiaTheme="majorEastAsia" w:cstheme="minorEastAsia"/>
          <w:sz w:val="24"/>
          <w:szCs w:val="24"/>
          <w:lang w:val="en-US" w:eastAsia="zh-CN"/>
        </w:rPr>
        <w:t>6</w:t>
      </w:r>
      <w:r>
        <w:rPr>
          <w:rFonts w:hint="eastAsia" w:asciiTheme="majorEastAsia" w:hAnsiTheme="majorEastAsia" w:eastAsiaTheme="majorEastAsia" w:cstheme="minorEastAsia"/>
          <w:sz w:val="24"/>
          <w:szCs w:val="24"/>
        </w:rPr>
        <w:t>%价格扣除，用扣除后的价格参与评审。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7、根据《江苏省政府采购信用管理暂行办法》的规定，对有失信行为的供应商将根据信用评价结果按规定予以扣分或价格加成。</w:t>
      </w:r>
    </w:p>
    <w:p>
      <w:pPr>
        <w:snapToGrid w:val="0"/>
        <w:spacing w:line="300" w:lineRule="auto"/>
        <w:ind w:firstLine="482" w:firstLineChars="200"/>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特别提醒】供应商应依照规定提交各类声明函、承诺函，不再同时提供原件备查。但中标或成交供应商，应做好提交声明函、承诺函相应原件的核查准备；核查后发现虚假或违背承诺的，依照相关法律法规规定处理。</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六、出现下列情形之一的，作无效磋商处理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1、磋商响应文件未按规定要求装订、密封、签署、盖章及资料不齐全的；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2、磋商响应文件的资料有虚报或者谎报的；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3、磋商响应文件技术部分出现磋商报价的内容；</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4、不具备磋商文件规定的资格要求的；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5、磋商响应文件有重大漏项或重大不合理的；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6、项目技术、方案不满足项目需求中的要求，有重大偏离或保留的；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7、磋商响应报价超出项目最高限价的；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8、被认定为低于成本报价而磋商竞标的；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9、供应商的磋商报价高于自己前一轮的。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10、不符合法律、法规和磋商文件中规定的实质性响应要求的；</w:t>
      </w:r>
    </w:p>
    <w:p>
      <w:pPr>
        <w:snapToGrid w:val="0"/>
        <w:spacing w:line="360" w:lineRule="auto"/>
        <w:ind w:firstLine="484" w:firstLineChars="202"/>
        <w:outlineLvl w:val="1"/>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11、磋商小组认定为其他情况可确定为无效投标的。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七、出现下列情形之一的，作废标处理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1、供应商的报价均超出了采购预算，采购人不能支付的；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2、因情况变化，不再符合规定的竞争性磋商采购方式所适用情形的；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3、出现影响采购公正的违法、违规行为的；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4、因重大变故，采购任务取消的。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八、成交通知</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1、竞争性磋商结束后，招标采购人将成交结果在指定媒体上公示1个工作日。</w:t>
      </w:r>
    </w:p>
    <w:p>
      <w:pPr>
        <w:snapToGrid w:val="0"/>
        <w:spacing w:line="360" w:lineRule="auto"/>
        <w:ind w:firstLine="484" w:firstLineChars="202"/>
        <w:rPr>
          <w:rFonts w:asciiTheme="majorEastAsia" w:hAnsiTheme="majorEastAsia" w:eastAsiaTheme="majorEastAsia"/>
        </w:rPr>
      </w:pPr>
      <w:r>
        <w:rPr>
          <w:rFonts w:hint="eastAsia" w:asciiTheme="majorEastAsia" w:hAnsiTheme="majorEastAsia" w:eastAsiaTheme="majorEastAsia" w:cstheme="minorEastAsia"/>
          <w:sz w:val="24"/>
          <w:szCs w:val="24"/>
        </w:rPr>
        <w:t>2、《成交通知书》一经发出，即具有法律效力。采购人、成交供应商依法承担法律责任。</w:t>
      </w:r>
      <w:bookmarkEnd w:id="4"/>
      <w:bookmarkStart w:id="6" w:name="_Toc363573857"/>
    </w:p>
    <w:p>
      <w:pPr>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第五章 合同授予</w:t>
      </w:r>
      <w:bookmarkEnd w:id="6"/>
      <w:r>
        <w:rPr>
          <w:rFonts w:hint="eastAsia" w:asciiTheme="majorEastAsia" w:hAnsiTheme="majorEastAsia" w:eastAsiaTheme="majorEastAsia" w:cstheme="minorEastAsia"/>
          <w:b/>
          <w:w w:val="80"/>
          <w:sz w:val="36"/>
          <w:szCs w:val="36"/>
        </w:rPr>
        <w:t>与履约</w:t>
      </w:r>
    </w:p>
    <w:p>
      <w:pPr>
        <w:spacing w:line="360" w:lineRule="auto"/>
        <w:ind w:firstLine="480" w:firstLineChars="200"/>
        <w:rPr>
          <w:rFonts w:hAnsi="宋体" w:eastAsia="宋体"/>
          <w:sz w:val="24"/>
          <w:szCs w:val="24"/>
        </w:rPr>
      </w:pPr>
      <w:bookmarkStart w:id="7" w:name="_Toc94585343"/>
      <w:bookmarkStart w:id="8" w:name="_Toc363573858"/>
      <w:r>
        <w:rPr>
          <w:rFonts w:hint="eastAsia" w:hAnsi="宋体" w:eastAsia="宋体"/>
          <w:sz w:val="24"/>
          <w:szCs w:val="24"/>
        </w:rPr>
        <w:t>一、在发出《中标通知书》后15日内，</w:t>
      </w:r>
      <w:r>
        <w:rPr>
          <w:rFonts w:hint="eastAsia" w:hAnsi="宋体" w:eastAsia="宋体"/>
          <w:sz w:val="24"/>
          <w:szCs w:val="24"/>
          <w:lang w:eastAsia="zh-CN"/>
        </w:rPr>
        <w:t>成交供应商</w:t>
      </w:r>
      <w:r>
        <w:rPr>
          <w:rFonts w:hint="eastAsia" w:hAnsi="宋体" w:eastAsia="宋体"/>
          <w:sz w:val="24"/>
          <w:szCs w:val="24"/>
        </w:rPr>
        <w:t>凭履约保证金缴纳凭证、中标通知书至采购人处签订合同。合同签订后成交供应商方可履约，否则引起的一切后果由成交人自行承担。所签合同不得对采购文件作实质性修改。采购人不得向成交供应商提出不合理的要求作为签订合同的条件，不得与成交供应商私下订立背离采购文件实质性内容的协议。</w:t>
      </w:r>
    </w:p>
    <w:p>
      <w:pPr>
        <w:spacing w:line="360" w:lineRule="auto"/>
        <w:ind w:firstLine="480" w:firstLineChars="200"/>
        <w:rPr>
          <w:rFonts w:hAnsi="宋体" w:eastAsia="宋体"/>
          <w:sz w:val="24"/>
          <w:szCs w:val="24"/>
        </w:rPr>
      </w:pPr>
      <w:r>
        <w:rPr>
          <w:rFonts w:hint="eastAsia" w:hAnsi="宋体" w:eastAsia="宋体"/>
          <w:sz w:val="24"/>
          <w:szCs w:val="24"/>
        </w:rPr>
        <w:t>二、</w:t>
      </w:r>
      <w:bookmarkStart w:id="9" w:name="OLE_LINK2"/>
      <w:bookmarkStart w:id="10" w:name="OLE_LINK1"/>
      <w:r>
        <w:rPr>
          <w:rFonts w:hint="eastAsia" w:hAnsi="宋体" w:eastAsia="宋体"/>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hAnsi="宋体" w:eastAsia="宋体"/>
          <w:sz w:val="24"/>
          <w:szCs w:val="24"/>
        </w:rPr>
      </w:pPr>
      <w:r>
        <w:rPr>
          <w:rFonts w:hint="eastAsia" w:hAnsi="宋体" w:eastAsia="宋体"/>
          <w:sz w:val="24"/>
          <w:szCs w:val="24"/>
        </w:rPr>
        <w:t>三、成交供应商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0" w:firstLineChars="200"/>
        <w:rPr>
          <w:rFonts w:hAnsi="宋体" w:eastAsia="宋体"/>
          <w:sz w:val="24"/>
          <w:szCs w:val="24"/>
        </w:rPr>
      </w:pPr>
      <w:r>
        <w:rPr>
          <w:rFonts w:hint="eastAsia" w:hAnsi="宋体" w:eastAsia="宋体"/>
          <w:sz w:val="24"/>
          <w:szCs w:val="24"/>
        </w:rPr>
        <w:t>四、不响应付款方式的，视同无效投标处理。款项由采购人按相关财务支付规定办理支付手续，不得故意拖延支付时间</w:t>
      </w:r>
      <w:bookmarkEnd w:id="9"/>
      <w:bookmarkEnd w:id="10"/>
      <w:r>
        <w:rPr>
          <w:rFonts w:hint="eastAsia" w:hAnsi="宋体" w:eastAsia="宋体"/>
          <w:sz w:val="24"/>
          <w:szCs w:val="24"/>
        </w:rPr>
        <w:t>。</w:t>
      </w:r>
    </w:p>
    <w:p>
      <w:pPr>
        <w:spacing w:line="360" w:lineRule="auto"/>
        <w:ind w:firstLine="480" w:firstLineChars="200"/>
        <w:rPr>
          <w:rFonts w:hAnsi="宋体" w:eastAsia="宋体"/>
          <w:sz w:val="24"/>
          <w:szCs w:val="24"/>
        </w:rPr>
      </w:pPr>
      <w:r>
        <w:rPr>
          <w:rFonts w:hint="eastAsia" w:hAnsi="宋体" w:eastAsia="宋体"/>
          <w:sz w:val="24"/>
          <w:szCs w:val="24"/>
        </w:rPr>
        <w:t>五、付款方式见竞争性磋商文件第三章的要求，所有付款均不计利息，一切税费均由成交供应商承担。</w:t>
      </w:r>
      <w:r>
        <w:rPr>
          <w:rFonts w:hAnsi="宋体" w:eastAsia="宋体"/>
          <w:sz w:val="24"/>
          <w:szCs w:val="24"/>
        </w:rPr>
        <w:t>采购</w:t>
      </w:r>
      <w:r>
        <w:rPr>
          <w:rFonts w:hint="eastAsia" w:hAnsi="宋体" w:eastAsia="宋体"/>
          <w:sz w:val="24"/>
          <w:szCs w:val="24"/>
        </w:rPr>
        <w:t>人</w:t>
      </w:r>
      <w:r>
        <w:rPr>
          <w:rFonts w:hAnsi="宋体" w:eastAsia="宋体"/>
          <w:sz w:val="24"/>
          <w:szCs w:val="24"/>
        </w:rPr>
        <w:t>付款前，</w:t>
      </w:r>
      <w:r>
        <w:rPr>
          <w:rFonts w:hint="eastAsia" w:hAnsi="宋体" w:eastAsia="宋体"/>
          <w:kern w:val="0"/>
          <w:sz w:val="24"/>
          <w:szCs w:val="24"/>
          <w:lang w:val="zh-CN"/>
        </w:rPr>
        <w:t>成交供应商须开具有效增值税发票</w:t>
      </w:r>
      <w:r>
        <w:rPr>
          <w:rFonts w:hAnsi="宋体" w:eastAsia="宋体"/>
          <w:sz w:val="24"/>
          <w:szCs w:val="24"/>
        </w:rPr>
        <w:t>。</w:t>
      </w:r>
    </w:p>
    <w:p>
      <w:pPr>
        <w:spacing w:line="360" w:lineRule="auto"/>
        <w:ind w:firstLine="480" w:firstLineChars="200"/>
        <w:rPr>
          <w:rFonts w:hint="eastAsia" w:hAnsi="宋体" w:eastAsia="宋体"/>
          <w:sz w:val="24"/>
          <w:szCs w:val="24"/>
        </w:rPr>
      </w:pPr>
      <w:r>
        <w:rPr>
          <w:rFonts w:hint="eastAsia" w:hAnsi="宋体" w:eastAsia="宋体"/>
          <w:sz w:val="24"/>
          <w:szCs w:val="24"/>
        </w:rPr>
        <w:t>附：合同条款</w:t>
      </w:r>
    </w:p>
    <w:p>
      <w:pPr>
        <w:rPr>
          <w:rFonts w:hint="eastAsia" w:hAnsi="宋体" w:eastAsia="宋体"/>
          <w:sz w:val="24"/>
          <w:szCs w:val="24"/>
        </w:rPr>
      </w:pPr>
      <w:r>
        <w:rPr>
          <w:rFonts w:hint="eastAsia" w:hAnsi="宋体" w:eastAsia="宋体"/>
          <w:sz w:val="24"/>
          <w:szCs w:val="24"/>
        </w:rPr>
        <w:br w:type="page"/>
      </w:r>
    </w:p>
    <w:p>
      <w:pPr>
        <w:autoSpaceDE w:val="0"/>
        <w:autoSpaceDN w:val="0"/>
        <w:adjustRightInd w:val="0"/>
        <w:snapToGrid w:val="0"/>
        <w:spacing w:line="360" w:lineRule="auto"/>
        <w:contextualSpacing/>
        <w:jc w:val="center"/>
        <w:rPr>
          <w:rFonts w:ascii="宋体" w:hAnsi="宋体" w:eastAsia="宋体" w:cs="宋体"/>
          <w:b/>
          <w:color w:val="000000"/>
          <w:sz w:val="32"/>
          <w:szCs w:val="32"/>
        </w:rPr>
      </w:pPr>
      <w:r>
        <w:rPr>
          <w:rFonts w:hint="eastAsia" w:ascii="宋体" w:hAnsi="宋体" w:eastAsia="宋体" w:cs="宋体"/>
          <w:b/>
          <w:color w:val="000000"/>
          <w:sz w:val="32"/>
          <w:szCs w:val="32"/>
        </w:rPr>
        <w:t>合同条款</w:t>
      </w:r>
    </w:p>
    <w:p>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甲方：南通市妇幼保健院</w:t>
      </w:r>
    </w:p>
    <w:p>
      <w:pPr>
        <w:adjustRightInd w:val="0"/>
        <w:snapToGrid w:val="0"/>
        <w:spacing w:line="360" w:lineRule="auto"/>
        <w:jc w:val="left"/>
        <w:rPr>
          <w:rFonts w:ascii="宋体" w:hAnsi="宋体" w:eastAsia="宋体" w:cs="宋体"/>
          <w:bCs/>
          <w:sz w:val="24"/>
          <w:szCs w:val="24"/>
        </w:rPr>
      </w:pPr>
      <w:r>
        <w:rPr>
          <w:rFonts w:hint="eastAsia" w:ascii="宋体" w:hAnsi="宋体" w:eastAsia="宋体" w:cs="宋体"/>
          <w:sz w:val="24"/>
          <w:szCs w:val="24"/>
        </w:rPr>
        <w:t>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为进一步提高信息系统安全保障水平，落实国家关于信息系统开展等级保护工作的相关政策、法律法规，根据国家、省相关管理规定，经甲、乙双方协商，一致达成如下协议：</w:t>
      </w:r>
    </w:p>
    <w:p>
      <w:pPr>
        <w:keepNext w:val="0"/>
        <w:keepLines w:val="0"/>
        <w:pageBreakBefore w:val="0"/>
        <w:widowControl w:val="0"/>
        <w:kinsoku/>
        <w:wordWrap/>
        <w:overflowPunct/>
        <w:topLinePunct w:val="0"/>
        <w:autoSpaceDE/>
        <w:autoSpaceDN/>
        <w:bidi w:val="0"/>
        <w:adjustRightInd/>
        <w:snapToGrid/>
        <w:spacing w:before="100" w:beforeAutospacing="1" w:line="440" w:lineRule="exact"/>
        <w:ind w:firstLine="470" w:firstLineChars="196"/>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一、</w:t>
      </w:r>
      <w:r>
        <w:rPr>
          <w:rFonts w:hint="eastAsia" w:ascii="宋体" w:hAnsi="宋体" w:eastAsia="宋体" w:cs="宋体"/>
          <w:sz w:val="24"/>
          <w:szCs w:val="24"/>
        </w:rPr>
        <w:t>乙方负责对甲方</w:t>
      </w:r>
      <w:r>
        <w:rPr>
          <w:rFonts w:hint="eastAsia" w:ascii="宋体" w:hAnsi="宋体" w:eastAsia="宋体" w:cs="宋体"/>
          <w:sz w:val="24"/>
          <w:szCs w:val="24"/>
          <w:u w:val="single"/>
        </w:rPr>
        <w:t>集成平台数据中心（三级）、互联网医院（三级）、CIS临床医疗信息系统（三级）、雕龙病案（二级）、医院官网（二级）</w:t>
      </w:r>
      <w:r>
        <w:rPr>
          <w:rFonts w:hint="eastAsia" w:ascii="宋体" w:hAnsi="宋体" w:eastAsia="宋体" w:cs="宋体"/>
          <w:sz w:val="24"/>
          <w:szCs w:val="24"/>
        </w:rPr>
        <w:t>进行信息系统安全等级测评</w:t>
      </w:r>
      <w:r>
        <w:rPr>
          <w:rFonts w:hint="eastAsia" w:ascii="宋体" w:hAnsi="宋体" w:eastAsia="宋体" w:cs="宋体"/>
          <w:sz w:val="24"/>
          <w:szCs w:val="24"/>
          <w:lang w:eastAsia="zh-CN"/>
        </w:rPr>
        <w:t>（见附件）</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00" w:beforeAutospacing="1" w:line="44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二、乙方应于</w:t>
      </w:r>
      <w:r>
        <w:rPr>
          <w:rFonts w:hint="eastAsia" w:ascii="宋体" w:hAnsi="宋体" w:eastAsia="宋体" w:cs="宋体"/>
          <w:sz w:val="24"/>
          <w:szCs w:val="24"/>
          <w:u w:val="single"/>
          <w:lang w:eastAsia="zh-CN"/>
        </w:rPr>
        <w:t>合同签订完毕一周内</w:t>
      </w:r>
      <w:r>
        <w:rPr>
          <w:rFonts w:hint="eastAsia" w:ascii="宋体" w:hAnsi="宋体" w:eastAsia="宋体" w:cs="宋体"/>
          <w:sz w:val="24"/>
          <w:szCs w:val="24"/>
          <w:u w:val="none"/>
          <w:lang w:eastAsia="zh-CN"/>
        </w:rPr>
        <w:t>启动</w:t>
      </w:r>
      <w:r>
        <w:rPr>
          <w:rFonts w:hint="eastAsia" w:ascii="宋体" w:hAnsi="宋体" w:eastAsia="宋体" w:cs="宋体"/>
          <w:sz w:val="24"/>
          <w:szCs w:val="24"/>
          <w:lang w:eastAsia="zh-CN"/>
        </w:rPr>
        <w:t>测评工作，于</w:t>
      </w:r>
      <w:r>
        <w:rPr>
          <w:rFonts w:hint="eastAsia" w:ascii="宋体" w:hAnsi="宋体" w:eastAsia="宋体" w:cs="宋体"/>
          <w:sz w:val="24"/>
          <w:szCs w:val="24"/>
          <w:u w:val="single"/>
        </w:rPr>
        <w:t>签订</w:t>
      </w:r>
      <w:r>
        <w:rPr>
          <w:rFonts w:hint="eastAsia" w:ascii="宋体" w:hAnsi="宋体" w:eastAsia="宋体" w:cs="宋体"/>
          <w:sz w:val="24"/>
          <w:szCs w:val="24"/>
          <w:u w:val="single"/>
          <w:lang w:eastAsia="zh-CN"/>
        </w:rPr>
        <w:t>合同后</w:t>
      </w:r>
      <w:r>
        <w:rPr>
          <w:rFonts w:hint="eastAsia" w:ascii="宋体" w:hAnsi="宋体" w:eastAsia="宋体" w:cs="宋体"/>
          <w:sz w:val="24"/>
          <w:szCs w:val="24"/>
          <w:u w:val="single"/>
        </w:rPr>
        <w:t>60天内</w:t>
      </w:r>
      <w:r>
        <w:rPr>
          <w:rFonts w:hint="eastAsia" w:ascii="宋体" w:hAnsi="宋体" w:eastAsia="宋体" w:cs="宋体"/>
          <w:sz w:val="24"/>
          <w:szCs w:val="24"/>
        </w:rPr>
        <w:t>完成评估相关工作，向</w:t>
      </w:r>
      <w:r>
        <w:rPr>
          <w:rFonts w:hint="eastAsia" w:ascii="宋体" w:hAnsi="宋体" w:eastAsia="宋体" w:cs="宋体"/>
          <w:sz w:val="24"/>
          <w:szCs w:val="24"/>
          <w:lang w:eastAsia="zh-CN"/>
        </w:rPr>
        <w:t>甲</w:t>
      </w:r>
      <w:r>
        <w:rPr>
          <w:rFonts w:hint="eastAsia" w:ascii="宋体" w:hAnsi="宋体" w:eastAsia="宋体" w:cs="宋体"/>
          <w:sz w:val="24"/>
          <w:szCs w:val="24"/>
        </w:rPr>
        <w:t>方提交信息系统安全等级测评报告，加盖等级保护专用章，作为甲方</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2</w:t>
      </w:r>
      <w:r>
        <w:rPr>
          <w:rFonts w:hint="eastAsia" w:ascii="宋体" w:hAnsi="宋体" w:eastAsia="宋体" w:cs="宋体"/>
          <w:sz w:val="24"/>
          <w:szCs w:val="24"/>
        </w:rPr>
        <w:t>年开展等级测评工作的证明。</w:t>
      </w:r>
    </w:p>
    <w:p>
      <w:pPr>
        <w:keepNext w:val="0"/>
        <w:keepLines w:val="0"/>
        <w:pageBreakBefore w:val="0"/>
        <w:widowControl w:val="0"/>
        <w:kinsoku/>
        <w:wordWrap/>
        <w:overflowPunct/>
        <w:topLinePunct w:val="0"/>
        <w:autoSpaceDE/>
        <w:autoSpaceDN/>
        <w:bidi w:val="0"/>
        <w:adjustRightInd/>
        <w:snapToGrid/>
        <w:spacing w:before="100" w:beforeAutospacing="1" w:line="440" w:lineRule="exact"/>
        <w:ind w:firstLine="470" w:firstLineChars="196"/>
        <w:textAlignment w:val="auto"/>
        <w:rPr>
          <w:rStyle w:val="175"/>
          <w:rFonts w:hint="eastAsia" w:ascii="宋体" w:hAnsi="宋体" w:eastAsia="宋体" w:cs="宋体"/>
          <w:b w:val="0"/>
          <w:sz w:val="24"/>
          <w:szCs w:val="24"/>
        </w:rPr>
      </w:pPr>
      <w:r>
        <w:rPr>
          <w:rStyle w:val="175"/>
          <w:rFonts w:hint="eastAsia" w:ascii="宋体" w:hAnsi="宋体" w:eastAsia="宋体" w:cs="宋体"/>
          <w:b w:val="0"/>
          <w:sz w:val="24"/>
          <w:szCs w:val="24"/>
        </w:rPr>
        <w:t>三、测评内容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Style w:val="175"/>
          <w:rFonts w:hint="eastAsia" w:ascii="宋体" w:hAnsi="宋体" w:eastAsia="宋体" w:cs="宋体"/>
          <w:b w:val="0"/>
          <w:sz w:val="24"/>
          <w:szCs w:val="24"/>
          <w:lang w:eastAsia="zh-CN"/>
        </w:rPr>
      </w:pPr>
      <w:r>
        <w:rPr>
          <w:rStyle w:val="175"/>
          <w:rFonts w:hint="eastAsia" w:ascii="宋体" w:hAnsi="宋体" w:eastAsia="宋体" w:cs="宋体"/>
          <w:b w:val="0"/>
          <w:sz w:val="24"/>
          <w:szCs w:val="24"/>
        </w:rPr>
        <w:t>乙方依据信息系统安全等级测评相关管理规定和技术规范，按照GB/T 22239-2019：《信息安全技术 网络安全等级保护基本要求》、GB/T 28448-2019：《信息安全技术 网络安全等级保护测评要求》、GB/T 28449-2018：《信息安全技术 网络安全等级保护测评过程指南》</w:t>
      </w:r>
      <w:r>
        <w:rPr>
          <w:rStyle w:val="175"/>
          <w:rFonts w:hint="eastAsia" w:ascii="宋体" w:hAnsi="宋体" w:eastAsia="宋体" w:cs="宋体"/>
          <w:b w:val="0"/>
          <w:sz w:val="24"/>
          <w:szCs w:val="24"/>
          <w:lang w:eastAsia="zh-CN"/>
        </w:rPr>
        <w:t>、GB/T 25058-2019</w:t>
      </w:r>
      <w:r>
        <w:rPr>
          <w:rStyle w:val="175"/>
          <w:rFonts w:hint="eastAsia" w:ascii="宋体" w:hAnsi="宋体" w:eastAsia="宋体" w:cs="宋体"/>
          <w:b w:val="0"/>
          <w:sz w:val="24"/>
          <w:szCs w:val="24"/>
          <w:lang w:val="en-US" w:eastAsia="zh-CN"/>
        </w:rPr>
        <w:t>:</w:t>
      </w:r>
      <w:r>
        <w:rPr>
          <w:rStyle w:val="175"/>
          <w:rFonts w:hint="eastAsia" w:ascii="宋体" w:hAnsi="宋体" w:eastAsia="宋体" w:cs="宋体"/>
          <w:b w:val="0"/>
          <w:sz w:val="24"/>
          <w:szCs w:val="24"/>
          <w:lang w:eastAsia="zh-CN"/>
        </w:rPr>
        <w:t>《信息安全技术 网络安全等级保护实施指南》</w:t>
      </w:r>
      <w:r>
        <w:rPr>
          <w:rStyle w:val="175"/>
          <w:rFonts w:hint="eastAsia" w:ascii="宋体" w:hAnsi="宋体" w:eastAsia="宋体" w:cs="宋体"/>
          <w:b w:val="0"/>
          <w:sz w:val="24"/>
          <w:szCs w:val="24"/>
        </w:rPr>
        <w:t>并参照相关标准对上述系统开展等级测评相关工作</w:t>
      </w:r>
      <w:r>
        <w:rPr>
          <w:rStyle w:val="175"/>
          <w:rFonts w:hint="eastAsia" w:ascii="宋体" w:hAnsi="宋体" w:eastAsia="宋体" w:cs="宋体"/>
          <w:b w:val="0"/>
          <w:sz w:val="24"/>
          <w:szCs w:val="24"/>
          <w:lang w:eastAsia="zh-CN"/>
        </w:rPr>
        <w:t>。</w:t>
      </w:r>
    </w:p>
    <w:p>
      <w:pPr>
        <w:spacing w:line="480" w:lineRule="exact"/>
        <w:ind w:firstLine="480" w:firstLineChars="200"/>
        <w:rPr>
          <w:rFonts w:hint="eastAsia" w:ascii="宋体" w:hAnsi="宋体" w:eastAsia="宋体" w:cs="宋体"/>
          <w:sz w:val="24"/>
          <w:szCs w:val="24"/>
        </w:rPr>
      </w:pPr>
      <w:r>
        <w:rPr>
          <w:rFonts w:hint="eastAsia" w:ascii="宋体" w:hAnsi="宋体" w:eastAsia="宋体"/>
          <w:sz w:val="24"/>
          <w:szCs w:val="24"/>
        </w:rPr>
        <w:t>网络安全等级保护测评</w:t>
      </w:r>
      <w:r>
        <w:rPr>
          <w:rFonts w:hint="eastAsia" w:ascii="宋体" w:hAnsi="宋体" w:eastAsia="宋体"/>
          <w:sz w:val="24"/>
          <w:szCs w:val="24"/>
          <w:lang w:eastAsia="zh-CN"/>
        </w:rPr>
        <w:t>分为</w:t>
      </w:r>
      <w:r>
        <w:rPr>
          <w:rFonts w:hint="eastAsia" w:ascii="宋体" w:hAnsi="宋体" w:eastAsia="宋体"/>
          <w:sz w:val="24"/>
          <w:szCs w:val="24"/>
        </w:rPr>
        <w:t>安全技术测评</w:t>
      </w:r>
      <w:r>
        <w:rPr>
          <w:rFonts w:hint="eastAsia" w:ascii="宋体" w:hAnsi="宋体" w:eastAsia="宋体"/>
          <w:sz w:val="24"/>
          <w:szCs w:val="24"/>
          <w:lang w:eastAsia="zh-CN"/>
        </w:rPr>
        <w:t>和</w:t>
      </w:r>
      <w:r>
        <w:rPr>
          <w:rFonts w:hint="eastAsia" w:ascii="宋体" w:hAnsi="宋体" w:eastAsia="宋体"/>
          <w:sz w:val="24"/>
          <w:szCs w:val="24"/>
        </w:rPr>
        <w:t>安全管理测评</w:t>
      </w:r>
      <w:r>
        <w:rPr>
          <w:rFonts w:hint="eastAsia" w:ascii="宋体" w:hAnsi="宋体" w:eastAsia="宋体"/>
          <w:sz w:val="24"/>
          <w:szCs w:val="24"/>
          <w:lang w:eastAsia="zh-CN"/>
        </w:rPr>
        <w:t>，</w:t>
      </w:r>
      <w:r>
        <w:rPr>
          <w:rFonts w:hint="eastAsia" w:ascii="宋体" w:hAnsi="宋体" w:eastAsia="宋体"/>
          <w:sz w:val="24"/>
          <w:szCs w:val="24"/>
        </w:rPr>
        <w:t>安全技术测评包括安全物理环境、安全区域边界、安全通信网络、安全计算环境和安全管理中心五个方面的安全测评；安全管理测评</w:t>
      </w:r>
      <w:r>
        <w:rPr>
          <w:rFonts w:hint="eastAsia" w:ascii="宋体" w:hAnsi="宋体" w:eastAsia="宋体"/>
          <w:sz w:val="24"/>
          <w:szCs w:val="24"/>
          <w:lang w:eastAsia="zh-CN"/>
        </w:rPr>
        <w:t>包括</w:t>
      </w:r>
      <w:r>
        <w:rPr>
          <w:rFonts w:hint="eastAsia" w:ascii="宋体" w:hAnsi="宋体" w:eastAsia="宋体"/>
          <w:sz w:val="24"/>
          <w:szCs w:val="24"/>
        </w:rPr>
        <w:t>安全管理机构、安全管理制度、安全管理人员、安全建设管理和安全运维管理五个方面的安全控制测评</w:t>
      </w:r>
      <w:r>
        <w:rPr>
          <w:rFonts w:hint="eastAsia" w:ascii="宋体" w:hAnsi="宋体" w:eastAsia="宋体"/>
          <w:sz w:val="24"/>
          <w:szCs w:val="24"/>
          <w:lang w:eastAsia="zh-CN"/>
        </w:rPr>
        <w:t>。</w:t>
      </w:r>
      <w:r>
        <w:rPr>
          <w:rStyle w:val="175"/>
          <w:rFonts w:hint="eastAsia" w:ascii="宋体" w:hAnsi="宋体" w:eastAsia="宋体" w:cs="宋体"/>
          <w:b w:val="0"/>
          <w:sz w:val="24"/>
          <w:szCs w:val="24"/>
        </w:rPr>
        <w:t>主要内容包括但不限于：</w:t>
      </w:r>
    </w:p>
    <w:p>
      <w:pPr>
        <w:keepNext w:val="0"/>
        <w:keepLines w:val="0"/>
        <w:pageBreakBefore w:val="0"/>
        <w:widowControl w:val="0"/>
        <w:numPr>
          <w:ilvl w:val="1"/>
          <w:numId w:val="4"/>
        </w:numPr>
        <w:tabs>
          <w:tab w:val="left" w:pos="709"/>
          <w:tab w:val="clear" w:pos="840"/>
        </w:tabs>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现场测评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采用访谈、文档审查、配置检查、工具测试和实地查看等方式测评被测信息系统的安全保护措施情况，并获取相关证据。</w:t>
      </w:r>
    </w:p>
    <w:p>
      <w:pPr>
        <w:keepNext w:val="0"/>
        <w:keepLines w:val="0"/>
        <w:pageBreakBefore w:val="0"/>
        <w:widowControl w:val="0"/>
        <w:numPr>
          <w:ilvl w:val="1"/>
          <w:numId w:val="4"/>
        </w:numPr>
        <w:tabs>
          <w:tab w:val="left" w:pos="709"/>
          <w:tab w:val="clear" w:pos="840"/>
        </w:tabs>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单项测评结果判定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分析现场测评结果中的优势证据并与要求内容的预期结果相比较，分析出“符合”项、“不符合”项、“部分符合”项与“不适用”项。</w:t>
      </w:r>
    </w:p>
    <w:p>
      <w:pPr>
        <w:keepNext w:val="0"/>
        <w:keepLines w:val="0"/>
        <w:pageBreakBefore w:val="0"/>
        <w:widowControl w:val="0"/>
        <w:numPr>
          <w:ilvl w:val="1"/>
          <w:numId w:val="4"/>
        </w:numPr>
        <w:tabs>
          <w:tab w:val="left" w:pos="709"/>
          <w:tab w:val="clear" w:pos="840"/>
        </w:tabs>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单元测评结果判定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按层面分别汇总测评对象对应的测评指标的单项结果情况，并给出“符合”、“不符合”、“基本符合”与“不适用”判定。</w:t>
      </w:r>
    </w:p>
    <w:p>
      <w:pPr>
        <w:keepNext w:val="0"/>
        <w:keepLines w:val="0"/>
        <w:pageBreakBefore w:val="0"/>
        <w:widowControl w:val="0"/>
        <w:numPr>
          <w:ilvl w:val="1"/>
          <w:numId w:val="4"/>
        </w:numPr>
        <w:tabs>
          <w:tab w:val="left" w:pos="709"/>
          <w:tab w:val="clear" w:pos="840"/>
        </w:tabs>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整体测评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分析测评对象“部分符合”、“不符合”项、层面、区域与其他项、层面、区域的关联互补关系，分析系统整体结构的安全性，安全防范的合理性。</w:t>
      </w:r>
    </w:p>
    <w:p>
      <w:pPr>
        <w:keepNext w:val="0"/>
        <w:keepLines w:val="0"/>
        <w:pageBreakBefore w:val="0"/>
        <w:widowControl w:val="0"/>
        <w:numPr>
          <w:ilvl w:val="1"/>
          <w:numId w:val="4"/>
        </w:numPr>
        <w:tabs>
          <w:tab w:val="left" w:pos="709"/>
          <w:tab w:val="clear" w:pos="840"/>
        </w:tabs>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风险分析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汇总整体信息并分析、判断“部分符合”与“不符合”项所产生的脆弱性被威胁利用的可能性，分析被测信息系统面临的安全风险。</w:t>
      </w:r>
    </w:p>
    <w:p>
      <w:pPr>
        <w:keepNext w:val="0"/>
        <w:keepLines w:val="0"/>
        <w:pageBreakBefore w:val="0"/>
        <w:widowControl w:val="0"/>
        <w:numPr>
          <w:ilvl w:val="1"/>
          <w:numId w:val="4"/>
        </w:numPr>
        <w:tabs>
          <w:tab w:val="left" w:pos="709"/>
          <w:tab w:val="clear" w:pos="840"/>
        </w:tabs>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形成等级测评结论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分析信息系统保护现状与等级保护基本要求之间的差距并形成等级测评结论。</w:t>
      </w:r>
    </w:p>
    <w:p>
      <w:pPr>
        <w:keepNext w:val="0"/>
        <w:keepLines w:val="0"/>
        <w:pageBreakBefore w:val="0"/>
        <w:widowControl w:val="0"/>
        <w:numPr>
          <w:ilvl w:val="1"/>
          <w:numId w:val="4"/>
        </w:numPr>
        <w:tabs>
          <w:tab w:val="left" w:pos="709"/>
          <w:tab w:val="clear" w:pos="840"/>
        </w:tabs>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编制测评报告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整理相关信息、数据编制《网络安全等级测评报告》，并给出安全加固和安全建设建议。</w:t>
      </w:r>
    </w:p>
    <w:p>
      <w:pPr>
        <w:keepNext w:val="0"/>
        <w:keepLines w:val="0"/>
        <w:pageBreakBefore w:val="0"/>
        <w:widowControl w:val="0"/>
        <w:kinsoku/>
        <w:wordWrap/>
        <w:overflowPunct/>
        <w:topLinePunct w:val="0"/>
        <w:autoSpaceDE/>
        <w:autoSpaceDN/>
        <w:bidi w:val="0"/>
        <w:adjustRightInd/>
        <w:snapToGrid/>
        <w:spacing w:before="100" w:beforeAutospacing="1" w:line="440" w:lineRule="exact"/>
        <w:ind w:firstLine="470" w:firstLineChars="196"/>
        <w:textAlignment w:val="auto"/>
        <w:rPr>
          <w:rStyle w:val="175"/>
          <w:rFonts w:hint="eastAsia" w:ascii="宋体" w:hAnsi="宋体" w:eastAsia="宋体" w:cs="宋体"/>
          <w:b w:val="0"/>
          <w:sz w:val="24"/>
          <w:szCs w:val="24"/>
          <w:lang w:eastAsia="zh-CN"/>
        </w:rPr>
      </w:pPr>
      <w:r>
        <w:rPr>
          <w:rStyle w:val="175"/>
          <w:rFonts w:hint="eastAsia" w:ascii="宋体" w:hAnsi="宋体" w:eastAsia="宋体" w:cs="宋体"/>
          <w:b w:val="0"/>
          <w:sz w:val="24"/>
          <w:szCs w:val="24"/>
          <w:lang w:eastAsia="zh-CN"/>
        </w:rPr>
        <w:t>四、测评原则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客观性和公正性原则：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测评人员应当没有偏见，在最小主观判断情形下，按照评估双方相互认可的评估方案，基于明确定义的测评方式和解释，实施评估活动。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可重复性和可再现性原则：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连续性原则：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扩展性原则：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在评估过程结束后，信息安全测评过程要保持扩展性，从扩展的属性上进一步加强测评结束后采购方的安全管理有效性和可用性。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保密原则：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在测评过程中，需严格遵循保密原则，双方签订保密协议，对服务过程中涉及到的任何用户信息未经允许不向其他任何第三方泄漏，以及不得利用这些信息损害采购方利益。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互动原则：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在整个测评过程中，强调采购方的互动参与，每个阶段都能够及时根据采购方的要求和实际情况对测评的内容、方式做出相关调整，进而更好的进行风险评估工作。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最小影响原则：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测评工作应该尽可能小地影响系统和网络的正常运行，不能对业务的正常运行产生明显的影响（包括系统性能明显下降、网络阻塞、服务中断等），如无法避免，则应做出说明。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规范性原则：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网络安全等级保护测评服务的实施必须由专业的测评服务人员依照规范的操作流程进行，对操作过程和结果要有相应的记录，并提供完整的服务报告。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质量保障原则：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在整个测评过程中，须特别重视项目质量管理。项目的实施将严格按照项目实施方案和流程进行，并由项目协调小组从中监督，控制项目的进度和质量。</w:t>
      </w:r>
    </w:p>
    <w:p>
      <w:pPr>
        <w:keepNext w:val="0"/>
        <w:keepLines w:val="0"/>
        <w:pageBreakBefore w:val="0"/>
        <w:widowControl w:val="0"/>
        <w:kinsoku/>
        <w:wordWrap/>
        <w:overflowPunct/>
        <w:topLinePunct w:val="0"/>
        <w:autoSpaceDE/>
        <w:autoSpaceDN/>
        <w:bidi w:val="0"/>
        <w:adjustRightInd/>
        <w:snapToGrid/>
        <w:spacing w:before="100" w:beforeAutospacing="1" w:line="440" w:lineRule="exact"/>
        <w:ind w:firstLine="470" w:firstLineChars="196"/>
        <w:textAlignment w:val="auto"/>
        <w:rPr>
          <w:rStyle w:val="175"/>
          <w:rFonts w:hint="eastAsia" w:ascii="宋体" w:hAnsi="宋体" w:eastAsia="宋体" w:cs="宋体"/>
          <w:b w:val="0"/>
          <w:sz w:val="24"/>
          <w:szCs w:val="24"/>
          <w:lang w:eastAsia="zh-CN"/>
        </w:rPr>
      </w:pPr>
      <w:r>
        <w:rPr>
          <w:rStyle w:val="175"/>
          <w:rFonts w:hint="eastAsia" w:ascii="宋体" w:hAnsi="宋体" w:eastAsia="宋体" w:cs="宋体"/>
          <w:b w:val="0"/>
          <w:sz w:val="24"/>
          <w:szCs w:val="24"/>
          <w:lang w:eastAsia="zh-CN"/>
        </w:rPr>
        <w:t>五、测评协作事项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测评驻场人员要求：本次测评至少需要1名高级测评师，1名中级测评师， 2名初级测评师</w:t>
      </w:r>
      <w:r>
        <w:rPr>
          <w:rFonts w:hint="eastAsia" w:ascii="宋体" w:hAnsi="宋体" w:eastAsia="宋体" w:cs="宋体"/>
          <w:sz w:val="24"/>
          <w:szCs w:val="24"/>
          <w:lang w:eastAsia="zh-CN"/>
        </w:rPr>
        <w:t>（具体以投标文件提供的拟派团队成员名单为准）</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2．甲方应负责向乙方提供实施信息系统安全等级测评所必需的各类信息和文档资料（包括网络结构TOP图、系统配置、业务流程、操作记录、管理制度、会议纪要等），提供工作空间、办公设施和上机环境等。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3．甲方应指定工作人员负责与乙方联系等级测评相关工作事宜，并由信息系统主管领导牵头组建等级测评工作小组配合乙方完成信息系统等级测评工作。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4．乙方应预先书面告知甲方需要提供的被测系统信息和文档资料名称及具体要求，在现场测评工作中发现与提供资料信息不符的，应及时反馈甲方。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5．等级测评活动应在确保甲方信息系统正常运行的前提下开展，若某些测评活动可能影响被测系统正常运行的，乙方应事先告知甲方，并协助其采取相应的预防措施或调整测评策略。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TW"/>
        </w:rPr>
        <w:t>乙方在甲方现场</w:t>
      </w:r>
      <w:r>
        <w:rPr>
          <w:rFonts w:hint="eastAsia" w:ascii="宋体" w:hAnsi="宋体" w:eastAsia="宋体" w:cs="宋体"/>
          <w:sz w:val="24"/>
          <w:szCs w:val="24"/>
        </w:rPr>
        <w:t>开展测评活动，</w:t>
      </w:r>
      <w:r>
        <w:rPr>
          <w:rFonts w:hint="eastAsia" w:ascii="宋体" w:hAnsi="宋体" w:eastAsia="宋体" w:cs="宋体"/>
          <w:sz w:val="24"/>
          <w:szCs w:val="24"/>
          <w:lang w:eastAsia="zh-TW"/>
        </w:rPr>
        <w:t>应遵守甲方的</w:t>
      </w:r>
      <w:r>
        <w:rPr>
          <w:rFonts w:hint="eastAsia" w:ascii="宋体" w:hAnsi="宋体" w:eastAsia="宋体" w:cs="宋体"/>
          <w:sz w:val="24"/>
          <w:szCs w:val="24"/>
        </w:rPr>
        <w:t>作息制度与办公制度。</w:t>
      </w:r>
    </w:p>
    <w:p>
      <w:pPr>
        <w:pStyle w:val="100"/>
        <w:keepNext w:val="0"/>
        <w:keepLines w:val="0"/>
        <w:pageBreakBefore w:val="0"/>
        <w:widowControl w:val="0"/>
        <w:kinsoku/>
        <w:wordWrap/>
        <w:overflowPunct/>
        <w:topLinePunct w:val="0"/>
        <w:autoSpaceDE/>
        <w:autoSpaceDN/>
        <w:bidi w:val="0"/>
        <w:adjustRightInd/>
        <w:snapToGrid/>
        <w:spacing w:before="100" w:beforeAutospacing="1" w:line="440" w:lineRule="exact"/>
        <w:ind w:firstLine="470" w:firstLineChars="196"/>
        <w:textAlignment w:val="auto"/>
        <w:outlineLvl w:val="0"/>
        <w:rPr>
          <w:rFonts w:hint="eastAsia" w:ascii="宋体" w:hAnsi="宋体" w:eastAsia="宋体" w:cs="宋体"/>
          <w:sz w:val="24"/>
          <w:szCs w:val="24"/>
        </w:rPr>
      </w:pPr>
      <w:r>
        <w:rPr>
          <w:rFonts w:hint="eastAsia" w:ascii="宋体" w:hAnsi="宋体" w:cs="宋体"/>
          <w:sz w:val="24"/>
          <w:szCs w:val="24"/>
          <w:lang w:eastAsia="zh-CN"/>
        </w:rPr>
        <w:t>六</w:t>
      </w:r>
      <w:r>
        <w:rPr>
          <w:rFonts w:hint="eastAsia" w:ascii="宋体" w:hAnsi="宋体" w:eastAsia="宋体" w:cs="宋体"/>
          <w:sz w:val="24"/>
          <w:szCs w:val="24"/>
        </w:rPr>
        <w:t>、费用及支付方式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本次等级测评服务费用</w:t>
      </w:r>
      <w:r>
        <w:rPr>
          <w:rFonts w:hint="eastAsia" w:ascii="宋体" w:hAnsi="宋体" w:eastAsia="宋体" w:cs="宋体"/>
          <w:sz w:val="24"/>
          <w:szCs w:val="24"/>
          <w:lang w:eastAsia="zh-CN"/>
        </w:rPr>
        <w:t>为中标价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元整（</w:t>
      </w:r>
      <w:r>
        <w:rPr>
          <w:rFonts w:hint="default" w:ascii="Arial" w:hAnsi="Arial" w:eastAsia="宋体" w:cs="Arial"/>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元</w:t>
      </w:r>
      <w:r>
        <w:rPr>
          <w:rFonts w:hint="eastAsia" w:ascii="宋体" w:hAnsi="宋体" w:eastAsia="宋体" w:cs="宋体"/>
          <w:sz w:val="24"/>
          <w:szCs w:val="24"/>
          <w:u w:val="single"/>
        </w:rPr>
        <w:t>）</w:t>
      </w:r>
      <w:r>
        <w:rPr>
          <w:rFonts w:hint="eastAsia" w:ascii="宋体" w:hAnsi="宋体" w:eastAsia="宋体" w:cs="宋体"/>
          <w:sz w:val="24"/>
          <w:szCs w:val="24"/>
        </w:rPr>
        <w:t>，费用由</w:t>
      </w:r>
      <w:r>
        <w:rPr>
          <w:rFonts w:hint="eastAsia" w:ascii="宋体" w:hAnsi="宋体" w:eastAsia="宋体" w:cs="宋体"/>
          <w:sz w:val="24"/>
          <w:szCs w:val="24"/>
          <w:u w:val="none"/>
          <w:lang w:eastAsia="zh-CN"/>
        </w:rPr>
        <w:t>甲方</w:t>
      </w:r>
      <w:r>
        <w:rPr>
          <w:rFonts w:hint="eastAsia" w:ascii="宋体" w:hAnsi="宋体" w:eastAsia="宋体" w:cs="宋体"/>
          <w:sz w:val="24"/>
          <w:szCs w:val="24"/>
        </w:rPr>
        <w:t>支付，支付方式为</w:t>
      </w:r>
      <w:r>
        <w:rPr>
          <w:rFonts w:hint="eastAsia" w:ascii="宋体" w:hAnsi="宋体" w:eastAsia="宋体" w:cs="宋体"/>
          <w:sz w:val="24"/>
          <w:szCs w:val="24"/>
          <w:u w:val="single"/>
        </w:rPr>
        <w:t>自乙方提交测评报告起30个工作日内，由甲方一次性付清全款。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乙方收款账号为：</w:t>
      </w:r>
    </w:p>
    <w:p>
      <w:pPr>
        <w:keepNext w:val="0"/>
        <w:keepLines w:val="0"/>
        <w:pageBreakBefore w:val="0"/>
        <w:widowControl w:val="0"/>
        <w:kinsoku/>
        <w:wordWrap/>
        <w:overflowPunct/>
        <w:topLinePunct w:val="0"/>
        <w:autoSpaceDE/>
        <w:autoSpaceDN/>
        <w:bidi w:val="0"/>
        <w:adjustRightInd/>
        <w:snapToGrid/>
        <w:spacing w:before="100" w:beforeAutospacing="1" w:line="440" w:lineRule="exact"/>
        <w:ind w:left="510"/>
        <w:textAlignment w:val="auto"/>
        <w:rPr>
          <w:rFonts w:hint="eastAsia" w:ascii="宋体" w:hAnsi="宋体" w:eastAsia="宋体" w:cs="宋体"/>
          <w:color w:val="000000"/>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、其它</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 保密条款</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乙方保证对甲方提供的文件、资料或者乙方在签订和履行本合同项下义务时知悉的任何关于甲方的信息、资料承担保密责任，未经甲方事先书面同意，不得将此类信息、文件、资料交付或泄露给任何第三方，也不得作任何除本合同目的之外的其它用途。对于甲方所提供的文件、资料，甲方可以在本合同目的达到后随时要求乙方返还或者在甲方监督下予以销毁。乙方基于诚信合作，不得对外发表不利于甲方的言论。若甲方不愿第三方知悉存在本合同或合同内容，则乙方不得将甲方公开列为客户名单，或泄露本合同内容。保密期限不受本合同期限的限制，在本合同履行完毕后5年内，保密信息接受方仍应承担保密义务。</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违约责任</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①如果乙方未履行约定的保密义务，除立即采取措施予以改正外，还需向甲方支付本合同金额10%的违约金，上述违约金不足以弥补甲方损失时，乙方应予以赔偿。</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②如果由于甲方或乙方原因无法及时开展等级测评工作的，双方本着友好协商的原则，经过商议后延迟开展测评工作。</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不可抗力</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①由于不可抗力致使合同无法履行的，受不可抗力影响一方应立即将不能履行本合同的事实书面通知对方，并在不可抗力发生之日起十五日内提供有关相关政府部门或公证机关出具的证明文件。</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②本合同在不可抗力影响范围及其持续期间内可中止履行，本合同执行时间可根据中止的时间相应顺延，双方无须承担违约责任。不可抗力事件消除后，双方应就合同的履行及后续问题进行协商。如果不可抗力原因造成本合同中止履行超过60个工作日，任何一方均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③一方迟延履行后发生不可抗力的，不能免除责任。</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争议解决</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因本合同引起的或与本合同有关的任何争议，应本着友好合作的态度协商解决；如协商不成，均可向甲方所在地有管辖权的人民法院起诉，通过诉讼方式解决。诉讼期间，除争议内容以外，双方均应继续履行合同约定的其他内容。</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5．协议实施过程中，若因客观原因而导致等级测评完成时间、测评范围与内容、测评人员等发生变更的，经甲、乙双方协商一致后，方可更改本协议并实施。</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rPr>
        <w:t>6．协议实施过程中，因甲方原因造成不良后果的，乙方不承担相关责任；乙方非因不可抗力造成不良后果的，甲方或委托方可视情，部分或</w:t>
      </w:r>
      <w:r>
        <w:rPr>
          <w:rFonts w:hint="eastAsia" w:ascii="宋体" w:hAnsi="宋体" w:eastAsia="宋体" w:cs="宋体"/>
          <w:sz w:val="24"/>
          <w:szCs w:val="24"/>
        </w:rPr>
        <w:t>全部收回所付费用，并依法追究乙方行政、经济或法律责任。</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000000"/>
          <w:sz w:val="24"/>
          <w:szCs w:val="24"/>
        </w:rPr>
      </w:pPr>
      <w:r>
        <w:rPr>
          <w:rFonts w:hint="eastAsia" w:ascii="宋体" w:hAnsi="宋体" w:eastAsia="宋体" w:cs="宋体"/>
          <w:sz w:val="24"/>
          <w:szCs w:val="24"/>
        </w:rPr>
        <w:t>7．本协议一式肆份，甲乙双方各执两份。本协议自甲、乙双方签字、盖章之日起生效。</w:t>
      </w:r>
    </w:p>
    <w:p>
      <w:pPr>
        <w:pStyle w:val="29"/>
        <w:keepNext w:val="0"/>
        <w:keepLines w:val="0"/>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sz w:val="24"/>
          <w:szCs w:val="24"/>
        </w:rPr>
      </w:pPr>
    </w:p>
    <w:p>
      <w:pPr>
        <w:pStyle w:val="29"/>
        <w:keepNext w:val="0"/>
        <w:keepLines w:val="0"/>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sz w:val="24"/>
          <w:szCs w:val="24"/>
        </w:rPr>
      </w:pPr>
    </w:p>
    <w:p>
      <w:pPr>
        <w:pStyle w:val="29"/>
        <w:keepNext w:val="0"/>
        <w:keepLines w:val="0"/>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sz w:val="24"/>
          <w:szCs w:val="24"/>
        </w:rPr>
      </w:pPr>
    </w:p>
    <w:p>
      <w:pPr>
        <w:pStyle w:val="29"/>
        <w:keepNext w:val="0"/>
        <w:keepLines w:val="0"/>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000000"/>
          <w:sz w:val="24"/>
          <w:szCs w:val="24"/>
        </w:rPr>
      </w:pPr>
      <w:r>
        <w:rPr>
          <w:rFonts w:hint="eastAsia" w:ascii="宋体" w:hAnsi="宋体" w:eastAsia="宋体" w:cs="宋体"/>
          <w:sz w:val="24"/>
          <w:szCs w:val="24"/>
        </w:rPr>
        <w:t>甲  方：</w:t>
      </w:r>
      <w:r>
        <w:rPr>
          <w:rFonts w:hint="eastAsia" w:ascii="宋体" w:hAnsi="宋体" w:eastAsia="宋体" w:cs="宋体"/>
          <w:color w:val="000000"/>
          <w:sz w:val="24"/>
          <w:szCs w:val="24"/>
        </w:rPr>
        <w:t xml:space="preserve">南通市妇幼保健院               </w:t>
      </w:r>
      <w:r>
        <w:rPr>
          <w:rFonts w:hint="eastAsia" w:ascii="宋体" w:hAnsi="宋体" w:eastAsia="宋体" w:cs="宋体"/>
          <w:color w:val="000000"/>
          <w:sz w:val="24"/>
          <w:szCs w:val="24"/>
          <w:lang w:val="en-US" w:eastAsia="zh-CN"/>
        </w:rPr>
        <w:t xml:space="preserve">    </w:t>
      </w:r>
      <w:r>
        <w:rPr>
          <w:rFonts w:hint="eastAsia" w:ascii="宋体" w:hAnsi="宋体" w:eastAsia="宋体" w:cs="宋体"/>
          <w:sz w:val="24"/>
          <w:szCs w:val="24"/>
        </w:rPr>
        <w:t>乙  方：</w:t>
      </w:r>
    </w:p>
    <w:p>
      <w:pPr>
        <w:pStyle w:val="29"/>
        <w:keepNext w:val="0"/>
        <w:keepLines w:val="0"/>
        <w:pageBreakBefore w:val="0"/>
        <w:widowControl w:val="0"/>
        <w:kinsoku/>
        <w:wordWrap/>
        <w:overflowPunct/>
        <w:topLinePunct w:val="0"/>
        <w:autoSpaceDE/>
        <w:autoSpaceDN/>
        <w:bidi w:val="0"/>
        <w:adjustRightInd/>
        <w:snapToGrid/>
        <w:spacing w:line="440" w:lineRule="exact"/>
        <w:ind w:firstLine="248" w:firstLineChars="1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法定代表人或委托代理人：                 法定代表人或委托代理人：</w:t>
      </w:r>
    </w:p>
    <w:p>
      <w:pPr>
        <w:pStyle w:val="29"/>
        <w:keepNext w:val="0"/>
        <w:keepLines w:val="0"/>
        <w:pageBreakBefore w:val="0"/>
        <w:widowControl w:val="0"/>
        <w:kinsoku/>
        <w:wordWrap/>
        <w:overflowPunct/>
        <w:topLinePunct w:val="0"/>
        <w:autoSpaceDE/>
        <w:autoSpaceDN/>
        <w:bidi w:val="0"/>
        <w:adjustRightInd/>
        <w:snapToGrid/>
        <w:spacing w:line="440" w:lineRule="exact"/>
        <w:ind w:firstLine="248" w:firstLineChars="100"/>
        <w:textAlignment w:val="auto"/>
        <w:rPr>
          <w:rFonts w:ascii="宋体" w:hAnsi="宋体" w:eastAsia="宋体" w:cs="宋体"/>
          <w:b/>
          <w:sz w:val="24"/>
          <w:szCs w:val="22"/>
        </w:rPr>
      </w:pPr>
      <w:r>
        <w:rPr>
          <w:rFonts w:hint="eastAsia" w:ascii="宋体" w:hAnsi="宋体" w:eastAsia="宋体" w:cs="宋体"/>
          <w:spacing w:val="4"/>
          <w:sz w:val="24"/>
          <w:szCs w:val="24"/>
        </w:rPr>
        <w:t>202</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 xml:space="preserve">年    月 </w:t>
      </w:r>
      <w:r>
        <w:rPr>
          <w:rFonts w:hint="eastAsia" w:hAnsi="宋体" w:eastAsia="宋体" w:cs="宋体"/>
          <w:spacing w:val="4"/>
          <w:sz w:val="24"/>
          <w:szCs w:val="24"/>
          <w:lang w:val="en-US" w:eastAsia="zh-CN"/>
        </w:rPr>
        <w:t xml:space="preserve"> </w:t>
      </w:r>
      <w:r>
        <w:rPr>
          <w:rFonts w:hint="eastAsia" w:ascii="宋体" w:hAnsi="宋体" w:eastAsia="宋体" w:cs="宋体"/>
          <w:spacing w:val="4"/>
          <w:sz w:val="24"/>
          <w:szCs w:val="24"/>
        </w:rPr>
        <w:t xml:space="preserve">  日                      </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    月    日</w:t>
      </w:r>
    </w:p>
    <w:p>
      <w:pPr>
        <w:rPr>
          <w:rFonts w:asciiTheme="majorEastAsia" w:hAnsiTheme="majorEastAsia" w:eastAsiaTheme="majorEastAsia" w:cstheme="minorEastAsia"/>
          <w:b/>
          <w:w w:val="80"/>
          <w:sz w:val="36"/>
          <w:szCs w:val="36"/>
        </w:rPr>
      </w:pPr>
      <w:r>
        <w:rPr>
          <w:rFonts w:asciiTheme="majorEastAsia" w:hAnsiTheme="majorEastAsia" w:eastAsiaTheme="majorEastAsia" w:cstheme="minorEastAsia"/>
          <w:b/>
          <w:w w:val="80"/>
          <w:sz w:val="36"/>
          <w:szCs w:val="36"/>
        </w:rPr>
        <w:br w:type="page"/>
      </w:r>
    </w:p>
    <w:p>
      <w:pPr>
        <w:pStyle w:val="2"/>
        <w:ind w:left="0" w:leftChars="0" w:firstLine="0" w:firstLineChars="0"/>
        <w:rPr>
          <w:rFonts w:hint="eastAsia"/>
          <w:lang w:eastAsia="zh-CN"/>
        </w:rPr>
      </w:pPr>
      <w:r>
        <w:rPr>
          <w:rFonts w:hint="eastAsia"/>
          <w:lang w:eastAsia="zh-CN"/>
        </w:rPr>
        <w:t>附件：</w:t>
      </w:r>
    </w:p>
    <w:p>
      <w:pPr>
        <w:widowControl/>
        <w:spacing w:line="480" w:lineRule="exact"/>
        <w:ind w:firstLine="480" w:firstLineChars="200"/>
        <w:contextualSpacing/>
        <w:rPr>
          <w:rFonts w:ascii="宋体" w:hAnsi="宋体" w:eastAsia="宋体"/>
          <w:sz w:val="24"/>
          <w:szCs w:val="24"/>
        </w:rPr>
      </w:pPr>
      <w:r>
        <w:rPr>
          <w:rFonts w:hint="eastAsia" w:ascii="宋体" w:hAnsi="宋体" w:eastAsia="宋体"/>
          <w:sz w:val="24"/>
          <w:szCs w:val="24"/>
        </w:rPr>
        <w:t>1、测评范围</w:t>
      </w:r>
    </w:p>
    <w:tbl>
      <w:tblPr>
        <w:tblStyle w:val="5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524"/>
        <w:gridCol w:w="782"/>
        <w:gridCol w:w="2070"/>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2"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435"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系统名称</w:t>
            </w:r>
          </w:p>
        </w:tc>
        <w:tc>
          <w:tcPr>
            <w:tcW w:w="421"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系统数量</w:t>
            </w:r>
          </w:p>
        </w:tc>
        <w:tc>
          <w:tcPr>
            <w:tcW w:w="1114"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备案情况</w:t>
            </w:r>
          </w:p>
        </w:tc>
        <w:tc>
          <w:tcPr>
            <w:tcW w:w="626"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2"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2435"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集成平台数据中心</w:t>
            </w:r>
          </w:p>
        </w:tc>
        <w:tc>
          <w:tcPr>
            <w:tcW w:w="421"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1个</w:t>
            </w:r>
          </w:p>
        </w:tc>
        <w:tc>
          <w:tcPr>
            <w:tcW w:w="1114"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三级</w:t>
            </w:r>
          </w:p>
        </w:tc>
        <w:tc>
          <w:tcPr>
            <w:tcW w:w="626" w:type="pct"/>
            <w:vAlign w:val="center"/>
          </w:tcPr>
          <w:p>
            <w:pPr>
              <w:pStyle w:val="136"/>
              <w:spacing w:line="276"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2"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2435"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互联网医院</w:t>
            </w:r>
          </w:p>
        </w:tc>
        <w:tc>
          <w:tcPr>
            <w:tcW w:w="421"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1个</w:t>
            </w:r>
          </w:p>
        </w:tc>
        <w:tc>
          <w:tcPr>
            <w:tcW w:w="1114"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三级</w:t>
            </w:r>
          </w:p>
        </w:tc>
        <w:tc>
          <w:tcPr>
            <w:tcW w:w="626" w:type="pct"/>
            <w:vAlign w:val="center"/>
          </w:tcPr>
          <w:p>
            <w:pPr>
              <w:pStyle w:val="136"/>
              <w:spacing w:line="276"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2"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2435"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CIS临床医疗信息系统</w:t>
            </w:r>
          </w:p>
        </w:tc>
        <w:tc>
          <w:tcPr>
            <w:tcW w:w="421"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1个</w:t>
            </w:r>
          </w:p>
        </w:tc>
        <w:tc>
          <w:tcPr>
            <w:tcW w:w="1114"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三级</w:t>
            </w:r>
          </w:p>
        </w:tc>
        <w:tc>
          <w:tcPr>
            <w:tcW w:w="626" w:type="pct"/>
            <w:vAlign w:val="center"/>
          </w:tcPr>
          <w:p>
            <w:pPr>
              <w:pStyle w:val="136"/>
              <w:spacing w:line="276"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2"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2435"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雕龙病案</w:t>
            </w:r>
          </w:p>
        </w:tc>
        <w:tc>
          <w:tcPr>
            <w:tcW w:w="421"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1个</w:t>
            </w:r>
          </w:p>
        </w:tc>
        <w:tc>
          <w:tcPr>
            <w:tcW w:w="1114"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二级</w:t>
            </w:r>
          </w:p>
        </w:tc>
        <w:tc>
          <w:tcPr>
            <w:tcW w:w="626" w:type="pct"/>
            <w:vAlign w:val="center"/>
          </w:tcPr>
          <w:p>
            <w:pPr>
              <w:pStyle w:val="136"/>
              <w:spacing w:line="276"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2" w:type="pct"/>
            <w:vAlign w:val="center"/>
          </w:tcPr>
          <w:p>
            <w:pPr>
              <w:pStyle w:val="136"/>
              <w:spacing w:line="276"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435"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医院官网</w:t>
            </w:r>
          </w:p>
        </w:tc>
        <w:tc>
          <w:tcPr>
            <w:tcW w:w="421"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1个</w:t>
            </w:r>
          </w:p>
        </w:tc>
        <w:tc>
          <w:tcPr>
            <w:tcW w:w="1114" w:type="pct"/>
            <w:vAlign w:val="center"/>
          </w:tcPr>
          <w:p>
            <w:pPr>
              <w:pStyle w:val="136"/>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二级</w:t>
            </w:r>
          </w:p>
        </w:tc>
        <w:tc>
          <w:tcPr>
            <w:tcW w:w="626" w:type="pct"/>
            <w:vAlign w:val="center"/>
          </w:tcPr>
          <w:p>
            <w:pPr>
              <w:pStyle w:val="136"/>
              <w:spacing w:line="276" w:lineRule="auto"/>
              <w:ind w:firstLine="0" w:firstLineChars="0"/>
              <w:jc w:val="center"/>
              <w:rPr>
                <w:rFonts w:hint="eastAsia" w:ascii="宋体" w:hAnsi="宋体" w:eastAsia="宋体" w:cs="宋体"/>
                <w:sz w:val="24"/>
                <w:szCs w:val="24"/>
              </w:rPr>
            </w:pPr>
          </w:p>
        </w:tc>
      </w:tr>
    </w:tbl>
    <w:p>
      <w:pPr>
        <w:spacing w:line="480" w:lineRule="exact"/>
        <w:ind w:firstLine="480" w:firstLineChars="200"/>
        <w:rPr>
          <w:rFonts w:ascii="宋体" w:hAnsi="宋体" w:eastAsia="宋体"/>
          <w:sz w:val="24"/>
          <w:szCs w:val="24"/>
        </w:rPr>
      </w:pPr>
      <w:r>
        <w:rPr>
          <w:rFonts w:hint="eastAsia" w:ascii="宋体" w:hAnsi="宋体" w:eastAsia="宋体"/>
          <w:sz w:val="24"/>
          <w:szCs w:val="24"/>
        </w:rPr>
        <w:t>2、安全服务内容</w:t>
      </w:r>
    </w:p>
    <w:tbl>
      <w:tblPr>
        <w:tblStyle w:val="57"/>
        <w:tblW w:w="502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2"/>
        <w:gridCol w:w="1870"/>
        <w:gridCol w:w="4829"/>
        <w:gridCol w:w="17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418"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eastAsia="宋体"/>
              </w:rPr>
            </w:pPr>
            <w:r>
              <w:rPr>
                <w:rFonts w:hint="eastAsia" w:eastAsia="宋体"/>
              </w:rPr>
              <w:t>序号</w:t>
            </w:r>
          </w:p>
        </w:tc>
        <w:tc>
          <w:tcPr>
            <w:tcW w:w="1012"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eastAsia="宋体"/>
              </w:rPr>
            </w:pPr>
            <w:r>
              <w:rPr>
                <w:rFonts w:hint="eastAsia" w:eastAsia="宋体"/>
              </w:rPr>
              <w:t>服务项目</w:t>
            </w:r>
          </w:p>
        </w:tc>
        <w:tc>
          <w:tcPr>
            <w:tcW w:w="2614"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eastAsia="宋体"/>
              </w:rPr>
            </w:pPr>
            <w:r>
              <w:rPr>
                <w:rFonts w:hint="eastAsia" w:eastAsia="宋体"/>
              </w:rPr>
              <w:t>服务内容</w:t>
            </w:r>
          </w:p>
        </w:tc>
        <w:tc>
          <w:tcPr>
            <w:tcW w:w="954"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eastAsia="宋体"/>
              </w:rPr>
            </w:pPr>
            <w:r>
              <w:rPr>
                <w:rFonts w:hint="eastAsia" w:eastAsia="宋体"/>
              </w:rPr>
              <w:t>服务时间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850" w:hRule="atLeast"/>
          <w:jc w:val="center"/>
        </w:trPr>
        <w:tc>
          <w:tcPr>
            <w:tcW w:w="41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eastAsia="宋体"/>
              </w:rPr>
            </w:pPr>
            <w:r>
              <w:rPr>
                <w:rFonts w:hint="eastAsia" w:eastAsia="宋体"/>
              </w:rPr>
              <w:t>1</w:t>
            </w:r>
          </w:p>
        </w:tc>
        <w:tc>
          <w:tcPr>
            <w:tcW w:w="1985" w:type="dxa"/>
            <w:tcBorders>
              <w:top w:val="nil"/>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hint="eastAsia" w:eastAsia="宋体"/>
              </w:rPr>
            </w:pPr>
            <w:r>
              <w:rPr>
                <w:rFonts w:hint="eastAsia" w:eastAsia="宋体"/>
              </w:rPr>
              <w:t>培训</w:t>
            </w:r>
          </w:p>
        </w:tc>
        <w:tc>
          <w:tcPr>
            <w:tcW w:w="5127" w:type="dxa"/>
            <w:tcBorders>
              <w:top w:val="nil"/>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hint="eastAsia" w:eastAsia="宋体"/>
              </w:rPr>
            </w:pPr>
            <w:r>
              <w:rPr>
                <w:rFonts w:hint="eastAsia" w:eastAsia="宋体"/>
              </w:rPr>
              <w:t>提供CISP培训名额</w:t>
            </w:r>
            <w:r>
              <w:rPr>
                <w:rFonts w:hint="eastAsia" w:eastAsia="宋体"/>
                <w:lang w:val="en-US" w:eastAsia="zh-CN"/>
              </w:rPr>
              <w:t>2</w:t>
            </w:r>
            <w:r>
              <w:rPr>
                <w:rFonts w:hint="eastAsia" w:eastAsia="宋体"/>
              </w:rPr>
              <w:t>个</w:t>
            </w:r>
          </w:p>
        </w:tc>
        <w:tc>
          <w:tcPr>
            <w:tcW w:w="954" w:type="pct"/>
            <w:tcBorders>
              <w:top w:val="nil"/>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eastAsia="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850" w:hRule="atLeast"/>
          <w:jc w:val="center"/>
        </w:trPr>
        <w:tc>
          <w:tcPr>
            <w:tcW w:w="41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eastAsia="宋体"/>
              </w:rPr>
            </w:pPr>
            <w:r>
              <w:rPr>
                <w:rFonts w:hint="eastAsia" w:eastAsia="宋体"/>
              </w:rPr>
              <w:t>2</w:t>
            </w:r>
          </w:p>
        </w:tc>
        <w:tc>
          <w:tcPr>
            <w:tcW w:w="1985" w:type="dxa"/>
            <w:tcBorders>
              <w:top w:val="nil"/>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hint="eastAsia" w:eastAsia="宋体"/>
              </w:rPr>
            </w:pPr>
            <w:r>
              <w:rPr>
                <w:rFonts w:hint="eastAsia" w:eastAsia="宋体"/>
              </w:rPr>
              <w:t>网站云防护</w:t>
            </w:r>
          </w:p>
        </w:tc>
        <w:tc>
          <w:tcPr>
            <w:tcW w:w="5127" w:type="dxa"/>
            <w:tcBorders>
              <w:top w:val="nil"/>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hint="eastAsia" w:eastAsia="宋体"/>
                <w:lang w:eastAsia="zh-CN"/>
              </w:rPr>
            </w:pPr>
            <w:r>
              <w:rPr>
                <w:rFonts w:hint="eastAsia" w:eastAsia="宋体"/>
              </w:rPr>
              <w:t>对南通市妇幼保健院互联网资产进行</w:t>
            </w:r>
            <w:r>
              <w:rPr>
                <w:rFonts w:hint="eastAsia" w:eastAsia="宋体"/>
                <w:lang w:val="en-US" w:eastAsia="zh-CN"/>
              </w:rPr>
              <w:t>7*24小时</w:t>
            </w:r>
            <w:r>
              <w:rPr>
                <w:rFonts w:hint="eastAsia" w:eastAsia="宋体"/>
              </w:rPr>
              <w:t>云waf防御</w:t>
            </w:r>
            <w:r>
              <w:rPr>
                <w:rFonts w:hint="eastAsia" w:eastAsia="宋体"/>
                <w:lang w:eastAsia="zh-CN"/>
              </w:rPr>
              <w:t>，每月出具《安全服务报告》</w:t>
            </w:r>
          </w:p>
        </w:tc>
        <w:tc>
          <w:tcPr>
            <w:tcW w:w="954" w:type="pct"/>
            <w:tcBorders>
              <w:top w:val="nil"/>
              <w:left w:val="nil"/>
              <w:bottom w:val="single" w:color="auto" w:sz="8" w:space="0"/>
              <w:right w:val="single" w:color="auto" w:sz="8" w:space="0"/>
            </w:tcBorders>
            <w:tcMar>
              <w:top w:w="57" w:type="dxa"/>
              <w:left w:w="57" w:type="dxa"/>
              <w:bottom w:w="57" w:type="dxa"/>
              <w:right w:w="57" w:type="dxa"/>
            </w:tcMar>
            <w:vAlign w:val="center"/>
          </w:tcPr>
          <w:p>
            <w:pPr>
              <w:pStyle w:val="174"/>
              <w:spacing w:before="0" w:beforeAutospacing="0" w:after="0" w:afterAutospacing="0"/>
              <w:jc w:val="center"/>
              <w:rPr>
                <w:rFonts w:eastAsia="宋体"/>
              </w:rPr>
            </w:pPr>
            <w:r>
              <w:rPr>
                <w:rFonts w:hint="eastAsia" w:eastAsia="宋体"/>
                <w:lang w:eastAsia="zh-CN"/>
              </w:rPr>
              <w:t>合同签订日起</w:t>
            </w:r>
            <w:r>
              <w:rPr>
                <w:rFonts w:hint="eastAsia" w:eastAsia="宋体"/>
              </w:rPr>
              <w:t>一年</w:t>
            </w:r>
          </w:p>
        </w:tc>
      </w:tr>
    </w:tbl>
    <w:p>
      <w:pPr>
        <w:rPr>
          <w:rFonts w:hint="eastAsia"/>
          <w:lang w:eastAsia="zh-CN"/>
        </w:rPr>
      </w:pPr>
      <w:r>
        <w:rPr>
          <w:rFonts w:hint="eastAsia"/>
          <w:lang w:eastAsia="zh-CN"/>
        </w:rPr>
        <w:br w:type="page"/>
      </w:r>
    </w:p>
    <w:bookmarkEnd w:id="7"/>
    <w:bookmarkEnd w:id="8"/>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bookmarkStart w:id="11" w:name="_Toc363573859"/>
      <w:r>
        <w:rPr>
          <w:rFonts w:hint="eastAsia" w:asciiTheme="majorEastAsia" w:hAnsiTheme="majorEastAsia" w:eastAsiaTheme="majorEastAsia" w:cstheme="minorEastAsia"/>
          <w:b/>
          <w:w w:val="80"/>
          <w:sz w:val="36"/>
          <w:szCs w:val="36"/>
        </w:rPr>
        <w:t>第六章 质疑与投诉</w:t>
      </w:r>
      <w:bookmarkEnd w:id="11"/>
    </w:p>
    <w:p>
      <w:pPr>
        <w:snapToGrid w:val="0"/>
        <w:spacing w:line="360" w:lineRule="auto"/>
        <w:ind w:firstLine="487" w:firstLineChars="202"/>
        <w:rPr>
          <w:rFonts w:hint="eastAsia"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一、质疑的提出</w:t>
      </w:r>
    </w:p>
    <w:p>
      <w:pPr>
        <w:snapToGrid w:val="0"/>
        <w:spacing w:line="360" w:lineRule="auto"/>
        <w:ind w:firstLine="484" w:firstLineChars="202"/>
        <w:rPr>
          <w:rFonts w:hint="eastAsia" w:asciiTheme="majorEastAsia" w:hAnsiTheme="majorEastAsia" w:eastAsiaTheme="majorEastAsia" w:cstheme="minorEastAsia"/>
          <w:sz w:val="24"/>
          <w:szCs w:val="24"/>
        </w:rPr>
      </w:pPr>
      <w:bookmarkStart w:id="12" w:name="_Toc363573860"/>
      <w:r>
        <w:rPr>
          <w:rFonts w:hint="eastAsia" w:asciiTheme="majorEastAsia" w:hAnsiTheme="majorEastAsia" w:eastAsiaTheme="majorEastAsia" w:cstheme="minorEastAsia"/>
          <w:sz w:val="24"/>
          <w:szCs w:val="24"/>
        </w:rPr>
        <w:t>1、质疑必须是直接参加本次招投标活动的当事人。</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取得磋商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采购人、采购人不具有法定调查、认定的权限。</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4、对本次招投标有质疑的，须实名制以书面形式提出，不得进行匿名、虚假、恶意质疑。</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对不能提供相关佐证材料的、涉及商业秘密的、非书面形式的、非送达的、匿名的《质疑函》作无效质疑处理，将不予受理。</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相关佐证材料要具备客观性、关联性、合法性，无法查实的（如宣传册、媒体报道、猜测、推理等）不能作为佐证材料。</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采购人不负责搜集相关佐证材料等工作。</w:t>
      </w:r>
    </w:p>
    <w:p>
      <w:pPr>
        <w:snapToGrid w:val="0"/>
        <w:spacing w:line="360" w:lineRule="auto"/>
        <w:ind w:firstLine="487" w:firstLineChars="202"/>
        <w:rPr>
          <w:rFonts w:hint="eastAsia"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二、《质疑函》的受理和回复</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1、《质疑函》须由质疑人的法定代表人或参加本次招标被委托授权人送达采购人和采购人。</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3、对不符合提出质疑要求的《质疑函》，出具《质疑退回通知书》并提出相关补充材料要求，质疑人未在规定时间内提供补充佐证材料的，视同放弃质疑。</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4、采购人负责将质疑人提交的质疑相关材料提供给相关专家或评标小组审核，并将审核意见回复质疑人。</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5、因质疑情况复杂，组织论证或审查时间较长的，采购人以书面形式通知质疑人，可适当延长质疑回复处理时间。</w:t>
      </w:r>
    </w:p>
    <w:p>
      <w:pPr>
        <w:snapToGrid w:val="0"/>
        <w:spacing w:line="360" w:lineRule="auto"/>
        <w:ind w:firstLine="487"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b/>
          <w:bCs/>
          <w:sz w:val="24"/>
          <w:szCs w:val="24"/>
        </w:rPr>
        <w:t>三、质疑处理</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1、质疑成立的处理。采购人终止招标行为，并建议有关部门给相关当事人予以处理。</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2、质疑不成立的处理：</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（1）质疑人书面《申请撤回质疑函》。</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（2）质疑人在规定的时间内不配合进行质疑调查处理的，按自动撤回《质疑函》处理。</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（3）质疑人不按《质疑函》格式就提出质疑的，视情列入不良供应商名单。</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对明显有违背事实的、经相关专家或评委认定无依据的、经其他供应商举证无依据的质疑，列入不良供应商名单；同时，对其中每一项不成立的质疑给予质疑人1年内禁入崇川区政府采购活动的处理，依次类推；视情在南通公共资源交易平台、省、国家级相关媒体予以披露。</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（6）质疑人承担使用虚假材料或恶意方式质疑的法律责任。</w:t>
      </w:r>
    </w:p>
    <w:p>
      <w:pPr>
        <w:snapToGrid w:val="0"/>
        <w:spacing w:line="360" w:lineRule="auto"/>
        <w:ind w:firstLine="487"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b/>
          <w:bCs/>
          <w:sz w:val="24"/>
          <w:szCs w:val="24"/>
        </w:rPr>
        <w:t>四、无佐证材料的举报作违约处理</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供应商不得进行不提供相关佐证材料（含无法查实的如宣传册、媒体报道、猜测、推理等）而向有关部门的举报，否则对其在1至3年内禁入由采购单位组织的政府采购活动。</w:t>
      </w:r>
    </w:p>
    <w:p>
      <w:pPr>
        <w:snapToGrid w:val="0"/>
        <w:spacing w:line="360" w:lineRule="auto"/>
        <w:ind w:firstLine="487" w:firstLineChars="202"/>
        <w:rPr>
          <w:rFonts w:hint="eastAsia"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五、投诉的提出</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质疑人对采购人的答复不满意或者采购人未在规定的时间内做出答复的，可以在答复期满后15天内内向同级政府采购监督管理部门投诉。</w:t>
      </w:r>
    </w:p>
    <w:p>
      <w:pPr>
        <w:snapToGrid w:val="0"/>
        <w:spacing w:line="360" w:lineRule="auto"/>
        <w:ind w:firstLine="487" w:firstLineChars="202"/>
        <w:rPr>
          <w:rFonts w:hint="eastAsia"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六、投诉不成立的作违约处理</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供应商进行质疑后，采购人回复质疑不成立，质疑人仍进行投诉的，并最终投诉不成立的，采购单位有权对其在1至3年内禁入由采购单位组织的政府采购活动。</w:t>
      </w:r>
    </w:p>
    <w:p>
      <w:pPr>
        <w:rPr>
          <w:rFonts w:hint="eastAsia"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6"/>
          <w:szCs w:val="36"/>
        </w:rPr>
        <w:t>第七章</w:t>
      </w:r>
      <w:bookmarkEnd w:id="12"/>
      <w:r>
        <w:rPr>
          <w:rFonts w:hint="eastAsia" w:asciiTheme="majorEastAsia" w:hAnsiTheme="majorEastAsia" w:eastAsiaTheme="majorEastAsia" w:cstheme="minorEastAsia"/>
          <w:b/>
          <w:w w:val="80"/>
          <w:sz w:val="36"/>
          <w:szCs w:val="36"/>
        </w:rPr>
        <w:t xml:space="preserve"> 磋商响应相关格式及文件</w:t>
      </w:r>
    </w:p>
    <w:p>
      <w:pPr>
        <w:adjustRightInd w:val="0"/>
        <w:snapToGrid w:val="0"/>
        <w:spacing w:line="480" w:lineRule="exact"/>
        <w:ind w:firstLine="484" w:firstLineChars="202"/>
        <w:jc w:val="left"/>
        <w:rPr>
          <w:rFonts w:ascii="宋体" w:hAnsi="宋体" w:eastAsia="宋体" w:cs="宋体"/>
          <w:b/>
          <w:bCs/>
          <w:sz w:val="24"/>
          <w:szCs w:val="24"/>
        </w:rPr>
      </w:pPr>
      <w:r>
        <w:rPr>
          <w:rFonts w:hint="eastAsia" w:ascii="宋体" w:hAnsi="宋体" w:eastAsia="宋体" w:cs="宋体"/>
          <w:sz w:val="24"/>
          <w:szCs w:val="24"/>
        </w:rPr>
        <w:t>响应文件由资格审查文件、技术响应文件、报价响应文件三部分组成。本次竞争性磋商采用资格后审方式，供应商须将资格审查文件作为响应文件组成部分，按磋商文件要求装订密封后一起递交。</w:t>
      </w:r>
      <w:r>
        <w:rPr>
          <w:rFonts w:hint="eastAsia" w:ascii="宋体" w:hAnsi="宋体" w:eastAsia="宋体" w:cs="宋体"/>
          <w:b/>
          <w:bCs/>
          <w:sz w:val="24"/>
          <w:szCs w:val="24"/>
        </w:rPr>
        <w:t xml:space="preserve"> </w:t>
      </w:r>
    </w:p>
    <w:p>
      <w:pPr>
        <w:adjustRightInd w:val="0"/>
        <w:snapToGrid w:val="0"/>
        <w:spacing w:line="360" w:lineRule="auto"/>
        <w:jc w:val="left"/>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一、磋商响应文件</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A、资格审查文件：</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sz w:val="24"/>
          <w:szCs w:val="24"/>
        </w:rPr>
        <w:t>一个密封包，内含：1份“正本”和2份“副本”）</w:t>
      </w:r>
    </w:p>
    <w:p>
      <w:pPr>
        <w:snapToGrid w:val="0"/>
        <w:spacing w:line="360" w:lineRule="auto"/>
        <w:ind w:firstLine="491" w:firstLineChars="20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人有权取消其成交资格，并由该供应商承担一切责任和损失。</w:t>
      </w:r>
    </w:p>
    <w:p>
      <w:pPr>
        <w:snapToGrid w:val="0"/>
        <w:spacing w:line="360" w:lineRule="auto"/>
        <w:ind w:firstLine="480" w:firstLineChars="200"/>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rPr>
        <w:t>、提供企业法人或者其他组织</w:t>
      </w:r>
      <w:r>
        <w:rPr>
          <w:rFonts w:hint="eastAsia" w:asciiTheme="majorEastAsia" w:hAnsiTheme="majorEastAsia" w:eastAsiaTheme="majorEastAsia" w:cstheme="minorEastAsia"/>
          <w:sz w:val="24"/>
          <w:szCs w:val="24"/>
          <w:lang w:eastAsia="zh-CN"/>
        </w:rPr>
        <w:t>机构</w:t>
      </w:r>
      <w:r>
        <w:rPr>
          <w:rFonts w:hint="eastAsia" w:asciiTheme="majorEastAsia" w:hAnsiTheme="majorEastAsia" w:eastAsiaTheme="majorEastAsia" w:cstheme="minorEastAsia"/>
          <w:sz w:val="24"/>
          <w:szCs w:val="24"/>
        </w:rPr>
        <w:t xml:space="preserve">的营业执照等证明文件。 </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2</w:t>
      </w:r>
      <w:r>
        <w:rPr>
          <w:rFonts w:hint="eastAsia" w:asciiTheme="majorEastAsia" w:hAnsiTheme="majorEastAsia" w:eastAsiaTheme="majorEastAsia" w:cstheme="minorEastAsia"/>
          <w:sz w:val="24"/>
          <w:szCs w:val="24"/>
        </w:rPr>
        <w:t>、提供有效期内的</w:t>
      </w:r>
      <w:r>
        <w:rPr>
          <w:rFonts w:hint="eastAsia" w:cs="宋体" w:asciiTheme="majorEastAsia" w:hAnsiTheme="majorEastAsia" w:eastAsiaTheme="majorEastAsia"/>
          <w:sz w:val="24"/>
          <w:szCs w:val="24"/>
        </w:rPr>
        <w:t>《网络安全等级测评与检测评估机构服务认证证书》</w:t>
      </w:r>
      <w:r>
        <w:rPr>
          <w:rFonts w:hint="eastAsia" w:asciiTheme="majorEastAsia" w:hAnsiTheme="majorEastAsia" w:eastAsiaTheme="majorEastAsia" w:cstheme="minorEastAsia"/>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3</w:t>
      </w:r>
      <w:r>
        <w:rPr>
          <w:rFonts w:hint="eastAsia" w:asciiTheme="majorEastAsia" w:hAnsiTheme="majorEastAsia" w:eastAsiaTheme="majorEastAsia" w:cstheme="minorEastAsia"/>
          <w:sz w:val="24"/>
          <w:szCs w:val="24"/>
        </w:rPr>
        <w:t>、法定代表人参加投标的，必须提供法定代表人身份证明及法定代表人本人身份证复印件（格式见附件）；非法定代表人参加投标的，必须提供法定代表人签字或盖章的授权委托书及法定代表人、被授权人的两人身份证的复印件（格式见附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、《资格声明函》（格式见附件）。</w:t>
      </w:r>
    </w:p>
    <w:p>
      <w:pPr>
        <w:snapToGrid w:val="0"/>
        <w:spacing w:line="360" w:lineRule="auto"/>
        <w:ind w:firstLine="480" w:firstLineChars="200"/>
        <w:rPr>
          <w:rFonts w:hint="eastAsia" w:asciiTheme="majorEastAsia" w:hAnsiTheme="majorEastAsia" w:eastAsiaTheme="majorEastAsia" w:cstheme="minorEastAsia"/>
          <w:sz w:val="24"/>
          <w:szCs w:val="24"/>
          <w:lang w:eastAsia="zh-CN"/>
        </w:rPr>
      </w:pPr>
      <w:r>
        <w:rPr>
          <w:rFonts w:hint="eastAsia" w:asciiTheme="majorEastAsia" w:hAnsiTheme="majorEastAsia" w:eastAsiaTheme="majorEastAsia" w:cstheme="minorEastAsia"/>
          <w:sz w:val="24"/>
          <w:szCs w:val="24"/>
          <w:lang w:val="en-US" w:eastAsia="zh-CN"/>
        </w:rPr>
        <w:t>5</w:t>
      </w:r>
      <w:r>
        <w:rPr>
          <w:rFonts w:hint="eastAsia" w:asciiTheme="majorEastAsia" w:hAnsiTheme="majorEastAsia" w:eastAsiaTheme="majorEastAsia" w:cstheme="minorEastAsia"/>
          <w:sz w:val="24"/>
          <w:szCs w:val="24"/>
        </w:rPr>
        <w:t>、《关于资格文件的声明函》（格式见附件）</w:t>
      </w:r>
      <w:r>
        <w:rPr>
          <w:rFonts w:hint="eastAsia" w:asciiTheme="majorEastAsia" w:hAnsiTheme="majorEastAsia" w:eastAsiaTheme="majorEastAsia" w:cstheme="minorEastAsia"/>
          <w:sz w:val="24"/>
          <w:szCs w:val="24"/>
          <w:lang w:eastAsia="zh-CN"/>
        </w:rPr>
        <w:t>。</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rPr>
        <w:t>注：以上如为复印件均须加盖供应商公章。</w:t>
      </w:r>
    </w:p>
    <w:p>
      <w:pPr>
        <w:pStyle w:val="2"/>
        <w:ind w:left="0" w:leftChars="0" w:firstLine="0" w:firstLineChars="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    </w:t>
      </w:r>
      <w:r>
        <w:rPr>
          <w:rFonts w:hint="eastAsia" w:asciiTheme="majorEastAsia" w:hAnsiTheme="majorEastAsia" w:eastAsiaTheme="majorEastAsia" w:cstheme="minorEastAsia"/>
          <w:b/>
          <w:sz w:val="24"/>
          <w:szCs w:val="24"/>
        </w:rPr>
        <w:t>B、技术标磋商响应文件：（一个密封包，内含：1份“正本”和2份“副本”。）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【特别提醒】供应商应根据本磋商文件第三章“项目需求”所列的服务要求标准等，仔细阅读并在理解的基础上结合第四章“技术标评分标准”内的评审</w:t>
      </w:r>
      <w:r>
        <w:rPr>
          <w:rFonts w:hint="eastAsia" w:asciiTheme="majorEastAsia" w:hAnsiTheme="majorEastAsia" w:eastAsiaTheme="majorEastAsia" w:cstheme="minorEastAsia"/>
          <w:sz w:val="24"/>
          <w:szCs w:val="24"/>
          <w:lang w:eastAsia="zh-CN"/>
        </w:rPr>
        <w:t>内容</w:t>
      </w:r>
      <w:r>
        <w:rPr>
          <w:rFonts w:hint="eastAsia" w:asciiTheme="majorEastAsia" w:hAnsiTheme="majorEastAsia" w:eastAsiaTheme="majorEastAsia" w:cstheme="minorEastAsia"/>
          <w:sz w:val="24"/>
          <w:szCs w:val="24"/>
        </w:rPr>
        <w:t>，编制技术响应文件，不得有缺项或漏项，否则可能直接影响技术标评审的得分。</w:t>
      </w:r>
    </w:p>
    <w:p>
      <w:pPr>
        <w:snapToGrid w:val="0"/>
        <w:spacing w:line="360" w:lineRule="auto"/>
        <w:ind w:firstLine="484" w:firstLineChars="202"/>
        <w:rPr>
          <w:rFonts w:hint="eastAsia" w:asciiTheme="majorEastAsia" w:hAnsiTheme="majorEastAsia" w:eastAsiaTheme="majorEastAsia" w:cstheme="minorEastAsia"/>
          <w:sz w:val="24"/>
          <w:szCs w:val="24"/>
          <w:lang w:eastAsia="zh-CN"/>
        </w:rPr>
      </w:pPr>
      <w:r>
        <w:rPr>
          <w:rFonts w:hint="eastAsia" w:asciiTheme="majorEastAsia" w:hAnsiTheme="majorEastAsia" w:eastAsiaTheme="majorEastAsia" w:cstheme="minorEastAsia"/>
          <w:sz w:val="24"/>
          <w:szCs w:val="24"/>
        </w:rPr>
        <w:t>1、竞争性磋商响应函（格式见附件）</w:t>
      </w:r>
      <w:r>
        <w:rPr>
          <w:rFonts w:hint="eastAsia" w:asciiTheme="majorEastAsia" w:hAnsiTheme="majorEastAsia" w:eastAsiaTheme="majorEastAsia" w:cstheme="minorEastAsia"/>
          <w:sz w:val="24"/>
          <w:szCs w:val="24"/>
          <w:lang w:eastAsia="zh-CN"/>
        </w:rPr>
        <w:t>。</w:t>
      </w:r>
    </w:p>
    <w:p>
      <w:pPr>
        <w:snapToGrid w:val="0"/>
        <w:spacing w:line="360" w:lineRule="auto"/>
        <w:ind w:firstLine="484" w:firstLineChars="202"/>
        <w:rPr>
          <w:rFonts w:hint="eastAsia" w:asciiTheme="majorEastAsia" w:hAnsiTheme="majorEastAsia" w:eastAsiaTheme="majorEastAsia" w:cstheme="minorEastAsia"/>
          <w:sz w:val="24"/>
          <w:szCs w:val="24"/>
          <w:lang w:eastAsia="zh-CN"/>
        </w:rPr>
      </w:pPr>
      <w:r>
        <w:rPr>
          <w:rFonts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rPr>
        <w:t>、技术服务条款响应表（格式见附件）</w:t>
      </w:r>
      <w:r>
        <w:rPr>
          <w:rFonts w:hint="eastAsia" w:asciiTheme="majorEastAsia" w:hAnsiTheme="majorEastAsia" w:eastAsiaTheme="majorEastAsia" w:cstheme="minorEastAsia"/>
          <w:sz w:val="24"/>
          <w:szCs w:val="24"/>
          <w:lang w:eastAsia="zh-CN"/>
        </w:rPr>
        <w:t>。</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3</w:t>
      </w:r>
      <w:r>
        <w:rPr>
          <w:rFonts w:hint="eastAsia" w:asciiTheme="majorEastAsia" w:hAnsiTheme="majorEastAsia" w:eastAsiaTheme="majorEastAsia" w:cstheme="minorEastAsia"/>
          <w:sz w:val="24"/>
          <w:szCs w:val="24"/>
        </w:rPr>
        <w:t>、技术标</w:t>
      </w:r>
      <w:r>
        <w:rPr>
          <w:rFonts w:hint="eastAsia" w:asciiTheme="majorEastAsia" w:hAnsiTheme="majorEastAsia" w:eastAsiaTheme="majorEastAsia" w:cstheme="minorEastAsia"/>
          <w:sz w:val="24"/>
          <w:szCs w:val="24"/>
          <w:lang w:eastAsia="zh-CN"/>
        </w:rPr>
        <w:t>评分标准</w:t>
      </w:r>
      <w:r>
        <w:rPr>
          <w:rFonts w:hint="eastAsia" w:asciiTheme="majorEastAsia" w:hAnsiTheme="majorEastAsia" w:eastAsiaTheme="majorEastAsia" w:cstheme="minorEastAsia"/>
          <w:sz w:val="24"/>
          <w:szCs w:val="24"/>
        </w:rPr>
        <w:t>中要求提供的全部材料。</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4</w:t>
      </w:r>
      <w:r>
        <w:rPr>
          <w:rFonts w:hint="eastAsia" w:asciiTheme="majorEastAsia" w:hAnsiTheme="majorEastAsia" w:eastAsiaTheme="majorEastAsia" w:cstheme="minorEastAsia"/>
          <w:sz w:val="24"/>
          <w:szCs w:val="24"/>
        </w:rPr>
        <w:t>、供应商认为需要提交的其他材料。</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注：为方便评委评审，请供应商按评分标准中所涉及的事项顺序进行编制，可以补充相关材料。</w:t>
      </w:r>
    </w:p>
    <w:p>
      <w:pPr>
        <w:snapToGrid w:val="0"/>
        <w:spacing w:line="360" w:lineRule="auto"/>
        <w:ind w:firstLine="487" w:firstLineChars="202"/>
        <w:outlineLvl w:val="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C、报价响应文件：（一个密封包，内含：1份“正本”和2份“副本”。）</w:t>
      </w:r>
    </w:p>
    <w:p>
      <w:pPr>
        <w:snapToGrid w:val="0"/>
        <w:spacing w:line="360" w:lineRule="auto"/>
        <w:ind w:firstLine="484" w:firstLineChars="202"/>
        <w:rPr>
          <w:rFonts w:hint="eastAsia" w:asciiTheme="majorEastAsia" w:hAnsiTheme="majorEastAsia" w:eastAsiaTheme="majorEastAsia" w:cstheme="minorEastAsia"/>
          <w:sz w:val="24"/>
          <w:szCs w:val="24"/>
          <w:lang w:eastAsia="zh-CN"/>
        </w:rPr>
      </w:pPr>
      <w:r>
        <w:rPr>
          <w:rFonts w:hint="eastAsia" w:asciiTheme="majorEastAsia" w:hAnsiTheme="majorEastAsia" w:eastAsiaTheme="majorEastAsia" w:cstheme="minorEastAsia"/>
          <w:sz w:val="24"/>
          <w:szCs w:val="24"/>
          <w:lang w:val="en-US" w:eastAsia="zh-CN"/>
        </w:rPr>
        <w:t>1</w:t>
      </w:r>
      <w:r>
        <w:rPr>
          <w:rFonts w:hint="eastAsia" w:asciiTheme="majorEastAsia" w:hAnsiTheme="majorEastAsia" w:eastAsiaTheme="majorEastAsia" w:cstheme="minorEastAsia"/>
          <w:sz w:val="24"/>
          <w:szCs w:val="24"/>
        </w:rPr>
        <w:t>、磋商响应</w:t>
      </w:r>
      <w:r>
        <w:rPr>
          <w:rFonts w:hint="eastAsia" w:asciiTheme="majorEastAsia" w:hAnsiTheme="majorEastAsia" w:eastAsiaTheme="majorEastAsia" w:cstheme="minorEastAsia"/>
          <w:sz w:val="24"/>
          <w:szCs w:val="24"/>
          <w:lang w:eastAsia="zh-CN"/>
        </w:rPr>
        <w:t>总</w:t>
      </w:r>
      <w:r>
        <w:rPr>
          <w:rFonts w:hint="eastAsia" w:asciiTheme="majorEastAsia" w:hAnsiTheme="majorEastAsia" w:eastAsiaTheme="majorEastAsia" w:cstheme="minorEastAsia"/>
          <w:sz w:val="24"/>
          <w:szCs w:val="24"/>
        </w:rPr>
        <w:t>报价表（格式见附件）</w:t>
      </w:r>
      <w:r>
        <w:rPr>
          <w:rFonts w:hint="eastAsia" w:asciiTheme="majorEastAsia" w:hAnsiTheme="majorEastAsia" w:eastAsiaTheme="majorEastAsia" w:cstheme="minorEastAsia"/>
          <w:sz w:val="24"/>
          <w:szCs w:val="24"/>
          <w:lang w:eastAsia="zh-CN"/>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2</w:t>
      </w:r>
      <w:r>
        <w:rPr>
          <w:rFonts w:hint="eastAsia" w:asciiTheme="majorEastAsia" w:hAnsiTheme="majorEastAsia" w:eastAsiaTheme="majorEastAsia" w:cstheme="minorEastAsia"/>
          <w:sz w:val="24"/>
          <w:szCs w:val="24"/>
        </w:rPr>
        <w:t>、磋商响应报价明细表（格式见附件）</w:t>
      </w:r>
    </w:p>
    <w:p>
      <w:pPr>
        <w:snapToGrid w:val="0"/>
        <w:spacing w:line="360" w:lineRule="auto"/>
        <w:ind w:firstLine="484" w:firstLineChars="202"/>
        <w:rPr>
          <w:rFonts w:hint="eastAsia" w:asciiTheme="majorEastAsia" w:hAnsiTheme="majorEastAsia" w:eastAsiaTheme="majorEastAsia" w:cstheme="minorEastAsia"/>
          <w:sz w:val="24"/>
          <w:szCs w:val="24"/>
          <w:lang w:eastAsia="zh-CN"/>
        </w:rPr>
      </w:pPr>
      <w:r>
        <w:rPr>
          <w:rFonts w:hint="eastAsia" w:asciiTheme="majorEastAsia" w:hAnsiTheme="majorEastAsia" w:eastAsiaTheme="majorEastAsia" w:cstheme="minorEastAsia"/>
          <w:sz w:val="24"/>
          <w:szCs w:val="24"/>
          <w:lang w:val="en-US" w:eastAsia="zh-CN"/>
        </w:rPr>
        <w:t>3</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sz w:val="24"/>
          <w:szCs w:val="24"/>
          <w:lang w:eastAsia="zh-CN"/>
        </w:rPr>
        <w:t>中小</w:t>
      </w:r>
      <w:r>
        <w:rPr>
          <w:rFonts w:hint="eastAsia" w:asciiTheme="majorEastAsia" w:hAnsiTheme="majorEastAsia" w:eastAsiaTheme="majorEastAsia" w:cstheme="minorEastAsia"/>
          <w:sz w:val="24"/>
          <w:szCs w:val="24"/>
        </w:rPr>
        <w:t>企业声明函（</w:t>
      </w:r>
      <w:r>
        <w:rPr>
          <w:rFonts w:hint="eastAsia" w:asciiTheme="majorEastAsia" w:hAnsiTheme="majorEastAsia" w:eastAsiaTheme="majorEastAsia" w:cstheme="minorEastAsia"/>
          <w:sz w:val="24"/>
          <w:szCs w:val="24"/>
          <w:lang w:eastAsia="zh-CN"/>
        </w:rPr>
        <w:t>如涉及</w:t>
      </w:r>
      <w:r>
        <w:rPr>
          <w:rFonts w:hint="eastAsia" w:asciiTheme="majorEastAsia" w:hAnsiTheme="majorEastAsia" w:eastAsiaTheme="majorEastAsia" w:cstheme="minorEastAsia"/>
          <w:sz w:val="24"/>
          <w:szCs w:val="24"/>
        </w:rPr>
        <w:t>）（格式见附件）</w:t>
      </w:r>
      <w:r>
        <w:rPr>
          <w:rFonts w:hint="eastAsia" w:asciiTheme="majorEastAsia" w:hAnsiTheme="majorEastAsia" w:eastAsiaTheme="majorEastAsia" w:cstheme="minorEastAsia"/>
          <w:sz w:val="24"/>
          <w:szCs w:val="24"/>
          <w:lang w:eastAsia="zh-CN"/>
        </w:rPr>
        <w:t>。</w:t>
      </w:r>
    </w:p>
    <w:p>
      <w:pPr>
        <w:snapToGrid w:val="0"/>
        <w:spacing w:line="360" w:lineRule="auto"/>
        <w:ind w:firstLine="484" w:firstLineChars="202"/>
        <w:rPr>
          <w:rFonts w:hint="eastAsia" w:asciiTheme="majorEastAsia" w:hAnsiTheme="majorEastAsia" w:eastAsiaTheme="majorEastAsia" w:cstheme="minorEastAsia"/>
          <w:sz w:val="24"/>
          <w:szCs w:val="24"/>
          <w:lang w:eastAsia="zh-CN"/>
        </w:rPr>
      </w:pP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、残疾人福利性单位声明函（</w:t>
      </w:r>
      <w:r>
        <w:rPr>
          <w:rFonts w:hint="eastAsia" w:asciiTheme="majorEastAsia" w:hAnsiTheme="majorEastAsia" w:eastAsiaTheme="majorEastAsia" w:cstheme="minorEastAsia"/>
          <w:sz w:val="24"/>
          <w:szCs w:val="24"/>
          <w:lang w:eastAsia="zh-CN"/>
        </w:rPr>
        <w:t>如涉及</w:t>
      </w:r>
      <w:r>
        <w:rPr>
          <w:rFonts w:hint="eastAsia" w:asciiTheme="majorEastAsia" w:hAnsiTheme="majorEastAsia" w:eastAsiaTheme="majorEastAsia" w:cstheme="minorEastAsia"/>
          <w:sz w:val="24"/>
          <w:szCs w:val="24"/>
        </w:rPr>
        <w:t>）（格式见附件）</w:t>
      </w:r>
      <w:r>
        <w:rPr>
          <w:rFonts w:hint="eastAsia" w:asciiTheme="majorEastAsia" w:hAnsiTheme="majorEastAsia" w:eastAsiaTheme="majorEastAsia" w:cstheme="minorEastAsia"/>
          <w:sz w:val="24"/>
          <w:szCs w:val="24"/>
          <w:lang w:eastAsia="zh-CN"/>
        </w:rPr>
        <w:t>。</w:t>
      </w:r>
    </w:p>
    <w:p>
      <w:pPr>
        <w:snapToGrid w:val="0"/>
        <w:spacing w:line="300" w:lineRule="auto"/>
        <w:ind w:firstLine="482" w:firstLineChars="200"/>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特别提醒】供应商应依照规定提交各类声明函、承诺函，不再同时提供原件备查。但中标或成交供应商，应做好提交声明函、承诺函相应原件的核查准备；核查后发现虚假或违背承诺的，依照相关法律法规规定处理。</w:t>
      </w:r>
    </w:p>
    <w:p>
      <w:pPr>
        <w:spacing w:line="360" w:lineRule="exact"/>
        <w:jc w:val="center"/>
        <w:rPr>
          <w:rFonts w:asciiTheme="majorEastAsia" w:hAnsiTheme="majorEastAsia" w:eastAsiaTheme="majorEastAsia" w:cstheme="minorEastAsia"/>
          <w:w w:val="80"/>
          <w:kern w:val="44"/>
          <w:sz w:val="21"/>
          <w:szCs w:val="21"/>
        </w:rPr>
      </w:pPr>
    </w:p>
    <w:p>
      <w:pPr>
        <w:adjustRightInd w:val="0"/>
        <w:snapToGrid w:val="0"/>
        <w:spacing w:line="360" w:lineRule="exact"/>
        <w:outlineLvl w:val="1"/>
        <w:rPr>
          <w:rFonts w:asciiTheme="majorEastAsia" w:hAnsiTheme="majorEastAsia" w:eastAsiaTheme="majorEastAsia" w:cstheme="minorEastAsia"/>
          <w:b/>
          <w:sz w:val="21"/>
          <w:szCs w:val="21"/>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br w:type="page"/>
      </w:r>
    </w:p>
    <w:p>
      <w:pPr>
        <w:adjustRightInd w:val="0"/>
        <w:snapToGrid w:val="0"/>
        <w:spacing w:line="360" w:lineRule="auto"/>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二、附件</w:t>
      </w:r>
    </w:p>
    <w:p>
      <w:pPr>
        <w:pStyle w:val="2"/>
        <w:ind w:left="520" w:firstLine="560"/>
        <w:rPr>
          <w:rFonts w:asciiTheme="majorEastAsia" w:hAnsiTheme="majorEastAsia" w:eastAsiaTheme="majorEastAsia"/>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法定代表人身份证明</w:t>
      </w:r>
    </w:p>
    <w:p>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（如法定代表人参加磋商，须出示此证明）</w:t>
      </w:r>
    </w:p>
    <w:p>
      <w:pPr>
        <w:snapToGrid w:val="0"/>
        <w:spacing w:line="520" w:lineRule="exact"/>
        <w:jc w:val="center"/>
        <w:rPr>
          <w:rFonts w:ascii="宋体" w:hAnsi="宋体" w:eastAsia="宋体" w:cs="宋体"/>
          <w:sz w:val="24"/>
          <w:szCs w:val="24"/>
        </w:rPr>
      </w:pPr>
    </w:p>
    <w:p>
      <w:pPr>
        <w:snapToGrid w:val="0"/>
        <w:spacing w:line="520" w:lineRule="exact"/>
        <w:jc w:val="left"/>
        <w:rPr>
          <w:rFonts w:ascii="宋体" w:hAnsi="宋体" w:eastAsia="宋体" w:cs="宋体"/>
          <w:b/>
          <w:bCs/>
          <w:sz w:val="24"/>
          <w:szCs w:val="24"/>
          <w:u w:val="single"/>
        </w:rPr>
      </w:pPr>
      <w:r>
        <w:rPr>
          <w:rFonts w:hint="eastAsia" w:ascii="宋体" w:hAnsi="宋体" w:eastAsia="宋体" w:cs="宋体"/>
          <w:b/>
          <w:bCs/>
          <w:sz w:val="24"/>
          <w:szCs w:val="24"/>
          <w:u w:val="single"/>
        </w:rPr>
        <w:t>南通市妇幼保健院:</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（项目名称)项目的磋商活动，全权代表我公司处理竞争性磋商的有关事宜。</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附：法定代表人情况：</w:t>
      </w:r>
    </w:p>
    <w:p>
      <w:pPr>
        <w:snapToGrid w:val="0"/>
        <w:spacing w:line="520" w:lineRule="exac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520" w:lineRule="exact"/>
        <w:rPr>
          <w:rFonts w:ascii="宋体" w:hAnsi="宋体" w:eastAsia="宋体" w:cs="宋体"/>
          <w:sz w:val="24"/>
          <w:szCs w:val="24"/>
        </w:rPr>
      </w:pPr>
    </w:p>
    <w:p>
      <w:pPr>
        <w:snapToGrid w:val="0"/>
        <w:spacing w:line="52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napToGrid w:val="0"/>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注:参加磋商时法定代表人须将身份证原件带至磋商现场备查。</w:t>
      </w:r>
    </w:p>
    <w:p>
      <w:pPr>
        <w:snapToGrid w:val="0"/>
        <w:spacing w:line="520" w:lineRule="exact"/>
        <w:jc w:val="center"/>
        <w:outlineLvl w:val="3"/>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b/>
          <w:sz w:val="28"/>
          <w:szCs w:val="28"/>
        </w:rPr>
        <w:t>授权委托书</w:t>
      </w:r>
    </w:p>
    <w:p>
      <w:pPr>
        <w:snapToGrid w:val="0"/>
        <w:spacing w:line="520" w:lineRule="exact"/>
        <w:jc w:val="center"/>
        <w:rPr>
          <w:rFonts w:ascii="宋体" w:hAnsi="宋体" w:eastAsia="宋体" w:cs="宋体"/>
          <w:bCs/>
          <w:sz w:val="24"/>
          <w:szCs w:val="24"/>
        </w:rPr>
      </w:pPr>
      <w:r>
        <w:rPr>
          <w:rFonts w:hint="eastAsia" w:ascii="宋体" w:hAnsi="宋体" w:eastAsia="宋体" w:cs="宋体"/>
          <w:bCs/>
          <w:sz w:val="24"/>
          <w:szCs w:val="24"/>
        </w:rPr>
        <w:t>（如被授权人参加磋商，须出示此证明）</w:t>
      </w:r>
    </w:p>
    <w:p>
      <w:pPr>
        <w:snapToGrid w:val="0"/>
        <w:spacing w:line="520" w:lineRule="exact"/>
        <w:jc w:val="center"/>
        <w:rPr>
          <w:rFonts w:ascii="宋体" w:hAnsi="宋体" w:eastAsia="宋体" w:cs="宋体"/>
          <w:bCs/>
          <w:sz w:val="24"/>
          <w:szCs w:val="24"/>
        </w:rPr>
      </w:pPr>
    </w:p>
    <w:p>
      <w:pPr>
        <w:snapToGrid w:val="0"/>
        <w:spacing w:line="520" w:lineRule="exact"/>
        <w:jc w:val="left"/>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（项目名称）项目的政府采购活动，全权处理一切与该项目招标有关的事务。其在办理上述事宜过程中所签署的所有文件我公司均予以承认。  </w:t>
      </w:r>
    </w:p>
    <w:p>
      <w:pPr>
        <w:adjustRightInd w:val="0"/>
        <w:snapToGrid w:val="0"/>
        <w:spacing w:line="500" w:lineRule="exact"/>
        <w:ind w:firstLine="480" w:firstLineChars="200"/>
        <w:jc w:val="left"/>
        <w:rPr>
          <w:rFonts w:ascii="宋体" w:hAnsi="宋体" w:eastAsia="宋体" w:cs="宋体"/>
          <w:kern w:val="0"/>
          <w:sz w:val="24"/>
          <w:szCs w:val="24"/>
        </w:rPr>
      </w:pPr>
    </w:p>
    <w:p>
      <w:pPr>
        <w:adjustRightInd w:val="0"/>
        <w:snapToGri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adjustRightInd w:val="0"/>
        <w:snapToGrid w:val="0"/>
        <w:spacing w:line="500" w:lineRule="exact"/>
        <w:ind w:firstLine="480" w:firstLineChars="200"/>
        <w:jc w:val="left"/>
        <w:rPr>
          <w:rFonts w:ascii="宋体" w:hAnsi="宋体" w:eastAsia="宋体" w:cs="宋体"/>
          <w:kern w:val="0"/>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附：被授权人情况：</w:t>
      </w:r>
    </w:p>
    <w:p>
      <w:pPr>
        <w:spacing w:line="480" w:lineRule="exac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pacing w:line="48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被授权人身份证复印件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b/>
          <w:bCs/>
          <w:sz w:val="24"/>
          <w:szCs w:val="24"/>
        </w:rPr>
      </w:pPr>
      <w:r>
        <w:rPr>
          <w:rFonts w:hint="eastAsia" w:ascii="宋体" w:hAnsi="宋体" w:eastAsia="宋体" w:cs="宋体"/>
          <w:sz w:val="24"/>
          <w:szCs w:val="24"/>
        </w:rPr>
        <w:t>（粘贴此处）</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注:参加磋商时被授权人须将身份证原件带至磋商现场备查。</w:t>
      </w:r>
    </w:p>
    <w:p>
      <w:pPr>
        <w:pStyle w:val="21"/>
        <w:rPr>
          <w:rFonts w:ascii="宋体" w:hAnsi="宋体" w:eastAsia="宋体" w:cs="宋体"/>
          <w:szCs w:val="24"/>
        </w:rPr>
      </w:pPr>
    </w:p>
    <w:p>
      <w:pPr>
        <w:rPr>
          <w:rFonts w:ascii="宋体" w:hAnsi="宋体" w:eastAsia="宋体" w:cs="宋体"/>
          <w:sz w:val="24"/>
          <w:szCs w:val="24"/>
        </w:rPr>
      </w:pPr>
    </w:p>
    <w:p>
      <w:pPr>
        <w:rPr>
          <w:rFonts w:ascii="宋体" w:hAnsi="宋体" w:eastAsia="宋体" w:cs="宋体"/>
          <w:sz w:val="24"/>
          <w:szCs w:val="24"/>
        </w:rPr>
      </w:pPr>
    </w:p>
    <w:p>
      <w:pPr>
        <w:snapToGrid w:val="0"/>
        <w:spacing w:line="520" w:lineRule="exact"/>
        <w:jc w:val="left"/>
        <w:rPr>
          <w:rFonts w:ascii="宋体" w:hAnsi="宋体" w:eastAsia="宋体" w:cs="宋体"/>
          <w:sz w:val="24"/>
          <w:szCs w:val="24"/>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资格声明函</w:t>
      </w:r>
    </w:p>
    <w:p>
      <w:pPr>
        <w:pStyle w:val="11"/>
        <w:overflowPunct w:val="0"/>
        <w:spacing w:line="360" w:lineRule="auto"/>
        <w:ind w:firstLine="0"/>
        <w:rPr>
          <w:rFonts w:ascii="宋体" w:hAnsi="宋体" w:eastAsia="宋体" w:cs="宋体"/>
          <w:bCs/>
          <w:sz w:val="23"/>
          <w:szCs w:val="23"/>
        </w:rPr>
      </w:pPr>
      <w:r>
        <w:rPr>
          <w:rFonts w:hint="eastAsia" w:ascii="宋体" w:hAnsi="宋体" w:eastAsia="宋体" w:cs="宋体"/>
          <w:b/>
          <w:szCs w:val="24"/>
          <w:u w:val="single"/>
        </w:rPr>
        <w:t>南通市妇幼保健院</w:t>
      </w:r>
      <w:r>
        <w:rPr>
          <w:rFonts w:hint="eastAsia" w:ascii="宋体" w:hAnsi="宋体" w:eastAsia="宋体" w:cs="宋体"/>
          <w:bCs/>
          <w:sz w:val="23"/>
          <w:szCs w:val="23"/>
        </w:rPr>
        <w:t>：</w:t>
      </w:r>
    </w:p>
    <w:p>
      <w:pPr>
        <w:spacing w:line="360" w:lineRule="auto"/>
        <w:ind w:firstLine="465"/>
        <w:rPr>
          <w:rFonts w:ascii="宋体" w:hAnsi="宋体" w:eastAsia="宋体" w:cs="宋体"/>
          <w:color w:val="000000"/>
          <w:sz w:val="24"/>
          <w:szCs w:val="24"/>
        </w:rPr>
      </w:pPr>
      <w:r>
        <w:rPr>
          <w:rFonts w:hint="eastAsia" w:ascii="宋体" w:hAnsi="宋体" w:eastAsia="宋体" w:cs="宋体"/>
          <w:color w:val="000000"/>
          <w:sz w:val="24"/>
          <w:szCs w:val="24"/>
        </w:rPr>
        <w:t>我单位</w:t>
      </w:r>
      <w:r>
        <w:rPr>
          <w:rFonts w:hint="eastAsia" w:ascii="宋体" w:hAnsi="宋体" w:eastAsia="宋体" w:cs="宋体"/>
          <w:color w:val="000000"/>
          <w:sz w:val="24"/>
          <w:szCs w:val="24"/>
          <w:u w:val="single"/>
        </w:rPr>
        <w:t>（供应商名称）</w:t>
      </w:r>
      <w:r>
        <w:rPr>
          <w:rFonts w:hint="eastAsia" w:ascii="宋体" w:hAnsi="宋体" w:eastAsia="宋体" w:cs="宋体"/>
          <w:color w:val="000000"/>
          <w:sz w:val="24"/>
          <w:szCs w:val="24"/>
        </w:rPr>
        <w:t>郑重声明：</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具有独立承担民事责任的能力；</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具有良好的商业信誉和健全的财务会计制度；</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具有履行合同所必需的设备和专业技术能力；</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有依法缴纳税收和社会保障资金的良好记录；</w:t>
      </w:r>
    </w:p>
    <w:p>
      <w:pPr>
        <w:spacing w:line="360" w:lineRule="auto"/>
        <w:rPr>
          <w:rFonts w:ascii="宋体" w:hAnsi="宋体" w:eastAsia="宋体" w:cs="宋体"/>
          <w:b/>
          <w:sz w:val="24"/>
          <w:szCs w:val="24"/>
        </w:rPr>
      </w:pPr>
      <w:r>
        <w:rPr>
          <w:rFonts w:hint="eastAsia" w:ascii="宋体" w:hAnsi="宋体" w:eastAsia="宋体" w:cs="宋体"/>
          <w:color w:val="000000"/>
          <w:sz w:val="24"/>
          <w:szCs w:val="24"/>
        </w:rPr>
        <w:t xml:space="preserve">    参加本项目采购活动前3年内在经营活动中</w:t>
      </w:r>
      <w:r>
        <w:rPr>
          <w:rFonts w:hint="eastAsia" w:ascii="宋体" w:hAnsi="宋体" w:eastAsia="宋体" w:cs="宋体"/>
          <w:color w:val="000000"/>
          <w:sz w:val="24"/>
          <w:szCs w:val="24"/>
          <w:u w:val="single"/>
        </w:rPr>
        <w:t>（在下划线上如实填写：有或没有）</w:t>
      </w:r>
      <w:r>
        <w:rPr>
          <w:rFonts w:hint="eastAsia" w:ascii="宋体" w:hAnsi="宋体" w:eastAsia="宋体" w:cs="宋体"/>
          <w:color w:val="000000"/>
          <w:sz w:val="24"/>
          <w:szCs w:val="24"/>
        </w:rPr>
        <w:t>重大违法记录（说明：政府采购法第二十二条第一款第五项所称重大违法记录，是指供应商因违法经营受到刑事处罚或者责令停产停业、吊销许可证或者执照、较大数额罚款等行政处</w:t>
      </w:r>
      <w:r>
        <w:rPr>
          <w:rFonts w:hint="eastAsia" w:ascii="宋体" w:hAnsi="宋体" w:eastAsia="宋体" w:cs="宋体"/>
          <w:sz w:val="24"/>
          <w:szCs w:val="24"/>
        </w:rPr>
        <w:t>罚。）</w:t>
      </w:r>
      <w:r>
        <w:rPr>
          <w:rFonts w:hint="eastAsia" w:ascii="宋体" w:hAnsi="宋体" w:eastAsia="宋体" w:cs="宋体"/>
          <w:color w:val="000000"/>
          <w:sz w:val="24"/>
          <w:szCs w:val="24"/>
        </w:rPr>
        <w:t>。</w:t>
      </w:r>
    </w:p>
    <w:p>
      <w:pPr>
        <w:spacing w:line="360" w:lineRule="auto"/>
        <w:ind w:firstLine="2289" w:firstLineChars="950"/>
        <w:jc w:val="center"/>
        <w:rPr>
          <w:rFonts w:ascii="宋体" w:hAnsi="宋体" w:eastAsia="宋体" w:cs="宋体"/>
          <w:b/>
          <w:sz w:val="24"/>
          <w:szCs w:val="24"/>
        </w:rPr>
      </w:pPr>
    </w:p>
    <w:p>
      <w:pPr>
        <w:spacing w:line="360" w:lineRule="auto"/>
        <w:ind w:firstLine="2289" w:firstLineChars="950"/>
        <w:jc w:val="center"/>
        <w:rPr>
          <w:rFonts w:ascii="宋体" w:hAnsi="宋体" w:eastAsia="宋体" w:cs="宋体"/>
          <w:b/>
          <w:sz w:val="24"/>
          <w:szCs w:val="24"/>
        </w:rPr>
      </w:pPr>
    </w:p>
    <w:p>
      <w:pPr>
        <w:spacing w:line="360" w:lineRule="auto"/>
        <w:ind w:firstLine="2289" w:firstLineChars="950"/>
        <w:jc w:val="center"/>
        <w:rPr>
          <w:rFonts w:ascii="宋体" w:hAnsi="宋体" w:eastAsia="宋体" w:cs="宋体"/>
          <w:b/>
          <w:sz w:val="24"/>
          <w:szCs w:val="24"/>
        </w:rPr>
      </w:pPr>
      <w:r>
        <w:rPr>
          <w:rFonts w:hint="eastAsia" w:ascii="宋体" w:hAnsi="宋体" w:eastAsia="宋体" w:cs="宋体"/>
          <w:b/>
          <w:sz w:val="24"/>
          <w:szCs w:val="24"/>
        </w:rPr>
        <w:t xml:space="preserve">              声明人：（公章）</w:t>
      </w:r>
    </w:p>
    <w:p>
      <w:pPr>
        <w:spacing w:line="360" w:lineRule="auto"/>
        <w:ind w:firstLine="2289" w:firstLineChars="950"/>
        <w:jc w:val="left"/>
        <w:rPr>
          <w:rFonts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年     月    日</w:t>
      </w:r>
      <w:r>
        <w:rPr>
          <w:rFonts w:hint="eastAsia" w:ascii="宋体" w:hAnsi="宋体" w:eastAsia="宋体"/>
          <w:b/>
          <w:sz w:val="28"/>
          <w:szCs w:val="28"/>
        </w:rPr>
        <w:br w:type="page"/>
      </w:r>
    </w:p>
    <w:p>
      <w:pPr>
        <w:rPr>
          <w:rFonts w:ascii="宋体" w:hAnsi="宋体" w:eastAsia="宋体"/>
          <w:b/>
          <w:sz w:val="28"/>
          <w:szCs w:val="28"/>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关于资格文件的声明函</w:t>
      </w:r>
    </w:p>
    <w:p>
      <w:pPr>
        <w:pStyle w:val="11"/>
        <w:overflowPunct w:val="0"/>
        <w:spacing w:line="360" w:lineRule="auto"/>
        <w:jc w:val="center"/>
        <w:rPr>
          <w:rFonts w:ascii="宋体" w:hAnsi="宋体" w:eastAsia="宋体" w:cs="宋体"/>
        </w:rPr>
      </w:pPr>
    </w:p>
    <w:p>
      <w:pPr>
        <w:pStyle w:val="11"/>
        <w:overflowPunct w:val="0"/>
        <w:spacing w:line="360" w:lineRule="auto"/>
        <w:ind w:firstLine="0"/>
        <w:rPr>
          <w:rFonts w:ascii="宋体" w:hAnsi="宋体" w:eastAsia="宋体" w:cs="宋体"/>
          <w:bCs/>
          <w:sz w:val="23"/>
          <w:szCs w:val="23"/>
        </w:rPr>
      </w:pPr>
      <w:r>
        <w:rPr>
          <w:rFonts w:hint="eastAsia" w:ascii="宋体" w:hAnsi="宋体" w:eastAsia="宋体" w:cs="宋体"/>
          <w:b/>
          <w:szCs w:val="24"/>
          <w:u w:val="single"/>
        </w:rPr>
        <w:t>南通市妇幼保健院</w:t>
      </w:r>
      <w:r>
        <w:rPr>
          <w:rFonts w:hint="eastAsia" w:ascii="宋体" w:hAnsi="宋体" w:eastAsia="宋体" w:cs="宋体"/>
          <w:bCs/>
          <w:sz w:val="23"/>
          <w:szCs w:val="23"/>
        </w:rPr>
        <w:t>：</w:t>
      </w:r>
    </w:p>
    <w:p>
      <w:pPr>
        <w:pStyle w:val="11"/>
        <w:overflowPunct w:val="0"/>
        <w:spacing w:line="360" w:lineRule="auto"/>
        <w:ind w:firstLine="660"/>
        <w:rPr>
          <w:rFonts w:ascii="宋体" w:hAnsi="宋体" w:eastAsia="宋体" w:cs="宋体"/>
          <w:bCs/>
          <w:szCs w:val="24"/>
        </w:rPr>
      </w:pPr>
      <w:r>
        <w:rPr>
          <w:rFonts w:hint="eastAsia" w:ascii="宋体" w:hAnsi="宋体" w:eastAsia="宋体" w:cs="宋体"/>
          <w:bCs/>
          <w:szCs w:val="24"/>
        </w:rPr>
        <w:t>本公司愿就由贵单位组织实施的</w:t>
      </w:r>
      <w:r>
        <w:rPr>
          <w:rFonts w:hint="eastAsia" w:ascii="宋体" w:hAnsi="宋体" w:eastAsia="宋体" w:cs="宋体"/>
          <w:bCs/>
          <w:szCs w:val="24"/>
          <w:u w:val="single"/>
          <w:lang w:val="en-US" w:eastAsia="zh-CN"/>
        </w:rPr>
        <w:t xml:space="preserve"> </w:t>
      </w:r>
      <w:r>
        <w:rPr>
          <w:rFonts w:hint="eastAsia" w:ascii="宋体" w:hAnsi="宋体" w:eastAsia="宋体" w:cs="宋体"/>
          <w:bCs/>
          <w:szCs w:val="24"/>
          <w:u w:val="single"/>
        </w:rPr>
        <w:t>（项目名称)</w:t>
      </w:r>
      <w:r>
        <w:rPr>
          <w:rFonts w:hint="eastAsia" w:ascii="宋体" w:hAnsi="宋体" w:eastAsia="宋体" w:cs="宋体"/>
          <w:bCs/>
          <w:szCs w:val="24"/>
          <w:u w:val="single"/>
          <w:lang w:val="en-US" w:eastAsia="zh-CN"/>
        </w:rPr>
        <w:t xml:space="preserve"> </w:t>
      </w:r>
      <w:r>
        <w:rPr>
          <w:rFonts w:hint="eastAsia" w:ascii="宋体" w:hAnsi="宋体" w:eastAsia="宋体" w:cs="宋体"/>
          <w:bCs/>
          <w:szCs w:val="24"/>
        </w:rPr>
        <w:t>招标活动进行投标。本公司所提交的磋商响应文件中所有关于投标资格的文件、证明和陈述均是真实的、准确的。若与真实情况不符，本公司愿意承担由此而产生的一切后果。</w:t>
      </w:r>
    </w:p>
    <w:p>
      <w:pPr>
        <w:pStyle w:val="11"/>
        <w:overflowPunct w:val="0"/>
        <w:spacing w:line="420" w:lineRule="exact"/>
        <w:rPr>
          <w:rFonts w:ascii="宋体" w:hAnsi="宋体" w:eastAsia="宋体" w:cs="宋体"/>
          <w:bCs/>
          <w:szCs w:val="24"/>
        </w:rPr>
      </w:pPr>
    </w:p>
    <w:p>
      <w:pPr>
        <w:pStyle w:val="11"/>
        <w:overflowPunct w:val="0"/>
        <w:spacing w:line="420" w:lineRule="exact"/>
        <w:rPr>
          <w:rFonts w:ascii="宋体" w:hAnsi="宋体" w:eastAsia="宋体" w:cs="宋体"/>
          <w:bCs/>
          <w:szCs w:val="24"/>
        </w:rPr>
      </w:pPr>
    </w:p>
    <w:p>
      <w:pPr>
        <w:pStyle w:val="11"/>
        <w:overflowPunct w:val="0"/>
        <w:spacing w:line="420" w:lineRule="exact"/>
        <w:rPr>
          <w:rFonts w:ascii="宋体" w:hAnsi="宋体" w:eastAsia="宋体" w:cs="宋体"/>
          <w:bCs/>
          <w:szCs w:val="24"/>
        </w:rPr>
      </w:pPr>
    </w:p>
    <w:p>
      <w:pPr>
        <w:pStyle w:val="11"/>
        <w:overflowPunct w:val="0"/>
        <w:spacing w:line="360" w:lineRule="auto"/>
        <w:rPr>
          <w:rFonts w:ascii="宋体" w:hAnsi="宋体" w:eastAsia="宋体" w:cs="宋体"/>
          <w:bCs/>
          <w:szCs w:val="24"/>
        </w:rPr>
      </w:pPr>
      <w:r>
        <w:rPr>
          <w:rFonts w:hint="eastAsia" w:ascii="宋体" w:hAnsi="宋体" w:eastAsia="宋体" w:cs="宋体"/>
          <w:bCs/>
          <w:szCs w:val="24"/>
        </w:rPr>
        <w:t xml:space="preserve"> </w:t>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 xml:space="preserve">           （供应商）法定代表人（签字或盖章）：</w:t>
      </w:r>
    </w:p>
    <w:p>
      <w:pPr>
        <w:pStyle w:val="11"/>
        <w:overflowPunct w:val="0"/>
        <w:spacing w:line="360" w:lineRule="auto"/>
        <w:ind w:left="1700" w:firstLine="425"/>
        <w:rPr>
          <w:rFonts w:ascii="宋体" w:hAnsi="宋体" w:eastAsia="宋体" w:cs="宋体"/>
          <w:bCs/>
          <w:szCs w:val="24"/>
        </w:rPr>
      </w:pPr>
      <w:r>
        <w:rPr>
          <w:rFonts w:hint="eastAsia" w:ascii="宋体" w:hAnsi="宋体" w:eastAsia="宋体" w:cs="宋体"/>
          <w:bCs/>
          <w:szCs w:val="24"/>
        </w:rPr>
        <w:t xml:space="preserve">            （供应商）公章：</w:t>
      </w: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 xml:space="preserve">          年</w:t>
      </w:r>
      <w:r>
        <w:rPr>
          <w:rFonts w:hint="eastAsia" w:ascii="宋体" w:hAnsi="宋体" w:eastAsia="宋体" w:cs="宋体"/>
          <w:bCs/>
          <w:sz w:val="24"/>
          <w:szCs w:val="24"/>
        </w:rPr>
        <w:tab/>
      </w:r>
      <w:r>
        <w:rPr>
          <w:rFonts w:hint="eastAsia" w:ascii="宋体" w:hAnsi="宋体" w:eastAsia="宋体" w:cs="宋体"/>
          <w:bCs/>
          <w:sz w:val="24"/>
          <w:szCs w:val="24"/>
        </w:rPr>
        <w:t xml:space="preserve"> 月    日</w:t>
      </w:r>
    </w:p>
    <w:p>
      <w:pPr>
        <w:rPr>
          <w:rFonts w:hint="eastAsia" w:ascii="宋体" w:hAnsi="宋体" w:eastAsia="宋体" w:cs="宋体"/>
          <w:bCs/>
          <w:sz w:val="24"/>
          <w:szCs w:val="24"/>
        </w:rPr>
      </w:pPr>
      <w:r>
        <w:rPr>
          <w:rFonts w:hint="eastAsia" w:ascii="宋体" w:hAnsi="宋体" w:eastAsia="宋体" w:cs="宋体"/>
          <w:bCs/>
          <w:sz w:val="24"/>
          <w:szCs w:val="24"/>
        </w:rPr>
        <w:br w:type="page"/>
      </w:r>
    </w:p>
    <w:p>
      <w:pPr>
        <w:snapToGrid w:val="0"/>
        <w:spacing w:afterLines="50" w:line="520" w:lineRule="exact"/>
        <w:jc w:val="center"/>
        <w:outlineLvl w:val="3"/>
        <w:rPr>
          <w:rFonts w:ascii="宋体" w:hAnsi="宋体" w:eastAsia="宋体" w:cs="宋体"/>
          <w:b/>
          <w:bCs/>
          <w:sz w:val="24"/>
          <w:szCs w:val="24"/>
        </w:rPr>
      </w:pPr>
      <w:r>
        <w:rPr>
          <w:rFonts w:hint="eastAsia" w:ascii="宋体" w:hAnsi="宋体" w:eastAsia="宋体"/>
          <w:b/>
          <w:sz w:val="28"/>
          <w:szCs w:val="28"/>
        </w:rPr>
        <w:t>竞争性磋商响应函</w:t>
      </w:r>
      <w:r>
        <w:rPr>
          <w:rFonts w:hint="eastAsia" w:ascii="宋体" w:hAnsi="宋体" w:eastAsia="宋体" w:cs="宋体"/>
          <w:bCs/>
          <w:sz w:val="24"/>
          <w:szCs w:val="24"/>
        </w:rPr>
        <w:t>（</w:t>
      </w:r>
      <w:r>
        <w:rPr>
          <w:rFonts w:hint="eastAsia" w:ascii="宋体" w:hAnsi="宋体" w:eastAsia="宋体" w:cs="宋体"/>
          <w:bCs/>
          <w:sz w:val="24"/>
          <w:szCs w:val="24"/>
          <w:u w:val="single"/>
        </w:rPr>
        <w:t>格式不得变动</w:t>
      </w:r>
      <w:r>
        <w:rPr>
          <w:rFonts w:hint="eastAsia" w:ascii="宋体" w:hAnsi="宋体" w:eastAsia="宋体" w:cs="宋体"/>
          <w:bCs/>
          <w:sz w:val="24"/>
          <w:szCs w:val="24"/>
        </w:rPr>
        <w:t>）</w:t>
      </w:r>
    </w:p>
    <w:p>
      <w:pPr>
        <w:overflowPunct w:val="0"/>
        <w:adjustRightInd w:val="0"/>
        <w:spacing w:line="520" w:lineRule="exact"/>
        <w:jc w:val="left"/>
        <w:textAlignment w:val="baseline"/>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 xml:space="preserve"> ：</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依据贵单位委托代理机构组织的</w:t>
      </w:r>
      <w:r>
        <w:rPr>
          <w:rFonts w:hint="eastAsia" w:ascii="宋体" w:hAnsi="宋体" w:eastAsia="宋体" w:cs="宋体"/>
          <w:sz w:val="24"/>
          <w:szCs w:val="24"/>
          <w:u w:val="single"/>
        </w:rPr>
        <w:t xml:space="preserve"> （磋商项目名称)</w:t>
      </w:r>
      <w:r>
        <w:rPr>
          <w:rFonts w:hint="eastAsia" w:ascii="宋体" w:hAnsi="宋体" w:eastAsia="宋体" w:cs="宋体"/>
          <w:sz w:val="24"/>
          <w:szCs w:val="24"/>
        </w:rPr>
        <w:t>项目竞争性磋商的邀请，我方授权</w:t>
      </w:r>
      <w:r>
        <w:rPr>
          <w:rFonts w:hint="eastAsia" w:ascii="宋体" w:hAnsi="宋体" w:eastAsia="宋体" w:cs="宋体"/>
          <w:sz w:val="24"/>
          <w:szCs w:val="24"/>
          <w:u w:val="single"/>
        </w:rPr>
        <w:t xml:space="preserve">    （姓名）  （职务）</w:t>
      </w:r>
      <w:r>
        <w:rPr>
          <w:rFonts w:hint="eastAsia" w:ascii="宋体" w:hAnsi="宋体" w:eastAsia="宋体" w:cs="宋体"/>
          <w:sz w:val="24"/>
          <w:szCs w:val="24"/>
        </w:rPr>
        <w:t>为全权代表参加该项目的磋商工作，全权处理本次竞争性磋商的有关事宜。同时，我公司声明如下：</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3、我公司已毫无保留地向贵方提供一切所需的证明材料。</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5、我公司尊重磋商小组所作的评定结果，同时清楚理解到报价最低并非意味着必定获得成交资格。</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hAnsi="宋体" w:eastAsia="宋体" w:cs="宋体"/>
          <w:sz w:val="24"/>
          <w:szCs w:val="24"/>
        </w:rPr>
      </w:pP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竞争性磋商响应单位：（加盖公章）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pStyle w:val="74"/>
      </w:pPr>
    </w:p>
    <w:p>
      <w:pPr>
        <w:snapToGrid w:val="0"/>
        <w:spacing w:afterLines="100" w:line="520" w:lineRule="exact"/>
        <w:jc w:val="center"/>
        <w:rPr>
          <w:b/>
          <w:sz w:val="36"/>
          <w:szCs w:val="36"/>
        </w:rPr>
      </w:pPr>
      <w:r>
        <w:rPr>
          <w:rFonts w:hint="eastAsia" w:ascii="宋体" w:hAnsi="宋体" w:cs="宋体"/>
          <w:sz w:val="30"/>
          <w:szCs w:val="30"/>
        </w:rPr>
        <w:br w:type="page"/>
      </w:r>
      <w:r>
        <w:rPr>
          <w:rFonts w:hint="eastAsia" w:ascii="宋体" w:hAnsi="宋体" w:eastAsia="宋体"/>
          <w:b/>
          <w:sz w:val="28"/>
          <w:szCs w:val="28"/>
        </w:rPr>
        <w:t>技术服务条款响应表</w:t>
      </w:r>
    </w:p>
    <w:p>
      <w:pPr>
        <w:spacing w:line="320" w:lineRule="exact"/>
        <w:rPr>
          <w:rFonts w:ascii="宋体" w:hAnsi="宋体" w:eastAsia="宋体" w:cs="宋体"/>
          <w:sz w:val="24"/>
          <w:u w:val="single"/>
        </w:rPr>
      </w:pPr>
      <w:r>
        <w:rPr>
          <w:rFonts w:hint="eastAsia" w:ascii="宋体" w:hAnsi="宋体" w:eastAsia="宋体" w:cs="宋体"/>
          <w:sz w:val="24"/>
        </w:rPr>
        <w:t>项目名称：</w:t>
      </w:r>
    </w:p>
    <w:tbl>
      <w:tblPr>
        <w:tblStyle w:val="5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295"/>
        <w:gridCol w:w="1575"/>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35" w:type="pct"/>
            <w:noWrap/>
            <w:vAlign w:val="center"/>
          </w:tcPr>
          <w:p>
            <w:pPr>
              <w:jc w:val="center"/>
              <w:rPr>
                <w:rFonts w:ascii="宋体" w:hAnsi="宋体" w:eastAsia="宋体" w:cs="宋体"/>
                <w:sz w:val="24"/>
              </w:rPr>
            </w:pPr>
            <w:r>
              <w:rPr>
                <w:rFonts w:hint="eastAsia" w:ascii="宋体" w:hAnsi="宋体" w:eastAsia="宋体" w:cs="宋体"/>
                <w:sz w:val="24"/>
              </w:rPr>
              <w:t>序号</w:t>
            </w:r>
          </w:p>
        </w:tc>
        <w:tc>
          <w:tcPr>
            <w:tcW w:w="2313" w:type="pct"/>
            <w:noWrap/>
            <w:vAlign w:val="center"/>
          </w:tcPr>
          <w:p>
            <w:pPr>
              <w:jc w:val="center"/>
              <w:rPr>
                <w:rFonts w:ascii="宋体" w:hAnsi="宋体" w:eastAsia="宋体" w:cs="宋体"/>
                <w:sz w:val="24"/>
              </w:rPr>
            </w:pPr>
            <w:r>
              <w:rPr>
                <w:rFonts w:hint="eastAsia" w:ascii="宋体" w:hAnsi="宋体" w:eastAsia="宋体" w:cs="宋体"/>
                <w:sz w:val="24"/>
              </w:rPr>
              <w:t>招标技术</w:t>
            </w:r>
          </w:p>
          <w:p>
            <w:pPr>
              <w:jc w:val="center"/>
              <w:rPr>
                <w:rFonts w:ascii="宋体" w:hAnsi="宋体" w:eastAsia="宋体" w:cs="宋体"/>
                <w:sz w:val="24"/>
              </w:rPr>
            </w:pPr>
            <w:r>
              <w:rPr>
                <w:rFonts w:hint="eastAsia" w:ascii="宋体" w:hAnsi="宋体" w:eastAsia="宋体" w:cs="宋体"/>
                <w:sz w:val="24"/>
              </w:rPr>
              <w:t>服务要求</w:t>
            </w:r>
          </w:p>
        </w:tc>
        <w:tc>
          <w:tcPr>
            <w:tcW w:w="848" w:type="pct"/>
            <w:noWrap/>
            <w:vAlign w:val="center"/>
          </w:tcPr>
          <w:p>
            <w:pPr>
              <w:jc w:val="center"/>
              <w:rPr>
                <w:rFonts w:ascii="宋体" w:hAnsi="宋体" w:eastAsia="宋体" w:cs="宋体"/>
                <w:sz w:val="24"/>
              </w:rPr>
            </w:pPr>
            <w:r>
              <w:rPr>
                <w:rFonts w:hint="eastAsia" w:ascii="宋体" w:hAnsi="宋体" w:eastAsia="宋体" w:cs="宋体"/>
                <w:sz w:val="24"/>
              </w:rPr>
              <w:t>偏离度</w:t>
            </w:r>
          </w:p>
        </w:tc>
        <w:tc>
          <w:tcPr>
            <w:tcW w:w="1302" w:type="pct"/>
            <w:noWrap/>
            <w:vAlign w:val="center"/>
          </w:tcPr>
          <w:p>
            <w:pPr>
              <w:jc w:val="center"/>
              <w:rPr>
                <w:rFonts w:ascii="宋体" w:hAnsi="宋体" w:eastAsia="宋体" w:cs="宋体"/>
                <w:sz w:val="24"/>
              </w:rPr>
            </w:pPr>
            <w:r>
              <w:rPr>
                <w:rFonts w:hint="eastAsia" w:ascii="宋体" w:hAnsi="宋体" w:eastAsia="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noWrap/>
            <w:vAlign w:val="center"/>
          </w:tcPr>
          <w:p>
            <w:pPr>
              <w:spacing w:line="360" w:lineRule="auto"/>
              <w:jc w:val="center"/>
              <w:rPr>
                <w:rFonts w:ascii="宋体" w:hAnsi="宋体" w:eastAsia="宋体" w:cs="宋体"/>
                <w:b/>
                <w:bCs/>
                <w:sz w:val="24"/>
              </w:rPr>
            </w:pPr>
          </w:p>
        </w:tc>
        <w:tc>
          <w:tcPr>
            <w:tcW w:w="2313" w:type="pct"/>
            <w:noWrap/>
            <w:vAlign w:val="center"/>
          </w:tcPr>
          <w:p>
            <w:pPr>
              <w:spacing w:line="360" w:lineRule="auto"/>
              <w:jc w:val="center"/>
              <w:rPr>
                <w:rFonts w:ascii="宋体" w:hAnsi="宋体" w:eastAsia="宋体" w:cs="宋体"/>
                <w:b/>
                <w:bCs/>
                <w:sz w:val="24"/>
              </w:rPr>
            </w:pPr>
          </w:p>
        </w:tc>
        <w:tc>
          <w:tcPr>
            <w:tcW w:w="848" w:type="pct"/>
            <w:noWrap/>
            <w:vAlign w:val="center"/>
          </w:tcPr>
          <w:p>
            <w:pPr>
              <w:spacing w:line="360" w:lineRule="auto"/>
              <w:jc w:val="center"/>
              <w:rPr>
                <w:rFonts w:ascii="宋体" w:hAnsi="宋体" w:eastAsia="宋体" w:cs="宋体"/>
                <w:b/>
                <w:bCs/>
                <w:sz w:val="24"/>
              </w:rPr>
            </w:pPr>
          </w:p>
        </w:tc>
        <w:tc>
          <w:tcPr>
            <w:tcW w:w="1302" w:type="pct"/>
            <w:noWrap/>
            <w:vAlign w:val="center"/>
          </w:tcPr>
          <w:p>
            <w:pPr>
              <w:spacing w:line="360" w:lineRule="auto"/>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noWrap/>
            <w:vAlign w:val="center"/>
          </w:tcPr>
          <w:p>
            <w:pPr>
              <w:spacing w:line="360" w:lineRule="auto"/>
              <w:jc w:val="center"/>
              <w:rPr>
                <w:rFonts w:ascii="宋体" w:hAnsi="宋体" w:eastAsia="宋体" w:cs="宋体"/>
                <w:b/>
                <w:bCs/>
                <w:sz w:val="24"/>
              </w:rPr>
            </w:pPr>
          </w:p>
        </w:tc>
        <w:tc>
          <w:tcPr>
            <w:tcW w:w="2313" w:type="pct"/>
            <w:noWrap/>
            <w:vAlign w:val="center"/>
          </w:tcPr>
          <w:p>
            <w:pPr>
              <w:spacing w:line="360" w:lineRule="auto"/>
              <w:jc w:val="center"/>
              <w:rPr>
                <w:rFonts w:ascii="宋体" w:hAnsi="宋体" w:eastAsia="宋体" w:cs="宋体"/>
                <w:b/>
                <w:bCs/>
                <w:sz w:val="24"/>
              </w:rPr>
            </w:pPr>
          </w:p>
        </w:tc>
        <w:tc>
          <w:tcPr>
            <w:tcW w:w="848" w:type="pct"/>
            <w:noWrap/>
            <w:vAlign w:val="center"/>
          </w:tcPr>
          <w:p>
            <w:pPr>
              <w:spacing w:line="360" w:lineRule="auto"/>
              <w:jc w:val="center"/>
              <w:rPr>
                <w:rFonts w:ascii="宋体" w:hAnsi="宋体" w:eastAsia="宋体" w:cs="宋体"/>
                <w:b/>
                <w:bCs/>
                <w:sz w:val="24"/>
              </w:rPr>
            </w:pPr>
          </w:p>
        </w:tc>
        <w:tc>
          <w:tcPr>
            <w:tcW w:w="1302" w:type="pct"/>
            <w:noWrap/>
            <w:vAlign w:val="center"/>
          </w:tcPr>
          <w:p>
            <w:pPr>
              <w:spacing w:line="360" w:lineRule="auto"/>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noWrap/>
            <w:vAlign w:val="center"/>
          </w:tcPr>
          <w:p>
            <w:pPr>
              <w:spacing w:line="360" w:lineRule="auto"/>
              <w:jc w:val="center"/>
              <w:rPr>
                <w:rFonts w:ascii="宋体" w:hAnsi="宋体" w:eastAsia="宋体" w:cs="宋体"/>
                <w:b/>
                <w:bCs/>
                <w:sz w:val="24"/>
              </w:rPr>
            </w:pPr>
          </w:p>
        </w:tc>
        <w:tc>
          <w:tcPr>
            <w:tcW w:w="2313" w:type="pct"/>
            <w:noWrap/>
            <w:vAlign w:val="center"/>
          </w:tcPr>
          <w:p>
            <w:pPr>
              <w:spacing w:line="360" w:lineRule="auto"/>
              <w:jc w:val="center"/>
              <w:rPr>
                <w:rFonts w:ascii="宋体" w:hAnsi="宋体" w:eastAsia="宋体" w:cs="宋体"/>
                <w:b/>
                <w:bCs/>
                <w:sz w:val="24"/>
              </w:rPr>
            </w:pPr>
          </w:p>
        </w:tc>
        <w:tc>
          <w:tcPr>
            <w:tcW w:w="848" w:type="pct"/>
            <w:noWrap/>
            <w:vAlign w:val="center"/>
          </w:tcPr>
          <w:p>
            <w:pPr>
              <w:spacing w:line="360" w:lineRule="auto"/>
              <w:jc w:val="center"/>
              <w:rPr>
                <w:rFonts w:ascii="宋体" w:hAnsi="宋体" w:eastAsia="宋体" w:cs="宋体"/>
                <w:b/>
                <w:bCs/>
                <w:sz w:val="24"/>
              </w:rPr>
            </w:pPr>
          </w:p>
        </w:tc>
        <w:tc>
          <w:tcPr>
            <w:tcW w:w="1302" w:type="pct"/>
            <w:noWrap/>
            <w:vAlign w:val="center"/>
          </w:tcPr>
          <w:p>
            <w:pPr>
              <w:spacing w:line="360" w:lineRule="auto"/>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noWrap/>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w:t>
            </w:r>
          </w:p>
        </w:tc>
        <w:tc>
          <w:tcPr>
            <w:tcW w:w="2313" w:type="pct"/>
            <w:noWrap/>
            <w:vAlign w:val="center"/>
          </w:tcPr>
          <w:p>
            <w:pPr>
              <w:spacing w:line="360" w:lineRule="auto"/>
              <w:jc w:val="center"/>
              <w:rPr>
                <w:rFonts w:ascii="宋体" w:hAnsi="宋体" w:eastAsia="宋体" w:cs="宋体"/>
                <w:b/>
                <w:bCs/>
                <w:sz w:val="24"/>
              </w:rPr>
            </w:pPr>
          </w:p>
        </w:tc>
        <w:tc>
          <w:tcPr>
            <w:tcW w:w="848" w:type="pct"/>
            <w:noWrap/>
            <w:vAlign w:val="center"/>
          </w:tcPr>
          <w:p>
            <w:pPr>
              <w:spacing w:line="360" w:lineRule="auto"/>
              <w:jc w:val="center"/>
              <w:rPr>
                <w:rFonts w:ascii="宋体" w:hAnsi="宋体" w:eastAsia="宋体" w:cs="宋体"/>
                <w:b/>
                <w:bCs/>
                <w:sz w:val="24"/>
              </w:rPr>
            </w:pPr>
          </w:p>
        </w:tc>
        <w:tc>
          <w:tcPr>
            <w:tcW w:w="1302" w:type="pct"/>
            <w:noWrap/>
            <w:vAlign w:val="center"/>
          </w:tcPr>
          <w:p>
            <w:pPr>
              <w:spacing w:line="360" w:lineRule="auto"/>
              <w:jc w:val="center"/>
              <w:rPr>
                <w:rFonts w:ascii="宋体" w:hAnsi="宋体" w:eastAsia="宋体" w:cs="宋体"/>
                <w:b/>
                <w:bCs/>
                <w:sz w:val="24"/>
              </w:rPr>
            </w:pPr>
          </w:p>
        </w:tc>
      </w:tr>
    </w:tbl>
    <w:p>
      <w:pPr>
        <w:spacing w:line="260" w:lineRule="exact"/>
        <w:rPr>
          <w:sz w:val="24"/>
          <w:u w:val="single"/>
        </w:rPr>
      </w:pPr>
    </w:p>
    <w:p>
      <w:pPr>
        <w:pStyle w:val="74"/>
      </w:pPr>
    </w:p>
    <w:p>
      <w:pPr>
        <w:pStyle w:val="29"/>
        <w:snapToGrid w:val="0"/>
        <w:spacing w:line="300" w:lineRule="auto"/>
        <w:contextualSpacing/>
        <w:rPr>
          <w:rFonts w:hAnsi="宋体" w:eastAsia="宋体"/>
          <w:b/>
          <w:sz w:val="24"/>
          <w:szCs w:val="24"/>
        </w:rPr>
      </w:pPr>
      <w:r>
        <w:rPr>
          <w:rFonts w:hint="eastAsia" w:hAnsi="宋体" w:eastAsia="宋体"/>
          <w:b/>
          <w:sz w:val="24"/>
          <w:szCs w:val="24"/>
        </w:rPr>
        <w:t>注：</w:t>
      </w:r>
    </w:p>
    <w:p>
      <w:pPr>
        <w:snapToGri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1、供应商应逐一对照本竞争性磋商文件第三章项目需求</w:t>
      </w:r>
      <w:r>
        <w:rPr>
          <w:rFonts w:hint="eastAsia" w:ascii="宋体" w:hAnsi="宋体" w:eastAsia="宋体" w:cs="宋体"/>
          <w:sz w:val="24"/>
          <w:szCs w:val="24"/>
          <w:lang w:eastAsia="zh-CN"/>
        </w:rPr>
        <w:t>及合同条款</w:t>
      </w:r>
      <w:r>
        <w:rPr>
          <w:rFonts w:hint="eastAsia" w:ascii="宋体" w:hAnsi="宋体" w:eastAsia="宋体" w:cs="宋体"/>
          <w:sz w:val="24"/>
          <w:szCs w:val="24"/>
        </w:rPr>
        <w:t>的各项要求，如供应商提供的货物或服务与竞争性磋商文件规定的要求有</w:t>
      </w:r>
      <w:bookmarkStart w:id="13" w:name="_GoBack"/>
      <w:bookmarkEnd w:id="13"/>
      <w:r>
        <w:rPr>
          <w:rFonts w:hint="eastAsia" w:ascii="宋体" w:hAnsi="宋体" w:eastAsia="宋体" w:cs="宋体"/>
          <w:sz w:val="24"/>
          <w:szCs w:val="24"/>
        </w:rPr>
        <w:t>偏离的，必须在《技术服务条款响应表》上明示，如不明示的视同完全响应竞争性磋商文件的所有要求。</w:t>
      </w:r>
    </w:p>
    <w:p>
      <w:pPr>
        <w:snapToGri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2、供应商在“偏离度”一栏据实选填“正偏离”或“负偏离”，若完全响应则不填。供应商必须响应竞争性磋商文件中针对本项目提出的全部技术与服务要求，本次招标不接受负偏离，若填“负偏离”将作无效投标处理；若有“正偏离”的，在“说明”一栏予以说明，是否响应经三分之二评委认定。</w:t>
      </w:r>
    </w:p>
    <w:p>
      <w:pPr>
        <w:snapToGrid w:val="0"/>
        <w:spacing w:line="360" w:lineRule="auto"/>
        <w:ind w:firstLine="480" w:firstLineChars="200"/>
        <w:contextualSpacing/>
        <w:rPr>
          <w:rFonts w:ascii="宋体" w:hAnsi="宋体" w:eastAsia="宋体" w:cs="宋体"/>
          <w:sz w:val="21"/>
          <w:szCs w:val="21"/>
        </w:rPr>
      </w:pPr>
      <w:r>
        <w:rPr>
          <w:rFonts w:hint="eastAsia" w:ascii="宋体" w:hAnsi="宋体" w:eastAsia="宋体" w:cs="宋体"/>
          <w:sz w:val="24"/>
          <w:szCs w:val="24"/>
        </w:rPr>
        <w:t>3、供应商若提供其他增值服务，可以在表中自行据实填写。</w:t>
      </w:r>
    </w:p>
    <w:p>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4、供应商如果虚假响应，将承担一切可能的风险。</w:t>
      </w:r>
    </w:p>
    <w:p>
      <w:pPr>
        <w:pStyle w:val="74"/>
        <w:rPr>
          <w:rFonts w:hint="eastAsia" w:ascii="宋体" w:hAnsi="宋体" w:eastAsia="宋体" w:cs="宋体"/>
          <w:sz w:val="24"/>
          <w:szCs w:val="24"/>
        </w:rPr>
      </w:pPr>
    </w:p>
    <w:p>
      <w:pPr>
        <w:snapToGrid w:val="0"/>
        <w:spacing w:line="440" w:lineRule="exact"/>
        <w:ind w:firstLine="2400" w:firstLineChars="1000"/>
        <w:jc w:val="right"/>
        <w:rPr>
          <w:rFonts w:hint="eastAsia" w:ascii="宋体" w:hAnsi="宋体" w:eastAsia="宋体" w:cs="宋体"/>
          <w:sz w:val="24"/>
          <w:szCs w:val="24"/>
        </w:rPr>
      </w:pPr>
    </w:p>
    <w:p>
      <w:pPr>
        <w:snapToGrid w:val="0"/>
        <w:spacing w:line="44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供应商：（加盖公章）</w:t>
      </w:r>
    </w:p>
    <w:p>
      <w:pPr>
        <w:snapToGrid w:val="0"/>
        <w:spacing w:line="440" w:lineRule="exact"/>
        <w:ind w:firstLine="2400" w:firstLineChars="1000"/>
        <w:jc w:val="right"/>
        <w:rPr>
          <w:rFonts w:hint="eastAsia" w:ascii="宋体" w:hAnsi="宋体" w:eastAsia="宋体" w:cs="宋体"/>
          <w:sz w:val="24"/>
          <w:szCs w:val="24"/>
        </w:rPr>
      </w:pPr>
      <w:r>
        <w:rPr>
          <w:rFonts w:hint="eastAsia" w:ascii="宋体" w:hAnsi="宋体" w:eastAsia="宋体" w:cs="宋体"/>
          <w:sz w:val="24"/>
          <w:szCs w:val="24"/>
        </w:rPr>
        <w:t>法定代表人或被授权人：（签字或盖章）</w:t>
      </w:r>
    </w:p>
    <w:p>
      <w:pPr>
        <w:snapToGrid w:val="0"/>
        <w:spacing w:line="440" w:lineRule="exact"/>
        <w:ind w:firstLine="2400" w:firstLineChars="1000"/>
        <w:jc w:val="right"/>
        <w:rPr>
          <w:rFonts w:hint="eastAsia" w:ascii="宋体" w:hAnsi="宋体" w:eastAsia="宋体" w:cs="宋体"/>
          <w:sz w:val="24"/>
          <w:szCs w:val="24"/>
        </w:rPr>
      </w:pPr>
      <w:r>
        <w:rPr>
          <w:rFonts w:hint="eastAsia" w:ascii="宋体" w:hAnsi="宋体" w:eastAsia="宋体" w:cs="宋体"/>
          <w:sz w:val="24"/>
          <w:szCs w:val="24"/>
        </w:rPr>
        <w:t xml:space="preserve">                                     年     月     日</w:t>
      </w:r>
    </w:p>
    <w:p>
      <w:pPr>
        <w:widowControl/>
        <w:jc w:val="left"/>
        <w:rPr>
          <w:rFonts w:ascii="宋体" w:hAnsi="宋体" w:eastAsia="宋体"/>
          <w:b/>
          <w:sz w:val="28"/>
          <w:szCs w:val="28"/>
        </w:rPr>
      </w:pPr>
    </w:p>
    <w:p>
      <w:pPr>
        <w:widowControl/>
        <w:jc w:val="left"/>
        <w:rPr>
          <w:rFonts w:ascii="宋体" w:hAnsi="宋体" w:eastAsia="宋体"/>
          <w:b/>
          <w:sz w:val="28"/>
          <w:szCs w:val="28"/>
        </w:rPr>
      </w:pPr>
      <w:r>
        <w:rPr>
          <w:rFonts w:ascii="宋体" w:hAnsi="宋体" w:eastAsia="宋体"/>
          <w:b/>
          <w:sz w:val="28"/>
          <w:szCs w:val="28"/>
        </w:rPr>
        <w:br w:type="page"/>
      </w:r>
    </w:p>
    <w:p>
      <w:pPr>
        <w:snapToGrid w:val="0"/>
        <w:spacing w:afterLines="100" w:line="520" w:lineRule="exact"/>
        <w:jc w:val="center"/>
        <w:rPr>
          <w:rFonts w:ascii="宋体" w:hAnsi="宋体" w:eastAsia="宋体" w:cs="宋体"/>
          <w:b/>
          <w:sz w:val="28"/>
          <w:szCs w:val="28"/>
        </w:rPr>
      </w:pPr>
      <w:r>
        <w:rPr>
          <w:rFonts w:hint="eastAsia" w:ascii="宋体" w:hAnsi="宋体" w:eastAsia="宋体" w:cs="宋体"/>
          <w:b/>
          <w:sz w:val="28"/>
          <w:szCs w:val="28"/>
        </w:rPr>
        <w:t>磋商响应</w:t>
      </w:r>
      <w:r>
        <w:rPr>
          <w:rFonts w:hint="eastAsia" w:ascii="宋体" w:hAnsi="宋体" w:eastAsia="宋体" w:cs="宋体"/>
          <w:b/>
          <w:sz w:val="28"/>
          <w:szCs w:val="28"/>
          <w:lang w:eastAsia="zh-CN"/>
        </w:rPr>
        <w:t>总</w:t>
      </w:r>
      <w:r>
        <w:rPr>
          <w:rFonts w:hint="eastAsia" w:ascii="宋体" w:hAnsi="宋体" w:eastAsia="宋体" w:cs="宋体"/>
          <w:b/>
          <w:sz w:val="28"/>
          <w:szCs w:val="28"/>
        </w:rPr>
        <w:t>报价表</w:t>
      </w: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57"/>
        <w:tblW w:w="92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3"/>
        <w:gridCol w:w="4796"/>
        <w:gridCol w:w="22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报价轮次</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磋商</w:t>
            </w:r>
            <w:r>
              <w:rPr>
                <w:rFonts w:hint="eastAsia" w:ascii="方正仿宋_GBK" w:eastAsia="宋体"/>
                <w:b/>
                <w:sz w:val="24"/>
                <w:szCs w:val="24"/>
                <w:lang w:eastAsia="zh-CN"/>
              </w:rPr>
              <w:t>总</w:t>
            </w:r>
            <w:r>
              <w:rPr>
                <w:rFonts w:hint="eastAsia" w:ascii="方正仿宋_GBK" w:eastAsia="宋体"/>
                <w:b/>
                <w:sz w:val="24"/>
                <w:szCs w:val="24"/>
              </w:rPr>
              <w:t>报价</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首轮</w:t>
            </w:r>
            <w:r>
              <w:rPr>
                <w:rFonts w:ascii="方正仿宋_GBK" w:eastAsia="宋体"/>
                <w:bCs/>
                <w:sz w:val="24"/>
                <w:szCs w:val="24"/>
              </w:rPr>
              <w:t>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第二次报价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第三次报价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bl>
    <w:p>
      <w:pPr>
        <w:kinsoku w:val="0"/>
        <w:topLinePunct/>
        <w:snapToGrid w:val="0"/>
        <w:spacing w:line="520" w:lineRule="exact"/>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日期：</w:t>
      </w:r>
    </w:p>
    <w:p>
      <w:pPr>
        <w:kinsoku w:val="0"/>
        <w:topLinePunct/>
        <w:snapToGrid w:val="0"/>
        <w:spacing w:line="520" w:lineRule="exact"/>
        <w:rPr>
          <w:rFonts w:ascii="方正仿宋_GBK" w:eastAsia="宋体"/>
          <w:b/>
          <w:sz w:val="24"/>
          <w:szCs w:val="24"/>
        </w:rPr>
      </w:pPr>
    </w:p>
    <w:p>
      <w:pPr>
        <w:kinsoku w:val="0"/>
        <w:topLinePunct/>
        <w:snapToGrid w:val="0"/>
        <w:spacing w:line="520" w:lineRule="exact"/>
        <w:rPr>
          <w:rFonts w:ascii="方正仿宋_GBK" w:eastAsia="宋体"/>
          <w:b/>
          <w:sz w:val="24"/>
          <w:szCs w:val="24"/>
        </w:rPr>
      </w:pPr>
      <w:r>
        <w:rPr>
          <w:rFonts w:hint="eastAsia" w:ascii="方正仿宋_GBK" w:eastAsia="宋体"/>
          <w:b/>
          <w:sz w:val="24"/>
          <w:szCs w:val="24"/>
        </w:rPr>
        <w:t>注：</w:t>
      </w:r>
    </w:p>
    <w:p>
      <w:pPr>
        <w:numPr>
          <w:ilvl w:val="0"/>
          <w:numId w:val="0"/>
        </w:numPr>
        <w:kinsoku w:val="0"/>
        <w:topLinePunct/>
        <w:snapToGrid w:val="0"/>
        <w:spacing w:line="360" w:lineRule="auto"/>
        <w:rPr>
          <w:rFonts w:ascii="方正仿宋_GBK" w:eastAsia="宋体"/>
          <w:sz w:val="24"/>
          <w:szCs w:val="24"/>
        </w:rPr>
      </w:pPr>
      <w:r>
        <w:rPr>
          <w:rFonts w:hint="eastAsia" w:ascii="宋体" w:hAnsi="宋体" w:eastAsia="宋体" w:cs="宋体"/>
          <w:sz w:val="24"/>
          <w:szCs w:val="24"/>
        </w:rPr>
        <w:t>（1）</w:t>
      </w:r>
      <w:r>
        <w:rPr>
          <w:rFonts w:ascii="方正仿宋_GBK" w:eastAsia="宋体"/>
          <w:sz w:val="24"/>
          <w:szCs w:val="24"/>
        </w:rPr>
        <w:t>本表</w:t>
      </w:r>
      <w:r>
        <w:rPr>
          <w:rFonts w:hint="eastAsia" w:ascii="方正仿宋_GBK" w:eastAsia="宋体"/>
          <w:sz w:val="24"/>
          <w:szCs w:val="24"/>
        </w:rPr>
        <w:t>为格式表</w:t>
      </w:r>
      <w:r>
        <w:rPr>
          <w:rFonts w:ascii="方正仿宋_GBK" w:eastAsia="宋体"/>
          <w:sz w:val="24"/>
          <w:szCs w:val="24"/>
        </w:rPr>
        <w:t>，</w:t>
      </w:r>
      <w:r>
        <w:rPr>
          <w:rFonts w:hint="eastAsia" w:ascii="方正仿宋_GBK" w:eastAsia="宋体"/>
          <w:sz w:val="24"/>
          <w:szCs w:val="24"/>
        </w:rPr>
        <w:t>不得自行改动，必须提供</w:t>
      </w:r>
      <w:r>
        <w:rPr>
          <w:rFonts w:ascii="方正仿宋_GBK" w:eastAsia="宋体"/>
          <w:sz w:val="24"/>
          <w:szCs w:val="24"/>
        </w:rPr>
        <w:t>。</w:t>
      </w:r>
    </w:p>
    <w:p>
      <w:pPr>
        <w:numPr>
          <w:ilvl w:val="0"/>
          <w:numId w:val="0"/>
        </w:numPr>
        <w:kinsoku w:val="0"/>
        <w:topLinePunct/>
        <w:snapToGrid w:val="0"/>
        <w:spacing w:line="360" w:lineRule="auto"/>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rPr>
        <w:t>第二次报价、第三次报价（如有）将在开标现场填写，报价响应文件密封提交时只需填写“首轮报价”。</w:t>
      </w:r>
      <w:r>
        <w:rPr>
          <w:rFonts w:hint="eastAsia" w:ascii="宋体" w:hAnsi="宋体" w:eastAsia="宋体" w:cs="宋体"/>
          <w:b w:val="0"/>
          <w:bCs w:val="0"/>
          <w:sz w:val="24"/>
          <w:szCs w:val="24"/>
        </w:rPr>
        <w:t>且第二次、第三次报价时，磋商响应报价明细表按同比例下浮。</w:t>
      </w:r>
    </w:p>
    <w:p>
      <w:pPr>
        <w:rPr>
          <w:rFonts w:ascii="宋体" w:hAnsi="宋体" w:eastAsia="宋体" w:cs="宋体"/>
          <w:sz w:val="24"/>
          <w:szCs w:val="24"/>
        </w:rPr>
      </w:pPr>
      <w:r>
        <w:rPr>
          <w:rFonts w:hint="eastAsia" w:ascii="宋体" w:hAnsi="宋体" w:eastAsia="宋体" w:cs="宋体"/>
          <w:b/>
          <w:bCs/>
          <w:sz w:val="24"/>
          <w:szCs w:val="24"/>
        </w:rPr>
        <w:br w:type="page"/>
      </w:r>
    </w:p>
    <w:p>
      <w:pPr>
        <w:pStyle w:val="2"/>
        <w:ind w:left="0" w:leftChars="0" w:firstLine="0" w:firstLineChars="0"/>
        <w:jc w:val="center"/>
        <w:rPr>
          <w:rFonts w:ascii="宋体" w:hAnsi="宋体" w:cs="宋体"/>
          <w:b/>
          <w:szCs w:val="28"/>
        </w:rPr>
      </w:pPr>
      <w:r>
        <w:rPr>
          <w:rFonts w:hint="eastAsia" w:ascii="宋体" w:hAnsi="宋体" w:cs="宋体"/>
          <w:b/>
          <w:szCs w:val="28"/>
        </w:rPr>
        <w:t>磋商响应报价明细表</w:t>
      </w:r>
    </w:p>
    <w:p>
      <w:pPr>
        <w:kinsoku w:val="0"/>
        <w:topLinePunct/>
        <w:snapToGrid w:val="0"/>
        <w:spacing w:line="520" w:lineRule="exact"/>
        <w:rPr>
          <w:rFonts w:ascii="宋体" w:hAnsi="宋体" w:cs="宋体"/>
          <w:b/>
          <w:sz w:val="28"/>
          <w:szCs w:val="28"/>
        </w:rPr>
      </w:pPr>
      <w:r>
        <w:rPr>
          <w:rFonts w:hint="eastAsia" w:ascii="宋体" w:hAnsi="宋体" w:eastAsia="宋体" w:cs="宋体"/>
          <w:sz w:val="24"/>
          <w:szCs w:val="24"/>
        </w:rPr>
        <w:t>项目名称</w:t>
      </w:r>
      <w:r>
        <w:rPr>
          <w:rFonts w:ascii="方正仿宋_GBK" w:eastAsia="宋体"/>
          <w:b/>
          <w:sz w:val="24"/>
          <w:szCs w:val="24"/>
        </w:rPr>
        <w:t>：</w:t>
      </w:r>
    </w:p>
    <w:tbl>
      <w:tblPr>
        <w:tblStyle w:val="57"/>
        <w:tblW w:w="8984" w:type="dxa"/>
        <w:tblInd w:w="91" w:type="dxa"/>
        <w:tblLayout w:type="fixed"/>
        <w:tblCellMar>
          <w:top w:w="0" w:type="dxa"/>
          <w:left w:w="108" w:type="dxa"/>
          <w:bottom w:w="0" w:type="dxa"/>
          <w:right w:w="108" w:type="dxa"/>
        </w:tblCellMar>
      </w:tblPr>
      <w:tblGrid>
        <w:gridCol w:w="1149"/>
        <w:gridCol w:w="3515"/>
        <w:gridCol w:w="2848"/>
        <w:gridCol w:w="1472"/>
      </w:tblGrid>
      <w:tr>
        <w:tblPrEx>
          <w:tblCellMar>
            <w:top w:w="0" w:type="dxa"/>
            <w:left w:w="108" w:type="dxa"/>
            <w:bottom w:w="0" w:type="dxa"/>
            <w:right w:w="108" w:type="dxa"/>
          </w:tblCellMar>
        </w:tblPrEx>
        <w:trPr>
          <w:trHeight w:val="567" w:hRule="atLeast"/>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351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分项名称</w:t>
            </w:r>
          </w:p>
        </w:tc>
        <w:tc>
          <w:tcPr>
            <w:tcW w:w="284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金额（元）</w:t>
            </w:r>
          </w:p>
        </w:tc>
        <w:tc>
          <w:tcPr>
            <w:tcW w:w="147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3515"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2848"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3515"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2848"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3515"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2848"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w:t>
            </w:r>
          </w:p>
        </w:tc>
        <w:tc>
          <w:tcPr>
            <w:tcW w:w="3515"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2848"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cs="宋体"/>
                <w:b/>
                <w:bCs/>
                <w:sz w:val="24"/>
                <w:szCs w:val="24"/>
              </w:rPr>
              <w:t>总</w:t>
            </w:r>
            <w:r>
              <w:rPr>
                <w:rFonts w:hint="eastAsia" w:ascii="宋体" w:hAnsi="宋体" w:eastAsia="宋体" w:cs="宋体"/>
                <w:b/>
                <w:bCs/>
                <w:sz w:val="24"/>
                <w:szCs w:val="24"/>
                <w:lang w:eastAsia="zh-CN"/>
              </w:rPr>
              <w:t>报</w:t>
            </w:r>
            <w:r>
              <w:rPr>
                <w:rFonts w:hint="eastAsia" w:ascii="宋体" w:hAnsi="宋体" w:eastAsia="宋体" w:cs="宋体"/>
                <w:b/>
                <w:bCs/>
                <w:sz w:val="24"/>
                <w:szCs w:val="24"/>
              </w:rPr>
              <w:t>价</w:t>
            </w:r>
          </w:p>
        </w:tc>
        <w:tc>
          <w:tcPr>
            <w:tcW w:w="7835" w:type="dxa"/>
            <w:gridSpan w:val="3"/>
            <w:tcBorders>
              <w:top w:val="nil"/>
              <w:left w:val="nil"/>
              <w:bottom w:val="single" w:color="auto" w:sz="4" w:space="0"/>
              <w:right w:val="single" w:color="auto" w:sz="4" w:space="0"/>
            </w:tcBorders>
            <w:vAlign w:val="center"/>
          </w:tcPr>
          <w:p>
            <w:pPr>
              <w:rPr>
                <w:rFonts w:ascii="宋体" w:hAnsi="宋体" w:eastAsia="宋体" w:cs="宋体"/>
                <w:b/>
                <w:bCs/>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b/>
          <w:sz w:val="28"/>
          <w:szCs w:val="28"/>
        </w:rPr>
      </w:pPr>
      <w:r>
        <w:rPr>
          <w:rFonts w:hint="eastAsia" w:ascii="宋体" w:hAnsi="宋体" w:eastAsia="宋体" w:cs="宋体"/>
          <w:sz w:val="24"/>
          <w:szCs w:val="24"/>
        </w:rPr>
        <w:t>日期：</w:t>
      </w:r>
      <w:r>
        <w:rPr>
          <w:rFonts w:hint="eastAsia" w:ascii="宋体" w:hAnsi="宋体" w:eastAsia="宋体"/>
          <w:b/>
          <w:sz w:val="28"/>
          <w:szCs w:val="28"/>
        </w:rPr>
        <w:br w:type="page"/>
      </w:r>
    </w:p>
    <w:p>
      <w:pPr>
        <w:spacing w:afterLines="100"/>
        <w:jc w:val="center"/>
        <w:rPr>
          <w:rFonts w:ascii="宋体" w:hAnsi="宋体" w:eastAsia="宋体" w:cs="宋体"/>
          <w:sz w:val="24"/>
          <w:szCs w:val="24"/>
        </w:rPr>
      </w:pPr>
      <w:r>
        <w:rPr>
          <w:rFonts w:hint="eastAsia" w:ascii="宋体" w:hAnsi="宋体" w:eastAsia="宋体"/>
          <w:b/>
          <w:sz w:val="28"/>
          <w:szCs w:val="28"/>
          <w:lang w:eastAsia="zh-CN"/>
        </w:rPr>
        <w:t>中小</w:t>
      </w:r>
      <w:r>
        <w:rPr>
          <w:rFonts w:hint="eastAsia" w:ascii="宋体" w:hAnsi="宋体" w:eastAsia="宋体"/>
          <w:b/>
          <w:sz w:val="28"/>
          <w:szCs w:val="28"/>
        </w:rPr>
        <w:t>企业声明函（工程、服务）</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500" w:lineRule="exact"/>
        <w:ind w:right="1200" w:firstLine="480" w:firstLineChars="200"/>
        <w:jc w:val="right"/>
        <w:rPr>
          <w:rFonts w:ascii="宋体" w:hAnsi="宋体" w:eastAsia="宋体" w:cs="宋体"/>
          <w:sz w:val="24"/>
          <w:szCs w:val="24"/>
        </w:rPr>
      </w:pPr>
      <w:r>
        <w:rPr>
          <w:rFonts w:hint="eastAsia" w:ascii="宋体" w:hAnsi="宋体" w:eastAsia="宋体" w:cs="宋体"/>
          <w:sz w:val="24"/>
          <w:szCs w:val="24"/>
        </w:rPr>
        <w:t xml:space="preserve">企业名称（盖章）：                         </w:t>
      </w:r>
    </w:p>
    <w:p>
      <w:pPr>
        <w:spacing w:line="500" w:lineRule="exact"/>
        <w:ind w:right="9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（注：从业人员、营业收入、资产总额填报上一年度数据，无上一年度数据的新成立企业可不填报。）</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（备注：供应商如不提供上述声明函，价格将不做相应扣除）</w:t>
      </w:r>
    </w:p>
    <w:p>
      <w:pPr>
        <w:ind w:firstLine="480" w:firstLineChars="200"/>
        <w:rPr>
          <w:rFonts w:ascii="宋体" w:hAnsi="宋体" w:eastAsia="宋体" w:cs="宋体"/>
          <w:sz w:val="24"/>
          <w:szCs w:val="24"/>
        </w:rPr>
      </w:pPr>
    </w:p>
    <w:p>
      <w:pPr>
        <w:pStyle w:val="2"/>
        <w:ind w:left="520" w:firstLine="482"/>
        <w:rPr>
          <w:rFonts w:ascii="宋体" w:hAnsi="宋体" w:cs="宋体"/>
          <w:b/>
          <w:color w:val="000000"/>
          <w:sz w:val="24"/>
          <w:szCs w:val="24"/>
        </w:rPr>
      </w:pPr>
    </w:p>
    <w:p>
      <w:pPr>
        <w:spacing w:line="440" w:lineRule="exact"/>
        <w:rPr>
          <w:rFonts w:ascii="宋体" w:hAnsi="宋体" w:eastAsia="宋体" w:cs="宋体"/>
          <w:b/>
          <w:color w:val="000000"/>
          <w:sz w:val="24"/>
          <w:szCs w:val="24"/>
        </w:rPr>
      </w:pPr>
    </w:p>
    <w:p>
      <w:pPr>
        <w:spacing w:line="440" w:lineRule="exact"/>
        <w:jc w:val="center"/>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100" w:line="520" w:lineRule="exact"/>
        <w:jc w:val="center"/>
        <w:rPr>
          <w:rFonts w:ascii="宋体" w:hAnsi="宋体" w:eastAsia="宋体" w:cs="宋体"/>
          <w:spacing w:val="6"/>
          <w:sz w:val="24"/>
          <w:szCs w:val="24"/>
        </w:rPr>
      </w:pPr>
      <w:r>
        <w:rPr>
          <w:rFonts w:hint="eastAsia" w:ascii="宋体" w:hAnsi="宋体" w:eastAsia="宋体"/>
          <w:b/>
          <w:sz w:val="28"/>
          <w:szCs w:val="28"/>
        </w:rPr>
        <w:t>残疾人福利性单位声明函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本单位在本次政府采购活动中提供的残疾人福利单位产品报价合计为人民币（大写）圆整（￥：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（备注：1、供应商如不提供此声明函，价格将不做相应扣除。2、成交供应商为残疾人福利单位的，此声明函将随成交结果同时公告，接受社会监督）</w:t>
      </w:r>
    </w:p>
    <w:p>
      <w:pPr>
        <w:spacing w:line="440" w:lineRule="exact"/>
        <w:ind w:firstLine="504" w:firstLineChars="200"/>
        <w:rPr>
          <w:rFonts w:ascii="宋体" w:hAnsi="宋体" w:eastAsia="宋体" w:cs="宋体"/>
          <w:spacing w:val="6"/>
          <w:sz w:val="24"/>
          <w:szCs w:val="24"/>
        </w:rPr>
      </w:pP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供应商全称（盖章）：</w:t>
      </w: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  期：</w:t>
      </w:r>
    </w:p>
    <w:p>
      <w:pPr>
        <w:pStyle w:val="25"/>
        <w:rPr>
          <w:rFonts w:ascii="宋体" w:hAnsi="宋体" w:eastAsia="宋体" w:cs="宋体"/>
          <w:sz w:val="24"/>
          <w:szCs w:val="24"/>
        </w:rPr>
      </w:pPr>
    </w:p>
    <w:p>
      <w:pPr>
        <w:rPr>
          <w:rFonts w:ascii="宋体" w:hAnsi="宋体" w:eastAsia="宋体" w:cs="宋体"/>
          <w:sz w:val="28"/>
          <w:szCs w:val="28"/>
        </w:rPr>
      </w:pPr>
    </w:p>
    <w:p>
      <w:pPr>
        <w:kinsoku w:val="0"/>
        <w:topLinePunct/>
        <w:snapToGrid w:val="0"/>
        <w:spacing w:line="360" w:lineRule="auto"/>
        <w:jc w:val="left"/>
        <w:rPr>
          <w:rFonts w:ascii="宋体" w:hAnsi="宋体" w:eastAsia="宋体" w:cs="宋体"/>
          <w:sz w:val="28"/>
          <w:szCs w:val="28"/>
        </w:rPr>
      </w:pPr>
    </w:p>
    <w:p>
      <w:pPr>
        <w:snapToGrid w:val="0"/>
        <w:spacing w:line="360" w:lineRule="auto"/>
        <w:outlineLvl w:val="3"/>
        <w:rPr>
          <w:rFonts w:asciiTheme="majorEastAsia" w:hAnsiTheme="majorEastAsia" w:eastAsiaTheme="majorEastAsia" w:cstheme="minorEastAsia"/>
          <w:b/>
          <w:bCs/>
          <w:sz w:val="24"/>
          <w:szCs w:val="24"/>
        </w:rPr>
      </w:pPr>
    </w:p>
    <w:sectPr>
      <w:footerReference r:id="rId8" w:type="default"/>
      <w:pgSz w:w="11906" w:h="16838"/>
      <w:pgMar w:top="1418" w:right="1417" w:bottom="1417" w:left="1418" w:header="851" w:footer="449" w:gutter="0"/>
      <w:pgNumType w:start="3"/>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enlo">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180"/>
      <w:jc w:val="center"/>
    </w:pPr>
    <w: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LmNM0BAACo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3ud&#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9LmNM0BAACoAwAADgAAAAAAAAABACAAAAAeAQAAZHJzL2Uy&#10;b0RvYy54bWxQSwUGAAAAAAYABgBZAQAAXQUAAAAA&#10;">
          <v:path/>
          <v:fill on="f" focussize="0,0"/>
          <v:stroke on="f" joinstyle="miter"/>
          <v:imagedata o:title=""/>
          <o:lock v:ext="edit"/>
          <v:textbox inset="0mm,0mm,0mm,0mm" style="mso-fit-shape-to-text:t;">
            <w:txbxContent>
              <w:p>
                <w:pPr>
                  <w:pStyle w:val="36"/>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34</w:t>
                </w:r>
                <w:r>
                  <w:fldChar w:fldCharType="end"/>
                </w:r>
                <w:r>
                  <w:rPr>
                    <w:rFonts w:hint="eastAsia"/>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4"/>
      <w:jc w:val="center"/>
    </w:pPr>
    <w:r>
      <w:pict>
        <v:shape id="_x0000_s1029" o:spid="_x0000_s102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wahs4BAACo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e0CTecOWHpxS8/vl9+/r78+sZu&#10;kj69x4rK7j0VxuEtDFQ7x5GCifbQBpu+RIhRntQ9X9VVQ2QyXVqv1uuSUpJys0P4xcN1HzC+U2BZ&#10;Mmoe6PmyquL0AeNYOpekbg7utDH5CY37K0CYY0TlHZhuJybjxMmKw36Y6O2hORO7nvag5o7WnjPz&#10;3pHMaWVmI8zGfjaOPu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pcGobOAQAAqAMAAA4AAAAAAAAAAQAgAAAAHgEAAGRycy9l&#10;Mm9Eb2MueG1sUEsFBgAAAAAGAAYAWQEAAF4FAAAAAA==&#10;">
          <v:path/>
          <v:fill on="f" focussize="0,0"/>
          <v:stroke on="f" joinstyle="miter"/>
          <v:imagedata o:title=""/>
          <o:lock v:ext="edit"/>
          <v:textbox inset="0mm,0mm,0mm,0mm" style="mso-fit-shape-to-text:t;">
            <w:txbxContent>
              <w:p>
                <w:pPr>
                  <w:pStyle w:val="36"/>
                </w:pPr>
                <w:r>
                  <w:rPr>
                    <w:rFonts w:hint="eastAsia"/>
                  </w:rPr>
                  <w:t>第</w:t>
                </w:r>
                <w:r>
                  <w:fldChar w:fldCharType="begin"/>
                </w:r>
                <w:r>
                  <w:instrText xml:space="preserve"> PAGE  \* MERGEFORMAT </w:instrText>
                </w:r>
                <w:r>
                  <w:fldChar w:fldCharType="separate"/>
                </w:r>
                <w:r>
                  <w:t>10</w:t>
                </w:r>
                <w:r>
                  <w:fldChar w:fldCharType="end"/>
                </w:r>
                <w:r>
                  <w:rPr>
                    <w:rFonts w:hint="eastAsia"/>
                  </w:rPr>
                  <w:t>页共</w:t>
                </w:r>
                <w:r>
                  <w:fldChar w:fldCharType="begin"/>
                </w:r>
                <w:r>
                  <w:instrText xml:space="preserve"> NUMPAGES  \* MERGEFORMAT </w:instrText>
                </w:r>
                <w:r>
                  <w:fldChar w:fldCharType="separate"/>
                </w:r>
                <w:r>
                  <w:t>34</w:t>
                </w:r>
                <w:r>
                  <w:fldChar w:fldCharType="end"/>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6BE95"/>
    <w:multiLevelType w:val="singleLevel"/>
    <w:tmpl w:val="B116BE95"/>
    <w:lvl w:ilvl="0" w:tentative="0">
      <w:start w:val="2"/>
      <w:numFmt w:val="decimal"/>
      <w:suff w:val="nothing"/>
      <w:lvlText w:val="%1、"/>
      <w:lvlJc w:val="left"/>
    </w:lvl>
  </w:abstractNum>
  <w:abstractNum w:abstractNumId="1">
    <w:nsid w:val="B39A434A"/>
    <w:multiLevelType w:val="singleLevel"/>
    <w:tmpl w:val="B39A434A"/>
    <w:lvl w:ilvl="0" w:tentative="0">
      <w:start w:val="5"/>
      <w:numFmt w:val="chineseCounting"/>
      <w:suff w:val="nothing"/>
      <w:lvlText w:val="%1、"/>
      <w:lvlJc w:val="left"/>
      <w:rPr>
        <w:rFonts w:hint="eastAsia"/>
      </w:rPr>
    </w:lvl>
  </w:abstractNum>
  <w:abstractNum w:abstractNumId="2">
    <w:nsid w:val="24CD7AE3"/>
    <w:multiLevelType w:val="multilevel"/>
    <w:tmpl w:val="24CD7AE3"/>
    <w:lvl w:ilvl="0" w:tentative="0">
      <w:start w:val="1"/>
      <w:numFmt w:val="lowerLetter"/>
      <w:lvlText w:val="%1)"/>
      <w:lvlJc w:val="left"/>
      <w:pPr>
        <w:tabs>
          <w:tab w:val="left" w:pos="1600"/>
        </w:tabs>
        <w:ind w:left="1603" w:hanging="723"/>
      </w:pPr>
      <w:rPr>
        <w:rFonts w:hint="eastAsia"/>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10"/>
      <w:lvlText w:val="%1.%2.%3.%4.%5"/>
      <w:lvlJc w:val="left"/>
      <w:pPr>
        <w:tabs>
          <w:tab w:val="left" w:pos="1008"/>
        </w:tabs>
        <w:ind w:left="1008" w:hanging="1008"/>
      </w:pPr>
      <w:rPr>
        <w:rFonts w:cs="Times New Roman"/>
      </w:rPr>
    </w:lvl>
    <w:lvl w:ilvl="5" w:tentative="0">
      <w:start w:val="1"/>
      <w:numFmt w:val="decimal"/>
      <w:pStyle w:val="12"/>
      <w:lvlText w:val="%1.%2.%3.%4.%5.%6"/>
      <w:lvlJc w:val="left"/>
      <w:pPr>
        <w:tabs>
          <w:tab w:val="left" w:pos="1152"/>
        </w:tabs>
        <w:ind w:left="1152" w:hanging="1152"/>
      </w:pPr>
      <w:rPr>
        <w:rFonts w:cs="Times New Roman"/>
      </w:rPr>
    </w:lvl>
    <w:lvl w:ilvl="6" w:tentative="0">
      <w:start w:val="1"/>
      <w:numFmt w:val="decimal"/>
      <w:pStyle w:val="13"/>
      <w:lvlText w:val="%1.%2.%3.%4.%5.%6.%7"/>
      <w:lvlJc w:val="left"/>
      <w:pPr>
        <w:tabs>
          <w:tab w:val="left" w:pos="1296"/>
        </w:tabs>
        <w:ind w:left="1296" w:hanging="1296"/>
      </w:pPr>
      <w:rPr>
        <w:rFonts w:cs="Times New Roman"/>
      </w:rPr>
    </w:lvl>
    <w:lvl w:ilvl="7" w:tentative="0">
      <w:start w:val="1"/>
      <w:numFmt w:val="decimal"/>
      <w:pStyle w:val="14"/>
      <w:lvlText w:val="%1.%2.%3.%4.%5.%6.%7.%8"/>
      <w:lvlJc w:val="left"/>
      <w:pPr>
        <w:tabs>
          <w:tab w:val="left" w:pos="1440"/>
        </w:tabs>
        <w:ind w:left="1440" w:hanging="1440"/>
      </w:pPr>
      <w:rPr>
        <w:rFonts w:cs="Times New Roman"/>
      </w:rPr>
    </w:lvl>
    <w:lvl w:ilvl="8" w:tentative="0">
      <w:start w:val="1"/>
      <w:numFmt w:val="decimal"/>
      <w:pStyle w:val="15"/>
      <w:lvlText w:val="%1.%2.%3.%4.%5.%6.%7.%8.%9"/>
      <w:lvlJc w:val="left"/>
      <w:pPr>
        <w:tabs>
          <w:tab w:val="left" w:pos="1584"/>
        </w:tabs>
        <w:ind w:left="1584" w:hanging="1584"/>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rawingGridHorizontalSpacing w:val="119"/>
  <w:drawingGridVerticalSpacing w:val="193"/>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mZlMjhkY2RlYjAyZTFkZjk4MWVmYWM5MjEwN2M0ZmYifQ=="/>
  </w:docVars>
  <w:rsids>
    <w:rsidRoot w:val="00172A27"/>
    <w:rsid w:val="000018D1"/>
    <w:rsid w:val="0000455F"/>
    <w:rsid w:val="000065D1"/>
    <w:rsid w:val="00006986"/>
    <w:rsid w:val="0001043F"/>
    <w:rsid w:val="0001131A"/>
    <w:rsid w:val="000120DE"/>
    <w:rsid w:val="00013405"/>
    <w:rsid w:val="00016408"/>
    <w:rsid w:val="00021D1A"/>
    <w:rsid w:val="000232CD"/>
    <w:rsid w:val="00026332"/>
    <w:rsid w:val="0002688A"/>
    <w:rsid w:val="00027277"/>
    <w:rsid w:val="00030AED"/>
    <w:rsid w:val="00031A6A"/>
    <w:rsid w:val="000375E7"/>
    <w:rsid w:val="0004090E"/>
    <w:rsid w:val="00043D3D"/>
    <w:rsid w:val="00044D32"/>
    <w:rsid w:val="00045CB3"/>
    <w:rsid w:val="0005183F"/>
    <w:rsid w:val="0005188F"/>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4937"/>
    <w:rsid w:val="000751EC"/>
    <w:rsid w:val="000803B7"/>
    <w:rsid w:val="00080695"/>
    <w:rsid w:val="00080F94"/>
    <w:rsid w:val="00081FEB"/>
    <w:rsid w:val="00082795"/>
    <w:rsid w:val="00082C11"/>
    <w:rsid w:val="00084C18"/>
    <w:rsid w:val="00085192"/>
    <w:rsid w:val="00087F0D"/>
    <w:rsid w:val="00093BED"/>
    <w:rsid w:val="00097AED"/>
    <w:rsid w:val="000A02C8"/>
    <w:rsid w:val="000A2566"/>
    <w:rsid w:val="000A2781"/>
    <w:rsid w:val="000A5DF9"/>
    <w:rsid w:val="000B2CAE"/>
    <w:rsid w:val="000B3F2B"/>
    <w:rsid w:val="000B4100"/>
    <w:rsid w:val="000B61D8"/>
    <w:rsid w:val="000C1716"/>
    <w:rsid w:val="000C2018"/>
    <w:rsid w:val="000C6205"/>
    <w:rsid w:val="000C7A29"/>
    <w:rsid w:val="000D07AE"/>
    <w:rsid w:val="000D2520"/>
    <w:rsid w:val="000D425D"/>
    <w:rsid w:val="000D5D52"/>
    <w:rsid w:val="000E0699"/>
    <w:rsid w:val="000E3676"/>
    <w:rsid w:val="000E4EE5"/>
    <w:rsid w:val="000F0A06"/>
    <w:rsid w:val="000F0D81"/>
    <w:rsid w:val="000F0F3A"/>
    <w:rsid w:val="000F1E7F"/>
    <w:rsid w:val="000F5798"/>
    <w:rsid w:val="00101851"/>
    <w:rsid w:val="00104C38"/>
    <w:rsid w:val="001058BE"/>
    <w:rsid w:val="001060A0"/>
    <w:rsid w:val="00115087"/>
    <w:rsid w:val="001208A1"/>
    <w:rsid w:val="00121064"/>
    <w:rsid w:val="0012234F"/>
    <w:rsid w:val="00126373"/>
    <w:rsid w:val="0013074D"/>
    <w:rsid w:val="0013129B"/>
    <w:rsid w:val="00133F59"/>
    <w:rsid w:val="00133F64"/>
    <w:rsid w:val="00134926"/>
    <w:rsid w:val="00134A4A"/>
    <w:rsid w:val="001358C7"/>
    <w:rsid w:val="0013622E"/>
    <w:rsid w:val="00136918"/>
    <w:rsid w:val="00137CDF"/>
    <w:rsid w:val="001405AB"/>
    <w:rsid w:val="00140F98"/>
    <w:rsid w:val="001415FA"/>
    <w:rsid w:val="0014761F"/>
    <w:rsid w:val="001501CD"/>
    <w:rsid w:val="001523D0"/>
    <w:rsid w:val="00152FC8"/>
    <w:rsid w:val="0015415E"/>
    <w:rsid w:val="00156462"/>
    <w:rsid w:val="001602A0"/>
    <w:rsid w:val="0016141A"/>
    <w:rsid w:val="00162476"/>
    <w:rsid w:val="0016331B"/>
    <w:rsid w:val="00165311"/>
    <w:rsid w:val="001672ED"/>
    <w:rsid w:val="00170FB0"/>
    <w:rsid w:val="00172A27"/>
    <w:rsid w:val="001734DA"/>
    <w:rsid w:val="00174C07"/>
    <w:rsid w:val="00176285"/>
    <w:rsid w:val="00176730"/>
    <w:rsid w:val="0018042D"/>
    <w:rsid w:val="001808F7"/>
    <w:rsid w:val="00181EAF"/>
    <w:rsid w:val="00182E47"/>
    <w:rsid w:val="00183F16"/>
    <w:rsid w:val="00187FF6"/>
    <w:rsid w:val="00190723"/>
    <w:rsid w:val="00192340"/>
    <w:rsid w:val="00194A8E"/>
    <w:rsid w:val="001956FB"/>
    <w:rsid w:val="00196F09"/>
    <w:rsid w:val="001A20CA"/>
    <w:rsid w:val="001A2B16"/>
    <w:rsid w:val="001A6641"/>
    <w:rsid w:val="001B1B65"/>
    <w:rsid w:val="001B3C9B"/>
    <w:rsid w:val="001B7395"/>
    <w:rsid w:val="001C02B0"/>
    <w:rsid w:val="001C02E6"/>
    <w:rsid w:val="001C1688"/>
    <w:rsid w:val="001C3730"/>
    <w:rsid w:val="001C47C7"/>
    <w:rsid w:val="001C7824"/>
    <w:rsid w:val="001D0870"/>
    <w:rsid w:val="001D11BB"/>
    <w:rsid w:val="001D16BB"/>
    <w:rsid w:val="001D26D0"/>
    <w:rsid w:val="001D56D1"/>
    <w:rsid w:val="001D65C1"/>
    <w:rsid w:val="001D6D1C"/>
    <w:rsid w:val="001E1F91"/>
    <w:rsid w:val="001E67E6"/>
    <w:rsid w:val="001F11D9"/>
    <w:rsid w:val="001F6C79"/>
    <w:rsid w:val="001F6DC4"/>
    <w:rsid w:val="001F78E3"/>
    <w:rsid w:val="002006E8"/>
    <w:rsid w:val="00201815"/>
    <w:rsid w:val="00207585"/>
    <w:rsid w:val="00207802"/>
    <w:rsid w:val="00210217"/>
    <w:rsid w:val="00213D3C"/>
    <w:rsid w:val="0021431C"/>
    <w:rsid w:val="00216A7B"/>
    <w:rsid w:val="00217B18"/>
    <w:rsid w:val="00220F40"/>
    <w:rsid w:val="0022166B"/>
    <w:rsid w:val="00227361"/>
    <w:rsid w:val="0023033E"/>
    <w:rsid w:val="002344F3"/>
    <w:rsid w:val="0023518E"/>
    <w:rsid w:val="00235D20"/>
    <w:rsid w:val="00237D07"/>
    <w:rsid w:val="00240F1A"/>
    <w:rsid w:val="00244886"/>
    <w:rsid w:val="00244D4C"/>
    <w:rsid w:val="00244D6A"/>
    <w:rsid w:val="002454FD"/>
    <w:rsid w:val="0025015F"/>
    <w:rsid w:val="00250BB8"/>
    <w:rsid w:val="00251328"/>
    <w:rsid w:val="00251D53"/>
    <w:rsid w:val="00252C23"/>
    <w:rsid w:val="002562E0"/>
    <w:rsid w:val="00256869"/>
    <w:rsid w:val="00262955"/>
    <w:rsid w:val="00264217"/>
    <w:rsid w:val="002643E3"/>
    <w:rsid w:val="00265873"/>
    <w:rsid w:val="002666A9"/>
    <w:rsid w:val="00270E66"/>
    <w:rsid w:val="00271878"/>
    <w:rsid w:val="00271CAF"/>
    <w:rsid w:val="002721D8"/>
    <w:rsid w:val="002726A6"/>
    <w:rsid w:val="00276FBA"/>
    <w:rsid w:val="00277152"/>
    <w:rsid w:val="00277407"/>
    <w:rsid w:val="00281543"/>
    <w:rsid w:val="00282ADB"/>
    <w:rsid w:val="002849D6"/>
    <w:rsid w:val="00287F3E"/>
    <w:rsid w:val="002955D5"/>
    <w:rsid w:val="00295E54"/>
    <w:rsid w:val="0029745E"/>
    <w:rsid w:val="002A099C"/>
    <w:rsid w:val="002A2B1E"/>
    <w:rsid w:val="002A38C3"/>
    <w:rsid w:val="002A5A40"/>
    <w:rsid w:val="002A6C57"/>
    <w:rsid w:val="002A7330"/>
    <w:rsid w:val="002B0673"/>
    <w:rsid w:val="002B26BB"/>
    <w:rsid w:val="002B4617"/>
    <w:rsid w:val="002B692D"/>
    <w:rsid w:val="002B7A73"/>
    <w:rsid w:val="002B7D50"/>
    <w:rsid w:val="002C0064"/>
    <w:rsid w:val="002C0A7E"/>
    <w:rsid w:val="002C4126"/>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B0A"/>
    <w:rsid w:val="002F1B8A"/>
    <w:rsid w:val="002F3BB6"/>
    <w:rsid w:val="002F7139"/>
    <w:rsid w:val="002F7366"/>
    <w:rsid w:val="003022B1"/>
    <w:rsid w:val="0030278D"/>
    <w:rsid w:val="003062E6"/>
    <w:rsid w:val="003062FE"/>
    <w:rsid w:val="0030765A"/>
    <w:rsid w:val="00320827"/>
    <w:rsid w:val="00323E90"/>
    <w:rsid w:val="00326FF0"/>
    <w:rsid w:val="00327D3B"/>
    <w:rsid w:val="00331D4D"/>
    <w:rsid w:val="0033212D"/>
    <w:rsid w:val="00334616"/>
    <w:rsid w:val="00336479"/>
    <w:rsid w:val="00340116"/>
    <w:rsid w:val="00341C6F"/>
    <w:rsid w:val="0034211E"/>
    <w:rsid w:val="0034269E"/>
    <w:rsid w:val="003474ED"/>
    <w:rsid w:val="00351257"/>
    <w:rsid w:val="003513BB"/>
    <w:rsid w:val="003555D2"/>
    <w:rsid w:val="00356D0A"/>
    <w:rsid w:val="00357676"/>
    <w:rsid w:val="0036077C"/>
    <w:rsid w:val="003639FA"/>
    <w:rsid w:val="0036413C"/>
    <w:rsid w:val="003643F7"/>
    <w:rsid w:val="003646D9"/>
    <w:rsid w:val="00372930"/>
    <w:rsid w:val="00373DED"/>
    <w:rsid w:val="00374E1A"/>
    <w:rsid w:val="00375987"/>
    <w:rsid w:val="00375AC2"/>
    <w:rsid w:val="00377E22"/>
    <w:rsid w:val="00377E4F"/>
    <w:rsid w:val="00381008"/>
    <w:rsid w:val="0038256B"/>
    <w:rsid w:val="00382E59"/>
    <w:rsid w:val="00385649"/>
    <w:rsid w:val="00385694"/>
    <w:rsid w:val="00386992"/>
    <w:rsid w:val="00387249"/>
    <w:rsid w:val="003877D0"/>
    <w:rsid w:val="00392AF9"/>
    <w:rsid w:val="00393216"/>
    <w:rsid w:val="0039406B"/>
    <w:rsid w:val="003962B9"/>
    <w:rsid w:val="003A0200"/>
    <w:rsid w:val="003A041B"/>
    <w:rsid w:val="003A3A48"/>
    <w:rsid w:val="003A3FB5"/>
    <w:rsid w:val="003A5458"/>
    <w:rsid w:val="003B224B"/>
    <w:rsid w:val="003B5297"/>
    <w:rsid w:val="003C0A12"/>
    <w:rsid w:val="003C2D19"/>
    <w:rsid w:val="003C4AF1"/>
    <w:rsid w:val="003C65F2"/>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7786"/>
    <w:rsid w:val="003F41CB"/>
    <w:rsid w:val="003F533B"/>
    <w:rsid w:val="003F69D9"/>
    <w:rsid w:val="00403E61"/>
    <w:rsid w:val="004042A4"/>
    <w:rsid w:val="00414029"/>
    <w:rsid w:val="00414D05"/>
    <w:rsid w:val="0041643E"/>
    <w:rsid w:val="00416FCB"/>
    <w:rsid w:val="00417AFE"/>
    <w:rsid w:val="00423BB9"/>
    <w:rsid w:val="00423C4E"/>
    <w:rsid w:val="004257F2"/>
    <w:rsid w:val="0042583F"/>
    <w:rsid w:val="00431BA7"/>
    <w:rsid w:val="0043363D"/>
    <w:rsid w:val="0043396C"/>
    <w:rsid w:val="00433F4C"/>
    <w:rsid w:val="00436EEE"/>
    <w:rsid w:val="004378D9"/>
    <w:rsid w:val="0044024E"/>
    <w:rsid w:val="004411C8"/>
    <w:rsid w:val="0044710D"/>
    <w:rsid w:val="00447819"/>
    <w:rsid w:val="00451E99"/>
    <w:rsid w:val="00453594"/>
    <w:rsid w:val="00455D6E"/>
    <w:rsid w:val="00462461"/>
    <w:rsid w:val="0046266E"/>
    <w:rsid w:val="00463B9D"/>
    <w:rsid w:val="004647FD"/>
    <w:rsid w:val="00465CCF"/>
    <w:rsid w:val="004663A1"/>
    <w:rsid w:val="0046792D"/>
    <w:rsid w:val="004708BD"/>
    <w:rsid w:val="00471869"/>
    <w:rsid w:val="00472909"/>
    <w:rsid w:val="0047326F"/>
    <w:rsid w:val="004735A9"/>
    <w:rsid w:val="00473A69"/>
    <w:rsid w:val="00473C73"/>
    <w:rsid w:val="004743AB"/>
    <w:rsid w:val="004746F8"/>
    <w:rsid w:val="00475FA7"/>
    <w:rsid w:val="00476283"/>
    <w:rsid w:val="00476713"/>
    <w:rsid w:val="00477280"/>
    <w:rsid w:val="00490DB8"/>
    <w:rsid w:val="00491E38"/>
    <w:rsid w:val="004927C1"/>
    <w:rsid w:val="00492D76"/>
    <w:rsid w:val="004946E1"/>
    <w:rsid w:val="00497301"/>
    <w:rsid w:val="004A58E9"/>
    <w:rsid w:val="004B3C41"/>
    <w:rsid w:val="004B416F"/>
    <w:rsid w:val="004B5228"/>
    <w:rsid w:val="004B7197"/>
    <w:rsid w:val="004C0758"/>
    <w:rsid w:val="004C4D31"/>
    <w:rsid w:val="004C6E5D"/>
    <w:rsid w:val="004D023E"/>
    <w:rsid w:val="004D027A"/>
    <w:rsid w:val="004D1D17"/>
    <w:rsid w:val="004D4197"/>
    <w:rsid w:val="004D4CC6"/>
    <w:rsid w:val="004D4F5F"/>
    <w:rsid w:val="004D6CF6"/>
    <w:rsid w:val="004D6E86"/>
    <w:rsid w:val="004E02C9"/>
    <w:rsid w:val="004E248D"/>
    <w:rsid w:val="004E2977"/>
    <w:rsid w:val="004E3012"/>
    <w:rsid w:val="004E47CA"/>
    <w:rsid w:val="004E51B4"/>
    <w:rsid w:val="004F0F21"/>
    <w:rsid w:val="004F1488"/>
    <w:rsid w:val="004F28EC"/>
    <w:rsid w:val="004F2A64"/>
    <w:rsid w:val="004F30EA"/>
    <w:rsid w:val="004F35D6"/>
    <w:rsid w:val="004F3CE0"/>
    <w:rsid w:val="004F4C2C"/>
    <w:rsid w:val="004F65E3"/>
    <w:rsid w:val="00500B0C"/>
    <w:rsid w:val="00500ED9"/>
    <w:rsid w:val="00502872"/>
    <w:rsid w:val="00503B0F"/>
    <w:rsid w:val="00505A94"/>
    <w:rsid w:val="00505FCD"/>
    <w:rsid w:val="00506118"/>
    <w:rsid w:val="00506280"/>
    <w:rsid w:val="00506896"/>
    <w:rsid w:val="00510A4A"/>
    <w:rsid w:val="00513159"/>
    <w:rsid w:val="0051338C"/>
    <w:rsid w:val="00516BFF"/>
    <w:rsid w:val="005238B4"/>
    <w:rsid w:val="0052405F"/>
    <w:rsid w:val="005246BE"/>
    <w:rsid w:val="00526D3C"/>
    <w:rsid w:val="005272D4"/>
    <w:rsid w:val="005277E0"/>
    <w:rsid w:val="00531CF6"/>
    <w:rsid w:val="005325F8"/>
    <w:rsid w:val="005365B4"/>
    <w:rsid w:val="00537220"/>
    <w:rsid w:val="00540E80"/>
    <w:rsid w:val="0054362F"/>
    <w:rsid w:val="005472A9"/>
    <w:rsid w:val="00550CFF"/>
    <w:rsid w:val="005516BC"/>
    <w:rsid w:val="00553021"/>
    <w:rsid w:val="005571E8"/>
    <w:rsid w:val="00557347"/>
    <w:rsid w:val="005611B7"/>
    <w:rsid w:val="005621B6"/>
    <w:rsid w:val="00562E92"/>
    <w:rsid w:val="00565F9B"/>
    <w:rsid w:val="00566324"/>
    <w:rsid w:val="00566C63"/>
    <w:rsid w:val="00572E67"/>
    <w:rsid w:val="00574A7A"/>
    <w:rsid w:val="00575C75"/>
    <w:rsid w:val="00577EAF"/>
    <w:rsid w:val="0058030C"/>
    <w:rsid w:val="005818BA"/>
    <w:rsid w:val="00586872"/>
    <w:rsid w:val="0059081A"/>
    <w:rsid w:val="00590F18"/>
    <w:rsid w:val="00592CFE"/>
    <w:rsid w:val="00593133"/>
    <w:rsid w:val="00593E48"/>
    <w:rsid w:val="00596B06"/>
    <w:rsid w:val="005A0680"/>
    <w:rsid w:val="005A0BD0"/>
    <w:rsid w:val="005A2D6A"/>
    <w:rsid w:val="005A347D"/>
    <w:rsid w:val="005A4817"/>
    <w:rsid w:val="005A78D4"/>
    <w:rsid w:val="005B2140"/>
    <w:rsid w:val="005B46FB"/>
    <w:rsid w:val="005B5D60"/>
    <w:rsid w:val="005B67F8"/>
    <w:rsid w:val="005B7E69"/>
    <w:rsid w:val="005C00A5"/>
    <w:rsid w:val="005C1679"/>
    <w:rsid w:val="005C5831"/>
    <w:rsid w:val="005C627B"/>
    <w:rsid w:val="005C70FD"/>
    <w:rsid w:val="005C78F8"/>
    <w:rsid w:val="005D31AE"/>
    <w:rsid w:val="005D3C3B"/>
    <w:rsid w:val="005D3F20"/>
    <w:rsid w:val="005D4228"/>
    <w:rsid w:val="005D64B6"/>
    <w:rsid w:val="005D77DF"/>
    <w:rsid w:val="005E39BE"/>
    <w:rsid w:val="005E3A5A"/>
    <w:rsid w:val="005E3FB9"/>
    <w:rsid w:val="005E4BC7"/>
    <w:rsid w:val="005E70DE"/>
    <w:rsid w:val="005E7887"/>
    <w:rsid w:val="005F0F8E"/>
    <w:rsid w:val="005F10BC"/>
    <w:rsid w:val="005F2398"/>
    <w:rsid w:val="005F3656"/>
    <w:rsid w:val="005F3A91"/>
    <w:rsid w:val="00602CC0"/>
    <w:rsid w:val="0060724C"/>
    <w:rsid w:val="006112C2"/>
    <w:rsid w:val="006126C9"/>
    <w:rsid w:val="0061390E"/>
    <w:rsid w:val="006171B6"/>
    <w:rsid w:val="0061750C"/>
    <w:rsid w:val="0061798B"/>
    <w:rsid w:val="00617EC3"/>
    <w:rsid w:val="006240FF"/>
    <w:rsid w:val="00624ED6"/>
    <w:rsid w:val="00630DB5"/>
    <w:rsid w:val="0063178C"/>
    <w:rsid w:val="006337DE"/>
    <w:rsid w:val="00633C72"/>
    <w:rsid w:val="00634BBF"/>
    <w:rsid w:val="00634E16"/>
    <w:rsid w:val="00635144"/>
    <w:rsid w:val="00636441"/>
    <w:rsid w:val="00644677"/>
    <w:rsid w:val="006465E4"/>
    <w:rsid w:val="00646EE0"/>
    <w:rsid w:val="0064703B"/>
    <w:rsid w:val="006506CD"/>
    <w:rsid w:val="006517DB"/>
    <w:rsid w:val="0065302D"/>
    <w:rsid w:val="00654AFD"/>
    <w:rsid w:val="00654C7B"/>
    <w:rsid w:val="00654C95"/>
    <w:rsid w:val="00657BA5"/>
    <w:rsid w:val="00657D92"/>
    <w:rsid w:val="00660D06"/>
    <w:rsid w:val="00662AF5"/>
    <w:rsid w:val="00663AE4"/>
    <w:rsid w:val="006646CA"/>
    <w:rsid w:val="00665AB9"/>
    <w:rsid w:val="00670580"/>
    <w:rsid w:val="00671DE2"/>
    <w:rsid w:val="00672592"/>
    <w:rsid w:val="00673E15"/>
    <w:rsid w:val="00674103"/>
    <w:rsid w:val="00674A15"/>
    <w:rsid w:val="00675196"/>
    <w:rsid w:val="006802BD"/>
    <w:rsid w:val="00680C2A"/>
    <w:rsid w:val="006836A9"/>
    <w:rsid w:val="0068402E"/>
    <w:rsid w:val="00684876"/>
    <w:rsid w:val="006870C9"/>
    <w:rsid w:val="00687ACF"/>
    <w:rsid w:val="0069366E"/>
    <w:rsid w:val="00693E72"/>
    <w:rsid w:val="00694D07"/>
    <w:rsid w:val="00695244"/>
    <w:rsid w:val="0069776E"/>
    <w:rsid w:val="00697D91"/>
    <w:rsid w:val="006A12E6"/>
    <w:rsid w:val="006A19E4"/>
    <w:rsid w:val="006A5750"/>
    <w:rsid w:val="006A7B34"/>
    <w:rsid w:val="006B12EB"/>
    <w:rsid w:val="006B29A9"/>
    <w:rsid w:val="006B5C45"/>
    <w:rsid w:val="006B5FDC"/>
    <w:rsid w:val="006B680E"/>
    <w:rsid w:val="006B69E7"/>
    <w:rsid w:val="006B7DA9"/>
    <w:rsid w:val="006C221E"/>
    <w:rsid w:val="006C4F29"/>
    <w:rsid w:val="006C5456"/>
    <w:rsid w:val="006C7853"/>
    <w:rsid w:val="006D04AD"/>
    <w:rsid w:val="006D1759"/>
    <w:rsid w:val="006D4014"/>
    <w:rsid w:val="006D5EB0"/>
    <w:rsid w:val="006E2CBC"/>
    <w:rsid w:val="006E33D9"/>
    <w:rsid w:val="006E499B"/>
    <w:rsid w:val="006E5E03"/>
    <w:rsid w:val="006F0CBE"/>
    <w:rsid w:val="006F13C0"/>
    <w:rsid w:val="006F1C28"/>
    <w:rsid w:val="006F3A09"/>
    <w:rsid w:val="006F644E"/>
    <w:rsid w:val="006F6451"/>
    <w:rsid w:val="006F736B"/>
    <w:rsid w:val="007001BD"/>
    <w:rsid w:val="00700BDE"/>
    <w:rsid w:val="00700E0E"/>
    <w:rsid w:val="00701801"/>
    <w:rsid w:val="007020A1"/>
    <w:rsid w:val="00703A46"/>
    <w:rsid w:val="00707754"/>
    <w:rsid w:val="0071080E"/>
    <w:rsid w:val="00710FE4"/>
    <w:rsid w:val="00712DF0"/>
    <w:rsid w:val="007141B2"/>
    <w:rsid w:val="00717059"/>
    <w:rsid w:val="00720EFB"/>
    <w:rsid w:val="0072262C"/>
    <w:rsid w:val="00723C25"/>
    <w:rsid w:val="0072649D"/>
    <w:rsid w:val="0073050F"/>
    <w:rsid w:val="007310A1"/>
    <w:rsid w:val="00731DFF"/>
    <w:rsid w:val="00734564"/>
    <w:rsid w:val="00734AF9"/>
    <w:rsid w:val="00743083"/>
    <w:rsid w:val="007431FD"/>
    <w:rsid w:val="00744890"/>
    <w:rsid w:val="00745BD0"/>
    <w:rsid w:val="00746F0B"/>
    <w:rsid w:val="007471AC"/>
    <w:rsid w:val="007515A1"/>
    <w:rsid w:val="00752841"/>
    <w:rsid w:val="0075444E"/>
    <w:rsid w:val="00756424"/>
    <w:rsid w:val="0076098A"/>
    <w:rsid w:val="00761869"/>
    <w:rsid w:val="00762CD1"/>
    <w:rsid w:val="00766BAE"/>
    <w:rsid w:val="0076785C"/>
    <w:rsid w:val="00771448"/>
    <w:rsid w:val="007727D6"/>
    <w:rsid w:val="00772E37"/>
    <w:rsid w:val="00774EE1"/>
    <w:rsid w:val="00777562"/>
    <w:rsid w:val="00784988"/>
    <w:rsid w:val="0078644D"/>
    <w:rsid w:val="007866F8"/>
    <w:rsid w:val="00786C07"/>
    <w:rsid w:val="007879E5"/>
    <w:rsid w:val="00787B19"/>
    <w:rsid w:val="00790BD4"/>
    <w:rsid w:val="00790DA1"/>
    <w:rsid w:val="007A07C4"/>
    <w:rsid w:val="007A08E8"/>
    <w:rsid w:val="007A4130"/>
    <w:rsid w:val="007A46E8"/>
    <w:rsid w:val="007A5571"/>
    <w:rsid w:val="007A7262"/>
    <w:rsid w:val="007B051A"/>
    <w:rsid w:val="007B1053"/>
    <w:rsid w:val="007B1FF6"/>
    <w:rsid w:val="007B245C"/>
    <w:rsid w:val="007B2934"/>
    <w:rsid w:val="007B3C28"/>
    <w:rsid w:val="007B3CAB"/>
    <w:rsid w:val="007B5E6E"/>
    <w:rsid w:val="007B68A5"/>
    <w:rsid w:val="007B79A6"/>
    <w:rsid w:val="007C0DD4"/>
    <w:rsid w:val="007C23A0"/>
    <w:rsid w:val="007C28EC"/>
    <w:rsid w:val="007C3169"/>
    <w:rsid w:val="007C3A71"/>
    <w:rsid w:val="007C474D"/>
    <w:rsid w:val="007C4B3F"/>
    <w:rsid w:val="007C530B"/>
    <w:rsid w:val="007C6C13"/>
    <w:rsid w:val="007C7E25"/>
    <w:rsid w:val="007C7E3B"/>
    <w:rsid w:val="007C7EE6"/>
    <w:rsid w:val="007D0C78"/>
    <w:rsid w:val="007D3269"/>
    <w:rsid w:val="007D360F"/>
    <w:rsid w:val="007D41FE"/>
    <w:rsid w:val="007D43BD"/>
    <w:rsid w:val="007D7028"/>
    <w:rsid w:val="007E123D"/>
    <w:rsid w:val="007E1CD4"/>
    <w:rsid w:val="007E6429"/>
    <w:rsid w:val="007E73AF"/>
    <w:rsid w:val="007E7A5B"/>
    <w:rsid w:val="007F4602"/>
    <w:rsid w:val="007F5139"/>
    <w:rsid w:val="007F5FB5"/>
    <w:rsid w:val="007F62DB"/>
    <w:rsid w:val="007F62DF"/>
    <w:rsid w:val="007F6A02"/>
    <w:rsid w:val="00804692"/>
    <w:rsid w:val="00804DC0"/>
    <w:rsid w:val="00806B94"/>
    <w:rsid w:val="00807A54"/>
    <w:rsid w:val="00811438"/>
    <w:rsid w:val="00812E7D"/>
    <w:rsid w:val="00813279"/>
    <w:rsid w:val="008134A6"/>
    <w:rsid w:val="00813AA3"/>
    <w:rsid w:val="008140B3"/>
    <w:rsid w:val="00814A60"/>
    <w:rsid w:val="00814F75"/>
    <w:rsid w:val="00814F97"/>
    <w:rsid w:val="00815DE4"/>
    <w:rsid w:val="00817647"/>
    <w:rsid w:val="00817685"/>
    <w:rsid w:val="008179E5"/>
    <w:rsid w:val="008221E4"/>
    <w:rsid w:val="008250EE"/>
    <w:rsid w:val="0082701F"/>
    <w:rsid w:val="008357BC"/>
    <w:rsid w:val="00836646"/>
    <w:rsid w:val="00836B36"/>
    <w:rsid w:val="00841D12"/>
    <w:rsid w:val="008504BC"/>
    <w:rsid w:val="00850E73"/>
    <w:rsid w:val="008520D8"/>
    <w:rsid w:val="00853F4E"/>
    <w:rsid w:val="00856BDE"/>
    <w:rsid w:val="00857E59"/>
    <w:rsid w:val="0086055C"/>
    <w:rsid w:val="00861386"/>
    <w:rsid w:val="00861E51"/>
    <w:rsid w:val="00862531"/>
    <w:rsid w:val="008642A8"/>
    <w:rsid w:val="00864F47"/>
    <w:rsid w:val="00865C4F"/>
    <w:rsid w:val="0086661C"/>
    <w:rsid w:val="00870435"/>
    <w:rsid w:val="00872E37"/>
    <w:rsid w:val="00872F6C"/>
    <w:rsid w:val="008731F0"/>
    <w:rsid w:val="00873296"/>
    <w:rsid w:val="00873E02"/>
    <w:rsid w:val="00873F0F"/>
    <w:rsid w:val="008754C1"/>
    <w:rsid w:val="00881A50"/>
    <w:rsid w:val="00885DA3"/>
    <w:rsid w:val="00893145"/>
    <w:rsid w:val="00893EE9"/>
    <w:rsid w:val="00894C90"/>
    <w:rsid w:val="008977DD"/>
    <w:rsid w:val="008A3B70"/>
    <w:rsid w:val="008B0D14"/>
    <w:rsid w:val="008B16E6"/>
    <w:rsid w:val="008B6075"/>
    <w:rsid w:val="008C0C45"/>
    <w:rsid w:val="008C3E39"/>
    <w:rsid w:val="008C430E"/>
    <w:rsid w:val="008C56A6"/>
    <w:rsid w:val="008C5A9A"/>
    <w:rsid w:val="008C6ADC"/>
    <w:rsid w:val="008C7C90"/>
    <w:rsid w:val="008D020D"/>
    <w:rsid w:val="008D027B"/>
    <w:rsid w:val="008D0962"/>
    <w:rsid w:val="008D25F1"/>
    <w:rsid w:val="008D37F3"/>
    <w:rsid w:val="008D6BA5"/>
    <w:rsid w:val="008D6D55"/>
    <w:rsid w:val="008E11B2"/>
    <w:rsid w:val="008E14FA"/>
    <w:rsid w:val="008E2194"/>
    <w:rsid w:val="008E3517"/>
    <w:rsid w:val="008E4704"/>
    <w:rsid w:val="008F0649"/>
    <w:rsid w:val="008F4AA9"/>
    <w:rsid w:val="008F7C5C"/>
    <w:rsid w:val="009004C8"/>
    <w:rsid w:val="00905F7E"/>
    <w:rsid w:val="00906843"/>
    <w:rsid w:val="009117A8"/>
    <w:rsid w:val="00912B3E"/>
    <w:rsid w:val="0091458C"/>
    <w:rsid w:val="00914BF4"/>
    <w:rsid w:val="00915157"/>
    <w:rsid w:val="009153B3"/>
    <w:rsid w:val="00915524"/>
    <w:rsid w:val="00916FEC"/>
    <w:rsid w:val="009205E5"/>
    <w:rsid w:val="00920A19"/>
    <w:rsid w:val="00922140"/>
    <w:rsid w:val="009223AF"/>
    <w:rsid w:val="009223B8"/>
    <w:rsid w:val="00923BD2"/>
    <w:rsid w:val="009242F4"/>
    <w:rsid w:val="009268BF"/>
    <w:rsid w:val="0092713F"/>
    <w:rsid w:val="00931204"/>
    <w:rsid w:val="009312BA"/>
    <w:rsid w:val="00931E69"/>
    <w:rsid w:val="009333CB"/>
    <w:rsid w:val="0093686C"/>
    <w:rsid w:val="00936BFF"/>
    <w:rsid w:val="00940652"/>
    <w:rsid w:val="00940A6D"/>
    <w:rsid w:val="009469D9"/>
    <w:rsid w:val="00952492"/>
    <w:rsid w:val="009551FB"/>
    <w:rsid w:val="00961D41"/>
    <w:rsid w:val="00964A0C"/>
    <w:rsid w:val="00965936"/>
    <w:rsid w:val="00965DB4"/>
    <w:rsid w:val="00966DBD"/>
    <w:rsid w:val="00966F6E"/>
    <w:rsid w:val="009671A8"/>
    <w:rsid w:val="00972C2F"/>
    <w:rsid w:val="00976672"/>
    <w:rsid w:val="00980A2B"/>
    <w:rsid w:val="0098126A"/>
    <w:rsid w:val="00983812"/>
    <w:rsid w:val="0098452C"/>
    <w:rsid w:val="0098465E"/>
    <w:rsid w:val="00984919"/>
    <w:rsid w:val="009853B9"/>
    <w:rsid w:val="0098592A"/>
    <w:rsid w:val="00987835"/>
    <w:rsid w:val="00991B71"/>
    <w:rsid w:val="0099340D"/>
    <w:rsid w:val="009962A4"/>
    <w:rsid w:val="009A241A"/>
    <w:rsid w:val="009A40CD"/>
    <w:rsid w:val="009A4608"/>
    <w:rsid w:val="009B03D7"/>
    <w:rsid w:val="009B1AC1"/>
    <w:rsid w:val="009B2A3C"/>
    <w:rsid w:val="009B3670"/>
    <w:rsid w:val="009B3DE0"/>
    <w:rsid w:val="009B3EBC"/>
    <w:rsid w:val="009B4300"/>
    <w:rsid w:val="009B5AEE"/>
    <w:rsid w:val="009B6252"/>
    <w:rsid w:val="009B7BF6"/>
    <w:rsid w:val="009C1BC5"/>
    <w:rsid w:val="009C4CFC"/>
    <w:rsid w:val="009C51C3"/>
    <w:rsid w:val="009C6DB7"/>
    <w:rsid w:val="009D0C1C"/>
    <w:rsid w:val="009D22F5"/>
    <w:rsid w:val="009D3210"/>
    <w:rsid w:val="009D4E78"/>
    <w:rsid w:val="009D55BD"/>
    <w:rsid w:val="009D6B19"/>
    <w:rsid w:val="009D7C14"/>
    <w:rsid w:val="009E186F"/>
    <w:rsid w:val="009E1AD4"/>
    <w:rsid w:val="009E3B3E"/>
    <w:rsid w:val="009E49D1"/>
    <w:rsid w:val="009E53F1"/>
    <w:rsid w:val="009F1817"/>
    <w:rsid w:val="009F2E7B"/>
    <w:rsid w:val="009F365C"/>
    <w:rsid w:val="009F4958"/>
    <w:rsid w:val="009F6BD4"/>
    <w:rsid w:val="009F7CBB"/>
    <w:rsid w:val="00A0155B"/>
    <w:rsid w:val="00A033E4"/>
    <w:rsid w:val="00A04147"/>
    <w:rsid w:val="00A05904"/>
    <w:rsid w:val="00A05DA0"/>
    <w:rsid w:val="00A110A1"/>
    <w:rsid w:val="00A112DC"/>
    <w:rsid w:val="00A1396B"/>
    <w:rsid w:val="00A15097"/>
    <w:rsid w:val="00A15624"/>
    <w:rsid w:val="00A15C6D"/>
    <w:rsid w:val="00A16696"/>
    <w:rsid w:val="00A166A3"/>
    <w:rsid w:val="00A21C83"/>
    <w:rsid w:val="00A23AAD"/>
    <w:rsid w:val="00A25F3B"/>
    <w:rsid w:val="00A27B52"/>
    <w:rsid w:val="00A30173"/>
    <w:rsid w:val="00A30BA7"/>
    <w:rsid w:val="00A31E63"/>
    <w:rsid w:val="00A34160"/>
    <w:rsid w:val="00A350F3"/>
    <w:rsid w:val="00A36055"/>
    <w:rsid w:val="00A374EB"/>
    <w:rsid w:val="00A37ABA"/>
    <w:rsid w:val="00A41C2E"/>
    <w:rsid w:val="00A41D03"/>
    <w:rsid w:val="00A420FC"/>
    <w:rsid w:val="00A476C6"/>
    <w:rsid w:val="00A47B9A"/>
    <w:rsid w:val="00A53B1D"/>
    <w:rsid w:val="00A54AA7"/>
    <w:rsid w:val="00A551DD"/>
    <w:rsid w:val="00A56A93"/>
    <w:rsid w:val="00A6031C"/>
    <w:rsid w:val="00A612C4"/>
    <w:rsid w:val="00A61BC0"/>
    <w:rsid w:val="00A65381"/>
    <w:rsid w:val="00A6740E"/>
    <w:rsid w:val="00A67B29"/>
    <w:rsid w:val="00A67F76"/>
    <w:rsid w:val="00A72EB0"/>
    <w:rsid w:val="00A72F8E"/>
    <w:rsid w:val="00A7428F"/>
    <w:rsid w:val="00A77498"/>
    <w:rsid w:val="00A8183D"/>
    <w:rsid w:val="00A81C7D"/>
    <w:rsid w:val="00A82880"/>
    <w:rsid w:val="00A85A3B"/>
    <w:rsid w:val="00A863BE"/>
    <w:rsid w:val="00A9166C"/>
    <w:rsid w:val="00A920DD"/>
    <w:rsid w:val="00A925FB"/>
    <w:rsid w:val="00A9274A"/>
    <w:rsid w:val="00A95884"/>
    <w:rsid w:val="00A95AEE"/>
    <w:rsid w:val="00A95D52"/>
    <w:rsid w:val="00A962E0"/>
    <w:rsid w:val="00A9646D"/>
    <w:rsid w:val="00A97327"/>
    <w:rsid w:val="00AA0577"/>
    <w:rsid w:val="00AA0D52"/>
    <w:rsid w:val="00AA2E52"/>
    <w:rsid w:val="00AA331F"/>
    <w:rsid w:val="00AA60BE"/>
    <w:rsid w:val="00AA7F9A"/>
    <w:rsid w:val="00AB035D"/>
    <w:rsid w:val="00AB4A49"/>
    <w:rsid w:val="00AB55F2"/>
    <w:rsid w:val="00AB693C"/>
    <w:rsid w:val="00AB6D61"/>
    <w:rsid w:val="00AB7543"/>
    <w:rsid w:val="00AC31C3"/>
    <w:rsid w:val="00AC5398"/>
    <w:rsid w:val="00AC72EA"/>
    <w:rsid w:val="00AC7ACC"/>
    <w:rsid w:val="00AD030F"/>
    <w:rsid w:val="00AD31F4"/>
    <w:rsid w:val="00AD4621"/>
    <w:rsid w:val="00AD5F99"/>
    <w:rsid w:val="00AE1671"/>
    <w:rsid w:val="00AE1B72"/>
    <w:rsid w:val="00AE1DC0"/>
    <w:rsid w:val="00AE2234"/>
    <w:rsid w:val="00AE3851"/>
    <w:rsid w:val="00AE7F48"/>
    <w:rsid w:val="00AF061B"/>
    <w:rsid w:val="00AF2133"/>
    <w:rsid w:val="00AF4E33"/>
    <w:rsid w:val="00AF4EC2"/>
    <w:rsid w:val="00AF65FC"/>
    <w:rsid w:val="00AF6EBC"/>
    <w:rsid w:val="00B01A63"/>
    <w:rsid w:val="00B020A0"/>
    <w:rsid w:val="00B02272"/>
    <w:rsid w:val="00B04A00"/>
    <w:rsid w:val="00B10397"/>
    <w:rsid w:val="00B12892"/>
    <w:rsid w:val="00B12914"/>
    <w:rsid w:val="00B140C7"/>
    <w:rsid w:val="00B15071"/>
    <w:rsid w:val="00B153A1"/>
    <w:rsid w:val="00B15B6F"/>
    <w:rsid w:val="00B16405"/>
    <w:rsid w:val="00B16B67"/>
    <w:rsid w:val="00B2055A"/>
    <w:rsid w:val="00B20CB8"/>
    <w:rsid w:val="00B22C52"/>
    <w:rsid w:val="00B26B86"/>
    <w:rsid w:val="00B2711F"/>
    <w:rsid w:val="00B274DD"/>
    <w:rsid w:val="00B326FE"/>
    <w:rsid w:val="00B33905"/>
    <w:rsid w:val="00B34D47"/>
    <w:rsid w:val="00B37216"/>
    <w:rsid w:val="00B4312C"/>
    <w:rsid w:val="00B43C00"/>
    <w:rsid w:val="00B44E2F"/>
    <w:rsid w:val="00B459BE"/>
    <w:rsid w:val="00B45DBC"/>
    <w:rsid w:val="00B47B12"/>
    <w:rsid w:val="00B51705"/>
    <w:rsid w:val="00B5617F"/>
    <w:rsid w:val="00B56734"/>
    <w:rsid w:val="00B5730E"/>
    <w:rsid w:val="00B6019E"/>
    <w:rsid w:val="00B60D04"/>
    <w:rsid w:val="00B62582"/>
    <w:rsid w:val="00B661A4"/>
    <w:rsid w:val="00B70546"/>
    <w:rsid w:val="00B70680"/>
    <w:rsid w:val="00B70C6A"/>
    <w:rsid w:val="00B71E55"/>
    <w:rsid w:val="00B734C5"/>
    <w:rsid w:val="00B73C1B"/>
    <w:rsid w:val="00B75680"/>
    <w:rsid w:val="00B7657E"/>
    <w:rsid w:val="00B81D23"/>
    <w:rsid w:val="00B824F9"/>
    <w:rsid w:val="00B826D8"/>
    <w:rsid w:val="00B83C28"/>
    <w:rsid w:val="00B91D91"/>
    <w:rsid w:val="00B92EEE"/>
    <w:rsid w:val="00B9357D"/>
    <w:rsid w:val="00B94C27"/>
    <w:rsid w:val="00B959E7"/>
    <w:rsid w:val="00B96916"/>
    <w:rsid w:val="00B97CAA"/>
    <w:rsid w:val="00B97E46"/>
    <w:rsid w:val="00BA071E"/>
    <w:rsid w:val="00BA486F"/>
    <w:rsid w:val="00BA48F9"/>
    <w:rsid w:val="00BA51BD"/>
    <w:rsid w:val="00BA5538"/>
    <w:rsid w:val="00BA5547"/>
    <w:rsid w:val="00BA57DC"/>
    <w:rsid w:val="00BA5891"/>
    <w:rsid w:val="00BA7427"/>
    <w:rsid w:val="00BB0B1B"/>
    <w:rsid w:val="00BB23A2"/>
    <w:rsid w:val="00BC1349"/>
    <w:rsid w:val="00BC748E"/>
    <w:rsid w:val="00BD0CA8"/>
    <w:rsid w:val="00BD1013"/>
    <w:rsid w:val="00BD22D7"/>
    <w:rsid w:val="00BD2CFB"/>
    <w:rsid w:val="00BD3DB1"/>
    <w:rsid w:val="00BD49D2"/>
    <w:rsid w:val="00BD6368"/>
    <w:rsid w:val="00BD7E2C"/>
    <w:rsid w:val="00BE041F"/>
    <w:rsid w:val="00BE11BF"/>
    <w:rsid w:val="00BE22AC"/>
    <w:rsid w:val="00BE40A1"/>
    <w:rsid w:val="00BE7BB2"/>
    <w:rsid w:val="00BF36F4"/>
    <w:rsid w:val="00BF392F"/>
    <w:rsid w:val="00BF45AC"/>
    <w:rsid w:val="00BF4B65"/>
    <w:rsid w:val="00BF56E4"/>
    <w:rsid w:val="00BF6EFA"/>
    <w:rsid w:val="00BF71AB"/>
    <w:rsid w:val="00C0095D"/>
    <w:rsid w:val="00C02745"/>
    <w:rsid w:val="00C057B8"/>
    <w:rsid w:val="00C0648E"/>
    <w:rsid w:val="00C07BD7"/>
    <w:rsid w:val="00C07E46"/>
    <w:rsid w:val="00C12017"/>
    <w:rsid w:val="00C12347"/>
    <w:rsid w:val="00C12DA5"/>
    <w:rsid w:val="00C136F0"/>
    <w:rsid w:val="00C13B57"/>
    <w:rsid w:val="00C1425C"/>
    <w:rsid w:val="00C14C8A"/>
    <w:rsid w:val="00C16702"/>
    <w:rsid w:val="00C2032C"/>
    <w:rsid w:val="00C21C6C"/>
    <w:rsid w:val="00C222D4"/>
    <w:rsid w:val="00C227FE"/>
    <w:rsid w:val="00C23479"/>
    <w:rsid w:val="00C2637A"/>
    <w:rsid w:val="00C307DA"/>
    <w:rsid w:val="00C31457"/>
    <w:rsid w:val="00C31C09"/>
    <w:rsid w:val="00C31DD5"/>
    <w:rsid w:val="00C32F12"/>
    <w:rsid w:val="00C33AAA"/>
    <w:rsid w:val="00C34757"/>
    <w:rsid w:val="00C35197"/>
    <w:rsid w:val="00C36A56"/>
    <w:rsid w:val="00C36DFD"/>
    <w:rsid w:val="00C377B8"/>
    <w:rsid w:val="00C4094C"/>
    <w:rsid w:val="00C409E5"/>
    <w:rsid w:val="00C46CAF"/>
    <w:rsid w:val="00C47EFB"/>
    <w:rsid w:val="00C5139F"/>
    <w:rsid w:val="00C51453"/>
    <w:rsid w:val="00C52BDB"/>
    <w:rsid w:val="00C52C51"/>
    <w:rsid w:val="00C52D34"/>
    <w:rsid w:val="00C53181"/>
    <w:rsid w:val="00C5345E"/>
    <w:rsid w:val="00C54EEF"/>
    <w:rsid w:val="00C551BF"/>
    <w:rsid w:val="00C563D1"/>
    <w:rsid w:val="00C60673"/>
    <w:rsid w:val="00C6068F"/>
    <w:rsid w:val="00C613AF"/>
    <w:rsid w:val="00C613E4"/>
    <w:rsid w:val="00C6276C"/>
    <w:rsid w:val="00C63604"/>
    <w:rsid w:val="00C636AE"/>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F54"/>
    <w:rsid w:val="00C82062"/>
    <w:rsid w:val="00C85B31"/>
    <w:rsid w:val="00C87B84"/>
    <w:rsid w:val="00C915C9"/>
    <w:rsid w:val="00C9245A"/>
    <w:rsid w:val="00C928C7"/>
    <w:rsid w:val="00C933B9"/>
    <w:rsid w:val="00C93B50"/>
    <w:rsid w:val="00C95BB2"/>
    <w:rsid w:val="00C96705"/>
    <w:rsid w:val="00C97BA9"/>
    <w:rsid w:val="00CA3FB5"/>
    <w:rsid w:val="00CA68DA"/>
    <w:rsid w:val="00CA6981"/>
    <w:rsid w:val="00CB1AAD"/>
    <w:rsid w:val="00CB1B97"/>
    <w:rsid w:val="00CB23DF"/>
    <w:rsid w:val="00CB329F"/>
    <w:rsid w:val="00CB3536"/>
    <w:rsid w:val="00CB3EBB"/>
    <w:rsid w:val="00CB45D2"/>
    <w:rsid w:val="00CB5085"/>
    <w:rsid w:val="00CB5229"/>
    <w:rsid w:val="00CB5A70"/>
    <w:rsid w:val="00CC014E"/>
    <w:rsid w:val="00CC0291"/>
    <w:rsid w:val="00CC2E71"/>
    <w:rsid w:val="00CC42A9"/>
    <w:rsid w:val="00CC5043"/>
    <w:rsid w:val="00CD256B"/>
    <w:rsid w:val="00CD2618"/>
    <w:rsid w:val="00CD3FD3"/>
    <w:rsid w:val="00CD4552"/>
    <w:rsid w:val="00CD47A8"/>
    <w:rsid w:val="00CD5250"/>
    <w:rsid w:val="00CD5E5A"/>
    <w:rsid w:val="00CD63B9"/>
    <w:rsid w:val="00CE2048"/>
    <w:rsid w:val="00CE348A"/>
    <w:rsid w:val="00CE5471"/>
    <w:rsid w:val="00CE54C8"/>
    <w:rsid w:val="00CE66AD"/>
    <w:rsid w:val="00CE742C"/>
    <w:rsid w:val="00CF0904"/>
    <w:rsid w:val="00CF0F3B"/>
    <w:rsid w:val="00CF30CC"/>
    <w:rsid w:val="00D046AE"/>
    <w:rsid w:val="00D06EDD"/>
    <w:rsid w:val="00D070A2"/>
    <w:rsid w:val="00D070FF"/>
    <w:rsid w:val="00D10011"/>
    <w:rsid w:val="00D100F2"/>
    <w:rsid w:val="00D142E6"/>
    <w:rsid w:val="00D14C9E"/>
    <w:rsid w:val="00D154D9"/>
    <w:rsid w:val="00D15EAD"/>
    <w:rsid w:val="00D161E2"/>
    <w:rsid w:val="00D165A9"/>
    <w:rsid w:val="00D17779"/>
    <w:rsid w:val="00D20676"/>
    <w:rsid w:val="00D20BDB"/>
    <w:rsid w:val="00D20C28"/>
    <w:rsid w:val="00D23668"/>
    <w:rsid w:val="00D25374"/>
    <w:rsid w:val="00D255CD"/>
    <w:rsid w:val="00D27CE8"/>
    <w:rsid w:val="00D27FC1"/>
    <w:rsid w:val="00D30D9B"/>
    <w:rsid w:val="00D319BA"/>
    <w:rsid w:val="00D37571"/>
    <w:rsid w:val="00D40A33"/>
    <w:rsid w:val="00D41F25"/>
    <w:rsid w:val="00D42FF8"/>
    <w:rsid w:val="00D4342B"/>
    <w:rsid w:val="00D4360E"/>
    <w:rsid w:val="00D43F34"/>
    <w:rsid w:val="00D44E74"/>
    <w:rsid w:val="00D45D13"/>
    <w:rsid w:val="00D4670C"/>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7081C"/>
    <w:rsid w:val="00D70DAA"/>
    <w:rsid w:val="00D70E6F"/>
    <w:rsid w:val="00D719FC"/>
    <w:rsid w:val="00D7268F"/>
    <w:rsid w:val="00D72AD8"/>
    <w:rsid w:val="00D72D3A"/>
    <w:rsid w:val="00D74F79"/>
    <w:rsid w:val="00D8002D"/>
    <w:rsid w:val="00D812E9"/>
    <w:rsid w:val="00D81626"/>
    <w:rsid w:val="00D834BF"/>
    <w:rsid w:val="00D83A7A"/>
    <w:rsid w:val="00D87F7C"/>
    <w:rsid w:val="00D901F5"/>
    <w:rsid w:val="00D922F3"/>
    <w:rsid w:val="00D94F8A"/>
    <w:rsid w:val="00D95797"/>
    <w:rsid w:val="00D97AA3"/>
    <w:rsid w:val="00D97DB1"/>
    <w:rsid w:val="00DA4809"/>
    <w:rsid w:val="00DA5140"/>
    <w:rsid w:val="00DA6FF2"/>
    <w:rsid w:val="00DB14A0"/>
    <w:rsid w:val="00DB282A"/>
    <w:rsid w:val="00DB578E"/>
    <w:rsid w:val="00DB5CAE"/>
    <w:rsid w:val="00DB6A53"/>
    <w:rsid w:val="00DC32C6"/>
    <w:rsid w:val="00DC6110"/>
    <w:rsid w:val="00DC6B4B"/>
    <w:rsid w:val="00DC6D1F"/>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1670"/>
    <w:rsid w:val="00DF17B9"/>
    <w:rsid w:val="00DF446B"/>
    <w:rsid w:val="00DF4AD0"/>
    <w:rsid w:val="00DF4D78"/>
    <w:rsid w:val="00DF6933"/>
    <w:rsid w:val="00E00CF7"/>
    <w:rsid w:val="00E01F9F"/>
    <w:rsid w:val="00E045CF"/>
    <w:rsid w:val="00E04AA9"/>
    <w:rsid w:val="00E062CA"/>
    <w:rsid w:val="00E07CF2"/>
    <w:rsid w:val="00E11AF7"/>
    <w:rsid w:val="00E1221D"/>
    <w:rsid w:val="00E1392A"/>
    <w:rsid w:val="00E13D6B"/>
    <w:rsid w:val="00E13D6E"/>
    <w:rsid w:val="00E14AB9"/>
    <w:rsid w:val="00E16D4A"/>
    <w:rsid w:val="00E1759C"/>
    <w:rsid w:val="00E20A74"/>
    <w:rsid w:val="00E20F36"/>
    <w:rsid w:val="00E21375"/>
    <w:rsid w:val="00E21395"/>
    <w:rsid w:val="00E24A30"/>
    <w:rsid w:val="00E24C4A"/>
    <w:rsid w:val="00E267E2"/>
    <w:rsid w:val="00E27D63"/>
    <w:rsid w:val="00E3428D"/>
    <w:rsid w:val="00E34A59"/>
    <w:rsid w:val="00E377FC"/>
    <w:rsid w:val="00E4215F"/>
    <w:rsid w:val="00E44100"/>
    <w:rsid w:val="00E44421"/>
    <w:rsid w:val="00E44550"/>
    <w:rsid w:val="00E45546"/>
    <w:rsid w:val="00E45E74"/>
    <w:rsid w:val="00E45EBD"/>
    <w:rsid w:val="00E52EEC"/>
    <w:rsid w:val="00E55135"/>
    <w:rsid w:val="00E61224"/>
    <w:rsid w:val="00E61A58"/>
    <w:rsid w:val="00E6307D"/>
    <w:rsid w:val="00E63CEF"/>
    <w:rsid w:val="00E64D59"/>
    <w:rsid w:val="00E650E1"/>
    <w:rsid w:val="00E66FC5"/>
    <w:rsid w:val="00E70312"/>
    <w:rsid w:val="00E70579"/>
    <w:rsid w:val="00E70F7E"/>
    <w:rsid w:val="00E711C5"/>
    <w:rsid w:val="00E7254D"/>
    <w:rsid w:val="00E736A7"/>
    <w:rsid w:val="00E74964"/>
    <w:rsid w:val="00E76153"/>
    <w:rsid w:val="00E76C3E"/>
    <w:rsid w:val="00E776BD"/>
    <w:rsid w:val="00E824AC"/>
    <w:rsid w:val="00E85A34"/>
    <w:rsid w:val="00E86836"/>
    <w:rsid w:val="00E86DEA"/>
    <w:rsid w:val="00E87522"/>
    <w:rsid w:val="00E878A3"/>
    <w:rsid w:val="00E90321"/>
    <w:rsid w:val="00E90A93"/>
    <w:rsid w:val="00E90FF9"/>
    <w:rsid w:val="00E93780"/>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6836"/>
    <w:rsid w:val="00EC7448"/>
    <w:rsid w:val="00ED0216"/>
    <w:rsid w:val="00ED1268"/>
    <w:rsid w:val="00ED1F48"/>
    <w:rsid w:val="00ED3279"/>
    <w:rsid w:val="00ED3E27"/>
    <w:rsid w:val="00ED503E"/>
    <w:rsid w:val="00ED5625"/>
    <w:rsid w:val="00ED586C"/>
    <w:rsid w:val="00ED5BF4"/>
    <w:rsid w:val="00ED66E2"/>
    <w:rsid w:val="00EE1637"/>
    <w:rsid w:val="00EE2245"/>
    <w:rsid w:val="00EE258A"/>
    <w:rsid w:val="00EE3710"/>
    <w:rsid w:val="00EE3F41"/>
    <w:rsid w:val="00EE727A"/>
    <w:rsid w:val="00EF144E"/>
    <w:rsid w:val="00EF5BE6"/>
    <w:rsid w:val="00F0077A"/>
    <w:rsid w:val="00F00984"/>
    <w:rsid w:val="00F00BF7"/>
    <w:rsid w:val="00F01181"/>
    <w:rsid w:val="00F01C39"/>
    <w:rsid w:val="00F021EC"/>
    <w:rsid w:val="00F05024"/>
    <w:rsid w:val="00F075F7"/>
    <w:rsid w:val="00F07D51"/>
    <w:rsid w:val="00F11186"/>
    <w:rsid w:val="00F11B2E"/>
    <w:rsid w:val="00F11DA4"/>
    <w:rsid w:val="00F12670"/>
    <w:rsid w:val="00F13265"/>
    <w:rsid w:val="00F13CBD"/>
    <w:rsid w:val="00F13DA0"/>
    <w:rsid w:val="00F14B3B"/>
    <w:rsid w:val="00F1501A"/>
    <w:rsid w:val="00F27E50"/>
    <w:rsid w:val="00F3039A"/>
    <w:rsid w:val="00F3042C"/>
    <w:rsid w:val="00F31D30"/>
    <w:rsid w:val="00F35B96"/>
    <w:rsid w:val="00F37CDB"/>
    <w:rsid w:val="00F4015B"/>
    <w:rsid w:val="00F40583"/>
    <w:rsid w:val="00F42935"/>
    <w:rsid w:val="00F436F3"/>
    <w:rsid w:val="00F43A87"/>
    <w:rsid w:val="00F45BCD"/>
    <w:rsid w:val="00F47455"/>
    <w:rsid w:val="00F50507"/>
    <w:rsid w:val="00F5328D"/>
    <w:rsid w:val="00F5409B"/>
    <w:rsid w:val="00F549A9"/>
    <w:rsid w:val="00F55B9A"/>
    <w:rsid w:val="00F56308"/>
    <w:rsid w:val="00F60BDC"/>
    <w:rsid w:val="00F61CCC"/>
    <w:rsid w:val="00F6436E"/>
    <w:rsid w:val="00F660ED"/>
    <w:rsid w:val="00F66476"/>
    <w:rsid w:val="00F665B7"/>
    <w:rsid w:val="00F67496"/>
    <w:rsid w:val="00F67660"/>
    <w:rsid w:val="00F71BB8"/>
    <w:rsid w:val="00F73AF2"/>
    <w:rsid w:val="00F73F9C"/>
    <w:rsid w:val="00F74D0F"/>
    <w:rsid w:val="00F76B6A"/>
    <w:rsid w:val="00F76F16"/>
    <w:rsid w:val="00F7706B"/>
    <w:rsid w:val="00F80026"/>
    <w:rsid w:val="00F80BD5"/>
    <w:rsid w:val="00F81555"/>
    <w:rsid w:val="00F84DCF"/>
    <w:rsid w:val="00F85651"/>
    <w:rsid w:val="00F87806"/>
    <w:rsid w:val="00F93B53"/>
    <w:rsid w:val="00F95129"/>
    <w:rsid w:val="00FA0D2B"/>
    <w:rsid w:val="00FA27BC"/>
    <w:rsid w:val="00FA5277"/>
    <w:rsid w:val="00FA788D"/>
    <w:rsid w:val="00FA7D41"/>
    <w:rsid w:val="00FA7EE7"/>
    <w:rsid w:val="00FB1784"/>
    <w:rsid w:val="00FB1974"/>
    <w:rsid w:val="00FB2B86"/>
    <w:rsid w:val="00FB43DE"/>
    <w:rsid w:val="00FB4AAB"/>
    <w:rsid w:val="00FB5489"/>
    <w:rsid w:val="00FB61FA"/>
    <w:rsid w:val="00FC0D9E"/>
    <w:rsid w:val="00FC1872"/>
    <w:rsid w:val="00FC1B5B"/>
    <w:rsid w:val="00FC321B"/>
    <w:rsid w:val="00FC32D0"/>
    <w:rsid w:val="00FD056B"/>
    <w:rsid w:val="00FD12F3"/>
    <w:rsid w:val="00FD200F"/>
    <w:rsid w:val="00FD4C59"/>
    <w:rsid w:val="00FE14CA"/>
    <w:rsid w:val="00FE40B2"/>
    <w:rsid w:val="00FE6BB9"/>
    <w:rsid w:val="00FE7192"/>
    <w:rsid w:val="00FF5172"/>
    <w:rsid w:val="00FF6104"/>
    <w:rsid w:val="00FF6422"/>
    <w:rsid w:val="00FF7D31"/>
    <w:rsid w:val="014F2F1A"/>
    <w:rsid w:val="015359AB"/>
    <w:rsid w:val="01684CDC"/>
    <w:rsid w:val="016F7F01"/>
    <w:rsid w:val="017725E7"/>
    <w:rsid w:val="01956EE8"/>
    <w:rsid w:val="02691BF4"/>
    <w:rsid w:val="02722DB7"/>
    <w:rsid w:val="02813929"/>
    <w:rsid w:val="02814CE3"/>
    <w:rsid w:val="02B770D9"/>
    <w:rsid w:val="02E92253"/>
    <w:rsid w:val="0301674D"/>
    <w:rsid w:val="035407CA"/>
    <w:rsid w:val="035A20C8"/>
    <w:rsid w:val="03804CF4"/>
    <w:rsid w:val="0397409D"/>
    <w:rsid w:val="03D754F6"/>
    <w:rsid w:val="03FC4557"/>
    <w:rsid w:val="03FF4716"/>
    <w:rsid w:val="04381AAF"/>
    <w:rsid w:val="048B1C2C"/>
    <w:rsid w:val="04C73A99"/>
    <w:rsid w:val="04F557F5"/>
    <w:rsid w:val="055A71F6"/>
    <w:rsid w:val="05834324"/>
    <w:rsid w:val="058541DA"/>
    <w:rsid w:val="05D257D1"/>
    <w:rsid w:val="05D46F4C"/>
    <w:rsid w:val="0602185E"/>
    <w:rsid w:val="064364B4"/>
    <w:rsid w:val="066249CA"/>
    <w:rsid w:val="0664643D"/>
    <w:rsid w:val="06820EF1"/>
    <w:rsid w:val="068C0E4D"/>
    <w:rsid w:val="069254AF"/>
    <w:rsid w:val="069270EA"/>
    <w:rsid w:val="06D40937"/>
    <w:rsid w:val="06F643EA"/>
    <w:rsid w:val="06FD61D2"/>
    <w:rsid w:val="070152A7"/>
    <w:rsid w:val="074A2ABE"/>
    <w:rsid w:val="07A6697C"/>
    <w:rsid w:val="07C76145"/>
    <w:rsid w:val="07E74731"/>
    <w:rsid w:val="07F72D4C"/>
    <w:rsid w:val="0808438A"/>
    <w:rsid w:val="084368FC"/>
    <w:rsid w:val="088428E1"/>
    <w:rsid w:val="088D4A91"/>
    <w:rsid w:val="08A7245F"/>
    <w:rsid w:val="08C43481"/>
    <w:rsid w:val="08CE0E70"/>
    <w:rsid w:val="08EB72CB"/>
    <w:rsid w:val="08FC1A5A"/>
    <w:rsid w:val="09037A4E"/>
    <w:rsid w:val="091D7F1A"/>
    <w:rsid w:val="09934A8C"/>
    <w:rsid w:val="0998630C"/>
    <w:rsid w:val="09B23105"/>
    <w:rsid w:val="09BE4AEA"/>
    <w:rsid w:val="09BE6896"/>
    <w:rsid w:val="09DD20B9"/>
    <w:rsid w:val="09F30059"/>
    <w:rsid w:val="09FD047C"/>
    <w:rsid w:val="0A251E3B"/>
    <w:rsid w:val="0A293CC2"/>
    <w:rsid w:val="0A556E28"/>
    <w:rsid w:val="0A751D51"/>
    <w:rsid w:val="0A806FE6"/>
    <w:rsid w:val="0A855A98"/>
    <w:rsid w:val="0ADF28D1"/>
    <w:rsid w:val="0AEE00A0"/>
    <w:rsid w:val="0B150E0F"/>
    <w:rsid w:val="0B311460"/>
    <w:rsid w:val="0B507865"/>
    <w:rsid w:val="0B6544D2"/>
    <w:rsid w:val="0B6A6F81"/>
    <w:rsid w:val="0B7D4716"/>
    <w:rsid w:val="0B850711"/>
    <w:rsid w:val="0B8A37AE"/>
    <w:rsid w:val="0B9F28B8"/>
    <w:rsid w:val="0BA8720D"/>
    <w:rsid w:val="0BBA1E62"/>
    <w:rsid w:val="0C0C665E"/>
    <w:rsid w:val="0C254F18"/>
    <w:rsid w:val="0C506870"/>
    <w:rsid w:val="0C617140"/>
    <w:rsid w:val="0C6D3894"/>
    <w:rsid w:val="0C723619"/>
    <w:rsid w:val="0C960A6A"/>
    <w:rsid w:val="0CA06AD2"/>
    <w:rsid w:val="0CBF3301"/>
    <w:rsid w:val="0CC21DAB"/>
    <w:rsid w:val="0CC8351A"/>
    <w:rsid w:val="0CD0081C"/>
    <w:rsid w:val="0CF8203D"/>
    <w:rsid w:val="0CFD4ED4"/>
    <w:rsid w:val="0D392A89"/>
    <w:rsid w:val="0D631CE5"/>
    <w:rsid w:val="0DAE6B51"/>
    <w:rsid w:val="0DCD276C"/>
    <w:rsid w:val="0DED3A56"/>
    <w:rsid w:val="0E651A19"/>
    <w:rsid w:val="0E6A133C"/>
    <w:rsid w:val="0E734839"/>
    <w:rsid w:val="0E7870C4"/>
    <w:rsid w:val="0E9061BD"/>
    <w:rsid w:val="0EC12E6D"/>
    <w:rsid w:val="0ED165FA"/>
    <w:rsid w:val="0ED77BF5"/>
    <w:rsid w:val="0EDD2545"/>
    <w:rsid w:val="0F1D2352"/>
    <w:rsid w:val="0F3B1E69"/>
    <w:rsid w:val="0F442697"/>
    <w:rsid w:val="0F5862B1"/>
    <w:rsid w:val="0F680AEC"/>
    <w:rsid w:val="0F7B53FF"/>
    <w:rsid w:val="0F81333F"/>
    <w:rsid w:val="0F8A4AEB"/>
    <w:rsid w:val="0FA07739"/>
    <w:rsid w:val="0FC60FF1"/>
    <w:rsid w:val="0FF24DCB"/>
    <w:rsid w:val="0FF848B8"/>
    <w:rsid w:val="102B7B10"/>
    <w:rsid w:val="108A631E"/>
    <w:rsid w:val="10B85DBF"/>
    <w:rsid w:val="10D26BB3"/>
    <w:rsid w:val="10D3396F"/>
    <w:rsid w:val="10DA6853"/>
    <w:rsid w:val="11084D00"/>
    <w:rsid w:val="11247DA4"/>
    <w:rsid w:val="11351B87"/>
    <w:rsid w:val="11367223"/>
    <w:rsid w:val="11463498"/>
    <w:rsid w:val="11531D43"/>
    <w:rsid w:val="11705255"/>
    <w:rsid w:val="11956DB9"/>
    <w:rsid w:val="11972241"/>
    <w:rsid w:val="11A02C0B"/>
    <w:rsid w:val="11C0331A"/>
    <w:rsid w:val="126342DC"/>
    <w:rsid w:val="126A3CE5"/>
    <w:rsid w:val="12804EC3"/>
    <w:rsid w:val="12B9724A"/>
    <w:rsid w:val="12ED108C"/>
    <w:rsid w:val="131F5F39"/>
    <w:rsid w:val="133A4BEB"/>
    <w:rsid w:val="134176DB"/>
    <w:rsid w:val="13627322"/>
    <w:rsid w:val="13753078"/>
    <w:rsid w:val="13876133"/>
    <w:rsid w:val="139D423C"/>
    <w:rsid w:val="139E459A"/>
    <w:rsid w:val="13AD4E12"/>
    <w:rsid w:val="13DA36B2"/>
    <w:rsid w:val="14076394"/>
    <w:rsid w:val="143E021E"/>
    <w:rsid w:val="14674D59"/>
    <w:rsid w:val="148E216F"/>
    <w:rsid w:val="14A254B8"/>
    <w:rsid w:val="14BC5E70"/>
    <w:rsid w:val="14C36E81"/>
    <w:rsid w:val="14C672CD"/>
    <w:rsid w:val="14DE2975"/>
    <w:rsid w:val="15013288"/>
    <w:rsid w:val="150C509E"/>
    <w:rsid w:val="15164B5B"/>
    <w:rsid w:val="157F0C2D"/>
    <w:rsid w:val="1584515F"/>
    <w:rsid w:val="159630D3"/>
    <w:rsid w:val="15997100"/>
    <w:rsid w:val="15997116"/>
    <w:rsid w:val="15C209F0"/>
    <w:rsid w:val="15C42D05"/>
    <w:rsid w:val="15FA376A"/>
    <w:rsid w:val="16024EBD"/>
    <w:rsid w:val="16041EF6"/>
    <w:rsid w:val="16071DBE"/>
    <w:rsid w:val="162738EA"/>
    <w:rsid w:val="162C0A4E"/>
    <w:rsid w:val="16493FE4"/>
    <w:rsid w:val="168D5D74"/>
    <w:rsid w:val="168E0CC6"/>
    <w:rsid w:val="169B6E04"/>
    <w:rsid w:val="16C24E28"/>
    <w:rsid w:val="16E469AA"/>
    <w:rsid w:val="17207639"/>
    <w:rsid w:val="173C1970"/>
    <w:rsid w:val="175C5C65"/>
    <w:rsid w:val="17901906"/>
    <w:rsid w:val="17DD7C1B"/>
    <w:rsid w:val="1819223D"/>
    <w:rsid w:val="1826077F"/>
    <w:rsid w:val="18577D43"/>
    <w:rsid w:val="1885777E"/>
    <w:rsid w:val="18973FA0"/>
    <w:rsid w:val="18D02ADB"/>
    <w:rsid w:val="18D331A5"/>
    <w:rsid w:val="19431471"/>
    <w:rsid w:val="19474AD7"/>
    <w:rsid w:val="194F02E7"/>
    <w:rsid w:val="194F7866"/>
    <w:rsid w:val="19857774"/>
    <w:rsid w:val="19CB1EC2"/>
    <w:rsid w:val="19DB1E50"/>
    <w:rsid w:val="1A1D29AB"/>
    <w:rsid w:val="1A210B98"/>
    <w:rsid w:val="1A303D97"/>
    <w:rsid w:val="1A960820"/>
    <w:rsid w:val="1ABF7614"/>
    <w:rsid w:val="1AC35713"/>
    <w:rsid w:val="1AC63CB3"/>
    <w:rsid w:val="1ACB2EAF"/>
    <w:rsid w:val="1AEB0597"/>
    <w:rsid w:val="1B2E229B"/>
    <w:rsid w:val="1B3255AD"/>
    <w:rsid w:val="1B474F93"/>
    <w:rsid w:val="1B5631C8"/>
    <w:rsid w:val="1B756948"/>
    <w:rsid w:val="1B9F78D5"/>
    <w:rsid w:val="1BB30234"/>
    <w:rsid w:val="1BB832DA"/>
    <w:rsid w:val="1BF352DE"/>
    <w:rsid w:val="1C0B491D"/>
    <w:rsid w:val="1C116F86"/>
    <w:rsid w:val="1C3F19F6"/>
    <w:rsid w:val="1C44686C"/>
    <w:rsid w:val="1C4B3813"/>
    <w:rsid w:val="1C807FCE"/>
    <w:rsid w:val="1C825FF9"/>
    <w:rsid w:val="1CBB092F"/>
    <w:rsid w:val="1CC57CC9"/>
    <w:rsid w:val="1CC670EE"/>
    <w:rsid w:val="1CCC3229"/>
    <w:rsid w:val="1CEE1F73"/>
    <w:rsid w:val="1CFA75DD"/>
    <w:rsid w:val="1CFC16DE"/>
    <w:rsid w:val="1D1A2F73"/>
    <w:rsid w:val="1D265AD0"/>
    <w:rsid w:val="1D4860AC"/>
    <w:rsid w:val="1D4F6142"/>
    <w:rsid w:val="1D527E58"/>
    <w:rsid w:val="1D714C82"/>
    <w:rsid w:val="1D8532A9"/>
    <w:rsid w:val="1DC62616"/>
    <w:rsid w:val="1DD9496F"/>
    <w:rsid w:val="1E0E617B"/>
    <w:rsid w:val="1E382A67"/>
    <w:rsid w:val="1E42613D"/>
    <w:rsid w:val="1E484788"/>
    <w:rsid w:val="1E567115"/>
    <w:rsid w:val="1E634E61"/>
    <w:rsid w:val="1E6B2E70"/>
    <w:rsid w:val="1F3A72BD"/>
    <w:rsid w:val="1F4D4DB6"/>
    <w:rsid w:val="1F8A1413"/>
    <w:rsid w:val="1FA76E67"/>
    <w:rsid w:val="1FA90056"/>
    <w:rsid w:val="1FB65710"/>
    <w:rsid w:val="1FE1584E"/>
    <w:rsid w:val="1FE529F2"/>
    <w:rsid w:val="2006569D"/>
    <w:rsid w:val="20477A01"/>
    <w:rsid w:val="206072F7"/>
    <w:rsid w:val="208E6E0B"/>
    <w:rsid w:val="209A09D7"/>
    <w:rsid w:val="20A82056"/>
    <w:rsid w:val="20CB5BF0"/>
    <w:rsid w:val="20D94915"/>
    <w:rsid w:val="211760BC"/>
    <w:rsid w:val="212F0B83"/>
    <w:rsid w:val="215B5B29"/>
    <w:rsid w:val="21E563CE"/>
    <w:rsid w:val="22124A61"/>
    <w:rsid w:val="225C5D5B"/>
    <w:rsid w:val="22632497"/>
    <w:rsid w:val="22AA67A1"/>
    <w:rsid w:val="22B51778"/>
    <w:rsid w:val="22E74322"/>
    <w:rsid w:val="22F418E1"/>
    <w:rsid w:val="22FB2088"/>
    <w:rsid w:val="230A71CF"/>
    <w:rsid w:val="23112E7E"/>
    <w:rsid w:val="23576FB8"/>
    <w:rsid w:val="23AF1AC9"/>
    <w:rsid w:val="23AF4E6A"/>
    <w:rsid w:val="23B90846"/>
    <w:rsid w:val="23C2440E"/>
    <w:rsid w:val="23D17176"/>
    <w:rsid w:val="23E3329B"/>
    <w:rsid w:val="23EC3A28"/>
    <w:rsid w:val="23EE4289"/>
    <w:rsid w:val="24151B98"/>
    <w:rsid w:val="241A2C4F"/>
    <w:rsid w:val="242129F9"/>
    <w:rsid w:val="24465B52"/>
    <w:rsid w:val="24692A5B"/>
    <w:rsid w:val="24712A8F"/>
    <w:rsid w:val="24842A91"/>
    <w:rsid w:val="24B2489F"/>
    <w:rsid w:val="24EE4A55"/>
    <w:rsid w:val="24F84BD0"/>
    <w:rsid w:val="250D607D"/>
    <w:rsid w:val="25164C41"/>
    <w:rsid w:val="25201620"/>
    <w:rsid w:val="25537B5A"/>
    <w:rsid w:val="255A1335"/>
    <w:rsid w:val="25964780"/>
    <w:rsid w:val="259F4F69"/>
    <w:rsid w:val="25A4702B"/>
    <w:rsid w:val="25CB55DF"/>
    <w:rsid w:val="25EA37C8"/>
    <w:rsid w:val="25FC0E2B"/>
    <w:rsid w:val="26044FC2"/>
    <w:rsid w:val="262B4C3B"/>
    <w:rsid w:val="262F2B86"/>
    <w:rsid w:val="26520013"/>
    <w:rsid w:val="26566C35"/>
    <w:rsid w:val="267635D5"/>
    <w:rsid w:val="26922828"/>
    <w:rsid w:val="26BA798F"/>
    <w:rsid w:val="26C76569"/>
    <w:rsid w:val="26EC188F"/>
    <w:rsid w:val="270F110A"/>
    <w:rsid w:val="27101906"/>
    <w:rsid w:val="273C75C1"/>
    <w:rsid w:val="27553532"/>
    <w:rsid w:val="27FF38FF"/>
    <w:rsid w:val="28173EBF"/>
    <w:rsid w:val="281C62D3"/>
    <w:rsid w:val="2828479D"/>
    <w:rsid w:val="28452A97"/>
    <w:rsid w:val="285F5C4A"/>
    <w:rsid w:val="28C45743"/>
    <w:rsid w:val="28C86A2E"/>
    <w:rsid w:val="28D93758"/>
    <w:rsid w:val="28E45B3C"/>
    <w:rsid w:val="28E818A5"/>
    <w:rsid w:val="294206A7"/>
    <w:rsid w:val="29617CE2"/>
    <w:rsid w:val="299B236E"/>
    <w:rsid w:val="29AC7287"/>
    <w:rsid w:val="29B24EF5"/>
    <w:rsid w:val="29E32AA7"/>
    <w:rsid w:val="29E35EE3"/>
    <w:rsid w:val="2A4A7932"/>
    <w:rsid w:val="2A5C63A7"/>
    <w:rsid w:val="2A6D6F90"/>
    <w:rsid w:val="2A864C63"/>
    <w:rsid w:val="2AA00028"/>
    <w:rsid w:val="2AB45DF7"/>
    <w:rsid w:val="2AB82483"/>
    <w:rsid w:val="2AD9619B"/>
    <w:rsid w:val="2AE13145"/>
    <w:rsid w:val="2AE40EA9"/>
    <w:rsid w:val="2AFC6512"/>
    <w:rsid w:val="2B186F23"/>
    <w:rsid w:val="2B6007B5"/>
    <w:rsid w:val="2B6911F0"/>
    <w:rsid w:val="2B995E7A"/>
    <w:rsid w:val="2BAB1B4B"/>
    <w:rsid w:val="2BB370F2"/>
    <w:rsid w:val="2BE14742"/>
    <w:rsid w:val="2BFD18E1"/>
    <w:rsid w:val="2C28319A"/>
    <w:rsid w:val="2C393A8C"/>
    <w:rsid w:val="2C3E0754"/>
    <w:rsid w:val="2C5954AF"/>
    <w:rsid w:val="2C683624"/>
    <w:rsid w:val="2C765850"/>
    <w:rsid w:val="2CA13196"/>
    <w:rsid w:val="2CA15C86"/>
    <w:rsid w:val="2CC258F1"/>
    <w:rsid w:val="2D0A2886"/>
    <w:rsid w:val="2D14722D"/>
    <w:rsid w:val="2D201C06"/>
    <w:rsid w:val="2D497CFA"/>
    <w:rsid w:val="2D531A92"/>
    <w:rsid w:val="2D5559EE"/>
    <w:rsid w:val="2D5B4AF5"/>
    <w:rsid w:val="2D6C1624"/>
    <w:rsid w:val="2D6E6496"/>
    <w:rsid w:val="2D9F2F8E"/>
    <w:rsid w:val="2DA94576"/>
    <w:rsid w:val="2DEF5B92"/>
    <w:rsid w:val="2DFC51E3"/>
    <w:rsid w:val="2E11510E"/>
    <w:rsid w:val="2E85644A"/>
    <w:rsid w:val="2F0D69E0"/>
    <w:rsid w:val="2F2D580F"/>
    <w:rsid w:val="2F5D284E"/>
    <w:rsid w:val="2F7C0FE4"/>
    <w:rsid w:val="2FBD50C9"/>
    <w:rsid w:val="2FD55076"/>
    <w:rsid w:val="2FD82029"/>
    <w:rsid w:val="2FE02E0F"/>
    <w:rsid w:val="2FE82F4B"/>
    <w:rsid w:val="2FF54433"/>
    <w:rsid w:val="301B1DEB"/>
    <w:rsid w:val="303A498C"/>
    <w:rsid w:val="304361D7"/>
    <w:rsid w:val="30971A44"/>
    <w:rsid w:val="30A71A03"/>
    <w:rsid w:val="30B76DD3"/>
    <w:rsid w:val="31200CA6"/>
    <w:rsid w:val="312B25D1"/>
    <w:rsid w:val="312D07C4"/>
    <w:rsid w:val="31607A38"/>
    <w:rsid w:val="316D61ED"/>
    <w:rsid w:val="31A31257"/>
    <w:rsid w:val="31C82735"/>
    <w:rsid w:val="31D26289"/>
    <w:rsid w:val="31F85B08"/>
    <w:rsid w:val="31FF6390"/>
    <w:rsid w:val="32B43F62"/>
    <w:rsid w:val="32BE4472"/>
    <w:rsid w:val="32D0708B"/>
    <w:rsid w:val="331368C5"/>
    <w:rsid w:val="33237731"/>
    <w:rsid w:val="33242675"/>
    <w:rsid w:val="332544EC"/>
    <w:rsid w:val="33427A8A"/>
    <w:rsid w:val="3345492A"/>
    <w:rsid w:val="335A0A43"/>
    <w:rsid w:val="337D1DE2"/>
    <w:rsid w:val="33A07769"/>
    <w:rsid w:val="33F16546"/>
    <w:rsid w:val="341546E7"/>
    <w:rsid w:val="34797042"/>
    <w:rsid w:val="348120F8"/>
    <w:rsid w:val="34815805"/>
    <w:rsid w:val="34891A30"/>
    <w:rsid w:val="34CC4C21"/>
    <w:rsid w:val="34E53739"/>
    <w:rsid w:val="352168AD"/>
    <w:rsid w:val="353460D9"/>
    <w:rsid w:val="35446D13"/>
    <w:rsid w:val="35491572"/>
    <w:rsid w:val="35577A6D"/>
    <w:rsid w:val="357655DF"/>
    <w:rsid w:val="35B244B3"/>
    <w:rsid w:val="35BC2A54"/>
    <w:rsid w:val="35BE6A26"/>
    <w:rsid w:val="361F664A"/>
    <w:rsid w:val="36680F65"/>
    <w:rsid w:val="366F636A"/>
    <w:rsid w:val="367E431F"/>
    <w:rsid w:val="36922539"/>
    <w:rsid w:val="36A30626"/>
    <w:rsid w:val="36AE7720"/>
    <w:rsid w:val="36D23FC0"/>
    <w:rsid w:val="36E1278F"/>
    <w:rsid w:val="371E0E9F"/>
    <w:rsid w:val="375A1A64"/>
    <w:rsid w:val="37720598"/>
    <w:rsid w:val="37A76CB0"/>
    <w:rsid w:val="37E7463B"/>
    <w:rsid w:val="37E86146"/>
    <w:rsid w:val="3832060D"/>
    <w:rsid w:val="383E5D13"/>
    <w:rsid w:val="38527D74"/>
    <w:rsid w:val="38977FAC"/>
    <w:rsid w:val="38CE00A1"/>
    <w:rsid w:val="38D07720"/>
    <w:rsid w:val="38D35437"/>
    <w:rsid w:val="38E64434"/>
    <w:rsid w:val="38E94A2A"/>
    <w:rsid w:val="38F33B9F"/>
    <w:rsid w:val="38F513D0"/>
    <w:rsid w:val="39072DA0"/>
    <w:rsid w:val="39314D94"/>
    <w:rsid w:val="39342951"/>
    <w:rsid w:val="3952420A"/>
    <w:rsid w:val="396335F9"/>
    <w:rsid w:val="39901D2E"/>
    <w:rsid w:val="39B642D6"/>
    <w:rsid w:val="39C84498"/>
    <w:rsid w:val="39DF463D"/>
    <w:rsid w:val="39E81A16"/>
    <w:rsid w:val="39F34274"/>
    <w:rsid w:val="3A0A740F"/>
    <w:rsid w:val="3A1174B5"/>
    <w:rsid w:val="3A3C3F4B"/>
    <w:rsid w:val="3A447CED"/>
    <w:rsid w:val="3A5D0A22"/>
    <w:rsid w:val="3A8F0EDB"/>
    <w:rsid w:val="3ACB39E3"/>
    <w:rsid w:val="3B370CF3"/>
    <w:rsid w:val="3B7836E3"/>
    <w:rsid w:val="3B7A44BB"/>
    <w:rsid w:val="3B7D0951"/>
    <w:rsid w:val="3B834070"/>
    <w:rsid w:val="3B8E6287"/>
    <w:rsid w:val="3BE07F48"/>
    <w:rsid w:val="3C401E1A"/>
    <w:rsid w:val="3C980B42"/>
    <w:rsid w:val="3C980E12"/>
    <w:rsid w:val="3CA778D9"/>
    <w:rsid w:val="3CAD4F6F"/>
    <w:rsid w:val="3CDF06E2"/>
    <w:rsid w:val="3CDF74BE"/>
    <w:rsid w:val="3CF2467D"/>
    <w:rsid w:val="3D3B61A9"/>
    <w:rsid w:val="3D4439D8"/>
    <w:rsid w:val="3D520A1E"/>
    <w:rsid w:val="3D6354EC"/>
    <w:rsid w:val="3D803C6B"/>
    <w:rsid w:val="3D8E29CA"/>
    <w:rsid w:val="3D9B4629"/>
    <w:rsid w:val="3DC414CC"/>
    <w:rsid w:val="3DC829BD"/>
    <w:rsid w:val="3DE43B38"/>
    <w:rsid w:val="3E197238"/>
    <w:rsid w:val="3E24017F"/>
    <w:rsid w:val="3E3B2304"/>
    <w:rsid w:val="3E6D6271"/>
    <w:rsid w:val="3E7876A1"/>
    <w:rsid w:val="3E8149E8"/>
    <w:rsid w:val="3EA52028"/>
    <w:rsid w:val="3EA60FBC"/>
    <w:rsid w:val="3EBA58E0"/>
    <w:rsid w:val="3EC36BFF"/>
    <w:rsid w:val="3EC6214E"/>
    <w:rsid w:val="3F466DAD"/>
    <w:rsid w:val="3F674697"/>
    <w:rsid w:val="3F794848"/>
    <w:rsid w:val="3FA34BA7"/>
    <w:rsid w:val="40196D3B"/>
    <w:rsid w:val="402C4D17"/>
    <w:rsid w:val="40544683"/>
    <w:rsid w:val="405764E0"/>
    <w:rsid w:val="40745E25"/>
    <w:rsid w:val="40B1416E"/>
    <w:rsid w:val="40B8754E"/>
    <w:rsid w:val="40E6701E"/>
    <w:rsid w:val="40F06EB9"/>
    <w:rsid w:val="410B6192"/>
    <w:rsid w:val="410F0271"/>
    <w:rsid w:val="413269B3"/>
    <w:rsid w:val="4146051F"/>
    <w:rsid w:val="414A2837"/>
    <w:rsid w:val="41BD0421"/>
    <w:rsid w:val="41D00B16"/>
    <w:rsid w:val="41D61D60"/>
    <w:rsid w:val="41EE01F7"/>
    <w:rsid w:val="41F86803"/>
    <w:rsid w:val="42164393"/>
    <w:rsid w:val="42202300"/>
    <w:rsid w:val="42502DBA"/>
    <w:rsid w:val="425F3B61"/>
    <w:rsid w:val="427C3D01"/>
    <w:rsid w:val="428329AE"/>
    <w:rsid w:val="42950D32"/>
    <w:rsid w:val="42D16E15"/>
    <w:rsid w:val="42E73C50"/>
    <w:rsid w:val="42FE308B"/>
    <w:rsid w:val="430D6D78"/>
    <w:rsid w:val="4327159F"/>
    <w:rsid w:val="432D34DB"/>
    <w:rsid w:val="434A55A8"/>
    <w:rsid w:val="436215CF"/>
    <w:rsid w:val="43826E71"/>
    <w:rsid w:val="438C223A"/>
    <w:rsid w:val="439D2630"/>
    <w:rsid w:val="43EA0710"/>
    <w:rsid w:val="44507E68"/>
    <w:rsid w:val="44800C43"/>
    <w:rsid w:val="44DB4FCD"/>
    <w:rsid w:val="451B11A5"/>
    <w:rsid w:val="453A68D8"/>
    <w:rsid w:val="45803D6A"/>
    <w:rsid w:val="45880DC1"/>
    <w:rsid w:val="45B34DBA"/>
    <w:rsid w:val="45BA5886"/>
    <w:rsid w:val="45DF4336"/>
    <w:rsid w:val="460F1470"/>
    <w:rsid w:val="46276F82"/>
    <w:rsid w:val="4630621B"/>
    <w:rsid w:val="46483BF1"/>
    <w:rsid w:val="46C44CB1"/>
    <w:rsid w:val="46D31D07"/>
    <w:rsid w:val="46D65712"/>
    <w:rsid w:val="472C71B9"/>
    <w:rsid w:val="473D19FE"/>
    <w:rsid w:val="47E27C6C"/>
    <w:rsid w:val="48184CDA"/>
    <w:rsid w:val="48440270"/>
    <w:rsid w:val="488055D6"/>
    <w:rsid w:val="489216CA"/>
    <w:rsid w:val="48B07259"/>
    <w:rsid w:val="48F641E3"/>
    <w:rsid w:val="49041B1F"/>
    <w:rsid w:val="49143F28"/>
    <w:rsid w:val="491C4DB9"/>
    <w:rsid w:val="493E7D1C"/>
    <w:rsid w:val="498052E2"/>
    <w:rsid w:val="49837572"/>
    <w:rsid w:val="498B75D3"/>
    <w:rsid w:val="49967D39"/>
    <w:rsid w:val="4A327118"/>
    <w:rsid w:val="4A473C46"/>
    <w:rsid w:val="4A507F1D"/>
    <w:rsid w:val="4A514B3A"/>
    <w:rsid w:val="4A595E16"/>
    <w:rsid w:val="4A6B4CE4"/>
    <w:rsid w:val="4A957C5E"/>
    <w:rsid w:val="4A991554"/>
    <w:rsid w:val="4A995574"/>
    <w:rsid w:val="4AFB6587"/>
    <w:rsid w:val="4B13134E"/>
    <w:rsid w:val="4B232B6E"/>
    <w:rsid w:val="4B387251"/>
    <w:rsid w:val="4B8003F3"/>
    <w:rsid w:val="4B895F92"/>
    <w:rsid w:val="4BA86E5C"/>
    <w:rsid w:val="4BFA2797"/>
    <w:rsid w:val="4BFF0E28"/>
    <w:rsid w:val="4C1F4452"/>
    <w:rsid w:val="4C4A4B42"/>
    <w:rsid w:val="4C7E5299"/>
    <w:rsid w:val="4C8D50BF"/>
    <w:rsid w:val="4C963B70"/>
    <w:rsid w:val="4CA54603"/>
    <w:rsid w:val="4CD14D2B"/>
    <w:rsid w:val="4CD83308"/>
    <w:rsid w:val="4CED2962"/>
    <w:rsid w:val="4CF813FD"/>
    <w:rsid w:val="4D230C0D"/>
    <w:rsid w:val="4D4E7CD3"/>
    <w:rsid w:val="4DB43701"/>
    <w:rsid w:val="4DDD23AC"/>
    <w:rsid w:val="4DEF4CFA"/>
    <w:rsid w:val="4DF31C11"/>
    <w:rsid w:val="4DFD2351"/>
    <w:rsid w:val="4E0A160C"/>
    <w:rsid w:val="4E2B1A47"/>
    <w:rsid w:val="4E432C41"/>
    <w:rsid w:val="4ED1623E"/>
    <w:rsid w:val="4EFB7EDE"/>
    <w:rsid w:val="4F1F1701"/>
    <w:rsid w:val="4F4D11C7"/>
    <w:rsid w:val="4F575A13"/>
    <w:rsid w:val="4F733441"/>
    <w:rsid w:val="4F750D06"/>
    <w:rsid w:val="4F9E44CA"/>
    <w:rsid w:val="4FA770AE"/>
    <w:rsid w:val="4FB94E78"/>
    <w:rsid w:val="4FCF1816"/>
    <w:rsid w:val="4FF0542B"/>
    <w:rsid w:val="50092F8F"/>
    <w:rsid w:val="501854D6"/>
    <w:rsid w:val="50360195"/>
    <w:rsid w:val="50553563"/>
    <w:rsid w:val="50592A1A"/>
    <w:rsid w:val="506F5409"/>
    <w:rsid w:val="507E1EEF"/>
    <w:rsid w:val="50DF24D8"/>
    <w:rsid w:val="50E716C8"/>
    <w:rsid w:val="50FA7977"/>
    <w:rsid w:val="50FB03C4"/>
    <w:rsid w:val="51686850"/>
    <w:rsid w:val="517A7E74"/>
    <w:rsid w:val="517C218F"/>
    <w:rsid w:val="51B17968"/>
    <w:rsid w:val="51ED5DCB"/>
    <w:rsid w:val="51EE6382"/>
    <w:rsid w:val="522B3695"/>
    <w:rsid w:val="522F353D"/>
    <w:rsid w:val="5248671B"/>
    <w:rsid w:val="524F3B94"/>
    <w:rsid w:val="52751C0F"/>
    <w:rsid w:val="52BA084A"/>
    <w:rsid w:val="52D4340A"/>
    <w:rsid w:val="52E10787"/>
    <w:rsid w:val="5367331F"/>
    <w:rsid w:val="53A652BB"/>
    <w:rsid w:val="53C9620D"/>
    <w:rsid w:val="53F971F0"/>
    <w:rsid w:val="54001E25"/>
    <w:rsid w:val="540E49BE"/>
    <w:rsid w:val="54203525"/>
    <w:rsid w:val="545661A8"/>
    <w:rsid w:val="54847625"/>
    <w:rsid w:val="54B0541D"/>
    <w:rsid w:val="54B247BB"/>
    <w:rsid w:val="54EE5947"/>
    <w:rsid w:val="5513022F"/>
    <w:rsid w:val="55501CD9"/>
    <w:rsid w:val="55663A71"/>
    <w:rsid w:val="559F3434"/>
    <w:rsid w:val="55C62DF5"/>
    <w:rsid w:val="55DF7D1C"/>
    <w:rsid w:val="55EE7739"/>
    <w:rsid w:val="55F62827"/>
    <w:rsid w:val="55FE64C0"/>
    <w:rsid w:val="5630671D"/>
    <w:rsid w:val="5632011C"/>
    <w:rsid w:val="563A356B"/>
    <w:rsid w:val="56621453"/>
    <w:rsid w:val="56783306"/>
    <w:rsid w:val="568A6752"/>
    <w:rsid w:val="568D436A"/>
    <w:rsid w:val="56B055BC"/>
    <w:rsid w:val="56C1107F"/>
    <w:rsid w:val="56DE235C"/>
    <w:rsid w:val="56FD54DC"/>
    <w:rsid w:val="570A0C39"/>
    <w:rsid w:val="570A5A0C"/>
    <w:rsid w:val="574A459A"/>
    <w:rsid w:val="57507EF7"/>
    <w:rsid w:val="57530EB6"/>
    <w:rsid w:val="57652950"/>
    <w:rsid w:val="576615A2"/>
    <w:rsid w:val="57A37B3F"/>
    <w:rsid w:val="57DE176D"/>
    <w:rsid w:val="58346AE0"/>
    <w:rsid w:val="58461A4D"/>
    <w:rsid w:val="5852271D"/>
    <w:rsid w:val="58706933"/>
    <w:rsid w:val="589A4E1B"/>
    <w:rsid w:val="58F27FB7"/>
    <w:rsid w:val="5904690A"/>
    <w:rsid w:val="591A2A68"/>
    <w:rsid w:val="592336D0"/>
    <w:rsid w:val="59273E6A"/>
    <w:rsid w:val="59445D3E"/>
    <w:rsid w:val="595479FF"/>
    <w:rsid w:val="598E14FD"/>
    <w:rsid w:val="59E3110A"/>
    <w:rsid w:val="59F61F47"/>
    <w:rsid w:val="5A0A19A8"/>
    <w:rsid w:val="5A15589C"/>
    <w:rsid w:val="5A347622"/>
    <w:rsid w:val="5A3C7DAC"/>
    <w:rsid w:val="5A3F268A"/>
    <w:rsid w:val="5A965ED7"/>
    <w:rsid w:val="5A9F65A3"/>
    <w:rsid w:val="5AAC5E8A"/>
    <w:rsid w:val="5AD219D2"/>
    <w:rsid w:val="5B4051A5"/>
    <w:rsid w:val="5B7C29AB"/>
    <w:rsid w:val="5B986277"/>
    <w:rsid w:val="5C0105A7"/>
    <w:rsid w:val="5C1B5746"/>
    <w:rsid w:val="5C320050"/>
    <w:rsid w:val="5C494700"/>
    <w:rsid w:val="5C4B40E5"/>
    <w:rsid w:val="5C783FF6"/>
    <w:rsid w:val="5C790E14"/>
    <w:rsid w:val="5C8A3BC2"/>
    <w:rsid w:val="5CC43B58"/>
    <w:rsid w:val="5CDC0284"/>
    <w:rsid w:val="5D2B07EE"/>
    <w:rsid w:val="5D48016A"/>
    <w:rsid w:val="5D6913B3"/>
    <w:rsid w:val="5D773D59"/>
    <w:rsid w:val="5D8B4093"/>
    <w:rsid w:val="5DBD6713"/>
    <w:rsid w:val="5DC47C5B"/>
    <w:rsid w:val="5DFA514F"/>
    <w:rsid w:val="5E19076E"/>
    <w:rsid w:val="5E332186"/>
    <w:rsid w:val="5E9C591A"/>
    <w:rsid w:val="5EE05C0D"/>
    <w:rsid w:val="5EE81299"/>
    <w:rsid w:val="5F2477FA"/>
    <w:rsid w:val="5F31588B"/>
    <w:rsid w:val="5F923565"/>
    <w:rsid w:val="5FA7529F"/>
    <w:rsid w:val="5FD301A1"/>
    <w:rsid w:val="5FE53E07"/>
    <w:rsid w:val="5FF150DF"/>
    <w:rsid w:val="600229F0"/>
    <w:rsid w:val="602925E7"/>
    <w:rsid w:val="604B6261"/>
    <w:rsid w:val="605B2C04"/>
    <w:rsid w:val="606B0C4A"/>
    <w:rsid w:val="607A7D44"/>
    <w:rsid w:val="60A90BD5"/>
    <w:rsid w:val="60CE303D"/>
    <w:rsid w:val="60FB0385"/>
    <w:rsid w:val="614319A1"/>
    <w:rsid w:val="614C35F5"/>
    <w:rsid w:val="61524E4C"/>
    <w:rsid w:val="615B60AF"/>
    <w:rsid w:val="617E3A05"/>
    <w:rsid w:val="6183707F"/>
    <w:rsid w:val="61CB7187"/>
    <w:rsid w:val="61CB77C1"/>
    <w:rsid w:val="6200150B"/>
    <w:rsid w:val="6211584D"/>
    <w:rsid w:val="622867A1"/>
    <w:rsid w:val="6246053D"/>
    <w:rsid w:val="62730DEC"/>
    <w:rsid w:val="62897AC4"/>
    <w:rsid w:val="62CF2A83"/>
    <w:rsid w:val="62D03CD9"/>
    <w:rsid w:val="62D1432C"/>
    <w:rsid w:val="62D67997"/>
    <w:rsid w:val="62F5194E"/>
    <w:rsid w:val="62FA54F0"/>
    <w:rsid w:val="630E0859"/>
    <w:rsid w:val="630F027C"/>
    <w:rsid w:val="63427313"/>
    <w:rsid w:val="637113C7"/>
    <w:rsid w:val="6399402F"/>
    <w:rsid w:val="63B357B1"/>
    <w:rsid w:val="63C95418"/>
    <w:rsid w:val="64017CDA"/>
    <w:rsid w:val="64144F00"/>
    <w:rsid w:val="64507592"/>
    <w:rsid w:val="64803237"/>
    <w:rsid w:val="64AC3D58"/>
    <w:rsid w:val="64E96AEB"/>
    <w:rsid w:val="657B44FB"/>
    <w:rsid w:val="658D46CF"/>
    <w:rsid w:val="65DF67CB"/>
    <w:rsid w:val="65ED6EB4"/>
    <w:rsid w:val="660447FF"/>
    <w:rsid w:val="660E3E54"/>
    <w:rsid w:val="66194C4A"/>
    <w:rsid w:val="662863D0"/>
    <w:rsid w:val="66305190"/>
    <w:rsid w:val="66384AA8"/>
    <w:rsid w:val="665E5B1B"/>
    <w:rsid w:val="666A2BC0"/>
    <w:rsid w:val="668003E0"/>
    <w:rsid w:val="66B17443"/>
    <w:rsid w:val="66E77CD1"/>
    <w:rsid w:val="67397DB3"/>
    <w:rsid w:val="676F4A49"/>
    <w:rsid w:val="67976253"/>
    <w:rsid w:val="67A337F5"/>
    <w:rsid w:val="67A46D34"/>
    <w:rsid w:val="67C933E3"/>
    <w:rsid w:val="67F05320"/>
    <w:rsid w:val="685A3C7C"/>
    <w:rsid w:val="68732E59"/>
    <w:rsid w:val="6880447B"/>
    <w:rsid w:val="688C6207"/>
    <w:rsid w:val="68A8404F"/>
    <w:rsid w:val="68E00D94"/>
    <w:rsid w:val="68F331B5"/>
    <w:rsid w:val="69086590"/>
    <w:rsid w:val="690960EE"/>
    <w:rsid w:val="695B3155"/>
    <w:rsid w:val="69743B79"/>
    <w:rsid w:val="69856A65"/>
    <w:rsid w:val="69AC2E6D"/>
    <w:rsid w:val="69B00F02"/>
    <w:rsid w:val="69C22990"/>
    <w:rsid w:val="69D313DD"/>
    <w:rsid w:val="69EC41C7"/>
    <w:rsid w:val="69F43330"/>
    <w:rsid w:val="6A096586"/>
    <w:rsid w:val="6A1D72DD"/>
    <w:rsid w:val="6A4116E6"/>
    <w:rsid w:val="6A8D1DAD"/>
    <w:rsid w:val="6AC41B34"/>
    <w:rsid w:val="6AC94502"/>
    <w:rsid w:val="6AEB0401"/>
    <w:rsid w:val="6B0120D0"/>
    <w:rsid w:val="6B0E7ACE"/>
    <w:rsid w:val="6B2A0713"/>
    <w:rsid w:val="6B583555"/>
    <w:rsid w:val="6B5F218F"/>
    <w:rsid w:val="6B717FEC"/>
    <w:rsid w:val="6B7E3909"/>
    <w:rsid w:val="6B821CDB"/>
    <w:rsid w:val="6BA3597E"/>
    <w:rsid w:val="6BA94FDA"/>
    <w:rsid w:val="6BCA5871"/>
    <w:rsid w:val="6BDA5644"/>
    <w:rsid w:val="6BED3E27"/>
    <w:rsid w:val="6BFB01BD"/>
    <w:rsid w:val="6C155E31"/>
    <w:rsid w:val="6C1A746E"/>
    <w:rsid w:val="6C1D722B"/>
    <w:rsid w:val="6C3E41ED"/>
    <w:rsid w:val="6C4677E8"/>
    <w:rsid w:val="6CA25869"/>
    <w:rsid w:val="6CC32924"/>
    <w:rsid w:val="6CCC42B0"/>
    <w:rsid w:val="6CE3660D"/>
    <w:rsid w:val="6D154FB5"/>
    <w:rsid w:val="6D653588"/>
    <w:rsid w:val="6D760601"/>
    <w:rsid w:val="6D887135"/>
    <w:rsid w:val="6DA14A3B"/>
    <w:rsid w:val="6DD312E4"/>
    <w:rsid w:val="6E3378A3"/>
    <w:rsid w:val="6E47459E"/>
    <w:rsid w:val="6E6F0A0B"/>
    <w:rsid w:val="6E760705"/>
    <w:rsid w:val="6E7A4EC3"/>
    <w:rsid w:val="6E883319"/>
    <w:rsid w:val="6EA95FBE"/>
    <w:rsid w:val="6EAB6DBA"/>
    <w:rsid w:val="6EAC4EA4"/>
    <w:rsid w:val="6ED40F99"/>
    <w:rsid w:val="6ED75CE0"/>
    <w:rsid w:val="6EDC5CDA"/>
    <w:rsid w:val="6F073C7A"/>
    <w:rsid w:val="6F166D30"/>
    <w:rsid w:val="6F590238"/>
    <w:rsid w:val="6F5E4765"/>
    <w:rsid w:val="6F7A220E"/>
    <w:rsid w:val="6F7D56B3"/>
    <w:rsid w:val="6F9715A1"/>
    <w:rsid w:val="6FDB6CC8"/>
    <w:rsid w:val="6FEE1CB5"/>
    <w:rsid w:val="6FFF422E"/>
    <w:rsid w:val="70084D89"/>
    <w:rsid w:val="704D4CDE"/>
    <w:rsid w:val="707B282F"/>
    <w:rsid w:val="70884927"/>
    <w:rsid w:val="708A7E30"/>
    <w:rsid w:val="70940D5A"/>
    <w:rsid w:val="70CA78D6"/>
    <w:rsid w:val="70F80517"/>
    <w:rsid w:val="7151205B"/>
    <w:rsid w:val="71586E5A"/>
    <w:rsid w:val="715B3E96"/>
    <w:rsid w:val="71884FBD"/>
    <w:rsid w:val="7192293B"/>
    <w:rsid w:val="719E1F90"/>
    <w:rsid w:val="71C109B9"/>
    <w:rsid w:val="721D7820"/>
    <w:rsid w:val="72600905"/>
    <w:rsid w:val="72690461"/>
    <w:rsid w:val="729A2792"/>
    <w:rsid w:val="72BF3583"/>
    <w:rsid w:val="73114271"/>
    <w:rsid w:val="733B61CF"/>
    <w:rsid w:val="73546BA4"/>
    <w:rsid w:val="736B60F2"/>
    <w:rsid w:val="737E6E1F"/>
    <w:rsid w:val="73C23401"/>
    <w:rsid w:val="73DE6DF5"/>
    <w:rsid w:val="73E54A68"/>
    <w:rsid w:val="742A7075"/>
    <w:rsid w:val="743B3197"/>
    <w:rsid w:val="743B7B94"/>
    <w:rsid w:val="7455337E"/>
    <w:rsid w:val="747913A3"/>
    <w:rsid w:val="749D0716"/>
    <w:rsid w:val="74A84516"/>
    <w:rsid w:val="74AA0F3E"/>
    <w:rsid w:val="74B33A93"/>
    <w:rsid w:val="74FA131B"/>
    <w:rsid w:val="753B039A"/>
    <w:rsid w:val="753B4B58"/>
    <w:rsid w:val="756A2B2A"/>
    <w:rsid w:val="757F689B"/>
    <w:rsid w:val="758768A9"/>
    <w:rsid w:val="75BF5554"/>
    <w:rsid w:val="763368A0"/>
    <w:rsid w:val="766008D0"/>
    <w:rsid w:val="766963BF"/>
    <w:rsid w:val="766B45E7"/>
    <w:rsid w:val="76730668"/>
    <w:rsid w:val="767C0347"/>
    <w:rsid w:val="76971BAC"/>
    <w:rsid w:val="76A44790"/>
    <w:rsid w:val="76A84336"/>
    <w:rsid w:val="772E2F50"/>
    <w:rsid w:val="773223AD"/>
    <w:rsid w:val="773F479D"/>
    <w:rsid w:val="77481B4F"/>
    <w:rsid w:val="775252D0"/>
    <w:rsid w:val="776B1197"/>
    <w:rsid w:val="777F7E7E"/>
    <w:rsid w:val="77D91F39"/>
    <w:rsid w:val="77E763B3"/>
    <w:rsid w:val="77FB442E"/>
    <w:rsid w:val="783D7A4B"/>
    <w:rsid w:val="784561C3"/>
    <w:rsid w:val="78541389"/>
    <w:rsid w:val="78877660"/>
    <w:rsid w:val="78DD3663"/>
    <w:rsid w:val="78E02236"/>
    <w:rsid w:val="78E86041"/>
    <w:rsid w:val="793C7926"/>
    <w:rsid w:val="795F2E7D"/>
    <w:rsid w:val="7973147A"/>
    <w:rsid w:val="798244F6"/>
    <w:rsid w:val="7985752C"/>
    <w:rsid w:val="79911D22"/>
    <w:rsid w:val="79AB5DB1"/>
    <w:rsid w:val="79EC3FC0"/>
    <w:rsid w:val="79EF1BBD"/>
    <w:rsid w:val="79F365AA"/>
    <w:rsid w:val="79F50865"/>
    <w:rsid w:val="79FA6DDA"/>
    <w:rsid w:val="79FB3ADB"/>
    <w:rsid w:val="7A002609"/>
    <w:rsid w:val="7A18147C"/>
    <w:rsid w:val="7A253AA7"/>
    <w:rsid w:val="7A3050AA"/>
    <w:rsid w:val="7A4853B8"/>
    <w:rsid w:val="7A4A7CA7"/>
    <w:rsid w:val="7A714CE7"/>
    <w:rsid w:val="7A7F48E8"/>
    <w:rsid w:val="7A7F6691"/>
    <w:rsid w:val="7A9221EA"/>
    <w:rsid w:val="7AA36CA7"/>
    <w:rsid w:val="7AE922FC"/>
    <w:rsid w:val="7AF64447"/>
    <w:rsid w:val="7B2565F7"/>
    <w:rsid w:val="7B341E1B"/>
    <w:rsid w:val="7B62085C"/>
    <w:rsid w:val="7B66517C"/>
    <w:rsid w:val="7B7656D4"/>
    <w:rsid w:val="7B994A47"/>
    <w:rsid w:val="7BAA7EB8"/>
    <w:rsid w:val="7BC45E5D"/>
    <w:rsid w:val="7BCD4C49"/>
    <w:rsid w:val="7BD40DAA"/>
    <w:rsid w:val="7BE26A40"/>
    <w:rsid w:val="7BE941A7"/>
    <w:rsid w:val="7BEB6EFF"/>
    <w:rsid w:val="7C0269F8"/>
    <w:rsid w:val="7C2B0845"/>
    <w:rsid w:val="7C3E41E8"/>
    <w:rsid w:val="7C4F4B44"/>
    <w:rsid w:val="7C635A9B"/>
    <w:rsid w:val="7C903AD5"/>
    <w:rsid w:val="7C9B17CF"/>
    <w:rsid w:val="7CAA3D3D"/>
    <w:rsid w:val="7CAB68B0"/>
    <w:rsid w:val="7CAF0749"/>
    <w:rsid w:val="7CB0500F"/>
    <w:rsid w:val="7CBA7334"/>
    <w:rsid w:val="7CD337BC"/>
    <w:rsid w:val="7D2857D6"/>
    <w:rsid w:val="7D3D2DAD"/>
    <w:rsid w:val="7D4134FC"/>
    <w:rsid w:val="7D86074C"/>
    <w:rsid w:val="7D981F45"/>
    <w:rsid w:val="7DB42776"/>
    <w:rsid w:val="7E1917EC"/>
    <w:rsid w:val="7E254C97"/>
    <w:rsid w:val="7E4475B2"/>
    <w:rsid w:val="7E583FC1"/>
    <w:rsid w:val="7E6C1B77"/>
    <w:rsid w:val="7E7C73F9"/>
    <w:rsid w:val="7E7D1421"/>
    <w:rsid w:val="7E8A6DB4"/>
    <w:rsid w:val="7E9A29F0"/>
    <w:rsid w:val="7E9B2C88"/>
    <w:rsid w:val="7EDA1AC4"/>
    <w:rsid w:val="7EE30A84"/>
    <w:rsid w:val="7EFB0AF6"/>
    <w:rsid w:val="7F0C2625"/>
    <w:rsid w:val="7F7C2FD8"/>
    <w:rsid w:val="7FA83A1E"/>
    <w:rsid w:val="7FC10CFD"/>
    <w:rsid w:val="7FC63E44"/>
    <w:rsid w:val="7FCA782F"/>
    <w:rsid w:val="7FD422D8"/>
    <w:rsid w:val="7FD56D64"/>
    <w:rsid w:val="7FD57E32"/>
    <w:rsid w:val="7FF3207B"/>
    <w:rsid w:val="7FF5136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0" w:semiHidden="0" w:name="caption" w:locked="1"/>
    <w:lsdException w:qFormat="1"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6">
    <w:name w:val="heading 1"/>
    <w:basedOn w:val="1"/>
    <w:next w:val="1"/>
    <w:link w:val="77"/>
    <w:qFormat/>
    <w:uiPriority w:val="0"/>
    <w:pPr>
      <w:keepNext/>
      <w:keepLines/>
      <w:spacing w:line="578" w:lineRule="auto"/>
      <w:outlineLvl w:val="0"/>
    </w:pPr>
    <w:rPr>
      <w:b/>
      <w:bCs/>
      <w:kern w:val="44"/>
      <w:sz w:val="44"/>
      <w:szCs w:val="44"/>
    </w:rPr>
  </w:style>
  <w:style w:type="paragraph" w:styleId="7">
    <w:name w:val="heading 2"/>
    <w:basedOn w:val="1"/>
    <w:next w:val="1"/>
    <w:link w:val="78"/>
    <w:qFormat/>
    <w:uiPriority w:val="0"/>
    <w:pPr>
      <w:keepNext/>
      <w:keepLines/>
      <w:overflowPunct w:val="0"/>
      <w:adjustRightInd w:val="0"/>
      <w:jc w:val="left"/>
      <w:textAlignment w:val="baseline"/>
      <w:outlineLvl w:val="1"/>
    </w:pPr>
    <w:rPr>
      <w:rFonts w:ascii="宋体" w:hAnsi="宋体"/>
      <w:b/>
    </w:rPr>
  </w:style>
  <w:style w:type="paragraph" w:styleId="8">
    <w:name w:val="heading 3"/>
    <w:basedOn w:val="1"/>
    <w:next w:val="1"/>
    <w:link w:val="79"/>
    <w:qFormat/>
    <w:uiPriority w:val="0"/>
    <w:pPr>
      <w:keepNext/>
      <w:keepLines/>
      <w:adjustRightInd w:val="0"/>
      <w:jc w:val="left"/>
      <w:textAlignment w:val="baseline"/>
      <w:outlineLvl w:val="2"/>
    </w:pPr>
    <w:rPr>
      <w:b/>
      <w:bCs/>
      <w:kern w:val="0"/>
      <w:sz w:val="32"/>
      <w:szCs w:val="32"/>
    </w:rPr>
  </w:style>
  <w:style w:type="paragraph" w:styleId="9">
    <w:name w:val="heading 4"/>
    <w:basedOn w:val="8"/>
    <w:next w:val="1"/>
    <w:unhideWhenUsed/>
    <w:qFormat/>
    <w:locked/>
    <w:uiPriority w:val="0"/>
    <w:pPr>
      <w:spacing w:line="374" w:lineRule="auto"/>
      <w:outlineLvl w:val="3"/>
    </w:pPr>
    <w:rPr>
      <w:rFonts w:hint="eastAsia" w:ascii="Cambria" w:hAnsi="Cambria" w:eastAsia="宋体"/>
      <w:sz w:val="28"/>
    </w:rPr>
  </w:style>
  <w:style w:type="paragraph" w:styleId="10">
    <w:name w:val="heading 5"/>
    <w:basedOn w:val="1"/>
    <w:next w:val="11"/>
    <w:link w:val="80"/>
    <w:qFormat/>
    <w:uiPriority w:val="0"/>
    <w:pPr>
      <w:keepNext/>
      <w:keepLines/>
      <w:numPr>
        <w:ilvl w:val="4"/>
        <w:numId w:val="1"/>
      </w:numPr>
      <w:tabs>
        <w:tab w:val="left" w:pos="432"/>
      </w:tabs>
      <w:spacing w:line="376" w:lineRule="auto"/>
      <w:outlineLvl w:val="4"/>
    </w:pPr>
    <w:rPr>
      <w:b/>
      <w:bCs/>
      <w:kern w:val="0"/>
      <w:sz w:val="28"/>
      <w:szCs w:val="28"/>
    </w:rPr>
  </w:style>
  <w:style w:type="paragraph" w:styleId="12">
    <w:name w:val="heading 6"/>
    <w:basedOn w:val="1"/>
    <w:next w:val="11"/>
    <w:link w:val="81"/>
    <w:qFormat/>
    <w:uiPriority w:val="0"/>
    <w:pPr>
      <w:keepNext/>
      <w:keepLines/>
      <w:numPr>
        <w:ilvl w:val="5"/>
        <w:numId w:val="1"/>
      </w:numPr>
      <w:tabs>
        <w:tab w:val="left" w:pos="432"/>
      </w:tabs>
      <w:spacing w:line="320" w:lineRule="auto"/>
      <w:outlineLvl w:val="5"/>
    </w:pPr>
    <w:rPr>
      <w:rFonts w:ascii="Cambria" w:hAnsi="Cambria" w:eastAsia="宋体"/>
      <w:b/>
      <w:bCs/>
      <w:kern w:val="0"/>
      <w:sz w:val="24"/>
      <w:szCs w:val="24"/>
    </w:rPr>
  </w:style>
  <w:style w:type="paragraph" w:styleId="13">
    <w:name w:val="heading 7"/>
    <w:basedOn w:val="1"/>
    <w:next w:val="1"/>
    <w:link w:val="82"/>
    <w:qFormat/>
    <w:uiPriority w:val="0"/>
    <w:pPr>
      <w:keepNext/>
      <w:keepLines/>
      <w:numPr>
        <w:ilvl w:val="6"/>
        <w:numId w:val="1"/>
      </w:numPr>
      <w:tabs>
        <w:tab w:val="left" w:pos="432"/>
      </w:tabs>
      <w:spacing w:line="320" w:lineRule="auto"/>
      <w:outlineLvl w:val="6"/>
    </w:pPr>
    <w:rPr>
      <w:b/>
      <w:bCs/>
      <w:kern w:val="0"/>
      <w:sz w:val="24"/>
      <w:szCs w:val="24"/>
    </w:rPr>
  </w:style>
  <w:style w:type="paragraph" w:styleId="14">
    <w:name w:val="heading 8"/>
    <w:basedOn w:val="1"/>
    <w:next w:val="11"/>
    <w:link w:val="83"/>
    <w:qFormat/>
    <w:uiPriority w:val="0"/>
    <w:pPr>
      <w:keepNext/>
      <w:keepLines/>
      <w:numPr>
        <w:ilvl w:val="7"/>
        <w:numId w:val="1"/>
      </w:numPr>
      <w:tabs>
        <w:tab w:val="left" w:pos="432"/>
      </w:tabs>
      <w:spacing w:line="320" w:lineRule="auto"/>
      <w:outlineLvl w:val="7"/>
    </w:pPr>
    <w:rPr>
      <w:rFonts w:ascii="Cambria" w:hAnsi="Cambria" w:eastAsia="宋体"/>
      <w:kern w:val="0"/>
      <w:sz w:val="24"/>
      <w:szCs w:val="24"/>
    </w:rPr>
  </w:style>
  <w:style w:type="paragraph" w:styleId="15">
    <w:name w:val="heading 9"/>
    <w:basedOn w:val="1"/>
    <w:next w:val="11"/>
    <w:link w:val="84"/>
    <w:qFormat/>
    <w:uiPriority w:val="0"/>
    <w:pPr>
      <w:keepNext/>
      <w:keepLines/>
      <w:numPr>
        <w:ilvl w:val="8"/>
        <w:numId w:val="1"/>
      </w:numPr>
      <w:tabs>
        <w:tab w:val="left" w:pos="432"/>
      </w:tabs>
      <w:spacing w:line="320" w:lineRule="auto"/>
      <w:outlineLvl w:val="8"/>
    </w:pPr>
    <w:rPr>
      <w:rFonts w:ascii="Cambria" w:hAnsi="Cambria" w:eastAsia="宋体"/>
      <w:kern w:val="0"/>
      <w:sz w:val="21"/>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52"/>
    <w:qFormat/>
    <w:locked/>
    <w:uiPriority w:val="0"/>
    <w:pPr>
      <w:widowControl/>
      <w:spacing w:after="120" w:line="240" w:lineRule="auto"/>
      <w:ind w:left="420" w:leftChars="200" w:firstLine="420" w:firstLineChars="200"/>
      <w:jc w:val="left"/>
    </w:pPr>
    <w:rPr>
      <w:rFonts w:ascii="Times New Roman" w:hAnsi="Times New Roman" w:eastAsia="宋体"/>
      <w:sz w:val="28"/>
    </w:rPr>
  </w:style>
  <w:style w:type="paragraph" w:styleId="3">
    <w:name w:val="Body Text Indent"/>
    <w:basedOn w:val="1"/>
    <w:next w:val="4"/>
    <w:link w:val="89"/>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qFormat/>
    <w:locked/>
    <w:uiPriority w:val="99"/>
    <w:pPr>
      <w:snapToGrid w:val="0"/>
    </w:pPr>
    <w:rPr>
      <w:rFonts w:ascii="Arial" w:hAnsi="Arial"/>
    </w:rPr>
  </w:style>
  <w:style w:type="paragraph" w:styleId="5">
    <w:name w:val="Body Text Indent 3"/>
    <w:basedOn w:val="1"/>
    <w:link w:val="97"/>
    <w:qFormat/>
    <w:uiPriority w:val="0"/>
    <w:pPr>
      <w:spacing w:line="360" w:lineRule="auto"/>
      <w:ind w:firstLine="617" w:firstLineChars="257"/>
    </w:pPr>
    <w:rPr>
      <w:kern w:val="0"/>
      <w:sz w:val="16"/>
      <w:szCs w:val="16"/>
    </w:rPr>
  </w:style>
  <w:style w:type="paragraph" w:styleId="11">
    <w:name w:val="Normal Indent"/>
    <w:basedOn w:val="1"/>
    <w:link w:val="111"/>
    <w:qFormat/>
    <w:uiPriority w:val="0"/>
    <w:pPr>
      <w:adjustRightInd w:val="0"/>
      <w:ind w:firstLine="420"/>
      <w:jc w:val="left"/>
      <w:textAlignment w:val="baseline"/>
    </w:pPr>
    <w:rPr>
      <w:sz w:val="24"/>
    </w:rPr>
  </w:style>
  <w:style w:type="paragraph" w:styleId="16">
    <w:name w:val="toc 7"/>
    <w:basedOn w:val="1"/>
    <w:next w:val="1"/>
    <w:semiHidden/>
    <w:qFormat/>
    <w:uiPriority w:val="99"/>
    <w:pPr>
      <w:ind w:left="2520"/>
    </w:pPr>
  </w:style>
  <w:style w:type="paragraph" w:styleId="17">
    <w:name w:val="index 8"/>
    <w:basedOn w:val="1"/>
    <w:next w:val="1"/>
    <w:semiHidden/>
    <w:qFormat/>
    <w:uiPriority w:val="99"/>
    <w:pPr>
      <w:ind w:left="2940"/>
    </w:pPr>
  </w:style>
  <w:style w:type="paragraph" w:styleId="18">
    <w:name w:val="caption"/>
    <w:basedOn w:val="1"/>
    <w:next w:val="1"/>
    <w:qFormat/>
    <w:locked/>
    <w:uiPriority w:val="0"/>
    <w:pPr>
      <w:adjustRightInd w:val="0"/>
      <w:spacing w:before="152" w:after="160" w:line="360" w:lineRule="atLeast"/>
      <w:textAlignment w:val="baseline"/>
    </w:pPr>
    <w:rPr>
      <w:rFonts w:ascii="Arial" w:hAnsi="Arial" w:eastAsia="黑体"/>
      <w:kern w:val="0"/>
      <w:sz w:val="24"/>
    </w:rPr>
  </w:style>
  <w:style w:type="paragraph" w:styleId="19">
    <w:name w:val="index 5"/>
    <w:basedOn w:val="1"/>
    <w:next w:val="1"/>
    <w:semiHidden/>
    <w:qFormat/>
    <w:uiPriority w:val="99"/>
    <w:pPr>
      <w:ind w:left="1680"/>
    </w:pPr>
  </w:style>
  <w:style w:type="paragraph" w:styleId="20">
    <w:name w:val="Document Map"/>
    <w:basedOn w:val="1"/>
    <w:link w:val="87"/>
    <w:qFormat/>
    <w:uiPriority w:val="0"/>
    <w:pPr>
      <w:shd w:val="clear" w:color="auto" w:fill="000080"/>
    </w:pPr>
    <w:rPr>
      <w:kern w:val="0"/>
      <w:sz w:val="2"/>
    </w:rPr>
  </w:style>
  <w:style w:type="paragraph" w:styleId="21">
    <w:name w:val="toa heading"/>
    <w:basedOn w:val="1"/>
    <w:next w:val="1"/>
    <w:qFormat/>
    <w:locked/>
    <w:uiPriority w:val="0"/>
    <w:pPr>
      <w:adjustRightInd w:val="0"/>
      <w:spacing w:before="200" w:line="360" w:lineRule="atLeast"/>
      <w:jc w:val="center"/>
      <w:textAlignment w:val="baseline"/>
    </w:pPr>
    <w:rPr>
      <w:rFonts w:ascii="Arial" w:hAnsi="Arial" w:eastAsia="黑体"/>
      <w:kern w:val="0"/>
      <w:sz w:val="44"/>
    </w:rPr>
  </w:style>
  <w:style w:type="paragraph" w:styleId="22">
    <w:name w:val="annotation text"/>
    <w:basedOn w:val="1"/>
    <w:link w:val="85"/>
    <w:semiHidden/>
    <w:qFormat/>
    <w:uiPriority w:val="99"/>
    <w:pPr>
      <w:jc w:val="left"/>
    </w:pPr>
  </w:style>
  <w:style w:type="paragraph" w:styleId="23">
    <w:name w:val="index 6"/>
    <w:basedOn w:val="1"/>
    <w:next w:val="1"/>
    <w:semiHidden/>
    <w:qFormat/>
    <w:uiPriority w:val="99"/>
    <w:pPr>
      <w:ind w:left="2100"/>
    </w:pPr>
  </w:style>
  <w:style w:type="paragraph" w:styleId="24">
    <w:name w:val="Body Text 3"/>
    <w:basedOn w:val="1"/>
    <w:link w:val="146"/>
    <w:qFormat/>
    <w:locked/>
    <w:uiPriority w:val="0"/>
    <w:pPr>
      <w:adjustRightInd w:val="0"/>
      <w:spacing w:line="360" w:lineRule="atLeast"/>
      <w:jc w:val="center"/>
      <w:textAlignment w:val="baseline"/>
    </w:pPr>
    <w:rPr>
      <w:rFonts w:eastAsia="宋体"/>
      <w:color w:val="FF0000"/>
      <w:kern w:val="0"/>
      <w:sz w:val="21"/>
      <w:szCs w:val="21"/>
    </w:rPr>
  </w:style>
  <w:style w:type="paragraph" w:styleId="25">
    <w:name w:val="Body Text"/>
    <w:basedOn w:val="1"/>
    <w:next w:val="1"/>
    <w:link w:val="88"/>
    <w:qFormat/>
    <w:uiPriority w:val="0"/>
    <w:pPr>
      <w:spacing w:line="400" w:lineRule="exact"/>
    </w:pPr>
    <w:rPr>
      <w:kern w:val="0"/>
      <w:sz w:val="20"/>
    </w:rPr>
  </w:style>
  <w:style w:type="paragraph" w:styleId="26">
    <w:name w:val="index 4"/>
    <w:basedOn w:val="1"/>
    <w:next w:val="1"/>
    <w:semiHidden/>
    <w:qFormat/>
    <w:uiPriority w:val="99"/>
    <w:pPr>
      <w:ind w:left="1260"/>
    </w:pPr>
  </w:style>
  <w:style w:type="paragraph" w:styleId="27">
    <w:name w:val="toc 5"/>
    <w:basedOn w:val="1"/>
    <w:next w:val="1"/>
    <w:semiHidden/>
    <w:qFormat/>
    <w:uiPriority w:val="99"/>
    <w:pPr>
      <w:ind w:left="1680"/>
    </w:pPr>
  </w:style>
  <w:style w:type="paragraph" w:styleId="28">
    <w:name w:val="toc 3"/>
    <w:basedOn w:val="1"/>
    <w:next w:val="1"/>
    <w:qFormat/>
    <w:uiPriority w:val="39"/>
    <w:pPr>
      <w:ind w:left="840"/>
    </w:pPr>
  </w:style>
  <w:style w:type="paragraph" w:styleId="29">
    <w:name w:val="Plain Text"/>
    <w:basedOn w:val="1"/>
    <w:link w:val="90"/>
    <w:qFormat/>
    <w:uiPriority w:val="0"/>
    <w:rPr>
      <w:rFonts w:ascii="宋体" w:hAnsi="Courier New"/>
    </w:rPr>
  </w:style>
  <w:style w:type="paragraph" w:styleId="30">
    <w:name w:val="toc 8"/>
    <w:basedOn w:val="1"/>
    <w:next w:val="1"/>
    <w:semiHidden/>
    <w:qFormat/>
    <w:uiPriority w:val="99"/>
    <w:pPr>
      <w:ind w:left="2940"/>
    </w:pPr>
  </w:style>
  <w:style w:type="paragraph" w:styleId="31">
    <w:name w:val="index 3"/>
    <w:basedOn w:val="1"/>
    <w:next w:val="1"/>
    <w:semiHidden/>
    <w:qFormat/>
    <w:uiPriority w:val="99"/>
    <w:pPr>
      <w:ind w:left="840"/>
    </w:pPr>
  </w:style>
  <w:style w:type="paragraph" w:styleId="32">
    <w:name w:val="Date"/>
    <w:basedOn w:val="1"/>
    <w:next w:val="1"/>
    <w:link w:val="91"/>
    <w:qFormat/>
    <w:uiPriority w:val="0"/>
    <w:rPr>
      <w:kern w:val="0"/>
      <w:sz w:val="20"/>
    </w:rPr>
  </w:style>
  <w:style w:type="paragraph" w:styleId="33">
    <w:name w:val="Body Text Indent 2"/>
    <w:basedOn w:val="1"/>
    <w:link w:val="92"/>
    <w:qFormat/>
    <w:uiPriority w:val="0"/>
    <w:pPr>
      <w:tabs>
        <w:tab w:val="left" w:pos="0"/>
      </w:tabs>
      <w:spacing w:line="360" w:lineRule="auto"/>
      <w:ind w:firstLine="502" w:firstLineChars="209"/>
    </w:pPr>
    <w:rPr>
      <w:kern w:val="0"/>
      <w:sz w:val="20"/>
    </w:rPr>
  </w:style>
  <w:style w:type="paragraph" w:styleId="34">
    <w:name w:val="endnote text"/>
    <w:basedOn w:val="1"/>
    <w:link w:val="151"/>
    <w:qFormat/>
    <w:locked/>
    <w:uiPriority w:val="0"/>
    <w:pPr>
      <w:adjustRightInd w:val="0"/>
      <w:snapToGrid w:val="0"/>
      <w:spacing w:line="360" w:lineRule="atLeast"/>
      <w:jc w:val="left"/>
      <w:textAlignment w:val="baseline"/>
    </w:pPr>
    <w:rPr>
      <w:rFonts w:eastAsia="宋体"/>
      <w:kern w:val="0"/>
      <w:sz w:val="24"/>
    </w:rPr>
  </w:style>
  <w:style w:type="paragraph" w:styleId="35">
    <w:name w:val="Balloon Text"/>
    <w:basedOn w:val="1"/>
    <w:link w:val="93"/>
    <w:qFormat/>
    <w:uiPriority w:val="0"/>
    <w:rPr>
      <w:kern w:val="0"/>
      <w:sz w:val="2"/>
    </w:rPr>
  </w:style>
  <w:style w:type="paragraph" w:styleId="36">
    <w:name w:val="footer"/>
    <w:basedOn w:val="1"/>
    <w:link w:val="94"/>
    <w:qFormat/>
    <w:uiPriority w:val="0"/>
    <w:pPr>
      <w:tabs>
        <w:tab w:val="center" w:pos="4153"/>
        <w:tab w:val="right" w:pos="8306"/>
      </w:tabs>
      <w:snapToGrid w:val="0"/>
      <w:jc w:val="left"/>
    </w:pPr>
    <w:rPr>
      <w:kern w:val="0"/>
      <w:sz w:val="18"/>
      <w:szCs w:val="18"/>
    </w:rPr>
  </w:style>
  <w:style w:type="paragraph" w:styleId="37">
    <w:name w:val="header"/>
    <w:basedOn w:val="1"/>
    <w:link w:val="95"/>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adjustRightInd w:val="0"/>
      <w:jc w:val="left"/>
      <w:textAlignment w:val="baseline"/>
    </w:pPr>
    <w:rPr>
      <w:sz w:val="24"/>
    </w:rPr>
  </w:style>
  <w:style w:type="paragraph" w:styleId="39">
    <w:name w:val="toc 4"/>
    <w:basedOn w:val="1"/>
    <w:next w:val="1"/>
    <w:semiHidden/>
    <w:qFormat/>
    <w:uiPriority w:val="99"/>
    <w:pPr>
      <w:ind w:left="1260"/>
    </w:pPr>
  </w:style>
  <w:style w:type="paragraph" w:styleId="40">
    <w:name w:val="index heading"/>
    <w:basedOn w:val="1"/>
    <w:next w:val="41"/>
    <w:semiHidden/>
    <w:qFormat/>
    <w:uiPriority w:val="99"/>
  </w:style>
  <w:style w:type="paragraph" w:styleId="41">
    <w:name w:val="index 1"/>
    <w:basedOn w:val="1"/>
    <w:next w:val="1"/>
    <w:semiHidden/>
    <w:qFormat/>
    <w:uiPriority w:val="99"/>
  </w:style>
  <w:style w:type="paragraph" w:styleId="42">
    <w:name w:val="Subtitle"/>
    <w:basedOn w:val="1"/>
    <w:link w:val="148"/>
    <w:qFormat/>
    <w:locked/>
    <w:uiPriority w:val="0"/>
    <w:pPr>
      <w:adjustRightInd w:val="0"/>
      <w:spacing w:after="60" w:line="360" w:lineRule="atLeast"/>
      <w:jc w:val="center"/>
      <w:textAlignment w:val="baseline"/>
    </w:pPr>
    <w:rPr>
      <w:rFonts w:ascii="Arial" w:hAnsi="Arial" w:eastAsia="黑体"/>
      <w:i/>
      <w:kern w:val="0"/>
      <w:sz w:val="24"/>
    </w:rPr>
  </w:style>
  <w:style w:type="paragraph" w:styleId="43">
    <w:name w:val="footnote text"/>
    <w:basedOn w:val="1"/>
    <w:link w:val="96"/>
    <w:semiHidden/>
    <w:qFormat/>
    <w:uiPriority w:val="99"/>
    <w:pPr>
      <w:snapToGrid w:val="0"/>
      <w:jc w:val="left"/>
    </w:pPr>
    <w:rPr>
      <w:kern w:val="0"/>
      <w:sz w:val="18"/>
      <w:szCs w:val="18"/>
    </w:rPr>
  </w:style>
  <w:style w:type="paragraph" w:styleId="44">
    <w:name w:val="toc 6"/>
    <w:basedOn w:val="1"/>
    <w:next w:val="1"/>
    <w:semiHidden/>
    <w:qFormat/>
    <w:uiPriority w:val="99"/>
    <w:pPr>
      <w:ind w:left="2100"/>
    </w:pPr>
  </w:style>
  <w:style w:type="paragraph" w:styleId="45">
    <w:name w:val="index 7"/>
    <w:basedOn w:val="1"/>
    <w:next w:val="1"/>
    <w:semiHidden/>
    <w:qFormat/>
    <w:uiPriority w:val="99"/>
    <w:pPr>
      <w:ind w:left="2520"/>
    </w:pPr>
  </w:style>
  <w:style w:type="paragraph" w:styleId="46">
    <w:name w:val="index 9"/>
    <w:basedOn w:val="1"/>
    <w:next w:val="1"/>
    <w:semiHidden/>
    <w:qFormat/>
    <w:uiPriority w:val="99"/>
    <w:pPr>
      <w:ind w:left="3360"/>
    </w:pPr>
  </w:style>
  <w:style w:type="paragraph" w:styleId="47">
    <w:name w:val="table of figures"/>
    <w:basedOn w:val="1"/>
    <w:next w:val="1"/>
    <w:semiHidden/>
    <w:qFormat/>
    <w:uiPriority w:val="99"/>
    <w:pPr>
      <w:adjustRightInd w:val="0"/>
      <w:ind w:left="420" w:hanging="420"/>
      <w:jc w:val="left"/>
      <w:textAlignment w:val="baseline"/>
    </w:pPr>
    <w:rPr>
      <w:smallCaps/>
      <w:sz w:val="24"/>
    </w:rPr>
  </w:style>
  <w:style w:type="paragraph" w:styleId="48">
    <w:name w:val="toc 2"/>
    <w:basedOn w:val="1"/>
    <w:next w:val="1"/>
    <w:qFormat/>
    <w:uiPriority w:val="39"/>
    <w:pPr>
      <w:ind w:left="420"/>
    </w:pPr>
  </w:style>
  <w:style w:type="paragraph" w:styleId="49">
    <w:name w:val="toc 9"/>
    <w:basedOn w:val="1"/>
    <w:next w:val="1"/>
    <w:semiHidden/>
    <w:qFormat/>
    <w:uiPriority w:val="99"/>
    <w:pPr>
      <w:ind w:left="3360"/>
    </w:pPr>
  </w:style>
  <w:style w:type="paragraph" w:styleId="50">
    <w:name w:val="Body Text 2"/>
    <w:basedOn w:val="1"/>
    <w:link w:val="145"/>
    <w:qFormat/>
    <w:locked/>
    <w:uiPriority w:val="0"/>
    <w:pPr>
      <w:adjustRightInd w:val="0"/>
      <w:spacing w:line="360" w:lineRule="atLeast"/>
      <w:jc w:val="center"/>
      <w:textAlignment w:val="baseline"/>
    </w:pPr>
    <w:rPr>
      <w:rFonts w:ascii="仿宋_GB2312" w:eastAsia="仿宋_GB2312"/>
      <w:kern w:val="0"/>
      <w:sz w:val="24"/>
      <w:szCs w:val="24"/>
    </w:rPr>
  </w:style>
  <w:style w:type="paragraph" w:styleId="51">
    <w:name w:val="HTML Preformatted"/>
    <w:basedOn w:val="1"/>
    <w:link w:val="9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52">
    <w:name w:val="Normal (Web)"/>
    <w:basedOn w:val="1"/>
    <w:qFormat/>
    <w:uiPriority w:val="0"/>
    <w:pPr>
      <w:spacing w:before="100" w:beforeAutospacing="1" w:after="100" w:afterAutospacing="1"/>
      <w:jc w:val="left"/>
    </w:pPr>
    <w:rPr>
      <w:kern w:val="0"/>
      <w:sz w:val="24"/>
    </w:rPr>
  </w:style>
  <w:style w:type="paragraph" w:styleId="53">
    <w:name w:val="index 2"/>
    <w:basedOn w:val="1"/>
    <w:next w:val="1"/>
    <w:semiHidden/>
    <w:qFormat/>
    <w:uiPriority w:val="99"/>
    <w:pPr>
      <w:ind w:left="420"/>
    </w:pPr>
  </w:style>
  <w:style w:type="paragraph" w:styleId="54">
    <w:name w:val="Title"/>
    <w:basedOn w:val="1"/>
    <w:next w:val="1"/>
    <w:link w:val="99"/>
    <w:qFormat/>
    <w:locked/>
    <w:uiPriority w:val="0"/>
    <w:pPr>
      <w:adjustRightInd w:val="0"/>
      <w:spacing w:line="420" w:lineRule="atLeast"/>
      <w:jc w:val="center"/>
      <w:textAlignment w:val="baseline"/>
      <w:outlineLvl w:val="0"/>
    </w:pPr>
    <w:rPr>
      <w:rFonts w:ascii="Arial" w:hAnsi="Arial"/>
      <w:b/>
      <w:kern w:val="0"/>
      <w:sz w:val="32"/>
    </w:rPr>
  </w:style>
  <w:style w:type="paragraph" w:styleId="55">
    <w:name w:val="annotation subject"/>
    <w:basedOn w:val="22"/>
    <w:next w:val="22"/>
    <w:link w:val="86"/>
    <w:semiHidden/>
    <w:qFormat/>
    <w:uiPriority w:val="99"/>
    <w:rPr>
      <w:b/>
      <w:bCs/>
      <w:sz w:val="20"/>
    </w:rPr>
  </w:style>
  <w:style w:type="paragraph" w:styleId="56">
    <w:name w:val="Body Text First Indent"/>
    <w:basedOn w:val="25"/>
    <w:link w:val="147"/>
    <w:qFormat/>
    <w:locked/>
    <w:uiPriority w:val="0"/>
    <w:pPr>
      <w:widowControl/>
      <w:spacing w:after="120" w:line="240" w:lineRule="auto"/>
      <w:ind w:firstLine="420" w:firstLineChars="100"/>
      <w:jc w:val="left"/>
    </w:pPr>
    <w:rPr>
      <w:rFonts w:eastAsia="宋体"/>
      <w:sz w:val="21"/>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rPr>
  </w:style>
  <w:style w:type="character" w:styleId="61">
    <w:name w:val="endnote reference"/>
    <w:qFormat/>
    <w:locked/>
    <w:uiPriority w:val="0"/>
    <w:rPr>
      <w:vertAlign w:val="superscript"/>
    </w:rPr>
  </w:style>
  <w:style w:type="character" w:styleId="62">
    <w:name w:val="page number"/>
    <w:basedOn w:val="59"/>
    <w:qFormat/>
    <w:uiPriority w:val="0"/>
    <w:rPr>
      <w:rFonts w:cs="Times New Roman"/>
    </w:rPr>
  </w:style>
  <w:style w:type="character" w:styleId="63">
    <w:name w:val="FollowedHyperlink"/>
    <w:basedOn w:val="59"/>
    <w:qFormat/>
    <w:uiPriority w:val="0"/>
    <w:rPr>
      <w:rFonts w:cs="Times New Roman"/>
      <w:color w:val="954F72"/>
      <w:u w:val="single"/>
    </w:rPr>
  </w:style>
  <w:style w:type="character" w:styleId="64">
    <w:name w:val="Emphasis"/>
    <w:basedOn w:val="59"/>
    <w:qFormat/>
    <w:uiPriority w:val="99"/>
    <w:rPr>
      <w:rFonts w:cs="Times New Roman"/>
      <w:i/>
    </w:rPr>
  </w:style>
  <w:style w:type="character" w:styleId="65">
    <w:name w:val="line number"/>
    <w:basedOn w:val="59"/>
    <w:qFormat/>
    <w:uiPriority w:val="0"/>
    <w:rPr>
      <w:rFonts w:cs="Times New Roman"/>
    </w:rPr>
  </w:style>
  <w:style w:type="character" w:styleId="66">
    <w:name w:val="HTML Definition"/>
    <w:basedOn w:val="59"/>
    <w:qFormat/>
    <w:uiPriority w:val="99"/>
    <w:rPr>
      <w:rFonts w:cs="Times New Roman"/>
      <w:i/>
    </w:rPr>
  </w:style>
  <w:style w:type="character" w:styleId="67">
    <w:name w:val="Hyperlink"/>
    <w:basedOn w:val="59"/>
    <w:qFormat/>
    <w:uiPriority w:val="0"/>
    <w:rPr>
      <w:rFonts w:cs="Times New Roman"/>
      <w:color w:val="0000FF"/>
      <w:u w:val="single"/>
    </w:rPr>
  </w:style>
  <w:style w:type="character" w:styleId="68">
    <w:name w:val="HTML Code"/>
    <w:basedOn w:val="59"/>
    <w:qFormat/>
    <w:uiPriority w:val="99"/>
    <w:rPr>
      <w:rFonts w:ascii="Menlo" w:hAnsi="Menlo" w:cs="Times New Roman"/>
      <w:color w:val="C7254E"/>
      <w:sz w:val="21"/>
      <w:shd w:val="clear" w:color="auto" w:fill="F9F2F4"/>
    </w:rPr>
  </w:style>
  <w:style w:type="character" w:styleId="69">
    <w:name w:val="annotation reference"/>
    <w:basedOn w:val="59"/>
    <w:semiHidden/>
    <w:qFormat/>
    <w:uiPriority w:val="99"/>
    <w:rPr>
      <w:rFonts w:cs="Times New Roman"/>
      <w:sz w:val="21"/>
    </w:rPr>
  </w:style>
  <w:style w:type="character" w:styleId="70">
    <w:name w:val="HTML Cite"/>
    <w:basedOn w:val="59"/>
    <w:qFormat/>
    <w:uiPriority w:val="99"/>
    <w:rPr>
      <w:rFonts w:cs="Times New Roman"/>
    </w:rPr>
  </w:style>
  <w:style w:type="character" w:styleId="71">
    <w:name w:val="footnote reference"/>
    <w:basedOn w:val="59"/>
    <w:semiHidden/>
    <w:qFormat/>
    <w:uiPriority w:val="99"/>
    <w:rPr>
      <w:rFonts w:cs="Times New Roman"/>
      <w:vertAlign w:val="superscript"/>
    </w:rPr>
  </w:style>
  <w:style w:type="character" w:styleId="72">
    <w:name w:val="HTML Keyboard"/>
    <w:basedOn w:val="59"/>
    <w:qFormat/>
    <w:uiPriority w:val="99"/>
    <w:rPr>
      <w:rFonts w:ascii="Menlo" w:hAnsi="Menlo" w:cs="Times New Roman"/>
      <w:sz w:val="21"/>
    </w:rPr>
  </w:style>
  <w:style w:type="character" w:styleId="73">
    <w:name w:val="HTML Sample"/>
    <w:basedOn w:val="59"/>
    <w:qFormat/>
    <w:uiPriority w:val="99"/>
    <w:rPr>
      <w:rFonts w:ascii="Menlo" w:hAnsi="Menlo" w:cs="Times New Roman"/>
      <w:sz w:val="21"/>
    </w:rPr>
  </w:style>
  <w:style w:type="paragraph" w:customStyle="1" w:styleId="7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5">
    <w:name w:val="正文文本首行缩进 2"/>
    <w:basedOn w:val="3"/>
    <w:unhideWhenUsed/>
    <w:qFormat/>
    <w:uiPriority w:val="99"/>
    <w:pPr>
      <w:ind w:firstLine="420" w:firstLineChars="200"/>
    </w:pPr>
    <w:rPr>
      <w:rFonts w:ascii="Calibri" w:hAnsi="Calibri"/>
      <w:szCs w:val="26"/>
    </w:rPr>
  </w:style>
  <w:style w:type="paragraph" w:customStyle="1" w:styleId="76">
    <w:name w:val="正文文本首行缩进 21"/>
    <w:basedOn w:val="3"/>
    <w:unhideWhenUsed/>
    <w:qFormat/>
    <w:uiPriority w:val="99"/>
    <w:pPr>
      <w:ind w:firstLine="420" w:firstLineChars="200"/>
    </w:pPr>
    <w:rPr>
      <w:rFonts w:ascii="Calibri" w:hAnsi="Calibri"/>
      <w:szCs w:val="26"/>
    </w:rPr>
  </w:style>
  <w:style w:type="character" w:customStyle="1" w:styleId="77">
    <w:name w:val="标题 1 Char"/>
    <w:basedOn w:val="59"/>
    <w:link w:val="6"/>
    <w:qFormat/>
    <w:locked/>
    <w:uiPriority w:val="99"/>
    <w:rPr>
      <w:rFonts w:eastAsia="楷体_GB2312" w:cs="Times New Roman"/>
      <w:b/>
      <w:kern w:val="44"/>
      <w:sz w:val="44"/>
    </w:rPr>
  </w:style>
  <w:style w:type="character" w:customStyle="1" w:styleId="78">
    <w:name w:val="标题 2 Char"/>
    <w:basedOn w:val="59"/>
    <w:link w:val="7"/>
    <w:qFormat/>
    <w:locked/>
    <w:uiPriority w:val="99"/>
    <w:rPr>
      <w:rFonts w:ascii="宋体" w:hAnsi="宋体" w:eastAsia="楷体_GB2312" w:cs="Times New Roman"/>
      <w:b/>
      <w:kern w:val="2"/>
      <w:sz w:val="26"/>
      <w:lang w:val="en-US" w:eastAsia="zh-CN"/>
    </w:rPr>
  </w:style>
  <w:style w:type="character" w:customStyle="1" w:styleId="79">
    <w:name w:val="标题 3 Char"/>
    <w:basedOn w:val="59"/>
    <w:link w:val="8"/>
    <w:semiHidden/>
    <w:qFormat/>
    <w:locked/>
    <w:uiPriority w:val="99"/>
    <w:rPr>
      <w:rFonts w:eastAsia="楷体_GB2312" w:cs="Times New Roman"/>
      <w:b/>
      <w:sz w:val="32"/>
    </w:rPr>
  </w:style>
  <w:style w:type="character" w:customStyle="1" w:styleId="80">
    <w:name w:val="标题 5 Char"/>
    <w:basedOn w:val="59"/>
    <w:link w:val="10"/>
    <w:semiHidden/>
    <w:qFormat/>
    <w:locked/>
    <w:uiPriority w:val="99"/>
    <w:rPr>
      <w:rFonts w:eastAsia="楷体_GB2312" w:cs="Times New Roman"/>
      <w:b/>
      <w:sz w:val="28"/>
    </w:rPr>
  </w:style>
  <w:style w:type="character" w:customStyle="1" w:styleId="81">
    <w:name w:val="标题 6 Char"/>
    <w:basedOn w:val="59"/>
    <w:link w:val="12"/>
    <w:semiHidden/>
    <w:qFormat/>
    <w:locked/>
    <w:uiPriority w:val="99"/>
    <w:rPr>
      <w:rFonts w:ascii="Cambria" w:hAnsi="Cambria" w:eastAsia="宋体" w:cs="Times New Roman"/>
      <w:b/>
      <w:sz w:val="24"/>
    </w:rPr>
  </w:style>
  <w:style w:type="character" w:customStyle="1" w:styleId="82">
    <w:name w:val="标题 7 Char"/>
    <w:basedOn w:val="59"/>
    <w:link w:val="13"/>
    <w:semiHidden/>
    <w:qFormat/>
    <w:locked/>
    <w:uiPriority w:val="99"/>
    <w:rPr>
      <w:rFonts w:eastAsia="楷体_GB2312" w:cs="Times New Roman"/>
      <w:b/>
      <w:sz w:val="24"/>
    </w:rPr>
  </w:style>
  <w:style w:type="character" w:customStyle="1" w:styleId="83">
    <w:name w:val="标题 8 Char"/>
    <w:basedOn w:val="59"/>
    <w:link w:val="14"/>
    <w:semiHidden/>
    <w:qFormat/>
    <w:locked/>
    <w:uiPriority w:val="99"/>
    <w:rPr>
      <w:rFonts w:ascii="Cambria" w:hAnsi="Cambria" w:eastAsia="宋体" w:cs="Times New Roman"/>
      <w:sz w:val="24"/>
    </w:rPr>
  </w:style>
  <w:style w:type="character" w:customStyle="1" w:styleId="84">
    <w:name w:val="标题 9 Char"/>
    <w:basedOn w:val="59"/>
    <w:link w:val="15"/>
    <w:semiHidden/>
    <w:qFormat/>
    <w:locked/>
    <w:uiPriority w:val="99"/>
    <w:rPr>
      <w:rFonts w:ascii="Cambria" w:hAnsi="Cambria" w:eastAsia="宋体" w:cs="Times New Roman"/>
      <w:sz w:val="21"/>
    </w:rPr>
  </w:style>
  <w:style w:type="character" w:customStyle="1" w:styleId="85">
    <w:name w:val="批注文字 Char"/>
    <w:basedOn w:val="59"/>
    <w:link w:val="22"/>
    <w:semiHidden/>
    <w:qFormat/>
    <w:locked/>
    <w:uiPriority w:val="99"/>
    <w:rPr>
      <w:rFonts w:eastAsia="楷体_GB2312" w:cs="Times New Roman"/>
      <w:kern w:val="2"/>
      <w:sz w:val="26"/>
    </w:rPr>
  </w:style>
  <w:style w:type="character" w:customStyle="1" w:styleId="86">
    <w:name w:val="批注主题 Char"/>
    <w:basedOn w:val="85"/>
    <w:link w:val="55"/>
    <w:semiHidden/>
    <w:qFormat/>
    <w:locked/>
    <w:uiPriority w:val="99"/>
    <w:rPr>
      <w:rFonts w:eastAsia="楷体_GB2312" w:cs="Times New Roman"/>
      <w:b/>
      <w:kern w:val="2"/>
      <w:sz w:val="20"/>
    </w:rPr>
  </w:style>
  <w:style w:type="character" w:customStyle="1" w:styleId="87">
    <w:name w:val="文档结构图 Char"/>
    <w:basedOn w:val="59"/>
    <w:link w:val="20"/>
    <w:semiHidden/>
    <w:qFormat/>
    <w:locked/>
    <w:uiPriority w:val="99"/>
    <w:rPr>
      <w:rFonts w:eastAsia="楷体_GB2312" w:cs="Times New Roman"/>
      <w:sz w:val="2"/>
    </w:rPr>
  </w:style>
  <w:style w:type="character" w:customStyle="1" w:styleId="88">
    <w:name w:val="正文文本 Char"/>
    <w:basedOn w:val="59"/>
    <w:link w:val="25"/>
    <w:qFormat/>
    <w:locked/>
    <w:uiPriority w:val="0"/>
    <w:rPr>
      <w:rFonts w:eastAsia="楷体_GB2312" w:cs="Times New Roman"/>
      <w:sz w:val="20"/>
    </w:rPr>
  </w:style>
  <w:style w:type="character" w:customStyle="1" w:styleId="89">
    <w:name w:val="正文文本缩进 Char"/>
    <w:basedOn w:val="59"/>
    <w:link w:val="3"/>
    <w:qFormat/>
    <w:locked/>
    <w:uiPriority w:val="0"/>
    <w:rPr>
      <w:rFonts w:ascii="方正仿宋简体" w:hAnsi="创艺简仿宋" w:eastAsia="方正仿宋简体" w:cs="Times New Roman"/>
      <w:kern w:val="2"/>
      <w:sz w:val="24"/>
      <w:lang w:val="en-US" w:eastAsia="zh-CN"/>
    </w:rPr>
  </w:style>
  <w:style w:type="character" w:customStyle="1" w:styleId="90">
    <w:name w:val="纯文本 Char"/>
    <w:basedOn w:val="59"/>
    <w:link w:val="29"/>
    <w:qFormat/>
    <w:locked/>
    <w:uiPriority w:val="0"/>
    <w:rPr>
      <w:rFonts w:ascii="宋体" w:hAnsi="Courier New" w:eastAsia="楷体_GB2312" w:cs="Times New Roman"/>
      <w:kern w:val="2"/>
      <w:sz w:val="26"/>
      <w:lang w:val="en-US" w:eastAsia="zh-CN"/>
    </w:rPr>
  </w:style>
  <w:style w:type="character" w:customStyle="1" w:styleId="91">
    <w:name w:val="日期 Char"/>
    <w:basedOn w:val="59"/>
    <w:link w:val="32"/>
    <w:qFormat/>
    <w:locked/>
    <w:uiPriority w:val="0"/>
    <w:rPr>
      <w:rFonts w:eastAsia="楷体_GB2312" w:cs="Times New Roman"/>
      <w:sz w:val="20"/>
    </w:rPr>
  </w:style>
  <w:style w:type="character" w:customStyle="1" w:styleId="92">
    <w:name w:val="正文文本缩进 2 Char"/>
    <w:basedOn w:val="59"/>
    <w:link w:val="33"/>
    <w:semiHidden/>
    <w:qFormat/>
    <w:locked/>
    <w:uiPriority w:val="99"/>
    <w:rPr>
      <w:rFonts w:eastAsia="楷体_GB2312" w:cs="Times New Roman"/>
      <w:sz w:val="20"/>
    </w:rPr>
  </w:style>
  <w:style w:type="character" w:customStyle="1" w:styleId="93">
    <w:name w:val="批注框文本 Char"/>
    <w:basedOn w:val="59"/>
    <w:link w:val="35"/>
    <w:semiHidden/>
    <w:qFormat/>
    <w:locked/>
    <w:uiPriority w:val="99"/>
    <w:rPr>
      <w:rFonts w:eastAsia="楷体_GB2312" w:cs="Times New Roman"/>
      <w:sz w:val="2"/>
    </w:rPr>
  </w:style>
  <w:style w:type="character" w:customStyle="1" w:styleId="94">
    <w:name w:val="页脚 Char"/>
    <w:basedOn w:val="59"/>
    <w:link w:val="36"/>
    <w:qFormat/>
    <w:locked/>
    <w:uiPriority w:val="0"/>
    <w:rPr>
      <w:rFonts w:eastAsia="楷体_GB2312" w:cs="Times New Roman"/>
      <w:sz w:val="18"/>
    </w:rPr>
  </w:style>
  <w:style w:type="character" w:customStyle="1" w:styleId="95">
    <w:name w:val="页眉 Char"/>
    <w:basedOn w:val="59"/>
    <w:link w:val="37"/>
    <w:qFormat/>
    <w:locked/>
    <w:uiPriority w:val="99"/>
    <w:rPr>
      <w:rFonts w:eastAsia="楷体_GB2312" w:cs="Times New Roman"/>
      <w:kern w:val="2"/>
      <w:sz w:val="18"/>
    </w:rPr>
  </w:style>
  <w:style w:type="character" w:customStyle="1" w:styleId="96">
    <w:name w:val="脚注文本 Char"/>
    <w:basedOn w:val="59"/>
    <w:link w:val="43"/>
    <w:semiHidden/>
    <w:qFormat/>
    <w:locked/>
    <w:uiPriority w:val="99"/>
    <w:rPr>
      <w:rFonts w:eastAsia="楷体_GB2312" w:cs="Times New Roman"/>
      <w:sz w:val="18"/>
    </w:rPr>
  </w:style>
  <w:style w:type="character" w:customStyle="1" w:styleId="97">
    <w:name w:val="正文文本缩进 3 Char"/>
    <w:basedOn w:val="59"/>
    <w:link w:val="5"/>
    <w:qFormat/>
    <w:locked/>
    <w:uiPriority w:val="0"/>
    <w:rPr>
      <w:rFonts w:eastAsia="楷体_GB2312" w:cs="Times New Roman"/>
      <w:sz w:val="16"/>
    </w:rPr>
  </w:style>
  <w:style w:type="character" w:customStyle="1" w:styleId="98">
    <w:name w:val="HTML 预设格式 Char"/>
    <w:basedOn w:val="59"/>
    <w:link w:val="51"/>
    <w:semiHidden/>
    <w:qFormat/>
    <w:locked/>
    <w:uiPriority w:val="99"/>
    <w:rPr>
      <w:rFonts w:ascii="Courier New" w:hAnsi="Courier New" w:eastAsia="楷体_GB2312" w:cs="Times New Roman"/>
      <w:sz w:val="20"/>
    </w:rPr>
  </w:style>
  <w:style w:type="character" w:customStyle="1" w:styleId="99">
    <w:name w:val="标题 Char"/>
    <w:basedOn w:val="59"/>
    <w:link w:val="54"/>
    <w:qFormat/>
    <w:locked/>
    <w:uiPriority w:val="0"/>
    <w:rPr>
      <w:rFonts w:ascii="Cambria" w:hAnsi="Cambria" w:cs="Times New Roman"/>
      <w:b/>
      <w:bCs/>
      <w:sz w:val="32"/>
      <w:szCs w:val="32"/>
    </w:rPr>
  </w:style>
  <w:style w:type="paragraph" w:customStyle="1" w:styleId="100">
    <w:name w:val="列出段落1"/>
    <w:basedOn w:val="1"/>
    <w:qFormat/>
    <w:uiPriority w:val="99"/>
    <w:pPr>
      <w:ind w:firstLine="420" w:firstLineChars="200"/>
    </w:pPr>
    <w:rPr>
      <w:rFonts w:eastAsia="宋体"/>
      <w:sz w:val="21"/>
      <w:szCs w:val="24"/>
    </w:rPr>
  </w:style>
  <w:style w:type="paragraph" w:customStyle="1" w:styleId="101">
    <w:name w:val="Char"/>
    <w:basedOn w:val="1"/>
    <w:qFormat/>
    <w:uiPriority w:val="99"/>
    <w:pPr>
      <w:widowControl/>
      <w:spacing w:line="240" w:lineRule="exact"/>
      <w:jc w:val="left"/>
    </w:pPr>
    <w:rPr>
      <w:rFonts w:ascii="Verdana" w:hAnsi="Verdana" w:eastAsia="宋体"/>
      <w:kern w:val="0"/>
      <w:sz w:val="21"/>
      <w:lang w:eastAsia="en-US"/>
    </w:rPr>
  </w:style>
  <w:style w:type="paragraph" w:customStyle="1" w:styleId="102">
    <w:name w:val="纯文本1"/>
    <w:basedOn w:val="1"/>
    <w:qFormat/>
    <w:uiPriority w:val="99"/>
    <w:pPr>
      <w:adjustRightInd w:val="0"/>
      <w:textAlignment w:val="baseline"/>
    </w:pPr>
    <w:rPr>
      <w:rFonts w:ascii="宋体" w:hAnsi="Courier New"/>
      <w:sz w:val="28"/>
    </w:rPr>
  </w:style>
  <w:style w:type="paragraph" w:customStyle="1" w:styleId="103">
    <w:name w:val="图"/>
    <w:basedOn w:val="1"/>
    <w:qFormat/>
    <w:uiPriority w:val="99"/>
    <w:pPr>
      <w:keepNext/>
      <w:adjustRightInd w:val="0"/>
      <w:spacing w:line="300" w:lineRule="auto"/>
      <w:jc w:val="center"/>
      <w:textAlignment w:val="center"/>
    </w:pPr>
    <w:rPr>
      <w:rFonts w:eastAsia="宋体"/>
      <w:spacing w:val="20"/>
      <w:kern w:val="0"/>
      <w:sz w:val="24"/>
    </w:rPr>
  </w:style>
  <w:style w:type="paragraph" w:customStyle="1" w:styleId="104">
    <w:name w:val="Char Char1 Char Char Char Char"/>
    <w:basedOn w:val="20"/>
    <w:qFormat/>
    <w:uiPriority w:val="99"/>
    <w:pPr>
      <w:adjustRightInd w:val="0"/>
      <w:snapToGrid w:val="0"/>
      <w:spacing w:line="360" w:lineRule="auto"/>
    </w:pPr>
    <w:rPr>
      <w:rFonts w:ascii="Tahoma" w:hAnsi="Tahoma" w:eastAsia="宋体"/>
      <w:sz w:val="24"/>
      <w:szCs w:val="24"/>
    </w:rPr>
  </w:style>
  <w:style w:type="paragraph" w:customStyle="1" w:styleId="105">
    <w:name w:val="纯文本2"/>
    <w:basedOn w:val="1"/>
    <w:qFormat/>
    <w:uiPriority w:val="99"/>
    <w:pPr>
      <w:adjustRightInd w:val="0"/>
      <w:textAlignment w:val="baseline"/>
    </w:pPr>
    <w:rPr>
      <w:rFonts w:ascii="宋体" w:hAnsi="Courier New"/>
    </w:rPr>
  </w:style>
  <w:style w:type="paragraph" w:customStyle="1" w:styleId="106">
    <w:name w:val="_Style 1"/>
    <w:basedOn w:val="1"/>
    <w:qFormat/>
    <w:uiPriority w:val="99"/>
    <w:pPr>
      <w:ind w:firstLine="420" w:firstLineChars="200"/>
    </w:pPr>
  </w:style>
  <w:style w:type="paragraph" w:customStyle="1" w:styleId="107">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Char1"/>
    <w:basedOn w:val="1"/>
    <w:qFormat/>
    <w:uiPriority w:val="99"/>
    <w:rPr>
      <w:rFonts w:ascii="Tahoma" w:hAnsi="Tahoma" w:eastAsia="宋体"/>
      <w:sz w:val="24"/>
    </w:rPr>
  </w:style>
  <w:style w:type="character" w:customStyle="1" w:styleId="109">
    <w:name w:val="bds_more5"/>
    <w:qFormat/>
    <w:uiPriority w:val="99"/>
  </w:style>
  <w:style w:type="character" w:customStyle="1" w:styleId="110">
    <w:name w:val="noused"/>
    <w:qFormat/>
    <w:uiPriority w:val="99"/>
    <w:rPr>
      <w:b/>
      <w:color w:val="FFFFFF"/>
      <w:sz w:val="21"/>
    </w:rPr>
  </w:style>
  <w:style w:type="character" w:customStyle="1" w:styleId="111">
    <w:name w:val="正文缩进 Char"/>
    <w:link w:val="11"/>
    <w:qFormat/>
    <w:locked/>
    <w:uiPriority w:val="0"/>
    <w:rPr>
      <w:rFonts w:eastAsia="楷体_GB2312"/>
      <w:kern w:val="2"/>
      <w:sz w:val="24"/>
      <w:lang w:val="en-US" w:eastAsia="zh-CN"/>
    </w:rPr>
  </w:style>
  <w:style w:type="character" w:customStyle="1" w:styleId="112">
    <w:name w:val="Char Char2"/>
    <w:qFormat/>
    <w:uiPriority w:val="99"/>
    <w:rPr>
      <w:rFonts w:ascii="宋体" w:hAnsi="宋体" w:eastAsia="楷体_GB2312"/>
      <w:b/>
      <w:kern w:val="2"/>
      <w:sz w:val="26"/>
      <w:lang w:val="en-US" w:eastAsia="zh-CN"/>
    </w:rPr>
  </w:style>
  <w:style w:type="character" w:customStyle="1" w:styleId="113">
    <w:name w:val="bds_nopic1"/>
    <w:qFormat/>
    <w:uiPriority w:val="99"/>
  </w:style>
  <w:style w:type="character" w:customStyle="1" w:styleId="114">
    <w:name w:val="state"/>
    <w:qFormat/>
    <w:uiPriority w:val="99"/>
    <w:rPr>
      <w:b/>
      <w:color w:val="FFFFFF"/>
      <w:sz w:val="19"/>
    </w:rPr>
  </w:style>
  <w:style w:type="character" w:customStyle="1" w:styleId="115">
    <w:name w:val="bds_more6"/>
    <w:qFormat/>
    <w:uiPriority w:val="99"/>
  </w:style>
  <w:style w:type="character" w:customStyle="1" w:styleId="116">
    <w:name w:val="active"/>
    <w:qFormat/>
    <w:uiPriority w:val="99"/>
    <w:rPr>
      <w:color w:val="00FF00"/>
      <w:shd w:val="clear" w:color="auto" w:fill="000000"/>
    </w:rPr>
  </w:style>
  <w:style w:type="character" w:customStyle="1" w:styleId="117">
    <w:name w:val="bds_nopic2"/>
    <w:qFormat/>
    <w:uiPriority w:val="99"/>
  </w:style>
  <w:style w:type="character" w:customStyle="1" w:styleId="118">
    <w:name w:val="hilite6"/>
    <w:qFormat/>
    <w:uiPriority w:val="99"/>
    <w:rPr>
      <w:color w:val="FFFFFF"/>
      <w:shd w:val="clear" w:color="auto" w:fill="776666"/>
    </w:rPr>
  </w:style>
  <w:style w:type="character" w:customStyle="1" w:styleId="119">
    <w:name w:val="active8"/>
    <w:qFormat/>
    <w:uiPriority w:val="99"/>
    <w:rPr>
      <w:color w:val="00FF00"/>
      <w:shd w:val="clear" w:color="auto" w:fill="000000"/>
    </w:rPr>
  </w:style>
  <w:style w:type="character" w:customStyle="1" w:styleId="120">
    <w:name w:val="bds_more8"/>
    <w:qFormat/>
    <w:uiPriority w:val="99"/>
    <w:rPr>
      <w:rFonts w:ascii="宋体" w:hAnsi="宋体" w:eastAsia="宋体"/>
    </w:rPr>
  </w:style>
  <w:style w:type="character" w:customStyle="1" w:styleId="121">
    <w:name w:val="other"/>
    <w:qFormat/>
    <w:uiPriority w:val="99"/>
  </w:style>
  <w:style w:type="character" w:customStyle="1" w:styleId="122">
    <w:name w:val="hover61"/>
    <w:qFormat/>
    <w:uiPriority w:val="99"/>
    <w:rPr>
      <w:shd w:val="clear" w:color="auto" w:fill="FF0000"/>
    </w:rPr>
  </w:style>
  <w:style w:type="character" w:customStyle="1" w:styleId="123">
    <w:name w:val="bsharetext"/>
    <w:qFormat/>
    <w:uiPriority w:val="99"/>
  </w:style>
  <w:style w:type="character" w:customStyle="1" w:styleId="124">
    <w:name w:val="bds_nopic"/>
    <w:qFormat/>
    <w:uiPriority w:val="99"/>
  </w:style>
  <w:style w:type="character" w:customStyle="1" w:styleId="125">
    <w:name w:val="grid2"/>
    <w:qFormat/>
    <w:uiPriority w:val="99"/>
  </w:style>
  <w:style w:type="character" w:customStyle="1" w:styleId="126">
    <w:name w:val="hilite"/>
    <w:qFormat/>
    <w:uiPriority w:val="99"/>
    <w:rPr>
      <w:color w:val="FFFFFF"/>
      <w:shd w:val="clear" w:color="auto" w:fill="776666"/>
    </w:rPr>
  </w:style>
  <w:style w:type="character" w:customStyle="1" w:styleId="127">
    <w:name w:val="bds_more4"/>
    <w:qFormat/>
    <w:uiPriority w:val="99"/>
    <w:rPr>
      <w:rFonts w:ascii="宋体" w:hAnsi="宋体" w:eastAsia="宋体"/>
    </w:rPr>
  </w:style>
  <w:style w:type="character" w:customStyle="1" w:styleId="128">
    <w:name w:val="bds_more7"/>
    <w:qFormat/>
    <w:uiPriority w:val="99"/>
  </w:style>
  <w:style w:type="character" w:customStyle="1" w:styleId="129">
    <w:name w:val="grid"/>
    <w:qFormat/>
    <w:uiPriority w:val="99"/>
  </w:style>
  <w:style w:type="paragraph" w:customStyle="1" w:styleId="130">
    <w:name w:val="纯文本3"/>
    <w:basedOn w:val="1"/>
    <w:qFormat/>
    <w:uiPriority w:val="99"/>
    <w:pPr>
      <w:adjustRightInd w:val="0"/>
      <w:textAlignment w:val="baseline"/>
    </w:pPr>
    <w:rPr>
      <w:rFonts w:ascii="宋体" w:hAnsi="Courier New"/>
    </w:rPr>
  </w:style>
  <w:style w:type="paragraph" w:customStyle="1" w:styleId="131">
    <w:name w:val="正文文字3"/>
    <w:basedOn w:val="25"/>
    <w:qFormat/>
    <w:uiPriority w:val="0"/>
    <w:pPr>
      <w:ind w:left="30" w:leftChars="30" w:right="30" w:rightChars="30"/>
    </w:pPr>
  </w:style>
  <w:style w:type="paragraph" w:customStyle="1" w:styleId="132">
    <w:name w:val="flNote"/>
    <w:basedOn w:val="1"/>
    <w:qFormat/>
    <w:uiPriority w:val="0"/>
    <w:pPr>
      <w:spacing w:before="320" w:after="160"/>
      <w:jc w:val="center"/>
    </w:pPr>
    <w:rPr>
      <w:rFonts w:ascii="Arial" w:eastAsia="黑体"/>
      <w:sz w:val="30"/>
    </w:rPr>
  </w:style>
  <w:style w:type="paragraph" w:customStyle="1" w:styleId="133">
    <w:name w:val="Plain Text1"/>
    <w:basedOn w:val="1"/>
    <w:qFormat/>
    <w:uiPriority w:val="99"/>
    <w:rPr>
      <w:rFonts w:ascii="宋体" w:hAnsi="Courier New"/>
      <w:sz w:val="28"/>
    </w:rPr>
  </w:style>
  <w:style w:type="paragraph" w:customStyle="1" w:styleId="134">
    <w:name w:val="标题 2 + 黑色 行距: 1.5 倍行距"/>
    <w:basedOn w:val="7"/>
    <w:qFormat/>
    <w:uiPriority w:val="99"/>
    <w:pPr>
      <w:spacing w:line="360" w:lineRule="auto"/>
    </w:pPr>
    <w:rPr>
      <w:rFonts w:eastAsia="宋体" w:cs="宋体"/>
      <w:color w:val="000000"/>
    </w:rPr>
  </w:style>
  <w:style w:type="character" w:customStyle="1" w:styleId="135">
    <w:name w:val="font11"/>
    <w:basedOn w:val="59"/>
    <w:qFormat/>
    <w:uiPriority w:val="0"/>
    <w:rPr>
      <w:rFonts w:hint="eastAsia" w:ascii="宋体" w:hAnsi="宋体" w:eastAsia="宋体" w:cs="宋体"/>
      <w:color w:val="000000"/>
      <w:sz w:val="24"/>
      <w:szCs w:val="24"/>
      <w:u w:val="none"/>
    </w:rPr>
  </w:style>
  <w:style w:type="paragraph" w:styleId="136">
    <w:name w:val="List Paragraph"/>
    <w:basedOn w:val="1"/>
    <w:unhideWhenUsed/>
    <w:qFormat/>
    <w:uiPriority w:val="99"/>
    <w:pPr>
      <w:ind w:firstLine="420" w:firstLineChars="200"/>
    </w:pPr>
  </w:style>
  <w:style w:type="character" w:customStyle="1" w:styleId="137">
    <w:name w:val="flName Char"/>
    <w:qFormat/>
    <w:uiPriority w:val="0"/>
    <w:rPr>
      <w:rFonts w:ascii="Arial" w:hAnsi="Arial" w:eastAsia="黑体"/>
      <w:sz w:val="32"/>
      <w:lang w:val="en-US" w:eastAsia="zh-CN"/>
    </w:rPr>
  </w:style>
  <w:style w:type="character" w:customStyle="1" w:styleId="138">
    <w:name w:val="样式 宋体"/>
    <w:qFormat/>
    <w:uiPriority w:val="0"/>
    <w:rPr>
      <w:rFonts w:ascii="宋体" w:hAnsi="宋体" w:eastAsia="宋体"/>
      <w:sz w:val="24"/>
      <w:szCs w:val="24"/>
    </w:rPr>
  </w:style>
  <w:style w:type="character" w:customStyle="1" w:styleId="139">
    <w:name w:val="style81"/>
    <w:qFormat/>
    <w:uiPriority w:val="0"/>
    <w:rPr>
      <w:b/>
      <w:bCs/>
      <w:color w:val="666666"/>
      <w:sz w:val="21"/>
      <w:szCs w:val="21"/>
    </w:rPr>
  </w:style>
  <w:style w:type="character" w:customStyle="1" w:styleId="140">
    <w:name w:val="尾注文本 Char"/>
    <w:qFormat/>
    <w:uiPriority w:val="0"/>
    <w:rPr>
      <w:sz w:val="24"/>
    </w:rPr>
  </w:style>
  <w:style w:type="character" w:customStyle="1" w:styleId="141">
    <w:name w:val="正文1 Char"/>
    <w:qFormat/>
    <w:uiPriority w:val="0"/>
    <w:rPr>
      <w:rFonts w:ascii="宋体" w:hAnsi="宋体" w:eastAsia="宋体"/>
      <w:b/>
      <w:kern w:val="2"/>
      <w:sz w:val="24"/>
      <w:szCs w:val="24"/>
      <w:lang w:val="en-US" w:eastAsia="zh-CN" w:bidi="ar-SA"/>
    </w:rPr>
  </w:style>
  <w:style w:type="character" w:customStyle="1" w:styleId="142">
    <w:name w:val="正文首行缩进 Char"/>
    <w:basedOn w:val="88"/>
    <w:qFormat/>
    <w:uiPriority w:val="0"/>
    <w:rPr>
      <w:rFonts w:eastAsia="楷体_GB2312" w:cs="Times New Roman"/>
      <w:sz w:val="21"/>
    </w:rPr>
  </w:style>
  <w:style w:type="character" w:customStyle="1" w:styleId="143">
    <w:name w:val="standdate1"/>
    <w:qFormat/>
    <w:uiPriority w:val="0"/>
    <w:rPr>
      <w:rFonts w:ascii="黑体" w:eastAsia="黑体"/>
      <w:color w:val="auto"/>
      <w:sz w:val="24"/>
      <w:u w:val="none"/>
    </w:rPr>
  </w:style>
  <w:style w:type="character" w:customStyle="1" w:styleId="144">
    <w:name w:val="正文首行缩进 2 Char"/>
    <w:basedOn w:val="89"/>
    <w:qFormat/>
    <w:uiPriority w:val="0"/>
    <w:rPr>
      <w:rFonts w:ascii="方正仿宋简体" w:hAnsi="创艺简仿宋" w:eastAsia="方正仿宋简体" w:cs="Times New Roman"/>
      <w:kern w:val="2"/>
      <w:sz w:val="28"/>
      <w:lang w:val="en-US" w:eastAsia="zh-CN"/>
    </w:rPr>
  </w:style>
  <w:style w:type="character" w:customStyle="1" w:styleId="145">
    <w:name w:val="正文文本 2 Char"/>
    <w:basedOn w:val="59"/>
    <w:link w:val="50"/>
    <w:qFormat/>
    <w:uiPriority w:val="0"/>
    <w:rPr>
      <w:rFonts w:ascii="仿宋_GB2312" w:eastAsia="仿宋_GB2312"/>
      <w:sz w:val="24"/>
      <w:szCs w:val="24"/>
    </w:rPr>
  </w:style>
  <w:style w:type="character" w:customStyle="1" w:styleId="146">
    <w:name w:val="正文文本 3 Char"/>
    <w:basedOn w:val="59"/>
    <w:link w:val="24"/>
    <w:qFormat/>
    <w:uiPriority w:val="0"/>
    <w:rPr>
      <w:color w:val="FF0000"/>
      <w:sz w:val="21"/>
      <w:szCs w:val="21"/>
    </w:rPr>
  </w:style>
  <w:style w:type="character" w:customStyle="1" w:styleId="147">
    <w:name w:val="正文首行缩进 Char1"/>
    <w:basedOn w:val="88"/>
    <w:link w:val="56"/>
    <w:semiHidden/>
    <w:qFormat/>
    <w:uiPriority w:val="99"/>
    <w:rPr>
      <w:rFonts w:eastAsia="楷体_GB2312" w:cs="Times New Roman"/>
      <w:kern w:val="2"/>
      <w:sz w:val="26"/>
    </w:rPr>
  </w:style>
  <w:style w:type="character" w:customStyle="1" w:styleId="148">
    <w:name w:val="副标题 Char"/>
    <w:basedOn w:val="59"/>
    <w:link w:val="42"/>
    <w:qFormat/>
    <w:uiPriority w:val="0"/>
    <w:rPr>
      <w:rFonts w:ascii="Arial" w:hAnsi="Arial" w:eastAsia="黑体"/>
      <w:i/>
      <w:sz w:val="24"/>
    </w:rPr>
  </w:style>
  <w:style w:type="paragraph" w:customStyle="1" w:styleId="149">
    <w:name w:val="flName"/>
    <w:basedOn w:val="132"/>
    <w:qFormat/>
    <w:uiPriority w:val="0"/>
    <w:pPr>
      <w:adjustRightInd w:val="0"/>
      <w:spacing w:line="360" w:lineRule="atLeast"/>
      <w:textAlignment w:val="baseline"/>
    </w:pPr>
    <w:rPr>
      <w:rFonts w:hAnsi="Arial"/>
      <w:kern w:val="0"/>
      <w:sz w:val="32"/>
    </w:rPr>
  </w:style>
  <w:style w:type="paragraph" w:customStyle="1" w:styleId="150">
    <w:name w:val="Char Char1 Char"/>
    <w:basedOn w:val="1"/>
    <w:qFormat/>
    <w:uiPriority w:val="0"/>
    <w:rPr>
      <w:rFonts w:eastAsia="宋体"/>
      <w:sz w:val="24"/>
      <w:szCs w:val="24"/>
    </w:rPr>
  </w:style>
  <w:style w:type="character" w:customStyle="1" w:styleId="151">
    <w:name w:val="尾注文本 Char1"/>
    <w:basedOn w:val="59"/>
    <w:link w:val="34"/>
    <w:semiHidden/>
    <w:qFormat/>
    <w:uiPriority w:val="99"/>
    <w:rPr>
      <w:rFonts w:eastAsia="楷体_GB2312"/>
      <w:kern w:val="2"/>
      <w:sz w:val="26"/>
    </w:rPr>
  </w:style>
  <w:style w:type="character" w:customStyle="1" w:styleId="152">
    <w:name w:val="正文首行缩进 2 Char1"/>
    <w:basedOn w:val="89"/>
    <w:link w:val="2"/>
    <w:semiHidden/>
    <w:qFormat/>
    <w:uiPriority w:val="99"/>
    <w:rPr>
      <w:rFonts w:ascii="方正仿宋简体" w:hAnsi="创艺简仿宋" w:eastAsia="楷体_GB2312" w:cs="Times New Roman"/>
      <w:kern w:val="2"/>
      <w:sz w:val="26"/>
      <w:lang w:val="en-US" w:eastAsia="zh-CN"/>
    </w:rPr>
  </w:style>
  <w:style w:type="paragraph" w:customStyle="1" w:styleId="153">
    <w:name w:val="TOC 标题1"/>
    <w:basedOn w:val="6"/>
    <w:next w:val="1"/>
    <w:qFormat/>
    <w:uiPriority w:val="39"/>
    <w:pPr>
      <w:widowControl/>
      <w:tabs>
        <w:tab w:val="left" w:pos="360"/>
      </w:tabs>
      <w:spacing w:before="480" w:line="276" w:lineRule="auto"/>
      <w:jc w:val="left"/>
      <w:outlineLvl w:val="9"/>
    </w:pPr>
    <w:rPr>
      <w:rFonts w:ascii="Cambria" w:hAnsi="Cambria" w:eastAsia="宋体"/>
      <w:color w:val="365F91"/>
      <w:kern w:val="0"/>
      <w:sz w:val="28"/>
      <w:szCs w:val="28"/>
    </w:rPr>
  </w:style>
  <w:style w:type="paragraph" w:customStyle="1" w:styleId="15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5">
    <w:name w:val="样式 标题 2b2节标题 1.11.1标题2 + 宋体 五号 段前: 6 磅 段后: 0 磅 行距: 1.5 倍行距"/>
    <w:basedOn w:val="7"/>
    <w:qFormat/>
    <w:uiPriority w:val="0"/>
    <w:pPr>
      <w:tabs>
        <w:tab w:val="left" w:pos="928"/>
      </w:tabs>
      <w:overflowPunct/>
      <w:spacing w:before="260" w:after="260" w:line="360" w:lineRule="auto"/>
    </w:pPr>
    <w:rPr>
      <w:rFonts w:eastAsia="宋体" w:cs="宋体"/>
      <w:bCs/>
      <w:kern w:val="0"/>
      <w:sz w:val="24"/>
      <w:szCs w:val="24"/>
    </w:rPr>
  </w:style>
  <w:style w:type="paragraph" w:customStyle="1" w:styleId="156">
    <w:name w:val="font0"/>
    <w:basedOn w:val="1"/>
    <w:qFormat/>
    <w:uiPriority w:val="0"/>
    <w:pPr>
      <w:widowControl/>
      <w:spacing w:before="100" w:after="100"/>
      <w:jc w:val="left"/>
    </w:pPr>
    <w:rPr>
      <w:rFonts w:ascii="宋体" w:hAnsi="宋体" w:eastAsia="宋体"/>
      <w:kern w:val="0"/>
      <w:sz w:val="24"/>
    </w:rPr>
  </w:style>
  <w:style w:type="paragraph" w:customStyle="1" w:styleId="157">
    <w:name w:val="Char2"/>
    <w:basedOn w:val="20"/>
    <w:next w:val="1"/>
    <w:qFormat/>
    <w:uiPriority w:val="0"/>
    <w:rPr>
      <w:rFonts w:ascii="Tahoma" w:hAnsi="Tahoma" w:eastAsia="宋体"/>
      <w:kern w:val="2"/>
      <w:sz w:val="24"/>
      <w:szCs w:val="24"/>
    </w:rPr>
  </w:style>
  <w:style w:type="paragraph" w:customStyle="1" w:styleId="158">
    <w:name w:val="standdate"/>
    <w:basedOn w:val="36"/>
    <w:qFormat/>
    <w:uiPriority w:val="0"/>
    <w:pPr>
      <w:pBdr>
        <w:top w:val="single" w:color="auto" w:sz="6" w:space="7"/>
      </w:pBdr>
      <w:adjustRightInd w:val="0"/>
      <w:snapToGrid/>
      <w:spacing w:line="240" w:lineRule="atLeast"/>
      <w:jc w:val="center"/>
      <w:textAlignment w:val="center"/>
    </w:pPr>
    <w:rPr>
      <w:rFonts w:ascii="黑体" w:eastAsia="黑体"/>
      <w:b/>
      <w:spacing w:val="-4"/>
      <w:sz w:val="21"/>
      <w:szCs w:val="20"/>
    </w:rPr>
  </w:style>
  <w:style w:type="paragraph" w:customStyle="1" w:styleId="159">
    <w:name w:val="标题 10 + 小四"/>
    <w:basedOn w:val="6"/>
    <w:qFormat/>
    <w:uiPriority w:val="0"/>
    <w:pPr>
      <w:widowControl/>
      <w:tabs>
        <w:tab w:val="left" w:pos="360"/>
      </w:tabs>
      <w:spacing w:before="340" w:after="330" w:line="360" w:lineRule="auto"/>
      <w:jc w:val="left"/>
    </w:pPr>
    <w:rPr>
      <w:rFonts w:eastAsia="宋体"/>
      <w:sz w:val="24"/>
      <w:szCs w:val="24"/>
    </w:rPr>
  </w:style>
  <w:style w:type="paragraph" w:customStyle="1" w:styleId="160">
    <w:name w:val="Char3"/>
    <w:basedOn w:val="1"/>
    <w:qFormat/>
    <w:uiPriority w:val="0"/>
    <w:rPr>
      <w:rFonts w:eastAsia="宋体"/>
      <w:sz w:val="21"/>
      <w:szCs w:val="24"/>
    </w:rPr>
  </w:style>
  <w:style w:type="paragraph" w:customStyle="1" w:styleId="161">
    <w:name w:val="样式 标题 2 + 黑色 行距: 1.5 倍行距"/>
    <w:basedOn w:val="7"/>
    <w:qFormat/>
    <w:uiPriority w:val="0"/>
    <w:pPr>
      <w:tabs>
        <w:tab w:val="left" w:pos="928"/>
      </w:tabs>
      <w:overflowPunct/>
      <w:adjustRightInd/>
      <w:spacing w:before="260" w:after="260" w:line="360" w:lineRule="auto"/>
      <w:jc w:val="both"/>
      <w:textAlignment w:val="auto"/>
    </w:pPr>
    <w:rPr>
      <w:rFonts w:ascii="Arial" w:hAnsi="Arial" w:eastAsia="宋体" w:cs="宋体"/>
      <w:color w:val="000000"/>
      <w:sz w:val="32"/>
    </w:rPr>
  </w:style>
  <w:style w:type="paragraph" w:customStyle="1" w:styleId="162">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3">
    <w:name w:val="注"/>
    <w:basedOn w:val="1"/>
    <w:qFormat/>
    <w:uiPriority w:val="0"/>
    <w:pPr>
      <w:adjustRightInd w:val="0"/>
      <w:spacing w:line="360" w:lineRule="atLeast"/>
      <w:ind w:left="840" w:hanging="420"/>
      <w:textAlignment w:val="baseline"/>
    </w:pPr>
    <w:rPr>
      <w:rFonts w:eastAsia="宋体"/>
      <w:kern w:val="0"/>
      <w:sz w:val="21"/>
    </w:rPr>
  </w:style>
  <w:style w:type="paragraph" w:customStyle="1" w:styleId="164">
    <w:name w:val="正文文字2"/>
    <w:basedOn w:val="25"/>
    <w:qFormat/>
    <w:uiPriority w:val="0"/>
    <w:pPr>
      <w:adjustRightInd w:val="0"/>
      <w:spacing w:after="60" w:line="360" w:lineRule="atLeast"/>
      <w:ind w:left="30" w:leftChars="30" w:right="30" w:rightChars="30"/>
      <w:jc w:val="center"/>
      <w:textAlignment w:val="baseline"/>
    </w:pPr>
    <w:rPr>
      <w:rFonts w:ascii="Arial" w:hAnsi="Arial" w:eastAsia="黑体"/>
      <w:sz w:val="21"/>
    </w:rPr>
  </w:style>
  <w:style w:type="paragraph" w:customStyle="1" w:styleId="165">
    <w:name w:val="flType"/>
    <w:basedOn w:val="149"/>
    <w:qFormat/>
    <w:uiPriority w:val="0"/>
    <w:pPr>
      <w:spacing w:before="560" w:after="120"/>
    </w:pPr>
    <w:rPr>
      <w:sz w:val="28"/>
    </w:rPr>
  </w:style>
  <w:style w:type="paragraph" w:customStyle="1" w:styleId="166">
    <w:name w:val="字元 字元"/>
    <w:basedOn w:val="1"/>
    <w:qFormat/>
    <w:uiPriority w:val="0"/>
    <w:rPr>
      <w:rFonts w:eastAsia="宋体"/>
      <w:sz w:val="21"/>
      <w:szCs w:val="24"/>
    </w:rPr>
  </w:style>
  <w:style w:type="paragraph" w:customStyle="1" w:styleId="167">
    <w:name w:val="修订1"/>
    <w:hidden/>
    <w:unhideWhenUsed/>
    <w:qFormat/>
    <w:uiPriority w:val="99"/>
    <w:rPr>
      <w:rFonts w:ascii="Times New Roman" w:hAnsi="Times New Roman" w:eastAsia="楷体_GB2312" w:cs="Times New Roman"/>
      <w:kern w:val="2"/>
      <w:sz w:val="26"/>
      <w:lang w:val="en-US" w:eastAsia="zh-CN" w:bidi="ar-SA"/>
    </w:rPr>
  </w:style>
  <w:style w:type="character" w:customStyle="1" w:styleId="168">
    <w:name w:val="Variable"/>
    <w:qFormat/>
    <w:uiPriority w:val="0"/>
    <w:rPr>
      <w:i/>
    </w:rPr>
  </w:style>
  <w:style w:type="paragraph" w:customStyle="1" w:styleId="169">
    <w:name w:val="正文首行缩进 21"/>
    <w:basedOn w:val="170"/>
    <w:qFormat/>
    <w:uiPriority w:val="0"/>
    <w:pPr>
      <w:ind w:firstLine="200" w:firstLineChars="200"/>
    </w:pPr>
  </w:style>
  <w:style w:type="paragraph" w:customStyle="1" w:styleId="170">
    <w:name w:val="正文文本缩进 New"/>
    <w:basedOn w:val="171"/>
    <w:next w:val="172"/>
    <w:qFormat/>
    <w:uiPriority w:val="0"/>
    <w:pPr>
      <w:ind w:left="420" w:leftChars="200"/>
    </w:pPr>
  </w:style>
  <w:style w:type="paragraph" w:customStyle="1" w:styleId="171">
    <w:name w:val="正文 New"/>
    <w:next w:val="1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寄信人地址 New"/>
    <w:basedOn w:val="171"/>
    <w:qFormat/>
    <w:uiPriority w:val="0"/>
    <w:pPr>
      <w:snapToGrid w:val="0"/>
    </w:pPr>
    <w:rPr>
      <w:rFonts w:ascii="Arial" w:hAnsi="Arial"/>
    </w:rPr>
  </w:style>
  <w:style w:type="paragraph" w:customStyle="1" w:styleId="173">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74">
    <w:name w:val="普通(网站) Cha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5">
    <w:name w:val="样式 小四 加粗"/>
    <w:basedOn w:val="59"/>
    <w:qFormat/>
    <w:uiPriority w:val="0"/>
    <w:rPr>
      <w:rFonts w:eastAsia="黑体"/>
      <w:b/>
      <w:bCs/>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5C4BF-6F49-4DDC-AA7C-261B80FA14D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21393</Words>
  <Characters>21878</Characters>
  <Lines>145</Lines>
  <Paragraphs>40</Paragraphs>
  <TotalTime>4</TotalTime>
  <ScaleCrop>false</ScaleCrop>
  <LinksUpToDate>false</LinksUpToDate>
  <CharactersWithSpaces>22782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2020-11-26T05:58:00Z</dcterms:created>
  <dc:creator>gt2017020601</dc:creator>
  <cp:lastModifiedBy>MQ</cp:lastModifiedBy>
  <cp:lastPrinted>2021-08-24T08:15:00Z</cp:lastPrinted>
  <dcterms:modified xsi:type="dcterms:W3CDTF">2022-09-26T06:16:24Z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0D79DA58C3D7438694E5CA02FBB48530</vt:lpwstr>
  </property>
</Properties>
</file>