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jc w:val="center"/>
        <w:rPr>
          <w:rFonts w:ascii="宋体"/>
          <w:b/>
          <w:bCs/>
          <w:sz w:val="44"/>
          <w:szCs w:val="44"/>
        </w:rPr>
      </w:pPr>
    </w:p>
    <w:p>
      <w:pPr>
        <w:pStyle w:val="2"/>
        <w:ind w:left="0" w:leftChars="0" w:firstLine="883" w:firstLineChars="200"/>
        <w:rPr>
          <w:rFonts w:hint="eastAsia" w:eastAsia="宋体"/>
          <w:sz w:val="44"/>
          <w:szCs w:val="44"/>
          <w:lang w:eastAsia="zh-CN"/>
        </w:rPr>
      </w:pPr>
      <w:r>
        <w:rPr>
          <w:rFonts w:hint="eastAsia" w:ascii="宋体" w:hAnsi="宋体" w:cs="宋体"/>
          <w:b/>
          <w:bCs/>
          <w:sz w:val="44"/>
          <w:szCs w:val="44"/>
          <w:lang w:eastAsia="zh-CN"/>
        </w:rPr>
        <w:t>南通市妇幼保健院锅炉维保服务采购项目</w:t>
      </w:r>
    </w:p>
    <w:p>
      <w:pPr>
        <w:tabs>
          <w:tab w:val="left" w:pos="6300"/>
        </w:tabs>
        <w:snapToGrid w:val="0"/>
        <w:spacing w:line="300" w:lineRule="auto"/>
        <w:jc w:val="both"/>
        <w:rPr>
          <w:rFonts w:hint="eastAsia" w:ascii="宋体" w:hAnsi="宋体" w:cs="宋体"/>
          <w:b/>
          <w:bCs/>
          <w:w w:val="80"/>
          <w:sz w:val="96"/>
          <w:szCs w:val="96"/>
        </w:rPr>
      </w:pPr>
    </w:p>
    <w:p>
      <w:pPr>
        <w:pStyle w:val="19"/>
        <w:rPr>
          <w:rFonts w:hint="eastAsia" w:ascii="宋体" w:hAnsi="宋体" w:cs="宋体"/>
          <w:b/>
          <w:bCs/>
          <w:w w:val="80"/>
          <w:sz w:val="96"/>
          <w:szCs w:val="96"/>
        </w:rPr>
      </w:pPr>
    </w:p>
    <w:p>
      <w:pPr>
        <w:rPr>
          <w:rFonts w:hint="eastAsia"/>
        </w:rPr>
      </w:pPr>
    </w:p>
    <w:p>
      <w:pPr>
        <w:rPr>
          <w:rFonts w:hint="eastAsia"/>
        </w:rPr>
      </w:pPr>
    </w:p>
    <w:p>
      <w:pPr>
        <w:rPr>
          <w:rFonts w:hint="eastAsia"/>
        </w:rPr>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pStyle w:val="2"/>
        <w:rPr>
          <w:rFonts w:hint="eastAsia"/>
        </w:rPr>
      </w:pPr>
    </w:p>
    <w:p>
      <w:pPr>
        <w:pStyle w:val="19"/>
      </w:pPr>
    </w:p>
    <w:p/>
    <w:p>
      <w:pPr>
        <w:snapToGrid w:val="0"/>
        <w:spacing w:line="360" w:lineRule="auto"/>
        <w:jc w:val="center"/>
        <w:rPr>
          <w:sz w:val="32"/>
          <w:szCs w:val="32"/>
        </w:rPr>
      </w:pPr>
    </w:p>
    <w:p>
      <w:pPr>
        <w:spacing w:line="360" w:lineRule="auto"/>
        <w:jc w:val="center"/>
        <w:rPr>
          <w:rFonts w:ascii="宋体"/>
          <w:b/>
          <w:bCs/>
          <w:sz w:val="44"/>
          <w:szCs w:val="44"/>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rPr>
          <w:rFonts w:hint="eastAsia"/>
        </w:rPr>
      </w:pPr>
    </w:p>
    <w:p>
      <w:pPr>
        <w:adjustRightInd w:val="0"/>
        <w:snapToGrid w:val="0"/>
        <w:spacing w:line="360" w:lineRule="auto"/>
        <w:ind w:firstLine="2409" w:firstLineChars="800"/>
        <w:jc w:val="left"/>
        <w:rPr>
          <w:rFonts w:hint="eastAsia" w:ascii="宋体" w:hAnsi="宋体" w:cs="宋体"/>
          <w:b/>
          <w:bCs/>
          <w:sz w:val="30"/>
          <w:szCs w:val="30"/>
        </w:rPr>
      </w:pPr>
      <w:bookmarkStart w:id="0" w:name="_Toc94544743"/>
      <w:bookmarkStart w:id="1" w:name="_Toc11499583"/>
      <w:bookmarkStart w:id="2" w:name="_Toc94585339"/>
      <w:bookmarkStart w:id="3" w:name="_Toc94544827"/>
      <w:bookmarkStart w:id="4" w:name="_Toc8895738"/>
      <w:bookmarkStart w:id="5" w:name="_Toc521203417"/>
      <w:bookmarkStart w:id="6" w:name="_Toc11500279"/>
      <w:bookmarkStart w:id="7" w:name="_Toc12670502"/>
      <w:bookmarkStart w:id="8" w:name="_Toc521201596"/>
      <w:bookmarkStart w:id="9" w:name="_Toc11554638"/>
      <w:r>
        <w:rPr>
          <w:rFonts w:hint="eastAsia" w:ascii="宋体" w:hAnsi="宋体" w:cs="宋体"/>
          <w:b/>
          <w:bCs/>
          <w:sz w:val="30"/>
          <w:szCs w:val="30"/>
        </w:rPr>
        <w:t>采购单位：南通市妇幼保健院</w:t>
      </w:r>
    </w:p>
    <w:p>
      <w:pPr>
        <w:adjustRightInd w:val="0"/>
        <w:snapToGrid w:val="0"/>
        <w:spacing w:line="360" w:lineRule="auto"/>
        <w:ind w:firstLine="2409" w:firstLineChars="800"/>
        <w:jc w:val="left"/>
        <w:rPr>
          <w:rFonts w:hint="eastAsia" w:ascii="宋体" w:hAnsi="宋体" w:eastAsia="宋体" w:cs="宋体"/>
          <w:b/>
          <w:bCs/>
          <w:sz w:val="30"/>
          <w:szCs w:val="30"/>
          <w:lang w:eastAsia="zh-CN"/>
        </w:rPr>
      </w:pPr>
      <w:r>
        <w:rPr>
          <w:rFonts w:hint="eastAsia" w:ascii="宋体" w:hAnsi="宋体" w:cs="宋体"/>
          <w:b/>
          <w:bCs/>
          <w:sz w:val="30"/>
          <w:szCs w:val="30"/>
        </w:rPr>
        <w:t>代理机构：</w:t>
      </w:r>
      <w:r>
        <w:rPr>
          <w:rFonts w:hint="eastAsia" w:ascii="宋体" w:hAnsi="宋体" w:cs="宋体"/>
          <w:b/>
          <w:bCs/>
          <w:sz w:val="30"/>
          <w:szCs w:val="30"/>
          <w:lang w:eastAsia="zh-CN"/>
        </w:rPr>
        <w:t>中证房地产评估造价集团有限公司</w:t>
      </w:r>
    </w:p>
    <w:p>
      <w:pPr>
        <w:adjustRightInd w:val="0"/>
        <w:snapToGrid w:val="0"/>
        <w:spacing w:line="360" w:lineRule="auto"/>
        <w:jc w:val="center"/>
        <w:rPr>
          <w:rFonts w:ascii="宋体" w:hAnsi="宋体" w:cs="宋体"/>
          <w:b/>
          <w:bCs/>
          <w:w w:val="80"/>
          <w:sz w:val="52"/>
          <w:szCs w:val="52"/>
        </w:rPr>
      </w:pPr>
      <w:r>
        <w:rPr>
          <w:rFonts w:hint="eastAsia" w:ascii="宋体" w:hAnsi="宋体" w:cs="宋体"/>
          <w:b/>
          <w:bCs/>
          <w:sz w:val="30"/>
          <w:szCs w:val="30"/>
        </w:rPr>
        <w:t xml:space="preserve"> 二〇二</w:t>
      </w:r>
      <w:r>
        <w:rPr>
          <w:rFonts w:hint="eastAsia" w:ascii="宋体" w:hAnsi="宋体" w:cs="宋体"/>
          <w:b/>
          <w:bCs/>
          <w:sz w:val="30"/>
          <w:szCs w:val="30"/>
          <w:lang w:val="en-US" w:eastAsia="zh-CN"/>
        </w:rPr>
        <w:t>二</w:t>
      </w:r>
      <w:r>
        <w:rPr>
          <w:rFonts w:hint="eastAsia" w:ascii="宋体" w:hAnsi="宋体" w:cs="宋体"/>
          <w:b/>
          <w:bCs/>
          <w:sz w:val="30"/>
          <w:szCs w:val="30"/>
        </w:rPr>
        <w:t>年</w:t>
      </w:r>
      <w:r>
        <w:rPr>
          <w:rFonts w:hint="eastAsia" w:ascii="宋体" w:hAnsi="宋体" w:cs="宋体"/>
          <w:b/>
          <w:bCs/>
          <w:sz w:val="30"/>
          <w:szCs w:val="30"/>
          <w:lang w:eastAsia="zh-CN"/>
        </w:rPr>
        <w:t>九</w:t>
      </w:r>
      <w:r>
        <w:rPr>
          <w:rFonts w:hint="eastAsia" w:ascii="宋体" w:hAnsi="宋体" w:cs="宋体"/>
          <w:b/>
          <w:bCs/>
          <w:sz w:val="30"/>
          <w:szCs w:val="30"/>
        </w:rPr>
        <w:t>月</w:t>
      </w:r>
      <w:r>
        <w:rPr>
          <w:rFonts w:hint="eastAsia" w:ascii="宋体" w:hAnsi="宋体" w:cs="宋体"/>
          <w:b/>
          <w:bCs/>
          <w:sz w:val="30"/>
          <w:szCs w:val="30"/>
          <w:lang w:eastAsia="zh-CN"/>
        </w:rPr>
        <w:t>二十日</w:t>
      </w:r>
      <w:r>
        <w:rPr>
          <w:rFonts w:hint="eastAsia" w:ascii="宋体" w:hAnsi="宋体" w:cs="宋体"/>
          <w:b/>
          <w:bCs/>
          <w:sz w:val="30"/>
          <w:szCs w:val="30"/>
        </w:rPr>
        <w:t xml:space="preserve">  </w:t>
      </w:r>
      <w:r>
        <w:rPr>
          <w:rFonts w:ascii="宋体"/>
          <w:b/>
          <w:bCs/>
          <w:sz w:val="44"/>
          <w:szCs w:val="44"/>
        </w:rPr>
        <w:br w:type="page"/>
      </w:r>
    </w:p>
    <w:p>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w:t>
      </w:r>
      <w:r>
        <w:rPr>
          <w:rFonts w:ascii="宋体" w:hAnsi="宋体" w:cs="宋体"/>
          <w:b/>
          <w:bCs/>
          <w:w w:val="80"/>
          <w:sz w:val="52"/>
          <w:szCs w:val="52"/>
        </w:rPr>
        <w:t xml:space="preserve"> </w:t>
      </w:r>
      <w:r>
        <w:rPr>
          <w:rFonts w:hint="eastAsia" w:ascii="宋体" w:hAnsi="宋体" w:cs="宋体"/>
          <w:b/>
          <w:bCs/>
          <w:w w:val="80"/>
          <w:sz w:val="52"/>
          <w:szCs w:val="52"/>
        </w:rPr>
        <w:t xml:space="preserve"> 录</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w:t>
      </w:r>
      <w:r>
        <w:rPr>
          <w:rFonts w:ascii="宋体" w:cs="宋体"/>
          <w:caps w:val="0"/>
          <w:w w:val="100"/>
          <w:sz w:val="32"/>
          <w:szCs w:val="32"/>
        </w:rPr>
        <w:t xml:space="preserve"> </w:t>
      </w:r>
      <w:r>
        <w:rPr>
          <w:rFonts w:hint="eastAsia" w:ascii="宋体" w:cs="宋体"/>
          <w:caps w:val="0"/>
          <w:w w:val="100"/>
          <w:sz w:val="32"/>
          <w:szCs w:val="32"/>
        </w:rPr>
        <w:t>竞争性磋商公告</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w:t>
      </w:r>
      <w:r>
        <w:rPr>
          <w:rFonts w:ascii="宋体" w:cs="宋体"/>
          <w:caps w:val="0"/>
          <w:w w:val="100"/>
          <w:sz w:val="32"/>
          <w:szCs w:val="32"/>
        </w:rPr>
        <w:t xml:space="preserve"> </w:t>
      </w:r>
      <w:r>
        <w:rPr>
          <w:rFonts w:hint="eastAsia" w:ascii="宋体" w:cs="宋体"/>
          <w:caps w:val="0"/>
          <w:w w:val="100"/>
          <w:sz w:val="32"/>
          <w:szCs w:val="32"/>
        </w:rPr>
        <w:t>磋商供应商须知</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w:t>
      </w:r>
      <w:r>
        <w:rPr>
          <w:rFonts w:ascii="宋体" w:cs="宋体"/>
          <w:caps w:val="0"/>
          <w:w w:val="100"/>
          <w:sz w:val="32"/>
          <w:szCs w:val="32"/>
        </w:rPr>
        <w:t xml:space="preserve"> </w:t>
      </w:r>
      <w:r>
        <w:rPr>
          <w:rFonts w:hint="eastAsia" w:ascii="宋体" w:cs="宋体"/>
          <w:caps w:val="0"/>
          <w:w w:val="100"/>
          <w:sz w:val="32"/>
          <w:szCs w:val="32"/>
        </w:rPr>
        <w:t>项目需求</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w:t>
      </w:r>
      <w:r>
        <w:rPr>
          <w:rFonts w:ascii="宋体" w:cs="宋体"/>
          <w:caps w:val="0"/>
          <w:w w:val="100"/>
          <w:sz w:val="32"/>
          <w:szCs w:val="32"/>
        </w:rPr>
        <w:t xml:space="preserve"> </w:t>
      </w:r>
      <w:r>
        <w:rPr>
          <w:rFonts w:hint="eastAsia" w:ascii="宋体" w:cs="宋体"/>
          <w:caps w:val="0"/>
          <w:w w:val="100"/>
          <w:sz w:val="32"/>
          <w:szCs w:val="32"/>
        </w:rPr>
        <w:t>评审方法和程序</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w:t>
      </w:r>
      <w:r>
        <w:rPr>
          <w:rFonts w:ascii="宋体" w:cs="宋体"/>
          <w:caps w:val="0"/>
          <w:w w:val="100"/>
          <w:sz w:val="32"/>
          <w:szCs w:val="32"/>
        </w:rPr>
        <w:t xml:space="preserve"> </w:t>
      </w:r>
      <w:r>
        <w:rPr>
          <w:rFonts w:hint="eastAsia" w:ascii="宋体" w:cs="宋体"/>
          <w:caps w:val="0"/>
          <w:w w:val="100"/>
          <w:sz w:val="32"/>
          <w:szCs w:val="32"/>
        </w:rPr>
        <w:t>合同主要条款</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w:t>
      </w:r>
      <w:r>
        <w:rPr>
          <w:rFonts w:ascii="宋体" w:cs="宋体"/>
          <w:caps w:val="0"/>
          <w:w w:val="100"/>
          <w:sz w:val="32"/>
          <w:szCs w:val="32"/>
        </w:rPr>
        <w:t xml:space="preserve"> </w:t>
      </w:r>
      <w:r>
        <w:rPr>
          <w:rFonts w:hint="eastAsia" w:ascii="宋体" w:cs="宋体"/>
          <w:caps w:val="0"/>
          <w:w w:val="100"/>
          <w:sz w:val="32"/>
          <w:szCs w:val="32"/>
        </w:rPr>
        <w:t>合同授予</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w:t>
      </w:r>
      <w:r>
        <w:rPr>
          <w:rFonts w:ascii="宋体" w:cs="宋体"/>
          <w:caps w:val="0"/>
          <w:w w:val="100"/>
          <w:sz w:val="32"/>
          <w:szCs w:val="32"/>
        </w:rPr>
        <w:t xml:space="preserve"> </w:t>
      </w:r>
      <w:r>
        <w:rPr>
          <w:rFonts w:hint="eastAsia" w:ascii="宋体" w:cs="宋体"/>
          <w:caps w:val="0"/>
          <w:w w:val="100"/>
          <w:sz w:val="32"/>
          <w:szCs w:val="32"/>
        </w:rPr>
        <w:t>质疑提出和处理</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w:t>
      </w:r>
      <w:r>
        <w:rPr>
          <w:rFonts w:ascii="宋体" w:cs="宋体"/>
          <w:caps w:val="0"/>
          <w:w w:val="100"/>
          <w:sz w:val="32"/>
          <w:szCs w:val="32"/>
        </w:rPr>
        <w:t xml:space="preserve"> </w:t>
      </w:r>
      <w:r>
        <w:rPr>
          <w:rFonts w:hint="eastAsia" w:ascii="宋体" w:cs="宋体"/>
          <w:caps w:val="0"/>
          <w:w w:val="100"/>
          <w:sz w:val="32"/>
          <w:szCs w:val="32"/>
        </w:rPr>
        <w:t>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24"/>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项目概况</w:t>
      </w:r>
    </w:p>
    <w:p>
      <w:pPr>
        <w:widowControl/>
        <w:snapToGrid w:val="0"/>
        <w:spacing w:line="360" w:lineRule="auto"/>
        <w:ind w:firstLine="470" w:firstLineChars="196"/>
        <w:jc w:val="left"/>
        <w:rPr>
          <w:rFonts w:hint="eastAsia" w:ascii="宋体" w:hAnsi="宋体" w:cs="宋体"/>
          <w:sz w:val="24"/>
          <w:szCs w:val="24"/>
        </w:rPr>
      </w:pPr>
      <w:r>
        <w:rPr>
          <w:rFonts w:hint="eastAsia" w:ascii="宋体" w:hAnsi="宋体" w:cs="宋体"/>
          <w:bCs/>
          <w:sz w:val="24"/>
          <w:szCs w:val="24"/>
          <w:u w:val="single" w:color="000000"/>
          <w:lang w:eastAsia="zh-CN"/>
        </w:rPr>
        <w:t>南通市妇幼保健院锅炉维保服务采购项目</w:t>
      </w:r>
      <w:r>
        <w:rPr>
          <w:rFonts w:hint="eastAsia" w:ascii="宋体" w:hAnsi="宋体" w:cs="宋体"/>
          <w:sz w:val="24"/>
          <w:szCs w:val="24"/>
        </w:rPr>
        <w:t>的潜在供应商应在</w:t>
      </w:r>
      <w:r>
        <w:rPr>
          <w:rFonts w:hint="eastAsia" w:ascii="宋体" w:hAnsi="宋体" w:cs="宋体"/>
          <w:sz w:val="24"/>
          <w:szCs w:val="24"/>
          <w:u w:val="single"/>
        </w:rPr>
        <w:t>南通市卫生健康委员会官网（http://wjw.nantong.gov.cn）和南通市妇幼保健院官网（http://www.ntfybj.com）</w:t>
      </w:r>
      <w:r>
        <w:rPr>
          <w:rFonts w:hint="eastAsia" w:ascii="宋体" w:hAnsi="宋体" w:cs="宋体"/>
          <w:sz w:val="24"/>
          <w:szCs w:val="24"/>
        </w:rPr>
        <w:t>获取采购文件，并于</w:t>
      </w:r>
      <w:r>
        <w:rPr>
          <w:rFonts w:hint="eastAsia" w:ascii="宋体" w:hAnsi="宋体" w:cs="宋体"/>
          <w:b/>
          <w:bCs/>
          <w:color w:val="auto"/>
          <w:sz w:val="24"/>
          <w:szCs w:val="24"/>
          <w:u w:val="single" w:color="000000"/>
        </w:rPr>
        <w:t xml:space="preserve"> 202</w:t>
      </w:r>
      <w:r>
        <w:rPr>
          <w:rFonts w:hint="eastAsia" w:ascii="宋体" w:hAnsi="宋体" w:cs="宋体"/>
          <w:b/>
          <w:bCs/>
          <w:color w:val="auto"/>
          <w:sz w:val="24"/>
          <w:szCs w:val="24"/>
          <w:u w:val="single" w:color="000000"/>
          <w:lang w:val="en-US" w:eastAsia="zh-CN"/>
        </w:rPr>
        <w:t>2</w:t>
      </w:r>
      <w:r>
        <w:rPr>
          <w:rFonts w:hint="eastAsia" w:ascii="宋体" w:hAnsi="宋体" w:cs="宋体"/>
          <w:b/>
          <w:bCs/>
          <w:color w:val="auto"/>
          <w:sz w:val="24"/>
          <w:szCs w:val="24"/>
          <w:u w:val="single" w:color="000000"/>
        </w:rPr>
        <w:t>年</w:t>
      </w:r>
      <w:r>
        <w:rPr>
          <w:rFonts w:hint="eastAsia" w:ascii="宋体" w:hAnsi="宋体" w:cs="宋体"/>
          <w:b/>
          <w:bCs/>
          <w:color w:val="auto"/>
          <w:sz w:val="24"/>
          <w:szCs w:val="24"/>
          <w:u w:val="single" w:color="000000"/>
          <w:lang w:val="en-US" w:eastAsia="zh-CN"/>
        </w:rPr>
        <w:t xml:space="preserve">09 </w:t>
      </w:r>
      <w:r>
        <w:rPr>
          <w:rFonts w:hint="eastAsia" w:ascii="宋体" w:hAnsi="宋体" w:cs="宋体"/>
          <w:b/>
          <w:bCs/>
          <w:color w:val="auto"/>
          <w:sz w:val="24"/>
          <w:szCs w:val="24"/>
          <w:u w:val="single" w:color="000000"/>
        </w:rPr>
        <w:t>月</w:t>
      </w:r>
      <w:r>
        <w:rPr>
          <w:rFonts w:hint="eastAsia" w:ascii="宋体" w:hAnsi="宋体" w:cs="宋体"/>
          <w:b/>
          <w:bCs/>
          <w:color w:val="auto"/>
          <w:sz w:val="24"/>
          <w:szCs w:val="24"/>
          <w:u w:val="single" w:color="000000"/>
          <w:lang w:val="en-US" w:eastAsia="zh-CN"/>
        </w:rPr>
        <w:t>30</w:t>
      </w:r>
      <w:r>
        <w:rPr>
          <w:rFonts w:hint="eastAsia" w:ascii="宋体" w:hAnsi="宋体" w:cs="宋体"/>
          <w:b/>
          <w:bCs/>
          <w:color w:val="auto"/>
          <w:sz w:val="24"/>
          <w:szCs w:val="24"/>
          <w:u w:val="single" w:color="000000"/>
        </w:rPr>
        <w:t>日</w:t>
      </w:r>
      <w:r>
        <w:rPr>
          <w:rFonts w:hint="eastAsia" w:ascii="宋体" w:hAnsi="宋体" w:cs="宋体"/>
          <w:b/>
          <w:bCs/>
          <w:color w:val="auto"/>
          <w:sz w:val="24"/>
          <w:szCs w:val="24"/>
          <w:u w:val="single" w:color="000000"/>
          <w:lang w:eastAsia="zh-CN"/>
        </w:rPr>
        <w:t>下午</w:t>
      </w:r>
      <w:r>
        <w:rPr>
          <w:rFonts w:hint="eastAsia" w:ascii="宋体" w:hAnsi="宋体" w:cs="宋体"/>
          <w:b/>
          <w:bCs/>
          <w:color w:val="auto"/>
          <w:sz w:val="24"/>
          <w:szCs w:val="24"/>
          <w:u w:val="single" w:color="000000"/>
          <w:lang w:val="en-US" w:eastAsia="zh-CN"/>
        </w:rPr>
        <w:t>14</w:t>
      </w:r>
      <w:r>
        <w:rPr>
          <w:rFonts w:hint="eastAsia" w:ascii="宋体" w:hAnsi="宋体" w:cs="宋体"/>
          <w:b/>
          <w:bCs/>
          <w:color w:val="auto"/>
          <w:sz w:val="24"/>
          <w:szCs w:val="24"/>
          <w:u w:val="single" w:color="000000"/>
        </w:rPr>
        <w:t>点</w:t>
      </w:r>
      <w:r>
        <w:rPr>
          <w:rFonts w:hint="eastAsia" w:ascii="宋体" w:hAnsi="宋体" w:cs="宋体"/>
          <w:b/>
          <w:bCs/>
          <w:color w:val="auto"/>
          <w:sz w:val="24"/>
          <w:szCs w:val="24"/>
          <w:u w:val="single" w:color="000000"/>
          <w:lang w:val="en-US" w:eastAsia="zh-CN"/>
        </w:rPr>
        <w:t>00</w:t>
      </w:r>
      <w:r>
        <w:rPr>
          <w:rFonts w:hint="eastAsia" w:ascii="宋体" w:hAnsi="宋体" w:cs="宋体"/>
          <w:b/>
          <w:bCs/>
          <w:color w:val="auto"/>
          <w:sz w:val="24"/>
          <w:szCs w:val="24"/>
          <w:u w:val="single" w:color="000000"/>
        </w:rPr>
        <w:t>分</w:t>
      </w:r>
      <w:r>
        <w:rPr>
          <w:rFonts w:hint="eastAsia" w:ascii="宋体" w:hAnsi="宋体" w:cs="宋体"/>
          <w:bCs/>
          <w:sz w:val="24"/>
          <w:szCs w:val="24"/>
        </w:rPr>
        <w:t>（北京时间）前提交响应文件</w:t>
      </w:r>
      <w:r>
        <w:rPr>
          <w:rFonts w:hint="eastAsia" w:ascii="宋体" w:hAnsi="宋体" w:cs="宋体"/>
          <w:sz w:val="24"/>
          <w:szCs w:val="24"/>
        </w:rPr>
        <w:t>。</w:t>
      </w:r>
    </w:p>
    <w:p>
      <w:pPr>
        <w:pStyle w:val="2"/>
      </w:pP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一、项目基本情况</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南通市妇幼保健院锅炉维保服务采购项目</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采购方式：竞争性磋商</w:t>
      </w:r>
    </w:p>
    <w:p>
      <w:pPr>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cs="宋体"/>
          <w:sz w:val="24"/>
          <w:szCs w:val="24"/>
        </w:rPr>
        <w:t>预算金额</w:t>
      </w:r>
      <w:r>
        <w:rPr>
          <w:rFonts w:hint="eastAsia" w:ascii="宋体" w:hAnsi="宋体" w:cs="宋体"/>
          <w:color w:val="auto"/>
          <w:sz w:val="24"/>
          <w:szCs w:val="24"/>
        </w:rPr>
        <w:t>：</w:t>
      </w:r>
      <w:r>
        <w:rPr>
          <w:rFonts w:hint="eastAsia" w:ascii="宋体" w:hAnsi="宋体" w:eastAsia="宋体" w:cs="宋体"/>
          <w:color w:val="auto"/>
          <w:sz w:val="24"/>
          <w:szCs w:val="24"/>
        </w:rPr>
        <w:t>人民币</w:t>
      </w:r>
      <w:r>
        <w:rPr>
          <w:rFonts w:hint="eastAsia" w:ascii="宋体" w:hAnsi="宋体" w:cs="宋体"/>
          <w:color w:val="auto"/>
          <w:sz w:val="24"/>
          <w:szCs w:val="24"/>
          <w:lang w:val="en-US" w:eastAsia="zh-CN"/>
        </w:rPr>
        <w:t>8万</w:t>
      </w:r>
      <w:r>
        <w:rPr>
          <w:rFonts w:hint="eastAsia" w:ascii="宋体" w:hAnsi="宋体" w:eastAsia="宋体" w:cs="宋体"/>
          <w:color w:val="auto"/>
          <w:sz w:val="24"/>
          <w:szCs w:val="24"/>
        </w:rPr>
        <w:t>元/年</w:t>
      </w:r>
    </w:p>
    <w:p>
      <w:pPr>
        <w:snapToGrid w:val="0"/>
        <w:spacing w:line="360" w:lineRule="auto"/>
        <w:ind w:firstLine="480" w:firstLineChars="200"/>
        <w:textAlignment w:val="baseline"/>
        <w:rPr>
          <w:rFonts w:hint="eastAsia" w:ascii="宋体" w:hAnsi="宋体" w:cs="宋体"/>
          <w:color w:val="auto"/>
          <w:sz w:val="24"/>
          <w:szCs w:val="24"/>
          <w:u w:val="single"/>
        </w:rPr>
      </w:pPr>
      <w:r>
        <w:rPr>
          <w:rFonts w:hint="eastAsia" w:ascii="宋体" w:hAnsi="宋体" w:cs="宋体"/>
          <w:color w:val="auto"/>
          <w:sz w:val="24"/>
          <w:szCs w:val="24"/>
        </w:rPr>
        <w:t>采购需求：详见第三章项目需求</w:t>
      </w:r>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合同履行期限：本项目合同服务期暂定三年，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预计自2022年10月至2025年9月</w:t>
      </w:r>
      <w:r>
        <w:rPr>
          <w:rFonts w:hint="eastAsia" w:ascii="宋体" w:hAnsi="宋体" w:cs="宋体"/>
          <w:color w:val="auto"/>
          <w:sz w:val="24"/>
          <w:szCs w:val="24"/>
          <w:lang w:eastAsia="zh-CN"/>
        </w:rPr>
        <w:t>）</w:t>
      </w:r>
      <w:r>
        <w:rPr>
          <w:rFonts w:hint="eastAsia" w:ascii="宋体" w:hAnsi="宋体" w:cs="宋体"/>
          <w:color w:val="auto"/>
          <w:sz w:val="24"/>
          <w:szCs w:val="24"/>
        </w:rPr>
        <w:t>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w:t>
      </w:r>
      <w:r>
        <w:rPr>
          <w:rFonts w:hint="eastAsia" w:ascii="宋体" w:hAnsi="宋体" w:cs="宋体"/>
          <w:color w:val="auto"/>
          <w:sz w:val="24"/>
          <w:lang w:val="en-US" w:eastAsia="zh-CN"/>
        </w:rPr>
        <w:t>分</w:t>
      </w:r>
      <w:r>
        <w:rPr>
          <w:rFonts w:hint="eastAsia" w:ascii="宋体" w:hAnsi="宋体" w:cs="宋体"/>
          <w:color w:val="auto"/>
          <w:sz w:val="24"/>
          <w:szCs w:val="24"/>
        </w:rPr>
        <w:t>，则采购人不再与成交供应商续签合同。</w:t>
      </w:r>
    </w:p>
    <w:p>
      <w:pPr>
        <w:snapToGrid w:val="0"/>
        <w:spacing w:line="360" w:lineRule="auto"/>
        <w:ind w:firstLine="508" w:firstLineChars="200"/>
        <w:textAlignment w:val="baseline"/>
        <w:rPr>
          <w:rFonts w:hint="eastAsia" w:ascii="宋体" w:hAnsi="宋体" w:cs="宋体"/>
          <w:color w:val="auto"/>
          <w:sz w:val="24"/>
          <w:szCs w:val="24"/>
        </w:rPr>
      </w:pPr>
      <w:r>
        <w:rPr>
          <w:rFonts w:hint="eastAsia" w:ascii="宋体" w:hAnsi="宋体" w:cs="宋体"/>
          <w:color w:val="auto"/>
          <w:spacing w:val="7"/>
          <w:sz w:val="24"/>
          <w:szCs w:val="24"/>
          <w:shd w:val="clear" w:color="auto" w:fill="FFFFFF"/>
        </w:rPr>
        <w:t>本项目不接受联合体。</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二、申请人的资格要求：</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textAlignment w:val="baseline"/>
        <w:rPr>
          <w:rFonts w:hint="eastAsia"/>
        </w:rPr>
      </w:pPr>
      <w:r>
        <w:rPr>
          <w:rFonts w:hint="eastAsia" w:ascii="宋体" w:hAnsi="宋体" w:cs="宋体"/>
          <w:sz w:val="24"/>
          <w:szCs w:val="24"/>
        </w:rPr>
        <w:t>其他资格要求：</w:t>
      </w:r>
    </w:p>
    <w:p>
      <w:pPr>
        <w:snapToGrid w:val="0"/>
        <w:spacing w:line="360" w:lineRule="auto"/>
        <w:ind w:firstLine="480" w:firstLineChars="200"/>
        <w:textAlignment w:val="baseline"/>
        <w:rPr>
          <w:rFonts w:hint="eastAsia" w:ascii="宋体" w:hAnsi="宋体" w:cs="宋体"/>
          <w:sz w:val="24"/>
          <w:szCs w:val="24"/>
          <w:highlight w:val="cyan"/>
        </w:rPr>
      </w:pPr>
      <w:r>
        <w:rPr>
          <w:rFonts w:hint="eastAsia" w:ascii="宋体" w:hAnsi="宋体" w:cs="宋体"/>
          <w:sz w:val="24"/>
          <w:szCs w:val="24"/>
        </w:rPr>
        <w:t>1、供应商必须有能力按本磋商文件规定的要求提供相关服务，须提供有效的三证合一的企业法人营业执照复印件或扫描件。</w:t>
      </w:r>
    </w:p>
    <w:p>
      <w:pPr>
        <w:snapToGrid w:val="0"/>
        <w:spacing w:line="360" w:lineRule="auto"/>
        <w:ind w:left="8" w:firstLine="470" w:firstLineChars="196"/>
        <w:jc w:val="left"/>
        <w:textAlignment w:val="baseline"/>
        <w:rPr>
          <w:rFonts w:hint="eastAsia" w:ascii="宋体" w:hAnsi="宋体" w:cs="宋体"/>
          <w:sz w:val="24"/>
          <w:szCs w:val="24"/>
        </w:rPr>
      </w:pPr>
      <w:r>
        <w:rPr>
          <w:rFonts w:hint="eastAsia" w:ascii="宋体" w:hAnsi="宋体" w:cs="宋体"/>
          <w:sz w:val="24"/>
          <w:szCs w:val="24"/>
        </w:rPr>
        <w:t>3、提供供应商的法定代表人或负责人身份证明及身份证原件的复印件或扫描件（须加盖供应商公章，格式参见竞争性磋商文件第八章）。</w:t>
      </w:r>
    </w:p>
    <w:p>
      <w:pPr>
        <w:snapToGrid w:val="0"/>
        <w:spacing w:line="360" w:lineRule="auto"/>
        <w:ind w:firstLine="559" w:firstLineChars="233"/>
        <w:textAlignment w:val="baseline"/>
        <w:rPr>
          <w:rFonts w:hint="eastAsia" w:ascii="宋体" w:hAnsi="宋体" w:cs="宋体"/>
          <w:sz w:val="24"/>
          <w:szCs w:val="24"/>
        </w:rPr>
      </w:pPr>
      <w:r>
        <w:rPr>
          <w:rFonts w:hint="eastAsia" w:ascii="宋体" w:hAnsi="宋体" w:cs="宋体"/>
          <w:sz w:val="24"/>
          <w:szCs w:val="24"/>
        </w:rPr>
        <w:t>4、如为被委托受权人参加竞争性磋商的，还必须提供法定代表人或负责人签名或盖章的授权委托书及被委托受权人身份证这两项原件的复印件或扫描件（须加盖供应商公章，格式参见竞争性磋商文件第八章）。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供应商</w:t>
      </w:r>
      <w:r>
        <w:rPr>
          <w:rFonts w:hint="eastAsia" w:ascii="宋体" w:hAnsi="宋体" w:cs="宋体"/>
          <w:sz w:val="24"/>
          <w:szCs w:val="24"/>
        </w:rPr>
        <w:t>拟派服务人员须为供应商的正式员工</w:t>
      </w:r>
      <w:r>
        <w:rPr>
          <w:rFonts w:hint="eastAsia" w:ascii="宋体" w:hAnsi="宋体" w:cs="宋体"/>
          <w:sz w:val="24"/>
          <w:szCs w:val="24"/>
          <w:lang w:eastAsia="zh-CN"/>
        </w:rPr>
        <w:t>，</w:t>
      </w:r>
      <w:r>
        <w:rPr>
          <w:rFonts w:hint="eastAsia" w:ascii="宋体" w:hAnsi="宋体" w:cs="宋体"/>
          <w:sz w:val="24"/>
          <w:szCs w:val="24"/>
        </w:rPr>
        <w:t>须同时提供：①拟派人员与供应商签订的有效劳动合同复印件或扫描件；②社保机构出具且盖章的供应商为其连续交纳的近6个月（至少缴纳至202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07</w:t>
      </w:r>
      <w:r>
        <w:rPr>
          <w:rFonts w:hint="eastAsia" w:ascii="宋体" w:hAnsi="宋体" w:cs="宋体"/>
          <w:sz w:val="24"/>
          <w:szCs w:val="24"/>
        </w:rPr>
        <w:t>月）的养老保险缴费清单复印件或扫描件。</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6、供应商须提供参与本次项目政府采购活动前三年内，在经营活动中没有重大违法记录的书面《无重大违法记录声明函》（格式参见竞争性磋商文件第八章）。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7、关于资格文件的声明函（格式参见竞争性磋商文件第八章）。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（二）本项目的特定资格要求：无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（三）落实政府采购政策需满足的资格要求：无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特别提醒】请各供应商认真对照资格要求，如不符合要求，无意或故意参与磋商的，所产生的一切后果由供应商承担。若供应商提供的相关材料为虚假或伪造，将作无效响应处理，并报财政部门将其列入政府采购黑名单。</w:t>
      </w:r>
    </w:p>
    <w:p>
      <w:pPr>
        <w:pStyle w:val="2"/>
        <w:snapToGrid w:val="0"/>
        <w:spacing w:after="0" w:line="360" w:lineRule="auto"/>
        <w:ind w:firstLine="482"/>
        <w:textAlignment w:val="baseline"/>
        <w:rPr>
          <w:rFonts w:hint="eastAsia" w:ascii="宋体" w:hAnsi="宋体" w:cs="宋体"/>
          <w:b/>
          <w:bCs/>
          <w:color w:val="333333"/>
          <w:kern w:val="0"/>
          <w:sz w:val="24"/>
          <w:szCs w:val="24"/>
        </w:rPr>
      </w:pPr>
      <w:r>
        <w:rPr>
          <w:rFonts w:hint="eastAsia" w:ascii="宋体" w:hAnsi="宋体" w:cs="宋体"/>
          <w:b/>
          <w:bCs/>
          <w:color w:val="333333"/>
          <w:kern w:val="0"/>
          <w:sz w:val="24"/>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2"/>
        <w:snapToGrid w:val="0"/>
        <w:spacing w:after="0" w:line="360" w:lineRule="auto"/>
        <w:ind w:firstLine="482"/>
        <w:textAlignment w:val="baseline"/>
        <w:rPr>
          <w:rFonts w:hint="eastAsia" w:ascii="宋体" w:hAnsi="宋体" w:cs="宋体"/>
          <w:b/>
          <w:bCs/>
          <w:sz w:val="24"/>
          <w:szCs w:val="24"/>
        </w:rPr>
      </w:pPr>
      <w:r>
        <w:rPr>
          <w:rFonts w:hint="eastAsia" w:ascii="宋体" w:hAnsi="宋体" w:eastAsia="宋体" w:cs="宋体"/>
          <w:b/>
          <w:bCs/>
          <w:color w:val="333333"/>
          <w:kern w:val="0"/>
          <w:sz w:val="24"/>
          <w:szCs w:val="24"/>
        </w:rPr>
        <w:t>法定代表人为同一个人的两个及两个以上法人，母公司、全资子公司及其控股公司，都不得在同一采购项目相同标段中同时参加投标，一经发现，将视同围标处理。单位负责人为同一人或者存在直接控股、管理关系</w:t>
      </w:r>
      <w:r>
        <w:rPr>
          <w:rFonts w:hint="eastAsia" w:ascii="宋体" w:hAnsi="宋体" w:cs="宋体"/>
          <w:b/>
          <w:bCs/>
          <w:color w:val="333333"/>
          <w:kern w:val="0"/>
          <w:sz w:val="24"/>
          <w:szCs w:val="24"/>
        </w:rPr>
        <w:t>的不同供应商，不得同时参与同一采购项目相同标段的政府采购活动；为采购项目提供整体设计、规范编制或者项目管理、监理、检测等服务的供应商，不得再参加该采购项目的其他磋商活动</w:t>
      </w:r>
      <w:r>
        <w:rPr>
          <w:rFonts w:hint="eastAsia" w:ascii="宋体" w:hAnsi="宋体" w:cs="宋体"/>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cs="宋体"/>
          <w:b/>
          <w:bCs/>
          <w:color w:val="333333"/>
          <w:kern w:val="0"/>
          <w:sz w:val="24"/>
          <w:szCs w:val="24"/>
        </w:rPr>
        <w:t>。</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三、获取采购文件</w:t>
      </w:r>
    </w:p>
    <w:p>
      <w:pPr>
        <w:snapToGrid w:val="0"/>
        <w:spacing w:line="360" w:lineRule="auto"/>
        <w:ind w:firstLine="540"/>
        <w:textAlignment w:val="baseline"/>
        <w:rPr>
          <w:rFonts w:hint="eastAsia" w:ascii="宋体" w:hAnsi="宋体" w:cs="宋体"/>
          <w:b/>
          <w:bCs/>
          <w:color w:val="FF0000"/>
          <w:sz w:val="24"/>
          <w:szCs w:val="24"/>
        </w:rPr>
      </w:pPr>
      <w:r>
        <w:rPr>
          <w:rFonts w:hint="eastAsia" w:ascii="宋体" w:hAnsi="宋体" w:cs="宋体"/>
          <w:b/>
          <w:bCs/>
          <w:color w:val="auto"/>
          <w:sz w:val="24"/>
          <w:szCs w:val="24"/>
        </w:rPr>
        <w:t>时  间：</w:t>
      </w:r>
      <w:r>
        <w:rPr>
          <w:rFonts w:hint="eastAsia" w:ascii="宋体" w:hAnsi="宋体" w:cs="宋体"/>
          <w:b/>
          <w:bCs/>
          <w:color w:val="auto"/>
          <w:sz w:val="24"/>
          <w:szCs w:val="24"/>
          <w:u w:val="single"/>
        </w:rPr>
        <w:t>自公告发布之日起</w:t>
      </w:r>
      <w:r>
        <w:rPr>
          <w:rFonts w:hint="eastAsia" w:ascii="宋体" w:hAnsi="宋体" w:cs="宋体"/>
          <w:b/>
          <w:bCs/>
          <w:color w:val="auto"/>
          <w:sz w:val="24"/>
          <w:szCs w:val="24"/>
        </w:rPr>
        <w:t>至</w:t>
      </w:r>
      <w:r>
        <w:rPr>
          <w:rFonts w:hint="eastAsia" w:ascii="宋体" w:hAnsi="宋体" w:cs="宋体"/>
          <w:b/>
          <w:bCs/>
          <w:color w:val="auto"/>
          <w:sz w:val="24"/>
          <w:szCs w:val="24"/>
          <w:u w:val="single" w:color="000000"/>
        </w:rPr>
        <w:t xml:space="preserve"> 202</w:t>
      </w:r>
      <w:r>
        <w:rPr>
          <w:rFonts w:hint="eastAsia" w:ascii="宋体" w:hAnsi="宋体" w:cs="宋体"/>
          <w:b/>
          <w:bCs/>
          <w:color w:val="auto"/>
          <w:sz w:val="24"/>
          <w:szCs w:val="24"/>
          <w:u w:val="single" w:color="000000"/>
          <w:lang w:val="en-US" w:eastAsia="zh-CN"/>
        </w:rPr>
        <w:t>2</w:t>
      </w:r>
      <w:r>
        <w:rPr>
          <w:rFonts w:hint="eastAsia" w:ascii="宋体" w:hAnsi="宋体" w:cs="宋体"/>
          <w:b/>
          <w:bCs/>
          <w:color w:val="auto"/>
          <w:sz w:val="24"/>
          <w:szCs w:val="24"/>
          <w:u w:val="single" w:color="000000"/>
        </w:rPr>
        <w:t>年</w:t>
      </w:r>
      <w:r>
        <w:rPr>
          <w:rFonts w:hint="eastAsia" w:ascii="宋体" w:hAnsi="宋体" w:cs="宋体"/>
          <w:b/>
          <w:bCs/>
          <w:color w:val="auto"/>
          <w:sz w:val="24"/>
          <w:szCs w:val="24"/>
          <w:u w:val="single" w:color="000000"/>
          <w:lang w:val="en-US" w:eastAsia="zh-CN"/>
        </w:rPr>
        <w:t>09</w:t>
      </w:r>
      <w:r>
        <w:rPr>
          <w:rFonts w:hint="eastAsia" w:ascii="宋体" w:hAnsi="宋体" w:cs="宋体"/>
          <w:b/>
          <w:bCs/>
          <w:color w:val="auto"/>
          <w:sz w:val="24"/>
          <w:szCs w:val="24"/>
          <w:u w:val="single" w:color="000000"/>
        </w:rPr>
        <w:t>月</w:t>
      </w:r>
      <w:r>
        <w:rPr>
          <w:rFonts w:hint="eastAsia" w:ascii="宋体" w:hAnsi="宋体" w:cs="宋体"/>
          <w:b/>
          <w:bCs/>
          <w:color w:val="auto"/>
          <w:sz w:val="24"/>
          <w:szCs w:val="24"/>
          <w:u w:val="single" w:color="000000"/>
          <w:lang w:val="en-US" w:eastAsia="zh-CN"/>
        </w:rPr>
        <w:t>30</w:t>
      </w:r>
      <w:r>
        <w:rPr>
          <w:rFonts w:hint="eastAsia" w:ascii="宋体" w:hAnsi="宋体" w:cs="宋体"/>
          <w:b/>
          <w:bCs/>
          <w:color w:val="auto"/>
          <w:sz w:val="24"/>
          <w:szCs w:val="24"/>
          <w:u w:val="single" w:color="000000"/>
        </w:rPr>
        <w:t>日</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地  点：南通市卫生健康委员会官网（http://wjw.nantong.gov.cn）和南通市妇幼保健院官网（http://www.ntfybj.com）。</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方  式：自行下载</w:t>
      </w:r>
    </w:p>
    <w:p>
      <w:pPr>
        <w:snapToGrid w:val="0"/>
        <w:spacing w:line="360" w:lineRule="auto"/>
        <w:ind w:firstLine="540"/>
        <w:textAlignment w:val="baseline"/>
        <w:rPr>
          <w:rFonts w:hint="eastAsia" w:ascii="宋体" w:hAnsi="宋体" w:cs="宋体"/>
          <w:sz w:val="24"/>
          <w:szCs w:val="24"/>
        </w:rPr>
      </w:pPr>
      <w:r>
        <w:rPr>
          <w:rFonts w:hint="eastAsia" w:ascii="宋体" w:hAnsi="宋体" w:cs="宋体"/>
          <w:sz w:val="24"/>
          <w:szCs w:val="24"/>
        </w:rPr>
        <w:t>售  价：每套300元，在递交磋商响应文件的同时提交给招标代理机构。</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四、响应文件的提交</w:t>
      </w:r>
    </w:p>
    <w:p>
      <w:pPr>
        <w:snapToGrid w:val="0"/>
        <w:spacing w:line="360" w:lineRule="auto"/>
        <w:ind w:firstLine="480" w:firstLineChars="200"/>
        <w:textAlignment w:val="baseline"/>
        <w:rPr>
          <w:rFonts w:hint="eastAsia" w:ascii="宋体" w:hAnsi="宋体" w:cs="宋体"/>
          <w:bCs/>
          <w:sz w:val="24"/>
          <w:szCs w:val="24"/>
          <w:u w:val="single"/>
        </w:rPr>
      </w:pPr>
      <w:r>
        <w:rPr>
          <w:rFonts w:hint="eastAsia" w:ascii="宋体" w:hAnsi="宋体" w:cs="宋体"/>
          <w:sz w:val="24"/>
          <w:szCs w:val="24"/>
        </w:rPr>
        <w:t xml:space="preserve">截止时间： </w:t>
      </w:r>
      <w:r>
        <w:rPr>
          <w:rFonts w:hint="eastAsia" w:ascii="宋体" w:hAnsi="宋体" w:cs="宋体"/>
          <w:sz w:val="24"/>
          <w:szCs w:val="24"/>
          <w:u w:val="single" w:color="000000"/>
        </w:rPr>
        <w:t xml:space="preserve"> </w:t>
      </w:r>
      <w:r>
        <w:rPr>
          <w:rFonts w:hint="eastAsia" w:ascii="宋体" w:hAnsi="宋体" w:cs="宋体"/>
          <w:color w:val="auto"/>
          <w:sz w:val="24"/>
          <w:szCs w:val="24"/>
          <w:u w:val="single" w:color="000000"/>
        </w:rPr>
        <w:t>202</w:t>
      </w:r>
      <w:r>
        <w:rPr>
          <w:rFonts w:hint="eastAsia" w:ascii="宋体" w:hAnsi="宋体" w:cs="宋体"/>
          <w:color w:val="auto"/>
          <w:sz w:val="24"/>
          <w:szCs w:val="24"/>
          <w:u w:val="single" w:color="000000"/>
          <w:lang w:val="en-US" w:eastAsia="zh-CN"/>
        </w:rPr>
        <w:t>2</w:t>
      </w:r>
      <w:r>
        <w:rPr>
          <w:rFonts w:hint="eastAsia" w:ascii="宋体" w:hAnsi="宋体" w:cs="宋体"/>
          <w:bCs/>
          <w:color w:val="auto"/>
          <w:sz w:val="24"/>
          <w:szCs w:val="24"/>
          <w:u w:val="single" w:color="000000"/>
        </w:rPr>
        <w:t>年</w:t>
      </w:r>
      <w:r>
        <w:rPr>
          <w:rFonts w:hint="eastAsia" w:ascii="宋体" w:hAnsi="宋体" w:cs="宋体"/>
          <w:bCs/>
          <w:color w:val="auto"/>
          <w:sz w:val="24"/>
          <w:szCs w:val="24"/>
          <w:u w:val="single" w:color="000000"/>
          <w:lang w:val="en-US" w:eastAsia="zh-CN"/>
        </w:rPr>
        <w:t>09</w:t>
      </w:r>
      <w:r>
        <w:rPr>
          <w:rFonts w:hint="eastAsia" w:ascii="宋体" w:hAnsi="宋体" w:cs="宋体"/>
          <w:bCs/>
          <w:color w:val="auto"/>
          <w:sz w:val="24"/>
          <w:szCs w:val="24"/>
          <w:u w:val="single" w:color="000000"/>
        </w:rPr>
        <w:t>月</w:t>
      </w:r>
      <w:r>
        <w:rPr>
          <w:rFonts w:hint="eastAsia" w:ascii="宋体" w:hAnsi="宋体" w:cs="宋体"/>
          <w:bCs/>
          <w:color w:val="auto"/>
          <w:sz w:val="24"/>
          <w:szCs w:val="24"/>
          <w:u w:val="single" w:color="000000"/>
          <w:lang w:val="en-US" w:eastAsia="zh-CN"/>
        </w:rPr>
        <w:t>30</w:t>
      </w:r>
      <w:r>
        <w:rPr>
          <w:rFonts w:hint="eastAsia" w:ascii="宋体" w:hAnsi="宋体" w:cs="宋体"/>
          <w:bCs/>
          <w:color w:val="auto"/>
          <w:sz w:val="24"/>
          <w:szCs w:val="24"/>
          <w:u w:val="single" w:color="000000"/>
        </w:rPr>
        <w:t>日</w:t>
      </w:r>
      <w:r>
        <w:rPr>
          <w:rFonts w:hint="eastAsia" w:ascii="宋体" w:hAnsi="宋体" w:cs="宋体"/>
          <w:bCs/>
          <w:color w:val="auto"/>
          <w:sz w:val="24"/>
          <w:szCs w:val="24"/>
          <w:u w:val="single" w:color="000000"/>
          <w:lang w:eastAsia="zh-CN"/>
        </w:rPr>
        <w:t>下午</w:t>
      </w:r>
      <w:r>
        <w:rPr>
          <w:rFonts w:hint="eastAsia" w:ascii="宋体" w:hAnsi="宋体" w:cs="宋体"/>
          <w:bCs/>
          <w:color w:val="auto"/>
          <w:sz w:val="24"/>
          <w:szCs w:val="24"/>
          <w:u w:val="single" w:color="000000"/>
          <w:lang w:val="en-US" w:eastAsia="zh-CN"/>
        </w:rPr>
        <w:t>14</w:t>
      </w:r>
      <w:r>
        <w:rPr>
          <w:rFonts w:hint="eastAsia" w:ascii="宋体" w:hAnsi="宋体" w:cs="宋体"/>
          <w:bCs/>
          <w:color w:val="auto"/>
          <w:sz w:val="24"/>
          <w:szCs w:val="24"/>
          <w:u w:val="single" w:color="000000"/>
        </w:rPr>
        <w:t>点</w:t>
      </w:r>
      <w:r>
        <w:rPr>
          <w:rFonts w:hint="eastAsia" w:ascii="宋体" w:hAnsi="宋体" w:cs="宋体"/>
          <w:bCs/>
          <w:color w:val="auto"/>
          <w:sz w:val="24"/>
          <w:szCs w:val="24"/>
          <w:u w:val="single" w:color="000000"/>
          <w:lang w:val="en-US" w:eastAsia="zh-CN"/>
        </w:rPr>
        <w:t>00</w:t>
      </w:r>
      <w:r>
        <w:rPr>
          <w:rFonts w:hint="eastAsia" w:ascii="宋体" w:hAnsi="宋体" w:cs="宋体"/>
          <w:bCs/>
          <w:color w:val="auto"/>
          <w:sz w:val="24"/>
          <w:szCs w:val="24"/>
          <w:u w:val="single" w:color="000000"/>
        </w:rPr>
        <w:t>分</w:t>
      </w:r>
      <w:r>
        <w:rPr>
          <w:rFonts w:hint="eastAsia" w:ascii="宋体" w:hAnsi="宋体" w:cs="宋体"/>
          <w:bCs/>
          <w:color w:val="auto"/>
          <w:sz w:val="24"/>
          <w:szCs w:val="24"/>
        </w:rPr>
        <w:t>（北京时间）</w:t>
      </w:r>
    </w:p>
    <w:p>
      <w:pPr>
        <w:snapToGrid w:val="0"/>
        <w:spacing w:line="360" w:lineRule="auto"/>
        <w:ind w:firstLine="480" w:firstLineChars="200"/>
        <w:textAlignment w:val="baseline"/>
        <w:rPr>
          <w:rFonts w:hint="eastAsia" w:ascii="宋体" w:hAnsi="宋体" w:cs="宋体"/>
          <w:sz w:val="24"/>
          <w:szCs w:val="24"/>
          <w:u w:val="single"/>
        </w:rPr>
      </w:pPr>
      <w:r>
        <w:rPr>
          <w:rFonts w:hint="eastAsia" w:ascii="宋体" w:hAnsi="宋体" w:cs="宋体"/>
          <w:sz w:val="24"/>
          <w:szCs w:val="24"/>
        </w:rPr>
        <w:t xml:space="preserve">地    点： </w:t>
      </w:r>
      <w:r>
        <w:rPr>
          <w:rFonts w:hint="eastAsia" w:ascii="宋体" w:hAnsi="宋体" w:cs="宋体"/>
          <w:sz w:val="24"/>
          <w:szCs w:val="24"/>
          <w:u w:val="single"/>
          <w:lang w:eastAsia="zh-CN"/>
        </w:rPr>
        <w:t>南通市崇川区工农路358号12层中证开标室（浙商银行楼上）</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五、响应文件的开启</w:t>
      </w:r>
    </w:p>
    <w:p>
      <w:pPr>
        <w:snapToGrid w:val="0"/>
        <w:spacing w:line="360" w:lineRule="auto"/>
        <w:ind w:firstLine="480" w:firstLineChars="200"/>
        <w:textAlignment w:val="baseline"/>
        <w:rPr>
          <w:rFonts w:hint="eastAsia" w:ascii="宋体" w:hAnsi="宋体" w:cs="宋体"/>
          <w:bCs/>
          <w:sz w:val="24"/>
          <w:szCs w:val="24"/>
          <w:u w:val="single"/>
        </w:rPr>
      </w:pPr>
      <w:r>
        <w:rPr>
          <w:rFonts w:hint="eastAsia" w:ascii="宋体" w:hAnsi="宋体" w:cs="宋体"/>
          <w:sz w:val="24"/>
          <w:szCs w:val="24"/>
        </w:rPr>
        <w:t xml:space="preserve">时  间： </w:t>
      </w:r>
      <w:r>
        <w:rPr>
          <w:rFonts w:hint="eastAsia" w:ascii="宋体" w:hAnsi="宋体" w:cs="宋体"/>
          <w:color w:val="auto"/>
          <w:sz w:val="24"/>
          <w:szCs w:val="24"/>
          <w:u w:val="single" w:color="000000"/>
        </w:rPr>
        <w:t xml:space="preserve"> 202</w:t>
      </w:r>
      <w:r>
        <w:rPr>
          <w:rFonts w:hint="eastAsia" w:ascii="宋体" w:hAnsi="宋体" w:cs="宋体"/>
          <w:color w:val="auto"/>
          <w:sz w:val="24"/>
          <w:szCs w:val="24"/>
          <w:u w:val="single" w:color="000000"/>
          <w:lang w:val="en-US" w:eastAsia="zh-CN"/>
        </w:rPr>
        <w:t>2</w:t>
      </w:r>
      <w:r>
        <w:rPr>
          <w:rFonts w:hint="eastAsia" w:ascii="宋体" w:hAnsi="宋体" w:cs="宋体"/>
          <w:bCs/>
          <w:color w:val="auto"/>
          <w:sz w:val="24"/>
          <w:szCs w:val="24"/>
          <w:u w:val="single" w:color="000000"/>
        </w:rPr>
        <w:t>年</w:t>
      </w:r>
      <w:r>
        <w:rPr>
          <w:rFonts w:hint="eastAsia" w:ascii="宋体" w:hAnsi="宋体" w:cs="宋体"/>
          <w:bCs/>
          <w:color w:val="auto"/>
          <w:sz w:val="24"/>
          <w:szCs w:val="24"/>
          <w:u w:val="single" w:color="000000"/>
          <w:lang w:val="en-US" w:eastAsia="zh-CN"/>
        </w:rPr>
        <w:t>09</w:t>
      </w:r>
      <w:r>
        <w:rPr>
          <w:rFonts w:hint="eastAsia" w:ascii="宋体" w:hAnsi="宋体" w:cs="宋体"/>
          <w:bCs/>
          <w:color w:val="auto"/>
          <w:sz w:val="24"/>
          <w:szCs w:val="24"/>
          <w:u w:val="single" w:color="000000"/>
        </w:rPr>
        <w:t>月</w:t>
      </w:r>
      <w:r>
        <w:rPr>
          <w:rFonts w:hint="eastAsia" w:ascii="宋体" w:hAnsi="宋体" w:cs="宋体"/>
          <w:bCs/>
          <w:color w:val="auto"/>
          <w:sz w:val="24"/>
          <w:szCs w:val="24"/>
          <w:u w:val="single" w:color="000000"/>
          <w:lang w:val="en-US" w:eastAsia="zh-CN"/>
        </w:rPr>
        <w:t>30</w:t>
      </w:r>
      <w:r>
        <w:rPr>
          <w:rFonts w:hint="eastAsia" w:ascii="宋体" w:hAnsi="宋体" w:cs="宋体"/>
          <w:bCs/>
          <w:color w:val="auto"/>
          <w:sz w:val="24"/>
          <w:szCs w:val="24"/>
          <w:u w:val="single" w:color="000000"/>
        </w:rPr>
        <w:t>日</w:t>
      </w:r>
      <w:r>
        <w:rPr>
          <w:rFonts w:hint="eastAsia" w:ascii="宋体" w:hAnsi="宋体" w:cs="宋体"/>
          <w:bCs/>
          <w:color w:val="auto"/>
          <w:sz w:val="24"/>
          <w:szCs w:val="24"/>
          <w:u w:val="single" w:color="000000"/>
          <w:lang w:val="en-US" w:eastAsia="zh-CN"/>
        </w:rPr>
        <w:t>下午14</w:t>
      </w:r>
      <w:r>
        <w:rPr>
          <w:rFonts w:hint="eastAsia" w:ascii="宋体" w:hAnsi="宋体" w:cs="宋体"/>
          <w:bCs/>
          <w:color w:val="auto"/>
          <w:sz w:val="24"/>
          <w:szCs w:val="24"/>
          <w:u w:val="single" w:color="000000"/>
        </w:rPr>
        <w:t>点</w:t>
      </w:r>
      <w:r>
        <w:rPr>
          <w:rFonts w:hint="eastAsia" w:ascii="宋体" w:hAnsi="宋体" w:cs="宋体"/>
          <w:bCs/>
          <w:color w:val="auto"/>
          <w:sz w:val="24"/>
          <w:szCs w:val="24"/>
          <w:u w:val="single" w:color="000000"/>
          <w:lang w:val="en-US" w:eastAsia="zh-CN"/>
        </w:rPr>
        <w:t>00</w:t>
      </w:r>
      <w:r>
        <w:rPr>
          <w:rFonts w:hint="eastAsia" w:ascii="宋体" w:hAnsi="宋体" w:cs="宋体"/>
          <w:bCs/>
          <w:color w:val="auto"/>
          <w:sz w:val="24"/>
          <w:szCs w:val="24"/>
          <w:u w:val="single" w:color="000000"/>
        </w:rPr>
        <w:t>分</w:t>
      </w:r>
      <w:r>
        <w:rPr>
          <w:rFonts w:hint="eastAsia" w:ascii="宋体" w:hAnsi="宋体" w:cs="宋体"/>
          <w:bCs/>
          <w:color w:val="auto"/>
          <w:sz w:val="24"/>
          <w:szCs w:val="24"/>
        </w:rPr>
        <w:t>（北京时间）</w:t>
      </w:r>
    </w:p>
    <w:p>
      <w:pPr>
        <w:snapToGrid w:val="0"/>
        <w:spacing w:line="360" w:lineRule="auto"/>
        <w:ind w:firstLine="480" w:firstLineChars="200"/>
        <w:textAlignment w:val="baseline"/>
        <w:rPr>
          <w:rFonts w:hint="eastAsia" w:ascii="宋体" w:hAnsi="宋体" w:cs="宋体"/>
          <w:sz w:val="24"/>
          <w:szCs w:val="24"/>
          <w:u w:val="single"/>
        </w:rPr>
      </w:pPr>
      <w:r>
        <w:rPr>
          <w:rFonts w:hint="eastAsia" w:ascii="宋体" w:hAnsi="宋体" w:cs="宋体"/>
          <w:sz w:val="24"/>
          <w:szCs w:val="24"/>
        </w:rPr>
        <w:t xml:space="preserve">地  点： </w:t>
      </w:r>
      <w:r>
        <w:rPr>
          <w:rFonts w:hint="eastAsia" w:ascii="宋体" w:hAnsi="宋体" w:cs="宋体"/>
          <w:sz w:val="24"/>
          <w:szCs w:val="24"/>
          <w:u w:val="single"/>
          <w:lang w:eastAsia="zh-CN"/>
        </w:rPr>
        <w:t>南通市崇川区工农路358号12层中证开标室（浙商银行楼上）</w:t>
      </w:r>
    </w:p>
    <w:p>
      <w:pPr>
        <w:pStyle w:val="90"/>
        <w:snapToGrid w:val="0"/>
        <w:spacing w:line="360" w:lineRule="auto"/>
        <w:ind w:firstLine="482"/>
        <w:rPr>
          <w:rFonts w:hAnsi="宋体" w:cs="宋体"/>
          <w:b/>
          <w:color w:val="FF0000"/>
          <w:sz w:val="24"/>
          <w:szCs w:val="24"/>
        </w:rPr>
      </w:pPr>
      <w:r>
        <w:rPr>
          <w:rFonts w:hAnsi="宋体" w:cs="宋体"/>
          <w:b/>
          <w:color w:val="FF0000"/>
          <w:sz w:val="24"/>
          <w:szCs w:val="24"/>
        </w:rPr>
        <w:t>特别提醒：</w:t>
      </w:r>
    </w:p>
    <w:p>
      <w:pPr>
        <w:pStyle w:val="90"/>
        <w:numPr>
          <w:ilvl w:val="0"/>
          <w:numId w:val="2"/>
        </w:numPr>
        <w:snapToGrid w:val="0"/>
        <w:spacing w:line="360" w:lineRule="auto"/>
        <w:ind w:firstLine="482"/>
        <w:rPr>
          <w:rFonts w:hAnsi="宋体" w:cs="宋体"/>
          <w:b/>
          <w:color w:val="FF0000"/>
          <w:sz w:val="24"/>
          <w:szCs w:val="24"/>
        </w:rPr>
      </w:pPr>
      <w:r>
        <w:rPr>
          <w:rFonts w:hAnsi="宋体" w:cs="宋体"/>
          <w:b/>
          <w:color w:val="FF0000"/>
          <w:sz w:val="24"/>
          <w:szCs w:val="24"/>
        </w:rPr>
        <w:t>各投标单位只允许委派一人参加投标，其余人员一律不得入内。疫情防控期间，参加投标的授权委托人须配合现场工作人员的检查（包括携带有效身份证件、实名登记、规范佩戴口罩、测量体温、出示健康码和行程卡等）。</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六、公告期限</w:t>
      </w:r>
    </w:p>
    <w:p>
      <w:p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自本公告发布之日起3个工作日。</w:t>
      </w:r>
    </w:p>
    <w:p>
      <w:pPr>
        <w:pStyle w:val="6"/>
        <w:numPr>
          <w:ilvl w:val="0"/>
          <w:numId w:val="3"/>
        </w:num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其他补充事宜：</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bCs/>
          <w:color w:val="000000"/>
          <w:sz w:val="24"/>
          <w:szCs w:val="24"/>
        </w:rPr>
        <w:t>无</w:t>
      </w:r>
      <w:r>
        <w:rPr>
          <w:rFonts w:hint="eastAsia" w:ascii="宋体" w:hAnsi="宋体" w:cs="宋体"/>
          <w:kern w:val="0"/>
          <w:sz w:val="24"/>
          <w:szCs w:val="24"/>
        </w:rPr>
        <w:t>。</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项目磋商活动模式：本项目采用现场开标模式。</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对项目需求部分（供应商其他资格要求、项目需求、评分标准）的询问、质疑请向采购人提出，由采购人负责答复；对项目磋商文件其它部分的询问请向采购招标代理机构提出。</w:t>
      </w:r>
    </w:p>
    <w:p>
      <w:pPr>
        <w:numPr>
          <w:ilvl w:val="0"/>
          <w:numId w:val="3"/>
        </w:numPr>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凡对本次采购提出询问，请按以下方式联系。</w:t>
      </w:r>
    </w:p>
    <w:p>
      <w:pPr>
        <w:numPr>
          <w:ilvl w:val="0"/>
          <w:numId w:val="5"/>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采购人信息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地    址： 南通市崇川区世纪大道399号</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联系方式：</w:t>
      </w:r>
      <w:r>
        <w:rPr>
          <w:rFonts w:hint="eastAsia" w:ascii="宋体" w:hAnsi="宋体" w:cs="宋体"/>
          <w:sz w:val="24"/>
          <w:szCs w:val="24"/>
          <w:lang w:eastAsia="zh-CN"/>
        </w:rPr>
        <w:t>18951414786</w:t>
      </w:r>
      <w:r>
        <w:rPr>
          <w:rFonts w:hint="eastAsia" w:ascii="宋体" w:hAnsi="宋体" w:cs="宋体"/>
          <w:sz w:val="24"/>
          <w:szCs w:val="24"/>
        </w:rPr>
        <w:t xml:space="preserve">   </w:t>
      </w:r>
    </w:p>
    <w:p>
      <w:pPr>
        <w:numPr>
          <w:ilvl w:val="0"/>
          <w:numId w:val="6"/>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采购代理机构信息</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名    称：</w:t>
      </w:r>
      <w:r>
        <w:rPr>
          <w:rFonts w:hint="eastAsia" w:ascii="宋体" w:hAnsi="宋体" w:cs="宋体"/>
          <w:sz w:val="24"/>
          <w:szCs w:val="24"/>
          <w:lang w:eastAsia="zh-CN"/>
        </w:rPr>
        <w:t>中证房地产评估造价集团有限公司</w:t>
      </w:r>
    </w:p>
    <w:p>
      <w:pPr>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南通市崇川区工农路358号12层</w:t>
      </w:r>
    </w:p>
    <w:p>
      <w:pPr>
        <w:snapToGrid w:val="0"/>
        <w:spacing w:line="360" w:lineRule="auto"/>
        <w:ind w:firstLine="480" w:firstLineChars="200"/>
        <w:textAlignment w:val="baseline"/>
        <w:rPr>
          <w:rFonts w:hint="eastAsia" w:ascii="宋体" w:hAnsi="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eastAsia="zh-CN"/>
        </w:rPr>
        <w:t>张林丽</w:t>
      </w:r>
      <w:r>
        <w:rPr>
          <w:rFonts w:hint="eastAsia" w:ascii="宋体" w:hAnsi="宋体" w:cs="宋体"/>
          <w:sz w:val="24"/>
          <w:szCs w:val="24"/>
          <w:lang w:val="en-US" w:eastAsia="zh-CN"/>
        </w:rPr>
        <w:t xml:space="preserve">    13646287155</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3、项目联系方式</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项目联系人：</w:t>
      </w:r>
      <w:r>
        <w:rPr>
          <w:rFonts w:hint="eastAsia" w:cs="宋体"/>
          <w:sz w:val="24"/>
          <w:szCs w:val="24"/>
          <w:lang w:eastAsia="zh-CN"/>
        </w:rPr>
        <w:t>张林丽</w:t>
      </w:r>
      <w:r>
        <w:rPr>
          <w:rFonts w:hint="eastAsia" w:ascii="宋体" w:hAnsi="宋体" w:cs="宋体"/>
          <w:sz w:val="24"/>
          <w:szCs w:val="24"/>
        </w:rPr>
        <w:t xml:space="preserve">            </w:t>
      </w:r>
    </w:p>
    <w:p>
      <w:pPr>
        <w:snapToGrid w:val="0"/>
        <w:spacing w:line="360" w:lineRule="auto"/>
        <w:ind w:firstLine="480" w:firstLineChars="200"/>
        <w:textAlignment w:val="baseline"/>
        <w:rPr>
          <w:rFonts w:hint="default" w:ascii="宋体" w:hAnsi="宋体" w:eastAsia="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13646287155</w:t>
      </w:r>
    </w:p>
    <w:p>
      <w:pPr>
        <w:pStyle w:val="2"/>
        <w:ind w:firstLine="480"/>
        <w:rPr>
          <w:rFonts w:hint="eastAsia" w:ascii="宋体" w:hAnsi="宋体"/>
          <w:sz w:val="24"/>
          <w:szCs w:val="24"/>
        </w:rPr>
      </w:pPr>
    </w:p>
    <w:p>
      <w:pPr>
        <w:pStyle w:val="2"/>
        <w:ind w:firstLine="480"/>
        <w:rPr>
          <w:rFonts w:hint="eastAsia" w:ascii="宋体" w:hAnsi="宋体"/>
          <w:sz w:val="24"/>
          <w:szCs w:val="24"/>
        </w:rPr>
      </w:pPr>
    </w:p>
    <w:p>
      <w:pPr>
        <w:snapToGrid w:val="0"/>
        <w:spacing w:line="360" w:lineRule="auto"/>
        <w:ind w:firstLine="420" w:firstLineChars="200"/>
        <w:rPr>
          <w:rFonts w:hint="eastAsia" w:ascii="宋体" w:hAnsi="宋体" w:cs="宋体"/>
          <w:sz w:val="24"/>
          <w:szCs w:val="24"/>
        </w:rPr>
      </w:pPr>
      <w:r>
        <w:rPr>
          <w:rFonts w:hint="eastAsia" w:ascii="宋体" w:hAnsi="宋体" w:cs="宋体"/>
          <w:szCs w:val="24"/>
        </w:rPr>
        <w:t xml:space="preserve">                                                      </w:t>
      </w:r>
      <w:r>
        <w:rPr>
          <w:rFonts w:hint="eastAsia" w:ascii="宋体" w:hAnsi="宋体" w:cs="宋体"/>
          <w:sz w:val="24"/>
          <w:szCs w:val="24"/>
        </w:rPr>
        <w:t>二0二</w:t>
      </w:r>
      <w:r>
        <w:rPr>
          <w:rFonts w:hint="eastAsia" w:ascii="宋体" w:hAnsi="宋体" w:cs="宋体"/>
          <w:sz w:val="24"/>
          <w:szCs w:val="24"/>
          <w:lang w:val="en-US" w:eastAsia="zh-CN"/>
        </w:rPr>
        <w:t>二</w:t>
      </w:r>
      <w:r>
        <w:rPr>
          <w:rFonts w:hint="eastAsia" w:ascii="宋体" w:hAnsi="宋体" w:cs="宋体"/>
          <w:sz w:val="24"/>
          <w:szCs w:val="24"/>
        </w:rPr>
        <w:t>年</w:t>
      </w:r>
      <w:r>
        <w:rPr>
          <w:rFonts w:hint="eastAsia" w:ascii="宋体" w:hAnsi="宋体" w:cs="宋体"/>
          <w:sz w:val="24"/>
          <w:szCs w:val="24"/>
          <w:lang w:eastAsia="zh-CN"/>
        </w:rPr>
        <w:t>九</w:t>
      </w:r>
      <w:r>
        <w:rPr>
          <w:rFonts w:hint="eastAsia" w:ascii="宋体" w:hAnsi="宋体" w:cs="宋体"/>
          <w:sz w:val="24"/>
          <w:szCs w:val="24"/>
        </w:rPr>
        <w:t>月</w:t>
      </w:r>
      <w:r>
        <w:rPr>
          <w:rFonts w:hint="eastAsia" w:ascii="宋体" w:hAnsi="宋体" w:cs="宋体"/>
          <w:sz w:val="24"/>
          <w:szCs w:val="24"/>
          <w:lang w:eastAsia="zh-CN"/>
        </w:rPr>
        <w:t>二十</w:t>
      </w:r>
      <w:r>
        <w:rPr>
          <w:rFonts w:hint="eastAsia" w:ascii="宋体" w:hAnsi="宋体" w:cs="宋体"/>
          <w:sz w:val="24"/>
          <w:szCs w:val="24"/>
        </w:rPr>
        <w:t>日</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br w:type="page"/>
      </w:r>
    </w:p>
    <w:p>
      <w:pPr>
        <w:spacing w:line="360" w:lineRule="auto"/>
        <w:ind w:firstLine="707" w:firstLineChars="200"/>
        <w:jc w:val="center"/>
        <w:rPr>
          <w:rFonts w:ascii="宋体"/>
          <w:w w:val="80"/>
        </w:rPr>
      </w:pPr>
      <w:bookmarkStart w:id="11" w:name="_Toc8895739"/>
      <w:bookmarkStart w:id="12" w:name="_Toc94544828"/>
      <w:bookmarkStart w:id="13" w:name="_Toc12670503"/>
      <w:bookmarkStart w:id="14" w:name="_Toc521201597"/>
      <w:bookmarkStart w:id="15" w:name="_Toc11554639"/>
      <w:bookmarkStart w:id="16" w:name="_Toc94544744"/>
      <w:bookmarkStart w:id="17" w:name="_Toc11500280"/>
      <w:bookmarkStart w:id="18" w:name="_Toc94585340"/>
      <w:bookmarkStart w:id="19" w:name="_Toc11499584"/>
      <w:bookmarkStart w:id="20" w:name="_Toc521203418"/>
      <w:bookmarkStart w:id="21" w:name="_Toc363573854"/>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pPr>
        <w:snapToGrid w:val="0"/>
        <w:spacing w:line="480" w:lineRule="exact"/>
        <w:ind w:firstLine="482" w:firstLineChars="200"/>
        <w:outlineLvl w:val="1"/>
        <w:rPr>
          <w:rFonts w:ascii="宋体"/>
          <w:b/>
          <w:bCs/>
          <w:sz w:val="24"/>
          <w:szCs w:val="24"/>
        </w:rPr>
      </w:pPr>
      <w:bookmarkStart w:id="22" w:name="_Toc8895740"/>
      <w:bookmarkStart w:id="23" w:name="_Toc12670504"/>
      <w:bookmarkStart w:id="24" w:name="_Toc94544745"/>
      <w:bookmarkStart w:id="25" w:name="_Toc11500281"/>
      <w:bookmarkStart w:id="26" w:name="_Toc521201598"/>
      <w:bookmarkStart w:id="27" w:name="_Toc11554640"/>
      <w:bookmarkStart w:id="28" w:name="_Toc94544871"/>
      <w:bookmarkStart w:id="29" w:name="_Toc11499585"/>
      <w:bookmarkStart w:id="30" w:name="_Toc94585341"/>
      <w:bookmarkStart w:id="31" w:name="_Toc521203419"/>
      <w:r>
        <w:rPr>
          <w:rFonts w:hint="eastAsia" w:ascii="宋体" w:hAnsi="宋体" w:cs="宋体"/>
          <w:b/>
          <w:bCs/>
          <w:sz w:val="24"/>
          <w:szCs w:val="24"/>
        </w:rPr>
        <w:t>一、说明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w:t>
      </w:r>
      <w:r>
        <w:rPr>
          <w:rFonts w:hint="eastAsia" w:ascii="宋体" w:hAnsi="宋体" w:cs="宋体"/>
          <w:sz w:val="24"/>
          <w:szCs w:val="24"/>
          <w:lang w:eastAsia="zh-CN"/>
        </w:rPr>
        <w:t>中证房地产评估造价集团有限公司</w:t>
      </w:r>
      <w:r>
        <w:rPr>
          <w:rFonts w:hint="eastAsia" w:ascii="宋体" w:hAnsi="宋体" w:cs="宋体"/>
          <w:sz w:val="24"/>
          <w:szCs w:val="24"/>
        </w:rPr>
        <w:t>组织的竞争性磋商采购活动。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、竞争性磋商文件的解释权属于采购人。</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textAlignment w:val="baseline"/>
        <w:rPr>
          <w:rFonts w:hint="eastAsia"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pPr>
        <w:snapToGrid w:val="0"/>
        <w:spacing w:line="360" w:lineRule="auto"/>
        <w:ind w:firstLine="480" w:firstLineChars="200"/>
        <w:rPr>
          <w:rFonts w:hint="eastAsia"/>
        </w:rPr>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、磋商文件的澄清、修改、补充等内容均以书面明确的形式发布，并以南通市卫生健康委员会官网（http://wjw.nantong.gov.cn）和南通市妇幼保健院官网（http://www.ntfybj.com）发布的信息为准。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三、磋商项目涉及到的现场勘察</w:t>
      </w:r>
    </w:p>
    <w:p>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、采购人向供应商提供的有关现场的资料和数据，是采购人现有的并认为能使供应商可利用的资料。采购人对供应商由此而做出的推论、理解和结论概不负责。</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、经采购人允许，供应商可为勘察目的进入采购人的项目现场，但供应商不得因此使采购人承担有关的责任和蒙受损失。供应商应承担勘察现场的责任和风险。</w:t>
      </w:r>
    </w:p>
    <w:p>
      <w:pPr>
        <w:snapToGrid w:val="0"/>
        <w:spacing w:line="360" w:lineRule="auto"/>
        <w:ind w:firstLine="484" w:firstLineChars="202"/>
        <w:rPr>
          <w:rFonts w:ascii="宋体" w:hAnsi="宋体" w:cs="宋体"/>
          <w:sz w:val="24"/>
          <w:szCs w:val="24"/>
        </w:rPr>
      </w:pPr>
      <w:r>
        <w:rPr>
          <w:rFonts w:ascii="宋体" w:hAnsi="宋体" w:cs="宋体"/>
          <w:sz w:val="24"/>
          <w:szCs w:val="24"/>
        </w:rPr>
        <w:t>4</w:t>
      </w:r>
      <w:r>
        <w:rPr>
          <w:rFonts w:hint="eastAsia" w:ascii="宋体" w:hAnsi="宋体" w:cs="宋体"/>
          <w:sz w:val="24"/>
          <w:szCs w:val="24"/>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pStyle w:val="2"/>
        <w:ind w:firstLine="482"/>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现场踏勘联系人：左老师      联系电话：</w:t>
      </w:r>
      <w:r>
        <w:rPr>
          <w:rFonts w:hint="eastAsia" w:ascii="宋体" w:hAnsi="宋体" w:cs="宋体"/>
          <w:b/>
          <w:bCs/>
          <w:color w:val="000000"/>
          <w:sz w:val="24"/>
          <w:szCs w:val="24"/>
          <w:lang w:eastAsia="zh-CN"/>
        </w:rPr>
        <w:t>18951414786</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四、响应文件的编制及装订</w:t>
      </w:r>
    </w:p>
    <w:p>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、在每份响应文件上要明确标注项目名称、项目编号、对应的响应文件名称、供应商的全称、日期、“正本”、“副本”字样。“正本”和“副本”若有差异，概以“正本”为准。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六、响应文件的密封及标记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七、</w:t>
      </w:r>
      <w:r>
        <w:rPr>
          <w:rFonts w:hint="eastAsia" w:ascii="宋体" w:hAnsi="宋体" w:cs="宋体"/>
          <w:b/>
          <w:bCs/>
          <w:color w:val="000000"/>
          <w:sz w:val="24"/>
          <w:szCs w:val="24"/>
        </w:rPr>
        <w:t>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hint="eastAsia" w:ascii="宋体" w:hAnsi="宋体" w:eastAsia="宋体" w:cs="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、磋商报价表必须加盖单位公章且必须经法定代表人或被授权人签字或 盖章。</w:t>
      </w:r>
      <w:r>
        <w:rPr>
          <w:rFonts w:hint="eastAsia" w:ascii="宋体" w:hAnsi="宋体" w:eastAsia="宋体" w:cs="宋体"/>
          <w:snapToGrid/>
          <w:kern w:val="2"/>
          <w:sz w:val="24"/>
          <w:lang w:val="en-US" w:eastAsia="zh-CN"/>
        </w:rPr>
        <w:t>报价</w:t>
      </w:r>
      <w:r>
        <w:rPr>
          <w:rFonts w:hint="eastAsia" w:ascii="宋体" w:hAnsi="宋体" w:eastAsia="宋体" w:cs="宋体"/>
          <w:snapToGrid/>
          <w:kern w:val="2"/>
          <w:sz w:val="24"/>
        </w:rPr>
        <w:t>表中的报价出现前后不一致的，将执行财政部第 87 号令《政府采购货物和服务招标投标管理办法》第 59 条的规定修正:</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3.1开标一览表(报价表)内容与投标文件中相应内容不一致的，以开标一览表(报价表)为准;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3.2 大写金额和小写金额不一致的，以大写金额为准;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3.4总价金额与按单价汇总金额不一致的，以单价金额计算结果为准。</w:t>
      </w:r>
    </w:p>
    <w:p>
      <w:pPr>
        <w:snapToGrid w:val="0"/>
        <w:spacing w:line="360" w:lineRule="auto"/>
        <w:ind w:firstLine="480" w:firstLineChars="200"/>
        <w:rPr>
          <w:rFonts w:hint="eastAsia" w:ascii="宋体" w:hAnsi="宋体" w:eastAsia="宋体" w:cs="宋体"/>
          <w:snapToGrid/>
          <w:kern w:val="2"/>
          <w:sz w:val="24"/>
          <w:lang w:val="en-US" w:eastAsia="zh-CN"/>
        </w:rPr>
      </w:pPr>
      <w:r>
        <w:rPr>
          <w:rFonts w:hint="eastAsia" w:ascii="宋体" w:hAnsi="宋体" w:eastAsia="宋体" w:cs="宋体"/>
          <w:snapToGrid/>
          <w:kern w:val="2"/>
          <w:sz w:val="24"/>
          <w:lang w:val="en-US" w:eastAsia="zh-CN"/>
        </w:rPr>
        <w:t>同</w:t>
      </w:r>
      <w:r>
        <w:rPr>
          <w:rFonts w:hint="eastAsia" w:ascii="宋体" w:hAnsi="宋体" w:eastAsia="宋体" w:cs="宋体"/>
          <w:snapToGrid/>
          <w:kern w:val="2"/>
          <w:sz w:val="24"/>
        </w:rPr>
        <w:t>时出现两种以上不一至致的，按照前款规定的顺序修正。修正后的报价按照本办法第五十一条第二款的规定经供应商确认后产生约束力，供应商不确认的，其响应无效。</w:t>
      </w:r>
      <w:r>
        <w:rPr>
          <w:rFonts w:hint="eastAsia" w:ascii="宋体" w:hAnsi="宋体" w:eastAsia="宋体" w:cs="宋体"/>
          <w:snapToGrid/>
          <w:kern w:val="2"/>
          <w:sz w:val="24"/>
          <w:lang w:val="en-US" w:eastAsia="zh-CN"/>
        </w:rPr>
        <w:t xml:space="preserve"> </w:t>
      </w:r>
    </w:p>
    <w:p>
      <w:pPr>
        <w:snapToGrid w:val="0"/>
        <w:spacing w:line="360" w:lineRule="auto"/>
        <w:ind w:firstLine="480" w:firstLineChars="200"/>
        <w:rPr>
          <w:rFonts w:hint="eastAsia" w:ascii="宋体" w:hAnsi="宋体" w:eastAsia="宋体" w:cs="宋体"/>
          <w:sz w:val="24"/>
          <w:szCs w:val="24"/>
          <w:lang w:eastAsia="zh-CN"/>
        </w:rPr>
      </w:pPr>
      <w:r>
        <w:rPr>
          <w:rFonts w:ascii="宋体" w:hAnsi="宋体" w:cs="宋体"/>
          <w:sz w:val="24"/>
          <w:szCs w:val="24"/>
        </w:rPr>
        <w:t>4</w:t>
      </w:r>
      <w:r>
        <w:rPr>
          <w:rFonts w:hint="eastAsia" w:ascii="宋体" w:hAnsi="宋体" w:cs="宋体"/>
          <w:sz w:val="24"/>
          <w:szCs w:val="24"/>
        </w:rPr>
        <w:t>、</w:t>
      </w:r>
      <w:r>
        <w:rPr>
          <w:rFonts w:hint="eastAsia" w:ascii="宋体" w:hAnsi="宋体" w:eastAsia="宋体" w:cs="宋体"/>
          <w:bCs/>
          <w:color w:val="000000"/>
          <w:sz w:val="24"/>
          <w:highlight w:val="none"/>
        </w:rPr>
        <w:t>本项目</w:t>
      </w:r>
      <w:r>
        <w:rPr>
          <w:rFonts w:hint="eastAsia" w:ascii="宋体" w:hAnsi="宋体" w:eastAsia="宋体" w:cs="宋体"/>
          <w:sz w:val="24"/>
          <w:highlight w:val="none"/>
        </w:rPr>
        <w:t>磋商报价</w:t>
      </w:r>
      <w:r>
        <w:rPr>
          <w:rFonts w:hint="eastAsia" w:ascii="宋体" w:hAnsi="宋体" w:eastAsia="宋体" w:cs="宋体"/>
          <w:bCs/>
          <w:color w:val="000000"/>
          <w:sz w:val="24"/>
          <w:highlight w:val="none"/>
        </w:rPr>
        <w:t>为</w:t>
      </w:r>
      <w:r>
        <w:rPr>
          <w:rFonts w:hint="eastAsia" w:ascii="宋体" w:hAnsi="宋体" w:eastAsia="宋体" w:cs="宋体"/>
          <w:bCs/>
          <w:color w:val="000000"/>
          <w:sz w:val="24"/>
          <w:highlight w:val="none"/>
          <w:lang w:val="zh-CN"/>
        </w:rPr>
        <w:t>固定总价报价</w:t>
      </w:r>
      <w:r>
        <w:rPr>
          <w:rFonts w:hint="eastAsia" w:ascii="宋体" w:hAnsi="宋体" w:eastAsia="宋体" w:cs="宋体"/>
          <w:sz w:val="24"/>
          <w:highlight w:val="none"/>
        </w:rPr>
        <w:t>，该价格一次性包定</w:t>
      </w:r>
      <w:r>
        <w:rPr>
          <w:rFonts w:hint="eastAsia" w:ascii="宋体" w:hAnsi="宋体" w:cs="宋体"/>
          <w:sz w:val="24"/>
          <w:szCs w:val="24"/>
        </w:rPr>
        <w:t>，</w:t>
      </w:r>
      <w:r>
        <w:rPr>
          <w:rFonts w:hint="eastAsia" w:ascii="宋体" w:hAnsi="宋体" w:cs="宋体"/>
          <w:sz w:val="24"/>
          <w:szCs w:val="24"/>
          <w:lang w:val="en-US" w:eastAsia="zh-CN"/>
        </w:rPr>
        <w:t>成交供应商须考虑</w:t>
      </w:r>
      <w:r>
        <w:rPr>
          <w:rFonts w:hint="eastAsia" w:ascii="宋体" w:hAnsi="宋体" w:cs="宋体"/>
          <w:sz w:val="24"/>
          <w:szCs w:val="24"/>
        </w:rPr>
        <w:t>合同期内最低工资标准上涨</w:t>
      </w:r>
      <w:r>
        <w:rPr>
          <w:rFonts w:hint="eastAsia" w:ascii="宋体" w:hAnsi="宋体" w:cs="宋体"/>
          <w:sz w:val="24"/>
          <w:szCs w:val="24"/>
          <w:lang w:eastAsia="zh-CN"/>
        </w:rPr>
        <w:t>、</w:t>
      </w:r>
      <w:r>
        <w:rPr>
          <w:rFonts w:hint="eastAsia" w:ascii="宋体" w:hAnsi="宋体" w:cs="宋体"/>
          <w:sz w:val="24"/>
          <w:szCs w:val="24"/>
          <w:lang w:val="en-US" w:eastAsia="zh-CN"/>
        </w:rPr>
        <w:t>加班费等费用</w:t>
      </w:r>
      <w:r>
        <w:rPr>
          <w:rFonts w:hint="eastAsia" w:ascii="宋体" w:hAnsi="宋体" w:cs="宋体"/>
          <w:sz w:val="24"/>
          <w:szCs w:val="24"/>
        </w:rPr>
        <w:t>，</w:t>
      </w:r>
      <w:r>
        <w:rPr>
          <w:rFonts w:hint="eastAsia" w:ascii="宋体" w:hAnsi="宋体" w:cs="宋体"/>
          <w:sz w:val="24"/>
          <w:szCs w:val="24"/>
          <w:lang w:val="en-US" w:eastAsia="zh-CN"/>
        </w:rPr>
        <w:t>服务期内</w:t>
      </w:r>
      <w:r>
        <w:rPr>
          <w:rFonts w:hint="eastAsia" w:ascii="宋体" w:hAnsi="宋体" w:cs="宋体"/>
          <w:sz w:val="24"/>
          <w:szCs w:val="24"/>
        </w:rPr>
        <w:t>合同价不调整</w:t>
      </w:r>
      <w:r>
        <w:rPr>
          <w:rFonts w:hint="eastAsia" w:ascii="宋体" w:hAnsi="宋体" w:cs="宋体"/>
          <w:sz w:val="24"/>
          <w:szCs w:val="24"/>
          <w:lang w:eastAsia="zh-CN"/>
        </w:rPr>
        <w:t>。</w:t>
      </w:r>
    </w:p>
    <w:p>
      <w:pPr>
        <w:snapToGrid w:val="0"/>
        <w:spacing w:line="360" w:lineRule="auto"/>
        <w:ind w:firstLine="480" w:firstLineChars="200"/>
        <w:rPr>
          <w:rFonts w:hint="eastAsia" w:ascii="宋体" w:hAnsi="宋体" w:cs="宋体"/>
          <w:b/>
          <w:bCs/>
          <w:color w:val="auto"/>
          <w:sz w:val="24"/>
          <w:szCs w:val="24"/>
        </w:rPr>
      </w:pPr>
      <w:r>
        <w:rPr>
          <w:rFonts w:hint="eastAsia" w:ascii="宋体" w:hAnsi="宋体" w:cs="宋体"/>
          <w:sz w:val="24"/>
          <w:szCs w:val="24"/>
          <w:lang w:val="en-US" w:eastAsia="zh-CN"/>
        </w:rPr>
        <w:t>5、</w:t>
      </w:r>
      <w:r>
        <w:rPr>
          <w:rFonts w:hint="eastAsia" w:ascii="宋体" w:hAnsi="宋体" w:cs="宋体"/>
          <w:b/>
          <w:bCs/>
          <w:sz w:val="24"/>
          <w:szCs w:val="24"/>
        </w:rPr>
        <w:t>磋商报价（以人民币计价</w:t>
      </w:r>
      <w:r>
        <w:rPr>
          <w:rFonts w:hint="eastAsia" w:ascii="宋体" w:hAnsi="宋体" w:cs="宋体"/>
          <w:b/>
          <w:bCs/>
          <w:color w:val="auto"/>
          <w:sz w:val="24"/>
          <w:szCs w:val="24"/>
        </w:rPr>
        <w:t>）应包括但不限于所有与本项目实施有关的所有费用</w:t>
      </w:r>
      <w:r>
        <w:rPr>
          <w:rFonts w:hint="eastAsia" w:ascii="宋体" w:hAnsi="宋体" w:cs="宋体"/>
          <w:b/>
          <w:bCs/>
          <w:color w:val="auto"/>
          <w:sz w:val="24"/>
          <w:szCs w:val="24"/>
          <w:lang w:eastAsia="zh-CN"/>
        </w:rPr>
        <w:t>（包含</w:t>
      </w:r>
      <w:r>
        <w:rPr>
          <w:rFonts w:hint="eastAsia" w:ascii="宋体" w:hAnsi="宋体" w:cs="宋体"/>
          <w:b/>
          <w:bCs/>
          <w:color w:val="auto"/>
          <w:sz w:val="24"/>
          <w:szCs w:val="24"/>
          <w:lang w:val="en-US" w:eastAsia="zh-CN"/>
        </w:rPr>
        <w:t>到锅炉维保所有200元以内的配件维修更换</w:t>
      </w:r>
      <w:r>
        <w:rPr>
          <w:rFonts w:hint="eastAsia" w:ascii="宋体" w:hAnsi="宋体" w:cs="宋体"/>
          <w:b/>
          <w:bCs/>
          <w:color w:val="auto"/>
          <w:sz w:val="24"/>
          <w:szCs w:val="24"/>
          <w:lang w:eastAsia="zh-CN"/>
        </w:rPr>
        <w:t>）</w:t>
      </w:r>
      <w:r>
        <w:rPr>
          <w:rFonts w:hint="eastAsia" w:ascii="宋体" w:hAnsi="宋体" w:cs="宋体"/>
          <w:b/>
          <w:bCs/>
          <w:color w:val="auto"/>
          <w:sz w:val="24"/>
          <w:szCs w:val="24"/>
        </w:rPr>
        <w:t>，包括所有的现场踏勘费、技术支持与培训费、</w:t>
      </w:r>
      <w:r>
        <w:rPr>
          <w:rFonts w:hint="eastAsia" w:ascii="宋体" w:hAnsi="宋体" w:cs="宋体"/>
          <w:b/>
          <w:bCs/>
          <w:color w:val="auto"/>
          <w:sz w:val="24"/>
          <w:szCs w:val="24"/>
          <w:lang w:val="en-US" w:eastAsia="zh-CN"/>
        </w:rPr>
        <w:t>驻场</w:t>
      </w:r>
      <w:r>
        <w:rPr>
          <w:rFonts w:hint="eastAsia" w:ascii="宋体" w:hAnsi="宋体" w:cs="宋体"/>
          <w:b/>
          <w:bCs/>
          <w:color w:val="auto"/>
          <w:sz w:val="24"/>
          <w:szCs w:val="24"/>
        </w:rPr>
        <w:t>服务费（含业主临时或应急要求）、人员</w:t>
      </w:r>
      <w:r>
        <w:rPr>
          <w:rFonts w:hint="eastAsia" w:ascii="宋体" w:hAnsi="宋体" w:cs="宋体"/>
          <w:b/>
          <w:bCs/>
          <w:color w:val="auto"/>
          <w:sz w:val="24"/>
          <w:szCs w:val="24"/>
          <w:lang w:val="en-US" w:eastAsia="zh-CN"/>
        </w:rPr>
        <w:t>工资</w:t>
      </w:r>
      <w:r>
        <w:rPr>
          <w:rFonts w:hint="eastAsia" w:ascii="宋体" w:hAnsi="宋体" w:cs="宋体"/>
          <w:b/>
          <w:bCs/>
          <w:color w:val="auto"/>
          <w:sz w:val="24"/>
          <w:szCs w:val="24"/>
        </w:rPr>
        <w:t>（含周末及节假日加班费）、</w:t>
      </w:r>
      <w:r>
        <w:rPr>
          <w:rFonts w:hint="eastAsia" w:ascii="宋体" w:hAnsi="宋体" w:cs="宋体"/>
          <w:b/>
          <w:bCs/>
          <w:color w:val="auto"/>
          <w:sz w:val="24"/>
          <w:szCs w:val="24"/>
          <w:lang w:val="en-US" w:eastAsia="zh-CN"/>
        </w:rPr>
        <w:t>交通费、餐费补贴、夜班补贴、福利、通讯费、</w:t>
      </w:r>
      <w:r>
        <w:rPr>
          <w:rFonts w:hint="eastAsia" w:ascii="宋体" w:hAnsi="宋体" w:cs="宋体"/>
          <w:b/>
          <w:bCs/>
          <w:color w:val="auto"/>
          <w:sz w:val="24"/>
          <w:szCs w:val="24"/>
        </w:rPr>
        <w:t>办公设备费、管理费、</w:t>
      </w:r>
      <w:r>
        <w:rPr>
          <w:rFonts w:hint="eastAsia" w:ascii="宋体" w:hAnsi="宋体" w:cs="宋体"/>
          <w:b/>
          <w:bCs/>
          <w:color w:val="auto"/>
          <w:sz w:val="24"/>
          <w:szCs w:val="24"/>
          <w:lang w:val="en-US" w:eastAsia="zh-CN"/>
        </w:rPr>
        <w:t>防疫费、</w:t>
      </w:r>
      <w:r>
        <w:rPr>
          <w:rFonts w:hint="eastAsia" w:ascii="宋体" w:hAnsi="宋体" w:cs="宋体"/>
          <w:b/>
          <w:bCs/>
          <w:color w:val="auto"/>
          <w:sz w:val="24"/>
          <w:szCs w:val="24"/>
        </w:rPr>
        <w:t>利润、税金、政策性文件规定及为达到采购人要求所包含的所有风险、责任等各项费用。各投标人应根据磋商文件要求，并充分考虑市场，自行核算成本报价。</w:t>
      </w:r>
    </w:p>
    <w:p>
      <w:pPr>
        <w:pStyle w:val="19"/>
        <w:rPr>
          <w:rFonts w:hint="default" w:eastAsia="宋体"/>
          <w:lang w:val="en-US" w:eastAsia="zh-CN"/>
        </w:rPr>
      </w:pPr>
    </w:p>
    <w:p>
      <w:pPr>
        <w:snapToGrid w:val="0"/>
        <w:spacing w:line="360" w:lineRule="auto"/>
        <w:ind w:left="0" w:leftChars="0" w:firstLine="468" w:firstLineChars="195"/>
        <w:outlineLvl w:val="1"/>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textAlignment w:val="baseline"/>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bCs/>
          <w:sz w:val="24"/>
        </w:rPr>
        <w:t>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pPr>
        <w:snapToGrid w:val="0"/>
        <w:spacing w:line="360" w:lineRule="auto"/>
        <w:ind w:left="0" w:leftChars="0" w:firstLine="468" w:firstLineChars="195"/>
        <w:outlineLvl w:val="1"/>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、本项目竞争性</w:t>
      </w:r>
      <w:r>
        <w:rPr>
          <w:rFonts w:hint="eastAsia" w:ascii="宋体" w:hAnsi="宋体" w:eastAsia="宋体" w:cs="宋体"/>
          <w:sz w:val="24"/>
          <w:szCs w:val="24"/>
        </w:rPr>
        <w:t>磋商的最终报价作为成交价。同时，供应商的最终成交价在合同实施期间不因市场变化因素而变动。</w:t>
      </w:r>
    </w:p>
    <w:p>
      <w:pPr>
        <w:snapToGrid w:val="0"/>
        <w:spacing w:line="360" w:lineRule="auto"/>
        <w:ind w:left="0" w:leftChars="0" w:firstLine="468" w:firstLineChars="195"/>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Cs/>
          <w:sz w:val="24"/>
        </w:rPr>
        <w:t>由于新型冠状肺炎疫情的影响，因卫生防疫要求采取的措施、物资等一切费用包含在投标报价（即合同价）中，结算时不予调整。</w:t>
      </w:r>
    </w:p>
    <w:p>
      <w:pPr>
        <w:snapToGrid w:val="0"/>
        <w:spacing w:line="360" w:lineRule="auto"/>
        <w:ind w:firstLine="470" w:firstLineChars="196"/>
        <w:outlineLvl w:val="1"/>
        <w:rPr>
          <w:rFonts w:ascii="宋体"/>
          <w:sz w:val="24"/>
          <w:szCs w:val="24"/>
        </w:rPr>
      </w:pPr>
      <w:r>
        <w:rPr>
          <w:rFonts w:hint="eastAsia" w:ascii="宋体" w:hAnsi="宋体" w:cs="宋体"/>
          <w:sz w:val="24"/>
          <w:szCs w:val="24"/>
          <w:lang w:val="en-US" w:eastAsia="zh-CN"/>
        </w:rPr>
        <w:t>10</w:t>
      </w:r>
      <w:r>
        <w:rPr>
          <w:rFonts w:hint="eastAsia" w:ascii="宋体" w:hAnsi="宋体" w:cs="宋体"/>
          <w:sz w:val="24"/>
          <w:szCs w:val="24"/>
        </w:rPr>
        <w:t>、最低的磋商总价报价是成交的重要条件，但不是成交的唯一条件。</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hint="eastAsia"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九、磋商响应文件的有效期</w:t>
      </w:r>
    </w:p>
    <w:p>
      <w:pPr>
        <w:snapToGrid w:val="0"/>
        <w:spacing w:line="360" w:lineRule="auto"/>
        <w:ind w:firstLine="480" w:firstLineChars="200"/>
        <w:rPr>
          <w:sz w:val="24"/>
          <w:szCs w:val="24"/>
        </w:rPr>
      </w:pPr>
      <w:r>
        <w:rPr>
          <w:rFonts w:hint="eastAsia" w:ascii="Times New Roman" w:hAnsi="Times New Roman" w:eastAsia="宋体" w:cs="宋体"/>
          <w:sz w:val="24"/>
          <w:szCs w:val="24"/>
        </w:rPr>
        <w:t>1、从磋商响应</w:t>
      </w:r>
      <w:r>
        <w:rPr>
          <w:rFonts w:hint="eastAsia" w:cs="宋体"/>
          <w:sz w:val="24"/>
          <w:szCs w:val="24"/>
        </w:rPr>
        <w:t>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napToGrid w:val="0"/>
        <w:spacing w:line="360" w:lineRule="auto"/>
        <w:ind w:firstLine="480" w:firstLineChars="200"/>
        <w:rPr>
          <w:rFonts w:hint="eastAsia" w:cs="宋体"/>
          <w:sz w:val="24"/>
          <w:szCs w:val="24"/>
        </w:rPr>
      </w:pPr>
      <w:r>
        <w:rPr>
          <w:rFonts w:hint="eastAsia" w:cs="宋体"/>
          <w:sz w:val="24"/>
          <w:szCs w:val="24"/>
        </w:rPr>
        <w:t>1</w:t>
      </w:r>
      <w:r>
        <w:rPr>
          <w:rFonts w:hint="eastAsia" w:cs="宋体"/>
          <w:sz w:val="24"/>
          <w:szCs w:val="24"/>
          <w:lang w:eastAsia="zh-CN"/>
        </w:rPr>
        <w:t>、</w:t>
      </w:r>
      <w:r>
        <w:rPr>
          <w:rFonts w:hint="eastAsia" w:cs="宋体"/>
          <w:sz w:val="24"/>
          <w:szCs w:val="24"/>
        </w:rPr>
        <w:t>各投标供应商须在递交磋商响应文件的同时缴纳磋商文件资料费300元。无论是否成交，该费用不予退还。</w:t>
      </w:r>
    </w:p>
    <w:p>
      <w:pPr>
        <w:snapToGrid w:val="0"/>
        <w:spacing w:line="360" w:lineRule="auto"/>
        <w:ind w:firstLine="480" w:firstLineChars="200"/>
        <w:rPr>
          <w:rFonts w:hint="eastAsia" w:cs="宋体"/>
          <w:sz w:val="24"/>
          <w:szCs w:val="24"/>
        </w:rPr>
      </w:pPr>
      <w:r>
        <w:rPr>
          <w:rFonts w:hint="eastAsia" w:cs="宋体"/>
          <w:sz w:val="24"/>
          <w:szCs w:val="24"/>
        </w:rPr>
        <w:t>2、本项目采购代理费人民币</w:t>
      </w:r>
      <w:r>
        <w:rPr>
          <w:rFonts w:hint="eastAsia" w:cs="宋体"/>
          <w:sz w:val="24"/>
          <w:szCs w:val="24"/>
          <w:lang w:val="en-US" w:eastAsia="zh-CN"/>
        </w:rPr>
        <w:t>1</w:t>
      </w:r>
      <w:r>
        <w:rPr>
          <w:rFonts w:hint="eastAsia" w:cs="宋体"/>
          <w:sz w:val="24"/>
          <w:szCs w:val="24"/>
        </w:rPr>
        <w:t>200元由成交供应商承担，请参加磋商的投标供应商在成本中自行考虑。上述费用领取成交通知书前，向代理公司一次性缴清。</w:t>
      </w:r>
    </w:p>
    <w:p>
      <w:pPr>
        <w:snapToGrid w:val="0"/>
        <w:spacing w:line="360" w:lineRule="auto"/>
        <w:ind w:firstLine="480" w:firstLineChars="200"/>
        <w:rPr>
          <w:rFonts w:hint="eastAsia" w:cs="宋体"/>
          <w:sz w:val="24"/>
          <w:szCs w:val="24"/>
        </w:rPr>
      </w:pPr>
      <w:r>
        <w:rPr>
          <w:rFonts w:hint="eastAsia" w:cs="宋体"/>
          <w:sz w:val="24"/>
          <w:szCs w:val="24"/>
          <w:lang w:val="en-US" w:eastAsia="zh-CN"/>
        </w:rPr>
        <w:t>3</w:t>
      </w:r>
      <w:r>
        <w:rPr>
          <w:rFonts w:hint="eastAsia" w:cs="宋体"/>
          <w:sz w:val="24"/>
          <w:szCs w:val="24"/>
        </w:rPr>
        <w:t>、磋商程序顺利进行后，除供应商的原件可退回外，其余所有的响应文件都将作为档案保存，不论成交与否，代理机构均不退回（未拆封的除外）。</w:t>
      </w:r>
    </w:p>
    <w:p>
      <w:pPr>
        <w:snapToGrid w:val="0"/>
        <w:spacing w:line="360" w:lineRule="auto"/>
        <w:ind w:firstLine="480" w:firstLineChars="200"/>
        <w:rPr>
          <w:rFonts w:hint="eastAsia" w:cs="宋体"/>
          <w:sz w:val="24"/>
          <w:szCs w:val="24"/>
        </w:rPr>
      </w:pPr>
      <w:r>
        <w:rPr>
          <w:rFonts w:hint="eastAsia" w:cs="宋体"/>
          <w:sz w:val="24"/>
          <w:szCs w:val="24"/>
          <w:lang w:val="en-US" w:eastAsia="zh-CN"/>
        </w:rPr>
        <w:t>4</w:t>
      </w:r>
      <w:r>
        <w:rPr>
          <w:rFonts w:hint="eastAsia" w:cs="宋体"/>
          <w:sz w:val="24"/>
          <w:szCs w:val="24"/>
        </w:rPr>
        <w:t>、无论磋商过程和结果如何，参加项目磋商的供应商自行承担与本次项目磋商有关的全部费用。</w:t>
      </w:r>
    </w:p>
    <w:p>
      <w:pPr>
        <w:snapToGri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十一、履约保证金</w:t>
      </w:r>
    </w:p>
    <w:p>
      <w:pPr>
        <w:snapToGrid w:val="0"/>
        <w:spacing w:line="360" w:lineRule="auto"/>
        <w:ind w:firstLine="470" w:firstLineChars="196"/>
        <w:outlineLvl w:val="1"/>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、本项目成交后的履约保证金为项目中标价的</w:t>
      </w:r>
      <w:r>
        <w:rPr>
          <w:rFonts w:ascii="宋体" w:hAnsi="宋体" w:cs="宋体"/>
          <w:sz w:val="24"/>
          <w:szCs w:val="24"/>
        </w:rPr>
        <w:t>10%</w:t>
      </w:r>
      <w:r>
        <w:rPr>
          <w:rFonts w:hint="eastAsia" w:ascii="宋体" w:hAnsi="宋体" w:cs="宋体"/>
          <w:sz w:val="24"/>
          <w:szCs w:val="24"/>
        </w:rPr>
        <w:t>。</w:t>
      </w:r>
    </w:p>
    <w:p>
      <w:pPr>
        <w:snapToGrid w:val="0"/>
        <w:spacing w:line="360" w:lineRule="auto"/>
        <w:ind w:firstLine="470" w:firstLineChars="196"/>
        <w:outlineLvl w:val="1"/>
        <w:rPr>
          <w:rFonts w:ascii="宋体"/>
          <w:sz w:val="24"/>
          <w:szCs w:val="24"/>
        </w:rPr>
      </w:pPr>
      <w:r>
        <w:rPr>
          <w:rFonts w:ascii="宋体" w:hAnsi="宋体" w:cs="宋体"/>
          <w:sz w:val="24"/>
          <w:szCs w:val="24"/>
        </w:rPr>
        <w:t>2</w:t>
      </w:r>
      <w:r>
        <w:rPr>
          <w:rFonts w:hint="eastAsia" w:ascii="宋体" w:hAnsi="宋体" w:cs="宋体"/>
          <w:sz w:val="24"/>
          <w:szCs w:val="24"/>
        </w:rPr>
        <w:t>、成交供应商的履约保证金须在采购代理通知发成交通知书之日起</w:t>
      </w:r>
      <w:r>
        <w:rPr>
          <w:rFonts w:ascii="宋体" w:hAnsi="宋体" w:cs="宋体"/>
          <w:sz w:val="24"/>
          <w:szCs w:val="24"/>
        </w:rPr>
        <w:t>3</w:t>
      </w:r>
      <w:r>
        <w:rPr>
          <w:rFonts w:hint="eastAsia" w:ascii="宋体" w:hAnsi="宋体" w:cs="宋体"/>
          <w:sz w:val="24"/>
          <w:szCs w:val="24"/>
        </w:rPr>
        <w:t>个工作日内汇入采购人账户，成交供应商凭“成交通知书”和已经汇至采购人账上的“履约保证金”凭证，并在采购代理通知发成交通知书之日起1</w:t>
      </w:r>
      <w:r>
        <w:rPr>
          <w:rFonts w:ascii="宋体" w:hAnsi="宋体" w:cs="宋体"/>
          <w:sz w:val="24"/>
          <w:szCs w:val="24"/>
        </w:rPr>
        <w:t>5</w:t>
      </w:r>
      <w:r>
        <w:rPr>
          <w:rFonts w:hint="eastAsia" w:ascii="宋体" w:hAnsi="宋体" w:cs="宋体"/>
          <w:sz w:val="24"/>
          <w:szCs w:val="24"/>
        </w:rPr>
        <w:t>日内与采购人签订合同。</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、成交供应商在按要求保质保量的完成该项目合同并通过验收后，采购人凭成交供应商提交的申请，一次性无息退还该合同项目的履约保证金。</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、由于成交供应商原因，在签订合同后出现不按合同履行的情况，采购人有权将履约保证金作为违约金，全额不予退还，同时采购人亦有权终止合同，成交供应商还须承担相应的法律赔偿责任。</w:t>
      </w:r>
    </w:p>
    <w:p>
      <w:pPr>
        <w:snapToGrid w:val="0"/>
        <w:spacing w:line="360" w:lineRule="auto"/>
        <w:ind w:firstLine="496" w:firstLineChars="206"/>
        <w:textAlignment w:val="baseline"/>
        <w:rPr>
          <w:rFonts w:hint="eastAsia" w:ascii="宋体" w:hAnsi="宋体" w:cs="宋体"/>
          <w:b/>
          <w:color w:val="000000"/>
          <w:sz w:val="24"/>
          <w:szCs w:val="24"/>
        </w:rPr>
      </w:pPr>
      <w:r>
        <w:rPr>
          <w:rFonts w:hint="eastAsia" w:ascii="宋体" w:hAnsi="宋体" w:cs="宋体"/>
          <w:b/>
          <w:color w:val="000000"/>
          <w:sz w:val="24"/>
          <w:szCs w:val="24"/>
        </w:rPr>
        <w:t>十二、付款方式</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服务期限三年，合同一年一签；</w:t>
      </w:r>
      <w:r>
        <w:rPr>
          <w:rFonts w:hint="eastAsia" w:ascii="宋体" w:hAnsi="宋体" w:cs="宋体"/>
          <w:color w:val="auto"/>
          <w:sz w:val="24"/>
          <w:lang w:val="en-US" w:eastAsia="zh-CN"/>
        </w:rPr>
        <w:t>每月考核一次，根据季度平均考核得分，每次考核总分为100分，高于等于90分，全额支付季度养护费，低于90分的，每低1分扣相应支付费用总额的1%。考核</w:t>
      </w:r>
      <w:r>
        <w:rPr>
          <w:rFonts w:hint="eastAsia" w:ascii="宋体" w:hAnsi="宋体" w:cs="宋体"/>
          <w:color w:val="auto"/>
          <w:sz w:val="24"/>
          <w:szCs w:val="24"/>
        </w:rPr>
        <w:t>＜90</w:t>
      </w:r>
      <w:r>
        <w:rPr>
          <w:rFonts w:hint="eastAsia" w:ascii="宋体" w:hAnsi="宋体" w:cs="宋体"/>
          <w:color w:val="auto"/>
          <w:sz w:val="24"/>
          <w:szCs w:val="24"/>
          <w:lang w:val="en-US" w:eastAsia="zh-CN"/>
        </w:rPr>
        <w:t>分</w:t>
      </w:r>
      <w:r>
        <w:rPr>
          <w:rFonts w:hint="eastAsia" w:ascii="宋体" w:hAnsi="宋体" w:cs="宋体"/>
          <w:color w:val="auto"/>
          <w:sz w:val="24"/>
          <w:lang w:val="en-US" w:eastAsia="zh-CN"/>
        </w:rPr>
        <w:t>不再续签合同。</w:t>
      </w:r>
    </w:p>
    <w:p>
      <w:pPr>
        <w:snapToGrid w:val="0"/>
        <w:spacing w:line="360" w:lineRule="auto"/>
        <w:ind w:firstLine="496" w:firstLineChars="206"/>
        <w:outlineLvl w:val="1"/>
        <w:rPr>
          <w:rFonts w:ascii="宋体" w:hAnsi="宋体" w:cs="宋体"/>
          <w:b/>
          <w:color w:val="auto"/>
          <w:sz w:val="24"/>
          <w:szCs w:val="24"/>
        </w:rPr>
      </w:pPr>
      <w:r>
        <w:rPr>
          <w:rFonts w:hint="eastAsia" w:ascii="宋体" w:hAnsi="宋体" w:cs="宋体"/>
          <w:b/>
          <w:bCs/>
          <w:color w:val="auto"/>
          <w:sz w:val="24"/>
          <w:szCs w:val="24"/>
        </w:rPr>
        <w:t>十三、</w:t>
      </w:r>
      <w:r>
        <w:rPr>
          <w:rFonts w:hint="eastAsia" w:ascii="宋体" w:hAnsi="宋体" w:cs="宋体"/>
          <w:b/>
          <w:color w:val="auto"/>
          <w:sz w:val="24"/>
          <w:szCs w:val="24"/>
        </w:rPr>
        <w:t>未尽事宜</w:t>
      </w:r>
    </w:p>
    <w:p>
      <w:pPr>
        <w:snapToGrid w:val="0"/>
        <w:spacing w:line="360" w:lineRule="auto"/>
        <w:ind w:firstLine="470" w:firstLineChars="196"/>
        <w:outlineLvl w:val="1"/>
        <w:rPr>
          <w:rFonts w:ascii="宋体" w:hAnsi="宋体" w:cs="宋体"/>
          <w:color w:val="auto"/>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color w:val="auto"/>
          <w:sz w:val="24"/>
          <w:szCs w:val="24"/>
        </w:rPr>
        <w:t>按《中华人民共和国政府采购法》、《政府采</w:t>
      </w:r>
      <w:bookmarkStart w:id="32" w:name="_Toc363573855"/>
      <w:r>
        <w:rPr>
          <w:rFonts w:hint="eastAsia" w:ascii="宋体" w:hAnsi="宋体" w:cs="宋体"/>
          <w:color w:val="auto"/>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ascii="宋体" w:hAnsi="宋体" w:cs="宋体"/>
          <w:b/>
          <w:bCs/>
          <w:w w:val="80"/>
          <w:sz w:val="44"/>
          <w:szCs w:val="44"/>
        </w:rPr>
      </w:pPr>
      <w:bookmarkStart w:id="33" w:name="_Toc11554641"/>
      <w:bookmarkStart w:id="34" w:name="_Toc11500282"/>
      <w:bookmarkStart w:id="35" w:name="_Toc94585342"/>
      <w:bookmarkStart w:id="36" w:name="_Toc94544746"/>
      <w:bookmarkStart w:id="37" w:name="_Toc94544872"/>
      <w:bookmarkStart w:id="38" w:name="_Toc521201599"/>
      <w:bookmarkStart w:id="39" w:name="_Toc11499586"/>
      <w:bookmarkStart w:id="40" w:name="_Toc13803483"/>
      <w:bookmarkStart w:id="41" w:name="_Toc8895741"/>
      <w:bookmarkStart w:id="42" w:name="_Toc12670505"/>
      <w:bookmarkStart w:id="43" w:name="_Toc521203420"/>
      <w:bookmarkStart w:id="44" w:name="_Toc363573856"/>
      <w:r>
        <w:rPr>
          <w:rFonts w:hint="eastAsia" w:ascii="宋体" w:hAnsi="宋体" w:cs="宋体"/>
          <w:b/>
          <w:bCs/>
          <w:w w:val="80"/>
          <w:sz w:val="44"/>
          <w:szCs w:val="44"/>
        </w:rPr>
        <w:t>第三章  项目需求</w:t>
      </w:r>
    </w:p>
    <w:p>
      <w:pPr>
        <w:pStyle w:val="19"/>
      </w:pPr>
    </w:p>
    <w:p>
      <w:pPr>
        <w:snapToGrid w:val="0"/>
        <w:spacing w:line="360" w:lineRule="auto"/>
        <w:ind w:left="-210" w:leftChars="-100" w:firstLine="520" w:firstLineChars="216"/>
        <w:rPr>
          <w:rFonts w:ascii="宋体" w:hAnsi="宋体" w:cs="宋体"/>
          <w:kern w:val="0"/>
          <w:sz w:val="24"/>
          <w:szCs w:val="24"/>
          <w:lang w:val="zh-CN"/>
        </w:rPr>
      </w:pPr>
      <w:r>
        <w:rPr>
          <w:rFonts w:hint="eastAsia" w:ascii="宋体" w:hAnsi="宋体" w:cs="宋体"/>
          <w:b/>
          <w:sz w:val="24"/>
          <w:szCs w:val="24"/>
        </w:rPr>
        <w:t>特别提醒：</w:t>
      </w:r>
      <w:r>
        <w:rPr>
          <w:rFonts w:hint="eastAsia" w:ascii="宋体" w:hAnsi="宋体" w:cs="宋体"/>
          <w:b/>
          <w:kern w:val="0"/>
          <w:sz w:val="24"/>
          <w:szCs w:val="24"/>
          <w:lang w:val="zh-CN"/>
        </w:rPr>
        <w:t>请供应商制作投标响应文件时仔细研究项目需求说明。</w:t>
      </w:r>
      <w:r>
        <w:rPr>
          <w:rFonts w:hint="eastAsia" w:ascii="宋体" w:hAnsi="宋体" w:cs="宋体"/>
          <w:kern w:val="0"/>
          <w:sz w:val="24"/>
          <w:szCs w:val="24"/>
          <w:lang w:val="zh-CN"/>
        </w:rPr>
        <w:t>供应商不能简单照搬照抄采购单位项目需求说明中的技术要求，必须作实事求是的响应。如照搬照抄项目需求说明中的技术要求，成交后供应商在同采购单位签订合同和履约环节中不得提出异议，一切后果和损失由成交供应商承担。如供应商提供的货物和服务同采购单位提出的项目需求说明中的技术要求不同的，必须在《技术条款响应一览表》上明示，如不明示的视同完全响应。</w:t>
      </w:r>
    </w:p>
    <w:p>
      <w:pPr>
        <w:numPr>
          <w:ilvl w:val="0"/>
          <w:numId w:val="7"/>
        </w:numPr>
        <w:spacing w:line="360" w:lineRule="auto"/>
        <w:ind w:firstLine="482" w:firstLineChars="200"/>
        <w:rPr>
          <w:rFonts w:hint="eastAsia" w:ascii="宋体" w:hAnsi="宋体"/>
          <w:b/>
          <w:sz w:val="24"/>
        </w:rPr>
      </w:pPr>
      <w:r>
        <w:rPr>
          <w:rFonts w:hint="eastAsia" w:ascii="宋体" w:hAnsi="宋体"/>
          <w:b/>
          <w:sz w:val="24"/>
        </w:rPr>
        <w:t>项目需求说明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kern w:val="2"/>
          <w:sz w:val="24"/>
          <w:szCs w:val="24"/>
          <w:lang w:val="en-US" w:eastAsia="zh-CN" w:bidi="ar-SA"/>
        </w:rPr>
      </w:pPr>
      <w:r>
        <w:rPr>
          <w:rFonts w:hint="eastAsia"/>
          <w:lang w:val="en-US" w:eastAsia="zh-CN"/>
        </w:rPr>
        <w:t xml:space="preserve"> </w:t>
      </w:r>
      <w:r>
        <w:rPr>
          <w:rFonts w:hint="eastAsia" w:ascii="宋体" w:hAnsi="宋体" w:eastAsia="宋体" w:cs="宋体"/>
          <w:kern w:val="2"/>
          <w:sz w:val="24"/>
          <w:szCs w:val="24"/>
          <w:lang w:val="en-US" w:eastAsia="zh-CN" w:bidi="ar-SA"/>
        </w:rPr>
        <w:t>南通市妇幼保健院锅炉维保服务采购，两台锅炉型号 WNS4-1.0-Q Y燃气锅炉</w:t>
      </w:r>
      <w:r>
        <w:rPr>
          <w:rFonts w:hint="eastAsia" w:ascii="宋体" w:hAnsi="宋体" w:cs="宋体"/>
          <w:kern w:val="2"/>
          <w:sz w:val="24"/>
          <w:szCs w:val="24"/>
          <w:lang w:val="en-US" w:eastAsia="zh-CN" w:bidi="ar-SA"/>
        </w:rPr>
        <w:t>（额定蒸发量4000kg/h、额定蒸汽压力1.0MPa）</w:t>
      </w:r>
      <w:r>
        <w:rPr>
          <w:rFonts w:hint="eastAsia" w:ascii="宋体" w:hAnsi="宋体" w:eastAsia="宋体" w:cs="宋体"/>
          <w:kern w:val="2"/>
          <w:sz w:val="24"/>
          <w:szCs w:val="24"/>
          <w:lang w:val="en-US" w:eastAsia="zh-CN" w:bidi="ar-SA"/>
        </w:rPr>
        <w:t>及</w:t>
      </w:r>
      <w:r>
        <w:rPr>
          <w:rFonts w:hint="eastAsia" w:ascii="宋体" w:hAnsi="宋体" w:cs="宋体"/>
          <w:kern w:val="2"/>
          <w:sz w:val="24"/>
          <w:szCs w:val="24"/>
          <w:lang w:val="en-US" w:eastAsia="zh-CN" w:bidi="ar-SA"/>
        </w:rPr>
        <w:t>两台</w:t>
      </w:r>
      <w:r>
        <w:rPr>
          <w:rFonts w:hint="eastAsia" w:ascii="宋体" w:hAnsi="宋体" w:eastAsia="宋体" w:cs="宋体"/>
          <w:kern w:val="2"/>
          <w:sz w:val="24"/>
          <w:szCs w:val="24"/>
          <w:lang w:val="en-US" w:eastAsia="zh-CN" w:bidi="ar-SA"/>
        </w:rPr>
        <w:t>燃烧器（GBICO）、电控柜（PLC)</w:t>
      </w:r>
      <w:r>
        <w:rPr>
          <w:rFonts w:hint="eastAsia" w:ascii="宋体" w:hAnsi="宋体" w:cs="宋体"/>
          <w:kern w:val="2"/>
          <w:sz w:val="24"/>
          <w:szCs w:val="24"/>
          <w:lang w:val="en-US" w:eastAsia="zh-CN" w:bidi="ar-SA"/>
        </w:rPr>
        <w:t>、其他锅炉配套辅机</w:t>
      </w:r>
      <w:r>
        <w:rPr>
          <w:rFonts w:hint="eastAsia" w:ascii="宋体" w:hAnsi="宋体" w:eastAsia="宋体" w:cs="宋体"/>
          <w:kern w:val="2"/>
          <w:sz w:val="24"/>
          <w:szCs w:val="24"/>
          <w:lang w:val="en-US" w:eastAsia="zh-CN" w:bidi="ar-SA"/>
        </w:rPr>
        <w:t>等设备维保</w:t>
      </w:r>
      <w:r>
        <w:rPr>
          <w:rFonts w:hint="eastAsia" w:ascii="宋体" w:hAnsi="宋体" w:cs="宋体"/>
          <w:kern w:val="2"/>
          <w:sz w:val="24"/>
          <w:szCs w:val="24"/>
          <w:lang w:val="en-US" w:eastAsia="zh-CN" w:bidi="ar-SA"/>
        </w:rPr>
        <w:t>。</w:t>
      </w:r>
    </w:p>
    <w:p>
      <w:pPr>
        <w:keepNext w:val="0"/>
        <w:keepLines w:val="0"/>
        <w:pageBreakBefore w:val="0"/>
        <w:widowControl w:val="0"/>
        <w:numPr>
          <w:ilvl w:val="0"/>
          <w:numId w:val="8"/>
        </w:numPr>
        <w:kinsoku/>
        <w:wordWrap/>
        <w:overflowPunct/>
        <w:topLinePunct w:val="0"/>
        <w:autoSpaceDE/>
        <w:autoSpaceDN/>
        <w:bidi w:val="0"/>
        <w:adjustRightInd/>
        <w:snapToGrid/>
        <w:spacing w:line="480" w:lineRule="auto"/>
        <w:ind w:left="-62" w:leftChars="0" w:firstLine="48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锅炉本体维保（大修除外）</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uto"/>
        <w:ind w:left="-270" w:leftChars="0" w:firstLine="480" w:firstLineChars="0"/>
        <w:textAlignment w:val="auto"/>
        <w:rPr>
          <w:rFonts w:hint="eastAsia"/>
          <w:sz w:val="24"/>
          <w:szCs w:val="24"/>
          <w:lang w:val="en-US" w:eastAsia="zh-CN"/>
        </w:rPr>
      </w:pPr>
      <w:r>
        <w:rPr>
          <w:rFonts w:hint="eastAsia"/>
          <w:sz w:val="24"/>
          <w:szCs w:val="24"/>
          <w:lang w:val="en-US" w:eastAsia="zh-CN"/>
        </w:rPr>
        <w:t>锅炉工作运行期间，维保保证锅炉各部位排污通畅，防止因堵塞导致高压安全事故。</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uto"/>
        <w:ind w:left="-270" w:leftChars="0" w:firstLine="480" w:firstLineChars="0"/>
        <w:textAlignment w:val="auto"/>
        <w:rPr>
          <w:rFonts w:hint="default"/>
          <w:sz w:val="24"/>
          <w:szCs w:val="24"/>
          <w:lang w:val="en-US" w:eastAsia="zh-CN"/>
        </w:rPr>
      </w:pPr>
      <w:r>
        <w:rPr>
          <w:rFonts w:hint="eastAsia"/>
          <w:sz w:val="24"/>
          <w:szCs w:val="24"/>
          <w:lang w:val="en-US" w:eastAsia="zh-CN"/>
        </w:rPr>
        <w:t>锅炉工作运行期间，维保保证锅炉安全阀功能正常，防止因故障导致高压安全事故。</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uto"/>
        <w:ind w:left="-270" w:leftChars="0" w:firstLine="480" w:firstLineChars="0"/>
        <w:textAlignment w:val="auto"/>
        <w:rPr>
          <w:rFonts w:hint="default"/>
          <w:sz w:val="24"/>
          <w:szCs w:val="24"/>
          <w:lang w:val="en-US" w:eastAsia="zh-CN"/>
        </w:rPr>
      </w:pPr>
      <w:r>
        <w:rPr>
          <w:rFonts w:hint="eastAsia"/>
          <w:sz w:val="24"/>
          <w:szCs w:val="24"/>
          <w:lang w:val="en-US" w:eastAsia="zh-CN"/>
        </w:rPr>
        <w:t>锅炉工作运行期间，维保保证锅炉防爆门功能正常，防止因爆燃导致锅炉燃烧安全事故。</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uto"/>
        <w:ind w:left="-270" w:leftChars="0" w:firstLine="480" w:firstLineChars="0"/>
        <w:textAlignment w:val="auto"/>
        <w:rPr>
          <w:rFonts w:hint="default"/>
          <w:sz w:val="24"/>
          <w:szCs w:val="24"/>
          <w:lang w:val="en-US" w:eastAsia="zh-CN"/>
        </w:rPr>
      </w:pPr>
      <w:r>
        <w:rPr>
          <w:rFonts w:hint="eastAsia"/>
          <w:sz w:val="24"/>
          <w:szCs w:val="24"/>
          <w:lang w:val="en-US" w:eastAsia="zh-CN"/>
        </w:rPr>
        <w:t>锅炉停炉保养期间，维保锅炉烟管，防止积灰，降低锅炉热效率。</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uto"/>
        <w:ind w:left="-270" w:leftChars="0" w:firstLine="480" w:firstLineChars="0"/>
        <w:textAlignment w:val="auto"/>
        <w:rPr>
          <w:rFonts w:hint="default"/>
          <w:sz w:val="24"/>
          <w:szCs w:val="24"/>
          <w:lang w:val="en-US" w:eastAsia="zh-CN"/>
        </w:rPr>
      </w:pPr>
      <w:r>
        <w:rPr>
          <w:rFonts w:hint="eastAsia"/>
          <w:sz w:val="24"/>
          <w:szCs w:val="24"/>
          <w:lang w:val="en-US" w:eastAsia="zh-CN"/>
        </w:rPr>
        <w:t>锅炉停炉保养期间，维保锅炉烟道，防止结垢，降低锅炉热效率，一旦结垢严重，导致烟管受热不均，变形，最终锅炉爆管爆炸。</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uto"/>
        <w:ind w:left="-270" w:leftChars="0" w:firstLine="480" w:firstLineChars="0"/>
        <w:textAlignment w:val="auto"/>
        <w:rPr>
          <w:rFonts w:hint="default"/>
          <w:sz w:val="24"/>
          <w:szCs w:val="24"/>
          <w:lang w:val="en-US" w:eastAsia="zh-CN"/>
        </w:rPr>
      </w:pPr>
      <w:r>
        <w:rPr>
          <w:rFonts w:hint="eastAsia"/>
          <w:sz w:val="24"/>
          <w:szCs w:val="24"/>
          <w:lang w:val="en-US" w:eastAsia="zh-CN"/>
        </w:rPr>
        <w:t>锅炉停炉保养期间，维保锅炉烟管，防止碱腐蚀、氧腐蚀。</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uto"/>
        <w:ind w:left="-270" w:leftChars="0" w:firstLine="480" w:firstLineChars="0"/>
        <w:textAlignment w:val="auto"/>
        <w:rPr>
          <w:rFonts w:hint="default"/>
          <w:color w:val="auto"/>
          <w:sz w:val="24"/>
          <w:szCs w:val="24"/>
          <w:lang w:val="en-US" w:eastAsia="zh-CN"/>
        </w:rPr>
      </w:pPr>
      <w:r>
        <w:rPr>
          <w:rFonts w:hint="eastAsia"/>
          <w:sz w:val="24"/>
          <w:szCs w:val="24"/>
          <w:lang w:val="en-US" w:eastAsia="zh-CN"/>
        </w:rPr>
        <w:t>锅炉停炉保养期间，</w:t>
      </w:r>
      <w:r>
        <w:rPr>
          <w:rFonts w:hint="eastAsia"/>
          <w:color w:val="auto"/>
          <w:sz w:val="24"/>
          <w:szCs w:val="24"/>
          <w:lang w:val="en-US" w:eastAsia="zh-CN"/>
        </w:rPr>
        <w:t>维保锅炉前后烟箱及门（以及人孔门，保证看火门和锅筒之间耐火材料隔热效果良好），防止炉墙坍塌导致冒火事故。</w:t>
      </w:r>
    </w:p>
    <w:p>
      <w:pPr>
        <w:keepNext w:val="0"/>
        <w:keepLines w:val="0"/>
        <w:pageBreakBefore w:val="0"/>
        <w:widowControl w:val="0"/>
        <w:numPr>
          <w:ilvl w:val="0"/>
          <w:numId w:val="8"/>
        </w:numPr>
        <w:kinsoku/>
        <w:wordWrap/>
        <w:overflowPunct/>
        <w:topLinePunct w:val="0"/>
        <w:autoSpaceDE/>
        <w:autoSpaceDN/>
        <w:bidi w:val="0"/>
        <w:adjustRightInd/>
        <w:snapToGrid/>
        <w:spacing w:line="480" w:lineRule="auto"/>
        <w:ind w:left="-62" w:leftChars="0" w:firstLine="480" w:firstLineChars="0"/>
        <w:textAlignment w:val="auto"/>
        <w:rPr>
          <w:rFonts w:hint="eastAsia"/>
          <w:sz w:val="24"/>
          <w:szCs w:val="24"/>
          <w:lang w:val="en-US" w:eastAsia="zh-CN"/>
        </w:rPr>
      </w:pPr>
      <w:r>
        <w:rPr>
          <w:rFonts w:hint="eastAsia"/>
          <w:sz w:val="24"/>
          <w:szCs w:val="24"/>
          <w:lang w:val="en-US" w:eastAsia="zh-CN"/>
        </w:rPr>
        <w:t>锅炉燃烧器维保（大修除外）</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leftChars="0" w:firstLine="480" w:firstLineChars="200"/>
        <w:textAlignment w:val="auto"/>
        <w:rPr>
          <w:rFonts w:hint="eastAsia"/>
          <w:sz w:val="24"/>
          <w:szCs w:val="24"/>
          <w:lang w:val="en-US" w:eastAsia="zh-CN"/>
        </w:rPr>
      </w:pPr>
      <w:r>
        <w:rPr>
          <w:rFonts w:hint="eastAsia"/>
          <w:sz w:val="24"/>
          <w:szCs w:val="24"/>
          <w:lang w:val="en-US" w:eastAsia="zh-CN"/>
        </w:rPr>
        <w:t>维保燃烧器火焰检测装置，该装置是易损装置，长时间通电使用，非常重要，一旦失灵，比如该装置检测不到火，而燃烧器在工作燃烧，将导致安全事故。</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leftChars="0" w:firstLine="480" w:firstLineChars="200"/>
        <w:textAlignment w:val="auto"/>
        <w:rPr>
          <w:rFonts w:hint="default"/>
          <w:sz w:val="24"/>
          <w:szCs w:val="24"/>
          <w:lang w:val="en-US" w:eastAsia="zh-CN"/>
        </w:rPr>
      </w:pPr>
      <w:r>
        <w:rPr>
          <w:rFonts w:hint="eastAsia"/>
          <w:sz w:val="24"/>
          <w:szCs w:val="24"/>
          <w:lang w:val="en-US" w:eastAsia="zh-CN"/>
        </w:rPr>
        <w:t>检测燃烧器进气电磁阀组，该阀组为精密仪器设备，一旦泄漏燃气进锅炉炉膛，在不知情的情况下点火，将直接导致锅炉炉膛燃气爆炸。</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leftChars="0" w:firstLine="480" w:firstLineChars="200"/>
        <w:textAlignment w:val="auto"/>
        <w:rPr>
          <w:rFonts w:hint="default"/>
          <w:sz w:val="24"/>
          <w:szCs w:val="24"/>
          <w:lang w:val="en-US" w:eastAsia="zh-CN"/>
        </w:rPr>
      </w:pPr>
      <w:r>
        <w:rPr>
          <w:rFonts w:hint="eastAsia"/>
          <w:sz w:val="24"/>
          <w:szCs w:val="24"/>
          <w:lang w:val="en-US" w:eastAsia="zh-CN"/>
        </w:rPr>
        <w:t>维保燃烧器燃气泄漏检测装置，防止该装置故障，导致检测失灵引起燃气爆炸事故。</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leftChars="0" w:firstLine="480" w:firstLineChars="200"/>
        <w:textAlignment w:val="auto"/>
        <w:rPr>
          <w:rFonts w:hint="default"/>
          <w:sz w:val="24"/>
          <w:szCs w:val="24"/>
          <w:lang w:val="en-US" w:eastAsia="zh-CN"/>
        </w:rPr>
      </w:pPr>
      <w:r>
        <w:rPr>
          <w:rFonts w:hint="eastAsia"/>
          <w:sz w:val="24"/>
          <w:szCs w:val="24"/>
          <w:lang w:val="en-US" w:eastAsia="zh-CN"/>
        </w:rPr>
        <w:t>维保燃烧器点火器，该装置是易损装置，时间长或运行次数达到极限，会导致金属疲劳，失去点火功能，燃烧器不能点火成功。</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leftChars="0" w:firstLine="480" w:firstLineChars="200"/>
        <w:textAlignment w:val="auto"/>
        <w:rPr>
          <w:rFonts w:hint="default"/>
          <w:sz w:val="24"/>
          <w:szCs w:val="24"/>
          <w:lang w:val="en-US" w:eastAsia="zh-CN"/>
        </w:rPr>
      </w:pPr>
      <w:r>
        <w:rPr>
          <w:rFonts w:hint="eastAsia"/>
          <w:sz w:val="24"/>
          <w:szCs w:val="24"/>
          <w:lang w:val="en-US" w:eastAsia="zh-CN"/>
        </w:rPr>
        <w:t>维保燃烧器何服机构系统，并重新调试，使锅炉燃烧充分，提高热效率。</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leftChars="0" w:firstLine="480" w:firstLineChars="200"/>
        <w:textAlignment w:val="auto"/>
        <w:rPr>
          <w:rFonts w:hint="default"/>
          <w:sz w:val="24"/>
          <w:szCs w:val="24"/>
          <w:lang w:val="en-US" w:eastAsia="zh-CN"/>
        </w:rPr>
      </w:pPr>
      <w:r>
        <w:rPr>
          <w:rFonts w:hint="default"/>
          <w:sz w:val="24"/>
          <w:szCs w:val="24"/>
          <w:lang w:val="en-US" w:eastAsia="zh-CN"/>
        </w:rPr>
        <w:t>更换燃烧器进气管道过滤装置，易损件。 防止进气不畅，影响热效</w:t>
      </w:r>
      <w:r>
        <w:rPr>
          <w:rFonts w:hint="eastAsia"/>
          <w:sz w:val="24"/>
          <w:szCs w:val="24"/>
          <w:lang w:val="en-US" w:eastAsia="zh-CN"/>
        </w:rPr>
        <w:t>率</w:t>
      </w:r>
      <w:r>
        <w:rPr>
          <w:rFonts w:hint="default"/>
          <w:sz w:val="24"/>
          <w:szCs w:val="24"/>
          <w:lang w:val="en-US" w:eastAsia="zh-CN"/>
        </w:rPr>
        <w:t>乃至不</w:t>
      </w:r>
      <w:r>
        <w:rPr>
          <w:rFonts w:hint="eastAsia"/>
          <w:sz w:val="24"/>
          <w:szCs w:val="24"/>
          <w:lang w:val="en-US" w:eastAsia="zh-CN"/>
        </w:rPr>
        <w:t>点火运行。</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leftChars="0" w:firstLine="480" w:firstLineChars="200"/>
        <w:textAlignment w:val="auto"/>
        <w:rPr>
          <w:rFonts w:hint="default"/>
          <w:sz w:val="24"/>
          <w:szCs w:val="24"/>
          <w:lang w:val="en-US" w:eastAsia="zh-CN"/>
        </w:rPr>
      </w:pPr>
      <w:r>
        <w:rPr>
          <w:rFonts w:hint="default"/>
          <w:sz w:val="24"/>
          <w:szCs w:val="24"/>
          <w:lang w:val="en-US" w:eastAsia="zh-CN"/>
        </w:rPr>
        <w:t>更换燃烧器进气管膨胀节，易损件，时间久容易金属疲劳损坏泄露天</w:t>
      </w:r>
      <w:r>
        <w:rPr>
          <w:rFonts w:hint="eastAsia"/>
          <w:sz w:val="24"/>
          <w:szCs w:val="24"/>
          <w:lang w:val="en-US" w:eastAsia="zh-CN"/>
        </w:rPr>
        <w:t>然气，危险极大。</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leftChars="0" w:firstLine="480" w:firstLineChars="200"/>
        <w:textAlignment w:val="auto"/>
        <w:rPr>
          <w:rFonts w:hint="default"/>
          <w:sz w:val="24"/>
          <w:szCs w:val="24"/>
          <w:lang w:val="en-US" w:eastAsia="zh-CN"/>
        </w:rPr>
      </w:pPr>
      <w:r>
        <w:rPr>
          <w:rFonts w:hint="default"/>
          <w:sz w:val="24"/>
          <w:szCs w:val="24"/>
          <w:lang w:val="en-US" w:eastAsia="zh-CN"/>
        </w:rPr>
        <w:t>检查燃烧器电机轴承、风叶，定期进行加油</w:t>
      </w:r>
      <w:r>
        <w:rPr>
          <w:rFonts w:hint="eastAsia"/>
          <w:sz w:val="24"/>
          <w:szCs w:val="24"/>
          <w:lang w:val="en-US" w:eastAsia="zh-CN"/>
        </w:rPr>
        <w:t>，因震动造成噪音过大应更换风叶。</w:t>
      </w:r>
    </w:p>
    <w:p>
      <w:pPr>
        <w:keepNext w:val="0"/>
        <w:keepLines w:val="0"/>
        <w:pageBreakBefore w:val="0"/>
        <w:widowControl w:val="0"/>
        <w:numPr>
          <w:ilvl w:val="0"/>
          <w:numId w:val="8"/>
        </w:numPr>
        <w:kinsoku/>
        <w:wordWrap/>
        <w:overflowPunct/>
        <w:topLinePunct w:val="0"/>
        <w:autoSpaceDE/>
        <w:autoSpaceDN/>
        <w:bidi w:val="0"/>
        <w:adjustRightInd/>
        <w:snapToGrid/>
        <w:spacing w:line="480" w:lineRule="auto"/>
        <w:ind w:left="-62" w:leftChars="0" w:firstLine="480" w:firstLineChars="0"/>
        <w:textAlignment w:val="auto"/>
        <w:rPr>
          <w:rFonts w:hint="eastAsia"/>
          <w:sz w:val="24"/>
          <w:szCs w:val="24"/>
          <w:lang w:val="en-US" w:eastAsia="zh-CN"/>
        </w:rPr>
      </w:pPr>
      <w:r>
        <w:rPr>
          <w:rFonts w:hint="eastAsia"/>
          <w:sz w:val="24"/>
          <w:szCs w:val="24"/>
          <w:lang w:val="en-US" w:eastAsia="zh-CN"/>
        </w:rPr>
        <w:t>锅炉控制系统维保</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Chars="0" w:firstLine="480" w:firstLineChars="200"/>
        <w:textAlignment w:val="auto"/>
        <w:rPr>
          <w:rFonts w:hint="eastAsia"/>
          <w:sz w:val="24"/>
          <w:szCs w:val="24"/>
          <w:lang w:val="en-US" w:eastAsia="zh-CN"/>
        </w:rPr>
      </w:pPr>
      <w:r>
        <w:rPr>
          <w:rFonts w:hint="eastAsia"/>
          <w:sz w:val="24"/>
          <w:szCs w:val="24"/>
          <w:lang w:val="en-US" w:eastAsia="zh-CN"/>
        </w:rPr>
        <w:t>触摸屏系统，清理积灰，防尘， 防止触摸屏损坏。</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Chars="0" w:firstLine="480" w:firstLineChars="200"/>
        <w:textAlignment w:val="auto"/>
        <w:rPr>
          <w:rFonts w:hint="default"/>
          <w:sz w:val="24"/>
          <w:szCs w:val="24"/>
          <w:lang w:val="en-US" w:eastAsia="zh-CN"/>
        </w:rPr>
      </w:pPr>
      <w:r>
        <w:rPr>
          <w:rFonts w:hint="eastAsia"/>
          <w:sz w:val="24"/>
          <w:szCs w:val="24"/>
          <w:lang w:val="en-US" w:eastAsia="zh-CN"/>
        </w:rPr>
        <w:t>维保</w:t>
      </w:r>
      <w:r>
        <w:rPr>
          <w:rFonts w:hint="default"/>
          <w:sz w:val="24"/>
          <w:szCs w:val="24"/>
          <w:lang w:val="en-US" w:eastAsia="zh-CN"/>
        </w:rPr>
        <w:t>PLC控制系统的供电电源系统，做清理维护保养，防止过电损坏，</w:t>
      </w:r>
      <w:r>
        <w:rPr>
          <w:rFonts w:hint="eastAsia"/>
          <w:sz w:val="24"/>
          <w:szCs w:val="24"/>
          <w:lang w:val="en-US" w:eastAsia="zh-CN"/>
        </w:rPr>
        <w:t>一</w:t>
      </w:r>
      <w:r>
        <w:rPr>
          <w:rFonts w:hint="default"/>
          <w:sz w:val="24"/>
          <w:szCs w:val="24"/>
          <w:lang w:val="en-US" w:eastAsia="zh-CN"/>
        </w:rPr>
        <w:t>旦损坏锅炉无法运行，甚至误动作各部分元器件并发生事故。</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Chars="0" w:firstLine="480" w:firstLineChars="200"/>
        <w:textAlignment w:val="auto"/>
        <w:rPr>
          <w:rFonts w:hint="default"/>
          <w:sz w:val="24"/>
          <w:szCs w:val="24"/>
          <w:lang w:val="en-US" w:eastAsia="zh-CN"/>
        </w:rPr>
      </w:pPr>
      <w:r>
        <w:rPr>
          <w:rFonts w:hint="eastAsia"/>
          <w:sz w:val="24"/>
          <w:szCs w:val="24"/>
          <w:lang w:val="en-US" w:eastAsia="zh-CN"/>
        </w:rPr>
        <w:t>维保</w:t>
      </w:r>
      <w:r>
        <w:rPr>
          <w:rFonts w:hint="default"/>
          <w:sz w:val="24"/>
          <w:szCs w:val="24"/>
          <w:lang w:val="en-US" w:eastAsia="zh-CN"/>
        </w:rPr>
        <w:t>触摸屏及PLC控制系统的供电电源系统。长时间使用元器件，防止损坏导致系统关闭，导致锅炉无法运行。</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Chars="0" w:firstLine="480" w:firstLineChars="200"/>
        <w:textAlignment w:val="auto"/>
        <w:rPr>
          <w:rFonts w:hint="default"/>
          <w:sz w:val="24"/>
          <w:szCs w:val="24"/>
          <w:lang w:val="en-US" w:eastAsia="zh-CN"/>
        </w:rPr>
      </w:pPr>
      <w:r>
        <w:rPr>
          <w:rFonts w:hint="eastAsia"/>
          <w:color w:val="auto"/>
          <w:sz w:val="24"/>
          <w:szCs w:val="24"/>
          <w:lang w:val="en-US" w:eastAsia="zh-CN"/>
        </w:rPr>
        <w:t>维保</w:t>
      </w:r>
      <w:r>
        <w:rPr>
          <w:rFonts w:hint="default"/>
          <w:color w:val="auto"/>
          <w:sz w:val="24"/>
          <w:szCs w:val="24"/>
          <w:lang w:val="en-US" w:eastAsia="zh-CN"/>
        </w:rPr>
        <w:t>锅炉水位</w:t>
      </w:r>
      <w:r>
        <w:rPr>
          <w:rFonts w:hint="eastAsia"/>
          <w:color w:val="auto"/>
          <w:sz w:val="24"/>
          <w:szCs w:val="24"/>
          <w:lang w:val="en-US" w:eastAsia="zh-CN"/>
        </w:rPr>
        <w:t>显示器、高低水位报警器以及连锁保护装置和自动给水调节装置</w:t>
      </w:r>
      <w:r>
        <w:rPr>
          <w:rFonts w:hint="default"/>
          <w:color w:val="auto"/>
          <w:sz w:val="24"/>
          <w:szCs w:val="24"/>
          <w:lang w:val="en-US" w:eastAsia="zh-CN"/>
        </w:rPr>
        <w:t>监</w:t>
      </w:r>
      <w:r>
        <w:rPr>
          <w:rFonts w:hint="default"/>
          <w:sz w:val="24"/>
          <w:szCs w:val="24"/>
          <w:lang w:val="en-US" w:eastAsia="zh-CN"/>
        </w:rPr>
        <w:t>测系统，防止因水位监测失误，导致锅炉缺水，干烧甚至爆炸。</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Chars="0" w:firstLine="480" w:firstLineChars="200"/>
        <w:textAlignment w:val="auto"/>
        <w:rPr>
          <w:rFonts w:hint="default"/>
          <w:sz w:val="24"/>
          <w:szCs w:val="24"/>
          <w:lang w:val="en-US" w:eastAsia="zh-CN"/>
        </w:rPr>
      </w:pPr>
      <w:r>
        <w:rPr>
          <w:rFonts w:hint="eastAsia"/>
          <w:sz w:val="24"/>
          <w:szCs w:val="24"/>
          <w:lang w:val="en-US" w:eastAsia="zh-CN"/>
        </w:rPr>
        <w:t>维保</w:t>
      </w:r>
      <w:r>
        <w:rPr>
          <w:rFonts w:hint="default"/>
          <w:sz w:val="24"/>
          <w:szCs w:val="24"/>
          <w:lang w:val="en-US" w:eastAsia="zh-CN"/>
        </w:rPr>
        <w:t>锅炉水位显示器。防止失灵，导致误操作，会引起安全事故。</w:t>
      </w:r>
    </w:p>
    <w:p>
      <w:pPr>
        <w:keepNext w:val="0"/>
        <w:keepLines w:val="0"/>
        <w:pageBreakBefore w:val="0"/>
        <w:widowControl w:val="0"/>
        <w:numPr>
          <w:ilvl w:val="0"/>
          <w:numId w:val="8"/>
        </w:numPr>
        <w:kinsoku/>
        <w:wordWrap/>
        <w:overflowPunct/>
        <w:topLinePunct w:val="0"/>
        <w:autoSpaceDE/>
        <w:autoSpaceDN/>
        <w:bidi w:val="0"/>
        <w:adjustRightInd/>
        <w:snapToGrid/>
        <w:spacing w:line="480" w:lineRule="auto"/>
        <w:ind w:left="-62" w:leftChars="0" w:firstLine="480" w:firstLineChars="0"/>
        <w:textAlignment w:val="auto"/>
        <w:rPr>
          <w:rFonts w:hint="eastAsia"/>
          <w:sz w:val="24"/>
          <w:szCs w:val="24"/>
          <w:lang w:val="en-US" w:eastAsia="zh-CN"/>
        </w:rPr>
      </w:pPr>
      <w:r>
        <w:rPr>
          <w:rFonts w:hint="eastAsia"/>
          <w:sz w:val="24"/>
          <w:szCs w:val="24"/>
          <w:lang w:val="en-US" w:eastAsia="zh-CN"/>
        </w:rPr>
        <w:t>锅炉其他辅机检修维修保养</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Chars="0" w:firstLine="480" w:firstLineChars="200"/>
        <w:textAlignment w:val="auto"/>
        <w:rPr>
          <w:rFonts w:hint="eastAsia"/>
          <w:sz w:val="24"/>
          <w:szCs w:val="24"/>
          <w:lang w:val="en-US" w:eastAsia="zh-CN"/>
        </w:rPr>
      </w:pPr>
      <w:r>
        <w:rPr>
          <w:rFonts w:hint="eastAsia"/>
          <w:sz w:val="24"/>
          <w:szCs w:val="24"/>
          <w:lang w:val="en-US" w:eastAsia="zh-CN"/>
        </w:rPr>
        <w:t>维保锅炉水泵，检查水泵电机，检查水泵高压叶轮，防止损坏锅炉不进水导致干烧。</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Chars="0" w:firstLine="480" w:firstLineChars="200"/>
        <w:textAlignment w:val="auto"/>
        <w:rPr>
          <w:rFonts w:hint="default"/>
          <w:color w:val="auto"/>
          <w:sz w:val="24"/>
          <w:szCs w:val="24"/>
          <w:lang w:val="en-US" w:eastAsia="zh-CN"/>
        </w:rPr>
      </w:pPr>
      <w:r>
        <w:rPr>
          <w:rFonts w:hint="default"/>
          <w:sz w:val="24"/>
          <w:szCs w:val="24"/>
          <w:lang w:val="en-US" w:eastAsia="zh-CN"/>
        </w:rPr>
        <w:t>检查</w:t>
      </w:r>
      <w:r>
        <w:rPr>
          <w:rFonts w:hint="eastAsia"/>
          <w:sz w:val="24"/>
          <w:szCs w:val="24"/>
          <w:lang w:val="en-US" w:eastAsia="zh-CN"/>
        </w:rPr>
        <w:t>省</w:t>
      </w:r>
      <w:r>
        <w:rPr>
          <w:rFonts w:hint="eastAsia"/>
          <w:color w:val="auto"/>
          <w:sz w:val="24"/>
          <w:szCs w:val="24"/>
          <w:lang w:val="en-US" w:eastAsia="zh-CN"/>
        </w:rPr>
        <w:t>煤气器等</w:t>
      </w:r>
      <w:r>
        <w:rPr>
          <w:rFonts w:hint="default"/>
          <w:color w:val="auto"/>
          <w:sz w:val="24"/>
          <w:szCs w:val="24"/>
          <w:lang w:val="en-US" w:eastAsia="zh-CN"/>
        </w:rPr>
        <w:t>节能装置，防止渗漏，一旦不能使用将导致热效率损失5%以上。</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Chars="0" w:firstLine="480" w:firstLineChars="200"/>
        <w:textAlignment w:val="auto"/>
        <w:rPr>
          <w:rFonts w:hint="default"/>
          <w:color w:val="auto"/>
          <w:sz w:val="24"/>
          <w:szCs w:val="24"/>
          <w:lang w:val="en-US" w:eastAsia="zh-CN"/>
        </w:rPr>
      </w:pPr>
      <w:r>
        <w:rPr>
          <w:rFonts w:hint="default"/>
          <w:color w:val="auto"/>
          <w:sz w:val="24"/>
          <w:szCs w:val="24"/>
          <w:lang w:val="en-US" w:eastAsia="zh-CN"/>
        </w:rPr>
        <w:t>检查各部分仪表阀门功能正常，防止意外事故。</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Chars="0" w:firstLine="480" w:firstLineChars="200"/>
        <w:textAlignment w:val="auto"/>
        <w:rPr>
          <w:rFonts w:hint="default"/>
          <w:color w:val="auto"/>
          <w:sz w:val="24"/>
          <w:szCs w:val="24"/>
          <w:lang w:val="en-US" w:eastAsia="zh-CN"/>
        </w:rPr>
      </w:pPr>
      <w:r>
        <w:rPr>
          <w:rFonts w:hint="default"/>
          <w:color w:val="auto"/>
          <w:sz w:val="24"/>
          <w:szCs w:val="24"/>
          <w:lang w:val="en-US" w:eastAsia="zh-CN"/>
        </w:rPr>
        <w:t>对水流量计、蒸汽流量计、安全阀、压力表</w:t>
      </w:r>
      <w:r>
        <w:rPr>
          <w:rFonts w:hint="eastAsia"/>
          <w:color w:val="auto"/>
          <w:sz w:val="24"/>
          <w:szCs w:val="24"/>
          <w:lang w:val="en-US" w:eastAsia="zh-CN"/>
        </w:rPr>
        <w:t>、水位表</w:t>
      </w:r>
      <w:r>
        <w:rPr>
          <w:rFonts w:hint="default"/>
          <w:color w:val="auto"/>
          <w:sz w:val="24"/>
          <w:szCs w:val="24"/>
          <w:lang w:val="en-US" w:eastAsia="zh-CN"/>
        </w:rPr>
        <w:t>检查维护，确保正常使用</w:t>
      </w:r>
      <w:r>
        <w:rPr>
          <w:rFonts w:hint="eastAsia"/>
          <w:color w:val="auto"/>
          <w:sz w:val="24"/>
          <w:szCs w:val="24"/>
          <w:lang w:val="en-US"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Chars="0" w:firstLine="480" w:firstLineChars="200"/>
        <w:textAlignment w:val="auto"/>
        <w:rPr>
          <w:rFonts w:hint="default"/>
          <w:color w:val="auto"/>
          <w:sz w:val="24"/>
          <w:szCs w:val="24"/>
          <w:lang w:val="en-US" w:eastAsia="zh-CN"/>
        </w:rPr>
      </w:pPr>
      <w:r>
        <w:rPr>
          <w:rFonts w:hint="default"/>
          <w:color w:val="auto"/>
          <w:sz w:val="24"/>
          <w:szCs w:val="24"/>
          <w:lang w:val="en-US" w:eastAsia="zh-CN"/>
        </w:rPr>
        <w:t>锅炉本体、外壳防腐，风道烟囱防腐。</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Chars="0" w:firstLine="480" w:firstLineChars="200"/>
        <w:textAlignment w:val="auto"/>
        <w:rPr>
          <w:rFonts w:hint="default"/>
          <w:sz w:val="24"/>
          <w:szCs w:val="24"/>
          <w:lang w:val="en-US" w:eastAsia="zh-CN"/>
        </w:rPr>
      </w:pPr>
      <w:r>
        <w:rPr>
          <w:rFonts w:hint="default"/>
          <w:sz w:val="24"/>
          <w:szCs w:val="24"/>
          <w:lang w:val="en-US" w:eastAsia="zh-CN"/>
        </w:rPr>
        <w:t>日常锅炉系统正确使用方法培训及监督。</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Chars="0" w:firstLine="480" w:firstLineChars="200"/>
        <w:textAlignment w:val="auto"/>
        <w:rPr>
          <w:rFonts w:hint="default"/>
          <w:color w:val="auto"/>
          <w:sz w:val="24"/>
          <w:szCs w:val="24"/>
          <w:lang w:val="en-US" w:eastAsia="zh-CN"/>
        </w:rPr>
      </w:pPr>
      <w:r>
        <w:rPr>
          <w:rFonts w:hint="default"/>
          <w:sz w:val="24"/>
          <w:szCs w:val="24"/>
          <w:lang w:val="en-US" w:eastAsia="zh-CN"/>
        </w:rPr>
        <w:t>锅炉本体、燃烧器、电</w:t>
      </w:r>
      <w:r>
        <w:rPr>
          <w:rFonts w:hint="default"/>
          <w:color w:val="auto"/>
          <w:sz w:val="24"/>
          <w:szCs w:val="24"/>
          <w:lang w:val="en-US" w:eastAsia="zh-CN"/>
        </w:rPr>
        <w:t>控柜、锅炉辅机等按每1月进行1次例行巡检，并做好巡检及维修详细记录。遇突发情况</w:t>
      </w:r>
      <w:r>
        <w:rPr>
          <w:rFonts w:hint="eastAsia"/>
          <w:color w:val="auto"/>
          <w:sz w:val="24"/>
          <w:szCs w:val="24"/>
          <w:lang w:val="en-US" w:eastAsia="zh-CN"/>
        </w:rPr>
        <w:t>，接到通知及时至现场组织维</w:t>
      </w:r>
      <w:r>
        <w:rPr>
          <w:rFonts w:hint="default"/>
          <w:color w:val="auto"/>
          <w:sz w:val="24"/>
          <w:szCs w:val="24"/>
          <w:lang w:val="en-US" w:eastAsia="zh-CN"/>
        </w:rPr>
        <w:t>修。</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Chars="0" w:firstLine="480" w:firstLineChars="200"/>
        <w:textAlignment w:val="auto"/>
        <w:rPr>
          <w:rFonts w:hint="default"/>
          <w:color w:val="auto"/>
          <w:sz w:val="24"/>
          <w:szCs w:val="24"/>
          <w:lang w:val="en-US" w:eastAsia="zh-CN"/>
        </w:rPr>
      </w:pPr>
      <w:r>
        <w:rPr>
          <w:rFonts w:hint="eastAsia"/>
          <w:color w:val="auto"/>
          <w:sz w:val="24"/>
          <w:szCs w:val="24"/>
          <w:lang w:val="en-US" w:eastAsia="zh-CN"/>
        </w:rPr>
        <w:t>分汽缸的维保和年检。</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Chars="0" w:firstLine="480" w:firstLineChars="200"/>
        <w:textAlignment w:val="auto"/>
        <w:rPr>
          <w:rFonts w:hint="default"/>
          <w:color w:val="auto"/>
          <w:sz w:val="24"/>
          <w:szCs w:val="24"/>
          <w:lang w:val="en-US" w:eastAsia="zh-CN"/>
        </w:rPr>
      </w:pPr>
      <w:r>
        <w:rPr>
          <w:rFonts w:hint="eastAsia"/>
          <w:color w:val="auto"/>
          <w:sz w:val="24"/>
          <w:szCs w:val="24"/>
          <w:lang w:val="en-US" w:eastAsia="zh-CN"/>
        </w:rPr>
        <w:t>安全阀、压力表、温度计的年检。</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Chars="0" w:firstLine="480" w:firstLineChars="200"/>
        <w:textAlignment w:val="auto"/>
        <w:rPr>
          <w:rFonts w:hint="default"/>
          <w:color w:val="auto"/>
          <w:sz w:val="24"/>
          <w:szCs w:val="24"/>
          <w:lang w:val="en-US" w:eastAsia="zh-CN"/>
        </w:rPr>
      </w:pPr>
      <w:r>
        <w:rPr>
          <w:rFonts w:hint="eastAsia"/>
          <w:color w:val="auto"/>
          <w:sz w:val="24"/>
          <w:szCs w:val="24"/>
          <w:lang w:val="en-US" w:eastAsia="zh-CN"/>
        </w:rPr>
        <w:t>含水处理试剂费用（1年）。</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Chars="0" w:firstLine="480" w:firstLineChars="200"/>
        <w:textAlignment w:val="auto"/>
        <w:rPr>
          <w:rFonts w:hint="default"/>
          <w:color w:val="auto"/>
          <w:sz w:val="24"/>
          <w:szCs w:val="24"/>
          <w:lang w:val="en-US" w:eastAsia="zh-CN"/>
        </w:rPr>
      </w:pPr>
      <w:r>
        <w:rPr>
          <w:rFonts w:hint="eastAsia"/>
          <w:color w:val="auto"/>
          <w:sz w:val="24"/>
          <w:szCs w:val="24"/>
          <w:lang w:val="en-US" w:eastAsia="zh-CN"/>
        </w:rPr>
        <w:t>软水箱以及出水管路、阀门以及浮球阀的维保。</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Chars="0" w:firstLine="480" w:firstLineChars="200"/>
        <w:textAlignment w:val="auto"/>
        <w:rPr>
          <w:rFonts w:hint="default"/>
          <w:color w:val="auto"/>
          <w:sz w:val="24"/>
          <w:szCs w:val="24"/>
          <w:lang w:val="en-US" w:eastAsia="zh-CN"/>
        </w:rPr>
      </w:pPr>
      <w:r>
        <w:rPr>
          <w:rFonts w:hint="eastAsia"/>
          <w:color w:val="auto"/>
          <w:sz w:val="24"/>
          <w:szCs w:val="24"/>
          <w:lang w:val="en-US" w:eastAsia="zh-CN"/>
        </w:rPr>
        <w:t>水处理设备（离子交换器以及取样器和控制器件）的维保。</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Chars="0" w:firstLine="480" w:firstLineChars="200"/>
        <w:textAlignment w:val="auto"/>
        <w:rPr>
          <w:rFonts w:hint="default"/>
          <w:sz w:val="24"/>
          <w:szCs w:val="24"/>
          <w:lang w:val="en-US" w:eastAsia="zh-CN"/>
        </w:rPr>
      </w:pPr>
      <w:r>
        <w:rPr>
          <w:rFonts w:hint="eastAsia"/>
          <w:color w:val="auto"/>
          <w:sz w:val="24"/>
          <w:szCs w:val="24"/>
          <w:lang w:val="en-US" w:eastAsia="zh-CN"/>
        </w:rPr>
        <w:t>每年按规定时间联系特检院进行冷检和热检，</w:t>
      </w:r>
      <w:r>
        <w:rPr>
          <w:rFonts w:hint="eastAsia"/>
          <w:sz w:val="24"/>
          <w:szCs w:val="24"/>
          <w:lang w:val="en-US" w:eastAsia="zh-CN"/>
        </w:rPr>
        <w:t>并做好相应准备工作，保证年检合格。</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Chars="0" w:firstLine="482" w:firstLineChars="200"/>
        <w:textAlignment w:val="auto"/>
        <w:rPr>
          <w:rFonts w:hint="default"/>
          <w:b/>
          <w:bCs/>
          <w:color w:val="auto"/>
          <w:sz w:val="24"/>
          <w:szCs w:val="24"/>
          <w:lang w:val="en-US" w:eastAsia="zh-CN"/>
        </w:rPr>
      </w:pPr>
      <w:r>
        <w:rPr>
          <w:rFonts w:hint="eastAsia"/>
          <w:b/>
          <w:bCs/>
          <w:color w:val="auto"/>
          <w:sz w:val="24"/>
          <w:szCs w:val="24"/>
          <w:lang w:val="en-US" w:eastAsia="zh-CN"/>
        </w:rPr>
        <w:t>包括涉及到锅炉维保所有200元以内的配件维修更换。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sz w:val="24"/>
          <w:szCs w:val="24"/>
          <w:lang w:val="en-US" w:eastAsia="zh-CN"/>
        </w:rPr>
      </w:pPr>
      <w:r>
        <w:rPr>
          <w:rFonts w:hint="eastAsia"/>
          <w:sz w:val="24"/>
          <w:szCs w:val="24"/>
          <w:lang w:val="en-US" w:eastAsia="zh-CN"/>
        </w:rPr>
        <w:t>5、质量控制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sz w:val="24"/>
          <w:szCs w:val="24"/>
          <w:lang w:val="en-US" w:eastAsia="zh-CN"/>
        </w:rPr>
      </w:pPr>
      <w:r>
        <w:rPr>
          <w:rFonts w:hint="default"/>
          <w:sz w:val="24"/>
          <w:szCs w:val="24"/>
          <w:lang w:val="en-US" w:eastAsia="zh-CN"/>
        </w:rPr>
        <w:t>维保过程中有权随时监督维修质量。所使用的产品、配件必须符合国家安</w:t>
      </w:r>
      <w:r>
        <w:rPr>
          <w:rFonts w:hint="eastAsia"/>
          <w:sz w:val="24"/>
          <w:szCs w:val="24"/>
          <w:lang w:val="en-US" w:eastAsia="zh-CN"/>
        </w:rPr>
        <w:t>全标准，并附带产品合格证。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val="en-US" w:eastAsia="zh-CN"/>
        </w:rPr>
        <w:t>6、安全责任划分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sz w:val="24"/>
          <w:szCs w:val="24"/>
          <w:lang w:val="en-US" w:eastAsia="zh-CN"/>
        </w:rPr>
      </w:pPr>
      <w:r>
        <w:rPr>
          <w:rFonts w:hint="eastAsia"/>
          <w:sz w:val="24"/>
          <w:szCs w:val="24"/>
          <w:lang w:val="en-US" w:eastAsia="zh-CN"/>
        </w:rPr>
        <w:t>成交供应商</w:t>
      </w:r>
      <w:r>
        <w:rPr>
          <w:rFonts w:hint="default"/>
          <w:sz w:val="24"/>
          <w:szCs w:val="24"/>
          <w:lang w:val="en-US" w:eastAsia="zh-CN"/>
        </w:rPr>
        <w:t>在维保施工期间应有施工措施</w:t>
      </w:r>
      <w:r>
        <w:rPr>
          <w:rFonts w:hint="eastAsia"/>
          <w:sz w:val="24"/>
          <w:szCs w:val="24"/>
          <w:lang w:val="en-US" w:eastAsia="zh-CN"/>
        </w:rPr>
        <w:t>并</w:t>
      </w:r>
      <w:r>
        <w:rPr>
          <w:rFonts w:hint="default"/>
          <w:sz w:val="24"/>
          <w:szCs w:val="24"/>
          <w:lang w:val="en-US" w:eastAsia="zh-CN"/>
        </w:rPr>
        <w:t>负责施工期间人员、设备安</w:t>
      </w:r>
      <w:r>
        <w:rPr>
          <w:rFonts w:hint="eastAsia"/>
          <w:sz w:val="24"/>
          <w:szCs w:val="24"/>
          <w:lang w:val="en-US" w:eastAsia="zh-CN"/>
        </w:rPr>
        <w:t>全。</w:t>
      </w:r>
    </w:p>
    <w:p>
      <w:pPr>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lang w:val="en-US" w:eastAsia="zh-CN"/>
        </w:rPr>
        <w:t>二</w:t>
      </w:r>
      <w:r>
        <w:rPr>
          <w:rFonts w:hint="eastAsia" w:ascii="宋体" w:hAnsi="宋体" w:cs="宋体"/>
          <w:b/>
          <w:bCs/>
          <w:sz w:val="24"/>
          <w:szCs w:val="24"/>
        </w:rPr>
        <w:t>、服务期</w:t>
      </w:r>
    </w:p>
    <w:p>
      <w:pPr>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sz w:val="24"/>
          <w:szCs w:val="24"/>
        </w:rPr>
        <w:t>本项目合同服务期暂定三年，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w:t>
      </w:r>
      <w:r>
        <w:rPr>
          <w:rFonts w:hint="eastAsia" w:ascii="宋体" w:hAnsi="宋体" w:cs="宋体"/>
          <w:color w:val="auto"/>
          <w:sz w:val="24"/>
          <w:szCs w:val="24"/>
        </w:rPr>
        <w:t>如成交供应商在合同期内年度综合考核得分＜90分，则采购人不再与成交供应商续签合同。</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lang w:val="en-US" w:eastAsia="zh-CN"/>
        </w:rPr>
        <w:t>三</w:t>
      </w:r>
      <w:r>
        <w:rPr>
          <w:rFonts w:hint="eastAsia" w:ascii="宋体" w:hAnsi="宋体" w:cs="宋体"/>
          <w:b/>
          <w:sz w:val="24"/>
          <w:szCs w:val="24"/>
        </w:rPr>
        <w:t>、其他约定事项：</w:t>
      </w:r>
    </w:p>
    <w:p>
      <w:pPr>
        <w:spacing w:line="360" w:lineRule="auto"/>
        <w:ind w:firstLine="480" w:firstLineChars="200"/>
        <w:rPr>
          <w:rFonts w:ascii="宋体" w:hAnsi="宋体" w:cs="宋体"/>
          <w:sz w:val="24"/>
          <w:szCs w:val="24"/>
        </w:rPr>
      </w:pPr>
      <w:r>
        <w:rPr>
          <w:rFonts w:hint="eastAsia" w:ascii="宋体" w:hAnsi="宋体" w:cs="宋体"/>
          <w:sz w:val="24"/>
          <w:szCs w:val="24"/>
        </w:rPr>
        <w:t>1、成交供应商必须按照法律、法规及劳动法的有关规定为</w:t>
      </w:r>
      <w:r>
        <w:rPr>
          <w:rFonts w:hint="eastAsia" w:ascii="宋体" w:hAnsi="宋体" w:cs="宋体"/>
          <w:sz w:val="24"/>
          <w:szCs w:val="24"/>
          <w:lang w:val="en-US" w:eastAsia="zh-CN"/>
        </w:rPr>
        <w:t>值班</w:t>
      </w:r>
      <w:r>
        <w:rPr>
          <w:rFonts w:hint="eastAsia" w:ascii="宋体" w:hAnsi="宋体" w:cs="宋体"/>
          <w:sz w:val="24"/>
          <w:szCs w:val="24"/>
        </w:rPr>
        <w:t>服务人员办理相关手续，合法用工。</w:t>
      </w:r>
    </w:p>
    <w:p>
      <w:pPr>
        <w:spacing w:line="360" w:lineRule="auto"/>
        <w:ind w:firstLine="480" w:firstLineChars="200"/>
        <w:rPr>
          <w:rFonts w:ascii="宋体" w:hAnsi="宋体" w:cs="宋体"/>
          <w:sz w:val="24"/>
          <w:szCs w:val="24"/>
        </w:rPr>
      </w:pPr>
      <w:r>
        <w:rPr>
          <w:rFonts w:hint="eastAsia" w:ascii="宋体" w:hAnsi="宋体" w:cs="宋体"/>
          <w:sz w:val="24"/>
          <w:szCs w:val="24"/>
        </w:rPr>
        <w:t>2、成交供应商为采购人提供的服务人员在合同期内如发生因工伤、致残、疾病、死亡等各类劳动仲裁、诉讼等事宜均与采购方无关。</w:t>
      </w:r>
    </w:p>
    <w:p>
      <w:pPr>
        <w:spacing w:line="360" w:lineRule="auto"/>
        <w:ind w:firstLine="480" w:firstLineChars="200"/>
        <w:rPr>
          <w:rFonts w:ascii="宋体" w:hAnsi="宋体" w:cs="宋体"/>
          <w:sz w:val="24"/>
          <w:szCs w:val="24"/>
        </w:rPr>
      </w:pPr>
      <w:r>
        <w:rPr>
          <w:rFonts w:hint="eastAsia" w:ascii="宋体" w:hAnsi="宋体" w:cs="宋体"/>
          <w:sz w:val="24"/>
          <w:szCs w:val="24"/>
        </w:rPr>
        <w:t>3、工作过程中因成交供应商责任所造成的经济损失由成交供应商按实际额赔偿。因不可抗力因素造成增加的费用或造成采购方提供的设施损失，双方共同协商解决。</w:t>
      </w:r>
    </w:p>
    <w:p>
      <w:pPr>
        <w:pStyle w:val="19"/>
        <w:spacing w:line="360" w:lineRule="auto"/>
        <w:ind w:firstLine="480" w:firstLineChars="200"/>
        <w:rPr>
          <w:rFonts w:ascii="宋体" w:hAnsi="宋体" w:cs="宋体"/>
          <w:sz w:val="24"/>
          <w:szCs w:val="24"/>
        </w:rPr>
      </w:pPr>
      <w:r>
        <w:rPr>
          <w:rFonts w:hint="eastAsia" w:ascii="宋体" w:hAnsi="宋体" w:cs="宋体"/>
          <w:sz w:val="24"/>
          <w:szCs w:val="24"/>
        </w:rPr>
        <w:t>4、合同届满时，成交供应商必须做好一切交接手续，确保采购人工作的正常进行，否则视为成交供应商违约，造成损失的应予赔偿。如采购人因特殊原因需延期的，供应商应配合完成。</w:t>
      </w:r>
    </w:p>
    <w:p>
      <w:pPr>
        <w:snapToGrid w:val="0"/>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lang w:val="en-US" w:eastAsia="zh-CN"/>
        </w:rPr>
        <w:t>四</w:t>
      </w:r>
      <w:r>
        <w:rPr>
          <w:rFonts w:hint="eastAsia" w:ascii="宋体" w:hAnsi="宋体" w:cs="宋体"/>
          <w:b/>
          <w:bCs/>
          <w:color w:val="000000"/>
          <w:sz w:val="24"/>
          <w:szCs w:val="24"/>
        </w:rPr>
        <w:t>、其他</w:t>
      </w:r>
    </w:p>
    <w:p>
      <w:pPr>
        <w:autoSpaceDE w:val="0"/>
        <w:autoSpaceDN w:val="0"/>
        <w:adjustRightInd w:val="0"/>
        <w:snapToGrid w:val="0"/>
        <w:spacing w:line="360" w:lineRule="auto"/>
        <w:jc w:val="left"/>
        <w:rPr>
          <w:rFonts w:ascii="宋体" w:hAnsi="宋体" w:cs="宋体"/>
          <w:b/>
          <w:i/>
          <w:color w:val="000000"/>
          <w:w w:val="80"/>
          <w:sz w:val="44"/>
          <w:szCs w:val="44"/>
        </w:rPr>
      </w:pPr>
      <w:r>
        <w:rPr>
          <w:rFonts w:hint="eastAsia" w:ascii="宋体" w:hAnsi="宋体" w:cs="宋体"/>
          <w:color w:val="000000"/>
          <w:kern w:val="0"/>
          <w:sz w:val="28"/>
          <w:szCs w:val="28"/>
          <w:shd w:val="clear" w:color="auto" w:fill="FFFFFF"/>
        </w:rPr>
        <w:t xml:space="preserve">  </w:t>
      </w:r>
      <w:r>
        <w:rPr>
          <w:rFonts w:hint="eastAsia"/>
          <w:sz w:val="24"/>
          <w:szCs w:val="24"/>
        </w:rPr>
        <w:t xml:space="preserve"> 其他未尽事宜按磋商文件相关规定执行。如磋商文件或合同文件未提及，则由双方协商解决处理。</w:t>
      </w:r>
    </w:p>
    <w:p>
      <w:pPr>
        <w:spacing w:line="460" w:lineRule="exact"/>
        <w:rPr>
          <w:rFonts w:ascii="宋体" w:hAnsi="宋体" w:cs="宋体"/>
          <w:b/>
          <w:bCs/>
          <w:w w:val="80"/>
          <w:sz w:val="44"/>
          <w:szCs w:val="44"/>
        </w:rPr>
        <w:sectPr>
          <w:pgSz w:w="11906" w:h="16838"/>
          <w:pgMar w:top="1440" w:right="1361" w:bottom="1440" w:left="1361" w:header="851" w:footer="992" w:gutter="0"/>
          <w:cols w:space="720" w:num="1"/>
          <w:docGrid w:type="lines" w:linePitch="312" w:charSpace="0"/>
        </w:sectPr>
      </w:pPr>
    </w:p>
    <w:p>
      <w:pPr>
        <w:spacing w:line="460" w:lineRule="exact"/>
        <w:jc w:val="center"/>
        <w:rPr>
          <w:rFonts w:ascii="宋体"/>
          <w:kern w:val="0"/>
          <w:sz w:val="32"/>
          <w:szCs w:val="32"/>
        </w:rPr>
      </w:pP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5" w:name="_Toc182848996"/>
      <w:bookmarkStart w:id="46" w:name="_Toc43217893"/>
      <w:bookmarkStart w:id="47" w:name="_Toc37322565"/>
      <w:bookmarkStart w:id="48" w:name="_Toc38121794"/>
      <w:bookmarkStart w:id="49" w:name="_Toc85627670"/>
      <w:bookmarkStart w:id="50" w:name="_Toc12670506"/>
      <w:bookmarkStart w:id="51" w:name="_Toc94544873"/>
      <w:bookmarkStart w:id="52" w:name="_Toc94544747"/>
      <w:bookmarkStart w:id="53" w:name="_Toc8895742"/>
      <w:bookmarkStart w:id="54" w:name="_Toc11500283"/>
      <w:bookmarkStart w:id="55" w:name="_Toc11554642"/>
      <w:bookmarkStart w:id="56" w:name="_Toc11499587"/>
      <w:bookmarkStart w:id="57" w:name="_Toc13803484"/>
      <w:r>
        <w:rPr>
          <w:rFonts w:hint="eastAsia" w:ascii="宋体" w:hAnsi="宋体" w:cs="宋体"/>
          <w:b/>
          <w:bCs/>
          <w:w w:val="80"/>
          <w:sz w:val="44"/>
          <w:szCs w:val="44"/>
        </w:rPr>
        <w:t xml:space="preserve">  评审方法和程序</w:t>
      </w:r>
      <w:bookmarkEnd w:id="44"/>
    </w:p>
    <w:bookmarkEnd w:id="45"/>
    <w:bookmarkEnd w:id="46"/>
    <w:bookmarkEnd w:id="47"/>
    <w:bookmarkEnd w:id="48"/>
    <w:bookmarkEnd w:id="49"/>
    <w:p>
      <w:pPr>
        <w:snapToGrid w:val="0"/>
        <w:spacing w:line="480" w:lineRule="exact"/>
        <w:ind w:firstLine="482" w:firstLineChars="200"/>
        <w:outlineLvl w:val="1"/>
        <w:rPr>
          <w:rFonts w:ascii="宋体"/>
          <w:b/>
          <w:bCs/>
          <w:sz w:val="24"/>
          <w:szCs w:val="24"/>
        </w:rPr>
      </w:pPr>
      <w:bookmarkStart w:id="58" w:name="_Toc363573857"/>
      <w:bookmarkEnd w:id="58"/>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一、代理机构组织磋商</w:t>
      </w:r>
    </w:p>
    <w:p>
      <w:pPr>
        <w:snapToGrid w:val="0"/>
        <w:spacing w:line="360" w:lineRule="auto"/>
        <w:ind w:firstLine="480"/>
        <w:rPr>
          <w:rFonts w:hint="eastAsia"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、本次竞争性磋商依据《中华人民共和国政府采购法》、《政府采购竞争性磋商采购方式管理暂行办法》及有关法规成立磋商小组。磋商小组由评审专家共3人组成。</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、除非在磋商中磋商小组对采购人需求内容作了调整增加，或对采购内容作了实质性变更，否则</w:t>
      </w:r>
      <w:r>
        <w:rPr>
          <w:rFonts w:hint="eastAsia" w:ascii="宋体" w:hAnsi="宋体" w:cs="宋体"/>
          <w:b/>
          <w:bCs/>
          <w:sz w:val="24"/>
          <w:szCs w:val="24"/>
        </w:rPr>
        <w:t>采购人不接受供应商高于自己前一轮的磋商报价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360" w:lineRule="auto"/>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hint="eastAsia" w:ascii="宋体" w:hAnsi="宋体" w:cs="宋体"/>
          <w:b/>
          <w:bCs/>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、评审步骤规定：</w:t>
      </w:r>
    </w:p>
    <w:p>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将校核后的各供应商的报价从低到高排序（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snapToGrid w:val="0"/>
        <w:spacing w:line="360" w:lineRule="auto"/>
        <w:ind w:firstLine="480" w:firstLineChars="200"/>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四、磋商评定结果的方法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技术响应文件分值占总分值的比重为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rPr>
        <w:t>70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商务报价响应文件分值占总分值的比重为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rPr>
        <w:t>3</w:t>
      </w:r>
      <w:r>
        <w:rPr>
          <w:rFonts w:ascii="宋体" w:hAnsi="宋体" w:cs="宋体"/>
          <w:kern w:val="0"/>
          <w:sz w:val="24"/>
          <w:szCs w:val="24"/>
          <w:u w:val="single"/>
        </w:rPr>
        <w:t>0%</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360" w:lineRule="auto"/>
        <w:ind w:firstLine="480" w:firstLineChars="200"/>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360" w:lineRule="auto"/>
        <w:ind w:firstLine="460" w:firstLineChars="192"/>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pPr>
        <w:snapToGrid w:val="0"/>
        <w:spacing w:line="360" w:lineRule="auto"/>
        <w:ind w:firstLine="460" w:firstLineChars="192"/>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）若总分相同，则按最终报价得分高者优先中标。</w:t>
      </w:r>
    </w:p>
    <w:p>
      <w:pPr>
        <w:snapToGrid w:val="0"/>
        <w:spacing w:line="360" w:lineRule="auto"/>
        <w:ind w:firstLine="480" w:firstLineChars="200"/>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五、综合评分评审标准</w:t>
      </w:r>
    </w:p>
    <w:p>
      <w:pPr>
        <w:adjustRightInd w:val="0"/>
        <w:snapToGrid w:val="0"/>
        <w:spacing w:line="360" w:lineRule="auto"/>
        <w:ind w:firstLine="480" w:firstLineChars="200"/>
        <w:outlineLvl w:val="3"/>
        <w:rPr>
          <w:rFonts w:ascii="宋体"/>
          <w:sz w:val="24"/>
          <w:szCs w:val="24"/>
        </w:rPr>
      </w:pPr>
      <w:r>
        <w:rPr>
          <w:rFonts w:hint="eastAsia" w:ascii="宋体" w:hAnsi="宋体" w:cs="宋体"/>
          <w:sz w:val="24"/>
          <w:szCs w:val="24"/>
        </w:rPr>
        <w:t>（一）技术磋商响应评审：（7</w:t>
      </w:r>
      <w:r>
        <w:rPr>
          <w:rFonts w:ascii="宋体" w:cs="宋体"/>
          <w:sz w:val="24"/>
          <w:szCs w:val="24"/>
        </w:rPr>
        <w:t>0</w:t>
      </w:r>
      <w:r>
        <w:rPr>
          <w:rFonts w:hint="eastAsia" w:ascii="宋体" w:hAnsi="宋体" w:cs="宋体"/>
          <w:sz w:val="24"/>
          <w:szCs w:val="24"/>
        </w:rPr>
        <w:t>分）</w:t>
      </w:r>
    </w:p>
    <w:tbl>
      <w:tblPr>
        <w:tblStyle w:val="5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633"/>
        <w:gridCol w:w="558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548" w:type="dxa"/>
            <w:noWrap w:val="0"/>
            <w:vAlign w:val="center"/>
          </w:tcPr>
          <w:p>
            <w:pPr>
              <w:tabs>
                <w:tab w:val="left" w:pos="10546"/>
              </w:tabs>
              <w:jc w:val="center"/>
              <w:rPr>
                <w:rFonts w:ascii="宋体"/>
                <w:b/>
                <w:bCs/>
                <w:sz w:val="24"/>
                <w:szCs w:val="24"/>
              </w:rPr>
            </w:pPr>
            <w:r>
              <w:rPr>
                <w:rFonts w:hint="eastAsia" w:ascii="宋体" w:hAnsi="宋体" w:cs="宋体"/>
                <w:b/>
                <w:bCs/>
                <w:sz w:val="24"/>
                <w:szCs w:val="24"/>
              </w:rPr>
              <w:t>序号</w:t>
            </w:r>
          </w:p>
        </w:tc>
        <w:tc>
          <w:tcPr>
            <w:tcW w:w="1633" w:type="dxa"/>
            <w:noWrap w:val="0"/>
            <w:vAlign w:val="center"/>
          </w:tcPr>
          <w:p>
            <w:pPr>
              <w:snapToGrid w:val="0"/>
              <w:jc w:val="center"/>
              <w:outlineLvl w:val="1"/>
              <w:rPr>
                <w:rFonts w:ascii="宋体"/>
                <w:b/>
                <w:bCs/>
                <w:sz w:val="24"/>
                <w:szCs w:val="24"/>
              </w:rPr>
            </w:pPr>
            <w:r>
              <w:rPr>
                <w:rFonts w:hint="eastAsia" w:ascii="宋体" w:hAnsi="宋体" w:cs="宋体"/>
                <w:b/>
                <w:bCs/>
                <w:sz w:val="24"/>
                <w:szCs w:val="24"/>
              </w:rPr>
              <w:t>评分因素</w:t>
            </w:r>
          </w:p>
        </w:tc>
        <w:tc>
          <w:tcPr>
            <w:tcW w:w="5581" w:type="dxa"/>
            <w:noWrap w:val="0"/>
            <w:vAlign w:val="center"/>
          </w:tcPr>
          <w:p>
            <w:pPr>
              <w:snapToGrid w:val="0"/>
              <w:jc w:val="center"/>
              <w:outlineLvl w:val="1"/>
              <w:rPr>
                <w:rFonts w:ascii="宋体"/>
                <w:b/>
                <w:bCs/>
                <w:sz w:val="24"/>
                <w:szCs w:val="24"/>
              </w:rPr>
            </w:pPr>
            <w:r>
              <w:rPr>
                <w:rFonts w:hint="eastAsia" w:ascii="宋体" w:hAnsi="宋体" w:cs="宋体"/>
                <w:b/>
                <w:bCs/>
                <w:sz w:val="24"/>
                <w:szCs w:val="24"/>
              </w:rPr>
              <w:t>评分标准</w:t>
            </w:r>
          </w:p>
        </w:tc>
        <w:tc>
          <w:tcPr>
            <w:tcW w:w="1276" w:type="dxa"/>
            <w:noWrap w:val="0"/>
            <w:vAlign w:val="center"/>
          </w:tcPr>
          <w:p>
            <w:pPr>
              <w:snapToGrid w:val="0"/>
              <w:jc w:val="center"/>
              <w:outlineLvl w:val="1"/>
              <w:rPr>
                <w:rFonts w:ascii="宋体"/>
                <w:b/>
                <w:bCs/>
                <w:sz w:val="24"/>
                <w:szCs w:val="24"/>
              </w:rPr>
            </w:pPr>
            <w:r>
              <w:rPr>
                <w:rFonts w:hint="eastAsia" w:ascii="宋体"/>
                <w:b/>
                <w:bCs/>
                <w:sz w:val="24"/>
                <w:szCs w:val="24"/>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48" w:type="dxa"/>
            <w:vMerge w:val="restart"/>
            <w:noWrap w:val="0"/>
            <w:vAlign w:val="center"/>
          </w:tcPr>
          <w:p>
            <w:pPr>
              <w:tabs>
                <w:tab w:val="left" w:pos="10546"/>
              </w:tabs>
              <w:spacing w:line="360" w:lineRule="auto"/>
              <w:jc w:val="center"/>
              <w:rPr>
                <w:rFonts w:ascii="宋体"/>
                <w:sz w:val="24"/>
                <w:szCs w:val="24"/>
              </w:rPr>
            </w:pPr>
            <w:r>
              <w:rPr>
                <w:rFonts w:hint="eastAsia" w:ascii="宋体"/>
                <w:sz w:val="24"/>
                <w:szCs w:val="24"/>
              </w:rPr>
              <w:t>1</w:t>
            </w:r>
          </w:p>
        </w:tc>
        <w:tc>
          <w:tcPr>
            <w:tcW w:w="1633" w:type="dxa"/>
            <w:vMerge w:val="restart"/>
            <w:noWrap w:val="0"/>
            <w:vAlign w:val="center"/>
          </w:tcPr>
          <w:p>
            <w:pPr>
              <w:widowControl/>
              <w:jc w:val="center"/>
              <w:rPr>
                <w:rFonts w:ascii="宋体" w:hAnsi="宋体" w:cs="宋体"/>
                <w:color w:val="000000"/>
                <w:kern w:val="0"/>
              </w:rPr>
            </w:pPr>
            <w:r>
              <w:rPr>
                <w:rFonts w:hint="eastAsia" w:ascii="宋体" w:hAnsi="宋体" w:cs="宋体"/>
                <w:color w:val="000000"/>
                <w:kern w:val="0"/>
              </w:rPr>
              <w:t>企业实力</w:t>
            </w:r>
          </w:p>
        </w:tc>
        <w:tc>
          <w:tcPr>
            <w:tcW w:w="5581" w:type="dxa"/>
            <w:noWrap w:val="0"/>
            <w:vAlign w:val="center"/>
          </w:tcPr>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1、</w:t>
            </w:r>
            <w:r>
              <w:rPr>
                <w:rFonts w:hint="eastAsia" w:ascii="宋体" w:hAnsi="宋体" w:eastAsia="宋体" w:cs="Times New Roman"/>
                <w:sz w:val="24"/>
                <w:lang w:eastAsia="zh-CN"/>
              </w:rPr>
              <w:t>供应商具备有效的质量管理体系ISO9001认证证书的，得2分；</w:t>
            </w:r>
          </w:p>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2、</w:t>
            </w:r>
            <w:r>
              <w:rPr>
                <w:rFonts w:hint="eastAsia" w:ascii="宋体" w:hAnsi="宋体" w:eastAsia="宋体" w:cs="Times New Roman"/>
                <w:sz w:val="24"/>
                <w:lang w:eastAsia="zh-CN"/>
              </w:rPr>
              <w:t>供应商具备有效的环境管理体系ISO140001认证证书的，得2分；</w:t>
            </w:r>
          </w:p>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3、</w:t>
            </w:r>
            <w:r>
              <w:rPr>
                <w:rFonts w:hint="eastAsia" w:ascii="宋体" w:hAnsi="宋体" w:eastAsia="宋体" w:cs="Times New Roman"/>
                <w:sz w:val="24"/>
                <w:lang w:eastAsia="zh-CN"/>
              </w:rPr>
              <w:t>供应商具备有效的ISO18000或ISO45001职业健康安全管理体系认证证书的，得2分。</w:t>
            </w:r>
          </w:p>
          <w:p>
            <w:pPr>
              <w:pStyle w:val="2"/>
              <w:ind w:firstLine="0" w:firstLineChars="0"/>
              <w:rPr>
                <w:rFonts w:hint="eastAsia"/>
              </w:rPr>
            </w:pPr>
            <w:r>
              <w:rPr>
                <w:rFonts w:hint="eastAsia" w:ascii="宋体" w:hAnsi="宋体" w:cs="宋体"/>
                <w:b/>
                <w:bCs/>
                <w:sz w:val="24"/>
                <w:szCs w:val="24"/>
              </w:rPr>
              <w:t>注：须提供认证证书原件的复印件或扫描件，并加盖供应商公章。原件备查。</w:t>
            </w:r>
          </w:p>
        </w:tc>
        <w:tc>
          <w:tcPr>
            <w:tcW w:w="1276" w:type="dxa"/>
            <w:noWrap w:val="0"/>
            <w:vAlign w:val="center"/>
          </w:tcPr>
          <w:p>
            <w:pPr>
              <w:widowControl/>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48" w:type="dxa"/>
            <w:vMerge w:val="continue"/>
            <w:noWrap w:val="0"/>
            <w:vAlign w:val="center"/>
          </w:tcPr>
          <w:p>
            <w:pPr>
              <w:tabs>
                <w:tab w:val="left" w:pos="10546"/>
              </w:tabs>
              <w:spacing w:line="360" w:lineRule="auto"/>
              <w:jc w:val="center"/>
              <w:rPr>
                <w:rFonts w:hint="eastAsia" w:ascii="宋体"/>
                <w:sz w:val="24"/>
                <w:szCs w:val="24"/>
              </w:rPr>
            </w:pPr>
          </w:p>
        </w:tc>
        <w:tc>
          <w:tcPr>
            <w:tcW w:w="1633" w:type="dxa"/>
            <w:vMerge w:val="continue"/>
            <w:noWrap w:val="0"/>
            <w:vAlign w:val="center"/>
          </w:tcPr>
          <w:p>
            <w:pPr>
              <w:widowControl/>
              <w:jc w:val="center"/>
              <w:rPr>
                <w:rFonts w:hint="eastAsia" w:ascii="宋体" w:hAnsi="宋体" w:cs="宋体"/>
                <w:color w:val="000000"/>
                <w:kern w:val="0"/>
              </w:rPr>
            </w:pPr>
          </w:p>
        </w:tc>
        <w:tc>
          <w:tcPr>
            <w:tcW w:w="5581" w:type="dxa"/>
            <w:noWrap w:val="0"/>
            <w:vAlign w:val="center"/>
          </w:tcPr>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供应商具备有效的</w:t>
            </w:r>
            <w:r>
              <w:rPr>
                <w:rFonts w:hint="eastAsia" w:ascii="宋体" w:hAnsi="宋体" w:cs="Times New Roman"/>
                <w:sz w:val="24"/>
                <w:lang w:eastAsia="zh-CN"/>
              </w:rPr>
              <w:t>特种设备生产许可证锅炉</w:t>
            </w:r>
            <w:r>
              <w:rPr>
                <w:rFonts w:hint="eastAsia" w:ascii="宋体" w:hAnsi="宋体" w:cs="Times New Roman"/>
                <w:sz w:val="24"/>
                <w:lang w:val="en-US" w:eastAsia="zh-CN"/>
              </w:rPr>
              <w:t>A级证书得15分</w:t>
            </w:r>
            <w:r>
              <w:rPr>
                <w:rFonts w:hint="eastAsia" w:ascii="宋体" w:hAnsi="宋体" w:eastAsia="宋体" w:cs="Times New Roman"/>
                <w:sz w:val="24"/>
                <w:lang w:eastAsia="zh-CN"/>
              </w:rPr>
              <w:t>；具备有效的</w:t>
            </w:r>
            <w:r>
              <w:rPr>
                <w:rFonts w:hint="eastAsia" w:ascii="宋体" w:hAnsi="宋体" w:cs="Times New Roman"/>
                <w:sz w:val="24"/>
                <w:lang w:eastAsia="zh-CN"/>
              </w:rPr>
              <w:t>特种设备生产许可证锅炉</w:t>
            </w:r>
            <w:r>
              <w:rPr>
                <w:rFonts w:hint="eastAsia" w:ascii="宋体" w:hAnsi="宋体" w:cs="Times New Roman"/>
                <w:sz w:val="24"/>
                <w:lang w:val="en-US" w:eastAsia="zh-CN"/>
              </w:rPr>
              <w:t>B级证书得10分；</w:t>
            </w:r>
            <w:r>
              <w:rPr>
                <w:rFonts w:hint="eastAsia" w:ascii="宋体" w:hAnsi="宋体" w:eastAsia="宋体" w:cs="Times New Roman"/>
                <w:sz w:val="24"/>
                <w:lang w:eastAsia="zh-CN"/>
              </w:rPr>
              <w:t>其余不得分。</w:t>
            </w:r>
          </w:p>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 xml:space="preserve">供应商具备有效的特种设备生产许可证安装、改造、维修一级证书 </w:t>
            </w:r>
            <w:r>
              <w:rPr>
                <w:rFonts w:hint="eastAsia" w:ascii="宋体" w:hAnsi="宋体" w:cs="Times New Roman"/>
                <w:sz w:val="24"/>
                <w:lang w:val="en-US" w:eastAsia="zh-CN"/>
              </w:rPr>
              <w:t>得</w:t>
            </w:r>
            <w:r>
              <w:rPr>
                <w:rFonts w:hint="eastAsia" w:ascii="宋体" w:hAnsi="宋体" w:eastAsia="宋体" w:cs="Times New Roman"/>
                <w:sz w:val="24"/>
                <w:lang w:val="en-US" w:eastAsia="zh-CN"/>
              </w:rPr>
              <w:t>5分</w:t>
            </w:r>
            <w:r>
              <w:rPr>
                <w:rFonts w:hint="eastAsia" w:ascii="宋体" w:hAnsi="宋体" w:cs="Times New Roman"/>
                <w:sz w:val="24"/>
                <w:lang w:val="en-US" w:eastAsia="zh-CN"/>
              </w:rPr>
              <w:t>；</w:t>
            </w:r>
          </w:p>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本项最高得</w:t>
            </w:r>
            <w:r>
              <w:rPr>
                <w:rFonts w:hint="eastAsia" w:ascii="宋体" w:hAnsi="宋体" w:cs="Times New Roman"/>
                <w:sz w:val="24"/>
                <w:lang w:val="en-US" w:eastAsia="zh-CN"/>
              </w:rPr>
              <w:t>20</w:t>
            </w:r>
            <w:r>
              <w:rPr>
                <w:rFonts w:hint="eastAsia" w:ascii="宋体" w:hAnsi="宋体" w:eastAsia="宋体" w:cs="Times New Roman"/>
                <w:sz w:val="24"/>
                <w:lang w:eastAsia="zh-CN"/>
              </w:rPr>
              <w:t>分。</w:t>
            </w:r>
          </w:p>
          <w:p>
            <w:pPr>
              <w:pStyle w:val="2"/>
              <w:ind w:firstLine="0" w:firstLineChars="0"/>
              <w:rPr>
                <w:rFonts w:hint="eastAsia"/>
              </w:rPr>
            </w:pPr>
            <w:r>
              <w:rPr>
                <w:rFonts w:hint="eastAsia" w:ascii="宋体" w:hAnsi="宋体" w:cs="宋体"/>
                <w:b/>
                <w:bCs/>
                <w:color w:val="000000"/>
                <w:sz w:val="24"/>
                <w:szCs w:val="24"/>
              </w:rPr>
              <w:t>注：须提供相关证书原件的复印件或扫描件，并加盖供应商公章。原件备查。</w:t>
            </w:r>
          </w:p>
        </w:tc>
        <w:tc>
          <w:tcPr>
            <w:tcW w:w="1276" w:type="dxa"/>
            <w:noWrap w:val="0"/>
            <w:vAlign w:val="center"/>
          </w:tcPr>
          <w:p>
            <w:pPr>
              <w:widowControl/>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548" w:type="dxa"/>
            <w:noWrap w:val="0"/>
            <w:vAlign w:val="center"/>
          </w:tcPr>
          <w:p>
            <w:pPr>
              <w:tabs>
                <w:tab w:val="left" w:pos="10546"/>
              </w:tabs>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633" w:type="dxa"/>
            <w:noWrap w:val="0"/>
            <w:vAlign w:val="center"/>
          </w:tcPr>
          <w:p>
            <w:pPr>
              <w:widowControl/>
              <w:jc w:val="center"/>
              <w:rPr>
                <w:rFonts w:hint="eastAsia" w:ascii="宋体" w:hAnsi="宋体" w:cs="宋体"/>
                <w:color w:val="000000"/>
                <w:kern w:val="0"/>
              </w:rPr>
            </w:pPr>
            <w:r>
              <w:rPr>
                <w:rFonts w:hint="eastAsia" w:ascii="宋体" w:hAnsi="宋体" w:cs="宋体"/>
                <w:color w:val="000000"/>
                <w:kern w:val="0"/>
                <w:sz w:val="24"/>
                <w:szCs w:val="24"/>
              </w:rPr>
              <w:t>供应商业绩</w:t>
            </w:r>
          </w:p>
        </w:tc>
        <w:tc>
          <w:tcPr>
            <w:tcW w:w="5581" w:type="dxa"/>
            <w:noWrap w:val="0"/>
            <w:vAlign w:val="center"/>
          </w:tcPr>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供应商自201</w:t>
            </w:r>
            <w:r>
              <w:rPr>
                <w:rFonts w:hint="eastAsia" w:ascii="宋体" w:hAnsi="宋体" w:cs="Times New Roman"/>
                <w:sz w:val="24"/>
                <w:lang w:val="en-US" w:eastAsia="zh-CN"/>
              </w:rPr>
              <w:t>9</w:t>
            </w:r>
            <w:r>
              <w:rPr>
                <w:rFonts w:hint="eastAsia" w:ascii="宋体" w:hAnsi="宋体" w:eastAsia="宋体" w:cs="Times New Roman"/>
                <w:sz w:val="24"/>
                <w:lang w:eastAsia="zh-CN"/>
              </w:rPr>
              <w:t>年</w:t>
            </w:r>
            <w:r>
              <w:rPr>
                <w:rFonts w:hint="eastAsia" w:ascii="宋体" w:hAnsi="宋体" w:cs="Times New Roman"/>
                <w:sz w:val="24"/>
                <w:lang w:val="en-US" w:eastAsia="zh-CN"/>
              </w:rPr>
              <w:t>09</w:t>
            </w:r>
            <w:r>
              <w:rPr>
                <w:rFonts w:hint="eastAsia" w:ascii="宋体" w:hAnsi="宋体" w:eastAsia="宋体" w:cs="Times New Roman"/>
                <w:sz w:val="24"/>
                <w:lang w:eastAsia="zh-CN"/>
              </w:rPr>
              <w:t>月1日（以合同签订时间为准）以来，有</w:t>
            </w:r>
            <w:r>
              <w:rPr>
                <w:rFonts w:hint="eastAsia" w:ascii="宋体" w:hAnsi="宋体" w:cs="Times New Roman"/>
                <w:sz w:val="24"/>
                <w:lang w:val="en-US" w:eastAsia="zh-CN"/>
              </w:rPr>
              <w:t>锅炉</w:t>
            </w:r>
            <w:r>
              <w:rPr>
                <w:rFonts w:hint="eastAsia" w:ascii="宋体" w:hAnsi="宋体" w:eastAsia="宋体" w:cs="Times New Roman"/>
                <w:sz w:val="24"/>
                <w:lang w:val="en-US" w:eastAsia="zh-CN"/>
              </w:rPr>
              <w:t>维保服务</w:t>
            </w:r>
            <w:r>
              <w:rPr>
                <w:rFonts w:hint="eastAsia" w:ascii="宋体" w:hAnsi="宋体" w:eastAsia="宋体" w:cs="Times New Roman"/>
                <w:sz w:val="24"/>
                <w:lang w:eastAsia="zh-CN"/>
              </w:rPr>
              <w:t>项目业绩的，每有一个得</w:t>
            </w:r>
            <w:r>
              <w:rPr>
                <w:rFonts w:hint="eastAsia" w:ascii="宋体" w:hAnsi="宋体" w:eastAsia="宋体" w:cs="Times New Roman"/>
                <w:sz w:val="24"/>
                <w:lang w:val="en-US" w:eastAsia="zh-CN"/>
              </w:rPr>
              <w:t>2</w:t>
            </w:r>
            <w:r>
              <w:rPr>
                <w:rFonts w:hint="eastAsia" w:ascii="宋体" w:hAnsi="宋体" w:eastAsia="宋体" w:cs="Times New Roman"/>
                <w:sz w:val="24"/>
                <w:lang w:eastAsia="zh-CN"/>
              </w:rPr>
              <w:t>分，本项最高得</w:t>
            </w:r>
            <w:r>
              <w:rPr>
                <w:rFonts w:hint="eastAsia" w:ascii="宋体" w:hAnsi="宋体" w:eastAsia="宋体" w:cs="Times New Roman"/>
                <w:sz w:val="24"/>
                <w:lang w:val="en-US" w:eastAsia="zh-CN"/>
              </w:rPr>
              <w:t>8</w:t>
            </w:r>
            <w:r>
              <w:rPr>
                <w:rFonts w:hint="eastAsia" w:ascii="宋体" w:hAnsi="宋体" w:eastAsia="宋体" w:cs="Times New Roman"/>
                <w:sz w:val="24"/>
                <w:lang w:eastAsia="zh-CN"/>
              </w:rPr>
              <w:t>分。</w:t>
            </w:r>
          </w:p>
          <w:p>
            <w:pPr>
              <w:snapToGrid w:val="0"/>
              <w:spacing w:line="360" w:lineRule="auto"/>
              <w:rPr>
                <w:rFonts w:hint="eastAsia" w:ascii="宋体" w:hAnsi="宋体" w:cs="宋体"/>
                <w:color w:val="000000"/>
                <w:kern w:val="0"/>
              </w:rPr>
            </w:pPr>
            <w:r>
              <w:rPr>
                <w:rFonts w:hint="eastAsia" w:ascii="宋体" w:hAnsi="宋体" w:eastAsia="宋体" w:cs="Times New Roman"/>
                <w:b/>
                <w:bCs/>
                <w:sz w:val="24"/>
              </w:rPr>
              <w:t>注：每个业绩须同时提供①完整清晰的合同扫描件或复印件；②结算税务发票（仅需提供一张，但开具日期须在本项目竞争性磋商公告发布日期之前）扫描件或复印件，否则不得分</w:t>
            </w:r>
            <w:r>
              <w:rPr>
                <w:rFonts w:hint="eastAsia" w:ascii="宋体" w:hAnsi="宋体" w:eastAsia="宋体" w:cs="Times New Roman"/>
                <w:b/>
                <w:bCs/>
                <w:color w:val="auto"/>
                <w:sz w:val="24"/>
              </w:rPr>
              <w:t>。所有扫描件或复印件须加盖供应商公章。原件备查。</w:t>
            </w:r>
            <w:r>
              <w:rPr>
                <w:rFonts w:hint="eastAsia" w:ascii="宋体" w:hAnsi="宋体" w:eastAsia="宋体" w:cs="宋体"/>
                <w:b/>
                <w:bCs/>
                <w:color w:val="auto"/>
                <w:sz w:val="24"/>
                <w:szCs w:val="24"/>
                <w:lang w:val="en-US" w:eastAsia="zh-CN"/>
              </w:rPr>
              <w:t>3、与同一采购人签订的多份合同只按一个业绩计算。</w:t>
            </w:r>
          </w:p>
        </w:tc>
        <w:tc>
          <w:tcPr>
            <w:tcW w:w="1276" w:type="dxa"/>
            <w:noWrap w:val="0"/>
            <w:vAlign w:val="center"/>
          </w:tcPr>
          <w:p>
            <w:pPr>
              <w:widowControl/>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5" w:hRule="atLeast"/>
          <w:jc w:val="center"/>
        </w:trPr>
        <w:tc>
          <w:tcPr>
            <w:tcW w:w="548"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1633" w:type="dxa"/>
            <w:noWrap w:val="0"/>
            <w:vAlign w:val="center"/>
          </w:tcPr>
          <w:p>
            <w:pPr>
              <w:pStyle w:val="87"/>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维保</w:t>
            </w:r>
            <w:r>
              <w:rPr>
                <w:rFonts w:hint="eastAsia" w:ascii="宋体" w:hAnsi="宋体" w:eastAsia="宋体" w:cs="宋体"/>
                <w:color w:val="000000"/>
                <w:sz w:val="24"/>
                <w:szCs w:val="24"/>
                <w:lang w:eastAsia="zh-CN"/>
              </w:rPr>
              <w:t>方案</w:t>
            </w:r>
          </w:p>
        </w:tc>
        <w:tc>
          <w:tcPr>
            <w:tcW w:w="5581" w:type="dxa"/>
            <w:noWrap w:val="0"/>
            <w:vAlign w:val="center"/>
          </w:tcPr>
          <w:p>
            <w:pPr>
              <w:snapToGrid w:val="0"/>
              <w:spacing w:line="360" w:lineRule="auto"/>
              <w:rPr>
                <w:rFonts w:hint="eastAsia" w:ascii="宋体" w:hAnsi="宋体"/>
                <w:sz w:val="24"/>
              </w:rPr>
            </w:pPr>
            <w:r>
              <w:rPr>
                <w:rFonts w:hint="eastAsia" w:ascii="宋体" w:hAnsi="宋体" w:cs="宋体"/>
                <w:sz w:val="24"/>
                <w:szCs w:val="24"/>
              </w:rPr>
              <w:t>1</w:t>
            </w:r>
            <w:r>
              <w:rPr>
                <w:rFonts w:hint="eastAsia" w:ascii="宋体" w:hAnsi="宋体"/>
                <w:sz w:val="24"/>
              </w:rPr>
              <w:t>）维保方案：方案符合相关规范及实际需要、针对性和实用性强，服务定位明确可行。各项维保、维修、服务、管理内容具体。优为</w:t>
            </w:r>
            <w:r>
              <w:rPr>
                <w:rFonts w:hint="eastAsia" w:ascii="宋体" w:hAnsi="宋体"/>
                <w:sz w:val="24"/>
                <w:lang w:val="en-US" w:eastAsia="zh-CN"/>
              </w:rPr>
              <w:t>18</w:t>
            </w:r>
            <w:r>
              <w:rPr>
                <w:rFonts w:hint="eastAsia" w:ascii="宋体" w:hAnsi="宋体"/>
                <w:sz w:val="24"/>
              </w:rPr>
              <w:t>-</w:t>
            </w:r>
            <w:r>
              <w:rPr>
                <w:rFonts w:hint="eastAsia" w:ascii="宋体" w:hAnsi="宋体"/>
                <w:sz w:val="24"/>
                <w:lang w:val="en-US" w:eastAsia="zh-CN"/>
              </w:rPr>
              <w:t>21</w:t>
            </w:r>
            <w:r>
              <w:rPr>
                <w:rFonts w:hint="eastAsia" w:ascii="宋体" w:hAnsi="宋体"/>
                <w:sz w:val="24"/>
              </w:rPr>
              <w:t>分，良为</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17</w:t>
            </w:r>
            <w:r>
              <w:rPr>
                <w:rFonts w:hint="eastAsia" w:ascii="宋体" w:hAnsi="宋体"/>
                <w:sz w:val="24"/>
              </w:rPr>
              <w:t>分，一般为0-</w:t>
            </w:r>
            <w:r>
              <w:rPr>
                <w:rFonts w:hint="eastAsia" w:ascii="宋体" w:hAnsi="宋体"/>
                <w:sz w:val="24"/>
                <w:lang w:val="en-US" w:eastAsia="zh-CN"/>
              </w:rPr>
              <w:t>6</w:t>
            </w:r>
            <w:r>
              <w:rPr>
                <w:rFonts w:hint="eastAsia" w:ascii="宋体" w:hAnsi="宋体"/>
                <w:sz w:val="24"/>
              </w:rPr>
              <w:t>分。</w:t>
            </w:r>
          </w:p>
          <w:p>
            <w:pPr>
              <w:snapToGrid w:val="0"/>
              <w:spacing w:line="360" w:lineRule="auto"/>
              <w:rPr>
                <w:rFonts w:hint="eastAsia" w:ascii="宋体" w:hAnsi="宋体"/>
                <w:sz w:val="24"/>
              </w:rPr>
            </w:pPr>
            <w:r>
              <w:rPr>
                <w:rFonts w:hint="eastAsia" w:ascii="宋体" w:hAnsi="宋体"/>
                <w:sz w:val="24"/>
              </w:rPr>
              <w:t>2）服务措施与承诺：较完善的措施和实现各项承诺指标的措施，有明确的方便业主的服务内容。优为4-5分，良为2-3分，一般为0-1分。</w:t>
            </w:r>
          </w:p>
          <w:p>
            <w:pPr>
              <w:snapToGrid w:val="0"/>
              <w:spacing w:line="360" w:lineRule="auto"/>
              <w:rPr>
                <w:rFonts w:hint="eastAsia" w:ascii="宋体" w:hAnsi="宋体"/>
                <w:sz w:val="24"/>
              </w:rPr>
            </w:pPr>
            <w:r>
              <w:rPr>
                <w:rFonts w:hint="eastAsia" w:ascii="宋体" w:hAnsi="宋体"/>
                <w:sz w:val="24"/>
              </w:rPr>
              <w:t>3）人员安排妥当，维保人员、专业人员持证上岗，各类人员配备齐全；实际操作性强，应急抢修预案健全规范；维保服务标准明确，检查验收有据可依。优为4-5分，良为2-3分，一般为0-1分。</w:t>
            </w:r>
          </w:p>
          <w:p>
            <w:pPr>
              <w:pStyle w:val="87"/>
              <w:rPr>
                <w:rFonts w:hint="eastAsia" w:ascii="宋体" w:hAnsi="宋体" w:eastAsia="宋体" w:cs="宋体"/>
                <w:color w:val="000000"/>
                <w:sz w:val="24"/>
                <w:szCs w:val="24"/>
                <w:lang w:eastAsia="zh-CN"/>
              </w:rPr>
            </w:pPr>
            <w:r>
              <w:rPr>
                <w:rFonts w:hint="eastAsia" w:ascii="宋体" w:hAnsi="宋体"/>
                <w:sz w:val="24"/>
              </w:rPr>
              <w:t>4）设备配置：主要设备、专业性强、仪器配备合理、齐全；备品备件齐全。优为4-5分，良为2-3分，一般为0-1分。</w:t>
            </w:r>
          </w:p>
        </w:tc>
        <w:tc>
          <w:tcPr>
            <w:tcW w:w="1276" w:type="dx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36</w:t>
            </w:r>
          </w:p>
        </w:tc>
      </w:tr>
    </w:tbl>
    <w:p>
      <w:pPr>
        <w:snapToGrid w:val="0"/>
        <w:spacing w:line="440" w:lineRule="exact"/>
        <w:ind w:firstLine="480" w:firstLineChars="200"/>
        <w:outlineLvl w:val="1"/>
        <w:rPr>
          <w:rFonts w:ascii="宋体"/>
          <w:b/>
          <w:bCs/>
          <w:sz w:val="24"/>
          <w:szCs w:val="24"/>
        </w:rPr>
      </w:pPr>
      <w:r>
        <w:rPr>
          <w:rFonts w:hint="eastAsia" w:ascii="宋体" w:hAnsi="宋体" w:cs="宋体"/>
          <w:sz w:val="24"/>
          <w:szCs w:val="24"/>
        </w:rPr>
        <w:t>注：以上打分项设得分上限，评委依据磋商文件载明的方法评分，评分四舍五入精确到小数点后两位。</w:t>
      </w:r>
    </w:p>
    <w:p>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特别提醒：技术标评分中所涉及相关资料等证明材料均须提供原件的复印件加盖公章，并将原件带至开标现场备查，未携带原件或因携带原件不全所引起的后果由投标人自行承担</w:t>
      </w:r>
      <w:r>
        <w:rPr>
          <w:rFonts w:hint="eastAsia" w:ascii="宋体" w:hAnsi="宋体" w:cs="宋体"/>
          <w:b/>
          <w:bCs/>
          <w:sz w:val="24"/>
          <w:szCs w:val="24"/>
        </w:rPr>
        <w:t>。</w:t>
      </w:r>
    </w:p>
    <w:p>
      <w:pPr>
        <w:snapToGrid w:val="0"/>
        <w:spacing w:line="360" w:lineRule="auto"/>
        <w:ind w:firstLine="480" w:firstLineChars="200"/>
        <w:rPr>
          <w:rFonts w:ascii="宋体"/>
          <w:sz w:val="24"/>
          <w:szCs w:val="24"/>
        </w:rPr>
      </w:pPr>
      <w:r>
        <w:rPr>
          <w:rFonts w:hint="eastAsia" w:ascii="宋体" w:hAnsi="宋体" w:cs="宋体"/>
          <w:sz w:val="24"/>
          <w:szCs w:val="24"/>
        </w:rPr>
        <w:t>（二）商务报价响应评分：（3</w:t>
      </w:r>
      <w:r>
        <w:rPr>
          <w:rFonts w:ascii="宋体" w:cs="宋体"/>
          <w:sz w:val="24"/>
          <w:szCs w:val="24"/>
        </w:rPr>
        <w:t>0</w:t>
      </w:r>
      <w:r>
        <w:rPr>
          <w:rFonts w:hint="eastAsia" w:ascii="宋体" w:hAnsi="宋体" w:cs="宋体"/>
          <w:sz w:val="24"/>
          <w:szCs w:val="24"/>
        </w:rPr>
        <w:t>分）</w:t>
      </w:r>
    </w:p>
    <w:p>
      <w:pPr>
        <w:snapToGrid w:val="0"/>
        <w:spacing w:line="360" w:lineRule="auto"/>
        <w:ind w:firstLine="482" w:firstLineChars="200"/>
        <w:textAlignment w:val="baseline"/>
        <w:rPr>
          <w:rFonts w:ascii="宋体" w:hAnsi="宋体" w:cs="宋体"/>
          <w:b/>
          <w:sz w:val="24"/>
          <w:szCs w:val="24"/>
        </w:rPr>
      </w:pPr>
      <w:r>
        <w:rPr>
          <w:rFonts w:hint="eastAsia" w:ascii="宋体" w:hAnsi="宋体" w:cs="宋体"/>
          <w:b/>
          <w:sz w:val="24"/>
          <w:szCs w:val="24"/>
        </w:rPr>
        <w:t>1、本次项目最高限价为</w:t>
      </w:r>
      <w:r>
        <w:rPr>
          <w:rFonts w:hint="eastAsia" w:ascii="宋体" w:hAnsi="宋体" w:cs="宋体"/>
          <w:b/>
          <w:sz w:val="24"/>
          <w:szCs w:val="24"/>
          <w:highlight w:val="none"/>
        </w:rPr>
        <w:t>人</w:t>
      </w:r>
      <w:r>
        <w:rPr>
          <w:rFonts w:hint="eastAsia" w:ascii="宋体" w:hAnsi="宋体" w:cs="宋体"/>
          <w:b/>
          <w:color w:val="auto"/>
          <w:sz w:val="24"/>
          <w:szCs w:val="24"/>
          <w:highlight w:val="none"/>
        </w:rPr>
        <w:t>民币</w:t>
      </w:r>
      <w:r>
        <w:rPr>
          <w:rFonts w:hint="eastAsia" w:ascii="宋体" w:hAnsi="宋体" w:cs="宋体"/>
          <w:b/>
          <w:color w:val="auto"/>
          <w:sz w:val="24"/>
          <w:szCs w:val="24"/>
          <w:highlight w:val="none"/>
          <w:lang w:val="en-US" w:eastAsia="zh-CN"/>
        </w:rPr>
        <w:t>80000.00</w:t>
      </w:r>
      <w:r>
        <w:rPr>
          <w:rFonts w:hint="eastAsia" w:ascii="宋体" w:hAnsi="宋体" w:cs="宋体"/>
          <w:b/>
          <w:color w:val="auto"/>
          <w:sz w:val="24"/>
          <w:szCs w:val="24"/>
          <w:highlight w:val="none"/>
        </w:rPr>
        <w:t>元/年</w:t>
      </w:r>
      <w:r>
        <w:rPr>
          <w:rFonts w:hint="eastAsia" w:ascii="宋体" w:hAnsi="宋体" w:cs="宋体"/>
          <w:b/>
          <w:color w:val="auto"/>
          <w:sz w:val="24"/>
          <w:szCs w:val="24"/>
        </w:rPr>
        <w:t>，报价不得</w:t>
      </w:r>
      <w:r>
        <w:rPr>
          <w:rFonts w:hint="eastAsia" w:ascii="宋体" w:hAnsi="宋体" w:cs="宋体"/>
          <w:b/>
          <w:sz w:val="24"/>
          <w:szCs w:val="24"/>
        </w:rPr>
        <w:t>超过限价，否则做无效投标处理。</w:t>
      </w:r>
    </w:p>
    <w:p>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=（磋商基准价/最后磋商报价）×30%×100</w:t>
      </w:r>
    </w:p>
    <w:bookmarkEnd w:id="50"/>
    <w:bookmarkEnd w:id="51"/>
    <w:bookmarkEnd w:id="52"/>
    <w:bookmarkEnd w:id="53"/>
    <w:bookmarkEnd w:id="54"/>
    <w:bookmarkEnd w:id="55"/>
    <w:bookmarkEnd w:id="56"/>
    <w:bookmarkEnd w:id="57"/>
    <w:p>
      <w:pPr>
        <w:snapToGrid w:val="0"/>
        <w:spacing w:line="360" w:lineRule="auto"/>
        <w:ind w:firstLine="487" w:firstLineChars="202"/>
        <w:rPr>
          <w:rFonts w:hint="eastAsia" w:ascii="宋体" w:hAnsi="宋体" w:cs="宋体"/>
          <w:b/>
          <w:bCs/>
          <w:color w:val="auto"/>
          <w:sz w:val="24"/>
          <w:szCs w:val="24"/>
        </w:rPr>
      </w:pPr>
      <w:bookmarkStart w:id="59" w:name="_Hlk67169510"/>
      <w:bookmarkStart w:id="60" w:name="_Toc94585343"/>
      <w:bookmarkStart w:id="61" w:name="_Toc363573858"/>
      <w:r>
        <w:rPr>
          <w:rFonts w:hint="eastAsia" w:ascii="宋体" w:hAnsi="宋体" w:cs="宋体"/>
          <w:b/>
          <w:bCs/>
          <w:color w:val="auto"/>
          <w:sz w:val="24"/>
          <w:szCs w:val="24"/>
        </w:rPr>
        <w:t>4、关于落实政府采购政策的中小微企业价格评审</w:t>
      </w:r>
      <w:bookmarkEnd w:id="59"/>
    </w:p>
    <w:p>
      <w:pPr>
        <w:snapToGrid w:val="0"/>
        <w:spacing w:line="360" w:lineRule="auto"/>
        <w:ind w:firstLine="484" w:firstLineChars="202"/>
        <w:rPr>
          <w:rFonts w:hint="eastAsia" w:ascii="宋体" w:hAnsi="宋体" w:cs="宋体"/>
          <w:color w:val="auto"/>
          <w:sz w:val="24"/>
          <w:szCs w:val="24"/>
        </w:rPr>
      </w:pPr>
      <w:bookmarkStart w:id="62" w:name="_Hlk67609383"/>
      <w:r>
        <w:rPr>
          <w:rFonts w:hint="eastAsia" w:ascii="宋体" w:hAnsi="宋体" w:cs="宋体"/>
          <w:color w:val="auto"/>
          <w:sz w:val="24"/>
          <w:szCs w:val="24"/>
        </w:rPr>
        <w:t>（1）根据《政府采购促进中小企业发展管理办法》（财库﹝2020﹞46 号）的第四条，</w:t>
      </w:r>
      <w:r>
        <w:rPr>
          <w:rFonts w:hint="eastAsia" w:ascii="宋体" w:hAnsi="宋体" w:cs="宋体"/>
          <w:b/>
          <w:bCs/>
          <w:color w:val="auto"/>
          <w:sz w:val="24"/>
          <w:szCs w:val="24"/>
        </w:rPr>
        <w:t>本次采购的项目，其响应供应商提供的</w:t>
      </w:r>
      <w:r>
        <w:rPr>
          <w:rFonts w:hint="eastAsia" w:ascii="宋体" w:hAnsi="宋体" w:cs="宋体"/>
          <w:b/>
          <w:bCs/>
          <w:color w:val="auto"/>
          <w:sz w:val="24"/>
          <w:szCs w:val="24"/>
          <w:u w:val="thick" w:color="FF0000"/>
        </w:rPr>
        <w:t xml:space="preserve"> 服务 </w:t>
      </w:r>
      <w:r>
        <w:rPr>
          <w:rFonts w:hint="eastAsia" w:ascii="宋体" w:hAnsi="宋体" w:cs="宋体"/>
          <w:b/>
          <w:bCs/>
          <w:color w:val="auto"/>
          <w:sz w:val="24"/>
          <w:szCs w:val="24"/>
        </w:rPr>
        <w:t>符合：工信部联企业〔2011〕300号《关于印发中小企业划型标准规定的通知》中的</w:t>
      </w:r>
      <w:bookmarkStart w:id="63" w:name="_Hlk62787617"/>
      <w:r>
        <w:rPr>
          <w:rFonts w:hint="eastAsia" w:ascii="宋体" w:hAnsi="宋体" w:cs="宋体"/>
          <w:b/>
          <w:bCs/>
          <w:color w:val="auto"/>
          <w:sz w:val="24"/>
          <w:szCs w:val="24"/>
        </w:rPr>
        <w:t>中小企业</w:t>
      </w:r>
      <w:bookmarkStart w:id="64" w:name="_Hlk67153790"/>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w:t>
      </w:r>
      <w:bookmarkEnd w:id="64"/>
      <w:r>
        <w:rPr>
          <w:rFonts w:hint="eastAsia" w:ascii="宋体" w:hAnsi="宋体" w:cs="宋体"/>
          <w:b/>
          <w:bCs/>
          <w:color w:val="auto"/>
          <w:sz w:val="24"/>
          <w:szCs w:val="24"/>
        </w:rPr>
        <w:t>的划型标准规定</w:t>
      </w:r>
      <w:bookmarkEnd w:id="63"/>
      <w:r>
        <w:rPr>
          <w:rFonts w:hint="eastAsia" w:ascii="宋体" w:hAnsi="宋体" w:cs="宋体"/>
          <w:b/>
          <w:bCs/>
          <w:color w:val="auto"/>
          <w:sz w:val="24"/>
          <w:szCs w:val="24"/>
        </w:rPr>
        <w:t>的，将享受中小企业扶持政策。</w:t>
      </w:r>
    </w:p>
    <w:p>
      <w:pPr>
        <w:snapToGrid w:val="0"/>
        <w:spacing w:line="360" w:lineRule="auto"/>
        <w:ind w:firstLine="487" w:firstLineChars="202"/>
        <w:rPr>
          <w:rFonts w:hint="eastAsia"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”类中小企业划型标准</w:t>
      </w:r>
      <w:r>
        <w:rPr>
          <w:rFonts w:hint="eastAsia" w:ascii="宋体" w:hAnsi="宋体" w:cs="宋体"/>
          <w:color w:val="auto"/>
          <w:sz w:val="24"/>
          <w:szCs w:val="24"/>
        </w:rPr>
        <w:t>：</w:t>
      </w:r>
      <w:r>
        <w:rPr>
          <w:rFonts w:hint="eastAsia" w:ascii="宋体" w:hAnsi="宋体" w:cs="宋体"/>
          <w:color w:val="auto"/>
          <w:sz w:val="24"/>
          <w:szCs w:val="24"/>
          <w:u w:val="single"/>
        </w:rPr>
        <w:t>从业人员300人以下的为中小微型企业。其中，从业人员100人及以上的为中型企业；从业人员10人及以上的为小型企业；从业人员10人以下的为微型企业。</w:t>
      </w:r>
    </w:p>
    <w:p>
      <w:pPr>
        <w:snapToGrid w:val="0"/>
        <w:spacing w:line="360" w:lineRule="auto"/>
        <w:ind w:firstLine="484" w:firstLineChars="202"/>
        <w:rPr>
          <w:rFonts w:hint="eastAsia" w:ascii="宋体" w:hAnsi="宋体" w:cs="宋体"/>
          <w:color w:val="auto"/>
          <w:sz w:val="24"/>
          <w:szCs w:val="24"/>
        </w:rPr>
      </w:pPr>
      <w:r>
        <w:rPr>
          <w:rFonts w:hint="eastAsia" w:ascii="宋体" w:hAnsi="宋体" w:cs="宋体"/>
          <w:color w:val="auto"/>
          <w:sz w:val="24"/>
          <w:szCs w:val="24"/>
        </w:rPr>
        <w:t>（2）</w:t>
      </w:r>
      <w:bookmarkStart w:id="65" w:name="_Hlk67155978"/>
      <w:r>
        <w:rPr>
          <w:rFonts w:hint="eastAsia" w:ascii="宋体" w:hAnsi="宋体" w:cs="宋体"/>
          <w:color w:val="auto"/>
          <w:sz w:val="24"/>
          <w:szCs w:val="24"/>
        </w:rPr>
        <w:t>根据</w:t>
      </w:r>
      <w:bookmarkStart w:id="66" w:name="_Hlk67155505"/>
      <w:r>
        <w:rPr>
          <w:rFonts w:hint="eastAsia" w:ascii="宋体" w:hAnsi="宋体" w:cs="宋体"/>
          <w:color w:val="auto"/>
          <w:sz w:val="24"/>
          <w:szCs w:val="24"/>
        </w:rPr>
        <w:t>《政府采购促进中小企业发展管理办法》（财库﹝2020﹞46 号）</w:t>
      </w:r>
      <w:bookmarkEnd w:id="66"/>
      <w:r>
        <w:rPr>
          <w:rFonts w:hint="eastAsia" w:ascii="宋体" w:hAnsi="宋体" w:cs="宋体"/>
          <w:color w:val="auto"/>
          <w:sz w:val="24"/>
          <w:szCs w:val="24"/>
        </w:rPr>
        <w:t>的第九条规定</w:t>
      </w:r>
      <w:bookmarkEnd w:id="65"/>
      <w:r>
        <w:rPr>
          <w:rFonts w:hint="eastAsia" w:ascii="宋体" w:hAnsi="宋体" w:cs="宋体"/>
          <w:color w:val="auto"/>
          <w:sz w:val="24"/>
          <w:szCs w:val="24"/>
        </w:rPr>
        <w:t>，</w:t>
      </w:r>
      <w:bookmarkStart w:id="67" w:name="_Hlk67154819"/>
      <w:r>
        <w:rPr>
          <w:rFonts w:hint="eastAsia" w:ascii="宋体" w:hAnsi="宋体" w:cs="宋体"/>
          <w:b/>
          <w:bCs/>
          <w:color w:val="auto"/>
          <w:sz w:val="24"/>
          <w:szCs w:val="24"/>
          <w:u w:val="thick" w:color="FF0000"/>
        </w:rPr>
        <w:t>磋商供应商响应的服务是由</w:t>
      </w:r>
      <w:bookmarkStart w:id="68" w:name="_Hlk62900373"/>
      <w:r>
        <w:rPr>
          <w:rFonts w:hint="eastAsia" w:ascii="宋体" w:hAnsi="宋体" w:cs="宋体"/>
          <w:b/>
          <w:bCs/>
          <w:color w:val="auto"/>
          <w:sz w:val="24"/>
          <w:szCs w:val="24"/>
          <w:u w:val="thick" w:color="FF0000"/>
        </w:rPr>
        <w:t>小型、微型企业</w:t>
      </w:r>
      <w:bookmarkEnd w:id="67"/>
      <w:bookmarkEnd w:id="68"/>
      <w:r>
        <w:rPr>
          <w:rFonts w:hint="eastAsia" w:ascii="宋体" w:hAnsi="宋体" w:cs="宋体"/>
          <w:b/>
          <w:bCs/>
          <w:color w:val="auto"/>
          <w:sz w:val="24"/>
          <w:szCs w:val="24"/>
          <w:u w:val="thick" w:color="FF0000"/>
        </w:rPr>
        <w:t>提供</w:t>
      </w:r>
      <w:r>
        <w:rPr>
          <w:rFonts w:hint="eastAsia" w:ascii="宋体" w:hAnsi="宋体" w:cs="宋体"/>
          <w:color w:val="auto"/>
          <w:sz w:val="24"/>
          <w:szCs w:val="24"/>
        </w:rPr>
        <w:t>，该磋商供应商的报价将给予评审价格调整，具体方法如下：</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pPr>
        <w:snapToGrid w:val="0"/>
        <w:spacing w:line="360" w:lineRule="auto"/>
        <w:ind w:firstLine="480" w:firstLineChars="200"/>
        <w:rPr>
          <w:rFonts w:hint="eastAsia" w:ascii="宋体" w:hAnsi="宋体" w:cs="宋体"/>
          <w:color w:val="auto"/>
          <w:sz w:val="24"/>
          <w:szCs w:val="24"/>
        </w:rPr>
      </w:pPr>
      <w:bookmarkStart w:id="69" w:name="_Hlk67486828"/>
      <w:r>
        <w:rPr>
          <w:rFonts w:hint="eastAsia" w:ascii="宋体" w:hAnsi="宋体" w:cs="宋体"/>
          <w:color w:val="auto"/>
          <w:sz w:val="24"/>
          <w:szCs w:val="24"/>
        </w:rPr>
        <w:t xml:space="preserve">② </w:t>
      </w:r>
      <w:bookmarkStart w:id="70" w:name="_Hlk62901453"/>
      <w:bookmarkStart w:id="71" w:name="_Hlk62788551"/>
      <w:r>
        <w:rPr>
          <w:rFonts w:hint="eastAsia" w:ascii="宋体" w:hAnsi="宋体" w:cs="宋体"/>
          <w:color w:val="auto"/>
          <w:sz w:val="24"/>
          <w:szCs w:val="24"/>
        </w:rPr>
        <w:t>参加本次政府采购活动，符合要求的磋商供应商须严格按《政府采购促进中小企业发展管理办法》（财库﹝2020﹞46 号）的文件要求，出具填报“</w:t>
      </w:r>
      <w:bookmarkStart w:id="72" w:name="_Hlk67171734"/>
      <w:r>
        <w:rPr>
          <w:rFonts w:hint="eastAsia" w:ascii="宋体" w:hAnsi="宋体" w:cs="宋体"/>
          <w:color w:val="auto"/>
          <w:sz w:val="24"/>
          <w:szCs w:val="24"/>
        </w:rPr>
        <w:t>中小企业声明函</w:t>
      </w:r>
      <w:bookmarkEnd w:id="72"/>
      <w:r>
        <w:rPr>
          <w:rFonts w:hint="eastAsia" w:ascii="宋体" w:hAnsi="宋体" w:cs="宋体"/>
          <w:color w:val="auto"/>
          <w:sz w:val="24"/>
          <w:szCs w:val="24"/>
        </w:rPr>
        <w:t>”</w:t>
      </w:r>
      <w:r>
        <w:rPr>
          <w:rFonts w:hint="eastAsia" w:ascii="宋体" w:hAnsi="宋体" w:cs="宋体"/>
          <w:b/>
          <w:bCs/>
          <w:color w:val="auto"/>
          <w:sz w:val="24"/>
          <w:szCs w:val="24"/>
        </w:rPr>
        <w:t>（格式见第八章）</w:t>
      </w:r>
      <w:r>
        <w:rPr>
          <w:rFonts w:hint="eastAsia" w:ascii="宋体" w:hAnsi="宋体" w:cs="宋体"/>
          <w:color w:val="auto"/>
          <w:sz w:val="24"/>
          <w:szCs w:val="24"/>
        </w:rPr>
        <w:t>；</w:t>
      </w:r>
      <w:bookmarkEnd w:id="70"/>
    </w:p>
    <w:bookmarkEnd w:id="71"/>
    <w:p>
      <w:pPr>
        <w:snapToGrid w:val="0"/>
        <w:spacing w:line="360" w:lineRule="auto"/>
        <w:ind w:firstLine="560"/>
        <w:rPr>
          <w:rFonts w:hint="eastAsia" w:ascii="宋体" w:hAnsi="宋体" w:cs="宋体"/>
          <w:color w:val="auto"/>
          <w:sz w:val="24"/>
          <w:szCs w:val="24"/>
        </w:rPr>
      </w:pPr>
      <w:r>
        <w:rPr>
          <w:rFonts w:hint="eastAsia" w:ascii="宋体" w:hAnsi="宋体" w:cs="宋体"/>
          <w:color w:val="auto"/>
          <w:sz w:val="24"/>
          <w:szCs w:val="24"/>
        </w:rPr>
        <w:t>③ 本项目享受中小企业扶持政策的磋商供应商一旦成交，因提供“中小企业声明函”的行为引发争议和影响本项目采购执行效率，应当按本项目采购人或采购代理机构的通知，在2个工作日内提供服务供应商注册登记所在地的县级以上人民政府中小企业主管部门认定是小型、微型企业的证明原件，用以核对，逾期未提供的则视作提供的 “中小企业声明函”内容不实。</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④ 若磋商供应商</w:t>
      </w:r>
      <w:bookmarkStart w:id="73" w:name="_Hlk67172184"/>
      <w:r>
        <w:rPr>
          <w:rFonts w:hint="eastAsia" w:ascii="宋体" w:hAnsi="宋体" w:cs="宋体"/>
          <w:color w:val="auto"/>
          <w:sz w:val="24"/>
          <w:szCs w:val="24"/>
        </w:rPr>
        <w:t>提供的 “中小企业声明函”内容不实</w:t>
      </w:r>
      <w:bookmarkEnd w:id="73"/>
      <w:r>
        <w:rPr>
          <w:rFonts w:hint="eastAsia" w:ascii="宋体" w:hAnsi="宋体" w:cs="宋体"/>
          <w:color w:val="auto"/>
          <w:sz w:val="24"/>
          <w:szCs w:val="24"/>
        </w:rPr>
        <w:t>的，属于提供虚假材料谋取成交；磋商供应商的该行为将报请政府采购监管的财政部门参照《中华人民共和国政府采购法》第七十七条的规定处理并给予行政处罚。</w:t>
      </w:r>
    </w:p>
    <w:bookmarkEnd w:id="69"/>
    <w:p>
      <w:pPr>
        <w:snapToGrid w:val="0"/>
        <w:spacing w:line="360" w:lineRule="auto"/>
        <w:ind w:firstLine="480" w:firstLineChars="200"/>
        <w:rPr>
          <w:rFonts w:ascii="宋体"/>
          <w:color w:val="auto"/>
          <w:sz w:val="24"/>
          <w:szCs w:val="24"/>
        </w:rPr>
      </w:pPr>
      <w:r>
        <w:rPr>
          <w:rFonts w:hint="eastAsia" w:ascii="宋体" w:hAnsi="宋体" w:cs="宋体"/>
          <w:color w:val="auto"/>
          <w:sz w:val="24"/>
          <w:szCs w:val="24"/>
        </w:rPr>
        <w:t>（3）</w:t>
      </w:r>
      <w:bookmarkStart w:id="74" w:name="_Hlk67486961"/>
      <w:r>
        <w:rPr>
          <w:rFonts w:hint="eastAsia" w:ascii="宋体" w:hAnsi="宋体" w:cs="宋体"/>
          <w:b/>
          <w:bCs/>
          <w:color w:val="auto"/>
          <w:sz w:val="24"/>
          <w:szCs w:val="24"/>
          <w:u w:val="thick" w:color="FF0000"/>
        </w:rPr>
        <w:t>不符合上述要求的磋商供应商，无须提供“中小企业声明函”</w:t>
      </w:r>
      <w:r>
        <w:rPr>
          <w:rFonts w:hint="eastAsia" w:ascii="宋体" w:hAnsi="宋体" w:cs="宋体"/>
          <w:color w:val="auto"/>
          <w:sz w:val="24"/>
          <w:szCs w:val="24"/>
        </w:rPr>
        <w:t>。</w:t>
      </w:r>
      <w:bookmarkEnd w:id="62"/>
      <w:bookmarkEnd w:id="74"/>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、磋商小组依据法律法规可以认定为无效投标的其他情况。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pPr>
        <w:snapToGrid w:val="0"/>
        <w:spacing w:line="360" w:lineRule="auto"/>
        <w:ind w:firstLine="480" w:firstLineChars="200"/>
        <w:rPr>
          <w:rFonts w:hint="eastAsia" w:cs="宋体"/>
          <w:kern w:val="0"/>
          <w:sz w:val="24"/>
          <w:szCs w:val="24"/>
        </w:rPr>
      </w:pPr>
      <w:r>
        <w:rPr>
          <w:rFonts w:hint="eastAsia" w:cs="宋体"/>
          <w:kern w:val="0"/>
          <w:sz w:val="24"/>
          <w:szCs w:val="24"/>
        </w:rPr>
        <w:t>成交结果在</w:t>
      </w:r>
      <w:r>
        <w:rPr>
          <w:rFonts w:hint="eastAsia" w:ascii="宋体" w:hAnsi="宋体" w:cs="宋体"/>
          <w:sz w:val="24"/>
          <w:szCs w:val="24"/>
        </w:rPr>
        <w:t>南通市卫生健康委员会官网（http://wjw.nantong.gov.cn）和南通市妇幼保健院官网（http://www.ntfybj.com）公示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snapToGrid w:val="0"/>
        <w:spacing w:line="480" w:lineRule="exact"/>
        <w:ind w:firstLine="477" w:firstLineChars="198"/>
        <w:rPr>
          <w:rFonts w:hint="eastAsia" w:ascii="宋体" w:hAnsi="宋体"/>
          <w:b/>
          <w:sz w:val="24"/>
        </w:rPr>
      </w:pPr>
      <w:r>
        <w:rPr>
          <w:rFonts w:hint="eastAsia" w:ascii="宋体" w:hAnsi="宋体"/>
          <w:b/>
          <w:sz w:val="24"/>
          <w:lang w:val="en-US" w:eastAsia="zh-CN"/>
        </w:rPr>
        <w:t>九</w:t>
      </w:r>
      <w:r>
        <w:rPr>
          <w:rFonts w:hint="eastAsia" w:ascii="宋体" w:hAnsi="宋体"/>
          <w:b/>
          <w:sz w:val="24"/>
        </w:rPr>
        <w:t>、其他注意事项</w:t>
      </w:r>
    </w:p>
    <w:p>
      <w:pPr>
        <w:snapToGrid w:val="0"/>
        <w:spacing w:line="480" w:lineRule="exact"/>
        <w:ind w:firstLine="570"/>
        <w:rPr>
          <w:sz w:val="24"/>
        </w:rPr>
      </w:pPr>
      <w:r>
        <w:rPr>
          <w:sz w:val="24"/>
        </w:rPr>
        <w:t>1、在</w:t>
      </w:r>
      <w:r>
        <w:rPr>
          <w:rFonts w:hint="eastAsia"/>
          <w:sz w:val="24"/>
          <w:lang w:val="en-US" w:eastAsia="zh-CN"/>
        </w:rPr>
        <w:t>磋商响应</w:t>
      </w:r>
      <w:r>
        <w:rPr>
          <w:rFonts w:hint="eastAsia" w:ascii="宋体" w:hAnsi="宋体" w:eastAsia="宋体" w:cs="宋体"/>
          <w:sz w:val="24"/>
          <w:lang w:val="en-US" w:eastAsia="zh-CN"/>
        </w:rPr>
        <w:t>﹑</w:t>
      </w:r>
      <w:r>
        <w:rPr>
          <w:sz w:val="24"/>
        </w:rPr>
        <w:t>开标时间，</w:t>
      </w:r>
      <w:r>
        <w:rPr>
          <w:rFonts w:hint="eastAsia"/>
          <w:sz w:val="24"/>
          <w:lang w:val="en-US" w:eastAsia="zh-CN"/>
        </w:rPr>
        <w:t>供应商</w:t>
      </w:r>
      <w:r>
        <w:rPr>
          <w:sz w:val="24"/>
        </w:rPr>
        <w:t>不得向评委询问情况，不得进行旨在影响评标结果的活动。</w:t>
      </w:r>
    </w:p>
    <w:p>
      <w:pPr>
        <w:snapToGrid w:val="0"/>
        <w:spacing w:line="480" w:lineRule="exact"/>
        <w:ind w:firstLine="570"/>
        <w:rPr>
          <w:sz w:val="24"/>
        </w:rPr>
      </w:pPr>
      <w:r>
        <w:rPr>
          <w:sz w:val="24"/>
        </w:rPr>
        <w:t>2、评委会不得向</w:t>
      </w:r>
      <w:r>
        <w:rPr>
          <w:rFonts w:hint="eastAsia"/>
          <w:sz w:val="24"/>
          <w:lang w:val="en-US" w:eastAsia="zh-CN"/>
        </w:rPr>
        <w:t>供应商</w:t>
      </w:r>
      <w:r>
        <w:rPr>
          <w:sz w:val="24"/>
        </w:rPr>
        <w:t>解释落标原因。</w:t>
      </w:r>
    </w:p>
    <w:p>
      <w:pPr>
        <w:snapToGrid w:val="0"/>
        <w:spacing w:line="480" w:lineRule="exact"/>
        <w:ind w:firstLine="570"/>
        <w:rPr>
          <w:sz w:val="24"/>
        </w:rPr>
      </w:pPr>
      <w:r>
        <w:rPr>
          <w:sz w:val="24"/>
        </w:rPr>
        <w:t>3、在</w:t>
      </w:r>
      <w:r>
        <w:rPr>
          <w:rFonts w:hint="eastAsia"/>
          <w:sz w:val="24"/>
          <w:lang w:val="en-US" w:eastAsia="zh-CN"/>
        </w:rPr>
        <w:t>磋商响应</w:t>
      </w:r>
      <w:r>
        <w:rPr>
          <w:rFonts w:hint="eastAsia" w:ascii="宋体" w:hAnsi="宋体" w:eastAsia="宋体" w:cs="宋体"/>
          <w:sz w:val="24"/>
          <w:lang w:val="en-US" w:eastAsia="zh-CN"/>
        </w:rPr>
        <w:t>﹑</w:t>
      </w:r>
      <w:r>
        <w:rPr>
          <w:sz w:val="24"/>
        </w:rPr>
        <w:t>评标过程中，如果</w:t>
      </w:r>
      <w:r>
        <w:rPr>
          <w:rFonts w:hint="eastAsia"/>
          <w:sz w:val="24"/>
          <w:lang w:val="en-US" w:eastAsia="zh-CN"/>
        </w:rPr>
        <w:t>供应商</w:t>
      </w:r>
      <w:r>
        <w:rPr>
          <w:sz w:val="24"/>
        </w:rPr>
        <w:t>联合故意抬高报价或出现其他不正当行为，采购人有权中止</w:t>
      </w:r>
      <w:r>
        <w:rPr>
          <w:rFonts w:hint="eastAsia"/>
          <w:sz w:val="24"/>
          <w:lang w:val="en-US" w:eastAsia="zh-CN"/>
        </w:rPr>
        <w:t>磋商响应</w:t>
      </w:r>
      <w:r>
        <w:rPr>
          <w:sz w:val="24"/>
        </w:rPr>
        <w:t>或评标。</w:t>
      </w:r>
    </w:p>
    <w:p>
      <w:pPr>
        <w:snapToGrid w:val="0"/>
        <w:spacing w:line="480" w:lineRule="exact"/>
        <w:ind w:firstLine="570"/>
        <w:rPr>
          <w:sz w:val="24"/>
        </w:rPr>
      </w:pPr>
      <w:r>
        <w:rPr>
          <w:sz w:val="24"/>
        </w:rPr>
        <w:t>4、凡在投</w:t>
      </w:r>
      <w:r>
        <w:rPr>
          <w:rFonts w:hint="eastAsia"/>
          <w:sz w:val="24"/>
          <w:lang w:val="en-US" w:eastAsia="zh-CN"/>
        </w:rPr>
        <w:t>磋商响应</w:t>
      </w:r>
      <w:r>
        <w:rPr>
          <w:sz w:val="24"/>
        </w:rPr>
        <w:t>、开标过程中，已提示是否异议的事项，</w:t>
      </w:r>
      <w:r>
        <w:rPr>
          <w:rFonts w:hint="eastAsia"/>
          <w:sz w:val="24"/>
          <w:lang w:val="en-US" w:eastAsia="zh-CN"/>
        </w:rPr>
        <w:t>供应商</w:t>
      </w:r>
      <w:r>
        <w:rPr>
          <w:sz w:val="24"/>
        </w:rPr>
        <w:t>当时没有提出异议的，事后不得针对上述事项提出质疑。</w:t>
      </w:r>
    </w:p>
    <w:p>
      <w:pPr>
        <w:snapToGrid w:val="0"/>
        <w:spacing w:line="480" w:lineRule="exact"/>
        <w:ind w:firstLine="482" w:firstLineChars="200"/>
        <w:rPr>
          <w:b/>
          <w:sz w:val="24"/>
        </w:rPr>
      </w:pPr>
      <w:r>
        <w:rPr>
          <w:rFonts w:hint="eastAsia"/>
          <w:b/>
          <w:sz w:val="24"/>
          <w:lang w:val="en-US" w:eastAsia="zh-CN"/>
        </w:rPr>
        <w:t>十</w:t>
      </w:r>
      <w:r>
        <w:rPr>
          <w:b/>
          <w:sz w:val="24"/>
        </w:rPr>
        <w:t>、变更为其他方式采购的情形</w:t>
      </w:r>
    </w:p>
    <w:p>
      <w:pPr>
        <w:autoSpaceDE w:val="0"/>
        <w:autoSpaceDN w:val="0"/>
        <w:adjustRightInd w:val="0"/>
        <w:snapToGrid w:val="0"/>
        <w:spacing w:line="480" w:lineRule="exact"/>
        <w:ind w:firstLine="480" w:firstLineChars="200"/>
        <w:rPr>
          <w:sz w:val="24"/>
          <w:lang w:val="zh-CN"/>
        </w:rPr>
      </w:pPr>
      <w:r>
        <w:rPr>
          <w:sz w:val="24"/>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sz w:val="24"/>
          <w:lang w:val="zh-CN"/>
        </w:rPr>
        <w:t>磋商文件中对供应商资质、技术等要求，将作为</w:t>
      </w:r>
      <w:r>
        <w:rPr>
          <w:sz w:val="24"/>
        </w:rPr>
        <w:t>其他</w:t>
      </w:r>
      <w:r>
        <w:rPr>
          <w:sz w:val="24"/>
          <w:lang w:val="zh-CN"/>
        </w:rPr>
        <w:t>方式采购的基本要求和依据。原已经参加磋商并符合要求的供应商，根据自愿原则，参加</w:t>
      </w:r>
      <w:r>
        <w:rPr>
          <w:sz w:val="24"/>
        </w:rPr>
        <w:t>其他</w:t>
      </w:r>
      <w:r>
        <w:rPr>
          <w:sz w:val="24"/>
          <w:lang w:val="zh-CN"/>
        </w:rPr>
        <w:t>方式采购。</w:t>
      </w:r>
    </w:p>
    <w:p>
      <w:pPr>
        <w:pStyle w:val="114"/>
        <w:snapToGrid w:val="0"/>
        <w:spacing w:line="480" w:lineRule="exact"/>
        <w:ind w:firstLine="496"/>
        <w:contextualSpacing/>
        <w:rPr>
          <w:rFonts w:ascii="Times New Roman" w:hAnsi="Times New Roman" w:eastAsia="宋体"/>
          <w:sz w:val="24"/>
          <w:szCs w:val="24"/>
        </w:rPr>
      </w:pPr>
      <w:r>
        <w:rPr>
          <w:rFonts w:hint="eastAsia" w:ascii="Times New Roman" w:hAnsi="Times New Roman" w:eastAsia="宋体"/>
          <w:b/>
          <w:sz w:val="24"/>
          <w:szCs w:val="24"/>
          <w:lang w:val="en-US" w:eastAsia="zh-CN"/>
        </w:rPr>
        <w:t>十一</w:t>
      </w:r>
      <w:r>
        <w:rPr>
          <w:rFonts w:ascii="Times New Roman" w:hAnsi="Times New Roman" w:eastAsia="宋体"/>
          <w:b/>
          <w:sz w:val="24"/>
          <w:szCs w:val="24"/>
        </w:rPr>
        <w:t>、出现下列情形之一的，竞争性磋商采购活动终止，发布项目终止公告并说明原因，重新开展采购活动：</w:t>
      </w:r>
    </w:p>
    <w:p>
      <w:pPr>
        <w:pStyle w:val="114"/>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（一）因情况变化，不再符合规定的竞争性磋商采购方式适用情形的；</w:t>
      </w:r>
    </w:p>
    <w:p>
      <w:pPr>
        <w:pStyle w:val="114"/>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114"/>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（三）在采购过程中符合要求的供应商或者报价未超过采购预算的供应商不足3家的（市场竞争不充分的科研项目，以及需要扶持的科技成果转化项目除外）。</w:t>
      </w:r>
    </w:p>
    <w:p>
      <w:pPr>
        <w:pStyle w:val="2"/>
      </w:pPr>
    </w:p>
    <w:p>
      <w:pPr>
        <w:pStyle w:val="5"/>
        <w:keepNext w:val="0"/>
        <w:keepLines w:val="0"/>
        <w:numPr>
          <w:ilvl w:val="0"/>
          <w:numId w:val="0"/>
        </w:numPr>
        <w:snapToGrid w:val="0"/>
        <w:spacing w:before="0" w:after="0" w:line="360" w:lineRule="auto"/>
        <w:jc w:val="center"/>
        <w:rPr>
          <w:rFonts w:ascii="宋体" w:hAnsi="宋体"/>
          <w:sz w:val="24"/>
          <w:szCs w:val="24"/>
        </w:rPr>
      </w:pPr>
      <w:r>
        <w:rPr>
          <w:rFonts w:ascii="宋体"/>
          <w:w w:val="80"/>
        </w:rPr>
        <w:br w:type="page"/>
      </w:r>
      <w:bookmarkEnd w:id="60"/>
      <w:bookmarkEnd w:id="61"/>
      <w:r>
        <w:rPr>
          <w:rFonts w:hint="eastAsia" w:ascii="宋体" w:hAnsi="宋体" w:cs="宋体"/>
          <w:w w:val="80"/>
        </w:rPr>
        <w:t>第五章  合同主要条款</w:t>
      </w:r>
      <w:bookmarkStart w:id="75" w:name="_Toc20744258"/>
      <w:bookmarkStart w:id="76" w:name="_Toc39047827"/>
      <w:bookmarkStart w:id="77" w:name="_Toc20744795"/>
    </w:p>
    <w:bookmarkEnd w:id="75"/>
    <w:bookmarkEnd w:id="76"/>
    <w:bookmarkEnd w:id="77"/>
    <w:p>
      <w:pPr>
        <w:spacing w:line="480" w:lineRule="auto"/>
        <w:ind w:firstLine="480"/>
        <w:jc w:val="center"/>
        <w:rPr>
          <w:rFonts w:ascii="宋体" w:hAnsi="宋体" w:eastAsia="宋体" w:cs="微软雅黑"/>
          <w:b/>
          <w:bCs/>
          <w:sz w:val="32"/>
          <w:szCs w:val="32"/>
        </w:rPr>
      </w:pPr>
      <w:r>
        <w:rPr>
          <w:rFonts w:hint="eastAsia" w:ascii="宋体" w:hAnsi="宋体" w:eastAsia="宋体" w:cs="微软雅黑"/>
          <w:b/>
          <w:bCs/>
          <w:sz w:val="32"/>
          <w:szCs w:val="32"/>
          <w:lang w:eastAsia="zh-CN"/>
        </w:rPr>
        <w:t>南通市妇幼保健院锅炉维保服务</w:t>
      </w:r>
      <w:r>
        <w:rPr>
          <w:rFonts w:hint="eastAsia" w:ascii="宋体" w:hAnsi="宋体" w:cs="微软雅黑"/>
          <w:b/>
          <w:bCs/>
          <w:sz w:val="32"/>
          <w:szCs w:val="32"/>
          <w:lang w:eastAsia="zh-CN"/>
        </w:rPr>
        <w:t>合同</w:t>
      </w:r>
    </w:p>
    <w:p>
      <w:pPr>
        <w:pageBreakBefore w:val="0"/>
        <w:widowControl w:val="0"/>
        <w:kinsoku/>
        <w:wordWrap/>
        <w:overflowPunct/>
        <w:topLinePunct w:val="0"/>
        <w:autoSpaceDE/>
        <w:autoSpaceDN/>
        <w:bidi w:val="0"/>
        <w:spacing w:line="360" w:lineRule="auto"/>
        <w:ind w:firstLine="482" w:firstLineChars="200"/>
        <w:rPr>
          <w:rFonts w:ascii="宋体" w:hAnsi="宋体" w:eastAsia="宋体" w:cs="微软雅黑"/>
          <w:b/>
          <w:bCs/>
          <w:sz w:val="24"/>
          <w:szCs w:val="24"/>
        </w:rPr>
      </w:pPr>
      <w:r>
        <w:rPr>
          <w:rFonts w:hint="eastAsia" w:ascii="宋体" w:hAnsi="宋体" w:eastAsia="宋体" w:cs="微软雅黑"/>
          <w:b/>
          <w:bCs/>
          <w:sz w:val="24"/>
          <w:szCs w:val="24"/>
        </w:rPr>
        <w:t>项目名称：</w:t>
      </w:r>
      <w:r>
        <w:rPr>
          <w:rFonts w:hint="eastAsia" w:ascii="宋体" w:hAnsi="宋体" w:eastAsia="宋体" w:cs="微软雅黑"/>
          <w:b/>
          <w:bCs/>
          <w:sz w:val="24"/>
          <w:szCs w:val="24"/>
          <w:lang w:eastAsia="zh-CN"/>
        </w:rPr>
        <w:t>南通市妇幼保健院锅炉维保服务采购项目</w:t>
      </w:r>
      <w:r>
        <w:rPr>
          <w:rFonts w:ascii="宋体" w:hAnsi="宋体" w:eastAsia="宋体" w:cs="微软雅黑"/>
          <w:b/>
          <w:bCs/>
          <w:sz w:val="24"/>
          <w:szCs w:val="24"/>
        </w:rPr>
        <w:t xml:space="preserve">       </w:t>
      </w:r>
    </w:p>
    <w:p>
      <w:pPr>
        <w:pageBreakBefore w:val="0"/>
        <w:widowControl w:val="0"/>
        <w:kinsoku/>
        <w:wordWrap/>
        <w:overflowPunct/>
        <w:topLinePunct w:val="0"/>
        <w:autoSpaceDE/>
        <w:autoSpaceDN/>
        <w:bidi w:val="0"/>
        <w:spacing w:line="360" w:lineRule="auto"/>
        <w:ind w:firstLine="482" w:firstLineChars="200"/>
        <w:rPr>
          <w:rFonts w:ascii="宋体" w:hAnsi="宋体" w:eastAsia="宋体"/>
          <w:b/>
          <w:spacing w:val="56"/>
          <w:sz w:val="24"/>
          <w:szCs w:val="24"/>
        </w:rPr>
      </w:pPr>
      <w:r>
        <w:rPr>
          <w:rFonts w:hint="eastAsia" w:ascii="宋体" w:hAnsi="宋体" w:eastAsia="宋体"/>
          <w:b/>
          <w:sz w:val="24"/>
          <w:szCs w:val="24"/>
        </w:rPr>
        <w:t>甲方：</w:t>
      </w:r>
      <w:r>
        <w:rPr>
          <w:rFonts w:hint="eastAsia" w:ascii="宋体" w:hAnsi="宋体" w:eastAsia="宋体"/>
          <w:b/>
          <w:sz w:val="24"/>
          <w:szCs w:val="24"/>
          <w:u w:val="single"/>
        </w:rPr>
        <w:t xml:space="preserve">南通市妇幼保健院 </w:t>
      </w:r>
      <w:r>
        <w:rPr>
          <w:rFonts w:ascii="宋体" w:hAnsi="宋体" w:eastAsia="宋体"/>
          <w:b/>
          <w:sz w:val="24"/>
          <w:szCs w:val="24"/>
          <w:u w:val="single"/>
        </w:rPr>
        <w:t xml:space="preserve">                  </w:t>
      </w:r>
      <w:r>
        <w:rPr>
          <w:rFonts w:hint="eastAsia" w:ascii="宋体" w:hAnsi="宋体" w:eastAsia="宋体"/>
          <w:b/>
          <w:sz w:val="24"/>
          <w:szCs w:val="24"/>
        </w:rPr>
        <w:t>（以下简称甲方）</w:t>
      </w:r>
    </w:p>
    <w:p>
      <w:pPr>
        <w:pageBreakBefore w:val="0"/>
        <w:widowControl w:val="0"/>
        <w:kinsoku/>
        <w:wordWrap/>
        <w:overflowPunct/>
        <w:topLinePunct w:val="0"/>
        <w:autoSpaceDE/>
        <w:autoSpaceDN/>
        <w:bidi w:val="0"/>
        <w:spacing w:line="360" w:lineRule="auto"/>
        <w:ind w:firstLine="482" w:firstLineChars="200"/>
        <w:rPr>
          <w:rFonts w:ascii="宋体" w:hAnsi="宋体" w:eastAsia="宋体"/>
          <w:b/>
          <w:sz w:val="24"/>
          <w:szCs w:val="24"/>
        </w:rPr>
      </w:pPr>
      <w:r>
        <w:rPr>
          <w:rFonts w:hint="eastAsia" w:ascii="宋体" w:hAnsi="宋体" w:eastAsia="宋体"/>
          <w:b/>
          <w:sz w:val="24"/>
          <w:szCs w:val="24"/>
        </w:rPr>
        <w:t>乙方：</w:t>
      </w:r>
      <w:r>
        <w:rPr>
          <w:rFonts w:hint="eastAsia" w:ascii="宋体" w:hAnsi="宋体" w:eastAsia="宋体"/>
          <w:b/>
          <w:sz w:val="24"/>
          <w:szCs w:val="24"/>
          <w:u w:val="single"/>
        </w:rPr>
        <w:t xml:space="preserve">   </w:t>
      </w:r>
      <w:r>
        <w:rPr>
          <w:rFonts w:ascii="宋体" w:hAnsi="宋体" w:eastAsia="宋体"/>
          <w:b/>
          <w:sz w:val="24"/>
          <w:szCs w:val="24"/>
          <w:u w:val="single"/>
        </w:rPr>
        <w:t xml:space="preserve">  </w:t>
      </w:r>
      <w:r>
        <w:rPr>
          <w:rFonts w:hint="eastAsia" w:ascii="宋体" w:hAnsi="宋体"/>
          <w:b/>
          <w:sz w:val="24"/>
          <w:szCs w:val="24"/>
          <w:u w:val="single"/>
          <w:lang w:val="en-US" w:eastAsia="zh-CN"/>
        </w:rPr>
        <w:t xml:space="preserve">                       </w:t>
      </w:r>
      <w:r>
        <w:rPr>
          <w:rFonts w:ascii="宋体" w:hAnsi="宋体" w:eastAsia="宋体"/>
          <w:b/>
          <w:sz w:val="24"/>
          <w:szCs w:val="24"/>
          <w:u w:val="single"/>
        </w:rPr>
        <w:t xml:space="preserve">      </w:t>
      </w:r>
      <w:r>
        <w:rPr>
          <w:rFonts w:hint="eastAsia" w:ascii="宋体" w:hAnsi="宋体" w:eastAsia="宋体"/>
          <w:b/>
          <w:sz w:val="24"/>
          <w:szCs w:val="24"/>
        </w:rPr>
        <w:t>（以下简称乙方）</w:t>
      </w:r>
    </w:p>
    <w:p>
      <w:pPr>
        <w:pageBreakBefore w:val="0"/>
        <w:widowControl w:val="0"/>
        <w:kinsoku/>
        <w:wordWrap/>
        <w:overflowPunct/>
        <w:topLinePunct w:val="0"/>
        <w:autoSpaceDE/>
        <w:autoSpaceDN/>
        <w:bidi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甲、乙双方根据</w:t>
      </w:r>
      <w:r>
        <w:rPr>
          <w:rFonts w:hint="eastAsia" w:ascii="宋体" w:hAnsi="宋体" w:cs="Times New Roman"/>
          <w:sz w:val="24"/>
          <w:szCs w:val="24"/>
          <w:u w:val="single"/>
          <w:lang w:eastAsia="zh-CN"/>
        </w:rPr>
        <w:t>南通市妇幼保健院锅炉维保服务采购项目</w:t>
      </w:r>
      <w:r>
        <w:rPr>
          <w:rFonts w:hint="eastAsia" w:ascii="宋体" w:hAnsi="宋体" w:eastAsia="宋体" w:cs="Times New Roman"/>
          <w:sz w:val="24"/>
          <w:szCs w:val="24"/>
          <w:u w:val="single"/>
          <w:lang w:val="zh-CN"/>
        </w:rPr>
        <w:t xml:space="preserve"> </w:t>
      </w:r>
      <w:r>
        <w:rPr>
          <w:rFonts w:ascii="宋体" w:hAnsi="宋体" w:eastAsia="宋体" w:cs="Times New Roman"/>
          <w:sz w:val="24"/>
          <w:szCs w:val="24"/>
        </w:rPr>
        <w:t>竞争性磋商的结果，签署本合同。</w:t>
      </w:r>
    </w:p>
    <w:p>
      <w:pPr>
        <w:pageBreakBefore w:val="0"/>
        <w:widowControl w:val="0"/>
        <w:kinsoku/>
        <w:wordWrap/>
        <w:overflowPunct/>
        <w:topLinePunct w:val="0"/>
        <w:autoSpaceDE/>
        <w:autoSpaceDN/>
        <w:bidi w:val="0"/>
        <w:spacing w:line="360" w:lineRule="auto"/>
        <w:jc w:val="left"/>
        <w:rPr>
          <w:rFonts w:ascii="宋体" w:hAnsi="宋体" w:eastAsia="宋体"/>
          <w:sz w:val="24"/>
          <w:szCs w:val="24"/>
        </w:rPr>
      </w:pPr>
      <w:r>
        <w:rPr>
          <w:rFonts w:hint="eastAsia" w:ascii="宋体" w:hAnsi="宋体" w:eastAsia="宋体"/>
          <w:b/>
          <w:bCs/>
          <w:sz w:val="24"/>
          <w:szCs w:val="24"/>
        </w:rPr>
        <w:t>一、合同内容</w:t>
      </w:r>
    </w:p>
    <w:p>
      <w:pPr>
        <w:pageBreakBefore w:val="0"/>
        <w:widowControl w:val="0"/>
        <w:kinsoku/>
        <w:wordWrap/>
        <w:overflowPunct/>
        <w:topLinePunct w:val="0"/>
        <w:autoSpaceDE/>
        <w:autoSpaceDN/>
        <w:bidi w:val="0"/>
        <w:spacing w:line="360" w:lineRule="auto"/>
        <w:rPr>
          <w:rFonts w:hint="eastAsia" w:ascii="宋体" w:hAnsi="宋体" w:cs="宋体"/>
          <w:b w:val="0"/>
          <w:bCs w:val="0"/>
          <w:color w:val="auto"/>
          <w:sz w:val="24"/>
          <w:szCs w:val="24"/>
          <w:u w:val="single"/>
          <w:lang w:val="en-US" w:eastAsia="zh-CN"/>
        </w:rPr>
      </w:pPr>
      <w:r>
        <w:rPr>
          <w:rFonts w:ascii="宋体" w:hAnsi="宋体" w:eastAsia="宋体"/>
          <w:bCs/>
          <w:sz w:val="24"/>
          <w:szCs w:val="24"/>
        </w:rPr>
        <w:t xml:space="preserve">1 </w:t>
      </w:r>
      <w:r>
        <w:rPr>
          <w:rFonts w:hint="eastAsia" w:ascii="宋体" w:hAnsi="宋体" w:eastAsia="宋体"/>
          <w:bCs/>
          <w:sz w:val="24"/>
          <w:szCs w:val="24"/>
        </w:rPr>
        <w:t>、服务内容：</w:t>
      </w:r>
      <w:r>
        <w:rPr>
          <w:rFonts w:hint="eastAsia" w:ascii="宋体" w:hAnsi="宋体" w:eastAsia="宋体" w:cs="Times New Roman"/>
          <w:sz w:val="24"/>
          <w:szCs w:val="24"/>
          <w:u w:val="single"/>
          <w:lang w:eastAsia="zh-CN"/>
        </w:rPr>
        <w:t>南通市妇幼保健院</w:t>
      </w:r>
      <w:r>
        <w:rPr>
          <w:rFonts w:hint="eastAsia" w:ascii="宋体" w:hAnsi="宋体" w:cs="Times New Roman"/>
          <w:sz w:val="24"/>
          <w:szCs w:val="24"/>
          <w:u w:val="single"/>
          <w:lang w:eastAsia="zh-CN"/>
        </w:rPr>
        <w:t>锅炉维保服务</w:t>
      </w:r>
    </w:p>
    <w:p>
      <w:pPr>
        <w:pageBreakBefore w:val="0"/>
        <w:widowControl w:val="0"/>
        <w:kinsoku/>
        <w:wordWrap/>
        <w:overflowPunct/>
        <w:topLinePunct w:val="0"/>
        <w:autoSpaceDE/>
        <w:autoSpaceDN/>
        <w:bidi w:val="0"/>
        <w:spacing w:line="360" w:lineRule="auto"/>
        <w:rPr>
          <w:rFonts w:hint="default" w:ascii="宋体" w:hAnsi="宋体" w:eastAsia="宋体"/>
          <w:bCs/>
          <w:color w:val="auto"/>
          <w:sz w:val="24"/>
          <w:szCs w:val="24"/>
          <w:lang w:val="en-US" w:eastAsia="zh-CN"/>
        </w:rPr>
      </w:pPr>
      <w:r>
        <w:rPr>
          <w:rFonts w:ascii="宋体" w:hAnsi="宋体" w:eastAsia="宋体"/>
          <w:bCs/>
          <w:color w:val="auto"/>
          <w:sz w:val="24"/>
          <w:szCs w:val="24"/>
        </w:rPr>
        <w:t xml:space="preserve">2 </w:t>
      </w:r>
      <w:r>
        <w:rPr>
          <w:rFonts w:hint="eastAsia" w:ascii="宋体" w:hAnsi="宋体" w:eastAsia="宋体"/>
          <w:bCs/>
          <w:color w:val="auto"/>
          <w:sz w:val="24"/>
          <w:szCs w:val="24"/>
        </w:rPr>
        <w:t>、服务期限：</w:t>
      </w:r>
      <w:r>
        <w:rPr>
          <w:rFonts w:hint="eastAsia" w:ascii="宋体" w:hAnsi="宋体" w:eastAsia="宋体"/>
          <w:bCs/>
          <w:color w:val="auto"/>
          <w:sz w:val="24"/>
          <w:szCs w:val="24"/>
          <w:u w:val="single"/>
        </w:rPr>
        <w:t xml:space="preserve"> </w:t>
      </w:r>
      <w:r>
        <w:rPr>
          <w:rFonts w:ascii="宋体" w:hAnsi="宋体" w:eastAsia="宋体"/>
          <w:bCs/>
          <w:color w:val="auto"/>
          <w:sz w:val="24"/>
          <w:szCs w:val="24"/>
          <w:u w:val="single"/>
        </w:rPr>
        <w:t xml:space="preserve">          </w:t>
      </w:r>
      <w:r>
        <w:rPr>
          <w:rFonts w:hint="eastAsia" w:ascii="宋体" w:hAnsi="宋体" w:eastAsia="宋体"/>
          <w:bCs/>
          <w:color w:val="auto"/>
          <w:sz w:val="24"/>
          <w:szCs w:val="24"/>
          <w:u w:val="single"/>
        </w:rPr>
        <w:t xml:space="preserve">叁年 </w:t>
      </w:r>
      <w:r>
        <w:rPr>
          <w:rFonts w:ascii="宋体" w:hAnsi="宋体" w:eastAsia="宋体"/>
          <w:bCs/>
          <w:color w:val="auto"/>
          <w:sz w:val="24"/>
          <w:szCs w:val="24"/>
          <w:u w:val="single"/>
        </w:rPr>
        <w:t xml:space="preserve">         </w:t>
      </w:r>
      <w:r>
        <w:rPr>
          <w:rFonts w:hint="eastAsia" w:ascii="宋体" w:hAnsi="宋体" w:eastAsia="宋体"/>
          <w:bCs/>
          <w:color w:val="auto"/>
          <w:sz w:val="24"/>
          <w:szCs w:val="24"/>
          <w:u w:val="single"/>
        </w:rPr>
        <w:t xml:space="preserve"> </w:t>
      </w:r>
      <w:r>
        <w:rPr>
          <w:rFonts w:ascii="宋体" w:hAnsi="宋体" w:eastAsia="宋体"/>
          <w:bCs/>
          <w:color w:val="auto"/>
          <w:sz w:val="24"/>
          <w:szCs w:val="24"/>
          <w:u w:val="single"/>
        </w:rPr>
        <w:t xml:space="preserve"> </w:t>
      </w:r>
      <w:r>
        <w:rPr>
          <w:rFonts w:hint="eastAsia" w:ascii="宋体" w:hAnsi="宋体"/>
          <w:bCs/>
          <w:color w:val="auto"/>
          <w:sz w:val="24"/>
          <w:szCs w:val="24"/>
          <w:u w:val="single"/>
          <w:lang w:val="en-US" w:eastAsia="zh-CN"/>
        </w:rPr>
        <w:t xml:space="preserve"> </w:t>
      </w:r>
    </w:p>
    <w:p>
      <w:pPr>
        <w:snapToGrid w:val="0"/>
        <w:spacing w:line="360" w:lineRule="auto"/>
        <w:ind w:firstLine="480" w:firstLineChars="200"/>
        <w:rPr>
          <w:rFonts w:hint="eastAsia" w:ascii="宋体" w:hAnsi="宋体" w:cs="宋体"/>
          <w:sz w:val="24"/>
          <w:szCs w:val="24"/>
          <w:u w:val="single"/>
        </w:rPr>
      </w:pPr>
      <w:r>
        <w:rPr>
          <w:rFonts w:hint="eastAsia" w:ascii="宋体" w:hAnsi="宋体" w:cs="宋体"/>
          <w:color w:val="auto"/>
          <w:sz w:val="24"/>
          <w:szCs w:val="24"/>
        </w:rPr>
        <w:t>本项目合同服务期暂定三年，但合同一年一签</w:t>
      </w:r>
      <w:r>
        <w:rPr>
          <w:rFonts w:hint="eastAsia" w:ascii="宋体" w:hAnsi="宋体" w:cs="宋体"/>
          <w:color w:val="auto"/>
          <w:sz w:val="24"/>
          <w:szCs w:val="24"/>
          <w:lang w:eastAsia="zh-CN"/>
        </w:rPr>
        <w:t>，</w:t>
      </w:r>
      <w:r>
        <w:rPr>
          <w:rFonts w:hint="eastAsia" w:ascii="宋体" w:hAnsi="宋体" w:cs="宋体"/>
          <w:b/>
          <w:bCs/>
          <w:color w:val="auto"/>
          <w:sz w:val="24"/>
          <w:szCs w:val="24"/>
          <w:lang w:val="en-US" w:eastAsia="zh-CN"/>
        </w:rPr>
        <w:t>本合同自2022年   月  日至2023年   月  日</w:t>
      </w:r>
      <w:r>
        <w:rPr>
          <w:rFonts w:hint="eastAsia" w:ascii="宋体" w:hAnsi="宋体" w:cs="宋体"/>
          <w:color w:val="auto"/>
          <w:sz w:val="24"/>
          <w:szCs w:val="24"/>
        </w:rPr>
        <w:t>。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w:t>
      </w:r>
      <w:r>
        <w:rPr>
          <w:rFonts w:hint="eastAsia" w:ascii="宋体" w:hAnsi="宋体" w:cs="宋体"/>
          <w:sz w:val="24"/>
          <w:szCs w:val="24"/>
        </w:rPr>
        <w:t>合同期内年度综合考核得分</w:t>
      </w:r>
      <w:r>
        <w:rPr>
          <w:rFonts w:hint="eastAsia" w:ascii="宋体" w:hAnsi="宋体" w:cs="宋体"/>
          <w:color w:val="1F497D" w:themeColor="text2"/>
          <w:sz w:val="24"/>
          <w:szCs w:val="24"/>
          <w14:textFill>
            <w14:solidFill>
              <w14:schemeClr w14:val="tx2"/>
            </w14:solidFill>
          </w14:textFill>
        </w:rPr>
        <w:t>＜90</w:t>
      </w:r>
      <w:r>
        <w:rPr>
          <w:rFonts w:hint="eastAsia" w:ascii="宋体" w:hAnsi="宋体" w:cs="宋体"/>
          <w:sz w:val="24"/>
          <w:szCs w:val="24"/>
        </w:rPr>
        <w:t>分，则采购人不再与成交供应商续签合同。</w:t>
      </w:r>
    </w:p>
    <w:p>
      <w:pPr>
        <w:pageBreakBefore w:val="0"/>
        <w:widowControl w:val="0"/>
        <w:kinsoku/>
        <w:wordWrap/>
        <w:overflowPunct/>
        <w:topLinePunct w:val="0"/>
        <w:autoSpaceDE/>
        <w:autoSpaceDN/>
        <w:bidi w:val="0"/>
        <w:spacing w:line="360" w:lineRule="auto"/>
        <w:rPr>
          <w:rFonts w:ascii="宋体" w:hAnsi="宋体" w:eastAsia="宋体"/>
          <w:bCs/>
          <w:sz w:val="24"/>
          <w:szCs w:val="24"/>
        </w:rPr>
      </w:pPr>
      <w:r>
        <w:rPr>
          <w:rFonts w:ascii="宋体" w:hAnsi="宋体" w:eastAsia="宋体"/>
          <w:bCs/>
          <w:sz w:val="24"/>
          <w:szCs w:val="24"/>
        </w:rPr>
        <w:t xml:space="preserve">3 </w:t>
      </w:r>
      <w:r>
        <w:rPr>
          <w:rFonts w:hint="eastAsia" w:ascii="宋体" w:hAnsi="宋体" w:eastAsia="宋体"/>
          <w:bCs/>
          <w:sz w:val="24"/>
          <w:szCs w:val="24"/>
        </w:rPr>
        <w:t>、具体条款如下：</w:t>
      </w:r>
    </w:p>
    <w:p>
      <w:pPr>
        <w:pageBreakBefore w:val="0"/>
        <w:widowControl w:val="0"/>
        <w:numPr>
          <w:ilvl w:val="0"/>
          <w:numId w:val="13"/>
        </w:numPr>
        <w:kinsoku/>
        <w:wordWrap/>
        <w:overflowPunct/>
        <w:topLinePunct w:val="0"/>
        <w:autoSpaceDE/>
        <w:autoSpaceDN/>
        <w:bidi w:val="0"/>
        <w:spacing w:line="360" w:lineRule="auto"/>
        <w:rPr>
          <w:rFonts w:hint="eastAsia" w:ascii="宋体" w:hAnsi="宋体" w:eastAsia="宋体"/>
          <w:b/>
          <w:bCs/>
          <w:sz w:val="24"/>
          <w:szCs w:val="24"/>
        </w:rPr>
      </w:pPr>
      <w:r>
        <w:rPr>
          <w:rFonts w:hint="eastAsia" w:ascii="宋体" w:hAnsi="宋体" w:eastAsia="宋体"/>
          <w:b/>
          <w:bCs/>
          <w:sz w:val="24"/>
          <w:szCs w:val="24"/>
        </w:rPr>
        <w:t>合同服务范围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 xml:space="preserve"> </w:t>
      </w:r>
      <w:r>
        <w:rPr>
          <w:rFonts w:hint="eastAsia" w:ascii="宋体" w:hAnsi="宋体" w:eastAsia="宋体" w:cs="宋体"/>
          <w:kern w:val="2"/>
          <w:sz w:val="24"/>
          <w:szCs w:val="24"/>
          <w:lang w:val="en-US" w:eastAsia="zh-CN" w:bidi="ar-SA"/>
        </w:rPr>
        <w:t>南通市妇幼保健院锅炉维保服务采购，两台锅炉型号 WNS4-1.0-Q Y燃气锅炉</w:t>
      </w:r>
      <w:r>
        <w:rPr>
          <w:rFonts w:hint="eastAsia" w:ascii="宋体" w:hAnsi="宋体" w:cs="宋体"/>
          <w:kern w:val="2"/>
          <w:sz w:val="24"/>
          <w:szCs w:val="24"/>
          <w:lang w:val="en-US" w:eastAsia="zh-CN" w:bidi="ar-SA"/>
        </w:rPr>
        <w:t>（额定蒸发量4000kg/h、额定蒸汽压力1.0MPa）</w:t>
      </w:r>
      <w:r>
        <w:rPr>
          <w:rFonts w:hint="eastAsia" w:ascii="宋体" w:hAnsi="宋体" w:eastAsia="宋体" w:cs="宋体"/>
          <w:kern w:val="2"/>
          <w:sz w:val="24"/>
          <w:szCs w:val="24"/>
          <w:lang w:val="en-US" w:eastAsia="zh-CN" w:bidi="ar-SA"/>
        </w:rPr>
        <w:t>及</w:t>
      </w:r>
      <w:r>
        <w:rPr>
          <w:rFonts w:hint="eastAsia" w:ascii="宋体" w:hAnsi="宋体" w:cs="宋体"/>
          <w:kern w:val="2"/>
          <w:sz w:val="24"/>
          <w:szCs w:val="24"/>
          <w:lang w:val="en-US" w:eastAsia="zh-CN" w:bidi="ar-SA"/>
        </w:rPr>
        <w:t>两台</w:t>
      </w:r>
      <w:r>
        <w:rPr>
          <w:rFonts w:hint="eastAsia" w:ascii="宋体" w:hAnsi="宋体" w:eastAsia="宋体" w:cs="宋体"/>
          <w:kern w:val="2"/>
          <w:sz w:val="24"/>
          <w:szCs w:val="24"/>
          <w:lang w:val="en-US" w:eastAsia="zh-CN" w:bidi="ar-SA"/>
        </w:rPr>
        <w:t>燃烧器（GBICO）、电控柜（PLC)</w:t>
      </w:r>
      <w:r>
        <w:rPr>
          <w:rFonts w:hint="eastAsia" w:ascii="宋体" w:hAnsi="宋体" w:cs="宋体"/>
          <w:kern w:val="2"/>
          <w:sz w:val="24"/>
          <w:szCs w:val="24"/>
          <w:lang w:val="en-US" w:eastAsia="zh-CN" w:bidi="ar-SA"/>
        </w:rPr>
        <w:t>、其他锅炉配套辅机</w:t>
      </w:r>
      <w:r>
        <w:rPr>
          <w:rFonts w:hint="eastAsia" w:ascii="宋体" w:hAnsi="宋体" w:eastAsia="宋体" w:cs="宋体"/>
          <w:kern w:val="2"/>
          <w:sz w:val="24"/>
          <w:szCs w:val="24"/>
          <w:lang w:val="en-US" w:eastAsia="zh-CN" w:bidi="ar-SA"/>
        </w:rPr>
        <w:t>等设备维保</w:t>
      </w:r>
      <w:r>
        <w:rPr>
          <w:rFonts w:hint="eastAsia" w:ascii="宋体" w:hAnsi="宋体" w:cs="宋体"/>
          <w:kern w:val="2"/>
          <w:sz w:val="24"/>
          <w:szCs w:val="24"/>
          <w:lang w:val="en-US" w:eastAsia="zh-CN" w:bidi="ar-SA"/>
        </w:rPr>
        <w:t>。</w:t>
      </w:r>
    </w:p>
    <w:p>
      <w:pPr>
        <w:pageBreakBefore w:val="0"/>
        <w:widowControl w:val="0"/>
        <w:kinsoku/>
        <w:wordWrap/>
        <w:overflowPunct/>
        <w:topLinePunct w:val="0"/>
        <w:autoSpaceDE/>
        <w:autoSpaceDN/>
        <w:bidi w:val="0"/>
        <w:spacing w:line="360" w:lineRule="auto"/>
        <w:rPr>
          <w:rFonts w:ascii="宋体" w:hAnsi="宋体" w:eastAsia="宋体"/>
          <w:b/>
          <w:bCs/>
          <w:sz w:val="24"/>
          <w:szCs w:val="24"/>
        </w:rPr>
      </w:pPr>
      <w:r>
        <w:rPr>
          <w:rFonts w:hint="eastAsia" w:ascii="宋体" w:hAnsi="宋体" w:eastAsia="宋体"/>
          <w:b/>
          <w:bCs/>
          <w:sz w:val="24"/>
          <w:szCs w:val="24"/>
        </w:rPr>
        <w:t>（二）服务承诺</w:t>
      </w:r>
    </w:p>
    <w:p>
      <w:pPr>
        <w:pageBreakBefore w:val="0"/>
        <w:widowControl w:val="0"/>
        <w:numPr>
          <w:ilvl w:val="0"/>
          <w:numId w:val="0"/>
        </w:numPr>
        <w:suppressLineNumbers/>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1、</w:t>
      </w:r>
      <w:r>
        <w:rPr>
          <w:rFonts w:hint="eastAsia" w:ascii="宋体" w:hAnsi="宋体" w:eastAsia="宋体"/>
          <w:sz w:val="24"/>
          <w:szCs w:val="24"/>
        </w:rPr>
        <w:t>乙方在维保期限内，为甲方提供24小时应急服务，以保证系统的正常运行。</w:t>
      </w:r>
    </w:p>
    <w:p>
      <w:pPr>
        <w:pageBreakBefore w:val="0"/>
        <w:widowControl w:val="0"/>
        <w:numPr>
          <w:ilvl w:val="0"/>
          <w:numId w:val="0"/>
        </w:numPr>
        <w:suppressLineNumbers/>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2、</w:t>
      </w:r>
      <w:r>
        <w:rPr>
          <w:rFonts w:hint="eastAsia" w:ascii="宋体" w:hAnsi="宋体" w:eastAsia="宋体"/>
          <w:sz w:val="24"/>
          <w:szCs w:val="24"/>
        </w:rPr>
        <w:t>乙方维保人员应提供详实的维修保养记录，每月上交相关科室，并接受各类检查。</w:t>
      </w:r>
    </w:p>
    <w:p>
      <w:pPr>
        <w:pageBreakBefore w:val="0"/>
        <w:widowControl w:val="0"/>
        <w:numPr>
          <w:ilvl w:val="0"/>
          <w:numId w:val="0"/>
        </w:numPr>
        <w:suppressLineNumbers/>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3、</w:t>
      </w:r>
      <w:r>
        <w:rPr>
          <w:rFonts w:hint="eastAsia" w:ascii="宋体" w:hAnsi="宋体" w:eastAsia="宋体"/>
          <w:sz w:val="24"/>
          <w:szCs w:val="24"/>
        </w:rPr>
        <w:t>乙方维保人员应根据现场设备的运行状态向甲方提出应急维修备品、备件清单。</w:t>
      </w:r>
    </w:p>
    <w:p>
      <w:pPr>
        <w:pageBreakBefore w:val="0"/>
        <w:widowControl w:val="0"/>
        <w:numPr>
          <w:ilvl w:val="0"/>
          <w:numId w:val="0"/>
        </w:numPr>
        <w:kinsoku/>
        <w:wordWrap/>
        <w:overflowPunct/>
        <w:topLinePunct w:val="0"/>
        <w:autoSpaceDE/>
        <w:autoSpaceDN/>
        <w:bidi w:val="0"/>
        <w:adjustRightInd w:val="0"/>
        <w:snapToGrid w:val="0"/>
        <w:spacing w:line="360" w:lineRule="auto"/>
        <w:ind w:leftChars="0"/>
        <w:rPr>
          <w:rFonts w:ascii="宋体" w:hAnsi="宋体" w:eastAsia="宋体"/>
          <w:sz w:val="24"/>
          <w:szCs w:val="24"/>
        </w:rPr>
      </w:pPr>
      <w:r>
        <w:rPr>
          <w:rFonts w:hint="eastAsia" w:ascii="宋体" w:hAnsi="宋体"/>
          <w:sz w:val="24"/>
          <w:szCs w:val="24"/>
          <w:lang w:val="en-US" w:eastAsia="zh-CN"/>
        </w:rPr>
        <w:t>4、</w:t>
      </w:r>
      <w:r>
        <w:rPr>
          <w:rFonts w:hint="eastAsia" w:ascii="宋体" w:hAnsi="宋体" w:eastAsia="宋体"/>
          <w:sz w:val="24"/>
          <w:szCs w:val="24"/>
        </w:rPr>
        <w:t>设备出现故障时，提供24小时应急服务。接到甲方应急维修通知后，立即响应，半小时内到达现场，排除故障，直至恢复正常运行。</w:t>
      </w:r>
    </w:p>
    <w:p>
      <w:pPr>
        <w:pageBreakBefore w:val="0"/>
        <w:widowControl w:val="0"/>
        <w:numPr>
          <w:ilvl w:val="0"/>
          <w:numId w:val="0"/>
        </w:numPr>
        <w:suppressLineNumbers/>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5、</w:t>
      </w:r>
      <w:r>
        <w:rPr>
          <w:rFonts w:hint="eastAsia" w:ascii="宋体" w:hAnsi="宋体" w:eastAsia="宋体"/>
          <w:sz w:val="24"/>
          <w:szCs w:val="24"/>
        </w:rPr>
        <w:t>设备故障，现场无法修复的，乙方维保人员应采取积极有效的应急措施以保证临时应急使用。</w:t>
      </w:r>
    </w:p>
    <w:p>
      <w:pPr>
        <w:pageBreakBefore w:val="0"/>
        <w:widowControl w:val="0"/>
        <w:numPr>
          <w:ilvl w:val="0"/>
          <w:numId w:val="0"/>
        </w:numPr>
        <w:suppressLineNumbers/>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6、</w:t>
      </w:r>
      <w:r>
        <w:rPr>
          <w:rFonts w:hint="eastAsia" w:ascii="宋体" w:hAnsi="宋体" w:eastAsia="宋体"/>
          <w:sz w:val="24"/>
          <w:szCs w:val="24"/>
        </w:rPr>
        <w:t>维修无法修复且无法采购到相同的品牌设备的，经双方确认后，应向甲方提出更换申请（或提出更换选型建议）。</w:t>
      </w:r>
    </w:p>
    <w:p>
      <w:pPr>
        <w:pageBreakBefore w:val="0"/>
        <w:widowControl w:val="0"/>
        <w:numPr>
          <w:ilvl w:val="0"/>
          <w:numId w:val="0"/>
        </w:numPr>
        <w:suppressLineNumbers/>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7、</w:t>
      </w:r>
      <w:r>
        <w:rPr>
          <w:rFonts w:hint="eastAsia" w:ascii="宋体" w:hAnsi="宋体" w:eastAsia="宋体"/>
          <w:sz w:val="24"/>
          <w:szCs w:val="24"/>
        </w:rPr>
        <w:t>故障排除的最长时限为10天（涉及配件采购），配件采购期间乙方应采取应急措施确保系统的正常使用。乙方维保服务联系人：</w:t>
      </w:r>
      <w:r>
        <w:rPr>
          <w:rFonts w:hint="eastAsia" w:ascii="宋体" w:hAnsi="宋体"/>
          <w:sz w:val="24"/>
          <w:szCs w:val="24"/>
          <w:lang w:val="en-US" w:eastAsia="zh-CN"/>
        </w:rPr>
        <w:t xml:space="preserve">    </w:t>
      </w:r>
      <w:r>
        <w:rPr>
          <w:rFonts w:hint="eastAsia" w:ascii="宋体" w:hAnsi="宋体" w:eastAsia="宋体"/>
          <w:sz w:val="24"/>
          <w:szCs w:val="24"/>
        </w:rPr>
        <w:t>（电话：</w:t>
      </w:r>
      <w:r>
        <w:rPr>
          <w:rFonts w:hint="eastAsia" w:ascii="宋体" w:hAnsi="宋体"/>
          <w:sz w:val="24"/>
          <w:szCs w:val="24"/>
          <w:lang w:val="en-US" w:eastAsia="zh-CN"/>
        </w:rPr>
        <w:t xml:space="preserve">     </w:t>
      </w:r>
      <w:r>
        <w:rPr>
          <w:rFonts w:hint="eastAsia" w:ascii="宋体" w:hAnsi="宋体" w:eastAsia="宋体"/>
          <w:sz w:val="24"/>
          <w:szCs w:val="24"/>
        </w:rPr>
        <w:t>）</w:t>
      </w:r>
    </w:p>
    <w:p>
      <w:pPr>
        <w:pageBreakBefore w:val="0"/>
        <w:widowControl w:val="0"/>
        <w:numPr>
          <w:ilvl w:val="0"/>
          <w:numId w:val="0"/>
        </w:numPr>
        <w:kinsoku/>
        <w:wordWrap/>
        <w:overflowPunct/>
        <w:topLinePunct w:val="0"/>
        <w:autoSpaceDE/>
        <w:autoSpaceDN/>
        <w:bidi w:val="0"/>
        <w:spacing w:line="360" w:lineRule="auto"/>
        <w:ind w:leftChars="0" w:right="28" w:rightChars="0"/>
        <w:rPr>
          <w:rFonts w:ascii="宋体" w:hAnsi="宋体" w:eastAsia="宋体"/>
          <w:bCs/>
          <w:kern w:val="0"/>
          <w:sz w:val="24"/>
          <w:szCs w:val="24"/>
        </w:rPr>
      </w:pPr>
      <w:r>
        <w:rPr>
          <w:rFonts w:hint="eastAsia" w:ascii="宋体" w:hAnsi="宋体"/>
          <w:sz w:val="24"/>
          <w:szCs w:val="24"/>
          <w:lang w:val="en-US" w:eastAsia="zh-CN"/>
        </w:rPr>
        <w:t>8、</w:t>
      </w:r>
      <w:r>
        <w:rPr>
          <w:rFonts w:hint="eastAsia" w:ascii="宋体" w:hAnsi="宋体" w:eastAsia="宋体"/>
          <w:sz w:val="24"/>
          <w:szCs w:val="24"/>
        </w:rPr>
        <w:t>维保期过后，发生故障，优先提供维修服务，确保系统正常运行，</w:t>
      </w:r>
      <w:r>
        <w:rPr>
          <w:rFonts w:hint="eastAsia" w:ascii="宋体" w:hAnsi="宋体" w:eastAsia="宋体"/>
          <w:bCs/>
          <w:kern w:val="0"/>
          <w:sz w:val="24"/>
          <w:szCs w:val="24"/>
        </w:rPr>
        <w:t>不耽误医护人员正常工作。</w:t>
      </w:r>
    </w:p>
    <w:p>
      <w:pPr>
        <w:pageBreakBefore w:val="0"/>
        <w:widowControl w:val="0"/>
        <w:kinsoku/>
        <w:wordWrap/>
        <w:overflowPunct/>
        <w:topLinePunct w:val="0"/>
        <w:autoSpaceDE/>
        <w:autoSpaceDN/>
        <w:bidi w:val="0"/>
        <w:spacing w:line="360" w:lineRule="auto"/>
        <w:rPr>
          <w:rFonts w:ascii="宋体" w:hAnsi="宋体" w:eastAsia="宋体"/>
          <w:b/>
          <w:bCs/>
          <w:sz w:val="24"/>
          <w:szCs w:val="24"/>
        </w:rPr>
      </w:pPr>
      <w:r>
        <w:rPr>
          <w:rFonts w:hint="eastAsia" w:ascii="宋体" w:hAnsi="宋体" w:eastAsia="宋体"/>
          <w:b/>
          <w:bCs/>
          <w:sz w:val="24"/>
          <w:szCs w:val="24"/>
        </w:rPr>
        <w:t>（三）双方责任</w:t>
      </w:r>
    </w:p>
    <w:p>
      <w:pPr>
        <w:pageBreakBefore w:val="0"/>
        <w:widowControl w:val="0"/>
        <w:kinsoku/>
        <w:wordWrap/>
        <w:overflowPunct/>
        <w:topLinePunct w:val="0"/>
        <w:autoSpaceDE/>
        <w:autoSpaceDN/>
        <w:bidi w:val="0"/>
        <w:spacing w:line="360" w:lineRule="auto"/>
        <w:rPr>
          <w:rFonts w:ascii="宋体" w:hAnsi="宋体" w:eastAsia="宋体"/>
          <w:sz w:val="24"/>
          <w:szCs w:val="24"/>
        </w:rPr>
      </w:pPr>
      <w:r>
        <w:rPr>
          <w:rFonts w:hint="eastAsia" w:ascii="宋体" w:hAnsi="宋体" w:eastAsia="宋体"/>
          <w:sz w:val="24"/>
          <w:szCs w:val="24"/>
        </w:rPr>
        <w:t>1</w:t>
      </w:r>
      <w:r>
        <w:rPr>
          <w:rFonts w:hint="eastAsia" w:ascii="宋体" w:hAnsi="宋体"/>
          <w:sz w:val="24"/>
          <w:szCs w:val="24"/>
          <w:lang w:eastAsia="zh-CN"/>
        </w:rPr>
        <w:t>、</w:t>
      </w:r>
      <w:r>
        <w:rPr>
          <w:rFonts w:hint="eastAsia" w:ascii="宋体" w:hAnsi="宋体" w:eastAsia="宋体"/>
          <w:sz w:val="24"/>
          <w:szCs w:val="24"/>
        </w:rPr>
        <w:t>甲方应按原系统设计要求，提供系统运行必须的电源和水源。</w:t>
      </w:r>
    </w:p>
    <w:p>
      <w:pPr>
        <w:pageBreakBefore w:val="0"/>
        <w:widowControl w:val="0"/>
        <w:kinsoku/>
        <w:wordWrap/>
        <w:overflowPunct/>
        <w:topLinePunct w:val="0"/>
        <w:autoSpaceDE/>
        <w:autoSpaceDN/>
        <w:bidi w:val="0"/>
        <w:spacing w:line="360" w:lineRule="auto"/>
        <w:rPr>
          <w:rFonts w:ascii="宋体" w:hAnsi="宋体" w:eastAsia="宋体"/>
          <w:sz w:val="24"/>
          <w:szCs w:val="24"/>
        </w:rPr>
      </w:pPr>
      <w:r>
        <w:rPr>
          <w:rFonts w:hint="eastAsia" w:ascii="宋体" w:hAnsi="宋体" w:eastAsia="宋体"/>
          <w:sz w:val="24"/>
          <w:szCs w:val="24"/>
        </w:rPr>
        <w:t>2</w:t>
      </w:r>
      <w:r>
        <w:rPr>
          <w:rFonts w:hint="eastAsia" w:ascii="宋体" w:hAnsi="宋体"/>
          <w:sz w:val="24"/>
          <w:szCs w:val="24"/>
          <w:lang w:eastAsia="zh-CN"/>
        </w:rPr>
        <w:t>、</w:t>
      </w:r>
      <w:r>
        <w:rPr>
          <w:rFonts w:hint="eastAsia" w:ascii="宋体" w:hAnsi="宋体" w:eastAsia="宋体"/>
          <w:sz w:val="24"/>
          <w:szCs w:val="24"/>
        </w:rPr>
        <w:t>甲方应做好</w:t>
      </w:r>
      <w:r>
        <w:rPr>
          <w:rFonts w:hint="eastAsia" w:ascii="宋体" w:hAnsi="宋体"/>
          <w:sz w:val="24"/>
          <w:szCs w:val="24"/>
          <w:lang w:eastAsia="zh-CN"/>
        </w:rPr>
        <w:t>维保</w:t>
      </w:r>
      <w:r>
        <w:rPr>
          <w:rFonts w:hint="eastAsia" w:ascii="宋体" w:hAnsi="宋体" w:eastAsia="宋体"/>
          <w:sz w:val="24"/>
          <w:szCs w:val="24"/>
        </w:rPr>
        <w:t>区域内的日常清洁，在发现故障或故障隐患时，及时通知乙方，以保证系统的正常运行。</w:t>
      </w:r>
    </w:p>
    <w:p>
      <w:pPr>
        <w:pageBreakBefore w:val="0"/>
        <w:widowControl w:val="0"/>
        <w:kinsoku/>
        <w:wordWrap/>
        <w:overflowPunct/>
        <w:topLinePunct w:val="0"/>
        <w:autoSpaceDE/>
        <w:autoSpaceDN/>
        <w:bidi w:val="0"/>
        <w:spacing w:line="360" w:lineRule="auto"/>
        <w:rPr>
          <w:rFonts w:ascii="宋体" w:hAnsi="宋体" w:eastAsia="宋体"/>
          <w:sz w:val="24"/>
          <w:szCs w:val="24"/>
        </w:rPr>
      </w:pPr>
      <w:r>
        <w:rPr>
          <w:rFonts w:hint="eastAsia" w:ascii="宋体" w:hAnsi="宋体" w:eastAsia="宋体"/>
          <w:sz w:val="24"/>
          <w:szCs w:val="24"/>
        </w:rPr>
        <w:t>3</w:t>
      </w:r>
      <w:r>
        <w:rPr>
          <w:rFonts w:hint="eastAsia" w:ascii="宋体" w:hAnsi="宋体"/>
          <w:sz w:val="24"/>
          <w:szCs w:val="24"/>
          <w:lang w:eastAsia="zh-CN"/>
        </w:rPr>
        <w:t>、</w:t>
      </w:r>
      <w:r>
        <w:rPr>
          <w:rFonts w:hint="eastAsia" w:ascii="宋体" w:hAnsi="宋体" w:eastAsia="宋体"/>
          <w:sz w:val="24"/>
          <w:szCs w:val="24"/>
        </w:rPr>
        <w:t>乙方必须在协议规定的期限内，为甲方提供及时有效的服务，须有专业维保人员24小时响应现场紧急故障处理，提供应急服务。无法采购到相同的品牌设备的，经双方确认后，乙方应向甲方提出更换申请（或提出更换选型的建议）。</w:t>
      </w:r>
    </w:p>
    <w:p>
      <w:pPr>
        <w:pageBreakBefore w:val="0"/>
        <w:widowControl w:val="0"/>
        <w:kinsoku/>
        <w:wordWrap/>
        <w:overflowPunct/>
        <w:topLinePunct w:val="0"/>
        <w:autoSpaceDE/>
        <w:autoSpaceDN/>
        <w:bidi w:val="0"/>
        <w:spacing w:line="360" w:lineRule="auto"/>
        <w:rPr>
          <w:rFonts w:hint="eastAsia" w:ascii="宋体" w:hAnsi="宋体" w:eastAsia="宋体"/>
          <w:sz w:val="24"/>
          <w:szCs w:val="24"/>
        </w:rPr>
      </w:pPr>
      <w:r>
        <w:rPr>
          <w:rFonts w:hint="eastAsia" w:ascii="宋体" w:hAnsi="宋体" w:eastAsia="宋体"/>
          <w:sz w:val="24"/>
          <w:szCs w:val="24"/>
        </w:rPr>
        <w:sym w:font="Wingdings" w:char="F081"/>
      </w:r>
      <w:r>
        <w:rPr>
          <w:rFonts w:hint="eastAsia" w:ascii="宋体" w:hAnsi="宋体" w:eastAsia="宋体"/>
          <w:sz w:val="24"/>
          <w:szCs w:val="24"/>
        </w:rPr>
        <w:t>设备故障，现场无法修复的，乙方应采取积极有效的应急措施以保证系统的临时应急使用。</w:t>
      </w:r>
    </w:p>
    <w:p>
      <w:pPr>
        <w:pageBreakBefore w:val="0"/>
        <w:widowControl w:val="0"/>
        <w:kinsoku/>
        <w:wordWrap/>
        <w:overflowPunct/>
        <w:topLinePunct w:val="0"/>
        <w:autoSpaceDE/>
        <w:autoSpaceDN/>
        <w:bidi w:val="0"/>
        <w:spacing w:line="360" w:lineRule="auto"/>
        <w:rPr>
          <w:rFonts w:hint="eastAsia" w:ascii="宋体" w:hAnsi="宋体" w:eastAsia="宋体"/>
          <w:sz w:val="24"/>
          <w:szCs w:val="24"/>
          <w:lang w:eastAsia="zh-CN"/>
        </w:rPr>
      </w:pPr>
      <w:r>
        <w:rPr>
          <w:rFonts w:hint="eastAsia" w:ascii="宋体" w:hAnsi="宋体" w:eastAsia="宋体"/>
          <w:sz w:val="24"/>
          <w:szCs w:val="24"/>
        </w:rPr>
        <w:sym w:font="Wingdings" w:char="F082"/>
      </w:r>
      <w:r>
        <w:rPr>
          <w:rFonts w:hint="eastAsia" w:ascii="宋体" w:hAnsi="宋体" w:eastAsia="宋体"/>
          <w:sz w:val="24"/>
          <w:szCs w:val="24"/>
        </w:rPr>
        <w:t>突发性故障，在接到甲方管理人员的报修电话后应立即响应，半小时内赶到现场，解决故障或提供解决方案</w:t>
      </w:r>
      <w:r>
        <w:rPr>
          <w:rFonts w:hint="eastAsia" w:ascii="宋体" w:hAnsi="宋体"/>
          <w:sz w:val="24"/>
          <w:szCs w:val="24"/>
          <w:lang w:eastAsia="zh-CN"/>
        </w:rPr>
        <w:t>。</w:t>
      </w:r>
    </w:p>
    <w:p>
      <w:pPr>
        <w:pageBreakBefore w:val="0"/>
        <w:widowControl w:val="0"/>
        <w:kinsoku/>
        <w:wordWrap/>
        <w:overflowPunct/>
        <w:topLinePunct w:val="0"/>
        <w:autoSpaceDE/>
        <w:autoSpaceDN/>
        <w:bidi w:val="0"/>
        <w:spacing w:line="360" w:lineRule="auto"/>
        <w:ind w:left="1252" w:hanging="1430" w:hangingChars="596"/>
        <w:rPr>
          <w:rFonts w:ascii="宋体" w:hAnsi="宋体" w:eastAsia="宋体"/>
          <w:sz w:val="24"/>
          <w:szCs w:val="24"/>
        </w:rPr>
      </w:pPr>
      <w:r>
        <w:rPr>
          <w:rFonts w:hint="eastAsia" w:ascii="宋体" w:hAnsi="宋体" w:eastAsia="宋体"/>
          <w:sz w:val="24"/>
          <w:szCs w:val="24"/>
        </w:rPr>
        <w:sym w:font="Wingdings" w:char="F083"/>
      </w:r>
      <w:r>
        <w:rPr>
          <w:rFonts w:hint="eastAsia" w:ascii="宋体" w:hAnsi="宋体" w:eastAsia="宋体"/>
          <w:sz w:val="24"/>
          <w:szCs w:val="24"/>
        </w:rPr>
        <w:t>如需采购配件，乙方应采取应急措施确保系统的正常使用。</w:t>
      </w:r>
    </w:p>
    <w:p>
      <w:pPr>
        <w:pStyle w:val="122"/>
        <w:pageBreakBefore w:val="0"/>
        <w:widowControl w:val="0"/>
        <w:numPr>
          <w:ilvl w:val="0"/>
          <w:numId w:val="0"/>
        </w:numPr>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4、</w:t>
      </w:r>
      <w:r>
        <w:rPr>
          <w:rFonts w:hint="eastAsia" w:ascii="宋体" w:hAnsi="宋体" w:eastAsia="宋体"/>
          <w:sz w:val="24"/>
          <w:szCs w:val="24"/>
        </w:rPr>
        <w:t>乙方应提供详实的清洗维保记录，并定期上交甲方相关部门。</w:t>
      </w:r>
    </w:p>
    <w:p>
      <w:pPr>
        <w:pageBreakBefore w:val="0"/>
        <w:widowControl w:val="0"/>
        <w:kinsoku/>
        <w:wordWrap/>
        <w:overflowPunct/>
        <w:topLinePunct w:val="0"/>
        <w:autoSpaceDE/>
        <w:autoSpaceDN/>
        <w:bidi w:val="0"/>
        <w:spacing w:line="360" w:lineRule="auto"/>
        <w:rPr>
          <w:rFonts w:ascii="宋体" w:hAnsi="宋体" w:eastAsia="宋体"/>
          <w:color w:val="auto"/>
          <w:sz w:val="24"/>
          <w:szCs w:val="24"/>
        </w:rPr>
      </w:pPr>
      <w:r>
        <w:rPr>
          <w:rFonts w:hint="eastAsia" w:ascii="宋体" w:hAnsi="宋体" w:eastAsia="宋体"/>
          <w:sz w:val="24"/>
          <w:szCs w:val="24"/>
        </w:rPr>
        <w:t>5</w:t>
      </w:r>
      <w:r>
        <w:rPr>
          <w:rFonts w:hint="eastAsia" w:ascii="宋体" w:hAnsi="宋体"/>
          <w:sz w:val="24"/>
          <w:szCs w:val="24"/>
          <w:lang w:eastAsia="zh-CN"/>
        </w:rPr>
        <w:t>、</w:t>
      </w:r>
      <w:r>
        <w:rPr>
          <w:rFonts w:hint="eastAsia" w:ascii="宋体" w:hAnsi="宋体" w:eastAsia="宋体"/>
          <w:sz w:val="24"/>
          <w:szCs w:val="24"/>
        </w:rPr>
        <w:t>维</w:t>
      </w:r>
      <w:r>
        <w:rPr>
          <w:rFonts w:hint="eastAsia" w:ascii="宋体" w:hAnsi="宋体" w:eastAsia="宋体"/>
          <w:color w:val="auto"/>
          <w:sz w:val="24"/>
          <w:szCs w:val="24"/>
        </w:rPr>
        <w:t>保期内，维修和更换的主要材料由甲方提供，乙方提出需更换的主材清单和提供维修和更换所需的工具。</w:t>
      </w:r>
    </w:p>
    <w:p>
      <w:pPr>
        <w:pageBreakBefore w:val="0"/>
        <w:widowControl w:val="0"/>
        <w:kinsoku/>
        <w:wordWrap/>
        <w:overflowPunct/>
        <w:topLinePunct w:val="0"/>
        <w:autoSpaceDE/>
        <w:autoSpaceDN/>
        <w:bidi w:val="0"/>
        <w:spacing w:line="360" w:lineRule="auto"/>
        <w:rPr>
          <w:rFonts w:ascii="宋体" w:hAnsi="宋体" w:eastAsia="宋体"/>
          <w:color w:val="auto"/>
          <w:sz w:val="24"/>
          <w:szCs w:val="24"/>
        </w:rPr>
      </w:pPr>
      <w:r>
        <w:rPr>
          <w:rFonts w:hint="eastAsia" w:ascii="宋体" w:hAnsi="宋体" w:eastAsia="宋体"/>
          <w:color w:val="auto"/>
          <w:sz w:val="24"/>
          <w:szCs w:val="24"/>
        </w:rPr>
        <w:t>6</w:t>
      </w:r>
      <w:r>
        <w:rPr>
          <w:rFonts w:hint="eastAsia" w:ascii="宋体" w:hAnsi="宋体"/>
          <w:color w:val="auto"/>
          <w:sz w:val="24"/>
          <w:szCs w:val="24"/>
          <w:lang w:eastAsia="zh-CN"/>
        </w:rPr>
        <w:t>、</w:t>
      </w:r>
      <w:r>
        <w:rPr>
          <w:rFonts w:hint="eastAsia" w:ascii="宋体" w:hAnsi="宋体" w:eastAsia="宋体"/>
          <w:color w:val="auto"/>
          <w:sz w:val="24"/>
          <w:szCs w:val="24"/>
        </w:rPr>
        <w:t>乙方应根据现场设备的运行状态向甲方提出应急维修备品、备件清单，由甲方采购备品，乙方提供</w:t>
      </w:r>
      <w:r>
        <w:rPr>
          <w:rFonts w:hint="eastAsia" w:ascii="宋体" w:hAnsi="宋体" w:eastAsia="宋体"/>
          <w:color w:val="auto"/>
          <w:sz w:val="24"/>
          <w:szCs w:val="24"/>
          <w:lang w:val="en-US" w:eastAsia="zh-CN"/>
        </w:rPr>
        <w:t>包括涉及到锅炉维保所有200元以内的配件维修更换</w:t>
      </w:r>
      <w:r>
        <w:rPr>
          <w:rFonts w:hint="eastAsia" w:ascii="宋体" w:hAnsi="宋体" w:eastAsia="宋体"/>
          <w:color w:val="auto"/>
          <w:sz w:val="24"/>
          <w:szCs w:val="24"/>
        </w:rPr>
        <w:t>。</w:t>
      </w:r>
    </w:p>
    <w:p>
      <w:pPr>
        <w:pageBreakBefore w:val="0"/>
        <w:widowControl w:val="0"/>
        <w:kinsoku/>
        <w:wordWrap/>
        <w:overflowPunct/>
        <w:topLinePunct w:val="0"/>
        <w:autoSpaceDE/>
        <w:autoSpaceDN/>
        <w:bidi w:val="0"/>
        <w:spacing w:line="360" w:lineRule="auto"/>
        <w:rPr>
          <w:rFonts w:hint="eastAsia" w:ascii="宋体" w:hAnsi="宋体" w:eastAsia="宋体"/>
          <w:color w:val="auto"/>
          <w:sz w:val="24"/>
          <w:szCs w:val="24"/>
        </w:rPr>
      </w:pPr>
      <w:r>
        <w:rPr>
          <w:rFonts w:ascii="宋体" w:hAnsi="宋体" w:eastAsia="宋体"/>
          <w:color w:val="auto"/>
          <w:sz w:val="24"/>
          <w:szCs w:val="24"/>
        </w:rPr>
        <w:t>7</w:t>
      </w:r>
      <w:r>
        <w:rPr>
          <w:rFonts w:hint="eastAsia" w:ascii="宋体" w:hAnsi="宋体"/>
          <w:color w:val="auto"/>
          <w:sz w:val="24"/>
          <w:szCs w:val="24"/>
          <w:lang w:eastAsia="zh-CN"/>
        </w:rPr>
        <w:t>、</w:t>
      </w:r>
      <w:r>
        <w:rPr>
          <w:rFonts w:hint="eastAsia" w:ascii="宋体" w:hAnsi="宋体" w:eastAsia="宋体"/>
          <w:color w:val="auto"/>
          <w:sz w:val="24"/>
          <w:szCs w:val="24"/>
        </w:rPr>
        <w:t>如发生不在本合同承包范围内的零配件更换，由甲方供应。甲方可以委托乙方采购，甲方需按照市场价格向乙方另行支付配件费，由乙方负责更换。所涉及的配件费经甲、乙双方共同确认后，据实结算及时付清。</w:t>
      </w:r>
    </w:p>
    <w:p>
      <w:pPr>
        <w:pageBreakBefore w:val="0"/>
        <w:widowControl w:val="0"/>
        <w:kinsoku/>
        <w:wordWrap/>
        <w:overflowPunct/>
        <w:topLinePunct w:val="0"/>
        <w:autoSpaceDE/>
        <w:autoSpaceDN/>
        <w:bidi w:val="0"/>
        <w:spacing w:line="360" w:lineRule="auto"/>
        <w:rPr>
          <w:rFonts w:ascii="宋体" w:hAnsi="宋体" w:eastAsia="宋体"/>
          <w:color w:val="auto"/>
          <w:sz w:val="24"/>
          <w:szCs w:val="24"/>
        </w:rPr>
      </w:pPr>
      <w:r>
        <w:rPr>
          <w:rFonts w:ascii="宋体" w:hAnsi="宋体" w:eastAsia="宋体"/>
          <w:color w:val="auto"/>
          <w:sz w:val="24"/>
          <w:szCs w:val="24"/>
        </w:rPr>
        <w:t>8</w:t>
      </w:r>
      <w:r>
        <w:rPr>
          <w:rFonts w:hint="eastAsia" w:ascii="宋体" w:hAnsi="宋体"/>
          <w:color w:val="auto"/>
          <w:sz w:val="24"/>
          <w:szCs w:val="24"/>
          <w:lang w:eastAsia="zh-CN"/>
        </w:rPr>
        <w:t>、</w:t>
      </w:r>
      <w:r>
        <w:rPr>
          <w:rFonts w:hint="eastAsia" w:ascii="宋体" w:hAnsi="宋体" w:eastAsia="宋体"/>
          <w:color w:val="auto"/>
          <w:sz w:val="24"/>
          <w:szCs w:val="24"/>
        </w:rPr>
        <w:t>如因甲方使用不当或不可抗拒因素（火灾、地震等）造成额外的损坏、损耗而带来的材料更换，需另外支付乙方响应费用。</w:t>
      </w:r>
    </w:p>
    <w:p>
      <w:pPr>
        <w:pageBreakBefore w:val="0"/>
        <w:widowControl w:val="0"/>
        <w:kinsoku/>
        <w:wordWrap/>
        <w:overflowPunct/>
        <w:topLinePunct w:val="0"/>
        <w:autoSpaceDE/>
        <w:autoSpaceDN/>
        <w:bidi w:val="0"/>
        <w:spacing w:line="360" w:lineRule="auto"/>
      </w:pPr>
      <w:r>
        <w:rPr>
          <w:rFonts w:hint="eastAsia" w:ascii="宋体" w:hAnsi="宋体" w:eastAsia="宋体"/>
          <w:b/>
          <w:bCs/>
          <w:sz w:val="24"/>
          <w:szCs w:val="24"/>
        </w:rPr>
        <w:t>（四） 维保主要工作及要求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1、</w:t>
      </w:r>
      <w:r>
        <w:rPr>
          <w:rFonts w:hint="eastAsia" w:ascii="宋体" w:hAnsi="宋体" w:eastAsia="宋体" w:cs="宋体"/>
          <w:b/>
          <w:bCs/>
          <w:kern w:val="2"/>
          <w:sz w:val="24"/>
          <w:szCs w:val="24"/>
          <w:lang w:val="en-US" w:eastAsia="zh-CN" w:bidi="ar-SA"/>
        </w:rPr>
        <w:t xml:space="preserve"> 锅炉本体维保（大修除外）</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sz w:val="24"/>
          <w:szCs w:val="24"/>
          <w:lang w:val="en-US" w:eastAsia="zh-CN"/>
        </w:rPr>
      </w:pPr>
      <w:r>
        <w:rPr>
          <w:rFonts w:hint="eastAsia"/>
          <w:sz w:val="24"/>
          <w:szCs w:val="24"/>
          <w:lang w:val="en-US" w:eastAsia="zh-CN"/>
        </w:rPr>
        <w:t>锅炉工作运行期间，维保保证锅炉各部位排污通畅，防止因堵塞导致高压安全事故。</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0" w:firstLineChars="0"/>
        <w:textAlignment w:val="auto"/>
        <w:rPr>
          <w:rFonts w:hint="default"/>
          <w:sz w:val="24"/>
          <w:szCs w:val="24"/>
          <w:lang w:val="en-US" w:eastAsia="zh-CN"/>
        </w:rPr>
      </w:pPr>
      <w:r>
        <w:rPr>
          <w:rFonts w:hint="eastAsia"/>
          <w:sz w:val="24"/>
          <w:szCs w:val="24"/>
          <w:lang w:val="en-US" w:eastAsia="zh-CN"/>
        </w:rPr>
        <w:t>锅炉工作运行期间，维保保证锅炉安全阀功能正常，防止因故障导致高压安全事故。</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0" w:firstLineChars="0"/>
        <w:textAlignment w:val="auto"/>
        <w:rPr>
          <w:rFonts w:hint="default"/>
          <w:sz w:val="24"/>
          <w:szCs w:val="24"/>
          <w:lang w:val="en-US" w:eastAsia="zh-CN"/>
        </w:rPr>
      </w:pPr>
      <w:r>
        <w:rPr>
          <w:rFonts w:hint="eastAsia"/>
          <w:sz w:val="24"/>
          <w:szCs w:val="24"/>
          <w:lang w:val="en-US" w:eastAsia="zh-CN"/>
        </w:rPr>
        <w:t>锅炉工作运行期间，维保保证锅炉防爆门功能正常，防止因爆燃导致锅炉燃烧安全事故。</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0" w:firstLineChars="0"/>
        <w:textAlignment w:val="auto"/>
        <w:rPr>
          <w:rFonts w:hint="default"/>
          <w:sz w:val="24"/>
          <w:szCs w:val="24"/>
          <w:lang w:val="en-US" w:eastAsia="zh-CN"/>
        </w:rPr>
      </w:pPr>
      <w:r>
        <w:rPr>
          <w:rFonts w:hint="eastAsia"/>
          <w:sz w:val="24"/>
          <w:szCs w:val="24"/>
          <w:lang w:val="en-US" w:eastAsia="zh-CN"/>
        </w:rPr>
        <w:t>锅炉停炉保养期间，维保锅炉烟管，防止积灰，降低锅炉热效率。</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0" w:firstLineChars="0"/>
        <w:textAlignment w:val="auto"/>
        <w:rPr>
          <w:rFonts w:hint="default"/>
          <w:sz w:val="24"/>
          <w:szCs w:val="24"/>
          <w:lang w:val="en-US" w:eastAsia="zh-CN"/>
        </w:rPr>
      </w:pPr>
      <w:r>
        <w:rPr>
          <w:rFonts w:hint="eastAsia"/>
          <w:sz w:val="24"/>
          <w:szCs w:val="24"/>
          <w:lang w:val="en-US" w:eastAsia="zh-CN"/>
        </w:rPr>
        <w:t>锅炉停炉保养期间，维保锅炉烟道，防止结垢，降低锅炉热效率，一旦结垢严重，导致烟管受热不均，变形，最终锅炉爆管爆炸。</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0" w:firstLineChars="0"/>
        <w:textAlignment w:val="auto"/>
        <w:rPr>
          <w:rFonts w:hint="default"/>
          <w:sz w:val="24"/>
          <w:szCs w:val="24"/>
          <w:lang w:val="en-US" w:eastAsia="zh-CN"/>
        </w:rPr>
      </w:pPr>
      <w:r>
        <w:rPr>
          <w:rFonts w:hint="eastAsia"/>
          <w:sz w:val="24"/>
          <w:szCs w:val="24"/>
          <w:lang w:val="en-US" w:eastAsia="zh-CN"/>
        </w:rPr>
        <w:t>锅炉停炉保养期间，维保锅炉烟管，防止碱腐蚀、氧腐蚀。</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0" w:firstLineChars="0"/>
        <w:textAlignment w:val="auto"/>
        <w:rPr>
          <w:rFonts w:hint="default"/>
          <w:color w:val="auto"/>
          <w:sz w:val="24"/>
          <w:szCs w:val="24"/>
          <w:lang w:val="en-US" w:eastAsia="zh-CN"/>
        </w:rPr>
      </w:pPr>
      <w:r>
        <w:rPr>
          <w:rFonts w:hint="eastAsia"/>
          <w:sz w:val="24"/>
          <w:szCs w:val="24"/>
          <w:lang w:val="en-US" w:eastAsia="zh-CN"/>
        </w:rPr>
        <w:t>锅炉停炉保养期间，维保锅炉前</w:t>
      </w:r>
      <w:r>
        <w:rPr>
          <w:rFonts w:hint="eastAsia"/>
          <w:color w:val="auto"/>
          <w:sz w:val="24"/>
          <w:szCs w:val="24"/>
          <w:lang w:val="en-US" w:eastAsia="zh-CN"/>
        </w:rPr>
        <w:t>后烟箱及门（以及人孔门，保证看火门和锅筒之间耐火材料隔热效果良好），防止炉墙坍塌导致冒火事故。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2、锅炉燃烧器维保（大修除外）</w:t>
      </w:r>
    </w:p>
    <w:p>
      <w:pPr>
        <w:keepNext w:val="0"/>
        <w:keepLines w:val="0"/>
        <w:pageBreakBefore w:val="0"/>
        <w:widowControl w:val="0"/>
        <w:numPr>
          <w:ilvl w:val="0"/>
          <w:numId w:val="15"/>
        </w:numPr>
        <w:kinsoku/>
        <w:wordWrap/>
        <w:overflowPunct/>
        <w:topLinePunct w:val="0"/>
        <w:autoSpaceDE/>
        <w:autoSpaceDN/>
        <w:bidi w:val="0"/>
        <w:adjustRightInd/>
        <w:snapToGrid/>
        <w:spacing w:line="480" w:lineRule="auto"/>
        <w:ind w:leftChars="0" w:firstLine="0" w:firstLineChars="0"/>
        <w:textAlignment w:val="auto"/>
        <w:rPr>
          <w:rFonts w:hint="eastAsia"/>
          <w:sz w:val="24"/>
          <w:szCs w:val="24"/>
          <w:lang w:val="en-US" w:eastAsia="zh-CN"/>
        </w:rPr>
      </w:pPr>
      <w:r>
        <w:rPr>
          <w:rFonts w:hint="eastAsia"/>
          <w:color w:val="auto"/>
          <w:sz w:val="24"/>
          <w:szCs w:val="24"/>
          <w:lang w:val="en-US" w:eastAsia="zh-CN"/>
        </w:rPr>
        <w:t>维保燃烧器火焰检测装置，该装置是易损装置，长时</w:t>
      </w:r>
      <w:r>
        <w:rPr>
          <w:rFonts w:hint="eastAsia"/>
          <w:sz w:val="24"/>
          <w:szCs w:val="24"/>
          <w:lang w:val="en-US" w:eastAsia="zh-CN"/>
        </w:rPr>
        <w:t>间通电使用，非常重要，一旦失灵，比如该装置检测不到火，而燃烧器在工作燃烧，将导致安全事故。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0" w:firstLineChars="0"/>
        <w:textAlignment w:val="auto"/>
        <w:rPr>
          <w:rFonts w:hint="default"/>
          <w:sz w:val="24"/>
          <w:szCs w:val="24"/>
          <w:lang w:val="en-US" w:eastAsia="zh-CN"/>
        </w:rPr>
      </w:pPr>
      <w:r>
        <w:rPr>
          <w:rFonts w:hint="eastAsia"/>
          <w:sz w:val="24"/>
          <w:szCs w:val="24"/>
          <w:lang w:val="en-US" w:eastAsia="zh-CN"/>
        </w:rPr>
        <w:t>检测燃烧器进气电磁阀组，该阀组为精密仪器设备，一旦泄漏燃气进锅炉炉膛，在不知情的情况下点火，将直接导致锅炉炉膛燃气爆炸。</w:t>
      </w:r>
    </w:p>
    <w:p>
      <w:pPr>
        <w:keepNext w:val="0"/>
        <w:keepLines w:val="0"/>
        <w:pageBreakBefore w:val="0"/>
        <w:widowControl w:val="0"/>
        <w:numPr>
          <w:ilvl w:val="0"/>
          <w:numId w:val="15"/>
        </w:numPr>
        <w:kinsoku/>
        <w:wordWrap/>
        <w:overflowPunct/>
        <w:topLinePunct w:val="0"/>
        <w:autoSpaceDE/>
        <w:autoSpaceDN/>
        <w:bidi w:val="0"/>
        <w:adjustRightInd/>
        <w:snapToGrid/>
        <w:spacing w:line="480" w:lineRule="auto"/>
        <w:ind w:leftChars="0" w:firstLine="0" w:firstLineChars="0"/>
        <w:textAlignment w:val="auto"/>
        <w:rPr>
          <w:rFonts w:hint="default"/>
          <w:sz w:val="24"/>
          <w:szCs w:val="24"/>
          <w:lang w:val="en-US" w:eastAsia="zh-CN"/>
        </w:rPr>
      </w:pPr>
      <w:r>
        <w:rPr>
          <w:rFonts w:hint="eastAsia"/>
          <w:sz w:val="24"/>
          <w:szCs w:val="24"/>
          <w:lang w:val="en-US" w:eastAsia="zh-CN"/>
        </w:rPr>
        <w:t>维保燃烧器燃气泄漏检测装置，防止该装置故障，导致检测失灵引起燃气爆炸事故。</w:t>
      </w:r>
    </w:p>
    <w:p>
      <w:pPr>
        <w:keepNext w:val="0"/>
        <w:keepLines w:val="0"/>
        <w:pageBreakBefore w:val="0"/>
        <w:widowControl w:val="0"/>
        <w:numPr>
          <w:ilvl w:val="0"/>
          <w:numId w:val="15"/>
        </w:numPr>
        <w:kinsoku/>
        <w:wordWrap/>
        <w:overflowPunct/>
        <w:topLinePunct w:val="0"/>
        <w:autoSpaceDE/>
        <w:autoSpaceDN/>
        <w:bidi w:val="0"/>
        <w:adjustRightInd/>
        <w:snapToGrid/>
        <w:spacing w:line="480" w:lineRule="auto"/>
        <w:ind w:leftChars="0" w:firstLine="0" w:firstLineChars="0"/>
        <w:textAlignment w:val="auto"/>
        <w:rPr>
          <w:rFonts w:hint="default"/>
          <w:sz w:val="24"/>
          <w:szCs w:val="24"/>
          <w:lang w:val="en-US" w:eastAsia="zh-CN"/>
        </w:rPr>
      </w:pPr>
      <w:r>
        <w:rPr>
          <w:rFonts w:hint="eastAsia"/>
          <w:sz w:val="24"/>
          <w:szCs w:val="24"/>
          <w:lang w:val="en-US" w:eastAsia="zh-CN"/>
        </w:rPr>
        <w:t>维保燃烧器点火器，该装置是易损装置，时间长或运行次数达到极限，会导致金属疲劳，失去点火功能，燃烧器不能点火成功。</w:t>
      </w:r>
    </w:p>
    <w:p>
      <w:pPr>
        <w:keepNext w:val="0"/>
        <w:keepLines w:val="0"/>
        <w:pageBreakBefore w:val="0"/>
        <w:widowControl w:val="0"/>
        <w:numPr>
          <w:ilvl w:val="0"/>
          <w:numId w:val="15"/>
        </w:numPr>
        <w:kinsoku/>
        <w:wordWrap/>
        <w:overflowPunct/>
        <w:topLinePunct w:val="0"/>
        <w:autoSpaceDE/>
        <w:autoSpaceDN/>
        <w:bidi w:val="0"/>
        <w:adjustRightInd/>
        <w:snapToGrid/>
        <w:spacing w:line="480" w:lineRule="auto"/>
        <w:ind w:leftChars="0" w:firstLine="0" w:firstLineChars="0"/>
        <w:textAlignment w:val="auto"/>
        <w:rPr>
          <w:rFonts w:hint="default"/>
          <w:sz w:val="24"/>
          <w:szCs w:val="24"/>
          <w:lang w:val="en-US" w:eastAsia="zh-CN"/>
        </w:rPr>
      </w:pPr>
      <w:r>
        <w:rPr>
          <w:rFonts w:hint="eastAsia"/>
          <w:sz w:val="24"/>
          <w:szCs w:val="24"/>
          <w:lang w:val="en-US" w:eastAsia="zh-CN"/>
        </w:rPr>
        <w:t>维保燃烧器何服机构系统，并重新调试，使锅炉燃烧充分，提高热效率。</w:t>
      </w:r>
    </w:p>
    <w:p>
      <w:pPr>
        <w:keepNext w:val="0"/>
        <w:keepLines w:val="0"/>
        <w:pageBreakBefore w:val="0"/>
        <w:widowControl w:val="0"/>
        <w:numPr>
          <w:ilvl w:val="0"/>
          <w:numId w:val="15"/>
        </w:numPr>
        <w:kinsoku/>
        <w:wordWrap/>
        <w:overflowPunct/>
        <w:topLinePunct w:val="0"/>
        <w:autoSpaceDE/>
        <w:autoSpaceDN/>
        <w:bidi w:val="0"/>
        <w:adjustRightInd/>
        <w:snapToGrid/>
        <w:spacing w:line="480" w:lineRule="auto"/>
        <w:ind w:leftChars="0" w:firstLine="0" w:firstLineChars="0"/>
        <w:textAlignment w:val="auto"/>
        <w:rPr>
          <w:rFonts w:hint="default"/>
          <w:sz w:val="24"/>
          <w:szCs w:val="24"/>
          <w:lang w:val="en-US" w:eastAsia="zh-CN"/>
        </w:rPr>
      </w:pPr>
      <w:r>
        <w:rPr>
          <w:rFonts w:hint="default"/>
          <w:sz w:val="24"/>
          <w:szCs w:val="24"/>
          <w:lang w:val="en-US" w:eastAsia="zh-CN"/>
        </w:rPr>
        <w:t>更换燃烧器进气管道过滤装置，易损件。 防止进气不畅，影响热效</w:t>
      </w:r>
      <w:r>
        <w:rPr>
          <w:rFonts w:hint="eastAsia"/>
          <w:sz w:val="24"/>
          <w:szCs w:val="24"/>
          <w:lang w:val="en-US" w:eastAsia="zh-CN"/>
        </w:rPr>
        <w:t>率</w:t>
      </w:r>
      <w:r>
        <w:rPr>
          <w:rFonts w:hint="default"/>
          <w:sz w:val="24"/>
          <w:szCs w:val="24"/>
          <w:lang w:val="en-US" w:eastAsia="zh-CN"/>
        </w:rPr>
        <w:t>乃至不</w:t>
      </w:r>
      <w:r>
        <w:rPr>
          <w:rFonts w:hint="eastAsia"/>
          <w:sz w:val="24"/>
          <w:szCs w:val="24"/>
          <w:lang w:val="en-US" w:eastAsia="zh-CN"/>
        </w:rPr>
        <w:t>点火运行。</w:t>
      </w:r>
    </w:p>
    <w:p>
      <w:pPr>
        <w:keepNext w:val="0"/>
        <w:keepLines w:val="0"/>
        <w:pageBreakBefore w:val="0"/>
        <w:widowControl w:val="0"/>
        <w:numPr>
          <w:ilvl w:val="0"/>
          <w:numId w:val="15"/>
        </w:numPr>
        <w:kinsoku/>
        <w:wordWrap/>
        <w:overflowPunct/>
        <w:topLinePunct w:val="0"/>
        <w:autoSpaceDE/>
        <w:autoSpaceDN/>
        <w:bidi w:val="0"/>
        <w:adjustRightInd/>
        <w:snapToGrid/>
        <w:spacing w:line="480" w:lineRule="auto"/>
        <w:ind w:leftChars="0" w:firstLine="0" w:firstLineChars="0"/>
        <w:textAlignment w:val="auto"/>
        <w:rPr>
          <w:rFonts w:hint="default"/>
          <w:sz w:val="24"/>
          <w:szCs w:val="24"/>
          <w:lang w:val="en-US" w:eastAsia="zh-CN"/>
        </w:rPr>
      </w:pPr>
      <w:r>
        <w:rPr>
          <w:rFonts w:hint="default"/>
          <w:sz w:val="24"/>
          <w:szCs w:val="24"/>
          <w:lang w:val="en-US" w:eastAsia="zh-CN"/>
        </w:rPr>
        <w:t>更换燃烧器进气管膨胀节，易损件，时间久容易金属疲劳损坏泄露天</w:t>
      </w:r>
      <w:r>
        <w:rPr>
          <w:rFonts w:hint="eastAsia"/>
          <w:sz w:val="24"/>
          <w:szCs w:val="24"/>
          <w:lang w:val="en-US" w:eastAsia="zh-CN"/>
        </w:rPr>
        <w:t>然气，危险极大。</w:t>
      </w:r>
    </w:p>
    <w:p>
      <w:pPr>
        <w:keepNext w:val="0"/>
        <w:keepLines w:val="0"/>
        <w:pageBreakBefore w:val="0"/>
        <w:widowControl w:val="0"/>
        <w:numPr>
          <w:ilvl w:val="0"/>
          <w:numId w:val="15"/>
        </w:numPr>
        <w:kinsoku/>
        <w:wordWrap/>
        <w:overflowPunct/>
        <w:topLinePunct w:val="0"/>
        <w:autoSpaceDE/>
        <w:autoSpaceDN/>
        <w:bidi w:val="0"/>
        <w:adjustRightInd/>
        <w:snapToGrid/>
        <w:spacing w:line="480" w:lineRule="auto"/>
        <w:ind w:leftChars="0" w:firstLine="0" w:firstLineChars="0"/>
        <w:textAlignment w:val="auto"/>
        <w:rPr>
          <w:rFonts w:hint="default"/>
          <w:sz w:val="24"/>
          <w:szCs w:val="24"/>
          <w:lang w:val="en-US" w:eastAsia="zh-CN"/>
        </w:rPr>
      </w:pPr>
      <w:r>
        <w:rPr>
          <w:rFonts w:hint="default"/>
          <w:sz w:val="24"/>
          <w:szCs w:val="24"/>
          <w:lang w:val="en-US" w:eastAsia="zh-CN"/>
        </w:rPr>
        <w:t>检查燃烧器电机轴承、风叶，定期进行加油</w:t>
      </w:r>
      <w:r>
        <w:rPr>
          <w:rFonts w:hint="eastAsia"/>
          <w:sz w:val="24"/>
          <w:szCs w:val="24"/>
          <w:lang w:val="en-US" w:eastAsia="zh-CN"/>
        </w:rPr>
        <w:t>，因震动造成噪音过大应更换风叶。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3、锅炉控制系统维保</w:t>
      </w:r>
    </w:p>
    <w:p>
      <w:pPr>
        <w:keepNext w:val="0"/>
        <w:keepLines w:val="0"/>
        <w:pageBreakBefore w:val="0"/>
        <w:widowControl w:val="0"/>
        <w:numPr>
          <w:ilvl w:val="0"/>
          <w:numId w:val="16"/>
        </w:numPr>
        <w:kinsoku/>
        <w:wordWrap/>
        <w:overflowPunct/>
        <w:topLinePunct w:val="0"/>
        <w:autoSpaceDE/>
        <w:autoSpaceDN/>
        <w:bidi w:val="0"/>
        <w:adjustRightInd/>
        <w:snapToGrid/>
        <w:spacing w:line="480" w:lineRule="auto"/>
        <w:ind w:leftChars="0" w:firstLine="0" w:firstLineChars="0"/>
        <w:textAlignment w:val="auto"/>
        <w:rPr>
          <w:rFonts w:hint="eastAsia"/>
          <w:sz w:val="24"/>
          <w:szCs w:val="24"/>
          <w:lang w:val="en-US" w:eastAsia="zh-CN"/>
        </w:rPr>
      </w:pPr>
      <w:r>
        <w:rPr>
          <w:rFonts w:hint="eastAsia"/>
          <w:sz w:val="24"/>
          <w:szCs w:val="24"/>
          <w:lang w:val="en-US" w:eastAsia="zh-CN"/>
        </w:rPr>
        <w:t>触摸屏系统，清理积灰，防尘， 防止触摸屏损坏。</w:t>
      </w:r>
    </w:p>
    <w:p>
      <w:pPr>
        <w:keepNext w:val="0"/>
        <w:keepLines w:val="0"/>
        <w:pageBreakBefore w:val="0"/>
        <w:widowControl w:val="0"/>
        <w:numPr>
          <w:ilvl w:val="0"/>
          <w:numId w:val="16"/>
        </w:numPr>
        <w:kinsoku/>
        <w:wordWrap/>
        <w:overflowPunct/>
        <w:topLinePunct w:val="0"/>
        <w:autoSpaceDE/>
        <w:autoSpaceDN/>
        <w:bidi w:val="0"/>
        <w:adjustRightInd/>
        <w:snapToGrid/>
        <w:spacing w:line="480" w:lineRule="auto"/>
        <w:ind w:leftChars="0" w:firstLine="0" w:firstLineChars="0"/>
        <w:textAlignment w:val="auto"/>
        <w:rPr>
          <w:rFonts w:hint="default"/>
          <w:color w:val="auto"/>
          <w:sz w:val="24"/>
          <w:szCs w:val="24"/>
          <w:lang w:val="en-US" w:eastAsia="zh-CN"/>
        </w:rPr>
      </w:pPr>
      <w:r>
        <w:rPr>
          <w:rFonts w:hint="eastAsia"/>
          <w:sz w:val="24"/>
          <w:szCs w:val="24"/>
          <w:lang w:val="en-US" w:eastAsia="zh-CN"/>
        </w:rPr>
        <w:t>维保</w:t>
      </w:r>
      <w:r>
        <w:rPr>
          <w:rFonts w:hint="default"/>
          <w:sz w:val="24"/>
          <w:szCs w:val="24"/>
          <w:lang w:val="en-US" w:eastAsia="zh-CN"/>
        </w:rPr>
        <w:t>PLC控制系统的供电电源系统，做清理维护保养，防止过电损坏，</w:t>
      </w:r>
      <w:r>
        <w:rPr>
          <w:rFonts w:hint="eastAsia"/>
          <w:sz w:val="24"/>
          <w:szCs w:val="24"/>
          <w:lang w:val="en-US" w:eastAsia="zh-CN"/>
        </w:rPr>
        <w:t>一</w:t>
      </w:r>
      <w:r>
        <w:rPr>
          <w:rFonts w:hint="default"/>
          <w:sz w:val="24"/>
          <w:szCs w:val="24"/>
          <w:lang w:val="en-US" w:eastAsia="zh-CN"/>
        </w:rPr>
        <w:t>旦损坏锅炉无法</w:t>
      </w:r>
      <w:r>
        <w:rPr>
          <w:rFonts w:hint="default"/>
          <w:color w:val="auto"/>
          <w:sz w:val="24"/>
          <w:szCs w:val="24"/>
          <w:lang w:val="en-US" w:eastAsia="zh-CN"/>
        </w:rPr>
        <w:t>运行，甚至误动作各部分元器件并发生事故。</w:t>
      </w:r>
    </w:p>
    <w:p>
      <w:pPr>
        <w:keepNext w:val="0"/>
        <w:keepLines w:val="0"/>
        <w:pageBreakBefore w:val="0"/>
        <w:widowControl w:val="0"/>
        <w:numPr>
          <w:ilvl w:val="0"/>
          <w:numId w:val="16"/>
        </w:numPr>
        <w:kinsoku/>
        <w:wordWrap/>
        <w:overflowPunct/>
        <w:topLinePunct w:val="0"/>
        <w:autoSpaceDE/>
        <w:autoSpaceDN/>
        <w:bidi w:val="0"/>
        <w:adjustRightInd/>
        <w:snapToGrid/>
        <w:spacing w:line="480" w:lineRule="auto"/>
        <w:ind w:leftChars="0" w:firstLine="0" w:firstLineChars="0"/>
        <w:textAlignment w:val="auto"/>
        <w:rPr>
          <w:rFonts w:hint="default"/>
          <w:color w:val="auto"/>
          <w:sz w:val="24"/>
          <w:szCs w:val="24"/>
          <w:lang w:val="en-US" w:eastAsia="zh-CN"/>
        </w:rPr>
      </w:pPr>
      <w:r>
        <w:rPr>
          <w:rFonts w:hint="eastAsia"/>
          <w:color w:val="auto"/>
          <w:sz w:val="24"/>
          <w:szCs w:val="24"/>
          <w:lang w:val="en-US" w:eastAsia="zh-CN"/>
        </w:rPr>
        <w:t>维保</w:t>
      </w:r>
      <w:r>
        <w:rPr>
          <w:rFonts w:hint="default"/>
          <w:color w:val="auto"/>
          <w:sz w:val="24"/>
          <w:szCs w:val="24"/>
          <w:lang w:val="en-US" w:eastAsia="zh-CN"/>
        </w:rPr>
        <w:t>触摸屏及PLC控制系统的供电电源系统。长时间使用元器件，防止损坏导致系统关闭，导致锅炉无法运行。</w:t>
      </w:r>
    </w:p>
    <w:p>
      <w:pPr>
        <w:keepNext w:val="0"/>
        <w:keepLines w:val="0"/>
        <w:pageBreakBefore w:val="0"/>
        <w:widowControl w:val="0"/>
        <w:numPr>
          <w:ilvl w:val="0"/>
          <w:numId w:val="16"/>
        </w:numPr>
        <w:kinsoku/>
        <w:wordWrap/>
        <w:overflowPunct/>
        <w:topLinePunct w:val="0"/>
        <w:autoSpaceDE/>
        <w:autoSpaceDN/>
        <w:bidi w:val="0"/>
        <w:adjustRightInd/>
        <w:snapToGrid/>
        <w:spacing w:line="480" w:lineRule="auto"/>
        <w:ind w:leftChars="0" w:firstLine="0" w:firstLineChars="0"/>
        <w:textAlignment w:val="auto"/>
        <w:rPr>
          <w:rFonts w:hint="default"/>
          <w:color w:val="auto"/>
          <w:sz w:val="24"/>
          <w:szCs w:val="24"/>
          <w:lang w:val="en-US" w:eastAsia="zh-CN"/>
        </w:rPr>
      </w:pPr>
      <w:r>
        <w:rPr>
          <w:rFonts w:hint="eastAsia"/>
          <w:color w:val="auto"/>
          <w:sz w:val="24"/>
          <w:szCs w:val="24"/>
          <w:lang w:val="en-US" w:eastAsia="zh-CN"/>
        </w:rPr>
        <w:t>维保</w:t>
      </w:r>
      <w:r>
        <w:rPr>
          <w:rFonts w:hint="default"/>
          <w:color w:val="auto"/>
          <w:sz w:val="24"/>
          <w:szCs w:val="24"/>
          <w:lang w:val="en-US" w:eastAsia="zh-CN"/>
        </w:rPr>
        <w:t>锅炉水位</w:t>
      </w:r>
      <w:r>
        <w:rPr>
          <w:rFonts w:hint="eastAsia"/>
          <w:color w:val="auto"/>
          <w:sz w:val="24"/>
          <w:szCs w:val="24"/>
          <w:lang w:val="en-US" w:eastAsia="zh-CN"/>
        </w:rPr>
        <w:t>显示器、高低水位报警器以及连锁保护装置和自动给水调节装置</w:t>
      </w:r>
      <w:r>
        <w:rPr>
          <w:rFonts w:hint="default"/>
          <w:color w:val="auto"/>
          <w:sz w:val="24"/>
          <w:szCs w:val="24"/>
          <w:lang w:val="en-US" w:eastAsia="zh-CN"/>
        </w:rPr>
        <w:t>监测系统，防止因水位监测失误，导致锅炉缺水，干烧甚至爆炸。</w:t>
      </w:r>
    </w:p>
    <w:p>
      <w:pPr>
        <w:keepNext w:val="0"/>
        <w:keepLines w:val="0"/>
        <w:pageBreakBefore w:val="0"/>
        <w:widowControl w:val="0"/>
        <w:numPr>
          <w:ilvl w:val="0"/>
          <w:numId w:val="16"/>
        </w:numPr>
        <w:kinsoku/>
        <w:wordWrap/>
        <w:overflowPunct/>
        <w:topLinePunct w:val="0"/>
        <w:autoSpaceDE/>
        <w:autoSpaceDN/>
        <w:bidi w:val="0"/>
        <w:adjustRightInd/>
        <w:snapToGrid/>
        <w:spacing w:line="480" w:lineRule="auto"/>
        <w:ind w:leftChars="0" w:firstLine="0" w:firstLineChars="0"/>
        <w:textAlignment w:val="auto"/>
        <w:rPr>
          <w:rFonts w:hint="default"/>
          <w:color w:val="auto"/>
          <w:sz w:val="24"/>
          <w:szCs w:val="24"/>
          <w:lang w:val="en-US" w:eastAsia="zh-CN"/>
        </w:rPr>
      </w:pPr>
      <w:r>
        <w:rPr>
          <w:rFonts w:hint="eastAsia"/>
          <w:color w:val="auto"/>
          <w:sz w:val="24"/>
          <w:szCs w:val="24"/>
          <w:lang w:val="en-US" w:eastAsia="zh-CN"/>
        </w:rPr>
        <w:t>维保</w:t>
      </w:r>
      <w:r>
        <w:rPr>
          <w:rFonts w:hint="default"/>
          <w:color w:val="auto"/>
          <w:sz w:val="24"/>
          <w:szCs w:val="24"/>
          <w:lang w:val="en-US" w:eastAsia="zh-CN"/>
        </w:rPr>
        <w:t>锅炉水位显示器。防止失灵，导致误操作，会引起安全事故。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4、锅炉其他辅机检修维修保养</w:t>
      </w:r>
    </w:p>
    <w:p>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Chars="0" w:firstLine="0" w:firstLineChars="0"/>
        <w:textAlignment w:val="auto"/>
        <w:rPr>
          <w:rFonts w:hint="eastAsia"/>
          <w:color w:val="auto"/>
          <w:sz w:val="24"/>
          <w:szCs w:val="24"/>
          <w:lang w:val="en-US" w:eastAsia="zh-CN"/>
        </w:rPr>
      </w:pPr>
      <w:r>
        <w:rPr>
          <w:rFonts w:hint="eastAsia"/>
          <w:color w:val="auto"/>
          <w:sz w:val="24"/>
          <w:szCs w:val="24"/>
          <w:lang w:val="en-US" w:eastAsia="zh-CN"/>
        </w:rPr>
        <w:t>维保锅炉水泵，检查水泵电机，检查水泵高压叶轮，防止损坏锅炉不进水导致干烧。</w:t>
      </w:r>
    </w:p>
    <w:p>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Chars="0" w:firstLine="0" w:firstLineChars="0"/>
        <w:textAlignment w:val="auto"/>
        <w:rPr>
          <w:rFonts w:hint="default"/>
          <w:sz w:val="24"/>
          <w:szCs w:val="24"/>
          <w:lang w:val="en-US" w:eastAsia="zh-CN"/>
        </w:rPr>
      </w:pPr>
      <w:r>
        <w:rPr>
          <w:rFonts w:hint="default"/>
          <w:color w:val="auto"/>
          <w:sz w:val="24"/>
          <w:szCs w:val="24"/>
          <w:lang w:val="en-US" w:eastAsia="zh-CN"/>
        </w:rPr>
        <w:t>检查</w:t>
      </w:r>
      <w:r>
        <w:rPr>
          <w:rFonts w:hint="eastAsia"/>
          <w:color w:val="auto"/>
          <w:sz w:val="24"/>
          <w:szCs w:val="24"/>
          <w:lang w:val="en-US" w:eastAsia="zh-CN"/>
        </w:rPr>
        <w:t>省煤气器</w:t>
      </w:r>
      <w:r>
        <w:rPr>
          <w:rFonts w:hint="default"/>
          <w:color w:val="auto"/>
          <w:sz w:val="24"/>
          <w:szCs w:val="24"/>
          <w:lang w:val="en-US" w:eastAsia="zh-CN"/>
        </w:rPr>
        <w:t>节能装置，防止渗漏，一旦不能使用将导致热效率损</w:t>
      </w:r>
      <w:r>
        <w:rPr>
          <w:rFonts w:hint="default"/>
          <w:sz w:val="24"/>
          <w:szCs w:val="24"/>
          <w:lang w:val="en-US" w:eastAsia="zh-CN"/>
        </w:rPr>
        <w:t>失5%以上。</w:t>
      </w:r>
    </w:p>
    <w:p>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Chars="0" w:firstLine="0" w:firstLineChars="0"/>
        <w:textAlignment w:val="auto"/>
        <w:rPr>
          <w:rFonts w:hint="default"/>
          <w:sz w:val="24"/>
          <w:szCs w:val="24"/>
          <w:lang w:val="en-US" w:eastAsia="zh-CN"/>
        </w:rPr>
      </w:pPr>
      <w:r>
        <w:rPr>
          <w:rFonts w:hint="default"/>
          <w:sz w:val="24"/>
          <w:szCs w:val="24"/>
          <w:lang w:val="en-US" w:eastAsia="zh-CN"/>
        </w:rPr>
        <w:t>检查各部分仪表阀门功能正常，防止意外事故。</w:t>
      </w:r>
    </w:p>
    <w:p>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Chars="0" w:firstLine="0" w:firstLineChars="0"/>
        <w:textAlignment w:val="auto"/>
        <w:rPr>
          <w:rFonts w:hint="default"/>
          <w:sz w:val="24"/>
          <w:szCs w:val="24"/>
          <w:lang w:val="en-US" w:eastAsia="zh-CN"/>
        </w:rPr>
      </w:pPr>
      <w:r>
        <w:rPr>
          <w:rFonts w:hint="default"/>
          <w:sz w:val="24"/>
          <w:szCs w:val="24"/>
          <w:lang w:val="en-US" w:eastAsia="zh-CN"/>
        </w:rPr>
        <w:t>对水流量计、蒸汽流量计、安全阀、压力表</w:t>
      </w:r>
      <w:r>
        <w:rPr>
          <w:rFonts w:hint="eastAsia"/>
          <w:sz w:val="24"/>
          <w:szCs w:val="24"/>
          <w:lang w:val="en-US" w:eastAsia="zh-CN"/>
        </w:rPr>
        <w:t>、水位表</w:t>
      </w:r>
      <w:r>
        <w:rPr>
          <w:rFonts w:hint="default"/>
          <w:sz w:val="24"/>
          <w:szCs w:val="24"/>
          <w:lang w:val="en-US" w:eastAsia="zh-CN"/>
        </w:rPr>
        <w:t>检查维护，确保正常使用</w:t>
      </w:r>
      <w:r>
        <w:rPr>
          <w:rFonts w:hint="eastAsia"/>
          <w:sz w:val="24"/>
          <w:szCs w:val="24"/>
          <w:lang w:val="en-US" w:eastAsia="zh-CN"/>
        </w:rPr>
        <w:t>。</w:t>
      </w:r>
    </w:p>
    <w:p>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Chars="0" w:firstLine="0" w:firstLineChars="0"/>
        <w:textAlignment w:val="auto"/>
        <w:rPr>
          <w:rFonts w:hint="default"/>
          <w:sz w:val="24"/>
          <w:szCs w:val="24"/>
          <w:lang w:val="en-US" w:eastAsia="zh-CN"/>
        </w:rPr>
      </w:pPr>
      <w:r>
        <w:rPr>
          <w:rFonts w:hint="default"/>
          <w:sz w:val="24"/>
          <w:szCs w:val="24"/>
          <w:lang w:val="en-US" w:eastAsia="zh-CN"/>
        </w:rPr>
        <w:t>锅炉本体、外壳防腐，风道烟囱防腐。</w:t>
      </w:r>
    </w:p>
    <w:p>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Chars="0" w:firstLine="0" w:firstLineChars="0"/>
        <w:textAlignment w:val="auto"/>
        <w:rPr>
          <w:rFonts w:hint="default"/>
          <w:sz w:val="24"/>
          <w:szCs w:val="24"/>
          <w:lang w:val="en-US" w:eastAsia="zh-CN"/>
        </w:rPr>
      </w:pPr>
      <w:r>
        <w:rPr>
          <w:rFonts w:hint="default"/>
          <w:sz w:val="24"/>
          <w:szCs w:val="24"/>
          <w:lang w:val="en-US" w:eastAsia="zh-CN"/>
        </w:rPr>
        <w:t>日常锅炉系统正确使用方法培训及监督。</w:t>
      </w:r>
    </w:p>
    <w:p>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Chars="0" w:firstLine="0" w:firstLineChars="0"/>
        <w:textAlignment w:val="auto"/>
        <w:rPr>
          <w:rFonts w:hint="default"/>
          <w:color w:val="auto"/>
          <w:sz w:val="24"/>
          <w:szCs w:val="24"/>
          <w:lang w:val="en-US" w:eastAsia="zh-CN"/>
        </w:rPr>
      </w:pPr>
      <w:r>
        <w:rPr>
          <w:rFonts w:hint="default"/>
          <w:sz w:val="24"/>
          <w:szCs w:val="24"/>
          <w:lang w:val="en-US" w:eastAsia="zh-CN"/>
        </w:rPr>
        <w:t>锅炉本体、燃烧器、电</w:t>
      </w:r>
      <w:r>
        <w:rPr>
          <w:rFonts w:hint="default"/>
          <w:color w:val="auto"/>
          <w:sz w:val="24"/>
          <w:szCs w:val="24"/>
          <w:lang w:val="en-US" w:eastAsia="zh-CN"/>
        </w:rPr>
        <w:t>控柜、锅炉辅机等按每1月进行1次例行巡检，并做好巡检及维修详细记录。遇突发情况</w:t>
      </w:r>
      <w:r>
        <w:rPr>
          <w:rFonts w:hint="eastAsia"/>
          <w:color w:val="auto"/>
          <w:sz w:val="24"/>
          <w:szCs w:val="24"/>
          <w:lang w:val="en-US" w:eastAsia="zh-CN"/>
        </w:rPr>
        <w:t>，接到通知及时至现场组织维修</w:t>
      </w:r>
      <w:r>
        <w:rPr>
          <w:rFonts w:hint="default"/>
          <w:color w:val="auto"/>
          <w:sz w:val="24"/>
          <w:szCs w:val="24"/>
          <w:lang w:val="en-US" w:eastAsia="zh-CN"/>
        </w:rPr>
        <w:t>。</w:t>
      </w:r>
    </w:p>
    <w:p>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Chars="0" w:firstLine="0" w:firstLineChars="0"/>
        <w:textAlignment w:val="auto"/>
        <w:rPr>
          <w:rFonts w:hint="default"/>
          <w:color w:val="auto"/>
          <w:sz w:val="24"/>
          <w:szCs w:val="24"/>
          <w:lang w:val="en-US" w:eastAsia="zh-CN"/>
        </w:rPr>
      </w:pPr>
      <w:r>
        <w:rPr>
          <w:rFonts w:hint="eastAsia"/>
          <w:color w:val="auto"/>
          <w:sz w:val="24"/>
          <w:szCs w:val="24"/>
          <w:lang w:val="en-US" w:eastAsia="zh-CN"/>
        </w:rPr>
        <w:t>分汽缸的维保和年检。</w:t>
      </w:r>
    </w:p>
    <w:p>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Chars="0" w:firstLine="0" w:firstLineChars="0"/>
        <w:textAlignment w:val="auto"/>
        <w:rPr>
          <w:rFonts w:hint="default"/>
          <w:color w:val="auto"/>
          <w:sz w:val="24"/>
          <w:szCs w:val="24"/>
          <w:lang w:val="en-US" w:eastAsia="zh-CN"/>
        </w:rPr>
      </w:pPr>
      <w:r>
        <w:rPr>
          <w:rFonts w:hint="eastAsia"/>
          <w:color w:val="auto"/>
          <w:sz w:val="24"/>
          <w:szCs w:val="24"/>
          <w:lang w:val="en-US" w:eastAsia="zh-CN"/>
        </w:rPr>
        <w:t>安全阀、压力表、温度计的年检。</w:t>
      </w:r>
    </w:p>
    <w:p>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Chars="0" w:firstLine="0" w:firstLineChars="0"/>
        <w:textAlignment w:val="auto"/>
        <w:rPr>
          <w:rFonts w:hint="default"/>
          <w:color w:val="auto"/>
          <w:sz w:val="24"/>
          <w:szCs w:val="24"/>
          <w:lang w:val="en-US" w:eastAsia="zh-CN"/>
        </w:rPr>
      </w:pPr>
      <w:r>
        <w:rPr>
          <w:rFonts w:hint="eastAsia"/>
          <w:color w:val="auto"/>
          <w:sz w:val="24"/>
          <w:szCs w:val="24"/>
          <w:lang w:val="en-US" w:eastAsia="zh-CN"/>
        </w:rPr>
        <w:t>含水处理试剂费用（1年）。</w:t>
      </w:r>
    </w:p>
    <w:p>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Chars="0" w:firstLine="0" w:firstLineChars="0"/>
        <w:textAlignment w:val="auto"/>
        <w:rPr>
          <w:rFonts w:hint="default"/>
          <w:color w:val="auto"/>
          <w:sz w:val="24"/>
          <w:szCs w:val="24"/>
          <w:lang w:val="en-US" w:eastAsia="zh-CN"/>
        </w:rPr>
      </w:pPr>
      <w:r>
        <w:rPr>
          <w:rFonts w:hint="eastAsia"/>
          <w:color w:val="auto"/>
          <w:sz w:val="24"/>
          <w:szCs w:val="24"/>
          <w:lang w:val="en-US" w:eastAsia="zh-CN"/>
        </w:rPr>
        <w:t>软水箱以及出水管路、阀门以及浮球阀的维保。</w:t>
      </w:r>
    </w:p>
    <w:p>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Chars="0" w:firstLine="0" w:firstLineChars="0"/>
        <w:textAlignment w:val="auto"/>
        <w:rPr>
          <w:rFonts w:hint="default"/>
          <w:sz w:val="24"/>
          <w:szCs w:val="24"/>
          <w:lang w:val="en-US" w:eastAsia="zh-CN"/>
        </w:rPr>
      </w:pPr>
      <w:r>
        <w:rPr>
          <w:rFonts w:hint="eastAsia"/>
          <w:sz w:val="24"/>
          <w:szCs w:val="24"/>
          <w:lang w:val="en-US" w:eastAsia="zh-CN"/>
        </w:rPr>
        <w:t>水处理设备（离子交换器以及取样器和控制器件）的维保。</w:t>
      </w:r>
    </w:p>
    <w:p>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Chars="0" w:firstLine="0" w:firstLineChars="0"/>
        <w:textAlignment w:val="auto"/>
        <w:rPr>
          <w:rFonts w:hint="default"/>
          <w:sz w:val="24"/>
          <w:szCs w:val="24"/>
          <w:lang w:val="en-US" w:eastAsia="zh-CN"/>
        </w:rPr>
      </w:pPr>
      <w:r>
        <w:rPr>
          <w:rFonts w:hint="eastAsia"/>
          <w:sz w:val="24"/>
          <w:szCs w:val="24"/>
          <w:lang w:val="en-US" w:eastAsia="zh-CN"/>
        </w:rPr>
        <w:t>每年按规定时间联系特检院进行冷检和热检，并做好相应准备工作，保证年检合格。</w:t>
      </w:r>
    </w:p>
    <w:p>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Chars="0" w:firstLine="0" w:firstLineChars="0"/>
        <w:textAlignment w:val="auto"/>
        <w:rPr>
          <w:rFonts w:hint="default"/>
          <w:b/>
          <w:bCs/>
          <w:color w:val="auto"/>
          <w:sz w:val="24"/>
          <w:szCs w:val="24"/>
          <w:lang w:val="en-US" w:eastAsia="zh-CN"/>
        </w:rPr>
      </w:pPr>
      <w:r>
        <w:rPr>
          <w:rFonts w:hint="eastAsia"/>
          <w:b/>
          <w:bCs/>
          <w:color w:val="auto"/>
          <w:sz w:val="24"/>
          <w:szCs w:val="24"/>
          <w:lang w:val="en-US" w:eastAsia="zh-CN"/>
        </w:rPr>
        <w:t>包括涉及到锅炉维保所有200元以内的配件维修更换。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5、质量控制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sz w:val="24"/>
          <w:szCs w:val="24"/>
          <w:lang w:val="en-US" w:eastAsia="zh-CN"/>
        </w:rPr>
      </w:pPr>
      <w:r>
        <w:rPr>
          <w:rFonts w:hint="default"/>
          <w:sz w:val="24"/>
          <w:szCs w:val="24"/>
          <w:lang w:val="en-US" w:eastAsia="zh-CN"/>
        </w:rPr>
        <w:t>维保过程中有权随时监督维修质量。所使用的产品、配件必须符合国家安</w:t>
      </w:r>
      <w:r>
        <w:rPr>
          <w:rFonts w:hint="eastAsia"/>
          <w:sz w:val="24"/>
          <w:szCs w:val="24"/>
          <w:lang w:val="en-US" w:eastAsia="zh-CN"/>
        </w:rPr>
        <w:t>全标准，并附带产品合格证。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6、安全责任划分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sz w:val="24"/>
          <w:szCs w:val="24"/>
          <w:lang w:val="en-US" w:eastAsia="zh-CN"/>
        </w:rPr>
      </w:pPr>
      <w:r>
        <w:rPr>
          <w:rFonts w:hint="default"/>
          <w:sz w:val="24"/>
          <w:szCs w:val="24"/>
          <w:lang w:val="en-US" w:eastAsia="zh-CN"/>
        </w:rPr>
        <w:t>乙方在维保施工期间应有施工措施，乙方负责施工期间人员、设备安</w:t>
      </w:r>
      <w:r>
        <w:rPr>
          <w:rFonts w:hint="eastAsia"/>
          <w:sz w:val="24"/>
          <w:szCs w:val="24"/>
          <w:lang w:val="en-US" w:eastAsia="zh-CN"/>
        </w:rPr>
        <w:t>全。</w:t>
      </w:r>
    </w:p>
    <w:p/>
    <w:p>
      <w:pPr>
        <w:pageBreakBefore w:val="0"/>
        <w:widowControl w:val="0"/>
        <w:kinsoku/>
        <w:wordWrap/>
        <w:overflowPunct/>
        <w:topLinePunct w:val="0"/>
        <w:autoSpaceDE/>
        <w:autoSpaceDN/>
        <w:bidi w:val="0"/>
        <w:spacing w:line="360" w:lineRule="auto"/>
        <w:rPr>
          <w:rFonts w:ascii="宋体" w:hAnsi="宋体" w:eastAsia="宋体"/>
          <w:b/>
          <w:bCs/>
          <w:sz w:val="24"/>
          <w:szCs w:val="24"/>
        </w:rPr>
      </w:pPr>
      <w:r>
        <w:rPr>
          <w:rFonts w:hint="eastAsia" w:ascii="宋体" w:hAnsi="宋体" w:eastAsia="宋体"/>
          <w:b/>
          <w:bCs/>
          <w:sz w:val="24"/>
          <w:szCs w:val="24"/>
        </w:rPr>
        <w:t>二、合同金额</w:t>
      </w:r>
    </w:p>
    <w:p>
      <w:pPr>
        <w:pStyle w:val="25"/>
        <w:pageBreakBefore w:val="0"/>
        <w:widowControl w:val="0"/>
        <w:kinsoku/>
        <w:wordWrap/>
        <w:overflowPunct/>
        <w:topLinePunct w:val="0"/>
        <w:autoSpaceDE/>
        <w:autoSpaceDN/>
        <w:bidi w:val="0"/>
        <w:snapToGrid w:val="0"/>
        <w:spacing w:line="360" w:lineRule="auto"/>
        <w:rPr>
          <w:rFonts w:hAnsi="宋体" w:cs="Times New Roman"/>
          <w:sz w:val="24"/>
          <w:szCs w:val="24"/>
        </w:rPr>
      </w:pPr>
      <w:r>
        <w:rPr>
          <w:rFonts w:hAnsi="宋体" w:cs="Times New Roman"/>
          <w:sz w:val="24"/>
          <w:szCs w:val="24"/>
        </w:rPr>
        <w:t xml:space="preserve">    1</w:t>
      </w:r>
      <w:r>
        <w:rPr>
          <w:rFonts w:hint="eastAsia" w:hAnsi="宋体" w:cs="Times New Roman"/>
          <w:sz w:val="24"/>
          <w:szCs w:val="24"/>
        </w:rPr>
        <w:t>、</w:t>
      </w:r>
      <w:r>
        <w:rPr>
          <w:rFonts w:hAnsi="宋体" w:cs="Times New Roman"/>
          <w:sz w:val="24"/>
          <w:szCs w:val="24"/>
        </w:rPr>
        <w:t>本合同金额为（大写）：</w:t>
      </w:r>
      <w:r>
        <w:rPr>
          <w:rFonts w:hint="eastAsia" w:hAnsi="宋体" w:cs="Times New Roman"/>
          <w:sz w:val="24"/>
          <w:szCs w:val="24"/>
          <w:u w:val="single"/>
        </w:rPr>
        <w:t xml:space="preserve"> </w:t>
      </w:r>
      <w:r>
        <w:rPr>
          <w:rFonts w:hAnsi="宋体" w:cs="Times New Roman"/>
          <w:sz w:val="24"/>
          <w:szCs w:val="24"/>
          <w:u w:val="single"/>
        </w:rPr>
        <w:t xml:space="preserve"> </w:t>
      </w:r>
      <w:r>
        <w:rPr>
          <w:rFonts w:hint="eastAsia" w:hAnsi="宋体" w:cs="Times New Roman"/>
          <w:sz w:val="24"/>
          <w:szCs w:val="24"/>
          <w:u w:val="single"/>
          <w:lang w:val="en-US" w:eastAsia="zh-CN"/>
        </w:rPr>
        <w:t xml:space="preserve">    </w:t>
      </w:r>
      <w:r>
        <w:rPr>
          <w:rFonts w:hint="eastAsia" w:hAnsi="宋体" w:cs="Times New Roman"/>
          <w:sz w:val="24"/>
          <w:szCs w:val="24"/>
          <w:u w:val="single"/>
        </w:rPr>
        <w:t xml:space="preserve"> </w:t>
      </w:r>
      <w:r>
        <w:rPr>
          <w:rFonts w:hAnsi="宋体" w:cs="Times New Roman"/>
          <w:sz w:val="24"/>
          <w:szCs w:val="24"/>
          <w:u w:val="single"/>
        </w:rPr>
        <w:t xml:space="preserve">  </w:t>
      </w:r>
      <w:r>
        <w:rPr>
          <w:rFonts w:hint="eastAsia" w:hAnsi="宋体" w:cs="Times New Roman"/>
          <w:sz w:val="24"/>
          <w:szCs w:val="24"/>
        </w:rPr>
        <w:t>圆</w:t>
      </w:r>
      <w:r>
        <w:rPr>
          <w:rFonts w:hAnsi="宋体" w:cs="Times New Roman"/>
          <w:sz w:val="24"/>
          <w:szCs w:val="24"/>
        </w:rPr>
        <w:t>整</w:t>
      </w:r>
      <w:r>
        <w:rPr>
          <w:rFonts w:hint="eastAsia" w:hAnsi="宋体" w:cs="Times New Roman"/>
          <w:sz w:val="24"/>
          <w:szCs w:val="24"/>
          <w:lang w:val="en-US" w:eastAsia="zh-CN"/>
        </w:rPr>
        <w:t>/年</w:t>
      </w:r>
      <w:r>
        <w:rPr>
          <w:rFonts w:hAnsi="宋体" w:cs="Times New Roman"/>
          <w:sz w:val="24"/>
          <w:szCs w:val="24"/>
        </w:rPr>
        <w:t>（￥</w:t>
      </w:r>
      <w:r>
        <w:rPr>
          <w:rFonts w:hint="eastAsia" w:hAnsi="宋体" w:cs="Times New Roman"/>
          <w:sz w:val="24"/>
          <w:szCs w:val="24"/>
          <w:u w:val="single"/>
        </w:rPr>
        <w:t xml:space="preserve"> </w:t>
      </w:r>
      <w:r>
        <w:rPr>
          <w:rFonts w:hAnsi="宋体" w:cs="Times New Roman"/>
          <w:sz w:val="24"/>
          <w:szCs w:val="24"/>
          <w:u w:val="single"/>
        </w:rPr>
        <w:t xml:space="preserve"> </w:t>
      </w:r>
      <w:r>
        <w:rPr>
          <w:rFonts w:hint="eastAsia" w:hAnsi="宋体" w:cs="Times New Roman"/>
          <w:sz w:val="24"/>
          <w:szCs w:val="24"/>
          <w:u w:val="single"/>
          <w:lang w:val="en-US" w:eastAsia="zh-CN"/>
        </w:rPr>
        <w:t xml:space="preserve">     </w:t>
      </w:r>
      <w:r>
        <w:rPr>
          <w:rFonts w:hAnsi="宋体" w:cs="Times New Roman"/>
          <w:sz w:val="24"/>
          <w:szCs w:val="24"/>
          <w:u w:val="single"/>
        </w:rPr>
        <w:t xml:space="preserve">  </w:t>
      </w:r>
      <w:r>
        <w:rPr>
          <w:rFonts w:hAnsi="宋体" w:cs="Times New Roman"/>
          <w:sz w:val="24"/>
          <w:szCs w:val="24"/>
        </w:rPr>
        <w:t>元</w:t>
      </w:r>
      <w:r>
        <w:rPr>
          <w:rFonts w:hint="eastAsia" w:hAnsi="宋体" w:cs="Times New Roman"/>
          <w:sz w:val="24"/>
          <w:szCs w:val="24"/>
          <w:lang w:val="en-US" w:eastAsia="zh-CN"/>
        </w:rPr>
        <w:t>/年</w:t>
      </w:r>
      <w:r>
        <w:rPr>
          <w:rFonts w:hAnsi="宋体" w:cs="Times New Roman"/>
          <w:sz w:val="24"/>
          <w:szCs w:val="24"/>
        </w:rPr>
        <w:t>）人民币。</w:t>
      </w:r>
    </w:p>
    <w:p>
      <w:pPr>
        <w:pStyle w:val="25"/>
        <w:pageBreakBefore w:val="0"/>
        <w:widowControl w:val="0"/>
        <w:kinsoku/>
        <w:wordWrap/>
        <w:overflowPunct/>
        <w:topLinePunct w:val="0"/>
        <w:autoSpaceDE/>
        <w:autoSpaceDN/>
        <w:bidi w:val="0"/>
        <w:snapToGrid w:val="0"/>
        <w:spacing w:line="360" w:lineRule="auto"/>
        <w:ind w:firstLine="480" w:firstLineChars="200"/>
        <w:rPr>
          <w:rFonts w:hAnsi="宋体" w:cs="Times New Roman"/>
          <w:sz w:val="24"/>
          <w:szCs w:val="24"/>
        </w:rPr>
      </w:pPr>
      <w:r>
        <w:rPr>
          <w:rFonts w:hAnsi="宋体" w:cs="Times New Roman"/>
          <w:sz w:val="24"/>
          <w:szCs w:val="24"/>
        </w:rPr>
        <w:t>2</w:t>
      </w:r>
      <w:r>
        <w:rPr>
          <w:rFonts w:hint="eastAsia" w:hAnsi="宋体" w:cs="Times New Roman"/>
          <w:sz w:val="24"/>
          <w:szCs w:val="24"/>
        </w:rPr>
        <w:t>、</w:t>
      </w:r>
      <w:r>
        <w:rPr>
          <w:rFonts w:hAnsi="宋体" w:cs="Times New Roman"/>
          <w:sz w:val="24"/>
          <w:szCs w:val="24"/>
        </w:rPr>
        <w:t>本合同价款包含所有乙方提供合同约定服务的报酬及乙方提供合同中服务所支出的必要费用，甲方在上述合同价款之外不再向乙方支付其他任何费用。</w:t>
      </w:r>
    </w:p>
    <w:p>
      <w:pPr>
        <w:pStyle w:val="25"/>
        <w:pageBreakBefore w:val="0"/>
        <w:widowControl w:val="0"/>
        <w:kinsoku/>
        <w:wordWrap/>
        <w:overflowPunct/>
        <w:topLinePunct w:val="0"/>
        <w:autoSpaceDE/>
        <w:autoSpaceDN/>
        <w:bidi w:val="0"/>
        <w:snapToGrid w:val="0"/>
        <w:spacing w:line="360" w:lineRule="auto"/>
        <w:rPr>
          <w:rFonts w:hAnsi="宋体" w:cs="Times New Roman"/>
          <w:b/>
          <w:sz w:val="24"/>
          <w:szCs w:val="24"/>
        </w:rPr>
      </w:pPr>
      <w:r>
        <w:rPr>
          <w:rFonts w:hint="eastAsia" w:hAnsi="宋体" w:cs="Times New Roman"/>
          <w:b/>
          <w:sz w:val="24"/>
          <w:szCs w:val="24"/>
        </w:rPr>
        <w:t>三</w:t>
      </w:r>
      <w:r>
        <w:rPr>
          <w:rFonts w:hAnsi="宋体" w:cs="Times New Roman"/>
          <w:b/>
          <w:sz w:val="24"/>
          <w:szCs w:val="24"/>
        </w:rPr>
        <w:t>、履约保证金</w:t>
      </w:r>
    </w:p>
    <w:p>
      <w:pPr>
        <w:pStyle w:val="25"/>
        <w:pageBreakBefore w:val="0"/>
        <w:widowControl w:val="0"/>
        <w:kinsoku/>
        <w:wordWrap/>
        <w:overflowPunct/>
        <w:topLinePunct w:val="0"/>
        <w:autoSpaceDE/>
        <w:autoSpaceDN/>
        <w:bidi w:val="0"/>
        <w:snapToGrid w:val="0"/>
        <w:spacing w:line="360" w:lineRule="auto"/>
        <w:ind w:firstLine="480" w:firstLineChars="200"/>
        <w:rPr>
          <w:rFonts w:hAnsi="宋体" w:cs="Times New Roman"/>
          <w:sz w:val="24"/>
          <w:szCs w:val="24"/>
        </w:rPr>
      </w:pPr>
      <w:r>
        <w:rPr>
          <w:rFonts w:hAnsi="宋体" w:cs="Times New Roman"/>
          <w:sz w:val="24"/>
          <w:szCs w:val="24"/>
        </w:rPr>
        <w:t>1</w:t>
      </w:r>
      <w:r>
        <w:rPr>
          <w:rFonts w:hint="eastAsia" w:hAnsi="宋体" w:cs="Times New Roman"/>
          <w:sz w:val="24"/>
          <w:szCs w:val="24"/>
        </w:rPr>
        <w:t>、</w:t>
      </w:r>
      <w:r>
        <w:rPr>
          <w:rFonts w:hAnsi="宋体" w:cs="Times New Roman"/>
          <w:sz w:val="24"/>
          <w:szCs w:val="24"/>
        </w:rPr>
        <w:t>乙方交纳履约保证金</w:t>
      </w:r>
      <w:r>
        <w:rPr>
          <w:rFonts w:hAnsi="宋体" w:cs="Times New Roman"/>
          <w:sz w:val="24"/>
          <w:szCs w:val="24"/>
          <w:u w:val="single"/>
        </w:rPr>
        <w:t xml:space="preserve">  </w:t>
      </w:r>
      <w:r>
        <w:rPr>
          <w:rFonts w:hint="eastAsia" w:hAnsi="宋体" w:cs="Times New Roman"/>
          <w:sz w:val="24"/>
          <w:szCs w:val="24"/>
          <w:u w:val="single"/>
          <w:lang w:val="en-US" w:eastAsia="zh-CN"/>
        </w:rPr>
        <w:t xml:space="preserve">     </w:t>
      </w:r>
      <w:r>
        <w:rPr>
          <w:rFonts w:hint="eastAsia" w:hAnsi="宋体" w:cs="Times New Roman"/>
          <w:sz w:val="24"/>
          <w:szCs w:val="24"/>
          <w:u w:val="single"/>
        </w:rPr>
        <w:t xml:space="preserve">  </w:t>
      </w:r>
      <w:r>
        <w:rPr>
          <w:rFonts w:hint="eastAsia" w:hAnsi="宋体" w:cs="Times New Roman"/>
          <w:sz w:val="24"/>
          <w:szCs w:val="24"/>
        </w:rPr>
        <w:t>圆整</w:t>
      </w:r>
      <w:r>
        <w:rPr>
          <w:rFonts w:hAnsi="宋体" w:cs="Times New Roman"/>
          <w:sz w:val="24"/>
          <w:szCs w:val="24"/>
        </w:rPr>
        <w:t>（￥</w:t>
      </w:r>
      <w:r>
        <w:rPr>
          <w:rFonts w:hint="eastAsia" w:hAnsi="宋体" w:cs="Times New Roman"/>
          <w:sz w:val="24"/>
          <w:szCs w:val="24"/>
          <w:u w:val="single"/>
        </w:rPr>
        <w:t xml:space="preserve"> </w:t>
      </w:r>
      <w:r>
        <w:rPr>
          <w:rFonts w:hint="eastAsia" w:hAnsi="宋体" w:cs="Times New Roman"/>
          <w:sz w:val="24"/>
          <w:szCs w:val="24"/>
          <w:u w:val="single"/>
          <w:lang w:val="en-US" w:eastAsia="zh-CN"/>
        </w:rPr>
        <w:t xml:space="preserve">      </w:t>
      </w:r>
      <w:r>
        <w:rPr>
          <w:rFonts w:hAnsi="宋体" w:cs="Times New Roman"/>
          <w:sz w:val="24"/>
          <w:szCs w:val="24"/>
          <w:u w:val="single"/>
        </w:rPr>
        <w:t xml:space="preserve">  </w:t>
      </w:r>
      <w:r>
        <w:rPr>
          <w:rFonts w:hAnsi="宋体" w:cs="Times New Roman"/>
          <w:sz w:val="24"/>
          <w:szCs w:val="24"/>
        </w:rPr>
        <w:t>元）人民币。</w:t>
      </w:r>
    </w:p>
    <w:p>
      <w:pPr>
        <w:pStyle w:val="25"/>
        <w:pageBreakBefore w:val="0"/>
        <w:widowControl w:val="0"/>
        <w:kinsoku/>
        <w:wordWrap/>
        <w:overflowPunct/>
        <w:topLinePunct w:val="0"/>
        <w:autoSpaceDE/>
        <w:autoSpaceDN/>
        <w:bidi w:val="0"/>
        <w:snapToGrid w:val="0"/>
        <w:spacing w:line="360" w:lineRule="auto"/>
        <w:ind w:firstLine="480" w:firstLineChars="200"/>
        <w:rPr>
          <w:rFonts w:hAnsi="宋体" w:cs="Times New Roman"/>
          <w:sz w:val="24"/>
          <w:szCs w:val="24"/>
        </w:rPr>
      </w:pPr>
      <w:r>
        <w:rPr>
          <w:rFonts w:hAnsi="宋体" w:cs="Times New Roman"/>
          <w:sz w:val="24"/>
          <w:szCs w:val="24"/>
        </w:rPr>
        <w:t>2</w:t>
      </w:r>
      <w:r>
        <w:rPr>
          <w:rFonts w:hint="eastAsia" w:hAnsi="宋体" w:cs="Times New Roman"/>
          <w:sz w:val="24"/>
          <w:szCs w:val="24"/>
        </w:rPr>
        <w:t>、</w:t>
      </w:r>
      <w:r>
        <w:rPr>
          <w:rFonts w:hAnsi="宋体" w:cs="Times New Roman"/>
          <w:sz w:val="24"/>
          <w:szCs w:val="24"/>
        </w:rPr>
        <w:t>合同履行结束后</w:t>
      </w:r>
      <w:r>
        <w:rPr>
          <w:rFonts w:hint="eastAsia" w:hAnsi="宋体" w:cs="Times New Roman"/>
          <w:sz w:val="24"/>
          <w:szCs w:val="24"/>
        </w:rPr>
        <w:t>10日内</w:t>
      </w:r>
      <w:r>
        <w:rPr>
          <w:rFonts w:hAnsi="宋体" w:cs="Times New Roman"/>
          <w:sz w:val="24"/>
          <w:szCs w:val="24"/>
        </w:rPr>
        <w:t>，乙方凭</w:t>
      </w:r>
      <w:r>
        <w:rPr>
          <w:rFonts w:hint="eastAsia" w:hAnsi="宋体" w:cs="Times New Roman"/>
          <w:sz w:val="24"/>
          <w:szCs w:val="24"/>
        </w:rPr>
        <w:t>甲方</w:t>
      </w:r>
      <w:r>
        <w:rPr>
          <w:rFonts w:hAnsi="宋体" w:cs="Times New Roman"/>
          <w:sz w:val="24"/>
          <w:szCs w:val="24"/>
        </w:rPr>
        <w:t>签署的同意退还履约保证金的证明，前往</w:t>
      </w:r>
      <w:r>
        <w:rPr>
          <w:rFonts w:hint="eastAsia" w:hAnsi="宋体" w:cs="Times New Roman"/>
          <w:sz w:val="24"/>
          <w:szCs w:val="24"/>
        </w:rPr>
        <w:t>甲方</w:t>
      </w:r>
      <w:r>
        <w:rPr>
          <w:rFonts w:hAnsi="宋体" w:cs="Times New Roman"/>
          <w:sz w:val="24"/>
          <w:szCs w:val="24"/>
        </w:rPr>
        <w:t>财务科办理保证金退还手续（无息退还）。</w:t>
      </w:r>
    </w:p>
    <w:p>
      <w:pPr>
        <w:pageBreakBefore w:val="0"/>
        <w:widowControl w:val="0"/>
        <w:kinsoku/>
        <w:wordWrap/>
        <w:overflowPunct/>
        <w:topLinePunct w:val="0"/>
        <w:autoSpaceDE/>
        <w:autoSpaceDN/>
        <w:bidi w:val="0"/>
        <w:spacing w:line="360" w:lineRule="auto"/>
        <w:rPr>
          <w:rFonts w:ascii="宋体" w:hAnsi="宋体" w:eastAsia="宋体"/>
          <w:b/>
          <w:bCs/>
          <w:color w:val="auto"/>
          <w:sz w:val="24"/>
          <w:szCs w:val="24"/>
        </w:rPr>
      </w:pPr>
      <w:r>
        <w:rPr>
          <w:rFonts w:hint="eastAsia" w:ascii="宋体" w:hAnsi="宋体" w:eastAsia="宋体"/>
          <w:b/>
          <w:bCs/>
          <w:sz w:val="24"/>
          <w:szCs w:val="24"/>
        </w:rPr>
        <w:t>四、合同款支付</w:t>
      </w:r>
    </w:p>
    <w:p>
      <w:pPr>
        <w:wordWrap w:val="0"/>
        <w:spacing w:line="360" w:lineRule="auto"/>
        <w:ind w:firstLine="480" w:firstLineChars="200"/>
        <w:rPr>
          <w:rFonts w:ascii="宋体" w:hAnsi="宋体" w:eastAsia="宋体"/>
          <w:sz w:val="24"/>
          <w:szCs w:val="24"/>
        </w:rPr>
      </w:pPr>
      <w:r>
        <w:rPr>
          <w:rFonts w:hint="eastAsia" w:ascii="宋体" w:hAnsi="宋体" w:eastAsia="宋体"/>
          <w:color w:val="auto"/>
          <w:sz w:val="24"/>
          <w:szCs w:val="24"/>
        </w:rPr>
        <w:t>合同签订生效后，</w:t>
      </w:r>
      <w:r>
        <w:rPr>
          <w:rFonts w:hint="eastAsia" w:ascii="宋体" w:hAnsi="宋体" w:eastAsia="宋体"/>
          <w:color w:val="auto"/>
          <w:sz w:val="24"/>
          <w:szCs w:val="24"/>
          <w:lang w:val="en-US" w:eastAsia="zh-CN"/>
        </w:rPr>
        <w:t>根据月度考核表结果，</w:t>
      </w:r>
      <w:r>
        <w:rPr>
          <w:rFonts w:hint="eastAsia" w:ascii="宋体" w:hAnsi="宋体" w:cs="宋体"/>
          <w:color w:val="auto"/>
          <w:sz w:val="24"/>
          <w:szCs w:val="24"/>
          <w:lang w:val="en-US" w:eastAsia="zh-CN"/>
        </w:rPr>
        <w:t>每月考核一次，根据季度平均考核得分，每次考核总分为100分，高于等于90分，全额支付季度养护费，低于90分的，每低1分扣相应支付费用总额的1%。年度考核</w:t>
      </w:r>
      <w:r>
        <w:rPr>
          <w:rFonts w:hint="eastAsia" w:ascii="宋体" w:hAnsi="宋体" w:cs="宋体"/>
          <w:color w:val="auto"/>
          <w:sz w:val="24"/>
          <w:szCs w:val="24"/>
        </w:rPr>
        <w:t>＜90</w:t>
      </w:r>
      <w:r>
        <w:rPr>
          <w:rFonts w:hint="eastAsia" w:ascii="宋体" w:hAnsi="宋体" w:cs="宋体"/>
          <w:color w:val="auto"/>
          <w:sz w:val="24"/>
          <w:szCs w:val="24"/>
          <w:lang w:val="en-US" w:eastAsia="zh-CN"/>
        </w:rPr>
        <w:t>分不再续签合同。</w:t>
      </w:r>
      <w:r>
        <w:rPr>
          <w:rFonts w:hint="eastAsia" w:ascii="宋体" w:hAnsi="宋体" w:eastAsia="宋体"/>
          <w:color w:val="auto"/>
          <w:sz w:val="24"/>
          <w:szCs w:val="24"/>
          <w:lang w:val="en-US" w:eastAsia="zh-CN"/>
        </w:rPr>
        <w:t>每季度不计息支付</w:t>
      </w:r>
      <w:r>
        <w:rPr>
          <w:rFonts w:hint="eastAsia" w:ascii="宋体" w:hAnsi="宋体"/>
          <w:color w:val="auto"/>
          <w:sz w:val="24"/>
          <w:szCs w:val="24"/>
          <w:lang w:val="en-US" w:eastAsia="zh-CN"/>
        </w:rPr>
        <w:t>维保</w:t>
      </w:r>
      <w:r>
        <w:rPr>
          <w:rFonts w:hint="eastAsia" w:ascii="宋体" w:hAnsi="宋体" w:eastAsia="宋体"/>
          <w:color w:val="auto"/>
          <w:sz w:val="24"/>
          <w:szCs w:val="24"/>
          <w:lang w:val="en-US" w:eastAsia="zh-CN"/>
        </w:rPr>
        <w:t>费用</w:t>
      </w:r>
      <w:r>
        <w:rPr>
          <w:rFonts w:hint="eastAsia" w:ascii="宋体" w:hAnsi="宋体" w:eastAsia="宋体"/>
          <w:color w:val="auto"/>
          <w:sz w:val="24"/>
          <w:szCs w:val="24"/>
        </w:rPr>
        <w:t>，每次付款为本合同金额的</w:t>
      </w:r>
      <w:r>
        <w:rPr>
          <w:rFonts w:hint="eastAsia" w:ascii="宋体" w:hAnsi="宋体"/>
          <w:color w:val="auto"/>
          <w:sz w:val="24"/>
          <w:szCs w:val="24"/>
          <w:lang w:val="en-US" w:eastAsia="zh-CN"/>
        </w:rPr>
        <w:t>25</w:t>
      </w:r>
      <w:r>
        <w:rPr>
          <w:rFonts w:hint="eastAsia" w:ascii="宋体" w:hAnsi="宋体" w:eastAsia="宋体"/>
          <w:color w:val="auto"/>
          <w:sz w:val="24"/>
          <w:szCs w:val="24"/>
        </w:rPr>
        <w:t>%，即人民币</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rPr>
        <w:t>元（大写：</w:t>
      </w:r>
      <w:r>
        <w:rPr>
          <w:rFonts w:hint="eastAsia" w:ascii="宋体" w:hAnsi="宋体" w:eastAsia="宋体"/>
          <w:color w:val="auto"/>
          <w:sz w:val="24"/>
          <w:szCs w:val="24"/>
          <w:u w:val="single"/>
        </w:rPr>
        <w:t>人民币</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元</w:t>
      </w:r>
      <w:r>
        <w:rPr>
          <w:rFonts w:hint="eastAsia" w:ascii="宋体" w:hAnsi="宋体" w:eastAsia="宋体"/>
          <w:color w:val="auto"/>
          <w:sz w:val="24"/>
          <w:szCs w:val="24"/>
        </w:rPr>
        <w:t>)。每个结算期满后10日内由乙方提供等额服务费发票、并经甲方审核</w:t>
      </w:r>
      <w:r>
        <w:rPr>
          <w:rFonts w:hint="eastAsia" w:ascii="宋体" w:hAnsi="宋体" w:eastAsia="宋体"/>
          <w:sz w:val="24"/>
          <w:szCs w:val="24"/>
        </w:rPr>
        <w:t>后付款。</w:t>
      </w:r>
    </w:p>
    <w:p>
      <w:pPr>
        <w:pageBreakBefore w:val="0"/>
        <w:widowControl w:val="0"/>
        <w:kinsoku/>
        <w:wordWrap/>
        <w:overflowPunct/>
        <w:topLinePunct w:val="0"/>
        <w:autoSpaceDE/>
        <w:autoSpaceDN/>
        <w:bidi w:val="0"/>
        <w:spacing w:line="360" w:lineRule="auto"/>
        <w:ind w:firstLine="723" w:firstLineChars="300"/>
        <w:jc w:val="left"/>
        <w:rPr>
          <w:rFonts w:ascii="宋体" w:hAnsi="宋体" w:eastAsia="宋体"/>
          <w:b/>
          <w:sz w:val="24"/>
          <w:szCs w:val="24"/>
        </w:rPr>
      </w:pPr>
      <w:r>
        <w:rPr>
          <w:rFonts w:hint="eastAsia" w:ascii="宋体" w:hAnsi="宋体" w:eastAsia="宋体"/>
          <w:b/>
          <w:sz w:val="24"/>
          <w:szCs w:val="24"/>
        </w:rPr>
        <w:t>乙方收款帐户信息如下：</w:t>
      </w:r>
    </w:p>
    <w:p>
      <w:pPr>
        <w:pageBreakBefore w:val="0"/>
        <w:widowControl w:val="0"/>
        <w:kinsoku/>
        <w:wordWrap/>
        <w:overflowPunct/>
        <w:topLinePunct w:val="0"/>
        <w:autoSpaceDE/>
        <w:autoSpaceDN/>
        <w:bidi w:val="0"/>
        <w:spacing w:line="360" w:lineRule="auto"/>
        <w:ind w:firstLine="720" w:firstLineChars="300"/>
        <w:jc w:val="left"/>
        <w:rPr>
          <w:rFonts w:ascii="宋体" w:hAnsi="宋体" w:eastAsia="宋体"/>
          <w:sz w:val="24"/>
          <w:szCs w:val="24"/>
        </w:rPr>
      </w:pPr>
      <w:r>
        <w:rPr>
          <w:rFonts w:hint="eastAsia" w:ascii="宋体" w:hAnsi="宋体" w:eastAsia="宋体"/>
          <w:sz w:val="24"/>
          <w:szCs w:val="24"/>
        </w:rPr>
        <w:t>公司名称：</w:t>
      </w:r>
    </w:p>
    <w:p>
      <w:pPr>
        <w:pageBreakBefore w:val="0"/>
        <w:widowControl w:val="0"/>
        <w:kinsoku/>
        <w:wordWrap/>
        <w:overflowPunct/>
        <w:topLinePunct w:val="0"/>
        <w:autoSpaceDE/>
        <w:autoSpaceDN/>
        <w:bidi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  开户银行：</w:t>
      </w:r>
    </w:p>
    <w:p>
      <w:pPr>
        <w:pageBreakBefore w:val="0"/>
        <w:widowControl w:val="0"/>
        <w:kinsoku/>
        <w:wordWrap/>
        <w:overflowPunct/>
        <w:topLinePunct w:val="0"/>
        <w:autoSpaceDE/>
        <w:autoSpaceDN/>
        <w:bidi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  银行账号：</w:t>
      </w:r>
    </w:p>
    <w:p>
      <w:pPr>
        <w:pageBreakBefore w:val="0"/>
        <w:widowControl w:val="0"/>
        <w:kinsoku/>
        <w:wordWrap/>
        <w:overflowPunct/>
        <w:topLinePunct w:val="0"/>
        <w:autoSpaceDE/>
        <w:autoSpaceDN/>
        <w:bidi w:val="0"/>
        <w:spacing w:line="360" w:lineRule="auto"/>
        <w:ind w:firstLine="720" w:firstLineChars="300"/>
        <w:jc w:val="left"/>
        <w:rPr>
          <w:rFonts w:ascii="宋体" w:hAnsi="宋体" w:eastAsia="宋体"/>
          <w:sz w:val="24"/>
          <w:szCs w:val="24"/>
        </w:rPr>
      </w:pPr>
      <w:r>
        <w:rPr>
          <w:rFonts w:hint="eastAsia" w:ascii="宋体" w:hAnsi="宋体" w:eastAsia="宋体"/>
          <w:sz w:val="24"/>
          <w:szCs w:val="24"/>
        </w:rPr>
        <w:t>税号：</w:t>
      </w:r>
      <w:r>
        <w:rPr>
          <w:rFonts w:hint="eastAsia" w:ascii="宋体" w:hAnsi="宋体"/>
          <w:sz w:val="24"/>
          <w:szCs w:val="24"/>
          <w:lang w:val="en-US" w:eastAsia="zh-CN"/>
        </w:rPr>
        <w:t xml:space="preserve">       </w:t>
      </w:r>
      <w:r>
        <w:rPr>
          <w:rFonts w:hint="eastAsia" w:ascii="宋体" w:hAnsi="宋体" w:eastAsia="宋体"/>
          <w:sz w:val="24"/>
          <w:szCs w:val="24"/>
        </w:rPr>
        <w:t>地址：</w:t>
      </w:r>
    </w:p>
    <w:p>
      <w:pPr>
        <w:pStyle w:val="25"/>
        <w:snapToGrid w:val="0"/>
        <w:spacing w:line="360" w:lineRule="auto"/>
        <w:rPr>
          <w:rFonts w:hAnsi="宋体" w:cs="Times New Roman"/>
          <w:b/>
          <w:sz w:val="24"/>
          <w:szCs w:val="24"/>
        </w:rPr>
      </w:pPr>
      <w:r>
        <w:rPr>
          <w:rFonts w:hint="eastAsia" w:hAnsi="宋体" w:cs="Times New Roman"/>
          <w:b/>
          <w:sz w:val="24"/>
          <w:szCs w:val="24"/>
        </w:rPr>
        <w:t>五、违约责任</w:t>
      </w:r>
    </w:p>
    <w:p>
      <w:pPr>
        <w:pStyle w:val="25"/>
        <w:numPr>
          <w:ilvl w:val="0"/>
          <w:numId w:val="18"/>
        </w:numPr>
        <w:snapToGrid w:val="0"/>
        <w:spacing w:line="360" w:lineRule="auto"/>
        <w:rPr>
          <w:rFonts w:hAnsi="宋体" w:cs="Times New Roman"/>
          <w:sz w:val="24"/>
          <w:szCs w:val="24"/>
        </w:rPr>
      </w:pPr>
      <w:r>
        <w:rPr>
          <w:rFonts w:hint="eastAsia" w:hAnsi="宋体" w:cs="Times New Roman"/>
          <w:sz w:val="24"/>
          <w:szCs w:val="24"/>
        </w:rPr>
        <w:t>突发性故障，在接到甲方管理人员的报修电话后半小时内，乙方提供响应服务（到现场解决故障或提供解决方案），超过1</w:t>
      </w:r>
      <w:r>
        <w:rPr>
          <w:rFonts w:hAnsi="宋体" w:cs="Times New Roman"/>
          <w:sz w:val="24"/>
          <w:szCs w:val="24"/>
        </w:rPr>
        <w:t>2</w:t>
      </w:r>
      <w:r>
        <w:rPr>
          <w:rFonts w:hint="eastAsia" w:hAnsi="宋体" w:cs="Times New Roman"/>
          <w:sz w:val="24"/>
          <w:szCs w:val="24"/>
        </w:rPr>
        <w:t>个小时，若乙方未及时到位维修的，每次从维保费中扣除2</w:t>
      </w:r>
      <w:r>
        <w:rPr>
          <w:rFonts w:hAnsi="宋体" w:cs="Times New Roman"/>
          <w:sz w:val="24"/>
          <w:szCs w:val="24"/>
        </w:rPr>
        <w:t>00</w:t>
      </w:r>
      <w:r>
        <w:rPr>
          <w:rFonts w:hint="eastAsia" w:hAnsi="宋体" w:cs="Times New Roman"/>
          <w:sz w:val="24"/>
          <w:szCs w:val="24"/>
        </w:rPr>
        <w:t>元。超过2</w:t>
      </w:r>
      <w:r>
        <w:rPr>
          <w:rFonts w:hAnsi="宋体" w:cs="Times New Roman"/>
          <w:sz w:val="24"/>
          <w:szCs w:val="24"/>
        </w:rPr>
        <w:t>4</w:t>
      </w:r>
      <w:r>
        <w:rPr>
          <w:rFonts w:hint="eastAsia" w:hAnsi="宋体" w:cs="Times New Roman"/>
          <w:sz w:val="24"/>
          <w:szCs w:val="24"/>
        </w:rPr>
        <w:t>个小时，若乙方未及时到位维修的，视为根本违约，按照本合同违约责任第2条处理。</w:t>
      </w:r>
    </w:p>
    <w:p>
      <w:pPr>
        <w:pStyle w:val="25"/>
        <w:numPr>
          <w:ilvl w:val="0"/>
          <w:numId w:val="18"/>
        </w:numPr>
        <w:snapToGrid w:val="0"/>
        <w:spacing w:line="360" w:lineRule="auto"/>
        <w:rPr>
          <w:rFonts w:hAnsi="宋体" w:cs="Times New Roman"/>
          <w:sz w:val="24"/>
          <w:szCs w:val="24"/>
        </w:rPr>
      </w:pPr>
      <w:r>
        <w:rPr>
          <w:rFonts w:hint="eastAsia" w:hAnsi="宋体" w:cs="Times New Roman"/>
          <w:sz w:val="24"/>
          <w:szCs w:val="24"/>
        </w:rPr>
        <w:t>任何一方未经另一方的同意单方面不履行本合同，视为违约，另一方有权要求违约方赔偿因此而造成的经济损失，并支付相当于本合同金额2</w:t>
      </w:r>
      <w:r>
        <w:rPr>
          <w:rFonts w:hAnsi="宋体" w:cs="Times New Roman"/>
          <w:sz w:val="24"/>
          <w:szCs w:val="24"/>
        </w:rPr>
        <w:t>0</w:t>
      </w:r>
      <w:r>
        <w:rPr>
          <w:rFonts w:hint="eastAsia" w:hAnsi="宋体" w:cs="Times New Roman"/>
          <w:sz w:val="24"/>
          <w:szCs w:val="24"/>
        </w:rPr>
        <w:t>%的违约赔偿金。乙方未按合同规定时间为甲方提供本合同规定的保养和维修内容，维保检查不合格甲方有权要求乙方支付本合同金额2</w:t>
      </w:r>
      <w:r>
        <w:rPr>
          <w:rFonts w:hAnsi="宋体" w:cs="Times New Roman"/>
          <w:sz w:val="24"/>
          <w:szCs w:val="24"/>
        </w:rPr>
        <w:t>0</w:t>
      </w:r>
      <w:r>
        <w:rPr>
          <w:rFonts w:hint="eastAsia" w:hAnsi="宋体" w:cs="Times New Roman"/>
          <w:sz w:val="24"/>
          <w:szCs w:val="24"/>
        </w:rPr>
        <w:t>%的违约金并解除合同。</w:t>
      </w:r>
    </w:p>
    <w:p>
      <w:pPr>
        <w:pStyle w:val="25"/>
        <w:snapToGrid w:val="0"/>
        <w:spacing w:line="360" w:lineRule="auto"/>
        <w:rPr>
          <w:rFonts w:hAnsi="宋体" w:cs="Times New Roman"/>
          <w:b/>
          <w:sz w:val="24"/>
          <w:szCs w:val="24"/>
        </w:rPr>
      </w:pPr>
      <w:r>
        <w:rPr>
          <w:rFonts w:hint="eastAsia" w:hAnsi="宋体" w:cs="Times New Roman"/>
          <w:b/>
          <w:sz w:val="24"/>
          <w:szCs w:val="24"/>
        </w:rPr>
        <w:t>六</w:t>
      </w:r>
      <w:r>
        <w:rPr>
          <w:rFonts w:hAnsi="宋体" w:cs="Times New Roman"/>
          <w:b/>
          <w:sz w:val="24"/>
          <w:szCs w:val="24"/>
        </w:rPr>
        <w:t>、不可抗力事件处理</w:t>
      </w:r>
    </w:p>
    <w:p>
      <w:pPr>
        <w:pStyle w:val="25"/>
        <w:snapToGrid w:val="0"/>
        <w:spacing w:line="360" w:lineRule="auto"/>
        <w:ind w:firstLine="480" w:firstLineChars="200"/>
        <w:rPr>
          <w:rFonts w:hAnsi="宋体" w:cs="Times New Roman"/>
          <w:sz w:val="24"/>
          <w:szCs w:val="24"/>
        </w:rPr>
      </w:pPr>
      <w:r>
        <w:rPr>
          <w:rFonts w:hAnsi="宋体" w:cs="Times New Roman"/>
          <w:sz w:val="24"/>
          <w:szCs w:val="24"/>
        </w:rPr>
        <w:t>1</w:t>
      </w:r>
      <w:r>
        <w:rPr>
          <w:rFonts w:hint="eastAsia" w:hAnsi="宋体" w:cs="Times New Roman"/>
          <w:sz w:val="24"/>
          <w:szCs w:val="24"/>
        </w:rPr>
        <w:t>、</w:t>
      </w:r>
      <w:r>
        <w:rPr>
          <w:rFonts w:hAnsi="宋体" w:cs="Times New Roman"/>
          <w:sz w:val="24"/>
          <w:szCs w:val="24"/>
        </w:rPr>
        <w:t>在合同有效期内，任何一方因不可抗力事件导致不能履行合同，则合同履行期延</w:t>
      </w:r>
    </w:p>
    <w:p>
      <w:pPr>
        <w:pStyle w:val="25"/>
        <w:snapToGrid w:val="0"/>
        <w:spacing w:line="360" w:lineRule="auto"/>
        <w:ind w:firstLine="840" w:firstLineChars="350"/>
        <w:rPr>
          <w:rFonts w:hAnsi="宋体" w:cs="Times New Roman"/>
          <w:sz w:val="24"/>
          <w:szCs w:val="24"/>
        </w:rPr>
      </w:pPr>
      <w:r>
        <w:rPr>
          <w:rFonts w:hAnsi="宋体" w:cs="Times New Roman"/>
          <w:sz w:val="24"/>
          <w:szCs w:val="24"/>
        </w:rPr>
        <w:t>长，其延长期与不可抗力影响期相同。</w:t>
      </w:r>
    </w:p>
    <w:p>
      <w:pPr>
        <w:pStyle w:val="25"/>
        <w:snapToGrid w:val="0"/>
        <w:spacing w:line="360" w:lineRule="auto"/>
        <w:ind w:firstLine="480" w:firstLineChars="200"/>
        <w:rPr>
          <w:rFonts w:hAnsi="宋体" w:cs="Times New Roman"/>
          <w:sz w:val="24"/>
          <w:szCs w:val="24"/>
        </w:rPr>
      </w:pPr>
      <w:r>
        <w:rPr>
          <w:rFonts w:hAnsi="宋体" w:cs="Times New Roman"/>
          <w:sz w:val="24"/>
          <w:szCs w:val="24"/>
        </w:rPr>
        <w:t>2</w:t>
      </w:r>
      <w:r>
        <w:rPr>
          <w:rFonts w:hint="eastAsia" w:hAnsi="宋体" w:cs="Times New Roman"/>
          <w:sz w:val="24"/>
          <w:szCs w:val="24"/>
        </w:rPr>
        <w:t>、</w:t>
      </w:r>
      <w:r>
        <w:rPr>
          <w:rFonts w:hAnsi="宋体" w:cs="Times New Roman"/>
          <w:sz w:val="24"/>
          <w:szCs w:val="24"/>
        </w:rPr>
        <w:t>不可抗力事件发生后，应立即通知对方，并寄送有关权威机构出具的证明。</w:t>
      </w:r>
    </w:p>
    <w:p>
      <w:pPr>
        <w:pStyle w:val="25"/>
        <w:snapToGrid w:val="0"/>
        <w:spacing w:line="360" w:lineRule="auto"/>
        <w:ind w:firstLine="480" w:firstLineChars="200"/>
        <w:rPr>
          <w:rFonts w:hAnsi="宋体" w:cs="Times New Roman"/>
          <w:sz w:val="24"/>
          <w:szCs w:val="24"/>
        </w:rPr>
      </w:pPr>
      <w:r>
        <w:rPr>
          <w:rFonts w:hAnsi="宋体" w:cs="Times New Roman"/>
          <w:sz w:val="24"/>
          <w:szCs w:val="24"/>
        </w:rPr>
        <w:t>3</w:t>
      </w:r>
      <w:r>
        <w:rPr>
          <w:rFonts w:hint="eastAsia" w:hAnsi="宋体" w:cs="Times New Roman"/>
          <w:sz w:val="24"/>
          <w:szCs w:val="24"/>
        </w:rPr>
        <w:t>、</w:t>
      </w:r>
      <w:r>
        <w:rPr>
          <w:rFonts w:hAnsi="宋体" w:cs="Times New Roman"/>
          <w:sz w:val="24"/>
          <w:szCs w:val="24"/>
        </w:rPr>
        <w:t>不可抗力事件延续120天以上，双方应通过友好协商，确定是否继续履行合同。</w:t>
      </w:r>
    </w:p>
    <w:p>
      <w:pPr>
        <w:pStyle w:val="25"/>
        <w:snapToGrid w:val="0"/>
        <w:spacing w:line="360" w:lineRule="auto"/>
        <w:rPr>
          <w:rFonts w:hAnsi="宋体" w:cs="Times New Roman"/>
          <w:b/>
          <w:sz w:val="24"/>
          <w:szCs w:val="24"/>
        </w:rPr>
      </w:pPr>
      <w:r>
        <w:rPr>
          <w:rFonts w:hint="eastAsia" w:hAnsi="宋体" w:cs="Times New Roman"/>
          <w:b/>
          <w:sz w:val="24"/>
          <w:szCs w:val="24"/>
        </w:rPr>
        <w:t>七</w:t>
      </w:r>
      <w:r>
        <w:rPr>
          <w:rFonts w:hAnsi="宋体" w:cs="Times New Roman"/>
          <w:b/>
          <w:sz w:val="24"/>
          <w:szCs w:val="24"/>
        </w:rPr>
        <w:t>、诉讼</w:t>
      </w:r>
    </w:p>
    <w:p>
      <w:pPr>
        <w:pStyle w:val="25"/>
        <w:snapToGrid w:val="0"/>
        <w:spacing w:line="360" w:lineRule="auto"/>
        <w:ind w:left="160" w:firstLine="480" w:firstLineChars="200"/>
        <w:rPr>
          <w:rFonts w:hAnsi="宋体" w:cs="Times New Roman"/>
          <w:sz w:val="24"/>
          <w:szCs w:val="24"/>
        </w:rPr>
      </w:pPr>
      <w:r>
        <w:rPr>
          <w:rFonts w:hAnsi="宋体" w:cs="Times New Roman"/>
          <w:sz w:val="24"/>
          <w:szCs w:val="24"/>
        </w:rPr>
        <w:t>双方在执行合同中所发生的一切争议，应通过协商解决。如协商不成，可向合同签订地法院起诉，合同签订地在此约定为</w:t>
      </w:r>
      <w:r>
        <w:rPr>
          <w:rFonts w:hint="eastAsia" w:hAnsi="宋体" w:cs="Times New Roman"/>
          <w:sz w:val="24"/>
          <w:szCs w:val="24"/>
        </w:rPr>
        <w:t>南通</w:t>
      </w:r>
      <w:r>
        <w:rPr>
          <w:rFonts w:hAnsi="宋体" w:cs="Times New Roman"/>
          <w:sz w:val="24"/>
          <w:szCs w:val="24"/>
        </w:rPr>
        <w:t>市。</w:t>
      </w:r>
    </w:p>
    <w:p>
      <w:pPr>
        <w:pStyle w:val="25"/>
        <w:snapToGrid w:val="0"/>
        <w:spacing w:line="360" w:lineRule="auto"/>
        <w:rPr>
          <w:rFonts w:hAnsi="宋体" w:cs="Times New Roman"/>
          <w:b/>
          <w:sz w:val="24"/>
          <w:szCs w:val="24"/>
        </w:rPr>
      </w:pPr>
      <w:r>
        <w:rPr>
          <w:rFonts w:hint="eastAsia" w:hAnsi="宋体" w:cs="Times New Roman"/>
          <w:b/>
          <w:sz w:val="24"/>
          <w:szCs w:val="24"/>
        </w:rPr>
        <w:t>八</w:t>
      </w:r>
      <w:r>
        <w:rPr>
          <w:rFonts w:hAnsi="宋体" w:cs="Times New Roman"/>
          <w:b/>
          <w:sz w:val="24"/>
          <w:szCs w:val="24"/>
        </w:rPr>
        <w:t>、合同生效及其它</w:t>
      </w:r>
    </w:p>
    <w:p>
      <w:pPr>
        <w:pStyle w:val="25"/>
        <w:snapToGrid w:val="0"/>
        <w:spacing w:line="360" w:lineRule="auto"/>
        <w:ind w:firstLine="480" w:firstLineChars="200"/>
        <w:rPr>
          <w:rFonts w:hAnsi="宋体" w:cs="Times New Roman"/>
          <w:sz w:val="24"/>
          <w:szCs w:val="24"/>
        </w:rPr>
      </w:pPr>
      <w:r>
        <w:rPr>
          <w:rFonts w:hAnsi="宋体" w:cs="Times New Roman"/>
          <w:sz w:val="24"/>
          <w:szCs w:val="24"/>
        </w:rPr>
        <w:t>1</w:t>
      </w:r>
      <w:r>
        <w:rPr>
          <w:rFonts w:hint="eastAsia" w:hAnsi="宋体" w:cs="Times New Roman"/>
          <w:sz w:val="24"/>
          <w:szCs w:val="24"/>
        </w:rPr>
        <w:t>、</w:t>
      </w:r>
      <w:r>
        <w:rPr>
          <w:rFonts w:hAnsi="宋体" w:cs="Times New Roman"/>
          <w:sz w:val="24"/>
          <w:szCs w:val="24"/>
        </w:rPr>
        <w:t>合同经双方法定代表人或授权委托代表人签字并加盖单位公章后生效。</w:t>
      </w:r>
    </w:p>
    <w:p>
      <w:pPr>
        <w:pStyle w:val="25"/>
        <w:snapToGrid w:val="0"/>
        <w:spacing w:line="360" w:lineRule="auto"/>
        <w:ind w:firstLine="480" w:firstLineChars="200"/>
        <w:rPr>
          <w:rFonts w:hAnsi="宋体" w:cs="Times New Roman"/>
          <w:sz w:val="24"/>
          <w:szCs w:val="24"/>
        </w:rPr>
      </w:pPr>
      <w:r>
        <w:rPr>
          <w:rFonts w:hAnsi="宋体" w:cs="Times New Roman"/>
          <w:sz w:val="24"/>
          <w:szCs w:val="24"/>
        </w:rPr>
        <w:t>2</w:t>
      </w:r>
      <w:r>
        <w:rPr>
          <w:rFonts w:hint="eastAsia" w:hAnsi="宋体" w:cs="Times New Roman"/>
          <w:sz w:val="24"/>
          <w:szCs w:val="24"/>
        </w:rPr>
        <w:t>、</w:t>
      </w:r>
      <w:r>
        <w:rPr>
          <w:rFonts w:hAnsi="宋体" w:cs="Times New Roman"/>
          <w:sz w:val="24"/>
          <w:szCs w:val="24"/>
        </w:rPr>
        <w:t>本合同未尽事宜，遵照《合同法》有关条文执行。</w:t>
      </w:r>
    </w:p>
    <w:p>
      <w:pPr>
        <w:pStyle w:val="25"/>
        <w:snapToGrid w:val="0"/>
        <w:spacing w:line="360" w:lineRule="auto"/>
        <w:ind w:left="216" w:leftChars="103" w:firstLine="120" w:firstLineChars="50"/>
        <w:rPr>
          <w:rFonts w:hAnsi="宋体" w:cs="Times New Roman"/>
          <w:sz w:val="24"/>
          <w:szCs w:val="24"/>
        </w:rPr>
      </w:pPr>
      <w:r>
        <w:rPr>
          <w:rFonts w:hAnsi="宋体" w:cs="Times New Roman"/>
          <w:sz w:val="24"/>
          <w:szCs w:val="24"/>
        </w:rPr>
        <w:t>3</w:t>
      </w:r>
      <w:r>
        <w:rPr>
          <w:rFonts w:hint="eastAsia" w:hAnsi="宋体" w:cs="Times New Roman"/>
          <w:sz w:val="24"/>
          <w:szCs w:val="24"/>
        </w:rPr>
        <w:t>、</w:t>
      </w:r>
      <w:r>
        <w:rPr>
          <w:rFonts w:hAnsi="宋体" w:cs="Times New Roman"/>
          <w:sz w:val="24"/>
          <w:szCs w:val="24"/>
        </w:rPr>
        <w:t>本合同正本一式</w:t>
      </w:r>
      <w:r>
        <w:rPr>
          <w:rFonts w:hint="eastAsia" w:hAnsi="宋体" w:cs="Times New Roman"/>
          <w:sz w:val="24"/>
          <w:szCs w:val="24"/>
        </w:rPr>
        <w:t>五</w:t>
      </w:r>
      <w:r>
        <w:rPr>
          <w:rFonts w:hAnsi="宋体" w:cs="Times New Roman"/>
          <w:sz w:val="24"/>
          <w:szCs w:val="24"/>
        </w:rPr>
        <w:t>份，具有同等法律效力，甲方</w:t>
      </w:r>
      <w:r>
        <w:rPr>
          <w:rFonts w:hint="eastAsia" w:hAnsi="宋体" w:cs="Times New Roman"/>
          <w:sz w:val="24"/>
          <w:szCs w:val="24"/>
        </w:rPr>
        <w:t>执三份</w:t>
      </w:r>
      <w:r>
        <w:rPr>
          <w:rFonts w:hAnsi="宋体" w:cs="Times New Roman"/>
          <w:sz w:val="24"/>
          <w:szCs w:val="24"/>
        </w:rPr>
        <w:t>、乙方</w:t>
      </w:r>
      <w:r>
        <w:rPr>
          <w:rFonts w:hint="eastAsia" w:hAnsi="宋体" w:cs="Times New Roman"/>
          <w:sz w:val="24"/>
          <w:szCs w:val="24"/>
        </w:rPr>
        <w:t>执二份。</w:t>
      </w:r>
    </w:p>
    <w:p>
      <w:pPr>
        <w:pStyle w:val="25"/>
        <w:snapToGrid w:val="0"/>
        <w:spacing w:line="360" w:lineRule="auto"/>
        <w:ind w:left="216" w:leftChars="103" w:firstLine="120" w:firstLineChars="50"/>
        <w:rPr>
          <w:rFonts w:hAnsi="宋体" w:cs="Times New Roman"/>
          <w:sz w:val="24"/>
          <w:szCs w:val="24"/>
        </w:rPr>
      </w:pPr>
      <w:r>
        <w:rPr>
          <w:rFonts w:hint="eastAsia" w:hAnsi="宋体" w:cs="Times New Roman"/>
          <w:sz w:val="24"/>
          <w:szCs w:val="24"/>
        </w:rPr>
        <w:t>4、</w:t>
      </w:r>
      <w:r>
        <w:rPr>
          <w:rFonts w:hint="eastAsia" w:hAnsi="宋体"/>
          <w:sz w:val="24"/>
          <w:szCs w:val="24"/>
        </w:rPr>
        <w:t>维保合同到期后，甲方对乙方维保工作满意，应优先考虑由乙方继续承接维保业务。</w:t>
      </w:r>
    </w:p>
    <w:p>
      <w:pPr>
        <w:adjustRightInd w:val="0"/>
        <w:snapToGrid w:val="0"/>
        <w:spacing w:line="480" w:lineRule="auto"/>
        <w:jc w:val="left"/>
        <w:rPr>
          <w:rFonts w:ascii="宋体" w:hAnsi="宋体" w:eastAsia="宋体" w:cs="Arial"/>
          <w:sz w:val="24"/>
          <w:szCs w:val="24"/>
          <w:u w:val="single"/>
        </w:rPr>
      </w:pPr>
      <w:r>
        <w:rPr>
          <w:rFonts w:hint="eastAsia" w:ascii="宋体" w:hAnsi="宋体" w:eastAsia="宋体" w:cs="Arial"/>
          <w:sz w:val="24"/>
          <w:szCs w:val="24"/>
        </w:rPr>
        <w:t xml:space="preserve">甲方：南通市妇幼保健院 （盖章）   </w:t>
      </w:r>
      <w:r>
        <w:rPr>
          <w:rFonts w:ascii="宋体" w:hAnsi="宋体" w:eastAsia="宋体" w:cs="Arial"/>
          <w:sz w:val="24"/>
          <w:szCs w:val="24"/>
        </w:rPr>
        <w:t xml:space="preserve">   </w:t>
      </w:r>
      <w:r>
        <w:rPr>
          <w:rFonts w:hint="eastAsia" w:ascii="宋体" w:hAnsi="宋体" w:cs="Arial"/>
          <w:sz w:val="24"/>
          <w:szCs w:val="24"/>
          <w:lang w:val="en-US" w:eastAsia="zh-CN"/>
        </w:rPr>
        <w:t xml:space="preserve">          </w:t>
      </w:r>
      <w:r>
        <w:rPr>
          <w:rFonts w:hint="eastAsia" w:ascii="宋体" w:hAnsi="宋体" w:eastAsia="宋体" w:cs="Arial"/>
          <w:sz w:val="24"/>
          <w:szCs w:val="24"/>
        </w:rPr>
        <w:t xml:space="preserve">乙方：（盖章）                                 </w:t>
      </w:r>
      <w:r>
        <w:rPr>
          <w:rFonts w:ascii="宋体" w:hAnsi="宋体" w:eastAsia="宋体" w:cs="Arial"/>
          <w:sz w:val="24"/>
          <w:szCs w:val="24"/>
        </w:rPr>
        <w:t xml:space="preserve">          </w:t>
      </w:r>
      <w:r>
        <w:rPr>
          <w:rFonts w:hint="eastAsia" w:ascii="宋体" w:hAnsi="宋体" w:eastAsia="宋体" w:cs="Arial"/>
          <w:sz w:val="24"/>
          <w:szCs w:val="24"/>
        </w:rPr>
        <w:t xml:space="preserve">法定代表人或授权代表：     </w:t>
      </w:r>
      <w:r>
        <w:rPr>
          <w:rFonts w:ascii="宋体" w:hAnsi="宋体" w:eastAsia="宋体" w:cs="Arial"/>
          <w:sz w:val="24"/>
          <w:szCs w:val="24"/>
        </w:rPr>
        <w:t xml:space="preserve">                    </w:t>
      </w:r>
      <w:r>
        <w:rPr>
          <w:rFonts w:hint="eastAsia" w:ascii="宋体" w:hAnsi="宋体" w:eastAsia="宋体" w:cs="Arial"/>
          <w:sz w:val="24"/>
          <w:szCs w:val="24"/>
        </w:rPr>
        <w:t>法定代表人或授权代表：</w:t>
      </w:r>
      <w:r>
        <w:rPr>
          <w:rFonts w:hint="eastAsia" w:ascii="宋体" w:hAnsi="宋体" w:eastAsia="宋体" w:cs="Arial"/>
          <w:sz w:val="24"/>
          <w:szCs w:val="24"/>
          <w:u w:val="single"/>
        </w:rPr>
        <w:t xml:space="preserve"> </w:t>
      </w:r>
      <w:r>
        <w:rPr>
          <w:rFonts w:ascii="宋体" w:hAnsi="宋体" w:eastAsia="宋体" w:cs="Arial"/>
          <w:sz w:val="24"/>
          <w:szCs w:val="24"/>
          <w:u w:val="single"/>
        </w:rPr>
        <w:t xml:space="preserve"> </w:t>
      </w:r>
    </w:p>
    <w:p>
      <w:pPr>
        <w:adjustRightInd w:val="0"/>
        <w:snapToGrid w:val="0"/>
        <w:spacing w:line="480" w:lineRule="auto"/>
        <w:jc w:val="left"/>
        <w:rPr>
          <w:rFonts w:ascii="宋体" w:hAnsi="宋体" w:eastAsia="宋体"/>
          <w:sz w:val="24"/>
          <w:szCs w:val="24"/>
        </w:rPr>
      </w:pPr>
      <w:r>
        <w:rPr>
          <w:rFonts w:hint="eastAsia" w:ascii="宋体" w:hAnsi="宋体" w:eastAsia="宋体"/>
          <w:sz w:val="24"/>
          <w:szCs w:val="24"/>
        </w:rPr>
        <w:t xml:space="preserve">日期：      年    月     日              </w:t>
      </w:r>
      <w:r>
        <w:rPr>
          <w:rFonts w:ascii="宋体" w:hAnsi="宋体" w:eastAsia="宋体"/>
          <w:sz w:val="24"/>
          <w:szCs w:val="24"/>
        </w:rPr>
        <w:t xml:space="preserve">      </w:t>
      </w:r>
      <w:r>
        <w:rPr>
          <w:rFonts w:hint="eastAsia" w:ascii="宋体" w:hAnsi="宋体" w:eastAsia="宋体"/>
          <w:sz w:val="24"/>
          <w:szCs w:val="24"/>
        </w:rPr>
        <w:t>日期:       年    月     日</w:t>
      </w:r>
    </w:p>
    <w:p>
      <w:pPr>
        <w:spacing w:line="360" w:lineRule="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附件一：</w:t>
      </w:r>
    </w:p>
    <w:p>
      <w:pPr>
        <w:pStyle w:val="19"/>
      </w:pPr>
    </w:p>
    <w:p>
      <w:pPr>
        <w:spacing w:line="360" w:lineRule="auto"/>
        <w:jc w:val="center"/>
        <w:rPr>
          <w:rFonts w:hint="eastAsia" w:ascii="宋体" w:hAnsi="宋体"/>
          <w:b/>
          <w:bCs/>
          <w:color w:val="0000FF"/>
          <w:sz w:val="36"/>
          <w:szCs w:val="36"/>
        </w:rPr>
      </w:pPr>
      <w:r>
        <w:rPr>
          <w:rFonts w:hint="eastAsia" w:ascii="宋体" w:hAnsi="宋体"/>
          <w:b/>
          <w:bCs/>
          <w:color w:val="000000" w:themeColor="text1"/>
          <w:sz w:val="36"/>
          <w:szCs w:val="36"/>
          <w14:textFill>
            <w14:solidFill>
              <w14:schemeClr w14:val="tx1"/>
            </w14:solidFill>
          </w14:textFill>
        </w:rPr>
        <w:t>南通市妇幼保健院</w:t>
      </w:r>
      <w:r>
        <w:rPr>
          <w:rFonts w:hint="eastAsia" w:ascii="宋体" w:hAnsi="宋体"/>
          <w:b/>
          <w:bCs/>
          <w:color w:val="000000" w:themeColor="text1"/>
          <w:sz w:val="36"/>
          <w:szCs w:val="36"/>
          <w:lang w:val="en-US" w:eastAsia="zh-CN"/>
          <w14:textFill>
            <w14:solidFill>
              <w14:schemeClr w14:val="tx1"/>
            </w14:solidFill>
          </w14:textFill>
        </w:rPr>
        <w:t>锅炉维保</w:t>
      </w:r>
      <w:r>
        <w:rPr>
          <w:rFonts w:hint="eastAsia" w:ascii="宋体" w:hAnsi="宋体"/>
          <w:b/>
          <w:bCs/>
          <w:color w:val="000000" w:themeColor="text1"/>
          <w:sz w:val="36"/>
          <w:szCs w:val="36"/>
          <w14:textFill>
            <w14:solidFill>
              <w14:schemeClr w14:val="tx1"/>
            </w14:solidFill>
          </w14:textFill>
        </w:rPr>
        <w:t>服务月度考核表</w:t>
      </w:r>
    </w:p>
    <w:p>
      <w:pPr>
        <w:spacing w:line="360" w:lineRule="auto"/>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p>
    <w:tbl>
      <w:tblPr>
        <w:tblStyle w:val="51"/>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513"/>
        <w:gridCol w:w="4095"/>
        <w:gridCol w:w="753"/>
        <w:gridCol w:w="837"/>
        <w:gridCol w:w="103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noWrap w:val="0"/>
            <w:vAlign w:val="center"/>
          </w:tcPr>
          <w:p>
            <w:pPr>
              <w:pStyle w:val="19"/>
              <w:jc w:val="center"/>
              <w:rPr>
                <w:rFonts w:hint="eastAsia" w:ascii="宋体" w:hAnsi="宋体" w:cs="宋体"/>
              </w:rPr>
            </w:pPr>
            <w:r>
              <w:rPr>
                <w:rFonts w:hint="eastAsia" w:ascii="宋体" w:hAnsi="宋体" w:cs="宋体"/>
              </w:rPr>
              <w:t>序号</w:t>
            </w:r>
          </w:p>
        </w:tc>
        <w:tc>
          <w:tcPr>
            <w:tcW w:w="1513" w:type="dxa"/>
            <w:noWrap w:val="0"/>
            <w:vAlign w:val="center"/>
          </w:tcPr>
          <w:p>
            <w:pPr>
              <w:pStyle w:val="19"/>
              <w:jc w:val="center"/>
              <w:rPr>
                <w:rFonts w:hint="eastAsia" w:ascii="宋体" w:hAnsi="宋体" w:cs="宋体"/>
              </w:rPr>
            </w:pPr>
            <w:r>
              <w:rPr>
                <w:rFonts w:hint="eastAsia" w:ascii="宋体" w:hAnsi="宋体" w:cs="宋体"/>
              </w:rPr>
              <w:t>考核项目</w:t>
            </w:r>
          </w:p>
        </w:tc>
        <w:tc>
          <w:tcPr>
            <w:tcW w:w="4095" w:type="dxa"/>
            <w:noWrap w:val="0"/>
            <w:vAlign w:val="center"/>
          </w:tcPr>
          <w:p>
            <w:pPr>
              <w:pStyle w:val="19"/>
              <w:jc w:val="center"/>
              <w:rPr>
                <w:rFonts w:hint="eastAsia" w:ascii="宋体" w:hAnsi="宋体" w:cs="宋体"/>
              </w:rPr>
            </w:pPr>
            <w:r>
              <w:rPr>
                <w:rFonts w:hint="eastAsia" w:ascii="宋体" w:hAnsi="宋体" w:cs="宋体"/>
              </w:rPr>
              <w:t>考核具体内容</w:t>
            </w:r>
          </w:p>
        </w:tc>
        <w:tc>
          <w:tcPr>
            <w:tcW w:w="753" w:type="dxa"/>
            <w:noWrap w:val="0"/>
            <w:vAlign w:val="center"/>
          </w:tcPr>
          <w:p>
            <w:pPr>
              <w:pStyle w:val="19"/>
              <w:rPr>
                <w:rFonts w:ascii="宋体" w:hAnsi="宋体" w:cs="宋体"/>
              </w:rPr>
            </w:pPr>
            <w:r>
              <w:rPr>
                <w:rFonts w:hint="eastAsia" w:ascii="宋体" w:hAnsi="宋体" w:cs="宋体"/>
              </w:rPr>
              <w:t>分值</w:t>
            </w:r>
          </w:p>
        </w:tc>
        <w:tc>
          <w:tcPr>
            <w:tcW w:w="837" w:type="dxa"/>
            <w:noWrap w:val="0"/>
            <w:vAlign w:val="center"/>
          </w:tcPr>
          <w:p>
            <w:pPr>
              <w:pStyle w:val="19"/>
              <w:jc w:val="center"/>
              <w:rPr>
                <w:rFonts w:hint="eastAsia" w:ascii="宋体" w:hAnsi="宋体" w:cs="宋体"/>
              </w:rPr>
            </w:pPr>
            <w:r>
              <w:rPr>
                <w:rFonts w:hint="eastAsia" w:ascii="宋体" w:hAnsi="宋体" w:cs="宋体"/>
              </w:rPr>
              <w:t>考核得分</w:t>
            </w:r>
          </w:p>
        </w:tc>
        <w:tc>
          <w:tcPr>
            <w:tcW w:w="1033" w:type="dxa"/>
            <w:noWrap w:val="0"/>
            <w:vAlign w:val="center"/>
          </w:tcPr>
          <w:p>
            <w:pPr>
              <w:pStyle w:val="19"/>
              <w:jc w:val="center"/>
              <w:rPr>
                <w:rFonts w:hint="eastAsia" w:ascii="宋体" w:hAnsi="宋体" w:cs="宋体"/>
              </w:rPr>
            </w:pPr>
            <w:r>
              <w:rPr>
                <w:rFonts w:hint="eastAsia" w:ascii="宋体" w:hAnsi="宋体" w:cs="宋体"/>
              </w:rPr>
              <w:t>考核人</w:t>
            </w:r>
          </w:p>
        </w:tc>
        <w:tc>
          <w:tcPr>
            <w:tcW w:w="1247" w:type="dxa"/>
            <w:noWrap w:val="0"/>
            <w:vAlign w:val="center"/>
          </w:tcPr>
          <w:p>
            <w:pPr>
              <w:pStyle w:val="19"/>
              <w:jc w:val="center"/>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559" w:type="dxa"/>
            <w:noWrap w:val="0"/>
            <w:vAlign w:val="center"/>
          </w:tcPr>
          <w:p>
            <w:pPr>
              <w:pStyle w:val="1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513"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出勤情况</w:t>
            </w:r>
          </w:p>
        </w:tc>
        <w:tc>
          <w:tcPr>
            <w:tcW w:w="4095" w:type="dxa"/>
            <w:noWrap w:val="0"/>
            <w:vAlign w:val="center"/>
          </w:tcPr>
          <w:p>
            <w:pPr>
              <w:pStyle w:val="19"/>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服从工作安排，遵章守纪，人员满员，不迟到、早退、脱岗，缺岗每人每次扣</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分</w:t>
            </w:r>
          </w:p>
        </w:tc>
        <w:tc>
          <w:tcPr>
            <w:tcW w:w="753"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37" w:type="dxa"/>
            <w:noWrap w:val="0"/>
            <w:vAlign w:val="center"/>
          </w:tcPr>
          <w:p>
            <w:pPr>
              <w:pStyle w:val="19"/>
              <w:jc w:val="center"/>
              <w:rPr>
                <w:rFonts w:hint="eastAsia" w:ascii="宋体" w:hAnsi="宋体" w:eastAsia="宋体" w:cs="宋体"/>
                <w:sz w:val="18"/>
                <w:szCs w:val="18"/>
              </w:rPr>
            </w:pPr>
          </w:p>
        </w:tc>
        <w:tc>
          <w:tcPr>
            <w:tcW w:w="1033" w:type="dxa"/>
            <w:noWrap w:val="0"/>
            <w:vAlign w:val="center"/>
          </w:tcPr>
          <w:p>
            <w:pPr>
              <w:pStyle w:val="19"/>
              <w:jc w:val="center"/>
              <w:rPr>
                <w:rFonts w:hint="eastAsia" w:ascii="宋体" w:hAnsi="宋体" w:eastAsia="宋体" w:cs="宋体"/>
                <w:sz w:val="18"/>
                <w:szCs w:val="18"/>
              </w:rPr>
            </w:pPr>
          </w:p>
        </w:tc>
        <w:tc>
          <w:tcPr>
            <w:tcW w:w="1247" w:type="dxa"/>
            <w:noWrap w:val="0"/>
            <w:vAlign w:val="center"/>
          </w:tcPr>
          <w:p>
            <w:pPr>
              <w:pStyle w:val="19"/>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59"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513"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工作质量</w:t>
            </w:r>
          </w:p>
        </w:tc>
        <w:tc>
          <w:tcPr>
            <w:tcW w:w="4095" w:type="dxa"/>
            <w:noWrap w:val="0"/>
            <w:vAlign w:val="center"/>
          </w:tcPr>
          <w:p>
            <w:pPr>
              <w:pStyle w:val="19"/>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维保</w:t>
            </w:r>
            <w:r>
              <w:rPr>
                <w:rFonts w:hint="eastAsia" w:ascii="宋体" w:hAnsi="宋体" w:eastAsia="宋体" w:cs="宋体"/>
                <w:sz w:val="18"/>
                <w:szCs w:val="18"/>
                <w:lang w:val="en-US" w:eastAsia="zh-CN"/>
              </w:rPr>
              <w:t>期间做与工作无关的事情，发现一次扣2分</w:t>
            </w:r>
          </w:p>
        </w:tc>
        <w:tc>
          <w:tcPr>
            <w:tcW w:w="753"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37" w:type="dxa"/>
            <w:noWrap w:val="0"/>
            <w:vAlign w:val="center"/>
          </w:tcPr>
          <w:p>
            <w:pPr>
              <w:pStyle w:val="19"/>
              <w:jc w:val="center"/>
              <w:rPr>
                <w:rFonts w:hint="eastAsia" w:ascii="宋体" w:hAnsi="宋体" w:eastAsia="宋体" w:cs="宋体"/>
                <w:sz w:val="18"/>
                <w:szCs w:val="18"/>
              </w:rPr>
            </w:pPr>
          </w:p>
        </w:tc>
        <w:tc>
          <w:tcPr>
            <w:tcW w:w="1033" w:type="dxa"/>
            <w:noWrap w:val="0"/>
            <w:vAlign w:val="center"/>
          </w:tcPr>
          <w:p>
            <w:pPr>
              <w:pStyle w:val="19"/>
              <w:jc w:val="center"/>
              <w:rPr>
                <w:rFonts w:hint="eastAsia" w:ascii="宋体" w:hAnsi="宋体" w:eastAsia="宋体" w:cs="宋体"/>
                <w:sz w:val="18"/>
                <w:szCs w:val="18"/>
              </w:rPr>
            </w:pPr>
          </w:p>
        </w:tc>
        <w:tc>
          <w:tcPr>
            <w:tcW w:w="1247" w:type="dxa"/>
            <w:noWrap w:val="0"/>
            <w:vAlign w:val="center"/>
          </w:tcPr>
          <w:p>
            <w:pPr>
              <w:pStyle w:val="19"/>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59"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513"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工作记录</w:t>
            </w:r>
          </w:p>
        </w:tc>
        <w:tc>
          <w:tcPr>
            <w:tcW w:w="4095" w:type="dxa"/>
            <w:noWrap w:val="0"/>
            <w:vAlign w:val="center"/>
          </w:tcPr>
          <w:p>
            <w:pPr>
              <w:pStyle w:val="19"/>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工作</w:t>
            </w:r>
            <w:r>
              <w:rPr>
                <w:rFonts w:hint="eastAsia" w:ascii="宋体" w:hAnsi="宋体" w:eastAsia="宋体" w:cs="宋体"/>
                <w:sz w:val="18"/>
                <w:szCs w:val="18"/>
                <w:lang w:val="en-US" w:eastAsia="zh-CN"/>
              </w:rPr>
              <w:t>记录、设备运行检查记录、交接班记录等，缺失记录的，发现一次扣3分</w:t>
            </w:r>
          </w:p>
        </w:tc>
        <w:tc>
          <w:tcPr>
            <w:tcW w:w="753"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837" w:type="dxa"/>
            <w:noWrap w:val="0"/>
            <w:vAlign w:val="center"/>
          </w:tcPr>
          <w:p>
            <w:pPr>
              <w:pStyle w:val="19"/>
              <w:jc w:val="center"/>
              <w:rPr>
                <w:rFonts w:hint="eastAsia" w:ascii="宋体" w:hAnsi="宋体" w:eastAsia="宋体" w:cs="宋体"/>
                <w:sz w:val="18"/>
                <w:szCs w:val="18"/>
              </w:rPr>
            </w:pPr>
          </w:p>
        </w:tc>
        <w:tc>
          <w:tcPr>
            <w:tcW w:w="1033" w:type="dxa"/>
            <w:noWrap w:val="0"/>
            <w:vAlign w:val="center"/>
          </w:tcPr>
          <w:p>
            <w:pPr>
              <w:pStyle w:val="19"/>
              <w:jc w:val="center"/>
              <w:rPr>
                <w:rFonts w:hint="eastAsia" w:ascii="宋体" w:hAnsi="宋体" w:eastAsia="宋体" w:cs="宋体"/>
                <w:sz w:val="18"/>
                <w:szCs w:val="18"/>
              </w:rPr>
            </w:pPr>
          </w:p>
        </w:tc>
        <w:tc>
          <w:tcPr>
            <w:tcW w:w="1247" w:type="dxa"/>
            <w:noWrap w:val="0"/>
            <w:vAlign w:val="center"/>
          </w:tcPr>
          <w:p>
            <w:pPr>
              <w:pStyle w:val="19"/>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19"/>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1513" w:type="dxa"/>
            <w:noWrap w:val="0"/>
            <w:vAlign w:val="center"/>
          </w:tcPr>
          <w:p>
            <w:pPr>
              <w:pStyle w:val="19"/>
              <w:jc w:val="center"/>
              <w:rPr>
                <w:rFonts w:hint="eastAsia" w:ascii="宋体" w:hAnsi="宋体" w:cs="宋体"/>
                <w:sz w:val="18"/>
                <w:szCs w:val="18"/>
              </w:rPr>
            </w:pPr>
            <w:r>
              <w:rPr>
                <w:rFonts w:hint="eastAsia" w:ascii="宋体" w:hAnsi="宋体" w:cs="宋体"/>
                <w:sz w:val="18"/>
                <w:szCs w:val="18"/>
              </w:rPr>
              <w:t>各类服务开始</w:t>
            </w:r>
          </w:p>
          <w:p>
            <w:pPr>
              <w:pStyle w:val="19"/>
              <w:jc w:val="center"/>
              <w:rPr>
                <w:rFonts w:hint="eastAsia" w:ascii="宋体" w:hAnsi="宋体" w:cs="宋体"/>
                <w:sz w:val="18"/>
                <w:szCs w:val="18"/>
              </w:rPr>
            </w:pPr>
            <w:r>
              <w:rPr>
                <w:rFonts w:hint="eastAsia" w:ascii="宋体" w:hAnsi="宋体" w:cs="宋体"/>
                <w:sz w:val="18"/>
                <w:szCs w:val="18"/>
              </w:rPr>
              <w:t>前与结束后报</w:t>
            </w:r>
          </w:p>
          <w:p>
            <w:pPr>
              <w:pStyle w:val="19"/>
              <w:jc w:val="center"/>
              <w:rPr>
                <w:rFonts w:hint="eastAsia" w:ascii="宋体" w:hAnsi="宋体" w:cs="宋体"/>
                <w:sz w:val="18"/>
                <w:szCs w:val="18"/>
              </w:rPr>
            </w:pPr>
            <w:r>
              <w:rPr>
                <w:rFonts w:hint="eastAsia" w:ascii="宋体" w:hAnsi="宋体" w:cs="宋体"/>
                <w:sz w:val="18"/>
                <w:szCs w:val="18"/>
              </w:rPr>
              <w:t>备登记</w:t>
            </w:r>
          </w:p>
        </w:tc>
        <w:tc>
          <w:tcPr>
            <w:tcW w:w="4095" w:type="dxa"/>
            <w:noWrap w:val="0"/>
            <w:vAlign w:val="center"/>
          </w:tcPr>
          <w:p>
            <w:pPr>
              <w:pStyle w:val="19"/>
              <w:jc w:val="left"/>
              <w:rPr>
                <w:rFonts w:hint="eastAsia" w:ascii="宋体" w:hAnsi="宋体" w:cs="宋体"/>
                <w:sz w:val="18"/>
                <w:szCs w:val="18"/>
              </w:rPr>
            </w:pPr>
            <w:r>
              <w:rPr>
                <w:rFonts w:hint="eastAsia" w:ascii="宋体" w:hAnsi="宋体" w:cs="宋体"/>
                <w:sz w:val="18"/>
                <w:szCs w:val="18"/>
              </w:rPr>
              <w:t>未按要求在各类服务开始前与结束后进行报备登记，每发生一次扣2分。</w:t>
            </w:r>
          </w:p>
        </w:tc>
        <w:tc>
          <w:tcPr>
            <w:tcW w:w="753"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837" w:type="dxa"/>
            <w:noWrap w:val="0"/>
            <w:vAlign w:val="center"/>
          </w:tcPr>
          <w:p>
            <w:pPr>
              <w:pStyle w:val="19"/>
              <w:jc w:val="center"/>
              <w:rPr>
                <w:rFonts w:hint="eastAsia" w:ascii="宋体" w:hAnsi="宋体" w:cs="宋体"/>
                <w:sz w:val="18"/>
                <w:szCs w:val="18"/>
              </w:rPr>
            </w:pPr>
          </w:p>
        </w:tc>
        <w:tc>
          <w:tcPr>
            <w:tcW w:w="1033" w:type="dxa"/>
            <w:noWrap w:val="0"/>
            <w:vAlign w:val="center"/>
          </w:tcPr>
          <w:p>
            <w:pPr>
              <w:pStyle w:val="19"/>
              <w:jc w:val="center"/>
              <w:rPr>
                <w:rFonts w:hint="eastAsia" w:ascii="宋体" w:hAnsi="宋体" w:cs="宋体"/>
                <w:sz w:val="18"/>
                <w:szCs w:val="18"/>
              </w:rPr>
            </w:pPr>
          </w:p>
        </w:tc>
        <w:tc>
          <w:tcPr>
            <w:tcW w:w="1247" w:type="dxa"/>
            <w:noWrap w:val="0"/>
            <w:vAlign w:val="center"/>
          </w:tcPr>
          <w:p>
            <w:pPr>
              <w:pStyle w:val="19"/>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59" w:type="dxa"/>
            <w:noWrap w:val="0"/>
            <w:vAlign w:val="center"/>
          </w:tcPr>
          <w:p>
            <w:pPr>
              <w:pStyle w:val="19"/>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1513" w:type="dxa"/>
            <w:noWrap w:val="0"/>
            <w:vAlign w:val="center"/>
          </w:tcPr>
          <w:p>
            <w:pPr>
              <w:pStyle w:val="19"/>
              <w:jc w:val="center"/>
              <w:rPr>
                <w:rFonts w:hint="eastAsia" w:ascii="宋体" w:hAnsi="宋体" w:cs="宋体"/>
                <w:sz w:val="18"/>
                <w:szCs w:val="18"/>
              </w:rPr>
            </w:pPr>
            <w:r>
              <w:rPr>
                <w:rFonts w:hint="eastAsia" w:ascii="宋体" w:hAnsi="宋体" w:cs="宋体"/>
                <w:sz w:val="18"/>
                <w:szCs w:val="18"/>
              </w:rPr>
              <w:t>服务人员仪表</w:t>
            </w:r>
          </w:p>
          <w:p>
            <w:pPr>
              <w:pStyle w:val="19"/>
              <w:jc w:val="center"/>
              <w:rPr>
                <w:rFonts w:hint="eastAsia" w:ascii="宋体" w:hAnsi="宋体" w:cs="宋体"/>
                <w:sz w:val="18"/>
                <w:szCs w:val="18"/>
              </w:rPr>
            </w:pPr>
            <w:r>
              <w:rPr>
                <w:rFonts w:hint="eastAsia" w:ascii="宋体" w:hAnsi="宋体" w:cs="宋体"/>
                <w:sz w:val="18"/>
                <w:szCs w:val="18"/>
              </w:rPr>
              <w:t>仪容</w:t>
            </w:r>
          </w:p>
        </w:tc>
        <w:tc>
          <w:tcPr>
            <w:tcW w:w="4095" w:type="dxa"/>
            <w:noWrap w:val="0"/>
            <w:vAlign w:val="center"/>
          </w:tcPr>
          <w:p>
            <w:pPr>
              <w:pStyle w:val="19"/>
              <w:jc w:val="left"/>
              <w:rPr>
                <w:rFonts w:hint="eastAsia" w:ascii="宋体" w:hAnsi="宋体" w:cs="宋体"/>
                <w:sz w:val="18"/>
                <w:szCs w:val="18"/>
              </w:rPr>
            </w:pPr>
            <w:r>
              <w:rPr>
                <w:rFonts w:hint="eastAsia" w:ascii="宋体" w:hAnsi="宋体" w:cs="宋体"/>
                <w:sz w:val="18"/>
                <w:szCs w:val="18"/>
              </w:rPr>
              <w:t>服务人员需穿统一工作服或佩戴统一工作牌，未按要求执行，每发生一次扣2分。</w:t>
            </w:r>
          </w:p>
        </w:tc>
        <w:tc>
          <w:tcPr>
            <w:tcW w:w="753"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837" w:type="dxa"/>
            <w:noWrap w:val="0"/>
            <w:vAlign w:val="center"/>
          </w:tcPr>
          <w:p>
            <w:pPr>
              <w:pStyle w:val="19"/>
              <w:jc w:val="center"/>
              <w:rPr>
                <w:rFonts w:hint="eastAsia" w:ascii="宋体" w:hAnsi="宋体" w:cs="宋体"/>
                <w:sz w:val="18"/>
                <w:szCs w:val="18"/>
              </w:rPr>
            </w:pPr>
          </w:p>
        </w:tc>
        <w:tc>
          <w:tcPr>
            <w:tcW w:w="1033" w:type="dxa"/>
            <w:noWrap w:val="0"/>
            <w:vAlign w:val="center"/>
          </w:tcPr>
          <w:p>
            <w:pPr>
              <w:pStyle w:val="19"/>
              <w:jc w:val="center"/>
              <w:rPr>
                <w:rFonts w:hint="eastAsia" w:ascii="宋体" w:hAnsi="宋体" w:cs="宋体"/>
                <w:sz w:val="18"/>
                <w:szCs w:val="18"/>
              </w:rPr>
            </w:pPr>
          </w:p>
        </w:tc>
        <w:tc>
          <w:tcPr>
            <w:tcW w:w="1247" w:type="dxa"/>
            <w:noWrap w:val="0"/>
            <w:vAlign w:val="center"/>
          </w:tcPr>
          <w:p>
            <w:pPr>
              <w:pStyle w:val="19"/>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19"/>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1513" w:type="dxa"/>
            <w:noWrap w:val="0"/>
            <w:vAlign w:val="center"/>
          </w:tcPr>
          <w:p>
            <w:pPr>
              <w:pStyle w:val="19"/>
              <w:jc w:val="center"/>
              <w:rPr>
                <w:rFonts w:hint="eastAsia" w:ascii="宋体" w:hAnsi="宋体" w:cs="宋体"/>
                <w:sz w:val="18"/>
                <w:szCs w:val="18"/>
              </w:rPr>
            </w:pPr>
            <w:r>
              <w:rPr>
                <w:rFonts w:hint="eastAsia" w:ascii="宋体" w:hAnsi="宋体" w:cs="宋体"/>
                <w:sz w:val="18"/>
                <w:szCs w:val="18"/>
              </w:rPr>
              <w:t>服务人员配合</w:t>
            </w:r>
          </w:p>
          <w:p>
            <w:pPr>
              <w:pStyle w:val="19"/>
              <w:jc w:val="center"/>
              <w:rPr>
                <w:rFonts w:hint="eastAsia" w:ascii="宋体" w:hAnsi="宋体" w:cs="宋体"/>
                <w:sz w:val="18"/>
                <w:szCs w:val="18"/>
              </w:rPr>
            </w:pPr>
            <w:r>
              <w:rPr>
                <w:rFonts w:hint="eastAsia" w:ascii="宋体" w:hAnsi="宋体" w:cs="宋体"/>
                <w:sz w:val="18"/>
                <w:szCs w:val="18"/>
              </w:rPr>
              <w:t>度</w:t>
            </w:r>
          </w:p>
        </w:tc>
        <w:tc>
          <w:tcPr>
            <w:tcW w:w="4095" w:type="dxa"/>
            <w:noWrap w:val="0"/>
            <w:vAlign w:val="center"/>
          </w:tcPr>
          <w:p>
            <w:pPr>
              <w:pStyle w:val="19"/>
              <w:jc w:val="left"/>
              <w:rPr>
                <w:rFonts w:hint="eastAsia" w:ascii="宋体" w:hAnsi="宋体" w:cs="宋体"/>
                <w:sz w:val="18"/>
                <w:szCs w:val="18"/>
              </w:rPr>
            </w:pPr>
            <w:r>
              <w:rPr>
                <w:rFonts w:hint="eastAsia" w:ascii="宋体" w:hAnsi="宋体" w:cs="宋体"/>
                <w:sz w:val="18"/>
                <w:szCs w:val="18"/>
              </w:rPr>
              <w:t>因突发事件或重大活动或特殊情况需服务人员配合时，未按时配合，每发生一次扣</w:t>
            </w:r>
            <w:r>
              <w:rPr>
                <w:rFonts w:hint="eastAsia" w:ascii="宋体" w:hAnsi="宋体" w:cs="宋体"/>
                <w:sz w:val="18"/>
                <w:szCs w:val="18"/>
                <w:lang w:val="en-US" w:eastAsia="zh-CN"/>
              </w:rPr>
              <w:t>5</w:t>
            </w:r>
            <w:r>
              <w:rPr>
                <w:rFonts w:hint="eastAsia" w:ascii="宋体" w:hAnsi="宋体" w:cs="宋体"/>
                <w:sz w:val="18"/>
                <w:szCs w:val="18"/>
              </w:rPr>
              <w:t>分。</w:t>
            </w:r>
          </w:p>
        </w:tc>
        <w:tc>
          <w:tcPr>
            <w:tcW w:w="753" w:type="dxa"/>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837" w:type="dxa"/>
            <w:noWrap w:val="0"/>
            <w:vAlign w:val="center"/>
          </w:tcPr>
          <w:p>
            <w:pPr>
              <w:pStyle w:val="19"/>
              <w:jc w:val="center"/>
              <w:rPr>
                <w:rFonts w:hint="eastAsia" w:ascii="宋体" w:hAnsi="宋体" w:cs="宋体"/>
                <w:sz w:val="18"/>
                <w:szCs w:val="18"/>
              </w:rPr>
            </w:pPr>
          </w:p>
        </w:tc>
        <w:tc>
          <w:tcPr>
            <w:tcW w:w="1033" w:type="dxa"/>
            <w:noWrap w:val="0"/>
            <w:vAlign w:val="center"/>
          </w:tcPr>
          <w:p>
            <w:pPr>
              <w:pStyle w:val="19"/>
              <w:jc w:val="center"/>
              <w:rPr>
                <w:rFonts w:hint="eastAsia" w:ascii="宋体" w:hAnsi="宋体" w:cs="宋体"/>
                <w:sz w:val="18"/>
                <w:szCs w:val="18"/>
              </w:rPr>
            </w:pPr>
          </w:p>
        </w:tc>
        <w:tc>
          <w:tcPr>
            <w:tcW w:w="1247" w:type="dxa"/>
            <w:noWrap w:val="0"/>
            <w:vAlign w:val="center"/>
          </w:tcPr>
          <w:p>
            <w:pPr>
              <w:pStyle w:val="19"/>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59" w:type="dxa"/>
            <w:noWrap w:val="0"/>
            <w:vAlign w:val="center"/>
          </w:tcPr>
          <w:p>
            <w:pPr>
              <w:pStyle w:val="19"/>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1513" w:type="dxa"/>
            <w:noWrap w:val="0"/>
            <w:vAlign w:val="center"/>
          </w:tcPr>
          <w:p>
            <w:pPr>
              <w:pStyle w:val="19"/>
              <w:jc w:val="center"/>
              <w:rPr>
                <w:rFonts w:hint="eastAsia" w:ascii="宋体" w:hAnsi="宋体" w:cs="宋体"/>
                <w:sz w:val="18"/>
                <w:szCs w:val="18"/>
              </w:rPr>
            </w:pPr>
            <w:r>
              <w:rPr>
                <w:rFonts w:hint="eastAsia" w:ascii="宋体" w:hAnsi="宋体" w:cs="宋体"/>
                <w:sz w:val="18"/>
                <w:szCs w:val="18"/>
              </w:rPr>
              <w:t>服务人员服务</w:t>
            </w:r>
          </w:p>
          <w:p>
            <w:pPr>
              <w:pStyle w:val="19"/>
              <w:jc w:val="center"/>
              <w:rPr>
                <w:rFonts w:hint="eastAsia" w:ascii="宋体" w:hAnsi="宋体" w:cs="宋体"/>
                <w:sz w:val="18"/>
                <w:szCs w:val="18"/>
              </w:rPr>
            </w:pPr>
            <w:r>
              <w:rPr>
                <w:rFonts w:hint="eastAsia" w:ascii="宋体" w:hAnsi="宋体" w:cs="宋体"/>
                <w:sz w:val="18"/>
                <w:szCs w:val="18"/>
              </w:rPr>
              <w:t>态度</w:t>
            </w:r>
          </w:p>
        </w:tc>
        <w:tc>
          <w:tcPr>
            <w:tcW w:w="4095" w:type="dxa"/>
            <w:noWrap w:val="0"/>
            <w:vAlign w:val="center"/>
          </w:tcPr>
          <w:p>
            <w:pPr>
              <w:pStyle w:val="19"/>
              <w:jc w:val="left"/>
              <w:rPr>
                <w:rFonts w:hint="eastAsia" w:ascii="宋体" w:hAnsi="宋体" w:cs="宋体"/>
                <w:sz w:val="18"/>
                <w:szCs w:val="18"/>
              </w:rPr>
            </w:pPr>
            <w:r>
              <w:rPr>
                <w:rFonts w:hint="eastAsia" w:ascii="宋体" w:hAnsi="宋体" w:eastAsia="宋体" w:cs="宋体"/>
                <w:sz w:val="18"/>
                <w:szCs w:val="18"/>
              </w:rPr>
              <w:t>文明礼貌用语，服务认真、热情。服务人员服务态度恶劣，每发生一次扣</w:t>
            </w:r>
            <w:r>
              <w:rPr>
                <w:rFonts w:hint="eastAsia" w:ascii="宋体" w:hAnsi="宋体" w:cs="宋体"/>
                <w:sz w:val="18"/>
                <w:szCs w:val="18"/>
                <w:lang w:val="en-US" w:eastAsia="zh-CN"/>
              </w:rPr>
              <w:t>3</w:t>
            </w:r>
            <w:r>
              <w:rPr>
                <w:rFonts w:hint="eastAsia" w:ascii="宋体" w:hAnsi="宋体" w:eastAsia="宋体" w:cs="宋体"/>
                <w:sz w:val="18"/>
                <w:szCs w:val="18"/>
              </w:rPr>
              <w:t>分。</w:t>
            </w:r>
          </w:p>
        </w:tc>
        <w:tc>
          <w:tcPr>
            <w:tcW w:w="753" w:type="dxa"/>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837" w:type="dxa"/>
            <w:noWrap w:val="0"/>
            <w:vAlign w:val="center"/>
          </w:tcPr>
          <w:p>
            <w:pPr>
              <w:pStyle w:val="19"/>
              <w:jc w:val="center"/>
              <w:rPr>
                <w:rFonts w:hint="eastAsia" w:ascii="宋体" w:hAnsi="宋体" w:cs="宋体"/>
                <w:sz w:val="18"/>
                <w:szCs w:val="18"/>
              </w:rPr>
            </w:pPr>
          </w:p>
        </w:tc>
        <w:tc>
          <w:tcPr>
            <w:tcW w:w="1033" w:type="dxa"/>
            <w:noWrap w:val="0"/>
            <w:vAlign w:val="center"/>
          </w:tcPr>
          <w:p>
            <w:pPr>
              <w:pStyle w:val="19"/>
              <w:jc w:val="center"/>
              <w:rPr>
                <w:rFonts w:hint="eastAsia" w:ascii="宋体" w:hAnsi="宋体" w:cs="宋体"/>
                <w:sz w:val="18"/>
                <w:szCs w:val="18"/>
              </w:rPr>
            </w:pPr>
          </w:p>
        </w:tc>
        <w:tc>
          <w:tcPr>
            <w:tcW w:w="1247" w:type="dxa"/>
            <w:noWrap w:val="0"/>
            <w:vAlign w:val="center"/>
          </w:tcPr>
          <w:p>
            <w:pPr>
              <w:pStyle w:val="19"/>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19"/>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1513" w:type="dxa"/>
            <w:noWrap w:val="0"/>
            <w:vAlign w:val="center"/>
          </w:tcPr>
          <w:p>
            <w:pPr>
              <w:pStyle w:val="19"/>
              <w:jc w:val="center"/>
              <w:rPr>
                <w:rFonts w:hint="eastAsia" w:ascii="宋体" w:hAnsi="宋体" w:eastAsia="宋体" w:cs="宋体"/>
                <w:kern w:val="0"/>
                <w:sz w:val="18"/>
                <w:szCs w:val="18"/>
                <w:lang w:val="en-US" w:eastAsia="zh-CN" w:bidi="ar-SA"/>
              </w:rPr>
            </w:pPr>
            <w:r>
              <w:rPr>
                <w:rFonts w:hint="eastAsia" w:ascii="宋体" w:hAnsi="宋体" w:cs="宋体"/>
                <w:sz w:val="18"/>
                <w:szCs w:val="18"/>
                <w:lang w:val="en-US" w:eastAsia="zh-CN"/>
              </w:rPr>
              <w:t>工作流程</w:t>
            </w:r>
          </w:p>
        </w:tc>
        <w:tc>
          <w:tcPr>
            <w:tcW w:w="4095" w:type="dxa"/>
            <w:noWrap w:val="0"/>
            <w:vAlign w:val="center"/>
          </w:tcPr>
          <w:p>
            <w:pPr>
              <w:pStyle w:val="19"/>
              <w:jc w:val="left"/>
              <w:rPr>
                <w:rFonts w:hint="eastAsia" w:ascii="宋体" w:hAnsi="宋体" w:cs="宋体"/>
                <w:kern w:val="0"/>
                <w:sz w:val="18"/>
                <w:szCs w:val="18"/>
                <w:lang w:val="en-US" w:eastAsia="zh-CN" w:bidi="ar-SA"/>
              </w:rPr>
            </w:pPr>
            <w:r>
              <w:rPr>
                <w:rFonts w:hint="eastAsia" w:ascii="宋体" w:hAnsi="宋体" w:eastAsia="宋体" w:cs="宋体"/>
                <w:sz w:val="18"/>
                <w:szCs w:val="18"/>
                <w:lang w:val="en-US" w:eastAsia="zh-CN"/>
              </w:rPr>
              <w:t>制度、职责、排班明确。未按相关要求执行，每发生一次扣</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分。</w:t>
            </w:r>
          </w:p>
        </w:tc>
        <w:tc>
          <w:tcPr>
            <w:tcW w:w="753" w:type="dxa"/>
            <w:noWrap w:val="0"/>
            <w:vAlign w:val="center"/>
          </w:tcPr>
          <w:p>
            <w:pPr>
              <w:pStyle w:val="19"/>
              <w:jc w:val="center"/>
              <w:rPr>
                <w:rFonts w:hint="default"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10</w:t>
            </w:r>
          </w:p>
        </w:tc>
        <w:tc>
          <w:tcPr>
            <w:tcW w:w="837" w:type="dxa"/>
            <w:noWrap w:val="0"/>
            <w:vAlign w:val="center"/>
          </w:tcPr>
          <w:p>
            <w:pPr>
              <w:pStyle w:val="19"/>
              <w:jc w:val="center"/>
              <w:rPr>
                <w:rFonts w:hint="eastAsia" w:ascii="宋体" w:hAnsi="宋体" w:cs="宋体"/>
                <w:sz w:val="18"/>
                <w:szCs w:val="18"/>
              </w:rPr>
            </w:pPr>
          </w:p>
        </w:tc>
        <w:tc>
          <w:tcPr>
            <w:tcW w:w="1033" w:type="dxa"/>
            <w:noWrap w:val="0"/>
            <w:vAlign w:val="center"/>
          </w:tcPr>
          <w:p>
            <w:pPr>
              <w:pStyle w:val="19"/>
              <w:jc w:val="center"/>
              <w:rPr>
                <w:rFonts w:hint="eastAsia" w:ascii="宋体" w:hAnsi="宋体" w:cs="宋体"/>
                <w:sz w:val="18"/>
                <w:szCs w:val="18"/>
              </w:rPr>
            </w:pPr>
          </w:p>
        </w:tc>
        <w:tc>
          <w:tcPr>
            <w:tcW w:w="1247" w:type="dxa"/>
            <w:noWrap w:val="0"/>
            <w:vAlign w:val="center"/>
          </w:tcPr>
          <w:p>
            <w:pPr>
              <w:pStyle w:val="19"/>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19"/>
              <w:jc w:val="center"/>
              <w:rPr>
                <w:rFonts w:hint="default" w:ascii="宋体" w:hAnsi="宋体" w:cs="宋体"/>
                <w:sz w:val="18"/>
                <w:szCs w:val="18"/>
                <w:lang w:val="en-US" w:eastAsia="zh-CN"/>
              </w:rPr>
            </w:pPr>
            <w:r>
              <w:rPr>
                <w:rFonts w:hint="eastAsia" w:ascii="宋体" w:hAnsi="宋体" w:cs="宋体"/>
                <w:sz w:val="18"/>
                <w:szCs w:val="18"/>
                <w:lang w:val="en-US" w:eastAsia="zh-CN"/>
              </w:rPr>
              <w:t>9</w:t>
            </w:r>
          </w:p>
        </w:tc>
        <w:tc>
          <w:tcPr>
            <w:tcW w:w="1513" w:type="dxa"/>
            <w:noWrap w:val="0"/>
            <w:vAlign w:val="center"/>
          </w:tcPr>
          <w:p>
            <w:pPr>
              <w:pStyle w:val="19"/>
              <w:jc w:val="center"/>
              <w:rPr>
                <w:rFonts w:hint="eastAsia" w:ascii="宋体" w:hAnsi="宋体" w:cs="宋体"/>
                <w:kern w:val="0"/>
                <w:sz w:val="18"/>
                <w:szCs w:val="18"/>
                <w:lang w:val="en-US" w:eastAsia="zh-CN" w:bidi="ar-SA"/>
              </w:rPr>
            </w:pPr>
            <w:r>
              <w:rPr>
                <w:rFonts w:hint="eastAsia" w:ascii="宋体" w:hAnsi="宋体" w:cs="宋体"/>
                <w:sz w:val="18"/>
                <w:szCs w:val="18"/>
              </w:rPr>
              <w:t>投诉率</w:t>
            </w:r>
          </w:p>
        </w:tc>
        <w:tc>
          <w:tcPr>
            <w:tcW w:w="4095" w:type="dxa"/>
            <w:noWrap w:val="0"/>
            <w:vAlign w:val="center"/>
          </w:tcPr>
          <w:p>
            <w:pPr>
              <w:pStyle w:val="19"/>
              <w:jc w:val="left"/>
              <w:rPr>
                <w:rFonts w:hint="eastAsia" w:ascii="宋体" w:hAnsi="宋体" w:cs="宋体"/>
                <w:kern w:val="0"/>
                <w:sz w:val="18"/>
                <w:szCs w:val="18"/>
                <w:lang w:val="en-US" w:eastAsia="zh-CN" w:bidi="ar-SA"/>
              </w:rPr>
            </w:pPr>
            <w:r>
              <w:rPr>
                <w:rFonts w:hint="eastAsia" w:ascii="宋体" w:hAnsi="宋体" w:cs="宋体"/>
                <w:sz w:val="18"/>
                <w:szCs w:val="18"/>
              </w:rPr>
              <w:t>因设备</w:t>
            </w:r>
            <w:r>
              <w:rPr>
                <w:rFonts w:hint="eastAsia" w:ascii="宋体" w:hAnsi="宋体" w:cs="宋体"/>
                <w:sz w:val="18"/>
                <w:szCs w:val="18"/>
                <w:lang w:val="en-US" w:eastAsia="zh-CN"/>
              </w:rPr>
              <w:t>运行</w:t>
            </w:r>
            <w:r>
              <w:rPr>
                <w:rFonts w:hint="eastAsia" w:ascii="宋体" w:hAnsi="宋体" w:cs="宋体"/>
                <w:sz w:val="18"/>
                <w:szCs w:val="18"/>
              </w:rPr>
              <w:t>原因故障造成的投诉，每发生一次扣</w:t>
            </w:r>
            <w:r>
              <w:rPr>
                <w:rFonts w:hint="eastAsia" w:ascii="宋体" w:hAnsi="宋体" w:cs="宋体"/>
                <w:sz w:val="18"/>
                <w:szCs w:val="18"/>
                <w:lang w:val="en-US" w:eastAsia="zh-CN"/>
              </w:rPr>
              <w:t>5</w:t>
            </w:r>
            <w:r>
              <w:rPr>
                <w:rFonts w:hint="eastAsia" w:ascii="宋体" w:hAnsi="宋体" w:cs="宋体"/>
                <w:sz w:val="18"/>
                <w:szCs w:val="18"/>
              </w:rPr>
              <w:t>分。</w:t>
            </w:r>
          </w:p>
        </w:tc>
        <w:tc>
          <w:tcPr>
            <w:tcW w:w="753"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15</w:t>
            </w:r>
          </w:p>
        </w:tc>
        <w:tc>
          <w:tcPr>
            <w:tcW w:w="837" w:type="dxa"/>
            <w:noWrap w:val="0"/>
            <w:vAlign w:val="center"/>
          </w:tcPr>
          <w:p>
            <w:pPr>
              <w:pStyle w:val="19"/>
              <w:jc w:val="center"/>
              <w:rPr>
                <w:rFonts w:hint="eastAsia" w:ascii="宋体" w:hAnsi="宋体" w:cs="宋体"/>
                <w:sz w:val="18"/>
                <w:szCs w:val="18"/>
              </w:rPr>
            </w:pPr>
          </w:p>
        </w:tc>
        <w:tc>
          <w:tcPr>
            <w:tcW w:w="1033" w:type="dxa"/>
            <w:noWrap w:val="0"/>
            <w:vAlign w:val="center"/>
          </w:tcPr>
          <w:p>
            <w:pPr>
              <w:pStyle w:val="19"/>
              <w:jc w:val="center"/>
              <w:rPr>
                <w:rFonts w:hint="eastAsia" w:ascii="宋体" w:hAnsi="宋体" w:cs="宋体"/>
                <w:sz w:val="18"/>
                <w:szCs w:val="18"/>
              </w:rPr>
            </w:pPr>
          </w:p>
        </w:tc>
        <w:tc>
          <w:tcPr>
            <w:tcW w:w="1247" w:type="dxa"/>
            <w:noWrap w:val="0"/>
            <w:vAlign w:val="center"/>
          </w:tcPr>
          <w:p>
            <w:pPr>
              <w:pStyle w:val="19"/>
              <w:jc w:val="center"/>
              <w:rPr>
                <w:rFonts w:hint="eastAsia" w:ascii="宋体" w:hAnsi="宋体" w:cs="宋体"/>
                <w:sz w:val="18"/>
                <w:szCs w:val="18"/>
              </w:rPr>
            </w:pPr>
          </w:p>
        </w:tc>
      </w:tr>
    </w:tbl>
    <w:p>
      <w:pPr>
        <w:rPr>
          <w:vanish/>
        </w:rPr>
      </w:pPr>
    </w:p>
    <w:tbl>
      <w:tblPr>
        <w:tblStyle w:val="51"/>
        <w:tblpPr w:leftFromText="180" w:rightFromText="180" w:vertAnchor="text" w:tblpX="1" w:tblpY="1"/>
        <w:tblOverlap w:val="never"/>
        <w:tblW w:w="10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288"/>
        <w:gridCol w:w="1472"/>
        <w:gridCol w:w="5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总得分：</w:t>
            </w:r>
          </w:p>
        </w:tc>
        <w:tc>
          <w:tcPr>
            <w:tcW w:w="8380" w:type="dxa"/>
            <w:gridSpan w:val="3"/>
            <w:tcBorders>
              <w:top w:val="single" w:color="auto" w:sz="4" w:space="0"/>
              <w:left w:val="single" w:color="auto" w:sz="4" w:space="0"/>
              <w:bottom w:val="single" w:color="auto" w:sz="4" w:space="0"/>
              <w:right w:val="single" w:color="auto" w:sz="4" w:space="0"/>
            </w:tcBorders>
            <w:noWrap w:val="0"/>
            <w:vAlign w:val="center"/>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等级：</w:t>
            </w:r>
          </w:p>
        </w:tc>
        <w:tc>
          <w:tcPr>
            <w:tcW w:w="8380" w:type="dxa"/>
            <w:gridSpan w:val="3"/>
            <w:tcBorders>
              <w:top w:val="single" w:color="auto" w:sz="4" w:space="0"/>
              <w:left w:val="single" w:color="auto" w:sz="4" w:space="0"/>
              <w:bottom w:val="single" w:color="auto" w:sz="4" w:space="0"/>
              <w:right w:val="single" w:color="auto" w:sz="4" w:space="0"/>
            </w:tcBorders>
            <w:noWrap w:val="0"/>
            <w:vAlign w:val="center"/>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lang w:bidi="ar"/>
              </w:rPr>
            </w:pPr>
            <w:r>
              <w:rPr>
                <w:rFonts w:hint="eastAsia" w:ascii="宋体" w:hAnsi="宋体" w:cs="宋体"/>
                <w:color w:val="000000"/>
                <w:kern w:val="0"/>
              </w:rPr>
              <w:t>等级</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得分范围</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评价</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A</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90-100</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优秀</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可靠的供应商，继续建立合作伙伴关系。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B</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80-89</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良好</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合格供应商，需针对“主要问题”一周内做出改善措施并书面回复采购人。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C</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70-79</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及格</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及格供应商，但扣除服务费的10%，需针对“主要问题”一周内做出改善措施并书面回复采购人。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D</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69及以下</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不及格</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lang w:bidi="ar"/>
              </w:rPr>
            </w:pPr>
            <w:r>
              <w:rPr>
                <w:rFonts w:hint="eastAsia" w:ascii="宋体" w:hAnsi="宋体" w:cs="宋体"/>
                <w:color w:val="000000"/>
                <w:kern w:val="0"/>
                <w:lang w:bidi="ar"/>
              </w:rPr>
              <w:t>不合格供应商，履约保证金不与退还，</w:t>
            </w:r>
            <w:r>
              <w:rPr>
                <w:rFonts w:hint="eastAsia" w:ascii="宋体" w:hAnsi="宋体" w:cs="宋体"/>
                <w:color w:val="auto"/>
                <w:kern w:val="0"/>
                <w:lang w:val="en-US" w:eastAsia="zh-CN" w:bidi="ar"/>
              </w:rPr>
              <w:t>当月</w:t>
            </w:r>
            <w:r>
              <w:rPr>
                <w:rFonts w:hint="eastAsia" w:ascii="宋体" w:hAnsi="宋体" w:cs="宋体"/>
                <w:color w:val="auto"/>
                <w:kern w:val="0"/>
                <w:lang w:bidi="ar"/>
              </w:rPr>
              <w:t>服</w:t>
            </w:r>
            <w:r>
              <w:rPr>
                <w:rFonts w:hint="eastAsia" w:ascii="宋体" w:hAnsi="宋体" w:cs="宋体"/>
                <w:color w:val="000000"/>
                <w:kern w:val="0"/>
                <w:lang w:bidi="ar"/>
              </w:rPr>
              <w:t>务费不支付。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4" w:type="dxa"/>
            <w:gridSpan w:val="4"/>
            <w:tcBorders>
              <w:top w:val="single" w:color="auto" w:sz="4" w:space="0"/>
              <w:left w:val="single" w:color="auto" w:sz="4" w:space="0"/>
              <w:bottom w:val="single" w:color="auto" w:sz="4" w:space="0"/>
              <w:right w:val="single" w:color="auto" w:sz="4" w:space="0"/>
            </w:tcBorders>
            <w:noWrap w:val="0"/>
            <w:vAlign w:val="center"/>
          </w:tcPr>
          <w:p>
            <w:pPr>
              <w:pStyle w:val="87"/>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b/>
                <w:bCs/>
                <w:color w:val="auto"/>
                <w:lang w:val="en-US" w:eastAsia="zh-CN"/>
              </w:rPr>
            </w:pPr>
            <w:r>
              <w:rPr>
                <w:rFonts w:hint="eastAsia"/>
              </w:rPr>
              <w:t>说明：</w:t>
            </w:r>
            <w:r>
              <w:rPr>
                <w:rFonts w:hint="eastAsia"/>
                <w:b/>
                <w:bCs/>
                <w:color w:val="auto"/>
                <w:lang w:val="en-US" w:eastAsia="zh-CN"/>
              </w:rPr>
              <w:t>乙方在合同期内履约情况优秀（根据每月考核结果，即年度平均考核得分≥90分），则在第一年合同期满时，且甲、乙双方愿意，乙方承诺不增加服务费用的前提下，双方可续签下一年度合同，但最多续签两次。如乙方在合同期内年度综合考核得分</w:t>
            </w:r>
            <w:r>
              <w:rPr>
                <w:rFonts w:hint="eastAsia" w:ascii="宋体" w:hAnsi="宋体" w:cs="宋体"/>
                <w:b/>
                <w:bCs/>
                <w:color w:val="auto"/>
                <w:sz w:val="24"/>
                <w:szCs w:val="24"/>
              </w:rPr>
              <w:t>＜90</w:t>
            </w:r>
            <w:r>
              <w:rPr>
                <w:rFonts w:hint="eastAsia"/>
                <w:b/>
                <w:bCs/>
                <w:color w:val="auto"/>
                <w:lang w:val="en-US" w:eastAsia="zh-CN"/>
              </w:rPr>
              <w:t>分，则甲方不再与乙方续签合同，重新招标。</w:t>
            </w:r>
          </w:p>
          <w:p>
            <w:pPr>
              <w:widowControl/>
              <w:jc w:val="left"/>
              <w:rPr>
                <w:rFonts w:hint="eastAsia" w:ascii="宋体" w:hAnsi="宋体" w:cs="宋体"/>
                <w:color w:val="000000"/>
                <w:kern w:val="0"/>
                <w:lang w:bidi="ar"/>
              </w:rPr>
            </w:pPr>
          </w:p>
        </w:tc>
      </w:tr>
    </w:tbl>
    <w:p>
      <w:pPr>
        <w:widowControl/>
        <w:jc w:val="center"/>
        <w:rPr>
          <w:rFonts w:ascii="宋体" w:hAnsi="宋体" w:cs="宋体"/>
          <w:b/>
          <w:color w:val="000000"/>
          <w:w w:val="80"/>
          <w:sz w:val="44"/>
          <w:szCs w:val="44"/>
        </w:rPr>
      </w:pPr>
      <w:r>
        <w:rPr>
          <w:rFonts w:hint="eastAsia" w:ascii="宋体" w:hAnsi="宋体" w:cs="宋体"/>
          <w:b/>
          <w:color w:val="000000"/>
          <w:w w:val="80"/>
          <w:sz w:val="44"/>
          <w:szCs w:val="44"/>
        </w:rPr>
        <w:br w:type="page"/>
      </w:r>
      <w:r>
        <w:rPr>
          <w:rFonts w:hint="eastAsia" w:ascii="宋体" w:hAnsi="宋体" w:cs="宋体"/>
          <w:b/>
          <w:color w:val="000000"/>
          <w:w w:val="80"/>
          <w:sz w:val="44"/>
          <w:szCs w:val="44"/>
        </w:rPr>
        <w:t>第六章   合同授予</w:t>
      </w:r>
    </w:p>
    <w:p>
      <w:pPr>
        <w:snapToGrid w:val="0"/>
        <w:spacing w:line="520" w:lineRule="exact"/>
        <w:ind w:firstLine="484" w:firstLineChars="202"/>
        <w:textAlignment w:val="baseline"/>
        <w:rPr>
          <w:rFonts w:ascii="宋体" w:hAnsi="宋体" w:cs="宋体"/>
          <w:color w:val="000000"/>
          <w:sz w:val="24"/>
          <w:szCs w:val="24"/>
        </w:rPr>
      </w:pP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一、由于项目服务时间紧迫，成交供应商在《成交通知书》发出后15日内必须按照磋商文件确定的事项签订采购合同。合同一式肆份，采购人，供应商</w:t>
      </w:r>
      <w:r>
        <w:rPr>
          <w:rFonts w:hint="eastAsia" w:ascii="宋体" w:hAnsi="宋体"/>
          <w:sz w:val="24"/>
          <w:szCs w:val="24"/>
        </w:rPr>
        <w:t>各贰份，其他存档备查。</w:t>
      </w:r>
      <w:r>
        <w:rPr>
          <w:rFonts w:hint="eastAsia" w:ascii="宋体" w:hAnsi="宋体" w:cs="宋体"/>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二、采购人按合同约定积极配合</w:t>
      </w:r>
      <w:r>
        <w:rPr>
          <w:rFonts w:hint="eastAsia" w:ascii="宋体" w:hAnsi="宋体" w:cs="宋体"/>
          <w:color w:val="000000"/>
          <w:sz w:val="24"/>
        </w:rPr>
        <w:t>成交供应商</w:t>
      </w:r>
      <w:r>
        <w:rPr>
          <w:rFonts w:hint="eastAsia" w:ascii="宋体" w:hAnsi="宋体" w:cs="宋体"/>
          <w:sz w:val="24"/>
          <w:szCs w:val="24"/>
        </w:rPr>
        <w:t>履约，</w:t>
      </w:r>
      <w:r>
        <w:rPr>
          <w:rFonts w:hint="eastAsia" w:ascii="宋体" w:hAnsi="宋体" w:cs="宋体"/>
          <w:color w:val="000000"/>
          <w:sz w:val="24"/>
        </w:rPr>
        <w:t>成交供应商</w:t>
      </w:r>
      <w:r>
        <w:rPr>
          <w:rFonts w:hint="eastAsia" w:ascii="宋体" w:hAnsi="宋体" w:cs="宋体"/>
          <w:sz w:val="24"/>
          <w:szCs w:val="24"/>
        </w:rPr>
        <w:t>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三、采购人故意推迟项目验收时间的，与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rPr>
          <w:rFonts w:ascii="宋体" w:hAnsi="宋体" w:cs="宋体"/>
          <w:b/>
          <w:bCs/>
          <w:kern w:val="44"/>
          <w:sz w:val="44"/>
          <w:szCs w:val="44"/>
        </w:rPr>
      </w:pPr>
    </w:p>
    <w:p>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w:t>
      </w:r>
      <w:r>
        <w:rPr>
          <w:rFonts w:ascii="宋体" w:hAnsi="宋体" w:cs="宋体"/>
          <w:b/>
          <w:bCs/>
          <w:kern w:val="44"/>
          <w:sz w:val="44"/>
          <w:szCs w:val="44"/>
        </w:rPr>
        <w:t xml:space="preserve"> </w:t>
      </w:r>
      <w:r>
        <w:rPr>
          <w:rFonts w:hint="eastAsia" w:ascii="宋体" w:hAnsi="宋体" w:cs="宋体"/>
          <w:b/>
          <w:bCs/>
          <w:kern w:val="44"/>
          <w:sz w:val="44"/>
          <w:szCs w:val="44"/>
        </w:rPr>
        <w:t>质疑提出和处理</w:t>
      </w:r>
    </w:p>
    <w:p>
      <w:pPr>
        <w:adjustRightInd w:val="0"/>
        <w:snapToGrid w:val="0"/>
        <w:spacing w:line="480" w:lineRule="exact"/>
        <w:ind w:firstLine="480" w:firstLineChars="200"/>
        <w:rPr>
          <w:rFonts w:ascii="宋体" w:hAnsi="宋体" w:cs="宋体"/>
          <w:sz w:val="24"/>
          <w:szCs w:val="24"/>
        </w:rPr>
      </w:pP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六、《质疑函》、《质疑回复函》，质疑、举报、投诉不成立的等相关情况，视情在南通公共资源交易平台、省、国家级等相关媒体予以披露。并建议相关政府采购机构对该供应商同步实施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pPr>
        <w:pStyle w:val="5"/>
        <w:keepNext w:val="0"/>
        <w:keepLines w:val="0"/>
        <w:numPr>
          <w:ilvl w:val="0"/>
          <w:numId w:val="0"/>
        </w:numPr>
        <w:snapToGrid w:val="0"/>
        <w:spacing w:before="0" w:after="156" w:afterLines="50" w:line="520" w:lineRule="exact"/>
        <w:ind w:left="420"/>
        <w:jc w:val="center"/>
        <w:rPr>
          <w:rFonts w:ascii="宋体"/>
        </w:rPr>
      </w:pPr>
      <w:bookmarkStart w:id="78" w:name="_Toc363573860"/>
      <w:r>
        <w:rPr>
          <w:rFonts w:ascii="宋体"/>
          <w:w w:val="80"/>
          <w:sz w:val="24"/>
          <w:szCs w:val="24"/>
        </w:rPr>
        <w:br w:type="page"/>
      </w:r>
      <w:r>
        <w:rPr>
          <w:rFonts w:hint="eastAsia" w:ascii="宋体" w:hAnsi="宋体" w:cs="宋体"/>
          <w:w w:val="80"/>
        </w:rPr>
        <w:t>第八章</w:t>
      </w:r>
      <w:r>
        <w:rPr>
          <w:rFonts w:hint="eastAsia" w:ascii="宋体" w:hAnsi="宋体" w:cs="宋体"/>
          <w:w w:val="80"/>
          <w:lang w:val="en-US" w:eastAsia="zh-CN"/>
        </w:rPr>
        <w:t xml:space="preserve"> </w:t>
      </w:r>
      <w:r>
        <w:rPr>
          <w:rFonts w:hint="eastAsia" w:ascii="宋体" w:hAnsi="宋体" w:cs="宋体"/>
          <w:w w:val="80"/>
        </w:rPr>
        <w:t>响应文件组成及格式</w:t>
      </w:r>
      <w:bookmarkEnd w:id="78"/>
    </w:p>
    <w:p>
      <w:pPr>
        <w:widowControl/>
        <w:snapToGrid w:val="0"/>
        <w:spacing w:line="360" w:lineRule="auto"/>
        <w:ind w:firstLine="472" w:firstLineChars="196"/>
        <w:jc w:val="left"/>
        <w:rPr>
          <w:rFonts w:ascii="宋体" w:hAnsi="宋体" w:cs="宋体"/>
          <w:b/>
          <w:bCs/>
          <w:sz w:val="24"/>
          <w:szCs w:val="24"/>
        </w:rPr>
      </w:pP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19"/>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numPr>
          <w:ilvl w:val="0"/>
          <w:numId w:val="20"/>
        </w:numPr>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供应商必须有能力按本磋商文件规定的要求提供相关服务，须提供有效的三证合一的企业法人营业执照复印件或扫描件。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2、 提供供应商的法定代表人或负责人身份证明及身份证原件的复印件或扫描件（须加盖供应商公章，格式参见竞争性磋商文件第八章）；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hint="eastAsia"/>
        </w:rPr>
      </w:pPr>
      <w:r>
        <w:rPr>
          <w:rFonts w:hint="eastAsia" w:ascii="宋体" w:hAnsi="宋体" w:cs="宋体"/>
          <w:sz w:val="24"/>
          <w:szCs w:val="24"/>
        </w:rPr>
        <w:t>4、</w:t>
      </w:r>
      <w:r>
        <w:rPr>
          <w:rFonts w:hint="eastAsia" w:ascii="宋体" w:hAnsi="宋体" w:cs="宋体"/>
          <w:sz w:val="24"/>
          <w:szCs w:val="24"/>
          <w:lang w:val="en-US" w:eastAsia="zh-CN"/>
        </w:rPr>
        <w:t>供应商须拟派</w:t>
      </w:r>
      <w:r>
        <w:rPr>
          <w:rFonts w:hint="eastAsia" w:ascii="宋体" w:hAnsi="宋体" w:cs="宋体"/>
          <w:sz w:val="24"/>
          <w:szCs w:val="24"/>
        </w:rPr>
        <w:t>服务人员须为供应商的正式员工</w:t>
      </w:r>
      <w:r>
        <w:rPr>
          <w:rFonts w:hint="eastAsia" w:ascii="宋体" w:hAnsi="宋体" w:cs="宋体"/>
          <w:sz w:val="24"/>
          <w:szCs w:val="24"/>
          <w:lang w:eastAsia="zh-CN"/>
        </w:rPr>
        <w:t>，</w:t>
      </w:r>
      <w:r>
        <w:rPr>
          <w:rFonts w:hint="eastAsia" w:ascii="宋体" w:hAnsi="宋体" w:cs="宋体"/>
          <w:sz w:val="24"/>
          <w:szCs w:val="24"/>
        </w:rPr>
        <w:t>须同时提供：①拟派人员与供应商签订的有效劳动合同复印件或扫描件；②社保机构出具且盖章的供应商为其连续交纳的近6个月（至少缴纳至202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月）的养老保险缴费清单复印件或扫描件。</w:t>
      </w:r>
    </w:p>
    <w:p>
      <w:pPr>
        <w:pStyle w:val="2"/>
        <w:snapToGrid w:val="0"/>
        <w:spacing w:after="0" w:line="360" w:lineRule="auto"/>
        <w:ind w:firstLine="480"/>
        <w:rPr>
          <w:rFonts w:ascii="宋体" w:hAnsi="宋体" w:cs="宋体"/>
          <w:bCs/>
          <w:color w:val="000000"/>
          <w:sz w:val="24"/>
          <w:szCs w:val="24"/>
        </w:rPr>
      </w:pPr>
      <w:r>
        <w:rPr>
          <w:rFonts w:hint="eastAsia" w:ascii="宋体" w:hAnsi="宋体" w:cs="宋体"/>
          <w:bCs/>
          <w:color w:val="000000"/>
          <w:sz w:val="24"/>
          <w:szCs w:val="24"/>
        </w:rPr>
        <w:t>5、供应商一般情况表（格式参见第八章）；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color w:val="000000"/>
          <w:sz w:val="24"/>
          <w:szCs w:val="24"/>
        </w:rPr>
        <w:t>6、供应商</w:t>
      </w:r>
      <w:r>
        <w:rPr>
          <w:rFonts w:hint="eastAsia" w:ascii="宋体" w:hAnsi="宋体" w:cs="宋体"/>
          <w:sz w:val="24"/>
          <w:szCs w:val="24"/>
        </w:rPr>
        <w:t>上一年度的财务状况报告复印件或扫描件（成立不满一年不需提供）；</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7、供应商近六个月任意一个月依法缴纳税收和社会保障资金的相关材料复印件或扫描件；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8、供应商具有履行合同所必需的设备和专业技术能力的书面声明（格式参见第八章）；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9、供应商须提供参与本次项目政府采购活动前三年内，在经营活动中没有重大违法记录的书面《无重大违法记录声明函》（格式参见竞争性磋商文件第八章）；</w:t>
      </w:r>
    </w:p>
    <w:p>
      <w:pPr>
        <w:widowControl/>
        <w:snapToGrid w:val="0"/>
        <w:spacing w:line="360" w:lineRule="auto"/>
        <w:ind w:firstLine="470" w:firstLineChars="196"/>
        <w:jc w:val="left"/>
        <w:textAlignment w:val="baseline"/>
      </w:pPr>
      <w:r>
        <w:rPr>
          <w:rFonts w:hint="eastAsia" w:ascii="宋体" w:hAnsi="宋体" w:cs="宋体"/>
          <w:sz w:val="24"/>
          <w:szCs w:val="24"/>
        </w:rPr>
        <w:t>10、关于资格文件的声明函（格式参见竞争性磋商文件第八章）。</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注：以上材料如为复印件或扫描件均需加盖单位公章，要求提供原件查验的，因携带原件不全而由此引起的后果由投标人自负。</w:t>
      </w:r>
    </w:p>
    <w:p>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1、竞争性磋商响应函（格式参见第八章）；</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2、企业实力；</w:t>
      </w:r>
    </w:p>
    <w:p>
      <w:pPr>
        <w:snapToGrid w:val="0"/>
        <w:spacing w:line="360" w:lineRule="auto"/>
        <w:ind w:firstLine="465"/>
        <w:jc w:val="left"/>
        <w:textAlignment w:val="baseline"/>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供应商业绩；</w:t>
      </w:r>
    </w:p>
    <w:p>
      <w:pPr>
        <w:widowControl/>
        <w:snapToGrid w:val="0"/>
        <w:spacing w:line="360" w:lineRule="auto"/>
        <w:ind w:firstLine="470" w:firstLineChars="196"/>
        <w:jc w:val="left"/>
        <w:textAlignment w:val="baseline"/>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维保</w:t>
      </w:r>
      <w:r>
        <w:rPr>
          <w:rFonts w:hint="eastAsia" w:ascii="宋体" w:hAnsi="宋体"/>
          <w:sz w:val="24"/>
          <w:szCs w:val="24"/>
        </w:rPr>
        <w:t>方案；</w:t>
      </w:r>
    </w:p>
    <w:p>
      <w:pPr>
        <w:pStyle w:val="2"/>
        <w:snapToGrid w:val="0"/>
        <w:spacing w:after="0" w:line="360" w:lineRule="auto"/>
        <w:ind w:firstLine="480"/>
        <w:textAlignment w:val="baseline"/>
        <w:rPr>
          <w:rFonts w:ascii="宋体" w:hAnsi="宋体" w:cs="宋体"/>
          <w:sz w:val="24"/>
          <w:szCs w:val="24"/>
        </w:rPr>
      </w:pPr>
      <w:r>
        <w:rPr>
          <w:rFonts w:hint="eastAsia" w:ascii="宋体" w:hAnsi="宋体"/>
          <w:sz w:val="24"/>
          <w:szCs w:val="24"/>
        </w:rPr>
        <w:t>5、</w:t>
      </w:r>
      <w:r>
        <w:rPr>
          <w:rFonts w:hint="eastAsia" w:ascii="宋体" w:hAnsi="宋体" w:cs="宋体"/>
          <w:sz w:val="24"/>
          <w:szCs w:val="24"/>
        </w:rPr>
        <w:t>评标办法和项目需求中所涉及的事项需提供的所有资料；</w:t>
      </w:r>
    </w:p>
    <w:p>
      <w:pPr>
        <w:snapToGrid w:val="0"/>
        <w:spacing w:line="360" w:lineRule="auto"/>
        <w:ind w:firstLine="480" w:firstLineChars="200"/>
        <w:jc w:val="left"/>
        <w:textAlignment w:val="baseline"/>
        <w:rPr>
          <w:sz w:val="24"/>
          <w:szCs w:val="24"/>
        </w:rPr>
      </w:pPr>
      <w:r>
        <w:rPr>
          <w:rFonts w:hint="eastAsia" w:ascii="宋体" w:hAnsi="宋体" w:cs="宋体"/>
          <w:sz w:val="24"/>
          <w:szCs w:val="24"/>
          <w:lang w:val="en-US" w:eastAsia="zh-CN"/>
        </w:rPr>
        <w:t>6</w:t>
      </w:r>
      <w:r>
        <w:rPr>
          <w:rFonts w:hint="eastAsia" w:ascii="宋体" w:hAnsi="宋体" w:cs="宋体"/>
          <w:sz w:val="24"/>
          <w:szCs w:val="24"/>
        </w:rPr>
        <w:t>、评标办法和项目需求中未涉及的事项，供应商认为需要提交的其他资料。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响应报价总表（格式参见第八章）；</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中小企业声明函（</w:t>
      </w:r>
      <w:r>
        <w:rPr>
          <w:rFonts w:hint="eastAsia" w:ascii="宋体" w:hAnsi="宋体" w:cs="宋体"/>
          <w:bCs/>
          <w:color w:val="000000"/>
          <w:sz w:val="24"/>
          <w:szCs w:val="24"/>
        </w:rPr>
        <w:t>如有）</w:t>
      </w:r>
      <w:r>
        <w:rPr>
          <w:rFonts w:hint="eastAsia" w:ascii="宋体" w:hAnsi="宋体" w:cs="宋体"/>
          <w:bCs/>
          <w:color w:val="000000"/>
          <w:sz w:val="24"/>
          <w:szCs w:val="24"/>
          <w:lang w:val="zh-CN"/>
        </w:rPr>
        <w:t>。</w:t>
      </w:r>
    </w:p>
    <w:p>
      <w:pPr>
        <w:widowControl/>
        <w:snapToGrid w:val="0"/>
        <w:spacing w:line="360" w:lineRule="auto"/>
        <w:jc w:val="left"/>
        <w:rPr>
          <w:rFonts w:ascii="宋体"/>
          <w:b/>
          <w:bCs/>
          <w:sz w:val="28"/>
          <w:szCs w:val="28"/>
        </w:rPr>
      </w:pPr>
      <w:r>
        <w:rPr>
          <w:rFonts w:ascii="宋体"/>
          <w:b/>
          <w:bCs/>
          <w:sz w:val="28"/>
          <w:szCs w:val="28"/>
          <w:highlight w:val="yellow"/>
        </w:rPr>
        <w:br w:type="page"/>
      </w: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p>
    <w:p>
      <w:pPr>
        <w:snapToGrid w:val="0"/>
        <w:spacing w:line="520" w:lineRule="exact"/>
        <w:jc w:val="center"/>
        <w:rPr>
          <w:rFonts w:ascii="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rPr>
          <w:rFonts w:ascii="宋体"/>
          <w:sz w:val="24"/>
          <w:szCs w:val="24"/>
          <w:u w:val="single"/>
        </w:rPr>
      </w:pPr>
      <w:r>
        <w:rPr>
          <w:rFonts w:hint="eastAsia" w:ascii="宋体" w:hAnsi="宋体" w:cs="宋体"/>
          <w:sz w:val="24"/>
          <w:szCs w:val="24"/>
          <w:u w:val="single"/>
        </w:rPr>
        <w:t>南通市妇幼保健院：</w:t>
      </w:r>
      <w:r>
        <w:rPr>
          <w:rFonts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cs="宋体"/>
          <w:sz w:val="24"/>
          <w:szCs w:val="24"/>
        </w:rPr>
        <w:t xml:space="preserve">                      </w:t>
      </w: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spacing w:line="520" w:lineRule="exact"/>
        <w:ind w:firstLine="482" w:firstLineChars="200"/>
        <w:rPr>
          <w:rFonts w:ascii="宋体"/>
          <w:b/>
          <w:bCs/>
          <w:sz w:val="24"/>
          <w:szCs w:val="24"/>
        </w:rPr>
      </w:pP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19"/>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outlineLvl w:val="3"/>
        <w:rPr>
          <w:rFonts w:ascii="宋体"/>
          <w:b/>
          <w:bCs/>
          <w:sz w:val="28"/>
          <w:szCs w:val="28"/>
        </w:rPr>
      </w:pPr>
    </w:p>
    <w:p>
      <w:pPr>
        <w:jc w:val="center"/>
        <w:rPr>
          <w:rFonts w:hint="eastAsia"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noWrap w:val="0"/>
            <w:vAlign w:val="top"/>
          </w:tcPr>
          <w:p>
            <w:pPr>
              <w:spacing w:line="520" w:lineRule="exact"/>
              <w:ind w:firstLine="484" w:firstLineChars="202"/>
              <w:rPr>
                <w:rFonts w:ascii="宋体" w:hAnsi="宋体" w:cs="宋体"/>
                <w:color w:val="000000"/>
                <w:sz w:val="24"/>
                <w:szCs w:val="24"/>
              </w:rPr>
            </w:pPr>
          </w:p>
        </w:tc>
        <w:tc>
          <w:tcPr>
            <w:tcW w:w="1417" w:type="dxa"/>
            <w:gridSpan w:val="2"/>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noWrap w:val="0"/>
            <w:vAlign w:val="top"/>
          </w:tcPr>
          <w:p>
            <w:pPr>
              <w:spacing w:line="520" w:lineRule="exact"/>
              <w:ind w:firstLine="484" w:firstLineChars="202"/>
              <w:rPr>
                <w:rFonts w:ascii="宋体" w:hAnsi="宋体" w:cs="宋体"/>
                <w:color w:val="000000"/>
                <w:sz w:val="24"/>
                <w:szCs w:val="24"/>
              </w:rPr>
            </w:pPr>
          </w:p>
        </w:tc>
        <w:tc>
          <w:tcPr>
            <w:tcW w:w="1320" w:type="dxa"/>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noWrap w:val="0"/>
            <w:vAlign w:val="top"/>
          </w:tcPr>
          <w:p>
            <w:pPr>
              <w:spacing w:line="520" w:lineRule="exact"/>
              <w:ind w:firstLine="484" w:firstLineChars="202"/>
              <w:rPr>
                <w:rFonts w:ascii="宋体" w:hAnsi="宋体" w:cs="宋体"/>
                <w:color w:val="000000"/>
                <w:sz w:val="24"/>
                <w:szCs w:val="24"/>
              </w:rPr>
            </w:pPr>
          </w:p>
        </w:tc>
        <w:tc>
          <w:tcPr>
            <w:tcW w:w="1466" w:type="dxa"/>
            <w:gridSpan w:val="2"/>
            <w:noWrap w:val="0"/>
            <w:vAlign w:val="top"/>
          </w:tcPr>
          <w:p>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bl>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int="eastAsia" w:ascii="宋体" w:hAnsi="宋体" w:cs="宋体"/>
          <w:color w:val="000000"/>
          <w:sz w:val="24"/>
          <w:szCs w:val="24"/>
        </w:rPr>
        <w:t xml:space="preserve">            </w:t>
      </w:r>
    </w:p>
    <w:p>
      <w:pPr>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2" w:firstLineChars="200"/>
        <w:jc w:val="center"/>
        <w:outlineLvl w:val="3"/>
        <w:rPr>
          <w:rFonts w:hint="eastAsia"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hint="eastAsia" w:ascii="宋体" w:hAnsi="宋体"/>
          <w:color w:val="000000"/>
          <w:sz w:val="24"/>
          <w:szCs w:val="24"/>
        </w:rPr>
      </w:pP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我单位（供应商名称）郑重声明：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hint="eastAsia" w:ascii="宋体" w:hAnsi="宋体"/>
          <w:color w:val="000000"/>
          <w:sz w:val="24"/>
          <w:szCs w:val="24"/>
          <w:lang w:val="zh-CN"/>
        </w:rPr>
      </w:pPr>
      <w:r>
        <w:rPr>
          <w:rFonts w:hint="eastAsia" w:ascii="宋体" w:hAnsi="宋体"/>
          <w:color w:val="000000"/>
          <w:szCs w:val="24"/>
        </w:rPr>
        <w:t xml:space="preserve">                                  </w:t>
      </w:r>
      <w:r>
        <w:rPr>
          <w:rFonts w:hint="eastAsia" w:ascii="宋体" w:hAnsi="宋体"/>
          <w:color w:val="000000"/>
          <w:sz w:val="24"/>
          <w:szCs w:val="24"/>
        </w:rPr>
        <w:t xml:space="preserve"> </w:t>
      </w:r>
      <w:r>
        <w:rPr>
          <w:rFonts w:hint="eastAsia" w:ascii="宋体" w:hAnsi="宋体"/>
          <w:color w:val="000000"/>
          <w:sz w:val="24"/>
          <w:szCs w:val="24"/>
          <w:lang w:val="zh-CN"/>
        </w:rPr>
        <w:t>日期：</w:t>
      </w:r>
      <w:r>
        <w:rPr>
          <w:rFonts w:hint="eastAsia" w:ascii="宋体" w:hAnsi="宋体"/>
          <w:color w:val="000000"/>
          <w:sz w:val="24"/>
          <w:szCs w:val="24"/>
        </w:rPr>
        <w:t xml:space="preserve">  </w:t>
      </w:r>
      <w:r>
        <w:rPr>
          <w:rFonts w:hint="eastAsia" w:ascii="宋体" w:hAnsi="宋体"/>
          <w:color w:val="000000"/>
          <w:sz w:val="24"/>
          <w:szCs w:val="24"/>
          <w:lang w:val="zh-CN"/>
        </w:rPr>
        <w:t>年</w:t>
      </w:r>
      <w:r>
        <w:rPr>
          <w:rFonts w:hint="eastAsia" w:ascii="宋体" w:hAnsi="宋体"/>
          <w:color w:val="000000"/>
          <w:sz w:val="24"/>
          <w:szCs w:val="24"/>
        </w:rPr>
        <w:t xml:space="preserve">   </w:t>
      </w:r>
      <w:r>
        <w:rPr>
          <w:rFonts w:hint="eastAsia" w:ascii="宋体" w:hAnsi="宋体"/>
          <w:color w:val="000000"/>
          <w:sz w:val="24"/>
          <w:szCs w:val="24"/>
          <w:lang w:val="zh-CN"/>
        </w:rPr>
        <w:t>月</w:t>
      </w:r>
      <w:r>
        <w:rPr>
          <w:rFonts w:hint="eastAsia" w:ascii="宋体" w:hAnsi="宋体"/>
          <w:color w:val="000000"/>
          <w:sz w:val="24"/>
          <w:szCs w:val="24"/>
        </w:rPr>
        <w:t xml:space="preserve">   </w:t>
      </w:r>
      <w:r>
        <w:rPr>
          <w:rFonts w:hint="eastAsia" w:ascii="宋体" w:hAnsi="宋体"/>
          <w:color w:val="000000"/>
          <w:sz w:val="24"/>
          <w:szCs w:val="24"/>
          <w:lang w:val="zh-CN"/>
        </w:rPr>
        <w:t>日</w:t>
      </w:r>
    </w:p>
    <w:p>
      <w:pPr>
        <w:spacing w:line="360" w:lineRule="auto"/>
        <w:jc w:val="center"/>
        <w:rPr>
          <w:rFonts w:hint="eastAsia" w:ascii="宋体" w:hAnsi="宋体" w:cs="宋体"/>
          <w:b/>
          <w:bCs/>
          <w:sz w:val="28"/>
          <w:szCs w:val="28"/>
        </w:rPr>
      </w:pPr>
      <w:r>
        <w:br w:type="page"/>
      </w:r>
      <w:r>
        <w:rPr>
          <w:rFonts w:hint="eastAsia" w:ascii="宋体" w:hAnsi="宋体" w:cs="宋体"/>
          <w:b/>
          <w:bCs/>
          <w:sz w:val="28"/>
          <w:szCs w:val="28"/>
        </w:rPr>
        <w:t>5、现场勘察承诺函</w:t>
      </w:r>
    </w:p>
    <w:p>
      <w:pPr>
        <w:spacing w:line="560" w:lineRule="exact"/>
        <w:rPr>
          <w:rFonts w:hint="eastAsia" w:ascii="宋体" w:hAnsi="宋体" w:cs="宋体"/>
          <w:sz w:val="24"/>
          <w:u w:val="single"/>
        </w:rPr>
      </w:pPr>
      <w:r>
        <w:rPr>
          <w:rFonts w:hint="eastAsia" w:ascii="宋体" w:hAnsi="宋体" w:cs="宋体"/>
          <w:sz w:val="24"/>
          <w:szCs w:val="24"/>
          <w:u w:val="single"/>
        </w:rPr>
        <w:t>南通市妇幼保健院</w:t>
      </w:r>
      <w:r>
        <w:rPr>
          <w:rFonts w:hint="eastAsia" w:ascii="宋体" w:hAnsi="宋体" w:cs="宋体"/>
          <w:sz w:val="24"/>
          <w:u w:val="single"/>
        </w:rPr>
        <w:t>：</w:t>
      </w:r>
    </w:p>
    <w:p>
      <w:pPr>
        <w:spacing w:line="560" w:lineRule="exact"/>
        <w:ind w:firstLine="480" w:firstLineChars="200"/>
        <w:rPr>
          <w:rFonts w:hint="eastAsia" w:ascii="宋体" w:hAnsi="宋体" w:cs="宋体"/>
          <w:sz w:val="24"/>
        </w:rPr>
      </w:pPr>
      <w:r>
        <w:rPr>
          <w:rFonts w:hint="eastAsia" w:ascii="宋体" w:hAnsi="宋体" w:cs="宋体"/>
          <w:sz w:val="24"/>
        </w:rPr>
        <w:t>依据贵单位</w:t>
      </w:r>
      <w:r>
        <w:rPr>
          <w:rFonts w:hint="eastAsia" w:ascii="宋体" w:hAnsi="宋体" w:cs="宋体"/>
          <w:sz w:val="24"/>
          <w:u w:val="single"/>
          <w:lang w:eastAsia="zh-CN"/>
        </w:rPr>
        <w:t>南通市妇幼保健院锅炉维保服务采购项目</w:t>
      </w:r>
      <w:r>
        <w:rPr>
          <w:rFonts w:hint="eastAsia" w:ascii="宋体" w:hAnsi="宋体" w:cs="宋体"/>
          <w:sz w:val="24"/>
        </w:rPr>
        <w:t>磋商文件的要求。我方已对该项目进行了现场勘察，现就现场勘察情况做如下承诺：</w:t>
      </w:r>
    </w:p>
    <w:p>
      <w:pPr>
        <w:spacing w:line="560" w:lineRule="exact"/>
        <w:ind w:firstLine="480" w:firstLineChars="200"/>
        <w:rPr>
          <w:rFonts w:hint="eastAsia" w:ascii="宋体" w:hAnsi="宋体" w:cs="宋体"/>
          <w:sz w:val="24"/>
        </w:rPr>
      </w:pPr>
      <w:r>
        <w:rPr>
          <w:rFonts w:hint="eastAsia" w:ascii="宋体" w:hAnsi="宋体" w:cs="宋体"/>
          <w:sz w:val="24"/>
        </w:rPr>
        <w:t>1、经现场勘察，我方已熟悉与该项目相关的服务范围、现场环境等所有情况。</w:t>
      </w:r>
    </w:p>
    <w:p>
      <w:pPr>
        <w:spacing w:line="560" w:lineRule="exact"/>
        <w:ind w:firstLine="480" w:firstLineChars="200"/>
        <w:rPr>
          <w:rFonts w:hint="eastAsia" w:ascii="宋体" w:hAnsi="宋体" w:cs="宋体"/>
          <w:sz w:val="24"/>
        </w:rPr>
      </w:pPr>
      <w:r>
        <w:rPr>
          <w:rFonts w:hint="eastAsia" w:ascii="宋体" w:hAnsi="宋体" w:cs="宋体"/>
          <w:sz w:val="24"/>
        </w:rPr>
        <w:t>2、我方承诺自行承担本次现场勘察所发生的所有费用并承担勘察现场的相关责任和风险。</w:t>
      </w:r>
    </w:p>
    <w:p>
      <w:pPr>
        <w:spacing w:line="560" w:lineRule="exact"/>
        <w:ind w:firstLine="480" w:firstLineChars="200"/>
        <w:rPr>
          <w:rFonts w:hint="eastAsia" w:ascii="宋体" w:hAnsi="宋体" w:cs="宋体"/>
          <w:sz w:val="24"/>
        </w:rPr>
      </w:pPr>
      <w:r>
        <w:rPr>
          <w:rFonts w:hint="eastAsia" w:ascii="宋体" w:hAnsi="宋体" w:cs="宋体"/>
          <w:sz w:val="24"/>
        </w:rPr>
        <w:t>3、我方承诺在任何情况下均不以不完全了解现场情况为理由而向采购人提出任何索赔的要求。</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napToGrid w:val="0"/>
        <w:spacing w:line="360" w:lineRule="auto"/>
        <w:ind w:right="79" w:firstLine="3360" w:firstLineChars="1400"/>
        <w:textAlignment w:val="baseline"/>
        <w:rPr>
          <w:rFonts w:hint="eastAsia"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 w:val="24"/>
          <w:szCs w:val="24"/>
        </w:rPr>
        <w:t>供应商：（单位盖章）</w:t>
      </w:r>
    </w:p>
    <w:p>
      <w:pPr>
        <w:snapToGrid w:val="0"/>
        <w:spacing w:line="360" w:lineRule="auto"/>
        <w:ind w:firstLine="3360" w:firstLineChars="1400"/>
        <w:rPr>
          <w:rFonts w:hint="eastAsia" w:ascii="宋体" w:hAnsi="宋体" w:cs="宋体"/>
          <w:color w:val="000000"/>
          <w:sz w:val="24"/>
          <w:szCs w:val="24"/>
        </w:rPr>
      </w:pPr>
      <w:r>
        <w:rPr>
          <w:rFonts w:hint="eastAsia" w:ascii="宋体" w:hAnsi="宋体" w:cs="宋体"/>
          <w:sz w:val="24"/>
          <w:szCs w:val="24"/>
        </w:rPr>
        <w:t>法定代表人或被授权人（签字或盖章）：</w:t>
      </w:r>
      <w:r>
        <w:rPr>
          <w:rFonts w:hint="eastAsia" w:ascii="宋体" w:hAnsi="宋体" w:cs="宋体"/>
          <w:color w:val="000000"/>
          <w:sz w:val="24"/>
          <w:szCs w:val="24"/>
        </w:rPr>
        <w:t xml:space="preserve">            </w:t>
      </w:r>
    </w:p>
    <w:p>
      <w:pPr>
        <w:adjustRightInd w:val="0"/>
        <w:snapToGrid w:val="0"/>
        <w:spacing w:line="480" w:lineRule="auto"/>
        <w:ind w:firstLine="3360" w:firstLineChars="1400"/>
        <w:jc w:val="left"/>
        <w:rPr>
          <w:rFonts w:ascii="宋体" w:hAnsi="宋体"/>
          <w:sz w:val="24"/>
        </w:rPr>
      </w:pPr>
      <w:r>
        <w:rPr>
          <w:rFonts w:hint="eastAsia" w:ascii="宋体" w:hAnsi="宋体" w:cs="宋体"/>
          <w:color w:val="000000"/>
          <w:sz w:val="24"/>
          <w:szCs w:val="24"/>
        </w:rPr>
        <w:t>日期：  年  月  日</w:t>
      </w:r>
    </w:p>
    <w:p>
      <w:pPr>
        <w:spacing w:line="360" w:lineRule="auto"/>
        <w:jc w:val="center"/>
        <w:rPr>
          <w:rFonts w:ascii="宋体"/>
          <w:b/>
          <w:bCs/>
          <w:sz w:val="28"/>
          <w:szCs w:val="28"/>
        </w:rPr>
      </w:pPr>
      <w:r>
        <w:br w:type="page"/>
      </w:r>
      <w:r>
        <w:rPr>
          <w:rFonts w:hint="eastAsia" w:ascii="宋体" w:hAnsi="宋体" w:cs="宋体"/>
          <w:b/>
          <w:bCs/>
          <w:sz w:val="28"/>
          <w:szCs w:val="28"/>
        </w:rPr>
        <w:t>6、无重大违法记录声明</w:t>
      </w: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我单位</w:t>
      </w:r>
      <w:r>
        <w:rPr>
          <w:rFonts w:ascii="宋体" w:hAnsi="宋体" w:cs="宋体"/>
          <w:sz w:val="24"/>
          <w:szCs w:val="24"/>
          <w:u w:val="single"/>
        </w:rPr>
        <w:t xml:space="preserve">               </w:t>
      </w:r>
      <w:r>
        <w:rPr>
          <w:rFonts w:hint="eastAsia" w:ascii="宋体" w:hAnsi="宋体" w:cs="宋体"/>
          <w:sz w:val="24"/>
          <w:szCs w:val="24"/>
        </w:rPr>
        <w:t>（供应商名称）郑重声明：</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w:t>
      </w:r>
      <w:r>
        <w:rPr>
          <w:rFonts w:ascii="宋体" w:hAnsi="宋体" w:cs="宋体"/>
          <w:sz w:val="24"/>
          <w:szCs w:val="24"/>
          <w:u w:val="single"/>
        </w:rPr>
        <w:t xml:space="preserve">        </w:t>
      </w:r>
      <w:r>
        <w:rPr>
          <w:rFonts w:hint="eastAsia" w:ascii="宋体" w:hAnsi="宋体" w:cs="宋体"/>
          <w:sz w:val="24"/>
          <w:szCs w:val="24"/>
        </w:rPr>
        <w:t>（在下划线上如实填写：有或没有）重大违法记录。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r>
        <w:rPr>
          <w:rFonts w:ascii="宋体" w:hAnsi="宋体" w:cs="宋体"/>
          <w:sz w:val="24"/>
          <w:szCs w:val="24"/>
        </w:rPr>
        <w:t xml:space="preserve">                                                       </w:t>
      </w:r>
    </w:p>
    <w:p>
      <w:pPr>
        <w:spacing w:line="420" w:lineRule="exact"/>
        <w:ind w:firstLine="6360" w:firstLineChars="2650"/>
        <w:rPr>
          <w:rFonts w:ascii="宋体"/>
          <w:sz w:val="24"/>
          <w:szCs w:val="24"/>
        </w:rPr>
      </w:pPr>
      <w:r>
        <w:rPr>
          <w:rFonts w:ascii="宋体" w:hAnsi="宋体" w:cs="宋体"/>
          <w:sz w:val="24"/>
          <w:szCs w:val="24"/>
        </w:rPr>
        <w:t xml:space="preserve"> </w:t>
      </w:r>
      <w:r>
        <w:rPr>
          <w:rFonts w:hint="eastAsia" w:ascii="宋体" w:hAnsi="宋体" w:cs="宋体"/>
          <w:sz w:val="24"/>
          <w:szCs w:val="24"/>
        </w:rPr>
        <w:t>声明人：（公章）</w:t>
      </w:r>
    </w:p>
    <w:p>
      <w:pPr>
        <w:spacing w:line="4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rPr>
        <w:t>7</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w:t>
      </w:r>
      <w:r>
        <w:rPr>
          <w:rFonts w:ascii="宋体" w:hAnsi="宋体" w:cs="宋体"/>
          <w:sz w:val="24"/>
          <w:szCs w:val="24"/>
          <w:u w:val="single"/>
        </w:rPr>
        <w:t xml:space="preserve">                        </w:t>
      </w:r>
      <w:r>
        <w:rPr>
          <w:rFonts w:hint="eastAsia" w:ascii="宋体" w:hAnsi="宋体" w:cs="宋体"/>
          <w:sz w:val="24"/>
          <w:szCs w:val="24"/>
        </w:rPr>
        <w:t>（项目名称及项目编号</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auto"/>
        <w:rPr>
          <w:rFonts w:ascii="宋体"/>
          <w:b/>
          <w:bCs/>
          <w:sz w:val="30"/>
          <w:szCs w:val="30"/>
        </w:rPr>
      </w:pPr>
    </w:p>
    <w:p>
      <w:pPr>
        <w:snapToGrid w:val="0"/>
        <w:spacing w:line="520" w:lineRule="exact"/>
        <w:ind w:firstLine="420" w:firstLineChars="200"/>
        <w:jc w:val="center"/>
        <w:rPr>
          <w:rFonts w:ascii="宋体"/>
          <w:b/>
          <w:bCs/>
          <w:sz w:val="28"/>
          <w:szCs w:val="28"/>
        </w:rPr>
      </w:pPr>
      <w:r>
        <w:br w:type="page"/>
      </w:r>
      <w:r>
        <w:rPr>
          <w:rFonts w:hint="eastAsia" w:ascii="宋体" w:hAnsi="宋体" w:cs="宋体"/>
          <w:b/>
          <w:bCs/>
          <w:sz w:val="28"/>
          <w:szCs w:val="28"/>
        </w:rPr>
        <w:t>8、竞争性磋商响应函（格式不得变动）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（磋商项目名称及项目编号</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widowControl/>
        <w:snapToGrid w:val="0"/>
        <w:jc w:val="center"/>
        <w:textAlignment w:val="baseline"/>
        <w:rPr>
          <w:rFonts w:hint="eastAsia" w:ascii="宋体" w:hAnsi="宋体" w:cs="宋体"/>
          <w:b/>
          <w:bCs/>
          <w:sz w:val="28"/>
          <w:szCs w:val="28"/>
        </w:rPr>
      </w:pPr>
      <w:r>
        <w:rPr>
          <w:rFonts w:ascii="宋体"/>
          <w:b/>
          <w:bCs/>
          <w:sz w:val="28"/>
          <w:szCs w:val="28"/>
        </w:rPr>
        <w:br w:type="page"/>
      </w:r>
      <w:r>
        <w:rPr>
          <w:rFonts w:hint="eastAsia" w:ascii="宋体" w:hAnsi="宋体" w:cs="宋体"/>
          <w:b/>
          <w:bCs/>
          <w:sz w:val="28"/>
          <w:szCs w:val="28"/>
        </w:rPr>
        <w:t>9、磋商响应报价总表</w:t>
      </w:r>
    </w:p>
    <w:p>
      <w:pPr>
        <w:pStyle w:val="19"/>
        <w:snapToGrid w:val="0"/>
        <w:textAlignment w:val="baseline"/>
      </w:pPr>
    </w:p>
    <w:tbl>
      <w:tblPr>
        <w:tblStyle w:val="51"/>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564"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南通市妇幼保健院锅炉维保服务采购项目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元/年</w:t>
            </w:r>
            <w:r>
              <w:rPr>
                <w:rFonts w:hint="eastAsia" w:cs="宋体"/>
                <w:sz w:val="24"/>
                <w:szCs w:val="24"/>
              </w:rPr>
              <w:t xml:space="preserve"> </w:t>
            </w:r>
          </w:p>
          <w:p>
            <w:pPr>
              <w:snapToGrid w:val="0"/>
              <w:spacing w:line="420" w:lineRule="exact"/>
              <w:ind w:left="1130" w:hanging="1130" w:hangingChars="471"/>
              <w:textAlignment w:val="baseline"/>
              <w:rPr>
                <w:sz w:val="20"/>
                <w:szCs w:val="22"/>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lang w:val="en-US" w:eastAsia="zh-CN"/>
              </w:rPr>
              <w:t>元/年</w:t>
            </w:r>
            <w:bookmarkStart w:id="79" w:name="_GoBack"/>
            <w:bookmarkEnd w:id="79"/>
            <w:r>
              <w:rPr>
                <w:rFonts w:hint="eastAsia"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磋商总价报价</w:t>
            </w:r>
          </w:p>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第二次</w:t>
            </w:r>
            <w:r>
              <w:rPr>
                <w:rFonts w:hint="eastAsia" w:ascii="宋体" w:hAnsi="宋体" w:cs="宋体"/>
                <w:sz w:val="24"/>
                <w:szCs w:val="24"/>
              </w:rPr>
              <w:t>）</w:t>
            </w:r>
          </w:p>
          <w:p>
            <w:pPr>
              <w:snapToGrid w:val="0"/>
              <w:spacing w:line="480" w:lineRule="exact"/>
              <w:jc w:val="center"/>
              <w:textAlignment w:val="baseline"/>
              <w:rPr>
                <w:sz w:val="20"/>
                <w:szCs w:val="22"/>
              </w:rPr>
            </w:pPr>
            <w:r>
              <w:rPr>
                <w:rFonts w:hint="eastAsia" w:ascii="宋体" w:hAnsi="宋体" w:cs="宋体"/>
                <w:b/>
                <w:bCs/>
                <w:sz w:val="24"/>
                <w:szCs w:val="24"/>
                <w:highlight w:val="none"/>
                <w:u w:val="single" w:color="000000"/>
              </w:rPr>
              <w:t>（磋商现场填写）</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元/年</w:t>
            </w:r>
            <w:r>
              <w:rPr>
                <w:rFonts w:hint="eastAsia" w:ascii="宋体" w:hAnsi="宋体" w:cs="宋体"/>
                <w:snapToGrid w:val="0"/>
                <w:sz w:val="24"/>
                <w:szCs w:val="24"/>
              </w:rPr>
              <w:t>。</w:t>
            </w:r>
            <w:r>
              <w:rPr>
                <w:rFonts w:hint="eastAsia" w:cs="宋体"/>
                <w:sz w:val="24"/>
                <w:szCs w:val="24"/>
              </w:rPr>
              <w:t xml:space="preserve"> </w:t>
            </w:r>
          </w:p>
          <w:p>
            <w:pPr>
              <w:snapToGrid w:val="0"/>
              <w:spacing w:line="420" w:lineRule="exact"/>
              <w:ind w:left="1130" w:hanging="1130" w:hangingChars="471"/>
              <w:textAlignment w:val="baseline"/>
              <w:rPr>
                <w:rFonts w:cs="宋体"/>
                <w:sz w:val="20"/>
                <w:szCs w:val="22"/>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60"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付款条件</w:t>
            </w:r>
          </w:p>
        </w:tc>
        <w:tc>
          <w:tcPr>
            <w:tcW w:w="7564"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完全接受并响应本项目磋商文件的要求。</w:t>
            </w:r>
          </w:p>
        </w:tc>
      </w:tr>
    </w:tbl>
    <w:p>
      <w:pPr>
        <w:pStyle w:val="2"/>
        <w:snapToGrid w:val="0"/>
        <w:ind w:firstLine="0" w:firstLineChars="0"/>
        <w:textAlignment w:val="baseline"/>
        <w:rPr>
          <w:szCs w:val="24"/>
        </w:rPr>
      </w:pPr>
    </w:p>
    <w:p>
      <w:pPr>
        <w:pStyle w:val="111"/>
        <w:snapToGrid w:val="0"/>
        <w:spacing w:line="360" w:lineRule="auto"/>
        <w:textAlignment w:val="baseline"/>
        <w:rPr>
          <w:rFonts w:ascii="Times New Roman" w:hAnsi="宋体"/>
          <w:b/>
          <w:sz w:val="24"/>
        </w:rPr>
      </w:pPr>
      <w:r>
        <w:rPr>
          <w:rFonts w:hint="eastAsia" w:ascii="Times New Roman" w:hAnsi="宋体"/>
          <w:b/>
          <w:sz w:val="24"/>
        </w:rPr>
        <w:t>注：1、最终总价报价将在磋商现场填写，响应文件密封提交时只需填写首次磋商总价报价。2、本表式不得自行改动。</w:t>
      </w:r>
    </w:p>
    <w:p>
      <w:pPr>
        <w:snapToGrid w:val="0"/>
        <w:spacing w:line="360" w:lineRule="auto"/>
        <w:ind w:firstLine="482" w:firstLineChars="200"/>
        <w:rPr>
          <w:rFonts w:hint="eastAsia" w:ascii="宋体" w:hAnsi="宋体" w:eastAsia="宋体" w:cs="宋体"/>
          <w:b/>
          <w:bCs/>
          <w:color w:val="auto"/>
          <w:sz w:val="24"/>
          <w:szCs w:val="24"/>
          <w:lang w:eastAsia="zh-CN"/>
        </w:rPr>
      </w:pPr>
      <w:r>
        <w:rPr>
          <w:rFonts w:hint="eastAsia" w:hAnsi="宋体" w:cs="宋体"/>
          <w:b/>
          <w:sz w:val="24"/>
        </w:rPr>
        <w:t>3、</w:t>
      </w:r>
      <w:r>
        <w:rPr>
          <w:rFonts w:hint="eastAsia" w:ascii="宋体" w:hAnsi="宋体" w:cs="宋体"/>
          <w:b/>
          <w:bCs/>
          <w:sz w:val="24"/>
          <w:szCs w:val="24"/>
        </w:rPr>
        <w:t>磋商报价（以人民币计价）应包括但不限于所有与本项目实施有关的所有费用</w:t>
      </w:r>
      <w:r>
        <w:rPr>
          <w:rFonts w:hint="eastAsia" w:ascii="宋体" w:hAnsi="宋体" w:cs="宋体"/>
          <w:b/>
          <w:bCs/>
          <w:sz w:val="24"/>
          <w:szCs w:val="24"/>
          <w:lang w:eastAsia="zh-CN"/>
        </w:rPr>
        <w:t>（</w:t>
      </w:r>
      <w:r>
        <w:rPr>
          <w:rFonts w:hint="eastAsia" w:ascii="宋体" w:hAnsi="宋体" w:cs="宋体"/>
          <w:b/>
          <w:bCs/>
          <w:sz w:val="24"/>
          <w:szCs w:val="24"/>
          <w:lang w:val="en-US" w:eastAsia="zh-CN"/>
        </w:rPr>
        <w:t>包括涉及到锅炉维保所有200元以内的配件维修更换</w:t>
      </w:r>
      <w:r>
        <w:rPr>
          <w:rFonts w:hint="eastAsia" w:ascii="宋体" w:hAnsi="宋体" w:cs="宋体"/>
          <w:b/>
          <w:bCs/>
          <w:color w:val="auto"/>
          <w:sz w:val="24"/>
          <w:szCs w:val="24"/>
          <w:lang w:eastAsia="zh-CN"/>
        </w:rPr>
        <w:t>）</w:t>
      </w:r>
      <w:r>
        <w:rPr>
          <w:rFonts w:hint="eastAsia" w:ascii="宋体" w:hAnsi="宋体" w:cs="宋体"/>
          <w:b/>
          <w:bCs/>
          <w:color w:val="auto"/>
          <w:sz w:val="24"/>
          <w:szCs w:val="24"/>
        </w:rPr>
        <w:t>，包括所有的现场踏勘费、技术支持与培训费、</w:t>
      </w:r>
      <w:r>
        <w:rPr>
          <w:rFonts w:hint="eastAsia" w:ascii="宋体" w:hAnsi="宋体" w:cs="宋体"/>
          <w:b/>
          <w:bCs/>
          <w:color w:val="auto"/>
          <w:sz w:val="24"/>
          <w:szCs w:val="24"/>
          <w:lang w:val="en-US" w:eastAsia="zh-CN"/>
        </w:rPr>
        <w:t>驻场</w:t>
      </w:r>
      <w:r>
        <w:rPr>
          <w:rFonts w:hint="eastAsia" w:ascii="宋体" w:hAnsi="宋体" w:cs="宋体"/>
          <w:b/>
          <w:bCs/>
          <w:color w:val="auto"/>
          <w:sz w:val="24"/>
          <w:szCs w:val="24"/>
        </w:rPr>
        <w:t>服务费（含业主临时或应急要求）、人员</w:t>
      </w:r>
      <w:r>
        <w:rPr>
          <w:rFonts w:hint="eastAsia" w:ascii="宋体" w:hAnsi="宋体" w:cs="宋体"/>
          <w:b/>
          <w:bCs/>
          <w:color w:val="auto"/>
          <w:sz w:val="24"/>
          <w:szCs w:val="24"/>
          <w:lang w:val="en-US" w:eastAsia="zh-CN"/>
        </w:rPr>
        <w:t>工资</w:t>
      </w:r>
      <w:r>
        <w:rPr>
          <w:rFonts w:hint="eastAsia" w:ascii="宋体" w:hAnsi="宋体" w:cs="宋体"/>
          <w:b/>
          <w:bCs/>
          <w:color w:val="auto"/>
          <w:sz w:val="24"/>
          <w:szCs w:val="24"/>
        </w:rPr>
        <w:t>（含周末及节假日加班费）、</w:t>
      </w:r>
      <w:r>
        <w:rPr>
          <w:rFonts w:hint="eastAsia" w:ascii="宋体" w:hAnsi="宋体" w:cs="宋体"/>
          <w:b/>
          <w:bCs/>
          <w:color w:val="auto"/>
          <w:sz w:val="24"/>
          <w:szCs w:val="24"/>
          <w:lang w:val="en-US" w:eastAsia="zh-CN"/>
        </w:rPr>
        <w:t>交通费、餐费补贴、夜班补贴、福利、通讯费、</w:t>
      </w:r>
      <w:r>
        <w:rPr>
          <w:rFonts w:hint="eastAsia" w:ascii="宋体" w:hAnsi="宋体" w:cs="宋体"/>
          <w:b/>
          <w:bCs/>
          <w:color w:val="auto"/>
          <w:sz w:val="24"/>
          <w:szCs w:val="24"/>
        </w:rPr>
        <w:t>办公设备费、管理费、</w:t>
      </w:r>
      <w:r>
        <w:rPr>
          <w:rFonts w:hint="eastAsia" w:ascii="宋体" w:hAnsi="宋体" w:cs="宋体"/>
          <w:b/>
          <w:bCs/>
          <w:color w:val="auto"/>
          <w:sz w:val="24"/>
          <w:szCs w:val="24"/>
          <w:lang w:val="en-US" w:eastAsia="zh-CN"/>
        </w:rPr>
        <w:t>防疫费、</w:t>
      </w:r>
      <w:r>
        <w:rPr>
          <w:rFonts w:hint="eastAsia" w:ascii="宋体" w:hAnsi="宋体" w:cs="宋体"/>
          <w:b/>
          <w:bCs/>
          <w:color w:val="auto"/>
          <w:sz w:val="24"/>
          <w:szCs w:val="24"/>
        </w:rPr>
        <w:t>利润、税金、政策性文件规定及为达到采购人要求所包含的所有风险、责任等各项费用。各投标人应根据磋商文件要求，并充分考虑市场，自行核算成本报价。</w:t>
      </w:r>
    </w:p>
    <w:p>
      <w:pPr>
        <w:pStyle w:val="2"/>
        <w:snapToGrid w:val="0"/>
        <w:spacing w:after="0" w:line="360" w:lineRule="auto"/>
        <w:ind w:firstLine="482"/>
      </w:pPr>
      <w:r>
        <w:rPr>
          <w:rFonts w:hint="eastAsia" w:ascii="宋体" w:hAnsi="宋体" w:cs="宋体"/>
          <w:b/>
          <w:bCs/>
          <w:sz w:val="24"/>
          <w:szCs w:val="24"/>
        </w:rPr>
        <w:t>4、若成交，各项综合单价的计算原则：以磋商响应首次报价明细表中的单价为基数，根据最终磋商总价报价（成交价）与首轮磋商总价报价之间的下浮率进行同比例下浮，且以此作为确定最终各项综合单价的依据。</w:t>
      </w:r>
    </w:p>
    <w:p>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pPr>
        <w:pStyle w:val="111"/>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pPr>
        <w:pStyle w:val="111"/>
        <w:tabs>
          <w:tab w:val="left" w:pos="5665"/>
          <w:tab w:val="right" w:pos="8360"/>
        </w:tabs>
        <w:snapToGrid w:val="0"/>
        <w:spacing w:line="360" w:lineRule="auto"/>
        <w:ind w:right="42"/>
        <w:textAlignment w:val="baseline"/>
        <w:rPr>
          <w:rFonts w:hint="eastAsia" w:hAnsi="宋体"/>
          <w:color w:val="000000"/>
          <w:sz w:val="24"/>
          <w:lang w:val="zh-CN"/>
        </w:rPr>
      </w:pPr>
      <w:r>
        <w:rPr>
          <w:rFonts w:hint="eastAsia" w:hAnsi="宋体"/>
          <w:color w:val="000000"/>
          <w:sz w:val="24"/>
          <w:lang w:val="zh-CN"/>
        </w:rPr>
        <w:t>日期：</w:t>
      </w:r>
      <w:r>
        <w:rPr>
          <w:rFonts w:hint="eastAsia"/>
          <w:color w:val="000000"/>
          <w:sz w:val="24"/>
        </w:rPr>
        <w:t xml:space="preserve">  </w:t>
      </w:r>
      <w:r>
        <w:rPr>
          <w:rFonts w:hint="eastAsia" w:hAnsi="宋体"/>
          <w:color w:val="000000"/>
          <w:sz w:val="24"/>
          <w:lang w:val="zh-CN"/>
        </w:rPr>
        <w:t>年</w:t>
      </w:r>
      <w:r>
        <w:rPr>
          <w:rFonts w:hint="eastAsia"/>
          <w:color w:val="000000"/>
          <w:sz w:val="24"/>
        </w:rPr>
        <w:t xml:space="preserve">   </w:t>
      </w:r>
      <w:r>
        <w:rPr>
          <w:rFonts w:hint="eastAsia" w:hAnsi="宋体"/>
          <w:color w:val="000000"/>
          <w:sz w:val="24"/>
          <w:lang w:val="zh-CN"/>
        </w:rPr>
        <w:t>月</w:t>
      </w:r>
      <w:r>
        <w:rPr>
          <w:rFonts w:hint="eastAsia"/>
          <w:color w:val="000000"/>
          <w:sz w:val="24"/>
        </w:rPr>
        <w:t xml:space="preserve">   </w:t>
      </w:r>
      <w:r>
        <w:rPr>
          <w:rFonts w:hint="eastAsia" w:hAnsi="宋体"/>
          <w:color w:val="000000"/>
          <w:sz w:val="24"/>
          <w:lang w:val="zh-CN"/>
        </w:rPr>
        <w:t>日</w:t>
      </w:r>
    </w:p>
    <w:p>
      <w:pPr>
        <w:pStyle w:val="111"/>
        <w:tabs>
          <w:tab w:val="left" w:pos="5665"/>
          <w:tab w:val="right" w:pos="8360"/>
        </w:tabs>
        <w:snapToGrid w:val="0"/>
        <w:spacing w:line="360" w:lineRule="auto"/>
        <w:ind w:right="42"/>
        <w:jc w:val="center"/>
        <w:textAlignment w:val="baseline"/>
        <w:rPr>
          <w:rFonts w:hAnsi="宋体"/>
          <w:b/>
          <w:bCs/>
          <w:sz w:val="24"/>
          <w:szCs w:val="24"/>
        </w:rPr>
      </w:pPr>
      <w:r>
        <w:rPr>
          <w:rFonts w:hint="eastAsia" w:hAnsi="宋体"/>
          <w:color w:val="000000"/>
          <w:sz w:val="24"/>
          <w:lang w:val="zh-CN"/>
        </w:rPr>
        <w:br w:type="page"/>
      </w:r>
      <w:r>
        <w:rPr>
          <w:rFonts w:hint="eastAsia" w:hAnsi="宋体"/>
          <w:b/>
          <w:bCs/>
          <w:sz w:val="24"/>
          <w:szCs w:val="24"/>
        </w:rPr>
        <w:t>1</w:t>
      </w:r>
      <w:r>
        <w:rPr>
          <w:rFonts w:hint="eastAsia" w:hAnsi="宋体"/>
          <w:b/>
          <w:bCs/>
          <w:sz w:val="24"/>
          <w:szCs w:val="24"/>
          <w:lang w:val="en-US" w:eastAsia="zh-CN"/>
        </w:rPr>
        <w:t>0</w:t>
      </w:r>
      <w:r>
        <w:rPr>
          <w:rFonts w:hint="eastAsia" w:hAnsi="宋体"/>
          <w:b/>
          <w:bCs/>
          <w:sz w:val="24"/>
          <w:szCs w:val="24"/>
        </w:rPr>
        <w:t>、中小企业声明函（格式）</w:t>
      </w:r>
    </w:p>
    <w:p>
      <w:pPr>
        <w:pStyle w:val="2"/>
        <w:snapToGrid w:val="0"/>
        <w:ind w:firstLine="0" w:firstLineChars="0"/>
        <w:textAlignment w:val="baseline"/>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w:t>
      </w:r>
      <w:r>
        <w:rPr>
          <w:rFonts w:hint="eastAsia" w:ascii="宋体" w:hAnsi="宋体" w:cs="宋体"/>
          <w:sz w:val="24"/>
          <w:szCs w:val="24"/>
          <w:u w:val="single"/>
        </w:rPr>
        <w:t>妇幼保健院</w:t>
      </w:r>
      <w:r>
        <w:rPr>
          <w:rFonts w:hint="eastAsia" w:ascii="宋体" w:hAnsi="宋体" w:cs="宋体"/>
          <w:sz w:val="24"/>
          <w:szCs w:val="24"/>
        </w:rPr>
        <w:t>的</w:t>
      </w:r>
      <w:r>
        <w:rPr>
          <w:rFonts w:hint="eastAsia" w:ascii="宋体" w:hAnsi="宋体" w:cs="宋体"/>
          <w:sz w:val="24"/>
          <w:szCs w:val="24"/>
          <w:u w:val="single"/>
          <w:lang w:val="zh-CN"/>
        </w:rPr>
        <w:t>南通市妇幼保健院锅炉维保服务采购项目</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pPr>
        <w:snapToGrid w:val="0"/>
        <w:spacing w:line="360" w:lineRule="auto"/>
        <w:ind w:firstLine="480" w:firstLineChars="200"/>
        <w:rPr>
          <w:rFonts w:hint="eastAsia" w:ascii="宋体" w:hAnsi="宋体" w:cs="宋体"/>
          <w:sz w:val="24"/>
          <w:szCs w:val="24"/>
          <w:u w:val="single"/>
        </w:rPr>
      </w:pP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zh-CN"/>
        </w:rPr>
        <w:t>南通市妇幼保健院锅炉维保服务采购项目</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pPr>
        <w:pStyle w:val="19"/>
        <w:snapToGrid w:val="0"/>
        <w:spacing w:line="360" w:lineRule="auto"/>
        <w:ind w:right="415" w:firstLine="640"/>
        <w:textAlignment w:val="baseline"/>
        <w:rPr>
          <w:rFonts w:hint="eastAsia" w:ascii="宋体" w:hAnsi="宋体" w:cs="宋体"/>
          <w:szCs w:val="24"/>
        </w:rPr>
      </w:pPr>
      <w:r>
        <w:rPr>
          <w:rFonts w:hint="eastAsia" w:ascii="宋体" w:hAnsi="宋体" w:cs="宋体"/>
          <w:szCs w:val="24"/>
        </w:rPr>
        <w:t>本企业对上述声明内容的真实性负责。如有虚假，将依法承担相应责任。</w:t>
      </w:r>
    </w:p>
    <w:p>
      <w:pPr>
        <w:pStyle w:val="88"/>
        <w:rPr>
          <w:rFonts w:hint="eastAsia" w:ascii="宋体" w:eastAsia="宋体" w:cs="宋体"/>
          <w:sz w:val="24"/>
          <w:szCs w:val="24"/>
        </w:rPr>
      </w:pPr>
    </w:p>
    <w:p>
      <w:pPr>
        <w:pStyle w:val="90"/>
        <w:ind w:firstLine="420"/>
      </w:pPr>
    </w:p>
    <w:p>
      <w:pPr>
        <w:snapToGrid w:val="0"/>
        <w:spacing w:line="480" w:lineRule="auto"/>
        <w:ind w:right="79" w:firstLine="4800" w:firstLineChars="2000"/>
        <w:textAlignment w:val="baseline"/>
        <w:rPr>
          <w:rFonts w:ascii="宋体" w:hAnsi="宋体" w:cs="宋体"/>
          <w:color w:val="000000"/>
          <w:sz w:val="24"/>
          <w:szCs w:val="24"/>
        </w:rPr>
      </w:pPr>
    </w:p>
    <w:p>
      <w:pPr>
        <w:pStyle w:val="19"/>
        <w:snapToGrid w:val="0"/>
        <w:spacing w:line="360" w:lineRule="auto"/>
        <w:ind w:right="415" w:firstLine="640"/>
        <w:textAlignment w:val="baseline"/>
        <w:rPr>
          <w:rFonts w:ascii="宋体" w:hAnsi="宋体" w:cs="宋体"/>
          <w:szCs w:val="24"/>
          <w:lang w:val="zh-CN"/>
        </w:rPr>
      </w:pPr>
      <w:r>
        <w:rPr>
          <w:rFonts w:hint="eastAsia" w:ascii="宋体" w:hAnsi="宋体" w:cs="宋体"/>
          <w:color w:val="000000"/>
          <w:szCs w:val="24"/>
        </w:rPr>
        <w:t>竞争性磋商响应</w:t>
      </w:r>
      <w:r>
        <w:rPr>
          <w:rFonts w:hint="eastAsia" w:ascii="宋体" w:hAnsi="宋体" w:cs="宋体"/>
          <w:szCs w:val="24"/>
        </w:rPr>
        <w:t>供应商：（单位盖章）</w:t>
      </w:r>
    </w:p>
    <w:p>
      <w:pPr>
        <w:pStyle w:val="19"/>
        <w:snapToGrid w:val="0"/>
        <w:spacing w:line="360" w:lineRule="auto"/>
        <w:ind w:right="415" w:firstLine="640"/>
        <w:textAlignment w:val="baseline"/>
        <w:rPr>
          <w:rFonts w:ascii="宋体" w:hAnsi="宋体" w:cs="宋体"/>
          <w:szCs w:val="24"/>
        </w:rPr>
      </w:pPr>
      <w:r>
        <w:rPr>
          <w:rFonts w:hint="eastAsia" w:ascii="宋体" w:hAnsi="宋体" w:cs="宋体"/>
          <w:szCs w:val="24"/>
        </w:rPr>
        <w:t>法定代表人或被委托授权人：（签字或盖章）</w:t>
      </w:r>
    </w:p>
    <w:p>
      <w:pPr>
        <w:pStyle w:val="19"/>
        <w:snapToGrid w:val="0"/>
        <w:spacing w:line="360" w:lineRule="auto"/>
        <w:ind w:right="415" w:firstLine="640"/>
        <w:textAlignment w:val="baseline"/>
        <w:rPr>
          <w:rFonts w:ascii="宋体" w:hAnsi="宋体" w:cs="宋体"/>
          <w:szCs w:val="24"/>
        </w:rPr>
      </w:pPr>
      <w:r>
        <w:rPr>
          <w:rFonts w:hint="eastAsia" w:ascii="宋体" w:hAnsi="宋体" w:cs="宋体"/>
          <w:szCs w:val="24"/>
        </w:rPr>
        <w:t>日期：        年      月     日</w:t>
      </w:r>
    </w:p>
    <w:p>
      <w:pPr>
        <w:snapToGrid w:val="0"/>
        <w:spacing w:line="420" w:lineRule="exact"/>
        <w:ind w:firstLine="412" w:firstLineChars="206"/>
        <w:textAlignment w:val="baseline"/>
        <w:rPr>
          <w:rFonts w:ascii="宋体" w:hAnsi="宋体" w:cs="宋体"/>
          <w:sz w:val="20"/>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pPr>
        <w:snapToGrid w:val="0"/>
        <w:spacing w:line="420" w:lineRule="exact"/>
        <w:ind w:firstLine="414" w:firstLineChars="206"/>
        <w:textAlignment w:val="baseline"/>
        <w:rPr>
          <w:rFonts w:ascii="宋体" w:hAnsi="宋体" w:cs="宋体"/>
          <w:b/>
          <w:bCs/>
          <w:sz w:val="20"/>
        </w:rPr>
      </w:pPr>
    </w:p>
    <w:p>
      <w:pPr>
        <w:snapToGrid w:val="0"/>
        <w:spacing w:line="420" w:lineRule="exact"/>
        <w:ind w:firstLine="412" w:firstLineChars="206"/>
        <w:textAlignment w:val="baseline"/>
        <w:rPr>
          <w:sz w:val="20"/>
        </w:rPr>
      </w:pPr>
    </w:p>
    <w:p>
      <w:pPr>
        <w:snapToGrid w:val="0"/>
        <w:spacing w:line="420" w:lineRule="exact"/>
        <w:jc w:val="center"/>
        <w:textAlignment w:val="baseline"/>
        <w:rPr>
          <w:b/>
          <w:bCs/>
        </w:rPr>
      </w:pPr>
      <w:r>
        <w:rPr>
          <w:b/>
          <w:bCs/>
        </w:rPr>
        <w:t>……</w:t>
      </w:r>
      <w:r>
        <w:rPr>
          <w:rFonts w:hint="eastAsia" w:cs="宋体"/>
          <w:b/>
          <w:bCs/>
        </w:rPr>
        <w:t>全文结束</w:t>
      </w:r>
      <w:r>
        <w:rPr>
          <w:b/>
          <w:bCs/>
        </w:rPr>
        <w:t>……</w:t>
      </w:r>
    </w:p>
    <w:p>
      <w:pPr>
        <w:pStyle w:val="2"/>
        <w:rPr>
          <w:b/>
          <w:bCs/>
        </w:rPr>
      </w:pPr>
    </w:p>
    <w:p>
      <w:pPr>
        <w:pStyle w:val="2"/>
        <w:rPr>
          <w:b/>
          <w:bCs/>
        </w:rPr>
      </w:pPr>
    </w:p>
    <w:p>
      <w:pPr>
        <w:pStyle w:val="2"/>
        <w:ind w:left="0" w:leftChars="0" w:firstLine="0" w:firstLineChars="0"/>
        <w:rPr>
          <w:b/>
          <w:bCs/>
        </w:rPr>
      </w:pPr>
    </w:p>
    <w:sectPr>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1"/>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1"/>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jc w:val="both"/>
    </w:pPr>
    <w:r>
      <w:rPr>
        <w:rFonts w:hint="eastAsia" w:ascii="宋体" w:hAnsi="宋体" w:cs="宋体"/>
        <w:sz w:val="18"/>
        <w:szCs w:val="18"/>
        <w:u w:val="single"/>
        <w:lang w:eastAsia="zh-CN"/>
      </w:rPr>
      <w:t>南通市妇幼保健院锅炉维保服务采购项目</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lang w:val="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DB306"/>
    <w:multiLevelType w:val="singleLevel"/>
    <w:tmpl w:val="87CDB306"/>
    <w:lvl w:ilvl="0" w:tentative="0">
      <w:start w:val="1"/>
      <w:numFmt w:val="decimal"/>
      <w:suff w:val="nothing"/>
      <w:lvlText w:val="%1、"/>
      <w:lvlJc w:val="left"/>
    </w:lvl>
  </w:abstractNum>
  <w:abstractNum w:abstractNumId="1">
    <w:nsid w:val="96C906A1"/>
    <w:multiLevelType w:val="singleLevel"/>
    <w:tmpl w:val="96C906A1"/>
    <w:lvl w:ilvl="0" w:tentative="0">
      <w:start w:val="1"/>
      <w:numFmt w:val="chineseCounting"/>
      <w:suff w:val="nothing"/>
      <w:lvlText w:val="（%1）"/>
      <w:lvlJc w:val="left"/>
      <w:rPr>
        <w:rFonts w:hint="eastAsia"/>
      </w:rPr>
    </w:lvl>
  </w:abstractNum>
  <w:abstractNum w:abstractNumId="2">
    <w:nsid w:val="A5EAB127"/>
    <w:multiLevelType w:val="singleLevel"/>
    <w:tmpl w:val="A5EAB127"/>
    <w:lvl w:ilvl="0" w:tentative="0">
      <w:start w:val="1"/>
      <w:numFmt w:val="decimal"/>
      <w:suff w:val="nothing"/>
      <w:lvlText w:val="%1）"/>
      <w:lvlJc w:val="left"/>
    </w:lvl>
  </w:abstractNum>
  <w:abstractNum w:abstractNumId="3">
    <w:nsid w:val="CE4A74FF"/>
    <w:multiLevelType w:val="singleLevel"/>
    <w:tmpl w:val="CE4A74FF"/>
    <w:lvl w:ilvl="0" w:tentative="0">
      <w:start w:val="1"/>
      <w:numFmt w:val="decimal"/>
      <w:suff w:val="nothing"/>
      <w:lvlText w:val="%1）"/>
      <w:lvlJc w:val="left"/>
    </w:lvl>
  </w:abstractNum>
  <w:abstractNum w:abstractNumId="4">
    <w:nsid w:val="DAEF715D"/>
    <w:multiLevelType w:val="singleLevel"/>
    <w:tmpl w:val="DAEF715D"/>
    <w:lvl w:ilvl="0" w:tentative="0">
      <w:start w:val="1"/>
      <w:numFmt w:val="decimal"/>
      <w:suff w:val="nothing"/>
      <w:lvlText w:val="%1）"/>
      <w:lvlJc w:val="left"/>
    </w:lvl>
  </w:abstractNum>
  <w:abstractNum w:abstractNumId="5">
    <w:nsid w:val="E1C846ED"/>
    <w:multiLevelType w:val="singleLevel"/>
    <w:tmpl w:val="E1C846ED"/>
    <w:lvl w:ilvl="0" w:tentative="0">
      <w:start w:val="1"/>
      <w:numFmt w:val="decimal"/>
      <w:suff w:val="nothing"/>
      <w:lvlText w:val="%1）"/>
      <w:lvlJc w:val="left"/>
    </w:lvl>
  </w:abstractNum>
  <w:abstractNum w:abstractNumId="6">
    <w:nsid w:val="F987E0F1"/>
    <w:multiLevelType w:val="singleLevel"/>
    <w:tmpl w:val="F987E0F1"/>
    <w:lvl w:ilvl="0" w:tentative="0">
      <w:start w:val="1"/>
      <w:numFmt w:val="decimal"/>
      <w:suff w:val="nothing"/>
      <w:lvlText w:val="%1、"/>
      <w:lvlJc w:val="left"/>
    </w:lvl>
  </w:abstractNum>
  <w:abstractNum w:abstractNumId="7">
    <w:nsid w:val="0000003D"/>
    <w:multiLevelType w:val="multilevel"/>
    <w:tmpl w:val="0000003D"/>
    <w:lvl w:ilvl="0" w:tentative="0">
      <w:start w:val="1"/>
      <w:numFmt w:val="chineseCountingThousand"/>
      <w:pStyle w:val="5"/>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8">
    <w:nsid w:val="0F6A4A70"/>
    <w:multiLevelType w:val="singleLevel"/>
    <w:tmpl w:val="0F6A4A70"/>
    <w:lvl w:ilvl="0" w:tentative="0">
      <w:start w:val="1"/>
      <w:numFmt w:val="decimal"/>
      <w:lvlText w:val="%1)"/>
      <w:lvlJc w:val="left"/>
      <w:pPr>
        <w:ind w:left="425" w:hanging="425"/>
      </w:pPr>
      <w:rPr>
        <w:rFonts w:hint="default"/>
      </w:rPr>
    </w:lvl>
  </w:abstractNum>
  <w:abstractNum w:abstractNumId="9">
    <w:nsid w:val="1655D05D"/>
    <w:multiLevelType w:val="singleLevel"/>
    <w:tmpl w:val="1655D05D"/>
    <w:lvl w:ilvl="0" w:tentative="0">
      <w:start w:val="2"/>
      <w:numFmt w:val="decimal"/>
      <w:suff w:val="nothing"/>
      <w:lvlText w:val="%1、"/>
      <w:lvlJc w:val="left"/>
    </w:lvl>
  </w:abstractNum>
  <w:abstractNum w:abstractNumId="10">
    <w:nsid w:val="24E8D785"/>
    <w:multiLevelType w:val="singleLevel"/>
    <w:tmpl w:val="24E8D785"/>
    <w:lvl w:ilvl="0" w:tentative="0">
      <w:start w:val="1"/>
      <w:numFmt w:val="decimal"/>
      <w:suff w:val="nothing"/>
      <w:lvlText w:val="%1）"/>
      <w:lvlJc w:val="left"/>
    </w:lvl>
  </w:abstractNum>
  <w:abstractNum w:abstractNumId="11">
    <w:nsid w:val="2C0DFDC2"/>
    <w:multiLevelType w:val="singleLevel"/>
    <w:tmpl w:val="2C0DFDC2"/>
    <w:lvl w:ilvl="0" w:tentative="0">
      <w:start w:val="1"/>
      <w:numFmt w:val="decimal"/>
      <w:suff w:val="nothing"/>
      <w:lvlText w:val="%1、"/>
      <w:lvlJc w:val="left"/>
    </w:lvl>
  </w:abstractNum>
  <w:abstractNum w:abstractNumId="12">
    <w:nsid w:val="358A0AB6"/>
    <w:multiLevelType w:val="singleLevel"/>
    <w:tmpl w:val="358A0AB6"/>
    <w:lvl w:ilvl="0" w:tentative="0">
      <w:start w:val="7"/>
      <w:numFmt w:val="chineseCounting"/>
      <w:suff w:val="nothing"/>
      <w:lvlText w:val="%1、"/>
      <w:lvlJc w:val="left"/>
      <w:rPr>
        <w:rFonts w:hint="eastAsia"/>
      </w:rPr>
    </w:lvl>
  </w:abstractNum>
  <w:abstractNum w:abstractNumId="13">
    <w:nsid w:val="3E250E7A"/>
    <w:multiLevelType w:val="singleLevel"/>
    <w:tmpl w:val="3E250E7A"/>
    <w:lvl w:ilvl="0" w:tentative="0">
      <w:start w:val="1"/>
      <w:numFmt w:val="chineseCounting"/>
      <w:suff w:val="nothing"/>
      <w:lvlText w:val="%1、"/>
      <w:lvlJc w:val="left"/>
      <w:rPr>
        <w:rFonts w:hint="eastAsia"/>
      </w:rPr>
    </w:lvl>
  </w:abstractNum>
  <w:abstractNum w:abstractNumId="14">
    <w:nsid w:val="5A0F3AED"/>
    <w:multiLevelType w:val="singleLevel"/>
    <w:tmpl w:val="5A0F3AED"/>
    <w:lvl w:ilvl="0" w:tentative="0">
      <w:start w:val="1"/>
      <w:numFmt w:val="decimal"/>
      <w:suff w:val="nothing"/>
      <w:lvlText w:val="%1、"/>
      <w:lvlJc w:val="left"/>
    </w:lvl>
  </w:abstractNum>
  <w:abstractNum w:abstractNumId="15">
    <w:nsid w:val="5A455D2A"/>
    <w:multiLevelType w:val="singleLevel"/>
    <w:tmpl w:val="5A455D2A"/>
    <w:lvl w:ilvl="0" w:tentative="0">
      <w:start w:val="1"/>
      <w:numFmt w:val="decimal"/>
      <w:suff w:val="nothing"/>
      <w:lvlText w:val="%1）"/>
      <w:lvlJc w:val="left"/>
      <w:pPr>
        <w:ind w:left="-270"/>
      </w:pPr>
    </w:lvl>
  </w:abstractNum>
  <w:abstractNum w:abstractNumId="16">
    <w:nsid w:val="5B9039B8"/>
    <w:multiLevelType w:val="singleLevel"/>
    <w:tmpl w:val="5B9039B8"/>
    <w:lvl w:ilvl="0" w:tentative="0">
      <w:start w:val="1"/>
      <w:numFmt w:val="decimal"/>
      <w:suff w:val="nothing"/>
      <w:lvlText w:val="%1）"/>
      <w:lvlJc w:val="left"/>
    </w:lvl>
  </w:abstractNum>
  <w:abstractNum w:abstractNumId="17">
    <w:nsid w:val="6988497B"/>
    <w:multiLevelType w:val="multilevel"/>
    <w:tmpl w:val="6988497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6F1A29ED"/>
    <w:multiLevelType w:val="singleLevel"/>
    <w:tmpl w:val="6F1A29ED"/>
    <w:lvl w:ilvl="0" w:tentative="0">
      <w:start w:val="1"/>
      <w:numFmt w:val="chineseCounting"/>
      <w:suff w:val="nothing"/>
      <w:lvlText w:val="%1、"/>
      <w:lvlJc w:val="left"/>
      <w:rPr>
        <w:rFonts w:hint="eastAsia"/>
      </w:rPr>
    </w:lvl>
  </w:abstractNum>
  <w:abstractNum w:abstractNumId="19">
    <w:nsid w:val="7BD9FEF2"/>
    <w:multiLevelType w:val="singleLevel"/>
    <w:tmpl w:val="7BD9FEF2"/>
    <w:lvl w:ilvl="0" w:tentative="0">
      <w:start w:val="1"/>
      <w:numFmt w:val="decimal"/>
      <w:suff w:val="nothing"/>
      <w:lvlText w:val="%1、"/>
      <w:lvlJc w:val="left"/>
      <w:pPr>
        <w:ind w:left="-62"/>
      </w:pPr>
    </w:lvl>
  </w:abstractNum>
  <w:num w:numId="1">
    <w:abstractNumId w:val="7"/>
  </w:num>
  <w:num w:numId="2">
    <w:abstractNumId w:val="0"/>
  </w:num>
  <w:num w:numId="3">
    <w:abstractNumId w:val="12"/>
  </w:num>
  <w:num w:numId="4">
    <w:abstractNumId w:val="14"/>
  </w:num>
  <w:num w:numId="5">
    <w:abstractNumId w:val="11"/>
  </w:num>
  <w:num w:numId="6">
    <w:abstractNumId w:val="9"/>
  </w:num>
  <w:num w:numId="7">
    <w:abstractNumId w:val="13"/>
  </w:num>
  <w:num w:numId="8">
    <w:abstractNumId w:val="19"/>
  </w:num>
  <w:num w:numId="9">
    <w:abstractNumId w:val="15"/>
  </w:num>
  <w:num w:numId="10">
    <w:abstractNumId w:val="4"/>
  </w:num>
  <w:num w:numId="11">
    <w:abstractNumId w:val="10"/>
  </w:num>
  <w:num w:numId="12">
    <w:abstractNumId w:val="3"/>
  </w:num>
  <w:num w:numId="13">
    <w:abstractNumId w:val="1"/>
  </w:num>
  <w:num w:numId="14">
    <w:abstractNumId w:val="8"/>
  </w:num>
  <w:num w:numId="15">
    <w:abstractNumId w:val="16"/>
  </w:num>
  <w:num w:numId="16">
    <w:abstractNumId w:val="5"/>
  </w:num>
  <w:num w:numId="17">
    <w:abstractNumId w:val="2"/>
  </w:num>
  <w:num w:numId="18">
    <w:abstractNumId w:val="17"/>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4"/>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OTMwYzcyYTYzZDNmYTk0N2YyODEwYjA1OTg2YjA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74F14"/>
    <w:rsid w:val="01303A9E"/>
    <w:rsid w:val="01383FD0"/>
    <w:rsid w:val="01451617"/>
    <w:rsid w:val="0190158D"/>
    <w:rsid w:val="01B77047"/>
    <w:rsid w:val="0203063D"/>
    <w:rsid w:val="02043122"/>
    <w:rsid w:val="02055635"/>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FB048C"/>
    <w:rsid w:val="052C29BF"/>
    <w:rsid w:val="05337A63"/>
    <w:rsid w:val="055C5785"/>
    <w:rsid w:val="05913412"/>
    <w:rsid w:val="05F06637"/>
    <w:rsid w:val="062C7228"/>
    <w:rsid w:val="06517EE9"/>
    <w:rsid w:val="06C55EEB"/>
    <w:rsid w:val="07004918"/>
    <w:rsid w:val="070B6221"/>
    <w:rsid w:val="07654B87"/>
    <w:rsid w:val="07BA720E"/>
    <w:rsid w:val="07CB7156"/>
    <w:rsid w:val="07E13B30"/>
    <w:rsid w:val="07EE2CA7"/>
    <w:rsid w:val="081F2D4C"/>
    <w:rsid w:val="084E2ACF"/>
    <w:rsid w:val="084F19C0"/>
    <w:rsid w:val="08635040"/>
    <w:rsid w:val="08A83B98"/>
    <w:rsid w:val="08B2562B"/>
    <w:rsid w:val="08B5584D"/>
    <w:rsid w:val="08BC41C1"/>
    <w:rsid w:val="09190838"/>
    <w:rsid w:val="095C7B83"/>
    <w:rsid w:val="098F731B"/>
    <w:rsid w:val="0996625D"/>
    <w:rsid w:val="09DE2A70"/>
    <w:rsid w:val="0A1F4EA7"/>
    <w:rsid w:val="0AB51489"/>
    <w:rsid w:val="0ABF0DA2"/>
    <w:rsid w:val="0ACE0B6C"/>
    <w:rsid w:val="0AEE6792"/>
    <w:rsid w:val="0B33524B"/>
    <w:rsid w:val="0BE64801"/>
    <w:rsid w:val="0C7965AF"/>
    <w:rsid w:val="0C8E3524"/>
    <w:rsid w:val="0C95751F"/>
    <w:rsid w:val="0CD426C0"/>
    <w:rsid w:val="0D63355E"/>
    <w:rsid w:val="0D6402AD"/>
    <w:rsid w:val="0D6E00F5"/>
    <w:rsid w:val="0DE27351"/>
    <w:rsid w:val="0E133FA6"/>
    <w:rsid w:val="0E195228"/>
    <w:rsid w:val="0E2217A8"/>
    <w:rsid w:val="0E925E78"/>
    <w:rsid w:val="0EA20C5D"/>
    <w:rsid w:val="0EA54211"/>
    <w:rsid w:val="0EAB227A"/>
    <w:rsid w:val="0EAD5EAE"/>
    <w:rsid w:val="0EB36468"/>
    <w:rsid w:val="0EDB759D"/>
    <w:rsid w:val="0F361774"/>
    <w:rsid w:val="0F3B7D92"/>
    <w:rsid w:val="0F66630C"/>
    <w:rsid w:val="0F760781"/>
    <w:rsid w:val="0FCB5DCA"/>
    <w:rsid w:val="0FF10449"/>
    <w:rsid w:val="10485433"/>
    <w:rsid w:val="104C2911"/>
    <w:rsid w:val="107B6F12"/>
    <w:rsid w:val="11053C87"/>
    <w:rsid w:val="11316C22"/>
    <w:rsid w:val="11604A5C"/>
    <w:rsid w:val="1176169D"/>
    <w:rsid w:val="117C68E7"/>
    <w:rsid w:val="118263A1"/>
    <w:rsid w:val="119603EC"/>
    <w:rsid w:val="11A331FA"/>
    <w:rsid w:val="11A87B15"/>
    <w:rsid w:val="11C224F8"/>
    <w:rsid w:val="120038A1"/>
    <w:rsid w:val="121A67F7"/>
    <w:rsid w:val="121E029E"/>
    <w:rsid w:val="124D4083"/>
    <w:rsid w:val="12701BF6"/>
    <w:rsid w:val="1287461C"/>
    <w:rsid w:val="12DE47E6"/>
    <w:rsid w:val="12F639E2"/>
    <w:rsid w:val="133D1517"/>
    <w:rsid w:val="136532E8"/>
    <w:rsid w:val="13CC1FE7"/>
    <w:rsid w:val="141407F8"/>
    <w:rsid w:val="14D251DA"/>
    <w:rsid w:val="155913AC"/>
    <w:rsid w:val="15BC3411"/>
    <w:rsid w:val="1614567C"/>
    <w:rsid w:val="16271ECD"/>
    <w:rsid w:val="16A76302"/>
    <w:rsid w:val="16C521B5"/>
    <w:rsid w:val="16F3593D"/>
    <w:rsid w:val="173A3666"/>
    <w:rsid w:val="17405D8B"/>
    <w:rsid w:val="17482177"/>
    <w:rsid w:val="17794290"/>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3B555D"/>
    <w:rsid w:val="1AA40BC5"/>
    <w:rsid w:val="1AA52927"/>
    <w:rsid w:val="1AFC093E"/>
    <w:rsid w:val="1B63274F"/>
    <w:rsid w:val="1B751D18"/>
    <w:rsid w:val="1B837689"/>
    <w:rsid w:val="1BA35581"/>
    <w:rsid w:val="1BBC1B6B"/>
    <w:rsid w:val="1BE1312F"/>
    <w:rsid w:val="1BE54206"/>
    <w:rsid w:val="1BFD0B5F"/>
    <w:rsid w:val="1C1224F7"/>
    <w:rsid w:val="1C215860"/>
    <w:rsid w:val="1C3B088A"/>
    <w:rsid w:val="1CD120FF"/>
    <w:rsid w:val="1CDF6B41"/>
    <w:rsid w:val="1D2F3F5E"/>
    <w:rsid w:val="1D3121A1"/>
    <w:rsid w:val="1D52110B"/>
    <w:rsid w:val="1D567D06"/>
    <w:rsid w:val="1D5E5041"/>
    <w:rsid w:val="1D6920D8"/>
    <w:rsid w:val="1DF127C5"/>
    <w:rsid w:val="1E994839"/>
    <w:rsid w:val="1EA43D4B"/>
    <w:rsid w:val="1ECB6CF3"/>
    <w:rsid w:val="1ED63936"/>
    <w:rsid w:val="1EE82E44"/>
    <w:rsid w:val="1F095BCD"/>
    <w:rsid w:val="1F324176"/>
    <w:rsid w:val="1F3839D1"/>
    <w:rsid w:val="1F980D5B"/>
    <w:rsid w:val="1FB35C2A"/>
    <w:rsid w:val="1FB7392F"/>
    <w:rsid w:val="1FD83FC9"/>
    <w:rsid w:val="200A7C06"/>
    <w:rsid w:val="20443B05"/>
    <w:rsid w:val="20540405"/>
    <w:rsid w:val="20AB7349"/>
    <w:rsid w:val="20B11C5C"/>
    <w:rsid w:val="20BE2EDB"/>
    <w:rsid w:val="20CF18B8"/>
    <w:rsid w:val="20DC1B4D"/>
    <w:rsid w:val="20E75FEA"/>
    <w:rsid w:val="211B0EE6"/>
    <w:rsid w:val="21386BBD"/>
    <w:rsid w:val="219A49A8"/>
    <w:rsid w:val="21BE7C5E"/>
    <w:rsid w:val="21C77D00"/>
    <w:rsid w:val="21CA74E9"/>
    <w:rsid w:val="21DE261D"/>
    <w:rsid w:val="21EC2BAB"/>
    <w:rsid w:val="21F22C88"/>
    <w:rsid w:val="220D46BA"/>
    <w:rsid w:val="22A60EB5"/>
    <w:rsid w:val="22D23494"/>
    <w:rsid w:val="22D81D21"/>
    <w:rsid w:val="230F0A4B"/>
    <w:rsid w:val="23165F69"/>
    <w:rsid w:val="232B1CE8"/>
    <w:rsid w:val="238263F4"/>
    <w:rsid w:val="23AF4937"/>
    <w:rsid w:val="24011960"/>
    <w:rsid w:val="24054A11"/>
    <w:rsid w:val="241137D9"/>
    <w:rsid w:val="245A05CA"/>
    <w:rsid w:val="24895FF2"/>
    <w:rsid w:val="24B66F7B"/>
    <w:rsid w:val="24B95CB1"/>
    <w:rsid w:val="25101C98"/>
    <w:rsid w:val="2549427F"/>
    <w:rsid w:val="25974A42"/>
    <w:rsid w:val="25E037D0"/>
    <w:rsid w:val="2614749F"/>
    <w:rsid w:val="268C368D"/>
    <w:rsid w:val="26B92AA7"/>
    <w:rsid w:val="26F23C5A"/>
    <w:rsid w:val="27251824"/>
    <w:rsid w:val="273F2C97"/>
    <w:rsid w:val="2750534C"/>
    <w:rsid w:val="276D2FA1"/>
    <w:rsid w:val="277838F6"/>
    <w:rsid w:val="279F2C36"/>
    <w:rsid w:val="283C7C55"/>
    <w:rsid w:val="28453812"/>
    <w:rsid w:val="28A65873"/>
    <w:rsid w:val="28A91911"/>
    <w:rsid w:val="28EC1885"/>
    <w:rsid w:val="291F27EC"/>
    <w:rsid w:val="29212C84"/>
    <w:rsid w:val="2933177B"/>
    <w:rsid w:val="29394C50"/>
    <w:rsid w:val="2974095E"/>
    <w:rsid w:val="29927401"/>
    <w:rsid w:val="299608E4"/>
    <w:rsid w:val="299B6946"/>
    <w:rsid w:val="29B80978"/>
    <w:rsid w:val="29C04EC5"/>
    <w:rsid w:val="29DE1E4D"/>
    <w:rsid w:val="2A0A7696"/>
    <w:rsid w:val="2A0D0F0C"/>
    <w:rsid w:val="2A176C00"/>
    <w:rsid w:val="2A6B1D80"/>
    <w:rsid w:val="2ADB6EB7"/>
    <w:rsid w:val="2AFB54C5"/>
    <w:rsid w:val="2B055F8A"/>
    <w:rsid w:val="2B0C03A4"/>
    <w:rsid w:val="2B200651"/>
    <w:rsid w:val="2B3841A3"/>
    <w:rsid w:val="2B6F658C"/>
    <w:rsid w:val="2BA33DC6"/>
    <w:rsid w:val="2BF16B92"/>
    <w:rsid w:val="2D511017"/>
    <w:rsid w:val="2DA67B66"/>
    <w:rsid w:val="2DFD7CDE"/>
    <w:rsid w:val="2E8818C4"/>
    <w:rsid w:val="2E922D73"/>
    <w:rsid w:val="2EBA1864"/>
    <w:rsid w:val="2EC85D5E"/>
    <w:rsid w:val="2ED50D09"/>
    <w:rsid w:val="2EF22E53"/>
    <w:rsid w:val="2F0748E7"/>
    <w:rsid w:val="2F0A6734"/>
    <w:rsid w:val="2F3D79D9"/>
    <w:rsid w:val="2F4219B8"/>
    <w:rsid w:val="2F9C54E2"/>
    <w:rsid w:val="2FC36919"/>
    <w:rsid w:val="2FC935F5"/>
    <w:rsid w:val="3014598E"/>
    <w:rsid w:val="3019494D"/>
    <w:rsid w:val="301B4DB2"/>
    <w:rsid w:val="302F5F5A"/>
    <w:rsid w:val="305C6B22"/>
    <w:rsid w:val="30B27717"/>
    <w:rsid w:val="30DB42DF"/>
    <w:rsid w:val="30E74DA6"/>
    <w:rsid w:val="30EC34E0"/>
    <w:rsid w:val="31172A76"/>
    <w:rsid w:val="31841167"/>
    <w:rsid w:val="31962F66"/>
    <w:rsid w:val="32484C4E"/>
    <w:rsid w:val="32605D06"/>
    <w:rsid w:val="32E90B44"/>
    <w:rsid w:val="33A43C30"/>
    <w:rsid w:val="33CE2C57"/>
    <w:rsid w:val="33DE6B77"/>
    <w:rsid w:val="33EC512B"/>
    <w:rsid w:val="341C101E"/>
    <w:rsid w:val="346F43F1"/>
    <w:rsid w:val="347D281C"/>
    <w:rsid w:val="34FA467B"/>
    <w:rsid w:val="35441A8C"/>
    <w:rsid w:val="35484BCD"/>
    <w:rsid w:val="355A3D41"/>
    <w:rsid w:val="35691819"/>
    <w:rsid w:val="35A304A9"/>
    <w:rsid w:val="35D573AE"/>
    <w:rsid w:val="364D7488"/>
    <w:rsid w:val="36741E16"/>
    <w:rsid w:val="36CC7811"/>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2422E"/>
    <w:rsid w:val="384E7A64"/>
    <w:rsid w:val="389567FE"/>
    <w:rsid w:val="389B0595"/>
    <w:rsid w:val="38A47140"/>
    <w:rsid w:val="38F80946"/>
    <w:rsid w:val="39197560"/>
    <w:rsid w:val="39275FEC"/>
    <w:rsid w:val="393153A6"/>
    <w:rsid w:val="3939253C"/>
    <w:rsid w:val="39875A90"/>
    <w:rsid w:val="39A53523"/>
    <w:rsid w:val="39A75360"/>
    <w:rsid w:val="39C661B5"/>
    <w:rsid w:val="3A24180E"/>
    <w:rsid w:val="3A3D44A3"/>
    <w:rsid w:val="3A6570A1"/>
    <w:rsid w:val="3A883352"/>
    <w:rsid w:val="3A98285C"/>
    <w:rsid w:val="3AA7541F"/>
    <w:rsid w:val="3AB16AFD"/>
    <w:rsid w:val="3ABD3CF2"/>
    <w:rsid w:val="3AD23706"/>
    <w:rsid w:val="3AD54D74"/>
    <w:rsid w:val="3ADF1772"/>
    <w:rsid w:val="3AE83617"/>
    <w:rsid w:val="3AFC44E4"/>
    <w:rsid w:val="3B377223"/>
    <w:rsid w:val="3CE43D58"/>
    <w:rsid w:val="3D056DE5"/>
    <w:rsid w:val="3D150381"/>
    <w:rsid w:val="3D242DC0"/>
    <w:rsid w:val="3D3357D0"/>
    <w:rsid w:val="3D3861CD"/>
    <w:rsid w:val="3D444D9B"/>
    <w:rsid w:val="3D603B0C"/>
    <w:rsid w:val="3D9A53D2"/>
    <w:rsid w:val="3DA82763"/>
    <w:rsid w:val="3EB24A80"/>
    <w:rsid w:val="3EF344A0"/>
    <w:rsid w:val="3F0C5499"/>
    <w:rsid w:val="3F266B61"/>
    <w:rsid w:val="3F271710"/>
    <w:rsid w:val="3F564F2E"/>
    <w:rsid w:val="3F5A618E"/>
    <w:rsid w:val="403C0BE5"/>
    <w:rsid w:val="406538E2"/>
    <w:rsid w:val="40AE2408"/>
    <w:rsid w:val="40E6513A"/>
    <w:rsid w:val="41207F0A"/>
    <w:rsid w:val="41277CAD"/>
    <w:rsid w:val="415E7BFF"/>
    <w:rsid w:val="417254CB"/>
    <w:rsid w:val="418A329E"/>
    <w:rsid w:val="41DE7B28"/>
    <w:rsid w:val="421C406A"/>
    <w:rsid w:val="421C69ED"/>
    <w:rsid w:val="423D3A47"/>
    <w:rsid w:val="423F7E57"/>
    <w:rsid w:val="428B61F9"/>
    <w:rsid w:val="433112AC"/>
    <w:rsid w:val="43313437"/>
    <w:rsid w:val="433238B4"/>
    <w:rsid w:val="434E0C0A"/>
    <w:rsid w:val="438D6152"/>
    <w:rsid w:val="43C54EEF"/>
    <w:rsid w:val="43E02C27"/>
    <w:rsid w:val="443B1E1A"/>
    <w:rsid w:val="44535F71"/>
    <w:rsid w:val="44A17A7E"/>
    <w:rsid w:val="44EE06E7"/>
    <w:rsid w:val="453C2484"/>
    <w:rsid w:val="453D6989"/>
    <w:rsid w:val="453F4987"/>
    <w:rsid w:val="456E21D5"/>
    <w:rsid w:val="45BA70B1"/>
    <w:rsid w:val="45EA2CE8"/>
    <w:rsid w:val="45F74EDF"/>
    <w:rsid w:val="4600059B"/>
    <w:rsid w:val="46160E93"/>
    <w:rsid w:val="462D006C"/>
    <w:rsid w:val="464E252C"/>
    <w:rsid w:val="46AB5174"/>
    <w:rsid w:val="46B700F8"/>
    <w:rsid w:val="46BB44BC"/>
    <w:rsid w:val="46D272F4"/>
    <w:rsid w:val="473A4BD7"/>
    <w:rsid w:val="47510996"/>
    <w:rsid w:val="47570AD2"/>
    <w:rsid w:val="47580314"/>
    <w:rsid w:val="47B34831"/>
    <w:rsid w:val="47EB41FA"/>
    <w:rsid w:val="47EF7803"/>
    <w:rsid w:val="4804144A"/>
    <w:rsid w:val="48070487"/>
    <w:rsid w:val="48695334"/>
    <w:rsid w:val="486A7361"/>
    <w:rsid w:val="48C05E0B"/>
    <w:rsid w:val="48C93CA5"/>
    <w:rsid w:val="490671E3"/>
    <w:rsid w:val="490E1280"/>
    <w:rsid w:val="4922407A"/>
    <w:rsid w:val="497A63F6"/>
    <w:rsid w:val="497B7D9F"/>
    <w:rsid w:val="498E6CD6"/>
    <w:rsid w:val="49BD25AC"/>
    <w:rsid w:val="49C93F25"/>
    <w:rsid w:val="49D14B65"/>
    <w:rsid w:val="4A803067"/>
    <w:rsid w:val="4AB74840"/>
    <w:rsid w:val="4AD728D0"/>
    <w:rsid w:val="4ADF597A"/>
    <w:rsid w:val="4AE30D8B"/>
    <w:rsid w:val="4B2D7D43"/>
    <w:rsid w:val="4B91508D"/>
    <w:rsid w:val="4B937275"/>
    <w:rsid w:val="4BB90631"/>
    <w:rsid w:val="4C450FB8"/>
    <w:rsid w:val="4C747E14"/>
    <w:rsid w:val="4CA84AAD"/>
    <w:rsid w:val="4CAC0E3F"/>
    <w:rsid w:val="4CEA5082"/>
    <w:rsid w:val="4D2B53D3"/>
    <w:rsid w:val="4D807BBE"/>
    <w:rsid w:val="4E01515D"/>
    <w:rsid w:val="4E405991"/>
    <w:rsid w:val="4E644A95"/>
    <w:rsid w:val="4E656BC0"/>
    <w:rsid w:val="4E65774D"/>
    <w:rsid w:val="4F0023CD"/>
    <w:rsid w:val="4F056DE1"/>
    <w:rsid w:val="4F15353E"/>
    <w:rsid w:val="4F19757E"/>
    <w:rsid w:val="4F223D03"/>
    <w:rsid w:val="4F6701AB"/>
    <w:rsid w:val="4F9E5377"/>
    <w:rsid w:val="4FCB101C"/>
    <w:rsid w:val="4FE6405E"/>
    <w:rsid w:val="50602A1B"/>
    <w:rsid w:val="50612797"/>
    <w:rsid w:val="50BB53A5"/>
    <w:rsid w:val="50DC73F1"/>
    <w:rsid w:val="50FB1272"/>
    <w:rsid w:val="51174AAA"/>
    <w:rsid w:val="51C54E50"/>
    <w:rsid w:val="51DE290C"/>
    <w:rsid w:val="51E311A7"/>
    <w:rsid w:val="521356D1"/>
    <w:rsid w:val="529D10AF"/>
    <w:rsid w:val="53494392"/>
    <w:rsid w:val="535809C3"/>
    <w:rsid w:val="53E76275"/>
    <w:rsid w:val="54372316"/>
    <w:rsid w:val="547B4505"/>
    <w:rsid w:val="548E6390"/>
    <w:rsid w:val="549E4993"/>
    <w:rsid w:val="54C51393"/>
    <w:rsid w:val="54D9333A"/>
    <w:rsid w:val="54ED6EEB"/>
    <w:rsid w:val="55966BD2"/>
    <w:rsid w:val="56B23CA6"/>
    <w:rsid w:val="570755A7"/>
    <w:rsid w:val="573072C4"/>
    <w:rsid w:val="57471187"/>
    <w:rsid w:val="576F023D"/>
    <w:rsid w:val="577B6EE4"/>
    <w:rsid w:val="57AC5A21"/>
    <w:rsid w:val="57D2146B"/>
    <w:rsid w:val="57EF1F3E"/>
    <w:rsid w:val="581C0CA5"/>
    <w:rsid w:val="5828202C"/>
    <w:rsid w:val="584E2F27"/>
    <w:rsid w:val="5886355F"/>
    <w:rsid w:val="58891F15"/>
    <w:rsid w:val="58913390"/>
    <w:rsid w:val="58A35601"/>
    <w:rsid w:val="58BA7B88"/>
    <w:rsid w:val="591C62AA"/>
    <w:rsid w:val="593C1AF7"/>
    <w:rsid w:val="597E34F4"/>
    <w:rsid w:val="59DD23FD"/>
    <w:rsid w:val="59E24A9F"/>
    <w:rsid w:val="5A737CDB"/>
    <w:rsid w:val="5B761405"/>
    <w:rsid w:val="5BEC19E4"/>
    <w:rsid w:val="5BF8521E"/>
    <w:rsid w:val="5C0A7D4F"/>
    <w:rsid w:val="5C1B1303"/>
    <w:rsid w:val="5C241BA9"/>
    <w:rsid w:val="5C2453F7"/>
    <w:rsid w:val="5C4D09E5"/>
    <w:rsid w:val="5D0852CE"/>
    <w:rsid w:val="5D2928D3"/>
    <w:rsid w:val="5D2F26AA"/>
    <w:rsid w:val="5D502207"/>
    <w:rsid w:val="5DBD180F"/>
    <w:rsid w:val="5E0369A2"/>
    <w:rsid w:val="5E1C522E"/>
    <w:rsid w:val="5E3B5015"/>
    <w:rsid w:val="5E822C00"/>
    <w:rsid w:val="5ECD71E6"/>
    <w:rsid w:val="5ECF201B"/>
    <w:rsid w:val="5EDA7CAB"/>
    <w:rsid w:val="5EE501EE"/>
    <w:rsid w:val="5F332FFE"/>
    <w:rsid w:val="5F4315E3"/>
    <w:rsid w:val="5FDE769B"/>
    <w:rsid w:val="5FFB11ED"/>
    <w:rsid w:val="60380678"/>
    <w:rsid w:val="605D60B2"/>
    <w:rsid w:val="60604FB9"/>
    <w:rsid w:val="609540A8"/>
    <w:rsid w:val="60B33EB4"/>
    <w:rsid w:val="611A335C"/>
    <w:rsid w:val="61216701"/>
    <w:rsid w:val="612B1527"/>
    <w:rsid w:val="626B5F89"/>
    <w:rsid w:val="627B32D8"/>
    <w:rsid w:val="62971E0C"/>
    <w:rsid w:val="62B90CFD"/>
    <w:rsid w:val="62FF6042"/>
    <w:rsid w:val="631F3899"/>
    <w:rsid w:val="63226337"/>
    <w:rsid w:val="632D650D"/>
    <w:rsid w:val="63863E37"/>
    <w:rsid w:val="63DC4A37"/>
    <w:rsid w:val="643709EB"/>
    <w:rsid w:val="64C753D2"/>
    <w:rsid w:val="64E82635"/>
    <w:rsid w:val="64F168C1"/>
    <w:rsid w:val="64F459D0"/>
    <w:rsid w:val="6553668F"/>
    <w:rsid w:val="65555035"/>
    <w:rsid w:val="65647826"/>
    <w:rsid w:val="6582338C"/>
    <w:rsid w:val="65B22786"/>
    <w:rsid w:val="65CF7848"/>
    <w:rsid w:val="65E531E0"/>
    <w:rsid w:val="65F6754E"/>
    <w:rsid w:val="661735C0"/>
    <w:rsid w:val="66692167"/>
    <w:rsid w:val="66872C44"/>
    <w:rsid w:val="66A4324F"/>
    <w:rsid w:val="66DD6DB6"/>
    <w:rsid w:val="677D58AE"/>
    <w:rsid w:val="67EE62F1"/>
    <w:rsid w:val="67FE0ABC"/>
    <w:rsid w:val="68272B8D"/>
    <w:rsid w:val="682B4CB5"/>
    <w:rsid w:val="684A0973"/>
    <w:rsid w:val="688D6550"/>
    <w:rsid w:val="68A36922"/>
    <w:rsid w:val="68A638C2"/>
    <w:rsid w:val="68C1245B"/>
    <w:rsid w:val="68CF44E4"/>
    <w:rsid w:val="68D474B9"/>
    <w:rsid w:val="68D9247A"/>
    <w:rsid w:val="69520021"/>
    <w:rsid w:val="696E18C3"/>
    <w:rsid w:val="69774602"/>
    <w:rsid w:val="699A4315"/>
    <w:rsid w:val="699A7243"/>
    <w:rsid w:val="69B50573"/>
    <w:rsid w:val="69BE7D9A"/>
    <w:rsid w:val="6A2D2B79"/>
    <w:rsid w:val="6A3376F7"/>
    <w:rsid w:val="6A4533FD"/>
    <w:rsid w:val="6A477F04"/>
    <w:rsid w:val="6A496835"/>
    <w:rsid w:val="6A8E7740"/>
    <w:rsid w:val="6AD5648B"/>
    <w:rsid w:val="6AE90C42"/>
    <w:rsid w:val="6B122298"/>
    <w:rsid w:val="6B44347E"/>
    <w:rsid w:val="6B4B7148"/>
    <w:rsid w:val="6B7409C3"/>
    <w:rsid w:val="6C026F3C"/>
    <w:rsid w:val="6C1769F6"/>
    <w:rsid w:val="6C19025F"/>
    <w:rsid w:val="6C2C4F32"/>
    <w:rsid w:val="6C396029"/>
    <w:rsid w:val="6C3B64A7"/>
    <w:rsid w:val="6CD83A9C"/>
    <w:rsid w:val="6D220952"/>
    <w:rsid w:val="6D256766"/>
    <w:rsid w:val="6D6830E8"/>
    <w:rsid w:val="6D7F405A"/>
    <w:rsid w:val="6DB9174A"/>
    <w:rsid w:val="6DC248E6"/>
    <w:rsid w:val="6DC54E3E"/>
    <w:rsid w:val="6E1F0E23"/>
    <w:rsid w:val="6E8A1B32"/>
    <w:rsid w:val="6FA6229E"/>
    <w:rsid w:val="6FB96E19"/>
    <w:rsid w:val="6FCA266F"/>
    <w:rsid w:val="6FF900E7"/>
    <w:rsid w:val="70294286"/>
    <w:rsid w:val="708C7ADE"/>
    <w:rsid w:val="70C96F94"/>
    <w:rsid w:val="70D05D03"/>
    <w:rsid w:val="70F93881"/>
    <w:rsid w:val="711575EE"/>
    <w:rsid w:val="715349F8"/>
    <w:rsid w:val="71945E92"/>
    <w:rsid w:val="71BF1449"/>
    <w:rsid w:val="71DF3747"/>
    <w:rsid w:val="721A1FF2"/>
    <w:rsid w:val="72356C20"/>
    <w:rsid w:val="723E4008"/>
    <w:rsid w:val="725929D4"/>
    <w:rsid w:val="72A4317D"/>
    <w:rsid w:val="72AC1216"/>
    <w:rsid w:val="72B00049"/>
    <w:rsid w:val="72B70F99"/>
    <w:rsid w:val="73192710"/>
    <w:rsid w:val="732D44FD"/>
    <w:rsid w:val="73981574"/>
    <w:rsid w:val="73A03AE9"/>
    <w:rsid w:val="73B92936"/>
    <w:rsid w:val="73FB49FD"/>
    <w:rsid w:val="74376D48"/>
    <w:rsid w:val="74446098"/>
    <w:rsid w:val="746B414F"/>
    <w:rsid w:val="7472539D"/>
    <w:rsid w:val="747678BB"/>
    <w:rsid w:val="749036DA"/>
    <w:rsid w:val="74A13F3D"/>
    <w:rsid w:val="74DC45A8"/>
    <w:rsid w:val="750227FB"/>
    <w:rsid w:val="75693A34"/>
    <w:rsid w:val="759C3169"/>
    <w:rsid w:val="75B770CD"/>
    <w:rsid w:val="75CD34AB"/>
    <w:rsid w:val="75CF7ADF"/>
    <w:rsid w:val="764B4F25"/>
    <w:rsid w:val="76686C67"/>
    <w:rsid w:val="766C48DD"/>
    <w:rsid w:val="76CE603E"/>
    <w:rsid w:val="77162A8D"/>
    <w:rsid w:val="774025C7"/>
    <w:rsid w:val="77894212"/>
    <w:rsid w:val="7800271B"/>
    <w:rsid w:val="782E08A0"/>
    <w:rsid w:val="78440AB3"/>
    <w:rsid w:val="785B79C8"/>
    <w:rsid w:val="78751BD5"/>
    <w:rsid w:val="787A7054"/>
    <w:rsid w:val="78A73067"/>
    <w:rsid w:val="78A9768A"/>
    <w:rsid w:val="78AA4077"/>
    <w:rsid w:val="78CA0ADB"/>
    <w:rsid w:val="78D85865"/>
    <w:rsid w:val="792C66E3"/>
    <w:rsid w:val="79947274"/>
    <w:rsid w:val="79FE73E8"/>
    <w:rsid w:val="7A237A12"/>
    <w:rsid w:val="7A6054E2"/>
    <w:rsid w:val="7A8B7D4E"/>
    <w:rsid w:val="7A98230D"/>
    <w:rsid w:val="7B60499C"/>
    <w:rsid w:val="7B6276D7"/>
    <w:rsid w:val="7BCD0EC9"/>
    <w:rsid w:val="7C0C430A"/>
    <w:rsid w:val="7C361D53"/>
    <w:rsid w:val="7C515A2B"/>
    <w:rsid w:val="7CBF1AA2"/>
    <w:rsid w:val="7CF92CB6"/>
    <w:rsid w:val="7D841C93"/>
    <w:rsid w:val="7DA92046"/>
    <w:rsid w:val="7DDF015B"/>
    <w:rsid w:val="7DEE0A06"/>
    <w:rsid w:val="7E745C2A"/>
    <w:rsid w:val="7EA95F25"/>
    <w:rsid w:val="7EBF6D37"/>
    <w:rsid w:val="7ED31DC1"/>
    <w:rsid w:val="7EF47C86"/>
    <w:rsid w:val="7F3B5B00"/>
    <w:rsid w:val="7F3C785D"/>
    <w:rsid w:val="7F510FB4"/>
    <w:rsid w:val="7FCB0BE9"/>
    <w:rsid w:val="7FE147D1"/>
    <w:rsid w:val="7FEB6C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61"/>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6">
    <w:name w:val="heading 2"/>
    <w:basedOn w:val="1"/>
    <w:next w:val="1"/>
    <w:link w:val="62"/>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7">
    <w:name w:val="heading 3"/>
    <w:basedOn w:val="1"/>
    <w:next w:val="8"/>
    <w:link w:val="63"/>
    <w:qFormat/>
    <w:uiPriority w:val="99"/>
    <w:pPr>
      <w:keepNext/>
      <w:keepLines/>
      <w:adjustRightInd w:val="0"/>
      <w:spacing w:before="260" w:after="260" w:line="416" w:lineRule="atLeast"/>
      <w:textAlignment w:val="baseline"/>
      <w:outlineLvl w:val="2"/>
    </w:pPr>
    <w:rPr>
      <w:b/>
      <w:bCs/>
      <w:kern w:val="0"/>
      <w:sz w:val="32"/>
      <w:szCs w:val="32"/>
    </w:rPr>
  </w:style>
  <w:style w:type="paragraph" w:styleId="9">
    <w:name w:val="heading 4"/>
    <w:basedOn w:val="1"/>
    <w:next w:val="1"/>
    <w:link w:val="64"/>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10">
    <w:name w:val="heading 5"/>
    <w:basedOn w:val="1"/>
    <w:next w:val="1"/>
    <w:link w:val="65"/>
    <w:qFormat/>
    <w:uiPriority w:val="99"/>
    <w:pPr>
      <w:keepNext/>
      <w:keepLines/>
      <w:adjustRightInd w:val="0"/>
      <w:spacing w:before="280" w:after="290" w:line="376" w:lineRule="atLeast"/>
      <w:textAlignment w:val="baseline"/>
      <w:outlineLvl w:val="4"/>
    </w:pPr>
    <w:rPr>
      <w:b/>
      <w:bCs/>
      <w:kern w:val="0"/>
      <w:sz w:val="28"/>
      <w:szCs w:val="28"/>
    </w:rPr>
  </w:style>
  <w:style w:type="paragraph" w:styleId="11">
    <w:name w:val="heading 6"/>
    <w:basedOn w:val="1"/>
    <w:next w:val="1"/>
    <w:link w:val="66"/>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12">
    <w:name w:val="heading 7"/>
    <w:basedOn w:val="1"/>
    <w:next w:val="1"/>
    <w:link w:val="67"/>
    <w:qFormat/>
    <w:uiPriority w:val="99"/>
    <w:pPr>
      <w:keepNext/>
      <w:keepLines/>
      <w:adjustRightInd w:val="0"/>
      <w:spacing w:before="240" w:after="64" w:line="320" w:lineRule="atLeast"/>
      <w:textAlignment w:val="baseline"/>
      <w:outlineLvl w:val="6"/>
    </w:pPr>
    <w:rPr>
      <w:b/>
      <w:bCs/>
      <w:kern w:val="0"/>
      <w:sz w:val="24"/>
      <w:szCs w:val="24"/>
    </w:rPr>
  </w:style>
  <w:style w:type="paragraph" w:styleId="13">
    <w:name w:val="heading 8"/>
    <w:basedOn w:val="1"/>
    <w:next w:val="1"/>
    <w:link w:val="68"/>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4">
    <w:name w:val="heading 9"/>
    <w:basedOn w:val="1"/>
    <w:next w:val="1"/>
    <w:link w:val="69"/>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86"/>
    <w:qFormat/>
    <w:locked/>
    <w:uiPriority w:val="99"/>
    <w:pPr>
      <w:ind w:firstLine="420" w:firstLineChars="200"/>
    </w:pPr>
    <w:rPr>
      <w:sz w:val="21"/>
      <w:szCs w:val="21"/>
    </w:rPr>
  </w:style>
  <w:style w:type="paragraph" w:styleId="3">
    <w:name w:val="Body Text Indent"/>
    <w:basedOn w:val="1"/>
    <w:next w:val="4"/>
    <w:link w:val="73"/>
    <w:qFormat/>
    <w:uiPriority w:val="99"/>
    <w:pPr>
      <w:spacing w:after="156"/>
      <w:ind w:firstLine="480"/>
    </w:pPr>
    <w:rPr>
      <w:sz w:val="24"/>
      <w:szCs w:val="24"/>
    </w:rPr>
  </w:style>
  <w:style w:type="paragraph" w:styleId="4">
    <w:name w:val="envelope return"/>
    <w:basedOn w:val="1"/>
    <w:qFormat/>
    <w:locked/>
    <w:uiPriority w:val="99"/>
    <w:pPr>
      <w:snapToGrid w:val="0"/>
    </w:pPr>
    <w:rPr>
      <w:rFonts w:ascii="Arial" w:hAnsi="Arial" w:cs="Arial"/>
    </w:rPr>
  </w:style>
  <w:style w:type="paragraph" w:styleId="8">
    <w:name w:val="Normal Indent"/>
    <w:basedOn w:val="1"/>
    <w:link w:val="70"/>
    <w:qFormat/>
    <w:uiPriority w:val="99"/>
    <w:pPr>
      <w:ind w:firstLine="420"/>
    </w:pPr>
  </w:style>
  <w:style w:type="paragraph" w:styleId="15">
    <w:name w:val="List 3"/>
    <w:basedOn w:val="1"/>
    <w:qFormat/>
    <w:uiPriority w:val="99"/>
    <w:pPr>
      <w:ind w:left="100" w:leftChars="400" w:hanging="200" w:hangingChars="200"/>
    </w:pPr>
  </w:style>
  <w:style w:type="paragraph" w:styleId="16">
    <w:name w:val="toc 7"/>
    <w:basedOn w:val="1"/>
    <w:next w:val="1"/>
    <w:semiHidden/>
    <w:qFormat/>
    <w:uiPriority w:val="99"/>
    <w:pPr>
      <w:ind w:left="1260"/>
      <w:jc w:val="left"/>
    </w:pPr>
    <w:rPr>
      <w:sz w:val="18"/>
      <w:szCs w:val="18"/>
    </w:rPr>
  </w:style>
  <w:style w:type="paragraph" w:styleId="17">
    <w:name w:val="Document Map"/>
    <w:basedOn w:val="1"/>
    <w:link w:val="71"/>
    <w:semiHidden/>
    <w:qFormat/>
    <w:uiPriority w:val="99"/>
    <w:pPr>
      <w:shd w:val="clear" w:color="auto" w:fill="000080"/>
    </w:pPr>
    <w:rPr>
      <w:kern w:val="0"/>
      <w:sz w:val="2"/>
      <w:szCs w:val="2"/>
    </w:rPr>
  </w:style>
  <w:style w:type="paragraph" w:styleId="18">
    <w:name w:val="annotation text"/>
    <w:basedOn w:val="1"/>
    <w:link w:val="72"/>
    <w:semiHidden/>
    <w:qFormat/>
    <w:uiPriority w:val="99"/>
    <w:pPr>
      <w:jc w:val="left"/>
    </w:pPr>
  </w:style>
  <w:style w:type="paragraph" w:styleId="19">
    <w:name w:val="Body Text"/>
    <w:basedOn w:val="1"/>
    <w:next w:val="1"/>
    <w:link w:val="60"/>
    <w:qFormat/>
    <w:uiPriority w:val="99"/>
    <w:rPr>
      <w:kern w:val="0"/>
    </w:rPr>
  </w:style>
  <w:style w:type="paragraph" w:styleId="20">
    <w:name w:val="List 2"/>
    <w:basedOn w:val="1"/>
    <w:qFormat/>
    <w:uiPriority w:val="99"/>
    <w:pPr>
      <w:ind w:left="100" w:leftChars="200" w:hanging="200" w:hangingChars="200"/>
    </w:pPr>
  </w:style>
  <w:style w:type="paragraph" w:styleId="21">
    <w:name w:val="List Continue"/>
    <w:basedOn w:val="1"/>
    <w:qFormat/>
    <w:uiPriority w:val="99"/>
    <w:pPr>
      <w:spacing w:after="120"/>
      <w:ind w:left="420" w:leftChars="200"/>
    </w:pPr>
  </w:style>
  <w:style w:type="paragraph" w:styleId="22">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3">
    <w:name w:val="toc 5"/>
    <w:basedOn w:val="1"/>
    <w:next w:val="1"/>
    <w:semiHidden/>
    <w:qFormat/>
    <w:uiPriority w:val="99"/>
    <w:pPr>
      <w:ind w:left="840"/>
      <w:jc w:val="left"/>
    </w:pPr>
    <w:rPr>
      <w:sz w:val="18"/>
      <w:szCs w:val="18"/>
    </w:rPr>
  </w:style>
  <w:style w:type="paragraph" w:styleId="24">
    <w:name w:val="toc 3"/>
    <w:basedOn w:val="1"/>
    <w:next w:val="1"/>
    <w:semiHidden/>
    <w:qFormat/>
    <w:uiPriority w:val="99"/>
    <w:pPr>
      <w:ind w:left="420"/>
      <w:jc w:val="left"/>
    </w:pPr>
    <w:rPr>
      <w:i/>
      <w:iCs/>
      <w:sz w:val="20"/>
      <w:szCs w:val="20"/>
    </w:rPr>
  </w:style>
  <w:style w:type="paragraph" w:styleId="25">
    <w:name w:val="Plain Text"/>
    <w:basedOn w:val="1"/>
    <w:link w:val="74"/>
    <w:qFormat/>
    <w:uiPriority w:val="99"/>
    <w:rPr>
      <w:rFonts w:ascii="宋体" w:hAnsi="Courier New"/>
      <w:kern w:val="0"/>
    </w:rPr>
  </w:style>
  <w:style w:type="paragraph" w:styleId="26">
    <w:name w:val="toc 8"/>
    <w:basedOn w:val="1"/>
    <w:next w:val="1"/>
    <w:semiHidden/>
    <w:qFormat/>
    <w:uiPriority w:val="99"/>
    <w:pPr>
      <w:ind w:left="1470"/>
      <w:jc w:val="left"/>
    </w:pPr>
    <w:rPr>
      <w:sz w:val="18"/>
      <w:szCs w:val="18"/>
    </w:rPr>
  </w:style>
  <w:style w:type="paragraph" w:styleId="27">
    <w:name w:val="Date"/>
    <w:basedOn w:val="1"/>
    <w:next w:val="1"/>
    <w:link w:val="75"/>
    <w:qFormat/>
    <w:uiPriority w:val="99"/>
    <w:pPr>
      <w:widowControl/>
      <w:ind w:left="100"/>
      <w:jc w:val="left"/>
    </w:pPr>
    <w:rPr>
      <w:kern w:val="0"/>
    </w:rPr>
  </w:style>
  <w:style w:type="paragraph" w:styleId="28">
    <w:name w:val="Body Text Indent 2"/>
    <w:basedOn w:val="1"/>
    <w:link w:val="76"/>
    <w:qFormat/>
    <w:uiPriority w:val="99"/>
    <w:pPr>
      <w:ind w:left="1436" w:leftChars="684"/>
    </w:pPr>
    <w:rPr>
      <w:kern w:val="0"/>
    </w:rPr>
  </w:style>
  <w:style w:type="paragraph" w:styleId="29">
    <w:name w:val="List Continue 5"/>
    <w:basedOn w:val="1"/>
    <w:qFormat/>
    <w:uiPriority w:val="99"/>
    <w:pPr>
      <w:spacing w:after="120"/>
      <w:ind w:left="2100" w:leftChars="1000"/>
    </w:pPr>
  </w:style>
  <w:style w:type="paragraph" w:styleId="30">
    <w:name w:val="Balloon Text"/>
    <w:basedOn w:val="1"/>
    <w:link w:val="77"/>
    <w:semiHidden/>
    <w:qFormat/>
    <w:uiPriority w:val="99"/>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4">
    <w:name w:val="List Continue 4"/>
    <w:basedOn w:val="1"/>
    <w:qFormat/>
    <w:uiPriority w:val="99"/>
    <w:pPr>
      <w:spacing w:after="120"/>
      <w:ind w:left="1680" w:leftChars="800"/>
    </w:pPr>
  </w:style>
  <w:style w:type="paragraph" w:styleId="35">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6">
    <w:name w:val="List"/>
    <w:basedOn w:val="1"/>
    <w:qFormat/>
    <w:uiPriority w:val="99"/>
    <w:pPr>
      <w:ind w:left="200" w:hanging="200" w:hangingChars="200"/>
    </w:pPr>
  </w:style>
  <w:style w:type="paragraph" w:styleId="37">
    <w:name w:val="footnote text"/>
    <w:basedOn w:val="1"/>
    <w:link w:val="80"/>
    <w:semiHidden/>
    <w:qFormat/>
    <w:uiPriority w:val="99"/>
    <w:pPr>
      <w:snapToGrid w:val="0"/>
      <w:jc w:val="left"/>
    </w:pPr>
    <w:rPr>
      <w:kern w:val="0"/>
      <w:sz w:val="18"/>
      <w:szCs w:val="18"/>
    </w:rPr>
  </w:style>
  <w:style w:type="paragraph" w:styleId="38">
    <w:name w:val="toc 6"/>
    <w:basedOn w:val="1"/>
    <w:next w:val="1"/>
    <w:semiHidden/>
    <w:qFormat/>
    <w:uiPriority w:val="99"/>
    <w:pPr>
      <w:ind w:left="1050"/>
      <w:jc w:val="left"/>
    </w:pPr>
    <w:rPr>
      <w:sz w:val="18"/>
      <w:szCs w:val="18"/>
    </w:r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spacing w:after="120"/>
      <w:ind w:left="420" w:leftChars="200"/>
    </w:pPr>
    <w:rPr>
      <w:kern w:val="0"/>
      <w:sz w:val="16"/>
      <w:szCs w:val="16"/>
    </w:rPr>
  </w:style>
  <w:style w:type="paragraph" w:styleId="41">
    <w:name w:val="toc 2"/>
    <w:basedOn w:val="1"/>
    <w:next w:val="1"/>
    <w:semiHidden/>
    <w:qFormat/>
    <w:uiPriority w:val="99"/>
    <w:pPr>
      <w:ind w:left="210"/>
      <w:jc w:val="left"/>
    </w:pPr>
    <w:rPr>
      <w:smallCaps/>
      <w:sz w:val="20"/>
      <w:szCs w:val="20"/>
    </w:rPr>
  </w:style>
  <w:style w:type="paragraph" w:styleId="42">
    <w:name w:val="toc 9"/>
    <w:basedOn w:val="1"/>
    <w:next w:val="1"/>
    <w:semiHidden/>
    <w:qFormat/>
    <w:uiPriority w:val="99"/>
    <w:pPr>
      <w:ind w:left="1680"/>
      <w:jc w:val="left"/>
    </w:pPr>
    <w:rPr>
      <w:sz w:val="18"/>
      <w:szCs w:val="18"/>
    </w:rPr>
  </w:style>
  <w:style w:type="paragraph" w:styleId="43">
    <w:name w:val="Body Text 2"/>
    <w:basedOn w:val="1"/>
    <w:link w:val="82"/>
    <w:qFormat/>
    <w:uiPriority w:val="99"/>
    <w:rPr>
      <w:kern w:val="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spacing w:after="120"/>
      <w:ind w:left="840" w:leftChars="400"/>
    </w:pPr>
  </w:style>
  <w:style w:type="paragraph" w:styleId="46">
    <w:name w:val="HTML Preformatted"/>
    <w:basedOn w:val="1"/>
    <w:link w:val="83"/>
    <w:qFormat/>
    <w:uiPriority w:val="99"/>
    <w:rPr>
      <w:rFonts w:ascii="Courier New" w:hAnsi="Courier New"/>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List Continue 3"/>
    <w:basedOn w:val="1"/>
    <w:qFormat/>
    <w:uiPriority w:val="99"/>
    <w:pPr>
      <w:spacing w:after="120"/>
      <w:ind w:left="1260" w:leftChars="600"/>
    </w:pPr>
  </w:style>
  <w:style w:type="paragraph" w:styleId="49">
    <w:name w:val="annotation subject"/>
    <w:basedOn w:val="18"/>
    <w:next w:val="18"/>
    <w:link w:val="84"/>
    <w:semiHidden/>
    <w:qFormat/>
    <w:uiPriority w:val="99"/>
    <w:rPr>
      <w:b/>
      <w:bCs/>
    </w:rPr>
  </w:style>
  <w:style w:type="paragraph" w:styleId="50">
    <w:name w:val="Body Text First Indent"/>
    <w:basedOn w:val="19"/>
    <w:link w:val="85"/>
    <w:qFormat/>
    <w:uiPriority w:val="99"/>
    <w:pPr>
      <w:spacing w:line="360" w:lineRule="auto"/>
      <w:ind w:firstLine="482"/>
    </w:p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locked/>
    <w:uiPriority w:val="22"/>
    <w:rPr>
      <w:b/>
      <w:bCs/>
    </w:rPr>
  </w:style>
  <w:style w:type="character" w:styleId="55">
    <w:name w:val="page number"/>
    <w:qFormat/>
    <w:uiPriority w:val="99"/>
  </w:style>
  <w:style w:type="character" w:styleId="56">
    <w:name w:val="FollowedHyperlink"/>
    <w:qFormat/>
    <w:locked/>
    <w:uiPriority w:val="99"/>
    <w:rPr>
      <w:color w:val="auto"/>
      <w:u w:val="none"/>
    </w:rPr>
  </w:style>
  <w:style w:type="character" w:styleId="57">
    <w:name w:val="Hyperlink"/>
    <w:qFormat/>
    <w:uiPriority w:val="99"/>
    <w:rPr>
      <w:color w:val="auto"/>
      <w:u w:val="none"/>
    </w:rPr>
  </w:style>
  <w:style w:type="character" w:styleId="58">
    <w:name w:val="annotation reference"/>
    <w:semiHidden/>
    <w:qFormat/>
    <w:uiPriority w:val="99"/>
    <w:rPr>
      <w:sz w:val="21"/>
      <w:szCs w:val="21"/>
    </w:rPr>
  </w:style>
  <w:style w:type="character" w:styleId="59">
    <w:name w:val="footnote reference"/>
    <w:semiHidden/>
    <w:qFormat/>
    <w:uiPriority w:val="99"/>
    <w:rPr>
      <w:vertAlign w:val="superscript"/>
    </w:rPr>
  </w:style>
  <w:style w:type="character" w:customStyle="1" w:styleId="60">
    <w:name w:val="正文文本 Char"/>
    <w:link w:val="19"/>
    <w:semiHidden/>
    <w:qFormat/>
    <w:locked/>
    <w:uiPriority w:val="99"/>
    <w:rPr>
      <w:rFonts w:ascii="Times New Roman" w:hAnsi="Times New Roman" w:cs="Times New Roman"/>
      <w:sz w:val="21"/>
      <w:szCs w:val="21"/>
    </w:rPr>
  </w:style>
  <w:style w:type="character" w:customStyle="1" w:styleId="61">
    <w:name w:val="标题 1 Char"/>
    <w:link w:val="5"/>
    <w:qFormat/>
    <w:locked/>
    <w:uiPriority w:val="99"/>
    <w:rPr>
      <w:b/>
      <w:bCs/>
      <w:kern w:val="44"/>
      <w:sz w:val="44"/>
      <w:szCs w:val="44"/>
    </w:rPr>
  </w:style>
  <w:style w:type="character" w:customStyle="1" w:styleId="62">
    <w:name w:val="标题 2 Char"/>
    <w:link w:val="6"/>
    <w:qFormat/>
    <w:locked/>
    <w:uiPriority w:val="99"/>
    <w:rPr>
      <w:rFonts w:ascii="Arial" w:hAnsi="Arial" w:eastAsia="黑体" w:cs="Arial"/>
      <w:b/>
      <w:bCs/>
      <w:sz w:val="32"/>
      <w:szCs w:val="32"/>
    </w:rPr>
  </w:style>
  <w:style w:type="character" w:customStyle="1" w:styleId="63">
    <w:name w:val="标题 3 Char"/>
    <w:link w:val="7"/>
    <w:semiHidden/>
    <w:qFormat/>
    <w:locked/>
    <w:uiPriority w:val="99"/>
    <w:rPr>
      <w:rFonts w:ascii="Times New Roman" w:hAnsi="Times New Roman" w:cs="Times New Roman"/>
      <w:b/>
      <w:bCs/>
      <w:sz w:val="32"/>
      <w:szCs w:val="32"/>
    </w:rPr>
  </w:style>
  <w:style w:type="character" w:customStyle="1" w:styleId="64">
    <w:name w:val="标题 4 Char"/>
    <w:link w:val="9"/>
    <w:qFormat/>
    <w:locked/>
    <w:uiPriority w:val="99"/>
    <w:rPr>
      <w:rFonts w:ascii="Arial" w:hAnsi="Arial" w:eastAsia="黑体" w:cs="Arial"/>
      <w:b/>
      <w:bCs/>
      <w:kern w:val="2"/>
      <w:sz w:val="28"/>
      <w:szCs w:val="28"/>
      <w:lang w:val="en-US" w:eastAsia="zh-CN"/>
    </w:rPr>
  </w:style>
  <w:style w:type="character" w:customStyle="1" w:styleId="65">
    <w:name w:val="标题 5 Char"/>
    <w:link w:val="10"/>
    <w:semiHidden/>
    <w:qFormat/>
    <w:locked/>
    <w:uiPriority w:val="99"/>
    <w:rPr>
      <w:rFonts w:ascii="Times New Roman" w:hAnsi="Times New Roman" w:cs="Times New Roman"/>
      <w:b/>
      <w:bCs/>
      <w:sz w:val="28"/>
      <w:szCs w:val="28"/>
    </w:rPr>
  </w:style>
  <w:style w:type="character" w:customStyle="1" w:styleId="66">
    <w:name w:val="标题 6 Char"/>
    <w:link w:val="11"/>
    <w:semiHidden/>
    <w:qFormat/>
    <w:locked/>
    <w:uiPriority w:val="99"/>
    <w:rPr>
      <w:rFonts w:ascii="Cambria" w:hAnsi="Cambria" w:eastAsia="宋体" w:cs="Cambria"/>
      <w:b/>
      <w:bCs/>
      <w:sz w:val="24"/>
      <w:szCs w:val="24"/>
    </w:rPr>
  </w:style>
  <w:style w:type="character" w:customStyle="1" w:styleId="67">
    <w:name w:val="标题 7 Char"/>
    <w:link w:val="12"/>
    <w:semiHidden/>
    <w:qFormat/>
    <w:locked/>
    <w:uiPriority w:val="99"/>
    <w:rPr>
      <w:rFonts w:ascii="Times New Roman" w:hAnsi="Times New Roman" w:cs="Times New Roman"/>
      <w:b/>
      <w:bCs/>
      <w:sz w:val="24"/>
      <w:szCs w:val="24"/>
    </w:rPr>
  </w:style>
  <w:style w:type="character" w:customStyle="1" w:styleId="68">
    <w:name w:val="标题 8 Char"/>
    <w:link w:val="13"/>
    <w:semiHidden/>
    <w:qFormat/>
    <w:locked/>
    <w:uiPriority w:val="99"/>
    <w:rPr>
      <w:rFonts w:ascii="Cambria" w:hAnsi="Cambria" w:eastAsia="宋体" w:cs="Cambria"/>
      <w:sz w:val="24"/>
      <w:szCs w:val="24"/>
    </w:rPr>
  </w:style>
  <w:style w:type="character" w:customStyle="1" w:styleId="69">
    <w:name w:val="标题 9 Char"/>
    <w:link w:val="14"/>
    <w:semiHidden/>
    <w:qFormat/>
    <w:locked/>
    <w:uiPriority w:val="99"/>
    <w:rPr>
      <w:rFonts w:ascii="Cambria" w:hAnsi="Cambria" w:eastAsia="宋体" w:cs="Cambria"/>
      <w:sz w:val="21"/>
      <w:szCs w:val="21"/>
    </w:rPr>
  </w:style>
  <w:style w:type="character" w:customStyle="1" w:styleId="70">
    <w:name w:val="正文缩进 Char"/>
    <w:link w:val="8"/>
    <w:qFormat/>
    <w:locked/>
    <w:uiPriority w:val="99"/>
    <w:rPr>
      <w:kern w:val="2"/>
      <w:sz w:val="21"/>
      <w:szCs w:val="21"/>
    </w:rPr>
  </w:style>
  <w:style w:type="character" w:customStyle="1" w:styleId="71">
    <w:name w:val="文档结构图 Char"/>
    <w:link w:val="17"/>
    <w:semiHidden/>
    <w:qFormat/>
    <w:locked/>
    <w:uiPriority w:val="99"/>
    <w:rPr>
      <w:rFonts w:ascii="Times New Roman" w:hAnsi="Times New Roman" w:cs="Times New Roman"/>
      <w:sz w:val="2"/>
      <w:szCs w:val="2"/>
    </w:rPr>
  </w:style>
  <w:style w:type="character" w:customStyle="1" w:styleId="72">
    <w:name w:val="批注文字 Char"/>
    <w:link w:val="18"/>
    <w:qFormat/>
    <w:locked/>
    <w:uiPriority w:val="99"/>
    <w:rPr>
      <w:kern w:val="2"/>
      <w:sz w:val="21"/>
      <w:szCs w:val="21"/>
    </w:rPr>
  </w:style>
  <w:style w:type="character" w:customStyle="1" w:styleId="73">
    <w:name w:val="正文文本缩进 Char"/>
    <w:link w:val="3"/>
    <w:qFormat/>
    <w:locked/>
    <w:uiPriority w:val="99"/>
    <w:rPr>
      <w:kern w:val="2"/>
      <w:sz w:val="24"/>
      <w:szCs w:val="24"/>
    </w:rPr>
  </w:style>
  <w:style w:type="character" w:customStyle="1" w:styleId="74">
    <w:name w:val="纯文本 Char"/>
    <w:link w:val="25"/>
    <w:semiHidden/>
    <w:qFormat/>
    <w:locked/>
    <w:uiPriority w:val="99"/>
    <w:rPr>
      <w:rFonts w:ascii="宋体" w:hAnsi="Courier New" w:cs="宋体"/>
      <w:sz w:val="21"/>
      <w:szCs w:val="21"/>
    </w:rPr>
  </w:style>
  <w:style w:type="character" w:customStyle="1" w:styleId="75">
    <w:name w:val="日期 Char"/>
    <w:link w:val="27"/>
    <w:semiHidden/>
    <w:qFormat/>
    <w:locked/>
    <w:uiPriority w:val="99"/>
    <w:rPr>
      <w:rFonts w:ascii="Times New Roman" w:hAnsi="Times New Roman" w:cs="Times New Roman"/>
      <w:sz w:val="21"/>
      <w:szCs w:val="21"/>
    </w:rPr>
  </w:style>
  <w:style w:type="character" w:customStyle="1" w:styleId="76">
    <w:name w:val="正文文本缩进 2 Char"/>
    <w:link w:val="28"/>
    <w:semiHidden/>
    <w:qFormat/>
    <w:locked/>
    <w:uiPriority w:val="99"/>
    <w:rPr>
      <w:rFonts w:ascii="Times New Roman" w:hAnsi="Times New Roman" w:cs="Times New Roman"/>
      <w:sz w:val="21"/>
      <w:szCs w:val="21"/>
    </w:rPr>
  </w:style>
  <w:style w:type="character" w:customStyle="1" w:styleId="77">
    <w:name w:val="批注框文本 Char"/>
    <w:link w:val="30"/>
    <w:qFormat/>
    <w:locked/>
    <w:uiPriority w:val="99"/>
    <w:rPr>
      <w:rFonts w:eastAsia="宋体"/>
      <w:kern w:val="2"/>
      <w:sz w:val="18"/>
      <w:szCs w:val="18"/>
      <w:lang w:val="en-US" w:eastAsia="zh-CN"/>
    </w:rPr>
  </w:style>
  <w:style w:type="character" w:customStyle="1" w:styleId="78">
    <w:name w:val="页脚 Char"/>
    <w:link w:val="31"/>
    <w:qFormat/>
    <w:locked/>
    <w:uiPriority w:val="99"/>
    <w:rPr>
      <w:kern w:val="2"/>
      <w:sz w:val="18"/>
      <w:szCs w:val="18"/>
    </w:rPr>
  </w:style>
  <w:style w:type="character" w:customStyle="1" w:styleId="79">
    <w:name w:val="页眉 Char"/>
    <w:link w:val="32"/>
    <w:semiHidden/>
    <w:qFormat/>
    <w:locked/>
    <w:uiPriority w:val="99"/>
    <w:rPr>
      <w:rFonts w:ascii="Times New Roman" w:hAnsi="Times New Roman" w:cs="Times New Roman"/>
      <w:sz w:val="18"/>
      <w:szCs w:val="18"/>
    </w:rPr>
  </w:style>
  <w:style w:type="character" w:customStyle="1" w:styleId="80">
    <w:name w:val="脚注文本 Char"/>
    <w:link w:val="37"/>
    <w:semiHidden/>
    <w:qFormat/>
    <w:locked/>
    <w:uiPriority w:val="99"/>
    <w:rPr>
      <w:rFonts w:ascii="Times New Roman" w:hAnsi="Times New Roman" w:cs="Times New Roman"/>
      <w:sz w:val="18"/>
      <w:szCs w:val="18"/>
    </w:rPr>
  </w:style>
  <w:style w:type="character" w:customStyle="1" w:styleId="81">
    <w:name w:val="正文文本缩进 3 Char"/>
    <w:link w:val="40"/>
    <w:semiHidden/>
    <w:qFormat/>
    <w:locked/>
    <w:uiPriority w:val="99"/>
    <w:rPr>
      <w:rFonts w:ascii="Times New Roman" w:hAnsi="Times New Roman" w:cs="Times New Roman"/>
      <w:sz w:val="16"/>
      <w:szCs w:val="16"/>
    </w:rPr>
  </w:style>
  <w:style w:type="character" w:customStyle="1" w:styleId="82">
    <w:name w:val="正文文本 2 Char"/>
    <w:link w:val="43"/>
    <w:semiHidden/>
    <w:qFormat/>
    <w:locked/>
    <w:uiPriority w:val="99"/>
    <w:rPr>
      <w:rFonts w:ascii="Times New Roman" w:hAnsi="Times New Roman" w:cs="Times New Roman"/>
      <w:sz w:val="21"/>
      <w:szCs w:val="21"/>
    </w:rPr>
  </w:style>
  <w:style w:type="character" w:customStyle="1" w:styleId="83">
    <w:name w:val="HTML 预设格式 Char"/>
    <w:link w:val="46"/>
    <w:qFormat/>
    <w:locked/>
    <w:uiPriority w:val="99"/>
    <w:rPr>
      <w:rFonts w:ascii="Courier New" w:hAnsi="Courier New" w:cs="Courier New"/>
      <w:kern w:val="2"/>
    </w:rPr>
  </w:style>
  <w:style w:type="character" w:customStyle="1" w:styleId="84">
    <w:name w:val="批注主题 Char"/>
    <w:link w:val="49"/>
    <w:semiHidden/>
    <w:qFormat/>
    <w:locked/>
    <w:uiPriority w:val="99"/>
    <w:rPr>
      <w:rFonts w:ascii="Times New Roman" w:hAnsi="Times New Roman" w:cs="Times New Roman"/>
      <w:b/>
      <w:bCs/>
      <w:kern w:val="2"/>
      <w:sz w:val="21"/>
      <w:szCs w:val="21"/>
    </w:rPr>
  </w:style>
  <w:style w:type="character" w:customStyle="1" w:styleId="85">
    <w:name w:val="正文首行缩进 Char"/>
    <w:link w:val="50"/>
    <w:semiHidden/>
    <w:qFormat/>
    <w:locked/>
    <w:uiPriority w:val="99"/>
    <w:rPr>
      <w:rFonts w:ascii="Times New Roman" w:hAnsi="Times New Roman" w:cs="Times New Roman"/>
      <w:sz w:val="21"/>
      <w:szCs w:val="21"/>
    </w:rPr>
  </w:style>
  <w:style w:type="character" w:customStyle="1" w:styleId="86">
    <w:name w:val="正文首行缩进 2 Char"/>
    <w:link w:val="2"/>
    <w:qFormat/>
    <w:locked/>
    <w:uiPriority w:val="99"/>
    <w:rPr>
      <w:rFonts w:ascii="Times New Roman" w:hAnsi="Times New Roman" w:cs="Times New Roman"/>
      <w:kern w:val="2"/>
      <w:sz w:val="21"/>
      <w:szCs w:val="21"/>
    </w:rPr>
  </w:style>
  <w:style w:type="paragraph" w:customStyle="1" w:styleId="87">
    <w:name w:val="无间隔1"/>
    <w:qFormat/>
    <w:uiPriority w:val="0"/>
    <w:rPr>
      <w:rFonts w:ascii="Times New Roman" w:hAnsi="Times New Roman" w:eastAsia="宋体" w:cs="Times New Roman"/>
      <w:sz w:val="22"/>
      <w:szCs w:val="22"/>
      <w:lang w:val="en-US" w:eastAsia="en-US" w:bidi="en-US"/>
    </w:rPr>
  </w:style>
  <w:style w:type="paragraph" w:customStyle="1" w:styleId="88">
    <w:name w:val="一级条标题"/>
    <w:basedOn w:val="89"/>
    <w:next w:val="9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8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0">
    <w:name w:val="段"/>
    <w:basedOn w:val="1"/>
    <w:next w:val="1"/>
    <w:qFormat/>
    <w:uiPriority w:val="0"/>
    <w:pPr>
      <w:widowControl/>
      <w:autoSpaceDE w:val="0"/>
      <w:autoSpaceDN w:val="0"/>
      <w:ind w:firstLine="200" w:firstLineChars="200"/>
    </w:pPr>
    <w:rPr>
      <w:rFonts w:hint="eastAsia" w:ascii="宋体"/>
      <w:kern w:val="0"/>
    </w:rPr>
  </w:style>
  <w:style w:type="character" w:customStyle="1" w:styleId="91">
    <w:name w:val="font31"/>
    <w:qFormat/>
    <w:uiPriority w:val="99"/>
    <w:rPr>
      <w:rFonts w:ascii="仿宋" w:hAnsi="仿宋" w:eastAsia="仿宋" w:cs="仿宋"/>
      <w:color w:val="000000"/>
      <w:sz w:val="20"/>
      <w:szCs w:val="20"/>
      <w:u w:val="none"/>
    </w:rPr>
  </w:style>
  <w:style w:type="character" w:customStyle="1" w:styleId="92">
    <w:name w:val="font51"/>
    <w:qFormat/>
    <w:uiPriority w:val="99"/>
    <w:rPr>
      <w:rFonts w:ascii="宋体" w:hAnsi="宋体" w:eastAsia="宋体" w:cs="宋体"/>
      <w:color w:val="000000"/>
      <w:sz w:val="24"/>
      <w:szCs w:val="24"/>
      <w:u w:val="none"/>
    </w:rPr>
  </w:style>
  <w:style w:type="character" w:customStyle="1" w:styleId="93">
    <w:name w:val="font101"/>
    <w:qFormat/>
    <w:uiPriority w:val="99"/>
    <w:rPr>
      <w:rFonts w:ascii="仿宋" w:hAnsi="仿宋" w:eastAsia="仿宋" w:cs="仿宋"/>
      <w:color w:val="000000"/>
      <w:sz w:val="20"/>
      <w:szCs w:val="20"/>
      <w:u w:val="none"/>
    </w:rPr>
  </w:style>
  <w:style w:type="character" w:customStyle="1" w:styleId="94">
    <w:name w:val="font111"/>
    <w:qFormat/>
    <w:uiPriority w:val="99"/>
    <w:rPr>
      <w:rFonts w:ascii="宋体" w:hAnsi="宋体" w:eastAsia="宋体" w:cs="宋体"/>
      <w:color w:val="000000"/>
      <w:sz w:val="20"/>
      <w:szCs w:val="20"/>
      <w:u w:val="none"/>
    </w:rPr>
  </w:style>
  <w:style w:type="character" w:customStyle="1" w:styleId="95">
    <w:name w:val="font81"/>
    <w:qFormat/>
    <w:uiPriority w:val="99"/>
    <w:rPr>
      <w:rFonts w:ascii="Arial" w:hAnsi="Arial" w:cs="Arial"/>
      <w:color w:val="000000"/>
      <w:sz w:val="20"/>
      <w:szCs w:val="20"/>
      <w:u w:val="none"/>
    </w:rPr>
  </w:style>
  <w:style w:type="character" w:customStyle="1" w:styleId="96">
    <w:name w:val="style1"/>
    <w:qFormat/>
    <w:uiPriority w:val="99"/>
  </w:style>
  <w:style w:type="character" w:customStyle="1" w:styleId="97">
    <w:name w:val="font71"/>
    <w:qFormat/>
    <w:uiPriority w:val="99"/>
    <w:rPr>
      <w:rFonts w:ascii="Wingdings 2" w:hAnsi="Wingdings 2" w:cs="Wingdings 2"/>
      <w:color w:val="000000"/>
      <w:sz w:val="20"/>
      <w:szCs w:val="20"/>
      <w:u w:val="none"/>
    </w:rPr>
  </w:style>
  <w:style w:type="character" w:customStyle="1" w:styleId="98">
    <w:name w:val="font91"/>
    <w:qFormat/>
    <w:uiPriority w:val="99"/>
    <w:rPr>
      <w:rFonts w:ascii="宋体" w:hAnsi="宋体" w:eastAsia="宋体" w:cs="宋体"/>
      <w:color w:val="000000"/>
      <w:sz w:val="20"/>
      <w:szCs w:val="20"/>
      <w:u w:val="none"/>
    </w:rPr>
  </w:style>
  <w:style w:type="character" w:customStyle="1" w:styleId="99">
    <w:name w:val="font01"/>
    <w:qFormat/>
    <w:uiPriority w:val="99"/>
    <w:rPr>
      <w:rFonts w:ascii="宋体" w:hAnsi="宋体" w:eastAsia="宋体" w:cs="宋体"/>
      <w:color w:val="FF0000"/>
      <w:sz w:val="24"/>
      <w:szCs w:val="24"/>
      <w:u w:val="none"/>
    </w:rPr>
  </w:style>
  <w:style w:type="character" w:customStyle="1" w:styleId="100">
    <w:name w:val="标题 1 Char Char"/>
    <w:qFormat/>
    <w:uiPriority w:val="99"/>
    <w:rPr>
      <w:rFonts w:ascii="宋体" w:hAnsi="宋体" w:eastAsia="宋体" w:cs="宋体"/>
      <w:b/>
      <w:bCs/>
      <w:spacing w:val="-2"/>
      <w:sz w:val="24"/>
      <w:szCs w:val="24"/>
      <w:lang w:val="en-US" w:eastAsia="zh-CN"/>
    </w:rPr>
  </w:style>
  <w:style w:type="character" w:customStyle="1" w:styleId="101">
    <w:name w:val="纯文本 Char_0_0"/>
    <w:link w:val="102"/>
    <w:qFormat/>
    <w:locked/>
    <w:uiPriority w:val="99"/>
    <w:rPr>
      <w:rFonts w:ascii="宋体" w:hAnsi="Courier New" w:cs="宋体"/>
      <w:kern w:val="2"/>
      <w:sz w:val="21"/>
      <w:szCs w:val="21"/>
    </w:rPr>
  </w:style>
  <w:style w:type="paragraph" w:customStyle="1" w:styleId="102">
    <w:name w:val="纯文本_0_0"/>
    <w:basedOn w:val="103"/>
    <w:link w:val="101"/>
    <w:qFormat/>
    <w:uiPriority w:val="99"/>
    <w:rPr>
      <w:rFonts w:ascii="宋体" w:hAnsi="Courier New" w:cs="Times New Roman"/>
    </w:rPr>
  </w:style>
  <w:style w:type="paragraph" w:customStyle="1" w:styleId="103">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4">
    <w:name w:val="Style Heading 3 + Char"/>
    <w:link w:val="105"/>
    <w:qFormat/>
    <w:locked/>
    <w:uiPriority w:val="99"/>
    <w:rPr>
      <w:rFonts w:eastAsia="宋体"/>
      <w:b/>
      <w:bCs/>
      <w:kern w:val="2"/>
      <w:sz w:val="28"/>
      <w:szCs w:val="28"/>
      <w:lang w:val="en-US" w:eastAsia="zh-CN"/>
    </w:rPr>
  </w:style>
  <w:style w:type="paragraph" w:customStyle="1" w:styleId="105">
    <w:name w:val="Style Heading 3 +"/>
    <w:basedOn w:val="7"/>
    <w:link w:val="104"/>
    <w:qFormat/>
    <w:uiPriority w:val="99"/>
    <w:pPr>
      <w:adjustRightInd/>
      <w:spacing w:before="120" w:after="120" w:line="120" w:lineRule="atLeast"/>
      <w:textAlignment w:val="auto"/>
    </w:pPr>
    <w:rPr>
      <w:kern w:val="2"/>
      <w:sz w:val="28"/>
      <w:szCs w:val="28"/>
      <w:lang w:val="en-US" w:eastAsia="zh-CN"/>
    </w:rPr>
  </w:style>
  <w:style w:type="character" w:customStyle="1" w:styleId="106">
    <w:name w:val="font11"/>
    <w:qFormat/>
    <w:uiPriority w:val="99"/>
    <w:rPr>
      <w:rFonts w:ascii="宋体" w:hAnsi="宋体" w:eastAsia="宋体" w:cs="宋体"/>
      <w:color w:val="000000"/>
      <w:sz w:val="24"/>
      <w:szCs w:val="24"/>
      <w:u w:val="none"/>
    </w:rPr>
  </w:style>
  <w:style w:type="character" w:customStyle="1" w:styleId="107">
    <w:name w:val="font21"/>
    <w:qFormat/>
    <w:uiPriority w:val="99"/>
    <w:rPr>
      <w:rFonts w:ascii="楷体_GB2312" w:eastAsia="楷体_GB2312" w:cs="楷体_GB2312"/>
      <w:color w:val="000000"/>
      <w:sz w:val="24"/>
      <w:szCs w:val="24"/>
      <w:u w:val="none"/>
    </w:rPr>
  </w:style>
  <w:style w:type="character" w:customStyle="1" w:styleId="108">
    <w:name w:val="font41"/>
    <w:qFormat/>
    <w:uiPriority w:val="99"/>
    <w:rPr>
      <w:rFonts w:ascii="仿宋" w:hAnsi="仿宋" w:eastAsia="仿宋" w:cs="仿宋"/>
      <w:color w:val="000000"/>
      <w:sz w:val="20"/>
      <w:szCs w:val="20"/>
      <w:u w:val="none"/>
    </w:rPr>
  </w:style>
  <w:style w:type="paragraph" w:customStyle="1" w:styleId="109">
    <w:name w:val="Char Char Char1 Char"/>
    <w:basedOn w:val="1"/>
    <w:qFormat/>
    <w:uiPriority w:val="99"/>
  </w:style>
  <w:style w:type="paragraph" w:customStyle="1" w:styleId="110">
    <w:name w:val="标题 41"/>
    <w:qFormat/>
    <w:uiPriority w:val="0"/>
    <w:pPr>
      <w:widowControl w:val="0"/>
      <w:jc w:val="both"/>
    </w:pPr>
    <w:rPr>
      <w:rFonts w:ascii="Times New Roman" w:hAnsi="Arial Unicode MS" w:eastAsia="Arial Unicode MS" w:cs="Arial Unicode MS"/>
      <w:color w:val="000000"/>
      <w:u w:val="none" w:color="000000"/>
      <w:lang w:val="en-US" w:eastAsia="zh-CN" w:bidi="ar-SA"/>
    </w:rPr>
  </w:style>
  <w:style w:type="paragraph" w:customStyle="1" w:styleId="111">
    <w:name w:val="纯文本2"/>
    <w:basedOn w:val="1"/>
    <w:qFormat/>
    <w:uiPriority w:val="99"/>
    <w:rPr>
      <w:rFonts w:ascii="宋体" w:hAnsi="Courier New" w:cs="宋体"/>
      <w:sz w:val="28"/>
      <w:szCs w:val="28"/>
    </w:rPr>
  </w:style>
  <w:style w:type="paragraph" w:customStyle="1" w:styleId="112">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3">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5">
    <w:name w:val="1"/>
    <w:basedOn w:val="1"/>
    <w:next w:val="25"/>
    <w:qFormat/>
    <w:uiPriority w:val="99"/>
    <w:rPr>
      <w:rFonts w:ascii="宋体" w:hAnsi="Courier New" w:cs="宋体"/>
    </w:rPr>
  </w:style>
  <w:style w:type="paragraph" w:customStyle="1" w:styleId="116">
    <w:name w:val="Normal_12_0"/>
    <w:qFormat/>
    <w:uiPriority w:val="99"/>
    <w:rPr>
      <w:rFonts w:ascii="黑体" w:hAnsi="黑体" w:eastAsia="黑体" w:cs="黑体"/>
      <w:b/>
      <w:bCs/>
      <w:sz w:val="32"/>
      <w:szCs w:val="32"/>
      <w:lang w:val="en-US" w:eastAsia="zh-CN" w:bidi="ar-SA"/>
    </w:rPr>
  </w:style>
  <w:style w:type="paragraph" w:customStyle="1" w:styleId="117">
    <w:name w:val="p0"/>
    <w:basedOn w:val="1"/>
    <w:qFormat/>
    <w:uiPriority w:val="99"/>
    <w:pPr>
      <w:widowControl/>
    </w:pPr>
    <w:rPr>
      <w:kern w:val="0"/>
    </w:rPr>
  </w:style>
  <w:style w:type="paragraph" w:customStyle="1" w:styleId="118">
    <w:name w:val="列出段落1"/>
    <w:basedOn w:val="1"/>
    <w:qFormat/>
    <w:uiPriority w:val="99"/>
    <w:pPr>
      <w:ind w:firstLine="420" w:firstLineChars="200"/>
    </w:pPr>
  </w:style>
  <w:style w:type="paragraph" w:customStyle="1" w:styleId="119">
    <w:name w:val="样式 标题 1 + 宋体 段前: 0 磅 段后: 0 磅 行距: 单倍行距"/>
    <w:basedOn w:val="5"/>
    <w:next w:val="1"/>
    <w:qFormat/>
    <w:uiPriority w:val="99"/>
    <w:pPr>
      <w:spacing w:beforeLines="100" w:afterLines="100"/>
    </w:pPr>
    <w:rPr>
      <w:rFonts w:ascii="仿宋_GB2312" w:hAnsi="宋体" w:cs="仿宋_GB2312"/>
    </w:rPr>
  </w:style>
  <w:style w:type="paragraph" w:customStyle="1" w:styleId="120">
    <w:name w:val="图文"/>
    <w:basedOn w:val="1"/>
    <w:qFormat/>
    <w:uiPriority w:val="99"/>
    <w:pPr>
      <w:adjustRightInd w:val="0"/>
      <w:snapToGrid w:val="0"/>
      <w:spacing w:after="50" w:line="360" w:lineRule="auto"/>
    </w:pPr>
    <w:rPr>
      <w:sz w:val="24"/>
      <w:szCs w:val="24"/>
    </w:rPr>
  </w:style>
  <w:style w:type="paragraph" w:customStyle="1" w:styleId="121">
    <w:name w:val="列出段落11"/>
    <w:basedOn w:val="1"/>
    <w:qFormat/>
    <w:uiPriority w:val="99"/>
    <w:pPr>
      <w:ind w:firstLine="200" w:firstLineChars="200"/>
    </w:pPr>
    <w:rPr>
      <w:rFonts w:ascii="Calibri" w:hAnsi="Calibri" w:cs="Calibri"/>
    </w:rPr>
  </w:style>
  <w:style w:type="paragraph" w:styleId="122">
    <w:name w:val="List Paragraph"/>
    <w:basedOn w:val="1"/>
    <w:qFormat/>
    <w:uiPriority w:val="99"/>
    <w:pPr>
      <w:ind w:firstLine="420" w:firstLineChars="200"/>
    </w:pPr>
  </w:style>
  <w:style w:type="paragraph" w:customStyle="1" w:styleId="123">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4">
    <w:name w:val="默认段落字体 Para Char Char Char Char"/>
    <w:basedOn w:val="1"/>
    <w:qFormat/>
    <w:uiPriority w:val="99"/>
  </w:style>
  <w:style w:type="paragraph" w:customStyle="1" w:styleId="125">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7">
    <w:name w:val="简单回函地址"/>
    <w:basedOn w:val="1"/>
    <w:qFormat/>
    <w:uiPriority w:val="99"/>
  </w:style>
  <w:style w:type="paragraph" w:customStyle="1" w:styleId="128">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29">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0">
    <w:name w:val="样式 标题 2 + 黑色 行距: 1.5 倍行距"/>
    <w:basedOn w:val="6"/>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1">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2">
    <w:name w:val="正文_0"/>
    <w:qFormat/>
    <w:uiPriority w:val="99"/>
    <w:rPr>
      <w:rFonts w:ascii="Times New Roman" w:hAnsi="Times New Roman" w:eastAsia="宋体" w:cs="Times New Roman"/>
      <w:sz w:val="21"/>
      <w:szCs w:val="21"/>
      <w:lang w:val="en-US" w:eastAsia="zh-CN" w:bidi="ar-SA"/>
    </w:rPr>
  </w:style>
  <w:style w:type="paragraph" w:customStyle="1" w:styleId="133">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4">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5">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6">
    <w:name w:val="Body text|1"/>
    <w:basedOn w:val="1"/>
    <w:qFormat/>
    <w:uiPriority w:val="0"/>
    <w:pPr>
      <w:widowControl w:val="0"/>
      <w:shd w:val="clear" w:color="auto" w:fill="auto"/>
      <w:spacing w:line="434" w:lineRule="auto"/>
      <w:ind w:firstLine="400"/>
    </w:pPr>
    <w:rPr>
      <w:rFonts w:ascii="宋体" w:hAnsi="宋体" w:eastAsia="宋体" w:cs="宋体"/>
      <w:sz w:val="20"/>
      <w:szCs w:val="20"/>
      <w:u w:val="none"/>
      <w:shd w:val="clear" w:color="auto" w:fill="auto"/>
      <w:lang w:val="zh-TW" w:eastAsia="zh-TW" w:bidi="zh-TW"/>
    </w:rPr>
  </w:style>
  <w:style w:type="paragraph" w:customStyle="1" w:styleId="137">
    <w:name w:val="_Style 17"/>
    <w:basedOn w:val="1"/>
    <w:next w:val="122"/>
    <w:qFormat/>
    <w:uiPriority w:val="99"/>
    <w:pPr>
      <w:spacing w:line="240" w:lineRule="auto"/>
      <w:ind w:firstLine="420" w:firstLineChars="200"/>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24815</Words>
  <Characters>25385</Characters>
  <Lines>207</Lines>
  <Paragraphs>58</Paragraphs>
  <TotalTime>1</TotalTime>
  <ScaleCrop>false</ScaleCrop>
  <LinksUpToDate>false</LinksUpToDate>
  <CharactersWithSpaces>26783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ql</dc:creator>
  <cp:lastModifiedBy>A</cp:lastModifiedBy>
  <cp:lastPrinted>2022-02-07T01:00:00Z</cp:lastPrinted>
  <dcterms:modified xsi:type="dcterms:W3CDTF">2022-09-16T07:55:12Z</dcterms:modified>
  <dc:title>崇川区闸管所2020年闸（站）液压式启闭机维修保养项目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C9BF15BF3A7F4495BC0D1D1C1D219D03</vt:lpwstr>
  </property>
</Properties>
</file>