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color w:val="auto"/>
          <w:w w:val="80"/>
          <w:sz w:val="44"/>
          <w:szCs w:val="44"/>
          <w:highlight w:val="none"/>
        </w:rPr>
      </w:pPr>
    </w:p>
    <w:p>
      <w:pPr>
        <w:pStyle w:val="2"/>
        <w:ind w:firstLine="883"/>
        <w:jc w:val="center"/>
        <w:rPr>
          <w:rFonts w:hint="eastAsia" w:eastAsia="宋体"/>
          <w:color w:val="auto"/>
          <w:highlight w:val="none"/>
          <w:lang w:eastAsia="zh-CN"/>
        </w:rPr>
      </w:pPr>
      <w:r>
        <w:rPr>
          <w:rFonts w:hint="eastAsia" w:ascii="宋体" w:hAnsi="宋体" w:cs="宋体"/>
          <w:b/>
          <w:bCs/>
          <w:color w:val="auto"/>
          <w:sz w:val="44"/>
          <w:szCs w:val="44"/>
          <w:highlight w:val="none"/>
          <w:lang w:eastAsia="zh-CN"/>
        </w:rPr>
        <w:t>南通市妇幼保健院食堂经营管理服务项目</w:t>
      </w:r>
    </w:p>
    <w:p>
      <w:pPr>
        <w:tabs>
          <w:tab w:val="left" w:pos="6300"/>
        </w:tabs>
        <w:snapToGrid w:val="0"/>
        <w:spacing w:line="300" w:lineRule="auto"/>
        <w:jc w:val="center"/>
        <w:rPr>
          <w:rFonts w:ascii="宋体"/>
          <w:b/>
          <w:bCs/>
          <w:color w:val="auto"/>
          <w:w w:val="80"/>
          <w:sz w:val="96"/>
          <w:szCs w:val="96"/>
          <w:highlight w:val="none"/>
        </w:rPr>
      </w:pPr>
    </w:p>
    <w:p>
      <w:pPr>
        <w:pStyle w:val="20"/>
        <w:rPr>
          <w:rFonts w:ascii="宋体"/>
          <w:b/>
          <w:bCs/>
          <w:color w:val="auto"/>
          <w:w w:val="80"/>
          <w:sz w:val="96"/>
          <w:szCs w:val="96"/>
          <w:highlight w:val="none"/>
        </w:rPr>
      </w:pPr>
    </w:p>
    <w:p>
      <w:pPr>
        <w:pStyle w:val="31"/>
        <w:rPr>
          <w:color w:val="auto"/>
          <w:highlight w:val="none"/>
        </w:rPr>
      </w:pPr>
    </w:p>
    <w:p>
      <w:pPr>
        <w:tabs>
          <w:tab w:val="left" w:pos="6300"/>
        </w:tabs>
        <w:snapToGrid w:val="0"/>
        <w:spacing w:line="300" w:lineRule="auto"/>
        <w:jc w:val="center"/>
        <w:rPr>
          <w:rFonts w:ascii="宋体"/>
          <w:b/>
          <w:bCs/>
          <w:color w:val="auto"/>
          <w:w w:val="80"/>
          <w:sz w:val="96"/>
          <w:szCs w:val="96"/>
          <w:highlight w:val="none"/>
        </w:rPr>
      </w:pPr>
      <w:r>
        <w:rPr>
          <w:rFonts w:hint="eastAsia" w:ascii="宋体" w:hAnsi="宋体" w:cs="宋体"/>
          <w:b/>
          <w:bCs/>
          <w:color w:val="auto"/>
          <w:w w:val="80"/>
          <w:sz w:val="96"/>
          <w:szCs w:val="96"/>
          <w:highlight w:val="none"/>
        </w:rPr>
        <w:t>竞争性磋商文件</w:t>
      </w:r>
    </w:p>
    <w:p>
      <w:pPr>
        <w:jc w:val="center"/>
        <w:rPr>
          <w:rFonts w:ascii="宋体"/>
          <w:b/>
          <w:bCs/>
          <w:color w:val="auto"/>
          <w:sz w:val="44"/>
          <w:szCs w:val="44"/>
          <w:highlight w:val="none"/>
        </w:rPr>
      </w:pPr>
    </w:p>
    <w:p>
      <w:pPr>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lang w:val="en-US" w:eastAsia="zh-CN"/>
        </w:rPr>
        <w:t>WLDL202207063</w:t>
      </w:r>
    </w:p>
    <w:p>
      <w:pPr>
        <w:pStyle w:val="2"/>
        <w:rPr>
          <w:rFonts w:hint="eastAsia"/>
          <w:color w:val="auto"/>
          <w:highlight w:val="none"/>
        </w:rPr>
      </w:pPr>
    </w:p>
    <w:p>
      <w:pPr>
        <w:pStyle w:val="20"/>
        <w:rPr>
          <w:color w:val="auto"/>
          <w:highlight w:val="none"/>
        </w:rPr>
      </w:pPr>
    </w:p>
    <w:p>
      <w:pPr>
        <w:rPr>
          <w:color w:val="auto"/>
          <w:highlight w:val="none"/>
        </w:rPr>
      </w:pPr>
    </w:p>
    <w:p>
      <w:pPr>
        <w:snapToGrid w:val="0"/>
        <w:spacing w:line="360" w:lineRule="auto"/>
        <w:jc w:val="center"/>
        <w:rPr>
          <w:color w:val="auto"/>
          <w:sz w:val="32"/>
          <w:szCs w:val="32"/>
          <w:highlight w:val="none"/>
        </w:rPr>
      </w:pPr>
    </w:p>
    <w:p>
      <w:pPr>
        <w:spacing w:line="360" w:lineRule="auto"/>
        <w:jc w:val="center"/>
        <w:rPr>
          <w:rFonts w:ascii="宋体"/>
          <w:b/>
          <w:bCs/>
          <w:color w:val="auto"/>
          <w:sz w:val="44"/>
          <w:szCs w:val="44"/>
          <w:highlight w:val="none"/>
        </w:rPr>
      </w:pPr>
    </w:p>
    <w:p>
      <w:pPr>
        <w:pStyle w:val="2"/>
        <w:ind w:firstLine="0" w:firstLineChars="0"/>
        <w:rPr>
          <w:rFonts w:hint="eastAsia"/>
          <w:color w:val="auto"/>
          <w:highlight w:val="none"/>
        </w:rPr>
      </w:pPr>
    </w:p>
    <w:p>
      <w:pPr>
        <w:pStyle w:val="2"/>
        <w:ind w:firstLine="0" w:firstLineChars="0"/>
        <w:rPr>
          <w:rFonts w:hint="eastAsia"/>
          <w:color w:val="auto"/>
          <w:highlight w:val="none"/>
        </w:rPr>
      </w:pPr>
    </w:p>
    <w:p>
      <w:pPr>
        <w:pStyle w:val="2"/>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2"/>
        <w:rPr>
          <w:color w:val="auto"/>
          <w:highlight w:val="none"/>
        </w:rPr>
      </w:pPr>
    </w:p>
    <w:p>
      <w:pPr>
        <w:pStyle w:val="2"/>
        <w:rPr>
          <w:color w:val="auto"/>
          <w:highlight w:val="none"/>
        </w:rPr>
      </w:pPr>
    </w:p>
    <w:p>
      <w:pPr>
        <w:pStyle w:val="5"/>
        <w:rPr>
          <w:color w:val="auto"/>
          <w:highlight w:val="none"/>
        </w:rPr>
      </w:pPr>
    </w:p>
    <w:p>
      <w:pPr>
        <w:adjustRightInd w:val="0"/>
        <w:snapToGrid w:val="0"/>
        <w:spacing w:line="360" w:lineRule="auto"/>
        <w:ind w:firstLine="1807" w:firstLineChars="600"/>
        <w:jc w:val="left"/>
        <w:rPr>
          <w:rFonts w:hint="eastAsia" w:ascii="宋体" w:hAnsi="宋体" w:eastAsia="宋体" w:cs="宋体"/>
          <w:b/>
          <w:bCs/>
          <w:color w:val="auto"/>
          <w:sz w:val="30"/>
          <w:szCs w:val="30"/>
          <w:highlight w:val="none"/>
          <w:lang w:eastAsia="zh-CN"/>
        </w:rPr>
      </w:pPr>
      <w:bookmarkStart w:id="0" w:name="_Toc94544827"/>
      <w:bookmarkStart w:id="1" w:name="_Toc521201596"/>
      <w:bookmarkStart w:id="2" w:name="_Toc12670502"/>
      <w:bookmarkStart w:id="3" w:name="_Toc11500279"/>
      <w:bookmarkStart w:id="4" w:name="_Toc521203417"/>
      <w:bookmarkStart w:id="5" w:name="_Toc11554638"/>
      <w:bookmarkStart w:id="6" w:name="_Toc11499583"/>
      <w:bookmarkStart w:id="7" w:name="_Toc94585339"/>
      <w:bookmarkStart w:id="8" w:name="_Toc8895738"/>
      <w:bookmarkStart w:id="9" w:name="_Toc94544743"/>
      <w:r>
        <w:rPr>
          <w:rFonts w:hint="eastAsia" w:ascii="宋体" w:hAnsi="宋体" w:cs="宋体"/>
          <w:b/>
          <w:bCs/>
          <w:color w:val="auto"/>
          <w:sz w:val="30"/>
          <w:szCs w:val="30"/>
          <w:highlight w:val="none"/>
        </w:rPr>
        <w:t>采购单位：</w:t>
      </w:r>
      <w:r>
        <w:rPr>
          <w:rFonts w:hint="eastAsia" w:ascii="宋体" w:hAnsi="宋体" w:cs="宋体"/>
          <w:b/>
          <w:bCs/>
          <w:color w:val="auto"/>
          <w:sz w:val="30"/>
          <w:szCs w:val="30"/>
          <w:highlight w:val="none"/>
          <w:lang w:eastAsia="zh-CN"/>
        </w:rPr>
        <w:t>南通市妇幼保健院</w:t>
      </w:r>
    </w:p>
    <w:p>
      <w:pPr>
        <w:adjustRightInd w:val="0"/>
        <w:snapToGrid w:val="0"/>
        <w:spacing w:line="360" w:lineRule="auto"/>
        <w:ind w:firstLine="1807" w:firstLineChars="60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代理机构：南通万隆工程管理有限公司</w:t>
      </w:r>
    </w:p>
    <w:p>
      <w:pPr>
        <w:adjustRightInd w:val="0"/>
        <w:snapToGrid w:val="0"/>
        <w:spacing w:line="360" w:lineRule="auto"/>
        <w:jc w:val="center"/>
        <w:rPr>
          <w:rFonts w:hint="eastAsia" w:ascii="宋体" w:hAnsi="宋体" w:cs="宋体"/>
          <w:b/>
          <w:bCs/>
          <w:color w:val="auto"/>
          <w:sz w:val="30"/>
          <w:szCs w:val="30"/>
          <w:highlight w:val="none"/>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b/>
          <w:bCs/>
          <w:color w:val="auto"/>
          <w:sz w:val="30"/>
          <w:szCs w:val="30"/>
          <w:highlight w:val="none"/>
        </w:rPr>
        <w:t xml:space="preserve"> 二〇二二年</w:t>
      </w:r>
      <w:r>
        <w:rPr>
          <w:rFonts w:hint="eastAsia" w:ascii="宋体" w:hAnsi="宋体" w:cs="宋体"/>
          <w:b/>
          <w:bCs/>
          <w:color w:val="auto"/>
          <w:sz w:val="30"/>
          <w:szCs w:val="30"/>
          <w:highlight w:val="none"/>
          <w:lang w:val="en-US" w:eastAsia="zh-CN"/>
        </w:rPr>
        <w:t>七</w:t>
      </w:r>
      <w:r>
        <w:rPr>
          <w:rFonts w:hint="eastAsia" w:ascii="宋体" w:hAnsi="宋体" w:cs="宋体"/>
          <w:b/>
          <w:bCs/>
          <w:color w:val="auto"/>
          <w:sz w:val="30"/>
          <w:szCs w:val="30"/>
          <w:highlight w:val="none"/>
        </w:rPr>
        <w:t xml:space="preserve">月  </w:t>
      </w:r>
    </w:p>
    <w:p>
      <w:pPr>
        <w:pStyle w:val="20"/>
        <w:rPr>
          <w:color w:val="auto"/>
          <w:highlight w:val="none"/>
        </w:rPr>
      </w:pPr>
    </w:p>
    <w:p>
      <w:pPr>
        <w:adjustRightInd w:val="0"/>
        <w:snapToGrid w:val="0"/>
        <w:spacing w:line="360" w:lineRule="auto"/>
        <w:jc w:val="center"/>
        <w:rPr>
          <w:rFonts w:ascii="宋体"/>
          <w:b/>
          <w:bCs/>
          <w:i/>
          <w:iCs/>
          <w:color w:val="auto"/>
          <w:w w:val="80"/>
          <w:sz w:val="52"/>
          <w:szCs w:val="52"/>
          <w:highlight w:val="none"/>
        </w:rPr>
      </w:pPr>
      <w:r>
        <w:rPr>
          <w:rFonts w:hint="eastAsia" w:ascii="宋体" w:hAnsi="宋体" w:cs="宋体"/>
          <w:b/>
          <w:bCs/>
          <w:color w:val="auto"/>
          <w:w w:val="80"/>
          <w:sz w:val="52"/>
          <w:szCs w:val="52"/>
          <w:highlight w:val="none"/>
        </w:rPr>
        <w:t>目</w:t>
      </w:r>
      <w:r>
        <w:rPr>
          <w:rFonts w:ascii="宋体" w:hAnsi="宋体" w:cs="宋体"/>
          <w:b/>
          <w:bCs/>
          <w:color w:val="auto"/>
          <w:w w:val="80"/>
          <w:sz w:val="52"/>
          <w:szCs w:val="52"/>
          <w:highlight w:val="none"/>
        </w:rPr>
        <w:t xml:space="preserve"> </w:t>
      </w:r>
      <w:r>
        <w:rPr>
          <w:rFonts w:hint="eastAsia" w:ascii="宋体" w:hAnsi="宋体" w:cs="宋体"/>
          <w:b/>
          <w:bCs/>
          <w:color w:val="auto"/>
          <w:w w:val="80"/>
          <w:sz w:val="52"/>
          <w:szCs w:val="52"/>
          <w:highlight w:val="none"/>
        </w:rPr>
        <w:t xml:space="preserve"> 录</w:t>
      </w:r>
    </w:p>
    <w:p>
      <w:pPr>
        <w:pStyle w:val="34"/>
        <w:tabs>
          <w:tab w:val="right" w:leader="dot" w:pos="9528"/>
          <w:tab w:val="clear" w:pos="840"/>
          <w:tab w:val="clear" w:pos="9402"/>
        </w:tabs>
        <w:snapToGrid/>
        <w:spacing w:line="1200" w:lineRule="exact"/>
        <w:textAlignment w:val="baseline"/>
        <w:rPr>
          <w:rFonts w:ascii="宋体" w:cs="Times New Roman"/>
          <w:caps w:val="0"/>
          <w:color w:val="auto"/>
          <w:w w:val="100"/>
          <w:sz w:val="32"/>
          <w:szCs w:val="32"/>
          <w:highlight w:val="none"/>
        </w:rPr>
      </w:pPr>
      <w:r>
        <w:rPr>
          <w:rFonts w:hint="eastAsia" w:ascii="宋体" w:cs="宋体"/>
          <w:caps w:val="0"/>
          <w:color w:val="auto"/>
          <w:w w:val="100"/>
          <w:sz w:val="32"/>
          <w:szCs w:val="32"/>
          <w:highlight w:val="none"/>
        </w:rPr>
        <w:t>第一章</w:t>
      </w:r>
      <w:r>
        <w:rPr>
          <w:rFonts w:ascii="宋体" w:cs="宋体"/>
          <w:caps w:val="0"/>
          <w:color w:val="auto"/>
          <w:w w:val="100"/>
          <w:sz w:val="32"/>
          <w:szCs w:val="32"/>
          <w:highlight w:val="none"/>
        </w:rPr>
        <w:t xml:space="preserve"> </w:t>
      </w:r>
      <w:r>
        <w:rPr>
          <w:rFonts w:hint="eastAsia" w:ascii="宋体" w:cs="宋体"/>
          <w:caps w:val="0"/>
          <w:color w:val="auto"/>
          <w:w w:val="100"/>
          <w:sz w:val="32"/>
          <w:szCs w:val="32"/>
          <w:highlight w:val="none"/>
        </w:rPr>
        <w:t>竞争性磋商公告</w:t>
      </w:r>
    </w:p>
    <w:p>
      <w:pPr>
        <w:pStyle w:val="34"/>
        <w:tabs>
          <w:tab w:val="right" w:leader="dot" w:pos="9528"/>
          <w:tab w:val="clear" w:pos="840"/>
          <w:tab w:val="clear" w:pos="9402"/>
        </w:tabs>
        <w:snapToGrid/>
        <w:spacing w:line="1200" w:lineRule="exact"/>
        <w:textAlignment w:val="baseline"/>
        <w:rPr>
          <w:rFonts w:ascii="宋体" w:cs="Times New Roman"/>
          <w:caps w:val="0"/>
          <w:color w:val="auto"/>
          <w:w w:val="100"/>
          <w:sz w:val="32"/>
          <w:szCs w:val="32"/>
          <w:highlight w:val="none"/>
        </w:rPr>
      </w:pPr>
      <w:r>
        <w:rPr>
          <w:rFonts w:hint="eastAsia" w:ascii="宋体" w:cs="宋体"/>
          <w:caps w:val="0"/>
          <w:color w:val="auto"/>
          <w:w w:val="100"/>
          <w:sz w:val="32"/>
          <w:szCs w:val="32"/>
          <w:highlight w:val="none"/>
        </w:rPr>
        <w:t>第二章</w:t>
      </w:r>
      <w:r>
        <w:rPr>
          <w:rFonts w:ascii="宋体" w:cs="宋体"/>
          <w:caps w:val="0"/>
          <w:color w:val="auto"/>
          <w:w w:val="100"/>
          <w:sz w:val="32"/>
          <w:szCs w:val="32"/>
          <w:highlight w:val="none"/>
        </w:rPr>
        <w:t xml:space="preserve"> </w:t>
      </w:r>
      <w:r>
        <w:rPr>
          <w:rFonts w:hint="eastAsia" w:ascii="宋体" w:cs="宋体"/>
          <w:caps w:val="0"/>
          <w:color w:val="auto"/>
          <w:w w:val="100"/>
          <w:sz w:val="32"/>
          <w:szCs w:val="32"/>
          <w:highlight w:val="none"/>
        </w:rPr>
        <w:t>磋商供应商须知</w:t>
      </w:r>
    </w:p>
    <w:p>
      <w:pPr>
        <w:pStyle w:val="34"/>
        <w:tabs>
          <w:tab w:val="right" w:leader="dot" w:pos="9528"/>
          <w:tab w:val="clear" w:pos="840"/>
          <w:tab w:val="clear" w:pos="9402"/>
        </w:tabs>
        <w:snapToGrid/>
        <w:spacing w:line="1200" w:lineRule="exact"/>
        <w:textAlignment w:val="baseline"/>
        <w:rPr>
          <w:rFonts w:ascii="宋体" w:cs="Times New Roman"/>
          <w:caps w:val="0"/>
          <w:color w:val="auto"/>
          <w:w w:val="100"/>
          <w:sz w:val="32"/>
          <w:szCs w:val="32"/>
          <w:highlight w:val="none"/>
        </w:rPr>
      </w:pPr>
      <w:r>
        <w:rPr>
          <w:rFonts w:hint="eastAsia" w:ascii="宋体" w:cs="宋体"/>
          <w:caps w:val="0"/>
          <w:color w:val="auto"/>
          <w:w w:val="100"/>
          <w:sz w:val="32"/>
          <w:szCs w:val="32"/>
          <w:highlight w:val="none"/>
        </w:rPr>
        <w:t>第三章</w:t>
      </w:r>
      <w:r>
        <w:rPr>
          <w:rFonts w:ascii="宋体" w:cs="宋体"/>
          <w:caps w:val="0"/>
          <w:color w:val="auto"/>
          <w:w w:val="100"/>
          <w:sz w:val="32"/>
          <w:szCs w:val="32"/>
          <w:highlight w:val="none"/>
        </w:rPr>
        <w:t xml:space="preserve"> </w:t>
      </w:r>
      <w:r>
        <w:rPr>
          <w:rFonts w:hint="eastAsia" w:ascii="宋体" w:cs="宋体"/>
          <w:caps w:val="0"/>
          <w:color w:val="auto"/>
          <w:w w:val="100"/>
          <w:sz w:val="32"/>
          <w:szCs w:val="32"/>
          <w:highlight w:val="none"/>
        </w:rPr>
        <w:t>项目需求</w:t>
      </w:r>
    </w:p>
    <w:p>
      <w:pPr>
        <w:pStyle w:val="34"/>
        <w:tabs>
          <w:tab w:val="right" w:leader="dot" w:pos="9528"/>
          <w:tab w:val="clear" w:pos="840"/>
          <w:tab w:val="clear" w:pos="9402"/>
        </w:tabs>
        <w:snapToGrid/>
        <w:spacing w:line="1200" w:lineRule="exact"/>
        <w:textAlignment w:val="baseline"/>
        <w:rPr>
          <w:rFonts w:ascii="宋体" w:cs="Times New Roman"/>
          <w:caps w:val="0"/>
          <w:color w:val="auto"/>
          <w:w w:val="100"/>
          <w:sz w:val="32"/>
          <w:szCs w:val="32"/>
          <w:highlight w:val="none"/>
        </w:rPr>
      </w:pPr>
      <w:r>
        <w:rPr>
          <w:rFonts w:hint="eastAsia" w:ascii="宋体" w:cs="宋体"/>
          <w:caps w:val="0"/>
          <w:color w:val="auto"/>
          <w:w w:val="100"/>
          <w:sz w:val="32"/>
          <w:szCs w:val="32"/>
          <w:highlight w:val="none"/>
        </w:rPr>
        <w:t>第四章</w:t>
      </w:r>
      <w:r>
        <w:rPr>
          <w:rFonts w:ascii="宋体" w:cs="宋体"/>
          <w:caps w:val="0"/>
          <w:color w:val="auto"/>
          <w:w w:val="100"/>
          <w:sz w:val="32"/>
          <w:szCs w:val="32"/>
          <w:highlight w:val="none"/>
        </w:rPr>
        <w:t xml:space="preserve"> </w:t>
      </w:r>
      <w:r>
        <w:rPr>
          <w:rFonts w:hint="eastAsia" w:ascii="宋体" w:cs="宋体"/>
          <w:caps w:val="0"/>
          <w:color w:val="auto"/>
          <w:w w:val="100"/>
          <w:sz w:val="32"/>
          <w:szCs w:val="32"/>
          <w:highlight w:val="none"/>
        </w:rPr>
        <w:t>评审方法和程序</w:t>
      </w:r>
    </w:p>
    <w:p>
      <w:pPr>
        <w:pStyle w:val="34"/>
        <w:tabs>
          <w:tab w:val="right" w:leader="dot" w:pos="9528"/>
          <w:tab w:val="clear" w:pos="840"/>
          <w:tab w:val="clear" w:pos="9402"/>
        </w:tabs>
        <w:snapToGrid/>
        <w:spacing w:line="1200" w:lineRule="exact"/>
        <w:textAlignment w:val="baseline"/>
        <w:rPr>
          <w:rFonts w:ascii="宋体" w:cs="Times New Roman"/>
          <w:caps w:val="0"/>
          <w:color w:val="auto"/>
          <w:w w:val="100"/>
          <w:sz w:val="32"/>
          <w:szCs w:val="32"/>
          <w:highlight w:val="none"/>
        </w:rPr>
      </w:pPr>
      <w:r>
        <w:rPr>
          <w:rFonts w:hint="eastAsia" w:ascii="宋体" w:cs="宋体"/>
          <w:caps w:val="0"/>
          <w:color w:val="auto"/>
          <w:w w:val="100"/>
          <w:sz w:val="32"/>
          <w:szCs w:val="32"/>
          <w:highlight w:val="none"/>
        </w:rPr>
        <w:t>第五章</w:t>
      </w:r>
      <w:r>
        <w:rPr>
          <w:rFonts w:ascii="宋体" w:cs="宋体"/>
          <w:caps w:val="0"/>
          <w:color w:val="auto"/>
          <w:w w:val="100"/>
          <w:sz w:val="32"/>
          <w:szCs w:val="32"/>
          <w:highlight w:val="none"/>
        </w:rPr>
        <w:t xml:space="preserve"> </w:t>
      </w:r>
      <w:r>
        <w:rPr>
          <w:rFonts w:hint="eastAsia" w:ascii="宋体" w:cs="宋体"/>
          <w:caps w:val="0"/>
          <w:color w:val="auto"/>
          <w:w w:val="100"/>
          <w:sz w:val="32"/>
          <w:szCs w:val="32"/>
          <w:highlight w:val="none"/>
        </w:rPr>
        <w:t>合同主要条款</w:t>
      </w:r>
    </w:p>
    <w:p>
      <w:pPr>
        <w:pStyle w:val="34"/>
        <w:tabs>
          <w:tab w:val="right" w:leader="dot" w:pos="9528"/>
          <w:tab w:val="clear" w:pos="840"/>
          <w:tab w:val="clear" w:pos="9402"/>
        </w:tabs>
        <w:snapToGrid/>
        <w:spacing w:line="1200" w:lineRule="exact"/>
        <w:textAlignment w:val="baseline"/>
        <w:rPr>
          <w:rFonts w:ascii="宋体" w:cs="Times New Roman"/>
          <w:caps w:val="0"/>
          <w:color w:val="auto"/>
          <w:w w:val="100"/>
          <w:sz w:val="32"/>
          <w:szCs w:val="32"/>
          <w:highlight w:val="none"/>
        </w:rPr>
      </w:pPr>
      <w:r>
        <w:rPr>
          <w:rFonts w:hint="eastAsia" w:ascii="宋体" w:cs="宋体"/>
          <w:caps w:val="0"/>
          <w:color w:val="auto"/>
          <w:w w:val="100"/>
          <w:sz w:val="32"/>
          <w:szCs w:val="32"/>
          <w:highlight w:val="none"/>
        </w:rPr>
        <w:t>第六章</w:t>
      </w:r>
      <w:r>
        <w:rPr>
          <w:rFonts w:ascii="宋体" w:cs="宋体"/>
          <w:caps w:val="0"/>
          <w:color w:val="auto"/>
          <w:w w:val="100"/>
          <w:sz w:val="32"/>
          <w:szCs w:val="32"/>
          <w:highlight w:val="none"/>
        </w:rPr>
        <w:t xml:space="preserve"> </w:t>
      </w:r>
      <w:r>
        <w:rPr>
          <w:rFonts w:hint="eastAsia" w:ascii="宋体" w:cs="宋体"/>
          <w:caps w:val="0"/>
          <w:color w:val="auto"/>
          <w:w w:val="100"/>
          <w:sz w:val="32"/>
          <w:szCs w:val="32"/>
          <w:highlight w:val="none"/>
        </w:rPr>
        <w:t>合同授予</w:t>
      </w:r>
    </w:p>
    <w:p>
      <w:pPr>
        <w:pStyle w:val="34"/>
        <w:tabs>
          <w:tab w:val="right" w:leader="dot" w:pos="9528"/>
          <w:tab w:val="clear" w:pos="840"/>
          <w:tab w:val="clear" w:pos="9402"/>
        </w:tabs>
        <w:snapToGrid/>
        <w:spacing w:line="1200" w:lineRule="exact"/>
        <w:textAlignment w:val="baseline"/>
        <w:rPr>
          <w:rFonts w:ascii="宋体" w:cs="Times New Roman"/>
          <w:caps w:val="0"/>
          <w:color w:val="auto"/>
          <w:w w:val="100"/>
          <w:sz w:val="32"/>
          <w:szCs w:val="32"/>
          <w:highlight w:val="none"/>
        </w:rPr>
      </w:pPr>
      <w:r>
        <w:rPr>
          <w:rFonts w:hint="eastAsia" w:ascii="宋体" w:cs="宋体"/>
          <w:caps w:val="0"/>
          <w:color w:val="auto"/>
          <w:w w:val="100"/>
          <w:sz w:val="32"/>
          <w:szCs w:val="32"/>
          <w:highlight w:val="none"/>
        </w:rPr>
        <w:t>第七章</w:t>
      </w:r>
      <w:r>
        <w:rPr>
          <w:rFonts w:ascii="宋体" w:cs="宋体"/>
          <w:caps w:val="0"/>
          <w:color w:val="auto"/>
          <w:w w:val="100"/>
          <w:sz w:val="32"/>
          <w:szCs w:val="32"/>
          <w:highlight w:val="none"/>
        </w:rPr>
        <w:t xml:space="preserve"> </w:t>
      </w:r>
      <w:r>
        <w:rPr>
          <w:rFonts w:hint="eastAsia" w:ascii="宋体" w:cs="宋体"/>
          <w:caps w:val="0"/>
          <w:color w:val="auto"/>
          <w:w w:val="100"/>
          <w:sz w:val="32"/>
          <w:szCs w:val="32"/>
          <w:highlight w:val="none"/>
        </w:rPr>
        <w:t>质疑提出和处理</w:t>
      </w:r>
    </w:p>
    <w:p>
      <w:pPr>
        <w:pStyle w:val="34"/>
        <w:tabs>
          <w:tab w:val="right" w:leader="dot" w:pos="9528"/>
          <w:tab w:val="clear" w:pos="840"/>
          <w:tab w:val="clear" w:pos="9402"/>
        </w:tabs>
        <w:snapToGrid/>
        <w:spacing w:line="1200" w:lineRule="exact"/>
        <w:textAlignment w:val="baseline"/>
        <w:rPr>
          <w:rFonts w:ascii="宋体" w:cs="Times New Roman"/>
          <w:caps w:val="0"/>
          <w:color w:val="auto"/>
          <w:w w:val="100"/>
          <w:sz w:val="32"/>
          <w:szCs w:val="32"/>
          <w:highlight w:val="none"/>
        </w:rPr>
      </w:pPr>
      <w:r>
        <w:rPr>
          <w:rFonts w:hint="eastAsia" w:ascii="宋体" w:cs="宋体"/>
          <w:caps w:val="0"/>
          <w:color w:val="auto"/>
          <w:w w:val="100"/>
          <w:sz w:val="32"/>
          <w:szCs w:val="32"/>
          <w:highlight w:val="none"/>
        </w:rPr>
        <w:t>第八章</w:t>
      </w:r>
      <w:r>
        <w:rPr>
          <w:rFonts w:ascii="宋体" w:cs="宋体"/>
          <w:caps w:val="0"/>
          <w:color w:val="auto"/>
          <w:w w:val="100"/>
          <w:sz w:val="32"/>
          <w:szCs w:val="32"/>
          <w:highlight w:val="none"/>
        </w:rPr>
        <w:t xml:space="preserve"> </w:t>
      </w:r>
      <w:r>
        <w:rPr>
          <w:rFonts w:hint="eastAsia" w:ascii="宋体" w:cs="宋体"/>
          <w:caps w:val="0"/>
          <w:color w:val="auto"/>
          <w:w w:val="100"/>
          <w:sz w:val="32"/>
          <w:szCs w:val="32"/>
          <w:highlight w:val="none"/>
        </w:rPr>
        <w:t>响应文件组成及格式</w:t>
      </w:r>
    </w:p>
    <w:p>
      <w:pPr>
        <w:rPr>
          <w:rFonts w:ascii="宋体"/>
          <w:color w:val="auto"/>
          <w:sz w:val="36"/>
          <w:szCs w:val="36"/>
          <w:highlight w:val="none"/>
        </w:rPr>
      </w:pPr>
    </w:p>
    <w:p>
      <w:pPr>
        <w:rPr>
          <w:rFonts w:ascii="宋体"/>
          <w:color w:val="auto"/>
          <w:sz w:val="36"/>
          <w:szCs w:val="36"/>
          <w:highlight w:val="none"/>
        </w:rPr>
      </w:pPr>
    </w:p>
    <w:p>
      <w:pPr>
        <w:snapToGrid w:val="0"/>
        <w:spacing w:line="360" w:lineRule="auto"/>
        <w:rPr>
          <w:rFonts w:hint="eastAsia" w:ascii="宋体" w:hAnsi="宋体" w:cs="宋体"/>
          <w:b/>
          <w:bCs/>
          <w:color w:val="auto"/>
          <w:sz w:val="24"/>
          <w:szCs w:val="24"/>
          <w:highlight w:val="none"/>
        </w:rPr>
        <w:sectPr>
          <w:footerReference r:id="rId7" w:type="first"/>
          <w:footerReference r:id="rId6" w:type="default"/>
          <w:pgSz w:w="11906" w:h="16838"/>
          <w:pgMar w:top="1440" w:right="1361" w:bottom="1440" w:left="1361" w:header="851" w:footer="992" w:gutter="0"/>
          <w:pgNumType w:fmt="numberInDash"/>
          <w:cols w:space="720" w:num="1"/>
          <w:titlePg/>
          <w:docGrid w:linePitch="312" w:charSpace="0"/>
        </w:sectPr>
      </w:pPr>
    </w:p>
    <w:p>
      <w:pPr>
        <w:snapToGrid w:val="0"/>
        <w:spacing w:line="240" w:lineRule="auto"/>
        <w:rPr>
          <w:rFonts w:ascii="宋体"/>
          <w:b/>
          <w:bCs/>
          <w:color w:val="auto"/>
          <w:sz w:val="24"/>
          <w:szCs w:val="24"/>
          <w:highlight w:val="none"/>
        </w:rPr>
      </w:pPr>
      <w:r>
        <w:rPr>
          <w:rFonts w:hint="eastAsia" w:ascii="宋体" w:hAnsi="宋体" w:cs="宋体"/>
          <w:b/>
          <w:bCs/>
          <w:color w:val="auto"/>
          <w:sz w:val="24"/>
          <w:szCs w:val="24"/>
          <w:highlight w:val="none"/>
        </w:rPr>
        <w:t>尊敬的磋商供应商：</w:t>
      </w:r>
    </w:p>
    <w:p>
      <w:pPr>
        <w:snapToGrid w:val="0"/>
        <w:spacing w:line="24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欢迎参加本采购项目的竞争性磋商。为了保证本次磋商项目顺利进行，请在制作响应文件之前，仔细阅读本竞争性磋商文件的各项条款，并按要求制作和递交响应文件。谢谢合作！</w:t>
      </w:r>
    </w:p>
    <w:p>
      <w:pPr>
        <w:snapToGrid w:val="0"/>
        <w:spacing w:line="360" w:lineRule="auto"/>
        <w:rPr>
          <w:rFonts w:ascii="宋体"/>
          <w:b/>
          <w:bCs/>
          <w:color w:val="auto"/>
          <w:sz w:val="15"/>
          <w:szCs w:val="15"/>
          <w:highlight w:val="none"/>
        </w:rPr>
      </w:pPr>
    </w:p>
    <w:p>
      <w:pPr>
        <w:pStyle w:val="25"/>
        <w:tabs>
          <w:tab w:val="left" w:pos="1050"/>
          <w:tab w:val="right" w:leader="dot" w:pos="9402"/>
        </w:tabs>
        <w:spacing w:line="360" w:lineRule="auto"/>
        <w:ind w:left="0"/>
        <w:jc w:val="center"/>
        <w:outlineLvl w:val="0"/>
        <w:rPr>
          <w:rFonts w:ascii="宋体"/>
          <w:b/>
          <w:bCs/>
          <w:i w:val="0"/>
          <w:iCs w:val="0"/>
          <w:color w:val="auto"/>
          <w:sz w:val="44"/>
          <w:szCs w:val="44"/>
          <w:highlight w:val="none"/>
        </w:rPr>
      </w:pPr>
      <w:bookmarkStart w:id="10" w:name="_Toc363573853"/>
      <w:r>
        <w:rPr>
          <w:rFonts w:hint="eastAsia" w:ascii="宋体" w:hAnsi="宋体" w:cs="宋体"/>
          <w:b/>
          <w:bCs/>
          <w:i w:val="0"/>
          <w:iCs w:val="0"/>
          <w:color w:val="auto"/>
          <w:w w:val="80"/>
          <w:sz w:val="44"/>
          <w:szCs w:val="44"/>
          <w:highlight w:val="none"/>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color w:val="auto"/>
          <w:w w:val="80"/>
          <w:sz w:val="44"/>
          <w:szCs w:val="44"/>
          <w:highlight w:val="none"/>
        </w:rPr>
        <w:t>告</w:t>
      </w:r>
      <w:bookmarkEnd w:id="10"/>
    </w:p>
    <w:p>
      <w:pPr>
        <w:pBdr>
          <w:top w:val="single" w:color="auto" w:sz="4" w:space="1"/>
          <w:left w:val="single" w:color="auto" w:sz="4" w:space="4"/>
          <w:bottom w:val="single" w:color="auto" w:sz="4" w:space="1"/>
          <w:right w:val="single" w:color="auto" w:sz="4" w:space="4"/>
        </w:pBdr>
        <w:snapToGrid w:val="0"/>
        <w:spacing w:line="24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napToGrid w:val="0"/>
        <w:spacing w:line="240" w:lineRule="auto"/>
        <w:ind w:firstLine="480" w:firstLineChars="200"/>
        <w:rPr>
          <w:rFonts w:hint="eastAsia" w:ascii="宋体" w:hAnsi="宋体" w:cs="宋体"/>
          <w:color w:val="auto"/>
          <w:sz w:val="24"/>
          <w:szCs w:val="24"/>
          <w:highlight w:val="none"/>
        </w:rPr>
      </w:pPr>
      <w:r>
        <w:rPr>
          <w:rFonts w:hint="eastAsia" w:ascii="宋体" w:hAnsi="宋体" w:cs="宋体"/>
          <w:bCs/>
          <w:color w:val="auto"/>
          <w:sz w:val="24"/>
          <w:szCs w:val="24"/>
          <w:highlight w:val="none"/>
          <w:u w:val="single" w:color="000000"/>
          <w:lang w:eastAsia="zh-CN"/>
        </w:rPr>
        <w:t>南通市妇幼保健院食堂经营管理服务项目</w:t>
      </w:r>
      <w:r>
        <w:rPr>
          <w:rFonts w:hint="eastAsia" w:ascii="宋体" w:hAnsi="宋体" w:cs="宋体"/>
          <w:color w:val="auto"/>
          <w:sz w:val="24"/>
          <w:szCs w:val="24"/>
          <w:highlight w:val="none"/>
        </w:rPr>
        <w:t>的潜在供应商应在</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lang w:eastAsia="zh-CN"/>
        </w:rPr>
        <w:t>南通市卫生健康委员会官网（http://wjw.nantong.gov.cn）和南通市妇幼保健院官网（http://www.ntfybj.com）</w:t>
      </w:r>
      <w:r>
        <w:rPr>
          <w:rFonts w:hint="eastAsia" w:ascii="宋体" w:hAnsi="宋体" w:cs="宋体"/>
          <w:color w:val="auto"/>
          <w:sz w:val="24"/>
          <w:szCs w:val="24"/>
          <w:highlight w:val="none"/>
        </w:rPr>
        <w:t>获取采购文件，并于</w:t>
      </w:r>
      <w:r>
        <w:rPr>
          <w:rFonts w:hint="eastAsia" w:ascii="宋体" w:hAnsi="宋体" w:cs="宋体"/>
          <w:color w:val="auto"/>
          <w:sz w:val="24"/>
          <w:szCs w:val="24"/>
          <w:highlight w:val="none"/>
          <w:u w:val="single" w:color="000000"/>
        </w:rPr>
        <w:t xml:space="preserve"> 2022</w:t>
      </w:r>
      <w:r>
        <w:rPr>
          <w:rFonts w:hint="eastAsia" w:ascii="宋体" w:hAnsi="宋体" w:cs="宋体"/>
          <w:bCs/>
          <w:color w:val="auto"/>
          <w:sz w:val="24"/>
          <w:szCs w:val="24"/>
          <w:highlight w:val="none"/>
          <w:u w:val="single" w:color="000000"/>
        </w:rPr>
        <w:t>年</w:t>
      </w:r>
      <w:r>
        <w:rPr>
          <w:rFonts w:hint="eastAsia" w:ascii="宋体" w:hAnsi="宋体" w:cs="宋体"/>
          <w:bCs/>
          <w:color w:val="auto"/>
          <w:sz w:val="24"/>
          <w:szCs w:val="24"/>
          <w:highlight w:val="none"/>
          <w:u w:val="single" w:color="000000"/>
          <w:lang w:val="en-US" w:eastAsia="zh-CN"/>
        </w:rPr>
        <w:t>7</w:t>
      </w:r>
      <w:r>
        <w:rPr>
          <w:rFonts w:hint="eastAsia" w:ascii="宋体" w:hAnsi="宋体" w:cs="宋体"/>
          <w:bCs/>
          <w:color w:val="auto"/>
          <w:sz w:val="24"/>
          <w:szCs w:val="24"/>
          <w:highlight w:val="none"/>
          <w:u w:val="single" w:color="000000"/>
        </w:rPr>
        <w:t>月</w:t>
      </w:r>
      <w:r>
        <w:rPr>
          <w:rFonts w:hint="eastAsia" w:ascii="宋体" w:hAnsi="宋体" w:cs="宋体"/>
          <w:bCs/>
          <w:color w:val="auto"/>
          <w:sz w:val="24"/>
          <w:szCs w:val="24"/>
          <w:highlight w:val="none"/>
          <w:u w:val="single" w:color="000000"/>
          <w:lang w:val="en-US" w:eastAsia="zh-CN"/>
        </w:rPr>
        <w:t>26</w:t>
      </w:r>
      <w:r>
        <w:rPr>
          <w:rFonts w:hint="eastAsia" w:ascii="宋体" w:hAnsi="宋体" w:cs="宋体"/>
          <w:bCs/>
          <w:color w:val="auto"/>
          <w:sz w:val="24"/>
          <w:szCs w:val="24"/>
          <w:highlight w:val="none"/>
          <w:u w:val="single" w:color="000000"/>
        </w:rPr>
        <w:t>日</w:t>
      </w:r>
      <w:r>
        <w:rPr>
          <w:rFonts w:hint="eastAsia" w:ascii="宋体" w:hAnsi="宋体" w:cs="宋体"/>
          <w:bCs/>
          <w:color w:val="auto"/>
          <w:sz w:val="24"/>
          <w:szCs w:val="24"/>
          <w:highlight w:val="none"/>
          <w:u w:val="single" w:color="000000"/>
          <w:lang w:val="en-US" w:eastAsia="zh-CN"/>
        </w:rPr>
        <w:t>14</w:t>
      </w:r>
      <w:r>
        <w:rPr>
          <w:rFonts w:hint="eastAsia" w:ascii="宋体" w:hAnsi="宋体" w:cs="宋体"/>
          <w:bCs/>
          <w:color w:val="auto"/>
          <w:sz w:val="24"/>
          <w:szCs w:val="24"/>
          <w:highlight w:val="none"/>
          <w:u w:val="single" w:color="000000"/>
        </w:rPr>
        <w:t>点</w:t>
      </w:r>
      <w:r>
        <w:rPr>
          <w:rFonts w:hint="eastAsia" w:ascii="宋体" w:hAnsi="宋体" w:cs="宋体"/>
          <w:bCs/>
          <w:color w:val="auto"/>
          <w:sz w:val="24"/>
          <w:szCs w:val="24"/>
          <w:highlight w:val="none"/>
          <w:u w:val="single" w:color="000000"/>
          <w:lang w:val="en-US" w:eastAsia="zh-CN"/>
        </w:rPr>
        <w:t>30</w:t>
      </w:r>
      <w:r>
        <w:rPr>
          <w:rFonts w:hint="eastAsia" w:ascii="宋体" w:hAnsi="宋体" w:cs="宋体"/>
          <w:bCs/>
          <w:color w:val="auto"/>
          <w:sz w:val="24"/>
          <w:szCs w:val="24"/>
          <w:highlight w:val="none"/>
          <w:u w:val="single" w:color="000000"/>
        </w:rPr>
        <w:t>分</w:t>
      </w:r>
      <w:r>
        <w:rPr>
          <w:rFonts w:hint="eastAsia" w:ascii="宋体" w:hAnsi="宋体" w:cs="宋体"/>
          <w:bCs/>
          <w:color w:val="auto"/>
          <w:sz w:val="24"/>
          <w:szCs w:val="24"/>
          <w:highlight w:val="none"/>
        </w:rPr>
        <w:t>（北京时间）前提交响应文件</w:t>
      </w:r>
      <w:r>
        <w:rPr>
          <w:rFonts w:hint="eastAsia" w:ascii="宋体" w:hAnsi="宋体" w:cs="宋体"/>
          <w:color w:val="auto"/>
          <w:sz w:val="24"/>
          <w:szCs w:val="24"/>
          <w:highlight w:val="none"/>
        </w:rPr>
        <w:t>。</w:t>
      </w:r>
    </w:p>
    <w:p>
      <w:pPr>
        <w:spacing w:line="360" w:lineRule="auto"/>
        <w:ind w:firstLine="480" w:firstLineChars="200"/>
        <w:jc w:val="left"/>
        <w:rPr>
          <w:rFonts w:hint="eastAsia" w:ascii="宋体" w:hAnsi="宋体"/>
          <w:color w:val="auto"/>
          <w:sz w:val="24"/>
          <w:szCs w:val="24"/>
          <w:highlight w:val="none"/>
        </w:rPr>
      </w:pPr>
    </w:p>
    <w:p>
      <w:pPr>
        <w:spacing w:line="360" w:lineRule="auto"/>
        <w:ind w:firstLine="480" w:firstLineChars="200"/>
        <w:jc w:val="left"/>
        <w:rPr>
          <w:color w:val="auto"/>
          <w:highlight w:val="none"/>
        </w:rPr>
      </w:pPr>
      <w:r>
        <w:rPr>
          <w:rFonts w:hint="eastAsia" w:ascii="宋体" w:hAnsi="宋体"/>
          <w:color w:val="auto"/>
          <w:sz w:val="24"/>
          <w:szCs w:val="24"/>
          <w:highlight w:val="none"/>
        </w:rPr>
        <w:t>南通万隆工程管理有限公司（以下称采购代理机构）受</w:t>
      </w:r>
      <w:r>
        <w:rPr>
          <w:rFonts w:hint="eastAsia" w:ascii="宋体" w:hAnsi="宋体"/>
          <w:color w:val="auto"/>
          <w:sz w:val="24"/>
          <w:szCs w:val="24"/>
          <w:highlight w:val="none"/>
          <w:lang w:eastAsia="zh-CN"/>
        </w:rPr>
        <w:t>南通市妇幼保健院</w:t>
      </w:r>
      <w:r>
        <w:rPr>
          <w:rFonts w:hint="eastAsia" w:ascii="宋体" w:hAnsi="宋体"/>
          <w:color w:val="auto"/>
          <w:sz w:val="24"/>
          <w:szCs w:val="24"/>
          <w:highlight w:val="none"/>
        </w:rPr>
        <w:t>的委托，就</w:t>
      </w:r>
      <w:r>
        <w:rPr>
          <w:rFonts w:hint="eastAsia" w:ascii="宋体" w:hAnsi="宋体"/>
          <w:color w:val="auto"/>
          <w:sz w:val="24"/>
          <w:szCs w:val="24"/>
          <w:highlight w:val="none"/>
          <w:lang w:eastAsia="zh-CN"/>
        </w:rPr>
        <w:t>南通市妇幼保健院食堂经营管理服务项目</w:t>
      </w:r>
      <w:r>
        <w:rPr>
          <w:rFonts w:hint="eastAsia" w:ascii="宋体" w:hAnsi="宋体"/>
          <w:color w:val="auto"/>
          <w:sz w:val="24"/>
          <w:szCs w:val="24"/>
          <w:highlight w:val="none"/>
        </w:rPr>
        <w:t>组织竞争性磋商采购，诚邀符合条件的潜在供应商参加该项目的磋商。</w:t>
      </w:r>
    </w:p>
    <w:p>
      <w:pPr>
        <w:pStyle w:val="7"/>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snapToGrid w:val="0"/>
        <w:spacing w:line="360" w:lineRule="auto"/>
        <w:ind w:firstLine="480" w:firstLineChars="200"/>
        <w:textAlignment w:val="baseline"/>
        <w:rPr>
          <w:rFonts w:hint="eastAsia" w:ascii="宋体" w:hAnsi="宋体" w:eastAsia="宋体" w:cs="Times New Roman"/>
          <w:color w:val="auto"/>
          <w:sz w:val="24"/>
          <w:szCs w:val="24"/>
          <w:highlight w:val="none"/>
          <w:lang w:val="en-US" w:eastAsia="zh-CN"/>
        </w:rPr>
      </w:pPr>
      <w:r>
        <w:rPr>
          <w:rFonts w:hint="eastAsia" w:ascii="宋体" w:hAnsi="宋体" w:cs="宋体"/>
          <w:color w:val="auto"/>
          <w:sz w:val="24"/>
          <w:szCs w:val="24"/>
          <w:highlight w:val="none"/>
        </w:rPr>
        <w:t>项目编号：WLDL202207063</w:t>
      </w:r>
      <w:r>
        <w:rPr>
          <w:rFonts w:hint="eastAsia" w:ascii="宋体" w:hAnsi="宋体" w:eastAsia="宋体" w:cs="Times New Roman"/>
          <w:color w:val="auto"/>
          <w:sz w:val="24"/>
          <w:szCs w:val="24"/>
          <w:highlight w:val="none"/>
          <w:lang w:val="en-US" w:eastAsia="zh-CN"/>
        </w:rPr>
        <w:t xml:space="preserve"> </w:t>
      </w:r>
    </w:p>
    <w:p>
      <w:pPr>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南通市妇幼保健院食堂经营管理服务项目</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采购方式：竞争性磋商</w:t>
      </w:r>
    </w:p>
    <w:p>
      <w:pPr>
        <w:pStyle w:val="20"/>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房屋和设备租金限价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人民币12万元/年。各供应商的报价不得低于或等于该价格，否则视为无效报价。</w:t>
      </w:r>
    </w:p>
    <w:p>
      <w:pPr>
        <w:snapToGrid w:val="0"/>
        <w:spacing w:line="360" w:lineRule="auto"/>
        <w:ind w:firstLine="480" w:firstLineChars="200"/>
        <w:textAlignment w:val="baseline"/>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采购需求：</w:t>
      </w:r>
      <w:r>
        <w:rPr>
          <w:rFonts w:hint="eastAsia" w:ascii="宋体" w:hAnsi="宋体"/>
          <w:color w:val="auto"/>
          <w:sz w:val="24"/>
          <w:szCs w:val="24"/>
          <w:highlight w:val="none"/>
          <w:lang w:eastAsia="zh-CN"/>
        </w:rPr>
        <w:t>负责为医院职工（含进修实习生）、住院病人及陪伴家属提供（早、午、晚三餐）的集中或预约供餐、配送服务。</w:t>
      </w:r>
      <w:r>
        <w:rPr>
          <w:rFonts w:hint="eastAsia" w:ascii="宋体" w:hAnsi="宋体" w:cs="宋体"/>
          <w:color w:val="auto"/>
          <w:sz w:val="24"/>
          <w:szCs w:val="24"/>
          <w:highlight w:val="none"/>
        </w:rPr>
        <w:t>详见第三章项目需求</w:t>
      </w:r>
      <w:r>
        <w:rPr>
          <w:rFonts w:hint="eastAsia" w:ascii="宋体" w:hAnsi="宋体" w:cs="宋体"/>
          <w:color w:val="auto"/>
          <w:sz w:val="24"/>
          <w:szCs w:val="24"/>
          <w:highlight w:val="none"/>
          <w:lang w:eastAsia="zh-CN"/>
        </w:rPr>
        <w:t>。</w:t>
      </w:r>
    </w:p>
    <w:p>
      <w:pPr>
        <w:snapToGrid w:val="0"/>
        <w:spacing w:line="360" w:lineRule="auto"/>
        <w:ind w:left="-2" w:leftChars="-1" w:firstLine="431"/>
        <w:rPr>
          <w:rFonts w:hint="eastAsia" w:ascii="宋体" w:hAnsi="宋体" w:cs="宋体"/>
          <w:color w:val="auto"/>
          <w:sz w:val="24"/>
          <w:szCs w:val="24"/>
          <w:highlight w:val="none"/>
        </w:rPr>
      </w:pPr>
      <w:r>
        <w:rPr>
          <w:rFonts w:hint="eastAsia" w:ascii="宋体" w:hAnsi="宋体" w:cs="宋体"/>
          <w:color w:val="auto"/>
          <w:sz w:val="24"/>
          <w:szCs w:val="24"/>
          <w:highlight w:val="none"/>
        </w:rPr>
        <w:t>合同履行期</w:t>
      </w:r>
      <w:r>
        <w:rPr>
          <w:rFonts w:hint="eastAsia" w:ascii="宋体" w:hAnsi="宋体" w:eastAsia="宋体" w:cs="宋体"/>
          <w:color w:val="auto"/>
          <w:sz w:val="24"/>
          <w:szCs w:val="24"/>
          <w:highlight w:val="none"/>
        </w:rPr>
        <w:t>限：本项目试用期三个月，试用期</w:t>
      </w:r>
      <w:r>
        <w:rPr>
          <w:rFonts w:hint="eastAsia" w:ascii="宋体" w:hAnsi="宋体" w:cs="宋体"/>
          <w:color w:val="auto"/>
          <w:sz w:val="24"/>
          <w:szCs w:val="24"/>
          <w:highlight w:val="none"/>
          <w:lang w:val="en-US" w:eastAsia="zh-CN"/>
        </w:rPr>
        <w:t>内需</w:t>
      </w:r>
      <w:r>
        <w:rPr>
          <w:rFonts w:hint="eastAsia" w:ascii="宋体" w:hAnsi="宋体" w:eastAsia="宋体" w:cs="宋体"/>
          <w:color w:val="auto"/>
          <w:sz w:val="24"/>
          <w:szCs w:val="24"/>
          <w:highlight w:val="none"/>
          <w:lang w:val="en-US" w:eastAsia="zh-CN"/>
        </w:rPr>
        <w:t>经采购单位考核</w:t>
      </w: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每月考核分均≧90分）方可继续履行合同。一年</w:t>
      </w:r>
      <w:r>
        <w:rPr>
          <w:rFonts w:hint="eastAsia" w:ascii="宋体" w:hAnsi="宋体" w:cs="宋体"/>
          <w:color w:val="auto"/>
          <w:sz w:val="24"/>
          <w:szCs w:val="24"/>
          <w:highlight w:val="none"/>
        </w:rPr>
        <w:t>合同期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第一年合同期含试用期三个月）</w:t>
      </w:r>
      <w:r>
        <w:rPr>
          <w:rFonts w:hint="eastAsia" w:ascii="宋体" w:hAnsi="宋体" w:cs="宋体"/>
          <w:color w:val="auto"/>
          <w:sz w:val="24"/>
          <w:szCs w:val="24"/>
          <w:highlight w:val="none"/>
        </w:rPr>
        <w:t>满时，且采购单位、成交供应商双方愿意，成交供应商承诺不</w:t>
      </w:r>
      <w:r>
        <w:rPr>
          <w:rFonts w:hint="eastAsia" w:ascii="宋体" w:hAnsi="宋体" w:cs="宋体"/>
          <w:color w:val="auto"/>
          <w:sz w:val="24"/>
          <w:szCs w:val="24"/>
          <w:highlight w:val="none"/>
          <w:lang w:val="en-US" w:eastAsia="zh-CN"/>
        </w:rPr>
        <w:t>减少租金和</w:t>
      </w:r>
      <w:r>
        <w:rPr>
          <w:rFonts w:hint="eastAsia" w:ascii="宋体" w:hAnsi="宋体" w:eastAsia="宋体" w:cs="宋体"/>
          <w:color w:val="auto"/>
          <w:sz w:val="24"/>
          <w:szCs w:val="24"/>
          <w:highlight w:val="none"/>
          <w:lang w:val="en-US" w:eastAsia="zh-CN"/>
        </w:rPr>
        <w:t>每月考核分均≧90分</w:t>
      </w:r>
      <w:r>
        <w:rPr>
          <w:rFonts w:hint="eastAsia" w:ascii="宋体" w:hAnsi="宋体" w:cs="宋体"/>
          <w:color w:val="auto"/>
          <w:sz w:val="24"/>
          <w:szCs w:val="24"/>
          <w:highlight w:val="none"/>
        </w:rPr>
        <w:t>的前提下，双方可续签下一年度合同，但最多续签两次。</w:t>
      </w:r>
    </w:p>
    <w:p>
      <w:pPr>
        <w:snapToGrid w:val="0"/>
        <w:spacing w:line="360" w:lineRule="auto"/>
        <w:ind w:firstLine="508" w:firstLineChars="200"/>
        <w:textAlignment w:val="baseline"/>
        <w:rPr>
          <w:rFonts w:hint="eastAsia" w:ascii="宋体" w:hAnsi="宋体" w:cs="宋体"/>
          <w:color w:val="auto"/>
          <w:sz w:val="24"/>
          <w:szCs w:val="24"/>
          <w:highlight w:val="none"/>
        </w:rPr>
      </w:pPr>
      <w:r>
        <w:rPr>
          <w:rFonts w:hint="eastAsia" w:ascii="宋体" w:hAnsi="宋体" w:cs="宋体"/>
          <w:color w:val="auto"/>
          <w:spacing w:val="7"/>
          <w:sz w:val="24"/>
          <w:szCs w:val="24"/>
          <w:highlight w:val="none"/>
          <w:shd w:val="clear" w:color="auto" w:fill="FFFFFF"/>
        </w:rPr>
        <w:t>本项目不接受联合体。</w:t>
      </w:r>
    </w:p>
    <w:p>
      <w:pPr>
        <w:pStyle w:val="7"/>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pageBreakBefore w:val="0"/>
        <w:widowControl w:val="0"/>
        <w:shd w:val="clear" w:color="auto" w:fill="FFFFFF"/>
        <w:kinsoku/>
        <w:wordWrap/>
        <w:overflowPunct/>
        <w:topLinePunct w:val="0"/>
        <w:autoSpaceDE/>
        <w:autoSpaceDN/>
        <w:bidi w:val="0"/>
        <w:snapToGrid w:val="0"/>
        <w:spacing w:line="360" w:lineRule="auto"/>
        <w:ind w:firstLine="482"/>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2、法定代表人为同一个人的两个及两个以上法人，母公司、全资子公司及其控股公司，都不得在同一采购项目相同标段中同时参加磋商响应，一经发现，将视同围标处理。</w:t>
      </w:r>
    </w:p>
    <w:p>
      <w:pPr>
        <w:pStyle w:val="9"/>
        <w:pageBreakBefore w:val="0"/>
        <w:widowControl w:val="0"/>
        <w:kinsoku/>
        <w:wordWrap/>
        <w:overflowPunct/>
        <w:topLinePunct w:val="0"/>
        <w:autoSpaceDE/>
        <w:autoSpaceDN/>
        <w:bidi w:val="0"/>
        <w:snapToGrid w:val="0"/>
        <w:spacing w:before="0" w:after="0" w:line="360" w:lineRule="auto"/>
        <w:ind w:firstLine="482" w:firstLineChars="200"/>
        <w:rPr>
          <w:color w:val="auto"/>
          <w:highlight w:val="none"/>
        </w:rPr>
      </w:pPr>
      <w:r>
        <w:rPr>
          <w:rFonts w:hint="eastAsia" w:ascii="宋体" w:hAnsi="宋体" w:eastAsia="宋体" w:cs="Times New Roman"/>
          <w:color w:val="auto"/>
          <w:kern w:val="2"/>
          <w:sz w:val="24"/>
          <w:szCs w:val="24"/>
          <w:highlight w:val="none"/>
        </w:rPr>
        <w:t>3、落实政府采购政策需满足的资格要求：</w:t>
      </w:r>
      <w:r>
        <w:rPr>
          <w:rFonts w:hint="eastAsia" w:ascii="宋体" w:hAnsi="宋体" w:eastAsia="宋体" w:cs="Times New Roman"/>
          <w:color w:val="auto"/>
          <w:kern w:val="2"/>
          <w:sz w:val="24"/>
          <w:szCs w:val="24"/>
          <w:highlight w:val="none"/>
          <w:lang w:val="en-US" w:eastAsia="zh-CN"/>
        </w:rPr>
        <w:t>本项目</w:t>
      </w:r>
      <w:r>
        <w:rPr>
          <w:rFonts w:hint="eastAsia" w:ascii="宋体" w:hAnsi="宋体" w:eastAsia="宋体" w:cs="Times New Roman"/>
          <w:color w:val="auto"/>
          <w:kern w:val="2"/>
          <w:sz w:val="24"/>
          <w:szCs w:val="24"/>
          <w:highlight w:val="none"/>
        </w:rPr>
        <w:t>属于专门面向中小企业采购的项目,供应商</w:t>
      </w:r>
      <w:r>
        <w:rPr>
          <w:rFonts w:hint="eastAsia" w:ascii="宋体" w:hAnsi="宋体" w:eastAsia="宋体" w:cs="Times New Roman"/>
          <w:color w:val="auto"/>
          <w:kern w:val="2"/>
          <w:sz w:val="24"/>
          <w:szCs w:val="24"/>
          <w:highlight w:val="none"/>
          <w:lang w:val="en-US" w:eastAsia="zh-CN"/>
        </w:rPr>
        <w:t>须</w:t>
      </w:r>
      <w:r>
        <w:rPr>
          <w:rFonts w:hint="eastAsia" w:ascii="宋体" w:hAnsi="宋体" w:eastAsia="宋体" w:cs="Times New Roman"/>
          <w:color w:val="auto"/>
          <w:kern w:val="2"/>
          <w:sz w:val="24"/>
          <w:szCs w:val="24"/>
          <w:highlight w:val="none"/>
        </w:rPr>
        <w:t>为中小微企业。</w:t>
      </w:r>
    </w:p>
    <w:p>
      <w:pPr>
        <w:pageBreakBefore w:val="0"/>
        <w:widowControl w:val="0"/>
        <w:shd w:val="clear" w:color="auto" w:fill="FFFFFF"/>
        <w:kinsoku/>
        <w:wordWrap/>
        <w:overflowPunct/>
        <w:topLinePunct w:val="0"/>
        <w:autoSpaceDE/>
        <w:autoSpaceDN/>
        <w:bidi w:val="0"/>
        <w:snapToGrid w:val="0"/>
        <w:spacing w:line="360" w:lineRule="auto"/>
        <w:ind w:firstLine="480"/>
        <w:jc w:val="left"/>
        <w:rPr>
          <w:rFonts w:hint="eastAsia"/>
          <w:color w:val="auto"/>
          <w:highlight w:val="none"/>
        </w:rPr>
      </w:pPr>
      <w:r>
        <w:rPr>
          <w:rFonts w:hint="eastAsia" w:ascii="宋体" w:hAnsi="宋体" w:cs="宋体"/>
          <w:b/>
          <w:bCs/>
          <w:color w:val="auto"/>
          <w:kern w:val="0"/>
          <w:sz w:val="24"/>
          <w:szCs w:val="24"/>
          <w:highlight w:val="none"/>
        </w:rPr>
        <w:t>磋商响应供应商其它资格要求：</w:t>
      </w:r>
    </w:p>
    <w:p>
      <w:pPr>
        <w:snapToGrid w:val="0"/>
        <w:spacing w:line="360" w:lineRule="auto"/>
        <w:ind w:firstLine="470" w:firstLineChars="196"/>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1、供应商必须有能力按本磋商文件规定的要求提供相关服务，</w:t>
      </w:r>
      <w:r>
        <w:rPr>
          <w:rFonts w:hint="eastAsia" w:ascii="宋体" w:hAnsi="宋体" w:cs="宋体"/>
          <w:color w:val="auto"/>
          <w:sz w:val="24"/>
          <w:szCs w:val="24"/>
          <w:highlight w:val="none"/>
          <w:lang w:val="en-US" w:eastAsia="zh-CN"/>
        </w:rPr>
        <w:t>具有有效期内的餐饮服务许可证或有食堂经营（承包）管理服务经验。</w:t>
      </w:r>
    </w:p>
    <w:p>
      <w:pPr>
        <w:shd w:val="clear" w:color="auto" w:fill="FFFFFF"/>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磋商响应供应商法定代表人参加磋商的，必须提供法定代表人身份证明及法定代表人本人身份证复印件或扫描件；非法定代表人参加磋商的，必须提供法定代表人签名或盖章的授权委托书及法定代表人和被授权人两个人的身份证复印件或扫描件（格式参见第八章）、被授权人为磋商响应供应商正式人员证明材料【①与磋商响应供应商签订的有效劳动合同；②社保机构出具并盖章的磋商响应供应商为其连续缴纳</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个月（至少缴纳至2022年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月）的社会保险缴费清单】的复印件或扫描件，并加盖磋商响应供应商公章。</w:t>
      </w:r>
    </w:p>
    <w:p>
      <w:pPr>
        <w:shd w:val="clear" w:color="auto" w:fill="FFFFFF"/>
        <w:snapToGrid w:val="0"/>
        <w:spacing w:line="360" w:lineRule="auto"/>
        <w:ind w:firstLine="48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磋商响应供应商须提供参与本次项目政府采购活动前三年内，在经营活动中没有重大违法记录的书面《无重大违法记录声明函》（格式参见第八章）。</w:t>
      </w:r>
    </w:p>
    <w:p>
      <w:pPr>
        <w:autoSpaceDE w:val="0"/>
        <w:autoSpaceDN w:val="0"/>
        <w:adjustRightInd w:val="0"/>
        <w:spacing w:line="360" w:lineRule="auto"/>
        <w:ind w:firstLine="426"/>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、磋商响应供应商</w:t>
      </w:r>
      <w:r>
        <w:rPr>
          <w:rFonts w:hint="eastAsia" w:ascii="宋体" w:hAnsi="宋体" w:cs="宋体"/>
          <w:color w:val="auto"/>
          <w:kern w:val="0"/>
          <w:sz w:val="24"/>
          <w:szCs w:val="24"/>
          <w:highlight w:val="none"/>
          <w:lang w:val="en-US" w:eastAsia="zh-CN"/>
        </w:rPr>
        <w:t>必须为本项目至少配备5名具有厨师证和有效健康证的厨师、5名具有有效健康证的工作人员。</w:t>
      </w:r>
    </w:p>
    <w:p>
      <w:pPr>
        <w:autoSpaceDE w:val="0"/>
        <w:autoSpaceDN w:val="0"/>
        <w:adjustRightInd w:val="0"/>
        <w:spacing w:line="360" w:lineRule="auto"/>
        <w:ind w:firstLine="426"/>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5、</w:t>
      </w:r>
      <w:r>
        <w:rPr>
          <w:rFonts w:hint="eastAsia" w:ascii="宋体" w:hAnsi="宋体" w:cs="宋体"/>
          <w:color w:val="auto"/>
          <w:kern w:val="0"/>
          <w:sz w:val="24"/>
          <w:szCs w:val="24"/>
          <w:highlight w:val="none"/>
        </w:rPr>
        <w:t>磋商响应供应商</w:t>
      </w:r>
      <w:r>
        <w:rPr>
          <w:rFonts w:hint="eastAsia" w:ascii="宋体" w:hAnsi="宋体" w:eastAsia="宋体" w:cs="Arial"/>
          <w:color w:val="auto"/>
          <w:sz w:val="24"/>
          <w:szCs w:val="24"/>
          <w:highlight w:val="none"/>
        </w:rPr>
        <w:t>自2018年</w:t>
      </w:r>
      <w:r>
        <w:rPr>
          <w:rFonts w:hint="eastAsia" w:ascii="宋体" w:hAnsi="宋体" w:eastAsia="宋体" w:cs="Arial"/>
          <w:color w:val="auto"/>
          <w:sz w:val="24"/>
          <w:szCs w:val="24"/>
          <w:highlight w:val="none"/>
          <w:lang w:val="en-US" w:eastAsia="zh-CN"/>
        </w:rPr>
        <w:t>1</w:t>
      </w:r>
      <w:r>
        <w:rPr>
          <w:rFonts w:hint="eastAsia" w:ascii="宋体" w:hAnsi="宋体" w:eastAsia="宋体" w:cs="Arial"/>
          <w:color w:val="auto"/>
          <w:sz w:val="24"/>
          <w:szCs w:val="24"/>
          <w:highlight w:val="none"/>
        </w:rPr>
        <w:t>月1日以来在餐饮经营中信誉良好、遵纪守法、诚信明礼，无食品中毒、违纪、违法等不良记录</w:t>
      </w:r>
      <w:r>
        <w:rPr>
          <w:rFonts w:hint="eastAsia" w:ascii="宋体" w:hAnsi="宋体" w:eastAsia="宋体" w:cs="Arial"/>
          <w:color w:val="auto"/>
          <w:sz w:val="24"/>
          <w:szCs w:val="24"/>
          <w:highlight w:val="none"/>
          <w:lang w:eastAsia="zh-CN"/>
        </w:rPr>
        <w:t>。</w:t>
      </w:r>
    </w:p>
    <w:p>
      <w:pPr>
        <w:shd w:val="clear" w:color="auto" w:fill="FFFFFF"/>
        <w:snapToGrid w:val="0"/>
        <w:spacing w:line="360" w:lineRule="auto"/>
        <w:ind w:firstLine="48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关于资格文件的声明函（格式参见第八章）。</w:t>
      </w:r>
    </w:p>
    <w:p>
      <w:pPr>
        <w:pStyle w:val="20"/>
        <w:spacing w:line="360" w:lineRule="auto"/>
        <w:ind w:firstLine="480" w:firstLineChars="200"/>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资格要求及需提供的资料以本项目竞争性磋商文件第八章要求的为准。</w:t>
      </w:r>
    </w:p>
    <w:p>
      <w:pPr>
        <w:shd w:val="clear" w:color="auto" w:fill="FFFFFF"/>
        <w:snapToGrid w:val="0"/>
        <w:spacing w:line="360" w:lineRule="auto"/>
        <w:ind w:firstLine="482"/>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【特别提醒】</w:t>
      </w:r>
    </w:p>
    <w:p>
      <w:pPr>
        <w:shd w:val="clear" w:color="auto" w:fill="FFFFFF"/>
        <w:snapToGrid w:val="0"/>
        <w:spacing w:line="360" w:lineRule="auto"/>
        <w:ind w:firstLine="482"/>
        <w:jc w:val="left"/>
        <w:rPr>
          <w:rFonts w:ascii="宋体" w:hAnsi="宋体" w:cs="Arial"/>
          <w:b/>
          <w:bCs/>
          <w:color w:val="auto"/>
          <w:kern w:val="0"/>
          <w:sz w:val="24"/>
          <w:szCs w:val="24"/>
          <w:highlight w:val="none"/>
        </w:rPr>
      </w:pPr>
      <w:r>
        <w:rPr>
          <w:rFonts w:hint="eastAsia" w:ascii="宋体" w:hAnsi="宋体" w:cs="Arial"/>
          <w:b/>
          <w:bCs/>
          <w:color w:val="auto"/>
          <w:kern w:val="0"/>
          <w:sz w:val="24"/>
          <w:szCs w:val="24"/>
          <w:highlight w:val="none"/>
        </w:rPr>
        <w:t>1、参与本项目竞争性磋商响应的供应商，应依照规定提交各类声明函、承诺函（如涉有），不再同时提供原件备查或提供有关部门出具的相关证明文件，但本项目成交的供应商（以下称成交人），应做好提交声明函、承诺函相应原件的核查准备；核查后发现虚假或违背承诺的，将依照相关法律法规规定处理。</w:t>
      </w:r>
    </w:p>
    <w:p>
      <w:pPr>
        <w:shd w:val="clear" w:color="auto" w:fill="FFFFFF"/>
        <w:snapToGrid w:val="0"/>
        <w:spacing w:line="360" w:lineRule="auto"/>
        <w:ind w:firstLine="480"/>
        <w:jc w:val="left"/>
        <w:rPr>
          <w:rFonts w:ascii="宋体" w:hAnsi="宋体" w:cs="宋体"/>
          <w:b/>
          <w:bCs/>
          <w:color w:val="auto"/>
          <w:kern w:val="0"/>
          <w:sz w:val="24"/>
          <w:szCs w:val="24"/>
          <w:highlight w:val="none"/>
        </w:rPr>
      </w:pPr>
      <w:r>
        <w:rPr>
          <w:rFonts w:hint="eastAsia" w:ascii="宋体" w:hAnsi="宋体" w:cs="Arial"/>
          <w:b/>
          <w:bCs/>
          <w:color w:val="auto"/>
          <w:kern w:val="0"/>
          <w:sz w:val="24"/>
          <w:szCs w:val="24"/>
          <w:highlight w:val="none"/>
        </w:rPr>
        <w:t>2、请各供应商认真对照资格条件，如不符合要求的，无意或故意参与磋商响应所产生的一切后果由供应商自行承担，磋商过程中，磋商响应供应商提供的相关证件如为虚假或伪造，</w:t>
      </w:r>
      <w:r>
        <w:rPr>
          <w:rFonts w:hint="eastAsia" w:ascii="宋体" w:hAnsi="宋体" w:cs="宋体"/>
          <w:b/>
          <w:bCs/>
          <w:color w:val="auto"/>
          <w:kern w:val="0"/>
          <w:sz w:val="24"/>
          <w:szCs w:val="24"/>
          <w:highlight w:val="none"/>
        </w:rPr>
        <w:t>或者其他人员持法定代表人或授权委托人的身份证参与磋商，一经发现则取消其磋商资格，并记入不良记录，上报财政部门后将其列入政府采购黑名单，视情公布在相关网站。如已成交，采购单位有权取消其成交资格，并由该供应商承担由此带来可能的一切责任和损失。</w:t>
      </w:r>
    </w:p>
    <w:p>
      <w:pPr>
        <w:shd w:val="clear" w:color="auto" w:fill="FFFFFF"/>
        <w:snapToGrid w:val="0"/>
        <w:spacing w:line="360" w:lineRule="auto"/>
        <w:ind w:firstLine="480"/>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3、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w:t>
      </w:r>
    </w:p>
    <w:p>
      <w:pPr>
        <w:pStyle w:val="7"/>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三、获取采购文件</w:t>
      </w:r>
    </w:p>
    <w:p>
      <w:pPr>
        <w:snapToGrid w:val="0"/>
        <w:spacing w:line="360" w:lineRule="auto"/>
        <w:ind w:firstLine="54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时  间：</w:t>
      </w:r>
      <w:r>
        <w:rPr>
          <w:rFonts w:hint="eastAsia" w:ascii="宋体" w:hAnsi="宋体" w:cs="宋体"/>
          <w:color w:val="auto"/>
          <w:sz w:val="24"/>
          <w:szCs w:val="24"/>
          <w:highlight w:val="none"/>
          <w:u w:val="single"/>
        </w:rPr>
        <w:t>自公告发布之日起</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color="000000"/>
        </w:rPr>
        <w:t xml:space="preserve"> </w:t>
      </w:r>
      <w:r>
        <w:rPr>
          <w:rFonts w:hint="eastAsia" w:ascii="宋体" w:hAnsi="宋体" w:cs="宋体"/>
          <w:color w:val="auto"/>
          <w:sz w:val="24"/>
          <w:szCs w:val="24"/>
          <w:highlight w:val="none"/>
          <w:u w:val="single"/>
        </w:rPr>
        <w:t>2022</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26</w:t>
      </w:r>
      <w:r>
        <w:rPr>
          <w:rFonts w:hint="eastAsia" w:ascii="宋体" w:hAnsi="宋体" w:cs="宋体"/>
          <w:bCs/>
          <w:color w:val="auto"/>
          <w:sz w:val="24"/>
          <w:szCs w:val="24"/>
          <w:highlight w:val="none"/>
          <w:u w:val="single"/>
        </w:rPr>
        <w:t>日</w:t>
      </w:r>
    </w:p>
    <w:p>
      <w:pPr>
        <w:snapToGrid w:val="0"/>
        <w:spacing w:line="360" w:lineRule="auto"/>
        <w:ind w:firstLine="54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  点：</w:t>
      </w:r>
      <w:r>
        <w:rPr>
          <w:rFonts w:hint="eastAsia" w:ascii="宋体" w:hAnsi="宋体" w:eastAsia="宋体" w:cs="宋体"/>
          <w:color w:val="auto"/>
          <w:sz w:val="24"/>
          <w:szCs w:val="24"/>
          <w:highlight w:val="none"/>
          <w:u w:val="single"/>
          <w:lang w:eastAsia="zh-CN"/>
        </w:rPr>
        <w:t>南通市卫生健康委员会官网（http://wjw.nantong.gov.cn）和南通市妇幼保健院官网（http://www.ntfybj.com）</w:t>
      </w:r>
      <w:r>
        <w:rPr>
          <w:rFonts w:hint="eastAsia" w:ascii="宋体" w:hAnsi="宋体" w:cs="宋体"/>
          <w:color w:val="auto"/>
          <w:sz w:val="24"/>
          <w:szCs w:val="24"/>
          <w:highlight w:val="none"/>
        </w:rPr>
        <w:t>。</w:t>
      </w:r>
    </w:p>
    <w:p>
      <w:pPr>
        <w:snapToGrid w:val="0"/>
        <w:spacing w:line="360" w:lineRule="auto"/>
        <w:ind w:firstLine="54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方  式：自行下载</w:t>
      </w:r>
    </w:p>
    <w:p>
      <w:pPr>
        <w:snapToGrid w:val="0"/>
        <w:spacing w:line="360" w:lineRule="auto"/>
        <w:ind w:firstLine="54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售  价：每套300元，在递交磋商响应文件的同时提交给代理机构。</w:t>
      </w:r>
    </w:p>
    <w:p>
      <w:pPr>
        <w:pStyle w:val="7"/>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四、响应文件的提交</w:t>
      </w:r>
    </w:p>
    <w:p>
      <w:pPr>
        <w:snapToGrid w:val="0"/>
        <w:spacing w:line="360" w:lineRule="auto"/>
        <w:ind w:firstLine="480" w:firstLineChars="200"/>
        <w:textAlignment w:val="baseline"/>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 xml:space="preserve">截止时间： </w:t>
      </w:r>
      <w:r>
        <w:rPr>
          <w:rFonts w:hint="eastAsia" w:ascii="宋体" w:hAnsi="宋体" w:cs="宋体"/>
          <w:color w:val="auto"/>
          <w:sz w:val="24"/>
          <w:szCs w:val="24"/>
          <w:highlight w:val="none"/>
          <w:u w:val="single"/>
        </w:rPr>
        <w:t>2022</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26</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14时30</w:t>
      </w:r>
      <w:r>
        <w:rPr>
          <w:rFonts w:hint="eastAsia" w:ascii="宋体" w:hAnsi="宋体" w:cs="宋体"/>
          <w:bCs/>
          <w:color w:val="auto"/>
          <w:sz w:val="24"/>
          <w:szCs w:val="24"/>
          <w:highlight w:val="none"/>
          <w:u w:val="single"/>
        </w:rPr>
        <w:t>分</w:t>
      </w:r>
      <w:r>
        <w:rPr>
          <w:rFonts w:hint="eastAsia" w:ascii="宋体" w:hAnsi="宋体" w:cs="宋体"/>
          <w:bCs/>
          <w:color w:val="auto"/>
          <w:sz w:val="24"/>
          <w:szCs w:val="24"/>
          <w:highlight w:val="none"/>
        </w:rPr>
        <w:t>（北京时间）</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    点： </w:t>
      </w:r>
      <w:r>
        <w:rPr>
          <w:rFonts w:hint="eastAsia" w:ascii="宋体" w:hAnsi="宋体" w:cs="宋体"/>
          <w:color w:val="auto"/>
          <w:sz w:val="24"/>
          <w:szCs w:val="24"/>
          <w:highlight w:val="none"/>
          <w:u w:val="single"/>
        </w:rPr>
        <w:t>南通市崇川区崇川路58号南通产业技术研究院9号楼24层万隆咨询集团开标室</w:t>
      </w:r>
    </w:p>
    <w:p>
      <w:pPr>
        <w:pStyle w:val="7"/>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五、响应文件的开启</w:t>
      </w:r>
    </w:p>
    <w:p>
      <w:pPr>
        <w:snapToGrid w:val="0"/>
        <w:spacing w:line="360" w:lineRule="auto"/>
        <w:ind w:firstLine="480" w:firstLineChars="200"/>
        <w:textAlignment w:val="baseline"/>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 xml:space="preserve">时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间： </w:t>
      </w:r>
      <w:r>
        <w:rPr>
          <w:rFonts w:hint="eastAsia" w:ascii="宋体" w:hAnsi="宋体" w:cs="宋体"/>
          <w:color w:val="auto"/>
          <w:sz w:val="24"/>
          <w:szCs w:val="24"/>
          <w:highlight w:val="none"/>
          <w:u w:val="single"/>
        </w:rPr>
        <w:t>2022</w:t>
      </w:r>
      <w:r>
        <w:rPr>
          <w:rFonts w:hint="eastAsia" w:ascii="宋体" w:hAnsi="宋体" w:cs="宋体"/>
          <w:bCs/>
          <w:color w:val="auto"/>
          <w:sz w:val="24"/>
          <w:szCs w:val="24"/>
          <w:highlight w:val="none"/>
          <w:u w:val="single"/>
        </w:rPr>
        <w:t>年</w:t>
      </w:r>
      <w:r>
        <w:rPr>
          <w:rFonts w:hint="eastAsia" w:ascii="宋体" w:hAnsi="宋体" w:cs="宋体"/>
          <w:bCs/>
          <w:color w:val="auto"/>
          <w:sz w:val="24"/>
          <w:szCs w:val="24"/>
          <w:highlight w:val="none"/>
          <w:u w:val="single"/>
          <w:lang w:val="en-US" w:eastAsia="zh-CN"/>
        </w:rPr>
        <w:t>7</w:t>
      </w:r>
      <w:r>
        <w:rPr>
          <w:rFonts w:hint="eastAsia" w:ascii="宋体" w:hAnsi="宋体" w:cs="宋体"/>
          <w:bCs/>
          <w:color w:val="auto"/>
          <w:sz w:val="24"/>
          <w:szCs w:val="24"/>
          <w:highlight w:val="none"/>
          <w:u w:val="single"/>
        </w:rPr>
        <w:t>月</w:t>
      </w:r>
      <w:r>
        <w:rPr>
          <w:rFonts w:hint="eastAsia" w:ascii="宋体" w:hAnsi="宋体" w:cs="宋体"/>
          <w:bCs/>
          <w:color w:val="auto"/>
          <w:sz w:val="24"/>
          <w:szCs w:val="24"/>
          <w:highlight w:val="none"/>
          <w:u w:val="single"/>
          <w:lang w:val="en-US" w:eastAsia="zh-CN"/>
        </w:rPr>
        <w:t>26</w:t>
      </w:r>
      <w:r>
        <w:rPr>
          <w:rFonts w:hint="eastAsia" w:ascii="宋体" w:hAnsi="宋体" w:cs="宋体"/>
          <w:bCs/>
          <w:color w:val="auto"/>
          <w:sz w:val="24"/>
          <w:szCs w:val="24"/>
          <w:highlight w:val="none"/>
          <w:u w:val="single"/>
        </w:rPr>
        <w:t>日</w:t>
      </w:r>
      <w:r>
        <w:rPr>
          <w:rFonts w:hint="eastAsia" w:ascii="宋体" w:hAnsi="宋体" w:cs="宋体"/>
          <w:bCs/>
          <w:color w:val="auto"/>
          <w:sz w:val="24"/>
          <w:szCs w:val="24"/>
          <w:highlight w:val="none"/>
          <w:u w:val="single"/>
          <w:lang w:val="en-US" w:eastAsia="zh-CN"/>
        </w:rPr>
        <w:t>14时30</w:t>
      </w:r>
      <w:r>
        <w:rPr>
          <w:rFonts w:hint="eastAsia" w:ascii="宋体" w:hAnsi="宋体" w:cs="宋体"/>
          <w:bCs/>
          <w:color w:val="auto"/>
          <w:sz w:val="24"/>
          <w:szCs w:val="24"/>
          <w:highlight w:val="none"/>
          <w:u w:val="single"/>
        </w:rPr>
        <w:t>分</w:t>
      </w:r>
      <w:r>
        <w:rPr>
          <w:rFonts w:hint="eastAsia" w:ascii="宋体" w:hAnsi="宋体" w:cs="宋体"/>
          <w:bCs/>
          <w:color w:val="auto"/>
          <w:sz w:val="24"/>
          <w:szCs w:val="24"/>
          <w:highlight w:val="none"/>
        </w:rPr>
        <w:t>（北京时间）</w:t>
      </w:r>
    </w:p>
    <w:p>
      <w:pPr>
        <w:snapToGrid w:val="0"/>
        <w:spacing w:line="360" w:lineRule="auto"/>
        <w:ind w:firstLine="480" w:firstLineChars="200"/>
        <w:textAlignment w:val="baseline"/>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地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点： </w:t>
      </w:r>
      <w:r>
        <w:rPr>
          <w:rFonts w:hint="eastAsia" w:ascii="宋体" w:hAnsi="宋体" w:cs="宋体"/>
          <w:color w:val="auto"/>
          <w:sz w:val="24"/>
          <w:szCs w:val="24"/>
          <w:highlight w:val="none"/>
          <w:u w:val="single"/>
        </w:rPr>
        <w:t>南通市崇川区崇川路58号南通产业技术研究院9号楼24层万隆咨询集团开标室</w:t>
      </w:r>
    </w:p>
    <w:p>
      <w:pPr>
        <w:pStyle w:val="95"/>
        <w:snapToGrid w:val="0"/>
        <w:spacing w:line="360" w:lineRule="auto"/>
        <w:ind w:firstLine="482"/>
        <w:rPr>
          <w:rFonts w:hAnsi="宋体" w:cs="宋体"/>
          <w:b/>
          <w:color w:val="auto"/>
          <w:sz w:val="24"/>
          <w:szCs w:val="24"/>
          <w:highlight w:val="none"/>
        </w:rPr>
      </w:pPr>
      <w:r>
        <w:rPr>
          <w:rFonts w:hAnsi="宋体" w:cs="宋体"/>
          <w:b/>
          <w:color w:val="auto"/>
          <w:sz w:val="24"/>
          <w:szCs w:val="24"/>
          <w:highlight w:val="none"/>
        </w:rPr>
        <w:t>特别提醒：</w:t>
      </w:r>
    </w:p>
    <w:p>
      <w:pPr>
        <w:pStyle w:val="20"/>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b/>
          <w:color w:val="auto"/>
          <w:sz w:val="24"/>
          <w:highlight w:val="none"/>
        </w:rPr>
      </w:pPr>
      <w:r>
        <w:rPr>
          <w:rFonts w:hint="eastAsia" w:ascii="宋体" w:hAnsi="宋体" w:eastAsia="宋体" w:cs="宋体"/>
          <w:b/>
          <w:bCs/>
          <w:color w:val="auto"/>
          <w:sz w:val="24"/>
          <w:szCs w:val="24"/>
          <w:highlight w:val="none"/>
          <w:lang w:val="en-US" w:eastAsia="zh-CN"/>
        </w:rPr>
        <w:t>注：1、</w:t>
      </w:r>
      <w:r>
        <w:rPr>
          <w:rFonts w:ascii="宋体" w:hAnsi="宋体" w:eastAsia="宋体" w:cs="宋体"/>
          <w:b/>
          <w:bCs/>
          <w:color w:val="auto"/>
          <w:sz w:val="24"/>
          <w:szCs w:val="24"/>
          <w:highlight w:val="none"/>
        </w:rPr>
        <w:t>因目前仍属于新冠疫情防控阶段，故只允许每个</w:t>
      </w:r>
      <w:r>
        <w:rPr>
          <w:rFonts w:hint="eastAsia" w:ascii="宋体" w:hAnsi="宋体" w:eastAsia="宋体" w:cs="宋体"/>
          <w:b/>
          <w:bCs/>
          <w:color w:val="auto"/>
          <w:sz w:val="24"/>
          <w:szCs w:val="24"/>
          <w:highlight w:val="none"/>
        </w:rPr>
        <w:t>投标供应商</w:t>
      </w:r>
      <w:r>
        <w:rPr>
          <w:rFonts w:ascii="宋体" w:hAnsi="宋体" w:eastAsia="宋体" w:cs="宋体"/>
          <w:b/>
          <w:bCs/>
          <w:color w:val="auto"/>
          <w:sz w:val="24"/>
          <w:szCs w:val="24"/>
          <w:highlight w:val="none"/>
        </w:rPr>
        <w:t>的1名人员进入开标现场。请各投标代表做好自身防护，全程配戴口罩，同时还须接受开标现场工作人员的检查（包括但不限于信息登记、检查健康码、行程码、</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阴性”</w:t>
      </w:r>
      <w:r>
        <w:rPr>
          <w:rFonts w:ascii="宋体" w:hAnsi="宋体" w:eastAsia="宋体" w:cs="宋体"/>
          <w:b/>
          <w:bCs/>
          <w:color w:val="auto"/>
          <w:sz w:val="24"/>
          <w:szCs w:val="24"/>
          <w:highlight w:val="none"/>
        </w:rPr>
        <w:t>核酸检测证明等）。南通市域</w:t>
      </w:r>
      <w:r>
        <w:rPr>
          <w:rFonts w:hint="eastAsia" w:ascii="宋体" w:hAnsi="宋体" w:eastAsia="宋体" w:cs="宋体"/>
          <w:b/>
          <w:bCs/>
          <w:color w:val="auto"/>
          <w:sz w:val="24"/>
          <w:szCs w:val="24"/>
          <w:highlight w:val="none"/>
        </w:rPr>
        <w:t>投标供应商</w:t>
      </w:r>
      <w:r>
        <w:rPr>
          <w:rFonts w:ascii="宋体" w:hAnsi="宋体" w:eastAsia="宋体" w:cs="宋体"/>
          <w:b/>
          <w:bCs/>
          <w:color w:val="auto"/>
          <w:sz w:val="24"/>
          <w:szCs w:val="24"/>
          <w:highlight w:val="none"/>
        </w:rPr>
        <w:t>进入开标现场人员需出示48小时以内核酸检测报告，南通市域以外（如上海等地）</w:t>
      </w:r>
      <w:r>
        <w:rPr>
          <w:rFonts w:hint="eastAsia" w:ascii="宋体" w:hAnsi="宋体" w:eastAsia="宋体" w:cs="宋体"/>
          <w:b/>
          <w:bCs/>
          <w:color w:val="auto"/>
          <w:sz w:val="24"/>
          <w:szCs w:val="24"/>
          <w:highlight w:val="none"/>
        </w:rPr>
        <w:t>投标供应商</w:t>
      </w:r>
      <w:r>
        <w:rPr>
          <w:rFonts w:ascii="宋体" w:hAnsi="宋体" w:eastAsia="宋体" w:cs="宋体"/>
          <w:b/>
          <w:bCs/>
          <w:color w:val="auto"/>
          <w:sz w:val="24"/>
          <w:szCs w:val="24"/>
          <w:highlight w:val="none"/>
        </w:rPr>
        <w:t>进入开标现场人员需出示24小时核酸检测报告。</w:t>
      </w:r>
      <w:r>
        <w:rPr>
          <w:rFonts w:hint="eastAsia" w:ascii="宋体" w:hAnsi="宋体" w:eastAsia="宋体" w:cs="宋体"/>
          <w:b/>
          <w:bCs/>
          <w:color w:val="auto"/>
          <w:sz w:val="24"/>
          <w:szCs w:val="24"/>
          <w:highlight w:val="none"/>
        </w:rPr>
        <w:t>投标供应商</w:t>
      </w:r>
      <w:r>
        <w:rPr>
          <w:rFonts w:ascii="宋体" w:hAnsi="宋体" w:eastAsia="宋体" w:cs="宋体"/>
          <w:b/>
          <w:bCs/>
          <w:color w:val="auto"/>
          <w:sz w:val="24"/>
          <w:szCs w:val="24"/>
          <w:highlight w:val="none"/>
        </w:rPr>
        <w:t>须在提交投标文件时同时提供有效核酸检测报告（电子或纸质），供招标代理机构核验，未提供或未提供规定的核酸检测报告的，不得进入开标现场，拒绝其参与本项目。若</w:t>
      </w:r>
      <w:r>
        <w:rPr>
          <w:rFonts w:hint="eastAsia" w:ascii="宋体" w:hAnsi="宋体" w:eastAsia="宋体" w:cs="宋体"/>
          <w:b/>
          <w:bCs/>
          <w:color w:val="auto"/>
          <w:sz w:val="24"/>
          <w:szCs w:val="24"/>
          <w:highlight w:val="none"/>
        </w:rPr>
        <w:t>投标供应商</w:t>
      </w:r>
      <w:r>
        <w:rPr>
          <w:rFonts w:ascii="宋体" w:hAnsi="宋体" w:eastAsia="宋体" w:cs="宋体"/>
          <w:b/>
          <w:bCs/>
          <w:color w:val="auto"/>
          <w:sz w:val="24"/>
          <w:szCs w:val="24"/>
          <w:highlight w:val="none"/>
        </w:rPr>
        <w:t>进入开标现场人员的健康码为黄码</w:t>
      </w:r>
      <w:r>
        <w:rPr>
          <w:rFonts w:hint="eastAsia" w:ascii="宋体" w:hAnsi="宋体" w:eastAsia="宋体" w:cs="宋体"/>
          <w:b/>
          <w:bCs/>
          <w:color w:val="auto"/>
          <w:sz w:val="24"/>
          <w:szCs w:val="24"/>
          <w:highlight w:val="none"/>
          <w:lang w:val="en-US" w:eastAsia="zh-CN"/>
        </w:rPr>
        <w:t>或</w:t>
      </w:r>
      <w:r>
        <w:rPr>
          <w:rFonts w:ascii="宋体" w:hAnsi="宋体" w:eastAsia="宋体" w:cs="宋体"/>
          <w:b/>
          <w:bCs/>
          <w:color w:val="auto"/>
          <w:sz w:val="24"/>
          <w:szCs w:val="24"/>
          <w:highlight w:val="none"/>
        </w:rPr>
        <w:t>红码</w:t>
      </w:r>
      <w:r>
        <w:rPr>
          <w:rFonts w:hint="eastAsia" w:ascii="宋体" w:hAnsi="宋体" w:eastAsia="宋体" w:cs="宋体"/>
          <w:b/>
          <w:bCs/>
          <w:color w:val="auto"/>
          <w:sz w:val="24"/>
          <w:szCs w:val="24"/>
          <w:highlight w:val="none"/>
          <w:lang w:val="en-US" w:eastAsia="zh-CN"/>
        </w:rPr>
        <w:t>或</w:t>
      </w:r>
      <w:r>
        <w:rPr>
          <w:rFonts w:ascii="宋体" w:hAnsi="宋体" w:eastAsia="宋体" w:cs="宋体"/>
          <w:b/>
          <w:bCs/>
          <w:color w:val="auto"/>
          <w:sz w:val="24"/>
          <w:szCs w:val="24"/>
          <w:highlight w:val="none"/>
        </w:rPr>
        <w:t>行程码带“*”，不得进入开标现场，拒绝其参与本项目。</w:t>
      </w:r>
      <w:r>
        <w:rPr>
          <w:rFonts w:hint="eastAsia" w:ascii="宋体" w:hAnsi="宋体" w:eastAsia="宋体" w:cs="宋体"/>
          <w:b/>
          <w:bCs/>
          <w:color w:val="auto"/>
          <w:sz w:val="24"/>
          <w:szCs w:val="24"/>
          <w:highlight w:val="none"/>
        </w:rPr>
        <w:t>若开标当日，南通市防疫部门有最新规定且高于上述标准，则以</w:t>
      </w:r>
      <w:r>
        <w:rPr>
          <w:rFonts w:hint="eastAsia"/>
          <w:b/>
          <w:color w:val="auto"/>
          <w:sz w:val="24"/>
          <w:highlight w:val="none"/>
        </w:rPr>
        <w:t>开标当日南通市防疫部门的规定为准。若因未配合检查或不符合检查要求而引起的后果，由各投标供应商自行承担。</w:t>
      </w:r>
    </w:p>
    <w:p>
      <w:pPr>
        <w:pStyle w:val="95"/>
        <w:keepNext w:val="0"/>
        <w:keepLines w:val="0"/>
        <w:pageBreakBefore w:val="0"/>
        <w:widowControl w:val="0"/>
        <w:kinsoku/>
        <w:wordWrap/>
        <w:overflowPunct/>
        <w:topLinePunct w:val="0"/>
        <w:bidi w:val="0"/>
        <w:adjustRightInd/>
        <w:snapToGrid w:val="0"/>
        <w:spacing w:line="360" w:lineRule="auto"/>
        <w:ind w:firstLine="482"/>
        <w:textAlignment w:val="auto"/>
        <w:rPr>
          <w:rFonts w:hAnsi="宋体" w:cs="宋体"/>
          <w:b/>
          <w:color w:val="auto"/>
          <w:sz w:val="24"/>
          <w:szCs w:val="24"/>
          <w:highlight w:val="none"/>
        </w:rPr>
      </w:pPr>
      <w:r>
        <w:rPr>
          <w:rFonts w:hAnsi="宋体" w:cs="宋体"/>
          <w:b/>
          <w:color w:val="auto"/>
          <w:sz w:val="24"/>
          <w:szCs w:val="24"/>
          <w:highlight w:val="none"/>
        </w:rPr>
        <w:t>2、因该办公大楼乘坐电梯需要工作人员刷卡，各供应商可以直接乘坐8号电梯或者</w:t>
      </w:r>
      <w:r>
        <w:rPr>
          <w:rFonts w:hint="eastAsia" w:hAnsi="宋体" w:cs="宋体"/>
          <w:b/>
          <w:color w:val="auto"/>
          <w:sz w:val="24"/>
          <w:szCs w:val="24"/>
          <w:highlight w:val="none"/>
          <w:lang w:val="en-US" w:eastAsia="zh-CN"/>
        </w:rPr>
        <w:t>至1楼</w:t>
      </w:r>
      <w:r>
        <w:rPr>
          <w:rFonts w:hAnsi="宋体" w:cs="宋体"/>
          <w:b/>
          <w:color w:val="auto"/>
          <w:sz w:val="24"/>
          <w:szCs w:val="24"/>
          <w:highlight w:val="none"/>
        </w:rPr>
        <w:t>请保安帮助刷卡。</w:t>
      </w:r>
    </w:p>
    <w:p>
      <w:pPr>
        <w:pStyle w:val="95"/>
        <w:keepNext w:val="0"/>
        <w:keepLines w:val="0"/>
        <w:pageBreakBefore w:val="0"/>
        <w:kinsoku/>
        <w:overflowPunct/>
        <w:topLinePunct w:val="0"/>
        <w:bidi w:val="0"/>
        <w:snapToGrid w:val="0"/>
        <w:spacing w:line="360" w:lineRule="auto"/>
        <w:ind w:firstLine="482"/>
        <w:textAlignment w:val="auto"/>
        <w:rPr>
          <w:rFonts w:hAnsi="宋体" w:cs="宋体"/>
          <w:color w:val="auto"/>
          <w:highlight w:val="none"/>
        </w:rPr>
      </w:pPr>
      <w:r>
        <w:rPr>
          <w:rFonts w:hAnsi="宋体" w:cs="宋体"/>
          <w:b/>
          <w:color w:val="auto"/>
          <w:sz w:val="24"/>
          <w:szCs w:val="24"/>
          <w:highlight w:val="none"/>
        </w:rPr>
        <w:t>3、请各供应商留有充足时间，确保在截止时间之前递交磋商响应文件。</w:t>
      </w:r>
    </w:p>
    <w:p>
      <w:pPr>
        <w:pStyle w:val="7"/>
        <w:keepNext w:val="0"/>
        <w:keepLines w:val="0"/>
        <w:pageBreakBefore w:val="0"/>
        <w:widowControl w:val="0"/>
        <w:kinsoku/>
        <w:wordWrap/>
        <w:overflowPunct/>
        <w:topLinePunct w:val="0"/>
        <w:bidi w:val="0"/>
        <w:snapToGrid w:val="0"/>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六、公告期限</w:t>
      </w:r>
    </w:p>
    <w:p>
      <w:pPr>
        <w:keepNext w:val="0"/>
        <w:keepLines w:val="0"/>
        <w:pageBreakBefore w:val="0"/>
        <w:widowControl w:val="0"/>
        <w:kinsoku/>
        <w:wordWrap/>
        <w:overflowPunct/>
        <w:topLinePunct w:val="0"/>
        <w:bidi w:val="0"/>
        <w:snapToGrid w:val="0"/>
        <w:spacing w:line="360" w:lineRule="auto"/>
        <w:ind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pPr>
        <w:pStyle w:val="7"/>
        <w:numPr>
          <w:ilvl w:val="0"/>
          <w:numId w:val="0"/>
        </w:numPr>
        <w:snapToGrid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七、</w:t>
      </w:r>
      <w:r>
        <w:rPr>
          <w:rFonts w:hint="eastAsia" w:ascii="宋体" w:hAnsi="宋体" w:eastAsia="宋体" w:cs="宋体"/>
          <w:color w:val="auto"/>
          <w:sz w:val="24"/>
          <w:szCs w:val="24"/>
          <w:highlight w:val="none"/>
        </w:rPr>
        <w:t>其他补充事宜：</w:t>
      </w:r>
    </w:p>
    <w:p>
      <w:pPr>
        <w:numPr>
          <w:ilvl w:val="0"/>
          <w:numId w:val="2"/>
        </w:numPr>
        <w:snapToGrid w:val="0"/>
        <w:spacing w:line="360" w:lineRule="auto"/>
        <w:ind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磋商保证金：</w:t>
      </w:r>
      <w:r>
        <w:rPr>
          <w:rFonts w:hint="eastAsia" w:ascii="宋体" w:hAnsi="宋体" w:cs="宋体"/>
          <w:bCs/>
          <w:color w:val="auto"/>
          <w:sz w:val="24"/>
          <w:szCs w:val="24"/>
          <w:highlight w:val="none"/>
        </w:rPr>
        <w:t>无</w:t>
      </w:r>
      <w:r>
        <w:rPr>
          <w:rFonts w:hint="eastAsia" w:ascii="宋体" w:hAnsi="宋体" w:cs="宋体"/>
          <w:color w:val="auto"/>
          <w:kern w:val="0"/>
          <w:sz w:val="24"/>
          <w:szCs w:val="24"/>
          <w:highlight w:val="none"/>
        </w:rPr>
        <w:t>。</w:t>
      </w:r>
    </w:p>
    <w:p>
      <w:pPr>
        <w:numPr>
          <w:ilvl w:val="0"/>
          <w:numId w:val="2"/>
        </w:numPr>
        <w:snapToGrid w:val="0"/>
        <w:spacing w:line="360" w:lineRule="auto"/>
        <w:ind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项目磋商活动模式：本项目采用现场磋商模式。</w:t>
      </w:r>
    </w:p>
    <w:p>
      <w:pPr>
        <w:numPr>
          <w:ilvl w:val="0"/>
          <w:numId w:val="2"/>
        </w:numPr>
        <w:snapToGrid w:val="0"/>
        <w:spacing w:line="360" w:lineRule="auto"/>
        <w:ind w:firstLine="480" w:firstLineChars="200"/>
        <w:textAlignment w:val="baseline"/>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对项目需求部分（供应商其他资格要求、项目需求、评分标准）的询问、质疑请向采购单位提出，由采购单位负责答复；对项目磋商文件其它部分的询问请向代理机构提出。</w:t>
      </w:r>
    </w:p>
    <w:p>
      <w:pPr>
        <w:numPr>
          <w:ilvl w:val="0"/>
          <w:numId w:val="0"/>
        </w:numPr>
        <w:snapToGrid w:val="0"/>
        <w:spacing w:line="360" w:lineRule="auto"/>
        <w:ind w:firstLine="482" w:firstLineChars="200"/>
        <w:textAlignment w:val="baseline"/>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rPr>
        <w:t>凡对本次采购提出询问，请按以下方式联系。</w:t>
      </w:r>
    </w:p>
    <w:p>
      <w:pPr>
        <w:numPr>
          <w:ilvl w:val="0"/>
          <w:numId w:val="3"/>
        </w:num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采购单位信息</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南通市妇幼保健院</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地    址：南通市崇川区世纪大道399号</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r>
        <w:rPr>
          <w:rFonts w:hint="eastAsia" w:ascii="宋体" w:hAnsi="宋体"/>
          <w:color w:val="auto"/>
          <w:sz w:val="24"/>
          <w:highlight w:val="none"/>
          <w:lang w:val="en-US" w:eastAsia="zh-CN"/>
        </w:rPr>
        <w:t>13912277233</w:t>
      </w:r>
    </w:p>
    <w:p>
      <w:pPr>
        <w:numPr>
          <w:ilvl w:val="0"/>
          <w:numId w:val="4"/>
        </w:numPr>
        <w:snapToGrid w:val="0"/>
        <w:spacing w:line="360" w:lineRule="auto"/>
        <w:ind w:left="-62" w:leftChars="0" w:firstLine="480" w:firstLineChars="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采购代理机构信息</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名    称：南通万隆工程管理有限公司</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地    址：南通市崇川路58号南通产业技术研究院9号楼24层</w:t>
      </w:r>
    </w:p>
    <w:p>
      <w:pPr>
        <w:snapToGrid w:val="0"/>
        <w:spacing w:line="360" w:lineRule="auto"/>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陈娟</w:t>
      </w:r>
      <w:r>
        <w:rPr>
          <w:rFonts w:hint="eastAsia" w:ascii="宋体" w:hAnsi="宋体" w:cs="宋体"/>
          <w:color w:val="auto"/>
          <w:sz w:val="24"/>
          <w:szCs w:val="24"/>
          <w:highlight w:val="none"/>
        </w:rPr>
        <w:t xml:space="preserve"> 139</w:t>
      </w:r>
      <w:r>
        <w:rPr>
          <w:rFonts w:hint="eastAsia" w:ascii="宋体" w:hAnsi="宋体" w:cs="宋体"/>
          <w:color w:val="auto"/>
          <w:sz w:val="24"/>
          <w:szCs w:val="24"/>
          <w:highlight w:val="none"/>
          <w:lang w:val="en-US" w:eastAsia="zh-CN"/>
        </w:rPr>
        <w:t>62943497</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3、项目联系方式</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丁先生</w:t>
      </w:r>
      <w:r>
        <w:rPr>
          <w:rFonts w:hint="eastAsia" w:ascii="宋体" w:hAnsi="宋体"/>
          <w:color w:val="auto"/>
          <w:sz w:val="24"/>
          <w:highlight w:val="none"/>
        </w:rPr>
        <w:t xml:space="preserve">   </w:t>
      </w:r>
      <w:r>
        <w:rPr>
          <w:rFonts w:hint="eastAsia" w:ascii="宋体" w:hAnsi="宋体" w:cs="宋体"/>
          <w:color w:val="auto"/>
          <w:sz w:val="24"/>
          <w:szCs w:val="24"/>
          <w:highlight w:val="none"/>
        </w:rPr>
        <w:t xml:space="preserve">             </w:t>
      </w:r>
    </w:p>
    <w:p>
      <w:pPr>
        <w:snapToGrid w:val="0"/>
        <w:spacing w:line="360" w:lineRule="auto"/>
        <w:ind w:firstLine="480" w:firstLineChars="200"/>
        <w:textAlignment w:val="baseline"/>
        <w:rPr>
          <w:rFonts w:hint="eastAsia" w:ascii="宋体" w:hAnsi="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olor w:val="auto"/>
          <w:sz w:val="24"/>
          <w:highlight w:val="none"/>
          <w:lang w:val="en-US" w:eastAsia="zh-CN"/>
        </w:rPr>
        <w:t>13912277233</w:t>
      </w:r>
      <w:r>
        <w:rPr>
          <w:rFonts w:hint="eastAsia" w:ascii="宋体" w:hAnsi="宋体" w:cs="宋体"/>
          <w:color w:val="auto"/>
          <w:sz w:val="24"/>
          <w:szCs w:val="24"/>
          <w:highlight w:val="none"/>
        </w:rPr>
        <w:t xml:space="preserve"> </w:t>
      </w:r>
      <w:r>
        <w:rPr>
          <w:rFonts w:hint="eastAsia" w:ascii="宋体" w:hAnsi="宋体"/>
          <w:color w:val="auto"/>
          <w:sz w:val="24"/>
          <w:szCs w:val="24"/>
          <w:highlight w:val="none"/>
        </w:rPr>
        <w:t xml:space="preserve">  </w:t>
      </w:r>
    </w:p>
    <w:p>
      <w:pPr>
        <w:snapToGrid w:val="0"/>
        <w:spacing w:line="360" w:lineRule="auto"/>
        <w:ind w:firstLine="420" w:firstLineChars="200"/>
        <w:rPr>
          <w:rFonts w:hint="eastAsia" w:ascii="宋体" w:hAnsi="宋体" w:cs="宋体"/>
          <w:color w:val="auto"/>
          <w:szCs w:val="24"/>
          <w:highlight w:val="none"/>
        </w:rPr>
      </w:pPr>
    </w:p>
    <w:p>
      <w:pPr>
        <w:snapToGrid w:val="0"/>
        <w:spacing w:line="360" w:lineRule="auto"/>
        <w:ind w:firstLine="420" w:firstLineChars="200"/>
        <w:rPr>
          <w:rFonts w:hint="eastAsia" w:ascii="宋体" w:hAnsi="宋体" w:cs="宋体"/>
          <w:color w:val="auto"/>
          <w:sz w:val="24"/>
          <w:szCs w:val="24"/>
          <w:highlight w:val="none"/>
        </w:rPr>
      </w:pPr>
      <w:r>
        <w:rPr>
          <w:rFonts w:hint="eastAsia" w:ascii="宋体" w:hAnsi="宋体" w:cs="宋体"/>
          <w:color w:val="auto"/>
          <w:szCs w:val="24"/>
          <w:highlight w:val="none"/>
        </w:rPr>
        <w:t xml:space="preserve">                                                      </w:t>
      </w:r>
      <w:r>
        <w:rPr>
          <w:rFonts w:hint="eastAsia" w:ascii="宋体" w:hAnsi="宋体" w:cs="宋体"/>
          <w:color w:val="auto"/>
          <w:sz w:val="24"/>
          <w:szCs w:val="24"/>
          <w:highlight w:val="none"/>
        </w:rPr>
        <w:t>二0二二年</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十三</w:t>
      </w:r>
      <w:r>
        <w:rPr>
          <w:rFonts w:hint="eastAsia" w:ascii="宋体" w:hAnsi="宋体" w:cs="宋体"/>
          <w:color w:val="auto"/>
          <w:sz w:val="24"/>
          <w:szCs w:val="24"/>
          <w:highlight w:val="none"/>
        </w:rPr>
        <w:t>日</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60" w:lineRule="auto"/>
        <w:ind w:firstLine="707" w:firstLineChars="200"/>
        <w:jc w:val="center"/>
        <w:rPr>
          <w:rFonts w:ascii="宋体"/>
          <w:color w:val="auto"/>
          <w:w w:val="80"/>
          <w:highlight w:val="none"/>
        </w:rPr>
      </w:pPr>
      <w:bookmarkStart w:id="11" w:name="_Toc8895739"/>
      <w:bookmarkStart w:id="12" w:name="_Toc11554639"/>
      <w:bookmarkStart w:id="13" w:name="_Toc521201597"/>
      <w:bookmarkStart w:id="14" w:name="_Toc12670503"/>
      <w:bookmarkStart w:id="15" w:name="_Toc11499584"/>
      <w:bookmarkStart w:id="16" w:name="_Toc521203418"/>
      <w:bookmarkStart w:id="17" w:name="_Toc94585340"/>
      <w:bookmarkStart w:id="18" w:name="_Toc11500280"/>
      <w:bookmarkStart w:id="19" w:name="_Toc94544744"/>
      <w:bookmarkStart w:id="20" w:name="_Toc94544828"/>
      <w:bookmarkStart w:id="21" w:name="_Toc363573854"/>
      <w:r>
        <w:rPr>
          <w:rFonts w:hint="eastAsia" w:ascii="宋体" w:hAnsi="宋体" w:cs="宋体"/>
          <w:b/>
          <w:bCs/>
          <w:color w:val="auto"/>
          <w:w w:val="80"/>
          <w:sz w:val="44"/>
          <w:szCs w:val="44"/>
          <w:highlight w:val="none"/>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color w:val="auto"/>
          <w:w w:val="80"/>
          <w:sz w:val="44"/>
          <w:szCs w:val="44"/>
          <w:highlight w:val="none"/>
        </w:rPr>
        <w:t xml:space="preserve"> 磋商供应商须知</w:t>
      </w:r>
      <w:bookmarkEnd w:id="21"/>
    </w:p>
    <w:p>
      <w:pPr>
        <w:snapToGrid w:val="0"/>
        <w:spacing w:line="360" w:lineRule="auto"/>
        <w:ind w:firstLine="482" w:firstLineChars="200"/>
        <w:outlineLvl w:val="1"/>
        <w:rPr>
          <w:rFonts w:ascii="宋体"/>
          <w:b/>
          <w:bCs/>
          <w:color w:val="auto"/>
          <w:sz w:val="24"/>
          <w:szCs w:val="24"/>
          <w:highlight w:val="none"/>
        </w:rPr>
      </w:pPr>
      <w:bookmarkStart w:id="22" w:name="_Toc521203419"/>
      <w:bookmarkStart w:id="23" w:name="_Toc11499585"/>
      <w:bookmarkStart w:id="24" w:name="_Toc94585341"/>
      <w:bookmarkStart w:id="25" w:name="_Toc94544745"/>
      <w:bookmarkStart w:id="26" w:name="_Toc521201598"/>
      <w:bookmarkStart w:id="27" w:name="_Toc94544871"/>
      <w:bookmarkStart w:id="28" w:name="_Toc12670504"/>
      <w:bookmarkStart w:id="29" w:name="_Toc11500281"/>
      <w:bookmarkStart w:id="30" w:name="_Toc8895740"/>
      <w:bookmarkStart w:id="31" w:name="_Toc11554640"/>
      <w:r>
        <w:rPr>
          <w:rFonts w:hint="eastAsia" w:ascii="宋体" w:hAnsi="宋体" w:cs="宋体"/>
          <w:b/>
          <w:bCs/>
          <w:color w:val="auto"/>
          <w:sz w:val="24"/>
          <w:szCs w:val="24"/>
          <w:highlight w:val="none"/>
        </w:rPr>
        <w:t>一、说明</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、本竞争性磋商文件仅适用于南通万隆工程管理有限公司组织的竞争性磋商采购活动。</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、竞争性磋商活动及因本次磋商产生的合同受中国法律制约和保护。</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、竞争性磋商文件的解释权属于采购单位。</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color w:val="auto"/>
          <w:sz w:val="24"/>
          <w:szCs w:val="24"/>
          <w:highlight w:val="none"/>
        </w:rPr>
        <w:t>4</w:t>
      </w:r>
      <w:r>
        <w:rPr>
          <w:rFonts w:hint="eastAsia" w:ascii="宋体" w:hAnsi="宋体" w:cs="宋体"/>
          <w:color w:val="auto"/>
          <w:sz w:val="24"/>
          <w:szCs w:val="24"/>
          <w:highlight w:val="none"/>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color w:val="auto"/>
          <w:sz w:val="24"/>
          <w:szCs w:val="24"/>
          <w:highlight w:val="none"/>
        </w:rPr>
        <w:t>非书面形式的不作为日后质疑提出的依据。</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5、供应商应认真审阅磋商文件中所有的事项、格式、条款和规范要求等，如果供应商没有按照磋商文件要求提交响应文件，或者响应文件没有对磋商文件做出实质性响应，将被拒绝参与项目的磋商。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单位的需要。</w:t>
      </w:r>
    </w:p>
    <w:p>
      <w:pPr>
        <w:snapToGrid w:val="0"/>
        <w:spacing w:line="360" w:lineRule="auto"/>
        <w:ind w:firstLine="480" w:firstLineChars="200"/>
        <w:rPr>
          <w:rFonts w:hint="eastAsia"/>
          <w:color w:val="auto"/>
          <w:highlight w:val="none"/>
        </w:rPr>
      </w:pPr>
      <w:r>
        <w:rPr>
          <w:color w:val="auto"/>
          <w:sz w:val="24"/>
          <w:szCs w:val="24"/>
          <w:highlight w:val="none"/>
        </w:rPr>
        <w:t>7</w:t>
      </w:r>
      <w:r>
        <w:rPr>
          <w:rFonts w:hint="eastAsia"/>
          <w:color w:val="auto"/>
          <w:sz w:val="24"/>
          <w:szCs w:val="24"/>
          <w:highlight w:val="none"/>
        </w:rPr>
        <w:t>、</w:t>
      </w:r>
      <w:r>
        <w:rPr>
          <w:rFonts w:hint="eastAsia" w:cs="宋体"/>
          <w:color w:val="auto"/>
          <w:sz w:val="24"/>
          <w:szCs w:val="24"/>
          <w:highlight w:val="none"/>
        </w:rPr>
        <w:t>本磋商文件内所称的</w:t>
      </w:r>
      <w:r>
        <w:rPr>
          <w:color w:val="auto"/>
          <w:sz w:val="24"/>
          <w:szCs w:val="24"/>
          <w:highlight w:val="none"/>
        </w:rPr>
        <w:t>“</w:t>
      </w:r>
      <w:r>
        <w:rPr>
          <w:rFonts w:hint="eastAsia" w:cs="宋体"/>
          <w:color w:val="auto"/>
          <w:sz w:val="24"/>
          <w:szCs w:val="24"/>
          <w:highlight w:val="none"/>
        </w:rPr>
        <w:t>以上</w:t>
      </w:r>
      <w:r>
        <w:rPr>
          <w:color w:val="auto"/>
          <w:sz w:val="24"/>
          <w:szCs w:val="24"/>
          <w:highlight w:val="none"/>
        </w:rPr>
        <w:t>”</w:t>
      </w:r>
      <w:r>
        <w:rPr>
          <w:rFonts w:hint="eastAsia" w:cs="宋体"/>
          <w:color w:val="auto"/>
          <w:sz w:val="24"/>
          <w:szCs w:val="24"/>
          <w:highlight w:val="none"/>
        </w:rPr>
        <w:t>、</w:t>
      </w:r>
      <w:r>
        <w:rPr>
          <w:color w:val="auto"/>
          <w:sz w:val="24"/>
          <w:szCs w:val="24"/>
          <w:highlight w:val="none"/>
        </w:rPr>
        <w:t>“</w:t>
      </w:r>
      <w:r>
        <w:rPr>
          <w:rFonts w:hint="eastAsia" w:cs="宋体"/>
          <w:color w:val="auto"/>
          <w:sz w:val="24"/>
          <w:szCs w:val="24"/>
          <w:highlight w:val="none"/>
        </w:rPr>
        <w:t>以下</w:t>
      </w:r>
      <w:r>
        <w:rPr>
          <w:color w:val="auto"/>
          <w:sz w:val="24"/>
          <w:szCs w:val="24"/>
          <w:highlight w:val="none"/>
        </w:rPr>
        <w:t>”</w:t>
      </w:r>
      <w:r>
        <w:rPr>
          <w:rFonts w:hint="eastAsia" w:cs="宋体"/>
          <w:color w:val="auto"/>
          <w:sz w:val="24"/>
          <w:szCs w:val="24"/>
          <w:highlight w:val="none"/>
        </w:rPr>
        <w:t>、</w:t>
      </w:r>
      <w:r>
        <w:rPr>
          <w:color w:val="auto"/>
          <w:sz w:val="24"/>
          <w:szCs w:val="24"/>
          <w:highlight w:val="none"/>
        </w:rPr>
        <w:t>“</w:t>
      </w:r>
      <w:r>
        <w:rPr>
          <w:rFonts w:hint="eastAsia" w:cs="宋体"/>
          <w:color w:val="auto"/>
          <w:sz w:val="24"/>
          <w:szCs w:val="24"/>
          <w:highlight w:val="none"/>
        </w:rPr>
        <w:t>内</w:t>
      </w:r>
      <w:r>
        <w:rPr>
          <w:color w:val="auto"/>
          <w:sz w:val="24"/>
          <w:szCs w:val="24"/>
          <w:highlight w:val="none"/>
        </w:rPr>
        <w:t>”</w:t>
      </w:r>
      <w:r>
        <w:rPr>
          <w:rFonts w:hint="eastAsia" w:cs="宋体"/>
          <w:color w:val="auto"/>
          <w:sz w:val="24"/>
          <w:szCs w:val="24"/>
          <w:highlight w:val="none"/>
        </w:rPr>
        <w:t>、</w:t>
      </w:r>
      <w:r>
        <w:rPr>
          <w:color w:val="auto"/>
          <w:sz w:val="24"/>
          <w:szCs w:val="24"/>
          <w:highlight w:val="none"/>
        </w:rPr>
        <w:t>“</w:t>
      </w:r>
      <w:r>
        <w:rPr>
          <w:rFonts w:hint="eastAsia" w:cs="宋体"/>
          <w:color w:val="auto"/>
          <w:sz w:val="24"/>
          <w:szCs w:val="24"/>
          <w:highlight w:val="none"/>
        </w:rPr>
        <w:t>以内</w:t>
      </w:r>
      <w:r>
        <w:rPr>
          <w:color w:val="auto"/>
          <w:sz w:val="24"/>
          <w:szCs w:val="24"/>
          <w:highlight w:val="none"/>
        </w:rPr>
        <w:t>”</w:t>
      </w:r>
      <w:r>
        <w:rPr>
          <w:rFonts w:hint="eastAsia" w:cs="宋体"/>
          <w:color w:val="auto"/>
          <w:sz w:val="24"/>
          <w:szCs w:val="24"/>
          <w:highlight w:val="none"/>
        </w:rPr>
        <w:t>，包括本数；所称的</w:t>
      </w:r>
      <w:r>
        <w:rPr>
          <w:color w:val="auto"/>
          <w:sz w:val="24"/>
          <w:szCs w:val="24"/>
          <w:highlight w:val="none"/>
        </w:rPr>
        <w:t>“</w:t>
      </w:r>
      <w:r>
        <w:rPr>
          <w:rFonts w:hint="eastAsia" w:cs="宋体"/>
          <w:color w:val="auto"/>
          <w:sz w:val="24"/>
          <w:szCs w:val="24"/>
          <w:highlight w:val="none"/>
        </w:rPr>
        <w:t>不足</w:t>
      </w:r>
      <w:r>
        <w:rPr>
          <w:color w:val="auto"/>
          <w:sz w:val="24"/>
          <w:szCs w:val="24"/>
          <w:highlight w:val="none"/>
        </w:rPr>
        <w:t>”</w:t>
      </w:r>
      <w:r>
        <w:rPr>
          <w:rFonts w:hint="eastAsia" w:cs="宋体"/>
          <w:color w:val="auto"/>
          <w:sz w:val="24"/>
          <w:szCs w:val="24"/>
          <w:highlight w:val="none"/>
        </w:rPr>
        <w:t>、</w:t>
      </w:r>
      <w:r>
        <w:rPr>
          <w:color w:val="auto"/>
          <w:sz w:val="24"/>
          <w:szCs w:val="24"/>
          <w:highlight w:val="none"/>
        </w:rPr>
        <w:t>“</w:t>
      </w:r>
      <w:r>
        <w:rPr>
          <w:rFonts w:hint="eastAsia" w:cs="宋体"/>
          <w:color w:val="auto"/>
          <w:sz w:val="24"/>
          <w:szCs w:val="24"/>
          <w:highlight w:val="none"/>
        </w:rPr>
        <w:t>少于</w:t>
      </w:r>
      <w:r>
        <w:rPr>
          <w:color w:val="auto"/>
          <w:sz w:val="24"/>
          <w:szCs w:val="24"/>
          <w:highlight w:val="none"/>
        </w:rPr>
        <w:t>”</w:t>
      </w:r>
      <w:r>
        <w:rPr>
          <w:rFonts w:hint="eastAsia" w:cs="宋体"/>
          <w:color w:val="auto"/>
          <w:sz w:val="24"/>
          <w:szCs w:val="24"/>
          <w:highlight w:val="none"/>
        </w:rPr>
        <w:t>，不包括本数。</w:t>
      </w:r>
    </w:p>
    <w:p>
      <w:pPr>
        <w:snapToGrid w:val="0"/>
        <w:spacing w:line="360" w:lineRule="auto"/>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二、磋商文件的澄清、修改、答疑</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、代理机构有权对发出的磋商文件进行必要的澄清、修改或补充。</w:t>
      </w:r>
    </w:p>
    <w:p>
      <w:pPr>
        <w:snapToGrid w:val="0"/>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、磋商文件的澄清、修改、补充等内容均以书面明确的形式发布，并以</w:t>
      </w:r>
      <w:r>
        <w:rPr>
          <w:rFonts w:hint="eastAsia" w:ascii="宋体" w:hAnsi="宋体" w:eastAsia="宋体" w:cs="宋体"/>
          <w:color w:val="auto"/>
          <w:sz w:val="24"/>
          <w:szCs w:val="24"/>
          <w:highlight w:val="none"/>
          <w:u w:val="single"/>
          <w:lang w:eastAsia="zh-CN"/>
        </w:rPr>
        <w:t>南通市卫生健康委员会官网（http://wjw.nantong.gov.cn）和南通市妇幼保健院官网（http://www.ntfybj.com）</w:t>
      </w:r>
      <w:r>
        <w:rPr>
          <w:rFonts w:hint="eastAsia" w:ascii="宋体" w:hAnsi="宋体" w:cs="宋体"/>
          <w:color w:val="auto"/>
          <w:sz w:val="24"/>
          <w:szCs w:val="24"/>
          <w:highlight w:val="none"/>
        </w:rPr>
        <w:t>发布的信息为准。</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、代理机构对磋商文件的澄清、修改将构成磋商文件的一部分，对响应磋商的供应商具有约束力。</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、澄清或者修改的内容可能影响到响应文件编制的，代理机构将在提交响应文件接收截止之日</w:t>
      </w:r>
      <w:r>
        <w:rPr>
          <w:rFonts w:ascii="宋体" w:hAnsi="宋体" w:cs="宋体"/>
          <w:color w:val="auto"/>
          <w:sz w:val="24"/>
          <w:szCs w:val="24"/>
          <w:highlight w:val="none"/>
        </w:rPr>
        <w:t>5</w:t>
      </w:r>
      <w:r>
        <w:rPr>
          <w:rFonts w:hint="eastAsia" w:ascii="宋体" w:hAnsi="宋体" w:cs="宋体"/>
          <w:color w:val="auto"/>
          <w:sz w:val="24"/>
          <w:szCs w:val="24"/>
          <w:highlight w:val="none"/>
        </w:rPr>
        <w:t>日前，发布澄清或者修改公告，不足</w:t>
      </w:r>
      <w:r>
        <w:rPr>
          <w:rFonts w:ascii="宋体" w:hAnsi="宋体" w:cs="宋体"/>
          <w:color w:val="auto"/>
          <w:sz w:val="24"/>
          <w:szCs w:val="24"/>
          <w:highlight w:val="none"/>
        </w:rPr>
        <w:t>5</w:t>
      </w:r>
      <w:r>
        <w:rPr>
          <w:rFonts w:hint="eastAsia" w:ascii="宋体" w:hAnsi="宋体" w:cs="宋体"/>
          <w:color w:val="auto"/>
          <w:sz w:val="24"/>
          <w:szCs w:val="24"/>
          <w:highlight w:val="none"/>
        </w:rPr>
        <w:t>日的，当顺延提交响应文件接收截止时间。</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auto"/>
          <w:sz w:val="24"/>
          <w:szCs w:val="24"/>
          <w:highlight w:val="none"/>
        </w:rPr>
      </w:pPr>
      <w:r>
        <w:rPr>
          <w:rFonts w:hint="eastAsia" w:ascii="宋体" w:hAnsi="宋体" w:cs="宋体"/>
          <w:b/>
          <w:color w:val="auto"/>
          <w:sz w:val="24"/>
          <w:szCs w:val="24"/>
          <w:highlight w:val="none"/>
        </w:rPr>
        <w:t>三、磋商项目涉及到的现场勘察</w:t>
      </w:r>
    </w:p>
    <w:p>
      <w:pPr>
        <w:snapToGrid w:val="0"/>
        <w:spacing w:line="360" w:lineRule="auto"/>
        <w:ind w:firstLine="484" w:firstLineChars="202"/>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、采购单位向供应商提供的有关现场的资料和数据，是采购单位现有的并认为能使供应商可利用的资料。采购单位对供应商由此而做出的推论、理解和结论概不负责。</w:t>
      </w:r>
    </w:p>
    <w:p>
      <w:pPr>
        <w:snapToGrid w:val="0"/>
        <w:spacing w:line="360" w:lineRule="auto"/>
        <w:ind w:firstLine="484" w:firstLineChars="202"/>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、经采购单位允许，供应商可为勘察目的进入采购单位的项目现场，但供应商不得因此使采购单位承担有关的责任和蒙受损失。供应商应承担勘察现场的责任和风险。</w:t>
      </w:r>
    </w:p>
    <w:p>
      <w:pPr>
        <w:snapToGrid w:val="0"/>
        <w:spacing w:line="360" w:lineRule="auto"/>
        <w:ind w:firstLine="484" w:firstLineChars="202"/>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供应商应认真踏勘现场。在现场勘察时，熟悉服务及作业现场、现场周围交通道路等情况，以获得一切可能影响其磋商响应的直接资料。供应商成交后，不得以不完全了解现场情况为理由而向采购单位提出任何索赔的要求，对此采购单位不承担任何责任并将不作任何答复与考虑。</w:t>
      </w:r>
    </w:p>
    <w:p>
      <w:pPr>
        <w:pStyle w:val="2"/>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现场踏勘联系人：</w:t>
      </w:r>
      <w:r>
        <w:rPr>
          <w:rFonts w:hint="eastAsia" w:ascii="宋体" w:hAnsi="宋体" w:cs="宋体"/>
          <w:b/>
          <w:bCs/>
          <w:color w:val="auto"/>
          <w:sz w:val="24"/>
          <w:szCs w:val="24"/>
          <w:highlight w:val="none"/>
          <w:lang w:val="en-US" w:eastAsia="zh-CN"/>
        </w:rPr>
        <w:t>丁先生</w:t>
      </w:r>
      <w:r>
        <w:rPr>
          <w:rFonts w:hint="eastAsia" w:ascii="宋体" w:hAnsi="宋体" w:cs="宋体"/>
          <w:b/>
          <w:bCs/>
          <w:color w:val="auto"/>
          <w:sz w:val="24"/>
          <w:szCs w:val="24"/>
          <w:highlight w:val="none"/>
        </w:rPr>
        <w:t xml:space="preserve">      联系电话：13912277233</w:t>
      </w:r>
    </w:p>
    <w:p>
      <w:pPr>
        <w:snapToGrid w:val="0"/>
        <w:spacing w:line="360" w:lineRule="auto"/>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四、响应文件的编制及装订</w:t>
      </w:r>
    </w:p>
    <w:p>
      <w:pPr>
        <w:snapToGrid w:val="0"/>
        <w:spacing w:line="360" w:lineRule="auto"/>
        <w:ind w:firstLine="487" w:firstLineChars="202"/>
        <w:rPr>
          <w:rFonts w:ascii="宋体"/>
          <w:b/>
          <w:bCs/>
          <w:color w:val="auto"/>
          <w:sz w:val="24"/>
          <w:szCs w:val="24"/>
          <w:highlight w:val="none"/>
        </w:rPr>
      </w:pPr>
      <w:r>
        <w:rPr>
          <w:rFonts w:hint="eastAsia" w:ascii="宋体" w:hAnsi="宋体" w:cs="宋体"/>
          <w:b/>
          <w:bCs/>
          <w:color w:val="auto"/>
          <w:sz w:val="24"/>
          <w:szCs w:val="24"/>
          <w:highlight w:val="none"/>
        </w:rPr>
        <w:t>供应商按磋商文件要求编写响应文件，并牢固装订成册。响应文件均需采用</w:t>
      </w:r>
      <w:r>
        <w:rPr>
          <w:rFonts w:ascii="宋体" w:hAnsi="宋体" w:cs="宋体"/>
          <w:b/>
          <w:bCs/>
          <w:color w:val="auto"/>
          <w:sz w:val="24"/>
          <w:szCs w:val="24"/>
          <w:highlight w:val="none"/>
        </w:rPr>
        <w:t>A4</w:t>
      </w:r>
      <w:r>
        <w:rPr>
          <w:rFonts w:hint="eastAsia" w:ascii="宋体" w:hAnsi="宋体" w:cs="宋体"/>
          <w:b/>
          <w:bCs/>
          <w:color w:val="auto"/>
          <w:sz w:val="24"/>
          <w:szCs w:val="24"/>
          <w:highlight w:val="none"/>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五、响应文件的份数和签署</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、响应文件由：</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1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资格审查文件、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2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技术响应文件、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3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③</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商务报价响应文件，共</w:t>
      </w:r>
      <w:r>
        <w:rPr>
          <w:rFonts w:ascii="宋体" w:hAnsi="宋体" w:cs="宋体"/>
          <w:color w:val="auto"/>
          <w:sz w:val="24"/>
          <w:szCs w:val="24"/>
          <w:highlight w:val="none"/>
        </w:rPr>
        <w:t>3</w:t>
      </w:r>
      <w:r>
        <w:rPr>
          <w:rFonts w:hint="eastAsia" w:ascii="宋体" w:hAnsi="宋体" w:cs="宋体"/>
          <w:color w:val="auto"/>
          <w:sz w:val="24"/>
          <w:szCs w:val="24"/>
          <w:highlight w:val="none"/>
        </w:rPr>
        <w:t>部分组成（以下由文件序号代称）。</w:t>
      </w:r>
    </w:p>
    <w:p>
      <w:pPr>
        <w:snapToGrid w:val="0"/>
        <w:spacing w:line="360"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rPr>
        <w:t>、响应文件均为壹式叁份，其中“正本”壹份和“副本”贰份。</w:t>
      </w:r>
    </w:p>
    <w:p>
      <w:pPr>
        <w:snapToGrid w:val="0"/>
        <w:spacing w:line="360" w:lineRule="auto"/>
        <w:ind w:firstLine="470" w:firstLineChars="196"/>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、供应商可将响应文件正副本统一密封或分别密封，如正本和副本分别密封的，应在封袋上标明正、副本字样。</w:t>
      </w:r>
    </w:p>
    <w:p>
      <w:pPr>
        <w:snapToGrid w:val="0"/>
        <w:spacing w:line="360" w:lineRule="auto"/>
        <w:ind w:firstLine="470" w:firstLineChars="196"/>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color w:val="auto"/>
          <w:sz w:val="24"/>
          <w:szCs w:val="24"/>
          <w:highlight w:val="none"/>
        </w:rPr>
      </w:pPr>
      <w:r>
        <w:rPr>
          <w:rFonts w:hint="eastAsia" w:ascii="宋体" w:hAnsi="宋体" w:cs="宋体"/>
          <w:b/>
          <w:bCs/>
          <w:color w:val="auto"/>
          <w:sz w:val="24"/>
          <w:szCs w:val="24"/>
          <w:highlight w:val="none"/>
        </w:rPr>
        <w:t>六、响应文件的密封及标记</w:t>
      </w:r>
    </w:p>
    <w:p>
      <w:pPr>
        <w:snapToGrid w:val="0"/>
        <w:spacing w:line="360" w:lineRule="auto"/>
        <w:ind w:firstLine="480" w:firstLineChars="200"/>
        <w:rPr>
          <w:rFonts w:ascii="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、供应商须将本项目响应文件：</w:t>
      </w:r>
      <w:r>
        <w:rPr>
          <w:rFonts w:hint="eastAsia" w:ascii="宋体" w:hAnsi="宋体" w:cs="宋体"/>
          <w:b/>
          <w:bCs/>
          <w:color w:val="auto"/>
          <w:sz w:val="24"/>
          <w:szCs w:val="24"/>
          <w:highlight w:val="none"/>
        </w:rPr>
        <w:t>资格审查文件、技术响应文件、商务报价响应文件</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、密封后，应在每一密封的响应文件上明确标注磋商项目名称、项目编号、响应文件各自对应的名称、供应商的全称及日期。</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、在边缝处加盖供应商公章或骑缝签字。</w:t>
      </w:r>
    </w:p>
    <w:p>
      <w:pPr>
        <w:snapToGrid w:val="0"/>
        <w:spacing w:line="360" w:lineRule="auto"/>
        <w:ind w:firstLine="482" w:firstLineChars="200"/>
        <w:textAlignment w:val="baseline"/>
        <w:rPr>
          <w:rFonts w:ascii="宋体" w:hAnsi="宋体" w:cs="宋体"/>
          <w:color w:val="auto"/>
          <w:sz w:val="24"/>
          <w:szCs w:val="24"/>
          <w:highlight w:val="none"/>
        </w:rPr>
      </w:pPr>
      <w:r>
        <w:rPr>
          <w:rFonts w:hint="eastAsia" w:ascii="宋体" w:hAnsi="宋体" w:cs="宋体"/>
          <w:b/>
          <w:bCs/>
          <w:color w:val="auto"/>
          <w:sz w:val="24"/>
          <w:szCs w:val="24"/>
          <w:highlight w:val="none"/>
        </w:rPr>
        <w:t>【特别提醒】</w:t>
      </w:r>
      <w:r>
        <w:rPr>
          <w:rFonts w:hint="eastAsia" w:ascii="宋体" w:hAnsi="宋体" w:cs="宋体"/>
          <w:color w:val="auto"/>
          <w:sz w:val="24"/>
          <w:szCs w:val="24"/>
          <w:highlight w:val="none"/>
        </w:rPr>
        <w:t>响应文件中的</w:t>
      </w:r>
      <w:r>
        <w:rPr>
          <w:rFonts w:hint="eastAsia" w:ascii="宋体" w:hAnsi="宋体" w:cs="宋体"/>
          <w:b/>
          <w:bCs/>
          <w:color w:val="auto"/>
          <w:sz w:val="24"/>
          <w:szCs w:val="24"/>
          <w:highlight w:val="none"/>
        </w:rPr>
        <w:t>资格审查文件、技术响应文件</w:t>
      </w:r>
      <w:r>
        <w:rPr>
          <w:rFonts w:hint="eastAsia" w:ascii="宋体" w:hAnsi="宋体" w:cs="宋体"/>
          <w:color w:val="auto"/>
          <w:sz w:val="24"/>
          <w:szCs w:val="24"/>
          <w:highlight w:val="none"/>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color w:val="auto"/>
          <w:sz w:val="24"/>
          <w:szCs w:val="24"/>
          <w:highlight w:val="none"/>
        </w:rPr>
      </w:pPr>
      <w:r>
        <w:rPr>
          <w:rFonts w:hint="eastAsia" w:ascii="宋体" w:hAnsi="宋体" w:cs="宋体"/>
          <w:b/>
          <w:bCs/>
          <w:color w:val="auto"/>
          <w:sz w:val="24"/>
          <w:szCs w:val="24"/>
          <w:highlight w:val="none"/>
        </w:rPr>
        <w:t>七、磋商报价</w:t>
      </w:r>
    </w:p>
    <w:p>
      <w:pPr>
        <w:snapToGrid w:val="0"/>
        <w:spacing w:line="360" w:lineRule="auto"/>
        <w:ind w:firstLine="494" w:firstLineChars="206"/>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、本项目不接受任何有选择的报价。</w:t>
      </w:r>
    </w:p>
    <w:p>
      <w:pPr>
        <w:snapToGrid w:val="0"/>
        <w:spacing w:line="360" w:lineRule="auto"/>
        <w:ind w:firstLine="494" w:firstLineChars="206"/>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、磋商报价均以人民币为报价的币种。</w:t>
      </w:r>
    </w:p>
    <w:p>
      <w:pPr>
        <w:snapToGrid w:val="0"/>
        <w:spacing w:line="360" w:lineRule="auto"/>
        <w:ind w:firstLine="494" w:firstLineChars="206"/>
        <w:rPr>
          <w:rFonts w:hint="eastAsia"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、磋商报价表必须加盖单位公章且必须经法定代表人或被授权人签字或盖章。报价表中的报价出现前后不一致的，将执行财政部第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cs="宋体"/>
          <w:color w:val="auto"/>
          <w:sz w:val="24"/>
          <w:highlight w:val="none"/>
        </w:rPr>
      </w:pPr>
      <w:r>
        <w:rPr>
          <w:rFonts w:hint="eastAsia" w:ascii="宋体" w:hAnsi="宋体" w:cs="宋体"/>
          <w:color w:val="auto"/>
          <w:sz w:val="24"/>
          <w:highlight w:val="none"/>
        </w:rPr>
        <w:t>3.1开标一览表(报价表)内容与投标文件中相应内容不一致的，以开标一览表(报价表)为准;</w:t>
      </w:r>
    </w:p>
    <w:p>
      <w:pPr>
        <w:snapToGrid w:val="0"/>
        <w:spacing w:line="360" w:lineRule="auto"/>
        <w:ind w:firstLine="494" w:firstLineChars="206"/>
        <w:rPr>
          <w:rFonts w:hint="eastAsia" w:ascii="宋体" w:hAnsi="宋体" w:cs="宋体"/>
          <w:color w:val="auto"/>
          <w:sz w:val="24"/>
          <w:highlight w:val="none"/>
        </w:rPr>
      </w:pPr>
      <w:r>
        <w:rPr>
          <w:rFonts w:hint="eastAsia" w:ascii="宋体" w:hAnsi="宋体" w:cs="宋体"/>
          <w:color w:val="auto"/>
          <w:sz w:val="24"/>
          <w:highlight w:val="none"/>
        </w:rPr>
        <w:t>3.2 大写金额和小写金额不一致的，以大写金额为准;</w:t>
      </w:r>
    </w:p>
    <w:p>
      <w:pPr>
        <w:snapToGrid w:val="0"/>
        <w:spacing w:line="360" w:lineRule="auto"/>
        <w:ind w:firstLine="494" w:firstLineChars="206"/>
        <w:rPr>
          <w:rFonts w:hint="eastAsia" w:ascii="宋体" w:hAnsi="宋体" w:cs="宋体"/>
          <w:color w:val="auto"/>
          <w:sz w:val="24"/>
          <w:highlight w:val="none"/>
        </w:rPr>
      </w:pPr>
      <w:r>
        <w:rPr>
          <w:rFonts w:hint="eastAsia" w:ascii="宋体" w:hAnsi="宋体" w:cs="宋体"/>
          <w:color w:val="auto"/>
          <w:sz w:val="24"/>
          <w:highlight w:val="none"/>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cs="宋体"/>
          <w:color w:val="auto"/>
          <w:sz w:val="24"/>
          <w:highlight w:val="none"/>
        </w:rPr>
      </w:pPr>
      <w:r>
        <w:rPr>
          <w:rFonts w:hint="eastAsia" w:ascii="宋体" w:hAnsi="宋体" w:cs="宋体"/>
          <w:color w:val="auto"/>
          <w:sz w:val="24"/>
          <w:highlight w:val="none"/>
        </w:rPr>
        <w:t>3.4总价金额与按单价汇总金额不一致的，以单价金额计算结果为准。</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highlight w:val="none"/>
        </w:rPr>
        <w:t xml:space="preserve">同时出现两种以上不一致的，按照前款规定的顺序修正。修正后的报价按照本办法第五十一条第二款的规定经供应商确认后产生约束力，供应商不确认的，其响应无效。 </w:t>
      </w:r>
    </w:p>
    <w:p>
      <w:pPr>
        <w:numPr>
          <w:ilvl w:val="0"/>
          <w:numId w:val="4"/>
        </w:numPr>
        <w:snapToGrid w:val="0"/>
        <w:spacing w:line="360" w:lineRule="auto"/>
        <w:ind w:left="-62" w:leftChars="0" w:firstLine="482" w:firstLineChars="0"/>
        <w:rPr>
          <w:rFonts w:hint="default"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rPr>
        <w:t>磋商报价（以人民币计价</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为房屋和设备租金的报价，报价时</w:t>
      </w:r>
      <w:r>
        <w:rPr>
          <w:rFonts w:hint="eastAsia" w:ascii="宋体" w:hAnsi="宋体" w:eastAsia="宋体" w:cs="宋体"/>
          <w:b/>
          <w:bCs/>
          <w:color w:val="auto"/>
          <w:sz w:val="24"/>
          <w:szCs w:val="24"/>
          <w:highlight w:val="none"/>
        </w:rPr>
        <w:t>应</w:t>
      </w:r>
      <w:r>
        <w:rPr>
          <w:rFonts w:hint="eastAsia" w:ascii="宋体" w:hAnsi="宋体" w:eastAsia="宋体" w:cs="宋体"/>
          <w:b/>
          <w:bCs/>
          <w:color w:val="auto"/>
          <w:sz w:val="24"/>
          <w:szCs w:val="24"/>
          <w:highlight w:val="none"/>
          <w:lang w:val="en-US" w:eastAsia="zh-CN"/>
        </w:rPr>
        <w:t>充分考虑</w:t>
      </w:r>
      <w:r>
        <w:rPr>
          <w:rFonts w:hint="eastAsia" w:ascii="宋体" w:hAnsi="宋体" w:eastAsia="宋体" w:cs="宋体"/>
          <w:b/>
          <w:bCs/>
          <w:color w:val="auto"/>
          <w:sz w:val="24"/>
          <w:szCs w:val="24"/>
          <w:highlight w:val="none"/>
        </w:rPr>
        <w:t>所有与</w:t>
      </w:r>
      <w:r>
        <w:rPr>
          <w:rFonts w:hint="eastAsia" w:ascii="宋体" w:hAnsi="宋体" w:cs="宋体"/>
          <w:b/>
          <w:bCs/>
          <w:color w:val="auto"/>
          <w:sz w:val="24"/>
          <w:szCs w:val="24"/>
          <w:highlight w:val="none"/>
        </w:rPr>
        <w:t>本项目实施有关的所有费用，包括但不限于所有的人员费（含工资、加班费、福利费</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保险费</w:t>
      </w:r>
      <w:r>
        <w:rPr>
          <w:rFonts w:hint="eastAsia" w:ascii="宋体" w:hAnsi="宋体" w:cs="宋体"/>
          <w:b/>
          <w:bCs/>
          <w:color w:val="auto"/>
          <w:sz w:val="24"/>
          <w:szCs w:val="24"/>
          <w:highlight w:val="none"/>
        </w:rPr>
        <w:t>等）、</w:t>
      </w:r>
      <w:r>
        <w:rPr>
          <w:rFonts w:hint="eastAsia" w:ascii="宋体" w:hAnsi="宋体" w:cs="宋体"/>
          <w:b/>
          <w:bCs/>
          <w:color w:val="auto"/>
          <w:sz w:val="24"/>
          <w:szCs w:val="24"/>
          <w:highlight w:val="none"/>
          <w:lang w:val="en-US" w:eastAsia="zh-CN"/>
        </w:rPr>
        <w:t>统一服装</w:t>
      </w:r>
      <w:r>
        <w:rPr>
          <w:rFonts w:hint="eastAsia" w:ascii="宋体" w:hAnsi="宋体" w:eastAsia="宋体" w:cs="宋体"/>
          <w:b/>
          <w:bCs/>
          <w:color w:val="auto"/>
          <w:sz w:val="24"/>
          <w:szCs w:val="24"/>
          <w:highlight w:val="none"/>
          <w:lang w:val="en-US" w:eastAsia="zh-CN"/>
        </w:rPr>
        <w:t>费（含工作服、工作鞋、围裙、袖套、口罩、工作帽等）、</w:t>
      </w:r>
      <w:r>
        <w:rPr>
          <w:rFonts w:hint="eastAsia" w:ascii="宋体" w:hAnsi="宋体" w:eastAsia="宋体" w:cs="宋体"/>
          <w:b/>
          <w:bCs/>
          <w:color w:val="auto"/>
          <w:sz w:val="24"/>
          <w:szCs w:val="24"/>
          <w:highlight w:val="none"/>
        </w:rPr>
        <w:t>现场踏勘</w:t>
      </w:r>
      <w:r>
        <w:rPr>
          <w:rFonts w:hint="eastAsia" w:ascii="宋体" w:hAnsi="宋体" w:cs="宋体"/>
          <w:b/>
          <w:bCs/>
          <w:color w:val="auto"/>
          <w:sz w:val="24"/>
          <w:szCs w:val="24"/>
          <w:highlight w:val="none"/>
        </w:rPr>
        <w:t>费、</w:t>
      </w:r>
      <w:r>
        <w:rPr>
          <w:rFonts w:hint="eastAsia" w:ascii="宋体" w:hAnsi="宋体" w:cs="宋体"/>
          <w:b/>
          <w:bCs/>
          <w:color w:val="auto"/>
          <w:sz w:val="24"/>
          <w:szCs w:val="24"/>
          <w:highlight w:val="none"/>
          <w:lang w:val="en-US" w:eastAsia="zh-CN"/>
        </w:rPr>
        <w:t>订餐软件（小程序）和刷卡系统的维护费、水费、电费、天然气费、</w:t>
      </w:r>
      <w:r>
        <w:rPr>
          <w:rFonts w:hint="eastAsia" w:ascii="宋体" w:hAnsi="宋体" w:eastAsia="宋体" w:cs="宋体"/>
          <w:b/>
          <w:bCs/>
          <w:color w:val="auto"/>
          <w:sz w:val="24"/>
          <w:szCs w:val="24"/>
          <w:highlight w:val="none"/>
          <w:lang w:val="en-US" w:eastAsia="zh-CN"/>
        </w:rPr>
        <w:t>餐厨废弃物及食堂垃圾的收集处置、正</w:t>
      </w:r>
      <w:r>
        <w:rPr>
          <w:rFonts w:hint="eastAsia" w:ascii="宋体" w:hAnsi="宋体" w:cs="宋体"/>
          <w:b/>
          <w:bCs/>
          <w:color w:val="auto"/>
          <w:sz w:val="24"/>
          <w:szCs w:val="24"/>
          <w:highlight w:val="none"/>
          <w:lang w:val="en-US" w:eastAsia="zh-CN"/>
        </w:rPr>
        <w:t>常使用情况下单次不超过200元的维修安装费、与采购人交接后因就餐人数增多或遗失、毁损、保管不当等原因而自行添置的设备设施费及各种餐饮家具和用具的费用</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因成交人原因造成的赔偿及损失费等、为满足消防、卫生、环保等部门而采取的各种措施费【安全生产措施、油烟处置措施（不含采购单位负责的1年4次油烟清洗费）、油水分离措施等】、</w:t>
      </w:r>
      <w:r>
        <w:rPr>
          <w:rFonts w:hint="eastAsia" w:ascii="宋体" w:hAnsi="宋体" w:cs="宋体"/>
          <w:b/>
          <w:bCs/>
          <w:color w:val="auto"/>
          <w:sz w:val="24"/>
          <w:szCs w:val="24"/>
          <w:highlight w:val="none"/>
        </w:rPr>
        <w:t>办公费、工具费、机械费、技术支持与培训费、管理费、利润、税金、政策性文件规定及为达到采购单位要求所包含的所有风险、责任等各项费用。各供应商应根据磋商文件要求，并充分考虑市场，自行核算成本</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对</w:t>
      </w:r>
      <w:r>
        <w:rPr>
          <w:rFonts w:hint="eastAsia" w:ascii="宋体" w:hAnsi="宋体" w:eastAsia="宋体" w:cs="宋体"/>
          <w:b/>
          <w:bCs/>
          <w:color w:val="auto"/>
          <w:sz w:val="24"/>
          <w:szCs w:val="24"/>
          <w:highlight w:val="none"/>
          <w:lang w:val="en-US" w:eastAsia="zh-CN"/>
        </w:rPr>
        <w:t>房屋和设备租金进行</w:t>
      </w:r>
      <w:r>
        <w:rPr>
          <w:rFonts w:hint="eastAsia" w:ascii="宋体" w:hAnsi="宋体" w:cs="宋体"/>
          <w:b/>
          <w:bCs/>
          <w:color w:val="auto"/>
          <w:sz w:val="24"/>
          <w:szCs w:val="24"/>
          <w:highlight w:val="none"/>
        </w:rPr>
        <w:t>报价。</w:t>
      </w:r>
    </w:p>
    <w:p>
      <w:pPr>
        <w:snapToGrid w:val="0"/>
        <w:spacing w:line="360" w:lineRule="auto"/>
        <w:ind w:firstLine="468" w:firstLineChars="195"/>
        <w:outlineLvl w:val="1"/>
        <w:rPr>
          <w:rFonts w:hint="eastAsia"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供应商应详细阅读磋商文件的全部内容，根据采购项目需求，准确制定相关工作方案等，必须对本采购项目全部进行报价，如有漏项，视同对本项目的优惠。不按磋商文件的要求提供响应文件，导致报价无效，按无效响应处理。</w:t>
      </w:r>
    </w:p>
    <w:p>
      <w:pPr>
        <w:snapToGrid w:val="0"/>
        <w:spacing w:line="360" w:lineRule="auto"/>
        <w:ind w:firstLine="468" w:firstLineChars="195"/>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6、本次磋商项目的报价采用两轮报价，首次报价不得</w:t>
      </w:r>
      <w:r>
        <w:rPr>
          <w:rFonts w:hint="eastAsia" w:ascii="宋体" w:hAnsi="宋体" w:cs="宋体"/>
          <w:color w:val="auto"/>
          <w:sz w:val="24"/>
          <w:szCs w:val="24"/>
          <w:highlight w:val="none"/>
          <w:lang w:val="en-US" w:eastAsia="zh-CN"/>
        </w:rPr>
        <w:t>低</w:t>
      </w:r>
      <w:r>
        <w:rPr>
          <w:rFonts w:hint="eastAsia" w:ascii="宋体" w:hAnsi="宋体" w:cs="宋体"/>
          <w:color w:val="auto"/>
          <w:sz w:val="24"/>
          <w:szCs w:val="24"/>
          <w:highlight w:val="none"/>
        </w:rPr>
        <w:t>于</w:t>
      </w:r>
      <w:r>
        <w:rPr>
          <w:rFonts w:hint="eastAsia" w:ascii="宋体" w:hAnsi="宋体" w:cs="宋体"/>
          <w:color w:val="auto"/>
          <w:sz w:val="24"/>
          <w:szCs w:val="24"/>
          <w:highlight w:val="none"/>
          <w:lang w:val="en-US" w:eastAsia="zh-CN"/>
        </w:rPr>
        <w:t>或等于房屋和设备租金限价（12万元/年）</w:t>
      </w:r>
      <w:r>
        <w:rPr>
          <w:rFonts w:hint="eastAsia" w:ascii="宋体" w:hAnsi="宋体" w:cs="宋体"/>
          <w:color w:val="auto"/>
          <w:sz w:val="24"/>
          <w:szCs w:val="24"/>
          <w:highlight w:val="none"/>
        </w:rPr>
        <w:t>。除非在磋商中磋商小组对采购单位需求内容作了调整增加，或对采购内容作了实质性变更，否则采购单位不接受供应商</w:t>
      </w:r>
      <w:r>
        <w:rPr>
          <w:rFonts w:hint="eastAsia" w:ascii="宋体" w:hAnsi="宋体" w:cs="宋体"/>
          <w:color w:val="auto"/>
          <w:sz w:val="24"/>
          <w:szCs w:val="24"/>
          <w:highlight w:val="none"/>
          <w:lang w:val="en-US" w:eastAsia="zh-CN"/>
        </w:rPr>
        <w:t>低</w:t>
      </w:r>
      <w:r>
        <w:rPr>
          <w:rFonts w:hint="eastAsia" w:ascii="宋体" w:hAnsi="宋体" w:cs="宋体"/>
          <w:color w:val="auto"/>
          <w:sz w:val="24"/>
          <w:szCs w:val="24"/>
          <w:highlight w:val="none"/>
        </w:rPr>
        <w:t>于自己前一轮的磋商报价，并作无效报价处理。最终报价将作为磋商小组评定成交供应商的依据。</w:t>
      </w:r>
    </w:p>
    <w:p>
      <w:pPr>
        <w:snapToGrid w:val="0"/>
        <w:spacing w:line="360" w:lineRule="auto"/>
        <w:ind w:firstLine="468" w:firstLineChars="195"/>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7、本项目竞争性磋商的最终报价作为成交价。同时，供应商的最终成交价在合同实施期间不因市场变化因素而变动。</w:t>
      </w:r>
    </w:p>
    <w:p>
      <w:pPr>
        <w:snapToGrid w:val="0"/>
        <w:spacing w:line="360" w:lineRule="auto"/>
        <w:ind w:firstLine="468" w:firstLineChars="195"/>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8、由于新型冠状肺炎疫情的影响，因卫生防疫要求采取的措施、物资等一切费用包含在磋商报价（即合同价）中，结算时不予调整。</w:t>
      </w:r>
    </w:p>
    <w:p>
      <w:pPr>
        <w:snapToGrid w:val="0"/>
        <w:spacing w:line="360" w:lineRule="auto"/>
        <w:ind w:firstLine="468" w:firstLineChars="195"/>
        <w:outlineLvl w:val="1"/>
        <w:rPr>
          <w:rFonts w:ascii="宋体"/>
          <w:color w:val="auto"/>
          <w:sz w:val="24"/>
          <w:szCs w:val="24"/>
          <w:highlight w:val="none"/>
        </w:rPr>
      </w:pPr>
      <w:r>
        <w:rPr>
          <w:rFonts w:hint="eastAsia" w:ascii="宋体" w:hAnsi="宋体" w:cs="宋体"/>
          <w:color w:val="auto"/>
          <w:sz w:val="24"/>
          <w:szCs w:val="24"/>
          <w:highlight w:val="none"/>
        </w:rPr>
        <w:t>9、最</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的磋商报价是成交的重要条件，但不是成交的唯一条件。</w:t>
      </w:r>
    </w:p>
    <w:p>
      <w:pPr>
        <w:snapToGrid w:val="0"/>
        <w:spacing w:line="360" w:lineRule="auto"/>
        <w:ind w:firstLine="496" w:firstLineChars="206"/>
        <w:outlineLvl w:val="1"/>
        <w:rPr>
          <w:rFonts w:ascii="宋体"/>
          <w:b/>
          <w:bCs/>
          <w:color w:val="auto"/>
          <w:sz w:val="24"/>
          <w:szCs w:val="24"/>
          <w:highlight w:val="none"/>
        </w:rPr>
      </w:pPr>
      <w:r>
        <w:rPr>
          <w:rFonts w:hint="eastAsia" w:ascii="宋体" w:hAnsi="宋体" w:cs="宋体"/>
          <w:b/>
          <w:bCs/>
          <w:color w:val="auto"/>
          <w:sz w:val="24"/>
          <w:szCs w:val="24"/>
          <w:highlight w:val="none"/>
        </w:rPr>
        <w:t>八、联合体参与磋商</w:t>
      </w:r>
    </w:p>
    <w:p>
      <w:pPr>
        <w:snapToGrid w:val="0"/>
        <w:spacing w:line="360" w:lineRule="auto"/>
        <w:ind w:firstLine="470" w:firstLineChars="196"/>
        <w:outlineLvl w:val="1"/>
        <w:rPr>
          <w:rFonts w:hint="eastAsia" w:ascii="宋体" w:hAnsi="宋体" w:cs="宋体"/>
          <w:color w:val="auto"/>
          <w:sz w:val="24"/>
          <w:szCs w:val="24"/>
          <w:highlight w:val="none"/>
        </w:rPr>
      </w:pPr>
      <w:r>
        <w:rPr>
          <w:rFonts w:hint="eastAsia" w:ascii="宋体" w:hAnsi="宋体" w:cs="宋体"/>
          <w:color w:val="auto"/>
          <w:sz w:val="24"/>
          <w:szCs w:val="24"/>
          <w:highlight w:val="none"/>
        </w:rPr>
        <w:t>不接受任何形式的联合体参与本项目的竞争性磋商。</w:t>
      </w:r>
    </w:p>
    <w:p>
      <w:pPr>
        <w:snapToGrid w:val="0"/>
        <w:spacing w:line="360" w:lineRule="auto"/>
        <w:ind w:firstLine="496" w:firstLineChars="206"/>
        <w:outlineLvl w:val="1"/>
        <w:rPr>
          <w:color w:val="auto"/>
          <w:sz w:val="24"/>
          <w:szCs w:val="24"/>
          <w:highlight w:val="none"/>
        </w:rPr>
      </w:pPr>
      <w:r>
        <w:rPr>
          <w:rFonts w:hint="eastAsia" w:cs="宋体"/>
          <w:b/>
          <w:bCs/>
          <w:color w:val="auto"/>
          <w:sz w:val="24"/>
          <w:szCs w:val="24"/>
          <w:highlight w:val="none"/>
        </w:rPr>
        <w:t>九、磋商响应文件的有效期</w:t>
      </w:r>
    </w:p>
    <w:p>
      <w:pPr>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w:t>
      </w:r>
      <w:r>
        <w:rPr>
          <w:rFonts w:hint="eastAsia" w:cs="宋体"/>
          <w:color w:val="auto"/>
          <w:sz w:val="24"/>
          <w:szCs w:val="24"/>
          <w:highlight w:val="none"/>
        </w:rPr>
        <w:t>从磋商响应文件接收截止之日算起，</w:t>
      </w:r>
      <w:r>
        <w:rPr>
          <w:b/>
          <w:bCs/>
          <w:color w:val="auto"/>
          <w:sz w:val="24"/>
          <w:szCs w:val="24"/>
          <w:highlight w:val="none"/>
        </w:rPr>
        <w:t>45</w:t>
      </w:r>
      <w:r>
        <w:rPr>
          <w:rFonts w:hint="eastAsia" w:cs="宋体"/>
          <w:color w:val="auto"/>
          <w:sz w:val="24"/>
          <w:szCs w:val="24"/>
          <w:highlight w:val="none"/>
        </w:rPr>
        <w:t>个</w:t>
      </w:r>
      <w:r>
        <w:rPr>
          <w:color w:val="auto"/>
          <w:sz w:val="24"/>
          <w:szCs w:val="24"/>
          <w:highlight w:val="none"/>
        </w:rPr>
        <w:t>“</w:t>
      </w:r>
      <w:r>
        <w:rPr>
          <w:rFonts w:hint="eastAsia" w:cs="宋体"/>
          <w:color w:val="auto"/>
          <w:sz w:val="24"/>
          <w:szCs w:val="24"/>
          <w:highlight w:val="none"/>
        </w:rPr>
        <w:t>日历天</w:t>
      </w:r>
      <w:r>
        <w:rPr>
          <w:color w:val="auto"/>
          <w:sz w:val="24"/>
          <w:szCs w:val="24"/>
          <w:highlight w:val="none"/>
        </w:rPr>
        <w:t>”</w:t>
      </w:r>
      <w:r>
        <w:rPr>
          <w:rFonts w:hint="eastAsia" w:cs="宋体"/>
          <w:color w:val="auto"/>
          <w:sz w:val="24"/>
          <w:szCs w:val="24"/>
          <w:highlight w:val="none"/>
        </w:rPr>
        <w:t>内磋商响应书应保持有效。有效期短于这个规定期限的磋商响应，将被拒绝。</w:t>
      </w:r>
    </w:p>
    <w:p>
      <w:pPr>
        <w:snapToGrid w:val="0"/>
        <w:spacing w:line="360" w:lineRule="auto"/>
        <w:ind w:firstLine="480" w:firstLineChars="200"/>
        <w:textAlignment w:val="baseline"/>
        <w:rPr>
          <w:color w:val="auto"/>
          <w:highlight w:val="none"/>
        </w:rPr>
      </w:pPr>
      <w:r>
        <w:rPr>
          <w:color w:val="auto"/>
          <w:sz w:val="24"/>
          <w:szCs w:val="24"/>
          <w:highlight w:val="none"/>
        </w:rPr>
        <w:t>2</w:t>
      </w:r>
      <w:r>
        <w:rPr>
          <w:rFonts w:hint="eastAsia"/>
          <w:color w:val="auto"/>
          <w:sz w:val="24"/>
          <w:szCs w:val="24"/>
          <w:highlight w:val="none"/>
        </w:rPr>
        <w:t>、</w:t>
      </w:r>
      <w:r>
        <w:rPr>
          <w:rFonts w:hint="eastAsia" w:cs="宋体"/>
          <w:color w:val="auto"/>
          <w:sz w:val="24"/>
          <w:szCs w:val="24"/>
          <w:highlight w:val="none"/>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color w:val="auto"/>
          <w:sz w:val="24"/>
          <w:szCs w:val="24"/>
          <w:highlight w:val="none"/>
        </w:rPr>
      </w:pPr>
      <w:r>
        <w:rPr>
          <w:rFonts w:hint="eastAsia" w:ascii="宋体" w:hAnsi="宋体" w:cs="宋体"/>
          <w:b/>
          <w:bCs/>
          <w:color w:val="auto"/>
          <w:sz w:val="24"/>
          <w:szCs w:val="24"/>
          <w:highlight w:val="none"/>
        </w:rPr>
        <w:t>十、响应文件及</w:t>
      </w:r>
      <w:r>
        <w:rPr>
          <w:rFonts w:hint="eastAsia" w:ascii="宋体" w:hAnsi="宋体" w:cs="宋体"/>
          <w:b/>
          <w:bCs/>
          <w:color w:val="auto"/>
          <w:kern w:val="0"/>
          <w:sz w:val="24"/>
          <w:szCs w:val="24"/>
          <w:highlight w:val="none"/>
        </w:rPr>
        <w:t>磋商</w:t>
      </w:r>
      <w:r>
        <w:rPr>
          <w:rFonts w:hint="eastAsia" w:ascii="宋体" w:hAnsi="宋体" w:cs="宋体"/>
          <w:b/>
          <w:bCs/>
          <w:color w:val="auto"/>
          <w:sz w:val="24"/>
          <w:szCs w:val="24"/>
          <w:highlight w:val="none"/>
        </w:rPr>
        <w:t>费用</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1.各供应商须在递交磋商响应文件的同时缴纳磋商文件资料费300元。无论是否成交，该费用不予退还。</w:t>
      </w:r>
    </w:p>
    <w:p>
      <w:pPr>
        <w:pStyle w:val="20"/>
        <w:spacing w:line="360" w:lineRule="auto"/>
        <w:ind w:firstLine="480"/>
        <w:rPr>
          <w:rFonts w:ascii="宋体" w:hAnsi="宋体"/>
          <w:bCs/>
          <w:color w:val="auto"/>
          <w:sz w:val="24"/>
          <w:szCs w:val="24"/>
          <w:highlight w:val="none"/>
        </w:rPr>
      </w:pPr>
      <w:r>
        <w:rPr>
          <w:rFonts w:hint="eastAsia" w:ascii="宋体" w:hAnsi="宋体" w:cs="宋体"/>
          <w:b/>
          <w:bCs/>
          <w:color w:val="auto"/>
          <w:kern w:val="2"/>
          <w:sz w:val="24"/>
          <w:szCs w:val="24"/>
          <w:highlight w:val="none"/>
        </w:rPr>
        <w:t>2、本项目采购代理</w:t>
      </w:r>
      <w:r>
        <w:rPr>
          <w:rFonts w:hint="eastAsia" w:ascii="宋体" w:hAnsi="宋体" w:eastAsia="宋体" w:cs="宋体"/>
          <w:b/>
          <w:bCs/>
          <w:color w:val="auto"/>
          <w:kern w:val="2"/>
          <w:sz w:val="24"/>
          <w:szCs w:val="24"/>
          <w:highlight w:val="none"/>
        </w:rPr>
        <w:t>费</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lang w:val="en-US" w:eastAsia="zh-CN"/>
        </w:rPr>
        <w:t>按</w:t>
      </w:r>
      <w:r>
        <w:rPr>
          <w:rFonts w:hint="eastAsia" w:ascii="宋体" w:hAnsi="宋体" w:eastAsia="宋体" w:cs="宋体"/>
          <w:b/>
          <w:bCs/>
          <w:color w:val="auto"/>
          <w:kern w:val="2"/>
          <w:sz w:val="24"/>
          <w:szCs w:val="24"/>
          <w:highlight w:val="none"/>
        </w:rPr>
        <w:t>计价格［2002］1980号</w:t>
      </w:r>
      <w:r>
        <w:rPr>
          <w:rFonts w:hint="eastAsia" w:ascii="宋体" w:hAnsi="宋体" w:eastAsia="宋体" w:cs="宋体"/>
          <w:b/>
          <w:bCs/>
          <w:color w:val="auto"/>
          <w:kern w:val="2"/>
          <w:sz w:val="24"/>
          <w:szCs w:val="24"/>
          <w:highlight w:val="none"/>
          <w:lang w:val="en-US" w:eastAsia="zh-CN"/>
        </w:rPr>
        <w:t>文件*40%，但最</w:t>
      </w:r>
      <w:r>
        <w:rPr>
          <w:rFonts w:hint="eastAsia" w:ascii="宋体" w:hAnsi="宋体" w:cs="宋体"/>
          <w:b/>
          <w:bCs/>
          <w:color w:val="auto"/>
          <w:kern w:val="2"/>
          <w:sz w:val="24"/>
          <w:szCs w:val="24"/>
          <w:highlight w:val="none"/>
          <w:lang w:val="en-US" w:eastAsia="zh-CN"/>
        </w:rPr>
        <w:t>低</w:t>
      </w:r>
      <w:r>
        <w:rPr>
          <w:rFonts w:hint="eastAsia" w:ascii="宋体" w:hAnsi="宋体" w:eastAsia="宋体" w:cs="宋体"/>
          <w:b/>
          <w:bCs/>
          <w:color w:val="auto"/>
          <w:kern w:val="2"/>
          <w:sz w:val="24"/>
          <w:szCs w:val="24"/>
          <w:highlight w:val="none"/>
          <w:lang w:val="en-US" w:eastAsia="zh-CN"/>
        </w:rPr>
        <w:t>不少于1200元）</w:t>
      </w:r>
      <w:r>
        <w:rPr>
          <w:rFonts w:hint="eastAsia" w:ascii="宋体" w:hAnsi="宋体" w:eastAsia="宋体" w:cs="宋体"/>
          <w:b/>
          <w:bCs/>
          <w:color w:val="auto"/>
          <w:kern w:val="2"/>
          <w:sz w:val="24"/>
          <w:szCs w:val="24"/>
          <w:highlight w:val="none"/>
        </w:rPr>
        <w:t>及专家评审费（按实列支）</w:t>
      </w:r>
      <w:r>
        <w:rPr>
          <w:rFonts w:hint="eastAsia" w:ascii="宋体" w:hAnsi="宋体" w:cs="宋体"/>
          <w:b/>
          <w:bCs/>
          <w:color w:val="auto"/>
          <w:kern w:val="2"/>
          <w:sz w:val="24"/>
          <w:szCs w:val="24"/>
          <w:highlight w:val="none"/>
        </w:rPr>
        <w:t>由成交供应商承担，请参加磋商的供应商在成本中自行考虑。</w:t>
      </w:r>
      <w:r>
        <w:rPr>
          <w:rFonts w:hint="eastAsia" w:ascii="宋体" w:hAnsi="宋体"/>
          <w:bCs/>
          <w:color w:val="auto"/>
          <w:sz w:val="24"/>
          <w:szCs w:val="24"/>
          <w:highlight w:val="none"/>
        </w:rPr>
        <w:t>上述费用领取成交通知书前，向代理公司一次性缴清。</w:t>
      </w:r>
    </w:p>
    <w:p>
      <w:pPr>
        <w:snapToGrid w:val="0"/>
        <w:spacing w:line="360" w:lineRule="auto"/>
        <w:ind w:firstLine="480" w:firstLineChars="200"/>
        <w:outlineLvl w:val="1"/>
        <w:rPr>
          <w:rFonts w:ascii="宋体"/>
          <w:color w:val="auto"/>
          <w:sz w:val="24"/>
          <w:szCs w:val="24"/>
          <w:highlight w:val="none"/>
        </w:rPr>
      </w:pPr>
      <w:r>
        <w:rPr>
          <w:rFonts w:hint="eastAsia" w:ascii="宋体" w:hAnsi="宋体" w:cs="宋体"/>
          <w:color w:val="auto"/>
          <w:sz w:val="24"/>
          <w:szCs w:val="24"/>
          <w:highlight w:val="none"/>
        </w:rPr>
        <w:t>3、磋商程序顺利进行后，除供应商的原件可退回外，其余所有的响应文件都将作为档案保存，不论成交与否，代理机构均不退回（未拆封的除外）。</w:t>
      </w:r>
    </w:p>
    <w:p>
      <w:pPr>
        <w:snapToGrid w:val="0"/>
        <w:spacing w:line="360" w:lineRule="auto"/>
        <w:ind w:firstLine="470" w:firstLineChars="196"/>
        <w:outlineLvl w:val="1"/>
        <w:rPr>
          <w:rFonts w:ascii="宋体" w:hAnsi="宋体" w:cs="宋体"/>
          <w:color w:val="auto"/>
          <w:sz w:val="24"/>
          <w:szCs w:val="24"/>
          <w:highlight w:val="none"/>
        </w:rPr>
      </w:pPr>
      <w:r>
        <w:rPr>
          <w:rFonts w:hint="eastAsia" w:ascii="宋体" w:hAnsi="宋体" w:cs="宋体"/>
          <w:color w:val="auto"/>
          <w:sz w:val="24"/>
          <w:szCs w:val="24"/>
          <w:highlight w:val="none"/>
        </w:rPr>
        <w:t>4、无论磋商过程和结果如何，参加项目磋商的供应商自行承担与本次项目磋商有关的全部费用。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color w:val="auto"/>
          <w:sz w:val="24"/>
          <w:szCs w:val="24"/>
          <w:highlight w:val="none"/>
        </w:rPr>
      </w:pPr>
      <w:r>
        <w:rPr>
          <w:rFonts w:hint="eastAsia" w:ascii="宋体" w:hAnsi="宋体" w:cs="宋体"/>
          <w:b/>
          <w:color w:val="auto"/>
          <w:sz w:val="24"/>
          <w:szCs w:val="24"/>
          <w:highlight w:val="none"/>
        </w:rPr>
        <w:t>十一、履约保证金</w:t>
      </w:r>
    </w:p>
    <w:p>
      <w:pPr>
        <w:snapToGrid w:val="0"/>
        <w:spacing w:line="360" w:lineRule="auto"/>
        <w:ind w:firstLine="470" w:firstLineChars="196"/>
        <w:outlineLvl w:val="1"/>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、本项目成交后的履约保证金为项目成交价的</w:t>
      </w:r>
      <w:r>
        <w:rPr>
          <w:rFonts w:ascii="宋体" w:hAnsi="宋体" w:cs="宋体"/>
          <w:color w:val="auto"/>
          <w:sz w:val="24"/>
          <w:szCs w:val="24"/>
          <w:highlight w:val="none"/>
        </w:rPr>
        <w:t>10%</w:t>
      </w:r>
      <w:r>
        <w:rPr>
          <w:rFonts w:hint="eastAsia" w:ascii="宋体" w:hAnsi="宋体" w:cs="宋体"/>
          <w:color w:val="auto"/>
          <w:sz w:val="24"/>
          <w:szCs w:val="24"/>
          <w:highlight w:val="none"/>
        </w:rPr>
        <w:t>。</w:t>
      </w:r>
    </w:p>
    <w:p>
      <w:pPr>
        <w:snapToGrid w:val="0"/>
        <w:spacing w:line="360" w:lineRule="auto"/>
        <w:ind w:firstLine="470" w:firstLineChars="196"/>
        <w:outlineLvl w:val="1"/>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、成交供应商的履约保证金须在采购代理通知发成交通知书之日起</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个工作日内汇入采购单位账户，成交供应商凭“成交通知书”和已经汇至采购单位账上的“履约保证金”凭证，并在采购代理通知发成交通知书之日起1</w:t>
      </w:r>
      <w:r>
        <w:rPr>
          <w:rFonts w:ascii="宋体" w:hAnsi="宋体" w:cs="宋体"/>
          <w:color w:val="auto"/>
          <w:sz w:val="24"/>
          <w:szCs w:val="24"/>
          <w:highlight w:val="none"/>
        </w:rPr>
        <w:t>5</w:t>
      </w:r>
      <w:r>
        <w:rPr>
          <w:rFonts w:hint="eastAsia" w:ascii="宋体" w:hAnsi="宋体" w:cs="宋体"/>
          <w:color w:val="auto"/>
          <w:sz w:val="24"/>
          <w:szCs w:val="24"/>
          <w:highlight w:val="none"/>
        </w:rPr>
        <w:t>日内与采购单位签订合同。</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、成交供应商在按要求保质保量的完成该项目合同并通过验收后，采购单位凭成交供应商提交的申请，一次性无息退还该合同项目的履约保证金。</w:t>
      </w:r>
    </w:p>
    <w:p>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、由于成交供应商原因，在签订合同后出现不按合同履行的情况，采购单位有权将履约保证金作为违约金，全额不予退还，同时采购单位亦有权终止合同，成交供应商还须承担相应的法律赔偿责任。</w:t>
      </w:r>
    </w:p>
    <w:p>
      <w:pPr>
        <w:snapToGrid w:val="0"/>
        <w:spacing w:line="360" w:lineRule="auto"/>
        <w:ind w:firstLine="480" w:firstLineChars="200"/>
        <w:textAlignment w:val="baseline"/>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5、合同履行期间，成交供应商应随时补足履约保证金，否则采购单位有权提前终止合同。若履约保证金不足以支付成交供应商应交纳的违约金或不足以归还采购单位代付的赔偿款、罚款等费用时，成交供应商应在采购单位规定的时间内缴纳相关款项，否则有权终止合同，同时追究其法律责任。</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6、履约保证金主要用于以下情形的扣款：</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 定期考核、暗访以及满意度测评不符合要求的扣款；</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 违反</w:t>
      </w:r>
      <w:r>
        <w:rPr>
          <w:rFonts w:hint="eastAsia" w:ascii="宋体" w:hAnsi="宋体" w:eastAsia="宋体" w:cs="宋体"/>
          <w:color w:val="auto"/>
          <w:sz w:val="24"/>
          <w:highlight w:val="none"/>
          <w:lang w:val="en-US" w:eastAsia="zh-CN" w:bidi="ar"/>
        </w:rPr>
        <w:t>《中华人民共和国食品安全法》、《中华人民共和国食品卫生法》及其实施条例、《餐饮服务食品安全监督管理办法》及江苏省、南通市有关食堂安全和卫生的相关文件要求；</w:t>
      </w:r>
      <w:r>
        <w:rPr>
          <w:rFonts w:hint="eastAsia" w:ascii="宋体" w:hAnsi="宋体" w:eastAsia="宋体" w:cs="宋体"/>
          <w:color w:val="auto"/>
          <w:sz w:val="24"/>
          <w:szCs w:val="24"/>
          <w:highlight w:val="none"/>
          <w:lang w:val="en-US" w:eastAsia="zh-CN"/>
        </w:rPr>
        <w:t>违反采购单位有关管理规定；违反合同约定；合同履行期间，将房屋、设备设施、餐饮家具、公共餐具人为损坏或灭失（达到采购单位资产报废年限，且经采购单位资产报废小组鉴定无维修价值的情形除外)，则采购单位有权部分或全额不予退还履约保证金；</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 没有按合同约定服务至服务期满,或委托经营管理期内不正常营业，或违规转包经营但未给医院造成损失的，采购单位有权不予退还全部履约保证金，并有权提前终止合同；</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 合同履行期间发生纠纷、斗殴和违反治安管理条例的，或发生3人及以上食物中毒事件，或发生刑事犯罪事件，或发生火灾及其他重大安全生产事故，且由于上述行为给采购单位带来重大损失的，则采购单位有权不予退还全部履约保证金,并依法追究其法律责任,并要求赔偿经济损失，同时有权提前终止合同。</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6.5合同期满，在过渡期间各项服务不达标，或饮食未正常供给，或未确保安全卫生，或未积极配合采购单位做好交接工作的，则采购单位有权不予退还全部履约保证金。</w:t>
      </w:r>
    </w:p>
    <w:p>
      <w:pPr>
        <w:pStyle w:val="92"/>
        <w:ind w:firstLine="480" w:firstLineChars="20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6.6 发生考核细则中相关情形的。</w:t>
      </w:r>
    </w:p>
    <w:p>
      <w:pPr>
        <w:pStyle w:val="92"/>
        <w:rPr>
          <w:rFonts w:hint="eastAsia"/>
          <w:color w:val="auto"/>
          <w:highlight w:val="none"/>
        </w:rPr>
      </w:pPr>
    </w:p>
    <w:p>
      <w:pPr>
        <w:snapToGrid w:val="0"/>
        <w:spacing w:line="360" w:lineRule="auto"/>
        <w:ind w:firstLine="496" w:firstLineChars="206"/>
        <w:textAlignment w:val="baseline"/>
        <w:rPr>
          <w:rFonts w:hint="eastAsia" w:ascii="宋体" w:hAnsi="宋体" w:cs="宋体"/>
          <w:b/>
          <w:color w:val="auto"/>
          <w:sz w:val="24"/>
          <w:szCs w:val="24"/>
          <w:highlight w:val="none"/>
        </w:rPr>
      </w:pPr>
      <w:r>
        <w:rPr>
          <w:rFonts w:hint="eastAsia" w:ascii="宋体" w:hAnsi="宋体" w:cs="宋体"/>
          <w:b/>
          <w:color w:val="auto"/>
          <w:sz w:val="24"/>
          <w:szCs w:val="24"/>
          <w:highlight w:val="none"/>
        </w:rPr>
        <w:t>十二、付款方式</w:t>
      </w:r>
    </w:p>
    <w:p>
      <w:pPr>
        <w:snapToGrid w:val="0"/>
        <w:spacing w:line="360" w:lineRule="auto"/>
        <w:ind w:firstLine="480" w:firstLineChars="2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成交供应商缴纳履约保证金，且合同签订生效后</w:t>
      </w:r>
      <w:r>
        <w:rPr>
          <w:rFonts w:hint="eastAsia" w:ascii="宋体" w:hAnsi="宋体" w:cs="宋体"/>
          <w:color w:val="auto"/>
          <w:sz w:val="24"/>
          <w:szCs w:val="24"/>
          <w:highlight w:val="none"/>
          <w:lang w:val="en-US" w:eastAsia="zh-CN"/>
        </w:rPr>
        <w:t>5个工作日内</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成交供应商须向采购单位足额</w:t>
      </w:r>
      <w:r>
        <w:rPr>
          <w:rFonts w:hint="eastAsia" w:ascii="宋体" w:hAnsi="宋体" w:cs="宋体"/>
          <w:color w:val="auto"/>
          <w:sz w:val="24"/>
          <w:szCs w:val="24"/>
          <w:highlight w:val="none"/>
        </w:rPr>
        <w:t>支付</w:t>
      </w:r>
      <w:r>
        <w:rPr>
          <w:rFonts w:hint="eastAsia" w:ascii="宋体" w:hAnsi="宋体" w:cs="宋体"/>
          <w:color w:val="auto"/>
          <w:sz w:val="24"/>
          <w:szCs w:val="24"/>
          <w:highlight w:val="none"/>
          <w:lang w:val="en-US" w:eastAsia="zh-CN"/>
        </w:rPr>
        <w:t>全年租金</w:t>
      </w:r>
      <w:r>
        <w:rPr>
          <w:rFonts w:hint="eastAsia" w:ascii="宋体" w:hAnsi="宋体" w:cs="宋体"/>
          <w:color w:val="auto"/>
          <w:sz w:val="24"/>
          <w:szCs w:val="24"/>
          <w:highlight w:val="none"/>
        </w:rPr>
        <w:t>，待一年合同期满</w:t>
      </w:r>
      <w:r>
        <w:rPr>
          <w:rFonts w:hint="eastAsia" w:ascii="宋体" w:hAnsi="宋体" w:cs="宋体"/>
          <w:color w:val="auto"/>
          <w:sz w:val="24"/>
          <w:szCs w:val="24"/>
          <w:highlight w:val="none"/>
          <w:lang w:val="en-US" w:eastAsia="zh-CN"/>
        </w:rPr>
        <w:t>且成交供应商无违约情形时，采购单位无息退还剩余履约保证金</w:t>
      </w:r>
      <w:r>
        <w:rPr>
          <w:rFonts w:hint="eastAsia" w:ascii="宋体" w:hAnsi="宋体" w:cs="宋体"/>
          <w:color w:val="auto"/>
          <w:sz w:val="24"/>
          <w:szCs w:val="24"/>
          <w:highlight w:val="none"/>
        </w:rPr>
        <w:t>。</w:t>
      </w:r>
    </w:p>
    <w:p>
      <w:pPr>
        <w:snapToGrid w:val="0"/>
        <w:spacing w:line="360" w:lineRule="auto"/>
        <w:ind w:firstLine="480" w:firstLineChars="200"/>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合同履行期间，如有违约情形时，采购单位可直接在履约保证金中扣除成交供应商应交纳的违约金或要求成交供应商在3个工作日内以银行转账形式支付。</w:t>
      </w:r>
    </w:p>
    <w:p>
      <w:pPr>
        <w:snapToGrid w:val="0"/>
        <w:spacing w:line="360" w:lineRule="auto"/>
        <w:ind w:firstLine="496" w:firstLineChars="206"/>
        <w:textAlignment w:val="baseline"/>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十三、其他</w:t>
      </w:r>
    </w:p>
    <w:p>
      <w:pPr>
        <w:numPr>
          <w:ilvl w:val="0"/>
          <w:numId w:val="0"/>
        </w:numPr>
        <w:snapToGrid w:val="0"/>
        <w:spacing w:line="360" w:lineRule="auto"/>
        <w:ind w:firstLine="480" w:firstLineChars="200"/>
        <w:outlineLvl w:val="1"/>
        <w:rPr>
          <w:rFonts w:hint="default" w:eastAsia="宋体"/>
          <w:color w:val="auto"/>
          <w:highlight w:val="none"/>
          <w:lang w:val="en-US" w:eastAsia="zh-CN"/>
        </w:rPr>
      </w:pPr>
      <w:r>
        <w:rPr>
          <w:rFonts w:hint="eastAsia" w:ascii="宋体" w:hAnsi="宋体" w:eastAsia="宋体" w:cs="宋体"/>
          <w:color w:val="auto"/>
          <w:sz w:val="24"/>
          <w:szCs w:val="24"/>
          <w:highlight w:val="none"/>
        </w:rPr>
        <w:t>本项目试用期三个月，试用期</w:t>
      </w:r>
      <w:r>
        <w:rPr>
          <w:rFonts w:hint="eastAsia" w:ascii="宋体" w:hAnsi="宋体" w:cs="宋体"/>
          <w:color w:val="auto"/>
          <w:sz w:val="24"/>
          <w:szCs w:val="24"/>
          <w:highlight w:val="none"/>
          <w:lang w:val="en-US" w:eastAsia="zh-CN"/>
        </w:rPr>
        <w:t>内需</w:t>
      </w:r>
      <w:r>
        <w:rPr>
          <w:rFonts w:hint="eastAsia" w:ascii="宋体" w:hAnsi="宋体" w:eastAsia="宋体" w:cs="宋体"/>
          <w:color w:val="auto"/>
          <w:sz w:val="24"/>
          <w:szCs w:val="24"/>
          <w:highlight w:val="none"/>
          <w:lang w:val="en-US" w:eastAsia="zh-CN"/>
        </w:rPr>
        <w:t>经采购单位考核</w:t>
      </w: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每月考核分均≧90分）</w:t>
      </w:r>
      <w:r>
        <w:rPr>
          <w:rFonts w:hint="eastAsia" w:ascii="宋体" w:hAnsi="宋体" w:cs="宋体"/>
          <w:color w:val="auto"/>
          <w:sz w:val="24"/>
          <w:szCs w:val="24"/>
          <w:highlight w:val="none"/>
          <w:lang w:val="en-US" w:eastAsia="zh-CN"/>
        </w:rPr>
        <w:t>方可继续履行合同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若试用不合格，采购单位有权按成交候选人顺序确定其他供应商履约，也可以重新组织磋商。</w:t>
      </w:r>
    </w:p>
    <w:p>
      <w:pPr>
        <w:snapToGrid w:val="0"/>
        <w:spacing w:line="360" w:lineRule="auto"/>
        <w:ind w:firstLine="496" w:firstLineChars="206"/>
        <w:outlineLvl w:val="1"/>
        <w:rPr>
          <w:rFonts w:ascii="宋体" w:hAnsi="宋体" w:cs="宋体"/>
          <w:b/>
          <w:color w:val="auto"/>
          <w:sz w:val="24"/>
          <w:szCs w:val="24"/>
          <w:highlight w:val="none"/>
        </w:rPr>
      </w:pPr>
      <w:r>
        <w:rPr>
          <w:rFonts w:hint="eastAsia" w:ascii="宋体" w:hAnsi="宋体" w:cs="宋体"/>
          <w:b/>
          <w:bCs/>
          <w:color w:val="auto"/>
          <w:sz w:val="24"/>
          <w:szCs w:val="24"/>
          <w:highlight w:val="none"/>
          <w:lang w:val="en-US" w:eastAsia="zh-CN"/>
        </w:rPr>
        <w:t>十四、</w:t>
      </w:r>
      <w:r>
        <w:rPr>
          <w:rFonts w:hint="eastAsia" w:ascii="宋体" w:hAnsi="宋体" w:cs="宋体"/>
          <w:b/>
          <w:color w:val="auto"/>
          <w:sz w:val="24"/>
          <w:szCs w:val="24"/>
          <w:highlight w:val="none"/>
        </w:rPr>
        <w:t>未尽事宜</w:t>
      </w:r>
    </w:p>
    <w:p>
      <w:pPr>
        <w:snapToGrid w:val="0"/>
        <w:spacing w:line="360" w:lineRule="auto"/>
        <w:ind w:firstLine="470" w:firstLineChars="196"/>
        <w:outlineLvl w:val="1"/>
        <w:rPr>
          <w:rFonts w:ascii="宋体" w:hAnsi="宋体" w:cs="宋体"/>
          <w:color w:val="auto"/>
          <w:sz w:val="24"/>
          <w:szCs w:val="24"/>
          <w:highlight w:val="none"/>
        </w:rPr>
        <w:sectPr>
          <w:footerReference r:id="rId9" w:type="first"/>
          <w:footerReference r:id="rId8" w:type="default"/>
          <w:pgSz w:w="11906" w:h="16838"/>
          <w:pgMar w:top="1440" w:right="1361" w:bottom="1440" w:left="1361" w:header="851" w:footer="651" w:gutter="0"/>
          <w:pgNumType w:fmt="numberInDash" w:start="1"/>
          <w:cols w:space="720" w:num="1"/>
          <w:docGrid w:linePitch="312" w:charSpace="0"/>
        </w:sectPr>
      </w:pPr>
      <w:r>
        <w:rPr>
          <w:rFonts w:hint="eastAsia" w:ascii="宋体" w:hAnsi="宋体" w:cs="宋体"/>
          <w:color w:val="auto"/>
          <w:sz w:val="24"/>
          <w:szCs w:val="24"/>
          <w:highlight w:val="none"/>
        </w:rPr>
        <w:t>按《中华人民共和国政府采购法》、《政府采</w:t>
      </w:r>
      <w:bookmarkStart w:id="32" w:name="_Toc363573855"/>
      <w:r>
        <w:rPr>
          <w:rFonts w:hint="eastAsia" w:ascii="宋体" w:hAnsi="宋体" w:cs="宋体"/>
          <w:color w:val="auto"/>
          <w:sz w:val="24"/>
          <w:szCs w:val="24"/>
          <w:highlight w:val="none"/>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hint="eastAsia" w:ascii="宋体" w:hAnsi="宋体" w:cs="宋体"/>
          <w:b/>
          <w:bCs/>
          <w:color w:val="auto"/>
          <w:w w:val="80"/>
          <w:sz w:val="44"/>
          <w:szCs w:val="44"/>
          <w:highlight w:val="none"/>
        </w:rPr>
      </w:pPr>
      <w:bookmarkStart w:id="33" w:name="_Toc11554641"/>
      <w:bookmarkStart w:id="34" w:name="_Toc521201599"/>
      <w:bookmarkStart w:id="35" w:name="_Toc13803483"/>
      <w:bookmarkStart w:id="36" w:name="_Toc521203420"/>
      <w:bookmarkStart w:id="37" w:name="_Toc8895741"/>
      <w:bookmarkStart w:id="38" w:name="_Toc12670505"/>
      <w:bookmarkStart w:id="39" w:name="_Toc94585342"/>
      <w:bookmarkStart w:id="40" w:name="_Toc11499586"/>
      <w:bookmarkStart w:id="41" w:name="_Toc94544746"/>
      <w:bookmarkStart w:id="42" w:name="_Toc11500282"/>
      <w:bookmarkStart w:id="43" w:name="_Toc94544872"/>
      <w:bookmarkStart w:id="44" w:name="_Toc363573856"/>
    </w:p>
    <w:p>
      <w:pPr>
        <w:spacing w:line="460" w:lineRule="exact"/>
        <w:jc w:val="center"/>
        <w:rPr>
          <w:rFonts w:ascii="宋体" w:hAnsi="宋体" w:cs="宋体"/>
          <w:b/>
          <w:bCs/>
          <w:color w:val="auto"/>
          <w:w w:val="80"/>
          <w:sz w:val="44"/>
          <w:szCs w:val="44"/>
          <w:highlight w:val="none"/>
        </w:rPr>
      </w:pPr>
      <w:r>
        <w:rPr>
          <w:rFonts w:hint="eastAsia" w:ascii="宋体" w:hAnsi="宋体" w:cs="宋体"/>
          <w:b/>
          <w:bCs/>
          <w:color w:val="auto"/>
          <w:w w:val="80"/>
          <w:sz w:val="44"/>
          <w:szCs w:val="44"/>
          <w:highlight w:val="none"/>
        </w:rPr>
        <w:t>第三章  项目需求</w:t>
      </w:r>
    </w:p>
    <w:p>
      <w:pPr>
        <w:pStyle w:val="20"/>
        <w:rPr>
          <w:color w:val="auto"/>
          <w:highlight w:val="none"/>
        </w:rPr>
      </w:pPr>
    </w:p>
    <w:p>
      <w:pPr>
        <w:pStyle w:val="31"/>
        <w:rPr>
          <w:color w:val="auto"/>
          <w:highlight w:val="none"/>
        </w:rPr>
      </w:pPr>
    </w:p>
    <w:p>
      <w:pPr>
        <w:snapToGrid w:val="0"/>
        <w:spacing w:line="360" w:lineRule="auto"/>
        <w:ind w:left="-210" w:leftChars="-100" w:firstLine="520" w:firstLineChars="216"/>
        <w:rPr>
          <w:rFonts w:ascii="宋体" w:hAnsi="宋体" w:cs="宋体"/>
          <w:color w:val="auto"/>
          <w:kern w:val="0"/>
          <w:sz w:val="24"/>
          <w:szCs w:val="24"/>
          <w:highlight w:val="none"/>
          <w:lang w:val="zh-CN"/>
        </w:rPr>
      </w:pPr>
      <w:r>
        <w:rPr>
          <w:rFonts w:hint="eastAsia" w:ascii="宋体" w:hAnsi="宋体" w:cs="宋体"/>
          <w:b/>
          <w:color w:val="auto"/>
          <w:sz w:val="24"/>
          <w:szCs w:val="24"/>
          <w:highlight w:val="none"/>
        </w:rPr>
        <w:t>特别提醒：</w:t>
      </w:r>
      <w:r>
        <w:rPr>
          <w:rFonts w:hint="eastAsia" w:ascii="宋体" w:hAnsi="宋体" w:cs="宋体"/>
          <w:b/>
          <w:color w:val="auto"/>
          <w:kern w:val="0"/>
          <w:sz w:val="24"/>
          <w:szCs w:val="24"/>
          <w:highlight w:val="none"/>
          <w:lang w:val="zh-CN"/>
        </w:rPr>
        <w:t>请供应商制作响应文件时仔细研究项目需求说明。</w:t>
      </w:r>
      <w:r>
        <w:rPr>
          <w:rFonts w:hint="eastAsia" w:ascii="宋体" w:hAnsi="宋体" w:cs="宋体"/>
          <w:color w:val="auto"/>
          <w:kern w:val="0"/>
          <w:sz w:val="24"/>
          <w:szCs w:val="24"/>
          <w:highlight w:val="none"/>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pStyle w:val="20"/>
        <w:rPr>
          <w:rFonts w:ascii="宋体" w:hAnsi="宋体" w:cs="宋体"/>
          <w:color w:val="auto"/>
          <w:sz w:val="24"/>
          <w:szCs w:val="24"/>
          <w:highlight w:val="none"/>
          <w:lang w:val="zh-CN"/>
        </w:rPr>
      </w:pPr>
    </w:p>
    <w:p>
      <w:pPr>
        <w:spacing w:line="360" w:lineRule="auto"/>
        <w:ind w:firstLine="422" w:firstLineChars="150"/>
        <w:rPr>
          <w:rFonts w:ascii="仿宋" w:hAnsi="仿宋" w:eastAsia="仿宋" w:cs="仿宋"/>
          <w:b/>
          <w:color w:val="auto"/>
          <w:sz w:val="28"/>
          <w:szCs w:val="21"/>
          <w:highlight w:val="none"/>
        </w:rPr>
      </w:pPr>
      <w:r>
        <w:rPr>
          <w:rFonts w:hint="eastAsia" w:ascii="仿宋" w:hAnsi="仿宋" w:eastAsia="仿宋" w:cs="仿宋"/>
          <w:b/>
          <w:color w:val="auto"/>
          <w:sz w:val="28"/>
          <w:szCs w:val="21"/>
          <w:highlight w:val="none"/>
        </w:rPr>
        <w:t>一、项目概况</w:t>
      </w:r>
    </w:p>
    <w:p>
      <w:pPr>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bidi="ar"/>
        </w:rPr>
        <w:t>南通市妇幼保健院（南通市儿童医院）是一所集医疗、保健、科研、教学于一体的三级甲等妇幼保健院。医院位于南通市崇川区世纪大道399号，医院占地面积60166平方米，一期编制床位600张，实际开放床位550张，总建筑面积59000平方米。二期儿童医院编制</w:t>
      </w:r>
      <w:r>
        <w:rPr>
          <w:rFonts w:hint="eastAsia" w:ascii="宋体" w:hAnsi="宋体" w:eastAsia="宋体" w:cs="宋体"/>
          <w:color w:val="auto"/>
          <w:sz w:val="24"/>
          <w:highlight w:val="none"/>
          <w:lang w:bidi="ar"/>
        </w:rPr>
        <w:t>床位490张，总建筑面积65380平方米。医院设有27个临床保健医技一级科室及19个住院病区。</w:t>
      </w:r>
    </w:p>
    <w:p>
      <w:pPr>
        <w:snapToGrid w:val="0"/>
        <w:spacing w:line="360" w:lineRule="auto"/>
        <w:ind w:firstLine="480" w:firstLineChars="200"/>
        <w:rPr>
          <w:rFonts w:hint="default"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w:t>
      </w:r>
      <w:r>
        <w:rPr>
          <w:rFonts w:hint="eastAsia" w:ascii="宋体" w:hAnsi="宋体" w:eastAsia="宋体" w:cs="宋体"/>
          <w:color w:val="auto"/>
          <w:sz w:val="24"/>
          <w:highlight w:val="none"/>
          <w:lang w:bidi="ar"/>
        </w:rPr>
        <w:t>医院职工总数</w:t>
      </w:r>
      <w:r>
        <w:rPr>
          <w:rFonts w:hint="eastAsia" w:ascii="宋体" w:hAnsi="宋体" w:eastAsia="宋体" w:cs="宋体"/>
          <w:color w:val="auto"/>
          <w:sz w:val="24"/>
          <w:highlight w:val="none"/>
          <w:lang w:val="en-US" w:eastAsia="zh-CN" w:bidi="ar"/>
        </w:rPr>
        <w:t>1400</w:t>
      </w:r>
      <w:r>
        <w:rPr>
          <w:rFonts w:hint="eastAsia" w:ascii="宋体" w:hAnsi="宋体" w:eastAsia="宋体" w:cs="宋体"/>
          <w:color w:val="auto"/>
          <w:sz w:val="24"/>
          <w:highlight w:val="none"/>
          <w:lang w:bidi="ar"/>
        </w:rPr>
        <w:t>余人</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含外包人员350人</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。目前每天在医院就餐职工</w:t>
      </w:r>
      <w:r>
        <w:rPr>
          <w:rFonts w:hint="eastAsia" w:ascii="宋体" w:hAnsi="宋体" w:eastAsia="宋体" w:cs="宋体"/>
          <w:color w:val="auto"/>
          <w:sz w:val="24"/>
          <w:highlight w:val="none"/>
          <w:lang w:val="en-US" w:eastAsia="zh-CN" w:bidi="ar"/>
        </w:rPr>
        <w:t>和</w:t>
      </w:r>
      <w:r>
        <w:rPr>
          <w:rFonts w:hint="eastAsia" w:ascii="宋体" w:hAnsi="宋体" w:eastAsia="宋体" w:cs="宋体"/>
          <w:color w:val="auto"/>
          <w:sz w:val="24"/>
          <w:highlight w:val="none"/>
          <w:lang w:bidi="ar"/>
        </w:rPr>
        <w:t>病员订餐</w:t>
      </w:r>
      <w:r>
        <w:rPr>
          <w:rFonts w:hint="eastAsia" w:ascii="宋体" w:hAnsi="宋体" w:eastAsia="宋体" w:cs="宋体"/>
          <w:color w:val="auto"/>
          <w:sz w:val="24"/>
          <w:highlight w:val="none"/>
          <w:lang w:val="en-US" w:eastAsia="zh-CN" w:bidi="ar"/>
        </w:rPr>
        <w:t>人数由成交供应商须自行调研并考虑报价。</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3、场地：食堂现有场地面积1400㎡，以各供应商实际踏勘的为准。</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4、本项目根据《中华人民共和国食品安全法》(2021年修订)、《中华人民共和国食品卫生法》及其实施条例、《餐饮服务食品安全监督管理办法》及江苏省、南通市有关食堂安全和卫生的相关文件要求实施，如合同履行期间，上述法律、法规及规范等有最新要求时，按最新条款执行，如有不一致时，按最严格条款执行。成交供应商成为采购人食堂餐饮服务的供应商。</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5、采购单位提供现有的房屋、设备设施、餐饮家具、公共餐具等，成交供应商进场后，对现有的房屋、设备设施、餐饮家具、公共餐具等，双方现场进行清点、交接并登记造册。与采购人交接后，因就餐人数增多或遗失、毁损、保管不当等原因由成交供应商自行添置各种设备设施及餐饮家具、公共餐具等。</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6、成交供应商在合同履行期间，必须保证经营管理场所满足消防、卫生、环保等部门而采取安全生产措施、油烟处置措施</w:t>
      </w:r>
      <w:r>
        <w:rPr>
          <w:rFonts w:hint="eastAsia" w:ascii="宋体" w:hAnsi="宋体" w:cs="宋体"/>
          <w:b/>
          <w:bCs/>
          <w:color w:val="auto"/>
          <w:sz w:val="24"/>
          <w:szCs w:val="24"/>
          <w:highlight w:val="none"/>
          <w:lang w:val="en-US" w:eastAsia="zh-CN"/>
        </w:rPr>
        <w:t>（不含采购单位负责的1年4次油烟清洗费）</w:t>
      </w:r>
      <w:r>
        <w:rPr>
          <w:rFonts w:hint="eastAsia" w:ascii="宋体" w:hAnsi="宋体" w:eastAsia="宋体" w:cs="宋体"/>
          <w:color w:val="auto"/>
          <w:sz w:val="24"/>
          <w:highlight w:val="none"/>
          <w:lang w:val="en-US" w:eastAsia="zh-CN" w:bidi="ar"/>
        </w:rPr>
        <w:t>、油水分离措施等各种措施，做到安全生产、排放达标。</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7、采购单位将对本院在岗员工按月发放工作餐补助300元到医院食堂或医院其他经营场所刷卡消费。</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8、合同履行期间，成交供应商不能正常经营或非法超范围经营或因不正当经营造成医院职工和病人意见大、投诉多、或给医院带来其他严重的负面影响和损失的，医院有权单方面提前终止合同。</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9、就餐模式：职工自愿选择就餐，住院病员送餐至床前，送餐员必须统一服饰，着装整洁，年龄不得超过60周岁，具有一定的文化素养。</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10、日常经营均由成交供应商自主经营且自负盈亏，供餐收入为成交供应商的全部流水收入。</w:t>
      </w:r>
    </w:p>
    <w:p>
      <w:pPr>
        <w:pStyle w:val="3"/>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11、主要设备清单（仅供参考，以各供应商实际踏勘的为准）：</w:t>
      </w:r>
    </w:p>
    <w:tbl>
      <w:tblPr>
        <w:tblStyle w:val="51"/>
        <w:tblW w:w="8240" w:type="dxa"/>
        <w:tblInd w:w="5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0"/>
        <w:gridCol w:w="2990"/>
        <w:gridCol w:w="2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资产名称</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型号规格</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入库日期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四层平板货架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1200*500*1600MM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四层平板货架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1200*500*1600MM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四层平板货架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1200*500*1600MM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四层花格货架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1200*500*1600MM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四层花格货架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1200*500*1600MM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四层花格货架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1200*500*1600MM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四层花格货架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1200*500*1600MM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砧板工作台</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1800*750*810MM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砧板工作台</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1800*750*810MM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砧板工作台</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1800*750*810MM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四格保温台</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1500*750*800MM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四格保温台</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1500*750*800MM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四格保温台</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1500*750*800MM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四格保温台</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1500*750*800MM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四格保温台</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1500*750*800MM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饭汤车接驳台</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1500*750*800MM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饭汤车接驳台</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1500*750*800MM</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2014-12-23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送餐车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1050*600*920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送餐车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1050*600*920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送餐车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1050*600*920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一主一付</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2015-12-21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一蒸一炒</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2015-12-21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蒸炉</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双眼</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2015-12-21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餐车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三层</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2016-10-18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切片机</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QX</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2016-10-18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冰箱</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六门</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2016-11-9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冰箱</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六门</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2016-11-9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磨浆机</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DRB50-01B</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2016-12-9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蒸饭车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蒸饭车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保温汤桶车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双斗水池</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1600*800*800加深</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2017-12-11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消毒柜</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2018-7-16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LED显示屏</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室内P4.75单色</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2018-8-10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格力空调</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KFR-120LW</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2018-8-13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送餐车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常规</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送餐车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常规</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餐车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定制900*450*800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2018-9-20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餐车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定制900*450*800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2018-9-20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餐车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定制900*450*800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2018-9-20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餐车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定制900*450*800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2018-9-20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和面机</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HWT50IV</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2019-2-18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双眼大锅灶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Φ800*2</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双眼大锅灶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Φ800*2</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电视机</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65英寸 Pro</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2019-10-17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消毒柜</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双门</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2019-12-16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保温车</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电热双头暖碟车</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2020-1-11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六门冰箱</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1800*760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2020-12-14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六门冰箱</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1800*760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2020-12-14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四门双温冰箱</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1200*700*1950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2021-12-24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6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单炒单温灶</w:t>
            </w:r>
          </w:p>
        </w:tc>
        <w:tc>
          <w:tcPr>
            <w:tcW w:w="29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1000*1000*800</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2021-12-24</w:t>
            </w:r>
          </w:p>
        </w:tc>
      </w:tr>
    </w:tbl>
    <w:p>
      <w:pPr>
        <w:pStyle w:val="4"/>
        <w:rPr>
          <w:rFonts w:hint="default"/>
          <w:color w:val="auto"/>
          <w:highlight w:val="none"/>
          <w:lang w:val="en-US" w:eastAsia="zh-CN"/>
        </w:rPr>
      </w:pPr>
    </w:p>
    <w:p>
      <w:pPr>
        <w:spacing w:line="360" w:lineRule="auto"/>
        <w:ind w:left="-10" w:leftChars="-5" w:firstLine="703" w:firstLineChars="250"/>
        <w:rPr>
          <w:rFonts w:ascii="仿宋" w:hAnsi="仿宋" w:eastAsia="仿宋" w:cs="仿宋"/>
          <w:b/>
          <w:color w:val="auto"/>
          <w:sz w:val="28"/>
          <w:szCs w:val="21"/>
          <w:highlight w:val="none"/>
        </w:rPr>
      </w:pPr>
      <w:r>
        <w:rPr>
          <w:rFonts w:hint="eastAsia" w:ascii="仿宋" w:hAnsi="仿宋" w:eastAsia="仿宋" w:cs="仿宋"/>
          <w:b/>
          <w:color w:val="auto"/>
          <w:sz w:val="28"/>
          <w:szCs w:val="21"/>
          <w:highlight w:val="none"/>
        </w:rPr>
        <w:t>二、服务范围</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南通市妇幼保健院的食堂经营，主要服务范围为：负责为医院职工（含进修实习生）、住院病人及陪伴家属提供（早、午、晚三餐）的集中或预约供餐、配送服务及粮油米面等部分副食品的售卖。</w:t>
      </w:r>
    </w:p>
    <w:p>
      <w:pPr>
        <w:spacing w:line="360" w:lineRule="auto"/>
        <w:ind w:firstLine="562" w:firstLineChars="200"/>
        <w:rPr>
          <w:rFonts w:ascii="仿宋" w:hAnsi="仿宋" w:eastAsia="仿宋" w:cs="仿宋"/>
          <w:b/>
          <w:color w:val="auto"/>
          <w:sz w:val="28"/>
          <w:szCs w:val="24"/>
          <w:highlight w:val="none"/>
        </w:rPr>
      </w:pPr>
      <w:r>
        <w:rPr>
          <w:rFonts w:hint="eastAsia" w:ascii="仿宋" w:hAnsi="仿宋" w:eastAsia="仿宋" w:cs="仿宋"/>
          <w:b/>
          <w:color w:val="auto"/>
          <w:sz w:val="28"/>
          <w:szCs w:val="24"/>
          <w:highlight w:val="none"/>
        </w:rPr>
        <w:t>三、基本要求</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病员普通餐由成交供应商自行制订每周菜谱及单价，院方监督。治疗饮食由营养师制定，根据市场行情确定其套餐价格，成交供应商须按治疗饮食要求严格执行，菜谱由订餐人员下发到病区以及每间病房，供病员参考。</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2、用餐时间：病人常规送餐时间为：早6:30、中11:00、晚17:00，治疗饮食除外，具体时间须根据病情要求。其他人员用餐时间：早餐06:30-08:30，中餐11:00-12:30，晚餐16:30-1</w:t>
      </w:r>
      <w:r>
        <w:rPr>
          <w:rFonts w:hint="eastAsia" w:ascii="宋体" w:hAnsi="宋体" w:cs="宋体"/>
          <w:color w:val="auto"/>
          <w:sz w:val="24"/>
          <w:highlight w:val="none"/>
          <w:lang w:val="en-US" w:eastAsia="zh-CN" w:bidi="ar"/>
        </w:rPr>
        <w:t>9</w:t>
      </w:r>
      <w:r>
        <w:rPr>
          <w:rFonts w:hint="eastAsia" w:ascii="宋体" w:hAnsi="宋体" w:eastAsia="宋体" w:cs="宋体"/>
          <w:color w:val="auto"/>
          <w:sz w:val="24"/>
          <w:highlight w:val="none"/>
          <w:lang w:val="en-US" w:eastAsia="zh-CN" w:bidi="ar"/>
        </w:rPr>
        <w:t>:00</w:t>
      </w:r>
      <w:r>
        <w:rPr>
          <w:rFonts w:hint="eastAsia" w:ascii="宋体" w:hAnsi="宋体" w:cs="宋体"/>
          <w:bCs/>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3、服务内容：为住院病员、病员家属、体检人员、医护员工、专家、进修实习学生、后勤服务公司工人等提供日常三餐饮食、值班餐、治疗饮食、</w:t>
      </w:r>
      <w:r>
        <w:rPr>
          <w:rFonts w:hint="eastAsia" w:ascii="宋体" w:hAnsi="宋体" w:cs="宋体"/>
          <w:bCs/>
          <w:color w:val="auto"/>
          <w:sz w:val="24"/>
          <w:highlight w:val="none"/>
        </w:rPr>
        <w:t>营养餐饮和简餐等</w:t>
      </w:r>
      <w:r>
        <w:rPr>
          <w:rFonts w:hint="eastAsia" w:ascii="宋体" w:hAnsi="宋体" w:eastAsia="宋体" w:cs="宋体"/>
          <w:color w:val="auto"/>
          <w:sz w:val="24"/>
          <w:highlight w:val="none"/>
          <w:lang w:val="en-US" w:eastAsia="zh-CN" w:bidi="ar"/>
        </w:rPr>
        <w:t xml:space="preserve">；为医院公务接待提供桌餐；突发公共卫生事件时特殊单元的送餐；普通病员订餐、配送；特殊病员治疗饮食、营养餐饮制作、配送；窗口零售普通客饭、快餐、面食、小炒、净菜和半成品菜、各类点心等等。早餐点心不少于5种，主食、小菜各不少于3种；午餐、晚餐可选菜肴品种多样化，蒸、炸、煮、卤、炒、溜、炖、煎的菜肴品种齐全，其中：大众餐、简餐不少于50%，油炸食品不得高于20%，做到高、中、低档菜的供应齐全，比例适当：低档菜所占比例为20%-30%；中档菜所占比例为40%-50%；高档菜所占比例为20%-30%；桌餐满足采购单位要求。就餐提供热菜服务及相关保温措施。夏、冬季节必须开放空调；夏秋季开启灭蚊、灭蝇设施。 </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4、服务态度：热情好客，不争吵不打架，积极处理好意见和纠纷，主动提高病员和职工满意度；积极配合相关监管部门工作。</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5、质量要求：</w:t>
      </w:r>
      <w:r>
        <w:rPr>
          <w:rFonts w:hint="eastAsia" w:ascii="宋体" w:hAnsi="宋体" w:eastAsia="宋体" w:cs="宋体"/>
          <w:color w:val="auto"/>
          <w:sz w:val="24"/>
          <w:szCs w:val="24"/>
          <w:highlight w:val="none"/>
        </w:rPr>
        <w:t>饭菜质量好、</w:t>
      </w:r>
      <w:r>
        <w:rPr>
          <w:rFonts w:hint="eastAsia" w:ascii="宋体" w:hAnsi="宋体" w:cs="宋体"/>
          <w:bCs/>
          <w:color w:val="auto"/>
          <w:sz w:val="24"/>
          <w:highlight w:val="none"/>
        </w:rPr>
        <w:t>分量准确</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软硬适度</w:t>
      </w:r>
      <w:r>
        <w:rPr>
          <w:rFonts w:hint="eastAsia" w:ascii="宋体" w:hAnsi="宋体" w:cs="宋体"/>
          <w:bCs/>
          <w:color w:val="auto"/>
          <w:sz w:val="24"/>
          <w:highlight w:val="none"/>
          <w:lang w:eastAsia="zh-CN"/>
        </w:rPr>
        <w:t>、</w:t>
      </w:r>
      <w:r>
        <w:rPr>
          <w:rFonts w:hint="eastAsia" w:ascii="宋体" w:hAnsi="宋体" w:eastAsia="宋体" w:cs="宋体"/>
          <w:color w:val="auto"/>
          <w:sz w:val="24"/>
          <w:szCs w:val="24"/>
          <w:highlight w:val="none"/>
        </w:rPr>
        <w:t>色香味俱佳、花色品种齐全，冬季有保温措施，严禁经营过期、变质、三无食品。原材料进货渠道正规，供应商证件齐全，</w:t>
      </w:r>
      <w:r>
        <w:rPr>
          <w:rFonts w:hint="eastAsia" w:ascii="宋体" w:hAnsi="宋体" w:eastAsia="宋体" w:cs="宋体"/>
          <w:color w:val="auto"/>
          <w:sz w:val="24"/>
          <w:szCs w:val="24"/>
          <w:highlight w:val="none"/>
          <w:lang w:val="en-US" w:eastAsia="zh-CN"/>
        </w:rPr>
        <w:t>采购单位</w:t>
      </w:r>
      <w:r>
        <w:rPr>
          <w:rFonts w:hint="eastAsia" w:ascii="宋体" w:hAnsi="宋体" w:eastAsia="宋体" w:cs="宋体"/>
          <w:color w:val="auto"/>
          <w:sz w:val="24"/>
          <w:szCs w:val="24"/>
          <w:highlight w:val="none"/>
        </w:rPr>
        <w:t>监管。</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6、环境卫生要求：保障环境整洁、货物堆放整齐、设施设备卫生，做好每日、每周和每月定期环境卫生，分区责任明确，台账资料齐全，满足上级监督部门规定要求和符合三甲医院标准（见合同条款附件1：等级医院检查标准）。</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7、价格要求：</w:t>
      </w:r>
      <w:r>
        <w:rPr>
          <w:rFonts w:hint="eastAsia" w:ascii="宋体" w:hAnsi="宋体" w:cs="宋体"/>
          <w:bCs/>
          <w:color w:val="auto"/>
          <w:sz w:val="24"/>
          <w:highlight w:val="none"/>
        </w:rPr>
        <w:t>严格按照规定合理定价，价格须经过</w:t>
      </w:r>
      <w:r>
        <w:rPr>
          <w:rFonts w:hint="eastAsia" w:ascii="宋体" w:hAnsi="宋体" w:cs="宋体"/>
          <w:bCs/>
          <w:color w:val="auto"/>
          <w:sz w:val="24"/>
          <w:highlight w:val="none"/>
          <w:lang w:val="en-US" w:eastAsia="zh-CN"/>
        </w:rPr>
        <w:t>采购单位</w:t>
      </w:r>
      <w:r>
        <w:rPr>
          <w:rFonts w:hint="eastAsia" w:ascii="宋体" w:hAnsi="宋体" w:cs="宋体"/>
          <w:bCs/>
          <w:color w:val="auto"/>
          <w:sz w:val="24"/>
          <w:highlight w:val="none"/>
        </w:rPr>
        <w:t>确认后（食堂须提前一周将菜谱组成结构和其价格提供给院方审核）公示，各相对独立区域有每月的菜单价格公示，明码标价，坚持以保证职工和患者</w:t>
      </w:r>
      <w:r>
        <w:rPr>
          <w:rFonts w:hint="eastAsia" w:ascii="宋体" w:hAnsi="宋体" w:eastAsia="宋体" w:cs="宋体"/>
          <w:bCs/>
          <w:color w:val="auto"/>
          <w:sz w:val="24"/>
          <w:highlight w:val="none"/>
        </w:rPr>
        <w:t>的微盈利为原</w:t>
      </w:r>
      <w:r>
        <w:rPr>
          <w:rFonts w:hint="eastAsia" w:ascii="宋体" w:hAnsi="宋体" w:cs="宋体"/>
          <w:bCs/>
          <w:color w:val="auto"/>
          <w:sz w:val="24"/>
          <w:highlight w:val="none"/>
        </w:rPr>
        <w:t>则，不得暴利定价，自觉接受监督。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en-US" w:eastAsia="zh-CN" w:bidi="ar"/>
        </w:rPr>
        <w:t>8、满意度要求：</w:t>
      </w:r>
      <w:r>
        <w:rPr>
          <w:rFonts w:hint="eastAsia" w:ascii="宋体" w:hAnsi="宋体" w:eastAsia="宋体" w:cs="宋体"/>
          <w:color w:val="auto"/>
          <w:sz w:val="24"/>
          <w:szCs w:val="24"/>
          <w:highlight w:val="none"/>
        </w:rPr>
        <w:t>委托经营3个月后不得低于市卫健委委托第三方调查中的平均水平</w:t>
      </w:r>
      <w:r>
        <w:rPr>
          <w:rFonts w:hint="eastAsia" w:ascii="宋体" w:hAnsi="宋体" w:cs="宋体"/>
          <w:bCs/>
          <w:color w:val="auto"/>
          <w:sz w:val="24"/>
          <w:highlight w:val="none"/>
        </w:rPr>
        <w:t>，一旦低于平均水平将给予相应</w:t>
      </w:r>
      <w:r>
        <w:rPr>
          <w:rFonts w:hint="eastAsia" w:ascii="宋体" w:hAnsi="宋体" w:cs="宋体"/>
          <w:bCs/>
          <w:color w:val="auto"/>
          <w:sz w:val="24"/>
          <w:highlight w:val="none"/>
          <w:lang w:val="en-US" w:eastAsia="zh-CN"/>
        </w:rPr>
        <w:t>的违约金处理</w:t>
      </w:r>
      <w:r>
        <w:rPr>
          <w:rFonts w:hint="eastAsia" w:ascii="宋体" w:hAnsi="宋体" w:cs="宋体"/>
          <w:bCs/>
          <w:color w:val="auto"/>
          <w:sz w:val="24"/>
          <w:highlight w:val="none"/>
        </w:rPr>
        <w:t>；治疗饮食就餐率达100%；院内考核达85分</w:t>
      </w:r>
      <w:r>
        <w:rPr>
          <w:rFonts w:hint="eastAsia" w:ascii="宋体" w:hAnsi="宋体" w:cs="宋体"/>
          <w:bCs/>
          <w:color w:val="auto"/>
          <w:sz w:val="24"/>
          <w:highlight w:val="none"/>
          <w:lang w:eastAsia="zh-CN"/>
        </w:rPr>
        <w:t>。</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9、安全要求：所有菜品必须按规定留样，不得发生食物中毒事件、违法刑事犯罪事件、火灾事故以及其它重大安全生产事故。</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10、成交供应商能够按照医院要求提供专业化的管理、规范化的操作，为采购单位食堂加工饭菜等工作提供服务，并对食堂食品安全卫生负责，不断提高职工和住院患者就餐满意度。</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11、供应商在本食堂工作的所有人员必须持有健康证，管理人员及厨师持有相应等级证书。供应商为用人单位，食堂工作的所有人员与医院不存在雇佣等劳动关系。</w:t>
      </w:r>
    </w:p>
    <w:p>
      <w:pPr>
        <w:spacing w:line="360" w:lineRule="auto"/>
        <w:ind w:firstLine="562" w:firstLineChars="200"/>
        <w:rPr>
          <w:rFonts w:hint="eastAsia" w:ascii="仿宋" w:hAnsi="仿宋" w:eastAsia="仿宋" w:cs="仿宋"/>
          <w:b/>
          <w:color w:val="auto"/>
          <w:sz w:val="28"/>
          <w:szCs w:val="24"/>
          <w:highlight w:val="none"/>
        </w:rPr>
      </w:pPr>
      <w:r>
        <w:rPr>
          <w:rFonts w:hint="eastAsia" w:ascii="仿宋" w:hAnsi="仿宋" w:eastAsia="仿宋" w:cs="仿宋"/>
          <w:b/>
          <w:color w:val="auto"/>
          <w:sz w:val="28"/>
          <w:szCs w:val="21"/>
          <w:highlight w:val="none"/>
        </w:rPr>
        <w:t>四、服务</w:t>
      </w:r>
      <w:r>
        <w:rPr>
          <w:rFonts w:hint="eastAsia" w:ascii="仿宋" w:hAnsi="仿宋" w:eastAsia="仿宋" w:cs="仿宋"/>
          <w:b/>
          <w:color w:val="auto"/>
          <w:sz w:val="28"/>
          <w:szCs w:val="24"/>
          <w:highlight w:val="none"/>
        </w:rPr>
        <w:t>期限</w:t>
      </w:r>
    </w:p>
    <w:p>
      <w:pPr>
        <w:pStyle w:val="2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本项目试用期三个月，试用期</w:t>
      </w:r>
      <w:r>
        <w:rPr>
          <w:rFonts w:hint="eastAsia" w:ascii="宋体" w:hAnsi="宋体" w:cs="宋体"/>
          <w:color w:val="auto"/>
          <w:sz w:val="24"/>
          <w:szCs w:val="24"/>
          <w:highlight w:val="none"/>
          <w:lang w:val="en-US" w:eastAsia="zh-CN"/>
        </w:rPr>
        <w:t>内需</w:t>
      </w:r>
      <w:r>
        <w:rPr>
          <w:rFonts w:hint="eastAsia" w:ascii="宋体" w:hAnsi="宋体" w:eastAsia="宋体" w:cs="宋体"/>
          <w:color w:val="auto"/>
          <w:sz w:val="24"/>
          <w:szCs w:val="24"/>
          <w:highlight w:val="none"/>
          <w:lang w:val="en-US" w:eastAsia="zh-CN"/>
        </w:rPr>
        <w:t>经采购单位考核</w:t>
      </w: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每月考核分均≧90分）</w:t>
      </w:r>
      <w:r>
        <w:rPr>
          <w:rFonts w:hint="eastAsia" w:ascii="宋体" w:hAnsi="宋体" w:cs="宋体"/>
          <w:color w:val="auto"/>
          <w:sz w:val="24"/>
          <w:szCs w:val="24"/>
          <w:highlight w:val="none"/>
          <w:lang w:val="en-US" w:eastAsia="zh-CN"/>
        </w:rPr>
        <w:t>方可继续履行合同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一年合同期满时，且采购单位、成交供应商双方愿意，成交供应商承诺不</w:t>
      </w:r>
      <w:r>
        <w:rPr>
          <w:rFonts w:hint="eastAsia" w:ascii="宋体" w:hAnsi="宋体" w:cs="宋体"/>
          <w:color w:val="auto"/>
          <w:sz w:val="24"/>
          <w:szCs w:val="24"/>
          <w:highlight w:val="none"/>
          <w:lang w:val="en-US" w:eastAsia="zh-CN"/>
        </w:rPr>
        <w:t>减少租金和</w:t>
      </w:r>
      <w:r>
        <w:rPr>
          <w:rFonts w:hint="eastAsia" w:ascii="宋体" w:hAnsi="宋体" w:eastAsia="宋体" w:cs="宋体"/>
          <w:color w:val="auto"/>
          <w:sz w:val="24"/>
          <w:szCs w:val="24"/>
          <w:highlight w:val="none"/>
          <w:lang w:val="en-US" w:eastAsia="zh-CN"/>
        </w:rPr>
        <w:t>每月考核分均≧90分</w:t>
      </w:r>
      <w:r>
        <w:rPr>
          <w:rFonts w:hint="eastAsia" w:ascii="宋体" w:hAnsi="宋体" w:cs="宋体"/>
          <w:color w:val="auto"/>
          <w:sz w:val="24"/>
          <w:szCs w:val="24"/>
          <w:highlight w:val="none"/>
        </w:rPr>
        <w:t>的前提下，双方可续签下一年度合同，但最多续签两次。</w:t>
      </w:r>
    </w:p>
    <w:p>
      <w:pPr>
        <w:pStyle w:val="20"/>
        <w:snapToGrid w:val="0"/>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4"/>
          <w:highlight w:val="none"/>
          <w:lang w:val="en-US" w:eastAsia="zh-CN"/>
        </w:rPr>
        <w:t>五、</w:t>
      </w:r>
      <w:r>
        <w:rPr>
          <w:rFonts w:hint="eastAsia" w:ascii="仿宋" w:hAnsi="仿宋" w:eastAsia="仿宋" w:cs="仿宋"/>
          <w:b/>
          <w:color w:val="auto"/>
          <w:sz w:val="28"/>
          <w:szCs w:val="28"/>
          <w:highlight w:val="none"/>
        </w:rPr>
        <w:t>其他</w:t>
      </w:r>
    </w:p>
    <w:p>
      <w:pPr>
        <w:autoSpaceDE w:val="0"/>
        <w:autoSpaceDN w:val="0"/>
        <w:adjustRightInd w:val="0"/>
        <w:snapToGrid w:val="0"/>
        <w:spacing w:line="360" w:lineRule="auto"/>
        <w:jc w:val="left"/>
        <w:rPr>
          <w:color w:val="auto"/>
          <w:highlight w:val="none"/>
        </w:rPr>
      </w:pPr>
      <w:r>
        <w:rPr>
          <w:rFonts w:hint="eastAsia" w:ascii="宋体" w:hAnsi="宋体" w:cs="宋体"/>
          <w:color w:val="auto"/>
          <w:kern w:val="0"/>
          <w:sz w:val="28"/>
          <w:szCs w:val="28"/>
          <w:highlight w:val="none"/>
          <w:shd w:val="clear" w:color="auto" w:fill="FFFFFF"/>
        </w:rPr>
        <w:t xml:space="preserve">  </w:t>
      </w:r>
      <w:r>
        <w:rPr>
          <w:rFonts w:hint="eastAsia"/>
          <w:color w:val="auto"/>
          <w:sz w:val="24"/>
          <w:szCs w:val="24"/>
          <w:highlight w:val="none"/>
        </w:rPr>
        <w:t xml:space="preserve"> 其他未尽事宜按</w:t>
      </w:r>
      <w:r>
        <w:rPr>
          <w:rFonts w:hint="eastAsia"/>
          <w:color w:val="auto"/>
          <w:sz w:val="24"/>
          <w:szCs w:val="24"/>
          <w:highlight w:val="none"/>
          <w:lang w:val="en-US" w:eastAsia="zh-CN"/>
        </w:rPr>
        <w:t>合同文件及</w:t>
      </w:r>
      <w:r>
        <w:rPr>
          <w:rFonts w:hint="eastAsia"/>
          <w:color w:val="auto"/>
          <w:sz w:val="24"/>
          <w:szCs w:val="24"/>
          <w:highlight w:val="none"/>
        </w:rPr>
        <w:t>相关规定执行。如磋商文件或合同文件</w:t>
      </w:r>
      <w:r>
        <w:rPr>
          <w:rFonts w:hint="eastAsia"/>
          <w:color w:val="auto"/>
          <w:sz w:val="24"/>
          <w:szCs w:val="24"/>
          <w:highlight w:val="none"/>
          <w:lang w:val="en-US" w:eastAsia="zh-CN"/>
        </w:rPr>
        <w:t>均</w:t>
      </w:r>
      <w:r>
        <w:rPr>
          <w:rFonts w:hint="eastAsia"/>
          <w:color w:val="auto"/>
          <w:sz w:val="24"/>
          <w:szCs w:val="24"/>
          <w:highlight w:val="none"/>
        </w:rPr>
        <w:t>未提及，则由双方协商解决处理。</w:t>
      </w:r>
    </w:p>
    <w:p>
      <w:pPr>
        <w:spacing w:line="460" w:lineRule="exact"/>
        <w:jc w:val="center"/>
        <w:rPr>
          <w:rFonts w:ascii="宋体"/>
          <w:color w:val="auto"/>
          <w:kern w:val="0"/>
          <w:sz w:val="32"/>
          <w:szCs w:val="32"/>
          <w:highlight w:val="none"/>
        </w:rPr>
      </w:pPr>
      <w:r>
        <w:rPr>
          <w:rFonts w:hint="eastAsia" w:ascii="宋体" w:hAnsi="宋体" w:cs="宋体"/>
          <w:b/>
          <w:bCs/>
          <w:color w:val="auto"/>
          <w:w w:val="80"/>
          <w:sz w:val="44"/>
          <w:szCs w:val="44"/>
          <w:highlight w:val="none"/>
        </w:rPr>
        <w:br w:type="page"/>
      </w:r>
      <w:r>
        <w:rPr>
          <w:rFonts w:hint="eastAsia" w:ascii="宋体" w:hAnsi="宋体" w:cs="宋体"/>
          <w:b/>
          <w:bCs/>
          <w:color w:val="auto"/>
          <w:w w:val="80"/>
          <w:sz w:val="44"/>
          <w:szCs w:val="44"/>
          <w:highlight w:val="none"/>
        </w:rPr>
        <w:t>第四章</w:t>
      </w:r>
      <w:bookmarkEnd w:id="33"/>
      <w:bookmarkEnd w:id="34"/>
      <w:bookmarkEnd w:id="35"/>
      <w:bookmarkEnd w:id="36"/>
      <w:bookmarkEnd w:id="37"/>
      <w:bookmarkEnd w:id="38"/>
      <w:bookmarkEnd w:id="39"/>
      <w:bookmarkEnd w:id="40"/>
      <w:bookmarkEnd w:id="41"/>
      <w:bookmarkEnd w:id="42"/>
      <w:bookmarkEnd w:id="43"/>
      <w:bookmarkStart w:id="45" w:name="_Toc85627670"/>
      <w:bookmarkStart w:id="46" w:name="_Toc182848996"/>
      <w:bookmarkStart w:id="47" w:name="_Toc43217893"/>
      <w:bookmarkStart w:id="48" w:name="_Toc38121794"/>
      <w:bookmarkStart w:id="49" w:name="_Toc37322565"/>
      <w:bookmarkStart w:id="50" w:name="_Toc94544873"/>
      <w:bookmarkStart w:id="51" w:name="_Toc8895742"/>
      <w:bookmarkStart w:id="52" w:name="_Toc12670506"/>
      <w:bookmarkStart w:id="53" w:name="_Toc13803484"/>
      <w:bookmarkStart w:id="54" w:name="_Toc11499587"/>
      <w:bookmarkStart w:id="55" w:name="_Toc11554642"/>
      <w:bookmarkStart w:id="56" w:name="_Toc11500283"/>
      <w:bookmarkStart w:id="57" w:name="_Toc94544747"/>
      <w:r>
        <w:rPr>
          <w:rFonts w:hint="eastAsia" w:ascii="宋体" w:hAnsi="宋体" w:cs="宋体"/>
          <w:b/>
          <w:bCs/>
          <w:color w:val="auto"/>
          <w:w w:val="80"/>
          <w:sz w:val="44"/>
          <w:szCs w:val="44"/>
          <w:highlight w:val="none"/>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color w:val="auto"/>
          <w:sz w:val="24"/>
          <w:szCs w:val="24"/>
          <w:highlight w:val="none"/>
        </w:rPr>
      </w:pPr>
      <w:bookmarkStart w:id="58" w:name="_Toc363573857"/>
      <w:bookmarkEnd w:id="58"/>
    </w:p>
    <w:p>
      <w:pPr>
        <w:snapToGrid w:val="0"/>
        <w:spacing w:line="360" w:lineRule="auto"/>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一、代理机构组织磋商</w:t>
      </w:r>
    </w:p>
    <w:p>
      <w:pPr>
        <w:snapToGrid w:val="0"/>
        <w:spacing w:line="360" w:lineRule="auto"/>
        <w:ind w:firstLine="480"/>
        <w:rPr>
          <w:rFonts w:hint="eastAsia"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、本次竞争性磋商依据《中华人民共和国政府采购法》、《政府采购竞争性磋商采购方式管理暂行办法》及有关法规成立磋商小组。磋商小组由评审专家共3人组成。</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、磋商小组的职责：</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）磋商小组成员在评审过程中发现供应商有行贿、提供虚假材料或者串通等违法行为的，应当及时向财政部门报告</w:t>
      </w:r>
      <w:r>
        <w:rPr>
          <w:rFonts w:ascii="宋体" w:cs="宋体"/>
          <w:color w:val="auto"/>
          <w:sz w:val="24"/>
          <w:szCs w:val="24"/>
          <w:highlight w:val="none"/>
        </w:rPr>
        <w:t>,</w:t>
      </w:r>
      <w:r>
        <w:rPr>
          <w:rFonts w:hint="eastAsia" w:ascii="宋体" w:hAnsi="宋体" w:cs="宋体"/>
          <w:color w:val="auto"/>
          <w:sz w:val="24"/>
          <w:szCs w:val="24"/>
          <w:highlight w:val="none"/>
        </w:rPr>
        <w:t>并建议将其列入政府采购黑名单。</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）磋商小组成员在评审过程中受到非法干涉的，应当及时向财政、监察等部门举报。</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）配合采购单位答复供应商提出的质疑；配合财政部门的投诉处理和监督检查工作。</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、评审有关记录由磋商小组成员签名，存档备查。</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、供应商的法定代表人或被授权人须持身份证准时参加磋商会。</w:t>
      </w:r>
    </w:p>
    <w:p>
      <w:pPr>
        <w:snapToGrid w:val="0"/>
        <w:spacing w:line="360" w:lineRule="auto"/>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二、磋商的原则及方法</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磋商小组将按照竞争性磋商文件的规定，独立对每个进入打分程序的有效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、磋商小组所有成员应当集中与单一供应商分别进行磋商，并给予所有参加磋商的供应商平等的磋商机会。</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、除非在磋商中磋商小组对采购单位需求内容作了调整增加，或对采购内容作了实质性变更，否则</w:t>
      </w:r>
      <w:r>
        <w:rPr>
          <w:rFonts w:hint="eastAsia" w:ascii="宋体" w:hAnsi="宋体" w:cs="宋体"/>
          <w:b/>
          <w:bCs/>
          <w:color w:val="auto"/>
          <w:sz w:val="24"/>
          <w:szCs w:val="24"/>
          <w:highlight w:val="none"/>
        </w:rPr>
        <w:t>采购单位不接受供应商</w:t>
      </w:r>
      <w:r>
        <w:rPr>
          <w:rFonts w:hint="eastAsia" w:ascii="宋体" w:hAnsi="宋体" w:cs="宋体"/>
          <w:b/>
          <w:bCs/>
          <w:color w:val="auto"/>
          <w:sz w:val="24"/>
          <w:szCs w:val="24"/>
          <w:highlight w:val="none"/>
          <w:lang w:val="en-US" w:eastAsia="zh-CN"/>
        </w:rPr>
        <w:t>低</w:t>
      </w:r>
      <w:r>
        <w:rPr>
          <w:rFonts w:hint="eastAsia" w:ascii="宋体" w:hAnsi="宋体" w:cs="宋体"/>
          <w:b/>
          <w:bCs/>
          <w:color w:val="auto"/>
          <w:sz w:val="24"/>
          <w:szCs w:val="24"/>
          <w:highlight w:val="none"/>
        </w:rPr>
        <w:t>于自己前一轮的磋商报价</w:t>
      </w:r>
      <w:r>
        <w:rPr>
          <w:rFonts w:hint="eastAsia" w:ascii="宋体" w:hAnsi="宋体" w:cs="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ascii="宋体" w:cs="宋体"/>
          <w:color w:val="auto"/>
          <w:sz w:val="24"/>
          <w:szCs w:val="24"/>
          <w:highlight w:val="none"/>
        </w:rPr>
        <w:t>0</w:t>
      </w:r>
      <w:r>
        <w:rPr>
          <w:rFonts w:hint="eastAsia" w:ascii="宋体" w:hAnsi="宋体" w:cs="宋体"/>
          <w:color w:val="auto"/>
          <w:sz w:val="24"/>
          <w:szCs w:val="24"/>
          <w:highlight w:val="none"/>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、在磋商中，磋商的任何一方不得透露与磋商有关的其他响应磋商的供应商的技术资料、价格及其他信息。</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、在磋商评审过程中，磋商小组发现供应商的报价明显</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widowControl/>
        <w:spacing w:line="360" w:lineRule="auto"/>
        <w:ind w:firstLine="480" w:firstLineChars="200"/>
        <w:outlineLvl w:val="1"/>
        <w:rPr>
          <w:rFonts w:ascii="宋体" w:hAnsi="宋体" w:cs="宋体"/>
          <w:color w:val="auto"/>
          <w:sz w:val="24"/>
          <w:szCs w:val="24"/>
          <w:highlight w:val="none"/>
        </w:rPr>
      </w:pPr>
      <w:r>
        <w:rPr>
          <w:rFonts w:hint="eastAsia" w:ascii="宋体" w:hAnsi="宋体" w:cs="宋体"/>
          <w:color w:val="auto"/>
          <w:sz w:val="24"/>
          <w:szCs w:val="24"/>
          <w:highlight w:val="none"/>
        </w:rPr>
        <w:t>14、根据《财政部关于政府采购竞争性磋商采购方式管理暂行办法有关问题的补充通知》（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pPr>
        <w:snapToGrid w:val="0"/>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三、评估步骤</w:t>
      </w:r>
    </w:p>
    <w:p>
      <w:pPr>
        <w:snapToGrid w:val="0"/>
        <w:spacing w:line="360" w:lineRule="auto"/>
        <w:ind w:firstLine="482" w:firstLineChars="200"/>
        <w:rPr>
          <w:rFonts w:asci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、评估步骤规定：</w:t>
      </w:r>
    </w:p>
    <w:p>
      <w:pPr>
        <w:snapToGrid w:val="0"/>
        <w:spacing w:line="360" w:lineRule="auto"/>
        <w:ind w:firstLine="482" w:firstLineChars="200"/>
        <w:rPr>
          <w:rFonts w:ascii="宋体"/>
          <w:b/>
          <w:bCs/>
          <w:color w:val="auto"/>
          <w:sz w:val="24"/>
          <w:szCs w:val="24"/>
          <w:highlight w:val="none"/>
          <w:lang w:val="zh-CN"/>
        </w:rPr>
      </w:pPr>
      <w:r>
        <w:rPr>
          <w:rFonts w:hint="eastAsia" w:ascii="宋体" w:hAnsi="宋体" w:cs="宋体"/>
          <w:b/>
          <w:bCs/>
          <w:color w:val="auto"/>
          <w:sz w:val="24"/>
          <w:szCs w:val="24"/>
          <w:highlight w:val="none"/>
          <w:lang w:val="zh-CN"/>
        </w:rPr>
        <w:t>本次资格审查采用资格后审，各供应商资格审查通过后方能进入技术响应文件的评审。先开技术响应文件，技术响应文件打分结束后再开商务报价响应文件。</w:t>
      </w:r>
    </w:p>
    <w:p>
      <w:pPr>
        <w:snapToGrid w:val="0"/>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第一阶段：</w:t>
      </w:r>
      <w:r>
        <w:rPr>
          <w:rFonts w:hint="eastAsia" w:ascii="宋体" w:hAnsi="宋体" w:cs="宋体"/>
          <w:color w:val="auto"/>
          <w:sz w:val="24"/>
          <w:szCs w:val="24"/>
          <w:highlight w:val="none"/>
        </w:rPr>
        <w:t>磋商小组</w:t>
      </w:r>
      <w:r>
        <w:rPr>
          <w:rFonts w:hint="eastAsia" w:ascii="宋体" w:hAnsi="宋体" w:cs="宋体"/>
          <w:color w:val="auto"/>
          <w:sz w:val="24"/>
          <w:szCs w:val="24"/>
          <w:highlight w:val="none"/>
          <w:lang w:val="zh-CN"/>
        </w:rPr>
        <w:t>对每个供应商的资格进行审查。</w:t>
      </w:r>
    </w:p>
    <w:p>
      <w:pPr>
        <w:snapToGrid w:val="0"/>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第二阶段：</w:t>
      </w:r>
      <w:r>
        <w:rPr>
          <w:rFonts w:hint="eastAsia" w:ascii="宋体" w:hAnsi="宋体" w:cs="宋体"/>
          <w:color w:val="auto"/>
          <w:sz w:val="24"/>
          <w:szCs w:val="24"/>
          <w:highlight w:val="none"/>
        </w:rPr>
        <w:t>磋商小组</w:t>
      </w:r>
      <w:r>
        <w:rPr>
          <w:rFonts w:hint="eastAsia" w:ascii="宋体" w:hAnsi="宋体" w:cs="宋体"/>
          <w:color w:val="auto"/>
          <w:sz w:val="24"/>
          <w:szCs w:val="24"/>
          <w:highlight w:val="none"/>
          <w:lang w:val="zh-CN"/>
        </w:rPr>
        <w:t>对每个符合资格要求的供应商的技术响应文件进行</w:t>
      </w:r>
      <w:r>
        <w:rPr>
          <w:rFonts w:hint="eastAsia" w:ascii="宋体" w:hAnsi="宋体" w:cs="宋体"/>
          <w:color w:val="auto"/>
          <w:sz w:val="24"/>
          <w:szCs w:val="24"/>
          <w:highlight w:val="none"/>
        </w:rPr>
        <w:t>评估</w:t>
      </w:r>
      <w:r>
        <w:rPr>
          <w:rFonts w:hint="eastAsia" w:ascii="宋体" w:hAnsi="宋体" w:cs="宋体"/>
          <w:color w:val="auto"/>
          <w:sz w:val="24"/>
          <w:szCs w:val="24"/>
          <w:highlight w:val="none"/>
          <w:lang w:val="zh-CN"/>
        </w:rPr>
        <w:t>。主要审查技术响应文件提交的内容是否齐全，技术方案及项目实施是否完全满足采购文件的要求。</w:t>
      </w:r>
      <w:r>
        <w:rPr>
          <w:rFonts w:hint="eastAsia" w:ascii="宋体" w:hAnsi="宋体" w:cs="宋体"/>
          <w:color w:val="auto"/>
          <w:sz w:val="24"/>
          <w:szCs w:val="24"/>
          <w:highlight w:val="none"/>
        </w:rPr>
        <w:t>磋商小组严格按照磋商文件的要求、条件、评分标准，对供应商所提供服务</w:t>
      </w:r>
      <w:r>
        <w:rPr>
          <w:rFonts w:hint="eastAsia" w:ascii="宋体" w:hAnsi="宋体" w:cs="宋体"/>
          <w:color w:val="auto"/>
          <w:sz w:val="24"/>
          <w:szCs w:val="24"/>
          <w:highlight w:val="none"/>
          <w:lang w:val="en-US" w:eastAsia="zh-CN"/>
        </w:rPr>
        <w:t>方案</w:t>
      </w:r>
      <w:r>
        <w:rPr>
          <w:rFonts w:hint="eastAsia" w:ascii="宋体" w:hAnsi="宋体" w:cs="宋体"/>
          <w:color w:val="auto"/>
          <w:sz w:val="24"/>
          <w:szCs w:val="24"/>
          <w:highlight w:val="none"/>
        </w:rPr>
        <w:t>的先进性、可靠性、服务承诺、质量保证承诺等实质性响应内容进行比较。</w:t>
      </w:r>
    </w:p>
    <w:p>
      <w:pPr>
        <w:snapToGrid w:val="0"/>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第三阶段：以供应商商务报价响应文件内的</w:t>
      </w:r>
      <w:r>
        <w:rPr>
          <w:rFonts w:hint="eastAsia" w:ascii="宋体" w:hAnsi="宋体" w:cs="宋体"/>
          <w:color w:val="auto"/>
          <w:sz w:val="24"/>
          <w:szCs w:val="24"/>
          <w:highlight w:val="none"/>
        </w:rPr>
        <w:t>竞争性磋商</w:t>
      </w:r>
      <w:r>
        <w:rPr>
          <w:rFonts w:hint="eastAsia" w:ascii="宋体" w:hAnsi="宋体" w:cs="宋体"/>
          <w:color w:val="auto"/>
          <w:sz w:val="24"/>
          <w:szCs w:val="24"/>
          <w:highlight w:val="none"/>
          <w:lang w:val="zh-CN"/>
        </w:rPr>
        <w:t>报价（即首次报价）为基础，</w:t>
      </w:r>
      <w:r>
        <w:rPr>
          <w:rFonts w:hint="eastAsia" w:ascii="宋体" w:hAnsi="宋体" w:cs="宋体"/>
          <w:color w:val="auto"/>
          <w:sz w:val="24"/>
          <w:szCs w:val="24"/>
          <w:highlight w:val="none"/>
        </w:rPr>
        <w:t>磋商小组与</w:t>
      </w:r>
      <w:r>
        <w:rPr>
          <w:rFonts w:hint="eastAsia" w:ascii="宋体" w:hAnsi="宋体" w:cs="宋体"/>
          <w:color w:val="auto"/>
          <w:sz w:val="24"/>
          <w:szCs w:val="24"/>
          <w:highlight w:val="none"/>
          <w:lang w:val="zh-CN"/>
        </w:rPr>
        <w:t>供应商单一分别进行</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：内容主要是对</w:t>
      </w:r>
      <w:r>
        <w:rPr>
          <w:rFonts w:hint="eastAsia" w:ascii="宋体" w:hAnsi="宋体" w:cs="宋体"/>
          <w:color w:val="auto"/>
          <w:sz w:val="24"/>
          <w:szCs w:val="24"/>
          <w:highlight w:val="none"/>
        </w:rPr>
        <w:t>竞争性磋商</w:t>
      </w:r>
      <w:r>
        <w:rPr>
          <w:rFonts w:hint="eastAsia" w:ascii="宋体" w:hAnsi="宋体" w:cs="宋体"/>
          <w:color w:val="auto"/>
          <w:sz w:val="24"/>
          <w:szCs w:val="24"/>
          <w:highlight w:val="none"/>
          <w:lang w:val="zh-CN"/>
        </w:rPr>
        <w:t>响应文件中的项目方案的澄清、修正、补充、确认以及价格调整等。如</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内容导致</w:t>
      </w:r>
      <w:r>
        <w:rPr>
          <w:rFonts w:hint="eastAsia" w:ascii="宋体" w:hAnsi="宋体" w:cs="宋体"/>
          <w:color w:val="auto"/>
          <w:sz w:val="24"/>
          <w:szCs w:val="24"/>
          <w:highlight w:val="none"/>
        </w:rPr>
        <w:t>竞争性磋商</w:t>
      </w:r>
      <w:r>
        <w:rPr>
          <w:rFonts w:hint="eastAsia" w:ascii="宋体" w:hAnsi="宋体" w:cs="宋体"/>
          <w:color w:val="auto"/>
          <w:sz w:val="24"/>
          <w:szCs w:val="24"/>
          <w:highlight w:val="none"/>
          <w:lang w:val="zh-CN"/>
        </w:rPr>
        <w:t>文件有实质性变动的，</w:t>
      </w:r>
      <w:r>
        <w:rPr>
          <w:rFonts w:hint="eastAsia" w:ascii="宋体" w:hAnsi="宋体" w:cs="宋体"/>
          <w:color w:val="auto"/>
          <w:sz w:val="24"/>
          <w:szCs w:val="24"/>
          <w:highlight w:val="none"/>
        </w:rPr>
        <w:t>磋商小组</w:t>
      </w:r>
      <w:r>
        <w:rPr>
          <w:rFonts w:hint="eastAsia" w:ascii="宋体" w:hAnsi="宋体" w:cs="宋体"/>
          <w:color w:val="auto"/>
          <w:sz w:val="24"/>
          <w:szCs w:val="24"/>
          <w:highlight w:val="none"/>
          <w:lang w:val="zh-CN"/>
        </w:rPr>
        <w:t>应当以书面形式通知所有供应商。</w:t>
      </w:r>
    </w:p>
    <w:p>
      <w:pPr>
        <w:snapToGrid w:val="0"/>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第四阶段：单一分别</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结束后，</w:t>
      </w:r>
      <w:r>
        <w:rPr>
          <w:rFonts w:hint="eastAsia" w:ascii="宋体" w:hAnsi="宋体" w:cs="宋体"/>
          <w:color w:val="auto"/>
          <w:sz w:val="24"/>
          <w:szCs w:val="24"/>
          <w:highlight w:val="none"/>
        </w:rPr>
        <w:t>磋商小组</w:t>
      </w:r>
      <w:r>
        <w:rPr>
          <w:rFonts w:hint="eastAsia" w:ascii="宋体" w:hAnsi="宋体" w:cs="宋体"/>
          <w:color w:val="auto"/>
          <w:sz w:val="24"/>
          <w:szCs w:val="24"/>
          <w:highlight w:val="none"/>
          <w:lang w:val="zh-CN"/>
        </w:rPr>
        <w:t>告知所有供应商的项目二次（最终）报价，并要求所有作出实质性响应的有效供应商在规定的时间内，在</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第五阶段：</w:t>
      </w:r>
      <w:r>
        <w:rPr>
          <w:rFonts w:hint="eastAsia" w:ascii="宋体" w:hAnsi="宋体" w:cs="宋体"/>
          <w:color w:val="auto"/>
          <w:sz w:val="24"/>
          <w:szCs w:val="24"/>
          <w:highlight w:val="none"/>
        </w:rPr>
        <w:t>磋商小组</w:t>
      </w:r>
      <w:r>
        <w:rPr>
          <w:rFonts w:hint="eastAsia" w:ascii="宋体" w:hAnsi="宋体" w:cs="宋体"/>
          <w:color w:val="auto"/>
          <w:sz w:val="24"/>
          <w:szCs w:val="24"/>
          <w:highlight w:val="none"/>
          <w:lang w:val="zh-CN"/>
        </w:rPr>
        <w:t>对供应商的最终报价进行评议和比较，在实质性响应</w:t>
      </w:r>
      <w:r>
        <w:rPr>
          <w:rFonts w:hint="eastAsia" w:ascii="宋体" w:hAnsi="宋体" w:cs="宋体"/>
          <w:color w:val="auto"/>
          <w:sz w:val="24"/>
          <w:szCs w:val="24"/>
          <w:highlight w:val="none"/>
        </w:rPr>
        <w:t>竞争性磋商</w:t>
      </w:r>
      <w:r>
        <w:rPr>
          <w:rFonts w:hint="eastAsia" w:ascii="宋体" w:hAnsi="宋体" w:cs="宋体"/>
          <w:color w:val="auto"/>
          <w:sz w:val="24"/>
          <w:szCs w:val="24"/>
          <w:highlight w:val="none"/>
          <w:lang w:val="zh-CN"/>
        </w:rPr>
        <w:t>文件，技术响应文件和商务报价响应文件部分都能满足</w:t>
      </w:r>
      <w:r>
        <w:rPr>
          <w:rFonts w:hint="eastAsia" w:ascii="宋体" w:hAnsi="宋体" w:cs="宋体"/>
          <w:color w:val="auto"/>
          <w:sz w:val="24"/>
          <w:szCs w:val="24"/>
          <w:highlight w:val="none"/>
        </w:rPr>
        <w:t>竞争性磋商</w:t>
      </w:r>
      <w:r>
        <w:rPr>
          <w:rFonts w:hint="eastAsia" w:ascii="宋体" w:hAnsi="宋体" w:cs="宋体"/>
          <w:color w:val="auto"/>
          <w:sz w:val="24"/>
          <w:szCs w:val="24"/>
          <w:highlight w:val="none"/>
          <w:lang w:val="zh-CN"/>
        </w:rPr>
        <w:t>文件的前提下，</w:t>
      </w:r>
      <w:r>
        <w:rPr>
          <w:rFonts w:hint="eastAsia" w:ascii="宋体" w:hAnsi="宋体" w:cs="宋体"/>
          <w:color w:val="auto"/>
          <w:sz w:val="24"/>
          <w:szCs w:val="24"/>
          <w:highlight w:val="none"/>
        </w:rPr>
        <w:t>磋商小组</w:t>
      </w:r>
      <w:r>
        <w:rPr>
          <w:rFonts w:hint="eastAsia" w:ascii="宋体" w:hAnsi="宋体" w:cs="宋体"/>
          <w:color w:val="auto"/>
          <w:sz w:val="24"/>
          <w:szCs w:val="24"/>
          <w:highlight w:val="none"/>
          <w:lang w:val="zh-CN"/>
        </w:rPr>
        <w:t>将校核后的各供应商的得分从高到低排序（</w:t>
      </w:r>
      <w:r>
        <w:rPr>
          <w:rFonts w:hint="eastAsia" w:ascii="宋体" w:hAnsi="宋体" w:cs="宋体"/>
          <w:color w:val="auto"/>
          <w:sz w:val="24"/>
          <w:szCs w:val="24"/>
          <w:highlight w:val="none"/>
        </w:rPr>
        <w:t>明显低于成本的，且供应商不能合理说明或者不能提供相关证明材料的报价除外）</w:t>
      </w:r>
      <w:r>
        <w:rPr>
          <w:rFonts w:hint="eastAsia" w:ascii="宋体" w:hAnsi="宋体" w:cs="宋体"/>
          <w:color w:val="auto"/>
          <w:sz w:val="24"/>
          <w:szCs w:val="24"/>
          <w:highlight w:val="none"/>
          <w:lang w:val="zh-CN"/>
        </w:rPr>
        <w:t>。</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、在</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四、磋商评定结果的方法</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rPr>
        <w:t>经磋商确定最终采购需求和提交最后报价的供应商后，</w:t>
      </w:r>
      <w:r>
        <w:rPr>
          <w:rFonts w:hint="eastAsia" w:ascii="宋体" w:hAnsi="宋体" w:cs="宋体"/>
          <w:color w:val="auto"/>
          <w:sz w:val="24"/>
          <w:szCs w:val="24"/>
          <w:highlight w:val="none"/>
        </w:rPr>
        <w:t>由磋商小组采用综合评分法</w:t>
      </w:r>
      <w:r>
        <w:rPr>
          <w:rFonts w:hint="eastAsia" w:ascii="宋体" w:hAnsi="宋体" w:cs="宋体"/>
          <w:b/>
          <w:bCs/>
          <w:color w:val="auto"/>
          <w:sz w:val="24"/>
          <w:szCs w:val="24"/>
          <w:highlight w:val="none"/>
          <w:u w:val="single"/>
        </w:rPr>
        <w:t>对提交最后报价的供应商的响应文件和最后报价</w:t>
      </w:r>
      <w:r>
        <w:rPr>
          <w:rFonts w:hint="eastAsia" w:ascii="宋体" w:hAnsi="宋体" w:cs="宋体"/>
          <w:color w:val="auto"/>
          <w:sz w:val="24"/>
          <w:szCs w:val="24"/>
          <w:highlight w:val="none"/>
        </w:rPr>
        <w:t>进行综合评分。</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、本次项目磋商的技术</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和商务报价</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评估总分值为</w:t>
      </w:r>
      <w:r>
        <w:rPr>
          <w:rFonts w:ascii="宋体" w:hAnsi="宋体" w:cs="宋体"/>
          <w:color w:val="auto"/>
          <w:sz w:val="24"/>
          <w:szCs w:val="24"/>
          <w:highlight w:val="none"/>
        </w:rPr>
        <w:t>100</w:t>
      </w:r>
      <w:r>
        <w:rPr>
          <w:rFonts w:hint="eastAsia" w:ascii="宋体" w:hAnsi="宋体" w:cs="宋体"/>
          <w:color w:val="auto"/>
          <w:sz w:val="24"/>
          <w:szCs w:val="24"/>
          <w:highlight w:val="none"/>
        </w:rPr>
        <w:t>分。两部分评估因素比重如下：</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技术响应文件分值占总分值的比重为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85</w:t>
      </w:r>
      <w:r>
        <w:rPr>
          <w:rFonts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rPr>
        <w:t>（权重）</w:t>
      </w:r>
      <w:r>
        <w:rPr>
          <w:rFonts w:hint="eastAsia" w:ascii="宋体" w:hAnsi="宋体" w:cs="宋体"/>
          <w:color w:val="auto"/>
          <w:kern w:val="0"/>
          <w:sz w:val="24"/>
          <w:szCs w:val="24"/>
          <w:highlight w:val="none"/>
        </w:rPr>
        <w:t>（四舍五入保留两位小数）；</w:t>
      </w:r>
    </w:p>
    <w:p>
      <w:pPr>
        <w:snapToGrid w:val="0"/>
        <w:spacing w:line="360" w:lineRule="auto"/>
        <w:ind w:firstLine="480" w:firstLineChars="200"/>
        <w:rPr>
          <w:rFonts w:ascii="宋体"/>
          <w:color w:val="auto"/>
          <w:kern w:val="0"/>
          <w:sz w:val="24"/>
          <w:szCs w:val="24"/>
          <w:highlight w:val="none"/>
        </w:rPr>
      </w:pPr>
      <w:r>
        <w:rPr>
          <w:rFonts w:hint="eastAsia" w:ascii="宋体" w:hAnsi="宋体" w:cs="宋体"/>
          <w:color w:val="auto"/>
          <w:kern w:val="0"/>
          <w:sz w:val="24"/>
          <w:szCs w:val="24"/>
          <w:highlight w:val="none"/>
        </w:rPr>
        <w:t>商务报价响应文件分值占总分值的比重为</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15</w:t>
      </w:r>
      <w:r>
        <w:rPr>
          <w:rFonts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rPr>
        <w:t>（权重）</w:t>
      </w:r>
      <w:r>
        <w:rPr>
          <w:rFonts w:hint="eastAsia" w:ascii="宋体" w:hAnsi="宋体" w:cs="宋体"/>
          <w:color w:val="auto"/>
          <w:kern w:val="0"/>
          <w:sz w:val="24"/>
          <w:szCs w:val="24"/>
          <w:highlight w:val="none"/>
        </w:rPr>
        <w:t>（四舍五入保留两位小数）。</w:t>
      </w:r>
    </w:p>
    <w:p>
      <w:pPr>
        <w:snapToGrid w:val="0"/>
        <w:spacing w:line="360" w:lineRule="auto"/>
        <w:ind w:firstLine="480" w:firstLineChars="200"/>
        <w:rPr>
          <w:rFonts w:ascii="宋体"/>
          <w:dstrike/>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、技术</w:t>
      </w:r>
      <w:r>
        <w:rPr>
          <w:rFonts w:hint="eastAsia" w:ascii="宋体" w:hAnsi="宋体" w:cs="宋体"/>
          <w:color w:val="auto"/>
          <w:kern w:val="0"/>
          <w:sz w:val="24"/>
          <w:szCs w:val="24"/>
          <w:highlight w:val="none"/>
        </w:rPr>
        <w:t>响应文件分值为所有评委打分的算术平均值，计算</w:t>
      </w:r>
      <w:r>
        <w:rPr>
          <w:rFonts w:hint="eastAsia" w:ascii="宋体" w:hAnsi="宋体" w:cs="宋体"/>
          <w:color w:val="auto"/>
          <w:sz w:val="24"/>
          <w:szCs w:val="24"/>
          <w:highlight w:val="none"/>
        </w:rPr>
        <w:t>结果均四舍五入保留两位小数。</w:t>
      </w:r>
    </w:p>
    <w:p>
      <w:pPr>
        <w:snapToGrid w:val="0"/>
        <w:spacing w:line="360" w:lineRule="auto"/>
        <w:ind w:firstLine="480" w:firstLineChars="200"/>
        <w:rPr>
          <w:color w:val="auto"/>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、商务报价</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分值统一采用</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价优先法计算直接取得，与技术</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分值相加为供应商的综合得分（四舍五入保留两位小数）。</w:t>
      </w:r>
    </w:p>
    <w:p>
      <w:pPr>
        <w:snapToGrid w:val="0"/>
        <w:spacing w:line="360" w:lineRule="auto"/>
        <w:ind w:firstLine="460" w:firstLineChars="192"/>
        <w:rPr>
          <w:rFonts w:ascii="宋体" w:hAnsi="宋体" w:cs="宋体"/>
          <w:color w:val="auto"/>
          <w:kern w:val="0"/>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综合得分最高的供应商推荐为项目预成交供应商并出具评审磋商报告。</w:t>
      </w:r>
    </w:p>
    <w:p>
      <w:pPr>
        <w:snapToGrid w:val="0"/>
        <w:spacing w:line="360" w:lineRule="auto"/>
        <w:ind w:firstLine="460" w:firstLineChars="192"/>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、确定成交候选人的特殊情况处理：</w:t>
      </w:r>
    </w:p>
    <w:p>
      <w:pPr>
        <w:snapToGrid w:val="0"/>
        <w:spacing w:line="360" w:lineRule="auto"/>
        <w:ind w:firstLine="480" w:firstLineChars="200"/>
        <w:outlineLvl w:val="1"/>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）若总分相同，则按最终报价得分高者优先成交。</w:t>
      </w:r>
    </w:p>
    <w:p>
      <w:pPr>
        <w:snapToGrid w:val="0"/>
        <w:spacing w:line="360" w:lineRule="auto"/>
        <w:ind w:firstLine="480" w:firstLineChars="200"/>
        <w:outlineLvl w:val="1"/>
        <w:rPr>
          <w:rFonts w:ascii="宋体"/>
          <w:dstrike/>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）若总分且最终报价得分均相同，则采取现场抽签的方式确定（由供应商按递交响应文件签到顺序号抽签确定）。</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、磋商评审时，评委对评审的细则若有争议，由磋商小组集体讨论确定，并对未尽情况有最终解释权。</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、对落标的供应商不做落标原因的解释。</w:t>
      </w:r>
    </w:p>
    <w:p>
      <w:pPr>
        <w:snapToGrid w:val="0"/>
        <w:spacing w:line="360" w:lineRule="auto"/>
        <w:ind w:firstLine="482" w:firstLineChars="200"/>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五、综合评分评审标准</w:t>
      </w:r>
    </w:p>
    <w:p>
      <w:pPr>
        <w:adjustRightInd w:val="0"/>
        <w:snapToGrid w:val="0"/>
        <w:spacing w:line="360" w:lineRule="auto"/>
        <w:ind w:firstLine="480" w:firstLineChars="200"/>
        <w:outlineLvl w:val="3"/>
        <w:rPr>
          <w:color w:val="auto"/>
          <w:highlight w:val="none"/>
        </w:rPr>
      </w:pPr>
      <w:r>
        <w:rPr>
          <w:rFonts w:hint="eastAsia" w:ascii="宋体" w:hAnsi="宋体" w:cs="宋体"/>
          <w:color w:val="auto"/>
          <w:sz w:val="24"/>
          <w:szCs w:val="24"/>
          <w:highlight w:val="none"/>
        </w:rPr>
        <w:t>（一）技术磋商响应评审（</w:t>
      </w:r>
      <w:r>
        <w:rPr>
          <w:rFonts w:hint="eastAsia" w:ascii="宋体" w:hAnsi="宋体" w:cs="宋体"/>
          <w:color w:val="auto"/>
          <w:sz w:val="24"/>
          <w:szCs w:val="24"/>
          <w:highlight w:val="none"/>
          <w:lang w:val="en-US" w:eastAsia="zh-CN"/>
        </w:rPr>
        <w:t>85</w:t>
      </w:r>
      <w:r>
        <w:rPr>
          <w:rFonts w:hint="eastAsia" w:ascii="宋体" w:hAnsi="宋体" w:cs="宋体"/>
          <w:color w:val="auto"/>
          <w:sz w:val="24"/>
          <w:szCs w:val="24"/>
          <w:highlight w:val="none"/>
        </w:rPr>
        <w:t>分）：</w:t>
      </w:r>
    </w:p>
    <w:tbl>
      <w:tblPr>
        <w:tblStyle w:val="51"/>
        <w:tblpPr w:leftFromText="180" w:rightFromText="180" w:vertAnchor="text" w:horzAnchor="page" w:tblpX="1536" w:tblpY="451"/>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33"/>
        <w:gridCol w:w="611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trPr>
        <w:tc>
          <w:tcPr>
            <w:tcW w:w="548" w:type="dxa"/>
            <w:noWrap w:val="0"/>
            <w:vAlign w:val="center"/>
          </w:tcPr>
          <w:p>
            <w:pPr>
              <w:tabs>
                <w:tab w:val="left" w:pos="10546"/>
              </w:tabs>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633" w:type="dxa"/>
            <w:noWrap w:val="0"/>
            <w:vAlign w:val="center"/>
          </w:tcPr>
          <w:p>
            <w:pPr>
              <w:snapToGrid w:val="0"/>
              <w:jc w:val="center"/>
              <w:outlineLvl w:val="1"/>
              <w:rPr>
                <w:rFonts w:ascii="宋体"/>
                <w:b/>
                <w:bCs/>
                <w:color w:val="auto"/>
                <w:sz w:val="24"/>
                <w:szCs w:val="24"/>
                <w:highlight w:val="none"/>
              </w:rPr>
            </w:pPr>
            <w:r>
              <w:rPr>
                <w:rFonts w:hint="eastAsia" w:ascii="宋体" w:hAnsi="宋体" w:cs="宋体"/>
                <w:b/>
                <w:bCs/>
                <w:color w:val="auto"/>
                <w:sz w:val="24"/>
                <w:szCs w:val="24"/>
                <w:highlight w:val="none"/>
              </w:rPr>
              <w:t>评分因素</w:t>
            </w:r>
          </w:p>
        </w:tc>
        <w:tc>
          <w:tcPr>
            <w:tcW w:w="6110" w:type="dxa"/>
            <w:noWrap w:val="0"/>
            <w:vAlign w:val="center"/>
          </w:tcPr>
          <w:p>
            <w:pPr>
              <w:snapToGrid w:val="0"/>
              <w:jc w:val="center"/>
              <w:outlineLvl w:val="1"/>
              <w:rPr>
                <w:rFonts w:ascii="宋体"/>
                <w:b/>
                <w:bCs/>
                <w:color w:val="auto"/>
                <w:sz w:val="24"/>
                <w:szCs w:val="24"/>
                <w:highlight w:val="none"/>
              </w:rPr>
            </w:pPr>
            <w:r>
              <w:rPr>
                <w:rFonts w:hint="eastAsia" w:ascii="宋体" w:hAnsi="宋体" w:cs="宋体"/>
                <w:b/>
                <w:bCs/>
                <w:color w:val="auto"/>
                <w:sz w:val="24"/>
                <w:szCs w:val="24"/>
                <w:highlight w:val="none"/>
              </w:rPr>
              <w:t>评分标准</w:t>
            </w:r>
          </w:p>
        </w:tc>
        <w:tc>
          <w:tcPr>
            <w:tcW w:w="747" w:type="dxa"/>
            <w:noWrap w:val="0"/>
            <w:vAlign w:val="center"/>
          </w:tcPr>
          <w:p>
            <w:pPr>
              <w:snapToGrid w:val="0"/>
              <w:jc w:val="center"/>
              <w:outlineLvl w:val="1"/>
              <w:rPr>
                <w:rFonts w:ascii="宋体"/>
                <w:b/>
                <w:bCs/>
                <w:color w:val="auto"/>
                <w:sz w:val="24"/>
                <w:szCs w:val="24"/>
                <w:highlight w:val="none"/>
              </w:rPr>
            </w:pPr>
            <w:r>
              <w:rPr>
                <w:rFonts w:hint="eastAsia" w:ascii="宋体"/>
                <w:b/>
                <w:bCs/>
                <w:color w:val="auto"/>
                <w:sz w:val="24"/>
                <w:szCs w:val="24"/>
                <w:highlight w:val="none"/>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548" w:type="dxa"/>
            <w:noWrap w:val="0"/>
            <w:vAlign w:val="center"/>
          </w:tcPr>
          <w:p>
            <w:pPr>
              <w:tabs>
                <w:tab w:val="left" w:pos="10546"/>
              </w:tabs>
              <w:spacing w:line="360" w:lineRule="auto"/>
              <w:jc w:val="center"/>
              <w:rPr>
                <w:rFonts w:ascii="宋体"/>
                <w:color w:val="auto"/>
                <w:sz w:val="24"/>
                <w:szCs w:val="24"/>
                <w:highlight w:val="none"/>
              </w:rPr>
            </w:pPr>
            <w:r>
              <w:rPr>
                <w:rFonts w:hint="eastAsia" w:ascii="宋体"/>
                <w:color w:val="auto"/>
                <w:sz w:val="24"/>
                <w:szCs w:val="24"/>
                <w:highlight w:val="none"/>
              </w:rPr>
              <w:t>1</w:t>
            </w:r>
          </w:p>
        </w:tc>
        <w:tc>
          <w:tcPr>
            <w:tcW w:w="1633" w:type="dxa"/>
            <w:noWrap w:val="0"/>
            <w:vAlign w:val="center"/>
          </w:tcPr>
          <w:p>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实力</w:t>
            </w:r>
          </w:p>
        </w:tc>
        <w:tc>
          <w:tcPr>
            <w:tcW w:w="6110" w:type="dxa"/>
            <w:noWrap w:val="0"/>
            <w:vAlign w:val="center"/>
          </w:tcPr>
          <w:p>
            <w:pPr>
              <w:widowControl/>
              <w:numPr>
                <w:ilvl w:val="0"/>
                <w:numId w:val="0"/>
              </w:numPr>
              <w:spacing w:line="240" w:lineRule="auto"/>
              <w:jc w:val="left"/>
              <w:rPr>
                <w:rFonts w:hint="eastAsia" w:ascii="宋体" w:hAnsi="宋体" w:eastAsia="宋体" w:cs="宋体"/>
                <w:color w:val="auto"/>
                <w:kern w:val="0"/>
                <w:sz w:val="24"/>
                <w:szCs w:val="24"/>
                <w:highlight w:val="none"/>
                <w:lang w:val="en-US" w:eastAsia="zh-CN" w:bidi="ar"/>
              </w:rPr>
            </w:pPr>
            <w:bookmarkStart w:id="74" w:name="_GoBack"/>
            <w:r>
              <w:rPr>
                <w:rFonts w:hint="default" w:ascii="宋体" w:hAnsi="宋体" w:eastAsia="宋体" w:cs="宋体"/>
                <w:color w:val="auto"/>
                <w:kern w:val="0"/>
                <w:sz w:val="24"/>
                <w:szCs w:val="24"/>
                <w:highlight w:val="none"/>
                <w:lang w:val="en-US" w:eastAsia="zh-CN" w:bidi="ar"/>
              </w:rPr>
              <w:t>①</w:t>
            </w:r>
            <w:r>
              <w:rPr>
                <w:rFonts w:hint="eastAsia" w:ascii="宋体" w:hAnsi="宋体" w:eastAsia="宋体" w:cs="宋体"/>
                <w:color w:val="auto"/>
                <w:kern w:val="0"/>
                <w:sz w:val="24"/>
                <w:szCs w:val="24"/>
                <w:highlight w:val="none"/>
                <w:lang w:val="en-US" w:eastAsia="zh-CN" w:bidi="ar"/>
              </w:rPr>
              <w:t xml:space="preserve"> 供应商具备有效的质量管理体系ISO9001认证证书，且认证范围含餐饮服务类或餐饮管理类或食堂经营承包类的，得2分；</w:t>
            </w:r>
          </w:p>
          <w:p>
            <w:pPr>
              <w:widowControl/>
              <w:numPr>
                <w:ilvl w:val="0"/>
                <w:numId w:val="0"/>
              </w:numPr>
              <w:spacing w:line="240" w:lineRule="auto"/>
              <w:jc w:val="left"/>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②</w:t>
            </w:r>
            <w:r>
              <w:rPr>
                <w:rFonts w:hint="eastAsia" w:ascii="宋体" w:hAnsi="宋体" w:eastAsia="宋体" w:cs="宋体"/>
                <w:color w:val="auto"/>
                <w:kern w:val="0"/>
                <w:sz w:val="24"/>
                <w:szCs w:val="24"/>
                <w:highlight w:val="none"/>
                <w:lang w:val="en-US" w:eastAsia="zh-CN" w:bidi="ar"/>
              </w:rPr>
              <w:t xml:space="preserve"> 供应商具备有效的环境管理体系ISO140001认证证书，且认证范围含餐饮服务类或餐饮管理类或食堂经营承包类的，得2分；</w:t>
            </w:r>
          </w:p>
          <w:p>
            <w:pPr>
              <w:widowControl/>
              <w:numPr>
                <w:ilvl w:val="0"/>
                <w:numId w:val="0"/>
              </w:numPr>
              <w:spacing w:line="240" w:lineRule="auto"/>
              <w:jc w:val="left"/>
              <w:rPr>
                <w:rFonts w:hint="eastAsia" w:ascii="宋体" w:hAnsi="宋体" w:eastAsia="宋体" w:cs="宋体"/>
                <w:color w:val="auto"/>
                <w:kern w:val="0"/>
                <w:sz w:val="24"/>
                <w:szCs w:val="24"/>
                <w:highlight w:val="none"/>
                <w:lang w:val="en-US" w:eastAsia="zh-CN" w:bidi="ar"/>
              </w:rPr>
            </w:pPr>
            <w:r>
              <w:rPr>
                <w:rFonts w:hint="default" w:ascii="宋体" w:hAnsi="宋体" w:eastAsia="宋体" w:cs="宋体"/>
                <w:color w:val="auto"/>
                <w:kern w:val="0"/>
                <w:sz w:val="24"/>
                <w:szCs w:val="24"/>
                <w:highlight w:val="none"/>
                <w:lang w:val="en-US" w:eastAsia="zh-CN" w:bidi="ar"/>
              </w:rPr>
              <w:t>③</w:t>
            </w:r>
            <w:r>
              <w:rPr>
                <w:rFonts w:hint="eastAsia" w:ascii="宋体" w:hAnsi="宋体" w:eastAsia="宋体" w:cs="宋体"/>
                <w:color w:val="auto"/>
                <w:kern w:val="0"/>
                <w:sz w:val="24"/>
                <w:szCs w:val="24"/>
                <w:highlight w:val="none"/>
                <w:lang w:val="en-US" w:eastAsia="zh-CN" w:bidi="ar"/>
              </w:rPr>
              <w:t xml:space="preserve"> 供应商具备有效的ISO45001职业健康安全管理体系认证证书，且认证范围含餐饮服务类或餐饮管理类或食堂经营承包类的，得2分；</w:t>
            </w:r>
          </w:p>
          <w:p>
            <w:pPr>
              <w:widowControl/>
              <w:numPr>
                <w:ilvl w:val="0"/>
                <w:numId w:val="0"/>
              </w:numPr>
              <w:spacing w:line="24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
              </w:rPr>
              <w:t>④ 供应商具</w:t>
            </w:r>
            <w:r>
              <w:rPr>
                <w:rFonts w:hint="eastAsia" w:ascii="宋体" w:hAnsi="宋体" w:cs="宋体"/>
                <w:color w:val="auto"/>
                <w:kern w:val="0"/>
                <w:sz w:val="24"/>
                <w:szCs w:val="24"/>
                <w:highlight w:val="none"/>
              </w:rPr>
              <w:t>备有效的</w:t>
            </w:r>
            <w:r>
              <w:rPr>
                <w:rFonts w:hint="eastAsia" w:ascii="宋体" w:hAnsi="宋体" w:cs="宋体"/>
                <w:color w:val="auto"/>
                <w:kern w:val="0"/>
                <w:sz w:val="24"/>
                <w:szCs w:val="24"/>
                <w:highlight w:val="none"/>
                <w:lang w:val="en-US" w:eastAsia="zh-CN"/>
              </w:rPr>
              <w:t>ISO22000食品安全管理体系认证证书，</w:t>
            </w:r>
            <w:r>
              <w:rPr>
                <w:rFonts w:hint="eastAsia" w:ascii="宋体" w:hAnsi="宋体" w:cs="宋体"/>
                <w:color w:val="auto"/>
                <w:kern w:val="0"/>
                <w:sz w:val="24"/>
                <w:szCs w:val="24"/>
                <w:highlight w:val="none"/>
                <w:lang w:val="en-US" w:eastAsia="zh-CN" w:bidi="ar"/>
              </w:rPr>
              <w:t>且认证范围含热食类食品制售的，得2分</w:t>
            </w:r>
            <w:r>
              <w:rPr>
                <w:rFonts w:hint="eastAsia" w:ascii="宋体" w:hAnsi="宋体" w:eastAsia="宋体" w:cs="宋体"/>
                <w:color w:val="auto"/>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⑤</w:t>
            </w:r>
            <w:r>
              <w:rPr>
                <w:rFonts w:hint="eastAsia" w:ascii="宋体" w:hAnsi="宋体" w:eastAsia="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供应商</w:t>
            </w:r>
            <w:r>
              <w:rPr>
                <w:rFonts w:hint="eastAsia" w:ascii="宋体" w:hAnsi="宋体" w:eastAsia="宋体"/>
                <w:color w:val="auto"/>
                <w:sz w:val="24"/>
                <w:szCs w:val="24"/>
                <w:highlight w:val="none"/>
              </w:rPr>
              <w:t>具</w:t>
            </w:r>
            <w:r>
              <w:rPr>
                <w:rFonts w:hint="eastAsia" w:ascii="宋体" w:hAnsi="宋体" w:eastAsia="宋体"/>
                <w:color w:val="auto"/>
                <w:sz w:val="24"/>
                <w:szCs w:val="24"/>
                <w:highlight w:val="none"/>
                <w:lang w:val="en-US" w:eastAsia="zh-CN"/>
              </w:rPr>
              <w:t>备</w:t>
            </w:r>
            <w:r>
              <w:rPr>
                <w:rFonts w:hint="eastAsia" w:ascii="宋体" w:hAnsi="宋体" w:eastAsia="宋体"/>
                <w:color w:val="auto"/>
                <w:sz w:val="24"/>
                <w:szCs w:val="24"/>
                <w:highlight w:val="none"/>
              </w:rPr>
              <w:t>符合</w:t>
            </w:r>
            <w:r>
              <w:rPr>
                <w:rFonts w:hint="eastAsia" w:ascii="宋体" w:hAnsi="宋体" w:eastAsia="宋体"/>
                <w:color w:val="auto"/>
                <w:sz w:val="24"/>
                <w:szCs w:val="24"/>
                <w:highlight w:val="none"/>
                <w:lang w:val="en-US" w:eastAsia="zh-CN"/>
              </w:rPr>
              <w:t>GB/T27341-2009</w:t>
            </w:r>
            <w:r>
              <w:rPr>
                <w:rFonts w:hint="eastAsia" w:ascii="宋体" w:hAnsi="宋体" w:eastAsia="宋体"/>
                <w:color w:val="auto"/>
                <w:sz w:val="24"/>
                <w:szCs w:val="24"/>
                <w:highlight w:val="none"/>
              </w:rPr>
              <w:t>危害分析与关键控制点（HACCP）体系认证</w:t>
            </w:r>
            <w:r>
              <w:rPr>
                <w:rFonts w:hint="eastAsia" w:ascii="宋体" w:hAnsi="宋体" w:eastAsia="宋体"/>
                <w:color w:val="auto"/>
                <w:sz w:val="24"/>
                <w:szCs w:val="24"/>
                <w:highlight w:val="none"/>
                <w:lang w:val="en-US" w:eastAsia="zh-CN"/>
              </w:rPr>
              <w:t>证书，</w:t>
            </w:r>
            <w:r>
              <w:rPr>
                <w:rFonts w:hint="eastAsia" w:ascii="宋体" w:hAnsi="宋体" w:cs="宋体"/>
                <w:color w:val="auto"/>
                <w:kern w:val="0"/>
                <w:sz w:val="24"/>
                <w:szCs w:val="24"/>
                <w:highlight w:val="none"/>
                <w:lang w:val="en-US" w:eastAsia="zh-CN" w:bidi="ar"/>
              </w:rPr>
              <w:t>且认证范围含餐饮服务类或餐饮管理类</w:t>
            </w:r>
            <w:r>
              <w:rPr>
                <w:rFonts w:hint="eastAsia" w:ascii="宋体" w:hAnsi="宋体" w:eastAsia="宋体" w:cs="宋体"/>
                <w:color w:val="auto"/>
                <w:kern w:val="0"/>
                <w:sz w:val="24"/>
                <w:szCs w:val="24"/>
                <w:highlight w:val="none"/>
                <w:lang w:val="en-US" w:eastAsia="zh-CN"/>
              </w:rPr>
              <w:t>或食堂经营承包类的，得2分；</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⑥ 供应商具备</w:t>
            </w:r>
            <w:r>
              <w:rPr>
                <w:rFonts w:hint="eastAsia" w:ascii="宋体" w:hAnsi="宋体" w:cs="宋体"/>
                <w:color w:val="auto"/>
                <w:kern w:val="0"/>
                <w:sz w:val="24"/>
                <w:szCs w:val="24"/>
                <w:highlight w:val="none"/>
              </w:rPr>
              <w:t>有效的</w:t>
            </w:r>
            <w:r>
              <w:rPr>
                <w:rFonts w:hint="eastAsia" w:ascii="宋体" w:hAnsi="宋体" w:cs="宋体"/>
                <w:color w:val="auto"/>
                <w:kern w:val="0"/>
                <w:sz w:val="24"/>
                <w:szCs w:val="24"/>
                <w:highlight w:val="none"/>
                <w:lang w:val="en-US" w:eastAsia="zh-CN"/>
              </w:rPr>
              <w:t>RB/T 309-2017</w:t>
            </w:r>
            <w:r>
              <w:rPr>
                <w:rFonts w:hint="eastAsia" w:ascii="宋体" w:hAnsi="宋体" w:eastAsia="宋体" w:cs="宋体"/>
                <w:color w:val="auto"/>
                <w:kern w:val="0"/>
                <w:sz w:val="24"/>
                <w:szCs w:val="24"/>
                <w:highlight w:val="none"/>
                <w:lang w:val="en-US" w:eastAsia="zh-CN"/>
              </w:rPr>
              <w:t>餐饮管理服务</w:t>
            </w:r>
          </w:p>
          <w:p>
            <w:pPr>
              <w:pStyle w:val="3"/>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AAA以上认证证书的</w:t>
            </w:r>
            <w:r>
              <w:rPr>
                <w:rFonts w:hint="eastAsia" w:ascii="宋体" w:hAnsi="宋体" w:eastAsia="宋体"/>
                <w:color w:val="auto"/>
                <w:sz w:val="24"/>
                <w:szCs w:val="24"/>
                <w:highlight w:val="none"/>
                <w:lang w:val="en-US" w:eastAsia="zh-CN"/>
              </w:rPr>
              <w:t>，</w:t>
            </w:r>
            <w:r>
              <w:rPr>
                <w:rFonts w:hint="eastAsia" w:ascii="宋体" w:hAnsi="宋体" w:cs="宋体"/>
                <w:color w:val="auto"/>
                <w:kern w:val="0"/>
                <w:sz w:val="24"/>
                <w:szCs w:val="24"/>
                <w:highlight w:val="none"/>
                <w:lang w:val="en-US" w:eastAsia="zh-CN" w:bidi="ar"/>
              </w:rPr>
              <w:t>且认证范围含餐饮服务类或餐饮管理类</w:t>
            </w:r>
            <w:r>
              <w:rPr>
                <w:rFonts w:hint="eastAsia" w:ascii="宋体" w:hAnsi="宋体" w:eastAsia="宋体" w:cs="宋体"/>
                <w:color w:val="auto"/>
                <w:kern w:val="0"/>
                <w:sz w:val="24"/>
                <w:szCs w:val="24"/>
                <w:highlight w:val="none"/>
                <w:lang w:val="en-US" w:eastAsia="zh-CN"/>
              </w:rPr>
              <w:t>或食堂经营承包类的，得2分；</w:t>
            </w:r>
          </w:p>
          <w:p>
            <w:pPr>
              <w:pStyle w:val="4"/>
              <w:numPr>
                <w:ilvl w:val="0"/>
                <w:numId w:val="0"/>
              </w:numP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、供应商具备</w:t>
            </w:r>
            <w:r>
              <w:rPr>
                <w:rFonts w:hint="eastAsia" w:ascii="宋体" w:hAnsi="宋体" w:cs="宋体"/>
                <w:color w:val="auto"/>
                <w:kern w:val="0"/>
                <w:sz w:val="24"/>
                <w:szCs w:val="24"/>
                <w:highlight w:val="none"/>
              </w:rPr>
              <w:t>有效的</w:t>
            </w:r>
            <w:r>
              <w:rPr>
                <w:rFonts w:hint="eastAsia" w:ascii="宋体" w:hAnsi="宋体" w:cs="宋体"/>
                <w:color w:val="auto"/>
                <w:kern w:val="0"/>
                <w:sz w:val="24"/>
                <w:szCs w:val="24"/>
                <w:highlight w:val="none"/>
                <w:lang w:val="en-US" w:eastAsia="zh-CN"/>
              </w:rPr>
              <w:t>AAA级资信等级证书的，得2分；</w:t>
            </w:r>
          </w:p>
          <w:p>
            <w:pPr>
              <w:pStyle w:val="4"/>
              <w:numPr>
                <w:ilvl w:val="0"/>
                <w:numId w:val="0"/>
              </w:numP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获得</w:t>
            </w:r>
            <w:r>
              <w:rPr>
                <w:rFonts w:hint="eastAsia" w:ascii="宋体" w:hAnsi="宋体" w:cs="宋体"/>
                <w:color w:val="auto"/>
                <w:kern w:val="0"/>
                <w:sz w:val="24"/>
                <w:szCs w:val="24"/>
                <w:highlight w:val="none"/>
                <w:lang w:val="en-US" w:eastAsia="zh-CN"/>
              </w:rPr>
              <w:t>省级及以上餐饮协会颁发的</w:t>
            </w:r>
            <w:r>
              <w:rPr>
                <w:rFonts w:hint="eastAsia" w:ascii="宋体" w:hAnsi="宋体" w:eastAsia="宋体" w:cs="宋体"/>
                <w:color w:val="auto"/>
                <w:kern w:val="0"/>
                <w:sz w:val="24"/>
                <w:szCs w:val="24"/>
                <w:highlight w:val="none"/>
                <w:lang w:val="en-US" w:eastAsia="zh-CN"/>
              </w:rPr>
              <w:t>好食堂荣誉称号</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en-US" w:eastAsia="zh-CN"/>
              </w:rPr>
              <w:t>，得2分</w:t>
            </w:r>
            <w:r>
              <w:rPr>
                <w:rFonts w:hint="eastAsia" w:ascii="宋体" w:hAnsi="宋体" w:cs="宋体"/>
                <w:color w:val="auto"/>
                <w:kern w:val="0"/>
                <w:sz w:val="24"/>
                <w:szCs w:val="24"/>
                <w:highlight w:val="none"/>
                <w:lang w:val="en-US" w:eastAsia="zh-CN"/>
              </w:rPr>
              <w:t>。</w:t>
            </w:r>
          </w:p>
          <w:p>
            <w:pPr>
              <w:widowControl/>
              <w:numPr>
                <w:ilvl w:val="0"/>
                <w:numId w:val="0"/>
              </w:numPr>
              <w:spacing w:line="240" w:lineRule="auto"/>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u w:val="single"/>
              </w:rPr>
              <w:t>须提供：</w:t>
            </w:r>
            <w:r>
              <w:rPr>
                <w:rFonts w:hint="eastAsia" w:ascii="宋体" w:hAnsi="宋体" w:cs="宋体"/>
                <w:b/>
                <w:bCs/>
                <w:color w:val="auto"/>
                <w:sz w:val="24"/>
                <w:szCs w:val="24"/>
                <w:highlight w:val="none"/>
                <w:lang w:val="en-US" w:eastAsia="zh-CN"/>
              </w:rPr>
              <w:t>有效期</w:t>
            </w:r>
            <w:r>
              <w:rPr>
                <w:rFonts w:hint="eastAsia" w:ascii="宋体" w:hAnsi="宋体" w:eastAsia="宋体" w:cs="宋体"/>
                <w:b/>
                <w:bCs/>
                <w:color w:val="auto"/>
                <w:sz w:val="24"/>
                <w:szCs w:val="24"/>
                <w:highlight w:val="none"/>
                <w:lang w:val="en-US" w:eastAsia="zh-CN"/>
              </w:rPr>
              <w:t>内</w:t>
            </w:r>
            <w:r>
              <w:rPr>
                <w:rFonts w:hint="eastAsia" w:ascii="宋体" w:hAnsi="宋体" w:eastAsia="宋体" w:cs="宋体"/>
                <w:b/>
                <w:bCs/>
                <w:color w:val="auto"/>
                <w:sz w:val="24"/>
                <w:szCs w:val="24"/>
                <w:highlight w:val="none"/>
              </w:rPr>
              <w:t>证</w:t>
            </w:r>
            <w:r>
              <w:rPr>
                <w:rFonts w:hint="eastAsia" w:ascii="宋体" w:hAnsi="宋体" w:cs="宋体"/>
                <w:b/>
                <w:bCs/>
                <w:color w:val="auto"/>
                <w:sz w:val="24"/>
                <w:szCs w:val="24"/>
                <w:highlight w:val="none"/>
              </w:rPr>
              <w:t>书原件的复印件或扫描件，并</w:t>
            </w:r>
            <w:bookmarkEnd w:id="74"/>
            <w:r>
              <w:rPr>
                <w:rFonts w:hint="eastAsia" w:ascii="宋体" w:hAnsi="宋体" w:cs="宋体"/>
                <w:b/>
                <w:bCs/>
                <w:color w:val="auto"/>
                <w:sz w:val="24"/>
                <w:szCs w:val="24"/>
                <w:highlight w:val="none"/>
              </w:rPr>
              <w:t>加盖供应商公章。</w:t>
            </w:r>
          </w:p>
        </w:tc>
        <w:tc>
          <w:tcPr>
            <w:tcW w:w="747" w:type="dxa"/>
            <w:noWrap w:val="0"/>
            <w:vAlign w:val="center"/>
          </w:tcPr>
          <w:p>
            <w:pPr>
              <w:widowControl/>
              <w:jc w:val="center"/>
              <w:rPr>
                <w:rFonts w:hint="default" w:ascii="宋体" w:hAnsi="宋体" w:eastAsia="宋体" w:cs="宋体"/>
                <w:color w:val="auto"/>
                <w:kern w:val="0"/>
                <w:highlight w:val="none"/>
                <w:lang w:val="en-US" w:eastAsia="zh-CN"/>
              </w:rPr>
            </w:pPr>
            <w:r>
              <w:rPr>
                <w:rFonts w:hint="eastAsia" w:ascii="宋体" w:hAnsi="宋体" w:eastAsia="宋体" w:cs="宋体"/>
                <w:color w:val="auto"/>
                <w:kern w:val="0"/>
                <w:sz w:val="24"/>
                <w:szCs w:val="24"/>
                <w:highlight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3" w:hRule="atLeast"/>
        </w:trPr>
        <w:tc>
          <w:tcPr>
            <w:tcW w:w="548" w:type="dxa"/>
            <w:vMerge w:val="restart"/>
            <w:noWrap w:val="0"/>
            <w:vAlign w:val="center"/>
          </w:tcPr>
          <w:p>
            <w:pPr>
              <w:tabs>
                <w:tab w:val="left" w:pos="10546"/>
              </w:tabs>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633" w:type="dxa"/>
            <w:vMerge w:val="restart"/>
            <w:noWrap w:val="0"/>
            <w:vAlign w:val="center"/>
          </w:tcPr>
          <w:p>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供应商业绩</w:t>
            </w:r>
          </w:p>
        </w:tc>
        <w:tc>
          <w:tcPr>
            <w:tcW w:w="6110" w:type="dxa"/>
            <w:noWrap w:val="0"/>
            <w:vAlign w:val="center"/>
          </w:tcPr>
          <w:p>
            <w:pPr>
              <w:pStyle w:val="92"/>
              <w:numPr>
                <w:ilvl w:val="0"/>
                <w:numId w:val="0"/>
              </w:num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供应商自2018年1月1日（以合同签订时间为准）以来，</w:t>
            </w:r>
            <w:r>
              <w:rPr>
                <w:rFonts w:hint="eastAsia" w:ascii="宋体" w:hAnsi="宋体" w:cs="宋体"/>
                <w:color w:val="auto"/>
                <w:sz w:val="24"/>
                <w:szCs w:val="24"/>
                <w:highlight w:val="none"/>
                <w:lang w:val="en-US" w:eastAsia="zh-CN"/>
              </w:rPr>
              <w:t>有就餐人数500（含）-1000人（不含）食堂经营（承包）经验</w:t>
            </w:r>
            <w:r>
              <w:rPr>
                <w:rFonts w:hint="eastAsia" w:ascii="宋体" w:hAnsi="宋体" w:cs="宋体"/>
                <w:color w:val="auto"/>
                <w:sz w:val="24"/>
                <w:szCs w:val="24"/>
                <w:highlight w:val="none"/>
                <w:lang w:eastAsia="zh-CN"/>
              </w:rPr>
              <w:t>的，每有</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个</w:t>
            </w:r>
            <w:r>
              <w:rPr>
                <w:rFonts w:hint="eastAsia" w:ascii="宋体" w:hAnsi="宋体" w:cs="宋体"/>
                <w:color w:val="auto"/>
                <w:sz w:val="24"/>
                <w:szCs w:val="24"/>
                <w:highlight w:val="none"/>
                <w:lang w:val="en-US" w:eastAsia="zh-CN"/>
              </w:rPr>
              <w:t>业绩得1</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得到服务单位优良或满意评价的，再加1分；有就餐人数1000人（含）以上食堂经营（承包）经验</w:t>
            </w:r>
            <w:r>
              <w:rPr>
                <w:rFonts w:hint="eastAsia" w:ascii="宋体" w:hAnsi="宋体" w:cs="宋体"/>
                <w:color w:val="auto"/>
                <w:sz w:val="24"/>
                <w:szCs w:val="24"/>
                <w:highlight w:val="none"/>
                <w:lang w:eastAsia="zh-CN"/>
              </w:rPr>
              <w:t>的，每有</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个</w:t>
            </w:r>
            <w:r>
              <w:rPr>
                <w:rFonts w:hint="eastAsia" w:ascii="宋体" w:hAnsi="宋体" w:cs="宋体"/>
                <w:color w:val="auto"/>
                <w:sz w:val="24"/>
                <w:szCs w:val="24"/>
                <w:highlight w:val="none"/>
                <w:lang w:val="en-US" w:eastAsia="zh-CN"/>
              </w:rPr>
              <w:t>业绩得2</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得到服务单位优良或满意评价的，再加1分。本项最多得12分。</w:t>
            </w:r>
          </w:p>
          <w:p>
            <w:pPr>
              <w:widowControl/>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注：若合同内容中体现不出评审要素（如合同签订时间</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就餐人数</w:t>
            </w:r>
            <w:r>
              <w:rPr>
                <w:rFonts w:hint="eastAsia" w:ascii="宋体" w:hAnsi="宋体" w:cs="宋体"/>
                <w:b/>
                <w:bCs/>
                <w:color w:val="auto"/>
                <w:sz w:val="24"/>
                <w:szCs w:val="24"/>
                <w:highlight w:val="none"/>
              </w:rPr>
              <w:t>等），须</w:t>
            </w:r>
            <w:r>
              <w:rPr>
                <w:rFonts w:hint="eastAsia" w:ascii="宋体" w:hAnsi="宋体" w:cs="宋体"/>
                <w:b/>
                <w:bCs/>
                <w:color w:val="auto"/>
                <w:sz w:val="24"/>
                <w:szCs w:val="24"/>
                <w:highlight w:val="none"/>
                <w:lang w:val="en-US" w:eastAsia="zh-CN"/>
              </w:rPr>
              <w:t>在服务单位证明中充分体现</w:t>
            </w:r>
            <w:r>
              <w:rPr>
                <w:rFonts w:hint="eastAsia" w:ascii="宋体" w:hAnsi="宋体" w:cs="宋体"/>
                <w:b/>
                <w:bCs/>
                <w:color w:val="auto"/>
                <w:sz w:val="24"/>
                <w:szCs w:val="24"/>
                <w:highlight w:val="none"/>
              </w:rPr>
              <w:t>。</w:t>
            </w:r>
          </w:p>
          <w:p>
            <w:pPr>
              <w:widowControl/>
              <w:ind w:firstLine="482" w:firstLineChars="200"/>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同一采购人（委托单位）的合同仅计算一次得分；同一业绩仅计算一次得分。</w:t>
            </w:r>
          </w:p>
          <w:p>
            <w:pPr>
              <w:widowControl/>
              <w:jc w:val="left"/>
              <w:rPr>
                <w:rFonts w:hint="eastAsia" w:ascii="宋体" w:hAnsi="宋体" w:cs="宋体"/>
                <w:color w:val="auto"/>
                <w:kern w:val="0"/>
                <w:sz w:val="24"/>
                <w:szCs w:val="24"/>
                <w:highlight w:val="none"/>
              </w:rPr>
            </w:pPr>
            <w:r>
              <w:rPr>
                <w:rFonts w:hint="eastAsia" w:ascii="宋体" w:hAnsi="宋体" w:cs="宋体"/>
                <w:b/>
                <w:bCs/>
                <w:color w:val="auto"/>
                <w:sz w:val="24"/>
                <w:szCs w:val="24"/>
                <w:highlight w:val="none"/>
                <w:u w:val="single"/>
              </w:rPr>
              <w:t>每个业绩须</w:t>
            </w:r>
            <w:r>
              <w:rPr>
                <w:rFonts w:hint="eastAsia" w:ascii="宋体" w:hAnsi="宋体" w:cs="宋体"/>
                <w:b/>
                <w:bCs/>
                <w:color w:val="auto"/>
                <w:sz w:val="24"/>
                <w:szCs w:val="24"/>
                <w:highlight w:val="none"/>
                <w:u w:val="single"/>
                <w:lang w:val="en-US" w:eastAsia="zh-CN"/>
              </w:rPr>
              <w:t>同时</w:t>
            </w:r>
            <w:r>
              <w:rPr>
                <w:rFonts w:hint="eastAsia" w:ascii="宋体" w:hAnsi="宋体" w:cs="宋体"/>
                <w:b/>
                <w:bCs/>
                <w:color w:val="auto"/>
                <w:sz w:val="24"/>
                <w:szCs w:val="24"/>
                <w:highlight w:val="none"/>
                <w:u w:val="single"/>
              </w:rPr>
              <w:t>提供：</w:t>
            </w:r>
            <w:r>
              <w:rPr>
                <w:rFonts w:hint="eastAsia" w:ascii="宋体" w:hAnsi="宋体" w:cs="宋体"/>
                <w:b/>
                <w:bCs/>
                <w:color w:val="auto"/>
                <w:sz w:val="24"/>
                <w:szCs w:val="24"/>
                <w:highlight w:val="none"/>
              </w:rPr>
              <w:t>①完整清晰的合同扫描件或复印件</w:t>
            </w:r>
            <w:r>
              <w:rPr>
                <w:rFonts w:hint="eastAsia" w:ascii="宋体" w:hAnsi="宋体" w:eastAsia="宋体" w:cs="宋体"/>
                <w:b/>
                <w:bCs/>
                <w:color w:val="auto"/>
                <w:kern w:val="0"/>
                <w:sz w:val="24"/>
                <w:szCs w:val="24"/>
                <w:highlight w:val="none"/>
                <w:lang w:val="en-US" w:eastAsia="zh-CN"/>
              </w:rPr>
              <w:t>，并加盖供应商公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；②</w:t>
            </w:r>
            <w:r>
              <w:rPr>
                <w:rFonts w:hint="eastAsia" w:ascii="宋体" w:hAnsi="宋体" w:eastAsia="宋体" w:cs="宋体"/>
                <w:b/>
                <w:bCs/>
                <w:color w:val="auto"/>
                <w:sz w:val="24"/>
                <w:szCs w:val="24"/>
                <w:highlight w:val="none"/>
                <w:lang w:val="en-US" w:eastAsia="zh-CN"/>
              </w:rPr>
              <w:t>服务单位证明的</w:t>
            </w:r>
            <w:r>
              <w:rPr>
                <w:rFonts w:hint="eastAsia" w:ascii="宋体" w:hAnsi="宋体" w:eastAsia="宋体" w:cs="宋体"/>
                <w:b/>
                <w:bCs/>
                <w:color w:val="auto"/>
                <w:sz w:val="24"/>
                <w:szCs w:val="24"/>
                <w:highlight w:val="none"/>
              </w:rPr>
              <w:t>扫描件或复印件，</w:t>
            </w:r>
            <w:r>
              <w:rPr>
                <w:rFonts w:hint="eastAsia" w:ascii="宋体" w:hAnsi="宋体" w:eastAsia="宋体" w:cs="宋体"/>
                <w:b/>
                <w:bCs/>
                <w:color w:val="auto"/>
                <w:sz w:val="24"/>
                <w:szCs w:val="24"/>
                <w:highlight w:val="none"/>
                <w:lang w:val="en-US" w:eastAsia="zh-CN"/>
              </w:rPr>
              <w:t>并加盖供应商公章；</w:t>
            </w:r>
            <w:r>
              <w:rPr>
                <w:rFonts w:hint="default" w:ascii="宋体" w:hAnsi="宋体" w:eastAsia="宋体" w:cs="宋体"/>
                <w:b/>
                <w:bCs/>
                <w:color w:val="auto"/>
                <w:sz w:val="24"/>
                <w:szCs w:val="24"/>
                <w:highlight w:val="none"/>
                <w:lang w:val="en-US" w:eastAsia="zh-CN"/>
              </w:rPr>
              <w:t>③</w:t>
            </w:r>
            <w:r>
              <w:rPr>
                <w:rFonts w:hint="eastAsia" w:ascii="宋体" w:hAnsi="宋体" w:eastAsia="宋体" w:cs="宋体"/>
                <w:b/>
                <w:bCs/>
                <w:color w:val="auto"/>
                <w:sz w:val="24"/>
                <w:szCs w:val="24"/>
                <w:highlight w:val="none"/>
                <w:lang w:val="en-US" w:eastAsia="zh-CN"/>
              </w:rPr>
              <w:t>税务结算发票（至少提供一张，且开具日期在本项目公告发布之日前）的</w:t>
            </w:r>
            <w:r>
              <w:rPr>
                <w:rFonts w:hint="eastAsia" w:ascii="宋体" w:hAnsi="宋体" w:eastAsia="宋体" w:cs="宋体"/>
                <w:b/>
                <w:bCs/>
                <w:color w:val="auto"/>
                <w:sz w:val="24"/>
                <w:szCs w:val="24"/>
                <w:highlight w:val="none"/>
              </w:rPr>
              <w:t>扫描件或复印件，</w:t>
            </w:r>
            <w:r>
              <w:rPr>
                <w:rFonts w:hint="eastAsia" w:ascii="宋体" w:hAnsi="宋体" w:eastAsia="宋体" w:cs="宋体"/>
                <w:b/>
                <w:bCs/>
                <w:color w:val="auto"/>
                <w:sz w:val="24"/>
                <w:szCs w:val="24"/>
                <w:highlight w:val="none"/>
                <w:lang w:val="en-US" w:eastAsia="zh-CN"/>
              </w:rPr>
              <w:t>并加盖供应商公章。</w:t>
            </w:r>
          </w:p>
        </w:tc>
        <w:tc>
          <w:tcPr>
            <w:tcW w:w="747"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548" w:type="dxa"/>
            <w:vMerge w:val="continue"/>
            <w:noWrap w:val="0"/>
            <w:vAlign w:val="center"/>
          </w:tcPr>
          <w:p>
            <w:pPr>
              <w:tabs>
                <w:tab w:val="left" w:pos="10546"/>
              </w:tabs>
              <w:spacing w:line="360" w:lineRule="auto"/>
              <w:jc w:val="center"/>
              <w:rPr>
                <w:rFonts w:hint="eastAsia" w:ascii="宋体" w:hAnsi="宋体" w:cs="宋体"/>
                <w:color w:val="auto"/>
                <w:sz w:val="24"/>
                <w:szCs w:val="24"/>
                <w:highlight w:val="none"/>
              </w:rPr>
            </w:pPr>
          </w:p>
        </w:tc>
        <w:tc>
          <w:tcPr>
            <w:tcW w:w="1633" w:type="dxa"/>
            <w:vMerge w:val="continue"/>
            <w:noWrap w:val="0"/>
            <w:vAlign w:val="center"/>
          </w:tcPr>
          <w:p>
            <w:pPr>
              <w:widowControl/>
              <w:jc w:val="center"/>
              <w:rPr>
                <w:rFonts w:hint="eastAsia" w:ascii="宋体" w:hAnsi="宋体" w:cs="宋体"/>
                <w:color w:val="auto"/>
                <w:kern w:val="0"/>
                <w:sz w:val="24"/>
                <w:szCs w:val="24"/>
                <w:highlight w:val="none"/>
              </w:rPr>
            </w:pPr>
          </w:p>
        </w:tc>
        <w:tc>
          <w:tcPr>
            <w:tcW w:w="6110" w:type="dxa"/>
            <w:noWrap w:val="0"/>
            <w:vAlign w:val="center"/>
          </w:tcPr>
          <w:p>
            <w:pPr>
              <w:pStyle w:val="92"/>
              <w:numPr>
                <w:ilvl w:val="0"/>
                <w:numId w:val="0"/>
              </w:num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供应商在新冠肺炎疫情期间，服务供餐全封闭单位人数500人（含）以上的，且得到服务单位优良或满意评价的，得2分。</w:t>
            </w:r>
          </w:p>
          <w:p>
            <w:pPr>
              <w:widowControl/>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注：若合同内容中体现不出评审要素（</w:t>
            </w:r>
            <w:r>
              <w:rPr>
                <w:rFonts w:hint="eastAsia" w:ascii="宋体" w:hAnsi="宋体" w:cs="宋体"/>
                <w:b/>
                <w:bCs/>
                <w:color w:val="auto"/>
                <w:sz w:val="24"/>
                <w:szCs w:val="24"/>
                <w:highlight w:val="none"/>
                <w:lang w:val="en-US" w:eastAsia="zh-CN"/>
              </w:rPr>
              <w:t>是否为全封闭形式、供餐人数</w:t>
            </w:r>
            <w:r>
              <w:rPr>
                <w:rFonts w:hint="eastAsia" w:ascii="宋体" w:hAnsi="宋体" w:cs="宋体"/>
                <w:b/>
                <w:bCs/>
                <w:color w:val="auto"/>
                <w:sz w:val="24"/>
                <w:szCs w:val="24"/>
                <w:highlight w:val="none"/>
              </w:rPr>
              <w:t>等），须</w:t>
            </w:r>
            <w:r>
              <w:rPr>
                <w:rFonts w:hint="eastAsia" w:ascii="宋体" w:hAnsi="宋体" w:cs="宋体"/>
                <w:b/>
                <w:bCs/>
                <w:color w:val="auto"/>
                <w:sz w:val="24"/>
                <w:szCs w:val="24"/>
                <w:highlight w:val="none"/>
                <w:lang w:val="en-US" w:eastAsia="zh-CN"/>
              </w:rPr>
              <w:t>在服务单位证明中充分体现</w:t>
            </w:r>
            <w:r>
              <w:rPr>
                <w:rFonts w:hint="eastAsia" w:ascii="宋体" w:hAnsi="宋体" w:cs="宋体"/>
                <w:b/>
                <w:bCs/>
                <w:color w:val="auto"/>
                <w:sz w:val="24"/>
                <w:szCs w:val="24"/>
                <w:highlight w:val="none"/>
              </w:rPr>
              <w:t>。</w:t>
            </w:r>
          </w:p>
          <w:p>
            <w:pPr>
              <w:widowControl/>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u w:val="single"/>
              </w:rPr>
              <w:t>每个业绩须</w:t>
            </w:r>
            <w:r>
              <w:rPr>
                <w:rFonts w:hint="eastAsia" w:ascii="宋体" w:hAnsi="宋体" w:cs="宋体"/>
                <w:b/>
                <w:bCs/>
                <w:color w:val="auto"/>
                <w:sz w:val="24"/>
                <w:szCs w:val="24"/>
                <w:highlight w:val="none"/>
                <w:u w:val="single"/>
                <w:lang w:val="en-US" w:eastAsia="zh-CN"/>
              </w:rPr>
              <w:t>同时</w:t>
            </w:r>
            <w:r>
              <w:rPr>
                <w:rFonts w:hint="eastAsia" w:ascii="宋体" w:hAnsi="宋体" w:cs="宋体"/>
                <w:b/>
                <w:bCs/>
                <w:color w:val="auto"/>
                <w:sz w:val="24"/>
                <w:szCs w:val="24"/>
                <w:highlight w:val="none"/>
                <w:u w:val="single"/>
              </w:rPr>
              <w:t>提供：</w:t>
            </w:r>
            <w:r>
              <w:rPr>
                <w:rFonts w:hint="eastAsia" w:ascii="宋体" w:hAnsi="宋体" w:cs="宋体"/>
                <w:b/>
                <w:bCs/>
                <w:color w:val="auto"/>
                <w:sz w:val="24"/>
                <w:szCs w:val="24"/>
                <w:highlight w:val="none"/>
              </w:rPr>
              <w:t>①完整清晰的合同扫描件或复印件</w:t>
            </w:r>
            <w:r>
              <w:rPr>
                <w:rFonts w:hint="eastAsia" w:ascii="宋体" w:hAnsi="宋体" w:eastAsia="宋体" w:cs="宋体"/>
                <w:b/>
                <w:bCs/>
                <w:color w:val="auto"/>
                <w:kern w:val="0"/>
                <w:sz w:val="24"/>
                <w:szCs w:val="24"/>
                <w:highlight w:val="none"/>
                <w:lang w:val="en-US" w:eastAsia="zh-CN"/>
              </w:rPr>
              <w:t>，并加盖供应商公</w:t>
            </w:r>
            <w:r>
              <w:rPr>
                <w:rFonts w:hint="eastAsia" w:ascii="宋体" w:hAnsi="宋体" w:eastAsia="宋体" w:cs="宋体"/>
                <w:b/>
                <w:bCs/>
                <w:color w:val="auto"/>
                <w:sz w:val="24"/>
                <w:szCs w:val="24"/>
                <w:highlight w:val="none"/>
                <w:lang w:val="en-US" w:eastAsia="zh-CN"/>
              </w:rPr>
              <w:t>章</w:t>
            </w:r>
            <w:r>
              <w:rPr>
                <w:rFonts w:hint="eastAsia" w:ascii="宋体" w:hAnsi="宋体" w:eastAsia="宋体" w:cs="宋体"/>
                <w:b/>
                <w:bCs/>
                <w:color w:val="auto"/>
                <w:sz w:val="24"/>
                <w:szCs w:val="24"/>
                <w:highlight w:val="none"/>
              </w:rPr>
              <w:t>；②</w:t>
            </w:r>
            <w:r>
              <w:rPr>
                <w:rFonts w:hint="eastAsia" w:ascii="宋体" w:hAnsi="宋体" w:eastAsia="宋体" w:cs="宋体"/>
                <w:b/>
                <w:bCs/>
                <w:color w:val="auto"/>
                <w:sz w:val="24"/>
                <w:szCs w:val="24"/>
                <w:highlight w:val="none"/>
                <w:lang w:val="en-US" w:eastAsia="zh-CN"/>
              </w:rPr>
              <w:t>服务单位证明的</w:t>
            </w:r>
            <w:r>
              <w:rPr>
                <w:rFonts w:hint="eastAsia" w:ascii="宋体" w:hAnsi="宋体" w:eastAsia="宋体" w:cs="宋体"/>
                <w:b/>
                <w:bCs/>
                <w:color w:val="auto"/>
                <w:sz w:val="24"/>
                <w:szCs w:val="24"/>
                <w:highlight w:val="none"/>
              </w:rPr>
              <w:t>扫描件或复印件，</w:t>
            </w:r>
            <w:r>
              <w:rPr>
                <w:rFonts w:hint="eastAsia" w:ascii="宋体" w:hAnsi="宋体" w:eastAsia="宋体" w:cs="宋体"/>
                <w:b/>
                <w:bCs/>
                <w:color w:val="auto"/>
                <w:sz w:val="24"/>
                <w:szCs w:val="24"/>
                <w:highlight w:val="none"/>
                <w:lang w:val="en-US" w:eastAsia="zh-CN"/>
              </w:rPr>
              <w:t>并加盖供应商公章；</w:t>
            </w:r>
            <w:r>
              <w:rPr>
                <w:rFonts w:hint="default" w:ascii="宋体" w:hAnsi="宋体" w:eastAsia="宋体" w:cs="宋体"/>
                <w:b/>
                <w:bCs/>
                <w:color w:val="auto"/>
                <w:sz w:val="24"/>
                <w:szCs w:val="24"/>
                <w:highlight w:val="none"/>
                <w:lang w:val="en-US" w:eastAsia="zh-CN"/>
              </w:rPr>
              <w:t>③</w:t>
            </w:r>
            <w:r>
              <w:rPr>
                <w:rFonts w:hint="eastAsia" w:ascii="宋体" w:hAnsi="宋体" w:eastAsia="宋体" w:cs="宋体"/>
                <w:b/>
                <w:bCs/>
                <w:color w:val="auto"/>
                <w:sz w:val="24"/>
                <w:szCs w:val="24"/>
                <w:highlight w:val="none"/>
                <w:lang w:val="en-US" w:eastAsia="zh-CN"/>
              </w:rPr>
              <w:t>税务结算发票（至少提供一张，且开具日期在本项目公告发布之日前）的</w:t>
            </w:r>
            <w:r>
              <w:rPr>
                <w:rFonts w:hint="eastAsia" w:ascii="宋体" w:hAnsi="宋体" w:eastAsia="宋体" w:cs="宋体"/>
                <w:b/>
                <w:bCs/>
                <w:color w:val="auto"/>
                <w:sz w:val="24"/>
                <w:szCs w:val="24"/>
                <w:highlight w:val="none"/>
              </w:rPr>
              <w:t>扫描件或复印件，</w:t>
            </w:r>
            <w:r>
              <w:rPr>
                <w:rFonts w:hint="eastAsia" w:ascii="宋体" w:hAnsi="宋体" w:eastAsia="宋体" w:cs="宋体"/>
                <w:b/>
                <w:bCs/>
                <w:color w:val="auto"/>
                <w:sz w:val="24"/>
                <w:szCs w:val="24"/>
                <w:highlight w:val="none"/>
                <w:lang w:val="en-US" w:eastAsia="zh-CN"/>
              </w:rPr>
              <w:t>并加盖供应商公章。</w:t>
            </w:r>
          </w:p>
        </w:tc>
        <w:tc>
          <w:tcPr>
            <w:tcW w:w="747" w:type="dxa"/>
            <w:noWrap w:val="0"/>
            <w:vAlign w:val="center"/>
          </w:tcPr>
          <w:p>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548" w:type="dxa"/>
            <w:noWrap w:val="0"/>
            <w:vAlign w:val="center"/>
          </w:tcPr>
          <w:p>
            <w:pPr>
              <w:tabs>
                <w:tab w:val="left" w:pos="10546"/>
              </w:tabs>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633" w:type="dxa"/>
            <w:noWrap w:val="0"/>
            <w:vAlign w:val="center"/>
          </w:tcPr>
          <w:p>
            <w:pPr>
              <w:widowControl/>
              <w:jc w:val="center"/>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拟派</w:t>
            </w:r>
            <w:r>
              <w:rPr>
                <w:rFonts w:hint="eastAsia" w:ascii="宋体" w:hAnsi="宋体" w:eastAsia="宋体" w:cs="Times New Roman"/>
                <w:color w:val="auto"/>
                <w:sz w:val="24"/>
                <w:szCs w:val="24"/>
                <w:highlight w:val="none"/>
                <w:lang w:val="en-US" w:eastAsia="zh-CN"/>
              </w:rPr>
              <w:t>项目</w:t>
            </w:r>
          </w:p>
          <w:p>
            <w:pPr>
              <w:widowControl/>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负责人</w:t>
            </w:r>
          </w:p>
          <w:p>
            <w:pPr>
              <w:widowControl/>
              <w:jc w:val="center"/>
              <w:rPr>
                <w:rFonts w:hint="default" w:ascii="宋体" w:hAnsi="宋体" w:cs="宋体"/>
                <w:color w:val="auto"/>
                <w:kern w:val="0"/>
                <w:sz w:val="24"/>
                <w:szCs w:val="24"/>
                <w:highlight w:val="none"/>
                <w:lang w:val="en-US" w:eastAsia="zh-CN"/>
              </w:rPr>
            </w:pPr>
            <w:r>
              <w:rPr>
                <w:rFonts w:hint="eastAsia" w:ascii="宋体" w:hAnsi="宋体" w:eastAsia="宋体" w:cs="Times New Roman"/>
                <w:color w:val="auto"/>
                <w:sz w:val="24"/>
                <w:szCs w:val="24"/>
                <w:highlight w:val="none"/>
                <w:lang w:val="en-US" w:eastAsia="zh-CN"/>
              </w:rPr>
              <w:t>（厨师长）</w:t>
            </w:r>
          </w:p>
        </w:tc>
        <w:tc>
          <w:tcPr>
            <w:tcW w:w="6110" w:type="dxa"/>
            <w:noWrap w:val="0"/>
            <w:vAlign w:val="center"/>
          </w:tcPr>
          <w:p>
            <w:pPr>
              <w:numPr>
                <w:ilvl w:val="0"/>
                <w:numId w:val="5"/>
              </w:numPr>
              <w:jc w:val="both"/>
              <w:rPr>
                <w:rFonts w:hint="eastAsia"/>
                <w:color w:val="auto"/>
                <w:highlight w:val="none"/>
                <w:lang w:val="en-US" w:eastAsia="zh-CN"/>
              </w:rPr>
            </w:pPr>
            <w:r>
              <w:rPr>
                <w:rFonts w:hint="eastAsia" w:ascii="宋体" w:hAnsi="宋体" w:eastAsia="宋体" w:cs="Times New Roman"/>
                <w:color w:val="auto"/>
                <w:sz w:val="24"/>
                <w:szCs w:val="24"/>
                <w:highlight w:val="none"/>
                <w:lang w:val="en-US" w:eastAsia="zh-CN"/>
              </w:rPr>
              <w:t>具有中式烹调师高级</w:t>
            </w:r>
            <w:r>
              <w:rPr>
                <w:rFonts w:hint="eastAsia" w:ascii="宋体" w:hAnsi="宋体" w:cs="Times New Roman"/>
                <w:color w:val="auto"/>
                <w:sz w:val="24"/>
                <w:szCs w:val="24"/>
                <w:highlight w:val="none"/>
                <w:lang w:val="en-US" w:eastAsia="zh-CN"/>
              </w:rPr>
              <w:t>及以上的</w:t>
            </w:r>
            <w:r>
              <w:rPr>
                <w:rFonts w:hint="eastAsia" w:ascii="宋体" w:hAnsi="宋体" w:eastAsia="宋体" w:cs="Times New Roman"/>
                <w:color w:val="auto"/>
                <w:sz w:val="24"/>
                <w:szCs w:val="24"/>
                <w:highlight w:val="none"/>
                <w:lang w:val="en-US" w:eastAsia="zh-CN"/>
              </w:rPr>
              <w:t>，得4分，具有中式烹调师</w:t>
            </w:r>
            <w:r>
              <w:rPr>
                <w:rFonts w:hint="eastAsia" w:ascii="宋体" w:hAnsi="宋体" w:cs="Times New Roman"/>
                <w:color w:val="auto"/>
                <w:sz w:val="24"/>
                <w:szCs w:val="24"/>
                <w:highlight w:val="none"/>
                <w:lang w:val="en-US" w:eastAsia="zh-CN"/>
              </w:rPr>
              <w:t>中级的</w:t>
            </w:r>
            <w:r>
              <w:rPr>
                <w:rFonts w:hint="eastAsia" w:ascii="宋体" w:hAnsi="宋体" w:eastAsia="宋体" w:cs="Times New Roman"/>
                <w:color w:val="auto"/>
                <w:sz w:val="24"/>
                <w:szCs w:val="24"/>
                <w:highlight w:val="none"/>
                <w:lang w:val="en-US" w:eastAsia="zh-CN"/>
              </w:rPr>
              <w:t>，得3分，具有中式烹调师</w:t>
            </w:r>
            <w:r>
              <w:rPr>
                <w:rFonts w:hint="eastAsia" w:ascii="宋体" w:hAnsi="宋体" w:cs="Times New Roman"/>
                <w:color w:val="auto"/>
                <w:sz w:val="24"/>
                <w:szCs w:val="24"/>
                <w:highlight w:val="none"/>
                <w:lang w:val="en-US" w:eastAsia="zh-CN"/>
              </w:rPr>
              <w:t>初级</w:t>
            </w:r>
            <w:r>
              <w:rPr>
                <w:rFonts w:hint="eastAsia" w:ascii="宋体" w:hAnsi="宋体" w:eastAsia="宋体" w:cs="Times New Roman"/>
                <w:color w:val="auto"/>
                <w:sz w:val="24"/>
                <w:szCs w:val="24"/>
                <w:highlight w:val="none"/>
                <w:lang w:val="en-US" w:eastAsia="zh-CN"/>
              </w:rPr>
              <w:t>的，得2分。</w:t>
            </w:r>
          </w:p>
          <w:p>
            <w:pPr>
              <w:jc w:val="both"/>
              <w:rPr>
                <w:rFonts w:hint="default"/>
                <w:color w:val="auto"/>
                <w:highlight w:val="none"/>
                <w:lang w:val="en-US" w:eastAsia="zh-CN"/>
              </w:rPr>
            </w:pPr>
            <w:r>
              <w:rPr>
                <w:rFonts w:hint="eastAsia" w:ascii="宋体" w:hAnsi="宋体" w:eastAsia="宋体" w:cs="Times New Roman"/>
                <w:b/>
                <w:bCs/>
                <w:color w:val="auto"/>
                <w:sz w:val="24"/>
                <w:szCs w:val="24"/>
                <w:highlight w:val="none"/>
                <w:u w:val="single"/>
                <w:lang w:val="en-US" w:eastAsia="zh-CN"/>
              </w:rPr>
              <w:t>须同时提供：</w:t>
            </w:r>
            <w:r>
              <w:rPr>
                <w:rFonts w:hint="eastAsia" w:ascii="宋体" w:hAnsi="宋体" w:eastAsia="宋体" w:cs="Times New Roman"/>
                <w:b/>
                <w:bCs/>
                <w:color w:val="auto"/>
                <w:sz w:val="24"/>
                <w:szCs w:val="24"/>
                <w:highlight w:val="none"/>
                <w:lang w:val="en-US" w:eastAsia="zh-CN"/>
              </w:rPr>
              <w:t>①与磋商响应供应商签订的有效劳动合同原件的复印件或扫描件，并加盖供应商公章；②社保机构出具并盖章的磋商响应供应商为其连续缴纳6个月（至少缴纳至2022年5月）的社会保险缴费清单原件的复印件或扫描件，并加盖供应商公章；</w:t>
            </w:r>
            <w:r>
              <w:rPr>
                <w:rFonts w:hint="default" w:ascii="宋体" w:hAnsi="宋体" w:eastAsia="宋体" w:cs="Times New Roman"/>
                <w:b/>
                <w:bCs/>
                <w:color w:val="auto"/>
                <w:sz w:val="24"/>
                <w:szCs w:val="24"/>
                <w:highlight w:val="none"/>
                <w:lang w:val="en-US" w:eastAsia="zh-CN"/>
              </w:rPr>
              <w:t>③</w:t>
            </w:r>
            <w:r>
              <w:rPr>
                <w:rFonts w:hint="eastAsia" w:ascii="宋体" w:hAnsi="宋体" w:eastAsia="宋体" w:cs="Times New Roman"/>
                <w:b/>
                <w:bCs/>
                <w:color w:val="auto"/>
                <w:sz w:val="24"/>
                <w:szCs w:val="24"/>
                <w:highlight w:val="none"/>
                <w:lang w:val="en-US" w:eastAsia="zh-CN"/>
              </w:rPr>
              <w:t>相关证书原件的复印件或扫描件，并加盖供应商公章。</w:t>
            </w:r>
          </w:p>
        </w:tc>
        <w:tc>
          <w:tcPr>
            <w:tcW w:w="747" w:type="dxa"/>
            <w:noWrap w:val="0"/>
            <w:vAlign w:val="center"/>
          </w:tcPr>
          <w:p>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trPr>
        <w:tc>
          <w:tcPr>
            <w:tcW w:w="548" w:type="dxa"/>
            <w:noWrap w:val="0"/>
            <w:vAlign w:val="center"/>
          </w:tcPr>
          <w:p>
            <w:pPr>
              <w:tabs>
                <w:tab w:val="left" w:pos="10546"/>
              </w:tabs>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633" w:type="dxa"/>
            <w:noWrap w:val="0"/>
            <w:vAlign w:val="center"/>
          </w:tcPr>
          <w:p>
            <w:pPr>
              <w:widowControl/>
              <w:jc w:val="center"/>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拟派团队</w:t>
            </w:r>
          </w:p>
          <w:p>
            <w:pPr>
              <w:widowControl/>
              <w:jc w:val="center"/>
              <w:rPr>
                <w:rFonts w:hint="eastAsia" w:ascii="宋体" w:hAnsi="宋体" w:cs="宋体"/>
                <w:color w:val="auto"/>
                <w:kern w:val="0"/>
                <w:sz w:val="24"/>
                <w:szCs w:val="24"/>
                <w:highlight w:val="none"/>
                <w:lang w:val="en-US" w:eastAsia="zh-CN"/>
              </w:rPr>
            </w:pPr>
            <w:r>
              <w:rPr>
                <w:rFonts w:hint="eastAsia" w:ascii="宋体" w:hAnsi="宋体" w:cs="Times New Roman"/>
                <w:color w:val="auto"/>
                <w:sz w:val="24"/>
                <w:szCs w:val="24"/>
                <w:highlight w:val="none"/>
                <w:lang w:val="en-US" w:eastAsia="zh-CN"/>
              </w:rPr>
              <w:t>其他</w:t>
            </w:r>
            <w:r>
              <w:rPr>
                <w:rFonts w:hint="eastAsia" w:ascii="宋体" w:hAnsi="宋体" w:eastAsia="宋体" w:cs="Times New Roman"/>
                <w:color w:val="auto"/>
                <w:sz w:val="24"/>
                <w:szCs w:val="24"/>
                <w:highlight w:val="none"/>
                <w:lang w:val="en-US" w:eastAsia="zh-CN"/>
              </w:rPr>
              <w:t>人员</w:t>
            </w:r>
          </w:p>
        </w:tc>
        <w:tc>
          <w:tcPr>
            <w:tcW w:w="61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除项目负责人（厨师长）外：</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①</w:t>
            </w:r>
            <w:r>
              <w:rPr>
                <w:rFonts w:hint="eastAsia" w:ascii="宋体" w:hAnsi="宋体" w:eastAsia="宋体" w:cs="Times New Roman"/>
                <w:color w:val="auto"/>
                <w:sz w:val="24"/>
                <w:szCs w:val="24"/>
                <w:highlight w:val="none"/>
                <w:lang w:val="en-US" w:eastAsia="zh-CN"/>
              </w:rPr>
              <w:t xml:space="preserve"> 具高级营养师证书的，得2分；具有中级营养师证书的得1分，具有初级营养师证书得0.5分；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②</w:t>
            </w:r>
            <w:r>
              <w:rPr>
                <w:rFonts w:hint="eastAsia" w:ascii="宋体" w:hAnsi="宋体" w:eastAsia="宋体" w:cs="Times New Roman"/>
                <w:color w:val="auto"/>
                <w:sz w:val="24"/>
                <w:szCs w:val="24"/>
                <w:highlight w:val="none"/>
                <w:lang w:val="en-US" w:eastAsia="zh-CN"/>
              </w:rPr>
              <w:t xml:space="preserve"> 具有高级中式点心师或高级西式点心师证书的，得2分；具有中级中式点心师或中级西式点心师证书的，得1分，具有初级中式点心师或初级西式点心师证书的，得0.5分；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③</w:t>
            </w:r>
            <w:r>
              <w:rPr>
                <w:rFonts w:hint="eastAsia" w:ascii="宋体" w:hAnsi="宋体" w:eastAsia="宋体" w:cs="Times New Roman"/>
                <w:color w:val="auto"/>
                <w:sz w:val="24"/>
                <w:szCs w:val="24"/>
                <w:highlight w:val="none"/>
                <w:lang w:val="en-US" w:eastAsia="zh-CN"/>
              </w:rPr>
              <w:t xml:space="preserve"> 具有高级膳食疗养师的，得2分，中级膳食疗养师的，得1分，初级膳食疗养师的，得0.5分；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④ 具有高级食品安全员证书的，得2分，中级级食品安全员证书得，得1分，初级食品安全员证书的，得0.5分；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⑤ 具有高级食品专职管理员证书的得2分，中级食品专职管理员证书的得1分，初级食品专职管理员证书，得0.5分</w:t>
            </w:r>
            <w:r>
              <w:rPr>
                <w:rFonts w:hint="eastAsia" w:ascii="宋体" w:hAnsi="宋体" w:cs="Times New Roman"/>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⑥ 具有高级仓库管理员证书的，得2分，中级仓库管理员证书的，得1分，初级仓库管理员证书的，得0.5分。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Times New Roman"/>
                <w:b/>
                <w:bCs/>
                <w:color w:val="auto"/>
                <w:sz w:val="24"/>
                <w:szCs w:val="24"/>
                <w:highlight w:val="none"/>
                <w:u w:val="none"/>
                <w:lang w:val="en-US" w:eastAsia="zh-CN"/>
              </w:rPr>
            </w:pPr>
            <w:r>
              <w:rPr>
                <w:rFonts w:hint="eastAsia" w:ascii="宋体" w:hAnsi="宋体" w:cs="Times New Roman"/>
                <w:b/>
                <w:bCs/>
                <w:color w:val="auto"/>
                <w:sz w:val="24"/>
                <w:szCs w:val="24"/>
                <w:highlight w:val="none"/>
                <w:u w:val="none"/>
                <w:lang w:val="en-US" w:eastAsia="zh-CN"/>
              </w:rPr>
              <w:t>注：同一人且为不同类别证书的可兼得分。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u w:val="single"/>
                <w:lang w:val="en-US" w:eastAsia="zh-CN"/>
              </w:rPr>
              <w:t>须同时提供</w:t>
            </w:r>
            <w:r>
              <w:rPr>
                <w:rFonts w:hint="eastAsia" w:ascii="宋体" w:hAnsi="宋体" w:eastAsia="宋体" w:cs="Times New Roman"/>
                <w:b/>
                <w:bCs/>
                <w:color w:val="auto"/>
                <w:sz w:val="24"/>
                <w:szCs w:val="24"/>
                <w:highlight w:val="none"/>
                <w:lang w:val="en-US" w:eastAsia="zh-CN"/>
              </w:rPr>
              <w:t>：①与磋商响应供应商签订的有效劳动合同原件的复印件或扫描件，并加盖供应商公章；②社保机构出具并盖章的磋商响应供应商为其连续缴纳6个月（至少缴纳至2022年5月）的社会保险缴费清单原件的复印件或扫描件，并加盖供应商公章；</w:t>
            </w:r>
            <w:r>
              <w:rPr>
                <w:rFonts w:hint="default" w:ascii="宋体" w:hAnsi="宋体" w:eastAsia="宋体" w:cs="Times New Roman"/>
                <w:b/>
                <w:bCs/>
                <w:color w:val="auto"/>
                <w:sz w:val="24"/>
                <w:szCs w:val="24"/>
                <w:highlight w:val="none"/>
                <w:lang w:val="en-US" w:eastAsia="zh-CN"/>
              </w:rPr>
              <w:t>③</w:t>
            </w:r>
            <w:r>
              <w:rPr>
                <w:rFonts w:hint="eastAsia" w:ascii="宋体" w:hAnsi="宋体" w:eastAsia="宋体" w:cs="Times New Roman"/>
                <w:b/>
                <w:bCs/>
                <w:color w:val="auto"/>
                <w:sz w:val="24"/>
                <w:szCs w:val="24"/>
                <w:highlight w:val="none"/>
                <w:lang w:val="en-US" w:eastAsia="zh-CN"/>
              </w:rPr>
              <w:t>相关证书原件的复印件或扫描件，并加盖供应商公章。</w:t>
            </w:r>
          </w:p>
          <w:p>
            <w:pPr>
              <w:pStyle w:val="4"/>
              <w:numPr>
                <w:ilvl w:val="0"/>
                <w:numId w:val="0"/>
              </w:numPr>
              <w:rPr>
                <w:rFonts w:hint="default"/>
                <w:color w:val="auto"/>
                <w:highlight w:val="none"/>
                <w:lang w:val="en-US" w:eastAsia="zh-CN"/>
              </w:rPr>
            </w:pPr>
          </w:p>
        </w:tc>
        <w:tc>
          <w:tcPr>
            <w:tcW w:w="747" w:type="dxa"/>
            <w:noWrap w:val="0"/>
            <w:vAlign w:val="center"/>
          </w:tcPr>
          <w:p>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48" w:type="dxa"/>
            <w:vMerge w:val="restart"/>
            <w:noWrap w:val="0"/>
            <w:vAlign w:val="center"/>
          </w:tcPr>
          <w:p>
            <w:pPr>
              <w:tabs>
                <w:tab w:val="left" w:pos="1054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1633" w:type="dxa"/>
            <w:vMerge w:val="restart"/>
            <w:noWrap w:val="0"/>
            <w:vAlign w:val="center"/>
          </w:tcPr>
          <w:p>
            <w:pPr>
              <w:pStyle w:val="92"/>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菜谱</w:t>
            </w:r>
          </w:p>
          <w:p>
            <w:pPr>
              <w:pStyle w:val="92"/>
              <w:jc w:val="center"/>
              <w:rPr>
                <w:rFonts w:hint="default" w:eastAsia="宋体"/>
                <w:color w:val="auto"/>
                <w:highlight w:val="none"/>
                <w:lang w:val="en-US" w:eastAsia="zh-CN"/>
              </w:rPr>
            </w:pPr>
            <w:r>
              <w:rPr>
                <w:rFonts w:hint="eastAsia" w:ascii="宋体" w:hAnsi="宋体" w:eastAsia="宋体" w:cs="宋体"/>
                <w:color w:val="auto"/>
                <w:sz w:val="24"/>
                <w:szCs w:val="24"/>
                <w:highlight w:val="none"/>
                <w:lang w:eastAsia="zh-CN" w:bidi="ar-SA"/>
              </w:rPr>
              <w:t>方案</w:t>
            </w:r>
          </w:p>
        </w:tc>
        <w:tc>
          <w:tcPr>
            <w:tcW w:w="6110" w:type="dxa"/>
            <w:noWrap w:val="0"/>
            <w:vAlign w:val="center"/>
          </w:tcPr>
          <w:p>
            <w:pPr>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投标人提供2周的菜谱（春夏和秋冬季各1周），根据投标人提供菜谱的量、质进行比较评分，综合评分好</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10</w:t>
            </w:r>
            <w:r>
              <w:rPr>
                <w:rFonts w:hint="eastAsia" w:ascii="宋体" w:hAnsi="宋体" w:eastAsia="宋体"/>
                <w:color w:val="auto"/>
                <w:sz w:val="24"/>
                <w:szCs w:val="24"/>
                <w:highlight w:val="none"/>
              </w:rPr>
              <w:t>分，较好</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分，一般1-</w:t>
            </w: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rPr>
              <w:t>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未提供不得分</w:t>
            </w:r>
            <w:r>
              <w:rPr>
                <w:rFonts w:hint="eastAsia" w:ascii="宋体" w:hAnsi="宋体" w:eastAsia="宋体"/>
                <w:color w:val="auto"/>
                <w:sz w:val="24"/>
                <w:szCs w:val="24"/>
                <w:highlight w:val="none"/>
              </w:rPr>
              <w:t>。</w:t>
            </w:r>
          </w:p>
          <w:p>
            <w:pPr>
              <w:jc w:val="left"/>
              <w:rPr>
                <w:rFonts w:hint="eastAsia" w:ascii="宋体" w:hAnsi="宋体" w:cs="宋体"/>
                <w:color w:val="auto"/>
                <w:kern w:val="0"/>
                <w:sz w:val="24"/>
                <w:szCs w:val="24"/>
                <w:highlight w:val="none"/>
              </w:rPr>
            </w:pPr>
            <w:r>
              <w:rPr>
                <w:rFonts w:hint="eastAsia" w:ascii="宋体" w:hAnsi="宋体" w:eastAsia="宋体"/>
                <w:color w:val="auto"/>
                <w:sz w:val="24"/>
                <w:szCs w:val="24"/>
                <w:highlight w:val="none"/>
              </w:rPr>
              <w:t>注：按照每份快餐价格10元</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含2荤（1大荤、1小荤）2素、米饭1、汤1制作菜谱。</w:t>
            </w:r>
          </w:p>
        </w:tc>
        <w:tc>
          <w:tcPr>
            <w:tcW w:w="747"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548" w:type="dxa"/>
            <w:vMerge w:val="continue"/>
            <w:noWrap w:val="0"/>
            <w:vAlign w:val="center"/>
          </w:tcPr>
          <w:p>
            <w:pPr>
              <w:tabs>
                <w:tab w:val="left" w:pos="10546"/>
              </w:tabs>
              <w:spacing w:line="360" w:lineRule="auto"/>
              <w:jc w:val="center"/>
              <w:rPr>
                <w:rFonts w:hint="eastAsia" w:ascii="宋体" w:hAnsi="宋体" w:cs="宋体"/>
                <w:color w:val="auto"/>
                <w:sz w:val="24"/>
                <w:szCs w:val="24"/>
                <w:highlight w:val="none"/>
              </w:rPr>
            </w:pPr>
          </w:p>
        </w:tc>
        <w:tc>
          <w:tcPr>
            <w:tcW w:w="1633" w:type="dxa"/>
            <w:vMerge w:val="continue"/>
            <w:noWrap w:val="0"/>
            <w:vAlign w:val="center"/>
          </w:tcPr>
          <w:p>
            <w:pPr>
              <w:widowControl/>
              <w:jc w:val="center"/>
              <w:rPr>
                <w:rFonts w:hint="eastAsia" w:ascii="宋体" w:hAnsi="宋体" w:cs="宋体"/>
                <w:color w:val="auto"/>
                <w:kern w:val="0"/>
                <w:sz w:val="24"/>
                <w:szCs w:val="24"/>
                <w:highlight w:val="none"/>
              </w:rPr>
            </w:pPr>
          </w:p>
        </w:tc>
        <w:tc>
          <w:tcPr>
            <w:tcW w:w="6110" w:type="dxa"/>
            <w:noWrap w:val="0"/>
            <w:vAlign w:val="center"/>
          </w:tcPr>
          <w:p>
            <w:pPr>
              <w:adjustRightInd w:val="0"/>
              <w:spacing w:line="360" w:lineRule="atLeast"/>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投标人以高血压、高血脂、糖尿病、肾病、肿瘤、术后、孕产妇为病例制定三天食谱，根据投标人提供菜谱的热量及各营养要素分析、价格进行评分，</w:t>
            </w:r>
            <w:r>
              <w:rPr>
                <w:rFonts w:hint="eastAsia" w:ascii="宋体" w:hAnsi="宋体" w:eastAsia="宋体"/>
                <w:color w:val="auto"/>
                <w:sz w:val="24"/>
                <w:szCs w:val="24"/>
                <w:highlight w:val="none"/>
              </w:rPr>
              <w:t>综合评分好</w:t>
            </w:r>
            <w:r>
              <w:rPr>
                <w:rFonts w:hint="eastAsia" w:ascii="宋体" w:hAnsi="宋体"/>
                <w:color w:val="auto"/>
                <w:sz w:val="24"/>
                <w:szCs w:val="24"/>
                <w:highlight w:val="none"/>
                <w:lang w:val="en-US" w:eastAsia="zh-CN"/>
              </w:rPr>
              <w:t>8</w:t>
            </w:r>
            <w:r>
              <w:rPr>
                <w:rFonts w:hint="eastAsia" w:ascii="宋体" w:hAnsi="宋体" w:eastAsia="宋体"/>
                <w:color w:val="auto"/>
                <w:sz w:val="24"/>
                <w:szCs w:val="24"/>
                <w:highlight w:val="none"/>
              </w:rPr>
              <w:t>-1</w:t>
            </w:r>
            <w:r>
              <w:rPr>
                <w:rFonts w:hint="eastAsia" w:ascii="宋体" w:hAnsi="宋体"/>
                <w:color w:val="auto"/>
                <w:sz w:val="24"/>
                <w:szCs w:val="24"/>
                <w:highlight w:val="none"/>
                <w:lang w:val="en-US" w:eastAsia="zh-CN"/>
              </w:rPr>
              <w:t>0</w:t>
            </w:r>
            <w:r>
              <w:rPr>
                <w:rFonts w:hint="eastAsia" w:ascii="宋体" w:hAnsi="宋体" w:eastAsia="宋体"/>
                <w:color w:val="auto"/>
                <w:sz w:val="24"/>
                <w:szCs w:val="24"/>
                <w:highlight w:val="none"/>
              </w:rPr>
              <w:t>分，较好</w:t>
            </w: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eastAsia="宋体"/>
                <w:color w:val="auto"/>
                <w:sz w:val="24"/>
                <w:szCs w:val="24"/>
                <w:highlight w:val="none"/>
              </w:rPr>
              <w:t>分，一般1-</w:t>
            </w: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rPr>
              <w:t>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未提供不得分</w:t>
            </w:r>
            <w:r>
              <w:rPr>
                <w:rFonts w:hint="eastAsia" w:ascii="宋体" w:hAnsi="宋体" w:eastAsia="宋体"/>
                <w:color w:val="auto"/>
                <w:sz w:val="24"/>
                <w:szCs w:val="24"/>
                <w:highlight w:val="none"/>
              </w:rPr>
              <w:t>。</w:t>
            </w:r>
          </w:p>
        </w:tc>
        <w:tc>
          <w:tcPr>
            <w:tcW w:w="747" w:type="dxa"/>
            <w:noWrap w:val="0"/>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548" w:type="dxa"/>
            <w:noWrap w:val="0"/>
            <w:vAlign w:val="center"/>
          </w:tcPr>
          <w:p>
            <w:pPr>
              <w:tabs>
                <w:tab w:val="left" w:pos="1054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633" w:type="dxa"/>
            <w:noWrap w:val="0"/>
            <w:vAlign w:val="center"/>
          </w:tcPr>
          <w:p>
            <w:pPr>
              <w:pStyle w:val="92"/>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管理制度</w:t>
            </w:r>
          </w:p>
        </w:tc>
        <w:tc>
          <w:tcPr>
            <w:tcW w:w="6110" w:type="dxa"/>
            <w:noWrap w:val="0"/>
            <w:vAlign w:val="center"/>
          </w:tcPr>
          <w:p>
            <w:pPr>
              <w:pStyle w:val="92"/>
              <w:rPr>
                <w:rFonts w:hint="default" w:ascii="宋体" w:hAnsi="宋体" w:cs="宋体"/>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rPr>
              <w:t>根据投标人各项管理制度，包括但不限于（采购管理、仓储管理）等制度的完善性、可能性、实用性等进行综合评价，由评委</w:t>
            </w:r>
            <w:r>
              <w:rPr>
                <w:rFonts w:hint="eastAsia" w:ascii="宋体" w:hAnsi="宋体" w:cs="Times New Roman"/>
                <w:color w:val="auto"/>
                <w:sz w:val="24"/>
                <w:szCs w:val="24"/>
                <w:highlight w:val="none"/>
                <w:lang w:val="en-US" w:eastAsia="zh-CN"/>
              </w:rPr>
              <w:t>根据各响应文件</w:t>
            </w:r>
            <w:r>
              <w:rPr>
                <w:rFonts w:hint="eastAsia" w:ascii="宋体" w:hAnsi="宋体" w:eastAsia="宋体" w:cs="Times New Roman"/>
                <w:color w:val="auto"/>
                <w:sz w:val="24"/>
                <w:szCs w:val="24"/>
                <w:highlight w:val="none"/>
                <w:lang w:val="en-US" w:eastAsia="zh-CN"/>
              </w:rPr>
              <w:t>酌情打分，优</w:t>
            </w:r>
            <w:r>
              <w:rPr>
                <w:rFonts w:hint="eastAsia" w:ascii="宋体" w:hAnsi="宋体" w:cs="Times New Roman"/>
                <w:color w:val="auto"/>
                <w:sz w:val="24"/>
                <w:szCs w:val="24"/>
                <w:highlight w:val="none"/>
                <w:lang w:val="en-US" w:eastAsia="zh-CN"/>
              </w:rPr>
              <w:t>得</w:t>
            </w:r>
            <w:r>
              <w:rPr>
                <w:rFonts w:hint="eastAsia" w:ascii="宋体" w:hAnsi="宋体" w:eastAsia="宋体" w:cs="Times New Roman"/>
                <w:color w:val="auto"/>
                <w:sz w:val="24"/>
                <w:szCs w:val="24"/>
                <w:highlight w:val="none"/>
                <w:lang w:val="en-US" w:eastAsia="zh-CN"/>
              </w:rPr>
              <w:t>7-9分</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良</w:t>
            </w:r>
            <w:r>
              <w:rPr>
                <w:rFonts w:hint="eastAsia" w:ascii="宋体" w:hAnsi="宋体" w:cs="Times New Roman"/>
                <w:color w:val="auto"/>
                <w:sz w:val="24"/>
                <w:szCs w:val="24"/>
                <w:highlight w:val="none"/>
                <w:lang w:val="en-US" w:eastAsia="zh-CN"/>
              </w:rPr>
              <w:t>得</w:t>
            </w:r>
            <w:r>
              <w:rPr>
                <w:rFonts w:hint="eastAsia" w:ascii="宋体" w:hAnsi="宋体" w:eastAsia="宋体" w:cs="Times New Roman"/>
                <w:color w:val="auto"/>
                <w:sz w:val="24"/>
                <w:szCs w:val="24"/>
                <w:highlight w:val="none"/>
                <w:lang w:val="en-US" w:eastAsia="zh-CN"/>
              </w:rPr>
              <w:t>4</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6分</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一般</w:t>
            </w:r>
            <w:r>
              <w:rPr>
                <w:rFonts w:hint="eastAsia" w:ascii="宋体" w:hAnsi="宋体" w:cs="Times New Roman"/>
                <w:color w:val="auto"/>
                <w:sz w:val="24"/>
                <w:szCs w:val="24"/>
                <w:highlight w:val="none"/>
                <w:lang w:val="en-US" w:eastAsia="zh-CN"/>
              </w:rPr>
              <w:t>得</w:t>
            </w:r>
            <w:r>
              <w:rPr>
                <w:rFonts w:hint="eastAsia" w:ascii="宋体" w:hAnsi="宋体" w:eastAsia="宋体" w:cs="Times New Roman"/>
                <w:color w:val="auto"/>
                <w:sz w:val="24"/>
                <w:szCs w:val="24"/>
                <w:highlight w:val="none"/>
                <w:lang w:val="en-US" w:eastAsia="zh-CN"/>
              </w:rPr>
              <w:t>1-3分</w:t>
            </w:r>
            <w:r>
              <w:rPr>
                <w:rFonts w:hint="eastAsia" w:ascii="宋体" w:hAnsi="宋体" w:cs="Times New Roman"/>
                <w:color w:val="auto"/>
                <w:sz w:val="24"/>
                <w:szCs w:val="24"/>
                <w:highlight w:val="none"/>
                <w:lang w:val="en-US" w:eastAsia="zh-CN"/>
              </w:rPr>
              <w:t>，未有描述得0分</w:t>
            </w:r>
            <w:r>
              <w:rPr>
                <w:rFonts w:hint="eastAsia" w:ascii="宋体" w:hAnsi="宋体" w:eastAsia="宋体" w:cs="Times New Roman"/>
                <w:color w:val="auto"/>
                <w:sz w:val="24"/>
                <w:szCs w:val="24"/>
                <w:highlight w:val="none"/>
                <w:lang w:val="en-US" w:eastAsia="zh-CN"/>
              </w:rPr>
              <w:t>。</w:t>
            </w:r>
          </w:p>
        </w:tc>
        <w:tc>
          <w:tcPr>
            <w:tcW w:w="747" w:type="dxa"/>
            <w:noWrap w:val="0"/>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48" w:type="dxa"/>
            <w:noWrap w:val="0"/>
            <w:vAlign w:val="center"/>
          </w:tcPr>
          <w:p>
            <w:pPr>
              <w:tabs>
                <w:tab w:val="left" w:pos="10546"/>
              </w:tabs>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633" w:type="dxa"/>
            <w:noWrap w:val="0"/>
            <w:vAlign w:val="center"/>
          </w:tcPr>
          <w:p>
            <w:pPr>
              <w:pStyle w:val="92"/>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服务承诺、协助优惠及合理化建议</w:t>
            </w:r>
          </w:p>
        </w:tc>
        <w:tc>
          <w:tcPr>
            <w:tcW w:w="6110" w:type="dxa"/>
            <w:noWrap w:val="0"/>
            <w:vAlign w:val="center"/>
          </w:tcPr>
          <w:p>
            <w:pPr>
              <w:pStyle w:val="92"/>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提供24小时供餐服务及其他服务优惠措施，对运营过程中存在的问题有合理化的应对方案。由评委</w:t>
            </w:r>
            <w:r>
              <w:rPr>
                <w:rFonts w:hint="eastAsia" w:ascii="宋体" w:hAnsi="宋体" w:cs="Times New Roman"/>
                <w:color w:val="auto"/>
                <w:sz w:val="24"/>
                <w:szCs w:val="24"/>
                <w:highlight w:val="none"/>
                <w:lang w:val="en-US" w:eastAsia="zh-CN"/>
              </w:rPr>
              <w:t>根据各响应文件</w:t>
            </w:r>
            <w:r>
              <w:rPr>
                <w:rFonts w:hint="eastAsia" w:ascii="宋体" w:hAnsi="宋体" w:eastAsia="宋体" w:cs="Times New Roman"/>
                <w:color w:val="auto"/>
                <w:sz w:val="24"/>
                <w:szCs w:val="24"/>
                <w:highlight w:val="none"/>
                <w:lang w:val="en-US" w:eastAsia="zh-CN"/>
              </w:rPr>
              <w:t>酌情打分，优</w:t>
            </w:r>
            <w:r>
              <w:rPr>
                <w:rFonts w:hint="eastAsia" w:ascii="宋体" w:hAnsi="宋体" w:cs="Times New Roman"/>
                <w:color w:val="auto"/>
                <w:sz w:val="24"/>
                <w:szCs w:val="24"/>
                <w:highlight w:val="none"/>
                <w:lang w:val="en-US" w:eastAsia="zh-CN"/>
              </w:rPr>
              <w:t>得4</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良</w:t>
            </w:r>
            <w:r>
              <w:rPr>
                <w:rFonts w:hint="eastAsia" w:ascii="宋体" w:hAnsi="宋体" w:cs="Times New Roman"/>
                <w:color w:val="auto"/>
                <w:sz w:val="24"/>
                <w:szCs w:val="24"/>
                <w:highlight w:val="none"/>
                <w:lang w:val="en-US" w:eastAsia="zh-CN"/>
              </w:rPr>
              <w:t>得2-3</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一般</w:t>
            </w:r>
            <w:r>
              <w:rPr>
                <w:rFonts w:hint="eastAsia" w:ascii="宋体" w:hAnsi="宋体" w:cs="Times New Roman"/>
                <w:color w:val="auto"/>
                <w:sz w:val="24"/>
                <w:szCs w:val="24"/>
                <w:highlight w:val="none"/>
                <w:lang w:val="en-US" w:eastAsia="zh-CN"/>
              </w:rPr>
              <w:t>得</w:t>
            </w:r>
            <w:r>
              <w:rPr>
                <w:rFonts w:hint="eastAsia" w:ascii="宋体" w:hAnsi="宋体" w:eastAsia="宋体" w:cs="Times New Roman"/>
                <w:color w:val="auto"/>
                <w:sz w:val="24"/>
                <w:szCs w:val="24"/>
                <w:highlight w:val="none"/>
                <w:lang w:val="en-US" w:eastAsia="zh-CN"/>
              </w:rPr>
              <w:t>1分</w:t>
            </w:r>
            <w:r>
              <w:rPr>
                <w:rFonts w:hint="eastAsia" w:ascii="宋体" w:hAnsi="宋体" w:cs="Times New Roman"/>
                <w:color w:val="auto"/>
                <w:sz w:val="24"/>
                <w:szCs w:val="24"/>
                <w:highlight w:val="none"/>
                <w:lang w:val="en-US" w:eastAsia="zh-CN"/>
              </w:rPr>
              <w:t>，未有描述得0分。</w:t>
            </w:r>
          </w:p>
        </w:tc>
        <w:tc>
          <w:tcPr>
            <w:tcW w:w="747" w:type="dxa"/>
            <w:noWrap w:val="0"/>
            <w:vAlign w:val="center"/>
          </w:tcPr>
          <w:p>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548" w:type="dxa"/>
            <w:noWrap w:val="0"/>
            <w:vAlign w:val="center"/>
          </w:tcPr>
          <w:p>
            <w:pPr>
              <w:tabs>
                <w:tab w:val="left" w:pos="10546"/>
              </w:tabs>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633" w:type="dxa"/>
            <w:noWrap w:val="0"/>
            <w:vAlign w:val="center"/>
          </w:tcPr>
          <w:p>
            <w:pPr>
              <w:pStyle w:val="92"/>
              <w:jc w:val="center"/>
              <w:rPr>
                <w:rFonts w:hint="default"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应急预案</w:t>
            </w:r>
          </w:p>
        </w:tc>
        <w:tc>
          <w:tcPr>
            <w:tcW w:w="6110" w:type="dxa"/>
            <w:noWrap w:val="0"/>
            <w:vAlign w:val="center"/>
          </w:tcPr>
          <w:p>
            <w:pPr>
              <w:pStyle w:val="92"/>
              <w:numPr>
                <w:ilvl w:val="0"/>
                <w:numId w:val="0"/>
              </w:numPr>
              <w:rPr>
                <w:rFonts w:hint="default" w:ascii="宋体" w:hAnsi="宋体" w:eastAsia="宋体" w:cs="Times New Roman"/>
                <w:color w:val="auto"/>
                <w:sz w:val="24"/>
                <w:szCs w:val="24"/>
                <w:highlight w:val="none"/>
                <w:lang w:val="en-US" w:eastAsia="zh-CN"/>
              </w:rPr>
            </w:pPr>
            <w:r>
              <w:rPr>
                <w:rFonts w:hint="eastAsia" w:ascii="宋体" w:hAnsi="宋体" w:eastAsia="宋体"/>
                <w:color w:val="auto"/>
                <w:sz w:val="24"/>
                <w:szCs w:val="24"/>
                <w:highlight w:val="none"/>
                <w:lang w:val="en-US" w:eastAsia="zh-CN"/>
              </w:rPr>
              <w:t>针对医院可能突发各类公共事件制定</w:t>
            </w:r>
            <w:r>
              <w:rPr>
                <w:rFonts w:hint="eastAsia" w:ascii="宋体" w:hAnsi="宋体" w:eastAsia="宋体" w:cs="Times New Roman"/>
                <w:color w:val="auto"/>
                <w:sz w:val="24"/>
                <w:szCs w:val="24"/>
                <w:highlight w:val="none"/>
                <w:lang w:val="en-US" w:eastAsia="zh-CN"/>
              </w:rPr>
              <w:t>预案的具体、全面、可行性进行综合评价，由评委</w:t>
            </w:r>
            <w:r>
              <w:rPr>
                <w:rFonts w:hint="eastAsia" w:ascii="宋体" w:hAnsi="宋体" w:cs="Times New Roman"/>
                <w:color w:val="auto"/>
                <w:sz w:val="24"/>
                <w:szCs w:val="24"/>
                <w:highlight w:val="none"/>
                <w:lang w:val="en-US" w:eastAsia="zh-CN"/>
              </w:rPr>
              <w:t>根据各响应文件</w:t>
            </w:r>
            <w:r>
              <w:rPr>
                <w:rFonts w:hint="eastAsia" w:ascii="宋体" w:hAnsi="宋体" w:eastAsia="宋体" w:cs="Times New Roman"/>
                <w:color w:val="auto"/>
                <w:sz w:val="24"/>
                <w:szCs w:val="24"/>
                <w:highlight w:val="none"/>
                <w:lang w:val="en-US" w:eastAsia="zh-CN"/>
              </w:rPr>
              <w:t>酌情打分，优</w:t>
            </w:r>
            <w:r>
              <w:rPr>
                <w:rFonts w:hint="eastAsia" w:ascii="宋体" w:hAnsi="宋体" w:cs="Times New Roman"/>
                <w:color w:val="auto"/>
                <w:sz w:val="24"/>
                <w:szCs w:val="24"/>
                <w:highlight w:val="none"/>
                <w:lang w:val="en-US" w:eastAsia="zh-CN"/>
              </w:rPr>
              <w:t>得4</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良</w:t>
            </w:r>
            <w:r>
              <w:rPr>
                <w:rFonts w:hint="eastAsia" w:ascii="宋体" w:hAnsi="宋体" w:cs="Times New Roman"/>
                <w:color w:val="auto"/>
                <w:sz w:val="24"/>
                <w:szCs w:val="24"/>
                <w:highlight w:val="none"/>
                <w:lang w:val="en-US" w:eastAsia="zh-CN"/>
              </w:rPr>
              <w:t>得2-3</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一般</w:t>
            </w:r>
            <w:r>
              <w:rPr>
                <w:rFonts w:hint="eastAsia" w:ascii="宋体" w:hAnsi="宋体" w:cs="Times New Roman"/>
                <w:color w:val="auto"/>
                <w:sz w:val="24"/>
                <w:szCs w:val="24"/>
                <w:highlight w:val="none"/>
                <w:lang w:val="en-US" w:eastAsia="zh-CN"/>
              </w:rPr>
              <w:t>得</w:t>
            </w:r>
            <w:r>
              <w:rPr>
                <w:rFonts w:hint="eastAsia" w:ascii="宋体" w:hAnsi="宋体" w:eastAsia="宋体" w:cs="Times New Roman"/>
                <w:color w:val="auto"/>
                <w:sz w:val="24"/>
                <w:szCs w:val="24"/>
                <w:highlight w:val="none"/>
                <w:lang w:val="en-US" w:eastAsia="zh-CN"/>
              </w:rPr>
              <w:t>1分</w:t>
            </w:r>
            <w:r>
              <w:rPr>
                <w:rFonts w:hint="eastAsia" w:ascii="宋体" w:hAnsi="宋体" w:cs="Times New Roman"/>
                <w:color w:val="auto"/>
                <w:sz w:val="24"/>
                <w:szCs w:val="24"/>
                <w:highlight w:val="none"/>
                <w:lang w:val="en-US" w:eastAsia="zh-CN"/>
              </w:rPr>
              <w:t>，未有描述得0分。</w:t>
            </w:r>
          </w:p>
        </w:tc>
        <w:tc>
          <w:tcPr>
            <w:tcW w:w="747" w:type="dxa"/>
            <w:noWrap w:val="0"/>
            <w:vAlign w:val="center"/>
          </w:tcPr>
          <w:p>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r>
    </w:tbl>
    <w:p>
      <w:pPr>
        <w:snapToGrid w:val="0"/>
        <w:spacing w:line="440" w:lineRule="exact"/>
        <w:ind w:firstLine="480" w:firstLineChars="200"/>
        <w:outlineLvl w:val="1"/>
        <w:rPr>
          <w:rFonts w:ascii="宋体"/>
          <w:b/>
          <w:bCs/>
          <w:color w:val="auto"/>
          <w:sz w:val="24"/>
          <w:szCs w:val="24"/>
          <w:highlight w:val="none"/>
        </w:rPr>
      </w:pPr>
      <w:r>
        <w:rPr>
          <w:rFonts w:hint="eastAsia" w:ascii="宋体" w:hAnsi="宋体" w:cs="宋体"/>
          <w:color w:val="auto"/>
          <w:sz w:val="24"/>
          <w:szCs w:val="24"/>
          <w:highlight w:val="none"/>
        </w:rPr>
        <w:t>注：以上打分项设得分上限，评委依据磋商文件载明的方法评分，评分四舍五入精确到小数点后两位。</w:t>
      </w:r>
    </w:p>
    <w:p>
      <w:pPr>
        <w:adjustRightInd w:val="0"/>
        <w:snapToGrid w:val="0"/>
        <w:spacing w:line="440" w:lineRule="exact"/>
        <w:ind w:firstLine="482" w:firstLineChars="200"/>
        <w:rPr>
          <w:rFonts w:hint="default" w:ascii="宋体" w:hAnsi="宋体" w:cs="宋体"/>
          <w:b/>
          <w:bCs/>
          <w:color w:val="auto"/>
          <w:sz w:val="24"/>
          <w:szCs w:val="24"/>
          <w:highlight w:val="none"/>
          <w:u w:val="thick" w:color="FF0000"/>
          <w:lang w:val="en-US" w:eastAsia="zh-CN"/>
        </w:rPr>
      </w:pPr>
      <w:r>
        <w:rPr>
          <w:rFonts w:hint="eastAsia" w:ascii="宋体" w:hAnsi="宋体" w:cs="宋体"/>
          <w:b/>
          <w:bCs/>
          <w:color w:val="auto"/>
          <w:sz w:val="24"/>
          <w:szCs w:val="24"/>
          <w:highlight w:val="none"/>
          <w:u w:val="thick" w:color="FF0000"/>
        </w:rPr>
        <w:t>特别提醒：技术响应文件评分中所涉及相关资料等证明材料均须提供原件的复印件加盖公章，并将原件带至磋商现场备查，未携带原件或因携带原件不全所引起的后果由供应商自行承担。</w:t>
      </w:r>
      <w:r>
        <w:rPr>
          <w:rFonts w:hint="eastAsia" w:ascii="宋体" w:hAnsi="宋体" w:cs="宋体"/>
          <w:b/>
          <w:bCs/>
          <w:color w:val="auto"/>
          <w:sz w:val="24"/>
          <w:szCs w:val="24"/>
          <w:highlight w:val="none"/>
          <w:u w:val="thick" w:color="FF0000"/>
          <w:lang w:val="en-US" w:eastAsia="zh-CN"/>
        </w:rPr>
        <w:t>若供应商提供的资料未能充分体现评审要素，磋商小组有权不予计分。</w:t>
      </w:r>
    </w:p>
    <w:p>
      <w:pPr>
        <w:snapToGrid w:val="0"/>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（二）商务报价响应评分（</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w:t>
      </w:r>
    </w:p>
    <w:p>
      <w:pPr>
        <w:snapToGrid w:val="0"/>
        <w:spacing w:line="360" w:lineRule="auto"/>
        <w:ind w:firstLine="482" w:firstLineChars="200"/>
        <w:textAlignment w:val="baseline"/>
        <w:rPr>
          <w:rFonts w:ascii="宋体" w:hAnsi="宋体" w:cs="宋体"/>
          <w:b/>
          <w:color w:val="auto"/>
          <w:sz w:val="24"/>
          <w:szCs w:val="24"/>
          <w:highlight w:val="none"/>
        </w:rPr>
      </w:pPr>
      <w:r>
        <w:rPr>
          <w:rFonts w:hint="eastAsia" w:ascii="宋体" w:hAnsi="宋体" w:cs="宋体"/>
          <w:b/>
          <w:color w:val="auto"/>
          <w:sz w:val="24"/>
          <w:szCs w:val="24"/>
          <w:highlight w:val="none"/>
        </w:rPr>
        <w:t>本次项目</w:t>
      </w:r>
      <w:r>
        <w:rPr>
          <w:rFonts w:hint="eastAsia" w:ascii="宋体" w:hAnsi="宋体" w:cs="宋体"/>
          <w:b/>
          <w:color w:val="auto"/>
          <w:sz w:val="24"/>
          <w:szCs w:val="24"/>
          <w:highlight w:val="none"/>
          <w:lang w:val="en-US" w:eastAsia="zh-CN"/>
        </w:rPr>
        <w:t>房屋和设备租金限价</w:t>
      </w:r>
      <w:r>
        <w:rPr>
          <w:rFonts w:hint="eastAsia" w:ascii="宋体" w:hAnsi="宋体" w:cs="宋体"/>
          <w:b/>
          <w:color w:val="auto"/>
          <w:sz w:val="24"/>
          <w:szCs w:val="24"/>
          <w:highlight w:val="none"/>
        </w:rPr>
        <w:t>为人民币120000.00元/年。</w:t>
      </w:r>
      <w:r>
        <w:rPr>
          <w:rFonts w:hint="eastAsia" w:ascii="宋体" w:hAnsi="宋体" w:cs="宋体"/>
          <w:b/>
          <w:color w:val="auto"/>
          <w:sz w:val="24"/>
          <w:szCs w:val="24"/>
          <w:highlight w:val="none"/>
          <w:lang w:val="en-US" w:eastAsia="zh-CN"/>
        </w:rPr>
        <w:t>报价</w:t>
      </w:r>
      <w:r>
        <w:rPr>
          <w:rFonts w:hint="eastAsia" w:ascii="宋体" w:hAnsi="宋体" w:cs="宋体"/>
          <w:b/>
          <w:color w:val="auto"/>
          <w:sz w:val="24"/>
          <w:szCs w:val="24"/>
          <w:highlight w:val="none"/>
        </w:rPr>
        <w:t>均不得</w:t>
      </w:r>
      <w:r>
        <w:rPr>
          <w:rFonts w:hint="eastAsia" w:ascii="宋体" w:hAnsi="宋体" w:cs="宋体"/>
          <w:b/>
          <w:color w:val="auto"/>
          <w:sz w:val="24"/>
          <w:szCs w:val="24"/>
          <w:highlight w:val="none"/>
          <w:lang w:val="en-US" w:eastAsia="zh-CN"/>
        </w:rPr>
        <w:t>低于或等于该金额</w:t>
      </w:r>
      <w:r>
        <w:rPr>
          <w:rFonts w:hint="eastAsia" w:ascii="宋体" w:hAnsi="宋体" w:cs="宋体"/>
          <w:b/>
          <w:color w:val="auto"/>
          <w:sz w:val="24"/>
          <w:szCs w:val="24"/>
          <w:highlight w:val="none"/>
        </w:rPr>
        <w:t>，否则做无效响应处理。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满足磋商文件要求且最后报价最</w:t>
      </w:r>
      <w:r>
        <w:rPr>
          <w:rFonts w:hint="eastAsia" w:ascii="宋体" w:hAnsi="宋体" w:cs="宋体"/>
          <w:color w:val="auto"/>
          <w:sz w:val="24"/>
          <w:szCs w:val="24"/>
          <w:highlight w:val="none"/>
          <w:lang w:val="en-US" w:eastAsia="zh-CN"/>
        </w:rPr>
        <w:t>高</w:t>
      </w:r>
      <w:r>
        <w:rPr>
          <w:rFonts w:hint="eastAsia" w:ascii="宋体" w:hAnsi="宋体" w:cs="宋体"/>
          <w:color w:val="auto"/>
          <w:sz w:val="24"/>
          <w:szCs w:val="24"/>
          <w:highlight w:val="none"/>
        </w:rPr>
        <w:t>的供应商的价格为磋商基准价，其商务报价</w:t>
      </w:r>
      <w:r>
        <w:rPr>
          <w:rFonts w:hint="eastAsia" w:ascii="宋体" w:hAnsi="宋体" w:cs="宋体"/>
          <w:color w:val="auto"/>
          <w:kern w:val="0"/>
          <w:sz w:val="24"/>
          <w:szCs w:val="24"/>
          <w:highlight w:val="none"/>
        </w:rPr>
        <w:t>响应</w:t>
      </w:r>
      <w:r>
        <w:rPr>
          <w:rFonts w:hint="eastAsia" w:ascii="宋体" w:hAnsi="宋体" w:cs="宋体"/>
          <w:color w:val="auto"/>
          <w:sz w:val="24"/>
          <w:szCs w:val="24"/>
          <w:highlight w:val="none"/>
        </w:rPr>
        <w:t>分为满分</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分。其他供应商的商务报价</w:t>
      </w:r>
      <w:r>
        <w:rPr>
          <w:rFonts w:hint="eastAsia" w:ascii="宋体" w:hAnsi="宋体" w:cs="宋体"/>
          <w:color w:val="auto"/>
          <w:kern w:val="0"/>
          <w:sz w:val="24"/>
          <w:szCs w:val="24"/>
          <w:highlight w:val="none"/>
        </w:rPr>
        <w:t>响应</w:t>
      </w:r>
      <w:r>
        <w:rPr>
          <w:rFonts w:hint="eastAsia" w:ascii="宋体" w:hAnsi="宋体" w:cs="宋体"/>
          <w:color w:val="auto"/>
          <w:sz w:val="24"/>
          <w:szCs w:val="24"/>
          <w:highlight w:val="none"/>
        </w:rPr>
        <w:t>分统一按照下列公式计算：</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商务报价</w:t>
      </w:r>
      <w:r>
        <w:rPr>
          <w:rFonts w:hint="eastAsia" w:ascii="宋体" w:hAnsi="宋体" w:cs="宋体"/>
          <w:b/>
          <w:color w:val="auto"/>
          <w:kern w:val="0"/>
          <w:sz w:val="24"/>
          <w:szCs w:val="24"/>
          <w:highlight w:val="none"/>
        </w:rPr>
        <w:t>响应</w:t>
      </w:r>
      <w:r>
        <w:rPr>
          <w:rFonts w:hint="eastAsia" w:ascii="宋体" w:hAnsi="宋体" w:cs="宋体"/>
          <w:b/>
          <w:color w:val="auto"/>
          <w:sz w:val="24"/>
          <w:szCs w:val="24"/>
          <w:highlight w:val="none"/>
        </w:rPr>
        <w:t>分 =（最后磋商报价/磋商基准价）×</w:t>
      </w:r>
      <w:r>
        <w:rPr>
          <w:rFonts w:hint="eastAsia" w:ascii="宋体" w:hAnsi="宋体" w:cs="宋体"/>
          <w:b/>
          <w:color w:val="auto"/>
          <w:sz w:val="24"/>
          <w:szCs w:val="24"/>
          <w:highlight w:val="none"/>
          <w:lang w:val="en-US" w:eastAsia="zh-CN"/>
        </w:rPr>
        <w:t>15</w:t>
      </w:r>
      <w:r>
        <w:rPr>
          <w:rFonts w:hint="eastAsia" w:ascii="宋体" w:hAnsi="宋体" w:cs="宋体"/>
          <w:b/>
          <w:color w:val="auto"/>
          <w:sz w:val="24"/>
          <w:szCs w:val="24"/>
          <w:highlight w:val="none"/>
        </w:rPr>
        <w:t>%×100</w:t>
      </w:r>
    </w:p>
    <w:bookmarkEnd w:id="50"/>
    <w:bookmarkEnd w:id="51"/>
    <w:bookmarkEnd w:id="52"/>
    <w:bookmarkEnd w:id="53"/>
    <w:bookmarkEnd w:id="54"/>
    <w:bookmarkEnd w:id="55"/>
    <w:bookmarkEnd w:id="56"/>
    <w:bookmarkEnd w:id="57"/>
    <w:p>
      <w:pPr>
        <w:snapToGrid w:val="0"/>
        <w:spacing w:line="360" w:lineRule="auto"/>
        <w:ind w:firstLine="482" w:firstLineChars="200"/>
        <w:outlineLvl w:val="1"/>
        <w:rPr>
          <w:rFonts w:ascii="宋体"/>
          <w:b/>
          <w:bCs/>
          <w:color w:val="auto"/>
          <w:sz w:val="24"/>
          <w:szCs w:val="24"/>
          <w:highlight w:val="none"/>
        </w:rPr>
      </w:pPr>
      <w:bookmarkStart w:id="59" w:name="_Toc94585343"/>
      <w:bookmarkStart w:id="60" w:name="_Toc363573858"/>
      <w:r>
        <w:rPr>
          <w:rFonts w:hint="eastAsia" w:ascii="宋体" w:hAnsi="宋体" w:cs="宋体"/>
          <w:b/>
          <w:bCs/>
          <w:color w:val="auto"/>
          <w:sz w:val="24"/>
          <w:szCs w:val="24"/>
          <w:highlight w:val="none"/>
        </w:rPr>
        <w:t>六、出现下列情形之一的，作无效响应处理</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、响应文件未按磋商文件要求装订、密封、签署、盖章及主要资料不齐全的；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、响应文件的资料有虚报或者谎报的；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、响应文件中资格审查文件及技术响应文件出现磋商报价的内容；</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、不具备磋商文件规定的资格要求的；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、响应文件有重大漏项或重大不合理的；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、项目技术、方案不满足项目需求中的要求，有重大偏离或保留的；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、磋商响应报价</w:t>
      </w:r>
      <w:r>
        <w:rPr>
          <w:rFonts w:hint="eastAsia" w:ascii="宋体" w:hAnsi="宋体" w:cs="宋体"/>
          <w:color w:val="auto"/>
          <w:sz w:val="24"/>
          <w:szCs w:val="24"/>
          <w:highlight w:val="none"/>
          <w:lang w:val="en-US" w:eastAsia="zh-CN"/>
        </w:rPr>
        <w:t>低于或等于限价</w:t>
      </w:r>
      <w:r>
        <w:rPr>
          <w:rFonts w:hint="eastAsia" w:ascii="宋体" w:hAnsi="宋体" w:cs="宋体"/>
          <w:color w:val="auto"/>
          <w:sz w:val="24"/>
          <w:szCs w:val="24"/>
          <w:highlight w:val="none"/>
        </w:rPr>
        <w:t>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、被认定为低于成本报价磋商竞标的；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、供应商的磋商报价</w:t>
      </w:r>
      <w:r>
        <w:rPr>
          <w:rFonts w:hint="eastAsia" w:ascii="宋体" w:hAnsi="宋体" w:cs="宋体"/>
          <w:color w:val="auto"/>
          <w:sz w:val="24"/>
          <w:szCs w:val="24"/>
          <w:highlight w:val="none"/>
          <w:lang w:val="en-US" w:eastAsia="zh-CN"/>
        </w:rPr>
        <w:t>低</w:t>
      </w:r>
      <w:r>
        <w:rPr>
          <w:rFonts w:hint="eastAsia" w:ascii="宋体" w:hAnsi="宋体" w:cs="宋体"/>
          <w:color w:val="auto"/>
          <w:sz w:val="24"/>
          <w:szCs w:val="24"/>
          <w:highlight w:val="none"/>
        </w:rPr>
        <w:t>于自己前一轮的；</w:t>
      </w:r>
    </w:p>
    <w:p>
      <w:pPr>
        <w:snapToGrid w:val="0"/>
        <w:spacing w:line="360" w:lineRule="auto"/>
        <w:ind w:firstLine="480" w:firstLineChars="200"/>
        <w:rPr>
          <w:rFonts w:ascii="宋体"/>
          <w:dstrike/>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、不符合法律、法规和磋商文件中规定的其他实质性响应要求的；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、磋商小组依据法律法规可以认定为无效响应的其他情况。</w:t>
      </w:r>
    </w:p>
    <w:p>
      <w:pPr>
        <w:snapToGrid w:val="0"/>
        <w:spacing w:line="360" w:lineRule="auto"/>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七、出现下列情形之一的，作废标处理</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、供应商的报价均</w:t>
      </w:r>
      <w:r>
        <w:rPr>
          <w:rFonts w:hint="eastAsia" w:ascii="宋体" w:hAnsi="宋体" w:cs="宋体"/>
          <w:color w:val="auto"/>
          <w:sz w:val="24"/>
          <w:szCs w:val="24"/>
          <w:highlight w:val="none"/>
          <w:lang w:val="en-US" w:eastAsia="zh-CN"/>
        </w:rPr>
        <w:t>低于或等于限价</w:t>
      </w:r>
      <w:r>
        <w:rPr>
          <w:rFonts w:hint="eastAsia" w:ascii="宋体" w:hAnsi="宋体" w:cs="宋体"/>
          <w:color w:val="auto"/>
          <w:sz w:val="24"/>
          <w:szCs w:val="24"/>
          <w:highlight w:val="none"/>
        </w:rPr>
        <w:t>，采购单位不能支付的；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、因情况变化，不再符合规定的竞争性磋商采购方式所适用情形的；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、出现影响采购公正的违法、违规行为的；</w:t>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、因重大变故，采购任务取消的；</w:t>
      </w:r>
      <w:r>
        <w:rPr>
          <w:rFonts w:ascii="宋体"/>
          <w:color w:val="auto"/>
          <w:sz w:val="24"/>
          <w:szCs w:val="24"/>
          <w:highlight w:val="none"/>
        </w:rPr>
        <w:tab/>
      </w:r>
    </w:p>
    <w:p>
      <w:pPr>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、磋商小组依据法律法规可以认定为废标的其他情况。</w:t>
      </w:r>
    </w:p>
    <w:p>
      <w:pPr>
        <w:snapToGrid w:val="0"/>
        <w:spacing w:line="360" w:lineRule="auto"/>
        <w:ind w:firstLine="482" w:firstLineChars="200"/>
        <w:outlineLvl w:val="1"/>
        <w:rPr>
          <w:rFonts w:ascii="宋体"/>
          <w:b/>
          <w:bCs/>
          <w:color w:val="auto"/>
          <w:sz w:val="24"/>
          <w:szCs w:val="24"/>
          <w:highlight w:val="none"/>
        </w:rPr>
      </w:pPr>
      <w:r>
        <w:rPr>
          <w:rFonts w:hint="eastAsia" w:ascii="宋体" w:hAnsi="宋体" w:cs="宋体"/>
          <w:b/>
          <w:bCs/>
          <w:color w:val="auto"/>
          <w:sz w:val="24"/>
          <w:szCs w:val="24"/>
          <w:highlight w:val="none"/>
        </w:rPr>
        <w:t>八、成交通知</w:t>
      </w:r>
    </w:p>
    <w:p>
      <w:pPr>
        <w:snapToGrid w:val="0"/>
        <w:spacing w:line="360" w:lineRule="auto"/>
        <w:ind w:firstLine="480" w:firstLineChars="200"/>
        <w:rPr>
          <w:color w:val="auto"/>
          <w:highlight w:val="none"/>
        </w:rPr>
      </w:pPr>
      <w:r>
        <w:rPr>
          <w:rFonts w:hint="eastAsia" w:cs="宋体"/>
          <w:color w:val="auto"/>
          <w:kern w:val="0"/>
          <w:sz w:val="24"/>
          <w:szCs w:val="24"/>
          <w:highlight w:val="none"/>
        </w:rPr>
        <w:t>成交结果在</w:t>
      </w:r>
      <w:r>
        <w:rPr>
          <w:rFonts w:hint="eastAsia" w:ascii="宋体" w:hAnsi="宋体" w:eastAsia="宋体" w:cs="宋体"/>
          <w:color w:val="auto"/>
          <w:sz w:val="24"/>
          <w:szCs w:val="24"/>
          <w:highlight w:val="none"/>
          <w:u w:val="single"/>
          <w:lang w:eastAsia="zh-CN"/>
        </w:rPr>
        <w:t>南通市卫生健康委员会官网（http://wjw.nantong.gov.cn）和南通市妇幼保健院官网（http://www.ntfybj.com）</w:t>
      </w:r>
      <w:r>
        <w:rPr>
          <w:rFonts w:hint="eastAsia" w:cs="宋体"/>
          <w:color w:val="auto"/>
          <w:kern w:val="0"/>
          <w:sz w:val="24"/>
          <w:szCs w:val="24"/>
          <w:highlight w:val="none"/>
        </w:rPr>
        <w:t>公示</w:t>
      </w:r>
      <w:r>
        <w:rPr>
          <w:rFonts w:hint="eastAsia"/>
          <w:b/>
          <w:bCs/>
          <w:color w:val="auto"/>
          <w:kern w:val="0"/>
          <w:sz w:val="24"/>
          <w:szCs w:val="24"/>
          <w:highlight w:val="none"/>
          <w:u w:val="single"/>
        </w:rPr>
        <w:t>1</w:t>
      </w:r>
      <w:r>
        <w:rPr>
          <w:rFonts w:hint="eastAsia" w:cs="宋体"/>
          <w:color w:val="auto"/>
          <w:kern w:val="0"/>
          <w:sz w:val="24"/>
          <w:szCs w:val="24"/>
          <w:highlight w:val="none"/>
        </w:rPr>
        <w:t>个工作日。《成交通知书》一经发出，采购单位改变成交结果，或者供应商放弃成交的，各自承担相应的法律责任。《成交通知书》是采购合同的组成部分。</w:t>
      </w:r>
    </w:p>
    <w:p>
      <w:pPr>
        <w:pStyle w:val="6"/>
        <w:keepNext w:val="0"/>
        <w:keepLines w:val="0"/>
        <w:numPr>
          <w:ilvl w:val="0"/>
          <w:numId w:val="6"/>
        </w:numPr>
        <w:snapToGrid w:val="0"/>
        <w:spacing w:before="0" w:after="0" w:line="360" w:lineRule="auto"/>
        <w:jc w:val="center"/>
        <w:rPr>
          <w:rFonts w:hint="eastAsia" w:ascii="宋体" w:hAnsi="宋体" w:cs="宋体"/>
          <w:color w:val="auto"/>
          <w:w w:val="80"/>
          <w:highlight w:val="none"/>
        </w:rPr>
      </w:pPr>
      <w:r>
        <w:rPr>
          <w:rFonts w:ascii="宋体"/>
          <w:color w:val="auto"/>
          <w:w w:val="80"/>
          <w:highlight w:val="none"/>
        </w:rPr>
        <w:br w:type="page"/>
      </w:r>
      <w:bookmarkEnd w:id="59"/>
      <w:bookmarkEnd w:id="60"/>
      <w:r>
        <w:rPr>
          <w:rFonts w:hint="eastAsia" w:ascii="宋体" w:hAnsi="宋体" w:cs="宋体"/>
          <w:color w:val="auto"/>
          <w:w w:val="80"/>
          <w:highlight w:val="none"/>
        </w:rPr>
        <w:t xml:space="preserve"> 合同主要条款</w:t>
      </w:r>
      <w:bookmarkStart w:id="61" w:name="_Toc20744795"/>
      <w:bookmarkStart w:id="62" w:name="_Toc20744258"/>
      <w:bookmarkStart w:id="63" w:name="_Toc39047827"/>
    </w:p>
    <w:p>
      <w:pPr>
        <w:pStyle w:val="6"/>
        <w:keepNext w:val="0"/>
        <w:keepLines w:val="0"/>
        <w:numPr>
          <w:ilvl w:val="0"/>
          <w:numId w:val="0"/>
        </w:numPr>
        <w:snapToGrid w:val="0"/>
        <w:spacing w:before="0" w:after="0" w:line="360" w:lineRule="auto"/>
        <w:jc w:val="center"/>
        <w:rPr>
          <w:rFonts w:ascii="宋体"/>
          <w:b w:val="0"/>
          <w:bCs w:val="0"/>
          <w:color w:val="auto"/>
          <w:w w:val="80"/>
          <w:sz w:val="36"/>
          <w:szCs w:val="36"/>
          <w:highlight w:val="none"/>
        </w:rPr>
      </w:pPr>
      <w:r>
        <w:rPr>
          <w:rFonts w:hint="eastAsia" w:ascii="宋体" w:hAnsi="宋体" w:cs="宋体"/>
          <w:b/>
          <w:bCs/>
          <w:color w:val="auto"/>
          <w:sz w:val="24"/>
          <w:szCs w:val="24"/>
          <w:highlight w:val="none"/>
        </w:rPr>
        <w:t>采购人保留调整合同条款的权利</w:t>
      </w:r>
    </w:p>
    <w:p>
      <w:pPr>
        <w:spacing w:line="400" w:lineRule="exact"/>
        <w:jc w:val="center"/>
        <w:rPr>
          <w:rFonts w:hint="eastAsia" w:ascii="宋体" w:hAnsi="宋体" w:eastAsia="宋体" w:cs="宋体"/>
          <w:b/>
          <w:bCs/>
          <w:color w:val="auto"/>
          <w:w w:val="100"/>
          <w:kern w:val="44"/>
          <w:sz w:val="36"/>
          <w:szCs w:val="36"/>
          <w:highlight w:val="none"/>
          <w:lang w:eastAsia="zh-CN"/>
        </w:rPr>
      </w:pPr>
      <w:bookmarkStart w:id="64" w:name="_Toc434462225"/>
      <w:bookmarkStart w:id="65" w:name="_Toc451664164"/>
      <w:bookmarkStart w:id="66" w:name="_Toc451315906"/>
      <w:bookmarkStart w:id="67" w:name="_Ref451313954"/>
      <w:bookmarkStart w:id="68" w:name="_Toc434460932"/>
      <w:bookmarkStart w:id="69" w:name="_Toc434462836"/>
      <w:bookmarkStart w:id="70" w:name="_Ref451243616"/>
      <w:bookmarkStart w:id="71" w:name="_Toc451315989"/>
      <w:bookmarkStart w:id="72" w:name="_Toc434897340"/>
    </w:p>
    <w:p>
      <w:pPr>
        <w:spacing w:line="400" w:lineRule="exact"/>
        <w:jc w:val="center"/>
        <w:rPr>
          <w:rFonts w:hint="eastAsia" w:ascii="宋体" w:hAnsi="宋体" w:eastAsia="宋体" w:cs="宋体"/>
          <w:b/>
          <w:bCs/>
          <w:color w:val="auto"/>
          <w:w w:val="100"/>
          <w:kern w:val="44"/>
          <w:sz w:val="36"/>
          <w:szCs w:val="36"/>
          <w:highlight w:val="none"/>
          <w:lang w:eastAsia="zh-CN"/>
        </w:rPr>
      </w:pPr>
    </w:p>
    <w:p>
      <w:pPr>
        <w:spacing w:line="400" w:lineRule="exact"/>
        <w:jc w:val="center"/>
        <w:rPr>
          <w:rFonts w:hint="eastAsia" w:ascii="宋体" w:hAnsi="宋体" w:eastAsia="宋体" w:cs="宋体"/>
          <w:b/>
          <w:bCs/>
          <w:color w:val="auto"/>
          <w:w w:val="100"/>
          <w:kern w:val="44"/>
          <w:sz w:val="36"/>
          <w:szCs w:val="36"/>
          <w:highlight w:val="none"/>
        </w:rPr>
      </w:pPr>
      <w:r>
        <w:rPr>
          <w:rFonts w:hint="eastAsia" w:ascii="宋体" w:hAnsi="宋体" w:eastAsia="宋体" w:cs="宋体"/>
          <w:b/>
          <w:bCs/>
          <w:color w:val="auto"/>
          <w:w w:val="100"/>
          <w:kern w:val="44"/>
          <w:sz w:val="36"/>
          <w:szCs w:val="36"/>
          <w:highlight w:val="none"/>
          <w:lang w:eastAsia="zh-CN"/>
        </w:rPr>
        <w:t>南通市妇幼保健院食堂经营管理服务</w:t>
      </w:r>
      <w:r>
        <w:rPr>
          <w:rFonts w:hint="eastAsia" w:ascii="宋体" w:hAnsi="宋体" w:eastAsia="宋体" w:cs="宋体"/>
          <w:b/>
          <w:bCs/>
          <w:color w:val="auto"/>
          <w:w w:val="100"/>
          <w:kern w:val="44"/>
          <w:sz w:val="36"/>
          <w:szCs w:val="36"/>
          <w:highlight w:val="none"/>
          <w:lang w:val="en-US" w:eastAsia="zh-CN"/>
        </w:rPr>
        <w:t>项</w:t>
      </w:r>
      <w:r>
        <w:rPr>
          <w:rFonts w:hint="eastAsia" w:ascii="宋体" w:hAnsi="宋体" w:eastAsia="宋体" w:cs="宋体"/>
          <w:b/>
          <w:bCs/>
          <w:color w:val="auto"/>
          <w:w w:val="100"/>
          <w:kern w:val="44"/>
          <w:sz w:val="36"/>
          <w:szCs w:val="36"/>
          <w:highlight w:val="none"/>
          <w:lang w:eastAsia="zh-CN"/>
        </w:rPr>
        <w:t>目</w:t>
      </w:r>
      <w:r>
        <w:rPr>
          <w:rFonts w:hint="eastAsia" w:ascii="宋体" w:hAnsi="宋体" w:eastAsia="宋体" w:cs="宋体"/>
          <w:b/>
          <w:bCs/>
          <w:color w:val="auto"/>
          <w:w w:val="100"/>
          <w:kern w:val="44"/>
          <w:sz w:val="36"/>
          <w:szCs w:val="36"/>
          <w:highlight w:val="none"/>
        </w:rPr>
        <w:t>合同书</w:t>
      </w:r>
      <w:bookmarkEnd w:id="64"/>
      <w:bookmarkEnd w:id="65"/>
      <w:bookmarkEnd w:id="66"/>
      <w:bookmarkEnd w:id="67"/>
      <w:bookmarkEnd w:id="68"/>
      <w:bookmarkEnd w:id="69"/>
      <w:bookmarkEnd w:id="70"/>
      <w:bookmarkEnd w:id="71"/>
      <w:bookmarkEnd w:id="72"/>
    </w:p>
    <w:p>
      <w:pPr>
        <w:spacing w:line="440" w:lineRule="exact"/>
        <w:rPr>
          <w:rFonts w:ascii="宋体" w:hAnsi="宋体"/>
          <w:color w:val="auto"/>
          <w:sz w:val="24"/>
          <w:szCs w:val="24"/>
          <w:highlight w:val="none"/>
        </w:rPr>
      </w:pPr>
    </w:p>
    <w:p>
      <w:pPr>
        <w:snapToGrid w:val="0"/>
        <w:spacing w:line="360" w:lineRule="auto"/>
        <w:jc w:val="left"/>
        <w:textAlignment w:val="baseline"/>
        <w:rPr>
          <w:rFonts w:ascii="宋体" w:hAnsi="宋体" w:cs="宋体"/>
          <w:color w:val="auto"/>
          <w:sz w:val="24"/>
          <w:szCs w:val="24"/>
          <w:highlight w:val="none"/>
          <w:u w:val="single"/>
        </w:rPr>
      </w:pPr>
      <w:r>
        <w:rPr>
          <w:rFonts w:hint="eastAsia" w:ascii="宋体" w:hAnsi="宋体" w:cs="宋体"/>
          <w:color w:val="auto"/>
          <w:spacing w:val="46"/>
          <w:sz w:val="24"/>
          <w:szCs w:val="24"/>
          <w:highlight w:val="none"/>
        </w:rPr>
        <w:t>采购人</w:t>
      </w:r>
      <w:r>
        <w:rPr>
          <w:rFonts w:hint="eastAsia" w:ascii="宋体" w:hAnsi="宋体" w:cs="宋体"/>
          <w:color w:val="auto"/>
          <w:sz w:val="24"/>
          <w:szCs w:val="24"/>
          <w:highlight w:val="none"/>
        </w:rPr>
        <w:t>（或称甲方）：</w:t>
      </w:r>
      <w:r>
        <w:rPr>
          <w:rFonts w:hint="eastAsia" w:ascii="宋体" w:hAnsi="宋体" w:cs="宋体"/>
          <w:color w:val="auto"/>
          <w:sz w:val="24"/>
          <w:szCs w:val="24"/>
          <w:highlight w:val="none"/>
          <w:u w:val="single" w:color="000000"/>
        </w:rPr>
        <w:t xml:space="preserve">                            </w:t>
      </w:r>
    </w:p>
    <w:p>
      <w:pPr>
        <w:snapToGrid w:val="0"/>
        <w:spacing w:line="360" w:lineRule="auto"/>
        <w:jc w:val="left"/>
        <w:textAlignment w:val="baseline"/>
        <w:rPr>
          <w:rFonts w:ascii="宋体" w:hAnsi="宋体" w:cs="宋体"/>
          <w:bCs/>
          <w:color w:val="auto"/>
          <w:sz w:val="24"/>
          <w:szCs w:val="24"/>
          <w:highlight w:val="none"/>
        </w:rPr>
      </w:pPr>
      <w:r>
        <w:rPr>
          <w:rFonts w:hint="eastAsia" w:ascii="宋体" w:hAnsi="宋体" w:cs="宋体"/>
          <w:color w:val="auto"/>
          <w:sz w:val="24"/>
          <w:szCs w:val="24"/>
          <w:highlight w:val="none"/>
        </w:rPr>
        <w:t>成交供应商（或称乙方）：</w:t>
      </w:r>
      <w:r>
        <w:rPr>
          <w:rFonts w:hint="eastAsia" w:ascii="宋体" w:hAnsi="宋体" w:cs="宋体"/>
          <w:color w:val="auto"/>
          <w:sz w:val="24"/>
          <w:szCs w:val="24"/>
          <w:highlight w:val="none"/>
          <w:u w:val="single" w:color="000000"/>
        </w:rPr>
        <w:t xml:space="preserve">                            </w:t>
      </w:r>
    </w:p>
    <w:p>
      <w:pPr>
        <w:snapToGrid w:val="0"/>
        <w:spacing w:line="360" w:lineRule="auto"/>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签订时间：</w:t>
      </w:r>
      <w:r>
        <w:rPr>
          <w:rFonts w:hint="eastAsia" w:ascii="宋体" w:hAnsi="宋体" w:cs="宋体"/>
          <w:color w:val="auto"/>
          <w:sz w:val="24"/>
          <w:szCs w:val="24"/>
          <w:highlight w:val="none"/>
          <w:u w:val="single" w:color="000000"/>
        </w:rPr>
        <w:t>2022</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color="000000"/>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color="000000"/>
        </w:rPr>
        <w:t xml:space="preserve">   </w:t>
      </w:r>
      <w:r>
        <w:rPr>
          <w:rFonts w:hint="eastAsia" w:ascii="宋体" w:hAnsi="宋体" w:cs="宋体"/>
          <w:color w:val="auto"/>
          <w:sz w:val="24"/>
          <w:szCs w:val="24"/>
          <w:highlight w:val="none"/>
        </w:rPr>
        <w:t>日</w:t>
      </w:r>
    </w:p>
    <w:p>
      <w:pPr>
        <w:snapToGrid w:val="0"/>
        <w:spacing w:line="360" w:lineRule="auto"/>
        <w:jc w:val="left"/>
        <w:textAlignment w:val="baseline"/>
        <w:rPr>
          <w:color w:val="auto"/>
          <w:sz w:val="24"/>
          <w:szCs w:val="24"/>
          <w:highlight w:val="none"/>
        </w:rPr>
      </w:pPr>
      <w:r>
        <w:rPr>
          <w:rFonts w:hint="eastAsia" w:ascii="宋体" w:hAnsi="宋体" w:cs="宋体"/>
          <w:color w:val="auto"/>
          <w:sz w:val="24"/>
          <w:szCs w:val="24"/>
          <w:highlight w:val="none"/>
        </w:rPr>
        <w:t>签订地点：</w:t>
      </w:r>
      <w:r>
        <w:rPr>
          <w:rFonts w:hint="eastAsia" w:ascii="宋体" w:hAnsi="宋体" w:cs="宋体"/>
          <w:color w:val="auto"/>
          <w:sz w:val="24"/>
          <w:szCs w:val="24"/>
          <w:highlight w:val="none"/>
          <w:u w:val="single" w:color="000000"/>
        </w:rPr>
        <w:t xml:space="preserve">                            </w:t>
      </w:r>
    </w:p>
    <w:p>
      <w:pPr>
        <w:spacing w:line="360" w:lineRule="auto"/>
        <w:ind w:firstLine="480" w:firstLineChars="200"/>
        <w:rPr>
          <w:rFonts w:hint="eastAsia"/>
          <w:color w:val="auto"/>
          <w:sz w:val="24"/>
          <w:szCs w:val="24"/>
          <w:highlight w:val="none"/>
        </w:rPr>
      </w:pP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color w:val="auto"/>
          <w:sz w:val="24"/>
          <w:szCs w:val="24"/>
          <w:highlight w:val="none"/>
        </w:rPr>
      </w:pPr>
      <w:r>
        <w:rPr>
          <w:rFonts w:hint="eastAsia"/>
          <w:color w:val="auto"/>
          <w:sz w:val="24"/>
          <w:szCs w:val="24"/>
          <w:highlight w:val="none"/>
        </w:rPr>
        <w:t>根据</w:t>
      </w:r>
      <w:r>
        <w:rPr>
          <w:color w:val="auto"/>
          <w:sz w:val="24"/>
          <w:szCs w:val="24"/>
          <w:highlight w:val="none"/>
        </w:rPr>
        <w:t>《中华人民共和国政府采购法》规定，</w:t>
      </w:r>
      <w:r>
        <w:rPr>
          <w:rFonts w:hint="eastAsia" w:ascii="宋体" w:hAnsi="宋体" w:cs="宋体"/>
          <w:bCs/>
          <w:color w:val="auto"/>
          <w:sz w:val="24"/>
          <w:szCs w:val="24"/>
          <w:highlight w:val="none"/>
          <w:u w:val="single" w:color="000000"/>
          <w:lang w:eastAsia="zh-CN"/>
        </w:rPr>
        <w:t>南通市妇幼保健院食堂经营管理服务</w:t>
      </w:r>
      <w:r>
        <w:rPr>
          <w:rFonts w:hint="eastAsia" w:ascii="宋体" w:hAnsi="宋体" w:cs="宋体"/>
          <w:bCs/>
          <w:color w:val="auto"/>
          <w:sz w:val="24"/>
          <w:szCs w:val="24"/>
          <w:highlight w:val="none"/>
          <w:u w:val="single" w:color="000000"/>
          <w:lang w:val="en-US" w:eastAsia="zh-CN"/>
        </w:rPr>
        <w:t>项</w:t>
      </w:r>
      <w:r>
        <w:rPr>
          <w:rFonts w:hint="eastAsia" w:ascii="宋体" w:hAnsi="宋体" w:cs="宋体"/>
          <w:bCs/>
          <w:color w:val="auto"/>
          <w:sz w:val="24"/>
          <w:szCs w:val="24"/>
          <w:highlight w:val="none"/>
          <w:u w:val="single" w:color="000000"/>
          <w:lang w:eastAsia="zh-CN"/>
        </w:rPr>
        <w:t>目</w:t>
      </w:r>
      <w:r>
        <w:rPr>
          <w:color w:val="auto"/>
          <w:sz w:val="24"/>
          <w:szCs w:val="24"/>
          <w:highlight w:val="none"/>
        </w:rPr>
        <w:t>实行</w:t>
      </w:r>
      <w:r>
        <w:rPr>
          <w:rFonts w:hint="eastAsia"/>
          <w:color w:val="auto"/>
          <w:sz w:val="24"/>
          <w:szCs w:val="24"/>
          <w:highlight w:val="none"/>
        </w:rPr>
        <w:t>竞争性磋商</w:t>
      </w:r>
      <w:r>
        <w:rPr>
          <w:color w:val="auto"/>
          <w:sz w:val="24"/>
          <w:szCs w:val="24"/>
          <w:highlight w:val="none"/>
        </w:rPr>
        <w:t>方式采购。本着公开、公平、公正和择优的原则，经专家评委严格评审并推荐乙方为成交供应商。在真实、充分地表达各自意愿的基础上，根据《中华人民共和国</w:t>
      </w:r>
      <w:r>
        <w:rPr>
          <w:rFonts w:hint="eastAsia"/>
          <w:color w:val="auto"/>
          <w:sz w:val="24"/>
          <w:szCs w:val="24"/>
          <w:highlight w:val="none"/>
        </w:rPr>
        <w:t>民法典</w:t>
      </w:r>
      <w:r>
        <w:rPr>
          <w:color w:val="auto"/>
          <w:sz w:val="24"/>
          <w:szCs w:val="24"/>
          <w:highlight w:val="none"/>
        </w:rPr>
        <w:t>》的规定，达成如下协议，并由双方共同恪守。</w:t>
      </w:r>
    </w:p>
    <w:p>
      <w:pPr>
        <w:pStyle w:val="92"/>
        <w:keepNext w:val="0"/>
        <w:keepLines w:val="0"/>
        <w:pageBreakBefore w:val="0"/>
        <w:kinsoku/>
        <w:wordWrap/>
        <w:overflowPunct/>
        <w:topLinePunct w:val="0"/>
        <w:autoSpaceDE/>
        <w:autoSpaceDN/>
        <w:bidi w:val="0"/>
        <w:adjustRightInd/>
        <w:snapToGrid w:val="0"/>
        <w:spacing w:line="360" w:lineRule="auto"/>
        <w:textAlignment w:val="auto"/>
        <w:rPr>
          <w:rFonts w:hint="default" w:eastAsia="宋体"/>
          <w:b/>
          <w:bCs/>
          <w:color w:val="auto"/>
          <w:highlight w:val="none"/>
          <w:lang w:val="en-US" w:eastAsia="zh-CN"/>
        </w:rPr>
      </w:pPr>
      <w:r>
        <w:rPr>
          <w:rFonts w:hint="eastAsia"/>
          <w:b/>
          <w:bCs/>
          <w:color w:val="auto"/>
          <w:sz w:val="24"/>
          <w:szCs w:val="24"/>
          <w:highlight w:val="none"/>
          <w:lang w:val="en-US" w:eastAsia="zh-CN"/>
        </w:rPr>
        <w:t xml:space="preserve">   一、项目概况</w:t>
      </w:r>
    </w:p>
    <w:bookmarkEnd w:id="61"/>
    <w:bookmarkEnd w:id="62"/>
    <w:bookmarkEnd w:id="63"/>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lang w:bidi="ar"/>
        </w:rPr>
      </w:pPr>
      <w:r>
        <w:rPr>
          <w:rFonts w:hint="eastAsia" w:ascii="宋体" w:hAnsi="宋体" w:cs="宋体"/>
          <w:color w:val="auto"/>
          <w:sz w:val="24"/>
          <w:highlight w:val="none"/>
          <w:lang w:val="en-US" w:eastAsia="zh-CN" w:bidi="ar"/>
        </w:rPr>
        <w:t>1、</w:t>
      </w:r>
      <w:r>
        <w:rPr>
          <w:rFonts w:hint="eastAsia" w:ascii="宋体" w:hAnsi="宋体" w:cs="宋体"/>
          <w:color w:val="auto"/>
          <w:sz w:val="24"/>
          <w:highlight w:val="none"/>
          <w:lang w:bidi="ar"/>
        </w:rPr>
        <w:t>南通市妇幼保健院（南通市儿童医院）是一所集医疗、保健、科研、教学于一体的三级甲等妇幼保健院。医院位于南通市崇川区世纪大道399号，医院占地面积60166平方米，一期编制床位600张，实际开放床位550张，总建筑面积59000平方米。二期儿童医院编制</w:t>
      </w:r>
      <w:r>
        <w:rPr>
          <w:rFonts w:hint="eastAsia" w:ascii="宋体" w:hAnsi="宋体" w:eastAsia="宋体" w:cs="宋体"/>
          <w:color w:val="auto"/>
          <w:sz w:val="24"/>
          <w:highlight w:val="none"/>
          <w:lang w:bidi="ar"/>
        </w:rPr>
        <w:t>床位490张，总建筑面积65380平方米。医院设有27个临床保健医技一级科室及19个住院病区。</w:t>
      </w:r>
    </w:p>
    <w:p>
      <w:pPr>
        <w:snapToGrid w:val="0"/>
        <w:spacing w:line="360" w:lineRule="auto"/>
        <w:ind w:firstLine="460" w:firstLineChars="192"/>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本项目根据《中华人民共和国食品安全法》(2021年修订)、《中华人民共和国食品卫生法》及其实施条例、《餐饮服务食品安全监督管理办法》及江苏省、南通市有关食堂安全和卫生的相关文件要求实施，如合同履行期间，上述法律、法规及规范等有最新要求时，按最新条款执行，如有不一致时，按最严格条款执行。乙方为甲方食堂餐饮服务的供应商。</w:t>
      </w:r>
    </w:p>
    <w:p>
      <w:pPr>
        <w:snapToGrid w:val="0"/>
        <w:spacing w:line="360" w:lineRule="auto"/>
        <w:ind w:firstLine="480" w:firstLineChars="200"/>
        <w:rPr>
          <w:rFonts w:hint="default"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3、甲方提供现有的食堂场所、设备设施、餐饮家具、公共餐具等，乙方进场后，对现有的房屋、设备设施、餐饮家具、公共餐具等由甲、乙双方交接、并现场进行清点后登记造册。交接后，因就餐人数增多或遗失、毁损、保管不当等原因由乙方自行添置各种设备设施及餐饮家具、公共餐具等。</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u w:val="single"/>
          <w:lang w:val="en-US" w:eastAsia="zh-CN" w:bidi="ar"/>
        </w:rPr>
      </w:pPr>
      <w:r>
        <w:rPr>
          <w:rFonts w:hint="eastAsia" w:ascii="宋体" w:hAnsi="宋体" w:eastAsia="宋体" w:cs="宋体"/>
          <w:color w:val="auto"/>
          <w:sz w:val="24"/>
          <w:highlight w:val="none"/>
          <w:lang w:val="en-US" w:eastAsia="zh-CN" w:bidi="ar"/>
        </w:rPr>
        <w:t>4、乙方承担食堂场所、设备设施、餐饮家具、公共餐具等租金，成交价计</w:t>
      </w:r>
      <w:r>
        <w:rPr>
          <w:rFonts w:hint="eastAsia" w:ascii="宋体" w:hAnsi="宋体" w:eastAsia="宋体" w:cs="宋体"/>
          <w:color w:val="auto"/>
          <w:sz w:val="24"/>
          <w:highlight w:val="none"/>
          <w:u w:val="single"/>
          <w:lang w:val="en-US" w:eastAsia="zh-CN" w:bidi="ar"/>
        </w:rPr>
        <w:t xml:space="preserve"> 人民币</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color w:val="auto"/>
          <w:sz w:val="24"/>
          <w:szCs w:val="24"/>
          <w:highlight w:val="none"/>
        </w:rPr>
      </w:pPr>
      <w:r>
        <w:rPr>
          <w:rFonts w:hint="eastAsia" w:ascii="宋体" w:hAnsi="宋体" w:eastAsia="宋体" w:cs="宋体"/>
          <w:color w:val="auto"/>
          <w:sz w:val="24"/>
          <w:highlight w:val="none"/>
          <w:u w:val="single"/>
          <w:lang w:val="en-US" w:eastAsia="zh-CN" w:bidi="ar"/>
        </w:rPr>
        <w:t xml:space="preserve">   </w:t>
      </w:r>
      <w:r>
        <w:rPr>
          <w:rFonts w:hint="eastAsia" w:ascii="宋体" w:hAnsi="宋体" w:cs="宋体"/>
          <w:color w:val="auto"/>
          <w:sz w:val="24"/>
          <w:highlight w:val="none"/>
          <w:u w:val="single"/>
          <w:lang w:val="en-US" w:eastAsia="zh-CN" w:bidi="ar"/>
        </w:rPr>
        <w:t xml:space="preserve">   </w:t>
      </w:r>
      <w:r>
        <w:rPr>
          <w:rFonts w:hint="eastAsia" w:ascii="宋体" w:hAnsi="宋体" w:eastAsia="宋体" w:cs="宋体"/>
          <w:color w:val="auto"/>
          <w:sz w:val="24"/>
          <w:highlight w:val="none"/>
          <w:u w:val="single"/>
          <w:lang w:val="en-US" w:eastAsia="zh-CN" w:bidi="ar"/>
        </w:rPr>
        <w:t>拾    万    仟    佰    拾    元    角    分（           元），</w:t>
      </w:r>
      <w:r>
        <w:rPr>
          <w:rFonts w:hint="eastAsia" w:ascii="宋体" w:hAnsi="宋体" w:eastAsia="宋体" w:cs="宋体"/>
          <w:color w:val="auto"/>
          <w:sz w:val="24"/>
          <w:highlight w:val="none"/>
          <w:u w:val="none"/>
          <w:lang w:val="en-US" w:eastAsia="zh-CN" w:bidi="ar"/>
        </w:rPr>
        <w:t>且每月与甲方结清水费、电费、天然气费。</w:t>
      </w:r>
      <w:r>
        <w:rPr>
          <w:rFonts w:hint="eastAsia" w:ascii="宋体" w:hAnsi="宋体" w:eastAsia="宋体" w:cs="宋体"/>
          <w:color w:val="auto"/>
          <w:sz w:val="24"/>
          <w:szCs w:val="24"/>
          <w:highlight w:val="none"/>
          <w:lang w:val="en-US" w:eastAsia="zh-CN"/>
        </w:rPr>
        <w:t>乙方</w:t>
      </w:r>
      <w:r>
        <w:rPr>
          <w:rFonts w:hint="eastAsia" w:ascii="宋体" w:hAnsi="宋体" w:cs="宋体"/>
          <w:color w:val="auto"/>
          <w:sz w:val="24"/>
          <w:szCs w:val="24"/>
          <w:highlight w:val="none"/>
        </w:rPr>
        <w:t>缴纳履约保证金，且合同签订生效后</w:t>
      </w:r>
      <w:r>
        <w:rPr>
          <w:rFonts w:hint="eastAsia" w:ascii="宋体" w:hAnsi="宋体" w:cs="宋体"/>
          <w:color w:val="auto"/>
          <w:sz w:val="24"/>
          <w:szCs w:val="24"/>
          <w:highlight w:val="none"/>
          <w:lang w:val="en-US" w:eastAsia="zh-CN"/>
        </w:rPr>
        <w:t>5个工作日内</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乙方须向甲方足额</w:t>
      </w:r>
      <w:r>
        <w:rPr>
          <w:rFonts w:hint="eastAsia" w:ascii="宋体" w:hAnsi="宋体" w:cs="宋体"/>
          <w:color w:val="auto"/>
          <w:sz w:val="24"/>
          <w:szCs w:val="24"/>
          <w:highlight w:val="none"/>
        </w:rPr>
        <w:t>支付</w:t>
      </w:r>
      <w:r>
        <w:rPr>
          <w:rFonts w:hint="eastAsia" w:ascii="宋体" w:hAnsi="宋体" w:cs="宋体"/>
          <w:color w:val="auto"/>
          <w:sz w:val="24"/>
          <w:szCs w:val="24"/>
          <w:highlight w:val="none"/>
          <w:lang w:val="en-US" w:eastAsia="zh-CN"/>
        </w:rPr>
        <w:t>全年租金</w:t>
      </w:r>
      <w:r>
        <w:rPr>
          <w:rFonts w:hint="eastAsia" w:ascii="宋体" w:hAnsi="宋体" w:cs="宋体"/>
          <w:color w:val="auto"/>
          <w:sz w:val="24"/>
          <w:szCs w:val="24"/>
          <w:highlight w:val="none"/>
        </w:rPr>
        <w:t>，待一年合同期满</w:t>
      </w:r>
      <w:r>
        <w:rPr>
          <w:rFonts w:hint="eastAsia" w:ascii="宋体" w:hAnsi="宋体" w:cs="宋体"/>
          <w:color w:val="auto"/>
          <w:sz w:val="24"/>
          <w:szCs w:val="24"/>
          <w:highlight w:val="none"/>
          <w:lang w:val="en-US" w:eastAsia="zh-CN"/>
        </w:rPr>
        <w:t>且乙方无违约情形时，甲方无息退还剩余履约保证金</w:t>
      </w:r>
      <w:r>
        <w:rPr>
          <w:rFonts w:hint="eastAsia" w:ascii="宋体" w:hAnsi="宋体" w:cs="宋体"/>
          <w:color w:val="auto"/>
          <w:sz w:val="24"/>
          <w:szCs w:val="24"/>
          <w:highlight w:val="none"/>
        </w:rPr>
        <w:t>。</w:t>
      </w:r>
    </w:p>
    <w:p>
      <w:pPr>
        <w:numPr>
          <w:ilvl w:val="0"/>
          <w:numId w:val="0"/>
        </w:numPr>
        <w:snapToGrid w:val="0"/>
        <w:spacing w:line="360" w:lineRule="auto"/>
        <w:ind w:firstLine="482" w:firstLineChars="200"/>
        <w:rPr>
          <w:rFonts w:hint="default"/>
          <w:color w:val="auto"/>
          <w:highlight w:val="none"/>
          <w:lang w:val="en-US" w:eastAsia="zh-CN"/>
        </w:rPr>
      </w:pPr>
      <w:r>
        <w:rPr>
          <w:rFonts w:hint="eastAsia" w:ascii="宋体" w:hAnsi="宋体" w:cs="宋体"/>
          <w:b/>
          <w:bCs/>
          <w:color w:val="auto"/>
          <w:sz w:val="24"/>
          <w:szCs w:val="24"/>
          <w:highlight w:val="none"/>
          <w:lang w:val="en-US" w:eastAsia="zh-CN"/>
        </w:rPr>
        <w:t>合同价为交给甲方的</w:t>
      </w:r>
      <w:r>
        <w:rPr>
          <w:rFonts w:hint="eastAsia" w:ascii="宋体" w:hAnsi="宋体" w:eastAsia="宋体" w:cs="宋体"/>
          <w:b/>
          <w:bCs/>
          <w:color w:val="auto"/>
          <w:sz w:val="24"/>
          <w:szCs w:val="24"/>
          <w:highlight w:val="none"/>
          <w:lang w:val="en-US" w:eastAsia="zh-CN"/>
        </w:rPr>
        <w:t>房屋和设备租金的价格，系</w:t>
      </w:r>
      <w:r>
        <w:rPr>
          <w:rFonts w:hint="eastAsia" w:ascii="宋体" w:hAnsi="宋体" w:cs="宋体"/>
          <w:b/>
          <w:bCs/>
          <w:color w:val="auto"/>
          <w:sz w:val="24"/>
          <w:szCs w:val="24"/>
          <w:highlight w:val="none"/>
          <w:lang w:val="en-US" w:eastAsia="zh-CN"/>
        </w:rPr>
        <w:t>乙方在核算成本后的报价</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且下列费用均由乙方自行承担：</w:t>
      </w:r>
      <w:r>
        <w:rPr>
          <w:rFonts w:hint="eastAsia" w:ascii="宋体" w:hAnsi="宋体" w:cs="宋体"/>
          <w:b/>
          <w:bCs/>
          <w:color w:val="auto"/>
          <w:sz w:val="24"/>
          <w:szCs w:val="24"/>
          <w:highlight w:val="none"/>
        </w:rPr>
        <w:t>包括但不限于所有的人员费（含工资、加班费、福利费</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保险费</w:t>
      </w:r>
      <w:r>
        <w:rPr>
          <w:rFonts w:hint="eastAsia" w:ascii="宋体" w:hAnsi="宋体" w:cs="宋体"/>
          <w:b/>
          <w:bCs/>
          <w:color w:val="auto"/>
          <w:sz w:val="24"/>
          <w:szCs w:val="24"/>
          <w:highlight w:val="none"/>
        </w:rPr>
        <w:t>等）、</w:t>
      </w:r>
      <w:r>
        <w:rPr>
          <w:rFonts w:hint="eastAsia" w:ascii="宋体" w:hAnsi="宋体" w:cs="宋体"/>
          <w:b/>
          <w:bCs/>
          <w:color w:val="auto"/>
          <w:sz w:val="24"/>
          <w:szCs w:val="24"/>
          <w:highlight w:val="none"/>
          <w:lang w:val="en-US" w:eastAsia="zh-CN"/>
        </w:rPr>
        <w:t>统一服装</w:t>
      </w:r>
      <w:r>
        <w:rPr>
          <w:rFonts w:hint="eastAsia" w:ascii="宋体" w:hAnsi="宋体" w:eastAsia="宋体" w:cs="宋体"/>
          <w:b/>
          <w:bCs/>
          <w:color w:val="auto"/>
          <w:sz w:val="24"/>
          <w:szCs w:val="24"/>
          <w:highlight w:val="none"/>
          <w:lang w:val="en-US" w:eastAsia="zh-CN"/>
        </w:rPr>
        <w:t>费（含工作服、工作鞋、围裙、袖套、口罩、工作帽等）、</w:t>
      </w:r>
      <w:r>
        <w:rPr>
          <w:rFonts w:hint="eastAsia" w:ascii="宋体" w:hAnsi="宋体" w:cs="宋体"/>
          <w:b/>
          <w:bCs/>
          <w:color w:val="auto"/>
          <w:sz w:val="24"/>
          <w:szCs w:val="24"/>
          <w:highlight w:val="none"/>
          <w:lang w:val="en-US" w:eastAsia="zh-CN"/>
        </w:rPr>
        <w:t>订餐软件（小程序）和刷卡系统的维护费、</w:t>
      </w:r>
      <w:r>
        <w:rPr>
          <w:rFonts w:hint="eastAsia" w:ascii="宋体" w:hAnsi="宋体" w:eastAsia="宋体" w:cs="宋体"/>
          <w:b/>
          <w:bCs/>
          <w:color w:val="auto"/>
          <w:sz w:val="24"/>
          <w:szCs w:val="24"/>
          <w:highlight w:val="none"/>
        </w:rPr>
        <w:t>现场踏勘</w:t>
      </w:r>
      <w:r>
        <w:rPr>
          <w:rFonts w:hint="eastAsia" w:ascii="宋体" w:hAnsi="宋体" w:cs="宋体"/>
          <w:b/>
          <w:bCs/>
          <w:color w:val="auto"/>
          <w:sz w:val="24"/>
          <w:szCs w:val="24"/>
          <w:highlight w:val="none"/>
        </w:rPr>
        <w:t>费、</w:t>
      </w:r>
      <w:r>
        <w:rPr>
          <w:rFonts w:hint="eastAsia" w:ascii="宋体" w:hAnsi="宋体" w:cs="宋体"/>
          <w:b/>
          <w:bCs/>
          <w:color w:val="auto"/>
          <w:sz w:val="24"/>
          <w:szCs w:val="24"/>
          <w:highlight w:val="none"/>
          <w:lang w:val="en-US" w:eastAsia="zh-CN"/>
        </w:rPr>
        <w:t>水费、电费、天然气费</w:t>
      </w:r>
      <w:r>
        <w:rPr>
          <w:rFonts w:hint="eastAsia" w:ascii="宋体" w:hAnsi="宋体" w:eastAsia="宋体" w:cs="宋体"/>
          <w:b/>
          <w:bCs/>
          <w:color w:val="auto"/>
          <w:sz w:val="24"/>
          <w:szCs w:val="24"/>
          <w:highlight w:val="none"/>
          <w:lang w:val="en-US" w:eastAsia="zh-CN"/>
        </w:rPr>
        <w:t>、餐厨废弃物及食堂垃圾的收集处置、正</w:t>
      </w:r>
      <w:r>
        <w:rPr>
          <w:rFonts w:hint="eastAsia" w:ascii="宋体" w:hAnsi="宋体" w:cs="宋体"/>
          <w:b/>
          <w:bCs/>
          <w:color w:val="auto"/>
          <w:sz w:val="24"/>
          <w:szCs w:val="24"/>
          <w:highlight w:val="none"/>
          <w:lang w:val="en-US" w:eastAsia="zh-CN"/>
        </w:rPr>
        <w:t>常使用情况下单次不超过200元的维修安装费、与甲方交接后因就餐人数增多或遗失、毁损、保管不当等原因而自行添置的设备设施费及各种餐饮家具和用具的费用</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因成交人原因造成的赔偿及损失费等、为满足消防、卫生、环保等部门而采取的各种措施费【安全生产措施、油烟处置措施（不含甲方负责的1年4次油烟清洗费）、油水分离措施等】、</w:t>
      </w:r>
      <w:r>
        <w:rPr>
          <w:rFonts w:hint="eastAsia" w:ascii="宋体" w:hAnsi="宋体" w:cs="宋体"/>
          <w:b/>
          <w:bCs/>
          <w:color w:val="auto"/>
          <w:sz w:val="24"/>
          <w:szCs w:val="24"/>
          <w:highlight w:val="none"/>
        </w:rPr>
        <w:t>办公费、工具费、机械费、技术支持与培训费、管理费、利润、税金、政策性文件规定及为达到</w:t>
      </w:r>
      <w:r>
        <w:rPr>
          <w:rFonts w:hint="eastAsia" w:ascii="宋体" w:hAnsi="宋体" w:cs="宋体"/>
          <w:b/>
          <w:bCs/>
          <w:color w:val="auto"/>
          <w:sz w:val="24"/>
          <w:szCs w:val="24"/>
          <w:highlight w:val="none"/>
          <w:lang w:val="en-US" w:eastAsia="zh-CN"/>
        </w:rPr>
        <w:t>甲方</w:t>
      </w:r>
      <w:r>
        <w:rPr>
          <w:rFonts w:hint="eastAsia" w:ascii="宋体" w:hAnsi="宋体" w:cs="宋体"/>
          <w:b/>
          <w:bCs/>
          <w:color w:val="auto"/>
          <w:sz w:val="24"/>
          <w:szCs w:val="24"/>
          <w:highlight w:val="none"/>
        </w:rPr>
        <w:t>要求所包含的所有风险、责任等各项费用。</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5、日常经营均由乙方自主经营且自负盈亏，供餐收入为乙方的全部流水收入。</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6、甲方将对本院在岗员工按月发放工作餐补助300元到医院食堂或医院其他地方刷卡消费。</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bidi="ar"/>
        </w:rPr>
        <w:t>7、就餐模式：职工自愿选择就餐，住院病员送餐至床前，送餐员必须统一服饰，着装整洁，年龄不得超过60周岁，具有一定的文化素养，文</w:t>
      </w:r>
      <w:r>
        <w:rPr>
          <w:rFonts w:hint="eastAsia" w:ascii="宋体" w:hAnsi="宋体" w:eastAsia="宋体" w:cs="宋体"/>
          <w:color w:val="auto"/>
          <w:sz w:val="24"/>
          <w:szCs w:val="24"/>
          <w:highlight w:val="none"/>
        </w:rPr>
        <w:t>明用语，态度热情，维护甲</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方的企业形象。</w:t>
      </w:r>
    </w:p>
    <w:p>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二、经营</w:t>
      </w:r>
      <w:r>
        <w:rPr>
          <w:rFonts w:hint="eastAsia" w:ascii="宋体" w:hAnsi="宋体" w:eastAsia="宋体" w:cs="宋体"/>
          <w:b/>
          <w:color w:val="auto"/>
          <w:sz w:val="24"/>
          <w:szCs w:val="24"/>
          <w:highlight w:val="none"/>
        </w:rPr>
        <w:t>管理</w:t>
      </w:r>
      <w:r>
        <w:rPr>
          <w:rFonts w:hint="eastAsia" w:ascii="宋体" w:hAnsi="宋体" w:eastAsia="宋体" w:cs="宋体"/>
          <w:b/>
          <w:color w:val="auto"/>
          <w:sz w:val="24"/>
          <w:szCs w:val="24"/>
          <w:highlight w:val="none"/>
          <w:lang w:val="en-US" w:eastAsia="zh-CN"/>
        </w:rPr>
        <w:t>服务</w:t>
      </w:r>
      <w:r>
        <w:rPr>
          <w:rFonts w:hint="eastAsia" w:ascii="宋体" w:hAnsi="宋体" w:eastAsia="宋体" w:cs="宋体"/>
          <w:b/>
          <w:color w:val="auto"/>
          <w:sz w:val="24"/>
          <w:szCs w:val="24"/>
          <w:highlight w:val="none"/>
        </w:rPr>
        <w:t>范围及要求</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经营</w:t>
      </w:r>
      <w:r>
        <w:rPr>
          <w:rFonts w:hint="eastAsia" w:ascii="宋体" w:hAnsi="宋体" w:eastAsia="宋体" w:cs="宋体"/>
          <w:color w:val="auto"/>
          <w:sz w:val="24"/>
          <w:szCs w:val="24"/>
          <w:highlight w:val="none"/>
        </w:rPr>
        <w:t>管理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范围：</w:t>
      </w:r>
      <w:r>
        <w:rPr>
          <w:rFonts w:hint="eastAsia" w:ascii="宋体" w:hAnsi="宋体" w:eastAsia="宋体" w:cs="宋体"/>
          <w:color w:val="auto"/>
          <w:sz w:val="24"/>
          <w:highlight w:val="none"/>
          <w:lang w:val="en-US" w:eastAsia="zh-CN" w:bidi="ar"/>
        </w:rPr>
        <w:t>南通市妇幼保健院的食堂经营，主要服务范围为：负责为医院职工（含进修实习生）、住院病人及陪伴家属提供（早、午、晚三餐）的集中或预约供餐、配送服务。</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食堂管理</w:t>
      </w:r>
      <w:r>
        <w:rPr>
          <w:rFonts w:hint="eastAsia" w:ascii="宋体" w:hAnsi="宋体" w:eastAsia="宋体" w:cs="宋体"/>
          <w:color w:val="auto"/>
          <w:sz w:val="24"/>
          <w:szCs w:val="24"/>
          <w:highlight w:val="none"/>
          <w:lang w:val="en-US" w:eastAsia="zh-CN"/>
        </w:rPr>
        <w:t>基本</w:t>
      </w:r>
      <w:r>
        <w:rPr>
          <w:rFonts w:hint="eastAsia" w:ascii="宋体" w:hAnsi="宋体" w:eastAsia="宋体" w:cs="宋体"/>
          <w:color w:val="auto"/>
          <w:sz w:val="24"/>
          <w:szCs w:val="24"/>
          <w:highlight w:val="none"/>
        </w:rPr>
        <w:t>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 </w:t>
      </w:r>
      <w:r>
        <w:rPr>
          <w:rFonts w:hint="eastAsia" w:ascii="宋体" w:hAnsi="宋体" w:eastAsia="宋体" w:cs="宋体"/>
          <w:color w:val="auto"/>
          <w:sz w:val="24"/>
          <w:szCs w:val="24"/>
          <w:highlight w:val="none"/>
        </w:rPr>
        <w:t>病员普通餐由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自行制订每周菜谱及单价，</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方监督。治疗饮食由营养师制定，根据市场行情确定其套餐价格，</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须按治疗饮食要求严格执行，菜谱由订餐人员下发到病区以及每间病房，供病员参考。</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 </w:t>
      </w:r>
      <w:r>
        <w:rPr>
          <w:rFonts w:hint="eastAsia" w:ascii="宋体" w:hAnsi="宋体" w:eastAsia="宋体" w:cs="宋体"/>
          <w:color w:val="auto"/>
          <w:sz w:val="24"/>
          <w:szCs w:val="24"/>
          <w:highlight w:val="none"/>
        </w:rPr>
        <w:t>用餐时间：病人常规送餐时间为：早6:30、中11:00、晚17:00，治疗饮食除外，具体时间须根据病情要求。其他人员用餐时间：早餐06:30-08:00，中餐10:30-12:30，晚餐16:30-1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:00。</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 </w:t>
      </w:r>
      <w:r>
        <w:rPr>
          <w:rFonts w:hint="eastAsia" w:ascii="宋体" w:hAnsi="宋体" w:eastAsia="宋体" w:cs="宋体"/>
          <w:color w:val="auto"/>
          <w:sz w:val="24"/>
          <w:szCs w:val="24"/>
          <w:highlight w:val="none"/>
        </w:rPr>
        <w:t>服务内容：</w:t>
      </w:r>
      <w:r>
        <w:rPr>
          <w:rFonts w:hint="eastAsia" w:ascii="宋体" w:hAnsi="宋体" w:eastAsia="宋体" w:cs="宋体"/>
          <w:color w:val="auto"/>
          <w:sz w:val="24"/>
          <w:highlight w:val="none"/>
          <w:lang w:val="en-US" w:eastAsia="zh-CN" w:bidi="ar"/>
        </w:rPr>
        <w:t>为住院病员、病员家属、体检人员、医护员工、专家、进修实习学生、后勤服务公司工人等提供日常三餐饮食、值班餐、治疗饮食、</w:t>
      </w:r>
      <w:r>
        <w:rPr>
          <w:rFonts w:hint="eastAsia" w:ascii="宋体" w:hAnsi="宋体" w:cs="宋体"/>
          <w:bCs/>
          <w:color w:val="auto"/>
          <w:sz w:val="24"/>
          <w:highlight w:val="none"/>
        </w:rPr>
        <w:t>营养餐饮和简餐等</w:t>
      </w:r>
      <w:r>
        <w:rPr>
          <w:rFonts w:hint="eastAsia" w:ascii="宋体" w:hAnsi="宋体" w:eastAsia="宋体" w:cs="宋体"/>
          <w:color w:val="auto"/>
          <w:sz w:val="24"/>
          <w:highlight w:val="none"/>
          <w:lang w:val="en-US" w:eastAsia="zh-CN" w:bidi="ar"/>
        </w:rPr>
        <w:t>；为医院公务接待提供桌餐；突发公共卫生事件时特殊单元的送餐；普通病员订餐、配送；特殊病员治疗饮食、营养餐饮制作、配送；窗口零售普通客饭、快餐、面食、小炒、净菜和半成品菜、各类点心等等。早餐点心不少于5种，主食、小菜各不少于3种；午餐、晚餐可选菜肴品种多样化，蒸、炸、煮、卤、炒、溜、炖、煎的菜肴品种齐全，其中：大众餐、简餐不少于50%，油炸食品不得高于20%，做到高、中、低档菜的供应齐全，比例适当：低档菜所占比例为20%-30%；中档菜所占比例为40%-50%；高档菜所占比例为20%-30%；桌餐满足</w:t>
      </w:r>
      <w:r>
        <w:rPr>
          <w:rFonts w:hint="eastAsia" w:ascii="宋体" w:hAnsi="宋体" w:cs="宋体"/>
          <w:color w:val="auto"/>
          <w:sz w:val="24"/>
          <w:highlight w:val="none"/>
          <w:lang w:val="en-US" w:eastAsia="zh-CN" w:bidi="ar"/>
        </w:rPr>
        <w:t>甲方</w:t>
      </w:r>
      <w:r>
        <w:rPr>
          <w:rFonts w:hint="eastAsia" w:ascii="宋体" w:hAnsi="宋体" w:eastAsia="宋体" w:cs="宋体"/>
          <w:color w:val="auto"/>
          <w:sz w:val="24"/>
          <w:highlight w:val="none"/>
          <w:lang w:val="en-US" w:eastAsia="zh-CN" w:bidi="ar"/>
        </w:rPr>
        <w:t>要求。就餐提供热菜服务及相关保温措施。夏、冬季节必须开放空调；夏秋季开启灭蚊、灭蝇设施。</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2.4 </w:t>
      </w:r>
      <w:r>
        <w:rPr>
          <w:rFonts w:hint="eastAsia" w:ascii="宋体" w:hAnsi="宋体" w:eastAsia="宋体" w:cs="宋体"/>
          <w:color w:val="auto"/>
          <w:sz w:val="24"/>
          <w:szCs w:val="24"/>
          <w:highlight w:val="none"/>
        </w:rPr>
        <w:t>服务态度：热情好客，不争吵不打架，积极处理好意见和纠纷，主动提高病员和职工满意度；积极配合相关监管部门工作。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rPr>
        <w:t>质量要求：饭菜质量好、</w:t>
      </w:r>
      <w:r>
        <w:rPr>
          <w:rFonts w:hint="eastAsia" w:ascii="宋体" w:hAnsi="宋体" w:cs="宋体"/>
          <w:bCs/>
          <w:color w:val="auto"/>
          <w:sz w:val="24"/>
          <w:highlight w:val="none"/>
        </w:rPr>
        <w:t>分量准确</w:t>
      </w:r>
      <w:r>
        <w:rPr>
          <w:rFonts w:hint="eastAsia" w:ascii="宋体" w:hAnsi="宋体" w:cs="宋体"/>
          <w:bCs/>
          <w:color w:val="auto"/>
          <w:sz w:val="24"/>
          <w:highlight w:val="none"/>
          <w:lang w:eastAsia="zh-CN"/>
        </w:rPr>
        <w:t>、</w:t>
      </w:r>
      <w:r>
        <w:rPr>
          <w:rFonts w:hint="eastAsia" w:ascii="宋体" w:hAnsi="宋体" w:cs="宋体"/>
          <w:bCs/>
          <w:color w:val="auto"/>
          <w:sz w:val="24"/>
          <w:highlight w:val="none"/>
        </w:rPr>
        <w:t>软硬适度</w:t>
      </w:r>
      <w:r>
        <w:rPr>
          <w:rFonts w:hint="eastAsia" w:ascii="宋体" w:hAnsi="宋体" w:cs="宋体"/>
          <w:bCs/>
          <w:color w:val="auto"/>
          <w:sz w:val="24"/>
          <w:highlight w:val="none"/>
          <w:lang w:eastAsia="zh-CN"/>
        </w:rPr>
        <w:t>、</w:t>
      </w:r>
      <w:r>
        <w:rPr>
          <w:rFonts w:hint="eastAsia" w:ascii="宋体" w:hAnsi="宋体" w:eastAsia="宋体" w:cs="宋体"/>
          <w:color w:val="auto"/>
          <w:sz w:val="24"/>
          <w:szCs w:val="24"/>
          <w:highlight w:val="none"/>
        </w:rPr>
        <w:t>色香味俱佳、花色品种齐全，冬季有保温措施，严禁经营过期、变质、三无食品。原材料进货渠道正规，</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证件齐全，</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方监管。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 </w:t>
      </w:r>
      <w:r>
        <w:rPr>
          <w:rFonts w:hint="eastAsia" w:ascii="宋体" w:hAnsi="宋体" w:eastAsia="宋体" w:cs="宋体"/>
          <w:color w:val="auto"/>
          <w:sz w:val="24"/>
          <w:szCs w:val="24"/>
          <w:highlight w:val="none"/>
        </w:rPr>
        <w:t>环境卫生要求：保障环境整洁、货物堆放整齐、设施设备卫生，做好每日、每周和每月定期环境卫生，分区责任明确，台账资料齐全，满足上级监督部门规定要求和符合三甲医院标准（见合同条款附件1：等级医院检查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szCs w:val="24"/>
          <w:highlight w:val="none"/>
          <w:lang w:val="en-US" w:eastAsia="zh-CN"/>
        </w:rPr>
        <w:t xml:space="preserve">2.7 </w:t>
      </w:r>
      <w:r>
        <w:rPr>
          <w:rFonts w:hint="eastAsia" w:ascii="宋体" w:hAnsi="宋体" w:eastAsia="宋体" w:cs="宋体"/>
          <w:color w:val="auto"/>
          <w:sz w:val="24"/>
          <w:szCs w:val="24"/>
          <w:highlight w:val="none"/>
        </w:rPr>
        <w:t>价格要求：</w:t>
      </w:r>
      <w:r>
        <w:rPr>
          <w:rFonts w:hint="eastAsia" w:ascii="宋体" w:hAnsi="宋体" w:cs="宋体"/>
          <w:bCs/>
          <w:color w:val="auto"/>
          <w:sz w:val="24"/>
          <w:highlight w:val="none"/>
        </w:rPr>
        <w:t>严格按照规定合理定价，价格须经过</w:t>
      </w:r>
      <w:r>
        <w:rPr>
          <w:rFonts w:hint="eastAsia" w:ascii="宋体" w:hAnsi="宋体" w:cs="宋体"/>
          <w:bCs/>
          <w:color w:val="auto"/>
          <w:sz w:val="24"/>
          <w:highlight w:val="none"/>
          <w:lang w:val="en-US" w:eastAsia="zh-CN"/>
        </w:rPr>
        <w:t>甲方</w:t>
      </w:r>
      <w:r>
        <w:rPr>
          <w:rFonts w:hint="eastAsia" w:ascii="宋体" w:hAnsi="宋体" w:cs="宋体"/>
          <w:bCs/>
          <w:color w:val="auto"/>
          <w:sz w:val="24"/>
          <w:highlight w:val="none"/>
        </w:rPr>
        <w:t>确认后（食堂须提前一周将菜谱组成结构和其价格提供给院方审核）公示，各相对独立区域有每月的菜单价格公示，明码标价，坚持以保证职工和患者</w:t>
      </w:r>
      <w:r>
        <w:rPr>
          <w:rFonts w:hint="eastAsia" w:ascii="宋体" w:hAnsi="宋体" w:eastAsia="宋体" w:cs="宋体"/>
          <w:bCs/>
          <w:color w:val="auto"/>
          <w:sz w:val="24"/>
          <w:highlight w:val="none"/>
        </w:rPr>
        <w:t>的微盈利为原</w:t>
      </w:r>
      <w:r>
        <w:rPr>
          <w:rFonts w:hint="eastAsia" w:ascii="宋体" w:hAnsi="宋体" w:cs="宋体"/>
          <w:bCs/>
          <w:color w:val="auto"/>
          <w:sz w:val="24"/>
          <w:highlight w:val="none"/>
        </w:rPr>
        <w:t>则，不得暴利定价，自觉接受监督。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2.8 </w:t>
      </w:r>
      <w:r>
        <w:rPr>
          <w:rFonts w:hint="eastAsia" w:ascii="宋体" w:hAnsi="宋体" w:eastAsia="宋体" w:cs="宋体"/>
          <w:color w:val="auto"/>
          <w:sz w:val="24"/>
          <w:szCs w:val="24"/>
          <w:highlight w:val="none"/>
        </w:rPr>
        <w:t>满意度要求：委托经营3个月后不得低于市卫健委委托第三方调查中的平均水平</w:t>
      </w:r>
      <w:r>
        <w:rPr>
          <w:rFonts w:hint="eastAsia" w:ascii="宋体" w:hAnsi="宋体" w:cs="宋体"/>
          <w:bCs/>
          <w:color w:val="auto"/>
          <w:sz w:val="24"/>
          <w:highlight w:val="none"/>
        </w:rPr>
        <w:t>，一旦低于平均水平将给予相应</w:t>
      </w:r>
      <w:r>
        <w:rPr>
          <w:rFonts w:hint="eastAsia" w:ascii="宋体" w:hAnsi="宋体" w:cs="宋体"/>
          <w:bCs/>
          <w:color w:val="auto"/>
          <w:sz w:val="24"/>
          <w:highlight w:val="none"/>
          <w:lang w:val="en-US" w:eastAsia="zh-CN"/>
        </w:rPr>
        <w:t>的违约金处理</w:t>
      </w:r>
      <w:r>
        <w:rPr>
          <w:rFonts w:hint="eastAsia" w:ascii="宋体" w:hAnsi="宋体" w:cs="宋体"/>
          <w:bCs/>
          <w:color w:val="auto"/>
          <w:sz w:val="24"/>
          <w:highlight w:val="none"/>
        </w:rPr>
        <w:t>；治疗饮食就餐率达100%；院内考核达85分</w:t>
      </w:r>
      <w:r>
        <w:rPr>
          <w:rFonts w:hint="eastAsia" w:ascii="宋体" w:hAnsi="宋体" w:cs="宋体"/>
          <w:bCs/>
          <w:color w:val="auto"/>
          <w:sz w:val="24"/>
          <w:highlight w:val="none"/>
          <w:lang w:eastAsia="zh-CN"/>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 </w:t>
      </w:r>
      <w:r>
        <w:rPr>
          <w:rFonts w:hint="eastAsia" w:ascii="宋体" w:hAnsi="宋体" w:eastAsia="宋体" w:cs="宋体"/>
          <w:color w:val="auto"/>
          <w:sz w:val="24"/>
          <w:szCs w:val="24"/>
          <w:highlight w:val="none"/>
        </w:rPr>
        <w:t>安全要求：所有菜品必须按规定留样，不得发生食物中毒事件、违法刑事犯罪事件、火灾事故以及其它重大安全生产事故。</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2.10 乙方</w:t>
      </w:r>
      <w:r>
        <w:rPr>
          <w:rFonts w:hint="eastAsia" w:ascii="宋体" w:hAnsi="宋体" w:eastAsia="宋体" w:cs="宋体"/>
          <w:color w:val="auto"/>
          <w:sz w:val="24"/>
          <w:szCs w:val="24"/>
          <w:highlight w:val="none"/>
        </w:rPr>
        <w:t>能够按照医院要求提供专业化的管理、规范化的操作，为</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食堂加工饭菜等工作提供服务，并对食堂食品安全卫生负责，不断提高职工和住院患者就餐满意度。</w:t>
      </w:r>
    </w:p>
    <w:p>
      <w:pPr>
        <w:snapToGrid w:val="0"/>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val="en-US" w:eastAsia="zh-CN" w:bidi="ar"/>
        </w:rPr>
        <w:t>2.</w:t>
      </w:r>
      <w:r>
        <w:rPr>
          <w:rFonts w:hint="eastAsia" w:ascii="宋体" w:hAnsi="宋体" w:eastAsia="宋体" w:cs="宋体"/>
          <w:color w:val="auto"/>
          <w:sz w:val="24"/>
          <w:highlight w:val="none"/>
          <w:lang w:val="en-US" w:eastAsia="zh-CN" w:bidi="ar"/>
        </w:rPr>
        <w:t>11</w:t>
      </w:r>
      <w:r>
        <w:rPr>
          <w:rFonts w:hint="eastAsia" w:ascii="宋体" w:hAnsi="宋体" w:cs="宋体"/>
          <w:color w:val="auto"/>
          <w:sz w:val="24"/>
          <w:highlight w:val="none"/>
          <w:lang w:val="en-US" w:eastAsia="zh-CN" w:bidi="ar"/>
        </w:rPr>
        <w:t xml:space="preserve"> 乙方</w:t>
      </w:r>
      <w:r>
        <w:rPr>
          <w:rFonts w:hint="eastAsia" w:ascii="宋体" w:hAnsi="宋体" w:eastAsia="宋体" w:cs="宋体"/>
          <w:color w:val="auto"/>
          <w:sz w:val="24"/>
          <w:highlight w:val="none"/>
          <w:lang w:val="en-US" w:eastAsia="zh-CN" w:bidi="ar"/>
        </w:rPr>
        <w:t>在本食堂工作的所有人员必须持有健康证，管理人员及厨师持有相应等级证书。</w:t>
      </w:r>
      <w:r>
        <w:rPr>
          <w:rFonts w:hint="eastAsia" w:ascii="宋体" w:hAnsi="宋体" w:cs="宋体"/>
          <w:color w:val="auto"/>
          <w:sz w:val="24"/>
          <w:highlight w:val="none"/>
          <w:lang w:val="en-US" w:eastAsia="zh-CN" w:bidi="ar"/>
        </w:rPr>
        <w:t>乙方</w:t>
      </w:r>
      <w:r>
        <w:rPr>
          <w:rFonts w:hint="eastAsia" w:ascii="宋体" w:hAnsi="宋体" w:eastAsia="宋体" w:cs="宋体"/>
          <w:color w:val="auto"/>
          <w:sz w:val="24"/>
          <w:highlight w:val="none"/>
          <w:lang w:val="en-US" w:eastAsia="zh-CN" w:bidi="ar"/>
        </w:rPr>
        <w:t>为用人单位，食堂工作的所有人员与</w:t>
      </w:r>
      <w:r>
        <w:rPr>
          <w:rFonts w:hint="eastAsia" w:ascii="宋体" w:hAnsi="宋体" w:cs="宋体"/>
          <w:color w:val="auto"/>
          <w:sz w:val="24"/>
          <w:highlight w:val="none"/>
          <w:lang w:val="en-US" w:eastAsia="zh-CN" w:bidi="ar"/>
        </w:rPr>
        <w:t>甲方</w:t>
      </w:r>
      <w:r>
        <w:rPr>
          <w:rFonts w:hint="eastAsia" w:ascii="宋体" w:hAnsi="宋体" w:eastAsia="宋体" w:cs="宋体"/>
          <w:color w:val="auto"/>
          <w:sz w:val="24"/>
          <w:highlight w:val="none"/>
          <w:lang w:val="en-US" w:eastAsia="zh-CN" w:bidi="ar"/>
        </w:rPr>
        <w:t>不存在雇佣等劳动关系。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lang w:val="en-US" w:eastAsia="zh-CN" w:bidi="ar"/>
        </w:rPr>
        <w:t>2.1</w:t>
      </w:r>
      <w:r>
        <w:rPr>
          <w:rFonts w:hint="eastAsia" w:ascii="宋体" w:hAnsi="宋体" w:cs="宋体"/>
          <w:color w:val="auto"/>
          <w:sz w:val="24"/>
          <w:highlight w:val="none"/>
          <w:lang w:val="en-US" w:eastAsia="zh-CN" w:bidi="ar"/>
        </w:rPr>
        <w:t>2</w:t>
      </w:r>
      <w:r>
        <w:rPr>
          <w:rFonts w:hint="eastAsia" w:ascii="宋体" w:hAnsi="宋体" w:eastAsia="宋体" w:cs="宋体"/>
          <w:color w:val="auto"/>
          <w:sz w:val="24"/>
          <w:highlight w:val="none"/>
          <w:lang w:val="en-US" w:eastAsia="zh-CN" w:bidi="ar"/>
        </w:rPr>
        <w:t xml:space="preserve"> 合同履行期间，乙方不能正常经营或非法超范围经营或因不正当经营造成甲方职工和病人意见大、投诉多、或给甲方带来其他严重的负面影响和损失的，甲方有权单方面提前终止合同。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乙方及从业人员在履行合同中，对知晓的任何甲方、乙方的经营活动信息及材料负有保密义务，不得向第三人透露。</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服务期限</w:t>
      </w:r>
    </w:p>
    <w:p>
      <w:pPr>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试用期</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3个月）内需</w:t>
      </w:r>
      <w:r>
        <w:rPr>
          <w:rFonts w:hint="eastAsia" w:ascii="宋体" w:hAnsi="宋体" w:eastAsia="宋体" w:cs="宋体"/>
          <w:color w:val="auto"/>
          <w:sz w:val="24"/>
          <w:szCs w:val="24"/>
          <w:highlight w:val="none"/>
          <w:lang w:val="en-US" w:eastAsia="zh-CN"/>
        </w:rPr>
        <w:t>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考核</w:t>
      </w: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每月考核分均≧90分）</w:t>
      </w:r>
      <w:r>
        <w:rPr>
          <w:rFonts w:hint="eastAsia" w:ascii="宋体" w:hAnsi="宋体" w:cs="宋体"/>
          <w:color w:val="auto"/>
          <w:sz w:val="24"/>
          <w:szCs w:val="24"/>
          <w:highlight w:val="none"/>
          <w:lang w:val="en-US" w:eastAsia="zh-CN"/>
        </w:rPr>
        <w:t>方可继续履约合同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一年合同期满</w:t>
      </w:r>
      <w:r>
        <w:rPr>
          <w:rFonts w:hint="eastAsia" w:ascii="宋体" w:hAnsi="宋体" w:cs="宋体"/>
          <w:color w:val="auto"/>
          <w:sz w:val="24"/>
          <w:szCs w:val="24"/>
          <w:highlight w:val="none"/>
          <w:lang w:val="en-US" w:eastAsia="zh-CN"/>
        </w:rPr>
        <w:t>（第1年的合同期含</w:t>
      </w:r>
      <w:r>
        <w:rPr>
          <w:rFonts w:hint="eastAsia" w:ascii="宋体" w:hAnsi="宋体" w:eastAsia="宋体" w:cs="宋体"/>
          <w:color w:val="auto"/>
          <w:sz w:val="24"/>
          <w:szCs w:val="24"/>
          <w:highlight w:val="none"/>
        </w:rPr>
        <w:t>试用期三个月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时，且</w:t>
      </w:r>
      <w:r>
        <w:rPr>
          <w:rFonts w:hint="eastAsia" w:ascii="宋体" w:hAnsi="宋体" w:cs="宋体"/>
          <w:color w:val="auto"/>
          <w:sz w:val="24"/>
          <w:szCs w:val="24"/>
          <w:highlight w:val="none"/>
          <w:lang w:val="en-US" w:eastAsia="zh-CN"/>
        </w:rPr>
        <w:t>甲、乙</w:t>
      </w:r>
      <w:r>
        <w:rPr>
          <w:rFonts w:hint="eastAsia" w:ascii="宋体" w:hAnsi="宋体" w:cs="宋体"/>
          <w:color w:val="auto"/>
          <w:sz w:val="24"/>
          <w:szCs w:val="24"/>
          <w:highlight w:val="none"/>
        </w:rPr>
        <w:t>双方愿意，</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承诺不</w:t>
      </w:r>
      <w:r>
        <w:rPr>
          <w:rFonts w:hint="eastAsia" w:ascii="宋体" w:hAnsi="宋体" w:cs="宋体"/>
          <w:color w:val="auto"/>
          <w:sz w:val="24"/>
          <w:szCs w:val="24"/>
          <w:highlight w:val="none"/>
          <w:lang w:val="en-US" w:eastAsia="zh-CN"/>
        </w:rPr>
        <w:t>减少租金和</w:t>
      </w:r>
      <w:r>
        <w:rPr>
          <w:rFonts w:hint="eastAsia" w:ascii="宋体" w:hAnsi="宋体" w:eastAsia="宋体" w:cs="宋体"/>
          <w:color w:val="auto"/>
          <w:sz w:val="24"/>
          <w:szCs w:val="24"/>
          <w:highlight w:val="none"/>
          <w:lang w:val="en-US" w:eastAsia="zh-CN"/>
        </w:rPr>
        <w:t>每月考核分均≧90分</w:t>
      </w:r>
      <w:r>
        <w:rPr>
          <w:rFonts w:hint="eastAsia" w:ascii="宋体" w:hAnsi="宋体" w:cs="宋体"/>
          <w:color w:val="auto"/>
          <w:sz w:val="24"/>
          <w:szCs w:val="24"/>
          <w:highlight w:val="none"/>
        </w:rPr>
        <w:t>的前提下，双方可续签下一年度合同，但最多续签两次。</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权利与义务、责任</w:t>
      </w:r>
    </w:p>
    <w:p>
      <w:pPr>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一）甲方的权利和</w:t>
      </w:r>
      <w:r>
        <w:rPr>
          <w:rFonts w:hint="eastAsia" w:ascii="宋体" w:hAnsi="宋体" w:eastAsia="宋体" w:cs="宋体"/>
          <w:color w:val="auto"/>
          <w:sz w:val="24"/>
          <w:szCs w:val="24"/>
          <w:highlight w:val="none"/>
        </w:rPr>
        <w:t>义务：</w:t>
      </w:r>
    </w:p>
    <w:p>
      <w:pPr>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1、收取房屋设施、</w:t>
      </w:r>
      <w:r>
        <w:rPr>
          <w:rFonts w:hint="eastAsia" w:ascii="宋体" w:hAnsi="宋体" w:eastAsia="宋体" w:cs="宋体"/>
          <w:color w:val="auto"/>
          <w:sz w:val="24"/>
          <w:szCs w:val="24"/>
          <w:highlight w:val="none"/>
          <w:lang w:val="en-US" w:eastAsia="zh-CN"/>
        </w:rPr>
        <w:t>设备设施</w:t>
      </w:r>
      <w:r>
        <w:rPr>
          <w:rFonts w:hint="eastAsia" w:ascii="宋体" w:hAnsi="宋体" w:eastAsia="宋体" w:cs="宋体"/>
          <w:color w:val="auto"/>
          <w:sz w:val="24"/>
          <w:szCs w:val="24"/>
          <w:highlight w:val="none"/>
        </w:rPr>
        <w:t>等固定资产折旧及场所使用费；</w:t>
      </w:r>
    </w:p>
    <w:p>
      <w:pPr>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2、提供食堂现有</w:t>
      </w:r>
      <w:r>
        <w:rPr>
          <w:rFonts w:hint="eastAsia" w:ascii="宋体" w:hAnsi="宋体" w:eastAsia="宋体" w:cs="宋体"/>
          <w:color w:val="auto"/>
          <w:sz w:val="24"/>
          <w:highlight w:val="none"/>
          <w:lang w:val="en-US" w:eastAsia="zh-CN" w:bidi="ar"/>
        </w:rPr>
        <w:t>食</w:t>
      </w:r>
      <w:r>
        <w:rPr>
          <w:rFonts w:hint="eastAsia" w:ascii="宋体" w:hAnsi="宋体" w:eastAsia="宋体" w:cs="宋体"/>
          <w:color w:val="auto"/>
          <w:sz w:val="24"/>
          <w:szCs w:val="24"/>
          <w:highlight w:val="none"/>
          <w:lang w:val="en-US" w:eastAsia="zh-CN"/>
        </w:rPr>
        <w:t>堂用房、设备设施、餐饮家具、公共餐具等</w:t>
      </w:r>
      <w:r>
        <w:rPr>
          <w:rFonts w:hint="eastAsia" w:ascii="宋体" w:hAnsi="宋体" w:eastAsia="宋体" w:cs="宋体"/>
          <w:color w:val="auto"/>
          <w:sz w:val="24"/>
          <w:szCs w:val="24"/>
          <w:highlight w:val="none"/>
        </w:rPr>
        <w:t>；</w:t>
      </w:r>
    </w:p>
    <w:p>
      <w:pPr>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3、提供内线电话1部</w:t>
      </w:r>
      <w:r>
        <w:rPr>
          <w:rFonts w:hint="eastAsia" w:ascii="宋体" w:hAnsi="宋体" w:eastAsia="宋体" w:cs="宋体"/>
          <w:color w:val="auto"/>
          <w:sz w:val="24"/>
          <w:szCs w:val="24"/>
          <w:highlight w:val="none"/>
          <w:lang w:eastAsia="zh-CN"/>
        </w:rPr>
        <w:t>、提供一套</w:t>
      </w:r>
      <w:r>
        <w:rPr>
          <w:rFonts w:hint="eastAsia" w:ascii="宋体" w:hAnsi="宋体" w:cs="宋体"/>
          <w:color w:val="auto"/>
          <w:sz w:val="24"/>
          <w:szCs w:val="24"/>
          <w:highlight w:val="none"/>
          <w:lang w:val="en-US" w:eastAsia="zh-CN"/>
        </w:rPr>
        <w:t>刷卡系统（维修费乙方自付）</w:t>
      </w:r>
      <w:r>
        <w:rPr>
          <w:rFonts w:hint="eastAsia" w:ascii="宋体" w:hAnsi="宋体" w:eastAsia="宋体" w:cs="宋体"/>
          <w:color w:val="auto"/>
          <w:sz w:val="24"/>
          <w:szCs w:val="24"/>
          <w:highlight w:val="none"/>
        </w:rPr>
        <w:t>；</w:t>
      </w:r>
    </w:p>
    <w:p>
      <w:pPr>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4、提供住院患者信息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乙方负有保密责任）</w:t>
      </w:r>
      <w:r>
        <w:rPr>
          <w:rFonts w:hint="eastAsia" w:ascii="宋体" w:hAnsi="宋体" w:eastAsia="宋体" w:cs="宋体"/>
          <w:color w:val="auto"/>
          <w:sz w:val="24"/>
          <w:szCs w:val="24"/>
          <w:highlight w:val="none"/>
        </w:rPr>
        <w:t>，以方便订餐；</w:t>
      </w:r>
    </w:p>
    <w:p>
      <w:pPr>
        <w:snapToGrid w:val="0"/>
        <w:spacing w:line="360" w:lineRule="auto"/>
        <w:ind w:firstLine="460" w:firstLineChars="192"/>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、安装独立的水表、电表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天然气表</w:t>
      </w:r>
      <w:r>
        <w:rPr>
          <w:rFonts w:hint="eastAsia" w:ascii="宋体" w:hAnsi="宋体" w:eastAsia="宋体" w:cs="宋体"/>
          <w:color w:val="auto"/>
          <w:sz w:val="24"/>
          <w:szCs w:val="24"/>
          <w:highlight w:val="none"/>
        </w:rPr>
        <w:t>；</w:t>
      </w:r>
    </w:p>
    <w:p>
      <w:pPr>
        <w:snapToGrid w:val="0"/>
        <w:spacing w:line="360" w:lineRule="auto"/>
        <w:ind w:firstLine="460" w:firstLineChars="19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对本院在岗员工按月发放工作餐补助300元到医院食堂或医院其他地方消费。</w:t>
      </w:r>
    </w:p>
    <w:p>
      <w:pPr>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、指定监督员对食堂的食品卫生、服务质量等方面进行监管。</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组织的</w:t>
      </w:r>
      <w:r>
        <w:rPr>
          <w:rFonts w:hint="eastAsia" w:ascii="宋体" w:hAnsi="宋体" w:eastAsia="宋体" w:cs="宋体"/>
          <w:color w:val="auto"/>
          <w:sz w:val="24"/>
          <w:szCs w:val="24"/>
          <w:highlight w:val="none"/>
        </w:rPr>
        <w:t>考核由“</w:t>
      </w:r>
      <w:r>
        <w:rPr>
          <w:rFonts w:hint="eastAsia" w:ascii="宋体" w:hAnsi="宋体" w:eastAsia="宋体" w:cs="宋体"/>
          <w:color w:val="auto"/>
          <w:sz w:val="24"/>
          <w:szCs w:val="24"/>
          <w:highlight w:val="none"/>
          <w:lang w:val="en-US" w:eastAsia="zh-CN"/>
        </w:rPr>
        <w:t>院膳食委员会</w:t>
      </w:r>
      <w:r>
        <w:rPr>
          <w:rFonts w:hint="eastAsia" w:ascii="宋体" w:hAnsi="宋体" w:eastAsia="宋体" w:cs="宋体"/>
          <w:color w:val="auto"/>
          <w:sz w:val="24"/>
          <w:szCs w:val="24"/>
          <w:highlight w:val="none"/>
        </w:rPr>
        <w:t>”根据双方约定的考核细则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详见附件2）</w:t>
      </w:r>
      <w:r>
        <w:rPr>
          <w:rFonts w:hint="eastAsia" w:ascii="宋体" w:hAnsi="宋体" w:eastAsia="宋体" w:cs="宋体"/>
          <w:color w:val="auto"/>
          <w:sz w:val="24"/>
          <w:szCs w:val="24"/>
          <w:highlight w:val="none"/>
        </w:rPr>
        <w:t>每月进行一次</w:t>
      </w:r>
      <w:r>
        <w:rPr>
          <w:rFonts w:hint="eastAsia" w:ascii="宋体" w:hAnsi="宋体" w:eastAsia="宋体" w:cs="宋体"/>
          <w:color w:val="auto"/>
          <w:sz w:val="24"/>
          <w:szCs w:val="24"/>
          <w:highlight w:val="none"/>
          <w:lang w:val="en-US" w:eastAsia="zh-CN"/>
        </w:rPr>
        <w:t>和不定期暗访</w:t>
      </w:r>
      <w:r>
        <w:rPr>
          <w:rFonts w:hint="eastAsia" w:ascii="宋体" w:hAnsi="宋体" w:eastAsia="宋体" w:cs="宋体"/>
          <w:color w:val="auto"/>
          <w:sz w:val="24"/>
          <w:szCs w:val="24"/>
          <w:highlight w:val="none"/>
        </w:rPr>
        <w:t>。</w:t>
      </w:r>
    </w:p>
    <w:p>
      <w:pPr>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一年合同期</w:t>
      </w:r>
      <w:r>
        <w:rPr>
          <w:rFonts w:hint="eastAsia" w:ascii="宋体" w:hAnsi="宋体" w:eastAsia="宋体" w:cs="宋体"/>
          <w:color w:val="auto"/>
          <w:sz w:val="24"/>
          <w:szCs w:val="24"/>
          <w:highlight w:val="none"/>
        </w:rPr>
        <w:t>满，提前一个月拿出新一轮委托经营</w:t>
      </w:r>
      <w:r>
        <w:rPr>
          <w:rFonts w:hint="eastAsia" w:ascii="宋体" w:hAnsi="宋体" w:eastAsia="宋体" w:cs="宋体"/>
          <w:color w:val="auto"/>
          <w:sz w:val="24"/>
          <w:szCs w:val="24"/>
          <w:highlight w:val="none"/>
          <w:lang w:val="en-US" w:eastAsia="zh-CN"/>
        </w:rPr>
        <w:t>管理服务</w:t>
      </w:r>
      <w:r>
        <w:rPr>
          <w:rFonts w:hint="eastAsia" w:ascii="宋体" w:hAnsi="宋体" w:eastAsia="宋体" w:cs="宋体"/>
          <w:color w:val="auto"/>
          <w:sz w:val="24"/>
          <w:szCs w:val="24"/>
          <w:highlight w:val="none"/>
        </w:rPr>
        <w:t>方案并告知</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（二）乙方的权利和</w:t>
      </w:r>
      <w:r>
        <w:rPr>
          <w:rFonts w:hint="eastAsia" w:ascii="宋体" w:hAnsi="宋体" w:eastAsia="宋体" w:cs="宋体"/>
          <w:color w:val="auto"/>
          <w:sz w:val="24"/>
          <w:szCs w:val="24"/>
          <w:highlight w:val="none"/>
        </w:rPr>
        <w:t>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1、合同期内，乙方须诚信经营，专款专用，保证经营状况良好。</w:t>
      </w:r>
      <w:r>
        <w:rPr>
          <w:rFonts w:hint="eastAsia" w:ascii="宋体" w:hAnsi="宋体" w:eastAsia="宋体" w:cs="宋体"/>
          <w:color w:val="auto"/>
          <w:sz w:val="24"/>
          <w:szCs w:val="24"/>
          <w:highlight w:val="none"/>
          <w:lang w:val="en-US" w:eastAsia="zh-CN"/>
        </w:rPr>
        <w:t>乙方须</w:t>
      </w:r>
      <w:r>
        <w:rPr>
          <w:rFonts w:hint="eastAsia" w:ascii="宋体" w:hAnsi="宋体" w:eastAsia="宋体" w:cs="宋体"/>
          <w:color w:val="auto"/>
          <w:sz w:val="24"/>
          <w:szCs w:val="24"/>
          <w:highlight w:val="none"/>
        </w:rPr>
        <w:t>遵守</w:t>
      </w:r>
      <w:r>
        <w:rPr>
          <w:rFonts w:hint="eastAsia" w:ascii="宋体" w:hAnsi="宋体" w:eastAsia="宋体" w:cs="宋体"/>
          <w:color w:val="auto"/>
          <w:sz w:val="24"/>
          <w:highlight w:val="none"/>
          <w:lang w:val="en-US" w:eastAsia="zh-CN" w:bidi="ar"/>
        </w:rPr>
        <w:t>本项目根据《中华人民共和国食品安全法》(2021年修订)、《中华人民共和国食品卫生法》及其实施条例、《餐饮服务食品安全监督管理办法》及江苏省、南通市有关食堂安全和卫生的相关文件要求实施，如合同履行期间，上述法律、法规及规范等有最新要求时，按最新条款执行，如有不一致时，按最严格条款执行</w:t>
      </w:r>
      <w:r>
        <w:rPr>
          <w:rFonts w:hint="eastAsia" w:ascii="宋体" w:hAnsi="宋体" w:eastAsia="宋体" w:cs="宋体"/>
          <w:color w:val="auto"/>
          <w:sz w:val="24"/>
          <w:szCs w:val="24"/>
          <w:highlight w:val="none"/>
        </w:rPr>
        <w:t>；遵守</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各种规章制度；接受</w:t>
      </w:r>
      <w:r>
        <w:rPr>
          <w:rFonts w:hint="eastAsia" w:ascii="宋体" w:hAnsi="宋体" w:eastAsia="宋体" w:cs="宋体"/>
          <w:color w:val="auto"/>
          <w:sz w:val="24"/>
          <w:szCs w:val="24"/>
          <w:highlight w:val="none"/>
          <w:lang w:val="en-US" w:eastAsia="zh-CN"/>
        </w:rPr>
        <w:t>甲方组织的考核；接受相关部门组织的或委托</w:t>
      </w:r>
      <w:r>
        <w:rPr>
          <w:rFonts w:hint="eastAsia" w:ascii="宋体" w:hAnsi="宋体" w:eastAsia="宋体" w:cs="宋体"/>
          <w:color w:val="auto"/>
          <w:sz w:val="24"/>
          <w:szCs w:val="24"/>
          <w:highlight w:val="none"/>
        </w:rPr>
        <w:t>第三方对食堂服务的全面考核评估，满意度不达标接受相应的</w:t>
      </w:r>
      <w:r>
        <w:rPr>
          <w:rFonts w:hint="eastAsia" w:ascii="宋体" w:hAnsi="宋体" w:eastAsia="宋体" w:cs="宋体"/>
          <w:color w:val="auto"/>
          <w:sz w:val="24"/>
          <w:szCs w:val="24"/>
          <w:highlight w:val="none"/>
          <w:lang w:val="en-US" w:eastAsia="zh-CN"/>
        </w:rPr>
        <w:t>考核违约处理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及时足额按成交价</w:t>
      </w:r>
      <w:r>
        <w:rPr>
          <w:rFonts w:hint="eastAsia" w:ascii="宋体" w:hAnsi="宋体" w:eastAsia="宋体" w:cs="宋体"/>
          <w:color w:val="auto"/>
          <w:sz w:val="24"/>
          <w:szCs w:val="24"/>
          <w:highlight w:val="none"/>
        </w:rPr>
        <w:t>缴纳</w:t>
      </w:r>
      <w:r>
        <w:rPr>
          <w:rFonts w:hint="eastAsia" w:ascii="宋体" w:hAnsi="宋体" w:cs="宋体"/>
          <w:color w:val="auto"/>
          <w:sz w:val="24"/>
          <w:szCs w:val="24"/>
          <w:highlight w:val="none"/>
          <w:lang w:val="en-US" w:eastAsia="zh-CN"/>
        </w:rPr>
        <w:t>房屋和设备租金、履约保证金</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3、在合同</w:t>
      </w:r>
      <w:r>
        <w:rPr>
          <w:rFonts w:hint="eastAsia" w:ascii="宋体" w:hAnsi="宋体" w:eastAsia="宋体" w:cs="宋体"/>
          <w:color w:val="auto"/>
          <w:sz w:val="24"/>
          <w:szCs w:val="24"/>
          <w:highlight w:val="none"/>
          <w:lang w:val="en-US" w:eastAsia="zh-CN"/>
        </w:rPr>
        <w:t>履行期间</w:t>
      </w:r>
      <w:r>
        <w:rPr>
          <w:rFonts w:hint="eastAsia" w:ascii="宋体" w:hAnsi="宋体" w:eastAsia="宋体" w:cs="宋体"/>
          <w:color w:val="auto"/>
          <w:sz w:val="24"/>
          <w:szCs w:val="24"/>
          <w:highlight w:val="none"/>
        </w:rPr>
        <w:t>内，不得</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任何形式转包</w:t>
      </w:r>
      <w:r>
        <w:rPr>
          <w:rFonts w:hint="eastAsia" w:ascii="宋体" w:hAnsi="宋体" w:eastAsia="宋体" w:cs="宋体"/>
          <w:color w:val="auto"/>
          <w:sz w:val="24"/>
          <w:szCs w:val="24"/>
          <w:highlight w:val="none"/>
          <w:lang w:val="en-US" w:eastAsia="zh-CN"/>
        </w:rPr>
        <w:t>给其他单位或个人</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w:t>
      </w:r>
      <w:r>
        <w:rPr>
          <w:rFonts w:hint="eastAsia" w:ascii="宋体" w:hAnsi="宋体" w:eastAsia="宋体" w:cs="宋体"/>
          <w:color w:val="auto"/>
          <w:sz w:val="24"/>
          <w:szCs w:val="24"/>
          <w:highlight w:val="none"/>
          <w:lang w:val="en-US" w:eastAsia="zh-CN"/>
        </w:rPr>
        <w:t>提前</w:t>
      </w:r>
      <w:r>
        <w:rPr>
          <w:rFonts w:hint="eastAsia" w:ascii="宋体" w:hAnsi="宋体" w:eastAsia="宋体" w:cs="宋体"/>
          <w:color w:val="auto"/>
          <w:sz w:val="24"/>
          <w:szCs w:val="24"/>
          <w:highlight w:val="none"/>
        </w:rPr>
        <w:t>终止</w:t>
      </w:r>
      <w:r>
        <w:rPr>
          <w:rFonts w:hint="eastAsia" w:ascii="宋体" w:hAnsi="宋体" w:eastAsia="宋体" w:cs="宋体"/>
          <w:color w:val="auto"/>
          <w:sz w:val="24"/>
          <w:szCs w:val="24"/>
          <w:highlight w:val="none"/>
          <w:lang w:val="en-US" w:eastAsia="zh-CN"/>
        </w:rPr>
        <w:t>合</w:t>
      </w:r>
      <w:r>
        <w:rPr>
          <w:rFonts w:hint="eastAsia" w:ascii="宋体" w:hAnsi="宋体" w:eastAsia="宋体" w:cs="宋体"/>
          <w:color w:val="auto"/>
          <w:sz w:val="24"/>
          <w:szCs w:val="24"/>
          <w:highlight w:val="none"/>
        </w:rPr>
        <w:t>同</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4、若</w:t>
      </w:r>
      <w:r>
        <w:rPr>
          <w:rFonts w:hint="eastAsia" w:ascii="宋体" w:hAnsi="宋体" w:eastAsia="宋体" w:cs="宋体"/>
          <w:color w:val="auto"/>
          <w:sz w:val="24"/>
          <w:szCs w:val="24"/>
          <w:highlight w:val="none"/>
          <w:lang w:val="en-US" w:eastAsia="zh-CN"/>
        </w:rPr>
        <w:t>为增加服务质量和水平而</w:t>
      </w:r>
      <w:r>
        <w:rPr>
          <w:rFonts w:hint="eastAsia" w:ascii="宋体" w:hAnsi="宋体" w:eastAsia="宋体" w:cs="宋体"/>
          <w:color w:val="auto"/>
          <w:sz w:val="24"/>
          <w:szCs w:val="24"/>
          <w:highlight w:val="none"/>
        </w:rPr>
        <w:t>添置新的设备</w:t>
      </w:r>
      <w:r>
        <w:rPr>
          <w:rFonts w:hint="eastAsia" w:ascii="宋体" w:hAnsi="宋体" w:eastAsia="宋体" w:cs="宋体"/>
          <w:color w:val="auto"/>
          <w:sz w:val="24"/>
          <w:szCs w:val="24"/>
          <w:highlight w:val="none"/>
          <w:lang w:val="en-US" w:eastAsia="zh-CN"/>
        </w:rPr>
        <w:t>设施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餐饮家具、餐饮</w:t>
      </w:r>
      <w:r>
        <w:rPr>
          <w:rFonts w:hint="eastAsia" w:ascii="宋体" w:hAnsi="宋体" w:eastAsia="宋体" w:cs="宋体"/>
          <w:color w:val="auto"/>
          <w:sz w:val="24"/>
          <w:szCs w:val="24"/>
          <w:highlight w:val="none"/>
        </w:rPr>
        <w:t>用具等，所有费用自理，</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不予分担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合同履行结束，可以撤离，但不得破坏现有的建筑、结构及设备设施，如有损坏须恢复原状</w:t>
      </w:r>
      <w:r>
        <w:rPr>
          <w:rFonts w:hint="eastAsia" w:ascii="宋体" w:hAnsi="宋体" w:eastAsia="宋体" w:cs="宋体"/>
          <w:color w:val="auto"/>
          <w:sz w:val="24"/>
          <w:szCs w:val="24"/>
          <w:highlight w:val="none"/>
          <w:lang w:eastAsia="zh-CN"/>
        </w:rPr>
        <w:t>。</w:t>
      </w:r>
    </w:p>
    <w:p>
      <w:pPr>
        <w:snapToGrid w:val="0"/>
        <w:spacing w:line="360" w:lineRule="auto"/>
        <w:ind w:firstLine="460" w:firstLineChars="19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highlight w:val="none"/>
          <w:lang w:val="en-US" w:eastAsia="zh-CN" w:bidi="ar"/>
        </w:rPr>
        <w:t>必须保证经营管理场所满足消防、卫生、环保等部门要求，且应采取安全生产措施、油烟处置措施</w:t>
      </w:r>
      <w:r>
        <w:rPr>
          <w:rFonts w:hint="eastAsia" w:ascii="宋体" w:hAnsi="宋体" w:cs="宋体"/>
          <w:b w:val="0"/>
          <w:bCs w:val="0"/>
          <w:color w:val="auto"/>
          <w:sz w:val="24"/>
          <w:szCs w:val="24"/>
          <w:highlight w:val="none"/>
          <w:lang w:val="en-US" w:eastAsia="zh-CN"/>
        </w:rPr>
        <w:t>（不含甲方负责的1年4次油烟清洗费）</w:t>
      </w:r>
      <w:r>
        <w:rPr>
          <w:rFonts w:hint="eastAsia" w:ascii="宋体" w:hAnsi="宋体" w:eastAsia="宋体" w:cs="宋体"/>
          <w:b w:val="0"/>
          <w:bCs w:val="0"/>
          <w:color w:val="auto"/>
          <w:sz w:val="24"/>
          <w:highlight w:val="none"/>
          <w:lang w:val="en-US" w:eastAsia="zh-CN" w:bidi="ar"/>
        </w:rPr>
        <w:t>、</w:t>
      </w:r>
      <w:r>
        <w:rPr>
          <w:rFonts w:hint="eastAsia" w:ascii="宋体" w:hAnsi="宋体" w:eastAsia="宋体" w:cs="宋体"/>
          <w:color w:val="auto"/>
          <w:sz w:val="24"/>
          <w:highlight w:val="none"/>
          <w:lang w:val="en-US" w:eastAsia="zh-CN" w:bidi="ar"/>
        </w:rPr>
        <w:t>油水分离措施等各种措施，做到安全生产、排放达标。</w:t>
      </w:r>
      <w:r>
        <w:rPr>
          <w:rFonts w:hint="eastAsia" w:ascii="宋体" w:hAnsi="宋体" w:eastAsia="宋体" w:cs="宋体"/>
          <w:color w:val="auto"/>
          <w:sz w:val="24"/>
          <w:szCs w:val="24"/>
          <w:highlight w:val="none"/>
        </w:rPr>
        <w:t>若因措施不到位发生安全事故</w:t>
      </w:r>
      <w:r>
        <w:rPr>
          <w:rFonts w:hint="eastAsia" w:ascii="宋体" w:hAnsi="宋体" w:eastAsia="宋体" w:cs="宋体"/>
          <w:color w:val="auto"/>
          <w:sz w:val="24"/>
          <w:szCs w:val="24"/>
          <w:highlight w:val="none"/>
          <w:lang w:val="en-US" w:eastAsia="zh-CN"/>
        </w:rPr>
        <w:t>或受到相关部门处罚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则</w:t>
      </w:r>
      <w:r>
        <w:rPr>
          <w:rFonts w:hint="eastAsia" w:ascii="宋体" w:hAnsi="宋体" w:eastAsia="宋体" w:cs="宋体"/>
          <w:color w:val="auto"/>
          <w:sz w:val="24"/>
          <w:szCs w:val="24"/>
          <w:highlight w:val="none"/>
        </w:rPr>
        <w:t>一切损失和责任</w:t>
      </w:r>
      <w:r>
        <w:rPr>
          <w:rFonts w:hint="eastAsia" w:ascii="宋体" w:hAnsi="宋体" w:eastAsia="宋体" w:cs="宋体"/>
          <w:color w:val="auto"/>
          <w:sz w:val="24"/>
          <w:szCs w:val="24"/>
          <w:highlight w:val="none"/>
          <w:lang w:val="en-US" w:eastAsia="zh-CN"/>
        </w:rPr>
        <w:t>由</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w:t>
      </w:r>
      <w:r>
        <w:rPr>
          <w:rFonts w:hint="eastAsia" w:ascii="宋体" w:hAnsi="宋体" w:eastAsia="宋体" w:cs="宋体"/>
          <w:color w:val="auto"/>
          <w:sz w:val="24"/>
          <w:szCs w:val="24"/>
          <w:highlight w:val="none"/>
          <w:lang w:eastAsia="zh-CN"/>
        </w:rPr>
        <w:t>。</w:t>
      </w:r>
    </w:p>
    <w:p>
      <w:pPr>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拟派本项目人员与甲方无任何关系，均与乙方为劳动关系，其</w:t>
      </w:r>
      <w:r>
        <w:rPr>
          <w:rFonts w:hint="eastAsia" w:ascii="宋体" w:hAnsi="宋体" w:eastAsia="宋体" w:cs="宋体"/>
          <w:color w:val="auto"/>
          <w:sz w:val="24"/>
          <w:szCs w:val="24"/>
          <w:highlight w:val="none"/>
        </w:rPr>
        <w:t>工资、奖金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福利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保险等费用也均由乙方承担</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同时</w:t>
      </w:r>
      <w:r>
        <w:rPr>
          <w:rFonts w:hint="eastAsia" w:ascii="宋体" w:hAnsi="宋体" w:cs="宋体"/>
          <w:color w:val="auto"/>
          <w:sz w:val="24"/>
          <w:szCs w:val="24"/>
          <w:highlight w:val="none"/>
          <w:lang w:val="en-US" w:eastAsia="zh-CN"/>
        </w:rPr>
        <w:t>乙方人员</w:t>
      </w:r>
      <w:r>
        <w:rPr>
          <w:rFonts w:hint="eastAsia" w:ascii="宋体" w:hAnsi="宋体" w:eastAsia="宋体" w:cs="宋体"/>
          <w:color w:val="auto"/>
          <w:sz w:val="24"/>
          <w:szCs w:val="24"/>
          <w:highlight w:val="none"/>
          <w:lang w:val="en-US" w:eastAsia="zh-CN"/>
        </w:rPr>
        <w:t>的岗位职责、操作规范、人身安全、医疗、内部管理、各类纠纷等各项事宜及费用均由乙方自行承担。若发生劳动纠纷、工伤及意外、医疗、赔偿等均与甲方无关，且由乙方自行处理，若给甲方带来不利或负面影响，乙方须积极主动承担由此带来的所有责任和损失</w:t>
      </w:r>
      <w:r>
        <w:rPr>
          <w:rFonts w:hint="eastAsia" w:ascii="宋体" w:hAnsi="宋体" w:eastAsia="宋体" w:cs="宋体"/>
          <w:color w:val="auto"/>
          <w:sz w:val="24"/>
          <w:szCs w:val="24"/>
          <w:highlight w:val="none"/>
        </w:rPr>
        <w:t>。</w:t>
      </w:r>
    </w:p>
    <w:p>
      <w:pPr>
        <w:snapToGrid w:val="0"/>
        <w:spacing w:line="360" w:lineRule="auto"/>
        <w:ind w:firstLine="460" w:firstLineChars="19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7、乙方应培训好服务从业人员，相关岗位需持证上岗，本项目的所有人员都必须具备有效的健康证明，厨师有厨师证。合同签订时</w:t>
      </w:r>
      <w:r>
        <w:rPr>
          <w:rFonts w:hint="eastAsia" w:ascii="宋体" w:hAnsi="宋体" w:eastAsia="宋体" w:cs="宋体"/>
          <w:color w:val="auto"/>
          <w:sz w:val="24"/>
          <w:szCs w:val="24"/>
          <w:highlight w:val="none"/>
        </w:rPr>
        <w:t>提供从业人员名单、作息时间、考核内容、检查标准等资料。</w:t>
      </w:r>
    </w:p>
    <w:p>
      <w:pPr>
        <w:pStyle w:val="2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8、乙方应确保合法用工，</w:t>
      </w:r>
      <w:r>
        <w:rPr>
          <w:rFonts w:hint="eastAsia" w:ascii="宋体" w:hAnsi="宋体" w:eastAsia="宋体" w:cs="宋体"/>
          <w:color w:val="auto"/>
          <w:sz w:val="24"/>
          <w:szCs w:val="24"/>
          <w:highlight w:val="none"/>
        </w:rPr>
        <w:t>必须严格执行南通市用工工资标准的有关规定，承担其雇员的劳动报酬、福利待遇、按劳动法交纳社会保险、劳动保护、工伤抚恤等用人费用，</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承担未正确执行劳动用工规定所产生的法律责任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维护和保障员工的合法权益。</w:t>
      </w:r>
    </w:p>
    <w:p>
      <w:pPr>
        <w:snapToGrid w:val="0"/>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、相关部门对食堂进行检验检疫、资格审查、违规处罚以及食品安全许可证</w:t>
      </w:r>
      <w:r>
        <w:rPr>
          <w:rFonts w:hint="eastAsia" w:ascii="宋体" w:hAnsi="宋体" w:eastAsia="宋体" w:cs="宋体"/>
          <w:color w:val="auto"/>
          <w:sz w:val="24"/>
          <w:szCs w:val="24"/>
          <w:highlight w:val="none"/>
          <w:lang w:val="en-US" w:eastAsia="zh-CN"/>
        </w:rPr>
        <w:t>等相关证件的</w:t>
      </w:r>
      <w:r>
        <w:rPr>
          <w:rFonts w:hint="eastAsia" w:ascii="宋体" w:hAnsi="宋体" w:eastAsia="宋体" w:cs="宋体"/>
          <w:color w:val="auto"/>
          <w:sz w:val="24"/>
          <w:szCs w:val="24"/>
          <w:highlight w:val="none"/>
        </w:rPr>
        <w:t>办理等所涉及的费用均由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自行承担。</w:t>
      </w:r>
    </w:p>
    <w:p>
      <w:pPr>
        <w:snapToGrid w:val="0"/>
        <w:spacing w:line="360" w:lineRule="auto"/>
        <w:ind w:firstLine="460" w:firstLineChars="19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、若因不可抗</w:t>
      </w:r>
      <w:r>
        <w:rPr>
          <w:rFonts w:hint="eastAsia" w:ascii="宋体" w:hAnsi="宋体" w:eastAsia="宋体" w:cs="宋体"/>
          <w:color w:val="auto"/>
          <w:sz w:val="24"/>
          <w:szCs w:val="24"/>
          <w:highlight w:val="none"/>
          <w:lang w:val="en-US" w:eastAsia="zh-CN"/>
        </w:rPr>
        <w:t>力</w:t>
      </w:r>
      <w:r>
        <w:rPr>
          <w:rFonts w:hint="eastAsia" w:ascii="宋体" w:hAnsi="宋体" w:eastAsia="宋体" w:cs="宋体"/>
          <w:color w:val="auto"/>
          <w:sz w:val="24"/>
          <w:szCs w:val="24"/>
          <w:highlight w:val="none"/>
        </w:rPr>
        <w:t>因素造成停</w:t>
      </w:r>
      <w:r>
        <w:rPr>
          <w:rFonts w:hint="eastAsia" w:ascii="宋体" w:hAnsi="宋体" w:eastAsia="宋体" w:cs="宋体"/>
          <w:color w:val="auto"/>
          <w:sz w:val="24"/>
          <w:szCs w:val="24"/>
          <w:highlight w:val="none"/>
          <w:lang w:val="en-US" w:eastAsia="zh-CN"/>
        </w:rPr>
        <w:t>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停气、</w:t>
      </w:r>
      <w:r>
        <w:rPr>
          <w:rFonts w:hint="eastAsia" w:ascii="宋体" w:hAnsi="宋体" w:eastAsia="宋体" w:cs="宋体"/>
          <w:color w:val="auto"/>
          <w:sz w:val="24"/>
          <w:szCs w:val="24"/>
          <w:highlight w:val="none"/>
        </w:rPr>
        <w:t>停水、停电时，应尽力想方设法保证病员和职工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正常饮食供应</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60" w:firstLineChars="192"/>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甲方为食堂</w:t>
      </w:r>
      <w:r>
        <w:rPr>
          <w:rFonts w:hint="eastAsia" w:ascii="宋体" w:hAnsi="宋体" w:eastAsia="宋体" w:cs="宋体"/>
          <w:color w:val="auto"/>
          <w:sz w:val="24"/>
          <w:szCs w:val="24"/>
          <w:highlight w:val="none"/>
        </w:rPr>
        <w:t>安装独立的水表、电表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天然气表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所发生的水费、电费、天然气费由乙方承担，并向甲方</w:t>
      </w:r>
      <w:r>
        <w:rPr>
          <w:rFonts w:hint="eastAsia" w:ascii="宋体" w:hAnsi="宋体" w:eastAsia="宋体" w:cs="宋体"/>
          <w:color w:val="auto"/>
          <w:sz w:val="24"/>
          <w:szCs w:val="24"/>
          <w:highlight w:val="none"/>
        </w:rPr>
        <w:t>按实缴纳</w:t>
      </w:r>
      <w:r>
        <w:rPr>
          <w:rFonts w:hint="eastAsia" w:ascii="宋体" w:hAnsi="宋体" w:eastAsia="宋体" w:cs="宋体"/>
          <w:color w:val="auto"/>
          <w:sz w:val="24"/>
          <w:szCs w:val="24"/>
          <w:highlight w:val="none"/>
          <w:lang w:val="en-US" w:eastAsia="zh-CN"/>
        </w:rPr>
        <w:t>结清所有</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eastAsia="zh-CN"/>
        </w:rPr>
        <w:t>。</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合同期</w:t>
      </w:r>
      <w:r>
        <w:rPr>
          <w:rFonts w:hint="eastAsia" w:ascii="宋体" w:hAnsi="宋体" w:eastAsia="宋体" w:cs="宋体"/>
          <w:color w:val="auto"/>
          <w:sz w:val="24"/>
          <w:szCs w:val="24"/>
          <w:highlight w:val="none"/>
        </w:rPr>
        <w:t>满，</w:t>
      </w:r>
      <w:r>
        <w:rPr>
          <w:rFonts w:hint="eastAsia" w:ascii="宋体" w:hAnsi="宋体" w:eastAsia="宋体" w:cs="宋体"/>
          <w:color w:val="auto"/>
          <w:sz w:val="24"/>
          <w:szCs w:val="24"/>
          <w:highlight w:val="none"/>
          <w:lang w:val="en-US" w:eastAsia="zh-CN"/>
        </w:rPr>
        <w:t>积极</w:t>
      </w:r>
      <w:r>
        <w:rPr>
          <w:rFonts w:hint="eastAsia" w:ascii="宋体" w:hAnsi="宋体" w:eastAsia="宋体" w:cs="宋体"/>
          <w:color w:val="auto"/>
          <w:sz w:val="24"/>
          <w:szCs w:val="24"/>
          <w:highlight w:val="none"/>
        </w:rPr>
        <w:t>配合</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做好</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rPr>
        <w:t>下一</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rPr>
        <w:t>食堂委托经营的交接</w:t>
      </w:r>
      <w:r>
        <w:rPr>
          <w:rFonts w:hint="eastAsia" w:ascii="宋体" w:hAnsi="宋体" w:eastAsia="宋体" w:cs="宋体"/>
          <w:color w:val="auto"/>
          <w:sz w:val="24"/>
          <w:szCs w:val="24"/>
          <w:highlight w:val="none"/>
          <w:lang w:val="en-US" w:eastAsia="zh-CN"/>
        </w:rPr>
        <w:t>工作，确保</w:t>
      </w: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平稳过渡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供餐正常进行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若因乙方</w:t>
      </w:r>
      <w:r>
        <w:rPr>
          <w:rFonts w:hint="eastAsia" w:ascii="宋体" w:hAnsi="宋体" w:cs="宋体"/>
          <w:color w:val="auto"/>
          <w:sz w:val="24"/>
          <w:szCs w:val="24"/>
          <w:highlight w:val="none"/>
          <w:lang w:val="en-US" w:eastAsia="zh-CN"/>
        </w:rPr>
        <w:t>的原因</w:t>
      </w:r>
      <w:r>
        <w:rPr>
          <w:rFonts w:hint="eastAsia" w:ascii="宋体" w:hAnsi="宋体" w:cs="宋体"/>
          <w:color w:val="auto"/>
          <w:sz w:val="24"/>
          <w:szCs w:val="24"/>
          <w:highlight w:val="none"/>
        </w:rPr>
        <w:t>造成损失的应予赔偿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若甲方</w:t>
      </w:r>
      <w:r>
        <w:rPr>
          <w:rFonts w:hint="eastAsia" w:ascii="宋体" w:hAnsi="宋体" w:cs="宋体"/>
          <w:color w:val="auto"/>
          <w:sz w:val="24"/>
          <w:szCs w:val="24"/>
          <w:highlight w:val="none"/>
        </w:rPr>
        <w:t>因特殊原因需延期的，</w:t>
      </w:r>
      <w:r>
        <w:rPr>
          <w:rFonts w:hint="eastAsia" w:ascii="宋体" w:hAnsi="宋体" w:eastAsia="宋体" w:cs="宋体"/>
          <w:color w:val="auto"/>
          <w:sz w:val="24"/>
          <w:szCs w:val="24"/>
          <w:highlight w:val="none"/>
          <w:lang w:val="en-US" w:eastAsia="zh-CN"/>
        </w:rPr>
        <w:t>乙方</w:t>
      </w:r>
      <w:r>
        <w:rPr>
          <w:rFonts w:hint="eastAsia" w:ascii="宋体" w:hAnsi="宋体" w:cs="宋体"/>
          <w:color w:val="auto"/>
          <w:sz w:val="24"/>
          <w:szCs w:val="24"/>
          <w:highlight w:val="none"/>
        </w:rPr>
        <w:t>应</w:t>
      </w:r>
      <w:r>
        <w:rPr>
          <w:rFonts w:hint="eastAsia" w:ascii="宋体" w:hAnsi="宋体" w:cs="宋体"/>
          <w:color w:val="auto"/>
          <w:sz w:val="24"/>
          <w:szCs w:val="24"/>
          <w:highlight w:val="none"/>
          <w:lang w:val="en-US" w:eastAsia="zh-CN"/>
        </w:rPr>
        <w:t>无条件</w:t>
      </w:r>
      <w:r>
        <w:rPr>
          <w:rFonts w:hint="eastAsia" w:ascii="宋体" w:hAnsi="宋体" w:cs="宋体"/>
          <w:color w:val="auto"/>
          <w:sz w:val="24"/>
          <w:szCs w:val="24"/>
          <w:highlight w:val="none"/>
        </w:rPr>
        <w:t>配合完成。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、因</w:t>
      </w:r>
      <w:r>
        <w:rPr>
          <w:rFonts w:hint="eastAsia" w:ascii="宋体" w:hAnsi="宋体" w:eastAsia="宋体" w:cs="宋体"/>
          <w:color w:val="auto"/>
          <w:sz w:val="24"/>
          <w:szCs w:val="24"/>
          <w:highlight w:val="none"/>
          <w:lang w:val="en-US" w:eastAsia="zh-CN"/>
        </w:rPr>
        <w:t>乙方</w:t>
      </w:r>
      <w:r>
        <w:rPr>
          <w:rFonts w:hint="eastAsia" w:ascii="宋体" w:hAnsi="宋体" w:cs="宋体"/>
          <w:color w:val="auto"/>
          <w:sz w:val="24"/>
          <w:szCs w:val="24"/>
          <w:highlight w:val="none"/>
        </w:rPr>
        <w:t>责任所造成的经济损失由</w:t>
      </w:r>
      <w:r>
        <w:rPr>
          <w:rFonts w:hint="eastAsia" w:ascii="宋体" w:hAnsi="宋体" w:eastAsia="宋体" w:cs="宋体"/>
          <w:color w:val="auto"/>
          <w:sz w:val="24"/>
          <w:szCs w:val="24"/>
          <w:highlight w:val="none"/>
          <w:lang w:val="en-US" w:eastAsia="zh-CN"/>
        </w:rPr>
        <w:t>乙方</w:t>
      </w:r>
      <w:r>
        <w:rPr>
          <w:rFonts w:hint="eastAsia" w:ascii="宋体" w:hAnsi="宋体" w:cs="宋体"/>
          <w:color w:val="auto"/>
          <w:sz w:val="24"/>
          <w:szCs w:val="24"/>
          <w:highlight w:val="none"/>
        </w:rPr>
        <w:t>按实际额赔偿。因不可抗力因素造成增加的费用或造成</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提供的设施损失，双方共同协商解决。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乙方在开展各类服务管理时，必须支持和配合</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开展工作，保证医院各项工作的正常运行，并接受医院</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相关</w:t>
      </w:r>
      <w:r>
        <w:rPr>
          <w:rFonts w:hint="eastAsia" w:ascii="宋体" w:hAnsi="宋体" w:eastAsia="宋体" w:cs="宋体"/>
          <w:color w:val="auto"/>
          <w:sz w:val="24"/>
          <w:szCs w:val="24"/>
          <w:highlight w:val="none"/>
          <w:lang w:val="en-US" w:eastAsia="zh-CN"/>
        </w:rPr>
        <w:t>主管</w:t>
      </w:r>
      <w:r>
        <w:rPr>
          <w:rFonts w:hint="eastAsia" w:ascii="宋体" w:hAnsi="宋体" w:eastAsia="宋体" w:cs="宋体"/>
          <w:color w:val="auto"/>
          <w:sz w:val="24"/>
          <w:szCs w:val="24"/>
          <w:highlight w:val="none"/>
        </w:rPr>
        <w:t>部门的管理、指导、监督、考核。</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食堂</w:t>
      </w:r>
      <w:r>
        <w:rPr>
          <w:rFonts w:hint="eastAsia" w:ascii="宋体" w:hAnsi="宋体" w:eastAsia="宋体" w:cs="宋体"/>
          <w:color w:val="auto"/>
          <w:sz w:val="24"/>
          <w:szCs w:val="24"/>
          <w:highlight w:val="none"/>
          <w:lang w:val="en-US" w:eastAsia="zh-CN"/>
        </w:rPr>
        <w:t>的设备</w:t>
      </w:r>
      <w:r>
        <w:rPr>
          <w:rFonts w:hint="eastAsia" w:ascii="宋体" w:hAnsi="宋体" w:eastAsia="宋体" w:cs="宋体"/>
          <w:color w:val="auto"/>
          <w:sz w:val="24"/>
          <w:szCs w:val="24"/>
          <w:highlight w:val="none"/>
        </w:rPr>
        <w:t>设施、</w:t>
      </w:r>
      <w:r>
        <w:rPr>
          <w:rFonts w:hint="eastAsia" w:ascii="宋体" w:hAnsi="宋体" w:eastAsia="宋体" w:cs="宋体"/>
          <w:color w:val="auto"/>
          <w:sz w:val="24"/>
          <w:szCs w:val="24"/>
          <w:highlight w:val="none"/>
          <w:lang w:val="en-US" w:eastAsia="zh-CN"/>
        </w:rPr>
        <w:t>餐饮家具、公共餐具等须做到</w:t>
      </w:r>
      <w:r>
        <w:rPr>
          <w:rFonts w:hint="eastAsia" w:ascii="宋体" w:hAnsi="宋体" w:eastAsia="宋体" w:cs="宋体"/>
          <w:color w:val="auto"/>
          <w:sz w:val="24"/>
          <w:szCs w:val="24"/>
          <w:highlight w:val="none"/>
        </w:rPr>
        <w:t>档案齐全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管理完善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运行记录、值班记录完整、填写规范、交接手续齐备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检索方便。</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如果发生因服务人员工作失职造成消防事故、失窃事件或其他财产损失和人身伤害，均由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承担相关经济和法律责任。</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付款结算：</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1、医院职工刷卡消费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扣除</w:t>
      </w:r>
      <w:r>
        <w:rPr>
          <w:rFonts w:hint="eastAsia" w:ascii="宋体" w:hAnsi="宋体" w:eastAsia="宋体" w:cs="宋体"/>
          <w:color w:val="auto"/>
          <w:sz w:val="24"/>
          <w:szCs w:val="24"/>
          <w:highlight w:val="none"/>
        </w:rPr>
        <w:t>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天然气</w:t>
      </w:r>
      <w:r>
        <w:rPr>
          <w:rFonts w:hint="eastAsia" w:ascii="宋体" w:hAnsi="宋体" w:eastAsia="宋体" w:cs="宋体"/>
          <w:color w:val="auto"/>
          <w:sz w:val="24"/>
          <w:szCs w:val="24"/>
          <w:highlight w:val="none"/>
        </w:rPr>
        <w:t>费用</w:t>
      </w:r>
      <w:r>
        <w:rPr>
          <w:rFonts w:hint="eastAsia" w:ascii="宋体" w:hAnsi="宋体" w:eastAsia="宋体" w:cs="宋体"/>
          <w:color w:val="auto"/>
          <w:sz w:val="24"/>
          <w:szCs w:val="24"/>
          <w:highlight w:val="none"/>
          <w:lang w:val="en-US" w:eastAsia="zh-CN"/>
        </w:rPr>
        <w:t>及其他约定的费用（包含应缴纳的违约金或代乙方缴纳政府主管部门的罚款等）后，每月结清</w:t>
      </w:r>
      <w:r>
        <w:rPr>
          <w:rFonts w:hint="eastAsia" w:ascii="宋体" w:hAnsi="宋体" w:eastAsia="宋体" w:cs="宋体"/>
          <w:color w:val="auto"/>
          <w:sz w:val="24"/>
          <w:szCs w:val="24"/>
          <w:highlight w:val="none"/>
          <w:lang w:eastAsia="zh-CN"/>
        </w:rPr>
        <w:t>。</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2、若</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在履约保证金中扣除违约金或代</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缴纳政府主管部门的罚款等</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须立即补足履约保证金。</w:t>
      </w:r>
    </w:p>
    <w:p>
      <w:pPr>
        <w:pStyle w:val="20"/>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、特殊科室的配送餐、过餐、加班餐、接待餐等，凭</w:t>
      </w:r>
      <w:r>
        <w:rPr>
          <w:rFonts w:hint="eastAsia" w:ascii="宋体" w:hAnsi="宋体" w:eastAsia="宋体" w:cs="宋体"/>
          <w:color w:val="auto"/>
          <w:sz w:val="24"/>
          <w:szCs w:val="24"/>
          <w:highlight w:val="none"/>
          <w:lang w:val="en-US" w:eastAsia="zh-CN"/>
        </w:rPr>
        <w:t>院膳食委员会</w:t>
      </w:r>
      <w:r>
        <w:rPr>
          <w:rFonts w:hint="eastAsia" w:ascii="宋体" w:hAnsi="宋体" w:eastAsia="宋体" w:cs="宋体"/>
          <w:color w:val="auto"/>
          <w:sz w:val="24"/>
          <w:szCs w:val="24"/>
          <w:highlight w:val="none"/>
        </w:rPr>
        <w:t>签字的结算单，双方按月结清。</w:t>
      </w:r>
    </w:p>
    <w:p>
      <w:pPr>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六、其他</w:t>
      </w:r>
      <w:r>
        <w:rPr>
          <w:rFonts w:hint="eastAsia" w:ascii="宋体" w:hAnsi="宋体" w:eastAsia="宋体" w:cs="宋体"/>
          <w:b/>
          <w:color w:val="auto"/>
          <w:sz w:val="24"/>
          <w:szCs w:val="24"/>
          <w:highlight w:val="none"/>
        </w:rPr>
        <w:t>违约责任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任何一方</w:t>
      </w:r>
      <w:r>
        <w:rPr>
          <w:rFonts w:hint="eastAsia" w:ascii="宋体" w:hAnsi="宋体" w:eastAsia="宋体" w:cs="宋体"/>
          <w:color w:val="auto"/>
          <w:sz w:val="24"/>
          <w:szCs w:val="24"/>
          <w:highlight w:val="none"/>
        </w:rPr>
        <w:t>违反本合同及附件的约定</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，非违约方有权要求违约方在一定期限内解决，逾期未解决的，非违约方有权中止合同；造成经济损失的，违约方应给予非违约方相应的经济赔偿。</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lang w:val="en-US" w:eastAsia="zh-CN" w:bidi="ar"/>
        </w:rPr>
        <w:t>合同履行期间，</w:t>
      </w:r>
      <w:r>
        <w:rPr>
          <w:rFonts w:hint="eastAsia" w:ascii="宋体" w:hAnsi="宋体" w:cs="宋体"/>
          <w:color w:val="auto"/>
          <w:sz w:val="24"/>
          <w:highlight w:val="none"/>
          <w:lang w:val="en-US" w:eastAsia="zh-CN" w:bidi="ar"/>
        </w:rPr>
        <w:t>乙方</w:t>
      </w:r>
      <w:r>
        <w:rPr>
          <w:rFonts w:hint="eastAsia" w:ascii="宋体" w:hAnsi="宋体" w:eastAsia="宋体" w:cs="宋体"/>
          <w:color w:val="auto"/>
          <w:sz w:val="24"/>
          <w:highlight w:val="none"/>
          <w:lang w:val="en-US" w:eastAsia="zh-CN" w:bidi="ar"/>
        </w:rPr>
        <w:t>不能正常经营或非法超范围经营或因不正当经营造成</w:t>
      </w:r>
      <w:r>
        <w:rPr>
          <w:rFonts w:hint="eastAsia" w:ascii="宋体" w:hAnsi="宋体" w:cs="宋体"/>
          <w:color w:val="auto"/>
          <w:sz w:val="24"/>
          <w:highlight w:val="none"/>
          <w:lang w:val="en-US" w:eastAsia="zh-CN" w:bidi="ar"/>
        </w:rPr>
        <w:t>甲方</w:t>
      </w:r>
      <w:r>
        <w:rPr>
          <w:rFonts w:hint="eastAsia" w:ascii="宋体" w:hAnsi="宋体" w:eastAsia="宋体" w:cs="宋体"/>
          <w:color w:val="auto"/>
          <w:sz w:val="24"/>
          <w:highlight w:val="none"/>
          <w:lang w:val="en-US" w:eastAsia="zh-CN" w:bidi="ar"/>
        </w:rPr>
        <w:t>职工和病人意见大、投诉多、或给</w:t>
      </w:r>
      <w:r>
        <w:rPr>
          <w:rFonts w:hint="eastAsia" w:ascii="宋体" w:hAnsi="宋体" w:cs="宋体"/>
          <w:color w:val="auto"/>
          <w:sz w:val="24"/>
          <w:highlight w:val="none"/>
          <w:lang w:val="en-US" w:eastAsia="zh-CN" w:bidi="ar"/>
        </w:rPr>
        <w:t>甲方</w:t>
      </w:r>
      <w:r>
        <w:rPr>
          <w:rFonts w:hint="eastAsia" w:ascii="宋体" w:hAnsi="宋体" w:eastAsia="宋体" w:cs="宋体"/>
          <w:color w:val="auto"/>
          <w:sz w:val="24"/>
          <w:highlight w:val="none"/>
          <w:lang w:val="en-US" w:eastAsia="zh-CN" w:bidi="ar"/>
        </w:rPr>
        <w:t>带来其他严重的负面影响和损失的，</w:t>
      </w:r>
      <w:r>
        <w:rPr>
          <w:rFonts w:hint="eastAsia" w:ascii="宋体" w:hAnsi="宋体" w:cs="宋体"/>
          <w:color w:val="auto"/>
          <w:sz w:val="24"/>
          <w:highlight w:val="none"/>
          <w:lang w:val="en-US" w:eastAsia="zh-CN" w:bidi="ar"/>
        </w:rPr>
        <w:t>甲方</w:t>
      </w:r>
      <w:r>
        <w:rPr>
          <w:rFonts w:hint="eastAsia" w:ascii="宋体" w:hAnsi="宋体" w:eastAsia="宋体" w:cs="宋体"/>
          <w:color w:val="auto"/>
          <w:sz w:val="24"/>
          <w:highlight w:val="none"/>
          <w:lang w:val="en-US" w:eastAsia="zh-CN" w:bidi="ar"/>
        </w:rPr>
        <w:t>有权单方面提前终止合同。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双方任何一方无正当理由提前中止合同的，应向对方承担违约责任，给对方造成经济损失的，应给予全额赔偿。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合同期内，乙方无法满足甲方的管理要求，甲方有权中止合同。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合同期内，乙方发生影响医院形象行为、不服从甲方管理、履行管理职责不到位等情形的，甲方有权中止合同。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outlineLvl w:val="1"/>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、本项目成交后的履约保证金为项目成交价的</w:t>
      </w:r>
      <w:r>
        <w:rPr>
          <w:rFonts w:ascii="宋体" w:hAnsi="宋体" w:cs="宋体"/>
          <w:color w:val="auto"/>
          <w:sz w:val="24"/>
          <w:szCs w:val="24"/>
          <w:highlight w:val="none"/>
        </w:rPr>
        <w:t>10%</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outlineLvl w:val="1"/>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的履约保证金须在采购代理通知发成交通知书之日起</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个工作日内汇入</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账户，</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凭“成交通知书”和已经汇至</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账上的“履约保证金”凭证，并在采购代理通知发成交通知书之日起1</w:t>
      </w:r>
      <w:r>
        <w:rPr>
          <w:rFonts w:ascii="宋体" w:hAnsi="宋体" w:cs="宋体"/>
          <w:color w:val="auto"/>
          <w:sz w:val="24"/>
          <w:szCs w:val="24"/>
          <w:highlight w:val="none"/>
        </w:rPr>
        <w:t>5</w:t>
      </w:r>
      <w:r>
        <w:rPr>
          <w:rFonts w:hint="eastAsia" w:ascii="宋体" w:hAnsi="宋体" w:cs="宋体"/>
          <w:color w:val="auto"/>
          <w:sz w:val="24"/>
          <w:szCs w:val="24"/>
          <w:highlight w:val="none"/>
        </w:rPr>
        <w:t>日内与</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签订合同。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在按要求保质保量的完成该项目合同并通过验收后，</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凭</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提交的申请，一次性无息退还该合同项目的履约保证金。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、由于</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原因，在签订合同后出现不按合同履行的情况，</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有权将履约保证金作为违约金，全额不予退还，同时</w:t>
      </w:r>
      <w:r>
        <w:rPr>
          <w:rFonts w:hint="eastAsia" w:ascii="宋体" w:hAnsi="宋体" w:cs="宋体"/>
          <w:color w:val="auto"/>
          <w:sz w:val="24"/>
          <w:szCs w:val="24"/>
          <w:highlight w:val="none"/>
          <w:lang w:val="en-US" w:eastAsia="zh-CN"/>
        </w:rPr>
        <w:t>甲方</w:t>
      </w:r>
      <w:r>
        <w:rPr>
          <w:rFonts w:hint="eastAsia" w:ascii="宋体" w:hAnsi="宋体" w:cs="宋体"/>
          <w:color w:val="auto"/>
          <w:sz w:val="24"/>
          <w:szCs w:val="24"/>
          <w:highlight w:val="none"/>
        </w:rPr>
        <w:t>亦有权终止合同，</w:t>
      </w:r>
      <w:r>
        <w:rPr>
          <w:rFonts w:hint="eastAsia" w:ascii="宋体" w:hAnsi="宋体" w:cs="宋体"/>
          <w:color w:val="auto"/>
          <w:sz w:val="24"/>
          <w:szCs w:val="24"/>
          <w:highlight w:val="none"/>
          <w:lang w:val="en-US" w:eastAsia="zh-CN"/>
        </w:rPr>
        <w:t>乙方</w:t>
      </w:r>
      <w:r>
        <w:rPr>
          <w:rFonts w:hint="eastAsia" w:ascii="宋体" w:hAnsi="宋体" w:cs="宋体"/>
          <w:color w:val="auto"/>
          <w:sz w:val="24"/>
          <w:szCs w:val="24"/>
          <w:highlight w:val="none"/>
        </w:rPr>
        <w:t>还须承担相应的法律赔偿责任。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5、合同履行期间，乙方应随时补足履约保证金，否则甲方有权提前终止合同。若履约保证金不足以支付乙方应交纳的违约金或不足以归还甲方代付的赔偿款、罚款等费用时，乙方应在甲方规定的时间内缴纳相关款项，否则甲方有权终止合同，同时追究其法律责任。</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6、履约保证金主要用于以下情形的扣款：</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 定期考核、暗访以及满意度测评不符合要求的扣款；</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 违反</w:t>
      </w:r>
      <w:r>
        <w:rPr>
          <w:rFonts w:hint="eastAsia" w:ascii="宋体" w:hAnsi="宋体" w:eastAsia="宋体" w:cs="宋体"/>
          <w:color w:val="auto"/>
          <w:sz w:val="24"/>
          <w:highlight w:val="none"/>
          <w:lang w:val="en-US" w:eastAsia="zh-CN" w:bidi="ar"/>
        </w:rPr>
        <w:t>《中华人民共和国食品安全法》、《中华人民共和国食品卫生法》及其实施条例、《餐饮服务食品安全监督管理办法》及江苏省、南通市有关食堂安全和卫生的相关文件要求；</w:t>
      </w:r>
      <w:r>
        <w:rPr>
          <w:rFonts w:hint="eastAsia" w:ascii="宋体" w:hAnsi="宋体" w:eastAsia="宋体" w:cs="宋体"/>
          <w:color w:val="auto"/>
          <w:sz w:val="24"/>
          <w:szCs w:val="24"/>
          <w:highlight w:val="none"/>
          <w:lang w:val="en-US" w:eastAsia="zh-CN"/>
        </w:rPr>
        <w:t>违反</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有关管理规定；违反合同约定；合同履行期间，将房屋、设备设施、餐饮家具、公共餐具人为损坏或灭失（达到</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资产报废年限，且经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资产报废小组鉴定无维修价值的情形除外)，则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有权部分或全额不予退还履约保证金；</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 没有按合同约定服务至服务期满,或委托经营管理期内不正常营业，或违规转包经营但未给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造成损失的，</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有权不予退还全部履约保证金，并有权提前终止合同；</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6.4 合同履行期间发生纠纷、斗殴和违反治安管理条例的，或发生3人及以上食物中毒事件，或发生刑事犯罪事件，或发生火灾及其他重大安全生产事故，且由于上述行为给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带来重大损失的，则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有权不予退还全部履约保证金,并依法追究其法律责任,并要求赔偿经济损失，同时有权提前终止合同。</w:t>
      </w:r>
    </w:p>
    <w:p>
      <w:pPr>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6.5合同期满，在过渡期间各项服务不达标，或饮食未正常供给，或未确保安全卫生，或未积极配合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做好交接工作的，则</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有权不予退还全部履约保证金。</w:t>
      </w:r>
    </w:p>
    <w:p>
      <w:pPr>
        <w:pStyle w:val="92"/>
        <w:spacing w:line="360" w:lineRule="auto"/>
        <w:ind w:firstLine="480" w:firstLineChars="20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6.6 发生考核细则中相关情形的。</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八、附则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rPr>
        <w:t>本合同在乙方按规定缴纳了履约保证金且甲、乙双方签字盖章后即生效。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本合同的附件为合同有效组成部分。</w:t>
      </w:r>
      <w:r>
        <w:rPr>
          <w:rFonts w:hint="eastAsia" w:ascii="宋体" w:hAnsi="宋体" w:cs="宋体"/>
          <w:color w:val="auto"/>
          <w:sz w:val="24"/>
          <w:szCs w:val="24"/>
          <w:highlight w:val="none"/>
        </w:rPr>
        <w:t>本合同履行过程中产生的纪要、协议以及成交通知书、磋商响应文件和磋商文件为本合同的附件，与合同具有同等效力。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w:t>
      </w:r>
      <w:r>
        <w:rPr>
          <w:rFonts w:hint="eastAsia" w:ascii="宋体" w:hAnsi="宋体" w:cs="宋体"/>
          <w:color w:val="auto"/>
          <w:sz w:val="24"/>
          <w:szCs w:val="24"/>
          <w:highlight w:val="none"/>
        </w:rPr>
        <w:t>本合同未尽事宜应按照《中华人民共和国民法典》、《中华人民共和国政府采购法》及其相关配套法律法规之规定解释。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本合同在履行中发生争议，</w:t>
      </w:r>
      <w:r>
        <w:rPr>
          <w:rFonts w:hint="eastAsia" w:ascii="宋体" w:hAnsi="宋体" w:cs="宋体"/>
          <w:color w:val="auto"/>
          <w:sz w:val="24"/>
          <w:szCs w:val="24"/>
          <w:highlight w:val="none"/>
        </w:rPr>
        <w:t>应在甲方的主持下进行调解，协商不成，</w:t>
      </w:r>
      <w:r>
        <w:rPr>
          <w:rFonts w:hint="eastAsia" w:ascii="宋体" w:hAnsi="宋体" w:eastAsia="宋体" w:cs="宋体"/>
          <w:color w:val="auto"/>
          <w:sz w:val="24"/>
          <w:szCs w:val="24"/>
          <w:highlight w:val="none"/>
        </w:rPr>
        <w:t>可依法向</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所在地人民法院提起诉讼。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val="en-US" w:eastAsia="zh-CN"/>
        </w:rPr>
        <w:t>壹</w:t>
      </w:r>
      <w:r>
        <w:rPr>
          <w:rFonts w:hint="eastAsia" w:ascii="宋体" w:hAnsi="宋体" w:eastAsia="宋体" w:cs="宋体"/>
          <w:color w:val="auto"/>
          <w:sz w:val="24"/>
          <w:szCs w:val="24"/>
          <w:highlight w:val="none"/>
        </w:rPr>
        <w:t>式</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lang w:val="en-US" w:eastAsia="zh-CN"/>
        </w:rPr>
        <w:t>执肆份</w:t>
      </w:r>
      <w:r>
        <w:rPr>
          <w:rFonts w:hint="eastAsia" w:ascii="宋体" w:hAnsi="宋体" w:eastAsia="宋体" w:cs="宋体"/>
          <w:color w:val="auto"/>
          <w:sz w:val="24"/>
          <w:szCs w:val="24"/>
          <w:highlight w:val="none"/>
        </w:rPr>
        <w:t>、乙方执</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合同文件使用中文书写、解释和说明。</w:t>
      </w:r>
    </w:p>
    <w:p>
      <w:pPr>
        <w:spacing w:line="360" w:lineRule="auto"/>
        <w:ind w:left="1281" w:leftChars="267" w:hanging="720" w:hangingChars="3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napToGrid w:val="0"/>
        <w:spacing w:line="720" w:lineRule="auto"/>
        <w:ind w:firstLine="573"/>
        <w:rPr>
          <w:rFonts w:hint="eastAsia" w:ascii="宋体" w:hAnsi="宋体" w:cs="宋体"/>
          <w:color w:val="auto"/>
          <w:sz w:val="24"/>
          <w:szCs w:val="24"/>
          <w:highlight w:val="none"/>
        </w:rPr>
      </w:pPr>
      <w:r>
        <w:rPr>
          <w:rFonts w:hint="eastAsia" w:ascii="宋体" w:hAnsi="宋体" w:cs="宋体"/>
          <w:color w:val="auto"/>
          <w:sz w:val="24"/>
          <w:szCs w:val="24"/>
          <w:highlight w:val="none"/>
        </w:rPr>
        <w:t>甲方（盖章）：                     乙方（盖章）：</w:t>
      </w:r>
    </w:p>
    <w:p>
      <w:pPr>
        <w:snapToGrid w:val="0"/>
        <w:spacing w:line="240" w:lineRule="auto"/>
        <w:ind w:firstLine="57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法定代表人</w:t>
      </w:r>
    </w:p>
    <w:p>
      <w:pPr>
        <w:snapToGrid w:val="0"/>
        <w:spacing w:line="240" w:lineRule="auto"/>
        <w:ind w:firstLine="57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或委托代理人（签字）：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或委托代理人（签字）：    </w:t>
      </w:r>
    </w:p>
    <w:p>
      <w:pPr>
        <w:pStyle w:val="92"/>
        <w:rPr>
          <w:rFonts w:hint="eastAsia" w:ascii="宋体" w:hAnsi="宋体" w:cs="宋体"/>
          <w:color w:val="auto"/>
          <w:sz w:val="24"/>
          <w:szCs w:val="24"/>
          <w:highlight w:val="none"/>
        </w:rPr>
      </w:pPr>
    </w:p>
    <w:p>
      <w:pPr>
        <w:pStyle w:val="92"/>
        <w:rPr>
          <w:rFonts w:hint="eastAsia" w:ascii="宋体" w:hAnsi="宋体" w:cs="宋体"/>
          <w:color w:val="auto"/>
          <w:sz w:val="24"/>
          <w:szCs w:val="24"/>
          <w:highlight w:val="none"/>
        </w:rPr>
      </w:pPr>
    </w:p>
    <w:p>
      <w:pPr>
        <w:snapToGrid w:val="0"/>
        <w:spacing w:line="720" w:lineRule="auto"/>
        <w:ind w:firstLine="573"/>
        <w:jc w:val="both"/>
        <w:rPr>
          <w:rFonts w:ascii="仿宋" w:hAnsi="仿宋" w:eastAsia="仿宋" w:cs="仿宋"/>
          <w:bCs/>
          <w:color w:val="auto"/>
          <w:sz w:val="28"/>
          <w:szCs w:val="28"/>
          <w:highlight w:val="none"/>
        </w:rPr>
      </w:pPr>
      <w:r>
        <w:rPr>
          <w:rFonts w:hint="eastAsia" w:ascii="宋体" w:hAnsi="宋体" w:cs="宋体"/>
          <w:color w:val="auto"/>
          <w:sz w:val="24"/>
          <w:szCs w:val="24"/>
          <w:highlight w:val="none"/>
        </w:rPr>
        <w:t xml:space="preserve">日期：                            日期：  </w:t>
      </w:r>
      <w:r>
        <w:rPr>
          <w:rFonts w:hint="eastAsia" w:ascii="宋体" w:hAnsi="宋体" w:cs="宋体"/>
          <w:color w:val="auto"/>
          <w:sz w:val="24"/>
          <w:szCs w:val="24"/>
          <w:highlight w:val="none"/>
        </w:rPr>
        <w:br w:type="page"/>
      </w: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：等级医院检查标准（膳食部分）</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一、为员工提供膳食服务，提供营养配餐和治疗饮食，满足患者治疗需要，保障饮食卫生安全。</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1、有专职部门或专人负责医院膳食服务，并建立健全各项食品卫生安全管理制度和岗位责任。</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（1）根据医院规模，有专职部门和人员负责医院膳食服务，有工作人员岗位责任、职业道德、行为规范与考核制度；相关人员应知晓食品安全相关法律法规和食品卫生知识并符合食品安全上岗健康要求。</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（2）有食品安全与卫生管理制度和膳食经营管理制度（财务管理、经营核算、设备维护等）。</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（3）医院需确认供应商生产、运输及院内分送场所的设施与卫生条件符合国家食品卫生法规要求。</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（4）有配送餐饮服务的措施并落实。</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（5）职能部门有检查与监管。</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（6）持续改进有成效，患者和员工对膳食服务满意度不断提高。</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二、食品原料采购、仓储和食品加工规范，符合卫生管理要求。</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1、有食品原料采购、仓储、加工的卫生管理相关制度和规范，符合卫生管理要求。</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2、有食品留样相关制度，并落实。</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3、相关人员知晓本部门、本岗位的履职要求。</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4、有措施保障食品卫生管理相关制度和规范的落实。</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5、职能部门有检查与监管。</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6、持续改进有成效，所有食品管理符合食品卫生管理要求。</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三、有突发食品安全事件应急预案。</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1、有食品安全事件应急预案，定期组织培训、演练，相关人员知晓。</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2、职能部门对应急演练有检查与监管。</w:t>
      </w:r>
    </w:p>
    <w:p>
      <w:pPr>
        <w:snapToGrid w:val="0"/>
        <w:spacing w:line="480" w:lineRule="exact"/>
        <w:ind w:firstLine="460" w:firstLineChars="19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3、持续改进有成效，无食品安全事件发生。</w:t>
      </w:r>
    </w:p>
    <w:p>
      <w:pPr>
        <w:snapToGrid w:val="0"/>
        <w:spacing w:line="720" w:lineRule="auto"/>
        <w:jc w:val="both"/>
        <w:rPr>
          <w:rFonts w:hint="eastAsia" w:ascii="仿宋" w:hAnsi="仿宋" w:eastAsia="仿宋" w:cs="仿宋"/>
          <w:bCs/>
          <w:color w:val="auto"/>
          <w:sz w:val="28"/>
          <w:szCs w:val="28"/>
          <w:highlight w:val="none"/>
        </w:rPr>
      </w:pPr>
    </w:p>
    <w:p>
      <w:pPr>
        <w:snapToGrid w:val="0"/>
        <w:spacing w:line="72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：南通市</w:t>
      </w:r>
      <w:r>
        <w:rPr>
          <w:rFonts w:hint="eastAsia" w:ascii="仿宋" w:hAnsi="仿宋" w:eastAsia="仿宋" w:cs="仿宋"/>
          <w:bCs/>
          <w:color w:val="auto"/>
          <w:sz w:val="28"/>
          <w:szCs w:val="28"/>
          <w:highlight w:val="none"/>
          <w:lang w:val="en-US" w:eastAsia="zh-CN"/>
        </w:rPr>
        <w:t>妇幼保健院</w:t>
      </w:r>
      <w:r>
        <w:rPr>
          <w:rFonts w:hint="eastAsia" w:ascii="仿宋" w:hAnsi="仿宋" w:eastAsia="仿宋" w:cs="仿宋"/>
          <w:bCs/>
          <w:color w:val="auto"/>
          <w:sz w:val="28"/>
          <w:szCs w:val="28"/>
          <w:highlight w:val="none"/>
        </w:rPr>
        <w:t>食堂</w:t>
      </w:r>
      <w:r>
        <w:rPr>
          <w:rFonts w:hint="eastAsia" w:ascii="仿宋" w:hAnsi="仿宋" w:eastAsia="仿宋" w:cs="仿宋"/>
          <w:bCs/>
          <w:color w:val="auto"/>
          <w:sz w:val="28"/>
          <w:szCs w:val="28"/>
          <w:highlight w:val="none"/>
          <w:lang w:val="en-US" w:eastAsia="zh-CN"/>
        </w:rPr>
        <w:t>经营</w:t>
      </w:r>
      <w:r>
        <w:rPr>
          <w:rFonts w:hint="eastAsia" w:ascii="仿宋" w:hAnsi="仿宋" w:eastAsia="仿宋" w:cs="仿宋"/>
          <w:bCs/>
          <w:color w:val="auto"/>
          <w:sz w:val="28"/>
          <w:szCs w:val="28"/>
          <w:highlight w:val="none"/>
        </w:rPr>
        <w:t>管理</w:t>
      </w:r>
      <w:r>
        <w:rPr>
          <w:rFonts w:hint="eastAsia" w:ascii="仿宋" w:hAnsi="仿宋" w:eastAsia="仿宋" w:cs="仿宋"/>
          <w:bCs/>
          <w:color w:val="auto"/>
          <w:sz w:val="28"/>
          <w:szCs w:val="28"/>
          <w:highlight w:val="none"/>
          <w:lang w:val="en-US" w:eastAsia="zh-CN"/>
        </w:rPr>
        <w:t>服务</w:t>
      </w:r>
      <w:r>
        <w:rPr>
          <w:rFonts w:hint="eastAsia" w:ascii="仿宋" w:hAnsi="仿宋" w:eastAsia="仿宋" w:cs="仿宋"/>
          <w:bCs/>
          <w:color w:val="auto"/>
          <w:sz w:val="28"/>
          <w:szCs w:val="28"/>
          <w:highlight w:val="none"/>
        </w:rPr>
        <w:t>考核办法</w:t>
      </w:r>
    </w:p>
    <w:p>
      <w:pPr>
        <w:snapToGrid w:val="0"/>
        <w:spacing w:line="360" w:lineRule="auto"/>
        <w:ind w:firstLine="460" w:firstLineChars="192"/>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甲方</w:t>
      </w:r>
      <w:r>
        <w:rPr>
          <w:rFonts w:hint="eastAsia" w:ascii="宋体" w:hAnsi="宋体" w:eastAsia="宋体" w:cs="宋体"/>
          <w:bCs/>
          <w:color w:val="auto"/>
          <w:sz w:val="24"/>
          <w:szCs w:val="28"/>
          <w:highlight w:val="none"/>
        </w:rPr>
        <w:t>成立“</w:t>
      </w:r>
      <w:r>
        <w:rPr>
          <w:rFonts w:hint="eastAsia" w:ascii="宋体" w:hAnsi="宋体" w:eastAsia="宋体" w:cs="宋体"/>
          <w:color w:val="auto"/>
          <w:sz w:val="24"/>
          <w:szCs w:val="24"/>
          <w:highlight w:val="none"/>
          <w:lang w:val="en-US" w:eastAsia="zh-CN"/>
        </w:rPr>
        <w:t>院膳食委员会</w:t>
      </w:r>
      <w:r>
        <w:rPr>
          <w:rFonts w:hint="eastAsia" w:ascii="宋体" w:hAnsi="宋体" w:eastAsia="宋体" w:cs="宋体"/>
          <w:bCs/>
          <w:color w:val="auto"/>
          <w:sz w:val="24"/>
          <w:szCs w:val="28"/>
          <w:highlight w:val="none"/>
        </w:rPr>
        <w:t>”，由医院相关部门人员组成。负责协调各种关系，对</w:t>
      </w:r>
      <w:r>
        <w:rPr>
          <w:rFonts w:hint="eastAsia" w:ascii="宋体" w:hAnsi="宋体" w:cs="宋体"/>
          <w:bCs/>
          <w:color w:val="auto"/>
          <w:sz w:val="24"/>
          <w:szCs w:val="28"/>
          <w:highlight w:val="none"/>
          <w:lang w:val="en-US" w:eastAsia="zh-CN"/>
        </w:rPr>
        <w:t>乙方</w:t>
      </w:r>
      <w:r>
        <w:rPr>
          <w:rFonts w:hint="eastAsia" w:ascii="宋体" w:hAnsi="宋体" w:eastAsia="宋体" w:cs="宋体"/>
          <w:bCs/>
          <w:color w:val="auto"/>
          <w:sz w:val="24"/>
          <w:szCs w:val="28"/>
          <w:highlight w:val="none"/>
        </w:rPr>
        <w:t>的经营状况、食品卫生、饭菜质量、花色品种、价格、原材料购置渠道、服务态度、综合治理、生产安全、从业人员情况、培训状况、操作规程、食品存储标准、患者治疗饮食工作的开展等进行监督、检查和指导，根据第三方测评情况进行督查整改，日常监管工作由临床营养科负责。</w:t>
      </w:r>
    </w:p>
    <w:p>
      <w:pPr>
        <w:numPr>
          <w:ilvl w:val="0"/>
          <w:numId w:val="7"/>
        </w:numPr>
        <w:snapToGrid w:val="0"/>
        <w:spacing w:line="360" w:lineRule="auto"/>
        <w:ind w:firstLine="460" w:firstLineChars="192"/>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根据市第三方对市直25家医院食堂服务满意度调查排名和双方约定的考核细则进行，每月一次。</w:t>
      </w:r>
    </w:p>
    <w:p>
      <w:pPr>
        <w:pStyle w:val="3"/>
        <w:numPr>
          <w:ilvl w:val="0"/>
          <w:numId w:val="0"/>
        </w:numPr>
        <w:ind w:firstLine="480" w:firstLineChars="200"/>
        <w:rPr>
          <w:rFonts w:hint="default" w:eastAsia="宋体"/>
          <w:color w:val="auto"/>
          <w:highlight w:val="none"/>
          <w:lang w:val="en-US" w:eastAsia="zh-CN"/>
        </w:rPr>
      </w:pPr>
      <w:r>
        <w:rPr>
          <w:rFonts w:hint="eastAsia" w:ascii="宋体" w:hAnsi="宋体" w:eastAsia="宋体" w:cs="宋体"/>
          <w:bCs/>
          <w:color w:val="auto"/>
          <w:sz w:val="24"/>
          <w:szCs w:val="28"/>
          <w:highlight w:val="none"/>
        </w:rPr>
        <w:t>满意度调查排名在前</w:t>
      </w:r>
      <w:r>
        <w:rPr>
          <w:rFonts w:hint="eastAsia"/>
          <w:color w:val="auto"/>
          <w:highlight w:val="none"/>
          <w:lang w:val="en-US" w:eastAsia="zh-CN"/>
        </w:rPr>
        <w:t>10名的，</w:t>
      </w:r>
      <w:r>
        <w:rPr>
          <w:rFonts w:hint="eastAsia" w:ascii="宋体" w:hAnsi="宋体" w:eastAsia="宋体" w:cs="宋体"/>
          <w:bCs/>
          <w:color w:val="auto"/>
          <w:sz w:val="24"/>
          <w:szCs w:val="28"/>
          <w:highlight w:val="none"/>
        </w:rPr>
        <w:t>每</w:t>
      </w:r>
      <w:r>
        <w:rPr>
          <w:rFonts w:hint="eastAsia" w:ascii="宋体" w:hAnsi="宋体" w:eastAsia="宋体" w:cs="宋体"/>
          <w:bCs/>
          <w:color w:val="auto"/>
          <w:sz w:val="24"/>
          <w:szCs w:val="28"/>
          <w:highlight w:val="none"/>
          <w:lang w:val="en-US" w:eastAsia="zh-CN"/>
        </w:rPr>
        <w:t>上升1</w:t>
      </w:r>
      <w:r>
        <w:rPr>
          <w:rFonts w:hint="eastAsia" w:ascii="宋体" w:hAnsi="宋体" w:eastAsia="宋体" w:cs="宋体"/>
          <w:bCs/>
          <w:color w:val="auto"/>
          <w:sz w:val="24"/>
          <w:szCs w:val="28"/>
          <w:highlight w:val="none"/>
        </w:rPr>
        <w:t>个名次按</w:t>
      </w:r>
      <w:r>
        <w:rPr>
          <w:rFonts w:hint="eastAsia" w:ascii="宋体" w:hAnsi="宋体" w:cs="宋体"/>
          <w:bCs/>
          <w:color w:val="auto"/>
          <w:sz w:val="24"/>
          <w:szCs w:val="28"/>
          <w:highlight w:val="none"/>
          <w:lang w:val="en-US" w:eastAsia="zh-CN"/>
        </w:rPr>
        <w:t>5</w:t>
      </w:r>
      <w:r>
        <w:rPr>
          <w:rFonts w:hint="eastAsia" w:ascii="宋体" w:hAnsi="宋体" w:eastAsia="宋体" w:cs="宋体"/>
          <w:bCs/>
          <w:color w:val="auto"/>
          <w:sz w:val="24"/>
          <w:szCs w:val="28"/>
          <w:highlight w:val="none"/>
          <w:lang w:val="en-US" w:eastAsia="zh-CN"/>
        </w:rPr>
        <w:t>00元进行奖励；</w:t>
      </w:r>
    </w:p>
    <w:p>
      <w:pPr>
        <w:snapToGrid w:val="0"/>
        <w:spacing w:line="360" w:lineRule="auto"/>
        <w:ind w:firstLine="460" w:firstLineChars="192"/>
        <w:rPr>
          <w:rFonts w:hint="eastAsia" w:ascii="宋体" w:hAnsi="宋体" w:eastAsia="宋体" w:cs="宋体"/>
          <w:bCs/>
          <w:color w:val="auto"/>
          <w:sz w:val="24"/>
          <w:szCs w:val="28"/>
          <w:highlight w:val="none"/>
          <w:lang w:eastAsia="zh-CN"/>
        </w:rPr>
      </w:pPr>
      <w:r>
        <w:rPr>
          <w:rFonts w:hint="eastAsia" w:ascii="宋体" w:hAnsi="宋体" w:eastAsia="宋体" w:cs="宋体"/>
          <w:bCs/>
          <w:color w:val="auto"/>
          <w:sz w:val="24"/>
          <w:szCs w:val="28"/>
          <w:highlight w:val="none"/>
        </w:rPr>
        <w:t>满意度调查排名在</w:t>
      </w:r>
      <w:r>
        <w:rPr>
          <w:rFonts w:hint="eastAsia" w:ascii="宋体" w:hAnsi="宋体" w:eastAsia="宋体" w:cs="宋体"/>
          <w:bCs/>
          <w:color w:val="auto"/>
          <w:sz w:val="24"/>
          <w:szCs w:val="28"/>
          <w:highlight w:val="none"/>
          <w:lang w:val="en-US" w:eastAsia="zh-CN"/>
        </w:rPr>
        <w:t>第</w:t>
      </w:r>
      <w:r>
        <w:rPr>
          <w:rFonts w:hint="eastAsia" w:ascii="宋体" w:hAnsi="宋体" w:eastAsia="宋体" w:cs="宋体"/>
          <w:bCs/>
          <w:color w:val="auto"/>
          <w:sz w:val="24"/>
          <w:szCs w:val="28"/>
          <w:highlight w:val="none"/>
        </w:rPr>
        <w:t>1</w:t>
      </w:r>
      <w:r>
        <w:rPr>
          <w:rFonts w:hint="eastAsia" w:ascii="宋体" w:hAnsi="宋体" w:eastAsia="宋体" w:cs="宋体"/>
          <w:bCs/>
          <w:color w:val="auto"/>
          <w:sz w:val="24"/>
          <w:szCs w:val="28"/>
          <w:highlight w:val="none"/>
          <w:lang w:val="en-US" w:eastAsia="zh-CN"/>
        </w:rPr>
        <w:t>1名-第15</w:t>
      </w:r>
      <w:r>
        <w:rPr>
          <w:rFonts w:hint="eastAsia" w:ascii="宋体" w:hAnsi="宋体" w:eastAsia="宋体" w:cs="宋体"/>
          <w:bCs/>
          <w:color w:val="auto"/>
          <w:sz w:val="24"/>
          <w:szCs w:val="28"/>
          <w:highlight w:val="none"/>
        </w:rPr>
        <w:t>名的，</w:t>
      </w:r>
      <w:r>
        <w:rPr>
          <w:rFonts w:hint="eastAsia" w:ascii="宋体" w:hAnsi="宋体" w:eastAsia="宋体" w:cs="宋体"/>
          <w:bCs/>
          <w:color w:val="auto"/>
          <w:sz w:val="24"/>
          <w:szCs w:val="28"/>
          <w:highlight w:val="none"/>
          <w:lang w:val="en-US" w:eastAsia="zh-CN"/>
        </w:rPr>
        <w:t>视为履约合同合格，不予奖励也不予违约处理</w:t>
      </w:r>
      <w:r>
        <w:rPr>
          <w:rFonts w:hint="eastAsia" w:ascii="宋体" w:hAnsi="宋体" w:eastAsia="宋体" w:cs="宋体"/>
          <w:bCs/>
          <w:color w:val="auto"/>
          <w:sz w:val="24"/>
          <w:szCs w:val="28"/>
          <w:highlight w:val="none"/>
          <w:lang w:eastAsia="zh-CN"/>
        </w:rPr>
        <w:t>；</w:t>
      </w:r>
    </w:p>
    <w:p>
      <w:pPr>
        <w:snapToGrid w:val="0"/>
        <w:spacing w:line="360" w:lineRule="auto"/>
        <w:ind w:firstLine="460" w:firstLineChars="192"/>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满意度调查排名在第1</w:t>
      </w:r>
      <w:r>
        <w:rPr>
          <w:rFonts w:hint="eastAsia" w:ascii="宋体" w:hAnsi="宋体" w:eastAsia="宋体" w:cs="宋体"/>
          <w:bCs/>
          <w:color w:val="auto"/>
          <w:sz w:val="24"/>
          <w:szCs w:val="28"/>
          <w:highlight w:val="none"/>
          <w:lang w:val="en-US" w:eastAsia="zh-CN"/>
        </w:rPr>
        <w:t>6</w:t>
      </w:r>
      <w:r>
        <w:rPr>
          <w:rFonts w:hint="eastAsia" w:ascii="宋体" w:hAnsi="宋体" w:eastAsia="宋体" w:cs="宋体"/>
          <w:bCs/>
          <w:color w:val="auto"/>
          <w:sz w:val="24"/>
          <w:szCs w:val="28"/>
          <w:highlight w:val="none"/>
        </w:rPr>
        <w:t>名</w:t>
      </w:r>
      <w:r>
        <w:rPr>
          <w:rFonts w:hint="eastAsia" w:ascii="宋体" w:hAnsi="宋体" w:eastAsia="宋体" w:cs="宋体"/>
          <w:bCs/>
          <w:color w:val="auto"/>
          <w:sz w:val="24"/>
          <w:szCs w:val="28"/>
          <w:highlight w:val="none"/>
          <w:lang w:val="en-US" w:eastAsia="zh-CN"/>
        </w:rPr>
        <w:t>及</w:t>
      </w:r>
      <w:r>
        <w:rPr>
          <w:rFonts w:hint="eastAsia" w:ascii="宋体" w:hAnsi="宋体" w:eastAsia="宋体" w:cs="宋体"/>
          <w:bCs/>
          <w:color w:val="auto"/>
          <w:sz w:val="24"/>
          <w:szCs w:val="28"/>
          <w:highlight w:val="none"/>
        </w:rPr>
        <w:t>以后的，每下降</w:t>
      </w:r>
      <w:r>
        <w:rPr>
          <w:rFonts w:hint="eastAsia" w:ascii="宋体" w:hAnsi="宋体" w:eastAsia="宋体" w:cs="宋体"/>
          <w:bCs/>
          <w:color w:val="auto"/>
          <w:sz w:val="24"/>
          <w:szCs w:val="28"/>
          <w:highlight w:val="none"/>
          <w:lang w:val="en-US" w:eastAsia="zh-CN"/>
        </w:rPr>
        <w:t>1</w:t>
      </w:r>
      <w:r>
        <w:rPr>
          <w:rFonts w:hint="eastAsia" w:ascii="宋体" w:hAnsi="宋体" w:eastAsia="宋体" w:cs="宋体"/>
          <w:bCs/>
          <w:color w:val="auto"/>
          <w:sz w:val="24"/>
          <w:szCs w:val="28"/>
          <w:highlight w:val="none"/>
        </w:rPr>
        <w:t>个名次按</w:t>
      </w:r>
      <w:r>
        <w:rPr>
          <w:rFonts w:hint="eastAsia" w:ascii="宋体" w:hAnsi="宋体" w:cs="宋体"/>
          <w:bCs/>
          <w:color w:val="auto"/>
          <w:sz w:val="24"/>
          <w:szCs w:val="28"/>
          <w:highlight w:val="none"/>
          <w:lang w:val="en-US" w:eastAsia="zh-CN"/>
        </w:rPr>
        <w:t>50</w:t>
      </w:r>
      <w:r>
        <w:rPr>
          <w:rFonts w:hint="eastAsia" w:ascii="宋体" w:hAnsi="宋体" w:eastAsia="宋体" w:cs="宋体"/>
          <w:bCs/>
          <w:color w:val="auto"/>
          <w:sz w:val="24"/>
          <w:szCs w:val="28"/>
          <w:highlight w:val="none"/>
          <w:lang w:val="en-US" w:eastAsia="zh-CN"/>
        </w:rPr>
        <w:t>0元进行违约金计算</w:t>
      </w:r>
      <w:r>
        <w:rPr>
          <w:rFonts w:hint="eastAsia" w:ascii="宋体" w:hAnsi="宋体" w:eastAsia="宋体" w:cs="宋体"/>
          <w:bCs/>
          <w:color w:val="auto"/>
          <w:sz w:val="24"/>
          <w:szCs w:val="28"/>
          <w:highlight w:val="none"/>
        </w:rPr>
        <w:t>。</w:t>
      </w:r>
    </w:p>
    <w:p>
      <w:pPr>
        <w:snapToGrid w:val="0"/>
        <w:spacing w:line="360" w:lineRule="auto"/>
        <w:ind w:firstLine="460" w:firstLineChars="192"/>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rPr>
        <w:t>2、发生</w:t>
      </w:r>
      <w:r>
        <w:rPr>
          <w:rFonts w:hint="eastAsia" w:ascii="宋体" w:hAnsi="宋体" w:eastAsia="宋体" w:cs="宋体"/>
          <w:bCs/>
          <w:color w:val="auto"/>
          <w:sz w:val="24"/>
          <w:szCs w:val="28"/>
          <w:highlight w:val="none"/>
          <w:lang w:val="en-US" w:eastAsia="zh-CN"/>
        </w:rPr>
        <w:t>下列情形，且未对甲方造成不利影响的，按下列情形处理：</w:t>
      </w:r>
    </w:p>
    <w:p>
      <w:pPr>
        <w:snapToGrid w:val="0"/>
        <w:spacing w:line="360" w:lineRule="auto"/>
        <w:ind w:firstLine="460" w:firstLineChars="192"/>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发生</w:t>
      </w:r>
      <w:r>
        <w:rPr>
          <w:rFonts w:hint="eastAsia" w:ascii="宋体" w:hAnsi="宋体" w:eastAsia="宋体" w:cs="宋体"/>
          <w:bCs/>
          <w:color w:val="auto"/>
          <w:sz w:val="24"/>
          <w:szCs w:val="28"/>
          <w:highlight w:val="none"/>
        </w:rPr>
        <w:t>纠纷</w:t>
      </w:r>
      <w:r>
        <w:rPr>
          <w:rFonts w:hint="eastAsia" w:ascii="宋体" w:hAnsi="宋体" w:eastAsia="宋体" w:cs="宋体"/>
          <w:bCs/>
          <w:color w:val="auto"/>
          <w:sz w:val="24"/>
          <w:szCs w:val="28"/>
          <w:highlight w:val="none"/>
          <w:lang w:val="en-US" w:eastAsia="zh-CN"/>
        </w:rPr>
        <w:t>的</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rPr>
        <w:t>按</w:t>
      </w:r>
      <w:r>
        <w:rPr>
          <w:rFonts w:hint="eastAsia" w:ascii="宋体" w:hAnsi="宋体" w:eastAsia="宋体" w:cs="宋体"/>
          <w:bCs/>
          <w:color w:val="auto"/>
          <w:sz w:val="24"/>
          <w:szCs w:val="28"/>
          <w:highlight w:val="none"/>
          <w:lang w:val="en-US" w:eastAsia="zh-CN"/>
        </w:rPr>
        <w:t>500元-1000元进行违约金计算</w:t>
      </w:r>
      <w:r>
        <w:rPr>
          <w:rFonts w:hint="eastAsia" w:ascii="宋体" w:hAnsi="宋体" w:eastAsia="宋体" w:cs="宋体"/>
          <w:bCs/>
          <w:color w:val="auto"/>
          <w:sz w:val="24"/>
          <w:szCs w:val="28"/>
          <w:highlight w:val="none"/>
        </w:rPr>
        <w:t>；</w:t>
      </w:r>
      <w:r>
        <w:rPr>
          <w:rFonts w:hint="eastAsia" w:ascii="宋体" w:hAnsi="宋体" w:eastAsia="宋体" w:cs="宋体"/>
          <w:bCs/>
          <w:color w:val="auto"/>
          <w:sz w:val="24"/>
          <w:szCs w:val="28"/>
          <w:highlight w:val="none"/>
          <w:lang w:val="en-US" w:eastAsia="zh-CN"/>
        </w:rPr>
        <w:t>在院内</w:t>
      </w:r>
      <w:r>
        <w:rPr>
          <w:rFonts w:hint="eastAsia" w:ascii="宋体" w:hAnsi="宋体" w:eastAsia="宋体" w:cs="宋体"/>
          <w:bCs/>
          <w:color w:val="auto"/>
          <w:sz w:val="24"/>
          <w:szCs w:val="28"/>
          <w:highlight w:val="none"/>
        </w:rPr>
        <w:t>发生打架斗殴事件</w:t>
      </w:r>
      <w:r>
        <w:rPr>
          <w:rFonts w:hint="eastAsia" w:ascii="宋体" w:hAnsi="宋体" w:eastAsia="宋体" w:cs="宋体"/>
          <w:bCs/>
          <w:color w:val="auto"/>
          <w:sz w:val="24"/>
          <w:szCs w:val="28"/>
          <w:highlight w:val="none"/>
          <w:lang w:val="en-US" w:eastAsia="zh-CN"/>
        </w:rPr>
        <w:t>的</w:t>
      </w: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lang w:val="en-US" w:eastAsia="zh-CN"/>
        </w:rPr>
        <w:t>按1000元-5000元进行违约金计算</w:t>
      </w:r>
      <w:r>
        <w:rPr>
          <w:rFonts w:hint="eastAsia" w:ascii="宋体" w:hAnsi="宋体" w:eastAsia="宋体" w:cs="宋体"/>
          <w:bCs/>
          <w:color w:val="auto"/>
          <w:sz w:val="24"/>
          <w:szCs w:val="28"/>
          <w:highlight w:val="none"/>
        </w:rPr>
        <w:t>；发生违反治安管理条例事件</w:t>
      </w:r>
      <w:r>
        <w:rPr>
          <w:rFonts w:hint="eastAsia" w:ascii="宋体" w:hAnsi="宋体" w:eastAsia="宋体" w:cs="宋体"/>
          <w:bCs/>
          <w:color w:val="auto"/>
          <w:sz w:val="24"/>
          <w:szCs w:val="28"/>
          <w:highlight w:val="none"/>
          <w:lang w:val="en-US" w:eastAsia="zh-CN"/>
        </w:rPr>
        <w:t>的，</w:t>
      </w:r>
      <w:r>
        <w:rPr>
          <w:rFonts w:hint="eastAsia" w:ascii="宋体" w:hAnsi="宋体" w:eastAsia="宋体" w:cs="宋体"/>
          <w:bCs/>
          <w:color w:val="auto"/>
          <w:sz w:val="24"/>
          <w:szCs w:val="28"/>
          <w:highlight w:val="none"/>
        </w:rPr>
        <w:t>按</w:t>
      </w:r>
      <w:r>
        <w:rPr>
          <w:rFonts w:hint="eastAsia" w:ascii="宋体" w:hAnsi="宋体" w:eastAsia="宋体" w:cs="宋体"/>
          <w:bCs/>
          <w:color w:val="auto"/>
          <w:sz w:val="24"/>
          <w:szCs w:val="28"/>
          <w:highlight w:val="none"/>
          <w:lang w:val="en-US" w:eastAsia="zh-CN"/>
        </w:rPr>
        <w:t>1000元-5000元进行违约金计算；同时乙方对上述行为</w:t>
      </w:r>
      <w:r>
        <w:rPr>
          <w:rFonts w:hint="eastAsia" w:ascii="宋体" w:hAnsi="宋体" w:eastAsia="宋体" w:cs="宋体"/>
          <w:bCs/>
          <w:color w:val="auto"/>
          <w:sz w:val="24"/>
          <w:szCs w:val="28"/>
          <w:highlight w:val="none"/>
        </w:rPr>
        <w:t>承担相应的</w:t>
      </w:r>
      <w:r>
        <w:rPr>
          <w:rFonts w:hint="eastAsia" w:ascii="宋体" w:hAnsi="宋体" w:cs="宋体"/>
          <w:bCs/>
          <w:color w:val="auto"/>
          <w:sz w:val="24"/>
          <w:szCs w:val="28"/>
          <w:highlight w:val="none"/>
          <w:lang w:val="en-US" w:eastAsia="zh-CN"/>
        </w:rPr>
        <w:t>法律</w:t>
      </w:r>
      <w:r>
        <w:rPr>
          <w:rFonts w:hint="eastAsia" w:ascii="宋体" w:hAnsi="宋体" w:eastAsia="宋体" w:cs="宋体"/>
          <w:bCs/>
          <w:color w:val="auto"/>
          <w:sz w:val="24"/>
          <w:szCs w:val="28"/>
          <w:highlight w:val="none"/>
        </w:rPr>
        <w:t>责任</w:t>
      </w:r>
      <w:r>
        <w:rPr>
          <w:rFonts w:hint="eastAsia" w:ascii="宋体" w:hAnsi="宋体" w:cs="宋体"/>
          <w:bCs/>
          <w:color w:val="auto"/>
          <w:sz w:val="24"/>
          <w:szCs w:val="28"/>
          <w:highlight w:val="none"/>
          <w:lang w:val="en-US" w:eastAsia="zh-CN"/>
        </w:rPr>
        <w:t>和经济赔偿</w:t>
      </w:r>
      <w:r>
        <w:rPr>
          <w:rFonts w:hint="eastAsia" w:ascii="宋体" w:hAnsi="宋体" w:eastAsia="宋体" w:cs="宋体"/>
          <w:bCs/>
          <w:color w:val="auto"/>
          <w:sz w:val="24"/>
          <w:szCs w:val="28"/>
          <w:highlight w:val="none"/>
        </w:rPr>
        <w:t>。</w:t>
      </w:r>
    </w:p>
    <w:p>
      <w:pPr>
        <w:numPr>
          <w:ilvl w:val="0"/>
          <w:numId w:val="7"/>
        </w:numPr>
        <w:snapToGrid w:val="0"/>
        <w:spacing w:line="360" w:lineRule="auto"/>
        <w:ind w:left="0" w:leftChars="0" w:firstLine="460" w:firstLineChars="192"/>
        <w:rPr>
          <w:rFonts w:hint="eastAsia" w:ascii="宋体" w:hAnsi="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在合同履行期间（1年）内，在甲方</w:t>
      </w:r>
      <w:r>
        <w:rPr>
          <w:rFonts w:hint="eastAsia" w:ascii="宋体" w:hAnsi="宋体" w:eastAsia="宋体" w:cs="宋体"/>
          <w:color w:val="auto"/>
          <w:sz w:val="24"/>
          <w:szCs w:val="24"/>
          <w:highlight w:val="none"/>
          <w:lang w:val="en-US" w:eastAsia="zh-CN"/>
        </w:rPr>
        <w:t>院膳食委员会</w:t>
      </w:r>
      <w:r>
        <w:rPr>
          <w:rFonts w:hint="eastAsia" w:ascii="宋体" w:hAnsi="宋体" w:eastAsia="宋体" w:cs="宋体"/>
          <w:bCs/>
          <w:color w:val="auto"/>
          <w:sz w:val="24"/>
          <w:szCs w:val="28"/>
          <w:highlight w:val="none"/>
          <w:lang w:val="en-US" w:eastAsia="zh-CN"/>
        </w:rPr>
        <w:t>的定期或不定期考核及暗访过程中</w:t>
      </w:r>
      <w:r>
        <w:rPr>
          <w:rFonts w:hint="eastAsia" w:ascii="宋体" w:hAnsi="宋体" w:cs="宋体"/>
          <w:bCs/>
          <w:color w:val="auto"/>
          <w:sz w:val="24"/>
          <w:szCs w:val="28"/>
          <w:highlight w:val="none"/>
          <w:lang w:val="en-US" w:eastAsia="zh-CN"/>
        </w:rPr>
        <w:t>：</w:t>
      </w:r>
    </w:p>
    <w:p>
      <w:pPr>
        <w:numPr>
          <w:ilvl w:val="0"/>
          <w:numId w:val="0"/>
        </w:numPr>
        <w:snapToGrid w:val="0"/>
        <w:spacing w:line="360" w:lineRule="auto"/>
        <w:ind w:firstLine="480" w:firstLineChars="200"/>
        <w:rPr>
          <w:rFonts w:hint="eastAsia" w:ascii="宋体" w:hAnsi="宋体" w:eastAsia="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每月的</w:t>
      </w:r>
      <w:r>
        <w:rPr>
          <w:rFonts w:hint="eastAsia" w:ascii="宋体" w:hAnsi="宋体" w:eastAsia="宋体" w:cs="宋体"/>
          <w:bCs/>
          <w:color w:val="auto"/>
          <w:sz w:val="24"/>
          <w:szCs w:val="28"/>
          <w:highlight w:val="none"/>
          <w:lang w:val="en-US" w:eastAsia="zh-CN"/>
        </w:rPr>
        <w:t>月</w:t>
      </w:r>
      <w:r>
        <w:rPr>
          <w:rFonts w:hint="eastAsia" w:ascii="宋体" w:hAnsi="宋体" w:cs="宋体"/>
          <w:bCs/>
          <w:color w:val="auto"/>
          <w:sz w:val="24"/>
          <w:szCs w:val="28"/>
          <w:highlight w:val="none"/>
          <w:lang w:val="en-US" w:eastAsia="zh-CN"/>
        </w:rPr>
        <w:t>度</w:t>
      </w:r>
      <w:r>
        <w:rPr>
          <w:rFonts w:hint="eastAsia" w:ascii="宋体" w:hAnsi="宋体" w:eastAsia="宋体" w:cs="宋体"/>
          <w:bCs/>
          <w:color w:val="auto"/>
          <w:sz w:val="24"/>
          <w:szCs w:val="28"/>
          <w:highlight w:val="none"/>
          <w:lang w:val="en-US" w:eastAsia="zh-CN"/>
        </w:rPr>
        <w:t>考核分均≧90分视为履约情况良好，且是续签下一年度合同的基本条件之一；</w:t>
      </w:r>
    </w:p>
    <w:p>
      <w:pPr>
        <w:numPr>
          <w:ilvl w:val="0"/>
          <w:numId w:val="0"/>
        </w:numPr>
        <w:snapToGrid w:val="0"/>
        <w:spacing w:line="360" w:lineRule="auto"/>
        <w:ind w:firstLine="480" w:firstLineChars="200"/>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85分≦月度考核分＜90分的视为履约情况</w:t>
      </w:r>
      <w:r>
        <w:rPr>
          <w:rFonts w:hint="eastAsia" w:ascii="宋体" w:hAnsi="宋体" w:cs="宋体"/>
          <w:bCs/>
          <w:color w:val="auto"/>
          <w:sz w:val="24"/>
          <w:szCs w:val="28"/>
          <w:highlight w:val="none"/>
          <w:lang w:val="en-US" w:eastAsia="zh-CN"/>
        </w:rPr>
        <w:t>基本</w:t>
      </w:r>
      <w:r>
        <w:rPr>
          <w:rFonts w:hint="eastAsia" w:ascii="宋体" w:hAnsi="宋体" w:eastAsia="宋体" w:cs="宋体"/>
          <w:bCs/>
          <w:color w:val="auto"/>
          <w:sz w:val="24"/>
          <w:szCs w:val="28"/>
          <w:highlight w:val="none"/>
          <w:lang w:val="en-US" w:eastAsia="zh-CN"/>
        </w:rPr>
        <w:t>合格；</w:t>
      </w:r>
    </w:p>
    <w:p>
      <w:pPr>
        <w:numPr>
          <w:ilvl w:val="0"/>
          <w:numId w:val="0"/>
        </w:numPr>
        <w:snapToGrid w:val="0"/>
        <w:spacing w:line="360" w:lineRule="auto"/>
        <w:ind w:firstLine="480" w:firstLineChars="200"/>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lang w:val="en-US" w:eastAsia="zh-CN"/>
        </w:rPr>
        <w:t>80分≦月度考核分＜85分的，则每月按（月度考核分-85分）*500元/分计算违约金；</w:t>
      </w:r>
    </w:p>
    <w:p>
      <w:pPr>
        <w:numPr>
          <w:ilvl w:val="0"/>
          <w:numId w:val="0"/>
        </w:numPr>
        <w:snapToGrid w:val="0"/>
        <w:spacing w:line="360" w:lineRule="auto"/>
        <w:ind w:firstLine="480" w:firstLineChars="200"/>
        <w:rPr>
          <w:rFonts w:hint="eastAsia" w:ascii="宋体" w:hAnsi="宋体" w:eastAsia="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65</w:t>
      </w:r>
      <w:r>
        <w:rPr>
          <w:rFonts w:hint="eastAsia" w:ascii="宋体" w:hAnsi="宋体" w:eastAsia="宋体" w:cs="宋体"/>
          <w:bCs/>
          <w:color w:val="auto"/>
          <w:sz w:val="24"/>
          <w:szCs w:val="28"/>
          <w:highlight w:val="none"/>
          <w:lang w:val="en-US" w:eastAsia="zh-CN"/>
        </w:rPr>
        <w:t>分≦月度考核分＜8</w:t>
      </w:r>
      <w:r>
        <w:rPr>
          <w:rFonts w:hint="eastAsia" w:ascii="宋体" w:hAnsi="宋体" w:cs="宋体"/>
          <w:bCs/>
          <w:color w:val="auto"/>
          <w:sz w:val="24"/>
          <w:szCs w:val="28"/>
          <w:highlight w:val="none"/>
          <w:lang w:val="en-US" w:eastAsia="zh-CN"/>
        </w:rPr>
        <w:t>0</w:t>
      </w:r>
      <w:r>
        <w:rPr>
          <w:rFonts w:hint="eastAsia" w:ascii="宋体" w:hAnsi="宋体" w:eastAsia="宋体" w:cs="宋体"/>
          <w:bCs/>
          <w:color w:val="auto"/>
          <w:sz w:val="24"/>
          <w:szCs w:val="28"/>
          <w:highlight w:val="none"/>
          <w:lang w:val="en-US" w:eastAsia="zh-CN"/>
        </w:rPr>
        <w:t>分的，则每月按（月度考核分-8</w:t>
      </w:r>
      <w:r>
        <w:rPr>
          <w:rFonts w:hint="eastAsia" w:ascii="宋体" w:hAnsi="宋体" w:cs="宋体"/>
          <w:bCs/>
          <w:color w:val="auto"/>
          <w:sz w:val="24"/>
          <w:szCs w:val="28"/>
          <w:highlight w:val="none"/>
          <w:lang w:val="en-US" w:eastAsia="zh-CN"/>
        </w:rPr>
        <w:t>0</w:t>
      </w:r>
      <w:r>
        <w:rPr>
          <w:rFonts w:hint="eastAsia" w:ascii="宋体" w:hAnsi="宋体" w:eastAsia="宋体" w:cs="宋体"/>
          <w:bCs/>
          <w:color w:val="auto"/>
          <w:sz w:val="24"/>
          <w:szCs w:val="28"/>
          <w:highlight w:val="none"/>
          <w:lang w:val="en-US" w:eastAsia="zh-CN"/>
        </w:rPr>
        <w:t>分）*</w:t>
      </w:r>
      <w:r>
        <w:rPr>
          <w:rFonts w:hint="eastAsia" w:ascii="宋体" w:hAnsi="宋体" w:cs="宋体"/>
          <w:bCs/>
          <w:color w:val="auto"/>
          <w:sz w:val="24"/>
          <w:szCs w:val="28"/>
          <w:highlight w:val="none"/>
          <w:lang w:val="en-US" w:eastAsia="zh-CN"/>
        </w:rPr>
        <w:t>10</w:t>
      </w:r>
      <w:r>
        <w:rPr>
          <w:rFonts w:hint="eastAsia" w:ascii="宋体" w:hAnsi="宋体" w:eastAsia="宋体" w:cs="宋体"/>
          <w:bCs/>
          <w:color w:val="auto"/>
          <w:sz w:val="24"/>
          <w:szCs w:val="28"/>
          <w:highlight w:val="none"/>
          <w:lang w:val="en-US" w:eastAsia="zh-CN"/>
        </w:rPr>
        <w:t>00元/分计算违约金；</w:t>
      </w:r>
    </w:p>
    <w:p>
      <w:pPr>
        <w:numPr>
          <w:ilvl w:val="0"/>
          <w:numId w:val="0"/>
        </w:numPr>
        <w:snapToGrid w:val="0"/>
        <w:spacing w:line="360" w:lineRule="auto"/>
        <w:ind w:firstLine="480" w:firstLineChars="200"/>
        <w:rPr>
          <w:rFonts w:hint="eastAsia" w:ascii="宋体" w:hAnsi="宋体" w:eastAsia="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合同</w:t>
      </w:r>
      <w:r>
        <w:rPr>
          <w:rFonts w:hint="eastAsia" w:ascii="宋体" w:hAnsi="宋体" w:eastAsia="宋体" w:cs="宋体"/>
          <w:bCs/>
          <w:color w:val="auto"/>
          <w:sz w:val="24"/>
          <w:szCs w:val="28"/>
          <w:highlight w:val="none"/>
          <w:lang w:val="en-US" w:eastAsia="zh-CN"/>
        </w:rPr>
        <w:t>年度内</w:t>
      </w:r>
      <w:r>
        <w:rPr>
          <w:rFonts w:hint="eastAsia" w:ascii="宋体" w:hAnsi="宋体" w:cs="宋体"/>
          <w:bCs/>
          <w:color w:val="auto"/>
          <w:sz w:val="24"/>
          <w:szCs w:val="28"/>
          <w:highlight w:val="none"/>
          <w:lang w:val="en-US" w:eastAsia="zh-CN"/>
        </w:rPr>
        <w:t>如发生</w:t>
      </w:r>
      <w:r>
        <w:rPr>
          <w:rFonts w:hint="default" w:ascii="宋体" w:hAnsi="宋体" w:cs="宋体"/>
          <w:bCs/>
          <w:color w:val="auto"/>
          <w:sz w:val="24"/>
          <w:szCs w:val="28"/>
          <w:highlight w:val="none"/>
          <w:lang w:val="en-US" w:eastAsia="zh-CN"/>
        </w:rPr>
        <w:t>①</w:t>
      </w:r>
      <w:r>
        <w:rPr>
          <w:rFonts w:hint="eastAsia" w:ascii="宋体" w:hAnsi="宋体" w:cs="宋体"/>
          <w:bCs/>
          <w:color w:val="auto"/>
          <w:sz w:val="24"/>
          <w:szCs w:val="28"/>
          <w:highlight w:val="none"/>
          <w:lang w:val="en-US" w:eastAsia="zh-CN"/>
        </w:rPr>
        <w:t>连续3个月或累计4个月的“80分≦月度考核分＜85分”、</w:t>
      </w:r>
      <w:r>
        <w:rPr>
          <w:rFonts w:hint="default" w:ascii="宋体" w:hAnsi="宋体" w:cs="宋体"/>
          <w:bCs/>
          <w:color w:val="auto"/>
          <w:sz w:val="24"/>
          <w:szCs w:val="28"/>
          <w:highlight w:val="none"/>
          <w:lang w:val="en-US" w:eastAsia="zh-CN"/>
        </w:rPr>
        <w:t>②</w:t>
      </w:r>
      <w:r>
        <w:rPr>
          <w:rFonts w:hint="eastAsia" w:ascii="宋体" w:hAnsi="宋体" w:cs="宋体"/>
          <w:bCs/>
          <w:color w:val="auto"/>
          <w:sz w:val="24"/>
          <w:szCs w:val="28"/>
          <w:highlight w:val="none"/>
          <w:lang w:val="en-US" w:eastAsia="zh-CN"/>
        </w:rPr>
        <w:t>连续2个月或累计3个月的“65分≦月度考核分＜80分”、</w:t>
      </w:r>
      <w:r>
        <w:rPr>
          <w:rFonts w:hint="default" w:ascii="宋体" w:hAnsi="宋体" w:cs="宋体"/>
          <w:bCs/>
          <w:color w:val="auto"/>
          <w:sz w:val="24"/>
          <w:szCs w:val="28"/>
          <w:highlight w:val="none"/>
          <w:lang w:val="en-US" w:eastAsia="zh-CN"/>
        </w:rPr>
        <w:t>③</w:t>
      </w:r>
      <w:r>
        <w:rPr>
          <w:rFonts w:hint="eastAsia" w:ascii="宋体" w:hAnsi="宋体" w:cs="宋体"/>
          <w:bCs/>
          <w:color w:val="auto"/>
          <w:sz w:val="24"/>
          <w:szCs w:val="28"/>
          <w:highlight w:val="none"/>
          <w:lang w:val="en-US" w:eastAsia="zh-CN"/>
        </w:rPr>
        <w:t>有1个月的“月度考核分＜65分”任意一种情形的，</w:t>
      </w:r>
      <w:r>
        <w:rPr>
          <w:rFonts w:hint="eastAsia" w:ascii="宋体" w:hAnsi="宋体" w:eastAsia="宋体" w:cs="宋体"/>
          <w:bCs/>
          <w:color w:val="auto"/>
          <w:sz w:val="24"/>
          <w:szCs w:val="28"/>
          <w:highlight w:val="none"/>
          <w:lang w:val="en-US" w:eastAsia="zh-CN"/>
        </w:rPr>
        <w:t>甲方可提前终止合同，且履约保证金全额不予退还，若给甲方带来损失，甲方有权追究其法律责任，并要求进行经济赔偿。</w:t>
      </w:r>
    </w:p>
    <w:p>
      <w:pPr>
        <w:numPr>
          <w:ilvl w:val="0"/>
          <w:numId w:val="0"/>
        </w:numPr>
        <w:snapToGrid w:val="0"/>
        <w:spacing w:line="240" w:lineRule="auto"/>
        <w:ind w:firstLine="480" w:firstLineChars="200"/>
        <w:rPr>
          <w:rFonts w:hint="eastAsia" w:ascii="宋体" w:hAnsi="宋体" w:eastAsia="宋体" w:cs="宋体"/>
          <w:bCs/>
          <w:color w:val="auto"/>
          <w:sz w:val="24"/>
          <w:szCs w:val="28"/>
          <w:highlight w:val="none"/>
          <w:lang w:val="en-US" w:eastAsia="zh-CN"/>
        </w:rPr>
      </w:pPr>
      <w:r>
        <w:rPr>
          <w:rFonts w:hint="eastAsia" w:ascii="宋体" w:hAnsi="宋体" w:cs="宋体"/>
          <w:bCs/>
          <w:color w:val="auto"/>
          <w:sz w:val="24"/>
          <w:szCs w:val="28"/>
          <w:highlight w:val="none"/>
          <w:lang w:val="en-US" w:eastAsia="zh-CN"/>
        </w:rPr>
        <w:t>4、</w:t>
      </w:r>
      <w:r>
        <w:rPr>
          <w:rFonts w:hint="eastAsia" w:ascii="宋体" w:hAnsi="宋体" w:eastAsia="宋体" w:cs="宋体"/>
          <w:bCs/>
          <w:color w:val="auto"/>
          <w:sz w:val="24"/>
          <w:szCs w:val="28"/>
          <w:highlight w:val="none"/>
          <w:lang w:val="en-US" w:eastAsia="zh-CN"/>
        </w:rPr>
        <w:t>每月考核扣分办法详见下条</w:t>
      </w:r>
      <w:r>
        <w:rPr>
          <w:rFonts w:hint="eastAsia" w:ascii="宋体" w:hAnsi="宋体" w:cs="宋体"/>
          <w:bCs/>
          <w:color w:val="auto"/>
          <w:sz w:val="24"/>
          <w:szCs w:val="28"/>
          <w:highlight w:val="none"/>
          <w:lang w:val="en-US" w:eastAsia="zh-CN"/>
        </w:rPr>
        <w:t>：</w:t>
      </w:r>
    </w:p>
    <w:tbl>
      <w:tblPr>
        <w:tblStyle w:val="51"/>
        <w:tblpPr w:leftFromText="180" w:rightFromText="180" w:vertAnchor="text" w:horzAnchor="page" w:tblpX="1134" w:tblpY="556"/>
        <w:tblOverlap w:val="never"/>
        <w:tblW w:w="9707" w:type="dxa"/>
        <w:tblInd w:w="0" w:type="dxa"/>
        <w:tblLayout w:type="fixed"/>
        <w:tblCellMar>
          <w:top w:w="0" w:type="dxa"/>
          <w:left w:w="108" w:type="dxa"/>
          <w:bottom w:w="0" w:type="dxa"/>
          <w:right w:w="108" w:type="dxa"/>
        </w:tblCellMar>
      </w:tblPr>
      <w:tblGrid>
        <w:gridCol w:w="1270"/>
        <w:gridCol w:w="5037"/>
        <w:gridCol w:w="623"/>
        <w:gridCol w:w="614"/>
        <w:gridCol w:w="2163"/>
      </w:tblGrid>
      <w:tr>
        <w:tblPrEx>
          <w:tblCellMar>
            <w:top w:w="0" w:type="dxa"/>
            <w:left w:w="108" w:type="dxa"/>
            <w:bottom w:w="0" w:type="dxa"/>
            <w:right w:w="108" w:type="dxa"/>
          </w:tblCellMar>
        </w:tblPrEx>
        <w:trPr>
          <w:trHeight w:val="270" w:hRule="atLeast"/>
        </w:trPr>
        <w:tc>
          <w:tcPr>
            <w:tcW w:w="12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考核内容</w:t>
            </w:r>
          </w:p>
        </w:tc>
        <w:tc>
          <w:tcPr>
            <w:tcW w:w="50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考核要求</w:t>
            </w:r>
          </w:p>
        </w:tc>
        <w:tc>
          <w:tcPr>
            <w:tcW w:w="6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分值</w:t>
            </w:r>
          </w:p>
        </w:tc>
        <w:tc>
          <w:tcPr>
            <w:tcW w:w="61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扣分</w:t>
            </w:r>
          </w:p>
        </w:tc>
        <w:tc>
          <w:tcPr>
            <w:tcW w:w="21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备注</w:t>
            </w:r>
          </w:p>
        </w:tc>
      </w:tr>
      <w:tr>
        <w:tblPrEx>
          <w:tblCellMar>
            <w:top w:w="0" w:type="dxa"/>
            <w:left w:w="108" w:type="dxa"/>
            <w:bottom w:w="0" w:type="dxa"/>
            <w:right w:w="108" w:type="dxa"/>
          </w:tblCellMar>
        </w:tblPrEx>
        <w:trPr>
          <w:trHeight w:val="90" w:hRule="atLeast"/>
        </w:trPr>
        <w:tc>
          <w:tcPr>
            <w:tcW w:w="127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员工管理</w:t>
            </w:r>
          </w:p>
        </w:tc>
        <w:tc>
          <w:tcPr>
            <w:tcW w:w="5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bidi="ar"/>
              </w:rPr>
              <w:t>从业人员取得有效健康证明</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厨师持证上岗</w:t>
            </w:r>
          </w:p>
        </w:tc>
        <w:tc>
          <w:tcPr>
            <w:tcW w:w="623" w:type="dxa"/>
            <w:vMerge w:val="restart"/>
            <w:tcBorders>
              <w:top w:val="nil"/>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35</w:t>
            </w:r>
          </w:p>
        </w:tc>
        <w:tc>
          <w:tcPr>
            <w:tcW w:w="614" w:type="dxa"/>
            <w:vMerge w:val="restart"/>
            <w:tcBorders>
              <w:top w:val="nil"/>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w:t>
            </w:r>
          </w:p>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w:t>
            </w:r>
          </w:p>
        </w:tc>
        <w:tc>
          <w:tcPr>
            <w:tcW w:w="2163" w:type="dxa"/>
            <w:vMerge w:val="restart"/>
            <w:tcBorders>
              <w:top w:val="nil"/>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证件过期扣20分、负责人不在岗一次扣5分</w:t>
            </w:r>
          </w:p>
        </w:tc>
      </w:tr>
      <w:tr>
        <w:tblPrEx>
          <w:tblCellMar>
            <w:top w:w="0" w:type="dxa"/>
            <w:left w:w="108" w:type="dxa"/>
            <w:bottom w:w="0" w:type="dxa"/>
            <w:right w:w="108" w:type="dxa"/>
          </w:tblCellMar>
        </w:tblPrEx>
        <w:trPr>
          <w:trHeight w:val="425" w:hRule="atLeast"/>
        </w:trPr>
        <w:tc>
          <w:tcPr>
            <w:tcW w:w="12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cs="宋体"/>
                <w:color w:val="auto"/>
                <w:sz w:val="24"/>
                <w:szCs w:val="24"/>
                <w:highlight w:val="none"/>
              </w:rPr>
            </w:pPr>
          </w:p>
        </w:tc>
        <w:tc>
          <w:tcPr>
            <w:tcW w:w="5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负责人在岗情况、员工队伍保持稳定、员工按要求统一着装，工作服、帽整洁、规范佩戴口罩、定期组织员工召开例会、业务培训等、各类台帐资料及时记录并整理归档</w:t>
            </w:r>
          </w:p>
        </w:tc>
        <w:tc>
          <w:tcPr>
            <w:tcW w:w="623" w:type="dxa"/>
            <w:vMerge w:val="continue"/>
            <w:tcBorders>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p>
        </w:tc>
        <w:tc>
          <w:tcPr>
            <w:tcW w:w="614" w:type="dxa"/>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p>
        </w:tc>
        <w:tc>
          <w:tcPr>
            <w:tcW w:w="2163" w:type="dxa"/>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p>
        </w:tc>
      </w:tr>
      <w:tr>
        <w:trPr>
          <w:trHeight w:val="654" w:hRule="atLeast"/>
        </w:trPr>
        <w:tc>
          <w:tcPr>
            <w:tcW w:w="12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服务态度</w:t>
            </w:r>
          </w:p>
        </w:tc>
        <w:tc>
          <w:tcPr>
            <w:tcW w:w="5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服务态度好、语言文明、不说脏话、在服务区域不高声喧哗、不与就餐人员发生争执、无投诉</w:t>
            </w:r>
          </w:p>
        </w:tc>
        <w:tc>
          <w:tcPr>
            <w:tcW w:w="623" w:type="dxa"/>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宋体" w:hAnsi="宋体" w:cs="宋体"/>
                <w:color w:val="auto"/>
                <w:sz w:val="24"/>
                <w:szCs w:val="24"/>
                <w:highlight w:val="none"/>
              </w:rPr>
            </w:pPr>
          </w:p>
        </w:tc>
        <w:tc>
          <w:tcPr>
            <w:tcW w:w="61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w:t>
            </w:r>
          </w:p>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w:t>
            </w:r>
          </w:p>
        </w:tc>
        <w:tc>
          <w:tcPr>
            <w:tcW w:w="21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经核实确定后，投诉一次扣5分（包括院方公共平台等渠道）</w:t>
            </w:r>
          </w:p>
        </w:tc>
      </w:tr>
      <w:tr>
        <w:tblPrEx>
          <w:tblCellMar>
            <w:top w:w="0" w:type="dxa"/>
            <w:left w:w="108" w:type="dxa"/>
            <w:bottom w:w="0" w:type="dxa"/>
            <w:right w:w="108" w:type="dxa"/>
          </w:tblCellMar>
        </w:tblPrEx>
        <w:trPr>
          <w:trHeight w:val="928" w:hRule="atLeast"/>
        </w:trPr>
        <w:tc>
          <w:tcPr>
            <w:tcW w:w="12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原料质量</w:t>
            </w:r>
          </w:p>
        </w:tc>
        <w:tc>
          <w:tcPr>
            <w:tcW w:w="50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规范食品采购索证、进货验收和台账记录，规范索取销售发票、卫生检验检疫合格证明，定型包装食品和食品添加剂有标注品名、产地、厂名、生产日期、保质期限、使用方法等，应把好质量关、杜绝腐败、变质、过期原料、调辅料及其它有碍食品卫生安全的其它物品</w:t>
            </w:r>
          </w:p>
        </w:tc>
        <w:tc>
          <w:tcPr>
            <w:tcW w:w="623" w:type="dxa"/>
            <w:vMerge w:val="restart"/>
            <w:tcBorders>
              <w:top w:val="single" w:color="auto" w:sz="4" w:space="0"/>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30</w:t>
            </w:r>
          </w:p>
        </w:tc>
        <w:tc>
          <w:tcPr>
            <w:tcW w:w="61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w:t>
            </w:r>
          </w:p>
        </w:tc>
        <w:tc>
          <w:tcPr>
            <w:tcW w:w="21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both"/>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食品或原材料</w:t>
            </w:r>
            <w:r>
              <w:rPr>
                <w:rFonts w:hint="eastAsia" w:ascii="宋体" w:hAnsi="宋体" w:cs="宋体"/>
                <w:color w:val="auto"/>
                <w:kern w:val="0"/>
                <w:sz w:val="24"/>
                <w:szCs w:val="24"/>
                <w:highlight w:val="none"/>
                <w:lang w:bidi="ar"/>
              </w:rPr>
              <w:t>过期</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变质</w:t>
            </w:r>
            <w:r>
              <w:rPr>
                <w:rFonts w:hint="eastAsia" w:ascii="宋体" w:hAnsi="宋体" w:cs="宋体"/>
                <w:color w:val="auto"/>
                <w:kern w:val="0"/>
                <w:sz w:val="24"/>
                <w:szCs w:val="24"/>
                <w:highlight w:val="none"/>
                <w:lang w:bidi="ar"/>
              </w:rPr>
              <w:t>扣10分</w:t>
            </w:r>
            <w:r>
              <w:rPr>
                <w:rFonts w:hint="eastAsia" w:ascii="宋体" w:hAnsi="宋体" w:cs="宋体"/>
                <w:color w:val="auto"/>
                <w:kern w:val="0"/>
                <w:sz w:val="24"/>
                <w:szCs w:val="24"/>
                <w:highlight w:val="none"/>
                <w:lang w:val="en-US" w:eastAsia="zh-CN" w:bidi="ar"/>
              </w:rPr>
              <w:t>/件</w:t>
            </w:r>
          </w:p>
        </w:tc>
      </w:tr>
      <w:tr>
        <w:tblPrEx>
          <w:tblCellMar>
            <w:top w:w="0" w:type="dxa"/>
            <w:left w:w="108" w:type="dxa"/>
            <w:bottom w:w="0" w:type="dxa"/>
            <w:right w:w="108" w:type="dxa"/>
          </w:tblCellMar>
        </w:tblPrEx>
        <w:trPr>
          <w:trHeight w:val="1079" w:hRule="atLeast"/>
        </w:trPr>
        <w:tc>
          <w:tcPr>
            <w:tcW w:w="127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规范流程</w:t>
            </w:r>
          </w:p>
        </w:tc>
        <w:tc>
          <w:tcPr>
            <w:tcW w:w="5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食品分类、分架存放，并有明显的区分标志、距离墙壁、地面10CM以上、各操作间盛具、用具标识明确，并按标识使用、餐具、食品或已盛装食品的容器规范使用</w:t>
            </w:r>
          </w:p>
        </w:tc>
        <w:tc>
          <w:tcPr>
            <w:tcW w:w="623" w:type="dxa"/>
            <w:vMerge w:val="continue"/>
            <w:tcBorders>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宋体" w:hAnsi="宋体" w:cs="宋体"/>
                <w:color w:val="auto"/>
                <w:sz w:val="24"/>
                <w:szCs w:val="24"/>
                <w:highlight w:val="none"/>
              </w:rPr>
            </w:pPr>
          </w:p>
        </w:tc>
        <w:tc>
          <w:tcPr>
            <w:tcW w:w="61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w:t>
            </w:r>
          </w:p>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w:t>
            </w:r>
          </w:p>
        </w:tc>
        <w:tc>
          <w:tcPr>
            <w:tcW w:w="21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每有1处不规范扣0.5分</w:t>
            </w:r>
          </w:p>
        </w:tc>
      </w:tr>
      <w:tr>
        <w:trPr>
          <w:trHeight w:val="766" w:hRule="atLeast"/>
        </w:trPr>
        <w:tc>
          <w:tcPr>
            <w:tcW w:w="12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cs="宋体"/>
                <w:color w:val="auto"/>
                <w:sz w:val="24"/>
                <w:szCs w:val="24"/>
                <w:highlight w:val="none"/>
              </w:rPr>
            </w:pPr>
          </w:p>
        </w:tc>
        <w:tc>
          <w:tcPr>
            <w:tcW w:w="50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食品分拣、浸泡、清洗、初加工和深加工符合食品卫生要求、加工用设施、设备工具规范使用，整齐堆放</w:t>
            </w:r>
          </w:p>
        </w:tc>
        <w:tc>
          <w:tcPr>
            <w:tcW w:w="623" w:type="dxa"/>
            <w:vMerge w:val="continue"/>
            <w:tcBorders>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宋体" w:hAnsi="宋体" w:cs="宋体"/>
                <w:color w:val="auto"/>
                <w:sz w:val="24"/>
                <w:szCs w:val="24"/>
                <w:highlight w:val="none"/>
              </w:rPr>
            </w:pPr>
          </w:p>
        </w:tc>
        <w:tc>
          <w:tcPr>
            <w:tcW w:w="61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w:t>
            </w:r>
          </w:p>
        </w:tc>
        <w:tc>
          <w:tcPr>
            <w:tcW w:w="216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每有1处不规范扣0.5分</w:t>
            </w:r>
            <w:r>
              <w:rPr>
                <w:rFonts w:hint="eastAsia" w:ascii="宋体" w:hAnsi="宋体" w:cs="宋体"/>
                <w:color w:val="auto"/>
                <w:kern w:val="0"/>
                <w:sz w:val="24"/>
                <w:szCs w:val="24"/>
                <w:highlight w:val="none"/>
                <w:lang w:bidi="ar"/>
              </w:rPr>
              <w:t>　</w:t>
            </w:r>
          </w:p>
        </w:tc>
      </w:tr>
      <w:tr>
        <w:trPr>
          <w:trHeight w:val="90" w:hRule="atLeast"/>
        </w:trPr>
        <w:tc>
          <w:tcPr>
            <w:tcW w:w="127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配餐质量</w:t>
            </w:r>
          </w:p>
        </w:tc>
        <w:tc>
          <w:tcPr>
            <w:tcW w:w="5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新宋体" w:hAnsi="新宋体" w:eastAsia="新宋体" w:cs="新宋体"/>
                <w:color w:val="auto"/>
                <w:sz w:val="24"/>
                <w:szCs w:val="24"/>
                <w:highlight w:val="none"/>
              </w:rPr>
            </w:pPr>
            <w:r>
              <w:rPr>
                <w:rFonts w:hint="eastAsia" w:ascii="宋体" w:hAnsi="宋体" w:cs="宋体"/>
                <w:color w:val="auto"/>
                <w:kern w:val="0"/>
                <w:sz w:val="24"/>
                <w:szCs w:val="24"/>
                <w:highlight w:val="none"/>
                <w:lang w:bidi="ar"/>
              </w:rPr>
              <w:t>用餐时间缩短；</w:t>
            </w:r>
            <w:r>
              <w:rPr>
                <w:rFonts w:hint="eastAsia" w:ascii="新宋体" w:hAnsi="新宋体" w:eastAsia="新宋体" w:cs="新宋体"/>
                <w:color w:val="auto"/>
                <w:kern w:val="0"/>
                <w:sz w:val="24"/>
                <w:szCs w:val="24"/>
                <w:highlight w:val="none"/>
                <w:lang w:bidi="ar"/>
              </w:rPr>
              <w:t>送餐及时、冷热、订餐人员姓名、床号、品种准确无误</w:t>
            </w:r>
          </w:p>
        </w:tc>
        <w:tc>
          <w:tcPr>
            <w:tcW w:w="623" w:type="dxa"/>
            <w:vMerge w:val="continue"/>
            <w:tcBorders>
              <w:left w:val="nil"/>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p>
        </w:tc>
        <w:tc>
          <w:tcPr>
            <w:tcW w:w="61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w:t>
            </w:r>
          </w:p>
        </w:tc>
        <w:tc>
          <w:tcPr>
            <w:tcW w:w="21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每有1处不规范扣0.5分</w:t>
            </w:r>
            <w:r>
              <w:rPr>
                <w:rFonts w:hint="eastAsia" w:ascii="宋体" w:hAnsi="宋体" w:cs="宋体"/>
                <w:color w:val="auto"/>
                <w:kern w:val="0"/>
                <w:sz w:val="24"/>
                <w:szCs w:val="24"/>
                <w:highlight w:val="none"/>
                <w:lang w:bidi="ar"/>
              </w:rPr>
              <w:t>　</w:t>
            </w:r>
          </w:p>
        </w:tc>
      </w:tr>
      <w:tr>
        <w:tblPrEx>
          <w:tblCellMar>
            <w:top w:w="0" w:type="dxa"/>
            <w:left w:w="108" w:type="dxa"/>
            <w:bottom w:w="0" w:type="dxa"/>
            <w:right w:w="108" w:type="dxa"/>
          </w:tblCellMar>
        </w:tblPrEx>
        <w:trPr>
          <w:trHeight w:val="771" w:hRule="atLeast"/>
        </w:trPr>
        <w:tc>
          <w:tcPr>
            <w:tcW w:w="12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cs="宋体"/>
                <w:color w:val="auto"/>
                <w:sz w:val="24"/>
                <w:szCs w:val="24"/>
                <w:highlight w:val="none"/>
              </w:rPr>
            </w:pPr>
          </w:p>
        </w:tc>
        <w:tc>
          <w:tcPr>
            <w:tcW w:w="5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菜类品种、制作方式符合要求；饭菜数量与价格相符；</w:t>
            </w:r>
            <w:r>
              <w:rPr>
                <w:rFonts w:hint="eastAsia" w:ascii="宋体" w:hAnsi="宋体" w:cs="宋体"/>
                <w:color w:val="auto"/>
                <w:sz w:val="24"/>
                <w:szCs w:val="24"/>
                <w:highlight w:val="none"/>
              </w:rPr>
              <w:t>快餐就餐率逐步提高且不低于原有基础及刷卡率</w:t>
            </w:r>
          </w:p>
        </w:tc>
        <w:tc>
          <w:tcPr>
            <w:tcW w:w="623" w:type="dxa"/>
            <w:vMerge w:val="continue"/>
            <w:tcBorders>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p>
        </w:tc>
        <w:tc>
          <w:tcPr>
            <w:tcW w:w="61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w:t>
            </w:r>
          </w:p>
        </w:tc>
        <w:tc>
          <w:tcPr>
            <w:tcW w:w="21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both"/>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每有1处不规范扣0.5分</w:t>
            </w:r>
          </w:p>
        </w:tc>
      </w:tr>
      <w:tr>
        <w:trPr>
          <w:trHeight w:val="1350" w:hRule="atLeast"/>
        </w:trPr>
        <w:tc>
          <w:tcPr>
            <w:tcW w:w="12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卫生状况</w:t>
            </w:r>
          </w:p>
        </w:tc>
        <w:tc>
          <w:tcPr>
            <w:tcW w:w="5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灶台、油烟机无油污现象，下水道等清洁、地面无积水、垃圾桶洁净、各类炊具、加工用具摆放整齐、及时清倒、饭菜内无异物（虫子、头发等）、食堂内无出现苍蝇蚊虫老鼠等</w:t>
            </w:r>
          </w:p>
        </w:tc>
        <w:tc>
          <w:tcPr>
            <w:tcW w:w="6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15</w:t>
            </w:r>
          </w:p>
        </w:tc>
        <w:tc>
          <w:tcPr>
            <w:tcW w:w="61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w:t>
            </w:r>
          </w:p>
        </w:tc>
        <w:tc>
          <w:tcPr>
            <w:tcW w:w="21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发现异物、苍蝇等一次扣5分　</w:t>
            </w:r>
          </w:p>
        </w:tc>
      </w:tr>
      <w:tr>
        <w:tblPrEx>
          <w:tblCellMar>
            <w:top w:w="0" w:type="dxa"/>
            <w:left w:w="108" w:type="dxa"/>
            <w:bottom w:w="0" w:type="dxa"/>
            <w:right w:w="108" w:type="dxa"/>
          </w:tblCellMar>
        </w:tblPrEx>
        <w:trPr>
          <w:trHeight w:val="721" w:hRule="atLeast"/>
        </w:trPr>
        <w:tc>
          <w:tcPr>
            <w:tcW w:w="127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安全管理</w:t>
            </w:r>
          </w:p>
        </w:tc>
        <w:tc>
          <w:tcPr>
            <w:tcW w:w="50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食品按要求留样、对安全隐患有排查，有整改及防范措施，有保存整改记录、水电气按照规范操作、门窗及时关闭、无非工作人员进入食堂操作间现象等，无安全事故或违规处罚等</w:t>
            </w:r>
          </w:p>
        </w:tc>
        <w:tc>
          <w:tcPr>
            <w:tcW w:w="6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20</w:t>
            </w:r>
          </w:p>
        </w:tc>
        <w:tc>
          <w:tcPr>
            <w:tcW w:w="61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w:t>
            </w:r>
          </w:p>
        </w:tc>
        <w:tc>
          <w:tcPr>
            <w:tcW w:w="21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安全事故或行政处罚扣完分</w:t>
            </w:r>
          </w:p>
        </w:tc>
      </w:tr>
      <w:tr>
        <w:tblPrEx>
          <w:tblCellMar>
            <w:top w:w="0" w:type="dxa"/>
            <w:left w:w="108" w:type="dxa"/>
            <w:bottom w:w="0" w:type="dxa"/>
            <w:right w:w="108" w:type="dxa"/>
          </w:tblCellMar>
        </w:tblPrEx>
        <w:trPr>
          <w:trHeight w:val="92" w:hRule="atLeast"/>
        </w:trPr>
        <w:tc>
          <w:tcPr>
            <w:tcW w:w="6307"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合计　</w:t>
            </w:r>
          </w:p>
        </w:tc>
        <w:tc>
          <w:tcPr>
            <w:tcW w:w="6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bidi="ar"/>
              </w:rPr>
              <w:t>100</w:t>
            </w:r>
          </w:p>
        </w:tc>
        <w:tc>
          <w:tcPr>
            <w:tcW w:w="61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w:t>
            </w:r>
          </w:p>
        </w:tc>
        <w:tc>
          <w:tcPr>
            <w:tcW w:w="21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　</w:t>
            </w:r>
          </w:p>
        </w:tc>
      </w:tr>
    </w:tbl>
    <w:p>
      <w:pPr>
        <w:snapToGrid w:val="0"/>
        <w:spacing w:line="480" w:lineRule="exact"/>
        <w:rPr>
          <w:rFonts w:ascii="仿宋" w:hAnsi="仿宋" w:eastAsia="仿宋" w:cs="仿宋"/>
          <w:bCs/>
          <w:color w:val="auto"/>
          <w:sz w:val="28"/>
          <w:szCs w:val="28"/>
          <w:highlight w:val="none"/>
        </w:rPr>
      </w:pPr>
    </w:p>
    <w:p>
      <w:pPr>
        <w:widowControl/>
        <w:jc w:val="center"/>
        <w:rPr>
          <w:rFonts w:ascii="宋体" w:hAnsi="宋体" w:cs="宋体"/>
          <w:b/>
          <w:color w:val="auto"/>
          <w:w w:val="80"/>
          <w:sz w:val="44"/>
          <w:szCs w:val="44"/>
          <w:highlight w:val="none"/>
        </w:rPr>
      </w:pPr>
      <w:r>
        <w:rPr>
          <w:rFonts w:hint="eastAsia" w:ascii="宋体" w:hAnsi="宋体" w:cs="宋体"/>
          <w:b/>
          <w:color w:val="auto"/>
          <w:w w:val="80"/>
          <w:sz w:val="44"/>
          <w:szCs w:val="44"/>
          <w:highlight w:val="none"/>
        </w:rPr>
        <w:t>第六章   合同授予</w:t>
      </w:r>
    </w:p>
    <w:p>
      <w:pPr>
        <w:snapToGrid w:val="0"/>
        <w:spacing w:line="520" w:lineRule="exact"/>
        <w:ind w:firstLine="484" w:firstLineChars="202"/>
        <w:textAlignment w:val="baseline"/>
        <w:rPr>
          <w:rFonts w:ascii="宋体" w:hAnsi="宋体" w:cs="宋体"/>
          <w:color w:val="auto"/>
          <w:sz w:val="24"/>
          <w:szCs w:val="24"/>
          <w:highlight w:val="none"/>
        </w:rPr>
      </w:pPr>
    </w:p>
    <w:p>
      <w:pPr>
        <w:snapToGrid w:val="0"/>
        <w:spacing w:line="520" w:lineRule="exact"/>
        <w:ind w:firstLine="484" w:firstLineChars="202"/>
        <w:textAlignment w:val="baseline"/>
        <w:rPr>
          <w:rFonts w:ascii="宋体" w:hAnsi="宋体" w:cs="宋体"/>
          <w:color w:val="auto"/>
          <w:kern w:val="0"/>
          <w:sz w:val="24"/>
          <w:szCs w:val="24"/>
          <w:highlight w:val="none"/>
        </w:rPr>
      </w:pPr>
      <w:r>
        <w:rPr>
          <w:rFonts w:hint="eastAsia" w:ascii="宋体" w:hAnsi="宋体" w:cs="宋体"/>
          <w:color w:val="auto"/>
          <w:sz w:val="24"/>
          <w:szCs w:val="24"/>
          <w:highlight w:val="none"/>
        </w:rPr>
        <w:t>一、由于项目服务时间紧迫，成交供应商在《成交通知书》发出后15日内必须按照磋商文件确定的事项签订采购合同。合同</w:t>
      </w:r>
      <w:r>
        <w:rPr>
          <w:rFonts w:hint="eastAsia" w:ascii="宋体" w:hAnsi="宋体" w:cs="宋体"/>
          <w:color w:val="auto"/>
          <w:sz w:val="24"/>
          <w:szCs w:val="24"/>
          <w:highlight w:val="none"/>
          <w:lang w:val="en-US" w:eastAsia="zh-CN"/>
        </w:rPr>
        <w:t>壹</w:t>
      </w:r>
      <w:r>
        <w:rPr>
          <w:rFonts w:hint="eastAsia" w:ascii="宋体" w:hAnsi="宋体" w:cs="宋体"/>
          <w:color w:val="auto"/>
          <w:sz w:val="24"/>
          <w:szCs w:val="24"/>
          <w:highlight w:val="none"/>
        </w:rPr>
        <w:t>式陆份，采购人肆份，供应商</w:t>
      </w:r>
      <w:r>
        <w:rPr>
          <w:rFonts w:hint="eastAsia" w:ascii="宋体" w:hAnsi="宋体"/>
          <w:color w:val="auto"/>
          <w:sz w:val="24"/>
          <w:szCs w:val="24"/>
          <w:highlight w:val="none"/>
        </w:rPr>
        <w:t>贰份，其他存档备查。</w:t>
      </w:r>
      <w:r>
        <w:rPr>
          <w:rFonts w:hint="eastAsia" w:ascii="宋体" w:hAnsi="宋体" w:cs="宋体"/>
          <w:color w:val="auto"/>
          <w:kern w:val="0"/>
          <w:sz w:val="24"/>
          <w:szCs w:val="24"/>
          <w:highlight w:val="none"/>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 xml:space="preserve"> 二、采购人按合同约定积极配合</w:t>
      </w:r>
      <w:r>
        <w:rPr>
          <w:rFonts w:hint="eastAsia" w:ascii="宋体" w:hAnsi="宋体" w:cs="宋体"/>
          <w:color w:val="auto"/>
          <w:sz w:val="24"/>
          <w:highlight w:val="none"/>
        </w:rPr>
        <w:t>成交供应商</w:t>
      </w:r>
      <w:r>
        <w:rPr>
          <w:rFonts w:hint="eastAsia" w:ascii="宋体" w:hAnsi="宋体" w:cs="宋体"/>
          <w:color w:val="auto"/>
          <w:sz w:val="24"/>
          <w:szCs w:val="24"/>
          <w:highlight w:val="none"/>
        </w:rPr>
        <w:t>履约，</w:t>
      </w:r>
      <w:r>
        <w:rPr>
          <w:rFonts w:hint="eastAsia" w:ascii="宋体" w:hAnsi="宋体" w:cs="宋体"/>
          <w:color w:val="auto"/>
          <w:sz w:val="24"/>
          <w:highlight w:val="none"/>
        </w:rPr>
        <w:t>成交供应商</w:t>
      </w:r>
      <w:r>
        <w:rPr>
          <w:rFonts w:hint="eastAsia" w:ascii="宋体" w:hAnsi="宋体" w:cs="宋体"/>
          <w:color w:val="auto"/>
          <w:sz w:val="24"/>
          <w:szCs w:val="24"/>
          <w:highlight w:val="none"/>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三、采购人故意推迟项目验收时间的，与</w:t>
      </w:r>
      <w:r>
        <w:rPr>
          <w:rFonts w:hint="eastAsia" w:ascii="宋体" w:hAnsi="宋体" w:cs="宋体"/>
          <w:color w:val="auto"/>
          <w:sz w:val="24"/>
          <w:highlight w:val="none"/>
        </w:rPr>
        <w:t>成交供应商</w:t>
      </w:r>
      <w:r>
        <w:rPr>
          <w:rFonts w:hint="eastAsia" w:ascii="宋体" w:hAnsi="宋体" w:cs="宋体"/>
          <w:color w:val="auto"/>
          <w:sz w:val="24"/>
          <w:szCs w:val="24"/>
          <w:highlight w:val="none"/>
        </w:rPr>
        <w:t>串通或要求</w:t>
      </w:r>
      <w:r>
        <w:rPr>
          <w:rFonts w:hint="eastAsia" w:ascii="宋体" w:hAnsi="宋体" w:cs="宋体"/>
          <w:color w:val="auto"/>
          <w:sz w:val="24"/>
          <w:highlight w:val="none"/>
        </w:rPr>
        <w:t>成交供应商</w:t>
      </w:r>
      <w:r>
        <w:rPr>
          <w:rFonts w:hint="eastAsia" w:ascii="宋体" w:hAnsi="宋体" w:cs="宋体"/>
          <w:color w:val="auto"/>
          <w:sz w:val="24"/>
          <w:szCs w:val="24"/>
          <w:highlight w:val="none"/>
        </w:rPr>
        <w:t>通过减少货物数量或降低服务标准的，在履行合同中采取更改配置、调换物品等手段的，要求</w:t>
      </w:r>
      <w:r>
        <w:rPr>
          <w:rFonts w:hint="eastAsia" w:ascii="宋体" w:hAnsi="宋体" w:cs="宋体"/>
          <w:color w:val="auto"/>
          <w:sz w:val="24"/>
          <w:highlight w:val="none"/>
        </w:rPr>
        <w:t>成交供应商</w:t>
      </w:r>
      <w:r>
        <w:rPr>
          <w:rFonts w:hint="eastAsia" w:ascii="宋体" w:hAnsi="宋体" w:cs="宋体"/>
          <w:color w:val="auto"/>
          <w:sz w:val="24"/>
          <w:szCs w:val="24"/>
          <w:highlight w:val="none"/>
        </w:rPr>
        <w:t>出具虚假发票或任意更改销售发票的，谋取不正当利益的，承担相应的法律责任。</w:t>
      </w:r>
    </w:p>
    <w:p>
      <w:pPr>
        <w:snapToGrid w:val="0"/>
        <w:spacing w:line="480" w:lineRule="exact"/>
        <w:ind w:firstLine="573"/>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color w:val="auto"/>
          <w:sz w:val="24"/>
          <w:highlight w:val="none"/>
        </w:rPr>
        <w:t>成交供应商</w:t>
      </w:r>
      <w:r>
        <w:rPr>
          <w:rFonts w:hint="eastAsia" w:ascii="宋体" w:hAnsi="宋体" w:cs="宋体"/>
          <w:color w:val="auto"/>
          <w:sz w:val="24"/>
          <w:szCs w:val="24"/>
          <w:highlight w:val="none"/>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五、不响应付款方式的，视同响应文件无效，按无效响应文件处理。</w:t>
      </w:r>
    </w:p>
    <w:p>
      <w:pPr>
        <w:snapToGrid w:val="0"/>
        <w:spacing w:line="480" w:lineRule="exact"/>
        <w:ind w:firstLine="573"/>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六、付款方式详见磋商文件第五章。</w:t>
      </w:r>
    </w:p>
    <w:p>
      <w:pPr>
        <w:snapToGrid w:val="0"/>
        <w:spacing w:line="480" w:lineRule="exact"/>
        <w:ind w:firstLine="573"/>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七、以上项目款的支付不计息。</w:t>
      </w:r>
    </w:p>
    <w:p>
      <w:pPr>
        <w:rPr>
          <w:rFonts w:ascii="宋体" w:hAnsi="宋体" w:cs="宋体"/>
          <w:b/>
          <w:bCs/>
          <w:color w:val="auto"/>
          <w:kern w:val="44"/>
          <w:sz w:val="44"/>
          <w:szCs w:val="44"/>
          <w:highlight w:val="none"/>
        </w:rPr>
      </w:pPr>
    </w:p>
    <w:p>
      <w:pPr>
        <w:spacing w:line="360" w:lineRule="auto"/>
        <w:jc w:val="center"/>
        <w:rPr>
          <w:rFonts w:ascii="宋体"/>
          <w:color w:val="auto"/>
          <w:sz w:val="24"/>
          <w:szCs w:val="24"/>
          <w:highlight w:val="none"/>
        </w:rPr>
      </w:pPr>
      <w:r>
        <w:rPr>
          <w:rFonts w:hint="eastAsia" w:ascii="宋体" w:hAnsi="宋体" w:cs="宋体"/>
          <w:b/>
          <w:bCs/>
          <w:color w:val="auto"/>
          <w:kern w:val="44"/>
          <w:sz w:val="44"/>
          <w:szCs w:val="44"/>
          <w:highlight w:val="none"/>
        </w:rPr>
        <w:br w:type="page"/>
      </w:r>
      <w:r>
        <w:rPr>
          <w:rFonts w:hint="eastAsia" w:ascii="宋体" w:hAnsi="宋体" w:cs="宋体"/>
          <w:b/>
          <w:bCs/>
          <w:color w:val="auto"/>
          <w:kern w:val="44"/>
          <w:sz w:val="44"/>
          <w:szCs w:val="44"/>
          <w:highlight w:val="none"/>
        </w:rPr>
        <w:t>第七章</w:t>
      </w:r>
      <w:r>
        <w:rPr>
          <w:rFonts w:ascii="宋体" w:hAnsi="宋体" w:cs="宋体"/>
          <w:b/>
          <w:bCs/>
          <w:color w:val="auto"/>
          <w:kern w:val="44"/>
          <w:sz w:val="44"/>
          <w:szCs w:val="44"/>
          <w:highlight w:val="none"/>
        </w:rPr>
        <w:t xml:space="preserve"> </w:t>
      </w:r>
      <w:r>
        <w:rPr>
          <w:rFonts w:hint="eastAsia" w:ascii="宋体" w:hAnsi="宋体" w:cs="宋体"/>
          <w:b/>
          <w:bCs/>
          <w:color w:val="auto"/>
          <w:kern w:val="44"/>
          <w:sz w:val="44"/>
          <w:szCs w:val="44"/>
          <w:highlight w:val="none"/>
        </w:rPr>
        <w:t>质疑提出和处理</w:t>
      </w:r>
    </w:p>
    <w:p>
      <w:pPr>
        <w:adjustRightInd w:val="0"/>
        <w:snapToGrid w:val="0"/>
        <w:spacing w:line="480" w:lineRule="exact"/>
        <w:ind w:firstLine="480" w:firstLineChars="200"/>
        <w:rPr>
          <w:rFonts w:ascii="宋体" w:hAnsi="宋体" w:cs="宋体"/>
          <w:color w:val="auto"/>
          <w:sz w:val="24"/>
          <w:szCs w:val="24"/>
          <w:highlight w:val="none"/>
        </w:rPr>
      </w:pPr>
    </w:p>
    <w:p>
      <w:pP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一、质疑的提出</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、质疑人必须是直接参加本次磋商活动的当事人。</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、下载磋商文件的供应商应根据第二章“磋商供应商须知”中第一条第</w:t>
      </w:r>
      <w:r>
        <w:rPr>
          <w:rFonts w:ascii="宋体" w:hAnsi="宋体" w:cs="宋体"/>
          <w:color w:val="auto"/>
          <w:sz w:val="24"/>
          <w:szCs w:val="24"/>
          <w:highlight w:val="none"/>
        </w:rPr>
        <w:t>4</w:t>
      </w:r>
      <w:r>
        <w:rPr>
          <w:rFonts w:hint="eastAsia" w:ascii="宋体" w:hAnsi="宋体" w:cs="宋体"/>
          <w:color w:val="auto"/>
          <w:sz w:val="24"/>
          <w:szCs w:val="24"/>
          <w:highlight w:val="none"/>
        </w:rPr>
        <w:t>款的约定提出；响应文件接收截止后，供应商未进行磋商登记的，不能就响应文件接收截止后的磋商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采购单位或采购代理机构不负责搜集相关佐证材料等工作。</w:t>
      </w:r>
    </w:p>
    <w:p>
      <w:pP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二、《质疑函》的受理和回复</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、《质疑函》须由质疑人的法定代表人或参加本次磋商被授权人送达采购单位和采购代理机构。</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三、质疑处理</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、质疑不成立的处理。</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）质疑人书面《申请撤回质疑函》的，不作违约处理。</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）质疑人在规定的时间内不配合进行质疑调查处理的，按自动撤回《质疑函》处理。</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）质疑人不按《质疑函》格式就提出质疑的，作违约处理。同时，视情列入不良供应商名单。</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color w:val="auto"/>
          <w:sz w:val="24"/>
          <w:szCs w:val="24"/>
          <w:highlight w:val="none"/>
        </w:rPr>
        <w:t>1</w:t>
      </w:r>
      <w:r>
        <w:rPr>
          <w:rFonts w:hint="eastAsia" w:ascii="宋体" w:hAnsi="宋体" w:cs="宋体"/>
          <w:color w:val="auto"/>
          <w:sz w:val="24"/>
          <w:szCs w:val="24"/>
          <w:highlight w:val="none"/>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）质疑人承担使用虚假材料或恶意方式质疑的法律责任。</w:t>
      </w:r>
    </w:p>
    <w:p>
      <w:pP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四、无佐证材料的举报作违约处理。供应商不得进行不提供相关佐证材料（含无法查实的如宣传册、媒体报道、猜测、推理等）向有关部门的举报，否则作违约处理。同时对其在</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年内禁入由采购单位组织的政府采购活动的违约处理。</w:t>
      </w:r>
    </w:p>
    <w:p>
      <w:pP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五、投诉不成立的作违约处理。供应商进行质疑后，采购单位回复质疑不成立，供应商仍进行投诉的，并最终投诉不成立的，作违约处理。采购单位有权对其在</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年内禁入由采购单位组织的政府采购活动的违约处理。</w:t>
      </w:r>
    </w:p>
    <w:p>
      <w:pP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六、《质疑函》、《质疑回复函》，质疑、举报、投诉不成立的等相关情况，视情在南通公共资源交易平台、省、国家级等相关媒体予以披露。并建议相关政府采购机构对该供应商同步实施</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w:t>
      </w:r>
    </w:p>
    <w:p>
      <w:pPr>
        <w:adjustRightInd w:val="0"/>
        <w:snapToGrid w:val="0"/>
        <w:spacing w:line="48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七、质疑供应商对采购单位或代理机构的答复不满意或者采购单位或代理机构未在规定的时间内作出答复的，可以在答复期满后</w:t>
      </w:r>
      <w:r>
        <w:rPr>
          <w:rFonts w:ascii="宋体" w:hAnsi="宋体" w:cs="宋体"/>
          <w:color w:val="auto"/>
          <w:sz w:val="24"/>
          <w:szCs w:val="24"/>
          <w:highlight w:val="none"/>
        </w:rPr>
        <w:t>15</w:t>
      </w:r>
      <w:r>
        <w:rPr>
          <w:rFonts w:hint="eastAsia" w:ascii="宋体" w:hAnsi="宋体" w:cs="宋体"/>
          <w:color w:val="auto"/>
          <w:sz w:val="24"/>
          <w:szCs w:val="24"/>
          <w:highlight w:val="none"/>
        </w:rPr>
        <w:t>个工作日内向政府采购监督管理部门投诉。</w:t>
      </w:r>
    </w:p>
    <w:p>
      <w:pPr>
        <w:pStyle w:val="6"/>
        <w:keepNext w:val="0"/>
        <w:keepLines w:val="0"/>
        <w:numPr>
          <w:ilvl w:val="0"/>
          <w:numId w:val="0"/>
        </w:numPr>
        <w:snapToGrid w:val="0"/>
        <w:spacing w:before="0" w:after="156" w:afterLines="50" w:line="520" w:lineRule="exact"/>
        <w:ind w:left="420"/>
        <w:jc w:val="center"/>
        <w:rPr>
          <w:rFonts w:ascii="宋体"/>
          <w:color w:val="auto"/>
          <w:highlight w:val="none"/>
        </w:rPr>
      </w:pPr>
      <w:bookmarkStart w:id="73" w:name="_Toc363573860"/>
      <w:r>
        <w:rPr>
          <w:rFonts w:ascii="宋体"/>
          <w:color w:val="auto"/>
          <w:w w:val="80"/>
          <w:sz w:val="24"/>
          <w:szCs w:val="24"/>
          <w:highlight w:val="none"/>
        </w:rPr>
        <w:br w:type="page"/>
      </w:r>
      <w:r>
        <w:rPr>
          <w:rFonts w:hint="eastAsia" w:ascii="宋体" w:hAnsi="宋体" w:cs="宋体"/>
          <w:color w:val="auto"/>
          <w:w w:val="80"/>
          <w:highlight w:val="none"/>
        </w:rPr>
        <w:t>第八章 响应文件组成及格式</w:t>
      </w:r>
      <w:bookmarkEnd w:id="73"/>
    </w:p>
    <w:p>
      <w:pPr>
        <w:widowControl/>
        <w:snapToGrid w:val="0"/>
        <w:spacing w:line="360" w:lineRule="auto"/>
        <w:ind w:firstLine="472" w:firstLineChars="196"/>
        <w:jc w:val="left"/>
        <w:rPr>
          <w:rFonts w:ascii="宋体" w:hAnsi="宋体" w:cs="宋体"/>
          <w:b/>
          <w:bCs/>
          <w:color w:val="auto"/>
          <w:sz w:val="24"/>
          <w:szCs w:val="24"/>
          <w:highlight w:val="none"/>
        </w:rPr>
      </w:pPr>
    </w:p>
    <w:p>
      <w:pPr>
        <w:widowControl/>
        <w:snapToGrid w:val="0"/>
        <w:spacing w:line="360" w:lineRule="auto"/>
        <w:ind w:firstLine="472" w:firstLineChars="196"/>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pPr>
        <w:pStyle w:val="9"/>
        <w:rPr>
          <w:rFonts w:hint="default" w:eastAsia="黑体"/>
          <w:color w:val="auto"/>
          <w:highlight w:val="none"/>
          <w:lang w:val="en-US" w:eastAsia="zh-CN"/>
        </w:rPr>
      </w:pPr>
      <w:r>
        <w:rPr>
          <w:rFonts w:hint="eastAsia" w:ascii="宋体" w:hAnsi="宋体" w:cs="宋体"/>
          <w:b/>
          <w:bCs/>
          <w:color w:val="auto"/>
          <w:sz w:val="24"/>
          <w:szCs w:val="24"/>
          <w:highlight w:val="none"/>
          <w:lang w:val="en-US" w:eastAsia="zh-CN"/>
        </w:rPr>
        <w:t xml:space="preserve">    所有证书证明材料均须为原件的扫描件或复印件，并加盖供应商公章。</w:t>
      </w:r>
    </w:p>
    <w:p>
      <w:pPr>
        <w:widowControl/>
        <w:numPr>
          <w:ilvl w:val="0"/>
          <w:numId w:val="8"/>
        </w:numPr>
        <w:snapToGrid w:val="0"/>
        <w:spacing w:line="360" w:lineRule="auto"/>
        <w:ind w:firstLine="472" w:firstLineChars="196"/>
        <w:jc w:val="left"/>
        <w:rPr>
          <w:rFonts w:ascii="宋体"/>
          <w:b/>
          <w:bCs/>
          <w:color w:val="auto"/>
          <w:sz w:val="24"/>
          <w:szCs w:val="24"/>
          <w:highlight w:val="none"/>
          <w:lang w:val="zh-CN"/>
        </w:rPr>
      </w:pPr>
      <w:r>
        <w:rPr>
          <w:rFonts w:hint="eastAsia" w:ascii="宋体" w:hAnsi="宋体" w:cs="宋体"/>
          <w:b/>
          <w:bCs/>
          <w:color w:val="auto"/>
          <w:sz w:val="24"/>
          <w:szCs w:val="24"/>
          <w:highlight w:val="none"/>
        </w:rPr>
        <w:t>资格审查文件</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单独密封</w:t>
      </w:r>
      <w:r>
        <w:rPr>
          <w:rFonts w:hint="eastAsia" w:ascii="宋体" w:hAnsi="宋体" w:cs="宋体"/>
          <w:b/>
          <w:bCs/>
          <w:color w:val="auto"/>
          <w:sz w:val="24"/>
          <w:szCs w:val="24"/>
          <w:highlight w:val="none"/>
          <w:lang w:val="zh-CN"/>
        </w:rPr>
        <w:t>）</w:t>
      </w:r>
    </w:p>
    <w:p>
      <w:pPr>
        <w:numPr>
          <w:ilvl w:val="0"/>
          <w:numId w:val="9"/>
        </w:numPr>
        <w:snapToGrid w:val="0"/>
        <w:spacing w:line="360" w:lineRule="auto"/>
        <w:ind w:firstLine="470" w:firstLineChars="196"/>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供应商具有独立承担民事责任的能力，</w:t>
      </w:r>
      <w:r>
        <w:rPr>
          <w:rFonts w:hint="eastAsia" w:ascii="宋体" w:hAnsi="宋体" w:cs="宋体"/>
          <w:color w:val="auto"/>
          <w:sz w:val="24"/>
          <w:szCs w:val="24"/>
          <w:highlight w:val="none"/>
          <w:lang w:val="en-US" w:eastAsia="zh-CN"/>
        </w:rPr>
        <w:t>须</w:t>
      </w: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有效的营业执照复印件或扫描件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并加盖投标供应商公章</w:t>
      </w:r>
      <w:r>
        <w:rPr>
          <w:rFonts w:hint="eastAsia" w:ascii="宋体" w:hAnsi="宋体" w:cs="宋体"/>
          <w:color w:val="auto"/>
          <w:sz w:val="24"/>
          <w:szCs w:val="24"/>
          <w:highlight w:val="none"/>
          <w:lang w:eastAsia="zh-CN"/>
        </w:rPr>
        <w:t>。</w:t>
      </w:r>
    </w:p>
    <w:p>
      <w:pPr>
        <w:numPr>
          <w:ilvl w:val="0"/>
          <w:numId w:val="9"/>
        </w:numPr>
        <w:snapToGrid w:val="0"/>
        <w:spacing w:line="360" w:lineRule="auto"/>
        <w:ind w:firstLine="470" w:firstLineChars="196"/>
        <w:jc w:val="left"/>
        <w:textAlignment w:val="baseline"/>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有能力按本磋商文件规定的要求提供相关服务，</w:t>
      </w:r>
      <w:r>
        <w:rPr>
          <w:rFonts w:hint="eastAsia" w:ascii="宋体" w:hAnsi="宋体" w:cs="宋体"/>
          <w:color w:val="auto"/>
          <w:sz w:val="24"/>
          <w:szCs w:val="24"/>
          <w:highlight w:val="none"/>
          <w:lang w:val="en-US" w:eastAsia="zh-CN"/>
        </w:rPr>
        <w:t>具有有效期内的餐饮服务许可证或有食堂经营（承包）管理服务经验：须提供：有效期内的餐饮服务许可证</w:t>
      </w:r>
      <w:r>
        <w:rPr>
          <w:rFonts w:hint="eastAsia" w:ascii="宋体" w:hAnsi="宋体" w:cs="宋体"/>
          <w:color w:val="auto"/>
          <w:sz w:val="24"/>
          <w:szCs w:val="24"/>
          <w:highlight w:val="none"/>
        </w:rPr>
        <w:t>复印件或扫描件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并加盖投标供应商公章；或2019年1月1日（以合同签订时间为准）以后食堂经营（承包）管理服务类合同的</w:t>
      </w:r>
      <w:r>
        <w:rPr>
          <w:rFonts w:hint="eastAsia" w:ascii="宋体" w:hAnsi="宋体" w:cs="宋体"/>
          <w:color w:val="auto"/>
          <w:sz w:val="24"/>
          <w:szCs w:val="24"/>
          <w:highlight w:val="none"/>
        </w:rPr>
        <w:t>复印件或扫描件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并加盖投标供应商公章。</w:t>
      </w:r>
    </w:p>
    <w:p>
      <w:pPr>
        <w:shd w:val="clear" w:color="auto" w:fill="FFFFFF"/>
        <w:snapToGrid w:val="0"/>
        <w:spacing w:line="360" w:lineRule="auto"/>
        <w:ind w:firstLine="480" w:firstLineChars="200"/>
        <w:jc w:val="left"/>
        <w:rPr>
          <w:rFonts w:hint="eastAsia"/>
          <w:color w:val="auto"/>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kern w:val="0"/>
          <w:sz w:val="24"/>
          <w:szCs w:val="24"/>
          <w:highlight w:val="none"/>
        </w:rPr>
        <w:t>供应商法定代表人参加磋商的，必须提供法定代表人身份证明及法定代表人本人身份证复印件或扫描件；非法定代表人参加磋商的，必须提供法定代表人签名或盖章的授权委托书及法定代表人和被授权人两个人的身份证复印件或扫描件（格式参见第八章）、被授权人为磋商响应供应商正式人员证明材料【①与磋商响应供应商签订的有效劳动合同；②社保机构出具并盖章的磋商响应供应商为其连续缴纳</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个月（至少缴纳至2022年</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月）的社会保险缴费清单】的复印件或扫描件，并加盖磋商响应供应商公章。</w:t>
      </w:r>
    </w:p>
    <w:p>
      <w:pPr>
        <w:pStyle w:val="2"/>
        <w:snapToGrid w:val="0"/>
        <w:spacing w:after="0" w:line="360" w:lineRule="auto"/>
        <w:ind w:left="0" w:leftChars="0" w:firstLine="480" w:firstLineChars="20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、供应商一般情况表（格式</w:t>
      </w:r>
      <w:r>
        <w:rPr>
          <w:rFonts w:hint="eastAsia" w:ascii="宋体" w:hAnsi="宋体" w:cs="宋体"/>
          <w:bCs/>
          <w:color w:val="auto"/>
          <w:sz w:val="24"/>
          <w:szCs w:val="24"/>
          <w:highlight w:val="none"/>
          <w:lang w:val="en-US" w:eastAsia="zh-CN"/>
        </w:rPr>
        <w:t>附后</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w:t>
      </w:r>
    </w:p>
    <w:p>
      <w:pPr>
        <w:autoSpaceDE w:val="0"/>
        <w:autoSpaceDN w:val="0"/>
        <w:adjustRightInd w:val="0"/>
        <w:spacing w:line="360" w:lineRule="auto"/>
        <w:ind w:firstLine="480" w:firstLineChars="20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r>
        <w:rPr>
          <w:rFonts w:hint="eastAsia" w:ascii="宋体" w:hAnsi="宋体" w:cs="宋体"/>
          <w:bCs/>
          <w:color w:val="auto"/>
          <w:kern w:val="2"/>
          <w:sz w:val="24"/>
          <w:szCs w:val="24"/>
          <w:highlight w:val="none"/>
          <w:lang w:val="en-US" w:eastAsia="zh-CN" w:bidi="ar-SA"/>
        </w:rPr>
        <w:t>中小企业声明函（格式附后）。</w:t>
      </w:r>
    </w:p>
    <w:p>
      <w:pPr>
        <w:autoSpaceDE w:val="0"/>
        <w:autoSpaceDN w:val="0"/>
        <w:adjustRightInd w:val="0"/>
        <w:spacing w:line="360" w:lineRule="auto"/>
        <w:ind w:firstLine="480" w:firstLineChars="200"/>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6、</w:t>
      </w:r>
      <w:r>
        <w:rPr>
          <w:rFonts w:hint="eastAsia" w:ascii="宋体" w:hAnsi="宋体" w:eastAsia="宋体" w:cs="宋体"/>
          <w:bCs/>
          <w:color w:val="auto"/>
          <w:kern w:val="2"/>
          <w:sz w:val="24"/>
          <w:szCs w:val="24"/>
          <w:highlight w:val="none"/>
          <w:lang w:val="en-US" w:eastAsia="zh-CN" w:bidi="ar-SA"/>
        </w:rPr>
        <w:t>现场勘察承诺函</w:t>
      </w:r>
      <w:r>
        <w:rPr>
          <w:rFonts w:hint="eastAsia" w:ascii="宋体" w:hAnsi="宋体" w:cs="宋体"/>
          <w:bCs/>
          <w:color w:val="auto"/>
          <w:sz w:val="24"/>
          <w:szCs w:val="24"/>
          <w:highlight w:val="none"/>
        </w:rPr>
        <w:t>（格式</w:t>
      </w:r>
      <w:r>
        <w:rPr>
          <w:rFonts w:hint="eastAsia" w:ascii="宋体" w:hAnsi="宋体" w:cs="宋体"/>
          <w:bCs/>
          <w:color w:val="auto"/>
          <w:sz w:val="24"/>
          <w:szCs w:val="24"/>
          <w:highlight w:val="none"/>
          <w:lang w:val="en-US" w:eastAsia="zh-CN"/>
        </w:rPr>
        <w:t>附后</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w:t>
      </w:r>
    </w:p>
    <w:p>
      <w:pPr>
        <w:autoSpaceDE w:val="0"/>
        <w:autoSpaceDN w:val="0"/>
        <w:adjustRightInd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磋商响应供应商</w:t>
      </w:r>
      <w:r>
        <w:rPr>
          <w:rFonts w:hint="eastAsia" w:ascii="宋体" w:hAnsi="宋体" w:cs="宋体"/>
          <w:color w:val="auto"/>
          <w:kern w:val="0"/>
          <w:sz w:val="24"/>
          <w:szCs w:val="24"/>
          <w:highlight w:val="none"/>
          <w:lang w:val="en-US" w:eastAsia="zh-CN"/>
        </w:rPr>
        <w:t>必须为本项目至少配备5名具有厨师证和有效健康证的厨师、5名具有有效健康证的工作人员，须同时提供相关人员的：</w:t>
      </w:r>
      <w:r>
        <w:rPr>
          <w:rFonts w:hint="default" w:ascii="宋体" w:hAnsi="宋体" w:cs="宋体"/>
          <w:color w:val="auto"/>
          <w:kern w:val="0"/>
          <w:sz w:val="24"/>
          <w:szCs w:val="24"/>
          <w:highlight w:val="none"/>
          <w:lang w:val="en-US" w:eastAsia="zh-CN"/>
        </w:rPr>
        <w:t>①</w:t>
      </w:r>
      <w:r>
        <w:rPr>
          <w:rFonts w:hint="eastAsia" w:ascii="宋体" w:hAnsi="宋体" w:cs="宋体"/>
          <w:color w:val="auto"/>
          <w:kern w:val="0"/>
          <w:sz w:val="24"/>
          <w:szCs w:val="24"/>
          <w:highlight w:val="none"/>
          <w:lang w:val="en-US" w:eastAsia="zh-CN"/>
        </w:rPr>
        <w:t>与磋商响应供应商签订的有效劳动合同的复印件或扫描件，并加盖磋商响应供应商公章；</w:t>
      </w:r>
      <w:r>
        <w:rPr>
          <w:rFonts w:hint="default" w:ascii="宋体" w:hAnsi="宋体" w:cs="宋体"/>
          <w:color w:val="auto"/>
          <w:kern w:val="0"/>
          <w:sz w:val="24"/>
          <w:szCs w:val="24"/>
          <w:highlight w:val="none"/>
          <w:lang w:val="en-US" w:eastAsia="zh-CN"/>
        </w:rPr>
        <w:t>②</w:t>
      </w:r>
      <w:r>
        <w:rPr>
          <w:rFonts w:hint="eastAsia" w:ascii="宋体" w:hAnsi="宋体" w:cs="宋体"/>
          <w:color w:val="auto"/>
          <w:kern w:val="0"/>
          <w:sz w:val="24"/>
          <w:szCs w:val="24"/>
          <w:highlight w:val="none"/>
          <w:lang w:val="en-US" w:eastAsia="zh-CN"/>
        </w:rPr>
        <w:t>社保机构出具并盖章的磋商响应供应商为其连续缴纳6个月（至少缴纳至2022年5月）的社会保险缴费清单的复印件或扫描件，并加盖磋商响应供应商公章；</w:t>
      </w:r>
      <w:r>
        <w:rPr>
          <w:rFonts w:hint="default" w:ascii="宋体" w:hAnsi="宋体" w:cs="宋体"/>
          <w:color w:val="auto"/>
          <w:kern w:val="0"/>
          <w:sz w:val="24"/>
          <w:szCs w:val="24"/>
          <w:highlight w:val="none"/>
          <w:lang w:val="en-US" w:eastAsia="zh-CN"/>
        </w:rPr>
        <w:t>③</w:t>
      </w:r>
      <w:r>
        <w:rPr>
          <w:rFonts w:hint="eastAsia" w:ascii="宋体" w:hAnsi="宋体" w:cs="宋体"/>
          <w:color w:val="auto"/>
          <w:kern w:val="0"/>
          <w:sz w:val="24"/>
          <w:szCs w:val="24"/>
          <w:highlight w:val="none"/>
          <w:lang w:val="en-US" w:eastAsia="zh-CN"/>
        </w:rPr>
        <w:t>厨师证</w:t>
      </w:r>
      <w:r>
        <w:rPr>
          <w:rFonts w:hint="eastAsia" w:ascii="Calibri" w:hAnsi="Calibri" w:cs="Calibri"/>
          <w:color w:val="auto"/>
          <w:kern w:val="0"/>
          <w:sz w:val="24"/>
          <w:szCs w:val="24"/>
          <w:highlight w:val="none"/>
          <w:lang w:val="en-US" w:eastAsia="zh-CN"/>
        </w:rPr>
        <w:t>、有效的健康证</w:t>
      </w:r>
      <w:r>
        <w:rPr>
          <w:rFonts w:hint="eastAsia" w:ascii="宋体" w:hAnsi="宋体" w:cs="宋体"/>
          <w:color w:val="auto"/>
          <w:kern w:val="0"/>
          <w:sz w:val="24"/>
          <w:szCs w:val="24"/>
          <w:highlight w:val="none"/>
        </w:rPr>
        <w:t>的复印件或扫描件，并加盖磋商响应供应商公章</w:t>
      </w:r>
      <w:r>
        <w:rPr>
          <w:rFonts w:hint="eastAsia" w:ascii="宋体" w:hAnsi="宋体" w:cs="宋体"/>
          <w:color w:val="auto"/>
          <w:kern w:val="0"/>
          <w:sz w:val="24"/>
          <w:szCs w:val="24"/>
          <w:highlight w:val="none"/>
          <w:lang w:eastAsia="zh-CN"/>
        </w:rPr>
        <w:t>。</w:t>
      </w:r>
    </w:p>
    <w:p>
      <w:pPr>
        <w:widowControl/>
        <w:snapToGrid w:val="0"/>
        <w:spacing w:line="360" w:lineRule="auto"/>
        <w:ind w:firstLine="470" w:firstLineChars="196"/>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、具有良好的商业信誉和健全的财务会计制度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须提供：供应商</w:t>
      </w:r>
      <w:r>
        <w:rPr>
          <w:rFonts w:hint="eastAsia" w:ascii="宋体" w:hAnsi="宋体" w:cs="宋体"/>
          <w:color w:val="auto"/>
          <w:sz w:val="24"/>
          <w:szCs w:val="24"/>
          <w:highlight w:val="none"/>
        </w:rPr>
        <w:t>2021年度的财务状况报告复印件或扫描件（成立不满一年不需提供）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并加盖投标供应商公章。</w:t>
      </w:r>
    </w:p>
    <w:p>
      <w:pPr>
        <w:widowControl/>
        <w:snapToGrid w:val="0"/>
        <w:spacing w:line="360" w:lineRule="auto"/>
        <w:ind w:firstLine="470" w:firstLineChars="196"/>
        <w:jc w:val="left"/>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具</w:t>
      </w:r>
      <w:r>
        <w:rPr>
          <w:rFonts w:hint="eastAsia" w:ascii="宋体" w:hAnsi="宋体" w:cs="宋体"/>
          <w:color w:val="auto"/>
          <w:sz w:val="24"/>
          <w:szCs w:val="24"/>
          <w:highlight w:val="none"/>
        </w:rPr>
        <w:t>有依法缴纳“税收”和“社会保障资金”的良好记录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须提供：</w:t>
      </w:r>
      <w:r>
        <w:rPr>
          <w:rFonts w:hint="eastAsia" w:ascii="宋体" w:hAnsi="宋体" w:cs="宋体"/>
          <w:color w:val="auto"/>
          <w:sz w:val="24"/>
          <w:szCs w:val="24"/>
          <w:highlight w:val="none"/>
        </w:rPr>
        <w:t>供应商近六个月任意一个月依法缴纳税收和社会保障资金的相关材料复印件或扫描件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并加盖投标供应商公章</w:t>
      </w:r>
      <w:r>
        <w:rPr>
          <w:rFonts w:hint="eastAsia" w:ascii="宋体" w:hAnsi="宋体" w:cs="宋体"/>
          <w:color w:val="auto"/>
          <w:sz w:val="24"/>
          <w:szCs w:val="24"/>
          <w:highlight w:val="none"/>
          <w:lang w:eastAsia="zh-CN"/>
        </w:rPr>
        <w:t>。</w:t>
      </w:r>
    </w:p>
    <w:p>
      <w:pPr>
        <w:widowControl/>
        <w:snapToGrid w:val="0"/>
        <w:spacing w:line="360" w:lineRule="auto"/>
        <w:ind w:firstLine="470" w:firstLineChars="196"/>
        <w:jc w:val="left"/>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、供应商具有履行合同所必需的设备和专业技术能力的书面声明（</w:t>
      </w:r>
      <w:r>
        <w:rPr>
          <w:rFonts w:hint="eastAsia" w:ascii="宋体" w:hAnsi="宋体" w:cs="宋体"/>
          <w:bCs/>
          <w:color w:val="auto"/>
          <w:sz w:val="24"/>
          <w:szCs w:val="24"/>
          <w:highlight w:val="none"/>
        </w:rPr>
        <w:t>格式</w:t>
      </w:r>
      <w:r>
        <w:rPr>
          <w:rFonts w:hint="eastAsia" w:ascii="宋体" w:hAnsi="宋体" w:cs="宋体"/>
          <w:bCs/>
          <w:color w:val="auto"/>
          <w:sz w:val="24"/>
          <w:szCs w:val="24"/>
          <w:highlight w:val="none"/>
          <w:lang w:val="en-US" w:eastAsia="zh-CN"/>
        </w:rPr>
        <w:t>附后</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p>
    <w:p>
      <w:pPr>
        <w:widowControl/>
        <w:snapToGrid w:val="0"/>
        <w:spacing w:line="360" w:lineRule="auto"/>
        <w:ind w:firstLine="470" w:firstLineChars="196"/>
        <w:jc w:val="left"/>
        <w:textAlignment w:val="baseline"/>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、供应商须提供参与本次项目政府采购活动前三年内，在经营活动中没有重大违法记录</w:t>
      </w:r>
      <w:r>
        <w:rPr>
          <w:rFonts w:hint="eastAsia" w:ascii="宋体" w:hAnsi="宋体" w:cs="宋体"/>
          <w:color w:val="auto"/>
          <w:sz w:val="24"/>
          <w:szCs w:val="24"/>
          <w:highlight w:val="none"/>
          <w:lang w:eastAsia="zh-CN"/>
        </w:rPr>
        <w:t>；</w:t>
      </w:r>
      <w:r>
        <w:rPr>
          <w:rFonts w:hint="eastAsia" w:ascii="宋体" w:hAnsi="宋体" w:eastAsia="宋体" w:cs="Arial"/>
          <w:color w:val="auto"/>
          <w:sz w:val="24"/>
          <w:szCs w:val="24"/>
          <w:highlight w:val="none"/>
        </w:rPr>
        <w:t>自2018年</w:t>
      </w:r>
      <w:r>
        <w:rPr>
          <w:rFonts w:hint="eastAsia" w:ascii="宋体" w:hAnsi="宋体" w:eastAsia="宋体" w:cs="Arial"/>
          <w:color w:val="auto"/>
          <w:sz w:val="24"/>
          <w:szCs w:val="24"/>
          <w:highlight w:val="none"/>
          <w:lang w:val="en-US" w:eastAsia="zh-CN"/>
        </w:rPr>
        <w:t>1</w:t>
      </w:r>
      <w:r>
        <w:rPr>
          <w:rFonts w:hint="eastAsia" w:ascii="宋体" w:hAnsi="宋体" w:eastAsia="宋体" w:cs="Arial"/>
          <w:color w:val="auto"/>
          <w:sz w:val="24"/>
          <w:szCs w:val="24"/>
          <w:highlight w:val="none"/>
        </w:rPr>
        <w:t>月1日以来在餐饮经营中信誉良好、遵纪守法、诚信明礼，无食品中毒、违纪、违法等不良记录</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须提供：</w:t>
      </w:r>
      <w:r>
        <w:rPr>
          <w:rFonts w:hint="eastAsia" w:ascii="宋体" w:hAnsi="宋体" w:cs="宋体"/>
          <w:color w:val="auto"/>
          <w:sz w:val="24"/>
          <w:szCs w:val="24"/>
          <w:highlight w:val="none"/>
        </w:rPr>
        <w:t>《无重大违法记录声明函》（</w:t>
      </w:r>
      <w:r>
        <w:rPr>
          <w:rFonts w:hint="eastAsia" w:ascii="宋体" w:hAnsi="宋体" w:cs="宋体"/>
          <w:bCs/>
          <w:color w:val="auto"/>
          <w:sz w:val="24"/>
          <w:szCs w:val="24"/>
          <w:highlight w:val="none"/>
        </w:rPr>
        <w:t>格式</w:t>
      </w:r>
      <w:r>
        <w:rPr>
          <w:rFonts w:hint="eastAsia" w:ascii="宋体" w:hAnsi="宋体" w:cs="宋体"/>
          <w:bCs/>
          <w:color w:val="auto"/>
          <w:sz w:val="24"/>
          <w:szCs w:val="24"/>
          <w:highlight w:val="none"/>
          <w:lang w:val="en-US" w:eastAsia="zh-CN"/>
        </w:rPr>
        <w:t>附后</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p>
    <w:p>
      <w:pPr>
        <w:widowControl/>
        <w:snapToGrid w:val="0"/>
        <w:spacing w:line="360" w:lineRule="auto"/>
        <w:ind w:firstLine="470" w:firstLineChars="196"/>
        <w:jc w:val="lef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、关于资格文件的声明函（</w:t>
      </w:r>
      <w:r>
        <w:rPr>
          <w:rFonts w:hint="eastAsia" w:ascii="宋体" w:hAnsi="宋体" w:cs="宋体"/>
          <w:bCs/>
          <w:color w:val="auto"/>
          <w:sz w:val="24"/>
          <w:szCs w:val="24"/>
          <w:highlight w:val="none"/>
        </w:rPr>
        <w:t>格式</w:t>
      </w:r>
      <w:r>
        <w:rPr>
          <w:rFonts w:hint="eastAsia" w:ascii="宋体" w:hAnsi="宋体" w:cs="宋体"/>
          <w:bCs/>
          <w:color w:val="auto"/>
          <w:sz w:val="24"/>
          <w:szCs w:val="24"/>
          <w:highlight w:val="none"/>
          <w:lang w:val="en-US" w:eastAsia="zh-CN"/>
        </w:rPr>
        <w:t>附后</w:t>
      </w:r>
      <w:r>
        <w:rPr>
          <w:rFonts w:hint="eastAsia" w:ascii="宋体" w:hAnsi="宋体" w:cs="宋体"/>
          <w:color w:val="auto"/>
          <w:sz w:val="24"/>
          <w:szCs w:val="24"/>
          <w:highlight w:val="none"/>
        </w:rPr>
        <w:t>）。</w:t>
      </w:r>
    </w:p>
    <w:p>
      <w:pPr>
        <w:snapToGrid w:val="0"/>
        <w:spacing w:line="360" w:lineRule="auto"/>
        <w:ind w:firstLine="482" w:firstLineChars="200"/>
        <w:textAlignment w:val="baseline"/>
        <w:rPr>
          <w:rFonts w:ascii="宋体" w:hAnsi="宋体" w:cs="宋体"/>
          <w:color w:val="auto"/>
          <w:sz w:val="24"/>
          <w:szCs w:val="24"/>
          <w:highlight w:val="none"/>
        </w:rPr>
      </w:pPr>
      <w:r>
        <w:rPr>
          <w:rFonts w:hint="eastAsia" w:ascii="宋体" w:hAnsi="宋体" w:cs="宋体"/>
          <w:b/>
          <w:bCs/>
          <w:color w:val="auto"/>
          <w:sz w:val="24"/>
          <w:szCs w:val="24"/>
          <w:highlight w:val="none"/>
        </w:rPr>
        <w:t>注：以上材料如为复印件或扫描件均需加盖单位公章，要求提供原件查验的，因携带原件不全而由此引起的后果由供应商自负。</w:t>
      </w:r>
    </w:p>
    <w:p>
      <w:pPr>
        <w:widowControl/>
        <w:snapToGrid w:val="0"/>
        <w:spacing w:line="360" w:lineRule="auto"/>
        <w:ind w:firstLine="472" w:firstLineChars="196"/>
        <w:jc w:val="left"/>
        <w:textAlignment w:val="baseline"/>
        <w:rPr>
          <w:rFonts w:ascii="宋体" w:hAnsi="宋体"/>
          <w:b/>
          <w:color w:val="auto"/>
          <w:sz w:val="24"/>
          <w:szCs w:val="24"/>
          <w:highlight w:val="none"/>
        </w:rPr>
      </w:pPr>
      <w:r>
        <w:rPr>
          <w:rFonts w:hint="eastAsia" w:ascii="宋体" w:hAnsi="宋体"/>
          <w:b/>
          <w:color w:val="auto"/>
          <w:sz w:val="24"/>
          <w:szCs w:val="24"/>
          <w:highlight w:val="none"/>
        </w:rPr>
        <w:t>二、技术响应文件（单独密封）</w:t>
      </w:r>
    </w:p>
    <w:p>
      <w:pPr>
        <w:widowControl/>
        <w:snapToGrid w:val="0"/>
        <w:spacing w:line="360" w:lineRule="auto"/>
        <w:ind w:firstLine="470" w:firstLineChars="196"/>
        <w:jc w:val="left"/>
        <w:textAlignment w:val="baseline"/>
        <w:rPr>
          <w:rFonts w:ascii="宋体" w:hAnsi="宋体"/>
          <w:color w:val="auto"/>
          <w:sz w:val="24"/>
          <w:szCs w:val="24"/>
          <w:highlight w:val="none"/>
        </w:rPr>
      </w:pPr>
      <w:r>
        <w:rPr>
          <w:rFonts w:hint="eastAsia" w:ascii="宋体" w:hAnsi="宋体"/>
          <w:color w:val="auto"/>
          <w:sz w:val="24"/>
          <w:szCs w:val="24"/>
          <w:highlight w:val="none"/>
        </w:rPr>
        <w:t>1、竞争性磋商响应函（格式参见第八章）；</w:t>
      </w:r>
    </w:p>
    <w:p>
      <w:pPr>
        <w:widowControl/>
        <w:snapToGrid w:val="0"/>
        <w:spacing w:line="360" w:lineRule="auto"/>
        <w:ind w:firstLine="470" w:firstLineChars="196"/>
        <w:jc w:val="left"/>
        <w:textAlignment w:val="baseline"/>
        <w:rPr>
          <w:rFonts w:ascii="宋体" w:hAnsi="宋体" w:cs="宋体"/>
          <w:color w:val="auto"/>
          <w:sz w:val="24"/>
          <w:szCs w:val="24"/>
          <w:highlight w:val="none"/>
        </w:rPr>
      </w:pPr>
      <w:r>
        <w:rPr>
          <w:rFonts w:hint="eastAsia" w:ascii="宋体" w:hAnsi="宋体"/>
          <w:color w:val="auto"/>
          <w:sz w:val="24"/>
          <w:szCs w:val="24"/>
          <w:highlight w:val="none"/>
        </w:rPr>
        <w:t>2、</w:t>
      </w:r>
      <w:r>
        <w:rPr>
          <w:rFonts w:hint="eastAsia" w:ascii="宋体" w:hAnsi="宋体" w:cs="宋体"/>
          <w:color w:val="auto"/>
          <w:sz w:val="24"/>
          <w:szCs w:val="24"/>
          <w:highlight w:val="none"/>
        </w:rPr>
        <w:t>评审办法和项目需求中所涉及的事项需提供的所有资料；</w:t>
      </w:r>
    </w:p>
    <w:p>
      <w:pPr>
        <w:snapToGrid w:val="0"/>
        <w:spacing w:line="360" w:lineRule="auto"/>
        <w:ind w:firstLine="480" w:firstLineChars="200"/>
        <w:jc w:val="left"/>
        <w:textAlignment w:val="baseline"/>
        <w:rPr>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、评审办法和项目需求中未涉及的事项，供应商认为需要提交的其他资料。</w:t>
      </w:r>
    </w:p>
    <w:p>
      <w:pPr>
        <w:snapToGrid w:val="0"/>
        <w:spacing w:line="360" w:lineRule="auto"/>
        <w:ind w:firstLine="482" w:firstLineChars="200"/>
        <w:textAlignment w:val="baseline"/>
        <w:rPr>
          <w:rFonts w:ascii="宋体" w:hAnsi="宋体" w:cs="宋体"/>
          <w:color w:val="auto"/>
          <w:sz w:val="24"/>
          <w:szCs w:val="24"/>
          <w:highlight w:val="none"/>
        </w:rPr>
      </w:pPr>
      <w:r>
        <w:rPr>
          <w:rFonts w:hint="eastAsia" w:ascii="宋体" w:hAnsi="宋体"/>
          <w:b/>
          <w:color w:val="auto"/>
          <w:sz w:val="24"/>
          <w:szCs w:val="24"/>
          <w:highlight w:val="none"/>
        </w:rPr>
        <w:t>注：为方便磋商小组评审，请供应商按评审办法中所涉及的事项顺序进行编制，可以补充相</w:t>
      </w:r>
      <w:r>
        <w:rPr>
          <w:rFonts w:hint="eastAsia" w:ascii="宋体" w:hAnsi="宋体" w:cs="宋体"/>
          <w:b/>
          <w:color w:val="auto"/>
          <w:sz w:val="24"/>
          <w:szCs w:val="24"/>
          <w:highlight w:val="none"/>
        </w:rPr>
        <w:t>关材料。</w:t>
      </w:r>
      <w:r>
        <w:rPr>
          <w:rFonts w:hint="eastAsia" w:ascii="宋体" w:hAnsi="宋体" w:cs="宋体"/>
          <w:b/>
          <w:bCs/>
          <w:color w:val="auto"/>
          <w:sz w:val="24"/>
          <w:szCs w:val="24"/>
          <w:highlight w:val="none"/>
        </w:rPr>
        <w:t>以上材料如为复印件或扫描件均需加盖单位公章，要求提供原件查验的，因携带原件不全而由此引起的后果由供应商自负。</w:t>
      </w:r>
    </w:p>
    <w:p>
      <w:pPr>
        <w:widowControl/>
        <w:snapToGrid w:val="0"/>
        <w:spacing w:line="360" w:lineRule="auto"/>
        <w:ind w:firstLine="472" w:firstLineChars="196"/>
        <w:jc w:val="left"/>
        <w:rPr>
          <w:rFonts w:ascii="宋体"/>
          <w:b/>
          <w:bCs/>
          <w:color w:val="auto"/>
          <w:sz w:val="24"/>
          <w:szCs w:val="24"/>
          <w:highlight w:val="none"/>
        </w:rPr>
      </w:pPr>
      <w:r>
        <w:rPr>
          <w:rFonts w:hint="eastAsia" w:ascii="宋体" w:hAnsi="宋体" w:cs="宋体"/>
          <w:b/>
          <w:bCs/>
          <w:color w:val="auto"/>
          <w:sz w:val="24"/>
          <w:szCs w:val="24"/>
          <w:highlight w:val="none"/>
        </w:rPr>
        <w:t>三、商务报价响应文件（单独密封）</w:t>
      </w:r>
    </w:p>
    <w:p>
      <w:pPr>
        <w:snapToGrid w:val="0"/>
        <w:spacing w:line="360" w:lineRule="auto"/>
        <w:ind w:firstLine="480" w:firstLineChars="200"/>
        <w:jc w:val="left"/>
        <w:textAlignment w:val="baseline"/>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w:t>
      </w:r>
      <w:r>
        <w:rPr>
          <w:rFonts w:hint="eastAsia" w:ascii="宋体" w:hAnsi="宋体" w:cs="宋体"/>
          <w:bCs/>
          <w:color w:val="auto"/>
          <w:sz w:val="24"/>
          <w:szCs w:val="24"/>
          <w:highlight w:val="none"/>
        </w:rPr>
        <w:t>磋商</w:t>
      </w:r>
      <w:r>
        <w:rPr>
          <w:rFonts w:hint="eastAsia" w:ascii="宋体" w:hAnsi="宋体" w:cs="宋体"/>
          <w:bCs/>
          <w:color w:val="auto"/>
          <w:sz w:val="24"/>
          <w:szCs w:val="24"/>
          <w:highlight w:val="none"/>
          <w:lang w:val="zh-CN"/>
        </w:rPr>
        <w:t>响应报价总表（格式参见第八章）；</w:t>
      </w:r>
    </w:p>
    <w:p>
      <w:pPr>
        <w:snapToGrid w:val="0"/>
        <w:spacing w:line="360" w:lineRule="auto"/>
        <w:ind w:firstLine="480" w:firstLineChars="200"/>
        <w:jc w:val="left"/>
        <w:textAlignment w:val="baseline"/>
        <w:rPr>
          <w:rFonts w:ascii="宋体"/>
          <w:b/>
          <w:bCs/>
          <w:color w:val="auto"/>
          <w:sz w:val="28"/>
          <w:szCs w:val="28"/>
          <w:highlight w:val="none"/>
        </w:rPr>
      </w:pPr>
      <w:r>
        <w:rPr>
          <w:rFonts w:hint="eastAsia" w:ascii="宋体" w:hAnsi="宋体" w:cs="宋体"/>
          <w:bCs/>
          <w:color w:val="auto"/>
          <w:sz w:val="24"/>
          <w:szCs w:val="24"/>
          <w:highlight w:val="none"/>
        </w:rPr>
        <w:t>2、</w:t>
      </w:r>
      <w:r>
        <w:rPr>
          <w:rFonts w:hint="eastAsia" w:ascii="宋体" w:hAnsi="宋体" w:cs="宋体"/>
          <w:bCs/>
          <w:color w:val="auto"/>
          <w:sz w:val="24"/>
          <w:szCs w:val="24"/>
          <w:highlight w:val="none"/>
          <w:lang w:val="zh-CN"/>
        </w:rPr>
        <w:t>磋商响应</w:t>
      </w:r>
      <w:r>
        <w:rPr>
          <w:rFonts w:hint="eastAsia" w:ascii="宋体" w:hAnsi="宋体" w:cs="宋体"/>
          <w:bCs/>
          <w:color w:val="auto"/>
          <w:sz w:val="24"/>
          <w:szCs w:val="24"/>
          <w:highlight w:val="none"/>
        </w:rPr>
        <w:t>首次</w:t>
      </w:r>
      <w:r>
        <w:rPr>
          <w:rFonts w:hint="eastAsia" w:ascii="宋体" w:hAnsi="宋体" w:cs="宋体"/>
          <w:bCs/>
          <w:color w:val="auto"/>
          <w:sz w:val="24"/>
          <w:szCs w:val="24"/>
          <w:highlight w:val="none"/>
          <w:lang w:val="zh-CN"/>
        </w:rPr>
        <w:t>报价明细表。</w:t>
      </w:r>
      <w:r>
        <w:rPr>
          <w:rFonts w:ascii="宋体"/>
          <w:b/>
          <w:bCs/>
          <w:color w:val="auto"/>
          <w:sz w:val="28"/>
          <w:szCs w:val="28"/>
          <w:highlight w:val="none"/>
        </w:rPr>
        <w:br w:type="page"/>
      </w:r>
      <w:r>
        <w:rPr>
          <w:rFonts w:hint="eastAsia" w:ascii="宋体" w:hAnsi="宋体" w:cs="宋体"/>
          <w:b/>
          <w:bCs/>
          <w:color w:val="auto"/>
          <w:sz w:val="28"/>
          <w:szCs w:val="28"/>
          <w:highlight w:val="none"/>
        </w:rPr>
        <w:t>附件：</w:t>
      </w:r>
    </w:p>
    <w:p>
      <w:pPr>
        <w:snapToGrid w:val="0"/>
        <w:spacing w:line="520" w:lineRule="exact"/>
        <w:jc w:val="center"/>
        <w:outlineLvl w:val="3"/>
        <w:rPr>
          <w:rFonts w:ascii="宋体"/>
          <w:b/>
          <w:bCs/>
          <w:color w:val="auto"/>
          <w:sz w:val="28"/>
          <w:szCs w:val="28"/>
          <w:highlight w:val="none"/>
        </w:rPr>
      </w:pPr>
      <w:r>
        <w:rPr>
          <w:rFonts w:ascii="宋体" w:hAnsi="宋体" w:cs="宋体"/>
          <w:b/>
          <w:bCs/>
          <w:color w:val="auto"/>
          <w:sz w:val="28"/>
          <w:szCs w:val="28"/>
          <w:highlight w:val="none"/>
        </w:rPr>
        <w:t>1</w:t>
      </w:r>
      <w:r>
        <w:rPr>
          <w:rFonts w:hint="eastAsia" w:ascii="宋体" w:hAnsi="宋体" w:cs="宋体"/>
          <w:b/>
          <w:bCs/>
          <w:color w:val="auto"/>
          <w:sz w:val="28"/>
          <w:szCs w:val="28"/>
          <w:highlight w:val="none"/>
        </w:rPr>
        <w:t>、法定代表人身份证明</w:t>
      </w:r>
    </w:p>
    <w:p>
      <w:pPr>
        <w:snapToGrid w:val="0"/>
        <w:spacing w:line="520" w:lineRule="exact"/>
        <w:jc w:val="center"/>
        <w:rPr>
          <w:rFonts w:ascii="宋体"/>
          <w:color w:val="auto"/>
          <w:sz w:val="24"/>
          <w:szCs w:val="24"/>
          <w:highlight w:val="none"/>
        </w:rPr>
      </w:pPr>
    </w:p>
    <w:p>
      <w:pPr>
        <w:snapToGrid w:val="0"/>
        <w:spacing w:line="520" w:lineRule="exact"/>
        <w:jc w:val="center"/>
        <w:rPr>
          <w:rFonts w:ascii="宋体"/>
          <w:color w:val="auto"/>
          <w:sz w:val="24"/>
          <w:szCs w:val="24"/>
          <w:highlight w:val="none"/>
        </w:rPr>
      </w:pPr>
    </w:p>
    <w:p>
      <w:pPr>
        <w:snapToGrid w:val="0"/>
        <w:spacing w:line="360" w:lineRule="auto"/>
        <w:rPr>
          <w:rFonts w:ascii="宋体"/>
          <w:color w:val="auto"/>
          <w:sz w:val="24"/>
          <w:szCs w:val="24"/>
          <w:highlight w:val="none"/>
          <w:u w:val="single"/>
        </w:rPr>
      </w:pPr>
      <w:r>
        <w:rPr>
          <w:rFonts w:hint="eastAsia" w:ascii="宋体" w:hAnsi="宋体" w:cs="宋体"/>
          <w:color w:val="auto"/>
          <w:sz w:val="24"/>
          <w:szCs w:val="24"/>
          <w:highlight w:val="none"/>
          <w:u w:val="single"/>
          <w:lang w:eastAsia="zh-CN"/>
        </w:rPr>
        <w:t>南通市妇幼保健院</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p>
    <w:p>
      <w:pPr>
        <w:snapToGrid w:val="0"/>
        <w:spacing w:line="360" w:lineRule="auto"/>
        <w:ind w:firstLine="480" w:firstLineChars="200"/>
        <w:textAlignment w:val="baseline"/>
        <w:rPr>
          <w:color w:val="auto"/>
          <w:sz w:val="24"/>
          <w:szCs w:val="24"/>
          <w:highlight w:val="none"/>
        </w:rPr>
      </w:pPr>
      <w:r>
        <w:rPr>
          <w:rFonts w:hint="eastAsia" w:cs="宋体"/>
          <w:color w:val="auto"/>
          <w:sz w:val="24"/>
          <w:szCs w:val="24"/>
          <w:highlight w:val="none"/>
          <w:u w:val="single" w:color="000000"/>
        </w:rPr>
        <w:t>　　　　　</w:t>
      </w:r>
      <w:r>
        <w:rPr>
          <w:rFonts w:hint="eastAsia" w:cs="宋体"/>
          <w:color w:val="auto"/>
          <w:sz w:val="24"/>
          <w:szCs w:val="24"/>
          <w:highlight w:val="none"/>
        </w:rPr>
        <w:t>（先生／女士）现任我单位</w:t>
      </w:r>
      <w:r>
        <w:rPr>
          <w:rFonts w:hint="eastAsia" w:cs="宋体"/>
          <w:color w:val="auto"/>
          <w:sz w:val="24"/>
          <w:szCs w:val="24"/>
          <w:highlight w:val="none"/>
          <w:u w:val="single" w:color="000000"/>
        </w:rPr>
        <w:t>　　　　 　　　</w:t>
      </w:r>
      <w:r>
        <w:rPr>
          <w:rFonts w:hint="eastAsia" w:cs="宋体"/>
          <w:color w:val="auto"/>
          <w:sz w:val="24"/>
          <w:szCs w:val="24"/>
          <w:highlight w:val="none"/>
        </w:rPr>
        <w:t>职务，为法定代表人，特此证明。</w:t>
      </w:r>
    </w:p>
    <w:p>
      <w:pPr>
        <w:snapToGrid w:val="0"/>
        <w:spacing w:line="360" w:lineRule="auto"/>
        <w:ind w:firstLine="480" w:firstLineChars="200"/>
        <w:textAlignment w:val="baseline"/>
        <w:rPr>
          <w:rFonts w:cs="宋体"/>
          <w:color w:val="auto"/>
          <w:sz w:val="24"/>
          <w:szCs w:val="24"/>
          <w:highlight w:val="none"/>
        </w:rPr>
      </w:pPr>
      <w:r>
        <w:rPr>
          <w:rFonts w:hint="eastAsia" w:cs="宋体"/>
          <w:color w:val="auto"/>
          <w:sz w:val="24"/>
          <w:szCs w:val="24"/>
          <w:highlight w:val="none"/>
        </w:rPr>
        <w:t>身份证号码：</w:t>
      </w:r>
    </w:p>
    <w:p>
      <w:pPr>
        <w:snapToGrid w:val="0"/>
        <w:spacing w:line="420" w:lineRule="exact"/>
        <w:ind w:firstLine="480" w:firstLineChars="200"/>
        <w:textAlignment w:val="baseline"/>
        <w:rPr>
          <w:rFonts w:cs="宋体"/>
          <w:color w:val="auto"/>
          <w:sz w:val="24"/>
          <w:szCs w:val="24"/>
          <w:highlight w:val="none"/>
        </w:rPr>
      </w:pPr>
    </w:p>
    <w:p>
      <w:pPr>
        <w:snapToGrid w:val="0"/>
        <w:spacing w:line="420" w:lineRule="exact"/>
        <w:ind w:firstLine="480" w:firstLineChars="200"/>
        <w:textAlignment w:val="baseline"/>
        <w:rPr>
          <w:color w:val="auto"/>
          <w:sz w:val="24"/>
          <w:szCs w:val="24"/>
          <w:highlight w:val="none"/>
          <w:u w:val="single"/>
        </w:rPr>
      </w:pPr>
    </w:p>
    <w:p>
      <w:pPr>
        <w:snapToGrid w:val="0"/>
        <w:spacing w:line="520" w:lineRule="exact"/>
        <w:jc w:val="right"/>
        <w:textAlignment w:val="baseline"/>
        <w:rPr>
          <w:rFonts w:ascii="宋体" w:hAnsi="宋体" w:cs="宋体"/>
          <w:color w:val="auto"/>
          <w:sz w:val="24"/>
          <w:szCs w:val="24"/>
          <w:highlight w:val="none"/>
        </w:rPr>
      </w:pPr>
      <w:r>
        <w:rPr>
          <w:rFonts w:hint="eastAsia" w:cs="宋体"/>
          <w:color w:val="auto"/>
          <w:sz w:val="24"/>
          <w:szCs w:val="24"/>
          <w:highlight w:val="none"/>
        </w:rPr>
        <w:t xml:space="preserve">                      </w:t>
      </w:r>
      <w:r>
        <w:rPr>
          <w:rFonts w:hint="eastAsia" w:ascii="宋体" w:hAnsi="宋体" w:cs="宋体"/>
          <w:color w:val="auto"/>
          <w:sz w:val="24"/>
          <w:szCs w:val="24"/>
          <w:highlight w:val="none"/>
        </w:rPr>
        <w:t>竞争性磋商响应单位：（加盖公章）</w:t>
      </w:r>
    </w:p>
    <w:p>
      <w:pPr>
        <w:snapToGrid w:val="0"/>
        <w:spacing w:line="420" w:lineRule="exact"/>
        <w:ind w:right="960" w:firstLine="484" w:firstLineChars="202"/>
        <w:jc w:val="center"/>
        <w:textAlignment w:val="baseline"/>
        <w:rPr>
          <w:color w:val="auto"/>
          <w:sz w:val="20"/>
          <w:highlight w:val="none"/>
        </w:rPr>
      </w:pPr>
      <w:r>
        <w:rPr>
          <w:rFonts w:hint="eastAsia" w:ascii="宋体" w:hAnsi="宋体" w:cs="宋体"/>
          <w:color w:val="auto"/>
          <w:sz w:val="24"/>
          <w:szCs w:val="24"/>
          <w:highlight w:val="none"/>
        </w:rPr>
        <w:t xml:space="preserve">                                  日期：  年  月  日</w:t>
      </w:r>
    </w:p>
    <w:p>
      <w:pPr>
        <w:snapToGrid w:val="0"/>
        <w:spacing w:line="420" w:lineRule="exact"/>
        <w:ind w:firstLine="404" w:firstLineChars="202"/>
        <w:jc w:val="left"/>
        <w:textAlignment w:val="baseline"/>
        <w:rPr>
          <w:color w:val="auto"/>
          <w:sz w:val="20"/>
          <w:highlight w:val="none"/>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color w:val="auto"/>
                <w:sz w:val="20"/>
                <w:szCs w:val="22"/>
                <w:highlight w:val="none"/>
              </w:rPr>
            </w:pPr>
          </w:p>
          <w:p>
            <w:pPr>
              <w:snapToGrid w:val="0"/>
              <w:spacing w:line="420" w:lineRule="exact"/>
              <w:ind w:firstLine="404" w:firstLineChars="202"/>
              <w:jc w:val="left"/>
              <w:textAlignment w:val="baseline"/>
              <w:rPr>
                <w:color w:val="auto"/>
                <w:sz w:val="20"/>
                <w:szCs w:val="22"/>
                <w:highlight w:val="none"/>
              </w:rPr>
            </w:pPr>
          </w:p>
          <w:p>
            <w:pPr>
              <w:snapToGrid w:val="0"/>
              <w:spacing w:line="420" w:lineRule="exact"/>
              <w:jc w:val="center"/>
              <w:textAlignment w:val="baseline"/>
              <w:rPr>
                <w:b/>
                <w:bCs/>
                <w:color w:val="auto"/>
                <w:sz w:val="20"/>
                <w:szCs w:val="22"/>
                <w:highlight w:val="none"/>
              </w:rPr>
            </w:pPr>
            <w:r>
              <w:rPr>
                <w:rFonts w:hint="eastAsia" w:cs="宋体"/>
                <w:b/>
                <w:bCs/>
                <w:color w:val="auto"/>
                <w:szCs w:val="22"/>
                <w:highlight w:val="none"/>
              </w:rPr>
              <w:t>法定代表人身份证</w:t>
            </w:r>
            <w:r>
              <w:rPr>
                <w:rFonts w:hint="eastAsia" w:cs="宋体"/>
                <w:b/>
                <w:color w:val="auto"/>
                <w:szCs w:val="22"/>
                <w:highlight w:val="none"/>
              </w:rPr>
              <w:t>（正、反面）</w:t>
            </w:r>
            <w:r>
              <w:rPr>
                <w:rFonts w:hint="eastAsia" w:cs="宋体"/>
                <w:b/>
                <w:bCs/>
                <w:color w:val="auto"/>
                <w:szCs w:val="22"/>
                <w:highlight w:val="none"/>
              </w:rPr>
              <w:t>复印件或扫描件</w:t>
            </w:r>
          </w:p>
          <w:p>
            <w:pPr>
              <w:snapToGrid w:val="0"/>
              <w:spacing w:line="420" w:lineRule="exact"/>
              <w:jc w:val="center"/>
              <w:textAlignment w:val="baseline"/>
              <w:rPr>
                <w:b/>
                <w:bCs/>
                <w:color w:val="auto"/>
                <w:sz w:val="20"/>
                <w:szCs w:val="22"/>
                <w:highlight w:val="none"/>
              </w:rPr>
            </w:pPr>
          </w:p>
          <w:p>
            <w:pPr>
              <w:snapToGrid w:val="0"/>
              <w:spacing w:line="420" w:lineRule="exact"/>
              <w:jc w:val="center"/>
              <w:textAlignment w:val="baseline"/>
              <w:rPr>
                <w:b/>
                <w:bCs/>
                <w:color w:val="auto"/>
                <w:sz w:val="20"/>
                <w:szCs w:val="22"/>
                <w:highlight w:val="none"/>
              </w:rPr>
            </w:pPr>
          </w:p>
          <w:p>
            <w:pPr>
              <w:snapToGrid w:val="0"/>
              <w:spacing w:line="420" w:lineRule="exact"/>
              <w:jc w:val="center"/>
              <w:textAlignment w:val="baseline"/>
              <w:rPr>
                <w:b/>
                <w:bCs/>
                <w:color w:val="auto"/>
                <w:sz w:val="20"/>
                <w:szCs w:val="22"/>
                <w:highlight w:val="none"/>
              </w:rPr>
            </w:pPr>
          </w:p>
          <w:p>
            <w:pPr>
              <w:snapToGrid w:val="0"/>
              <w:spacing w:line="420" w:lineRule="exact"/>
              <w:jc w:val="center"/>
              <w:textAlignment w:val="baseline"/>
              <w:rPr>
                <w:color w:val="auto"/>
                <w:sz w:val="20"/>
                <w:szCs w:val="22"/>
                <w:highlight w:val="none"/>
              </w:rPr>
            </w:pPr>
          </w:p>
        </w:tc>
      </w:tr>
    </w:tbl>
    <w:p>
      <w:pPr>
        <w:snapToGrid w:val="0"/>
        <w:spacing w:line="420" w:lineRule="exact"/>
        <w:jc w:val="center"/>
        <w:textAlignment w:val="baseline"/>
        <w:rPr>
          <w:color w:val="auto"/>
          <w:sz w:val="20"/>
          <w:highlight w:val="none"/>
        </w:rPr>
      </w:pPr>
    </w:p>
    <w:p>
      <w:pPr>
        <w:snapToGrid w:val="0"/>
        <w:spacing w:line="420" w:lineRule="exact"/>
        <w:textAlignment w:val="baseline"/>
        <w:rPr>
          <w:color w:val="auto"/>
          <w:sz w:val="20"/>
          <w:highlight w:val="none"/>
        </w:rPr>
      </w:pPr>
    </w:p>
    <w:p>
      <w:pPr>
        <w:snapToGrid w:val="0"/>
        <w:spacing w:line="420" w:lineRule="exact"/>
        <w:jc w:val="center"/>
        <w:textAlignment w:val="baseline"/>
        <w:rPr>
          <w:color w:val="auto"/>
          <w:sz w:val="20"/>
          <w:highlight w:val="none"/>
        </w:rPr>
      </w:pPr>
    </w:p>
    <w:p>
      <w:pPr>
        <w:snapToGrid w:val="0"/>
        <w:spacing w:line="420" w:lineRule="exact"/>
        <w:textAlignment w:val="baseline"/>
        <w:rPr>
          <w:color w:val="auto"/>
          <w:sz w:val="20"/>
          <w:highlight w:val="none"/>
        </w:rPr>
      </w:pPr>
    </w:p>
    <w:p>
      <w:pPr>
        <w:snapToGrid w:val="0"/>
        <w:spacing w:line="420" w:lineRule="exact"/>
        <w:jc w:val="center"/>
        <w:textAlignment w:val="baseline"/>
        <w:rPr>
          <w:color w:val="auto"/>
          <w:sz w:val="20"/>
          <w:highlight w:val="none"/>
        </w:rPr>
      </w:pPr>
    </w:p>
    <w:p>
      <w:pPr>
        <w:snapToGrid w:val="0"/>
        <w:spacing w:line="360" w:lineRule="auto"/>
        <w:ind w:firstLine="480" w:firstLineChars="200"/>
        <w:jc w:val="left"/>
        <w:textAlignment w:val="baseline"/>
        <w:rPr>
          <w:rFonts w:cs="宋体"/>
          <w:color w:val="auto"/>
          <w:sz w:val="24"/>
          <w:szCs w:val="24"/>
          <w:highlight w:val="none"/>
        </w:rPr>
      </w:pPr>
      <w:r>
        <w:rPr>
          <w:rFonts w:hint="eastAsia" w:cs="宋体"/>
          <w:color w:val="auto"/>
          <w:sz w:val="24"/>
          <w:szCs w:val="24"/>
          <w:highlight w:val="none"/>
        </w:rPr>
        <w:t>注：如为法定代表人参加项目</w:t>
      </w:r>
      <w:r>
        <w:rPr>
          <w:rFonts w:hint="eastAsia" w:ascii="宋体" w:hAnsi="宋体" w:cs="宋体"/>
          <w:color w:val="auto"/>
          <w:sz w:val="24"/>
          <w:szCs w:val="24"/>
          <w:highlight w:val="none"/>
        </w:rPr>
        <w:t>竞争性磋商响应</w:t>
      </w:r>
      <w:r>
        <w:rPr>
          <w:rFonts w:hint="eastAsia" w:cs="宋体"/>
          <w:color w:val="auto"/>
          <w:sz w:val="24"/>
          <w:szCs w:val="24"/>
          <w:highlight w:val="none"/>
        </w:rPr>
        <w:t>，须将身份证原件带至竞争性磋商现场备查。</w:t>
      </w:r>
    </w:p>
    <w:p>
      <w:pPr>
        <w:snapToGrid w:val="0"/>
        <w:spacing w:line="360" w:lineRule="auto"/>
        <w:ind w:firstLine="480" w:firstLineChars="200"/>
        <w:jc w:val="left"/>
        <w:textAlignment w:val="baseline"/>
        <w:rPr>
          <w:rFonts w:cs="宋体"/>
          <w:color w:val="auto"/>
          <w:sz w:val="24"/>
          <w:szCs w:val="24"/>
          <w:highlight w:val="none"/>
        </w:rPr>
      </w:pPr>
      <w:r>
        <w:rPr>
          <w:rFonts w:hint="eastAsia" w:cs="宋体"/>
          <w:color w:val="auto"/>
          <w:sz w:val="24"/>
          <w:szCs w:val="24"/>
          <w:highlight w:val="none"/>
        </w:rPr>
        <w:t>如为被委托受权人参加项目竞争性</w:t>
      </w:r>
      <w:r>
        <w:rPr>
          <w:rFonts w:hint="eastAsia" w:ascii="宋体" w:hAnsi="宋体" w:cs="宋体"/>
          <w:color w:val="auto"/>
          <w:sz w:val="24"/>
          <w:szCs w:val="24"/>
          <w:highlight w:val="none"/>
        </w:rPr>
        <w:t>磋商</w:t>
      </w:r>
      <w:r>
        <w:rPr>
          <w:rFonts w:hint="eastAsia" w:cs="宋体"/>
          <w:color w:val="auto"/>
          <w:sz w:val="24"/>
          <w:szCs w:val="24"/>
          <w:highlight w:val="none"/>
        </w:rPr>
        <w:t>响应，无须将法定代表人身份证原件带至竞争性</w:t>
      </w:r>
      <w:r>
        <w:rPr>
          <w:rFonts w:hint="eastAsia" w:ascii="宋体" w:hAnsi="宋体" w:cs="宋体"/>
          <w:color w:val="auto"/>
          <w:sz w:val="24"/>
          <w:szCs w:val="24"/>
          <w:highlight w:val="none"/>
        </w:rPr>
        <w:t>磋商</w:t>
      </w:r>
      <w:r>
        <w:rPr>
          <w:rFonts w:hint="eastAsia" w:cs="宋体"/>
          <w:color w:val="auto"/>
          <w:sz w:val="24"/>
          <w:szCs w:val="24"/>
          <w:highlight w:val="none"/>
        </w:rPr>
        <w:t>现场备查，仅需提供本证明。</w:t>
      </w:r>
    </w:p>
    <w:p>
      <w:pPr>
        <w:snapToGrid w:val="0"/>
        <w:spacing w:line="520" w:lineRule="exact"/>
        <w:ind w:firstLine="482" w:firstLineChars="200"/>
        <w:rPr>
          <w:rFonts w:ascii="宋体"/>
          <w:b/>
          <w:bCs/>
          <w:color w:val="auto"/>
          <w:sz w:val="24"/>
          <w:szCs w:val="24"/>
          <w:highlight w:val="none"/>
        </w:rPr>
      </w:pPr>
    </w:p>
    <w:p>
      <w:pPr>
        <w:snapToGrid w:val="0"/>
        <w:spacing w:line="520" w:lineRule="exact"/>
        <w:jc w:val="center"/>
        <w:outlineLvl w:val="3"/>
        <w:rPr>
          <w:rFonts w:ascii="宋体"/>
          <w:b/>
          <w:bCs/>
          <w:color w:val="auto"/>
          <w:sz w:val="28"/>
          <w:szCs w:val="28"/>
          <w:highlight w:val="none"/>
        </w:rPr>
      </w:pPr>
      <w:r>
        <w:rPr>
          <w:rFonts w:ascii="宋体"/>
          <w:b/>
          <w:bCs/>
          <w:color w:val="auto"/>
          <w:sz w:val="24"/>
          <w:szCs w:val="24"/>
          <w:highlight w:val="none"/>
        </w:rPr>
        <w:br w:type="page"/>
      </w:r>
      <w:r>
        <w:rPr>
          <w:rFonts w:ascii="宋体" w:hAnsi="宋体" w:cs="宋体"/>
          <w:b/>
          <w:bCs/>
          <w:color w:val="auto"/>
          <w:sz w:val="28"/>
          <w:szCs w:val="28"/>
          <w:highlight w:val="none"/>
        </w:rPr>
        <w:t>2</w:t>
      </w:r>
      <w:r>
        <w:rPr>
          <w:rFonts w:hint="eastAsia" w:ascii="宋体" w:hAnsi="宋体" w:cs="宋体"/>
          <w:b/>
          <w:bCs/>
          <w:color w:val="auto"/>
          <w:sz w:val="28"/>
          <w:szCs w:val="28"/>
          <w:highlight w:val="none"/>
        </w:rPr>
        <w:t>、授权委托书</w:t>
      </w:r>
    </w:p>
    <w:p>
      <w:pPr>
        <w:snapToGrid w:val="0"/>
        <w:spacing w:line="520" w:lineRule="exact"/>
        <w:jc w:val="center"/>
        <w:rPr>
          <w:rFonts w:ascii="宋体"/>
          <w:color w:val="auto"/>
          <w:sz w:val="24"/>
          <w:szCs w:val="24"/>
          <w:highlight w:val="none"/>
        </w:rPr>
      </w:pPr>
      <w:r>
        <w:rPr>
          <w:rFonts w:hint="eastAsia" w:ascii="宋体" w:hAnsi="宋体" w:cs="宋体"/>
          <w:color w:val="auto"/>
          <w:sz w:val="24"/>
          <w:szCs w:val="24"/>
          <w:highlight w:val="none"/>
        </w:rPr>
        <w:t>（如被授权人参加磋商，须出示此证明）</w:t>
      </w:r>
    </w:p>
    <w:p>
      <w:pPr>
        <w:snapToGrid w:val="0"/>
        <w:spacing w:line="520" w:lineRule="exact"/>
        <w:jc w:val="center"/>
        <w:rPr>
          <w:rFonts w:ascii="宋体"/>
          <w:color w:val="auto"/>
          <w:sz w:val="24"/>
          <w:szCs w:val="24"/>
          <w:highlight w:val="none"/>
        </w:rPr>
      </w:pPr>
    </w:p>
    <w:p>
      <w:pPr>
        <w:snapToGrid w:val="0"/>
        <w:spacing w:line="360" w:lineRule="auto"/>
        <w:rPr>
          <w:rFonts w:ascii="宋体"/>
          <w:color w:val="auto"/>
          <w:sz w:val="24"/>
          <w:szCs w:val="24"/>
          <w:highlight w:val="none"/>
          <w:u w:val="single"/>
        </w:rPr>
      </w:pPr>
      <w:r>
        <w:rPr>
          <w:rFonts w:hint="eastAsia" w:ascii="宋体" w:hAnsi="宋体" w:cs="宋体"/>
          <w:color w:val="auto"/>
          <w:sz w:val="24"/>
          <w:szCs w:val="24"/>
          <w:highlight w:val="none"/>
          <w:u w:val="single"/>
          <w:lang w:eastAsia="zh-CN"/>
        </w:rPr>
        <w:t>南通市妇幼保健院</w:t>
      </w:r>
      <w:r>
        <w:rPr>
          <w:rFonts w:hint="eastAsia" w:ascii="宋体" w:hAnsi="宋体" w:cs="宋体"/>
          <w:color w:val="auto"/>
          <w:sz w:val="24"/>
          <w:szCs w:val="24"/>
          <w:highlight w:val="none"/>
          <w:u w:val="single"/>
        </w:rPr>
        <w:t>：</w:t>
      </w:r>
    </w:p>
    <w:p>
      <w:pPr>
        <w:snapToGrid w:val="0"/>
        <w:spacing w:line="360" w:lineRule="auto"/>
        <w:ind w:firstLine="484" w:firstLineChars="202"/>
        <w:textAlignment w:val="baseline"/>
        <w:rPr>
          <w:color w:val="auto"/>
          <w:sz w:val="24"/>
          <w:szCs w:val="24"/>
          <w:highlight w:val="none"/>
        </w:rPr>
      </w:pPr>
      <w:r>
        <w:rPr>
          <w:rFonts w:hint="eastAsia" w:cs="宋体"/>
          <w:color w:val="auto"/>
          <w:sz w:val="24"/>
          <w:szCs w:val="24"/>
          <w:highlight w:val="none"/>
        </w:rPr>
        <w:t>本授权委托书声明：我</w:t>
      </w:r>
      <w:r>
        <w:rPr>
          <w:rFonts w:hint="eastAsia" w:cs="宋体"/>
          <w:color w:val="auto"/>
          <w:sz w:val="24"/>
          <w:szCs w:val="24"/>
          <w:highlight w:val="none"/>
          <w:u w:val="single" w:color="000000"/>
        </w:rPr>
        <w:t xml:space="preserve">　  </w:t>
      </w:r>
      <w:r>
        <w:rPr>
          <w:rFonts w:hint="eastAsia" w:cs="宋体"/>
          <w:color w:val="auto"/>
          <w:sz w:val="24"/>
          <w:szCs w:val="24"/>
          <w:highlight w:val="none"/>
          <w:u w:val="single" w:color="000000"/>
          <w:lang w:val="en-US" w:eastAsia="zh-CN"/>
        </w:rPr>
        <w:t xml:space="preserve"> </w:t>
      </w:r>
      <w:r>
        <w:rPr>
          <w:rFonts w:hint="eastAsia" w:cs="宋体"/>
          <w:color w:val="auto"/>
          <w:sz w:val="24"/>
          <w:szCs w:val="24"/>
          <w:highlight w:val="none"/>
          <w:u w:val="single" w:color="000000"/>
        </w:rPr>
        <w:t xml:space="preserve">  </w:t>
      </w:r>
      <w:r>
        <w:rPr>
          <w:rFonts w:hint="eastAsia" w:cs="宋体"/>
          <w:color w:val="auto"/>
          <w:sz w:val="24"/>
          <w:szCs w:val="24"/>
          <w:highlight w:val="none"/>
        </w:rPr>
        <w:t>（姓名）系</w:t>
      </w:r>
      <w:r>
        <w:rPr>
          <w:rFonts w:hint="eastAsia" w:cs="宋体"/>
          <w:color w:val="auto"/>
          <w:sz w:val="24"/>
          <w:szCs w:val="24"/>
          <w:highlight w:val="none"/>
          <w:u w:val="single" w:color="000000"/>
        </w:rPr>
        <w:t xml:space="preserve">　         </w:t>
      </w:r>
      <w:r>
        <w:rPr>
          <w:rFonts w:hint="eastAsia" w:cs="宋体"/>
          <w:color w:val="auto"/>
          <w:sz w:val="24"/>
          <w:szCs w:val="24"/>
          <w:highlight w:val="none"/>
          <w:u w:val="single" w:color="000000"/>
          <w:lang w:val="en-US" w:eastAsia="zh-CN"/>
        </w:rPr>
        <w:t xml:space="preserve">            </w:t>
      </w:r>
      <w:r>
        <w:rPr>
          <w:rFonts w:hint="eastAsia" w:cs="宋体"/>
          <w:color w:val="auto"/>
          <w:sz w:val="24"/>
          <w:szCs w:val="24"/>
          <w:highlight w:val="none"/>
          <w:u w:val="single" w:color="000000"/>
        </w:rPr>
        <w:t xml:space="preserve">   </w:t>
      </w:r>
      <w:r>
        <w:rPr>
          <w:rFonts w:hint="eastAsia" w:cs="宋体"/>
          <w:color w:val="auto"/>
          <w:sz w:val="24"/>
          <w:szCs w:val="24"/>
          <w:highlight w:val="none"/>
        </w:rPr>
        <w:t>（供应商名称）的法定代表人，现授权委托</w:t>
      </w:r>
      <w:r>
        <w:rPr>
          <w:rFonts w:hint="eastAsia" w:cs="宋体"/>
          <w:color w:val="auto"/>
          <w:sz w:val="24"/>
          <w:szCs w:val="24"/>
          <w:highlight w:val="none"/>
          <w:u w:val="single" w:color="000000"/>
        </w:rPr>
        <w:t xml:space="preserve">　　    </w:t>
      </w:r>
      <w:r>
        <w:rPr>
          <w:rFonts w:hint="eastAsia" w:cs="宋体"/>
          <w:color w:val="auto"/>
          <w:sz w:val="24"/>
          <w:szCs w:val="24"/>
          <w:highlight w:val="none"/>
          <w:u w:val="single" w:color="000000"/>
          <w:lang w:val="en-US" w:eastAsia="zh-CN"/>
        </w:rPr>
        <w:t xml:space="preserve">  </w:t>
      </w:r>
      <w:r>
        <w:rPr>
          <w:rFonts w:hint="eastAsia" w:cs="宋体"/>
          <w:color w:val="auto"/>
          <w:sz w:val="24"/>
          <w:szCs w:val="24"/>
          <w:highlight w:val="none"/>
          <w:u w:val="single" w:color="000000"/>
        </w:rPr>
        <w:t xml:space="preserve"> </w:t>
      </w:r>
      <w:r>
        <w:rPr>
          <w:rFonts w:hint="eastAsia" w:cs="宋体"/>
          <w:color w:val="auto"/>
          <w:sz w:val="24"/>
          <w:szCs w:val="24"/>
          <w:highlight w:val="none"/>
        </w:rPr>
        <w:t>（姓名）为我公司为被委托受权人，以本公司的名义参加本项目的竞争性磋商响应活动。被委托受权人在开标、评审磋商活动、合同磋商过程中所签署的一切文件和处理与之有关的一切事务，我均予以承认。</w:t>
      </w:r>
    </w:p>
    <w:p>
      <w:pPr>
        <w:snapToGrid w:val="0"/>
        <w:spacing w:line="360" w:lineRule="auto"/>
        <w:ind w:firstLine="484" w:firstLineChars="202"/>
        <w:textAlignment w:val="baseline"/>
        <w:rPr>
          <w:rFonts w:cs="宋体"/>
          <w:color w:val="auto"/>
          <w:sz w:val="24"/>
          <w:szCs w:val="24"/>
          <w:highlight w:val="none"/>
        </w:rPr>
      </w:pPr>
      <w:r>
        <w:rPr>
          <w:rFonts w:hint="eastAsia" w:cs="宋体"/>
          <w:color w:val="auto"/>
          <w:sz w:val="24"/>
          <w:szCs w:val="24"/>
          <w:highlight w:val="none"/>
        </w:rPr>
        <w:t>被委托受权人无转委权。特此委托。</w:t>
      </w:r>
    </w:p>
    <w:p>
      <w:pPr>
        <w:pStyle w:val="20"/>
        <w:snapToGrid w:val="0"/>
        <w:spacing w:line="360" w:lineRule="auto"/>
        <w:textAlignment w:val="baseline"/>
        <w:rPr>
          <w:color w:val="auto"/>
          <w:szCs w:val="24"/>
          <w:highlight w:val="none"/>
        </w:rPr>
      </w:pPr>
    </w:p>
    <w:p>
      <w:pPr>
        <w:snapToGrid w:val="0"/>
        <w:spacing w:line="360" w:lineRule="auto"/>
        <w:ind w:firstLine="972" w:firstLineChars="405"/>
        <w:textAlignment w:val="baseline"/>
        <w:rPr>
          <w:color w:val="auto"/>
          <w:sz w:val="24"/>
          <w:szCs w:val="24"/>
          <w:highlight w:val="none"/>
        </w:rPr>
      </w:pPr>
      <w:r>
        <w:rPr>
          <w:rFonts w:hint="eastAsia" w:cs="宋体"/>
          <w:color w:val="auto"/>
          <w:sz w:val="24"/>
          <w:szCs w:val="24"/>
          <w:highlight w:val="none"/>
        </w:rPr>
        <w:t>法定代表人签字：</w:t>
      </w:r>
    </w:p>
    <w:p>
      <w:pPr>
        <w:snapToGrid w:val="0"/>
        <w:spacing w:line="360" w:lineRule="auto"/>
        <w:ind w:firstLine="972" w:firstLineChars="405"/>
        <w:textAlignment w:val="baseline"/>
        <w:rPr>
          <w:color w:val="auto"/>
          <w:sz w:val="24"/>
          <w:szCs w:val="24"/>
          <w:highlight w:val="none"/>
        </w:rPr>
      </w:pPr>
      <w:r>
        <w:rPr>
          <w:rFonts w:hint="eastAsia" w:cs="宋体"/>
          <w:color w:val="auto"/>
          <w:sz w:val="24"/>
          <w:szCs w:val="24"/>
          <w:highlight w:val="none"/>
        </w:rPr>
        <w:t>被委托受权人身份证号：</w:t>
      </w:r>
    </w:p>
    <w:p>
      <w:pPr>
        <w:snapToGrid w:val="0"/>
        <w:spacing w:line="360" w:lineRule="auto"/>
        <w:ind w:firstLine="972" w:firstLineChars="405"/>
        <w:textAlignment w:val="baseline"/>
        <w:rPr>
          <w:color w:val="auto"/>
          <w:sz w:val="24"/>
          <w:szCs w:val="24"/>
          <w:highlight w:val="none"/>
        </w:rPr>
      </w:pPr>
      <w:r>
        <w:rPr>
          <w:rFonts w:hint="eastAsia" w:cs="宋体"/>
          <w:color w:val="auto"/>
          <w:sz w:val="24"/>
          <w:szCs w:val="24"/>
          <w:highlight w:val="none"/>
        </w:rPr>
        <w:t>被委托受权人签字：</w:t>
      </w:r>
    </w:p>
    <w:p>
      <w:pPr>
        <w:snapToGrid w:val="0"/>
        <w:spacing w:line="520" w:lineRule="exact"/>
        <w:jc w:val="righ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竞争性磋商响应单位：（加盖公章）</w:t>
      </w:r>
    </w:p>
    <w:p>
      <w:pPr>
        <w:snapToGrid w:val="0"/>
        <w:spacing w:line="420" w:lineRule="exact"/>
        <w:ind w:firstLine="484" w:firstLineChars="202"/>
        <w:jc w:val="center"/>
        <w:textAlignment w:val="baseline"/>
        <w:rPr>
          <w:color w:val="auto"/>
          <w:sz w:val="20"/>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日期：  年  月  日</w:t>
      </w:r>
    </w:p>
    <w:p>
      <w:pPr>
        <w:snapToGrid w:val="0"/>
        <w:spacing w:line="420" w:lineRule="exact"/>
        <w:ind w:firstLine="404" w:firstLineChars="202"/>
        <w:jc w:val="left"/>
        <w:textAlignment w:val="baseline"/>
        <w:rPr>
          <w:color w:val="auto"/>
          <w:sz w:val="20"/>
          <w:highlight w:val="none"/>
        </w:rPr>
      </w:pPr>
    </w:p>
    <w:p>
      <w:pPr>
        <w:snapToGrid w:val="0"/>
        <w:spacing w:line="420" w:lineRule="exact"/>
        <w:ind w:firstLine="404" w:firstLineChars="202"/>
        <w:jc w:val="left"/>
        <w:textAlignment w:val="baseline"/>
        <w:rPr>
          <w:color w:val="auto"/>
          <w:sz w:val="20"/>
          <w:highlight w:val="none"/>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color w:val="auto"/>
                <w:sz w:val="20"/>
                <w:szCs w:val="22"/>
                <w:highlight w:val="none"/>
              </w:rPr>
            </w:pPr>
          </w:p>
          <w:p>
            <w:pPr>
              <w:snapToGrid w:val="0"/>
              <w:spacing w:line="420" w:lineRule="exact"/>
              <w:jc w:val="center"/>
              <w:textAlignment w:val="baseline"/>
              <w:rPr>
                <w:b/>
                <w:bCs/>
                <w:color w:val="auto"/>
                <w:sz w:val="20"/>
                <w:szCs w:val="22"/>
                <w:highlight w:val="none"/>
              </w:rPr>
            </w:pPr>
            <w:r>
              <w:rPr>
                <w:rFonts w:hint="eastAsia" w:cs="宋体"/>
                <w:b/>
                <w:bCs/>
                <w:color w:val="auto"/>
                <w:szCs w:val="22"/>
                <w:highlight w:val="none"/>
              </w:rPr>
              <w:t>被委托受权人身份证</w:t>
            </w:r>
            <w:r>
              <w:rPr>
                <w:rFonts w:hint="eastAsia" w:cs="宋体"/>
                <w:b/>
                <w:color w:val="auto"/>
                <w:szCs w:val="22"/>
                <w:highlight w:val="none"/>
              </w:rPr>
              <w:t>（正、反面）</w:t>
            </w:r>
            <w:r>
              <w:rPr>
                <w:rFonts w:hint="eastAsia" w:cs="宋体"/>
                <w:b/>
                <w:bCs/>
                <w:color w:val="auto"/>
                <w:szCs w:val="22"/>
                <w:highlight w:val="none"/>
              </w:rPr>
              <w:t>复印件或扫描件</w:t>
            </w:r>
          </w:p>
          <w:p>
            <w:pPr>
              <w:snapToGrid w:val="0"/>
              <w:spacing w:line="420" w:lineRule="exact"/>
              <w:jc w:val="center"/>
              <w:textAlignment w:val="baseline"/>
              <w:rPr>
                <w:b/>
                <w:bCs/>
                <w:color w:val="auto"/>
                <w:sz w:val="20"/>
                <w:szCs w:val="22"/>
                <w:highlight w:val="none"/>
              </w:rPr>
            </w:pPr>
          </w:p>
          <w:p>
            <w:pPr>
              <w:snapToGrid w:val="0"/>
              <w:spacing w:line="420" w:lineRule="exact"/>
              <w:jc w:val="center"/>
              <w:textAlignment w:val="baseline"/>
              <w:rPr>
                <w:b/>
                <w:bCs/>
                <w:color w:val="auto"/>
                <w:sz w:val="20"/>
                <w:szCs w:val="22"/>
                <w:highlight w:val="none"/>
              </w:rPr>
            </w:pPr>
          </w:p>
          <w:p>
            <w:pPr>
              <w:snapToGrid w:val="0"/>
              <w:spacing w:line="420" w:lineRule="exact"/>
              <w:jc w:val="center"/>
              <w:textAlignment w:val="baseline"/>
              <w:rPr>
                <w:color w:val="auto"/>
                <w:sz w:val="20"/>
                <w:szCs w:val="22"/>
                <w:highlight w:val="none"/>
              </w:rPr>
            </w:pPr>
          </w:p>
          <w:p>
            <w:pPr>
              <w:snapToGrid w:val="0"/>
              <w:spacing w:line="420" w:lineRule="exact"/>
              <w:jc w:val="center"/>
              <w:textAlignment w:val="baseline"/>
              <w:rPr>
                <w:color w:val="auto"/>
                <w:sz w:val="20"/>
                <w:szCs w:val="22"/>
                <w:highlight w:val="none"/>
              </w:rPr>
            </w:pPr>
          </w:p>
        </w:tc>
      </w:tr>
    </w:tbl>
    <w:p>
      <w:pPr>
        <w:snapToGrid w:val="0"/>
        <w:spacing w:line="420" w:lineRule="exact"/>
        <w:jc w:val="center"/>
        <w:textAlignment w:val="baseline"/>
        <w:rPr>
          <w:color w:val="auto"/>
          <w:sz w:val="20"/>
          <w:highlight w:val="none"/>
        </w:rPr>
      </w:pPr>
    </w:p>
    <w:p>
      <w:pPr>
        <w:snapToGrid w:val="0"/>
        <w:spacing w:line="420" w:lineRule="exact"/>
        <w:jc w:val="center"/>
        <w:textAlignment w:val="baseline"/>
        <w:rPr>
          <w:color w:val="auto"/>
          <w:sz w:val="20"/>
          <w:highlight w:val="none"/>
        </w:rPr>
      </w:pPr>
    </w:p>
    <w:p>
      <w:pPr>
        <w:snapToGrid w:val="0"/>
        <w:spacing w:line="420" w:lineRule="exact"/>
        <w:jc w:val="center"/>
        <w:textAlignment w:val="baseline"/>
        <w:rPr>
          <w:color w:val="auto"/>
          <w:sz w:val="20"/>
          <w:highlight w:val="none"/>
        </w:rPr>
      </w:pPr>
    </w:p>
    <w:p>
      <w:pPr>
        <w:snapToGrid w:val="0"/>
        <w:spacing w:line="420" w:lineRule="exact"/>
        <w:jc w:val="left"/>
        <w:textAlignment w:val="baseline"/>
        <w:rPr>
          <w:color w:val="auto"/>
          <w:sz w:val="24"/>
          <w:szCs w:val="24"/>
          <w:highlight w:val="none"/>
        </w:rPr>
      </w:pPr>
      <w:r>
        <w:rPr>
          <w:rFonts w:hint="eastAsia" w:cs="宋体"/>
          <w:color w:val="auto"/>
          <w:sz w:val="24"/>
          <w:szCs w:val="24"/>
          <w:highlight w:val="none"/>
        </w:rPr>
        <w:t>注：如为被委托受权人参加项目竞争性磋商响应，须将身份证原件带至竞争性磋商现场备查。</w:t>
      </w:r>
    </w:p>
    <w:p>
      <w:pPr>
        <w:snapToGrid w:val="0"/>
        <w:spacing w:line="520" w:lineRule="exact"/>
        <w:jc w:val="center"/>
        <w:outlineLvl w:val="3"/>
        <w:rPr>
          <w:rFonts w:ascii="宋体"/>
          <w:b/>
          <w:bCs/>
          <w:color w:val="auto"/>
          <w:sz w:val="28"/>
          <w:szCs w:val="28"/>
          <w:highlight w:val="none"/>
        </w:rPr>
      </w:pPr>
    </w:p>
    <w:p>
      <w:pPr>
        <w:jc w:val="center"/>
        <w:rPr>
          <w:rFonts w:hint="eastAsia" w:ascii="宋体" w:hAnsi="宋体" w:cs="宋体"/>
          <w:b/>
          <w:bCs/>
          <w:color w:val="auto"/>
          <w:sz w:val="28"/>
          <w:szCs w:val="28"/>
          <w:highlight w:val="none"/>
        </w:rPr>
      </w:pPr>
      <w:r>
        <w:rPr>
          <w:color w:val="auto"/>
          <w:highlight w:val="none"/>
        </w:rPr>
        <w:br w:type="page"/>
      </w:r>
      <w:r>
        <w:rPr>
          <w:rFonts w:hint="eastAsia" w:ascii="宋体" w:hAnsi="宋体" w:cs="宋体"/>
          <w:b/>
          <w:bCs/>
          <w:color w:val="auto"/>
          <w:sz w:val="28"/>
          <w:szCs w:val="28"/>
          <w:highlight w:val="none"/>
        </w:rPr>
        <w:t>3、供应商一般情况表</w:t>
      </w:r>
    </w:p>
    <w:tbl>
      <w:tblPr>
        <w:tblStyle w:val="5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1386"/>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408" w:type="dxa"/>
            <w:noWrap w:val="0"/>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企业名称</w:t>
            </w:r>
          </w:p>
        </w:tc>
        <w:tc>
          <w:tcPr>
            <w:tcW w:w="7056" w:type="dxa"/>
            <w:gridSpan w:val="7"/>
            <w:noWrap w:val="0"/>
            <w:vAlign w:val="top"/>
          </w:tcPr>
          <w:p>
            <w:pPr>
              <w:spacing w:line="520" w:lineRule="exact"/>
              <w:ind w:firstLine="484" w:firstLineChars="202"/>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8" w:type="dxa"/>
            <w:noWrap w:val="0"/>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总部地址</w:t>
            </w:r>
          </w:p>
        </w:tc>
        <w:tc>
          <w:tcPr>
            <w:tcW w:w="7056" w:type="dxa"/>
            <w:gridSpan w:val="7"/>
            <w:noWrap w:val="0"/>
            <w:vAlign w:val="top"/>
          </w:tcPr>
          <w:p>
            <w:pPr>
              <w:spacing w:line="520" w:lineRule="exact"/>
              <w:ind w:firstLine="484" w:firstLineChars="202"/>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8" w:type="dxa"/>
            <w:noWrap w:val="0"/>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分支机构</w:t>
            </w:r>
          </w:p>
        </w:tc>
        <w:tc>
          <w:tcPr>
            <w:tcW w:w="7056" w:type="dxa"/>
            <w:gridSpan w:val="7"/>
            <w:noWrap w:val="0"/>
            <w:vAlign w:val="top"/>
          </w:tcPr>
          <w:p>
            <w:pPr>
              <w:spacing w:line="520" w:lineRule="exact"/>
              <w:ind w:firstLine="484" w:firstLineChars="202"/>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8" w:type="dxa"/>
            <w:noWrap w:val="0"/>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当地代表处地址</w:t>
            </w:r>
          </w:p>
        </w:tc>
        <w:tc>
          <w:tcPr>
            <w:tcW w:w="7056" w:type="dxa"/>
            <w:gridSpan w:val="7"/>
            <w:noWrap w:val="0"/>
            <w:vAlign w:val="top"/>
          </w:tcPr>
          <w:p>
            <w:pPr>
              <w:spacing w:line="520" w:lineRule="exact"/>
              <w:ind w:firstLine="484" w:firstLineChars="202"/>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noWrap w:val="0"/>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235" w:type="dxa"/>
            <w:gridSpan w:val="2"/>
            <w:noWrap w:val="0"/>
            <w:vAlign w:val="top"/>
          </w:tcPr>
          <w:p>
            <w:pPr>
              <w:spacing w:line="520" w:lineRule="exact"/>
              <w:ind w:firstLine="484" w:firstLineChars="202"/>
              <w:rPr>
                <w:rFonts w:ascii="宋体" w:hAnsi="宋体" w:cs="宋体"/>
                <w:color w:val="auto"/>
                <w:sz w:val="24"/>
                <w:szCs w:val="24"/>
                <w:highlight w:val="none"/>
              </w:rPr>
            </w:pPr>
          </w:p>
        </w:tc>
        <w:tc>
          <w:tcPr>
            <w:tcW w:w="1875" w:type="dxa"/>
            <w:gridSpan w:val="2"/>
            <w:noWrap w:val="0"/>
            <w:vAlign w:val="top"/>
          </w:tcPr>
          <w:p>
            <w:pPr>
              <w:spacing w:line="520" w:lineRule="exact"/>
              <w:ind w:firstLine="484" w:firstLineChars="202"/>
              <w:rPr>
                <w:rFonts w:ascii="宋体" w:hAnsi="宋体" w:cs="宋体"/>
                <w:color w:val="auto"/>
                <w:sz w:val="24"/>
                <w:szCs w:val="24"/>
                <w:highlight w:val="none"/>
              </w:rPr>
            </w:pPr>
            <w:r>
              <w:rPr>
                <w:rFonts w:ascii="宋体" w:hAnsi="宋体" w:cs="宋体"/>
                <w:color w:val="auto"/>
                <w:sz w:val="24"/>
                <w:szCs w:val="24"/>
                <w:highlight w:val="none"/>
              </w:rPr>
              <w:t>联系人</w:t>
            </w:r>
          </w:p>
        </w:tc>
        <w:tc>
          <w:tcPr>
            <w:tcW w:w="2946" w:type="dxa"/>
            <w:gridSpan w:val="3"/>
            <w:noWrap w:val="0"/>
            <w:vAlign w:val="top"/>
          </w:tcPr>
          <w:p>
            <w:pPr>
              <w:spacing w:line="520" w:lineRule="exact"/>
              <w:ind w:firstLine="484" w:firstLineChars="202"/>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noWrap w:val="0"/>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2235" w:type="dxa"/>
            <w:gridSpan w:val="2"/>
            <w:noWrap w:val="0"/>
            <w:vAlign w:val="top"/>
          </w:tcPr>
          <w:p>
            <w:pPr>
              <w:spacing w:line="520" w:lineRule="exact"/>
              <w:ind w:firstLine="484" w:firstLineChars="202"/>
              <w:rPr>
                <w:rFonts w:ascii="宋体" w:hAnsi="宋体" w:cs="宋体"/>
                <w:color w:val="auto"/>
                <w:sz w:val="24"/>
                <w:szCs w:val="24"/>
                <w:highlight w:val="none"/>
              </w:rPr>
            </w:pPr>
          </w:p>
        </w:tc>
        <w:tc>
          <w:tcPr>
            <w:tcW w:w="1875" w:type="dxa"/>
            <w:gridSpan w:val="2"/>
            <w:noWrap w:val="0"/>
            <w:vAlign w:val="top"/>
          </w:tcPr>
          <w:p>
            <w:pPr>
              <w:spacing w:line="520" w:lineRule="exact"/>
              <w:ind w:firstLine="484" w:firstLineChars="202"/>
              <w:rPr>
                <w:rFonts w:ascii="宋体" w:hAnsi="宋体" w:cs="宋体"/>
                <w:color w:val="auto"/>
                <w:sz w:val="24"/>
                <w:szCs w:val="24"/>
                <w:highlight w:val="none"/>
              </w:rPr>
            </w:pPr>
            <w:r>
              <w:rPr>
                <w:rFonts w:ascii="宋体" w:hAnsi="宋体" w:cs="宋体"/>
                <w:color w:val="auto"/>
                <w:sz w:val="24"/>
                <w:szCs w:val="24"/>
                <w:highlight w:val="none"/>
              </w:rPr>
              <w:t>电子邮件</w:t>
            </w:r>
          </w:p>
        </w:tc>
        <w:tc>
          <w:tcPr>
            <w:tcW w:w="2946" w:type="dxa"/>
            <w:gridSpan w:val="3"/>
            <w:noWrap w:val="0"/>
            <w:vAlign w:val="top"/>
          </w:tcPr>
          <w:p>
            <w:pPr>
              <w:spacing w:line="520" w:lineRule="exact"/>
              <w:ind w:firstLine="484" w:firstLineChars="202"/>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noWrap w:val="0"/>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注册地</w:t>
            </w:r>
          </w:p>
        </w:tc>
        <w:tc>
          <w:tcPr>
            <w:tcW w:w="2235" w:type="dxa"/>
            <w:gridSpan w:val="2"/>
            <w:noWrap w:val="0"/>
            <w:vAlign w:val="top"/>
          </w:tcPr>
          <w:p>
            <w:pPr>
              <w:spacing w:line="520" w:lineRule="exact"/>
              <w:ind w:firstLine="484" w:firstLineChars="202"/>
              <w:rPr>
                <w:rFonts w:ascii="宋体" w:hAnsi="宋体" w:cs="宋体"/>
                <w:color w:val="auto"/>
                <w:sz w:val="24"/>
                <w:szCs w:val="24"/>
                <w:highlight w:val="none"/>
              </w:rPr>
            </w:pPr>
          </w:p>
        </w:tc>
        <w:tc>
          <w:tcPr>
            <w:tcW w:w="1875" w:type="dxa"/>
            <w:gridSpan w:val="2"/>
            <w:noWrap w:val="0"/>
            <w:vAlign w:val="top"/>
          </w:tcPr>
          <w:p>
            <w:pPr>
              <w:spacing w:line="520" w:lineRule="exact"/>
              <w:ind w:firstLine="484" w:firstLineChars="202"/>
              <w:rPr>
                <w:rFonts w:ascii="宋体" w:hAnsi="宋体" w:cs="宋体"/>
                <w:color w:val="auto"/>
                <w:sz w:val="24"/>
                <w:szCs w:val="24"/>
                <w:highlight w:val="none"/>
              </w:rPr>
            </w:pPr>
            <w:r>
              <w:rPr>
                <w:rFonts w:ascii="宋体" w:hAnsi="宋体" w:cs="宋体"/>
                <w:color w:val="auto"/>
                <w:sz w:val="24"/>
                <w:szCs w:val="24"/>
                <w:highlight w:val="none"/>
              </w:rPr>
              <w:t>注册年份</w:t>
            </w:r>
          </w:p>
        </w:tc>
        <w:tc>
          <w:tcPr>
            <w:tcW w:w="2946" w:type="dxa"/>
            <w:gridSpan w:val="3"/>
            <w:noWrap w:val="0"/>
            <w:vAlign w:val="top"/>
          </w:tcPr>
          <w:p>
            <w:pPr>
              <w:spacing w:line="520" w:lineRule="exact"/>
              <w:ind w:firstLine="484" w:firstLineChars="202"/>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8" w:type="dxa"/>
            <w:noWrap w:val="0"/>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资质等级</w:t>
            </w:r>
          </w:p>
        </w:tc>
        <w:tc>
          <w:tcPr>
            <w:tcW w:w="7056" w:type="dxa"/>
            <w:gridSpan w:val="7"/>
            <w:noWrap w:val="0"/>
            <w:vAlign w:val="top"/>
          </w:tcPr>
          <w:p>
            <w:pPr>
              <w:spacing w:line="520" w:lineRule="exact"/>
              <w:ind w:firstLine="484" w:firstLineChars="202"/>
              <w:rPr>
                <w:rFonts w:ascii="宋体" w:hAnsi="宋体" w:cs="宋体"/>
                <w:color w:val="auto"/>
                <w:sz w:val="24"/>
                <w:szCs w:val="24"/>
                <w:highlight w:val="none"/>
              </w:rPr>
            </w:pPr>
            <w:r>
              <w:rPr>
                <w:rFonts w:ascii="宋体" w:hAnsi="宋体" w:cs="宋体"/>
                <w:color w:val="auto"/>
                <w:sz w:val="24"/>
                <w:szCs w:val="24"/>
                <w:highlight w:val="none"/>
              </w:rPr>
              <w:t>公司</w:t>
            </w:r>
            <w:r>
              <w:rPr>
                <w:rFonts w:hint="eastAsia" w:ascii="宋体" w:hAnsi="宋体" w:cs="宋体"/>
                <w:color w:val="auto"/>
                <w:sz w:val="24"/>
                <w:szCs w:val="24"/>
                <w:highlight w:val="none"/>
              </w:rPr>
              <w:t>具备的相关</w:t>
            </w:r>
            <w:r>
              <w:rPr>
                <w:rFonts w:ascii="宋体" w:hAnsi="宋体" w:cs="宋体"/>
                <w:color w:val="auto"/>
                <w:sz w:val="24"/>
                <w:szCs w:val="24"/>
                <w:highlight w:val="none"/>
              </w:rPr>
              <w:t>资质等级</w:t>
            </w:r>
            <w:r>
              <w:rPr>
                <w:rFonts w:hint="eastAsia" w:ascii="宋体" w:hAnsi="宋体" w:cs="宋体"/>
                <w:color w:val="auto"/>
                <w:sz w:val="24"/>
                <w:szCs w:val="24"/>
                <w:highlight w:val="none"/>
              </w:rPr>
              <w:t>及相应的</w:t>
            </w:r>
            <w:r>
              <w:rPr>
                <w:rFonts w:ascii="宋体" w:hAnsi="宋体" w:cs="宋体"/>
                <w:color w:val="auto"/>
                <w:sz w:val="24"/>
                <w:szCs w:val="24"/>
                <w:highlight w:val="none"/>
              </w:rPr>
              <w:t>证书号</w:t>
            </w:r>
          </w:p>
          <w:p>
            <w:pPr>
              <w:spacing w:line="520" w:lineRule="exact"/>
              <w:ind w:firstLine="484" w:firstLineChars="202"/>
              <w:rPr>
                <w:rFonts w:ascii="宋体" w:hAnsi="宋体" w:cs="宋体"/>
                <w:color w:val="auto"/>
                <w:sz w:val="24"/>
                <w:szCs w:val="24"/>
                <w:highlight w:val="none"/>
              </w:rPr>
            </w:pPr>
            <w:r>
              <w:rPr>
                <w:rFonts w:ascii="宋体" w:hAnsi="宋体" w:cs="宋体"/>
                <w:color w:val="auto"/>
                <w:sz w:val="24"/>
                <w:szCs w:val="24"/>
                <w:highlight w:val="none"/>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8" w:type="dxa"/>
            <w:noWrap w:val="0"/>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质量管理体系</w:t>
            </w:r>
          </w:p>
        </w:tc>
        <w:tc>
          <w:tcPr>
            <w:tcW w:w="7056" w:type="dxa"/>
            <w:gridSpan w:val="7"/>
            <w:noWrap w:val="0"/>
            <w:vAlign w:val="top"/>
          </w:tcPr>
          <w:p>
            <w:pPr>
              <w:spacing w:line="520" w:lineRule="exact"/>
              <w:ind w:firstLine="484" w:firstLineChars="202"/>
              <w:rPr>
                <w:rFonts w:ascii="宋体" w:hAnsi="宋体" w:cs="宋体"/>
                <w:color w:val="auto"/>
                <w:sz w:val="24"/>
                <w:szCs w:val="24"/>
                <w:highlight w:val="none"/>
              </w:rPr>
            </w:pPr>
            <w:r>
              <w:rPr>
                <w:rFonts w:ascii="宋体" w:hAnsi="宋体" w:cs="宋体"/>
                <w:color w:val="auto"/>
                <w:sz w:val="24"/>
                <w:szCs w:val="24"/>
                <w:highlight w:val="none"/>
              </w:rPr>
              <w:t>公司   （是否通过，何种）   质量保证体系认证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8" w:type="dxa"/>
            <w:noWrap w:val="0"/>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1386" w:type="dxa"/>
            <w:noWrap w:val="0"/>
            <w:vAlign w:val="top"/>
          </w:tcPr>
          <w:p>
            <w:pPr>
              <w:spacing w:line="520" w:lineRule="exact"/>
              <w:ind w:firstLine="484" w:firstLineChars="202"/>
              <w:rPr>
                <w:rFonts w:ascii="宋体" w:hAnsi="宋体" w:cs="宋体"/>
                <w:color w:val="auto"/>
                <w:sz w:val="24"/>
                <w:szCs w:val="24"/>
                <w:highlight w:val="none"/>
              </w:rPr>
            </w:pPr>
          </w:p>
        </w:tc>
        <w:tc>
          <w:tcPr>
            <w:tcW w:w="1417" w:type="dxa"/>
            <w:gridSpan w:val="2"/>
            <w:noWrap w:val="0"/>
            <w:vAlign w:val="top"/>
          </w:tcPr>
          <w:p>
            <w:pPr>
              <w:spacing w:line="52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1466" w:type="dxa"/>
            <w:gridSpan w:val="2"/>
            <w:noWrap w:val="0"/>
            <w:vAlign w:val="top"/>
          </w:tcPr>
          <w:p>
            <w:pPr>
              <w:spacing w:line="520" w:lineRule="exact"/>
              <w:ind w:firstLine="484" w:firstLineChars="202"/>
              <w:rPr>
                <w:rFonts w:ascii="宋体" w:hAnsi="宋体" w:cs="宋体"/>
                <w:color w:val="auto"/>
                <w:sz w:val="24"/>
                <w:szCs w:val="24"/>
                <w:highlight w:val="none"/>
              </w:rPr>
            </w:pPr>
          </w:p>
        </w:tc>
        <w:tc>
          <w:tcPr>
            <w:tcW w:w="1320" w:type="dxa"/>
            <w:noWrap w:val="0"/>
            <w:vAlign w:val="top"/>
          </w:tcPr>
          <w:p>
            <w:pPr>
              <w:spacing w:line="52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467" w:type="dxa"/>
            <w:noWrap w:val="0"/>
            <w:vAlign w:val="top"/>
          </w:tcPr>
          <w:p>
            <w:pPr>
              <w:spacing w:line="520" w:lineRule="exact"/>
              <w:ind w:firstLine="484" w:firstLineChars="202"/>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08" w:type="dxa"/>
            <w:noWrap w:val="0"/>
            <w:vAlign w:val="center"/>
          </w:tcPr>
          <w:p>
            <w:pPr>
              <w:spacing w:line="52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职务职称</w:t>
            </w:r>
          </w:p>
        </w:tc>
        <w:tc>
          <w:tcPr>
            <w:tcW w:w="2803" w:type="dxa"/>
            <w:gridSpan w:val="3"/>
            <w:noWrap w:val="0"/>
            <w:vAlign w:val="top"/>
          </w:tcPr>
          <w:p>
            <w:pPr>
              <w:spacing w:line="520" w:lineRule="exact"/>
              <w:ind w:firstLine="484" w:firstLineChars="202"/>
              <w:rPr>
                <w:rFonts w:ascii="宋体" w:hAnsi="宋体" w:cs="宋体"/>
                <w:color w:val="auto"/>
                <w:sz w:val="24"/>
                <w:szCs w:val="24"/>
                <w:highlight w:val="none"/>
              </w:rPr>
            </w:pPr>
          </w:p>
        </w:tc>
        <w:tc>
          <w:tcPr>
            <w:tcW w:w="1466" w:type="dxa"/>
            <w:gridSpan w:val="2"/>
            <w:noWrap w:val="0"/>
            <w:vAlign w:val="top"/>
          </w:tcPr>
          <w:p>
            <w:pPr>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rPr>
              <w:t>执业资格</w:t>
            </w:r>
          </w:p>
        </w:tc>
        <w:tc>
          <w:tcPr>
            <w:tcW w:w="2787" w:type="dxa"/>
            <w:gridSpan w:val="2"/>
            <w:noWrap w:val="0"/>
            <w:vAlign w:val="top"/>
          </w:tcPr>
          <w:p>
            <w:pPr>
              <w:spacing w:line="520" w:lineRule="exact"/>
              <w:ind w:firstLine="484" w:firstLineChars="202"/>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408" w:type="dxa"/>
            <w:noWrap w:val="0"/>
            <w:vAlign w:val="center"/>
          </w:tcPr>
          <w:p>
            <w:pPr>
              <w:spacing w:line="52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056" w:type="dxa"/>
            <w:gridSpan w:val="7"/>
            <w:noWrap w:val="0"/>
            <w:vAlign w:val="top"/>
          </w:tcPr>
          <w:p>
            <w:pPr>
              <w:spacing w:line="520" w:lineRule="exact"/>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营业执照载明：</w:t>
            </w:r>
          </w:p>
          <w:p>
            <w:pPr>
              <w:spacing w:line="520" w:lineRule="exact"/>
              <w:ind w:firstLine="484" w:firstLineChars="202"/>
              <w:rPr>
                <w:rFonts w:ascii="宋体" w:hAnsi="宋体" w:cs="宋体"/>
                <w:color w:val="auto"/>
                <w:sz w:val="24"/>
                <w:szCs w:val="24"/>
                <w:highlight w:val="none"/>
              </w:rPr>
            </w:pPr>
            <w:r>
              <w:rPr>
                <w:rFonts w:ascii="宋体" w:hAnsi="宋体" w:cs="宋体"/>
                <w:color w:val="auto"/>
                <w:sz w:val="24"/>
                <w:szCs w:val="24"/>
                <w:highlight w:val="none"/>
              </w:rPr>
              <w:t xml:space="preserve">1.                                               </w:t>
            </w:r>
          </w:p>
          <w:p>
            <w:pPr>
              <w:spacing w:line="520" w:lineRule="exact"/>
              <w:ind w:firstLine="484" w:firstLineChars="202"/>
              <w:rPr>
                <w:rFonts w:ascii="宋体" w:hAnsi="宋体" w:cs="宋体"/>
                <w:color w:val="auto"/>
                <w:sz w:val="24"/>
                <w:szCs w:val="24"/>
                <w:highlight w:val="none"/>
              </w:rPr>
            </w:pPr>
            <w:r>
              <w:rPr>
                <w:rFonts w:ascii="宋体" w:hAnsi="宋体" w:cs="宋体"/>
                <w:color w:val="auto"/>
                <w:sz w:val="24"/>
                <w:szCs w:val="24"/>
                <w:highlight w:val="none"/>
              </w:rPr>
              <w:t xml:space="preserve">2.                                               </w:t>
            </w:r>
          </w:p>
          <w:p>
            <w:pPr>
              <w:spacing w:line="520" w:lineRule="exact"/>
              <w:ind w:firstLine="484" w:firstLineChars="202"/>
              <w:rPr>
                <w:rFonts w:ascii="宋体" w:hAnsi="宋体" w:cs="宋体"/>
                <w:color w:val="auto"/>
                <w:sz w:val="24"/>
                <w:szCs w:val="24"/>
                <w:highlight w:val="none"/>
              </w:rPr>
            </w:pPr>
            <w:r>
              <w:rPr>
                <w:rFonts w:ascii="宋体" w:hAnsi="宋体" w:cs="宋体"/>
                <w:color w:val="auto"/>
                <w:sz w:val="24"/>
                <w:szCs w:val="24"/>
                <w:highlight w:val="none"/>
              </w:rPr>
              <w:t xml:space="preserve">3.                                               </w:t>
            </w:r>
          </w:p>
          <w:p>
            <w:pPr>
              <w:spacing w:line="520" w:lineRule="exact"/>
              <w:ind w:firstLine="484" w:firstLineChars="202"/>
              <w:rPr>
                <w:rFonts w:ascii="宋体" w:hAnsi="宋体" w:cs="宋体"/>
                <w:color w:val="auto"/>
                <w:sz w:val="24"/>
                <w:szCs w:val="24"/>
                <w:highlight w:val="none"/>
              </w:rPr>
            </w:pPr>
            <w:r>
              <w:rPr>
                <w:rFonts w:ascii="宋体" w:hAnsi="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240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从事类似相关项目的经历及</w:t>
            </w:r>
            <w:r>
              <w:rPr>
                <w:rFonts w:ascii="宋体" w:hAnsi="宋体" w:cs="宋体"/>
                <w:color w:val="auto"/>
                <w:sz w:val="24"/>
                <w:szCs w:val="24"/>
                <w:highlight w:val="none"/>
              </w:rPr>
              <w:t>年数</w:t>
            </w:r>
          </w:p>
        </w:tc>
        <w:tc>
          <w:tcPr>
            <w:tcW w:w="7056" w:type="dxa"/>
            <w:gridSpan w:val="7"/>
            <w:noWrap w:val="0"/>
            <w:vAlign w:val="top"/>
          </w:tcPr>
          <w:p>
            <w:pPr>
              <w:spacing w:line="520" w:lineRule="exact"/>
              <w:ind w:firstLine="484" w:firstLineChars="202"/>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2408" w:type="dxa"/>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其他认为有必要提供的内容，可自行添加</w:t>
            </w:r>
          </w:p>
        </w:tc>
        <w:tc>
          <w:tcPr>
            <w:tcW w:w="7056" w:type="dxa"/>
            <w:gridSpan w:val="7"/>
            <w:noWrap w:val="0"/>
            <w:vAlign w:val="top"/>
          </w:tcPr>
          <w:p>
            <w:pPr>
              <w:spacing w:line="520" w:lineRule="exact"/>
              <w:ind w:firstLine="484" w:firstLineChars="202"/>
              <w:rPr>
                <w:rFonts w:ascii="宋体" w:hAnsi="宋体" w:cs="宋体"/>
                <w:color w:val="auto"/>
                <w:sz w:val="24"/>
                <w:szCs w:val="24"/>
                <w:highlight w:val="none"/>
              </w:rPr>
            </w:pPr>
          </w:p>
        </w:tc>
      </w:tr>
    </w:tbl>
    <w:p>
      <w:pPr>
        <w:snapToGrid w:val="0"/>
        <w:spacing w:line="360" w:lineRule="auto"/>
        <w:ind w:right="79"/>
        <w:textAlignment w:val="baseline"/>
        <w:rPr>
          <w:rFonts w:hint="eastAsia" w:ascii="宋体" w:hAnsi="宋体" w:cs="宋体"/>
          <w:color w:val="auto"/>
          <w:sz w:val="24"/>
          <w:szCs w:val="24"/>
          <w:highlight w:val="none"/>
        </w:rPr>
      </w:pPr>
    </w:p>
    <w:p>
      <w:pPr>
        <w:snapToGrid w:val="0"/>
        <w:spacing w:line="360" w:lineRule="auto"/>
        <w:ind w:right="7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竞争性磋商响应</w:t>
      </w:r>
      <w:r>
        <w:rPr>
          <w:rFonts w:hint="eastAsia" w:ascii="宋体" w:hAnsi="宋体" w:cs="宋体"/>
          <w:color w:val="auto"/>
          <w:szCs w:val="24"/>
          <w:highlight w:val="none"/>
        </w:rPr>
        <w:t>供应商：（单位盖章）</w:t>
      </w:r>
    </w:p>
    <w:p>
      <w:pPr>
        <w:snapToGrid w:val="0"/>
        <w:spacing w:line="360" w:lineRule="auto"/>
        <w:rPr>
          <w:rFonts w:ascii="宋体" w:hAnsi="宋体" w:cs="宋体"/>
          <w:color w:val="auto"/>
          <w:sz w:val="24"/>
          <w:szCs w:val="24"/>
          <w:highlight w:val="none"/>
        </w:rPr>
      </w:pPr>
      <w:r>
        <w:rPr>
          <w:rFonts w:hint="eastAsia" w:hAnsi="宋体" w:cs="宋体"/>
          <w:color w:val="auto"/>
          <w:sz w:val="24"/>
          <w:highlight w:val="none"/>
        </w:rPr>
        <w:t>法定代表人或</w:t>
      </w:r>
      <w:r>
        <w:rPr>
          <w:rFonts w:hint="eastAsia" w:hAnsi="宋体" w:cs="仿宋_GB2312"/>
          <w:color w:val="auto"/>
          <w:sz w:val="24"/>
          <w:highlight w:val="none"/>
        </w:rPr>
        <w:t>被授权人（签字或盖章）</w:t>
      </w:r>
      <w:r>
        <w:rPr>
          <w:rFonts w:hint="eastAsia" w:hAnsi="宋体" w:cs="宋体"/>
          <w:color w:val="auto"/>
          <w:sz w:val="24"/>
          <w:highlight w:val="none"/>
        </w:rPr>
        <w:t>：</w:t>
      </w:r>
      <w:r>
        <w:rPr>
          <w:rFonts w:hint="eastAsia" w:ascii="宋体" w:hAnsi="宋体" w:cs="宋体"/>
          <w:color w:val="auto"/>
          <w:sz w:val="24"/>
          <w:szCs w:val="24"/>
          <w:highlight w:val="none"/>
        </w:rPr>
        <w:t xml:space="preserve">            </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日期：  年  月  日</w:t>
      </w:r>
      <w:r>
        <w:rPr>
          <w:rFonts w:hint="eastAsia" w:ascii="宋体" w:hAnsi="宋体" w:cs="宋体"/>
          <w:color w:val="auto"/>
          <w:sz w:val="24"/>
          <w:szCs w:val="24"/>
          <w:highlight w:val="none"/>
        </w:rPr>
        <w:br w:type="page"/>
      </w:r>
    </w:p>
    <w:p>
      <w:pPr>
        <w:pStyle w:val="116"/>
        <w:tabs>
          <w:tab w:val="left" w:pos="5665"/>
          <w:tab w:val="right" w:pos="8360"/>
        </w:tabs>
        <w:snapToGrid w:val="0"/>
        <w:spacing w:line="360" w:lineRule="auto"/>
        <w:ind w:right="42"/>
        <w:jc w:val="center"/>
        <w:textAlignment w:val="baseline"/>
        <w:rPr>
          <w:rFonts w:hint="eastAsia" w:ascii="宋体" w:hAnsi="宋体" w:eastAsia="宋体" w:cs="宋体"/>
          <w:b/>
          <w:bCs/>
          <w:color w:val="auto"/>
          <w:kern w:val="2"/>
          <w:sz w:val="28"/>
          <w:szCs w:val="28"/>
          <w:highlight w:val="none"/>
          <w:lang w:val="en-US" w:eastAsia="zh-CN" w:bidi="ar-SA"/>
        </w:rPr>
      </w:pPr>
    </w:p>
    <w:p>
      <w:pPr>
        <w:pStyle w:val="116"/>
        <w:tabs>
          <w:tab w:val="left" w:pos="5665"/>
          <w:tab w:val="right" w:pos="8360"/>
        </w:tabs>
        <w:snapToGrid w:val="0"/>
        <w:spacing w:line="360" w:lineRule="auto"/>
        <w:ind w:right="42"/>
        <w:jc w:val="center"/>
        <w:textAlignment w:val="baseline"/>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4、中小企业声明函</w:t>
      </w:r>
    </w:p>
    <w:p>
      <w:pPr>
        <w:pStyle w:val="2"/>
        <w:snapToGrid w:val="0"/>
        <w:ind w:firstLine="0" w:firstLineChars="0"/>
        <w:textAlignment w:val="baseline"/>
        <w:rPr>
          <w:color w:val="auto"/>
          <w:highlight w:val="none"/>
        </w:rPr>
      </w:pP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本公司郑重声明，根据《政府采购促进中小企业发展管理办法》（财库﹝2020﹞46 号）的规定，本公司参加</w:t>
      </w:r>
      <w:r>
        <w:rPr>
          <w:rFonts w:hint="eastAsia" w:ascii="宋体" w:hAnsi="宋体" w:cs="宋体"/>
          <w:color w:val="auto"/>
          <w:sz w:val="24"/>
          <w:szCs w:val="24"/>
          <w:highlight w:val="none"/>
          <w:u w:val="single"/>
          <w:lang w:val="zh-CN"/>
        </w:rPr>
        <w:t>南通市</w:t>
      </w:r>
      <w:r>
        <w:rPr>
          <w:rFonts w:hint="eastAsia" w:ascii="宋体" w:hAnsi="宋体" w:cs="宋体"/>
          <w:color w:val="auto"/>
          <w:sz w:val="24"/>
          <w:szCs w:val="24"/>
          <w:highlight w:val="none"/>
          <w:u w:val="single"/>
        </w:rPr>
        <w:t>妇幼保健院</w:t>
      </w:r>
      <w:r>
        <w:rPr>
          <w:rFonts w:hint="eastAsia" w:ascii="宋体" w:hAnsi="宋体" w:cs="宋体"/>
          <w:color w:val="auto"/>
          <w:sz w:val="24"/>
          <w:szCs w:val="24"/>
          <w:highlight w:val="none"/>
        </w:rPr>
        <w:t>的</w:t>
      </w:r>
      <w:r>
        <w:rPr>
          <w:rFonts w:hint="eastAsia" w:ascii="宋体" w:hAnsi="宋体" w:eastAsia="宋体" w:cs="宋体"/>
          <w:color w:val="auto"/>
          <w:sz w:val="24"/>
          <w:szCs w:val="24"/>
          <w:highlight w:val="none"/>
          <w:u w:val="single"/>
        </w:rPr>
        <w:t>南</w:t>
      </w:r>
      <w:r>
        <w:rPr>
          <w:rFonts w:hint="eastAsia" w:ascii="宋体" w:hAnsi="宋体" w:eastAsia="宋体" w:cs="宋体"/>
          <w:color w:val="auto"/>
          <w:sz w:val="24"/>
          <w:szCs w:val="24"/>
          <w:highlight w:val="none"/>
          <w:u w:val="single"/>
          <w:lang w:eastAsia="zh-CN"/>
        </w:rPr>
        <w:t>通市妇幼保健院食堂经营管理服务项目</w:t>
      </w:r>
      <w:r>
        <w:rPr>
          <w:rFonts w:hint="eastAsia" w:ascii="宋体" w:hAnsi="宋体" w:cs="宋体"/>
          <w:color w:val="auto"/>
          <w:sz w:val="24"/>
          <w:szCs w:val="24"/>
          <w:highlight w:val="none"/>
        </w:rPr>
        <w:t>采购活动，</w:t>
      </w:r>
      <w:r>
        <w:rPr>
          <w:rFonts w:hint="eastAsia" w:ascii="宋体" w:hAnsi="宋体" w:cs="宋体"/>
          <w:color w:val="auto"/>
          <w:kern w:val="0"/>
          <w:sz w:val="24"/>
          <w:szCs w:val="24"/>
          <w:highlight w:val="none"/>
        </w:rPr>
        <w:t>该项目</w:t>
      </w:r>
      <w:r>
        <w:rPr>
          <w:rFonts w:hint="eastAsia" w:ascii="宋体" w:hAnsi="宋体" w:cs="宋体"/>
          <w:color w:val="auto"/>
          <w:sz w:val="24"/>
          <w:szCs w:val="24"/>
          <w:highlight w:val="none"/>
        </w:rPr>
        <w:t xml:space="preserve">服务全部由符合政策要求的中小企业提供。具体情况如下： </w:t>
      </w:r>
    </w:p>
    <w:p>
      <w:pPr>
        <w:snapToGrid w:val="0"/>
        <w:spacing w:line="360" w:lineRule="auto"/>
        <w:ind w:firstLine="480" w:firstLineChars="200"/>
        <w:rPr>
          <w:rFonts w:hint="eastAsia" w:ascii="宋体" w:hAnsi="宋体" w:cs="宋体"/>
          <w:color w:val="auto"/>
          <w:sz w:val="24"/>
          <w:szCs w:val="24"/>
          <w:highlight w:val="none"/>
          <w:u w:val="single"/>
          <w:lang w:val="zh-CN"/>
        </w:rPr>
      </w:pP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zh-CN"/>
        </w:rPr>
        <w:t>南通市妇幼保健院食堂经营管理服务项目</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餐饮</w:t>
      </w:r>
      <w:r>
        <w:rPr>
          <w:rFonts w:hint="eastAsia" w:ascii="宋体" w:hAnsi="宋体" w:cs="宋体"/>
          <w:color w:val="auto"/>
          <w:sz w:val="24"/>
          <w:szCs w:val="24"/>
          <w:highlight w:val="none"/>
          <w:u w:val="single"/>
        </w:rPr>
        <w:t xml:space="preserve">业 </w:t>
      </w:r>
      <w:r>
        <w:rPr>
          <w:rFonts w:hint="eastAsia" w:ascii="宋体" w:hAnsi="宋体" w:cs="宋体"/>
          <w:color w:val="auto"/>
          <w:sz w:val="24"/>
          <w:szCs w:val="24"/>
          <w:highlight w:val="none"/>
        </w:rPr>
        <w:t>；承接企业为</w:t>
      </w:r>
      <w:r>
        <w:rPr>
          <w:rFonts w:hint="eastAsia" w:ascii="宋体" w:hAnsi="宋体" w:cs="宋体"/>
          <w:color w:val="auto"/>
          <w:sz w:val="24"/>
          <w:szCs w:val="24"/>
          <w:highlight w:val="none"/>
          <w:u w:val="single"/>
        </w:rPr>
        <w:t>（企业名称）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w:t>
      </w:r>
      <w:r>
        <w:rPr>
          <w:rFonts w:hint="eastAsia" w:ascii="宋体" w:hAnsi="宋体" w:cs="宋体"/>
          <w:color w:val="auto"/>
          <w:sz w:val="24"/>
          <w:szCs w:val="24"/>
          <w:highlight w:val="none"/>
          <w:vertAlign w:val="superscript"/>
        </w:rPr>
        <w:t xml:space="preserve"> </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（中型企业、小型企业、微型企业）</w:t>
      </w:r>
      <w:r>
        <w:rPr>
          <w:rFonts w:hint="eastAsia" w:ascii="宋体" w:hAnsi="宋体" w:cs="宋体"/>
          <w:color w:val="auto"/>
          <w:sz w:val="24"/>
          <w:szCs w:val="24"/>
          <w:highlight w:val="none"/>
        </w:rPr>
        <w:t>；</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以上企业，不属于大企业的分支机构，不存在控股股东为大企业的情形，也不存在与大企业的负责人为同</w:t>
      </w:r>
      <w:r>
        <w:rPr>
          <w:rFonts w:hint="eastAsia" w:ascii="宋体" w:hAnsi="宋体" w:eastAsia="宋体" w:cs="宋体"/>
          <w:color w:val="auto"/>
          <w:sz w:val="24"/>
          <w:szCs w:val="24"/>
          <w:highlight w:val="none"/>
        </w:rPr>
        <w:t xml:space="preserve">一人的情形。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Style w:val="93"/>
        <w:rPr>
          <w:rFonts w:hint="eastAsia" w:ascii="宋体" w:eastAsia="宋体" w:cs="宋体"/>
          <w:color w:val="auto"/>
          <w:sz w:val="24"/>
          <w:szCs w:val="24"/>
          <w:highlight w:val="none"/>
        </w:rPr>
      </w:pPr>
    </w:p>
    <w:p>
      <w:pPr>
        <w:pStyle w:val="95"/>
        <w:ind w:firstLine="420"/>
        <w:rPr>
          <w:color w:val="auto"/>
          <w:highlight w:val="none"/>
        </w:rPr>
      </w:pPr>
    </w:p>
    <w:p>
      <w:pPr>
        <w:snapToGrid w:val="0"/>
        <w:spacing w:line="480" w:lineRule="auto"/>
        <w:ind w:right="79" w:firstLine="4800" w:firstLineChars="2000"/>
        <w:textAlignment w:val="baseline"/>
        <w:rPr>
          <w:rFonts w:ascii="宋体" w:hAnsi="宋体" w:cs="宋体"/>
          <w:color w:val="auto"/>
          <w:sz w:val="24"/>
          <w:szCs w:val="24"/>
          <w:highlight w:val="none"/>
        </w:rPr>
      </w:pPr>
    </w:p>
    <w:p>
      <w:pPr>
        <w:pStyle w:val="20"/>
        <w:snapToGrid w:val="0"/>
        <w:spacing w:line="360" w:lineRule="auto"/>
        <w:ind w:right="415" w:firstLine="640"/>
        <w:textAlignment w:val="baseline"/>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en-US" w:eastAsia="zh-CN" w:bidi="ar-SA"/>
        </w:rPr>
        <w:t>竞争性磋商响应供应商：</w:t>
      </w:r>
      <w:r>
        <w:rPr>
          <w:rFonts w:hint="eastAsia" w:ascii="宋体" w:hAnsi="宋体" w:cs="宋体"/>
          <w:color w:val="auto"/>
          <w:kern w:val="2"/>
          <w:sz w:val="24"/>
          <w:szCs w:val="24"/>
          <w:highlight w:val="none"/>
          <w:lang w:val="en-US" w:eastAsia="zh-CN" w:bidi="ar-SA"/>
        </w:rPr>
        <w:t xml:space="preserve"> </w:t>
      </w:r>
      <w:r>
        <w:rPr>
          <w:rFonts w:hint="eastAsia" w:ascii="宋体" w:hAnsi="宋体" w:eastAsia="宋体" w:cs="宋体"/>
          <w:color w:val="auto"/>
          <w:kern w:val="2"/>
          <w:sz w:val="24"/>
          <w:szCs w:val="24"/>
          <w:highlight w:val="none"/>
          <w:lang w:val="en-US" w:eastAsia="zh-CN" w:bidi="ar-SA"/>
        </w:rPr>
        <w:t>（单位盖章）</w:t>
      </w:r>
    </w:p>
    <w:p>
      <w:pPr>
        <w:pStyle w:val="20"/>
        <w:snapToGrid w:val="0"/>
        <w:spacing w:line="360" w:lineRule="auto"/>
        <w:ind w:right="415" w:firstLine="64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法定代表人或被委托授权人：（签字或盖章）</w:t>
      </w:r>
    </w:p>
    <w:p>
      <w:pPr>
        <w:pStyle w:val="20"/>
        <w:snapToGrid w:val="0"/>
        <w:spacing w:line="360" w:lineRule="auto"/>
        <w:ind w:right="415" w:firstLine="64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日期：        年      月     日</w:t>
      </w:r>
    </w:p>
    <w:p>
      <w:pPr>
        <w:snapToGrid w:val="0"/>
        <w:spacing w:line="420" w:lineRule="exact"/>
        <w:ind w:firstLine="412" w:firstLineChars="206"/>
        <w:textAlignment w:val="baseline"/>
        <w:rPr>
          <w:rFonts w:ascii="宋体" w:hAnsi="宋体" w:cs="宋体"/>
          <w:color w:val="auto"/>
          <w:sz w:val="20"/>
          <w:highlight w:val="none"/>
        </w:rPr>
      </w:pPr>
    </w:p>
    <w:p>
      <w:pPr>
        <w:snapToGrid w:val="0"/>
        <w:spacing w:line="360" w:lineRule="auto"/>
        <w:ind w:firstLine="432" w:firstLineChars="206"/>
        <w:textAlignment w:val="baseline"/>
        <w:rPr>
          <w:rFonts w:ascii="宋体" w:hAnsi="宋体" w:cs="宋体"/>
          <w:color w:val="auto"/>
          <w:sz w:val="20"/>
          <w:highlight w:val="none"/>
        </w:rPr>
      </w:pPr>
      <w:r>
        <w:rPr>
          <w:rFonts w:hint="eastAsia" w:ascii="宋体" w:hAnsi="宋体" w:cs="宋体"/>
          <w:color w:val="auto"/>
          <w:highlight w:val="none"/>
        </w:rPr>
        <w:t>注：</w:t>
      </w:r>
    </w:p>
    <w:p>
      <w:pPr>
        <w:snapToGrid w:val="0"/>
        <w:spacing w:line="360" w:lineRule="auto"/>
        <w:ind w:firstLine="432" w:firstLineChars="206"/>
        <w:textAlignment w:val="baseline"/>
        <w:rPr>
          <w:rFonts w:ascii="宋体" w:hAnsi="宋体" w:cs="宋体"/>
          <w:color w:val="auto"/>
          <w:sz w:val="20"/>
          <w:highlight w:val="none"/>
        </w:rPr>
      </w:pPr>
      <w:r>
        <w:rPr>
          <w:rFonts w:hint="eastAsia" w:ascii="宋体" w:hAnsi="宋体" w:cs="宋体"/>
          <w:color w:val="auto"/>
          <w:highlight w:val="none"/>
        </w:rPr>
        <w:t>（1）从业人员、营业收入、资产总额填报上一年度数据，无上一年度数据的新成立企业可不填报。</w:t>
      </w:r>
    </w:p>
    <w:p>
      <w:pPr>
        <w:snapToGrid w:val="0"/>
        <w:spacing w:line="360" w:lineRule="auto"/>
        <w:ind w:firstLine="432" w:firstLineChars="206"/>
        <w:textAlignment w:val="baseline"/>
        <w:rPr>
          <w:rFonts w:hint="eastAsia" w:ascii="宋体" w:hAnsi="宋体" w:cs="宋体"/>
          <w:b/>
          <w:bCs/>
          <w:color w:val="auto"/>
          <w:highlight w:val="none"/>
        </w:rPr>
      </w:pPr>
      <w:r>
        <w:rPr>
          <w:rFonts w:hint="eastAsia" w:ascii="宋体" w:hAnsi="宋体" w:cs="宋体"/>
          <w:color w:val="auto"/>
          <w:highlight w:val="none"/>
        </w:rPr>
        <w:t>（2）</w:t>
      </w:r>
      <w:r>
        <w:rPr>
          <w:rFonts w:hint="eastAsia" w:ascii="宋体" w:hAnsi="宋体" w:cs="宋体"/>
          <w:b/>
          <w:bCs/>
          <w:color w:val="auto"/>
          <w:highlight w:val="none"/>
          <w:lang w:val="en-US" w:eastAsia="zh-CN"/>
        </w:rPr>
        <w:t>未</w:t>
      </w:r>
      <w:r>
        <w:rPr>
          <w:rFonts w:hint="eastAsia" w:ascii="宋体" w:hAnsi="宋体" w:cs="宋体"/>
          <w:b/>
          <w:bCs/>
          <w:color w:val="auto"/>
          <w:highlight w:val="none"/>
        </w:rPr>
        <w:t>提供“中小企业声明函”</w:t>
      </w:r>
      <w:r>
        <w:rPr>
          <w:rFonts w:hint="eastAsia" w:ascii="宋体" w:hAnsi="宋体" w:cs="宋体"/>
          <w:b/>
          <w:bCs/>
          <w:color w:val="auto"/>
          <w:highlight w:val="none"/>
          <w:lang w:val="en-US" w:eastAsia="zh-CN"/>
        </w:rPr>
        <w:t>视为不符合资格条件，本项目的资格审查不予通过</w:t>
      </w:r>
      <w:r>
        <w:rPr>
          <w:rFonts w:hint="eastAsia" w:ascii="宋体" w:hAnsi="宋体" w:cs="宋体"/>
          <w:b/>
          <w:bCs/>
          <w:color w:val="auto"/>
          <w:highlight w:val="none"/>
        </w:rPr>
        <w:t>。</w:t>
      </w:r>
    </w:p>
    <w:p>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（3）根据中小企业划型标准规定：</w:t>
      </w:r>
      <w:r>
        <w:rPr>
          <w:rFonts w:hint="eastAsia" w:ascii="宋体" w:hAnsi="宋体" w:cs="宋体"/>
          <w:color w:val="auto"/>
          <w:kern w:val="2"/>
          <w:sz w:val="21"/>
          <w:szCs w:val="21"/>
          <w:highlight w:val="none"/>
          <w:lang w:val="en-US" w:eastAsia="zh-CN" w:bidi="ar-SA"/>
        </w:rPr>
        <w:t>餐饮业的</w:t>
      </w:r>
      <w:r>
        <w:rPr>
          <w:rFonts w:hint="eastAsia" w:ascii="宋体" w:hAnsi="宋体" w:eastAsia="宋体" w:cs="宋体"/>
          <w:color w:val="auto"/>
          <w:kern w:val="2"/>
          <w:sz w:val="21"/>
          <w:szCs w:val="21"/>
          <w:highlight w:val="none"/>
          <w:lang w:val="en-US" w:eastAsia="zh-CN" w:bidi="ar-SA"/>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napToGrid w:val="0"/>
        <w:spacing w:line="420" w:lineRule="exact"/>
        <w:ind w:firstLine="414" w:firstLineChars="206"/>
        <w:textAlignment w:val="baseline"/>
        <w:rPr>
          <w:rFonts w:ascii="宋体" w:hAnsi="宋体" w:cs="宋体"/>
          <w:b/>
          <w:bCs/>
          <w:color w:val="auto"/>
          <w:sz w:val="20"/>
          <w:highlight w:val="none"/>
        </w:rPr>
      </w:pP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5、现场勘察承诺函</w:t>
      </w:r>
    </w:p>
    <w:p>
      <w:pPr>
        <w:spacing w:line="560" w:lineRule="exact"/>
        <w:rPr>
          <w:rFonts w:hint="eastAsia" w:ascii="宋体" w:hAnsi="宋体" w:cs="宋体"/>
          <w:color w:val="auto"/>
          <w:sz w:val="24"/>
          <w:highlight w:val="none"/>
          <w:u w:val="single"/>
        </w:rPr>
      </w:pPr>
      <w:r>
        <w:rPr>
          <w:rFonts w:hint="eastAsia" w:ascii="宋体" w:hAnsi="宋体" w:cs="宋体"/>
          <w:color w:val="auto"/>
          <w:sz w:val="24"/>
          <w:szCs w:val="24"/>
          <w:highlight w:val="none"/>
          <w:u w:val="single"/>
          <w:lang w:eastAsia="zh-CN"/>
        </w:rPr>
        <w:t>南通市妇幼保健院</w:t>
      </w:r>
      <w:r>
        <w:rPr>
          <w:rFonts w:hint="eastAsia" w:ascii="宋体" w:hAnsi="宋体" w:cs="宋体"/>
          <w:color w:val="auto"/>
          <w:sz w:val="24"/>
          <w:highlight w:val="none"/>
          <w:u w:val="single"/>
        </w:rPr>
        <w:t>：</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依据贵单位</w:t>
      </w:r>
      <w:r>
        <w:rPr>
          <w:rFonts w:hint="eastAsia" w:ascii="宋体" w:hAnsi="宋体" w:cs="宋体"/>
          <w:color w:val="auto"/>
          <w:sz w:val="24"/>
          <w:highlight w:val="none"/>
          <w:u w:val="single"/>
          <w:lang w:eastAsia="zh-CN"/>
        </w:rPr>
        <w:t>南通市妇幼保健院食堂经营管理服务项目</w:t>
      </w:r>
      <w:r>
        <w:rPr>
          <w:rFonts w:hint="eastAsia" w:ascii="宋体" w:hAnsi="宋体" w:cs="宋体"/>
          <w:color w:val="auto"/>
          <w:sz w:val="24"/>
          <w:highlight w:val="none"/>
        </w:rPr>
        <w:t>磋商文件的要求。我方已对该项目进行了现场勘察，现就现场勘察情况做如下承诺：</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1、经现场勘察，我方已熟悉与该项目相关的服务范围、现场环境等所有情况。</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2、我方承诺自行承担本次现场勘察所发生的所有费用并承担勘察现场的相关责任和风险。</w:t>
      </w:r>
    </w:p>
    <w:p>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3、我方承诺在任何情况下均不以不完全了解现场情况为理由而向采购人提出任何索赔的要求。</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napToGrid w:val="0"/>
        <w:spacing w:line="360" w:lineRule="auto"/>
        <w:ind w:right="79" w:firstLine="3360" w:firstLineChars="1400"/>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竞争性磋商响应供应商：（单位盖章）</w:t>
      </w:r>
    </w:p>
    <w:p>
      <w:pPr>
        <w:snapToGrid w:val="0"/>
        <w:spacing w:line="360" w:lineRule="auto"/>
        <w:ind w:firstLine="3360" w:firstLineChars="14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法定代表人或被授权人（签字或盖章）：            </w:t>
      </w:r>
    </w:p>
    <w:p>
      <w:pPr>
        <w:adjustRightInd w:val="0"/>
        <w:snapToGrid w:val="0"/>
        <w:spacing w:line="480" w:lineRule="auto"/>
        <w:ind w:firstLine="3360" w:firstLineChars="1400"/>
        <w:jc w:val="left"/>
        <w:rPr>
          <w:rFonts w:ascii="宋体" w:hAnsi="宋体"/>
          <w:color w:val="auto"/>
          <w:sz w:val="24"/>
          <w:highlight w:val="none"/>
        </w:rPr>
      </w:pPr>
      <w:r>
        <w:rPr>
          <w:rFonts w:hint="eastAsia" w:ascii="宋体" w:hAnsi="宋体" w:cs="宋体"/>
          <w:color w:val="auto"/>
          <w:sz w:val="24"/>
          <w:szCs w:val="24"/>
          <w:highlight w:val="none"/>
        </w:rPr>
        <w:t>日期：  年  月  日</w:t>
      </w:r>
    </w:p>
    <w:p>
      <w:pPr>
        <w:spacing w:line="360" w:lineRule="auto"/>
        <w:jc w:val="center"/>
        <w:rPr>
          <w:rFonts w:ascii="宋体"/>
          <w:b/>
          <w:bCs/>
          <w:color w:val="auto"/>
          <w:sz w:val="28"/>
          <w:szCs w:val="28"/>
          <w:highlight w:val="none"/>
        </w:rPr>
      </w:pPr>
      <w:r>
        <w:rPr>
          <w:color w:val="auto"/>
          <w:highlight w:val="none"/>
        </w:rPr>
        <w:br w:type="page"/>
      </w:r>
      <w:r>
        <w:rPr>
          <w:rFonts w:hint="eastAsia" w:ascii="宋体" w:hAnsi="宋体" w:cs="宋体"/>
          <w:b/>
          <w:bCs/>
          <w:color w:val="auto"/>
          <w:sz w:val="28"/>
          <w:szCs w:val="28"/>
          <w:highlight w:val="none"/>
        </w:rPr>
        <w:t>6、无重大违法记录声明</w:t>
      </w:r>
    </w:p>
    <w:p>
      <w:pPr>
        <w:spacing w:line="560" w:lineRule="exact"/>
        <w:rPr>
          <w:rFonts w:ascii="宋体"/>
          <w:color w:val="auto"/>
          <w:sz w:val="24"/>
          <w:szCs w:val="24"/>
          <w:highlight w:val="none"/>
          <w:u w:val="single"/>
        </w:rPr>
      </w:pPr>
      <w:r>
        <w:rPr>
          <w:rFonts w:hint="eastAsia" w:ascii="宋体" w:hAnsi="宋体" w:cs="宋体"/>
          <w:color w:val="auto"/>
          <w:sz w:val="24"/>
          <w:szCs w:val="24"/>
          <w:highlight w:val="none"/>
          <w:u w:val="single"/>
          <w:lang w:eastAsia="zh-CN"/>
        </w:rPr>
        <w:t>南通市妇幼保健院</w:t>
      </w:r>
      <w:r>
        <w:rPr>
          <w:rFonts w:hint="eastAsia" w:ascii="宋体" w:hAnsi="宋体" w:cs="宋体"/>
          <w:color w:val="auto"/>
          <w:sz w:val="24"/>
          <w:szCs w:val="24"/>
          <w:highlight w:val="none"/>
          <w:u w:val="single"/>
        </w:rPr>
        <w:t>：</w:t>
      </w:r>
    </w:p>
    <w:p>
      <w:pPr>
        <w:spacing w:line="360" w:lineRule="auto"/>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我单位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（供应商名称）郑重声明：</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参加政府采购活动前</w:t>
      </w:r>
      <w:r>
        <w:rPr>
          <w:rFonts w:ascii="宋体" w:hAnsi="宋体" w:cs="宋体"/>
          <w:color w:val="auto"/>
          <w:sz w:val="24"/>
          <w:szCs w:val="24"/>
          <w:highlight w:val="none"/>
        </w:rPr>
        <w:t>3</w:t>
      </w:r>
      <w:r>
        <w:rPr>
          <w:rFonts w:hint="eastAsia" w:ascii="宋体" w:hAnsi="宋体" w:cs="宋体"/>
          <w:color w:val="auto"/>
          <w:sz w:val="24"/>
          <w:szCs w:val="24"/>
          <w:highlight w:val="none"/>
        </w:rPr>
        <w:t>年内在经营活动中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（在下划线上如实填写：有或没有）重大违法记录。</w:t>
      </w:r>
    </w:p>
    <w:p>
      <w:pPr>
        <w:pStyle w:val="92"/>
        <w:spacing w:line="360" w:lineRule="auto"/>
        <w:ind w:firstLine="480"/>
        <w:rPr>
          <w:rFonts w:hint="eastAsia" w:eastAsia="宋体"/>
          <w:color w:val="auto"/>
          <w:highlight w:val="none"/>
          <w:lang w:eastAsia="zh-CN"/>
        </w:rPr>
      </w:pPr>
      <w:r>
        <w:rPr>
          <w:rFonts w:hint="eastAsia" w:ascii="宋体" w:hAnsi="宋体" w:eastAsia="宋体" w:cs="Arial"/>
          <w:color w:val="auto"/>
          <w:sz w:val="24"/>
          <w:szCs w:val="24"/>
          <w:highlight w:val="none"/>
        </w:rPr>
        <w:t>自2018年</w:t>
      </w:r>
      <w:r>
        <w:rPr>
          <w:rFonts w:hint="eastAsia" w:ascii="宋体" w:hAnsi="宋体" w:eastAsia="宋体" w:cs="Arial"/>
          <w:color w:val="auto"/>
          <w:sz w:val="24"/>
          <w:szCs w:val="24"/>
          <w:highlight w:val="none"/>
          <w:lang w:val="en-US" w:eastAsia="zh-CN"/>
        </w:rPr>
        <w:t>1</w:t>
      </w:r>
      <w:r>
        <w:rPr>
          <w:rFonts w:hint="eastAsia" w:ascii="宋体" w:hAnsi="宋体" w:eastAsia="宋体" w:cs="Arial"/>
          <w:color w:val="auto"/>
          <w:sz w:val="24"/>
          <w:szCs w:val="24"/>
          <w:highlight w:val="none"/>
        </w:rPr>
        <w:t>月1日以来在餐饮经营中信誉良好、遵纪守法、诚信明礼，无食品中毒、违纪、违法等不良记录</w:t>
      </w:r>
      <w:r>
        <w:rPr>
          <w:rFonts w:hint="eastAsia" w:ascii="宋体" w:hAnsi="宋体" w:eastAsia="宋体" w:cs="Arial"/>
          <w:color w:val="auto"/>
          <w:sz w:val="24"/>
          <w:szCs w:val="24"/>
          <w:highlight w:val="none"/>
          <w:lang w:eastAsia="zh-CN"/>
        </w:rPr>
        <w:t>。</w:t>
      </w:r>
    </w:p>
    <w:p>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（说明：政府采购法第二十二条第一款第五项所称重大违法记录，是指供应商因违法经营受到刑事处罚或者责令停产停业、吊销许可证或者执照、较大数额罚款等行政处罚。）</w:t>
      </w:r>
    </w:p>
    <w:p>
      <w:pPr>
        <w:pStyle w:val="92"/>
        <w:rPr>
          <w:color w:val="auto"/>
          <w:highlight w:val="none"/>
        </w:rPr>
      </w:pPr>
    </w:p>
    <w:p>
      <w:pPr>
        <w:spacing w:line="420" w:lineRule="exact"/>
        <w:rPr>
          <w:rFonts w:ascii="宋体"/>
          <w:color w:val="auto"/>
          <w:sz w:val="24"/>
          <w:szCs w:val="24"/>
          <w:highlight w:val="none"/>
        </w:rPr>
      </w:pPr>
      <w:r>
        <w:rPr>
          <w:rFonts w:ascii="宋体" w:hAnsi="宋体" w:cs="宋体"/>
          <w:color w:val="auto"/>
          <w:sz w:val="24"/>
          <w:szCs w:val="24"/>
          <w:highlight w:val="none"/>
        </w:rPr>
        <w:t xml:space="preserve">                                                       </w:t>
      </w:r>
    </w:p>
    <w:p>
      <w:pPr>
        <w:spacing w:line="420" w:lineRule="exact"/>
        <w:ind w:firstLine="6360" w:firstLineChars="2650"/>
        <w:rPr>
          <w:color w:val="auto"/>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声明人：（公章）</w:t>
      </w:r>
    </w:p>
    <w:p>
      <w:pPr>
        <w:spacing w:line="420" w:lineRule="exact"/>
        <w:ind w:firstLine="6480" w:firstLineChars="2700"/>
        <w:rPr>
          <w:rFonts w:ascii="宋体"/>
          <w:color w:val="auto"/>
          <w:sz w:val="24"/>
          <w:szCs w:val="24"/>
          <w:highlight w:val="none"/>
        </w:rPr>
      </w:pPr>
      <w:r>
        <w:rPr>
          <w:rFonts w:hint="eastAsia" w:ascii="宋体" w:hAnsi="宋体" w:cs="宋体"/>
          <w:color w:val="auto"/>
          <w:sz w:val="24"/>
          <w:szCs w:val="24"/>
          <w:highlight w:val="none"/>
        </w:rPr>
        <w:t>日期：  年  月  日</w:t>
      </w:r>
    </w:p>
    <w:p>
      <w:pPr>
        <w:snapToGrid w:val="0"/>
        <w:spacing w:line="360" w:lineRule="auto"/>
        <w:jc w:val="center"/>
        <w:outlineLvl w:val="4"/>
        <w:rPr>
          <w:rFonts w:hint="default" w:ascii="宋体"/>
          <w:b/>
          <w:bCs/>
          <w:color w:val="auto"/>
          <w:sz w:val="28"/>
          <w:szCs w:val="28"/>
          <w:highlight w:val="none"/>
          <w:lang w:val="en-US"/>
        </w:rPr>
      </w:pPr>
      <w:r>
        <w:rPr>
          <w:rFonts w:ascii="宋体"/>
          <w:b/>
          <w:bCs/>
          <w:color w:val="auto"/>
          <w:sz w:val="28"/>
          <w:szCs w:val="28"/>
          <w:highlight w:val="none"/>
        </w:rPr>
        <w:br w:type="page"/>
      </w:r>
      <w:r>
        <w:rPr>
          <w:rFonts w:hint="eastAsia" w:ascii="宋体"/>
          <w:b/>
          <w:bCs/>
          <w:color w:val="auto"/>
          <w:sz w:val="28"/>
          <w:szCs w:val="28"/>
          <w:highlight w:val="none"/>
        </w:rPr>
        <w:t>7</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具有履行合同所必需的设备和专业技术能力的声明函</w:t>
      </w:r>
    </w:p>
    <w:p>
      <w:pPr>
        <w:snapToGrid w:val="0"/>
        <w:spacing w:line="360" w:lineRule="auto"/>
        <w:rPr>
          <w:rFonts w:ascii="宋体"/>
          <w:color w:val="auto"/>
          <w:sz w:val="24"/>
          <w:szCs w:val="24"/>
          <w:highlight w:val="none"/>
          <w:u w:val="single"/>
        </w:rPr>
      </w:pPr>
    </w:p>
    <w:p>
      <w:pPr>
        <w:snapToGrid w:val="0"/>
        <w:spacing w:line="360" w:lineRule="auto"/>
        <w:rPr>
          <w:rFonts w:ascii="宋体"/>
          <w:color w:val="auto"/>
          <w:sz w:val="24"/>
          <w:szCs w:val="24"/>
          <w:highlight w:val="none"/>
          <w:u w:val="single"/>
        </w:rPr>
      </w:pPr>
    </w:p>
    <w:p>
      <w:pPr>
        <w:snapToGrid w:val="0"/>
        <w:spacing w:line="360" w:lineRule="auto"/>
        <w:rPr>
          <w:rFonts w:ascii="宋体"/>
          <w:color w:val="auto"/>
          <w:sz w:val="24"/>
          <w:szCs w:val="24"/>
          <w:highlight w:val="none"/>
          <w:u w:val="single"/>
        </w:rPr>
      </w:pPr>
      <w:r>
        <w:rPr>
          <w:rFonts w:hint="eastAsia" w:ascii="宋体" w:hAnsi="宋体" w:cs="宋体"/>
          <w:color w:val="auto"/>
          <w:sz w:val="24"/>
          <w:szCs w:val="24"/>
          <w:highlight w:val="none"/>
          <w:u w:val="single"/>
          <w:lang w:eastAsia="zh-CN"/>
        </w:rPr>
        <w:t>南通市妇幼保健院</w:t>
      </w:r>
      <w:r>
        <w:rPr>
          <w:rFonts w:hint="eastAsia" w:ascii="宋体" w:hAnsi="宋体" w:cs="宋体"/>
          <w:color w:val="auto"/>
          <w:sz w:val="24"/>
          <w:szCs w:val="24"/>
          <w:highlight w:val="none"/>
          <w:u w:val="single"/>
        </w:rPr>
        <w:t>：</w:t>
      </w:r>
    </w:p>
    <w:p>
      <w:pPr>
        <w:overflowPunct w:val="0"/>
        <w:adjustRightInd w:val="0"/>
        <w:spacing w:line="360" w:lineRule="auto"/>
        <w:ind w:firstLine="660"/>
        <w:jc w:val="both"/>
        <w:textAlignment w:val="baseline"/>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本公司愿就由贵单位组织实施的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（项目名称及项目编号</w:t>
      </w:r>
      <w:r>
        <w:rPr>
          <w:rFonts w:ascii="宋体" w:hAnsi="宋体" w:cs="宋体"/>
          <w:color w:val="auto"/>
          <w:sz w:val="24"/>
          <w:szCs w:val="24"/>
          <w:highlight w:val="none"/>
        </w:rPr>
        <w:t>)</w:t>
      </w:r>
      <w:r>
        <w:rPr>
          <w:rFonts w:hint="eastAsia" w:ascii="宋体" w:hAnsi="宋体" w:cs="宋体"/>
          <w:color w:val="auto"/>
          <w:sz w:val="24"/>
          <w:szCs w:val="24"/>
          <w:highlight w:val="none"/>
        </w:rPr>
        <w:t>的活动参与磋商。本公司</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（在下划线上如实填写：有或没有）履行</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rPr>
        <w:t>合同所必需的设备和专业技术能力</w:t>
      </w:r>
      <w:r>
        <w:rPr>
          <w:rFonts w:hint="eastAsia" w:ascii="宋体" w:hAnsi="宋体" w:cs="宋体"/>
          <w:color w:val="auto"/>
          <w:sz w:val="24"/>
          <w:szCs w:val="24"/>
          <w:highlight w:val="none"/>
          <w:lang w:eastAsia="zh-CN"/>
        </w:rPr>
        <w:t>。</w:t>
      </w:r>
    </w:p>
    <w:p>
      <w:pPr>
        <w:overflowPunct w:val="0"/>
        <w:adjustRightInd w:val="0"/>
        <w:spacing w:line="360" w:lineRule="auto"/>
        <w:ind w:firstLine="420"/>
        <w:jc w:val="left"/>
        <w:textAlignment w:val="baseline"/>
        <w:rPr>
          <w:rFonts w:ascii="宋体"/>
          <w:color w:val="auto"/>
          <w:sz w:val="24"/>
          <w:szCs w:val="24"/>
          <w:highlight w:val="none"/>
        </w:rPr>
      </w:pPr>
    </w:p>
    <w:p>
      <w:pPr>
        <w:overflowPunct w:val="0"/>
        <w:adjustRightInd w:val="0"/>
        <w:spacing w:line="360" w:lineRule="auto"/>
        <w:ind w:firstLine="420"/>
        <w:jc w:val="left"/>
        <w:textAlignment w:val="baseline"/>
        <w:rPr>
          <w:rFonts w:ascii="宋体"/>
          <w:color w:val="auto"/>
          <w:sz w:val="24"/>
          <w:szCs w:val="24"/>
          <w:highlight w:val="none"/>
        </w:rPr>
      </w:pPr>
    </w:p>
    <w:p>
      <w:pPr>
        <w:snapToGrid w:val="0"/>
        <w:spacing w:line="520" w:lineRule="exact"/>
        <w:jc w:val="right"/>
        <w:rPr>
          <w:rFonts w:ascii="宋体"/>
          <w:color w:val="auto"/>
          <w:sz w:val="24"/>
          <w:szCs w:val="24"/>
          <w:highlight w:val="none"/>
        </w:rPr>
      </w:pPr>
      <w:r>
        <w:rPr>
          <w:rFonts w:hint="eastAsia" w:ascii="宋体" w:hAnsi="宋体" w:cs="宋体"/>
          <w:color w:val="auto"/>
          <w:sz w:val="24"/>
          <w:szCs w:val="24"/>
          <w:highlight w:val="none"/>
        </w:rPr>
        <w:t>竞争性磋商响应单位：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（加盖公章）</w:t>
      </w:r>
    </w:p>
    <w:p>
      <w:pPr>
        <w:snapToGrid w:val="0"/>
        <w:spacing w:line="520" w:lineRule="exact"/>
        <w:ind w:firstLine="2400" w:firstLineChars="1000"/>
        <w:jc w:val="right"/>
        <w:rPr>
          <w:rFonts w:ascii="宋体"/>
          <w:color w:val="auto"/>
          <w:sz w:val="24"/>
          <w:szCs w:val="24"/>
          <w:highlight w:val="none"/>
        </w:rPr>
      </w:pPr>
      <w:r>
        <w:rPr>
          <w:rFonts w:hint="eastAsia" w:ascii="宋体" w:hAnsi="宋体" w:cs="宋体"/>
          <w:color w:val="auto"/>
          <w:sz w:val="24"/>
          <w:szCs w:val="24"/>
          <w:highlight w:val="none"/>
        </w:rPr>
        <w:t>法定代表人或被授权人：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napToGrid w:val="0"/>
        <w:spacing w:line="520" w:lineRule="exact"/>
        <w:jc w:val="center"/>
        <w:rPr>
          <w:rFonts w:ascii="宋体"/>
          <w:color w:val="auto"/>
          <w:sz w:val="24"/>
          <w:szCs w:val="24"/>
          <w:highlight w:val="none"/>
        </w:rPr>
      </w:pPr>
      <w:r>
        <w:rPr>
          <w:rFonts w:hint="eastAsia" w:ascii="宋体" w:hAnsi="宋体" w:cs="宋体"/>
          <w:color w:val="auto"/>
          <w:sz w:val="24"/>
          <w:szCs w:val="24"/>
          <w:highlight w:val="none"/>
        </w:rPr>
        <w:t xml:space="preserve">    日期：  年  月  日</w:t>
      </w:r>
    </w:p>
    <w:p>
      <w:pPr>
        <w:snapToGrid w:val="0"/>
        <w:spacing w:line="520" w:lineRule="exact"/>
        <w:jc w:val="center"/>
        <w:outlineLvl w:val="3"/>
        <w:rPr>
          <w:rFonts w:ascii="宋体"/>
          <w:b/>
          <w:bCs/>
          <w:color w:val="auto"/>
          <w:sz w:val="28"/>
          <w:szCs w:val="28"/>
          <w:highlight w:val="none"/>
        </w:rPr>
      </w:pPr>
    </w:p>
    <w:p>
      <w:pPr>
        <w:snapToGrid w:val="0"/>
        <w:spacing w:line="360" w:lineRule="auto"/>
        <w:jc w:val="center"/>
        <w:outlineLvl w:val="4"/>
        <w:rPr>
          <w:rFonts w:hint="eastAsia" w:ascii="宋体" w:hAnsi="宋体" w:cs="宋体"/>
          <w:b/>
          <w:bCs/>
          <w:color w:val="auto"/>
          <w:sz w:val="28"/>
          <w:szCs w:val="28"/>
          <w:highlight w:val="none"/>
        </w:rPr>
      </w:pPr>
    </w:p>
    <w:p>
      <w:pPr>
        <w:snapToGrid w:val="0"/>
        <w:spacing w:line="360" w:lineRule="auto"/>
        <w:jc w:val="center"/>
        <w:outlineLvl w:val="4"/>
        <w:rPr>
          <w:rFonts w:hint="eastAsia" w:ascii="宋体" w:hAnsi="宋体" w:cs="宋体"/>
          <w:b/>
          <w:bCs/>
          <w:color w:val="auto"/>
          <w:sz w:val="28"/>
          <w:szCs w:val="28"/>
          <w:highlight w:val="none"/>
        </w:rPr>
      </w:pP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napToGrid w:val="0"/>
        <w:spacing w:line="360" w:lineRule="auto"/>
        <w:jc w:val="center"/>
        <w:outlineLvl w:val="4"/>
        <w:rPr>
          <w:rFonts w:ascii="宋体"/>
          <w:b/>
          <w:bCs/>
          <w:color w:val="auto"/>
          <w:sz w:val="28"/>
          <w:szCs w:val="28"/>
          <w:highlight w:val="none"/>
        </w:rPr>
      </w:pPr>
      <w:r>
        <w:rPr>
          <w:rFonts w:hint="eastAsia" w:ascii="宋体" w:hAnsi="宋体" w:cs="宋体"/>
          <w:b/>
          <w:bCs/>
          <w:color w:val="auto"/>
          <w:sz w:val="28"/>
          <w:szCs w:val="28"/>
          <w:highlight w:val="none"/>
          <w:lang w:val="en-US" w:eastAsia="zh-CN"/>
        </w:rPr>
        <w:t>8、</w:t>
      </w:r>
      <w:r>
        <w:rPr>
          <w:rFonts w:hint="eastAsia" w:ascii="宋体" w:hAnsi="宋体" w:cs="宋体"/>
          <w:b/>
          <w:bCs/>
          <w:color w:val="auto"/>
          <w:sz w:val="28"/>
          <w:szCs w:val="28"/>
          <w:highlight w:val="none"/>
        </w:rPr>
        <w:t>关于资格文件的声明函</w:t>
      </w:r>
    </w:p>
    <w:p>
      <w:pPr>
        <w:snapToGrid w:val="0"/>
        <w:spacing w:line="360" w:lineRule="auto"/>
        <w:rPr>
          <w:rFonts w:ascii="宋体"/>
          <w:color w:val="auto"/>
          <w:sz w:val="24"/>
          <w:szCs w:val="24"/>
          <w:highlight w:val="none"/>
          <w:u w:val="single"/>
        </w:rPr>
      </w:pPr>
    </w:p>
    <w:p>
      <w:pPr>
        <w:snapToGrid w:val="0"/>
        <w:spacing w:line="360" w:lineRule="auto"/>
        <w:rPr>
          <w:rFonts w:ascii="宋体"/>
          <w:color w:val="auto"/>
          <w:sz w:val="24"/>
          <w:szCs w:val="24"/>
          <w:highlight w:val="none"/>
          <w:u w:val="single"/>
        </w:rPr>
      </w:pPr>
    </w:p>
    <w:p>
      <w:pPr>
        <w:snapToGrid w:val="0"/>
        <w:spacing w:line="360" w:lineRule="auto"/>
        <w:rPr>
          <w:rFonts w:ascii="宋体"/>
          <w:color w:val="auto"/>
          <w:sz w:val="24"/>
          <w:szCs w:val="24"/>
          <w:highlight w:val="none"/>
          <w:u w:val="single"/>
        </w:rPr>
      </w:pPr>
      <w:r>
        <w:rPr>
          <w:rFonts w:hint="eastAsia" w:ascii="宋体" w:hAnsi="宋体" w:cs="宋体"/>
          <w:color w:val="auto"/>
          <w:sz w:val="24"/>
          <w:szCs w:val="24"/>
          <w:highlight w:val="none"/>
          <w:u w:val="single"/>
          <w:lang w:eastAsia="zh-CN"/>
        </w:rPr>
        <w:t>南通市妇幼保健院</w:t>
      </w:r>
      <w:r>
        <w:rPr>
          <w:rFonts w:hint="eastAsia" w:ascii="宋体" w:hAnsi="宋体" w:cs="宋体"/>
          <w:color w:val="auto"/>
          <w:sz w:val="24"/>
          <w:szCs w:val="24"/>
          <w:highlight w:val="none"/>
          <w:u w:val="single"/>
        </w:rPr>
        <w:t>：</w:t>
      </w:r>
    </w:p>
    <w:p>
      <w:pPr>
        <w:overflowPunct w:val="0"/>
        <w:adjustRightInd w:val="0"/>
        <w:spacing w:line="360" w:lineRule="auto"/>
        <w:ind w:firstLine="660"/>
        <w:jc w:val="left"/>
        <w:textAlignment w:val="baseline"/>
        <w:rPr>
          <w:rFonts w:ascii="宋体"/>
          <w:color w:val="auto"/>
          <w:sz w:val="24"/>
          <w:szCs w:val="24"/>
          <w:highlight w:val="none"/>
        </w:rPr>
      </w:pPr>
      <w:r>
        <w:rPr>
          <w:rFonts w:hint="eastAsia" w:ascii="宋体" w:hAnsi="宋体" w:cs="宋体"/>
          <w:color w:val="auto"/>
          <w:sz w:val="24"/>
          <w:szCs w:val="24"/>
          <w:highlight w:val="none"/>
        </w:rPr>
        <w:t>本公司愿就由贵单位组织实施的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（项目名称及项目编号</w:t>
      </w:r>
      <w:r>
        <w:rPr>
          <w:rFonts w:ascii="宋体" w:hAnsi="宋体" w:cs="宋体"/>
          <w:color w:val="auto"/>
          <w:sz w:val="24"/>
          <w:szCs w:val="24"/>
          <w:highlight w:val="none"/>
        </w:rPr>
        <w:t>)</w:t>
      </w:r>
      <w:r>
        <w:rPr>
          <w:rFonts w:hint="eastAsia" w:ascii="宋体" w:hAnsi="宋体" w:cs="宋体"/>
          <w:color w:val="auto"/>
          <w:sz w:val="24"/>
          <w:szCs w:val="24"/>
          <w:highlight w:val="none"/>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color w:val="auto"/>
          <w:sz w:val="24"/>
          <w:szCs w:val="24"/>
          <w:highlight w:val="none"/>
        </w:rPr>
      </w:pPr>
    </w:p>
    <w:p>
      <w:pPr>
        <w:overflowPunct w:val="0"/>
        <w:adjustRightInd w:val="0"/>
        <w:spacing w:line="360" w:lineRule="auto"/>
        <w:ind w:firstLine="420"/>
        <w:jc w:val="left"/>
        <w:textAlignment w:val="baseline"/>
        <w:rPr>
          <w:rFonts w:ascii="宋体"/>
          <w:color w:val="auto"/>
          <w:sz w:val="24"/>
          <w:szCs w:val="24"/>
          <w:highlight w:val="none"/>
        </w:rPr>
      </w:pPr>
    </w:p>
    <w:p>
      <w:pPr>
        <w:snapToGrid w:val="0"/>
        <w:spacing w:line="520" w:lineRule="exact"/>
        <w:jc w:val="right"/>
        <w:rPr>
          <w:rFonts w:ascii="宋体"/>
          <w:color w:val="auto"/>
          <w:sz w:val="24"/>
          <w:szCs w:val="24"/>
          <w:highlight w:val="none"/>
        </w:rPr>
      </w:pPr>
      <w:r>
        <w:rPr>
          <w:rFonts w:hint="eastAsia" w:ascii="宋体" w:hAnsi="宋体" w:cs="宋体"/>
          <w:color w:val="auto"/>
          <w:sz w:val="24"/>
          <w:szCs w:val="24"/>
          <w:highlight w:val="none"/>
        </w:rPr>
        <w:t>竞争性磋商响应单位：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（加盖公章）</w:t>
      </w:r>
    </w:p>
    <w:p>
      <w:pPr>
        <w:snapToGrid w:val="0"/>
        <w:spacing w:line="520" w:lineRule="exact"/>
        <w:ind w:firstLine="2400" w:firstLineChars="1000"/>
        <w:jc w:val="right"/>
        <w:rPr>
          <w:rFonts w:ascii="宋体"/>
          <w:color w:val="auto"/>
          <w:sz w:val="24"/>
          <w:szCs w:val="24"/>
          <w:highlight w:val="none"/>
        </w:rPr>
      </w:pPr>
      <w:r>
        <w:rPr>
          <w:rFonts w:hint="eastAsia" w:ascii="宋体" w:hAnsi="宋体" w:cs="宋体"/>
          <w:color w:val="auto"/>
          <w:sz w:val="24"/>
          <w:szCs w:val="24"/>
          <w:highlight w:val="none"/>
        </w:rPr>
        <w:t>法定代表人或被授权人：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napToGrid w:val="0"/>
        <w:spacing w:line="520" w:lineRule="exact"/>
        <w:jc w:val="center"/>
        <w:rPr>
          <w:rFonts w:ascii="宋体"/>
          <w:color w:val="auto"/>
          <w:sz w:val="24"/>
          <w:szCs w:val="24"/>
          <w:highlight w:val="none"/>
        </w:rPr>
      </w:pPr>
      <w:r>
        <w:rPr>
          <w:rFonts w:hint="eastAsia" w:ascii="宋体" w:hAnsi="宋体" w:cs="宋体"/>
          <w:color w:val="auto"/>
          <w:sz w:val="24"/>
          <w:szCs w:val="24"/>
          <w:highlight w:val="none"/>
        </w:rPr>
        <w:t xml:space="preserve">    日期：  年  月  日</w:t>
      </w:r>
    </w:p>
    <w:p>
      <w:pPr>
        <w:snapToGrid w:val="0"/>
        <w:spacing w:line="520" w:lineRule="exact"/>
        <w:jc w:val="center"/>
        <w:outlineLvl w:val="3"/>
        <w:rPr>
          <w:rFonts w:ascii="宋体"/>
          <w:b/>
          <w:bCs/>
          <w:color w:val="auto"/>
          <w:sz w:val="28"/>
          <w:szCs w:val="28"/>
          <w:highlight w:val="none"/>
        </w:rPr>
      </w:pPr>
    </w:p>
    <w:p>
      <w:pPr>
        <w:snapToGrid w:val="0"/>
        <w:spacing w:line="520" w:lineRule="exact"/>
        <w:jc w:val="center"/>
        <w:outlineLvl w:val="3"/>
        <w:rPr>
          <w:rFonts w:ascii="宋体"/>
          <w:b/>
          <w:bCs/>
          <w:color w:val="auto"/>
          <w:sz w:val="28"/>
          <w:szCs w:val="28"/>
          <w:highlight w:val="none"/>
        </w:rPr>
      </w:pPr>
    </w:p>
    <w:p>
      <w:pPr>
        <w:snapToGrid w:val="0"/>
        <w:spacing w:line="520" w:lineRule="exact"/>
        <w:jc w:val="center"/>
        <w:outlineLvl w:val="3"/>
        <w:rPr>
          <w:rFonts w:ascii="宋体"/>
          <w:b/>
          <w:bCs/>
          <w:color w:val="auto"/>
          <w:sz w:val="28"/>
          <w:szCs w:val="28"/>
          <w:highlight w:val="none"/>
        </w:rPr>
      </w:pPr>
    </w:p>
    <w:p>
      <w:pPr>
        <w:spacing w:line="360" w:lineRule="auto"/>
        <w:rPr>
          <w:rFonts w:ascii="宋体"/>
          <w:b/>
          <w:bCs/>
          <w:color w:val="auto"/>
          <w:sz w:val="30"/>
          <w:szCs w:val="30"/>
          <w:highlight w:val="none"/>
        </w:rPr>
      </w:pPr>
    </w:p>
    <w:p>
      <w:pPr>
        <w:snapToGrid w:val="0"/>
        <w:spacing w:line="520" w:lineRule="exact"/>
        <w:ind w:firstLine="420" w:firstLineChars="200"/>
        <w:jc w:val="center"/>
        <w:rPr>
          <w:rFonts w:ascii="宋体"/>
          <w:b/>
          <w:bCs/>
          <w:color w:val="auto"/>
          <w:sz w:val="28"/>
          <w:szCs w:val="28"/>
          <w:highlight w:val="none"/>
        </w:rPr>
      </w:pPr>
      <w:r>
        <w:rPr>
          <w:color w:val="auto"/>
          <w:highlight w:val="none"/>
        </w:rPr>
        <w:br w:type="page"/>
      </w:r>
      <w:r>
        <w:rPr>
          <w:rFonts w:hint="eastAsia" w:ascii="宋体" w:hAnsi="宋体" w:cs="宋体"/>
          <w:b/>
          <w:bCs/>
          <w:color w:val="auto"/>
          <w:sz w:val="28"/>
          <w:szCs w:val="28"/>
          <w:highlight w:val="none"/>
          <w:lang w:val="en-US" w:eastAsia="zh-CN"/>
        </w:rPr>
        <w:t>9</w:t>
      </w:r>
      <w:r>
        <w:rPr>
          <w:rFonts w:hint="eastAsia" w:ascii="宋体" w:hAnsi="宋体" w:cs="宋体"/>
          <w:b/>
          <w:bCs/>
          <w:color w:val="auto"/>
          <w:sz w:val="28"/>
          <w:szCs w:val="28"/>
          <w:highlight w:val="none"/>
        </w:rPr>
        <w:t>、竞争性磋商响应函（格式不得变动）</w:t>
      </w:r>
    </w:p>
    <w:p>
      <w:pPr>
        <w:snapToGrid w:val="0"/>
        <w:spacing w:line="520" w:lineRule="exact"/>
        <w:rPr>
          <w:rFonts w:ascii="宋体"/>
          <w:color w:val="auto"/>
          <w:sz w:val="24"/>
          <w:szCs w:val="24"/>
          <w:highlight w:val="none"/>
          <w:u w:val="single"/>
        </w:rPr>
      </w:pPr>
    </w:p>
    <w:p>
      <w:pPr>
        <w:snapToGrid w:val="0"/>
        <w:spacing w:line="520" w:lineRule="exact"/>
        <w:rPr>
          <w:rFonts w:ascii="宋体"/>
          <w:color w:val="auto"/>
          <w:sz w:val="24"/>
          <w:szCs w:val="24"/>
          <w:highlight w:val="none"/>
          <w:u w:val="single"/>
        </w:rPr>
      </w:pPr>
      <w:r>
        <w:rPr>
          <w:rFonts w:hint="eastAsia" w:ascii="宋体" w:hAnsi="宋体" w:cs="宋体"/>
          <w:color w:val="auto"/>
          <w:sz w:val="24"/>
          <w:szCs w:val="24"/>
          <w:highlight w:val="none"/>
          <w:u w:val="single"/>
          <w:lang w:eastAsia="zh-CN"/>
        </w:rPr>
        <w:t>南通市妇幼保健院</w:t>
      </w:r>
      <w:r>
        <w:rPr>
          <w:rFonts w:hint="eastAsia" w:ascii="宋体" w:hAnsi="宋体" w:cs="宋体"/>
          <w:color w:val="auto"/>
          <w:sz w:val="24"/>
          <w:szCs w:val="24"/>
          <w:highlight w:val="none"/>
          <w:u w:val="single"/>
        </w:rPr>
        <w:t>：</w:t>
      </w:r>
    </w:p>
    <w:p>
      <w:pPr>
        <w:snapToGrid w:val="0"/>
        <w:spacing w:line="52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依据贵单位委托代理机构组织的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（磋商项目名称及项目编号</w:t>
      </w:r>
      <w:r>
        <w:rPr>
          <w:rFonts w:ascii="宋体" w:hAnsi="宋体" w:cs="宋体"/>
          <w:color w:val="auto"/>
          <w:sz w:val="24"/>
          <w:szCs w:val="24"/>
          <w:highlight w:val="none"/>
        </w:rPr>
        <w:t>)</w:t>
      </w:r>
      <w:r>
        <w:rPr>
          <w:rFonts w:hint="eastAsia" w:ascii="宋体" w:hAnsi="宋体" w:cs="宋体"/>
          <w:color w:val="auto"/>
          <w:sz w:val="24"/>
          <w:szCs w:val="24"/>
          <w:highlight w:val="none"/>
        </w:rPr>
        <w:t>项目竞争性磋商的邀请，我方授权</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（职务）为全权代表参加该项目的磋商工作，全权处理本次竞争性磋商的有关事宜。同时，我公司声明如下：</w:t>
      </w:r>
    </w:p>
    <w:p>
      <w:pP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、我公司已毫无保留地向贵方提供一切所需的证明材料。</w:t>
      </w:r>
    </w:p>
    <w:p>
      <w:pP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、一旦成交，我方承诺无正当理由拒绝签订合同，将被贵方取消成交资格。</w:t>
      </w:r>
    </w:p>
    <w:p>
      <w:pPr>
        <w:snapToGrid w:val="0"/>
        <w:spacing w:line="520" w:lineRule="exact"/>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hint="eastAsia" w:ascii="宋体"/>
          <w:color w:val="auto"/>
          <w:sz w:val="24"/>
          <w:szCs w:val="24"/>
          <w:highlight w:val="none"/>
        </w:rPr>
      </w:pPr>
    </w:p>
    <w:p>
      <w:pPr>
        <w:pStyle w:val="20"/>
        <w:rPr>
          <w:color w:val="auto"/>
          <w:highlight w:val="none"/>
        </w:rPr>
      </w:pPr>
    </w:p>
    <w:p>
      <w:pPr>
        <w:snapToGrid w:val="0"/>
        <w:spacing w:line="360" w:lineRule="auto"/>
        <w:jc w:val="right"/>
        <w:rPr>
          <w:rFonts w:ascii="宋体"/>
          <w:color w:val="auto"/>
          <w:sz w:val="24"/>
          <w:szCs w:val="24"/>
          <w:highlight w:val="none"/>
        </w:rPr>
      </w:pPr>
      <w:r>
        <w:rPr>
          <w:rFonts w:hint="eastAsia" w:ascii="宋体" w:hAnsi="宋体" w:cs="宋体"/>
          <w:color w:val="auto"/>
          <w:sz w:val="24"/>
          <w:szCs w:val="24"/>
          <w:highlight w:val="none"/>
        </w:rPr>
        <w:t>竞争性磋商响应单位：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（加盖公章）</w:t>
      </w:r>
    </w:p>
    <w:p>
      <w:pPr>
        <w:snapToGrid w:val="0"/>
        <w:spacing w:line="360" w:lineRule="auto"/>
        <w:ind w:firstLine="2400" w:firstLineChars="1000"/>
        <w:jc w:val="right"/>
        <w:rPr>
          <w:rFonts w:ascii="宋体"/>
          <w:color w:val="auto"/>
          <w:sz w:val="24"/>
          <w:szCs w:val="24"/>
          <w:highlight w:val="none"/>
        </w:rPr>
      </w:pPr>
      <w:r>
        <w:rPr>
          <w:rFonts w:hint="eastAsia" w:ascii="宋体" w:hAnsi="宋体" w:cs="宋体"/>
          <w:color w:val="auto"/>
          <w:sz w:val="24"/>
          <w:szCs w:val="24"/>
          <w:highlight w:val="none"/>
        </w:rPr>
        <w:t>法定代表人或被授权人：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pPr>
        <w:snapToGrid w:val="0"/>
        <w:spacing w:line="360" w:lineRule="auto"/>
        <w:ind w:firstLine="3840" w:firstLineChars="1600"/>
        <w:rPr>
          <w:rFonts w:ascii="宋体"/>
          <w:color w:val="auto"/>
          <w:sz w:val="24"/>
          <w:szCs w:val="24"/>
          <w:highlight w:val="none"/>
        </w:rPr>
      </w:pPr>
      <w:r>
        <w:rPr>
          <w:rFonts w:hint="eastAsia" w:hAnsi="宋体"/>
          <w:color w:val="auto"/>
          <w:sz w:val="24"/>
          <w:highlight w:val="none"/>
          <w:lang w:val="zh-CN"/>
        </w:rPr>
        <w:t>日期：</w:t>
      </w:r>
      <w:r>
        <w:rPr>
          <w:rFonts w:hint="eastAsia"/>
          <w:color w:val="auto"/>
          <w:sz w:val="24"/>
          <w:highlight w:val="none"/>
        </w:rPr>
        <w:t xml:space="preserve">  </w:t>
      </w:r>
      <w:r>
        <w:rPr>
          <w:rFonts w:hint="eastAsia" w:hAnsi="宋体"/>
          <w:color w:val="auto"/>
          <w:sz w:val="24"/>
          <w:highlight w:val="none"/>
          <w:lang w:val="zh-CN"/>
        </w:rPr>
        <w:t>年</w:t>
      </w:r>
      <w:r>
        <w:rPr>
          <w:rFonts w:hint="eastAsia"/>
          <w:color w:val="auto"/>
          <w:sz w:val="24"/>
          <w:highlight w:val="none"/>
        </w:rPr>
        <w:t xml:space="preserve">   </w:t>
      </w:r>
      <w:r>
        <w:rPr>
          <w:rFonts w:hint="eastAsia" w:hAnsi="宋体"/>
          <w:color w:val="auto"/>
          <w:sz w:val="24"/>
          <w:highlight w:val="none"/>
          <w:lang w:val="zh-CN"/>
        </w:rPr>
        <w:t>月</w:t>
      </w:r>
      <w:r>
        <w:rPr>
          <w:rFonts w:hint="eastAsia"/>
          <w:color w:val="auto"/>
          <w:sz w:val="24"/>
          <w:highlight w:val="none"/>
        </w:rPr>
        <w:t xml:space="preserve">   </w:t>
      </w:r>
      <w:r>
        <w:rPr>
          <w:rFonts w:hint="eastAsia" w:hAnsi="宋体"/>
          <w:color w:val="auto"/>
          <w:sz w:val="24"/>
          <w:highlight w:val="none"/>
          <w:lang w:val="zh-CN"/>
        </w:rPr>
        <w:t>日</w:t>
      </w:r>
    </w:p>
    <w:p>
      <w:pPr>
        <w:snapToGrid w:val="0"/>
        <w:spacing w:line="520" w:lineRule="exact"/>
        <w:jc w:val="center"/>
        <w:outlineLvl w:val="3"/>
        <w:rPr>
          <w:rFonts w:ascii="宋体"/>
          <w:b/>
          <w:bCs/>
          <w:color w:val="auto"/>
          <w:sz w:val="28"/>
          <w:szCs w:val="28"/>
          <w:highlight w:val="none"/>
        </w:rPr>
      </w:pPr>
    </w:p>
    <w:p>
      <w:pPr>
        <w:snapToGrid w:val="0"/>
        <w:spacing w:line="520" w:lineRule="exact"/>
        <w:jc w:val="center"/>
        <w:outlineLvl w:val="3"/>
        <w:rPr>
          <w:rFonts w:ascii="宋体"/>
          <w:b/>
          <w:bCs/>
          <w:color w:val="auto"/>
          <w:sz w:val="28"/>
          <w:szCs w:val="28"/>
          <w:highlight w:val="none"/>
        </w:rPr>
      </w:pPr>
    </w:p>
    <w:p>
      <w:pPr>
        <w:widowControl/>
        <w:snapToGrid w:val="0"/>
        <w:jc w:val="center"/>
        <w:textAlignment w:val="baseline"/>
        <w:rPr>
          <w:rFonts w:hint="eastAsia" w:ascii="宋体" w:hAnsi="宋体" w:cs="宋体"/>
          <w:b/>
          <w:bCs/>
          <w:color w:val="auto"/>
          <w:sz w:val="28"/>
          <w:szCs w:val="28"/>
          <w:highlight w:val="none"/>
        </w:rPr>
      </w:pPr>
      <w:r>
        <w:rPr>
          <w:rFonts w:ascii="宋体"/>
          <w:b/>
          <w:bCs/>
          <w:color w:val="auto"/>
          <w:sz w:val="28"/>
          <w:szCs w:val="28"/>
          <w:highlight w:val="none"/>
        </w:rPr>
        <w:br w:type="page"/>
      </w:r>
      <w:r>
        <w:rPr>
          <w:rFonts w:hint="eastAsia" w:ascii="宋体"/>
          <w:b/>
          <w:bCs/>
          <w:color w:val="auto"/>
          <w:sz w:val="28"/>
          <w:szCs w:val="28"/>
          <w:highlight w:val="none"/>
          <w:lang w:val="en-US" w:eastAsia="zh-CN"/>
        </w:rPr>
        <w:t>10</w:t>
      </w:r>
      <w:r>
        <w:rPr>
          <w:rFonts w:hint="eastAsia" w:ascii="宋体" w:hAnsi="宋体" w:cs="宋体"/>
          <w:b/>
          <w:bCs/>
          <w:color w:val="auto"/>
          <w:sz w:val="28"/>
          <w:szCs w:val="28"/>
          <w:highlight w:val="none"/>
        </w:rPr>
        <w:t>、磋商响应报价总表</w:t>
      </w:r>
    </w:p>
    <w:p>
      <w:pPr>
        <w:pStyle w:val="20"/>
        <w:snapToGrid w:val="0"/>
        <w:textAlignment w:val="baseline"/>
        <w:rPr>
          <w:color w:val="auto"/>
          <w:highlight w:val="none"/>
        </w:rPr>
      </w:pPr>
    </w:p>
    <w:tbl>
      <w:tblPr>
        <w:tblStyle w:val="51"/>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588" w:type="dxa"/>
            <w:noWrap w:val="0"/>
            <w:vAlign w:val="center"/>
          </w:tcPr>
          <w:p>
            <w:pPr>
              <w:snapToGrid w:val="0"/>
              <w:spacing w:line="48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365" w:type="dxa"/>
            <w:noWrap w:val="0"/>
            <w:vAlign w:val="center"/>
          </w:tcPr>
          <w:p>
            <w:pPr>
              <w:snapToGrid w:val="0"/>
              <w:spacing w:line="48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zh-CN"/>
              </w:rPr>
              <w:t>南通市妇幼保健院食堂经营管理服务项目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88" w:type="dxa"/>
            <w:noWrap w:val="0"/>
            <w:vAlign w:val="center"/>
          </w:tcPr>
          <w:p>
            <w:pPr>
              <w:snapToGrid w:val="0"/>
              <w:spacing w:line="48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7365" w:type="dxa"/>
            <w:noWrap w:val="0"/>
            <w:vAlign w:val="center"/>
          </w:tcPr>
          <w:p>
            <w:pPr>
              <w:snapToGrid w:val="0"/>
              <w:spacing w:line="48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WLDL202207063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588" w:type="dxa"/>
            <w:noWrap w:val="0"/>
            <w:vAlign w:val="center"/>
          </w:tcPr>
          <w:p>
            <w:pPr>
              <w:snapToGrid w:val="0"/>
              <w:spacing w:line="48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磋商总价报价（首次）</w:t>
            </w:r>
          </w:p>
        </w:tc>
        <w:tc>
          <w:tcPr>
            <w:tcW w:w="7365" w:type="dxa"/>
            <w:noWrap w:val="0"/>
            <w:vAlign w:val="center"/>
          </w:tcPr>
          <w:p>
            <w:pPr>
              <w:numPr>
                <w:ilvl w:val="0"/>
                <w:numId w:val="0"/>
              </w:numPr>
              <w:snapToGrid w:val="0"/>
              <w:spacing w:line="420" w:lineRule="exact"/>
              <w:rPr>
                <w:rFonts w:hint="eastAsia" w:cs="宋体"/>
                <w:color w:val="auto"/>
                <w:sz w:val="24"/>
                <w:szCs w:val="24"/>
                <w:highlight w:val="none"/>
              </w:rPr>
            </w:pPr>
            <w:r>
              <w:rPr>
                <w:rFonts w:hint="eastAsia" w:cs="宋体"/>
                <w:color w:val="auto"/>
                <w:sz w:val="24"/>
                <w:szCs w:val="24"/>
                <w:highlight w:val="none"/>
              </w:rPr>
              <w:t>大写：</w:t>
            </w:r>
            <w:r>
              <w:rPr>
                <w:rFonts w:hint="eastAsia" w:ascii="宋体" w:hAnsi="宋体" w:cs="宋体"/>
                <w:snapToGrid w:val="0"/>
                <w:color w:val="auto"/>
                <w:sz w:val="24"/>
                <w:szCs w:val="24"/>
                <w:highlight w:val="none"/>
              </w:rPr>
              <w:t>人民币</w:t>
            </w:r>
            <w:r>
              <w:rPr>
                <w:rFonts w:hint="eastAsia" w:ascii="宋体" w:hAnsi="宋体" w:cs="宋体"/>
                <w:snapToGrid w:val="0"/>
                <w:color w:val="auto"/>
                <w:sz w:val="24"/>
                <w:szCs w:val="24"/>
                <w:highlight w:val="none"/>
                <w:u w:val="single"/>
              </w:rPr>
              <w:t xml:space="preserve">     拾    万    仟    佰   拾   元    角   分</w:t>
            </w:r>
            <w:r>
              <w:rPr>
                <w:rFonts w:hint="eastAsia" w:ascii="宋体" w:hAnsi="宋体" w:cs="宋体"/>
                <w:snapToGrid w:val="0"/>
                <w:color w:val="auto"/>
                <w:sz w:val="24"/>
                <w:szCs w:val="24"/>
                <w:highlight w:val="none"/>
              </w:rPr>
              <w:t>。</w:t>
            </w:r>
            <w:r>
              <w:rPr>
                <w:rFonts w:hint="eastAsia" w:cs="宋体"/>
                <w:color w:val="auto"/>
                <w:sz w:val="24"/>
                <w:szCs w:val="24"/>
                <w:highlight w:val="none"/>
              </w:rPr>
              <w:t xml:space="preserve"> </w:t>
            </w:r>
          </w:p>
          <w:p>
            <w:pPr>
              <w:snapToGrid w:val="0"/>
              <w:spacing w:line="420" w:lineRule="exact"/>
              <w:ind w:left="1130" w:hanging="1130" w:hangingChars="471"/>
              <w:textAlignment w:val="baseline"/>
              <w:rPr>
                <w:color w:val="auto"/>
                <w:sz w:val="20"/>
                <w:szCs w:val="22"/>
                <w:highlight w:val="none"/>
              </w:rPr>
            </w:pPr>
            <w:r>
              <w:rPr>
                <w:rFonts w:hint="eastAsia" w:cs="宋体"/>
                <w:color w:val="auto"/>
                <w:sz w:val="24"/>
                <w:szCs w:val="24"/>
                <w:highlight w:val="none"/>
              </w:rPr>
              <w:t>小写：￥</w:t>
            </w:r>
            <w:r>
              <w:rPr>
                <w:rFonts w:hint="eastAsia" w:cs="宋体"/>
                <w:color w:val="auto"/>
                <w:sz w:val="24"/>
                <w:szCs w:val="24"/>
                <w:highlight w:val="none"/>
                <w:u w:val="single"/>
              </w:rPr>
              <w:t xml:space="preserve">                 元。</w:t>
            </w:r>
            <w:r>
              <w:rPr>
                <w:rFonts w:hint="eastAsia"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2588" w:type="dxa"/>
            <w:noWrap w:val="0"/>
            <w:vAlign w:val="center"/>
          </w:tcPr>
          <w:p>
            <w:pPr>
              <w:snapToGrid w:val="0"/>
              <w:spacing w:line="48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磋商总价报价（最终）</w:t>
            </w:r>
          </w:p>
          <w:p>
            <w:pPr>
              <w:snapToGrid w:val="0"/>
              <w:spacing w:line="480" w:lineRule="exact"/>
              <w:jc w:val="center"/>
              <w:textAlignment w:val="baseline"/>
              <w:rPr>
                <w:color w:val="auto"/>
                <w:sz w:val="20"/>
                <w:szCs w:val="22"/>
                <w:highlight w:val="none"/>
              </w:rPr>
            </w:pPr>
            <w:r>
              <w:rPr>
                <w:rFonts w:hint="eastAsia" w:ascii="宋体" w:hAnsi="宋体" w:cs="宋体"/>
                <w:b/>
                <w:bCs/>
                <w:color w:val="auto"/>
                <w:sz w:val="24"/>
                <w:szCs w:val="24"/>
                <w:highlight w:val="none"/>
                <w:u w:val="single" w:color="000000"/>
              </w:rPr>
              <w:t>（磋商现场填写）</w:t>
            </w:r>
          </w:p>
        </w:tc>
        <w:tc>
          <w:tcPr>
            <w:tcW w:w="7365" w:type="dxa"/>
            <w:noWrap w:val="0"/>
            <w:vAlign w:val="center"/>
          </w:tcPr>
          <w:p>
            <w:pPr>
              <w:numPr>
                <w:ilvl w:val="0"/>
                <w:numId w:val="0"/>
              </w:numPr>
              <w:snapToGrid w:val="0"/>
              <w:spacing w:line="420" w:lineRule="exact"/>
              <w:rPr>
                <w:rFonts w:hint="eastAsia" w:cs="宋体"/>
                <w:color w:val="auto"/>
                <w:sz w:val="24"/>
                <w:szCs w:val="24"/>
                <w:highlight w:val="none"/>
              </w:rPr>
            </w:pPr>
            <w:r>
              <w:rPr>
                <w:rFonts w:hint="eastAsia" w:cs="宋体"/>
                <w:color w:val="auto"/>
                <w:sz w:val="24"/>
                <w:szCs w:val="24"/>
                <w:highlight w:val="none"/>
              </w:rPr>
              <w:t>大写：</w:t>
            </w:r>
            <w:r>
              <w:rPr>
                <w:rFonts w:hint="eastAsia" w:ascii="宋体" w:hAnsi="宋体" w:cs="宋体"/>
                <w:snapToGrid w:val="0"/>
                <w:color w:val="auto"/>
                <w:sz w:val="24"/>
                <w:szCs w:val="24"/>
                <w:highlight w:val="none"/>
              </w:rPr>
              <w:t>人民币</w:t>
            </w:r>
            <w:r>
              <w:rPr>
                <w:rFonts w:hint="eastAsia" w:ascii="宋体" w:hAnsi="宋体" w:cs="宋体"/>
                <w:snapToGrid w:val="0"/>
                <w:color w:val="auto"/>
                <w:sz w:val="24"/>
                <w:szCs w:val="24"/>
                <w:highlight w:val="none"/>
                <w:u w:val="single"/>
              </w:rPr>
              <w:t xml:space="preserve">     拾    万    仟    佰   拾   元    角   分</w:t>
            </w:r>
            <w:r>
              <w:rPr>
                <w:rFonts w:hint="eastAsia" w:ascii="宋体" w:hAnsi="宋体" w:cs="宋体"/>
                <w:snapToGrid w:val="0"/>
                <w:color w:val="auto"/>
                <w:sz w:val="24"/>
                <w:szCs w:val="24"/>
                <w:highlight w:val="none"/>
              </w:rPr>
              <w:t>。</w:t>
            </w:r>
            <w:r>
              <w:rPr>
                <w:rFonts w:hint="eastAsia" w:cs="宋体"/>
                <w:color w:val="auto"/>
                <w:sz w:val="24"/>
                <w:szCs w:val="24"/>
                <w:highlight w:val="none"/>
              </w:rPr>
              <w:t xml:space="preserve"> </w:t>
            </w:r>
          </w:p>
          <w:p>
            <w:pPr>
              <w:snapToGrid w:val="0"/>
              <w:spacing w:line="420" w:lineRule="exact"/>
              <w:ind w:left="1130" w:hanging="1130" w:hangingChars="471"/>
              <w:textAlignment w:val="baseline"/>
              <w:rPr>
                <w:rFonts w:cs="宋体"/>
                <w:color w:val="auto"/>
                <w:sz w:val="20"/>
                <w:szCs w:val="22"/>
                <w:highlight w:val="none"/>
              </w:rPr>
            </w:pPr>
            <w:r>
              <w:rPr>
                <w:rFonts w:hint="eastAsia" w:cs="宋体"/>
                <w:color w:val="auto"/>
                <w:sz w:val="24"/>
                <w:szCs w:val="24"/>
                <w:highlight w:val="none"/>
              </w:rPr>
              <w:t>小写：￥</w:t>
            </w:r>
            <w:r>
              <w:rPr>
                <w:rFonts w:hint="eastAsia" w:cs="宋体"/>
                <w:color w:val="auto"/>
                <w:sz w:val="24"/>
                <w:szCs w:val="24"/>
                <w:highlight w:val="none"/>
                <w:u w:val="single"/>
              </w:rPr>
              <w:t xml:space="preserve">                 元。</w:t>
            </w:r>
            <w:r>
              <w:rPr>
                <w:rFonts w:hint="eastAsia"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588" w:type="dxa"/>
            <w:noWrap w:val="0"/>
            <w:vAlign w:val="center"/>
          </w:tcPr>
          <w:p>
            <w:pPr>
              <w:snapToGrid w:val="0"/>
              <w:spacing w:line="48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付款条件</w:t>
            </w:r>
          </w:p>
        </w:tc>
        <w:tc>
          <w:tcPr>
            <w:tcW w:w="7365" w:type="dxa"/>
            <w:noWrap w:val="0"/>
            <w:vAlign w:val="center"/>
          </w:tcPr>
          <w:p>
            <w:pPr>
              <w:snapToGrid w:val="0"/>
              <w:spacing w:line="480" w:lineRule="exact"/>
              <w:jc w:val="center"/>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完全接受并响应本项目磋商文件的要求。</w:t>
            </w:r>
          </w:p>
        </w:tc>
      </w:tr>
    </w:tbl>
    <w:p>
      <w:pPr>
        <w:pStyle w:val="2"/>
        <w:snapToGrid w:val="0"/>
        <w:ind w:firstLine="0" w:firstLineChars="0"/>
        <w:textAlignment w:val="baseline"/>
        <w:rPr>
          <w:color w:val="auto"/>
          <w:szCs w:val="24"/>
          <w:highlight w:val="none"/>
        </w:rPr>
      </w:pPr>
    </w:p>
    <w:p>
      <w:pPr>
        <w:pStyle w:val="116"/>
        <w:snapToGrid w:val="0"/>
        <w:spacing w:line="360" w:lineRule="auto"/>
        <w:textAlignment w:val="baseline"/>
        <w:rPr>
          <w:rFonts w:ascii="Times New Roman" w:hAnsi="宋体"/>
          <w:b/>
          <w:color w:val="auto"/>
          <w:sz w:val="24"/>
          <w:highlight w:val="none"/>
        </w:rPr>
      </w:pPr>
      <w:r>
        <w:rPr>
          <w:rFonts w:hint="eastAsia" w:ascii="Times New Roman" w:hAnsi="宋体"/>
          <w:b/>
          <w:color w:val="auto"/>
          <w:sz w:val="24"/>
          <w:highlight w:val="none"/>
        </w:rPr>
        <w:t>注：1、最终总价报价将在磋商现场填写，响应文件密封提交时只需填写首次磋商总价报价。</w:t>
      </w:r>
    </w:p>
    <w:p>
      <w:pPr>
        <w:pStyle w:val="116"/>
        <w:snapToGrid w:val="0"/>
        <w:spacing w:line="360" w:lineRule="auto"/>
        <w:ind w:firstLine="482" w:firstLineChars="200"/>
        <w:textAlignment w:val="baseline"/>
        <w:rPr>
          <w:rFonts w:ascii="Times New Roman" w:hAnsi="宋体"/>
          <w:b/>
          <w:color w:val="auto"/>
          <w:sz w:val="24"/>
          <w:highlight w:val="none"/>
        </w:rPr>
      </w:pPr>
      <w:r>
        <w:rPr>
          <w:rFonts w:hint="eastAsia" w:ascii="Times New Roman" w:hAnsi="宋体"/>
          <w:b/>
          <w:color w:val="auto"/>
          <w:sz w:val="24"/>
          <w:highlight w:val="none"/>
        </w:rPr>
        <w:t>2、本表式不得自行改动。</w:t>
      </w:r>
    </w:p>
    <w:p>
      <w:pPr>
        <w:pStyle w:val="20"/>
        <w:snapToGrid w:val="0"/>
        <w:spacing w:line="360" w:lineRule="auto"/>
        <w:textAlignment w:val="baseline"/>
        <w:rPr>
          <w:rFonts w:ascii="宋体" w:hAnsi="宋体"/>
          <w:color w:val="auto"/>
          <w:szCs w:val="24"/>
          <w:highlight w:val="none"/>
        </w:rPr>
      </w:pPr>
      <w:r>
        <w:rPr>
          <w:rFonts w:hint="eastAsia"/>
          <w:color w:val="auto"/>
          <w:szCs w:val="24"/>
          <w:highlight w:val="none"/>
        </w:rPr>
        <w:t xml:space="preserve"> </w:t>
      </w:r>
      <w:r>
        <w:rPr>
          <w:rFonts w:hint="eastAsia" w:ascii="宋体" w:hAnsi="宋体" w:cs="宋体"/>
          <w:b/>
          <w:bCs/>
          <w:color w:val="auto"/>
          <w:szCs w:val="24"/>
          <w:highlight w:val="none"/>
        </w:rPr>
        <w:t xml:space="preserve"> </w:t>
      </w:r>
    </w:p>
    <w:p>
      <w:pPr>
        <w:pStyle w:val="116"/>
        <w:tabs>
          <w:tab w:val="left" w:pos="5665"/>
          <w:tab w:val="right" w:pos="8360"/>
        </w:tabs>
        <w:snapToGrid w:val="0"/>
        <w:spacing w:line="360" w:lineRule="auto"/>
        <w:ind w:right="42" w:firstLine="1560" w:firstLineChars="650"/>
        <w:textAlignment w:val="baseline"/>
        <w:rPr>
          <w:rFonts w:hAnsi="宋体"/>
          <w:color w:val="auto"/>
          <w:sz w:val="24"/>
          <w:highlight w:val="none"/>
        </w:rPr>
      </w:pPr>
    </w:p>
    <w:p>
      <w:pPr>
        <w:snapToGrid w:val="0"/>
        <w:spacing w:line="360" w:lineRule="auto"/>
        <w:ind w:right="79"/>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竞争性磋商响应供应商：（单位盖章）</w:t>
      </w:r>
    </w:p>
    <w:p>
      <w:pPr>
        <w:pStyle w:val="116"/>
        <w:tabs>
          <w:tab w:val="left" w:pos="5665"/>
          <w:tab w:val="right" w:pos="8360"/>
        </w:tabs>
        <w:snapToGrid w:val="0"/>
        <w:spacing w:line="360" w:lineRule="auto"/>
        <w:ind w:right="42"/>
        <w:textAlignment w:val="baseline"/>
        <w:rPr>
          <w:rFonts w:hAnsi="宋体"/>
          <w:color w:val="auto"/>
          <w:sz w:val="24"/>
          <w:highlight w:val="none"/>
          <w:u w:val="single"/>
        </w:rPr>
      </w:pPr>
      <w:r>
        <w:rPr>
          <w:rFonts w:hint="eastAsia" w:hAnsi="宋体"/>
          <w:color w:val="auto"/>
          <w:sz w:val="24"/>
          <w:highlight w:val="none"/>
        </w:rPr>
        <w:t>法定代表人或</w:t>
      </w:r>
      <w:r>
        <w:rPr>
          <w:rFonts w:hint="eastAsia" w:hAnsi="宋体" w:cs="仿宋_GB2312"/>
          <w:color w:val="auto"/>
          <w:sz w:val="24"/>
          <w:highlight w:val="none"/>
        </w:rPr>
        <w:t>被授权人（签字或盖章）</w:t>
      </w:r>
      <w:r>
        <w:rPr>
          <w:rFonts w:hint="eastAsia" w:hAnsi="宋体"/>
          <w:color w:val="auto"/>
          <w:sz w:val="24"/>
          <w:highlight w:val="none"/>
        </w:rPr>
        <w:t>：</w:t>
      </w:r>
    </w:p>
    <w:p>
      <w:pPr>
        <w:pStyle w:val="116"/>
        <w:tabs>
          <w:tab w:val="left" w:pos="5665"/>
          <w:tab w:val="right" w:pos="8360"/>
        </w:tabs>
        <w:snapToGrid w:val="0"/>
        <w:spacing w:line="360" w:lineRule="auto"/>
        <w:ind w:right="42"/>
        <w:textAlignment w:val="baseline"/>
        <w:rPr>
          <w:rFonts w:hint="eastAsia" w:hAnsi="宋体"/>
          <w:color w:val="auto"/>
          <w:sz w:val="24"/>
          <w:highlight w:val="none"/>
          <w:lang w:val="zh-CN"/>
        </w:rPr>
      </w:pPr>
      <w:r>
        <w:rPr>
          <w:rFonts w:hint="eastAsia" w:hAnsi="宋体"/>
          <w:color w:val="auto"/>
          <w:sz w:val="24"/>
          <w:highlight w:val="none"/>
          <w:lang w:val="zh-CN"/>
        </w:rPr>
        <w:t>日期：</w:t>
      </w:r>
      <w:r>
        <w:rPr>
          <w:rFonts w:hint="eastAsia"/>
          <w:color w:val="auto"/>
          <w:sz w:val="24"/>
          <w:highlight w:val="none"/>
        </w:rPr>
        <w:t xml:space="preserve">  </w:t>
      </w:r>
      <w:r>
        <w:rPr>
          <w:rFonts w:hint="eastAsia" w:hAnsi="宋体"/>
          <w:color w:val="auto"/>
          <w:sz w:val="24"/>
          <w:highlight w:val="none"/>
          <w:lang w:val="zh-CN"/>
        </w:rPr>
        <w:t>年</w:t>
      </w:r>
      <w:r>
        <w:rPr>
          <w:rFonts w:hint="eastAsia"/>
          <w:color w:val="auto"/>
          <w:sz w:val="24"/>
          <w:highlight w:val="none"/>
        </w:rPr>
        <w:t xml:space="preserve">   </w:t>
      </w:r>
      <w:r>
        <w:rPr>
          <w:rFonts w:hint="eastAsia" w:hAnsi="宋体"/>
          <w:color w:val="auto"/>
          <w:sz w:val="24"/>
          <w:highlight w:val="none"/>
          <w:lang w:val="zh-CN"/>
        </w:rPr>
        <w:t>月</w:t>
      </w:r>
      <w:r>
        <w:rPr>
          <w:rFonts w:hint="eastAsia"/>
          <w:color w:val="auto"/>
          <w:sz w:val="24"/>
          <w:highlight w:val="none"/>
        </w:rPr>
        <w:t xml:space="preserve">   </w:t>
      </w:r>
      <w:r>
        <w:rPr>
          <w:rFonts w:hint="eastAsia" w:hAnsi="宋体"/>
          <w:color w:val="auto"/>
          <w:sz w:val="24"/>
          <w:highlight w:val="none"/>
          <w:lang w:val="zh-CN"/>
        </w:rPr>
        <w:t>日</w:t>
      </w:r>
    </w:p>
    <w:p>
      <w:pPr>
        <w:snapToGrid w:val="0"/>
        <w:spacing w:line="420" w:lineRule="exact"/>
        <w:ind w:firstLine="494" w:firstLineChars="206"/>
        <w:textAlignment w:val="baseline"/>
        <w:rPr>
          <w:rFonts w:ascii="宋体" w:hAnsi="宋体" w:cs="宋体"/>
          <w:color w:val="auto"/>
          <w:sz w:val="24"/>
          <w:szCs w:val="24"/>
          <w:highlight w:val="none"/>
        </w:rPr>
      </w:pPr>
    </w:p>
    <w:p>
      <w:pPr>
        <w:snapToGrid w:val="0"/>
        <w:spacing w:line="420" w:lineRule="exact"/>
        <w:ind w:firstLine="412" w:firstLineChars="206"/>
        <w:textAlignment w:val="baseline"/>
        <w:rPr>
          <w:color w:val="auto"/>
          <w:sz w:val="20"/>
          <w:highlight w:val="none"/>
        </w:rPr>
      </w:pPr>
    </w:p>
    <w:p>
      <w:pPr>
        <w:snapToGrid w:val="0"/>
        <w:spacing w:line="420" w:lineRule="exact"/>
        <w:jc w:val="center"/>
        <w:textAlignment w:val="baseline"/>
        <w:rPr>
          <w:color w:val="auto"/>
          <w:highlight w:val="none"/>
        </w:rPr>
      </w:pPr>
      <w:r>
        <w:rPr>
          <w:b/>
          <w:bCs/>
          <w:color w:val="auto"/>
          <w:highlight w:val="none"/>
        </w:rPr>
        <w:t>……</w:t>
      </w:r>
      <w:r>
        <w:rPr>
          <w:rFonts w:hint="eastAsia" w:cs="宋体"/>
          <w:b/>
          <w:bCs/>
          <w:color w:val="auto"/>
          <w:highlight w:val="none"/>
        </w:rPr>
        <w:t>全文结束</w:t>
      </w:r>
      <w:r>
        <w:rPr>
          <w:b/>
          <w:bCs/>
          <w:color w:val="auto"/>
          <w:highlight w:val="none"/>
        </w:rPr>
        <w:t>……</w:t>
      </w:r>
    </w:p>
    <w:sectPr>
      <w:pgSz w:w="11906" w:h="16838"/>
      <w:pgMar w:top="1440" w:right="1361" w:bottom="1134" w:left="1361" w:header="851" w:footer="79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2"/>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2"/>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pPr>
    <w:r>
      <w:drawing>
        <wp:inline distT="0" distB="0" distL="114300" distR="114300">
          <wp:extent cx="567690" cy="350520"/>
          <wp:effectExtent l="0" t="0" r="3810" b="11430"/>
          <wp:docPr id="2"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万隆"/>
                  <pic:cNvPicPr>
                    <a:picLocks noChangeAspect="1"/>
                  </pic:cNvPicPr>
                </pic:nvPicPr>
                <pic:blipFill>
                  <a:blip r:embed="rId1"/>
                  <a:stretch>
                    <a:fillRect/>
                  </a:stretch>
                </pic:blipFill>
                <pic:spPr>
                  <a:xfrm>
                    <a:off x="0" y="0"/>
                    <a:ext cx="567690" cy="350520"/>
                  </a:xfrm>
                  <a:prstGeom prst="rect">
                    <a:avLst/>
                  </a:prstGeom>
                  <a:noFill/>
                  <a:ln>
                    <a:noFill/>
                  </a:ln>
                </pic:spPr>
              </pic:pic>
            </a:graphicData>
          </a:graphic>
        </wp:inline>
      </w:drawing>
    </w:r>
    <w:r>
      <w:rPr>
        <w:rFonts w:hint="eastAsia"/>
      </w:rPr>
      <w:t xml:space="preserve">                                                                                       </w:t>
    </w:r>
    <w:r>
      <w:fldChar w:fldCharType="begin"/>
    </w:r>
    <w:r>
      <w:instrText xml:space="preserve">PAGE   \* MERGEFORMAT</w:instrText>
    </w:r>
    <w:r>
      <w:fldChar w:fldCharType="separate"/>
    </w:r>
    <w:r>
      <w:rPr>
        <w:lang w:val="zh-CN"/>
      </w:rPr>
      <w:t>-</w:t>
    </w:r>
    <w:r>
      <w:t xml:space="preserve"> 20 -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pPr>
    <w:r>
      <w:rPr>
        <w:rFonts w:hint="eastAsia" w:ascii="宋体" w:hAnsi="宋体" w:cs="宋体"/>
        <w:sz w:val="18"/>
        <w:szCs w:val="18"/>
        <w:u w:val="single"/>
      </w:rPr>
      <w:t>南</w:t>
    </w:r>
    <w:r>
      <w:rPr>
        <w:rFonts w:hint="eastAsia" w:ascii="宋体" w:hAnsi="宋体" w:eastAsia="宋体" w:cs="宋体"/>
        <w:sz w:val="18"/>
        <w:szCs w:val="18"/>
        <w:u w:val="single"/>
        <w:lang w:eastAsia="zh-CN"/>
      </w:rPr>
      <w:t>通市妇幼保健院食堂经营管理服务项目</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C11FC"/>
    <w:multiLevelType w:val="singleLevel"/>
    <w:tmpl w:val="C71C11FC"/>
    <w:lvl w:ilvl="0" w:tentative="0">
      <w:start w:val="1"/>
      <w:numFmt w:val="decimalEnclosedCircleChinese"/>
      <w:suff w:val="space"/>
      <w:lvlText w:val="%1"/>
      <w:lvlJc w:val="left"/>
      <w:rPr>
        <w:rFonts w:hint="eastAsia"/>
      </w:rPr>
    </w:lvl>
  </w:abstractNum>
  <w:abstractNum w:abstractNumId="1">
    <w:nsid w:val="F28BCB0E"/>
    <w:multiLevelType w:val="singleLevel"/>
    <w:tmpl w:val="F28BCB0E"/>
    <w:lvl w:ilvl="0" w:tentative="0">
      <w:start w:val="1"/>
      <w:numFmt w:val="decimal"/>
      <w:suff w:val="nothing"/>
      <w:lvlText w:val="%1、"/>
      <w:lvlJc w:val="left"/>
    </w:lvl>
  </w:abstractNum>
  <w:abstractNum w:abstractNumId="2">
    <w:nsid w:val="0000003D"/>
    <w:multiLevelType w:val="multilevel"/>
    <w:tmpl w:val="0000003D"/>
    <w:lvl w:ilvl="0" w:tentative="0">
      <w:start w:val="1"/>
      <w:numFmt w:val="chineseCountingThousand"/>
      <w:pStyle w:val="6"/>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15F31D91"/>
    <w:multiLevelType w:val="singleLevel"/>
    <w:tmpl w:val="15F31D91"/>
    <w:lvl w:ilvl="0" w:tentative="0">
      <w:start w:val="5"/>
      <w:numFmt w:val="chineseCounting"/>
      <w:suff w:val="space"/>
      <w:lvlText w:val="第%1章"/>
      <w:lvlJc w:val="left"/>
      <w:rPr>
        <w:rFonts w:hint="eastAsia"/>
      </w:rPr>
    </w:lvl>
  </w:abstractNum>
  <w:abstractNum w:abstractNumId="4">
    <w:nsid w:val="1655D05D"/>
    <w:multiLevelType w:val="singleLevel"/>
    <w:tmpl w:val="1655D05D"/>
    <w:lvl w:ilvl="0" w:tentative="0">
      <w:start w:val="2"/>
      <w:numFmt w:val="decimal"/>
      <w:suff w:val="nothing"/>
      <w:lvlText w:val="%1、"/>
      <w:lvlJc w:val="left"/>
      <w:pPr>
        <w:ind w:left="-62"/>
      </w:pPr>
    </w:lvl>
  </w:abstractNum>
  <w:abstractNum w:abstractNumId="5">
    <w:nsid w:val="2C0DFDC2"/>
    <w:multiLevelType w:val="singleLevel"/>
    <w:tmpl w:val="2C0DFDC2"/>
    <w:lvl w:ilvl="0" w:tentative="0">
      <w:start w:val="1"/>
      <w:numFmt w:val="decimal"/>
      <w:suff w:val="nothing"/>
      <w:lvlText w:val="%1、"/>
      <w:lvlJc w:val="left"/>
    </w:lvl>
  </w:abstractNum>
  <w:abstractNum w:abstractNumId="6">
    <w:nsid w:val="3A897928"/>
    <w:multiLevelType w:val="singleLevel"/>
    <w:tmpl w:val="3A897928"/>
    <w:lvl w:ilvl="0" w:tentative="0">
      <w:start w:val="1"/>
      <w:numFmt w:val="decimal"/>
      <w:suff w:val="nothing"/>
      <w:lvlText w:val="%1、"/>
      <w:lvlJc w:val="left"/>
    </w:lvl>
  </w:abstractNum>
  <w:abstractNum w:abstractNumId="7">
    <w:nsid w:val="5A0F3AED"/>
    <w:multiLevelType w:val="singleLevel"/>
    <w:tmpl w:val="5A0F3AED"/>
    <w:lvl w:ilvl="0" w:tentative="0">
      <w:start w:val="1"/>
      <w:numFmt w:val="decimal"/>
      <w:suff w:val="nothing"/>
      <w:lvlText w:val="%1、"/>
      <w:lvlJc w:val="left"/>
    </w:lvl>
  </w:abstractNum>
  <w:abstractNum w:abstractNumId="8">
    <w:nsid w:val="6F1A29ED"/>
    <w:multiLevelType w:val="singleLevel"/>
    <w:tmpl w:val="6F1A29ED"/>
    <w:lvl w:ilvl="0" w:tentative="0">
      <w:start w:val="1"/>
      <w:numFmt w:val="chineseCounting"/>
      <w:suff w:val="nothing"/>
      <w:lvlText w:val="%1、"/>
      <w:lvlJc w:val="left"/>
      <w:rPr>
        <w:rFonts w:hint="eastAsia"/>
      </w:rPr>
    </w:lvl>
  </w:abstractNum>
  <w:num w:numId="1">
    <w:abstractNumId w:val="2"/>
  </w:num>
  <w:num w:numId="2">
    <w:abstractNumId w:val="7"/>
  </w:num>
  <w:num w:numId="3">
    <w:abstractNumId w:val="5"/>
  </w:num>
  <w:num w:numId="4">
    <w:abstractNumId w:val="4"/>
  </w:num>
  <w:num w:numId="5">
    <w:abstractNumId w:val="0"/>
  </w:num>
  <w:num w:numId="6">
    <w:abstractNumId w:val="3"/>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MWU0MDBiYTAyZDU0NmUyMDVjNTBjZWY5ZTczNWIifQ=="/>
  </w:docVars>
  <w:rsids>
    <w:rsidRoot w:val="00172A27"/>
    <w:rsid w:val="000058C1"/>
    <w:rsid w:val="00005F7A"/>
    <w:rsid w:val="00007F59"/>
    <w:rsid w:val="0001029F"/>
    <w:rsid w:val="000102D4"/>
    <w:rsid w:val="00011F9B"/>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76F07"/>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165E"/>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5B04"/>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312B"/>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23CC"/>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6DB9"/>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3E7F"/>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0F0E"/>
    <w:rsid w:val="0073114F"/>
    <w:rsid w:val="00731507"/>
    <w:rsid w:val="007319A3"/>
    <w:rsid w:val="00731EE1"/>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2282"/>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7F2"/>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67B42"/>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2A3C"/>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790"/>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778EF"/>
    <w:rsid w:val="00B83C32"/>
    <w:rsid w:val="00B85816"/>
    <w:rsid w:val="00B875C0"/>
    <w:rsid w:val="00B90075"/>
    <w:rsid w:val="00B902A6"/>
    <w:rsid w:val="00B90608"/>
    <w:rsid w:val="00B9166F"/>
    <w:rsid w:val="00B920AD"/>
    <w:rsid w:val="00B93E24"/>
    <w:rsid w:val="00B94C8E"/>
    <w:rsid w:val="00B9514C"/>
    <w:rsid w:val="00B966AC"/>
    <w:rsid w:val="00B975CB"/>
    <w:rsid w:val="00BA0A06"/>
    <w:rsid w:val="00BA1064"/>
    <w:rsid w:val="00BA485C"/>
    <w:rsid w:val="00BA48FC"/>
    <w:rsid w:val="00BA4C75"/>
    <w:rsid w:val="00BA695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2CE1"/>
    <w:rsid w:val="00BD358F"/>
    <w:rsid w:val="00BD4809"/>
    <w:rsid w:val="00BD5170"/>
    <w:rsid w:val="00BD5E5C"/>
    <w:rsid w:val="00BD5F32"/>
    <w:rsid w:val="00BD6416"/>
    <w:rsid w:val="00BD774B"/>
    <w:rsid w:val="00BE437C"/>
    <w:rsid w:val="00BE5949"/>
    <w:rsid w:val="00BE798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0BB1"/>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295A"/>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5CA1"/>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0DE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86790"/>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B77047"/>
    <w:rsid w:val="01D775BC"/>
    <w:rsid w:val="01F84B65"/>
    <w:rsid w:val="0203063D"/>
    <w:rsid w:val="02043122"/>
    <w:rsid w:val="02055635"/>
    <w:rsid w:val="02346456"/>
    <w:rsid w:val="024E269D"/>
    <w:rsid w:val="027B1CE2"/>
    <w:rsid w:val="029F57DD"/>
    <w:rsid w:val="02D738A3"/>
    <w:rsid w:val="02F27C64"/>
    <w:rsid w:val="034464B8"/>
    <w:rsid w:val="036576B8"/>
    <w:rsid w:val="03736D86"/>
    <w:rsid w:val="03C71EFB"/>
    <w:rsid w:val="03CB4D47"/>
    <w:rsid w:val="03D735B0"/>
    <w:rsid w:val="03FA6CDF"/>
    <w:rsid w:val="04365FFA"/>
    <w:rsid w:val="04494A43"/>
    <w:rsid w:val="04500542"/>
    <w:rsid w:val="046D244C"/>
    <w:rsid w:val="046F1BE2"/>
    <w:rsid w:val="04822D08"/>
    <w:rsid w:val="049641FF"/>
    <w:rsid w:val="04C851F1"/>
    <w:rsid w:val="04FB048C"/>
    <w:rsid w:val="052C29BF"/>
    <w:rsid w:val="05337A63"/>
    <w:rsid w:val="055C5785"/>
    <w:rsid w:val="05620AA5"/>
    <w:rsid w:val="05913412"/>
    <w:rsid w:val="05F06637"/>
    <w:rsid w:val="064C6037"/>
    <w:rsid w:val="06517EE9"/>
    <w:rsid w:val="06955519"/>
    <w:rsid w:val="06AB4508"/>
    <w:rsid w:val="06C55EEB"/>
    <w:rsid w:val="07004918"/>
    <w:rsid w:val="070B6221"/>
    <w:rsid w:val="07654B87"/>
    <w:rsid w:val="07BA720E"/>
    <w:rsid w:val="07CB7156"/>
    <w:rsid w:val="07E13B30"/>
    <w:rsid w:val="07EE2CA7"/>
    <w:rsid w:val="081F2D4C"/>
    <w:rsid w:val="084E2ACF"/>
    <w:rsid w:val="084F19C0"/>
    <w:rsid w:val="08635040"/>
    <w:rsid w:val="08A83B98"/>
    <w:rsid w:val="08B2562B"/>
    <w:rsid w:val="08B5584D"/>
    <w:rsid w:val="08BC41C1"/>
    <w:rsid w:val="08C56C55"/>
    <w:rsid w:val="09190838"/>
    <w:rsid w:val="095C7B83"/>
    <w:rsid w:val="098F731B"/>
    <w:rsid w:val="0996625D"/>
    <w:rsid w:val="09DE2A70"/>
    <w:rsid w:val="0A1F4EA7"/>
    <w:rsid w:val="0A4406D2"/>
    <w:rsid w:val="0AB51489"/>
    <w:rsid w:val="0ABF0DA2"/>
    <w:rsid w:val="0ACE0B6C"/>
    <w:rsid w:val="0AEE6792"/>
    <w:rsid w:val="0B33524B"/>
    <w:rsid w:val="0B5F3925"/>
    <w:rsid w:val="0BE64801"/>
    <w:rsid w:val="0C5277A0"/>
    <w:rsid w:val="0C7965AF"/>
    <w:rsid w:val="0C8B0871"/>
    <w:rsid w:val="0C8E3524"/>
    <w:rsid w:val="0C95751F"/>
    <w:rsid w:val="0D63355E"/>
    <w:rsid w:val="0D6402AD"/>
    <w:rsid w:val="0D6E00F5"/>
    <w:rsid w:val="0DE27351"/>
    <w:rsid w:val="0E133FA6"/>
    <w:rsid w:val="0E195228"/>
    <w:rsid w:val="0E2217A8"/>
    <w:rsid w:val="0E673A45"/>
    <w:rsid w:val="0E925E78"/>
    <w:rsid w:val="0EA20C5D"/>
    <w:rsid w:val="0EA54211"/>
    <w:rsid w:val="0EAB227A"/>
    <w:rsid w:val="0EAD5EAE"/>
    <w:rsid w:val="0EB36468"/>
    <w:rsid w:val="0EDB759D"/>
    <w:rsid w:val="0F361774"/>
    <w:rsid w:val="0F3B7D92"/>
    <w:rsid w:val="0F66630C"/>
    <w:rsid w:val="0F760781"/>
    <w:rsid w:val="0FCB5DCA"/>
    <w:rsid w:val="0FF10449"/>
    <w:rsid w:val="10485433"/>
    <w:rsid w:val="104C2911"/>
    <w:rsid w:val="1056721E"/>
    <w:rsid w:val="107B6F12"/>
    <w:rsid w:val="11053C87"/>
    <w:rsid w:val="11307351"/>
    <w:rsid w:val="11316C22"/>
    <w:rsid w:val="11604A5C"/>
    <w:rsid w:val="1176169D"/>
    <w:rsid w:val="117C68E7"/>
    <w:rsid w:val="118263A1"/>
    <w:rsid w:val="119603EC"/>
    <w:rsid w:val="11A331FA"/>
    <w:rsid w:val="11A87B15"/>
    <w:rsid w:val="11C224F8"/>
    <w:rsid w:val="120038A1"/>
    <w:rsid w:val="124D4083"/>
    <w:rsid w:val="12701BF6"/>
    <w:rsid w:val="1287461C"/>
    <w:rsid w:val="12DE47E6"/>
    <w:rsid w:val="12F639E2"/>
    <w:rsid w:val="133D1517"/>
    <w:rsid w:val="136532E8"/>
    <w:rsid w:val="13CC1FE7"/>
    <w:rsid w:val="14830627"/>
    <w:rsid w:val="14D251DA"/>
    <w:rsid w:val="14E71063"/>
    <w:rsid w:val="155913AC"/>
    <w:rsid w:val="15BB30D8"/>
    <w:rsid w:val="15C25A5F"/>
    <w:rsid w:val="1614567C"/>
    <w:rsid w:val="16271ECD"/>
    <w:rsid w:val="16866209"/>
    <w:rsid w:val="16A76302"/>
    <w:rsid w:val="16C521B5"/>
    <w:rsid w:val="16F3593D"/>
    <w:rsid w:val="16FC680C"/>
    <w:rsid w:val="173A3666"/>
    <w:rsid w:val="17405D8B"/>
    <w:rsid w:val="17482177"/>
    <w:rsid w:val="17DF684D"/>
    <w:rsid w:val="17F31E94"/>
    <w:rsid w:val="1814778E"/>
    <w:rsid w:val="181736F0"/>
    <w:rsid w:val="18301873"/>
    <w:rsid w:val="185D59F5"/>
    <w:rsid w:val="18652B97"/>
    <w:rsid w:val="18980476"/>
    <w:rsid w:val="18D24826"/>
    <w:rsid w:val="1930763A"/>
    <w:rsid w:val="193564B7"/>
    <w:rsid w:val="198F35F7"/>
    <w:rsid w:val="199649B5"/>
    <w:rsid w:val="199667D2"/>
    <w:rsid w:val="19C63AD7"/>
    <w:rsid w:val="19DC2403"/>
    <w:rsid w:val="19E94399"/>
    <w:rsid w:val="19EC5D5F"/>
    <w:rsid w:val="19EF6331"/>
    <w:rsid w:val="1A2417DD"/>
    <w:rsid w:val="1A857271"/>
    <w:rsid w:val="1AA40BC5"/>
    <w:rsid w:val="1AA52927"/>
    <w:rsid w:val="1AFC093E"/>
    <w:rsid w:val="1AFC4588"/>
    <w:rsid w:val="1B63274F"/>
    <w:rsid w:val="1B751D18"/>
    <w:rsid w:val="1B837689"/>
    <w:rsid w:val="1BA35581"/>
    <w:rsid w:val="1BBC1B6B"/>
    <w:rsid w:val="1BE1312F"/>
    <w:rsid w:val="1BE54206"/>
    <w:rsid w:val="1BFD0B5F"/>
    <w:rsid w:val="1C1224F7"/>
    <w:rsid w:val="1C215860"/>
    <w:rsid w:val="1C3B088A"/>
    <w:rsid w:val="1CD120FF"/>
    <w:rsid w:val="1CDF6B41"/>
    <w:rsid w:val="1D2F3F5E"/>
    <w:rsid w:val="1D3121A1"/>
    <w:rsid w:val="1D52110B"/>
    <w:rsid w:val="1D5E5041"/>
    <w:rsid w:val="1D6920D8"/>
    <w:rsid w:val="1DF127C5"/>
    <w:rsid w:val="1E994839"/>
    <w:rsid w:val="1EA43D4B"/>
    <w:rsid w:val="1ECB6CF3"/>
    <w:rsid w:val="1ED63936"/>
    <w:rsid w:val="1EE82E44"/>
    <w:rsid w:val="1F095BCD"/>
    <w:rsid w:val="1F324176"/>
    <w:rsid w:val="1F3839D1"/>
    <w:rsid w:val="1F3F164B"/>
    <w:rsid w:val="1FB35C2A"/>
    <w:rsid w:val="1FB7392F"/>
    <w:rsid w:val="1FD83FC9"/>
    <w:rsid w:val="200A7C06"/>
    <w:rsid w:val="20443B05"/>
    <w:rsid w:val="20540405"/>
    <w:rsid w:val="20AB7349"/>
    <w:rsid w:val="20B11C5C"/>
    <w:rsid w:val="20BE2EDB"/>
    <w:rsid w:val="20DC1B4D"/>
    <w:rsid w:val="20E75FEA"/>
    <w:rsid w:val="211B7B0E"/>
    <w:rsid w:val="21386BBD"/>
    <w:rsid w:val="219A49A8"/>
    <w:rsid w:val="21BE7C5E"/>
    <w:rsid w:val="21CA74E9"/>
    <w:rsid w:val="21DE261D"/>
    <w:rsid w:val="21EC2BAB"/>
    <w:rsid w:val="21F22C88"/>
    <w:rsid w:val="22A60EB5"/>
    <w:rsid w:val="22D16854"/>
    <w:rsid w:val="22D23494"/>
    <w:rsid w:val="22D81D21"/>
    <w:rsid w:val="230F0A4B"/>
    <w:rsid w:val="23165F69"/>
    <w:rsid w:val="23753765"/>
    <w:rsid w:val="238263F4"/>
    <w:rsid w:val="23AF4937"/>
    <w:rsid w:val="24011960"/>
    <w:rsid w:val="24054A11"/>
    <w:rsid w:val="241137D9"/>
    <w:rsid w:val="245A05CA"/>
    <w:rsid w:val="24663111"/>
    <w:rsid w:val="24B66F7B"/>
    <w:rsid w:val="24B95CB1"/>
    <w:rsid w:val="25101C98"/>
    <w:rsid w:val="2549427F"/>
    <w:rsid w:val="25974A42"/>
    <w:rsid w:val="25E037D0"/>
    <w:rsid w:val="2614749F"/>
    <w:rsid w:val="265B423B"/>
    <w:rsid w:val="268C368D"/>
    <w:rsid w:val="26B92AA7"/>
    <w:rsid w:val="27251824"/>
    <w:rsid w:val="273F2C97"/>
    <w:rsid w:val="2750534C"/>
    <w:rsid w:val="276D2FA1"/>
    <w:rsid w:val="279F2C36"/>
    <w:rsid w:val="28453812"/>
    <w:rsid w:val="2871451F"/>
    <w:rsid w:val="28A65873"/>
    <w:rsid w:val="28A91911"/>
    <w:rsid w:val="28EC1885"/>
    <w:rsid w:val="291F27EC"/>
    <w:rsid w:val="29212C84"/>
    <w:rsid w:val="2933177B"/>
    <w:rsid w:val="29477A7A"/>
    <w:rsid w:val="2974095E"/>
    <w:rsid w:val="29927401"/>
    <w:rsid w:val="299608E4"/>
    <w:rsid w:val="299B6946"/>
    <w:rsid w:val="29C04EC5"/>
    <w:rsid w:val="29DE1E4D"/>
    <w:rsid w:val="2A0A7696"/>
    <w:rsid w:val="2A0D0F0C"/>
    <w:rsid w:val="2A176C00"/>
    <w:rsid w:val="2A6B1D80"/>
    <w:rsid w:val="2AD069ED"/>
    <w:rsid w:val="2ADB6EB7"/>
    <w:rsid w:val="2AFB54C5"/>
    <w:rsid w:val="2B055F8A"/>
    <w:rsid w:val="2B0C03A4"/>
    <w:rsid w:val="2B200651"/>
    <w:rsid w:val="2B3841A3"/>
    <w:rsid w:val="2B6F658C"/>
    <w:rsid w:val="2BA33DC6"/>
    <w:rsid w:val="2C930204"/>
    <w:rsid w:val="2D511017"/>
    <w:rsid w:val="2DA67B66"/>
    <w:rsid w:val="2DFD7CDE"/>
    <w:rsid w:val="2E8818C4"/>
    <w:rsid w:val="2E922D73"/>
    <w:rsid w:val="2EBA1864"/>
    <w:rsid w:val="2ED50D09"/>
    <w:rsid w:val="2EF22E53"/>
    <w:rsid w:val="2F0748E7"/>
    <w:rsid w:val="2F0A6734"/>
    <w:rsid w:val="2F3D79D9"/>
    <w:rsid w:val="2F4219B8"/>
    <w:rsid w:val="2F9C54E2"/>
    <w:rsid w:val="2FC36919"/>
    <w:rsid w:val="2FC935F5"/>
    <w:rsid w:val="3014598E"/>
    <w:rsid w:val="3019494D"/>
    <w:rsid w:val="301B4DB2"/>
    <w:rsid w:val="301D552D"/>
    <w:rsid w:val="302F5F5A"/>
    <w:rsid w:val="305C6B22"/>
    <w:rsid w:val="30B27717"/>
    <w:rsid w:val="30CD21D6"/>
    <w:rsid w:val="30DA5BD6"/>
    <w:rsid w:val="30E3513A"/>
    <w:rsid w:val="30E74DA6"/>
    <w:rsid w:val="30EC34E0"/>
    <w:rsid w:val="31172A76"/>
    <w:rsid w:val="31841167"/>
    <w:rsid w:val="31962F66"/>
    <w:rsid w:val="31AD19B4"/>
    <w:rsid w:val="31E311D2"/>
    <w:rsid w:val="32285615"/>
    <w:rsid w:val="32484C4E"/>
    <w:rsid w:val="32605D06"/>
    <w:rsid w:val="32BE19A7"/>
    <w:rsid w:val="32E90B44"/>
    <w:rsid w:val="331059BA"/>
    <w:rsid w:val="33A43C30"/>
    <w:rsid w:val="33CE2C57"/>
    <w:rsid w:val="33DA4482"/>
    <w:rsid w:val="33DE6B77"/>
    <w:rsid w:val="33EC512B"/>
    <w:rsid w:val="33ED296F"/>
    <w:rsid w:val="341C101E"/>
    <w:rsid w:val="345F6C42"/>
    <w:rsid w:val="346F43F1"/>
    <w:rsid w:val="347D281C"/>
    <w:rsid w:val="35441A8C"/>
    <w:rsid w:val="355A3D41"/>
    <w:rsid w:val="35691819"/>
    <w:rsid w:val="35D573AE"/>
    <w:rsid w:val="360803D5"/>
    <w:rsid w:val="364D7488"/>
    <w:rsid w:val="36741E16"/>
    <w:rsid w:val="36D654B6"/>
    <w:rsid w:val="36DD32BF"/>
    <w:rsid w:val="36FD0E83"/>
    <w:rsid w:val="370C7272"/>
    <w:rsid w:val="371E4419"/>
    <w:rsid w:val="372F21F8"/>
    <w:rsid w:val="37355B09"/>
    <w:rsid w:val="37392B46"/>
    <w:rsid w:val="37450A23"/>
    <w:rsid w:val="37482467"/>
    <w:rsid w:val="375A10AE"/>
    <w:rsid w:val="375F18CE"/>
    <w:rsid w:val="376D3A14"/>
    <w:rsid w:val="377543D4"/>
    <w:rsid w:val="3788482F"/>
    <w:rsid w:val="379E050A"/>
    <w:rsid w:val="379F42F8"/>
    <w:rsid w:val="37A227C0"/>
    <w:rsid w:val="37A563A1"/>
    <w:rsid w:val="37FE1083"/>
    <w:rsid w:val="38112289"/>
    <w:rsid w:val="381439C0"/>
    <w:rsid w:val="382C54C9"/>
    <w:rsid w:val="38312389"/>
    <w:rsid w:val="384E7A64"/>
    <w:rsid w:val="389567FE"/>
    <w:rsid w:val="389B0595"/>
    <w:rsid w:val="38A47140"/>
    <w:rsid w:val="38F80946"/>
    <w:rsid w:val="39197560"/>
    <w:rsid w:val="3939253C"/>
    <w:rsid w:val="39875A90"/>
    <w:rsid w:val="39A53523"/>
    <w:rsid w:val="39A75360"/>
    <w:rsid w:val="39C661B5"/>
    <w:rsid w:val="3A2560A7"/>
    <w:rsid w:val="3A3D44A3"/>
    <w:rsid w:val="3A6570A1"/>
    <w:rsid w:val="3A883352"/>
    <w:rsid w:val="3A98285C"/>
    <w:rsid w:val="3AA056FB"/>
    <w:rsid w:val="3AA7541F"/>
    <w:rsid w:val="3AB16AFD"/>
    <w:rsid w:val="3ABD3CF2"/>
    <w:rsid w:val="3AD23706"/>
    <w:rsid w:val="3AD54D74"/>
    <w:rsid w:val="3ADF1772"/>
    <w:rsid w:val="3AE83617"/>
    <w:rsid w:val="3B28701C"/>
    <w:rsid w:val="3CE43D58"/>
    <w:rsid w:val="3D056DE5"/>
    <w:rsid w:val="3D150381"/>
    <w:rsid w:val="3D242DC0"/>
    <w:rsid w:val="3D3357D0"/>
    <w:rsid w:val="3D3861CD"/>
    <w:rsid w:val="3D444D9B"/>
    <w:rsid w:val="3D603B0C"/>
    <w:rsid w:val="3D9A53D2"/>
    <w:rsid w:val="3DA82763"/>
    <w:rsid w:val="3EB24A80"/>
    <w:rsid w:val="3EF344A0"/>
    <w:rsid w:val="3F0C5499"/>
    <w:rsid w:val="3F266B61"/>
    <w:rsid w:val="3F271710"/>
    <w:rsid w:val="3F564F2E"/>
    <w:rsid w:val="3F5A618E"/>
    <w:rsid w:val="3FBB4B5E"/>
    <w:rsid w:val="403A1C8F"/>
    <w:rsid w:val="403C0BE5"/>
    <w:rsid w:val="406538E2"/>
    <w:rsid w:val="406E27D1"/>
    <w:rsid w:val="409F1BC2"/>
    <w:rsid w:val="40E6513A"/>
    <w:rsid w:val="41277CAD"/>
    <w:rsid w:val="417254CB"/>
    <w:rsid w:val="418A329E"/>
    <w:rsid w:val="41BC1984"/>
    <w:rsid w:val="41DE7B28"/>
    <w:rsid w:val="421C406A"/>
    <w:rsid w:val="421C69ED"/>
    <w:rsid w:val="42226468"/>
    <w:rsid w:val="423D3A47"/>
    <w:rsid w:val="423F7E57"/>
    <w:rsid w:val="428B61F9"/>
    <w:rsid w:val="433112AC"/>
    <w:rsid w:val="434142D4"/>
    <w:rsid w:val="434E0C0A"/>
    <w:rsid w:val="438D6152"/>
    <w:rsid w:val="43C54EEF"/>
    <w:rsid w:val="43E06F52"/>
    <w:rsid w:val="443B1E1A"/>
    <w:rsid w:val="443B4CED"/>
    <w:rsid w:val="445336BE"/>
    <w:rsid w:val="44535F71"/>
    <w:rsid w:val="44A17A7E"/>
    <w:rsid w:val="44E35E7F"/>
    <w:rsid w:val="44EE06E7"/>
    <w:rsid w:val="453C2484"/>
    <w:rsid w:val="453D6989"/>
    <w:rsid w:val="45BA70B1"/>
    <w:rsid w:val="45EA2CE8"/>
    <w:rsid w:val="45F74EDF"/>
    <w:rsid w:val="4600059B"/>
    <w:rsid w:val="46160E93"/>
    <w:rsid w:val="462D006C"/>
    <w:rsid w:val="463762B0"/>
    <w:rsid w:val="466F0F01"/>
    <w:rsid w:val="46AB5174"/>
    <w:rsid w:val="46B700F8"/>
    <w:rsid w:val="46BB44BC"/>
    <w:rsid w:val="473A4BD7"/>
    <w:rsid w:val="47510996"/>
    <w:rsid w:val="47570AD2"/>
    <w:rsid w:val="47580314"/>
    <w:rsid w:val="47B34831"/>
    <w:rsid w:val="47EB41FA"/>
    <w:rsid w:val="4804144A"/>
    <w:rsid w:val="48070487"/>
    <w:rsid w:val="485233AE"/>
    <w:rsid w:val="486A7361"/>
    <w:rsid w:val="48C05E0B"/>
    <w:rsid w:val="48C93CA5"/>
    <w:rsid w:val="490671E3"/>
    <w:rsid w:val="490E1280"/>
    <w:rsid w:val="4922407A"/>
    <w:rsid w:val="49696DA5"/>
    <w:rsid w:val="497A63F6"/>
    <w:rsid w:val="497B7D9F"/>
    <w:rsid w:val="498E6CD6"/>
    <w:rsid w:val="49B01DBF"/>
    <w:rsid w:val="49BD25AC"/>
    <w:rsid w:val="49C93F25"/>
    <w:rsid w:val="49D14B65"/>
    <w:rsid w:val="4A803067"/>
    <w:rsid w:val="4A9C7BE2"/>
    <w:rsid w:val="4AB74840"/>
    <w:rsid w:val="4AD728D0"/>
    <w:rsid w:val="4ADF597A"/>
    <w:rsid w:val="4AE30D8B"/>
    <w:rsid w:val="4B2D7D43"/>
    <w:rsid w:val="4B91508D"/>
    <w:rsid w:val="4B937275"/>
    <w:rsid w:val="4BB90631"/>
    <w:rsid w:val="4C450FB8"/>
    <w:rsid w:val="4C487C2C"/>
    <w:rsid w:val="4C747E14"/>
    <w:rsid w:val="4CA84AAD"/>
    <w:rsid w:val="4CAC0E3F"/>
    <w:rsid w:val="4CE0771A"/>
    <w:rsid w:val="4D2B53D3"/>
    <w:rsid w:val="4D807BBE"/>
    <w:rsid w:val="4E01515D"/>
    <w:rsid w:val="4E2004F1"/>
    <w:rsid w:val="4E405991"/>
    <w:rsid w:val="4E644A95"/>
    <w:rsid w:val="4E656BC0"/>
    <w:rsid w:val="4E65774D"/>
    <w:rsid w:val="4E9316E4"/>
    <w:rsid w:val="4EA12E1E"/>
    <w:rsid w:val="4F0023CD"/>
    <w:rsid w:val="4F056DE1"/>
    <w:rsid w:val="4F19757E"/>
    <w:rsid w:val="4F223D03"/>
    <w:rsid w:val="4F6701AB"/>
    <w:rsid w:val="4FCB101C"/>
    <w:rsid w:val="4FE6405E"/>
    <w:rsid w:val="50602A1B"/>
    <w:rsid w:val="50612797"/>
    <w:rsid w:val="50BB53A5"/>
    <w:rsid w:val="50DC73F1"/>
    <w:rsid w:val="50FB1272"/>
    <w:rsid w:val="51174AAA"/>
    <w:rsid w:val="51C54E50"/>
    <w:rsid w:val="51DE290C"/>
    <w:rsid w:val="51E311A7"/>
    <w:rsid w:val="521356D1"/>
    <w:rsid w:val="529D10AF"/>
    <w:rsid w:val="53494392"/>
    <w:rsid w:val="535809C3"/>
    <w:rsid w:val="53E76275"/>
    <w:rsid w:val="547B4505"/>
    <w:rsid w:val="548E6390"/>
    <w:rsid w:val="549E4993"/>
    <w:rsid w:val="54C51393"/>
    <w:rsid w:val="54D9333A"/>
    <w:rsid w:val="54ED6EEB"/>
    <w:rsid w:val="55966BD2"/>
    <w:rsid w:val="55A22FAE"/>
    <w:rsid w:val="56332FB1"/>
    <w:rsid w:val="5635045B"/>
    <w:rsid w:val="56A17275"/>
    <w:rsid w:val="56B23CA6"/>
    <w:rsid w:val="572F3788"/>
    <w:rsid w:val="573072C4"/>
    <w:rsid w:val="57471187"/>
    <w:rsid w:val="576F023D"/>
    <w:rsid w:val="577B6EE4"/>
    <w:rsid w:val="57AC5A21"/>
    <w:rsid w:val="57CB57BA"/>
    <w:rsid w:val="57D2146B"/>
    <w:rsid w:val="57EF1F3E"/>
    <w:rsid w:val="581C0CA5"/>
    <w:rsid w:val="582B7B39"/>
    <w:rsid w:val="584E2F27"/>
    <w:rsid w:val="5886355F"/>
    <w:rsid w:val="58891F15"/>
    <w:rsid w:val="58A35601"/>
    <w:rsid w:val="58BA7B88"/>
    <w:rsid w:val="58FE22F9"/>
    <w:rsid w:val="59054125"/>
    <w:rsid w:val="591C62AA"/>
    <w:rsid w:val="593C1AF7"/>
    <w:rsid w:val="596B0D55"/>
    <w:rsid w:val="59747A74"/>
    <w:rsid w:val="59DD23FD"/>
    <w:rsid w:val="59E24A9F"/>
    <w:rsid w:val="5A0D4272"/>
    <w:rsid w:val="5A737CDB"/>
    <w:rsid w:val="5B761405"/>
    <w:rsid w:val="5BF8521E"/>
    <w:rsid w:val="5C1B1303"/>
    <w:rsid w:val="5C241BA9"/>
    <w:rsid w:val="5C2453F7"/>
    <w:rsid w:val="5C4D09E5"/>
    <w:rsid w:val="5C5D54B8"/>
    <w:rsid w:val="5D0852CE"/>
    <w:rsid w:val="5D2928D3"/>
    <w:rsid w:val="5D2F26AA"/>
    <w:rsid w:val="5D502207"/>
    <w:rsid w:val="5DBD180F"/>
    <w:rsid w:val="5E0369A2"/>
    <w:rsid w:val="5E1C522E"/>
    <w:rsid w:val="5E3B5015"/>
    <w:rsid w:val="5ECD71E6"/>
    <w:rsid w:val="5ECF201B"/>
    <w:rsid w:val="5EDA7CAB"/>
    <w:rsid w:val="5EE501EE"/>
    <w:rsid w:val="5F332FFE"/>
    <w:rsid w:val="5F4315E3"/>
    <w:rsid w:val="5FB02E40"/>
    <w:rsid w:val="5FDE769B"/>
    <w:rsid w:val="5FFB11ED"/>
    <w:rsid w:val="60380678"/>
    <w:rsid w:val="605D60B2"/>
    <w:rsid w:val="60604FB9"/>
    <w:rsid w:val="609540A8"/>
    <w:rsid w:val="60B33EB4"/>
    <w:rsid w:val="611A335C"/>
    <w:rsid w:val="61216701"/>
    <w:rsid w:val="612B1527"/>
    <w:rsid w:val="61431CA1"/>
    <w:rsid w:val="61E04A32"/>
    <w:rsid w:val="620A6748"/>
    <w:rsid w:val="626B5F89"/>
    <w:rsid w:val="627B32D8"/>
    <w:rsid w:val="62971E0C"/>
    <w:rsid w:val="62B90CFD"/>
    <w:rsid w:val="62FF6042"/>
    <w:rsid w:val="631F3899"/>
    <w:rsid w:val="63226337"/>
    <w:rsid w:val="632D650D"/>
    <w:rsid w:val="63744554"/>
    <w:rsid w:val="63863E37"/>
    <w:rsid w:val="63DC4A37"/>
    <w:rsid w:val="63E22F69"/>
    <w:rsid w:val="643709EB"/>
    <w:rsid w:val="64C753D2"/>
    <w:rsid w:val="64E82635"/>
    <w:rsid w:val="64EC0FB6"/>
    <w:rsid w:val="64F168C1"/>
    <w:rsid w:val="64F459D0"/>
    <w:rsid w:val="65002AB7"/>
    <w:rsid w:val="6553668F"/>
    <w:rsid w:val="65555035"/>
    <w:rsid w:val="65647826"/>
    <w:rsid w:val="6582338C"/>
    <w:rsid w:val="65B22786"/>
    <w:rsid w:val="65E531E0"/>
    <w:rsid w:val="65F6754E"/>
    <w:rsid w:val="661735C0"/>
    <w:rsid w:val="66692167"/>
    <w:rsid w:val="66872C44"/>
    <w:rsid w:val="66A4324F"/>
    <w:rsid w:val="66DD6DB6"/>
    <w:rsid w:val="67EE62F1"/>
    <w:rsid w:val="67FE0ABC"/>
    <w:rsid w:val="68272B8D"/>
    <w:rsid w:val="682B4CB5"/>
    <w:rsid w:val="684A0973"/>
    <w:rsid w:val="68A36922"/>
    <w:rsid w:val="68C1245B"/>
    <w:rsid w:val="68CF44E4"/>
    <w:rsid w:val="68D474B9"/>
    <w:rsid w:val="69520021"/>
    <w:rsid w:val="696E18C3"/>
    <w:rsid w:val="69774602"/>
    <w:rsid w:val="699A4315"/>
    <w:rsid w:val="699A7243"/>
    <w:rsid w:val="69B50573"/>
    <w:rsid w:val="69BE7D9A"/>
    <w:rsid w:val="6A0024B3"/>
    <w:rsid w:val="6A2D2B79"/>
    <w:rsid w:val="6A3376F7"/>
    <w:rsid w:val="6A4533FD"/>
    <w:rsid w:val="6A496835"/>
    <w:rsid w:val="6A8E7740"/>
    <w:rsid w:val="6A906AAE"/>
    <w:rsid w:val="6AD5648B"/>
    <w:rsid w:val="6B122298"/>
    <w:rsid w:val="6B44347E"/>
    <w:rsid w:val="6B4B7148"/>
    <w:rsid w:val="6B7409C3"/>
    <w:rsid w:val="6C026F3C"/>
    <w:rsid w:val="6C1769F6"/>
    <w:rsid w:val="6C19025F"/>
    <w:rsid w:val="6C2C4F32"/>
    <w:rsid w:val="6C396029"/>
    <w:rsid w:val="6C3B64A7"/>
    <w:rsid w:val="6C8C6998"/>
    <w:rsid w:val="6CD83A9C"/>
    <w:rsid w:val="6D220952"/>
    <w:rsid w:val="6D256766"/>
    <w:rsid w:val="6D7F405A"/>
    <w:rsid w:val="6DB9174A"/>
    <w:rsid w:val="6DC54E3E"/>
    <w:rsid w:val="6E1F0E23"/>
    <w:rsid w:val="6E8A1B32"/>
    <w:rsid w:val="6F926B42"/>
    <w:rsid w:val="6FA6229E"/>
    <w:rsid w:val="6FF900E7"/>
    <w:rsid w:val="70294286"/>
    <w:rsid w:val="708C7ADE"/>
    <w:rsid w:val="70C828DF"/>
    <w:rsid w:val="70C96F94"/>
    <w:rsid w:val="70D05D03"/>
    <w:rsid w:val="70F93881"/>
    <w:rsid w:val="711575EE"/>
    <w:rsid w:val="715349F8"/>
    <w:rsid w:val="71945E92"/>
    <w:rsid w:val="71BF1449"/>
    <w:rsid w:val="71DF3747"/>
    <w:rsid w:val="721A1FF2"/>
    <w:rsid w:val="72356C20"/>
    <w:rsid w:val="723E4008"/>
    <w:rsid w:val="725929D4"/>
    <w:rsid w:val="72A4317D"/>
    <w:rsid w:val="72AC1216"/>
    <w:rsid w:val="72B00049"/>
    <w:rsid w:val="72B70F99"/>
    <w:rsid w:val="72D476BD"/>
    <w:rsid w:val="73192710"/>
    <w:rsid w:val="732D44FD"/>
    <w:rsid w:val="73981574"/>
    <w:rsid w:val="73A03AE9"/>
    <w:rsid w:val="73B92936"/>
    <w:rsid w:val="73F401B9"/>
    <w:rsid w:val="73FB49FD"/>
    <w:rsid w:val="74376D48"/>
    <w:rsid w:val="74446098"/>
    <w:rsid w:val="746B414F"/>
    <w:rsid w:val="7472539D"/>
    <w:rsid w:val="749036DA"/>
    <w:rsid w:val="74DC45A8"/>
    <w:rsid w:val="750227FB"/>
    <w:rsid w:val="75693A34"/>
    <w:rsid w:val="759C3169"/>
    <w:rsid w:val="75B770CD"/>
    <w:rsid w:val="75CD34AB"/>
    <w:rsid w:val="75CF7ADF"/>
    <w:rsid w:val="76406CDE"/>
    <w:rsid w:val="764B4F25"/>
    <w:rsid w:val="76686C67"/>
    <w:rsid w:val="76CE603E"/>
    <w:rsid w:val="76DB072C"/>
    <w:rsid w:val="76DB294B"/>
    <w:rsid w:val="77162A8D"/>
    <w:rsid w:val="774025C7"/>
    <w:rsid w:val="77894212"/>
    <w:rsid w:val="7800271B"/>
    <w:rsid w:val="782E08A0"/>
    <w:rsid w:val="78440AB3"/>
    <w:rsid w:val="785B79C8"/>
    <w:rsid w:val="78751BD5"/>
    <w:rsid w:val="787A7054"/>
    <w:rsid w:val="78A73067"/>
    <w:rsid w:val="78A9768A"/>
    <w:rsid w:val="78CA0ADB"/>
    <w:rsid w:val="78D85865"/>
    <w:rsid w:val="792C66E3"/>
    <w:rsid w:val="79947274"/>
    <w:rsid w:val="79FE73E8"/>
    <w:rsid w:val="7A237A12"/>
    <w:rsid w:val="7A2B7977"/>
    <w:rsid w:val="7A4460A3"/>
    <w:rsid w:val="7A6054E2"/>
    <w:rsid w:val="7A8B7D4E"/>
    <w:rsid w:val="7A98230D"/>
    <w:rsid w:val="7B60499C"/>
    <w:rsid w:val="7B6276D7"/>
    <w:rsid w:val="7BCD0EC9"/>
    <w:rsid w:val="7C0C430A"/>
    <w:rsid w:val="7C361D53"/>
    <w:rsid w:val="7C515A2B"/>
    <w:rsid w:val="7CBF1AA2"/>
    <w:rsid w:val="7CF76237"/>
    <w:rsid w:val="7CF92CB6"/>
    <w:rsid w:val="7D841C93"/>
    <w:rsid w:val="7DA92046"/>
    <w:rsid w:val="7DDF015B"/>
    <w:rsid w:val="7DEE0A06"/>
    <w:rsid w:val="7E745C2A"/>
    <w:rsid w:val="7EA95F25"/>
    <w:rsid w:val="7EB75A13"/>
    <w:rsid w:val="7EBF6D37"/>
    <w:rsid w:val="7ED31DC1"/>
    <w:rsid w:val="7EF47C86"/>
    <w:rsid w:val="7EF55D3C"/>
    <w:rsid w:val="7F351C48"/>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semiHidden="0" w:name="HTML Code" w:locked="1"/>
    <w:lsdException w:qFormat="1" w:uiPriority="99" w:semiHidden="0" w:name="HTML Definition" w:locked="1"/>
    <w:lsdException w:qFormat="1" w:uiPriority="99" w:semiHidden="0" w:name="HTML Keyboard" w:locked="1"/>
    <w:lsdException w:qFormat="1" w:unhideWhenUsed="0" w:uiPriority="99" w:semiHidden="0" w:name="HTML Preformatted"/>
    <w:lsdException w:qFormat="1" w:uiPriority="99" w:semiHidden="0"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5"/>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7">
    <w:name w:val="heading 2"/>
    <w:basedOn w:val="1"/>
    <w:next w:val="1"/>
    <w:link w:val="66"/>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8">
    <w:name w:val="heading 3"/>
    <w:basedOn w:val="1"/>
    <w:next w:val="1"/>
    <w:link w:val="67"/>
    <w:qFormat/>
    <w:uiPriority w:val="99"/>
    <w:pPr>
      <w:keepNext/>
      <w:keepLines/>
      <w:adjustRightInd w:val="0"/>
      <w:spacing w:before="260" w:after="260" w:line="416" w:lineRule="atLeast"/>
      <w:textAlignment w:val="baseline"/>
      <w:outlineLvl w:val="2"/>
    </w:pPr>
    <w:rPr>
      <w:b/>
      <w:bCs/>
      <w:kern w:val="0"/>
      <w:sz w:val="32"/>
      <w:szCs w:val="32"/>
    </w:rPr>
  </w:style>
  <w:style w:type="paragraph" w:styleId="9">
    <w:name w:val="heading 4"/>
    <w:basedOn w:val="1"/>
    <w:next w:val="1"/>
    <w:link w:val="68"/>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0">
    <w:name w:val="heading 5"/>
    <w:basedOn w:val="1"/>
    <w:next w:val="1"/>
    <w:link w:val="69"/>
    <w:qFormat/>
    <w:uiPriority w:val="99"/>
    <w:pPr>
      <w:keepNext/>
      <w:keepLines/>
      <w:adjustRightInd w:val="0"/>
      <w:spacing w:before="280" w:after="290" w:line="376" w:lineRule="atLeast"/>
      <w:textAlignment w:val="baseline"/>
      <w:outlineLvl w:val="4"/>
    </w:pPr>
    <w:rPr>
      <w:b/>
      <w:bCs/>
      <w:kern w:val="0"/>
      <w:sz w:val="28"/>
      <w:szCs w:val="28"/>
    </w:rPr>
  </w:style>
  <w:style w:type="paragraph" w:styleId="11">
    <w:name w:val="heading 6"/>
    <w:basedOn w:val="1"/>
    <w:next w:val="1"/>
    <w:link w:val="70"/>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2">
    <w:name w:val="heading 7"/>
    <w:basedOn w:val="1"/>
    <w:next w:val="1"/>
    <w:link w:val="71"/>
    <w:qFormat/>
    <w:uiPriority w:val="99"/>
    <w:pPr>
      <w:keepNext/>
      <w:keepLines/>
      <w:adjustRightInd w:val="0"/>
      <w:spacing w:before="240" w:after="64" w:line="320" w:lineRule="atLeast"/>
      <w:textAlignment w:val="baseline"/>
      <w:outlineLvl w:val="6"/>
    </w:pPr>
    <w:rPr>
      <w:b/>
      <w:bCs/>
      <w:kern w:val="0"/>
      <w:sz w:val="24"/>
      <w:szCs w:val="24"/>
    </w:rPr>
  </w:style>
  <w:style w:type="paragraph" w:styleId="13">
    <w:name w:val="heading 8"/>
    <w:basedOn w:val="1"/>
    <w:next w:val="1"/>
    <w:link w:val="72"/>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4">
    <w:name w:val="heading 9"/>
    <w:basedOn w:val="1"/>
    <w:next w:val="1"/>
    <w:link w:val="73"/>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link w:val="90"/>
    <w:qFormat/>
    <w:locked/>
    <w:uiPriority w:val="99"/>
    <w:pPr>
      <w:ind w:firstLine="420" w:firstLineChars="200"/>
    </w:pPr>
    <w:rPr>
      <w:sz w:val="21"/>
      <w:szCs w:val="21"/>
    </w:rPr>
  </w:style>
  <w:style w:type="paragraph" w:styleId="3">
    <w:name w:val="Body Text Indent"/>
    <w:basedOn w:val="1"/>
    <w:next w:val="4"/>
    <w:link w:val="64"/>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85"/>
    <w:qFormat/>
    <w:uiPriority w:val="99"/>
    <w:pPr>
      <w:spacing w:after="120"/>
      <w:ind w:left="420" w:leftChars="200"/>
    </w:pPr>
    <w:rPr>
      <w:kern w:val="0"/>
      <w:sz w:val="16"/>
      <w:szCs w:val="16"/>
    </w:rPr>
  </w:style>
  <w:style w:type="paragraph" w:styleId="15">
    <w:name w:val="List 3"/>
    <w:basedOn w:val="1"/>
    <w:qFormat/>
    <w:uiPriority w:val="99"/>
    <w:pPr>
      <w:ind w:left="100" w:leftChars="400" w:hanging="200" w:hangingChars="200"/>
    </w:pPr>
  </w:style>
  <w:style w:type="paragraph" w:styleId="16">
    <w:name w:val="toc 7"/>
    <w:basedOn w:val="1"/>
    <w:next w:val="1"/>
    <w:semiHidden/>
    <w:qFormat/>
    <w:uiPriority w:val="99"/>
    <w:pPr>
      <w:ind w:left="1260"/>
      <w:jc w:val="left"/>
    </w:pPr>
    <w:rPr>
      <w:sz w:val="18"/>
      <w:szCs w:val="18"/>
    </w:rPr>
  </w:style>
  <w:style w:type="paragraph" w:styleId="17">
    <w:name w:val="Normal Indent"/>
    <w:basedOn w:val="1"/>
    <w:link w:val="74"/>
    <w:qFormat/>
    <w:uiPriority w:val="99"/>
    <w:pPr>
      <w:ind w:firstLine="420"/>
    </w:pPr>
  </w:style>
  <w:style w:type="paragraph" w:styleId="18">
    <w:name w:val="Document Map"/>
    <w:basedOn w:val="1"/>
    <w:link w:val="75"/>
    <w:semiHidden/>
    <w:qFormat/>
    <w:uiPriority w:val="99"/>
    <w:pPr>
      <w:shd w:val="clear" w:color="auto" w:fill="000080"/>
    </w:pPr>
    <w:rPr>
      <w:kern w:val="0"/>
      <w:sz w:val="2"/>
      <w:szCs w:val="2"/>
    </w:rPr>
  </w:style>
  <w:style w:type="paragraph" w:styleId="19">
    <w:name w:val="annotation text"/>
    <w:basedOn w:val="1"/>
    <w:link w:val="76"/>
    <w:semiHidden/>
    <w:qFormat/>
    <w:uiPriority w:val="99"/>
    <w:pPr>
      <w:jc w:val="left"/>
    </w:pPr>
  </w:style>
  <w:style w:type="paragraph" w:styleId="20">
    <w:name w:val="Body Text"/>
    <w:basedOn w:val="1"/>
    <w:next w:val="1"/>
    <w:link w:val="77"/>
    <w:qFormat/>
    <w:uiPriority w:val="99"/>
    <w:rPr>
      <w:kern w:val="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spacing w:after="120"/>
      <w:ind w:left="420" w:leftChars="200"/>
    </w:pPr>
  </w:style>
  <w:style w:type="paragraph" w:styleId="23">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4">
    <w:name w:val="toc 5"/>
    <w:basedOn w:val="1"/>
    <w:next w:val="1"/>
    <w:semiHidden/>
    <w:qFormat/>
    <w:uiPriority w:val="99"/>
    <w:pPr>
      <w:ind w:left="840"/>
      <w:jc w:val="left"/>
    </w:pPr>
    <w:rPr>
      <w:sz w:val="18"/>
      <w:szCs w:val="18"/>
    </w:rPr>
  </w:style>
  <w:style w:type="paragraph" w:styleId="25">
    <w:name w:val="toc 3"/>
    <w:basedOn w:val="1"/>
    <w:next w:val="1"/>
    <w:semiHidden/>
    <w:qFormat/>
    <w:uiPriority w:val="99"/>
    <w:pPr>
      <w:ind w:left="420"/>
      <w:jc w:val="left"/>
    </w:pPr>
    <w:rPr>
      <w:i/>
      <w:iCs/>
      <w:sz w:val="20"/>
      <w:szCs w:val="20"/>
    </w:rPr>
  </w:style>
  <w:style w:type="paragraph" w:styleId="26">
    <w:name w:val="Plain Text"/>
    <w:basedOn w:val="1"/>
    <w:link w:val="79"/>
    <w:qFormat/>
    <w:uiPriority w:val="99"/>
    <w:rPr>
      <w:rFonts w:ascii="宋体" w:hAnsi="Courier New"/>
      <w:kern w:val="0"/>
    </w:rPr>
  </w:style>
  <w:style w:type="paragraph" w:styleId="27">
    <w:name w:val="toc 8"/>
    <w:basedOn w:val="1"/>
    <w:next w:val="1"/>
    <w:semiHidden/>
    <w:qFormat/>
    <w:uiPriority w:val="99"/>
    <w:pPr>
      <w:ind w:left="1470"/>
      <w:jc w:val="left"/>
    </w:pPr>
    <w:rPr>
      <w:sz w:val="18"/>
      <w:szCs w:val="18"/>
    </w:rPr>
  </w:style>
  <w:style w:type="paragraph" w:styleId="28">
    <w:name w:val="Date"/>
    <w:basedOn w:val="1"/>
    <w:next w:val="1"/>
    <w:link w:val="80"/>
    <w:qFormat/>
    <w:uiPriority w:val="99"/>
    <w:pPr>
      <w:widowControl/>
      <w:ind w:left="100"/>
      <w:jc w:val="left"/>
    </w:pPr>
    <w:rPr>
      <w:kern w:val="0"/>
    </w:rPr>
  </w:style>
  <w:style w:type="paragraph" w:styleId="29">
    <w:name w:val="Body Text Indent 2"/>
    <w:basedOn w:val="1"/>
    <w:link w:val="81"/>
    <w:qFormat/>
    <w:uiPriority w:val="99"/>
    <w:pPr>
      <w:ind w:left="1436" w:leftChars="684"/>
    </w:pPr>
    <w:rPr>
      <w:kern w:val="0"/>
    </w:rPr>
  </w:style>
  <w:style w:type="paragraph" w:styleId="30">
    <w:name w:val="List Continue 5"/>
    <w:basedOn w:val="1"/>
    <w:qFormat/>
    <w:uiPriority w:val="99"/>
    <w:pPr>
      <w:spacing w:after="120"/>
      <w:ind w:left="2100" w:leftChars="1000"/>
    </w:pPr>
  </w:style>
  <w:style w:type="paragraph" w:styleId="31">
    <w:name w:val="Balloon Text"/>
    <w:basedOn w:val="1"/>
    <w:link w:val="78"/>
    <w:semiHidden/>
    <w:qFormat/>
    <w:uiPriority w:val="99"/>
    <w:rPr>
      <w:sz w:val="18"/>
      <w:szCs w:val="18"/>
    </w:rPr>
  </w:style>
  <w:style w:type="paragraph" w:styleId="32">
    <w:name w:val="footer"/>
    <w:basedOn w:val="1"/>
    <w:link w:val="82"/>
    <w:qFormat/>
    <w:uiPriority w:val="99"/>
    <w:pPr>
      <w:tabs>
        <w:tab w:val="center" w:pos="4153"/>
        <w:tab w:val="right" w:pos="8306"/>
      </w:tabs>
      <w:snapToGrid w:val="0"/>
      <w:jc w:val="left"/>
    </w:pPr>
    <w:rPr>
      <w:sz w:val="18"/>
      <w:szCs w:val="18"/>
    </w:rPr>
  </w:style>
  <w:style w:type="paragraph" w:styleId="33">
    <w:name w:val="header"/>
    <w:basedOn w:val="1"/>
    <w:link w:val="83"/>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5">
    <w:name w:val="List Continue 4"/>
    <w:basedOn w:val="1"/>
    <w:qFormat/>
    <w:uiPriority w:val="99"/>
    <w:pPr>
      <w:spacing w:after="120"/>
      <w:ind w:left="1680" w:leftChars="800"/>
    </w:pPr>
  </w:style>
  <w:style w:type="paragraph" w:styleId="36">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7">
    <w:name w:val="List"/>
    <w:basedOn w:val="1"/>
    <w:qFormat/>
    <w:uiPriority w:val="99"/>
    <w:pPr>
      <w:ind w:left="200" w:hanging="200" w:hangingChars="200"/>
    </w:pPr>
  </w:style>
  <w:style w:type="paragraph" w:styleId="38">
    <w:name w:val="footnote text"/>
    <w:basedOn w:val="1"/>
    <w:link w:val="84"/>
    <w:semiHidden/>
    <w:qFormat/>
    <w:uiPriority w:val="99"/>
    <w:pPr>
      <w:snapToGrid w:val="0"/>
      <w:jc w:val="left"/>
    </w:pPr>
    <w:rPr>
      <w:kern w:val="0"/>
      <w:sz w:val="18"/>
      <w:szCs w:val="18"/>
    </w:rPr>
  </w:style>
  <w:style w:type="paragraph" w:styleId="39">
    <w:name w:val="toc 6"/>
    <w:basedOn w:val="1"/>
    <w:next w:val="1"/>
    <w:semiHidden/>
    <w:qFormat/>
    <w:uiPriority w:val="99"/>
    <w:pPr>
      <w:ind w:left="1050"/>
      <w:jc w:val="left"/>
    </w:pPr>
    <w:rPr>
      <w:sz w:val="18"/>
      <w:szCs w:val="18"/>
    </w:rPr>
  </w:style>
  <w:style w:type="paragraph" w:styleId="40">
    <w:name w:val="List 5"/>
    <w:basedOn w:val="1"/>
    <w:qFormat/>
    <w:uiPriority w:val="99"/>
    <w:pPr>
      <w:ind w:left="100" w:leftChars="800" w:hanging="200" w:hangingChars="200"/>
    </w:p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6"/>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7"/>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9"/>
    <w:next w:val="19"/>
    <w:link w:val="88"/>
    <w:semiHidden/>
    <w:qFormat/>
    <w:uiPriority w:val="99"/>
    <w:rPr>
      <w:b/>
      <w:bCs/>
    </w:rPr>
  </w:style>
  <w:style w:type="paragraph" w:styleId="50">
    <w:name w:val="Body Text First Indent"/>
    <w:basedOn w:val="20"/>
    <w:link w:val="89"/>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TML Definition"/>
    <w:basedOn w:val="53"/>
    <w:unhideWhenUsed/>
    <w:qFormat/>
    <w:locked/>
    <w:uiPriority w:val="99"/>
    <w:rPr>
      <w:i/>
      <w:iCs/>
    </w:rPr>
  </w:style>
  <w:style w:type="character" w:styleId="58">
    <w:name w:val="Hyperlink"/>
    <w:qFormat/>
    <w:uiPriority w:val="99"/>
    <w:rPr>
      <w:color w:val="auto"/>
      <w:u w:val="none"/>
    </w:rPr>
  </w:style>
  <w:style w:type="character" w:styleId="59">
    <w:name w:val="HTML Code"/>
    <w:basedOn w:val="53"/>
    <w:unhideWhenUsed/>
    <w:qFormat/>
    <w:locked/>
    <w:uiPriority w:val="99"/>
    <w:rPr>
      <w:rFonts w:hint="default" w:ascii="Consolas" w:hAnsi="Consolas" w:eastAsia="Consolas" w:cs="Consolas"/>
      <w:color w:val="C7254E"/>
      <w:sz w:val="21"/>
      <w:szCs w:val="21"/>
      <w:shd w:val="clear" w:color="auto" w:fill="F9F2F4"/>
    </w:rPr>
  </w:style>
  <w:style w:type="character" w:styleId="60">
    <w:name w:val="annotation reference"/>
    <w:semiHidden/>
    <w:qFormat/>
    <w:uiPriority w:val="99"/>
    <w:rPr>
      <w:sz w:val="21"/>
      <w:szCs w:val="21"/>
    </w:rPr>
  </w:style>
  <w:style w:type="character" w:styleId="61">
    <w:name w:val="footnote reference"/>
    <w:semiHidden/>
    <w:qFormat/>
    <w:uiPriority w:val="99"/>
    <w:rPr>
      <w:vertAlign w:val="superscript"/>
    </w:rPr>
  </w:style>
  <w:style w:type="character" w:styleId="62">
    <w:name w:val="HTML Keyboard"/>
    <w:basedOn w:val="53"/>
    <w:unhideWhenUsed/>
    <w:qFormat/>
    <w:locked/>
    <w:uiPriority w:val="99"/>
    <w:rPr>
      <w:rFonts w:hint="default" w:ascii="Consolas" w:hAnsi="Consolas" w:eastAsia="Consolas" w:cs="Consolas"/>
      <w:color w:val="FFFFFF"/>
      <w:sz w:val="21"/>
      <w:szCs w:val="21"/>
      <w:shd w:val="clear" w:color="auto" w:fill="333333"/>
    </w:rPr>
  </w:style>
  <w:style w:type="character" w:styleId="63">
    <w:name w:val="HTML Sample"/>
    <w:basedOn w:val="53"/>
    <w:unhideWhenUsed/>
    <w:qFormat/>
    <w:locked/>
    <w:uiPriority w:val="99"/>
    <w:rPr>
      <w:rFonts w:ascii="Consolas" w:hAnsi="Consolas" w:eastAsia="Consolas" w:cs="Consolas"/>
      <w:sz w:val="21"/>
      <w:szCs w:val="21"/>
    </w:rPr>
  </w:style>
  <w:style w:type="character" w:customStyle="1" w:styleId="64">
    <w:name w:val="正文文本缩进 Char"/>
    <w:link w:val="3"/>
    <w:qFormat/>
    <w:locked/>
    <w:uiPriority w:val="99"/>
    <w:rPr>
      <w:kern w:val="2"/>
      <w:sz w:val="24"/>
      <w:szCs w:val="24"/>
    </w:rPr>
  </w:style>
  <w:style w:type="character" w:customStyle="1" w:styleId="65">
    <w:name w:val="标题 1 Char"/>
    <w:link w:val="6"/>
    <w:qFormat/>
    <w:locked/>
    <w:uiPriority w:val="99"/>
    <w:rPr>
      <w:b/>
      <w:bCs/>
      <w:kern w:val="44"/>
      <w:sz w:val="44"/>
      <w:szCs w:val="44"/>
    </w:rPr>
  </w:style>
  <w:style w:type="character" w:customStyle="1" w:styleId="66">
    <w:name w:val="标题 2 Char"/>
    <w:link w:val="7"/>
    <w:qFormat/>
    <w:locked/>
    <w:uiPriority w:val="99"/>
    <w:rPr>
      <w:rFonts w:ascii="Arial" w:hAnsi="Arial" w:eastAsia="黑体" w:cs="Arial"/>
      <w:b/>
      <w:bCs/>
      <w:sz w:val="32"/>
      <w:szCs w:val="32"/>
    </w:rPr>
  </w:style>
  <w:style w:type="character" w:customStyle="1" w:styleId="67">
    <w:name w:val="标题 3 Char"/>
    <w:link w:val="8"/>
    <w:semiHidden/>
    <w:qFormat/>
    <w:locked/>
    <w:uiPriority w:val="99"/>
    <w:rPr>
      <w:rFonts w:ascii="Times New Roman" w:hAnsi="Times New Roman" w:cs="Times New Roman"/>
      <w:b/>
      <w:bCs/>
      <w:sz w:val="32"/>
      <w:szCs w:val="32"/>
    </w:rPr>
  </w:style>
  <w:style w:type="character" w:customStyle="1" w:styleId="68">
    <w:name w:val="标题 4 Char"/>
    <w:link w:val="9"/>
    <w:qFormat/>
    <w:locked/>
    <w:uiPriority w:val="99"/>
    <w:rPr>
      <w:rFonts w:ascii="Arial" w:hAnsi="Arial" w:eastAsia="黑体" w:cs="Arial"/>
      <w:b/>
      <w:bCs/>
      <w:kern w:val="2"/>
      <w:sz w:val="28"/>
      <w:szCs w:val="28"/>
      <w:lang w:val="en-US" w:eastAsia="zh-CN"/>
    </w:rPr>
  </w:style>
  <w:style w:type="character" w:customStyle="1" w:styleId="69">
    <w:name w:val="标题 5 Char"/>
    <w:link w:val="10"/>
    <w:semiHidden/>
    <w:qFormat/>
    <w:locked/>
    <w:uiPriority w:val="99"/>
    <w:rPr>
      <w:rFonts w:ascii="Times New Roman" w:hAnsi="Times New Roman" w:cs="Times New Roman"/>
      <w:b/>
      <w:bCs/>
      <w:sz w:val="28"/>
      <w:szCs w:val="28"/>
    </w:rPr>
  </w:style>
  <w:style w:type="character" w:customStyle="1" w:styleId="70">
    <w:name w:val="标题 6 Char"/>
    <w:link w:val="11"/>
    <w:semiHidden/>
    <w:qFormat/>
    <w:locked/>
    <w:uiPriority w:val="99"/>
    <w:rPr>
      <w:rFonts w:ascii="Cambria" w:hAnsi="Cambria" w:eastAsia="宋体" w:cs="Cambria"/>
      <w:b/>
      <w:bCs/>
      <w:sz w:val="24"/>
      <w:szCs w:val="24"/>
    </w:rPr>
  </w:style>
  <w:style w:type="character" w:customStyle="1" w:styleId="71">
    <w:name w:val="标题 7 Char"/>
    <w:link w:val="12"/>
    <w:semiHidden/>
    <w:qFormat/>
    <w:locked/>
    <w:uiPriority w:val="99"/>
    <w:rPr>
      <w:rFonts w:ascii="Times New Roman" w:hAnsi="Times New Roman" w:cs="Times New Roman"/>
      <w:b/>
      <w:bCs/>
      <w:sz w:val="24"/>
      <w:szCs w:val="24"/>
    </w:rPr>
  </w:style>
  <w:style w:type="character" w:customStyle="1" w:styleId="72">
    <w:name w:val="标题 8 Char"/>
    <w:link w:val="13"/>
    <w:semiHidden/>
    <w:qFormat/>
    <w:locked/>
    <w:uiPriority w:val="99"/>
    <w:rPr>
      <w:rFonts w:ascii="Cambria" w:hAnsi="Cambria" w:eastAsia="宋体" w:cs="Cambria"/>
      <w:sz w:val="24"/>
      <w:szCs w:val="24"/>
    </w:rPr>
  </w:style>
  <w:style w:type="character" w:customStyle="1" w:styleId="73">
    <w:name w:val="标题 9 Char"/>
    <w:link w:val="14"/>
    <w:semiHidden/>
    <w:qFormat/>
    <w:locked/>
    <w:uiPriority w:val="99"/>
    <w:rPr>
      <w:rFonts w:ascii="Cambria" w:hAnsi="Cambria" w:eastAsia="宋体" w:cs="Cambria"/>
      <w:sz w:val="21"/>
      <w:szCs w:val="21"/>
    </w:rPr>
  </w:style>
  <w:style w:type="character" w:customStyle="1" w:styleId="74">
    <w:name w:val="正文缩进 Char"/>
    <w:link w:val="17"/>
    <w:qFormat/>
    <w:locked/>
    <w:uiPriority w:val="99"/>
    <w:rPr>
      <w:kern w:val="2"/>
      <w:sz w:val="21"/>
      <w:szCs w:val="21"/>
    </w:rPr>
  </w:style>
  <w:style w:type="character" w:customStyle="1" w:styleId="75">
    <w:name w:val="文档结构图 Char"/>
    <w:link w:val="18"/>
    <w:semiHidden/>
    <w:qFormat/>
    <w:locked/>
    <w:uiPriority w:val="99"/>
    <w:rPr>
      <w:rFonts w:ascii="Times New Roman" w:hAnsi="Times New Roman" w:cs="Times New Roman"/>
      <w:sz w:val="2"/>
      <w:szCs w:val="2"/>
    </w:rPr>
  </w:style>
  <w:style w:type="character" w:customStyle="1" w:styleId="76">
    <w:name w:val="批注文字 Char"/>
    <w:link w:val="19"/>
    <w:qFormat/>
    <w:locked/>
    <w:uiPriority w:val="99"/>
    <w:rPr>
      <w:kern w:val="2"/>
      <w:sz w:val="21"/>
      <w:szCs w:val="21"/>
    </w:rPr>
  </w:style>
  <w:style w:type="character" w:customStyle="1" w:styleId="77">
    <w:name w:val="正文文本 Char"/>
    <w:link w:val="20"/>
    <w:semiHidden/>
    <w:qFormat/>
    <w:locked/>
    <w:uiPriority w:val="99"/>
    <w:rPr>
      <w:rFonts w:ascii="Times New Roman" w:hAnsi="Times New Roman" w:cs="Times New Roman"/>
      <w:sz w:val="21"/>
      <w:szCs w:val="21"/>
    </w:rPr>
  </w:style>
  <w:style w:type="character" w:customStyle="1" w:styleId="78">
    <w:name w:val="批注框文本 Char"/>
    <w:link w:val="31"/>
    <w:qFormat/>
    <w:locked/>
    <w:uiPriority w:val="99"/>
    <w:rPr>
      <w:rFonts w:eastAsia="宋体"/>
      <w:kern w:val="2"/>
      <w:sz w:val="18"/>
      <w:szCs w:val="18"/>
      <w:lang w:val="en-US" w:eastAsia="zh-CN"/>
    </w:rPr>
  </w:style>
  <w:style w:type="character" w:customStyle="1" w:styleId="79">
    <w:name w:val="纯文本 Char"/>
    <w:link w:val="26"/>
    <w:semiHidden/>
    <w:qFormat/>
    <w:locked/>
    <w:uiPriority w:val="99"/>
    <w:rPr>
      <w:rFonts w:ascii="宋体" w:hAnsi="Courier New" w:cs="宋体"/>
      <w:sz w:val="21"/>
      <w:szCs w:val="21"/>
    </w:rPr>
  </w:style>
  <w:style w:type="character" w:customStyle="1" w:styleId="80">
    <w:name w:val="日期 Char"/>
    <w:link w:val="28"/>
    <w:semiHidden/>
    <w:qFormat/>
    <w:locked/>
    <w:uiPriority w:val="99"/>
    <w:rPr>
      <w:rFonts w:ascii="Times New Roman" w:hAnsi="Times New Roman" w:cs="Times New Roman"/>
      <w:sz w:val="21"/>
      <w:szCs w:val="21"/>
    </w:rPr>
  </w:style>
  <w:style w:type="character" w:customStyle="1" w:styleId="81">
    <w:name w:val="正文文本缩进 2 Char"/>
    <w:link w:val="29"/>
    <w:semiHidden/>
    <w:qFormat/>
    <w:locked/>
    <w:uiPriority w:val="99"/>
    <w:rPr>
      <w:rFonts w:ascii="Times New Roman" w:hAnsi="Times New Roman" w:cs="Times New Roman"/>
      <w:sz w:val="21"/>
      <w:szCs w:val="21"/>
    </w:rPr>
  </w:style>
  <w:style w:type="character" w:customStyle="1" w:styleId="82">
    <w:name w:val="页脚 Char"/>
    <w:link w:val="32"/>
    <w:qFormat/>
    <w:locked/>
    <w:uiPriority w:val="99"/>
    <w:rPr>
      <w:kern w:val="2"/>
      <w:sz w:val="18"/>
      <w:szCs w:val="18"/>
    </w:rPr>
  </w:style>
  <w:style w:type="character" w:customStyle="1" w:styleId="83">
    <w:name w:val="页眉 Char"/>
    <w:link w:val="33"/>
    <w:semiHidden/>
    <w:qFormat/>
    <w:locked/>
    <w:uiPriority w:val="99"/>
    <w:rPr>
      <w:rFonts w:ascii="Times New Roman" w:hAnsi="Times New Roman" w:cs="Times New Roman"/>
      <w:sz w:val="18"/>
      <w:szCs w:val="18"/>
    </w:rPr>
  </w:style>
  <w:style w:type="character" w:customStyle="1" w:styleId="84">
    <w:name w:val="脚注文本 Char"/>
    <w:link w:val="38"/>
    <w:semiHidden/>
    <w:qFormat/>
    <w:locked/>
    <w:uiPriority w:val="99"/>
    <w:rPr>
      <w:rFonts w:ascii="Times New Roman" w:hAnsi="Times New Roman" w:cs="Times New Roman"/>
      <w:sz w:val="18"/>
      <w:szCs w:val="18"/>
    </w:rPr>
  </w:style>
  <w:style w:type="character" w:customStyle="1" w:styleId="85">
    <w:name w:val="正文文本缩进 3 Char"/>
    <w:link w:val="5"/>
    <w:semiHidden/>
    <w:qFormat/>
    <w:locked/>
    <w:uiPriority w:val="99"/>
    <w:rPr>
      <w:rFonts w:ascii="Times New Roman" w:hAnsi="Times New Roman" w:cs="Times New Roman"/>
      <w:sz w:val="16"/>
      <w:szCs w:val="16"/>
    </w:rPr>
  </w:style>
  <w:style w:type="character" w:customStyle="1" w:styleId="86">
    <w:name w:val="正文文本 2 Char"/>
    <w:link w:val="43"/>
    <w:semiHidden/>
    <w:qFormat/>
    <w:locked/>
    <w:uiPriority w:val="99"/>
    <w:rPr>
      <w:rFonts w:ascii="Times New Roman" w:hAnsi="Times New Roman" w:cs="Times New Roman"/>
      <w:sz w:val="21"/>
      <w:szCs w:val="21"/>
    </w:rPr>
  </w:style>
  <w:style w:type="character" w:customStyle="1" w:styleId="87">
    <w:name w:val="HTML 预设格式 Char"/>
    <w:link w:val="46"/>
    <w:qFormat/>
    <w:locked/>
    <w:uiPriority w:val="99"/>
    <w:rPr>
      <w:rFonts w:ascii="Courier New" w:hAnsi="Courier New" w:cs="Courier New"/>
      <w:kern w:val="2"/>
    </w:rPr>
  </w:style>
  <w:style w:type="character" w:customStyle="1" w:styleId="88">
    <w:name w:val="批注主题 Char"/>
    <w:link w:val="49"/>
    <w:semiHidden/>
    <w:qFormat/>
    <w:locked/>
    <w:uiPriority w:val="99"/>
    <w:rPr>
      <w:rFonts w:ascii="Times New Roman" w:hAnsi="Times New Roman" w:cs="Times New Roman"/>
      <w:b/>
      <w:bCs/>
      <w:kern w:val="2"/>
      <w:sz w:val="21"/>
      <w:szCs w:val="21"/>
    </w:rPr>
  </w:style>
  <w:style w:type="character" w:customStyle="1" w:styleId="89">
    <w:name w:val="正文首行缩进 Char"/>
    <w:link w:val="50"/>
    <w:semiHidden/>
    <w:qFormat/>
    <w:locked/>
    <w:uiPriority w:val="99"/>
    <w:rPr>
      <w:rFonts w:ascii="Times New Roman" w:hAnsi="Times New Roman" w:cs="Times New Roman"/>
      <w:sz w:val="21"/>
      <w:szCs w:val="21"/>
    </w:rPr>
  </w:style>
  <w:style w:type="character" w:customStyle="1" w:styleId="90">
    <w:name w:val="正文首行缩进 2 Char"/>
    <w:link w:val="2"/>
    <w:qFormat/>
    <w:locked/>
    <w:uiPriority w:val="99"/>
    <w:rPr>
      <w:rFonts w:ascii="Times New Roman" w:hAnsi="Times New Roman" w:cs="Times New Roman"/>
      <w:kern w:val="2"/>
      <w:sz w:val="21"/>
      <w:szCs w:val="21"/>
    </w:rPr>
  </w:style>
  <w:style w:type="paragraph" w:customStyle="1" w:styleId="91">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2">
    <w:name w:val="无间隔1"/>
    <w:qFormat/>
    <w:uiPriority w:val="0"/>
    <w:rPr>
      <w:rFonts w:ascii="Times New Roman" w:hAnsi="Times New Roman" w:eastAsia="宋体" w:cs="Times New Roman"/>
      <w:sz w:val="22"/>
      <w:szCs w:val="22"/>
      <w:lang w:val="en-US" w:eastAsia="en-US" w:bidi="en-US"/>
    </w:rPr>
  </w:style>
  <w:style w:type="paragraph" w:customStyle="1" w:styleId="93">
    <w:name w:val="一级条标题"/>
    <w:basedOn w:val="94"/>
    <w:next w:val="9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5">
    <w:name w:val="段"/>
    <w:basedOn w:val="1"/>
    <w:next w:val="1"/>
    <w:qFormat/>
    <w:uiPriority w:val="0"/>
    <w:pPr>
      <w:widowControl/>
      <w:autoSpaceDE w:val="0"/>
      <w:autoSpaceDN w:val="0"/>
      <w:ind w:firstLine="200" w:firstLineChars="200"/>
    </w:pPr>
    <w:rPr>
      <w:rFonts w:hint="eastAsia" w:ascii="宋体"/>
      <w:kern w:val="0"/>
    </w:rPr>
  </w:style>
  <w:style w:type="character" w:customStyle="1" w:styleId="96">
    <w:name w:val="font31"/>
    <w:qFormat/>
    <w:uiPriority w:val="99"/>
    <w:rPr>
      <w:rFonts w:ascii="仿宋" w:hAnsi="仿宋" w:eastAsia="仿宋" w:cs="仿宋"/>
      <w:color w:val="000000"/>
      <w:sz w:val="20"/>
      <w:szCs w:val="20"/>
      <w:u w:val="none"/>
    </w:rPr>
  </w:style>
  <w:style w:type="character" w:customStyle="1" w:styleId="97">
    <w:name w:val="font51"/>
    <w:qFormat/>
    <w:uiPriority w:val="99"/>
    <w:rPr>
      <w:rFonts w:ascii="宋体" w:hAnsi="宋体" w:eastAsia="宋体" w:cs="宋体"/>
      <w:color w:val="000000"/>
      <w:sz w:val="24"/>
      <w:szCs w:val="24"/>
      <w:u w:val="none"/>
    </w:rPr>
  </w:style>
  <w:style w:type="character" w:customStyle="1" w:styleId="98">
    <w:name w:val="font101"/>
    <w:qFormat/>
    <w:uiPriority w:val="99"/>
    <w:rPr>
      <w:rFonts w:ascii="仿宋" w:hAnsi="仿宋" w:eastAsia="仿宋" w:cs="仿宋"/>
      <w:color w:val="000000"/>
      <w:sz w:val="20"/>
      <w:szCs w:val="20"/>
      <w:u w:val="none"/>
    </w:rPr>
  </w:style>
  <w:style w:type="character" w:customStyle="1" w:styleId="99">
    <w:name w:val="font111"/>
    <w:qFormat/>
    <w:uiPriority w:val="99"/>
    <w:rPr>
      <w:rFonts w:ascii="宋体" w:hAnsi="宋体" w:eastAsia="宋体" w:cs="宋体"/>
      <w:color w:val="000000"/>
      <w:sz w:val="20"/>
      <w:szCs w:val="20"/>
      <w:u w:val="none"/>
    </w:rPr>
  </w:style>
  <w:style w:type="character" w:customStyle="1" w:styleId="100">
    <w:name w:val="font81"/>
    <w:qFormat/>
    <w:uiPriority w:val="99"/>
    <w:rPr>
      <w:rFonts w:ascii="Arial" w:hAnsi="Arial" w:cs="Arial"/>
      <w:color w:val="000000"/>
      <w:sz w:val="20"/>
      <w:szCs w:val="20"/>
      <w:u w:val="none"/>
    </w:rPr>
  </w:style>
  <w:style w:type="character" w:customStyle="1" w:styleId="101">
    <w:name w:val="style1"/>
    <w:qFormat/>
    <w:uiPriority w:val="99"/>
  </w:style>
  <w:style w:type="character" w:customStyle="1" w:styleId="102">
    <w:name w:val="font71"/>
    <w:qFormat/>
    <w:uiPriority w:val="99"/>
    <w:rPr>
      <w:rFonts w:ascii="Wingdings 2" w:hAnsi="Wingdings 2" w:cs="Wingdings 2"/>
      <w:color w:val="000000"/>
      <w:sz w:val="20"/>
      <w:szCs w:val="20"/>
      <w:u w:val="none"/>
    </w:rPr>
  </w:style>
  <w:style w:type="character" w:customStyle="1" w:styleId="103">
    <w:name w:val="font91"/>
    <w:qFormat/>
    <w:uiPriority w:val="99"/>
    <w:rPr>
      <w:rFonts w:ascii="宋体" w:hAnsi="宋体" w:eastAsia="宋体" w:cs="宋体"/>
      <w:color w:val="000000"/>
      <w:sz w:val="20"/>
      <w:szCs w:val="20"/>
      <w:u w:val="none"/>
    </w:rPr>
  </w:style>
  <w:style w:type="character" w:customStyle="1" w:styleId="104">
    <w:name w:val="font01"/>
    <w:qFormat/>
    <w:uiPriority w:val="99"/>
    <w:rPr>
      <w:rFonts w:ascii="宋体" w:hAnsi="宋体" w:eastAsia="宋体" w:cs="宋体"/>
      <w:color w:val="FF0000"/>
      <w:sz w:val="24"/>
      <w:szCs w:val="24"/>
      <w:u w:val="none"/>
    </w:rPr>
  </w:style>
  <w:style w:type="character" w:customStyle="1" w:styleId="105">
    <w:name w:val="标题 1 Char Char"/>
    <w:qFormat/>
    <w:uiPriority w:val="99"/>
    <w:rPr>
      <w:rFonts w:ascii="宋体" w:hAnsi="宋体" w:eastAsia="宋体" w:cs="宋体"/>
      <w:b/>
      <w:bCs/>
      <w:spacing w:val="-2"/>
      <w:sz w:val="24"/>
      <w:szCs w:val="24"/>
      <w:lang w:val="en-US" w:eastAsia="zh-CN"/>
    </w:rPr>
  </w:style>
  <w:style w:type="character" w:customStyle="1" w:styleId="106">
    <w:name w:val="纯文本 Char_0_0"/>
    <w:link w:val="107"/>
    <w:qFormat/>
    <w:locked/>
    <w:uiPriority w:val="99"/>
    <w:rPr>
      <w:rFonts w:ascii="宋体" w:hAnsi="Courier New" w:cs="宋体"/>
      <w:kern w:val="2"/>
      <w:sz w:val="21"/>
      <w:szCs w:val="21"/>
    </w:rPr>
  </w:style>
  <w:style w:type="paragraph" w:customStyle="1" w:styleId="107">
    <w:name w:val="纯文本_0_0"/>
    <w:basedOn w:val="108"/>
    <w:link w:val="106"/>
    <w:qFormat/>
    <w:uiPriority w:val="99"/>
    <w:rPr>
      <w:rFonts w:ascii="宋体" w:hAnsi="Courier New" w:cs="Times New Roman"/>
    </w:rPr>
  </w:style>
  <w:style w:type="paragraph" w:customStyle="1" w:styleId="108">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9">
    <w:name w:val="Style Heading 3 + Char"/>
    <w:link w:val="110"/>
    <w:qFormat/>
    <w:locked/>
    <w:uiPriority w:val="99"/>
    <w:rPr>
      <w:rFonts w:eastAsia="宋体"/>
      <w:b/>
      <w:bCs/>
      <w:kern w:val="2"/>
      <w:sz w:val="28"/>
      <w:szCs w:val="28"/>
      <w:lang w:val="en-US" w:eastAsia="zh-CN"/>
    </w:rPr>
  </w:style>
  <w:style w:type="paragraph" w:customStyle="1" w:styleId="110">
    <w:name w:val="Style Heading 3 +"/>
    <w:basedOn w:val="8"/>
    <w:link w:val="109"/>
    <w:qFormat/>
    <w:uiPriority w:val="99"/>
    <w:pPr>
      <w:adjustRightInd/>
      <w:spacing w:before="120" w:after="120" w:line="120" w:lineRule="atLeast"/>
      <w:textAlignment w:val="auto"/>
    </w:pPr>
    <w:rPr>
      <w:kern w:val="2"/>
      <w:sz w:val="28"/>
      <w:szCs w:val="28"/>
      <w:lang w:val="en-US" w:eastAsia="zh-CN"/>
    </w:rPr>
  </w:style>
  <w:style w:type="character" w:customStyle="1" w:styleId="111">
    <w:name w:val="font11"/>
    <w:qFormat/>
    <w:uiPriority w:val="99"/>
    <w:rPr>
      <w:rFonts w:ascii="宋体" w:hAnsi="宋体" w:eastAsia="宋体" w:cs="宋体"/>
      <w:color w:val="000000"/>
      <w:sz w:val="24"/>
      <w:szCs w:val="24"/>
      <w:u w:val="none"/>
    </w:rPr>
  </w:style>
  <w:style w:type="character" w:customStyle="1" w:styleId="112">
    <w:name w:val="font21"/>
    <w:qFormat/>
    <w:uiPriority w:val="99"/>
    <w:rPr>
      <w:rFonts w:ascii="楷体_GB2312" w:eastAsia="楷体_GB2312" w:cs="楷体_GB2312"/>
      <w:color w:val="000000"/>
      <w:sz w:val="24"/>
      <w:szCs w:val="24"/>
      <w:u w:val="none"/>
    </w:rPr>
  </w:style>
  <w:style w:type="character" w:customStyle="1" w:styleId="113">
    <w:name w:val="font41"/>
    <w:qFormat/>
    <w:uiPriority w:val="99"/>
    <w:rPr>
      <w:rFonts w:ascii="仿宋" w:hAnsi="仿宋" w:eastAsia="仿宋" w:cs="仿宋"/>
      <w:color w:val="000000"/>
      <w:sz w:val="20"/>
      <w:szCs w:val="20"/>
      <w:u w:val="none"/>
    </w:rPr>
  </w:style>
  <w:style w:type="paragraph" w:customStyle="1" w:styleId="114">
    <w:name w:val="Char Char Char1 Char"/>
    <w:basedOn w:val="1"/>
    <w:qFormat/>
    <w:uiPriority w:val="99"/>
  </w:style>
  <w:style w:type="paragraph" w:customStyle="1" w:styleId="115">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6">
    <w:name w:val="纯文本2"/>
    <w:basedOn w:val="1"/>
    <w:qFormat/>
    <w:uiPriority w:val="99"/>
    <w:rPr>
      <w:rFonts w:ascii="宋体" w:hAnsi="Courier New" w:cs="宋体"/>
      <w:sz w:val="28"/>
      <w:szCs w:val="28"/>
    </w:rPr>
  </w:style>
  <w:style w:type="paragraph" w:customStyle="1" w:styleId="117">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8">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9">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20">
    <w:name w:val="1"/>
    <w:basedOn w:val="1"/>
    <w:next w:val="26"/>
    <w:qFormat/>
    <w:uiPriority w:val="99"/>
    <w:rPr>
      <w:rFonts w:ascii="宋体" w:hAnsi="Courier New" w:cs="宋体"/>
    </w:rPr>
  </w:style>
  <w:style w:type="paragraph" w:customStyle="1" w:styleId="121">
    <w:name w:val="Normal_12_0"/>
    <w:qFormat/>
    <w:uiPriority w:val="99"/>
    <w:rPr>
      <w:rFonts w:ascii="黑体" w:hAnsi="黑体" w:eastAsia="黑体" w:cs="黑体"/>
      <w:b/>
      <w:bCs/>
      <w:sz w:val="32"/>
      <w:szCs w:val="32"/>
      <w:lang w:val="en-US" w:eastAsia="zh-CN" w:bidi="ar-SA"/>
    </w:rPr>
  </w:style>
  <w:style w:type="paragraph" w:customStyle="1" w:styleId="122">
    <w:name w:val="p0"/>
    <w:basedOn w:val="1"/>
    <w:qFormat/>
    <w:uiPriority w:val="99"/>
    <w:pPr>
      <w:widowControl/>
    </w:pPr>
    <w:rPr>
      <w:kern w:val="0"/>
    </w:rPr>
  </w:style>
  <w:style w:type="paragraph" w:customStyle="1" w:styleId="123">
    <w:name w:val="列出段落1"/>
    <w:basedOn w:val="1"/>
    <w:qFormat/>
    <w:uiPriority w:val="99"/>
    <w:pPr>
      <w:ind w:firstLine="420" w:firstLineChars="200"/>
    </w:pPr>
  </w:style>
  <w:style w:type="paragraph" w:customStyle="1" w:styleId="124">
    <w:name w:val="样式 标题 1 + 宋体 段前: 0 磅 段后: 0 磅 行距: 单倍行距"/>
    <w:basedOn w:val="6"/>
    <w:next w:val="1"/>
    <w:qFormat/>
    <w:uiPriority w:val="99"/>
    <w:pPr>
      <w:spacing w:beforeLines="100" w:afterLines="100"/>
    </w:pPr>
    <w:rPr>
      <w:rFonts w:ascii="仿宋_GB2312" w:hAnsi="宋体" w:cs="仿宋_GB2312"/>
    </w:rPr>
  </w:style>
  <w:style w:type="paragraph" w:customStyle="1" w:styleId="125">
    <w:name w:val="图文"/>
    <w:basedOn w:val="1"/>
    <w:qFormat/>
    <w:uiPriority w:val="99"/>
    <w:pPr>
      <w:adjustRightInd w:val="0"/>
      <w:snapToGrid w:val="0"/>
      <w:spacing w:after="50" w:line="360" w:lineRule="auto"/>
    </w:pPr>
    <w:rPr>
      <w:sz w:val="24"/>
      <w:szCs w:val="24"/>
    </w:rPr>
  </w:style>
  <w:style w:type="paragraph" w:customStyle="1" w:styleId="126">
    <w:name w:val="列出段落11"/>
    <w:basedOn w:val="1"/>
    <w:qFormat/>
    <w:uiPriority w:val="99"/>
    <w:pPr>
      <w:ind w:firstLine="200" w:firstLineChars="200"/>
    </w:pPr>
    <w:rPr>
      <w:rFonts w:ascii="Calibri" w:hAnsi="Calibri" w:cs="Calibri"/>
    </w:rPr>
  </w:style>
  <w:style w:type="paragraph" w:styleId="127">
    <w:name w:val="List Paragraph"/>
    <w:basedOn w:val="1"/>
    <w:qFormat/>
    <w:uiPriority w:val="99"/>
    <w:pPr>
      <w:ind w:firstLine="420" w:firstLineChars="200"/>
    </w:pPr>
  </w:style>
  <w:style w:type="paragraph" w:customStyle="1" w:styleId="128">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9">
    <w:name w:val="默认段落字体 Para Char Char Char Char"/>
    <w:basedOn w:val="1"/>
    <w:qFormat/>
    <w:uiPriority w:val="99"/>
  </w:style>
  <w:style w:type="paragraph" w:customStyle="1" w:styleId="130">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31">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32">
    <w:name w:val="简单回函地址"/>
    <w:basedOn w:val="1"/>
    <w:qFormat/>
    <w:uiPriority w:val="99"/>
  </w:style>
  <w:style w:type="paragraph" w:customStyle="1" w:styleId="133">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4">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5">
    <w:name w:val="样式 标题 2 + 黑色 行距: 1.5 倍行距"/>
    <w:basedOn w:val="7"/>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6">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7">
    <w:name w:val="正文_0"/>
    <w:qFormat/>
    <w:uiPriority w:val="99"/>
    <w:rPr>
      <w:rFonts w:ascii="Times New Roman" w:hAnsi="Times New Roman" w:eastAsia="宋体" w:cs="Times New Roman"/>
      <w:sz w:val="21"/>
      <w:szCs w:val="21"/>
      <w:lang w:val="en-US" w:eastAsia="zh-CN" w:bidi="ar-SA"/>
    </w:rPr>
  </w:style>
  <w:style w:type="paragraph" w:customStyle="1" w:styleId="138">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9">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40">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41">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52</Pages>
  <Words>31665</Words>
  <Characters>33382</Characters>
  <Lines>219</Lines>
  <Paragraphs>61</Paragraphs>
  <TotalTime>52</TotalTime>
  <ScaleCrop>false</ScaleCrop>
  <LinksUpToDate>false</LinksUpToDate>
  <CharactersWithSpaces>34658</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WLGC-T580-5</dc:creator>
  <cp:lastModifiedBy>admin</cp:lastModifiedBy>
  <cp:lastPrinted>2022-07-12T02:40:30Z</cp:lastPrinted>
  <dcterms:modified xsi:type="dcterms:W3CDTF">2022-07-12T02:56:09Z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39EF1273A67446BC823DD604AE3756A4</vt:lpwstr>
  </property>
</Properties>
</file>