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300" w:lineRule="auto"/>
        <w:rPr>
          <w:rFonts w:ascii="宋体"/>
          <w:w w:val="80"/>
          <w:sz w:val="44"/>
          <w:szCs w:val="44"/>
        </w:rPr>
      </w:pPr>
    </w:p>
    <w:p>
      <w:pPr>
        <w:pStyle w:val="50"/>
        <w:ind w:firstLine="0" w:firstLineChars="0"/>
        <w:rPr>
          <w:rFonts w:ascii="宋体" w:hAnsi="宋体" w:cs="宋体"/>
          <w:b/>
          <w:bCs/>
          <w:sz w:val="36"/>
          <w:szCs w:val="36"/>
        </w:rPr>
      </w:pPr>
    </w:p>
    <w:p>
      <w:pPr>
        <w:pStyle w:val="50"/>
        <w:ind w:firstLine="0" w:firstLineChars="0"/>
        <w:jc w:val="center"/>
      </w:pPr>
      <w:r>
        <w:rPr>
          <w:rFonts w:hint="eastAsia" w:ascii="宋体" w:hAnsi="宋体" w:cs="宋体"/>
          <w:b/>
          <w:bCs/>
          <w:sz w:val="36"/>
          <w:szCs w:val="36"/>
        </w:rPr>
        <w:t>南通市妇幼保健院住院患者生活照护服务项目</w:t>
      </w:r>
    </w:p>
    <w:p>
      <w:pPr>
        <w:tabs>
          <w:tab w:val="left" w:pos="6300"/>
        </w:tabs>
        <w:snapToGrid w:val="0"/>
        <w:spacing w:line="300" w:lineRule="auto"/>
        <w:jc w:val="center"/>
        <w:rPr>
          <w:rFonts w:ascii="宋体"/>
          <w:b/>
          <w:bCs/>
          <w:w w:val="80"/>
          <w:sz w:val="96"/>
          <w:szCs w:val="96"/>
        </w:rPr>
      </w:pPr>
    </w:p>
    <w:p>
      <w:pPr>
        <w:tabs>
          <w:tab w:val="left" w:pos="6300"/>
        </w:tabs>
        <w:snapToGrid w:val="0"/>
        <w:spacing w:line="300" w:lineRule="auto"/>
        <w:jc w:val="center"/>
        <w:rPr>
          <w:rFonts w:ascii="宋体"/>
          <w:b/>
          <w:bCs/>
          <w:w w:val="80"/>
          <w:sz w:val="96"/>
          <w:szCs w:val="96"/>
        </w:rPr>
      </w:pPr>
      <w:r>
        <w:rPr>
          <w:rFonts w:hint="eastAsia" w:ascii="宋体" w:hAnsi="宋体" w:cs="宋体"/>
          <w:b/>
          <w:bCs/>
          <w:w w:val="80"/>
          <w:sz w:val="96"/>
          <w:szCs w:val="96"/>
        </w:rPr>
        <w:t>竞争性磋商文件</w:t>
      </w:r>
    </w:p>
    <w:p>
      <w:pPr>
        <w:jc w:val="center"/>
        <w:rPr>
          <w:rFonts w:ascii="宋体"/>
          <w:b/>
          <w:bCs/>
          <w:sz w:val="44"/>
          <w:szCs w:val="44"/>
        </w:rPr>
      </w:pPr>
    </w:p>
    <w:p>
      <w:pPr>
        <w:jc w:val="center"/>
        <w:rPr>
          <w:rFonts w:ascii="宋体" w:hAnsi="宋体" w:cs="宋体"/>
          <w:b/>
          <w:bCs/>
          <w:sz w:val="32"/>
          <w:szCs w:val="32"/>
        </w:rPr>
      </w:pPr>
      <w:r>
        <w:rPr>
          <w:rFonts w:hint="eastAsia" w:ascii="宋体" w:hAnsi="宋体" w:cs="宋体"/>
          <w:b/>
          <w:bCs/>
          <w:sz w:val="32"/>
          <w:szCs w:val="32"/>
        </w:rPr>
        <w:t>项目编号：WLDL202206039</w:t>
      </w:r>
    </w:p>
    <w:p>
      <w:pPr>
        <w:jc w:val="center"/>
        <w:rPr>
          <w:rFonts w:hint="eastAsia" w:ascii="宋体" w:hAnsi="宋体" w:cs="宋体"/>
          <w:b/>
          <w:bCs/>
          <w:sz w:val="32"/>
          <w:szCs w:val="32"/>
          <w:lang w:eastAsia="zh-CN"/>
        </w:rPr>
      </w:pPr>
      <w:r>
        <w:rPr>
          <w:rFonts w:hint="eastAsia" w:ascii="宋体" w:hAnsi="宋体" w:cs="宋体"/>
          <w:b/>
          <w:bCs/>
          <w:sz w:val="32"/>
          <w:szCs w:val="32"/>
          <w:lang w:eastAsia="zh-CN"/>
        </w:rPr>
        <w:t>（</w:t>
      </w:r>
      <w:r>
        <w:rPr>
          <w:rFonts w:hint="eastAsia" w:ascii="宋体" w:hAnsi="宋体" w:cs="宋体"/>
          <w:b/>
          <w:bCs/>
          <w:sz w:val="32"/>
          <w:szCs w:val="32"/>
          <w:lang w:val="en-US" w:eastAsia="zh-CN"/>
        </w:rPr>
        <w:t>第二次</w:t>
      </w:r>
      <w:r>
        <w:rPr>
          <w:rFonts w:hint="eastAsia" w:ascii="宋体" w:hAnsi="宋体" w:cs="宋体"/>
          <w:b/>
          <w:bCs/>
          <w:sz w:val="32"/>
          <w:szCs w:val="32"/>
          <w:lang w:eastAsia="zh-CN"/>
        </w:rPr>
        <w:t>）</w:t>
      </w:r>
    </w:p>
    <w:p>
      <w:pPr>
        <w:jc w:val="center"/>
      </w:pPr>
    </w:p>
    <w:p>
      <w:pPr>
        <w:snapToGrid w:val="0"/>
        <w:spacing w:line="360" w:lineRule="auto"/>
        <w:jc w:val="center"/>
        <w:rPr>
          <w:sz w:val="32"/>
          <w:szCs w:val="32"/>
        </w:rPr>
      </w:pPr>
    </w:p>
    <w:p>
      <w:pPr>
        <w:spacing w:line="360" w:lineRule="auto"/>
        <w:jc w:val="center"/>
        <w:rPr>
          <w:rFonts w:ascii="宋体"/>
          <w:b/>
          <w:bCs/>
          <w:sz w:val="44"/>
          <w:szCs w:val="44"/>
        </w:rPr>
      </w:pPr>
    </w:p>
    <w:p>
      <w:pPr>
        <w:pStyle w:val="50"/>
        <w:ind w:firstLine="0" w:firstLineChars="0"/>
      </w:pPr>
    </w:p>
    <w:p>
      <w:pPr>
        <w:pStyle w:val="50"/>
        <w:ind w:firstLine="0" w:firstLineChars="0"/>
      </w:pPr>
    </w:p>
    <w:p>
      <w:pPr>
        <w:pStyle w:val="50"/>
        <w:ind w:firstLine="0" w:firstLineChars="0"/>
      </w:pPr>
    </w:p>
    <w:p>
      <w:pPr>
        <w:pStyle w:val="50"/>
        <w:ind w:firstLine="0" w:firstLineChars="0"/>
      </w:pPr>
    </w:p>
    <w:p>
      <w:pPr>
        <w:pStyle w:val="50"/>
      </w:pPr>
    </w:p>
    <w:p>
      <w:pPr>
        <w:pStyle w:val="39"/>
      </w:pPr>
    </w:p>
    <w:p>
      <w:pPr>
        <w:pStyle w:val="39"/>
      </w:pPr>
    </w:p>
    <w:p>
      <w:pPr>
        <w:pStyle w:val="50"/>
      </w:pPr>
    </w:p>
    <w:p>
      <w:pPr>
        <w:pStyle w:val="50"/>
      </w:pPr>
    </w:p>
    <w:p>
      <w:pPr>
        <w:adjustRightInd w:val="0"/>
        <w:snapToGrid w:val="0"/>
        <w:spacing w:line="360" w:lineRule="auto"/>
        <w:ind w:firstLine="1807" w:firstLineChars="600"/>
        <w:jc w:val="left"/>
        <w:rPr>
          <w:rFonts w:ascii="宋体" w:hAnsi="宋体" w:cs="宋体"/>
          <w:b/>
          <w:bCs/>
          <w:sz w:val="30"/>
          <w:szCs w:val="30"/>
        </w:rPr>
      </w:pPr>
      <w:bookmarkStart w:id="0" w:name="_Toc11554638"/>
      <w:bookmarkStart w:id="1" w:name="_Toc12670502"/>
      <w:bookmarkStart w:id="2" w:name="_Toc11499583"/>
      <w:bookmarkStart w:id="3" w:name="_Toc94544743"/>
      <w:bookmarkStart w:id="4" w:name="_Toc11500279"/>
      <w:bookmarkStart w:id="5" w:name="_Toc8895738"/>
      <w:bookmarkStart w:id="6" w:name="_Toc521201596"/>
      <w:bookmarkStart w:id="7" w:name="_Toc94544827"/>
      <w:bookmarkStart w:id="8" w:name="_Toc521203417"/>
      <w:bookmarkStart w:id="9" w:name="_Toc94585339"/>
      <w:r>
        <w:rPr>
          <w:rFonts w:hint="eastAsia" w:ascii="宋体" w:hAnsi="宋体" w:cs="宋体"/>
          <w:b/>
          <w:bCs/>
          <w:sz w:val="30"/>
          <w:szCs w:val="30"/>
        </w:rPr>
        <w:t>采购单位：南通市妇幼保健院</w:t>
      </w:r>
    </w:p>
    <w:p>
      <w:pPr>
        <w:adjustRightInd w:val="0"/>
        <w:snapToGrid w:val="0"/>
        <w:spacing w:line="360" w:lineRule="auto"/>
        <w:ind w:firstLine="1807" w:firstLineChars="600"/>
        <w:jc w:val="left"/>
        <w:rPr>
          <w:rFonts w:ascii="宋体" w:hAnsi="宋体" w:cs="宋体"/>
          <w:b/>
          <w:bCs/>
          <w:sz w:val="30"/>
          <w:szCs w:val="30"/>
        </w:rPr>
      </w:pPr>
      <w:r>
        <w:rPr>
          <w:rFonts w:hint="eastAsia" w:ascii="宋体" w:hAnsi="宋体" w:cs="宋体"/>
          <w:b/>
          <w:bCs/>
          <w:sz w:val="30"/>
          <w:szCs w:val="30"/>
        </w:rPr>
        <w:t>代理机构：南通万隆工程管理有限公司</w:t>
      </w:r>
    </w:p>
    <w:p>
      <w:pPr>
        <w:adjustRightInd w:val="0"/>
        <w:snapToGrid w:val="0"/>
        <w:spacing w:line="360" w:lineRule="auto"/>
        <w:jc w:val="center"/>
        <w:rPr>
          <w:rFonts w:ascii="宋体" w:hAnsi="宋体" w:cs="宋体"/>
          <w:b/>
          <w:bCs/>
          <w:w w:val="80"/>
          <w:sz w:val="52"/>
          <w:szCs w:val="52"/>
        </w:rPr>
      </w:pPr>
      <w:r>
        <w:rPr>
          <w:rFonts w:hint="eastAsia" w:ascii="宋体" w:hAnsi="宋体" w:cs="宋体"/>
          <w:b/>
          <w:bCs/>
          <w:sz w:val="30"/>
          <w:szCs w:val="30"/>
        </w:rPr>
        <w:t xml:space="preserve"> 二〇二二年</w:t>
      </w:r>
      <w:r>
        <w:rPr>
          <w:rFonts w:hint="eastAsia" w:ascii="宋体" w:hAnsi="宋体" w:cs="宋体"/>
          <w:b/>
          <w:bCs/>
          <w:sz w:val="30"/>
          <w:szCs w:val="30"/>
          <w:lang w:val="en-US" w:eastAsia="zh-CN"/>
        </w:rPr>
        <w:t>七</w:t>
      </w:r>
      <w:r>
        <w:rPr>
          <w:rFonts w:hint="eastAsia" w:ascii="宋体" w:hAnsi="宋体" w:cs="宋体"/>
          <w:b/>
          <w:bCs/>
          <w:sz w:val="30"/>
          <w:szCs w:val="30"/>
        </w:rPr>
        <w:t xml:space="preserve">月  </w:t>
      </w:r>
      <w:r>
        <w:rPr>
          <w:rFonts w:ascii="宋体"/>
          <w:b/>
          <w:bCs/>
          <w:sz w:val="44"/>
          <w:szCs w:val="44"/>
        </w:rPr>
        <w:br w:type="page"/>
      </w:r>
    </w:p>
    <w:p>
      <w:pPr>
        <w:adjustRightInd w:val="0"/>
        <w:snapToGrid w:val="0"/>
        <w:spacing w:line="360" w:lineRule="auto"/>
        <w:jc w:val="center"/>
        <w:rPr>
          <w:rFonts w:ascii="宋体"/>
          <w:b/>
          <w:bCs/>
          <w:i/>
          <w:iCs/>
          <w:w w:val="80"/>
          <w:sz w:val="52"/>
          <w:szCs w:val="52"/>
        </w:rPr>
      </w:pPr>
      <w:r>
        <w:rPr>
          <w:rFonts w:hint="eastAsia" w:ascii="宋体" w:hAnsi="宋体" w:cs="宋体"/>
          <w:b/>
          <w:bCs/>
          <w:w w:val="80"/>
          <w:sz w:val="52"/>
          <w:szCs w:val="52"/>
        </w:rPr>
        <w:t>目</w:t>
      </w:r>
      <w:r>
        <w:rPr>
          <w:rFonts w:ascii="宋体" w:hAnsi="宋体" w:cs="宋体"/>
          <w:b/>
          <w:bCs/>
          <w:w w:val="80"/>
          <w:sz w:val="52"/>
          <w:szCs w:val="52"/>
        </w:rPr>
        <w:t xml:space="preserve"> </w:t>
      </w:r>
      <w:r>
        <w:rPr>
          <w:rFonts w:hint="eastAsia" w:ascii="宋体" w:hAnsi="宋体" w:cs="宋体"/>
          <w:b/>
          <w:bCs/>
          <w:w w:val="80"/>
          <w:sz w:val="52"/>
          <w:szCs w:val="52"/>
        </w:rPr>
        <w:t xml:space="preserve"> 录</w:t>
      </w:r>
    </w:p>
    <w:p>
      <w:pPr>
        <w:pStyle w:val="32"/>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第一章</w:t>
      </w:r>
      <w:r>
        <w:rPr>
          <w:rFonts w:ascii="宋体" w:cs="宋体"/>
          <w:caps w:val="0"/>
          <w:w w:val="100"/>
          <w:sz w:val="32"/>
          <w:szCs w:val="32"/>
        </w:rPr>
        <w:t xml:space="preserve"> </w:t>
      </w:r>
      <w:r>
        <w:rPr>
          <w:rFonts w:hint="eastAsia" w:ascii="宋体" w:cs="宋体"/>
          <w:caps w:val="0"/>
          <w:w w:val="100"/>
          <w:sz w:val="32"/>
          <w:szCs w:val="32"/>
        </w:rPr>
        <w:t>竞争性磋商公告</w:t>
      </w:r>
    </w:p>
    <w:p>
      <w:pPr>
        <w:pStyle w:val="32"/>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第二章</w:t>
      </w:r>
      <w:r>
        <w:rPr>
          <w:rFonts w:ascii="宋体" w:cs="宋体"/>
          <w:caps w:val="0"/>
          <w:w w:val="100"/>
          <w:sz w:val="32"/>
          <w:szCs w:val="32"/>
        </w:rPr>
        <w:t xml:space="preserve"> </w:t>
      </w:r>
      <w:r>
        <w:rPr>
          <w:rFonts w:hint="eastAsia" w:ascii="宋体" w:cs="宋体"/>
          <w:caps w:val="0"/>
          <w:w w:val="100"/>
          <w:sz w:val="32"/>
          <w:szCs w:val="32"/>
        </w:rPr>
        <w:t>磋商供应商须知</w:t>
      </w:r>
    </w:p>
    <w:p>
      <w:pPr>
        <w:pStyle w:val="32"/>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第三章</w:t>
      </w:r>
      <w:r>
        <w:rPr>
          <w:rFonts w:ascii="宋体" w:cs="宋体"/>
          <w:caps w:val="0"/>
          <w:w w:val="100"/>
          <w:sz w:val="32"/>
          <w:szCs w:val="32"/>
        </w:rPr>
        <w:t xml:space="preserve"> </w:t>
      </w:r>
      <w:r>
        <w:rPr>
          <w:rFonts w:hint="eastAsia" w:ascii="宋体" w:cs="宋体"/>
          <w:caps w:val="0"/>
          <w:w w:val="100"/>
          <w:sz w:val="32"/>
          <w:szCs w:val="32"/>
        </w:rPr>
        <w:t>项目需求</w:t>
      </w:r>
    </w:p>
    <w:p>
      <w:pPr>
        <w:pStyle w:val="32"/>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第四章</w:t>
      </w:r>
      <w:r>
        <w:rPr>
          <w:rFonts w:ascii="宋体" w:cs="宋体"/>
          <w:caps w:val="0"/>
          <w:w w:val="100"/>
          <w:sz w:val="32"/>
          <w:szCs w:val="32"/>
        </w:rPr>
        <w:t xml:space="preserve"> </w:t>
      </w:r>
      <w:r>
        <w:rPr>
          <w:rFonts w:hint="eastAsia" w:ascii="宋体" w:cs="宋体"/>
          <w:caps w:val="0"/>
          <w:w w:val="100"/>
          <w:sz w:val="32"/>
          <w:szCs w:val="32"/>
        </w:rPr>
        <w:t>评审方法和程序</w:t>
      </w:r>
    </w:p>
    <w:p>
      <w:pPr>
        <w:pStyle w:val="32"/>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第五章</w:t>
      </w:r>
      <w:r>
        <w:rPr>
          <w:rFonts w:ascii="宋体" w:cs="宋体"/>
          <w:caps w:val="0"/>
          <w:w w:val="100"/>
          <w:sz w:val="32"/>
          <w:szCs w:val="32"/>
        </w:rPr>
        <w:t xml:space="preserve"> </w:t>
      </w:r>
      <w:r>
        <w:rPr>
          <w:rFonts w:hint="eastAsia" w:ascii="宋体" w:cs="宋体"/>
          <w:caps w:val="0"/>
          <w:w w:val="100"/>
          <w:sz w:val="32"/>
          <w:szCs w:val="32"/>
        </w:rPr>
        <w:t>合同主要条款</w:t>
      </w:r>
    </w:p>
    <w:p>
      <w:pPr>
        <w:pStyle w:val="32"/>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第六章</w:t>
      </w:r>
      <w:r>
        <w:rPr>
          <w:rFonts w:ascii="宋体" w:cs="宋体"/>
          <w:caps w:val="0"/>
          <w:w w:val="100"/>
          <w:sz w:val="32"/>
          <w:szCs w:val="32"/>
        </w:rPr>
        <w:t xml:space="preserve"> </w:t>
      </w:r>
      <w:r>
        <w:rPr>
          <w:rFonts w:hint="eastAsia" w:ascii="宋体" w:cs="宋体"/>
          <w:caps w:val="0"/>
          <w:w w:val="100"/>
          <w:sz w:val="32"/>
          <w:szCs w:val="32"/>
        </w:rPr>
        <w:t>合同授予</w:t>
      </w:r>
    </w:p>
    <w:p>
      <w:pPr>
        <w:pStyle w:val="32"/>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第七章</w:t>
      </w:r>
      <w:r>
        <w:rPr>
          <w:rFonts w:ascii="宋体" w:cs="宋体"/>
          <w:caps w:val="0"/>
          <w:w w:val="100"/>
          <w:sz w:val="32"/>
          <w:szCs w:val="32"/>
        </w:rPr>
        <w:t xml:space="preserve"> </w:t>
      </w:r>
      <w:r>
        <w:rPr>
          <w:rFonts w:hint="eastAsia" w:ascii="宋体" w:cs="宋体"/>
          <w:caps w:val="0"/>
          <w:w w:val="100"/>
          <w:sz w:val="32"/>
          <w:szCs w:val="32"/>
        </w:rPr>
        <w:t>质疑提出和处理</w:t>
      </w:r>
    </w:p>
    <w:p>
      <w:pPr>
        <w:pStyle w:val="32"/>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第八章</w:t>
      </w:r>
      <w:r>
        <w:rPr>
          <w:rFonts w:ascii="宋体" w:cs="宋体"/>
          <w:caps w:val="0"/>
          <w:w w:val="100"/>
          <w:sz w:val="32"/>
          <w:szCs w:val="32"/>
        </w:rPr>
        <w:t xml:space="preserve"> </w:t>
      </w:r>
      <w:r>
        <w:rPr>
          <w:rFonts w:hint="eastAsia" w:ascii="宋体" w:cs="宋体"/>
          <w:caps w:val="0"/>
          <w:w w:val="100"/>
          <w:sz w:val="32"/>
          <w:szCs w:val="32"/>
        </w:rPr>
        <w:t>响应文件组成及格式</w:t>
      </w:r>
    </w:p>
    <w:p>
      <w:pPr>
        <w:rPr>
          <w:rFonts w:ascii="宋体"/>
          <w:sz w:val="36"/>
          <w:szCs w:val="36"/>
        </w:rPr>
      </w:pPr>
    </w:p>
    <w:p>
      <w:pPr>
        <w:rPr>
          <w:rFonts w:ascii="宋体"/>
          <w:sz w:val="36"/>
          <w:szCs w:val="36"/>
        </w:rPr>
      </w:pPr>
    </w:p>
    <w:p>
      <w:pPr>
        <w:snapToGrid w:val="0"/>
        <w:spacing w:line="360" w:lineRule="auto"/>
        <w:rPr>
          <w:rFonts w:ascii="宋体"/>
          <w:b/>
          <w:bCs/>
          <w:sz w:val="24"/>
          <w:szCs w:val="24"/>
        </w:rPr>
      </w:pPr>
      <w:r>
        <w:rPr>
          <w:rFonts w:ascii="宋体"/>
          <w:b/>
          <w:bCs/>
        </w:rPr>
        <w:br w:type="page"/>
      </w:r>
      <w:r>
        <w:rPr>
          <w:rFonts w:hint="eastAsia" w:ascii="宋体" w:hAnsi="宋体" w:cs="宋体"/>
          <w:b/>
          <w:bCs/>
          <w:sz w:val="24"/>
          <w:szCs w:val="24"/>
        </w:rPr>
        <w:t>尊敬的磋商响应供应商：</w:t>
      </w:r>
    </w:p>
    <w:p>
      <w:pPr>
        <w:snapToGrid w:val="0"/>
        <w:spacing w:line="360" w:lineRule="auto"/>
        <w:ind w:firstLine="482" w:firstLineChars="200"/>
        <w:rPr>
          <w:rFonts w:ascii="宋体"/>
          <w:b/>
          <w:bCs/>
          <w:sz w:val="24"/>
          <w:szCs w:val="24"/>
        </w:rPr>
      </w:pPr>
      <w:r>
        <w:rPr>
          <w:rFonts w:hint="eastAsia" w:ascii="宋体" w:hAnsi="宋体" w:cs="宋体"/>
          <w:b/>
          <w:bCs/>
          <w:sz w:val="24"/>
          <w:szCs w:val="24"/>
        </w:rPr>
        <w:t>欢迎参加本采购项目的竞争性磋商。为了保证本次磋商项目顺利进行，请在制作磋商响应文件之前，仔细阅读本竞争性磋商文件的各项条款，并按要求制作和递交磋商响应文件。谢谢合作！</w:t>
      </w:r>
    </w:p>
    <w:p>
      <w:pPr>
        <w:snapToGrid w:val="0"/>
        <w:spacing w:line="360" w:lineRule="auto"/>
        <w:rPr>
          <w:rFonts w:ascii="宋体"/>
          <w:b/>
          <w:bCs/>
          <w:sz w:val="15"/>
          <w:szCs w:val="15"/>
        </w:rPr>
      </w:pPr>
    </w:p>
    <w:p>
      <w:pPr>
        <w:pStyle w:val="23"/>
        <w:tabs>
          <w:tab w:val="left" w:pos="1050"/>
          <w:tab w:val="right" w:leader="dot" w:pos="9402"/>
        </w:tabs>
        <w:spacing w:line="360" w:lineRule="auto"/>
        <w:ind w:left="0"/>
        <w:jc w:val="center"/>
        <w:outlineLvl w:val="0"/>
        <w:rPr>
          <w:rFonts w:ascii="宋体"/>
          <w:b/>
          <w:bCs/>
          <w:i w:val="0"/>
          <w:iCs w:val="0"/>
          <w:sz w:val="44"/>
          <w:szCs w:val="44"/>
        </w:rPr>
      </w:pPr>
      <w:bookmarkStart w:id="10" w:name="_Toc363573853"/>
      <w:r>
        <w:rPr>
          <w:rFonts w:hint="eastAsia" w:ascii="宋体" w:hAnsi="宋体" w:cs="宋体"/>
          <w:b/>
          <w:bCs/>
          <w:i w:val="0"/>
          <w:iCs w:val="0"/>
          <w:w w:val="80"/>
          <w:sz w:val="44"/>
          <w:szCs w:val="44"/>
        </w:rPr>
        <w:t>第一章 竞争性磋商公</w:t>
      </w:r>
      <w:bookmarkEnd w:id="0"/>
      <w:bookmarkEnd w:id="1"/>
      <w:bookmarkEnd w:id="2"/>
      <w:bookmarkEnd w:id="3"/>
      <w:bookmarkEnd w:id="4"/>
      <w:bookmarkEnd w:id="5"/>
      <w:bookmarkEnd w:id="6"/>
      <w:bookmarkEnd w:id="7"/>
      <w:bookmarkEnd w:id="8"/>
      <w:bookmarkEnd w:id="9"/>
      <w:r>
        <w:rPr>
          <w:rFonts w:hint="eastAsia" w:ascii="宋体" w:hAnsi="宋体" w:cs="宋体"/>
          <w:b/>
          <w:bCs/>
          <w:i w:val="0"/>
          <w:iCs w:val="0"/>
          <w:w w:val="80"/>
          <w:sz w:val="44"/>
          <w:szCs w:val="44"/>
        </w:rPr>
        <w:t>告</w:t>
      </w:r>
      <w:bookmarkEnd w:id="10"/>
    </w:p>
    <w:tbl>
      <w:tblPr>
        <w:tblStyle w:val="51"/>
        <w:tblW w:w="957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9575" w:type="dxa"/>
          </w:tcPr>
          <w:p>
            <w:pPr>
              <w:snapToGrid w:val="0"/>
              <w:spacing w:line="360" w:lineRule="auto"/>
              <w:rPr>
                <w:rFonts w:ascii="宋体" w:hAnsi="宋体" w:cs="宋体"/>
                <w:b/>
                <w:bCs/>
                <w:sz w:val="24"/>
              </w:rPr>
            </w:pPr>
            <w:r>
              <w:rPr>
                <w:rFonts w:hint="eastAsia" w:ascii="宋体" w:hAnsi="宋体" w:cs="宋体"/>
                <w:b/>
                <w:bCs/>
                <w:sz w:val="24"/>
              </w:rPr>
              <w:t>项目概况</w:t>
            </w:r>
          </w:p>
          <w:p>
            <w:pPr>
              <w:pStyle w:val="4"/>
              <w:snapToGrid w:val="0"/>
              <w:spacing w:before="0" w:after="0" w:line="360" w:lineRule="auto"/>
              <w:ind w:firstLine="482" w:firstLineChars="200"/>
            </w:pPr>
            <w:r>
              <w:rPr>
                <w:rFonts w:hint="eastAsia" w:ascii="宋体" w:hAnsi="宋体" w:eastAsia="宋体" w:cs="宋体"/>
                <w:kern w:val="2"/>
                <w:sz w:val="24"/>
                <w:u w:val="single"/>
              </w:rPr>
              <w:t>南通市妇幼保健院住院患者生活照护服务项目</w:t>
            </w:r>
            <w:r>
              <w:rPr>
                <w:rFonts w:hint="eastAsia" w:ascii="宋体" w:hAnsi="宋体" w:eastAsia="宋体" w:cs="宋体"/>
                <w:kern w:val="2"/>
                <w:sz w:val="24"/>
              </w:rPr>
              <w:t>的潜在供应商应在</w:t>
            </w:r>
            <w:r>
              <w:rPr>
                <w:rFonts w:hint="eastAsia" w:ascii="宋体" w:hAnsi="宋体" w:eastAsia="宋体" w:cs="宋体"/>
                <w:kern w:val="2"/>
                <w:sz w:val="24"/>
                <w:u w:val="single"/>
              </w:rPr>
              <w:t>“江苏省政府采购网（http://www.ccgp-jiangsu.gov.cn/）-采购公告”栏、南通市卫生健康委员会官网（http://wjw.nantong.gov.cn）和南通市妇幼保健院官网（http://www.ntfybj.com）</w:t>
            </w:r>
            <w:r>
              <w:rPr>
                <w:rFonts w:hint="eastAsia" w:ascii="宋体" w:hAnsi="宋体" w:eastAsia="宋体" w:cs="宋体"/>
                <w:kern w:val="2"/>
                <w:sz w:val="24"/>
              </w:rPr>
              <w:t>获取采购文件，并于</w:t>
            </w:r>
            <w:r>
              <w:rPr>
                <w:rFonts w:ascii="宋体" w:hAnsi="宋体" w:eastAsia="宋体" w:cs="宋体"/>
                <w:kern w:val="2"/>
                <w:sz w:val="24"/>
                <w:u w:val="single"/>
              </w:rPr>
              <w:t>202</w:t>
            </w:r>
            <w:r>
              <w:rPr>
                <w:rFonts w:hint="eastAsia" w:ascii="宋体" w:hAnsi="宋体" w:eastAsia="宋体" w:cs="宋体"/>
                <w:kern w:val="2"/>
                <w:sz w:val="24"/>
                <w:u w:val="single"/>
              </w:rPr>
              <w:t>2年7 月</w:t>
            </w:r>
            <w:r>
              <w:rPr>
                <w:rFonts w:hint="eastAsia" w:ascii="宋体" w:hAnsi="宋体" w:eastAsia="宋体" w:cs="宋体"/>
                <w:kern w:val="2"/>
                <w:sz w:val="24"/>
                <w:u w:val="single"/>
                <w:lang w:val="en-US" w:eastAsia="zh-CN"/>
              </w:rPr>
              <w:t>18</w:t>
            </w:r>
            <w:r>
              <w:rPr>
                <w:rFonts w:hint="eastAsia" w:ascii="宋体" w:hAnsi="宋体" w:eastAsia="宋体" w:cs="宋体"/>
                <w:kern w:val="2"/>
                <w:sz w:val="24"/>
                <w:u w:val="single"/>
              </w:rPr>
              <w:t xml:space="preserve"> 日14 时30分（北京时间）</w:t>
            </w:r>
            <w:r>
              <w:rPr>
                <w:rFonts w:hint="eastAsia" w:ascii="宋体" w:hAnsi="宋体" w:eastAsia="宋体" w:cs="宋体"/>
                <w:kern w:val="2"/>
                <w:sz w:val="24"/>
              </w:rPr>
              <w:t>前提交响应文件。</w:t>
            </w:r>
          </w:p>
        </w:tc>
      </w:tr>
    </w:tbl>
    <w:p>
      <w:pPr>
        <w:spacing w:line="360" w:lineRule="auto"/>
        <w:ind w:firstLine="480" w:firstLineChars="200"/>
        <w:jc w:val="left"/>
        <w:rPr>
          <w:rFonts w:ascii="宋体" w:hAnsi="宋体"/>
          <w:sz w:val="24"/>
          <w:szCs w:val="24"/>
        </w:rPr>
      </w:pPr>
    </w:p>
    <w:p>
      <w:pPr>
        <w:spacing w:line="360" w:lineRule="auto"/>
        <w:ind w:firstLine="480" w:firstLineChars="200"/>
        <w:jc w:val="left"/>
        <w:rPr>
          <w:rFonts w:ascii="宋体" w:hAnsi="宋体" w:cs="宋体"/>
          <w:sz w:val="24"/>
          <w:szCs w:val="24"/>
        </w:rPr>
      </w:pPr>
      <w:r>
        <w:rPr>
          <w:rFonts w:hint="eastAsia" w:ascii="宋体" w:hAnsi="宋体"/>
          <w:sz w:val="24"/>
          <w:szCs w:val="24"/>
        </w:rPr>
        <w:t>南通万隆工程管理有限公司（以下称采购代理机构）受南通市妇幼保健院的委托，就南通市妇幼保健院住院患者生活照护服务项目组织竞争性磋商采购，诚邀符合条件的潜在供应商参加该项目的竞争性磋商。</w:t>
      </w:r>
    </w:p>
    <w:p>
      <w:pPr>
        <w:pStyle w:val="4"/>
        <w:snapToGrid w:val="0"/>
        <w:spacing w:before="0" w:after="0" w:line="360" w:lineRule="auto"/>
        <w:rPr>
          <w:rFonts w:ascii="宋体" w:hAnsi="宋体" w:eastAsia="宋体" w:cs="宋体"/>
          <w:sz w:val="24"/>
          <w:szCs w:val="24"/>
        </w:rPr>
      </w:pPr>
    </w:p>
    <w:p>
      <w:pPr>
        <w:pStyle w:val="4"/>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一、项目基本情况</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1、项目编号：WLDL202206039</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2、项目名称：南通市妇幼保健院住院患者生活照护服务项目</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3、采购方式：竞争性磋商</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4、预算金额：人民币</w:t>
      </w:r>
      <w:r>
        <w:rPr>
          <w:rFonts w:hint="eastAsia" w:ascii="宋体" w:hAnsi="宋体" w:cs="宋体"/>
          <w:color w:val="000000"/>
          <w:sz w:val="24"/>
          <w:szCs w:val="24"/>
        </w:rPr>
        <w:t>30万元/年</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5、最高限价：最高单价限价人民币4200 元/人/月，报价不得高于或等于最高限价，否则做无效响应处理。</w:t>
      </w:r>
      <w:r>
        <w:rPr>
          <w:rFonts w:hint="eastAsia" w:ascii="宋体" w:hAnsi="宋体" w:cs="宋体"/>
          <w:color w:val="000000"/>
          <w:sz w:val="24"/>
          <w:szCs w:val="24"/>
        </w:rPr>
        <w:t>最终结算按成交单价及采购单位确认的服务人数、服务时间进行结算，但结算总价不超过30万元/年。</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6、采购需求：详见第三章项目需求</w:t>
      </w:r>
    </w:p>
    <w:p>
      <w:pPr>
        <w:snapToGrid w:val="0"/>
        <w:spacing w:line="360" w:lineRule="auto"/>
        <w:ind w:firstLine="480" w:firstLineChars="200"/>
        <w:textAlignment w:val="baseline"/>
        <w:rPr>
          <w:rFonts w:ascii="宋体" w:hAnsi="宋体" w:cs="宋体"/>
          <w:sz w:val="24"/>
          <w:szCs w:val="24"/>
          <w:u w:val="single"/>
        </w:rPr>
      </w:pPr>
      <w:r>
        <w:rPr>
          <w:rFonts w:hint="eastAsia" w:ascii="宋体" w:hAnsi="宋体" w:cs="宋体"/>
          <w:sz w:val="24"/>
          <w:szCs w:val="24"/>
        </w:rPr>
        <w:t>7、合同履行期限：本项目合同服务期暂定三年，但合同一年一签。如成交供应商在合同期内履约情况合格，则在第一年合同期满时，且采购单位、成交供应商双方愿意，成交供应商承诺不增加服务费用的前提下，双方可续签下一年度合同，但最多续签两次。</w:t>
      </w:r>
    </w:p>
    <w:p>
      <w:pPr>
        <w:snapToGrid w:val="0"/>
        <w:spacing w:line="360" w:lineRule="auto"/>
        <w:ind w:firstLine="480" w:firstLineChars="200"/>
        <w:textAlignment w:val="baseline"/>
        <w:rPr>
          <w:rFonts w:ascii="宋体" w:hAnsi="宋体" w:cs="宋体"/>
          <w:sz w:val="24"/>
          <w:szCs w:val="24"/>
        </w:rPr>
      </w:pPr>
      <w:r>
        <w:rPr>
          <w:rFonts w:hint="eastAsia" w:ascii="宋体" w:hAnsi="宋体" w:cs="Arial"/>
          <w:kern w:val="0"/>
          <w:sz w:val="24"/>
          <w:szCs w:val="24"/>
        </w:rPr>
        <w:t>8、联合体：本项目不接受多个供应商组成联合体参与竞争性磋商响应</w:t>
      </w:r>
      <w:r>
        <w:rPr>
          <w:rFonts w:hint="eastAsia" w:ascii="宋体" w:hAnsi="宋体" w:cs="宋体"/>
          <w:color w:val="333333"/>
          <w:spacing w:val="7"/>
          <w:sz w:val="24"/>
          <w:szCs w:val="24"/>
          <w:shd w:val="clear" w:color="auto" w:fill="FFFFFF"/>
        </w:rPr>
        <w:t>。</w:t>
      </w:r>
    </w:p>
    <w:p>
      <w:pPr>
        <w:pStyle w:val="4"/>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二、申请人的资格要求：</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1、符合《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2、法定代表人为同一个人的两个及两个以上法人，母公司、全资子公司及其控股公司，都不得在同一采购项目相同标段中同时参加磋商，一经发现，将视同围标处理。</w:t>
      </w:r>
    </w:p>
    <w:p>
      <w:pPr>
        <w:snapToGrid w:val="0"/>
        <w:spacing w:line="360" w:lineRule="auto"/>
        <w:ind w:firstLine="482" w:firstLineChars="200"/>
        <w:textAlignment w:val="baseline"/>
      </w:pPr>
      <w:r>
        <w:rPr>
          <w:rFonts w:hint="eastAsia" w:ascii="宋体" w:hAnsi="宋体" w:cs="宋体"/>
          <w:b/>
          <w:bCs/>
          <w:color w:val="000000"/>
          <w:kern w:val="0"/>
          <w:sz w:val="24"/>
          <w:szCs w:val="24"/>
        </w:rPr>
        <w:t>磋商响应供应商其它资格要求</w:t>
      </w:r>
      <w:r>
        <w:rPr>
          <w:rFonts w:hint="eastAsia" w:ascii="宋体" w:hAnsi="宋体" w:cs="宋体"/>
          <w:b/>
          <w:bCs/>
          <w:sz w:val="24"/>
          <w:szCs w:val="24"/>
        </w:rPr>
        <w:t>：</w:t>
      </w:r>
    </w:p>
    <w:p>
      <w:pPr>
        <w:numPr>
          <w:ilvl w:val="0"/>
          <w:numId w:val="2"/>
        </w:numPr>
        <w:snapToGrid w:val="0"/>
        <w:spacing w:line="360" w:lineRule="auto"/>
        <w:ind w:firstLine="480" w:firstLineChars="200"/>
        <w:textAlignment w:val="baseline"/>
        <w:rPr>
          <w:sz w:val="24"/>
          <w:szCs w:val="24"/>
        </w:rPr>
      </w:pPr>
      <w:r>
        <w:rPr>
          <w:rFonts w:hint="eastAsia" w:ascii="宋体" w:hAnsi="宋体" w:cs="宋体"/>
          <w:sz w:val="24"/>
          <w:szCs w:val="24"/>
        </w:rPr>
        <w:t>供应商必须有能力按本磋商文件规定的要求提供相关服务，须提供有效的三证合一的营业执照复印件或扫描打印件，且营业执照的经营范围含母婴生活护理服务类相关内容或提供一份含母婴生活护</w:t>
      </w:r>
      <w:r>
        <w:rPr>
          <w:rFonts w:hint="eastAsia" w:ascii="宋体" w:hAnsi="宋体" w:cs="宋体"/>
          <w:bCs/>
          <w:sz w:val="24"/>
          <w:szCs w:val="24"/>
        </w:rPr>
        <w:t>理服务类的业绩证明。如供应商提供业绩证明，除提供营业执照外还须同时提供①完整清晰的合同扫描件或复印件；②结算税务发票（仅需提供一张，但开具日期须在本项目竞争性磋商公告发布日期之前）扫描件或复印件。</w:t>
      </w:r>
    </w:p>
    <w:p>
      <w:pPr>
        <w:shd w:val="clear" w:color="auto" w:fill="FFFFFF"/>
        <w:snapToGrid w:val="0"/>
        <w:spacing w:line="360" w:lineRule="auto"/>
        <w:ind w:firstLine="480"/>
        <w:jc w:val="left"/>
        <w:rPr>
          <w:rFonts w:ascii="宋体" w:hAnsi="宋体" w:cs="宋体"/>
          <w:sz w:val="24"/>
          <w:szCs w:val="24"/>
        </w:rPr>
      </w:pPr>
      <w:r>
        <w:rPr>
          <w:rFonts w:hint="eastAsia" w:ascii="宋体" w:hAnsi="宋体" w:cs="宋体"/>
          <w:sz w:val="24"/>
          <w:szCs w:val="24"/>
        </w:rPr>
        <w:t>4、</w:t>
      </w:r>
      <w:r>
        <w:rPr>
          <w:rFonts w:hint="eastAsia" w:ascii="宋体" w:hAnsi="宋体" w:cs="宋体"/>
          <w:color w:val="000000"/>
          <w:kern w:val="0"/>
          <w:sz w:val="24"/>
          <w:szCs w:val="24"/>
        </w:rPr>
        <w:t>磋商响应供应商法定代表人参加磋商的，必须提供法定代表人身份证明及法定代表人本人身份证复印件或</w:t>
      </w:r>
      <w:r>
        <w:rPr>
          <w:rFonts w:hint="eastAsia" w:ascii="宋体" w:hAnsi="宋体" w:cs="宋体"/>
          <w:sz w:val="24"/>
          <w:szCs w:val="24"/>
        </w:rPr>
        <w:t>扫描打印件</w:t>
      </w:r>
      <w:r>
        <w:rPr>
          <w:rFonts w:hint="eastAsia" w:ascii="宋体" w:hAnsi="宋体" w:cs="宋体"/>
          <w:color w:val="000000"/>
          <w:kern w:val="0"/>
          <w:sz w:val="24"/>
          <w:szCs w:val="24"/>
        </w:rPr>
        <w:t>；非法定代表人参加磋商的，必须提供法定代表人签名或盖章的授权委托书及法定代表人和被授权人两个人的身份证复印件或</w:t>
      </w:r>
      <w:r>
        <w:rPr>
          <w:rFonts w:hint="eastAsia" w:ascii="宋体" w:hAnsi="宋体" w:cs="宋体"/>
          <w:sz w:val="24"/>
          <w:szCs w:val="24"/>
        </w:rPr>
        <w:t>扫描打印件</w:t>
      </w:r>
      <w:r>
        <w:rPr>
          <w:rFonts w:hint="eastAsia" w:ascii="宋体" w:hAnsi="宋体" w:cs="宋体"/>
          <w:color w:val="000000"/>
          <w:kern w:val="0"/>
          <w:sz w:val="24"/>
          <w:szCs w:val="24"/>
        </w:rPr>
        <w:t>（格式参见第八章）、被授权人为磋商响应供应商正式人员证明材料【①与磋商响应供应商签订的有效劳动合同；②社保机构出具并盖章的磋商响应供应商为其连续缴纳6个月（至少缴纳至2022年5月份）的社会保险缴费清单】的复印件或</w:t>
      </w:r>
      <w:r>
        <w:rPr>
          <w:rFonts w:hint="eastAsia" w:ascii="宋体" w:hAnsi="宋体" w:cs="宋体"/>
          <w:sz w:val="24"/>
          <w:szCs w:val="24"/>
        </w:rPr>
        <w:t>扫描打印件</w:t>
      </w:r>
      <w:r>
        <w:rPr>
          <w:rFonts w:hint="eastAsia" w:ascii="宋体" w:hAnsi="宋体" w:cs="宋体"/>
          <w:color w:val="000000"/>
          <w:kern w:val="0"/>
          <w:sz w:val="24"/>
          <w:szCs w:val="24"/>
        </w:rPr>
        <w:t>，并加盖磋商响应供应商公章。</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5、供应商须提供参与本次项目政府采购活动前三年内，在经营活动中没有重大违法记录的书面《无重大违法记录声明函》（格式参见竞争性磋商文件第八章）。</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6、关于资格文件的声明函（格式参见竞争性磋商文件第八章）。</w:t>
      </w:r>
    </w:p>
    <w:p>
      <w:pPr>
        <w:pStyle w:val="2"/>
        <w:spacing w:line="360" w:lineRule="auto"/>
        <w:ind w:firstLine="482" w:firstLineChars="200"/>
      </w:pPr>
      <w:r>
        <w:rPr>
          <w:rFonts w:hint="eastAsia" w:ascii="宋体" w:hAnsi="宋体" w:cs="宋体"/>
          <w:b/>
          <w:color w:val="000000"/>
          <w:sz w:val="24"/>
          <w:szCs w:val="24"/>
          <w:u w:val="single"/>
        </w:rPr>
        <w:t>具体</w:t>
      </w:r>
      <w:r>
        <w:rPr>
          <w:rFonts w:hint="eastAsia" w:ascii="宋体" w:hAnsi="宋体" w:cs="宋体"/>
          <w:b/>
          <w:sz w:val="24"/>
          <w:szCs w:val="24"/>
          <w:u w:val="single"/>
        </w:rPr>
        <w:t>资格要求详见评审办法和第八章的相关内容。</w:t>
      </w:r>
    </w:p>
    <w:p>
      <w:pPr>
        <w:widowControl/>
        <w:shd w:val="clear" w:color="auto" w:fill="FFFFFF"/>
        <w:snapToGrid w:val="0"/>
        <w:spacing w:line="360" w:lineRule="auto"/>
        <w:ind w:firstLine="560"/>
        <w:jc w:val="left"/>
        <w:textAlignment w:val="baseline"/>
        <w:rPr>
          <w:rFonts w:ascii="宋体" w:hAnsi="宋体" w:cs="宋体"/>
          <w:color w:val="333333"/>
          <w:kern w:val="0"/>
          <w:sz w:val="24"/>
          <w:szCs w:val="24"/>
        </w:rPr>
      </w:pPr>
      <w:r>
        <w:rPr>
          <w:rFonts w:hint="eastAsia" w:ascii="宋体" w:hAnsi="宋体" w:cs="宋体"/>
          <w:color w:val="333333"/>
          <w:kern w:val="0"/>
          <w:sz w:val="24"/>
          <w:szCs w:val="24"/>
        </w:rPr>
        <w:t>（二）本项目的特定资格要求：无</w:t>
      </w:r>
    </w:p>
    <w:p>
      <w:pPr>
        <w:widowControl/>
        <w:shd w:val="clear" w:color="auto" w:fill="FFFFFF"/>
        <w:snapToGrid w:val="0"/>
        <w:spacing w:line="360" w:lineRule="auto"/>
        <w:ind w:firstLine="560"/>
        <w:jc w:val="left"/>
        <w:textAlignment w:val="baseline"/>
        <w:rPr>
          <w:rFonts w:ascii="宋体" w:hAnsi="宋体" w:cs="宋体"/>
          <w:color w:val="333333"/>
          <w:kern w:val="0"/>
          <w:sz w:val="24"/>
          <w:szCs w:val="24"/>
        </w:rPr>
      </w:pPr>
      <w:r>
        <w:rPr>
          <w:rFonts w:hint="eastAsia" w:ascii="宋体" w:hAnsi="宋体" w:cs="宋体"/>
          <w:color w:val="333333"/>
          <w:kern w:val="0"/>
          <w:sz w:val="24"/>
          <w:szCs w:val="24"/>
        </w:rPr>
        <w:t>（三）落实政府采购政策需满足的资格要求：无</w:t>
      </w:r>
    </w:p>
    <w:p>
      <w:pPr>
        <w:pStyle w:val="50"/>
        <w:snapToGrid w:val="0"/>
        <w:spacing w:after="0" w:line="360" w:lineRule="auto"/>
        <w:ind w:firstLine="482"/>
        <w:textAlignment w:val="baseline"/>
        <w:rPr>
          <w:rFonts w:ascii="宋体" w:hAnsi="宋体" w:cs="宋体"/>
          <w:b/>
          <w:bCs/>
          <w:color w:val="333333"/>
          <w:kern w:val="0"/>
          <w:sz w:val="24"/>
          <w:szCs w:val="24"/>
        </w:rPr>
      </w:pPr>
      <w:r>
        <w:rPr>
          <w:rFonts w:hint="eastAsia" w:ascii="宋体" w:hAnsi="宋体" w:cs="宋体"/>
          <w:b/>
          <w:bCs/>
          <w:color w:val="333333"/>
          <w:kern w:val="0"/>
          <w:sz w:val="24"/>
          <w:szCs w:val="24"/>
        </w:rPr>
        <w:t>【特别提醒】请各供应商认真对照资格要求，如不符合要求，无意或故意参与磋商的，所产生的一切后果由供应商承担。</w:t>
      </w:r>
      <w:r>
        <w:rPr>
          <w:rFonts w:hint="eastAsia" w:ascii="宋体" w:hAnsi="宋体" w:cs="Arial"/>
          <w:b/>
          <w:bCs/>
          <w:kern w:val="0"/>
          <w:sz w:val="24"/>
          <w:szCs w:val="24"/>
        </w:rPr>
        <w:t>磋商过程中，磋商响应供应商</w:t>
      </w:r>
      <w:r>
        <w:rPr>
          <w:rFonts w:hint="eastAsia" w:ascii="宋体" w:hAnsi="宋体" w:cs="宋体"/>
          <w:b/>
          <w:bCs/>
          <w:color w:val="333333"/>
          <w:kern w:val="0"/>
          <w:sz w:val="24"/>
          <w:szCs w:val="24"/>
        </w:rPr>
        <w:t>提供的相关材料如为虚假或伪造，</w:t>
      </w:r>
      <w:r>
        <w:rPr>
          <w:rFonts w:hint="eastAsia" w:ascii="宋体" w:hAnsi="宋体" w:cs="宋体"/>
          <w:b/>
          <w:bCs/>
          <w:kern w:val="0"/>
          <w:sz w:val="24"/>
          <w:szCs w:val="24"/>
        </w:rPr>
        <w:t>或者其他人员持法定代表人或授权委托人的身份证参与磋商，一</w:t>
      </w:r>
      <w:r>
        <w:rPr>
          <w:rFonts w:hint="eastAsia" w:ascii="宋体" w:hAnsi="宋体" w:cs="宋体"/>
          <w:b/>
          <w:bCs/>
          <w:color w:val="000000"/>
          <w:kern w:val="0"/>
          <w:sz w:val="24"/>
          <w:szCs w:val="24"/>
        </w:rPr>
        <w:t>经发现则取消其磋商资格，并记入不良记录，上报财政部门后将其列入政府采购黑名单，视情公布在相关网站。如已成交，采购单位有权取消其成交资格，并由该供应商承担由此带来可能的一切责任和损失。</w:t>
      </w:r>
    </w:p>
    <w:p>
      <w:pPr>
        <w:pStyle w:val="50"/>
        <w:snapToGrid w:val="0"/>
        <w:spacing w:after="0" w:line="360" w:lineRule="auto"/>
        <w:ind w:firstLine="482"/>
        <w:textAlignment w:val="baseline"/>
        <w:rPr>
          <w:rFonts w:ascii="宋体" w:hAnsi="宋体" w:cs="宋体"/>
          <w:b/>
          <w:bCs/>
          <w:color w:val="333333"/>
          <w:kern w:val="0"/>
          <w:sz w:val="24"/>
          <w:szCs w:val="24"/>
        </w:rPr>
      </w:pPr>
      <w:r>
        <w:rPr>
          <w:rFonts w:hint="eastAsia" w:ascii="宋体" w:hAnsi="宋体" w:cs="宋体"/>
          <w:b/>
          <w:bCs/>
          <w:color w:val="333333"/>
          <w:kern w:val="0"/>
          <w:sz w:val="24"/>
          <w:szCs w:val="24"/>
        </w:rPr>
        <w:t>磋商响应供应商应依照规定提交各类声明函、承诺函</w:t>
      </w:r>
      <w:r>
        <w:rPr>
          <w:rFonts w:hint="eastAsia" w:ascii="宋体" w:hAnsi="宋体" w:cs="Arial"/>
          <w:b/>
          <w:bCs/>
          <w:kern w:val="0"/>
          <w:sz w:val="24"/>
          <w:szCs w:val="24"/>
        </w:rPr>
        <w:t>（如涉有）</w:t>
      </w:r>
      <w:r>
        <w:rPr>
          <w:rFonts w:hint="eastAsia" w:ascii="宋体" w:hAnsi="宋体" w:cs="宋体"/>
          <w:b/>
          <w:bCs/>
          <w:color w:val="333333"/>
          <w:kern w:val="0"/>
          <w:sz w:val="24"/>
          <w:szCs w:val="24"/>
        </w:rPr>
        <w:t>，不再同时提供原件备查或提供有关部门出具的相关证明文件。但</w:t>
      </w:r>
      <w:r>
        <w:rPr>
          <w:rFonts w:hint="eastAsia" w:ascii="宋体" w:hAnsi="宋体" w:cs="Arial"/>
          <w:b/>
          <w:bCs/>
          <w:kern w:val="0"/>
          <w:sz w:val="24"/>
          <w:szCs w:val="24"/>
        </w:rPr>
        <w:t>本项目的成交供应商</w:t>
      </w:r>
      <w:r>
        <w:rPr>
          <w:rFonts w:hint="eastAsia" w:ascii="宋体" w:hAnsi="宋体" w:cs="宋体"/>
          <w:b/>
          <w:bCs/>
          <w:color w:val="333333"/>
          <w:kern w:val="0"/>
          <w:sz w:val="24"/>
          <w:szCs w:val="24"/>
        </w:rPr>
        <w:t>，应做好提交声明函、承诺函相应原件的核查准备；核查后发现虚假或违背承诺的，将依照相关法律法规规定处理。</w:t>
      </w:r>
    </w:p>
    <w:p>
      <w:pPr>
        <w:pStyle w:val="50"/>
        <w:snapToGrid w:val="0"/>
        <w:spacing w:after="0" w:line="360" w:lineRule="auto"/>
        <w:ind w:firstLine="482"/>
        <w:textAlignment w:val="baseline"/>
        <w:rPr>
          <w:rFonts w:ascii="宋体" w:hAnsi="宋体" w:cs="宋体"/>
          <w:b/>
          <w:bCs/>
          <w:sz w:val="24"/>
          <w:szCs w:val="24"/>
        </w:rPr>
      </w:pPr>
      <w:r>
        <w:rPr>
          <w:rFonts w:hint="eastAsia" w:ascii="宋体" w:hAnsi="宋体" w:cs="宋体"/>
          <w:b/>
          <w:bCs/>
          <w:color w:val="333333"/>
          <w:kern w:val="0"/>
          <w:sz w:val="24"/>
          <w:szCs w:val="24"/>
        </w:rPr>
        <w:t>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磋商活动。</w:t>
      </w:r>
    </w:p>
    <w:p>
      <w:pPr>
        <w:pStyle w:val="4"/>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三、获取采购文件</w:t>
      </w:r>
    </w:p>
    <w:p>
      <w:pPr>
        <w:snapToGrid w:val="0"/>
        <w:spacing w:line="360" w:lineRule="auto"/>
        <w:ind w:firstLine="540"/>
        <w:textAlignment w:val="baseline"/>
        <w:rPr>
          <w:rFonts w:ascii="宋体" w:hAnsi="宋体" w:cs="宋体"/>
          <w:sz w:val="24"/>
          <w:szCs w:val="24"/>
        </w:rPr>
      </w:pPr>
      <w:r>
        <w:rPr>
          <w:rFonts w:hint="eastAsia" w:ascii="宋体" w:hAnsi="宋体" w:cs="宋体"/>
          <w:sz w:val="24"/>
          <w:szCs w:val="24"/>
        </w:rPr>
        <w:t>时  间：</w:t>
      </w:r>
      <w:r>
        <w:rPr>
          <w:rFonts w:hint="eastAsia" w:ascii="宋体" w:hAnsi="宋体" w:cs="宋体"/>
          <w:sz w:val="24"/>
          <w:szCs w:val="24"/>
          <w:u w:val="single"/>
        </w:rPr>
        <w:t>自公告发布之日起</w:t>
      </w:r>
      <w:r>
        <w:rPr>
          <w:rFonts w:hint="eastAsia" w:ascii="宋体" w:hAnsi="宋体" w:cs="宋体"/>
          <w:sz w:val="24"/>
          <w:szCs w:val="24"/>
        </w:rPr>
        <w:t>至</w:t>
      </w:r>
      <w:r>
        <w:rPr>
          <w:rFonts w:hint="eastAsia" w:ascii="宋体" w:hAnsi="宋体" w:cs="宋体"/>
          <w:sz w:val="24"/>
          <w:szCs w:val="24"/>
          <w:u w:val="single"/>
        </w:rPr>
        <w:t xml:space="preserve"> </w:t>
      </w:r>
      <w:r>
        <w:rPr>
          <w:rFonts w:ascii="宋体" w:hAnsi="宋体" w:cs="宋体"/>
          <w:sz w:val="24"/>
          <w:szCs w:val="24"/>
          <w:u w:val="single"/>
        </w:rPr>
        <w:t>202</w:t>
      </w:r>
      <w:r>
        <w:rPr>
          <w:rFonts w:hint="eastAsia" w:ascii="宋体" w:hAnsi="宋体" w:cs="宋体"/>
          <w:sz w:val="24"/>
          <w:szCs w:val="24"/>
          <w:u w:val="single"/>
        </w:rPr>
        <w:t>2年7月</w:t>
      </w:r>
      <w:r>
        <w:rPr>
          <w:rFonts w:hint="eastAsia" w:ascii="宋体" w:hAnsi="宋体" w:cs="宋体"/>
          <w:sz w:val="24"/>
          <w:szCs w:val="24"/>
          <w:u w:val="single"/>
          <w:lang w:val="en-US" w:eastAsia="zh-CN"/>
        </w:rPr>
        <w:t>18</w:t>
      </w:r>
      <w:r>
        <w:rPr>
          <w:rFonts w:hint="eastAsia" w:ascii="宋体" w:hAnsi="宋体" w:cs="宋体"/>
          <w:sz w:val="24"/>
          <w:szCs w:val="24"/>
          <w:u w:val="single"/>
        </w:rPr>
        <w:t>日</w:t>
      </w:r>
    </w:p>
    <w:p>
      <w:pPr>
        <w:snapToGrid w:val="0"/>
        <w:spacing w:line="360" w:lineRule="auto"/>
        <w:ind w:firstLine="540"/>
        <w:textAlignment w:val="baseline"/>
        <w:rPr>
          <w:rFonts w:ascii="宋体" w:hAnsi="宋体" w:cs="宋体"/>
          <w:sz w:val="24"/>
          <w:szCs w:val="24"/>
          <w:u w:val="single"/>
        </w:rPr>
      </w:pPr>
      <w:r>
        <w:rPr>
          <w:rFonts w:hint="eastAsia" w:ascii="宋体" w:hAnsi="宋体" w:cs="宋体"/>
          <w:sz w:val="24"/>
          <w:szCs w:val="24"/>
        </w:rPr>
        <w:t>地  点：</w:t>
      </w:r>
      <w:r>
        <w:rPr>
          <w:rFonts w:hint="eastAsia" w:ascii="宋体" w:hAnsi="宋体" w:cs="宋体"/>
          <w:sz w:val="24"/>
          <w:szCs w:val="24"/>
          <w:u w:val="single"/>
        </w:rPr>
        <w:t>有意愿参与本项目竞争性磋商响应的供应商，请于本公告发布日起至磋商响应文件递交截止时间前，到“江苏省政府采购网（http://www.ccgp-jiangsu.gov.cn/）-采购公告”栏、南通市卫生健康委员会官网（http://wjw.nantong.gov.cn）和南通市妇幼保健院官网（http://www.ntfybj.com）内下载本项目的竞争性磋商文件。</w:t>
      </w:r>
    </w:p>
    <w:p>
      <w:pPr>
        <w:snapToGrid w:val="0"/>
        <w:spacing w:line="360" w:lineRule="auto"/>
        <w:ind w:firstLine="540"/>
        <w:textAlignment w:val="baseline"/>
        <w:rPr>
          <w:rFonts w:ascii="宋体" w:hAnsi="宋体" w:cs="宋体"/>
          <w:sz w:val="24"/>
          <w:szCs w:val="24"/>
          <w:u w:val="single"/>
        </w:rPr>
      </w:pPr>
      <w:r>
        <w:rPr>
          <w:rFonts w:hint="eastAsia" w:ascii="宋体" w:hAnsi="宋体" w:cs="宋体"/>
          <w:sz w:val="24"/>
          <w:szCs w:val="24"/>
        </w:rPr>
        <w:t>方  式：自行下载</w:t>
      </w:r>
    </w:p>
    <w:p>
      <w:pPr>
        <w:snapToGrid w:val="0"/>
        <w:spacing w:line="360" w:lineRule="auto"/>
        <w:ind w:firstLine="540"/>
        <w:textAlignment w:val="baseline"/>
        <w:rPr>
          <w:rFonts w:ascii="宋体" w:hAnsi="宋体" w:cs="宋体"/>
          <w:sz w:val="24"/>
          <w:szCs w:val="24"/>
        </w:rPr>
      </w:pPr>
      <w:r>
        <w:rPr>
          <w:rFonts w:hint="eastAsia" w:ascii="宋体" w:hAnsi="宋体" w:cs="宋体"/>
          <w:sz w:val="24"/>
          <w:szCs w:val="24"/>
        </w:rPr>
        <w:t>售  价：每套300元，在递交磋商响应文件的同时提交给采购代理机构。</w:t>
      </w:r>
    </w:p>
    <w:p>
      <w:pPr>
        <w:pStyle w:val="4"/>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四、响应文件的提交</w:t>
      </w:r>
    </w:p>
    <w:p>
      <w:pPr>
        <w:snapToGrid w:val="0"/>
        <w:spacing w:line="360" w:lineRule="auto"/>
        <w:ind w:firstLine="480" w:firstLineChars="200"/>
        <w:textAlignment w:val="baseline"/>
        <w:rPr>
          <w:rFonts w:ascii="宋体" w:hAnsi="宋体" w:cs="宋体"/>
          <w:bCs/>
          <w:sz w:val="24"/>
          <w:szCs w:val="24"/>
          <w:u w:val="single"/>
        </w:rPr>
      </w:pPr>
      <w:r>
        <w:rPr>
          <w:rFonts w:hint="eastAsia" w:ascii="宋体" w:hAnsi="宋体" w:cs="宋体"/>
          <w:sz w:val="24"/>
          <w:szCs w:val="24"/>
        </w:rPr>
        <w:t>截止时间：</w:t>
      </w:r>
      <w:r>
        <w:rPr>
          <w:rFonts w:ascii="宋体" w:hAnsi="宋体" w:cs="宋体"/>
          <w:sz w:val="24"/>
          <w:szCs w:val="24"/>
          <w:u w:val="single"/>
        </w:rPr>
        <w:t>202</w:t>
      </w:r>
      <w:r>
        <w:rPr>
          <w:rFonts w:hint="eastAsia" w:ascii="宋体" w:hAnsi="宋体" w:cs="宋体"/>
          <w:sz w:val="24"/>
          <w:szCs w:val="24"/>
          <w:u w:val="single"/>
        </w:rPr>
        <w:t>2年7月</w:t>
      </w:r>
      <w:r>
        <w:rPr>
          <w:rFonts w:hint="eastAsia" w:ascii="宋体" w:hAnsi="宋体" w:cs="宋体"/>
          <w:sz w:val="24"/>
          <w:szCs w:val="24"/>
          <w:u w:val="single"/>
          <w:lang w:val="en-US" w:eastAsia="zh-CN"/>
        </w:rPr>
        <w:t>18</w:t>
      </w:r>
      <w:r>
        <w:rPr>
          <w:rFonts w:hint="eastAsia" w:ascii="宋体" w:hAnsi="宋体" w:cs="宋体"/>
          <w:sz w:val="24"/>
          <w:szCs w:val="24"/>
          <w:u w:val="single"/>
        </w:rPr>
        <w:t>日14 时30分（北京时间）</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 xml:space="preserve">地    点： </w:t>
      </w:r>
      <w:r>
        <w:rPr>
          <w:rFonts w:hint="eastAsia" w:ascii="宋体" w:hAnsi="宋体" w:cs="宋体"/>
          <w:sz w:val="24"/>
          <w:szCs w:val="24"/>
          <w:u w:val="single"/>
        </w:rPr>
        <w:t>南通市崇川区崇川路58号南通产业技术研究院9号楼24层万隆咨询集团开标室，如有变动另行通知。</w:t>
      </w:r>
    </w:p>
    <w:p>
      <w:pPr>
        <w:pStyle w:val="4"/>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五、响应文件的开启</w:t>
      </w:r>
    </w:p>
    <w:p>
      <w:pPr>
        <w:snapToGrid w:val="0"/>
        <w:spacing w:line="360" w:lineRule="auto"/>
        <w:ind w:firstLine="480" w:firstLineChars="200"/>
        <w:textAlignment w:val="baseline"/>
        <w:rPr>
          <w:rFonts w:ascii="宋体" w:hAnsi="宋体" w:cs="宋体"/>
          <w:bCs/>
          <w:sz w:val="24"/>
          <w:szCs w:val="24"/>
          <w:u w:val="single"/>
        </w:rPr>
      </w:pPr>
      <w:r>
        <w:rPr>
          <w:rFonts w:hint="eastAsia" w:ascii="宋体" w:hAnsi="宋体" w:cs="宋体"/>
          <w:sz w:val="24"/>
          <w:szCs w:val="24"/>
        </w:rPr>
        <w:t xml:space="preserve">时  间： </w:t>
      </w:r>
      <w:r>
        <w:rPr>
          <w:rFonts w:ascii="宋体" w:hAnsi="宋体" w:cs="宋体"/>
          <w:sz w:val="24"/>
          <w:u w:val="single"/>
        </w:rPr>
        <w:t>202</w:t>
      </w:r>
      <w:r>
        <w:rPr>
          <w:rFonts w:hint="eastAsia" w:ascii="宋体" w:hAnsi="宋体" w:cs="宋体"/>
          <w:sz w:val="24"/>
          <w:u w:val="single"/>
        </w:rPr>
        <w:t>2年7 月</w:t>
      </w:r>
      <w:r>
        <w:rPr>
          <w:rFonts w:hint="eastAsia" w:ascii="宋体" w:hAnsi="宋体" w:cs="宋体"/>
          <w:sz w:val="24"/>
          <w:u w:val="single"/>
          <w:lang w:val="en-US" w:eastAsia="zh-CN"/>
        </w:rPr>
        <w:t>18</w:t>
      </w:r>
      <w:r>
        <w:rPr>
          <w:rFonts w:hint="eastAsia" w:ascii="宋体" w:hAnsi="宋体" w:cs="宋体"/>
          <w:sz w:val="24"/>
          <w:u w:val="single"/>
        </w:rPr>
        <w:t xml:space="preserve"> 日14 时30分</w:t>
      </w:r>
      <w:r>
        <w:rPr>
          <w:rFonts w:hint="eastAsia" w:ascii="宋体" w:hAnsi="宋体" w:cs="宋体"/>
          <w:sz w:val="24"/>
          <w:szCs w:val="24"/>
          <w:u w:val="single"/>
        </w:rPr>
        <w:t>（北京时间）</w:t>
      </w:r>
    </w:p>
    <w:p>
      <w:pPr>
        <w:snapToGrid w:val="0"/>
        <w:spacing w:line="360" w:lineRule="auto"/>
        <w:ind w:firstLine="480" w:firstLineChars="200"/>
        <w:textAlignment w:val="baseline"/>
        <w:rPr>
          <w:rFonts w:ascii="宋体" w:hAnsi="宋体" w:cs="宋体"/>
          <w:sz w:val="24"/>
          <w:szCs w:val="24"/>
          <w:u w:val="single"/>
        </w:rPr>
      </w:pPr>
      <w:r>
        <w:rPr>
          <w:rFonts w:hint="eastAsia" w:ascii="宋体" w:hAnsi="宋体" w:cs="宋体"/>
          <w:sz w:val="24"/>
          <w:szCs w:val="24"/>
        </w:rPr>
        <w:t xml:space="preserve">地  点： </w:t>
      </w:r>
      <w:r>
        <w:rPr>
          <w:rFonts w:hint="eastAsia" w:ascii="宋体" w:hAnsi="宋体" w:cs="宋体"/>
          <w:sz w:val="24"/>
          <w:szCs w:val="24"/>
          <w:u w:val="single"/>
        </w:rPr>
        <w:t>南通市崇川区崇川路58号南通产业技术研究院9号楼24层万隆咨询集团开标室，如有变动另行通知。</w:t>
      </w:r>
    </w:p>
    <w:p>
      <w:pPr>
        <w:pStyle w:val="91"/>
        <w:snapToGrid w:val="0"/>
        <w:spacing w:line="360" w:lineRule="auto"/>
        <w:ind w:firstLine="482"/>
        <w:rPr>
          <w:rFonts w:hint="default" w:hAnsi="宋体" w:cs="宋体"/>
          <w:b/>
          <w:color w:val="FF0000"/>
          <w:sz w:val="24"/>
          <w:szCs w:val="24"/>
        </w:rPr>
      </w:pPr>
      <w:r>
        <w:rPr>
          <w:rFonts w:hAnsi="宋体" w:cs="宋体"/>
          <w:b/>
          <w:color w:val="FF0000"/>
          <w:sz w:val="24"/>
          <w:szCs w:val="24"/>
        </w:rPr>
        <w:t>特别提醒：</w:t>
      </w:r>
    </w:p>
    <w:p>
      <w:pPr>
        <w:pStyle w:val="91"/>
        <w:snapToGrid w:val="0"/>
        <w:spacing w:line="360" w:lineRule="auto"/>
        <w:ind w:firstLine="482"/>
        <w:rPr>
          <w:rFonts w:hint="default" w:hAnsi="宋体" w:cs="宋体"/>
          <w:b/>
          <w:color w:val="FF0000"/>
          <w:sz w:val="24"/>
          <w:szCs w:val="24"/>
        </w:rPr>
      </w:pPr>
      <w:r>
        <w:rPr>
          <w:rFonts w:hAnsi="宋体" w:cs="宋体"/>
          <w:b/>
          <w:color w:val="FF0000"/>
          <w:sz w:val="24"/>
          <w:szCs w:val="24"/>
        </w:rPr>
        <w:t>1、因目前仍属于新冠疫情防控阶段，故只允许每个供应商的1名人员进入磋商现场。请各供应商代表做好自身防护，全程配戴口罩，同时还须接受开标现场工作人员的检查。若健康码为黄码和红码，则一律不得进入磋商现场；若行程码带“*”，也一律不得进入磋商现场。若开标当日，南通市防疫部门有最新规定且高于上述标准，则以开标当日南通市防疫部门的规定为准。若因未配合检查或不符合检查要求而引起的后果，由各供应商自行承担。</w:t>
      </w:r>
    </w:p>
    <w:p>
      <w:pPr>
        <w:pStyle w:val="91"/>
        <w:snapToGrid w:val="0"/>
        <w:spacing w:line="360" w:lineRule="auto"/>
        <w:ind w:firstLine="482"/>
        <w:rPr>
          <w:rFonts w:hint="default" w:hAnsi="宋体" w:cs="宋体"/>
          <w:b/>
          <w:color w:val="FF0000"/>
          <w:sz w:val="24"/>
          <w:szCs w:val="24"/>
        </w:rPr>
      </w:pPr>
      <w:r>
        <w:rPr>
          <w:rFonts w:hAnsi="宋体" w:cs="宋体"/>
          <w:b/>
          <w:color w:val="FF0000"/>
          <w:sz w:val="24"/>
          <w:szCs w:val="24"/>
        </w:rPr>
        <w:t>2、因该办公大楼乘坐电梯需要工作人员刷卡，各供应商可以直接乘坐8号电梯或者请大楼保安帮助刷卡。</w:t>
      </w:r>
    </w:p>
    <w:p>
      <w:pPr>
        <w:pStyle w:val="91"/>
        <w:snapToGrid w:val="0"/>
        <w:spacing w:line="360" w:lineRule="auto"/>
        <w:ind w:firstLine="482"/>
        <w:rPr>
          <w:rFonts w:hint="default"/>
        </w:rPr>
      </w:pPr>
      <w:r>
        <w:rPr>
          <w:rFonts w:hAnsi="宋体" w:cs="宋体"/>
          <w:b/>
          <w:color w:val="FF0000"/>
          <w:sz w:val="24"/>
          <w:szCs w:val="24"/>
        </w:rPr>
        <w:t>3、请供应商留有充足时间，确保在截止时间之前递交磋商响应文件。</w:t>
      </w:r>
    </w:p>
    <w:p>
      <w:pPr>
        <w:pStyle w:val="4"/>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六、竞争性磋商公告期限</w:t>
      </w:r>
    </w:p>
    <w:p>
      <w:pPr>
        <w:snapToGrid w:val="0"/>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自本公告发布之日起3个工作日。</w:t>
      </w:r>
    </w:p>
    <w:p>
      <w:pPr>
        <w:pStyle w:val="4"/>
        <w:numPr>
          <w:ilvl w:val="0"/>
          <w:numId w:val="3"/>
        </w:numPr>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其他补充事宜：</w:t>
      </w:r>
    </w:p>
    <w:p>
      <w:pPr>
        <w:numPr>
          <w:ilvl w:val="0"/>
          <w:numId w:val="4"/>
        </w:numPr>
        <w:snapToGrid w:val="0"/>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磋商保证金：</w:t>
      </w:r>
      <w:r>
        <w:rPr>
          <w:rFonts w:hint="eastAsia" w:ascii="宋体" w:hAnsi="宋体" w:cs="宋体"/>
          <w:bCs/>
          <w:color w:val="000000"/>
          <w:sz w:val="24"/>
          <w:szCs w:val="24"/>
        </w:rPr>
        <w:t>无</w:t>
      </w:r>
      <w:r>
        <w:rPr>
          <w:rFonts w:hint="eastAsia" w:ascii="宋体" w:hAnsi="宋体" w:cs="宋体"/>
          <w:kern w:val="0"/>
          <w:sz w:val="24"/>
          <w:szCs w:val="24"/>
        </w:rPr>
        <w:t>。</w:t>
      </w:r>
    </w:p>
    <w:p>
      <w:pPr>
        <w:numPr>
          <w:ilvl w:val="0"/>
          <w:numId w:val="4"/>
        </w:numPr>
        <w:snapToGrid w:val="0"/>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项目磋商活动模式：本项目采用现场开标模式。</w:t>
      </w:r>
    </w:p>
    <w:p>
      <w:pPr>
        <w:numPr>
          <w:ilvl w:val="0"/>
          <w:numId w:val="4"/>
        </w:numPr>
        <w:snapToGrid w:val="0"/>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对项目需求部分（供应商其他资格要求、项目需求、评分标准）的询问、质疑请向采购单位提出，由采购单位负责答复；对项目磋商文件其它部分的询问请向采购代理机构提出。</w:t>
      </w:r>
    </w:p>
    <w:p>
      <w:pPr>
        <w:numPr>
          <w:ilvl w:val="0"/>
          <w:numId w:val="3"/>
        </w:numPr>
        <w:snapToGrid w:val="0"/>
        <w:spacing w:line="360" w:lineRule="auto"/>
        <w:textAlignment w:val="baseline"/>
        <w:rPr>
          <w:rFonts w:ascii="宋体" w:hAnsi="宋体" w:cs="宋体"/>
          <w:b/>
          <w:bCs/>
          <w:sz w:val="24"/>
          <w:szCs w:val="24"/>
        </w:rPr>
      </w:pPr>
      <w:r>
        <w:rPr>
          <w:rFonts w:hint="eastAsia" w:ascii="宋体" w:hAnsi="宋体" w:cs="宋体"/>
          <w:b/>
          <w:bCs/>
          <w:sz w:val="24"/>
          <w:szCs w:val="24"/>
        </w:rPr>
        <w:t>凡对本次采购提出询问，请按以下方式联系。</w:t>
      </w:r>
    </w:p>
    <w:p>
      <w:pPr>
        <w:numPr>
          <w:ilvl w:val="0"/>
          <w:numId w:val="5"/>
        </w:num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采购单位信息</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名    称：南通市妇幼保健院</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地    址：南通市崇川区世纪大道399号</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联系方式：</w:t>
      </w:r>
      <w:r>
        <w:rPr>
          <w:rFonts w:hint="eastAsia" w:ascii="宋体" w:hAnsi="宋体"/>
          <w:sz w:val="24"/>
          <w:szCs w:val="24"/>
        </w:rPr>
        <w:t>0513-59008115</w:t>
      </w:r>
      <w:r>
        <w:rPr>
          <w:rFonts w:hint="eastAsia" w:ascii="宋体" w:hAnsi="宋体" w:cs="宋体"/>
          <w:sz w:val="24"/>
          <w:szCs w:val="24"/>
        </w:rPr>
        <w:t xml:space="preserve">   </w:t>
      </w:r>
    </w:p>
    <w:p>
      <w:pPr>
        <w:numPr>
          <w:ilvl w:val="0"/>
          <w:numId w:val="6"/>
        </w:num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采购代理机构信息</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名    称：南通万隆工程管理有限公司</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地    址：南通市崇川路58号南通产业技术研究院9号楼24层</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联系方式：杜赟 13773640999</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3、项目联系方式</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项目联系人：</w:t>
      </w:r>
      <w:r>
        <w:rPr>
          <w:rFonts w:hint="eastAsia" w:ascii="宋体" w:hAnsi="宋体"/>
          <w:sz w:val="24"/>
          <w:szCs w:val="24"/>
        </w:rPr>
        <w:t>丛老师</w:t>
      </w:r>
      <w:r>
        <w:rPr>
          <w:rFonts w:hint="eastAsia" w:ascii="宋体" w:hAnsi="宋体" w:cs="宋体"/>
          <w:sz w:val="24"/>
          <w:szCs w:val="24"/>
        </w:rPr>
        <w:t xml:space="preserve">             </w:t>
      </w:r>
    </w:p>
    <w:p>
      <w:pPr>
        <w:snapToGrid w:val="0"/>
        <w:spacing w:line="360" w:lineRule="auto"/>
        <w:ind w:firstLine="480" w:firstLineChars="200"/>
        <w:textAlignment w:val="baseline"/>
        <w:rPr>
          <w:rFonts w:ascii="宋体" w:hAnsi="宋体"/>
          <w:sz w:val="24"/>
          <w:szCs w:val="24"/>
        </w:rPr>
      </w:pPr>
      <w:r>
        <w:rPr>
          <w:rFonts w:hint="eastAsia" w:ascii="宋体" w:hAnsi="宋体" w:cs="宋体"/>
          <w:sz w:val="24"/>
          <w:szCs w:val="24"/>
        </w:rPr>
        <w:t>电      话：</w:t>
      </w:r>
      <w:r>
        <w:rPr>
          <w:rFonts w:hint="eastAsia" w:ascii="宋体" w:hAnsi="宋体"/>
          <w:sz w:val="24"/>
          <w:szCs w:val="24"/>
        </w:rPr>
        <w:t>0513-59008115</w:t>
      </w:r>
      <w:r>
        <w:rPr>
          <w:rFonts w:hint="eastAsia" w:ascii="宋体" w:hAnsi="宋体" w:cs="宋体"/>
          <w:sz w:val="24"/>
          <w:szCs w:val="24"/>
        </w:rPr>
        <w:t xml:space="preserve"> </w:t>
      </w:r>
      <w:r>
        <w:rPr>
          <w:rFonts w:hint="eastAsia" w:ascii="宋体" w:hAnsi="宋体"/>
          <w:sz w:val="24"/>
          <w:szCs w:val="24"/>
        </w:rPr>
        <w:t xml:space="preserve">  </w:t>
      </w:r>
    </w:p>
    <w:p>
      <w:pPr>
        <w:pStyle w:val="50"/>
        <w:ind w:firstLine="480"/>
        <w:rPr>
          <w:rFonts w:ascii="宋体" w:hAnsi="宋体"/>
          <w:sz w:val="24"/>
          <w:szCs w:val="24"/>
        </w:rPr>
      </w:pPr>
    </w:p>
    <w:p>
      <w:pPr>
        <w:pStyle w:val="50"/>
        <w:ind w:firstLine="480"/>
        <w:rPr>
          <w:rFonts w:ascii="宋体" w:hAnsi="宋体"/>
          <w:sz w:val="24"/>
          <w:szCs w:val="24"/>
        </w:rPr>
      </w:pPr>
    </w:p>
    <w:p>
      <w:pPr>
        <w:snapToGrid w:val="0"/>
        <w:spacing w:line="360" w:lineRule="auto"/>
        <w:ind w:firstLine="420" w:firstLineChars="200"/>
        <w:rPr>
          <w:rFonts w:ascii="宋体" w:hAnsi="宋体" w:cs="宋体"/>
          <w:sz w:val="24"/>
          <w:szCs w:val="24"/>
        </w:rPr>
      </w:pPr>
      <w:r>
        <w:rPr>
          <w:rFonts w:hint="eastAsia" w:ascii="宋体" w:hAnsi="宋体" w:cs="宋体"/>
          <w:szCs w:val="24"/>
        </w:rPr>
        <w:t xml:space="preserve">                                                         </w:t>
      </w:r>
      <w:r>
        <w:rPr>
          <w:rFonts w:hint="eastAsia" w:ascii="宋体" w:hAnsi="宋体" w:cs="宋体"/>
          <w:sz w:val="24"/>
          <w:szCs w:val="24"/>
        </w:rPr>
        <w:t>二0二二年</w:t>
      </w:r>
      <w:r>
        <w:rPr>
          <w:rFonts w:hint="eastAsia" w:ascii="宋体" w:hAnsi="宋体" w:cs="宋体"/>
          <w:sz w:val="24"/>
          <w:szCs w:val="24"/>
          <w:lang w:val="en-US" w:eastAsia="zh-CN"/>
        </w:rPr>
        <w:t>七</w:t>
      </w:r>
      <w:r>
        <w:rPr>
          <w:rFonts w:hint="eastAsia" w:ascii="宋体" w:hAnsi="宋体" w:cs="宋体"/>
          <w:sz w:val="24"/>
          <w:szCs w:val="24"/>
        </w:rPr>
        <w:t>月</w:t>
      </w:r>
      <w:r>
        <w:rPr>
          <w:rFonts w:hint="eastAsia" w:ascii="宋体" w:hAnsi="宋体" w:cs="宋体"/>
          <w:sz w:val="24"/>
          <w:szCs w:val="24"/>
          <w:lang w:val="en-US" w:eastAsia="zh-CN"/>
        </w:rPr>
        <w:t>四</w:t>
      </w:r>
      <w:r>
        <w:rPr>
          <w:rFonts w:hint="eastAsia" w:ascii="宋体" w:hAnsi="宋体" w:cs="宋体"/>
          <w:sz w:val="24"/>
          <w:szCs w:val="24"/>
        </w:rPr>
        <w:t>日</w:t>
      </w:r>
    </w:p>
    <w:p>
      <w:pPr>
        <w:pStyle w:val="2"/>
      </w:pPr>
      <w:r>
        <w:br w:type="page"/>
      </w:r>
    </w:p>
    <w:p>
      <w:pPr>
        <w:snapToGrid w:val="0"/>
        <w:spacing w:line="360" w:lineRule="auto"/>
        <w:ind w:firstLine="480" w:firstLineChars="200"/>
        <w:rPr>
          <w:rFonts w:ascii="宋体" w:hAnsi="宋体" w:cs="宋体"/>
          <w:sz w:val="24"/>
          <w:szCs w:val="24"/>
          <w:highlight w:val="yellow"/>
        </w:rPr>
      </w:pPr>
    </w:p>
    <w:p>
      <w:pPr>
        <w:spacing w:line="360" w:lineRule="auto"/>
        <w:ind w:firstLine="707" w:firstLineChars="200"/>
        <w:jc w:val="center"/>
        <w:rPr>
          <w:rFonts w:ascii="宋体"/>
          <w:w w:val="80"/>
        </w:rPr>
      </w:pPr>
      <w:bookmarkStart w:id="11" w:name="_Toc94544828"/>
      <w:bookmarkStart w:id="12" w:name="_Toc521203418"/>
      <w:bookmarkStart w:id="13" w:name="_Toc11554639"/>
      <w:bookmarkStart w:id="14" w:name="_Toc94585340"/>
      <w:bookmarkStart w:id="15" w:name="_Toc8895739"/>
      <w:bookmarkStart w:id="16" w:name="_Toc94544744"/>
      <w:bookmarkStart w:id="17" w:name="_Toc11499584"/>
      <w:bookmarkStart w:id="18" w:name="_Toc11500280"/>
      <w:bookmarkStart w:id="19" w:name="_Toc521201597"/>
      <w:bookmarkStart w:id="20" w:name="_Toc12670503"/>
      <w:bookmarkStart w:id="21" w:name="_Toc363573854"/>
      <w:r>
        <w:rPr>
          <w:rFonts w:hint="eastAsia" w:ascii="宋体" w:hAnsi="宋体" w:cs="宋体"/>
          <w:b/>
          <w:bCs/>
          <w:w w:val="80"/>
          <w:sz w:val="44"/>
          <w:szCs w:val="44"/>
        </w:rPr>
        <w:t>第二章</w:t>
      </w:r>
      <w:bookmarkEnd w:id="11"/>
      <w:bookmarkEnd w:id="12"/>
      <w:bookmarkEnd w:id="13"/>
      <w:bookmarkEnd w:id="14"/>
      <w:bookmarkEnd w:id="15"/>
      <w:bookmarkEnd w:id="16"/>
      <w:bookmarkEnd w:id="17"/>
      <w:bookmarkEnd w:id="18"/>
      <w:bookmarkEnd w:id="19"/>
      <w:bookmarkEnd w:id="20"/>
      <w:r>
        <w:rPr>
          <w:rFonts w:hint="eastAsia" w:ascii="宋体" w:hAnsi="宋体" w:cs="宋体"/>
          <w:b/>
          <w:bCs/>
          <w:w w:val="80"/>
          <w:sz w:val="44"/>
          <w:szCs w:val="44"/>
        </w:rPr>
        <w:t xml:space="preserve"> 磋商供应商须知</w:t>
      </w:r>
      <w:bookmarkEnd w:id="21"/>
    </w:p>
    <w:p>
      <w:pPr>
        <w:snapToGrid w:val="0"/>
        <w:spacing w:line="480" w:lineRule="exact"/>
        <w:ind w:firstLine="482" w:firstLineChars="200"/>
        <w:outlineLvl w:val="1"/>
        <w:rPr>
          <w:rFonts w:ascii="宋体"/>
          <w:b/>
          <w:bCs/>
          <w:sz w:val="24"/>
          <w:szCs w:val="24"/>
        </w:rPr>
      </w:pPr>
      <w:bookmarkStart w:id="22" w:name="_Toc11500281"/>
      <w:bookmarkStart w:id="23" w:name="_Toc94585341"/>
      <w:bookmarkStart w:id="24" w:name="_Toc94544745"/>
      <w:bookmarkStart w:id="25" w:name="_Toc521203419"/>
      <w:bookmarkStart w:id="26" w:name="_Toc94544871"/>
      <w:bookmarkStart w:id="27" w:name="_Toc11499585"/>
      <w:bookmarkStart w:id="28" w:name="_Toc11554640"/>
      <w:bookmarkStart w:id="29" w:name="_Toc8895740"/>
      <w:bookmarkStart w:id="30" w:name="_Toc12670504"/>
      <w:bookmarkStart w:id="31" w:name="_Toc521201598"/>
      <w:r>
        <w:rPr>
          <w:rFonts w:hint="eastAsia" w:ascii="宋体" w:hAnsi="宋体" w:cs="宋体"/>
          <w:b/>
          <w:bCs/>
          <w:sz w:val="24"/>
          <w:szCs w:val="24"/>
        </w:rPr>
        <w:t>一、说明</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、本竞争性磋商文件仅适用于南通万隆工程管理有限公司组织的竞争性磋商采购活动。</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、竞争性磋商活动及因本次磋商产生的合同受中国法律制约和保护。</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、竞争性磋商文件的解释权属于采购单位。</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4</w:t>
      </w:r>
      <w:r>
        <w:rPr>
          <w:rFonts w:hint="eastAsia" w:ascii="宋体" w:hAnsi="宋体" w:cs="宋体"/>
          <w:sz w:val="24"/>
          <w:szCs w:val="24"/>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bCs/>
          <w:sz w:val="24"/>
          <w:szCs w:val="24"/>
        </w:rPr>
        <w:t>非书面形式的不作为日后质疑提出的依据。</w:t>
      </w:r>
    </w:p>
    <w:p>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5、供应商应认真审阅</w:t>
      </w:r>
      <w:r>
        <w:rPr>
          <w:rFonts w:hint="eastAsia" w:ascii="宋体" w:hAnsi="宋体" w:cs="宋体"/>
          <w:sz w:val="24"/>
          <w:szCs w:val="24"/>
        </w:rPr>
        <w:t>磋商文件中</w:t>
      </w:r>
      <w:r>
        <w:rPr>
          <w:rFonts w:hint="eastAsia" w:ascii="宋体" w:hAnsi="宋体" w:cs="宋体"/>
          <w:color w:val="000000"/>
          <w:sz w:val="24"/>
          <w:szCs w:val="24"/>
        </w:rPr>
        <w:t>所有的事项、格式、条款和规范要求等，如果供应商没有按照磋商文件要求提交响应文件，或者响应文件没有对磋商文件做出实质性响应，将被拒绝参与项目的磋商。</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磋商文件项目需求提供的可能涉及到的工艺、材料、设备、商标、样本、技术规范、参数规格、品牌等，仅作为说明并没有限制性，供应商在磋商时可以选用替代，但这些替代的品牌、产品技术标准要优于或相当于项目需求技术规格中要求的标准，以满足采购单位的需要。</w:t>
      </w:r>
    </w:p>
    <w:p>
      <w:pPr>
        <w:snapToGrid w:val="0"/>
        <w:spacing w:line="360" w:lineRule="auto"/>
        <w:ind w:firstLine="480" w:firstLineChars="200"/>
      </w:pPr>
      <w:r>
        <w:rPr>
          <w:sz w:val="24"/>
          <w:szCs w:val="24"/>
        </w:rPr>
        <w:t>7</w:t>
      </w:r>
      <w:r>
        <w:rPr>
          <w:rFonts w:hint="eastAsia"/>
          <w:sz w:val="24"/>
          <w:szCs w:val="24"/>
        </w:rPr>
        <w:t>、</w:t>
      </w:r>
      <w:r>
        <w:rPr>
          <w:rFonts w:hint="eastAsia" w:cs="宋体"/>
          <w:sz w:val="24"/>
          <w:szCs w:val="24"/>
        </w:rPr>
        <w:t>本磋商文件内所称的</w:t>
      </w:r>
      <w:r>
        <w:rPr>
          <w:sz w:val="24"/>
          <w:szCs w:val="24"/>
        </w:rPr>
        <w:t>“</w:t>
      </w:r>
      <w:r>
        <w:rPr>
          <w:rFonts w:hint="eastAsia" w:cs="宋体"/>
          <w:sz w:val="24"/>
          <w:szCs w:val="24"/>
        </w:rPr>
        <w:t>以上</w:t>
      </w:r>
      <w:r>
        <w:rPr>
          <w:sz w:val="24"/>
          <w:szCs w:val="24"/>
        </w:rPr>
        <w:t>”</w:t>
      </w:r>
      <w:r>
        <w:rPr>
          <w:rFonts w:hint="eastAsia" w:cs="宋体"/>
          <w:sz w:val="24"/>
          <w:szCs w:val="24"/>
        </w:rPr>
        <w:t>、</w:t>
      </w:r>
      <w:r>
        <w:rPr>
          <w:sz w:val="24"/>
          <w:szCs w:val="24"/>
        </w:rPr>
        <w:t>“</w:t>
      </w:r>
      <w:r>
        <w:rPr>
          <w:rFonts w:hint="eastAsia" w:cs="宋体"/>
          <w:sz w:val="24"/>
          <w:szCs w:val="24"/>
        </w:rPr>
        <w:t>以下</w:t>
      </w:r>
      <w:r>
        <w:rPr>
          <w:sz w:val="24"/>
          <w:szCs w:val="24"/>
        </w:rPr>
        <w:t>”</w:t>
      </w:r>
      <w:r>
        <w:rPr>
          <w:rFonts w:hint="eastAsia" w:cs="宋体"/>
          <w:sz w:val="24"/>
          <w:szCs w:val="24"/>
        </w:rPr>
        <w:t>、</w:t>
      </w:r>
      <w:r>
        <w:rPr>
          <w:sz w:val="24"/>
          <w:szCs w:val="24"/>
        </w:rPr>
        <w:t>“</w:t>
      </w:r>
      <w:r>
        <w:rPr>
          <w:rFonts w:hint="eastAsia" w:cs="宋体"/>
          <w:sz w:val="24"/>
          <w:szCs w:val="24"/>
        </w:rPr>
        <w:t>内</w:t>
      </w:r>
      <w:r>
        <w:rPr>
          <w:sz w:val="24"/>
          <w:szCs w:val="24"/>
        </w:rPr>
        <w:t>”</w:t>
      </w:r>
      <w:r>
        <w:rPr>
          <w:rFonts w:hint="eastAsia" w:cs="宋体"/>
          <w:sz w:val="24"/>
          <w:szCs w:val="24"/>
        </w:rPr>
        <w:t>、</w:t>
      </w:r>
      <w:r>
        <w:rPr>
          <w:sz w:val="24"/>
          <w:szCs w:val="24"/>
        </w:rPr>
        <w:t>“</w:t>
      </w:r>
      <w:r>
        <w:rPr>
          <w:rFonts w:hint="eastAsia" w:cs="宋体"/>
          <w:sz w:val="24"/>
          <w:szCs w:val="24"/>
        </w:rPr>
        <w:t>以内</w:t>
      </w:r>
      <w:r>
        <w:rPr>
          <w:sz w:val="24"/>
          <w:szCs w:val="24"/>
        </w:rPr>
        <w:t>”</w:t>
      </w:r>
      <w:r>
        <w:rPr>
          <w:rFonts w:hint="eastAsia" w:cs="宋体"/>
          <w:sz w:val="24"/>
          <w:szCs w:val="24"/>
        </w:rPr>
        <w:t>，包括本数；所称的</w:t>
      </w:r>
      <w:r>
        <w:rPr>
          <w:sz w:val="24"/>
          <w:szCs w:val="24"/>
        </w:rPr>
        <w:t>“</w:t>
      </w:r>
      <w:r>
        <w:rPr>
          <w:rFonts w:hint="eastAsia" w:cs="宋体"/>
          <w:sz w:val="24"/>
          <w:szCs w:val="24"/>
        </w:rPr>
        <w:t>不足</w:t>
      </w:r>
      <w:r>
        <w:rPr>
          <w:sz w:val="24"/>
          <w:szCs w:val="24"/>
        </w:rPr>
        <w:t>”</w:t>
      </w:r>
      <w:r>
        <w:rPr>
          <w:rFonts w:hint="eastAsia" w:cs="宋体"/>
          <w:sz w:val="24"/>
          <w:szCs w:val="24"/>
        </w:rPr>
        <w:t>、</w:t>
      </w:r>
      <w:r>
        <w:rPr>
          <w:sz w:val="24"/>
          <w:szCs w:val="24"/>
        </w:rPr>
        <w:t>“</w:t>
      </w:r>
      <w:r>
        <w:rPr>
          <w:rFonts w:hint="eastAsia" w:cs="宋体"/>
          <w:sz w:val="24"/>
          <w:szCs w:val="24"/>
        </w:rPr>
        <w:t>少于</w:t>
      </w:r>
      <w:r>
        <w:rPr>
          <w:sz w:val="24"/>
          <w:szCs w:val="24"/>
        </w:rPr>
        <w:t>”</w:t>
      </w:r>
      <w:r>
        <w:rPr>
          <w:rFonts w:hint="eastAsia" w:cs="宋体"/>
          <w:sz w:val="24"/>
          <w:szCs w:val="24"/>
        </w:rPr>
        <w:t>，不包括本数。</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二、磋商文件的澄清、修改、答疑</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、采购代理机构有权对发出的磋商文件进行必要的澄清、修改或补充。</w:t>
      </w:r>
    </w:p>
    <w:p>
      <w:pPr>
        <w:snapToGrid w:val="0"/>
        <w:spacing w:line="360" w:lineRule="auto"/>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磋商文件的澄清、修改、补充等内容均以书面明确的形式发布，并以“江苏省政府采购网（http://www.ccgp-jiangsu.gov.cn/）-采购公告”栏、南通市卫生健康委员会官网（http://wjw.nantong.gov.cn）和南通市妇幼保健院官网（http://www.ntfybj.com）发布的信息为准。</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、采购代理机构对磋商文件的澄清、修改将构成磋商文件的一部分，对响应磋商的供应商具有约束力。</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、澄清或者修改的内容可能影响到响应文件编制的，采购代理机构将在提交磋商响应文件接收截止之日</w:t>
      </w:r>
      <w:r>
        <w:rPr>
          <w:rFonts w:ascii="宋体" w:hAnsi="宋体" w:cs="宋体"/>
          <w:sz w:val="24"/>
          <w:szCs w:val="24"/>
        </w:rPr>
        <w:t>5</w:t>
      </w:r>
      <w:r>
        <w:rPr>
          <w:rFonts w:hint="eastAsia" w:ascii="宋体" w:hAnsi="宋体" w:cs="宋体"/>
          <w:sz w:val="24"/>
          <w:szCs w:val="24"/>
        </w:rPr>
        <w:t>日前，发布澄清或者修改公告，不足</w:t>
      </w:r>
      <w:r>
        <w:rPr>
          <w:rFonts w:ascii="宋体" w:hAnsi="宋体" w:cs="宋体"/>
          <w:sz w:val="24"/>
          <w:szCs w:val="24"/>
        </w:rPr>
        <w:t>5</w:t>
      </w:r>
      <w:r>
        <w:rPr>
          <w:rFonts w:hint="eastAsia" w:ascii="宋体" w:hAnsi="宋体" w:cs="宋体"/>
          <w:sz w:val="24"/>
          <w:szCs w:val="24"/>
        </w:rPr>
        <w:t>日的，当顺延提交响应文件接收截止时间。</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、除非采购代理机构以书面的形式对磋商文件作出澄清、修改及补充，供应商对涉及磋商文件的任何推论、理解和结论所造成的结果，均由供应商自负。</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、采购单位视情组织答疑会。如有产生答疑且对磋商文件内容有修改，代理机构将按照本须知有关规定，以补充通知（公告）的方式发出。</w:t>
      </w:r>
    </w:p>
    <w:p>
      <w:pPr>
        <w:snapToGrid w:val="0"/>
        <w:spacing w:line="360" w:lineRule="auto"/>
        <w:ind w:firstLine="482" w:firstLineChars="200"/>
        <w:outlineLvl w:val="1"/>
        <w:rPr>
          <w:rFonts w:ascii="宋体" w:hAnsi="宋体" w:cs="宋体"/>
          <w:b/>
          <w:color w:val="000000"/>
          <w:sz w:val="24"/>
          <w:szCs w:val="24"/>
        </w:rPr>
      </w:pPr>
      <w:r>
        <w:rPr>
          <w:rFonts w:hint="eastAsia" w:ascii="宋体" w:hAnsi="宋体" w:cs="宋体"/>
          <w:b/>
          <w:color w:val="000000"/>
          <w:sz w:val="24"/>
          <w:szCs w:val="24"/>
        </w:rPr>
        <w:t>三、磋商项目涉及到的现场勘察</w:t>
      </w:r>
    </w:p>
    <w:p>
      <w:pPr>
        <w:snapToGrid w:val="0"/>
        <w:spacing w:line="360" w:lineRule="auto"/>
        <w:ind w:firstLine="484" w:firstLineChars="202"/>
        <w:rPr>
          <w:rFonts w:ascii="宋体"/>
          <w:sz w:val="24"/>
          <w:szCs w:val="24"/>
        </w:rPr>
      </w:pPr>
      <w:r>
        <w:rPr>
          <w:rFonts w:ascii="宋体" w:hAnsi="宋体" w:cs="宋体"/>
          <w:sz w:val="24"/>
          <w:szCs w:val="24"/>
        </w:rPr>
        <w:t>1</w:t>
      </w:r>
      <w:r>
        <w:rPr>
          <w:rFonts w:hint="eastAsia" w:ascii="宋体" w:hAnsi="宋体" w:cs="宋体"/>
          <w:sz w:val="24"/>
          <w:szCs w:val="24"/>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、采购单位向供应商提供的有关现场的资料和数据，是采购单位现有的并认为能使供应商可利用的资料。采购单位对供应商由此而做出的推论、理解和结论概不负责。</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、经采购单位允许，供应商可为勘察目的进入采购单位的项目现场，但供应商不得因此使采购单位承担有关的责任和蒙受损失。供应商应承担勘察现场的责任和风险。</w:t>
      </w:r>
    </w:p>
    <w:p>
      <w:pPr>
        <w:snapToGrid w:val="0"/>
        <w:spacing w:line="360" w:lineRule="auto"/>
        <w:ind w:firstLine="484" w:firstLineChars="202"/>
        <w:rPr>
          <w:rFonts w:ascii="宋体" w:hAnsi="宋体" w:cs="宋体"/>
          <w:sz w:val="24"/>
          <w:szCs w:val="24"/>
        </w:rPr>
      </w:pPr>
      <w:r>
        <w:rPr>
          <w:rFonts w:ascii="宋体" w:hAnsi="宋体" w:cs="宋体"/>
          <w:sz w:val="24"/>
          <w:szCs w:val="24"/>
        </w:rPr>
        <w:t>4</w:t>
      </w:r>
      <w:r>
        <w:rPr>
          <w:rFonts w:hint="eastAsia" w:ascii="宋体" w:hAnsi="宋体" w:cs="宋体"/>
          <w:sz w:val="24"/>
          <w:szCs w:val="24"/>
        </w:rPr>
        <w:t>、供应商应认真踏勘现场。在现场勘察时，熟悉服务及作业现场、现场周围交通道路等情况，以获得一切可能影响其磋商响应的直接资料。供应商成交后，不得以不完全了解现场情况为理由而向采购单位提出任何索赔的要求，对此采购单位不承担任何责任并将不作任何答复与考虑。</w:t>
      </w:r>
    </w:p>
    <w:p>
      <w:pPr>
        <w:snapToGrid w:val="0"/>
        <w:spacing w:line="360" w:lineRule="auto"/>
        <w:ind w:firstLine="482" w:firstLineChars="200"/>
        <w:textAlignment w:val="baseline"/>
        <w:rPr>
          <w:rFonts w:ascii="宋体" w:hAnsi="宋体" w:cs="宋体"/>
          <w:b/>
          <w:bCs/>
          <w:color w:val="000000"/>
          <w:sz w:val="24"/>
          <w:szCs w:val="24"/>
        </w:rPr>
      </w:pPr>
      <w:r>
        <w:rPr>
          <w:rFonts w:hint="eastAsia" w:ascii="宋体" w:hAnsi="宋体" w:cs="宋体"/>
          <w:b/>
          <w:bCs/>
          <w:color w:val="000000"/>
          <w:sz w:val="24"/>
          <w:szCs w:val="24"/>
        </w:rPr>
        <w:t>现场踏勘联系人：丛老师             联系电话：0513-59008115</w:t>
      </w:r>
    </w:p>
    <w:p>
      <w:pPr>
        <w:snapToGrid w:val="0"/>
        <w:spacing w:line="360" w:lineRule="auto"/>
        <w:ind w:firstLine="482" w:firstLineChars="200"/>
        <w:outlineLvl w:val="1"/>
        <w:rPr>
          <w:rFonts w:ascii="宋体"/>
          <w:b/>
          <w:bCs/>
          <w:sz w:val="24"/>
          <w:szCs w:val="24"/>
        </w:rPr>
      </w:pPr>
      <w:r>
        <w:rPr>
          <w:rFonts w:hint="eastAsia" w:ascii="宋体" w:hAnsi="宋体" w:cs="宋体"/>
          <w:b/>
          <w:color w:val="000000"/>
          <w:sz w:val="24"/>
          <w:szCs w:val="24"/>
        </w:rPr>
        <w:t>四、</w:t>
      </w:r>
      <w:r>
        <w:rPr>
          <w:rFonts w:hint="eastAsia" w:ascii="宋体" w:hAnsi="宋体" w:cs="宋体"/>
          <w:b/>
          <w:bCs/>
          <w:sz w:val="24"/>
          <w:szCs w:val="24"/>
        </w:rPr>
        <w:t>响应文件的编制及装订</w:t>
      </w:r>
    </w:p>
    <w:p>
      <w:pPr>
        <w:snapToGrid w:val="0"/>
        <w:spacing w:line="360" w:lineRule="auto"/>
        <w:ind w:firstLine="487" w:firstLineChars="202"/>
        <w:rPr>
          <w:rFonts w:ascii="宋体"/>
          <w:b/>
          <w:bCs/>
          <w:sz w:val="24"/>
          <w:szCs w:val="24"/>
        </w:rPr>
      </w:pPr>
      <w:r>
        <w:rPr>
          <w:rFonts w:hint="eastAsia" w:ascii="宋体" w:hAnsi="宋体" w:cs="宋体"/>
          <w:b/>
          <w:bCs/>
          <w:sz w:val="24"/>
          <w:szCs w:val="24"/>
        </w:rPr>
        <w:t>供应商按磋商文件要求编写响应文件，并牢固装订成册。响应文件均需采用</w:t>
      </w:r>
      <w:r>
        <w:rPr>
          <w:rFonts w:ascii="宋体" w:hAnsi="宋体" w:cs="宋体"/>
          <w:b/>
          <w:bCs/>
          <w:sz w:val="24"/>
          <w:szCs w:val="24"/>
        </w:rPr>
        <w:t>A4</w:t>
      </w:r>
      <w:r>
        <w:rPr>
          <w:rFonts w:hint="eastAsia" w:ascii="宋体" w:hAnsi="宋体" w:cs="宋体"/>
          <w:b/>
          <w:bCs/>
          <w:sz w:val="24"/>
          <w:szCs w:val="24"/>
        </w:rPr>
        <w:t>纸（图纸等除外），不允许使用活页夹、拉杆夹、文件夹、塑料方便式书脊（插入式或穿孔式）装订。响应文件不得行间插字、涂改、增删，如修改错漏处，须经响应文件签署人签字并加盖公章。</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五、响应文件的份数和签署</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商务报价响应文件，共</w:t>
      </w:r>
      <w:r>
        <w:rPr>
          <w:rFonts w:ascii="宋体" w:hAnsi="宋体" w:cs="宋体"/>
          <w:sz w:val="24"/>
          <w:szCs w:val="24"/>
        </w:rPr>
        <w:t>3</w:t>
      </w:r>
      <w:r>
        <w:rPr>
          <w:rFonts w:hint="eastAsia" w:ascii="宋体" w:hAnsi="宋体" w:cs="宋体"/>
          <w:sz w:val="24"/>
          <w:szCs w:val="24"/>
        </w:rPr>
        <w:t>部分组成（以下由文件序号代称）。</w:t>
      </w:r>
    </w:p>
    <w:p>
      <w:pPr>
        <w:snapToGrid w:val="0"/>
        <w:spacing w:line="360" w:lineRule="auto"/>
        <w:ind w:firstLine="480" w:firstLineChars="200"/>
        <w:rPr>
          <w:rFonts w:ascii="宋体"/>
          <w:sz w:val="24"/>
          <w:szCs w:val="24"/>
          <w:u w:val="single"/>
        </w:rPr>
      </w:pPr>
      <w:r>
        <w:rPr>
          <w:rFonts w:ascii="宋体" w:hAnsi="宋体" w:cs="宋体"/>
          <w:sz w:val="24"/>
          <w:szCs w:val="24"/>
        </w:rPr>
        <w:t>2</w:t>
      </w:r>
      <w:r>
        <w:rPr>
          <w:rFonts w:hint="eastAsia" w:ascii="宋体" w:hAnsi="宋体" w:cs="宋体"/>
          <w:sz w:val="24"/>
          <w:szCs w:val="24"/>
        </w:rPr>
        <w:t>、响应文件均为壹式叁份，其中“正本”壹份和“副本”贰份。</w:t>
      </w:r>
    </w:p>
    <w:p>
      <w:pPr>
        <w:snapToGrid w:val="0"/>
        <w:spacing w:line="360" w:lineRule="auto"/>
        <w:ind w:firstLine="470" w:firstLineChars="196"/>
        <w:rPr>
          <w:rFonts w:ascii="宋体"/>
          <w:sz w:val="24"/>
          <w:szCs w:val="24"/>
        </w:rPr>
      </w:pPr>
      <w:r>
        <w:rPr>
          <w:rFonts w:ascii="宋体" w:hAnsi="宋体" w:cs="宋体"/>
          <w:sz w:val="24"/>
          <w:szCs w:val="24"/>
        </w:rPr>
        <w:t>3</w:t>
      </w:r>
      <w:r>
        <w:rPr>
          <w:rFonts w:hint="eastAsia" w:ascii="宋体" w:hAnsi="宋体" w:cs="宋体"/>
          <w:sz w:val="24"/>
          <w:szCs w:val="24"/>
        </w:rPr>
        <w:t>、在每份响应文件上要明确标注项目名称、项目编号、对应的响应文件名称、供应商的全称、日期、“正本”、“副本”字样。“正本”和“副本”若有差异，概以“正本”为准。</w:t>
      </w:r>
    </w:p>
    <w:p>
      <w:pPr>
        <w:snapToGrid w:val="0"/>
        <w:spacing w:line="360" w:lineRule="auto"/>
        <w:ind w:firstLine="470" w:firstLineChars="196"/>
        <w:rPr>
          <w:rFonts w:ascii="宋体"/>
          <w:sz w:val="24"/>
          <w:szCs w:val="24"/>
        </w:rPr>
      </w:pPr>
      <w:r>
        <w:rPr>
          <w:rFonts w:ascii="宋体" w:hAnsi="宋体" w:cs="宋体"/>
          <w:sz w:val="24"/>
          <w:szCs w:val="24"/>
        </w:rPr>
        <w:t>4</w:t>
      </w:r>
      <w:r>
        <w:rPr>
          <w:rFonts w:hint="eastAsia" w:ascii="宋体" w:hAnsi="宋体" w:cs="宋体"/>
          <w:sz w:val="24"/>
          <w:szCs w:val="24"/>
        </w:rPr>
        <w:t>、供应商可将响应文件正副本统一密封或分别密封，如正本和副本分别密封的，应在封袋上标明正、副本字样。</w:t>
      </w:r>
    </w:p>
    <w:p>
      <w:pPr>
        <w:snapToGrid w:val="0"/>
        <w:spacing w:line="360" w:lineRule="auto"/>
        <w:ind w:firstLine="470" w:firstLineChars="196"/>
        <w:rPr>
          <w:rFonts w:ascii="宋体"/>
          <w:sz w:val="24"/>
          <w:szCs w:val="24"/>
        </w:rPr>
      </w:pPr>
      <w:r>
        <w:rPr>
          <w:rFonts w:ascii="宋体" w:hAnsi="宋体" w:cs="宋体"/>
          <w:sz w:val="24"/>
          <w:szCs w:val="24"/>
        </w:rPr>
        <w:t>5</w:t>
      </w:r>
      <w:r>
        <w:rPr>
          <w:rFonts w:hint="eastAsia" w:ascii="宋体" w:hAnsi="宋体" w:cs="宋体"/>
          <w:sz w:val="24"/>
          <w:szCs w:val="24"/>
        </w:rPr>
        <w:t>、响应文件中的所有“正本”，其正文内容须按磋商文件要求由供应商法定代表人或被授权人签字（或盖章）并加盖单位公章。“副本”可复印，但须加盖单位公章。</w:t>
      </w:r>
    </w:p>
    <w:p>
      <w:pPr>
        <w:snapToGrid w:val="0"/>
        <w:spacing w:line="360" w:lineRule="auto"/>
        <w:ind w:firstLine="472" w:firstLineChars="196"/>
        <w:rPr>
          <w:rFonts w:ascii="宋体"/>
          <w:b/>
          <w:bCs/>
          <w:sz w:val="24"/>
          <w:szCs w:val="24"/>
        </w:rPr>
      </w:pPr>
      <w:r>
        <w:rPr>
          <w:rFonts w:hint="eastAsia" w:ascii="宋体" w:hAnsi="宋体" w:cs="宋体"/>
          <w:b/>
          <w:bCs/>
          <w:sz w:val="24"/>
          <w:szCs w:val="24"/>
        </w:rPr>
        <w:t>六、响应文件的密封及标记</w:t>
      </w:r>
    </w:p>
    <w:p>
      <w:pPr>
        <w:snapToGrid w:val="0"/>
        <w:spacing w:line="360" w:lineRule="auto"/>
        <w:ind w:firstLine="480" w:firstLineChars="200"/>
        <w:rPr>
          <w:rFonts w:ascii="宋体"/>
          <w:sz w:val="24"/>
          <w:szCs w:val="24"/>
          <w:u w:val="single"/>
        </w:rPr>
      </w:pPr>
      <w:r>
        <w:rPr>
          <w:rFonts w:ascii="宋体" w:hAnsi="宋体" w:cs="宋体"/>
          <w:sz w:val="24"/>
          <w:szCs w:val="24"/>
        </w:rPr>
        <w:t>1</w:t>
      </w:r>
      <w:r>
        <w:rPr>
          <w:rFonts w:hint="eastAsia" w:ascii="宋体" w:hAnsi="宋体" w:cs="宋体"/>
          <w:sz w:val="24"/>
          <w:szCs w:val="24"/>
        </w:rPr>
        <w:t>、供应商须将本项目响应文件：</w:t>
      </w:r>
      <w:r>
        <w:rPr>
          <w:rFonts w:hint="eastAsia" w:ascii="宋体" w:hAnsi="宋体" w:cs="宋体"/>
          <w:b/>
          <w:bCs/>
          <w:color w:val="000000"/>
          <w:sz w:val="24"/>
          <w:szCs w:val="24"/>
        </w:rPr>
        <w:t>资格审查文件、技术响应文件、商务报价响应文件</w:t>
      </w:r>
      <w:r>
        <w:rPr>
          <w:rFonts w:hint="eastAsia" w:ascii="宋体" w:hAnsi="宋体" w:cs="宋体"/>
          <w:b/>
          <w:sz w:val="24"/>
          <w:szCs w:val="24"/>
        </w:rPr>
        <w:t>单独密封</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、密封后，应在每一密封的响应文件上明确标注磋商项目名称、项目编号、响应文件各自对应的名称、供应商的全称及日期。</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、在边缝处加盖供应商公章或骑缝签字。</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【特别提醒】</w:t>
      </w:r>
      <w:r>
        <w:rPr>
          <w:rFonts w:hint="eastAsia" w:ascii="宋体" w:hAnsi="宋体" w:cs="宋体"/>
          <w:sz w:val="24"/>
          <w:szCs w:val="24"/>
        </w:rPr>
        <w:t>响应文件中的</w:t>
      </w:r>
      <w:r>
        <w:rPr>
          <w:rFonts w:hint="eastAsia" w:ascii="宋体" w:hAnsi="宋体" w:cs="宋体"/>
          <w:b/>
          <w:bCs/>
          <w:color w:val="000000"/>
          <w:sz w:val="24"/>
          <w:szCs w:val="24"/>
        </w:rPr>
        <w:t>资格审查文件、技术响应文件</w:t>
      </w:r>
      <w:r>
        <w:rPr>
          <w:rFonts w:hint="eastAsia" w:ascii="宋体" w:hAnsi="宋体" w:cs="宋体"/>
          <w:sz w:val="24"/>
          <w:szCs w:val="24"/>
        </w:rPr>
        <w:t>的“正本”或“副本”中，均不得含有商务报价响应文件中报价表（报价单）内的任何项目价格，否则作无效响应处理。</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七、</w:t>
      </w:r>
      <w:r>
        <w:rPr>
          <w:rFonts w:hint="eastAsia" w:ascii="宋体" w:hAnsi="宋体" w:cs="宋体"/>
          <w:b/>
          <w:bCs/>
          <w:color w:val="000000"/>
          <w:sz w:val="24"/>
          <w:szCs w:val="24"/>
        </w:rPr>
        <w:t>磋商报价</w:t>
      </w:r>
    </w:p>
    <w:p>
      <w:pPr>
        <w:snapToGrid w:val="0"/>
        <w:spacing w:line="360" w:lineRule="auto"/>
        <w:ind w:firstLine="494" w:firstLineChars="206"/>
        <w:rPr>
          <w:rFonts w:ascii="宋体"/>
          <w:sz w:val="24"/>
          <w:szCs w:val="24"/>
        </w:rPr>
      </w:pPr>
      <w:r>
        <w:rPr>
          <w:rFonts w:ascii="宋体" w:hAnsi="宋体" w:cs="宋体"/>
          <w:sz w:val="24"/>
          <w:szCs w:val="24"/>
        </w:rPr>
        <w:t>1</w:t>
      </w:r>
      <w:r>
        <w:rPr>
          <w:rFonts w:hint="eastAsia" w:ascii="宋体" w:hAnsi="宋体" w:cs="宋体"/>
          <w:sz w:val="24"/>
          <w:szCs w:val="24"/>
        </w:rPr>
        <w:t>、本项目不接受任何有选择的报价。</w:t>
      </w:r>
    </w:p>
    <w:p>
      <w:pPr>
        <w:snapToGrid w:val="0"/>
        <w:spacing w:line="360" w:lineRule="auto"/>
        <w:ind w:firstLine="494" w:firstLineChars="206"/>
        <w:rPr>
          <w:rFonts w:ascii="宋体"/>
          <w:sz w:val="24"/>
          <w:szCs w:val="24"/>
        </w:rPr>
      </w:pPr>
      <w:r>
        <w:rPr>
          <w:rFonts w:ascii="宋体" w:hAnsi="宋体" w:cs="宋体"/>
          <w:sz w:val="24"/>
          <w:szCs w:val="24"/>
        </w:rPr>
        <w:t>2</w:t>
      </w:r>
      <w:r>
        <w:rPr>
          <w:rFonts w:hint="eastAsia" w:ascii="宋体" w:hAnsi="宋体" w:cs="宋体"/>
          <w:sz w:val="24"/>
          <w:szCs w:val="24"/>
        </w:rPr>
        <w:t>、磋商报价均以人民币为报价的币种。</w:t>
      </w:r>
    </w:p>
    <w:p>
      <w:pPr>
        <w:snapToGrid w:val="0"/>
        <w:spacing w:line="360" w:lineRule="auto"/>
        <w:ind w:firstLine="494" w:firstLineChars="206"/>
        <w:rPr>
          <w:rFonts w:ascii="宋体" w:hAnsi="宋体" w:cs="宋体"/>
          <w:sz w:val="24"/>
        </w:rPr>
      </w:pPr>
      <w:r>
        <w:rPr>
          <w:rFonts w:ascii="宋体" w:hAnsi="宋体" w:cs="宋体"/>
          <w:sz w:val="24"/>
        </w:rPr>
        <w:t>3</w:t>
      </w:r>
      <w:r>
        <w:rPr>
          <w:rFonts w:hint="eastAsia" w:ascii="宋体" w:hAnsi="宋体" w:cs="宋体"/>
          <w:sz w:val="24"/>
        </w:rPr>
        <w:t>、磋商报价表必须加盖单位公章且必须经法定代表人或被授权人签字或 盖章。报价表中的报价出现前后不一致的，将执行财政部第 87 号令《政府采购货物和服务招标投标管理办法》第 59 条的规定修正:</w:t>
      </w:r>
    </w:p>
    <w:p>
      <w:pPr>
        <w:snapToGrid w:val="0"/>
        <w:spacing w:line="360" w:lineRule="auto"/>
        <w:ind w:firstLine="494" w:firstLineChars="206"/>
        <w:rPr>
          <w:rFonts w:ascii="宋体" w:hAnsi="宋体" w:cs="宋体"/>
          <w:sz w:val="24"/>
        </w:rPr>
      </w:pPr>
      <w:r>
        <w:rPr>
          <w:rFonts w:hint="eastAsia" w:ascii="宋体" w:hAnsi="宋体" w:cs="宋体"/>
          <w:sz w:val="24"/>
        </w:rPr>
        <w:t>3.1开标一览表(报价表)内容与投标文件中相应内容不一致的，以开标一览表(报价表)为准;</w:t>
      </w:r>
    </w:p>
    <w:p>
      <w:pPr>
        <w:snapToGrid w:val="0"/>
        <w:spacing w:line="360" w:lineRule="auto"/>
        <w:ind w:firstLine="494" w:firstLineChars="206"/>
        <w:rPr>
          <w:rFonts w:ascii="宋体" w:hAnsi="宋体" w:cs="宋体"/>
          <w:sz w:val="24"/>
        </w:rPr>
      </w:pPr>
      <w:r>
        <w:rPr>
          <w:rFonts w:hint="eastAsia" w:ascii="宋体" w:hAnsi="宋体" w:cs="宋体"/>
          <w:sz w:val="24"/>
        </w:rPr>
        <w:t>3.2 大写金额和小写金额不一致的，以大写金额为准;</w:t>
      </w:r>
    </w:p>
    <w:p>
      <w:pPr>
        <w:snapToGrid w:val="0"/>
        <w:spacing w:line="360" w:lineRule="auto"/>
        <w:ind w:firstLine="494" w:firstLineChars="206"/>
        <w:rPr>
          <w:rFonts w:ascii="宋体" w:hAnsi="宋体" w:cs="宋体"/>
          <w:sz w:val="24"/>
        </w:rPr>
      </w:pPr>
      <w:r>
        <w:rPr>
          <w:rFonts w:hint="eastAsia" w:ascii="宋体" w:hAnsi="宋体" w:cs="宋体"/>
          <w:sz w:val="24"/>
        </w:rPr>
        <w:t>3.3单价金额小数点或者百分比有明显错位的，以开标一览表(报价表)的总价为准，并修改单价;</w:t>
      </w:r>
    </w:p>
    <w:p>
      <w:pPr>
        <w:snapToGrid w:val="0"/>
        <w:spacing w:line="360" w:lineRule="auto"/>
        <w:ind w:firstLine="494" w:firstLineChars="206"/>
        <w:rPr>
          <w:rFonts w:ascii="宋体" w:hAnsi="宋体" w:cs="宋体"/>
          <w:sz w:val="24"/>
        </w:rPr>
      </w:pPr>
      <w:r>
        <w:rPr>
          <w:rFonts w:hint="eastAsia" w:ascii="宋体" w:hAnsi="宋体" w:cs="宋体"/>
          <w:sz w:val="24"/>
        </w:rPr>
        <w:t>3.4总价金额与按单价汇总金额不一致的，以单价金额计算结果为准。</w:t>
      </w:r>
    </w:p>
    <w:p>
      <w:pPr>
        <w:snapToGrid w:val="0"/>
        <w:spacing w:line="360" w:lineRule="auto"/>
        <w:ind w:firstLine="480" w:firstLineChars="200"/>
        <w:rPr>
          <w:rFonts w:ascii="宋体" w:hAnsi="宋体" w:cs="宋体"/>
          <w:sz w:val="24"/>
        </w:rPr>
      </w:pPr>
      <w:r>
        <w:rPr>
          <w:rFonts w:hint="eastAsia" w:ascii="宋体" w:hAnsi="宋体" w:cs="宋体"/>
          <w:sz w:val="24"/>
        </w:rPr>
        <w:t xml:space="preserve">同时出现两种以上不一致的，按照前款规定的顺序修正。修正后的报价按照本办法第五十一条第二款的规定经供应商确认后产生约束力，供应商不确认的，其响应无效。 </w:t>
      </w:r>
    </w:p>
    <w:p>
      <w:pPr>
        <w:snapToGrid w:val="0"/>
        <w:spacing w:line="360" w:lineRule="auto"/>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w:t>
      </w:r>
      <w:r>
        <w:rPr>
          <w:rFonts w:hint="eastAsia" w:ascii="宋体" w:hAnsi="宋体" w:cs="宋体"/>
          <w:bCs/>
          <w:color w:val="000000"/>
          <w:sz w:val="24"/>
        </w:rPr>
        <w:t>本项目</w:t>
      </w:r>
      <w:r>
        <w:rPr>
          <w:rFonts w:hint="eastAsia" w:ascii="宋体" w:hAnsi="宋体" w:cs="宋体"/>
          <w:sz w:val="24"/>
        </w:rPr>
        <w:t>磋商报价</w:t>
      </w:r>
      <w:r>
        <w:rPr>
          <w:rFonts w:hint="eastAsia" w:ascii="宋体" w:hAnsi="宋体" w:cs="宋体"/>
          <w:bCs/>
          <w:color w:val="000000"/>
          <w:sz w:val="24"/>
        </w:rPr>
        <w:t>为</w:t>
      </w:r>
      <w:r>
        <w:rPr>
          <w:rFonts w:hint="eastAsia" w:ascii="宋体" w:hAnsi="宋体" w:cs="宋体"/>
          <w:bCs/>
          <w:color w:val="000000"/>
          <w:sz w:val="24"/>
          <w:lang w:val="zh-CN"/>
        </w:rPr>
        <w:t>固定总价报价</w:t>
      </w:r>
      <w:r>
        <w:rPr>
          <w:rFonts w:hint="eastAsia" w:ascii="宋体" w:hAnsi="宋体" w:cs="宋体"/>
          <w:sz w:val="24"/>
        </w:rPr>
        <w:t>，该价格一次性包定</w:t>
      </w:r>
      <w:r>
        <w:rPr>
          <w:rFonts w:hint="eastAsia" w:ascii="宋体" w:hAnsi="宋体" w:cs="宋体"/>
          <w:sz w:val="24"/>
          <w:szCs w:val="24"/>
        </w:rPr>
        <w:t>，成交供应商须考虑合同期内最低工资标准上涨、</w:t>
      </w:r>
      <w:r>
        <w:rPr>
          <w:rFonts w:hint="eastAsia" w:cs="宋体"/>
          <w:bCs/>
          <w:color w:val="000000"/>
          <w:kern w:val="0"/>
          <w:sz w:val="24"/>
          <w:szCs w:val="24"/>
        </w:rPr>
        <w:t>社保最低缴纳基数浮动、</w:t>
      </w:r>
      <w:r>
        <w:rPr>
          <w:rFonts w:hint="eastAsia" w:ascii="宋体" w:hAnsi="宋体" w:cs="宋体"/>
          <w:sz w:val="24"/>
          <w:szCs w:val="24"/>
        </w:rPr>
        <w:t>加班费、</w:t>
      </w:r>
      <w:r>
        <w:rPr>
          <w:rFonts w:hint="eastAsia" w:cs="宋体"/>
          <w:sz w:val="24"/>
          <w:szCs w:val="24"/>
        </w:rPr>
        <w:t>各类市场价格和政策性价格调整等因素</w:t>
      </w:r>
      <w:r>
        <w:rPr>
          <w:rFonts w:hint="eastAsia" w:ascii="宋体" w:hAnsi="宋体" w:cs="宋体"/>
          <w:sz w:val="24"/>
          <w:szCs w:val="24"/>
        </w:rPr>
        <w:t>，服务期内合同价不调整。</w:t>
      </w:r>
    </w:p>
    <w:p>
      <w:pPr>
        <w:snapToGrid w:val="0"/>
        <w:spacing w:line="360" w:lineRule="auto"/>
        <w:ind w:firstLine="480" w:firstLineChars="200"/>
      </w:pPr>
      <w:r>
        <w:rPr>
          <w:rFonts w:hint="eastAsia" w:ascii="宋体" w:hAnsi="宋体" w:cs="宋体"/>
          <w:sz w:val="24"/>
          <w:szCs w:val="24"/>
        </w:rPr>
        <w:t>5、</w:t>
      </w:r>
      <w:r>
        <w:rPr>
          <w:rFonts w:hint="eastAsia" w:ascii="宋体" w:hAnsi="宋体" w:cs="宋体"/>
          <w:b/>
          <w:bCs/>
          <w:sz w:val="24"/>
          <w:szCs w:val="24"/>
        </w:rPr>
        <w:t>磋商报价（以人民币计价）应包括但不限于所有与本项目实施有关的所有费用，包括所有的人工工资（含夜班、周末及节假日加班费）、培训费、服装费、社保、交通费、餐费补贴、夜班补贴、疫情防控费、福利、通讯费、办公设备费、管理费、利润、税金、政策性文件规定及为达到采购单位要求所包含的所有风险、责任等各项费用。各磋商响应供应商应根据磋商文件要求，并充分考虑市场，自行核算成本报价。</w:t>
      </w:r>
    </w:p>
    <w:p>
      <w:pPr>
        <w:snapToGrid w:val="0"/>
        <w:spacing w:line="360" w:lineRule="auto"/>
        <w:ind w:firstLine="468" w:firstLineChars="195"/>
        <w:outlineLvl w:val="1"/>
        <w:rPr>
          <w:rFonts w:ascii="宋体" w:hAnsi="宋体" w:cs="宋体"/>
          <w:sz w:val="24"/>
          <w:szCs w:val="24"/>
        </w:rPr>
      </w:pPr>
      <w:r>
        <w:rPr>
          <w:rFonts w:hint="eastAsia" w:ascii="宋体" w:hAnsi="宋体" w:cs="宋体"/>
          <w:sz w:val="24"/>
          <w:szCs w:val="24"/>
        </w:rPr>
        <w:t>6、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pPr>
        <w:snapToGrid w:val="0"/>
        <w:spacing w:line="360" w:lineRule="auto"/>
        <w:ind w:firstLine="480" w:firstLineChars="200"/>
        <w:textAlignment w:val="baseline"/>
      </w:pPr>
      <w:r>
        <w:rPr>
          <w:rFonts w:hint="eastAsia" w:ascii="宋体" w:hAnsi="宋体" w:cs="宋体"/>
          <w:sz w:val="24"/>
        </w:rPr>
        <w:t>7、</w:t>
      </w:r>
      <w:r>
        <w:rPr>
          <w:rFonts w:hint="eastAsia" w:ascii="宋体" w:hAnsi="宋体" w:cs="宋体"/>
          <w:bCs/>
          <w:sz w:val="24"/>
        </w:rPr>
        <w:t>本次磋商项目的报价采用两轮报价，首次报价不得超过或等于项目预算金额。除非在磋商中磋商小组对采购单位需求内容作了调整增加，或对采购内容作了实质性变更，否则采购单位不接受供应商高于自己前一轮的磋商报价，并作无效报价处理。最终报价将作为磋商小组评定成交供应商的依据。</w:t>
      </w:r>
    </w:p>
    <w:p>
      <w:pPr>
        <w:snapToGrid w:val="0"/>
        <w:spacing w:line="360" w:lineRule="auto"/>
        <w:ind w:firstLine="468" w:firstLineChars="195"/>
        <w:outlineLvl w:val="1"/>
        <w:rPr>
          <w:rFonts w:ascii="宋体" w:hAnsi="宋体" w:cs="宋体"/>
          <w:sz w:val="24"/>
          <w:szCs w:val="24"/>
        </w:rPr>
      </w:pPr>
      <w:r>
        <w:rPr>
          <w:rFonts w:hint="eastAsia" w:ascii="宋体" w:hAnsi="宋体" w:cs="宋体"/>
          <w:sz w:val="24"/>
          <w:szCs w:val="24"/>
        </w:rPr>
        <w:t>8、本项目竞争性磋商的最终报价作为成交价。同时，供应商的最终成交价在合同实施期间不因市场变化因素而变动。</w:t>
      </w:r>
    </w:p>
    <w:p>
      <w:pPr>
        <w:snapToGrid w:val="0"/>
        <w:spacing w:line="360" w:lineRule="auto"/>
        <w:ind w:firstLine="468" w:firstLineChars="195"/>
        <w:outlineLvl w:val="1"/>
        <w:rPr>
          <w:rFonts w:ascii="宋体" w:hAnsi="宋体" w:cs="宋体"/>
          <w:sz w:val="24"/>
          <w:szCs w:val="24"/>
        </w:rPr>
      </w:pPr>
      <w:r>
        <w:rPr>
          <w:rFonts w:hint="eastAsia" w:ascii="宋体" w:hAnsi="宋体" w:cs="宋体"/>
          <w:sz w:val="24"/>
          <w:szCs w:val="24"/>
        </w:rPr>
        <w:t>9、</w:t>
      </w:r>
      <w:r>
        <w:rPr>
          <w:rFonts w:hint="eastAsia" w:ascii="宋体" w:hAnsi="宋体" w:cs="宋体"/>
          <w:bCs/>
          <w:sz w:val="24"/>
        </w:rPr>
        <w:t>由于新型冠状肺炎疫情的影响，因卫生防疫要求采取的措施、物资等一切费用包含在磋商响应报价（即合同价）中，结算时不予调整。</w:t>
      </w:r>
    </w:p>
    <w:p>
      <w:pPr>
        <w:snapToGrid w:val="0"/>
        <w:spacing w:line="360" w:lineRule="auto"/>
        <w:ind w:firstLine="470" w:firstLineChars="196"/>
        <w:outlineLvl w:val="1"/>
        <w:rPr>
          <w:rFonts w:ascii="宋体"/>
          <w:sz w:val="24"/>
          <w:szCs w:val="24"/>
        </w:rPr>
      </w:pPr>
      <w:r>
        <w:rPr>
          <w:rFonts w:hint="eastAsia" w:ascii="宋体" w:hAnsi="宋体" w:cs="宋体"/>
          <w:sz w:val="24"/>
          <w:szCs w:val="24"/>
        </w:rPr>
        <w:t>10、最低的磋商总价报价是成交的重要条件，但不是成交的唯一条件。</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八、联合体参与磋商</w:t>
      </w:r>
    </w:p>
    <w:p>
      <w:pPr>
        <w:snapToGrid w:val="0"/>
        <w:spacing w:line="360" w:lineRule="auto"/>
        <w:ind w:firstLine="470" w:firstLineChars="196"/>
        <w:outlineLvl w:val="1"/>
        <w:rPr>
          <w:rFonts w:ascii="宋体" w:hAnsi="宋体" w:cs="宋体"/>
          <w:sz w:val="24"/>
          <w:szCs w:val="24"/>
        </w:rPr>
      </w:pPr>
      <w:r>
        <w:rPr>
          <w:rFonts w:hint="eastAsia" w:ascii="宋体" w:hAnsi="宋体" w:cs="宋体"/>
          <w:sz w:val="24"/>
          <w:szCs w:val="24"/>
        </w:rPr>
        <w:t>不接受任何形式的联合体参与本项目的竞争性磋商。</w:t>
      </w:r>
    </w:p>
    <w:p>
      <w:pPr>
        <w:snapToGrid w:val="0"/>
        <w:spacing w:line="360" w:lineRule="auto"/>
        <w:ind w:firstLine="496" w:firstLineChars="206"/>
        <w:outlineLvl w:val="1"/>
        <w:rPr>
          <w:sz w:val="24"/>
          <w:szCs w:val="24"/>
        </w:rPr>
      </w:pPr>
      <w:r>
        <w:rPr>
          <w:rFonts w:hint="eastAsia" w:cs="宋体"/>
          <w:b/>
          <w:bCs/>
          <w:sz w:val="24"/>
          <w:szCs w:val="24"/>
        </w:rPr>
        <w:t>九、磋商响应文件的有效期</w:t>
      </w:r>
    </w:p>
    <w:p>
      <w:pPr>
        <w:snapToGrid w:val="0"/>
        <w:spacing w:line="360" w:lineRule="auto"/>
        <w:ind w:firstLine="480" w:firstLineChars="200"/>
        <w:rPr>
          <w:sz w:val="24"/>
          <w:szCs w:val="24"/>
        </w:rPr>
      </w:pPr>
      <w:r>
        <w:rPr>
          <w:rFonts w:hint="eastAsia" w:cs="宋体"/>
          <w:sz w:val="24"/>
          <w:szCs w:val="24"/>
        </w:rPr>
        <w:t>1、从磋商响应文件接收截止之日算起，</w:t>
      </w:r>
      <w:r>
        <w:rPr>
          <w:b/>
          <w:bCs/>
          <w:sz w:val="24"/>
          <w:szCs w:val="24"/>
        </w:rPr>
        <w:t>45</w:t>
      </w:r>
      <w:r>
        <w:rPr>
          <w:rFonts w:hint="eastAsia" w:cs="宋体"/>
          <w:sz w:val="24"/>
          <w:szCs w:val="24"/>
        </w:rPr>
        <w:t>个</w:t>
      </w:r>
      <w:r>
        <w:rPr>
          <w:sz w:val="24"/>
          <w:szCs w:val="24"/>
        </w:rPr>
        <w:t>“</w:t>
      </w:r>
      <w:r>
        <w:rPr>
          <w:rFonts w:hint="eastAsia" w:cs="宋体"/>
          <w:sz w:val="24"/>
          <w:szCs w:val="24"/>
        </w:rPr>
        <w:t>日历天</w:t>
      </w:r>
      <w:r>
        <w:rPr>
          <w:sz w:val="24"/>
          <w:szCs w:val="24"/>
        </w:rPr>
        <w:t>”</w:t>
      </w:r>
      <w:r>
        <w:rPr>
          <w:rFonts w:hint="eastAsia" w:cs="宋体"/>
          <w:sz w:val="24"/>
          <w:szCs w:val="24"/>
        </w:rPr>
        <w:t>内磋商响应书应保持有效。有效期短于这个规定期限的磋商响应，将被拒绝。</w:t>
      </w:r>
    </w:p>
    <w:p>
      <w:pPr>
        <w:snapToGrid w:val="0"/>
        <w:spacing w:line="360" w:lineRule="auto"/>
        <w:ind w:firstLine="480" w:firstLineChars="200"/>
        <w:textAlignment w:val="baseline"/>
      </w:pPr>
      <w:r>
        <w:rPr>
          <w:sz w:val="24"/>
          <w:szCs w:val="24"/>
        </w:rPr>
        <w:t>2</w:t>
      </w:r>
      <w:r>
        <w:rPr>
          <w:rFonts w:hint="eastAsia"/>
          <w:sz w:val="24"/>
          <w:szCs w:val="24"/>
        </w:rPr>
        <w:t>、</w:t>
      </w:r>
      <w:r>
        <w:rPr>
          <w:rFonts w:hint="eastAsia" w:cs="宋体"/>
          <w:sz w:val="24"/>
          <w:szCs w:val="24"/>
        </w:rPr>
        <w:t>在特殊情况下，采购代理机构可与磋商响应供应商协商延长磋商响应书的有效期。这种要求和答复都应以书面、传真、或电报的形式进行。同意延长有效期的磋商响应供应商不能修改磋商响应文件。拒绝接受延期要求的磋商响应供应商的磋商响应将被拒绝。</w:t>
      </w:r>
    </w:p>
    <w:p>
      <w:pPr>
        <w:snapToGrid w:val="0"/>
        <w:spacing w:line="360" w:lineRule="auto"/>
        <w:ind w:firstLine="482" w:firstLineChars="200"/>
        <w:outlineLvl w:val="1"/>
        <w:rPr>
          <w:rFonts w:ascii="宋体"/>
          <w:sz w:val="24"/>
          <w:szCs w:val="24"/>
        </w:rPr>
      </w:pPr>
      <w:r>
        <w:rPr>
          <w:rFonts w:hint="eastAsia" w:ascii="宋体" w:hAnsi="宋体" w:cs="宋体"/>
          <w:b/>
          <w:bCs/>
          <w:sz w:val="24"/>
          <w:szCs w:val="24"/>
        </w:rPr>
        <w:t>十、响应文件及</w:t>
      </w:r>
      <w:r>
        <w:rPr>
          <w:rFonts w:hint="eastAsia" w:ascii="宋体" w:hAnsi="宋体" w:cs="宋体"/>
          <w:b/>
          <w:bCs/>
          <w:kern w:val="0"/>
          <w:sz w:val="24"/>
          <w:szCs w:val="24"/>
        </w:rPr>
        <w:t>磋商</w:t>
      </w:r>
      <w:r>
        <w:rPr>
          <w:rFonts w:hint="eastAsia" w:ascii="宋体" w:hAnsi="宋体" w:cs="宋体"/>
          <w:b/>
          <w:bCs/>
          <w:sz w:val="24"/>
          <w:szCs w:val="24"/>
        </w:rPr>
        <w:t>费用</w:t>
      </w:r>
    </w:p>
    <w:p>
      <w:pPr>
        <w:spacing w:line="360" w:lineRule="auto"/>
        <w:ind w:firstLine="480" w:firstLineChars="200"/>
        <w:rPr>
          <w:rFonts w:ascii="宋体" w:hAnsi="宋体" w:cs="宋体"/>
          <w:sz w:val="24"/>
          <w:szCs w:val="24"/>
        </w:rPr>
      </w:pPr>
      <w:r>
        <w:rPr>
          <w:rFonts w:hint="eastAsia" w:ascii="宋体" w:hAnsi="宋体" w:cs="宋体"/>
          <w:sz w:val="24"/>
          <w:szCs w:val="24"/>
        </w:rPr>
        <w:t>1、各供应商须在递交磋商响应文件的同时缴纳磋商文件资料费300元。无论是否成交，该费用不予退还。</w:t>
      </w:r>
    </w:p>
    <w:p>
      <w:pPr>
        <w:pStyle w:val="2"/>
        <w:spacing w:line="360" w:lineRule="auto"/>
        <w:ind w:firstLine="480"/>
        <w:rPr>
          <w:rFonts w:ascii="宋体" w:hAnsi="宋体"/>
          <w:bCs/>
          <w:sz w:val="24"/>
          <w:szCs w:val="24"/>
        </w:rPr>
      </w:pPr>
      <w:r>
        <w:rPr>
          <w:rFonts w:hint="eastAsia" w:ascii="宋体" w:hAnsi="宋体" w:cs="宋体"/>
          <w:kern w:val="2"/>
          <w:sz w:val="24"/>
          <w:szCs w:val="24"/>
        </w:rPr>
        <w:t>2、本项目采购代理费人民币2100元由成交供应商承担，请参加磋商响应供应商在成本中自行考虑。</w:t>
      </w:r>
      <w:r>
        <w:rPr>
          <w:rFonts w:hint="eastAsia" w:ascii="宋体" w:hAnsi="宋体"/>
          <w:sz w:val="24"/>
          <w:szCs w:val="24"/>
        </w:rPr>
        <w:t>上述费用领取成</w:t>
      </w:r>
      <w:r>
        <w:rPr>
          <w:rFonts w:hint="eastAsia" w:ascii="宋体" w:hAnsi="宋体"/>
          <w:bCs/>
          <w:sz w:val="24"/>
          <w:szCs w:val="24"/>
        </w:rPr>
        <w:t>交通知书前，向采购代理公司一次性缴清。</w:t>
      </w:r>
    </w:p>
    <w:p>
      <w:pPr>
        <w:snapToGrid w:val="0"/>
        <w:spacing w:line="360" w:lineRule="auto"/>
        <w:ind w:firstLine="480" w:firstLineChars="200"/>
        <w:outlineLvl w:val="1"/>
        <w:rPr>
          <w:rFonts w:ascii="宋体"/>
          <w:sz w:val="24"/>
          <w:szCs w:val="24"/>
        </w:rPr>
      </w:pPr>
      <w:r>
        <w:rPr>
          <w:rFonts w:hint="eastAsia" w:ascii="宋体" w:hAnsi="宋体" w:cs="宋体"/>
          <w:sz w:val="24"/>
          <w:szCs w:val="24"/>
        </w:rPr>
        <w:t>3、磋商程序顺利进行后，除供应商的原件可退回外，其余所有的响应文件都将作为档案保存，不论成交与否，代理机构均不退回（未拆封的除外）。</w:t>
      </w:r>
    </w:p>
    <w:p>
      <w:pPr>
        <w:snapToGrid w:val="0"/>
        <w:spacing w:line="360" w:lineRule="auto"/>
        <w:ind w:firstLine="470" w:firstLineChars="196"/>
        <w:outlineLvl w:val="1"/>
        <w:rPr>
          <w:rFonts w:ascii="宋体" w:hAnsi="宋体" w:cs="宋体"/>
          <w:sz w:val="24"/>
          <w:szCs w:val="24"/>
        </w:rPr>
      </w:pPr>
      <w:r>
        <w:rPr>
          <w:rFonts w:hint="eastAsia" w:ascii="宋体" w:hAnsi="宋体" w:cs="宋体"/>
          <w:sz w:val="24"/>
          <w:szCs w:val="24"/>
        </w:rPr>
        <w:t>4、无论磋商过程和结果如何，参加项目磋商的供应商自行承担与本次项目磋商有关的全部费用，专家评委费用</w:t>
      </w:r>
      <w:r>
        <w:rPr>
          <w:rFonts w:hint="eastAsia" w:ascii="宋体" w:hAnsi="宋体" w:cs="宋体"/>
          <w:sz w:val="24"/>
          <w:szCs w:val="24"/>
          <w:lang w:eastAsia="zh-CN"/>
        </w:rPr>
        <w:t>（</w:t>
      </w:r>
      <w:r>
        <w:rPr>
          <w:rFonts w:hint="eastAsia" w:ascii="宋体" w:hAnsi="宋体" w:cs="宋体"/>
          <w:sz w:val="24"/>
          <w:szCs w:val="24"/>
          <w:lang w:val="en-US" w:eastAsia="zh-CN"/>
        </w:rPr>
        <w:t>第一次及本次</w:t>
      </w:r>
      <w:bookmarkStart w:id="88" w:name="_GoBack"/>
      <w:bookmarkEnd w:id="88"/>
      <w:r>
        <w:rPr>
          <w:rFonts w:hint="eastAsia" w:ascii="宋体" w:hAnsi="宋体" w:cs="宋体"/>
          <w:sz w:val="24"/>
          <w:szCs w:val="24"/>
          <w:lang w:eastAsia="zh-CN"/>
        </w:rPr>
        <w:t>）</w:t>
      </w:r>
      <w:r>
        <w:rPr>
          <w:rFonts w:hint="eastAsia" w:ascii="宋体" w:hAnsi="宋体" w:cs="宋体"/>
          <w:sz w:val="24"/>
          <w:szCs w:val="24"/>
        </w:rPr>
        <w:t>由成交供应商承担，按南通市财政局通财购（2018）18号文标准按实收取（代理机构代收）。</w:t>
      </w:r>
    </w:p>
    <w:p>
      <w:pPr>
        <w:snapToGri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十一、履约保证金</w:t>
      </w:r>
    </w:p>
    <w:p>
      <w:pPr>
        <w:snapToGrid w:val="0"/>
        <w:spacing w:line="360" w:lineRule="auto"/>
        <w:ind w:firstLine="470" w:firstLineChars="196"/>
        <w:outlineLvl w:val="1"/>
        <w:rPr>
          <w:rFonts w:ascii="宋体" w:hAnsi="宋体" w:cs="宋体"/>
          <w:sz w:val="24"/>
          <w:szCs w:val="24"/>
        </w:rPr>
      </w:pPr>
      <w:r>
        <w:rPr>
          <w:rFonts w:ascii="宋体" w:hAnsi="宋体" w:cs="宋体"/>
          <w:sz w:val="24"/>
          <w:szCs w:val="24"/>
        </w:rPr>
        <w:t>1</w:t>
      </w:r>
      <w:r>
        <w:rPr>
          <w:rFonts w:hint="eastAsia" w:ascii="宋体" w:hAnsi="宋体" w:cs="宋体"/>
          <w:sz w:val="24"/>
          <w:szCs w:val="24"/>
        </w:rPr>
        <w:t>、本项目成交后的履约保证金为项目成交价的</w:t>
      </w:r>
      <w:r>
        <w:rPr>
          <w:rFonts w:ascii="宋体" w:hAnsi="宋体" w:cs="宋体"/>
          <w:sz w:val="24"/>
          <w:szCs w:val="24"/>
        </w:rPr>
        <w:t>10%</w:t>
      </w:r>
      <w:r>
        <w:rPr>
          <w:rFonts w:hint="eastAsia" w:ascii="宋体" w:hAnsi="宋体" w:cs="宋体"/>
          <w:sz w:val="24"/>
          <w:szCs w:val="24"/>
        </w:rPr>
        <w:t>。</w:t>
      </w:r>
    </w:p>
    <w:p>
      <w:pPr>
        <w:snapToGrid w:val="0"/>
        <w:spacing w:line="360" w:lineRule="auto"/>
        <w:ind w:firstLine="470" w:firstLineChars="196"/>
        <w:outlineLvl w:val="1"/>
        <w:rPr>
          <w:rFonts w:ascii="宋体"/>
          <w:sz w:val="24"/>
          <w:szCs w:val="24"/>
        </w:rPr>
      </w:pPr>
      <w:r>
        <w:rPr>
          <w:rFonts w:ascii="宋体" w:hAnsi="宋体" w:cs="宋体"/>
          <w:sz w:val="24"/>
          <w:szCs w:val="24"/>
        </w:rPr>
        <w:t>2</w:t>
      </w:r>
      <w:r>
        <w:rPr>
          <w:rFonts w:hint="eastAsia" w:ascii="宋体" w:hAnsi="宋体" w:cs="宋体"/>
          <w:sz w:val="24"/>
          <w:szCs w:val="24"/>
        </w:rPr>
        <w:t>、成交供应商的履约保证金须在采购代理通知发成交通知书之日起</w:t>
      </w:r>
      <w:r>
        <w:rPr>
          <w:rFonts w:ascii="宋体" w:hAnsi="宋体" w:cs="宋体"/>
          <w:sz w:val="24"/>
          <w:szCs w:val="24"/>
        </w:rPr>
        <w:t>3</w:t>
      </w:r>
      <w:r>
        <w:rPr>
          <w:rFonts w:hint="eastAsia" w:ascii="宋体" w:hAnsi="宋体" w:cs="宋体"/>
          <w:sz w:val="24"/>
          <w:szCs w:val="24"/>
        </w:rPr>
        <w:t>个工作日内汇入采购单位账户，成交供应商凭“成交通知书”和已经汇至采购单位账上的“履约保证金”凭证，并在采购代理通知发成交通知书之日起1</w:t>
      </w:r>
      <w:r>
        <w:rPr>
          <w:rFonts w:ascii="宋体" w:hAnsi="宋体" w:cs="宋体"/>
          <w:sz w:val="24"/>
          <w:szCs w:val="24"/>
        </w:rPr>
        <w:t>5</w:t>
      </w:r>
      <w:r>
        <w:rPr>
          <w:rFonts w:hint="eastAsia" w:ascii="宋体" w:hAnsi="宋体" w:cs="宋体"/>
          <w:sz w:val="24"/>
          <w:szCs w:val="24"/>
        </w:rPr>
        <w:t>日内与采购单位签订合同。</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、成交供应商在按要求保质保量的完成该项目合同并通过验收后，采购单位凭成交供应商提交的申请，一次性无息退还该合同项目的履约保证金。</w:t>
      </w:r>
    </w:p>
    <w:p>
      <w:pPr>
        <w:snapToGrid w:val="0"/>
        <w:spacing w:line="360" w:lineRule="auto"/>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、由于成交供应商原因，在签订合同后出现不按合同履行的情况，采购单位有权将履约保证金作为违约金，全额不予退还，同时采购单位亦有权终止合同，成交供应商还须承担相应的法律赔偿责任。</w:t>
      </w:r>
    </w:p>
    <w:p>
      <w:pPr>
        <w:snapToGrid w:val="0"/>
        <w:spacing w:line="360" w:lineRule="auto"/>
        <w:ind w:firstLine="496" w:firstLineChars="206"/>
        <w:textAlignment w:val="baseline"/>
        <w:rPr>
          <w:rFonts w:ascii="宋体" w:hAnsi="宋体" w:cs="宋体"/>
          <w:b/>
          <w:color w:val="000000"/>
          <w:sz w:val="24"/>
          <w:szCs w:val="24"/>
        </w:rPr>
      </w:pPr>
      <w:r>
        <w:rPr>
          <w:rFonts w:hint="eastAsia" w:ascii="宋体" w:hAnsi="宋体" w:cs="宋体"/>
          <w:b/>
          <w:color w:val="000000"/>
          <w:sz w:val="24"/>
          <w:szCs w:val="24"/>
        </w:rPr>
        <w:t>十二、付款方式</w:t>
      </w:r>
    </w:p>
    <w:p>
      <w:pPr>
        <w:snapToGrid w:val="0"/>
        <w:spacing w:line="360" w:lineRule="auto"/>
        <w:ind w:firstLine="470" w:firstLineChars="196"/>
        <w:outlineLvl w:val="1"/>
        <w:rPr>
          <w:rFonts w:ascii="宋体" w:hAnsi="宋体" w:cs="宋体"/>
          <w:sz w:val="24"/>
          <w:szCs w:val="24"/>
        </w:rPr>
      </w:pPr>
      <w:r>
        <w:rPr>
          <w:rFonts w:hint="eastAsia" w:ascii="宋体" w:hAnsi="宋体" w:cs="宋体"/>
          <w:sz w:val="24"/>
          <w:szCs w:val="24"/>
        </w:rPr>
        <w:t>1、采购单位向成交供应商购买十楼LDR一体化病房生活照护服务的付款方式：成交供应商缴纳履约保证金，且合同签订后，采购单位支付合同价款的10%作为预付款，采购单位根据季度考核情况，按季度支付服务费用，支付时须扣除已付的预付款。</w:t>
      </w:r>
      <w:r>
        <w:rPr>
          <w:rFonts w:hint="eastAsia" w:ascii="宋体" w:hAnsi="宋体" w:cs="宋体"/>
          <w:color w:val="000000"/>
          <w:sz w:val="24"/>
          <w:szCs w:val="24"/>
        </w:rPr>
        <w:t>最终结算按成交单价及采购人确认的服务人数、服务时间进行结算，但结算总价不超过30万元/年。</w:t>
      </w:r>
    </w:p>
    <w:p>
      <w:pPr>
        <w:snapToGrid w:val="0"/>
        <w:spacing w:line="360" w:lineRule="auto"/>
        <w:ind w:firstLine="470" w:firstLineChars="196"/>
        <w:outlineLvl w:val="1"/>
        <w:rPr>
          <w:rFonts w:ascii="宋体" w:hAnsi="宋体" w:cs="宋体"/>
          <w:kern w:val="0"/>
          <w:sz w:val="24"/>
          <w:szCs w:val="24"/>
        </w:rPr>
      </w:pPr>
      <w:r>
        <w:rPr>
          <w:rFonts w:hint="eastAsia" w:ascii="宋体" w:hAnsi="宋体" w:cs="宋体"/>
          <w:sz w:val="24"/>
          <w:szCs w:val="24"/>
        </w:rPr>
        <w:t>成交供应商须提供相应金额且符合采购单位财务制度规定的增值税发票，采购单位按程序审批后支付款项。</w:t>
      </w:r>
    </w:p>
    <w:p>
      <w:pPr>
        <w:snapToGrid w:val="0"/>
        <w:spacing w:line="360" w:lineRule="auto"/>
        <w:ind w:firstLine="454" w:firstLineChars="196"/>
        <w:outlineLvl w:val="1"/>
        <w:rPr>
          <w:rFonts w:ascii="宋体" w:hAnsi="宋体" w:cs="宋体"/>
          <w:spacing w:val="-4"/>
          <w:kern w:val="0"/>
          <w:sz w:val="24"/>
          <w:szCs w:val="24"/>
        </w:rPr>
      </w:pPr>
      <w:r>
        <w:rPr>
          <w:rFonts w:hint="eastAsia" w:ascii="宋体" w:hAnsi="宋体" w:cs="宋体"/>
          <w:spacing w:val="-4"/>
          <w:kern w:val="0"/>
          <w:sz w:val="24"/>
          <w:szCs w:val="24"/>
        </w:rPr>
        <w:t>2、成交供应商向采购</w:t>
      </w:r>
      <w:r>
        <w:rPr>
          <w:rFonts w:hint="eastAsia" w:ascii="宋体" w:hAnsi="宋体" w:cs="宋体"/>
          <w:sz w:val="24"/>
          <w:szCs w:val="24"/>
        </w:rPr>
        <w:t>单位</w:t>
      </w:r>
      <w:r>
        <w:rPr>
          <w:rFonts w:hint="eastAsia" w:ascii="宋体" w:hAnsi="宋体" w:cs="宋体"/>
          <w:spacing w:val="-4"/>
          <w:kern w:val="0"/>
          <w:sz w:val="24"/>
          <w:szCs w:val="24"/>
        </w:rPr>
        <w:t>缴纳病区资源管理费用的方式：</w:t>
      </w:r>
    </w:p>
    <w:p>
      <w:pPr>
        <w:snapToGrid w:val="0"/>
        <w:spacing w:line="360" w:lineRule="auto"/>
        <w:ind w:firstLine="470" w:firstLineChars="196"/>
        <w:outlineLvl w:val="1"/>
        <w:rPr>
          <w:rFonts w:ascii="宋体" w:hAnsi="宋体" w:cs="宋体"/>
          <w:sz w:val="24"/>
          <w:szCs w:val="24"/>
        </w:rPr>
      </w:pPr>
      <w:r>
        <w:rPr>
          <w:rFonts w:hint="eastAsia" w:ascii="宋体" w:hAnsi="宋体" w:cs="宋体"/>
          <w:sz w:val="24"/>
          <w:szCs w:val="24"/>
        </w:rPr>
        <w:t>①十楼LDR一体化病区：成交供应商按病区自主服务总收入（扣除6%税费后）的4%向采购单位缴纳病区资源管理费用；</w:t>
      </w:r>
    </w:p>
    <w:p>
      <w:pPr>
        <w:snapToGrid w:val="0"/>
        <w:spacing w:line="360" w:lineRule="auto"/>
        <w:ind w:firstLine="470" w:firstLineChars="196"/>
        <w:outlineLvl w:val="1"/>
        <w:rPr>
          <w:rFonts w:ascii="宋体" w:hAnsi="宋体" w:cs="宋体"/>
          <w:sz w:val="24"/>
          <w:szCs w:val="24"/>
        </w:rPr>
      </w:pPr>
      <w:r>
        <w:rPr>
          <w:rFonts w:hint="eastAsia" w:ascii="宋体" w:hAnsi="宋体" w:cs="宋体"/>
          <w:sz w:val="24"/>
          <w:szCs w:val="24"/>
        </w:rPr>
        <w:t>②其余楼层病区：成交供应商按病区自主服务总收入（扣除6%税费后）的10%向采购单位缴纳病区资源管理费用。</w:t>
      </w:r>
    </w:p>
    <w:p>
      <w:pPr>
        <w:snapToGrid w:val="0"/>
        <w:spacing w:line="360" w:lineRule="auto"/>
        <w:ind w:firstLine="454" w:firstLineChars="196"/>
        <w:outlineLvl w:val="1"/>
        <w:rPr>
          <w:rFonts w:ascii="宋体" w:hAnsi="宋体" w:cs="宋体"/>
          <w:sz w:val="24"/>
          <w:szCs w:val="24"/>
        </w:rPr>
      </w:pPr>
      <w:r>
        <w:rPr>
          <w:rFonts w:hint="eastAsia" w:ascii="宋体" w:hAnsi="宋体" w:cs="宋体"/>
          <w:spacing w:val="-4"/>
          <w:kern w:val="0"/>
          <w:sz w:val="24"/>
          <w:szCs w:val="24"/>
        </w:rPr>
        <w:t>采购单位须开具正规票据，按月结算应付病区资源管理费用。</w:t>
      </w:r>
    </w:p>
    <w:p>
      <w:pPr>
        <w:snapToGrid w:val="0"/>
        <w:spacing w:line="360" w:lineRule="auto"/>
        <w:ind w:firstLine="496" w:firstLineChars="206"/>
        <w:outlineLvl w:val="1"/>
        <w:rPr>
          <w:rFonts w:ascii="宋体" w:hAnsi="宋体" w:cs="宋体"/>
          <w:b/>
          <w:sz w:val="24"/>
          <w:szCs w:val="24"/>
        </w:rPr>
      </w:pPr>
      <w:r>
        <w:rPr>
          <w:rFonts w:hint="eastAsia" w:ascii="宋体" w:hAnsi="宋体" w:cs="宋体"/>
          <w:b/>
          <w:bCs/>
          <w:sz w:val="24"/>
          <w:szCs w:val="24"/>
        </w:rPr>
        <w:t>十三、</w:t>
      </w:r>
      <w:r>
        <w:rPr>
          <w:rFonts w:hint="eastAsia" w:ascii="宋体" w:hAnsi="宋体" w:cs="宋体"/>
          <w:b/>
          <w:sz w:val="24"/>
          <w:szCs w:val="24"/>
        </w:rPr>
        <w:t>未尽事宜</w:t>
      </w:r>
    </w:p>
    <w:p>
      <w:pPr>
        <w:snapToGrid w:val="0"/>
        <w:spacing w:line="360" w:lineRule="auto"/>
        <w:ind w:firstLine="470" w:firstLineChars="196"/>
        <w:outlineLvl w:val="1"/>
        <w:rPr>
          <w:rFonts w:ascii="宋体" w:hAnsi="宋体" w:cs="宋体"/>
          <w:sz w:val="24"/>
          <w:szCs w:val="24"/>
        </w:rPr>
        <w:sectPr>
          <w:headerReference r:id="rId4" w:type="first"/>
          <w:headerReference r:id="rId3" w:type="default"/>
          <w:footerReference r:id="rId5" w:type="default"/>
          <w:type w:val="continuous"/>
          <w:pgSz w:w="11906" w:h="16838"/>
          <w:pgMar w:top="1440" w:right="1361" w:bottom="1440" w:left="1361" w:header="851" w:footer="992" w:gutter="0"/>
          <w:pgNumType w:fmt="numberInDash"/>
          <w:cols w:space="720" w:num="1"/>
          <w:titlePg/>
          <w:docGrid w:linePitch="312" w:charSpace="0"/>
        </w:sectPr>
      </w:pPr>
      <w:r>
        <w:rPr>
          <w:rFonts w:hint="eastAsia" w:ascii="宋体" w:hAnsi="宋体" w:cs="宋体"/>
          <w:sz w:val="24"/>
          <w:szCs w:val="24"/>
        </w:rPr>
        <w:t>按《中华人民共和国政府采购法》、《政府采</w:t>
      </w:r>
      <w:bookmarkStart w:id="32" w:name="_Toc363573855"/>
      <w:r>
        <w:rPr>
          <w:rFonts w:hint="eastAsia" w:ascii="宋体" w:hAnsi="宋体" w:cs="宋体"/>
          <w:sz w:val="24"/>
          <w:szCs w:val="24"/>
        </w:rPr>
        <w:t>购竞争性磋商采购方式管理暂行办法》及其他有关法律法规的规定执行。</w:t>
      </w:r>
    </w:p>
    <w:bookmarkEnd w:id="22"/>
    <w:bookmarkEnd w:id="23"/>
    <w:bookmarkEnd w:id="24"/>
    <w:bookmarkEnd w:id="25"/>
    <w:bookmarkEnd w:id="26"/>
    <w:bookmarkEnd w:id="27"/>
    <w:bookmarkEnd w:id="28"/>
    <w:bookmarkEnd w:id="29"/>
    <w:bookmarkEnd w:id="30"/>
    <w:bookmarkEnd w:id="31"/>
    <w:bookmarkEnd w:id="32"/>
    <w:p>
      <w:pPr>
        <w:spacing w:line="460" w:lineRule="exact"/>
        <w:jc w:val="center"/>
        <w:rPr>
          <w:rFonts w:ascii="宋体" w:hAnsi="宋体" w:cs="宋体"/>
          <w:b/>
          <w:bCs/>
          <w:w w:val="80"/>
          <w:sz w:val="44"/>
          <w:szCs w:val="44"/>
        </w:rPr>
      </w:pPr>
      <w:bookmarkStart w:id="33" w:name="_Toc521201599"/>
      <w:bookmarkStart w:id="34" w:name="_Toc11554641"/>
      <w:bookmarkStart w:id="35" w:name="_Toc8895741"/>
      <w:bookmarkStart w:id="36" w:name="_Toc11500282"/>
      <w:bookmarkStart w:id="37" w:name="_Toc94585342"/>
      <w:bookmarkStart w:id="38" w:name="_Toc12670505"/>
      <w:bookmarkStart w:id="39" w:name="_Toc11499586"/>
      <w:bookmarkStart w:id="40" w:name="_Toc94544746"/>
      <w:bookmarkStart w:id="41" w:name="_Toc13803483"/>
      <w:bookmarkStart w:id="42" w:name="_Toc94544872"/>
      <w:bookmarkStart w:id="43" w:name="_Toc521203420"/>
      <w:bookmarkStart w:id="44" w:name="_Toc363573856"/>
    </w:p>
    <w:p>
      <w:pPr>
        <w:spacing w:line="460" w:lineRule="exact"/>
        <w:jc w:val="center"/>
        <w:rPr>
          <w:rFonts w:ascii="宋体" w:hAnsi="宋体" w:cs="宋体"/>
          <w:b/>
          <w:bCs/>
          <w:w w:val="80"/>
          <w:sz w:val="44"/>
          <w:szCs w:val="44"/>
        </w:rPr>
      </w:pPr>
      <w:r>
        <w:rPr>
          <w:rFonts w:hint="eastAsia" w:ascii="宋体" w:hAnsi="宋体" w:cs="宋体"/>
          <w:b/>
          <w:bCs/>
          <w:w w:val="80"/>
          <w:sz w:val="44"/>
          <w:szCs w:val="44"/>
        </w:rPr>
        <w:t>第三章  项目需求</w:t>
      </w:r>
    </w:p>
    <w:p>
      <w:pPr>
        <w:pStyle w:val="2"/>
      </w:pPr>
    </w:p>
    <w:p>
      <w:pPr>
        <w:snapToGrid w:val="0"/>
        <w:spacing w:line="360" w:lineRule="auto"/>
        <w:ind w:left="-210" w:leftChars="-100" w:firstLine="520" w:firstLineChars="216"/>
        <w:rPr>
          <w:rFonts w:ascii="宋体" w:hAnsi="宋体" w:cs="宋体"/>
          <w:kern w:val="0"/>
          <w:sz w:val="24"/>
          <w:szCs w:val="24"/>
          <w:lang w:val="zh-CN"/>
        </w:rPr>
      </w:pPr>
      <w:r>
        <w:rPr>
          <w:rFonts w:hint="eastAsia" w:ascii="宋体" w:hAnsi="宋体" w:cs="宋体"/>
          <w:b/>
          <w:sz w:val="24"/>
          <w:szCs w:val="24"/>
        </w:rPr>
        <w:t>特别提醒：</w:t>
      </w:r>
      <w:r>
        <w:rPr>
          <w:rFonts w:hint="eastAsia" w:ascii="宋体" w:hAnsi="宋体" w:cs="宋体"/>
          <w:b/>
          <w:kern w:val="0"/>
          <w:sz w:val="24"/>
          <w:szCs w:val="24"/>
          <w:lang w:val="zh-CN"/>
        </w:rPr>
        <w:t>请供应商制作</w:t>
      </w:r>
      <w:r>
        <w:rPr>
          <w:rFonts w:hint="eastAsia" w:ascii="宋体" w:hAnsi="宋体" w:cs="宋体"/>
          <w:b/>
          <w:kern w:val="0"/>
          <w:sz w:val="24"/>
          <w:szCs w:val="24"/>
        </w:rPr>
        <w:t>磋商</w:t>
      </w:r>
      <w:r>
        <w:rPr>
          <w:rFonts w:hint="eastAsia" w:ascii="宋体" w:hAnsi="宋体" w:cs="宋体"/>
          <w:b/>
          <w:kern w:val="0"/>
          <w:sz w:val="24"/>
          <w:szCs w:val="24"/>
          <w:lang w:val="zh-CN"/>
        </w:rPr>
        <w:t>响应文件时仔细研究项目需求说明。</w:t>
      </w:r>
      <w:r>
        <w:rPr>
          <w:rFonts w:hint="eastAsia" w:ascii="宋体" w:hAnsi="宋体" w:cs="宋体"/>
          <w:kern w:val="0"/>
          <w:sz w:val="24"/>
          <w:szCs w:val="24"/>
          <w:lang w:val="zh-CN"/>
        </w:rPr>
        <w:t>供应商不能简单照搬照抄采购单位项目需求说明中的技术要求，必须作实事求是的响应。如照搬照抄项目需求说明中的技术要求，成交后供应商在同采购单位签订合同和履约环节中不得提出异议，一切后果和损失由成交供应商承担。</w:t>
      </w:r>
    </w:p>
    <w:p>
      <w:pPr>
        <w:pStyle w:val="2"/>
        <w:rPr>
          <w:rFonts w:ascii="宋体" w:hAnsi="宋体" w:cs="宋体"/>
          <w:sz w:val="24"/>
          <w:szCs w:val="24"/>
          <w:lang w:val="zh-CN"/>
        </w:rPr>
      </w:pPr>
    </w:p>
    <w:p>
      <w:pPr>
        <w:spacing w:line="360" w:lineRule="auto"/>
        <w:ind w:firstLine="482" w:firstLineChars="200"/>
        <w:textAlignment w:val="baseline"/>
        <w:rPr>
          <w:rFonts w:ascii="宋体" w:hAnsi="宋体" w:cs="宋体"/>
          <w:b/>
          <w:sz w:val="24"/>
          <w:szCs w:val="24"/>
        </w:rPr>
      </w:pPr>
      <w:r>
        <w:rPr>
          <w:rFonts w:hint="eastAsia" w:ascii="宋体" w:hAnsi="宋体" w:cs="宋体"/>
          <w:b/>
          <w:sz w:val="24"/>
          <w:szCs w:val="24"/>
        </w:rPr>
        <w:t>一、项目概况</w:t>
      </w:r>
    </w:p>
    <w:p>
      <w:pPr>
        <w:spacing w:line="360" w:lineRule="auto"/>
        <w:ind w:firstLine="480" w:firstLineChars="200"/>
        <w:textAlignment w:val="baseline"/>
        <w:rPr>
          <w:rFonts w:ascii="宋体" w:hAnsi="宋体" w:cs="宋体"/>
          <w:b/>
          <w:sz w:val="24"/>
          <w:szCs w:val="24"/>
        </w:rPr>
      </w:pPr>
      <w:r>
        <w:rPr>
          <w:rFonts w:hint="eastAsia" w:ascii="宋体" w:hAnsi="宋体" w:cs="宋体"/>
          <w:color w:val="000000"/>
          <w:kern w:val="0"/>
          <w:sz w:val="24"/>
          <w:szCs w:val="24"/>
        </w:rPr>
        <w:t>为了贯彻卫生部《2010优质护理示范工程》和“三好一满意”活动的要求，规范医院住院病人生活照护服务内容，提高服务质量，进而满足病人对生活照护的需求。按优质生活照护服务标准及流程为孕产妇、新生儿以及病患提供优质生活照护服务。</w:t>
      </w:r>
    </w:p>
    <w:p>
      <w:pPr>
        <w:spacing w:line="360" w:lineRule="auto"/>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项目实施地点：南通市妇幼保健院全院病区。</w:t>
      </w:r>
    </w:p>
    <w:p>
      <w:pPr>
        <w:pStyle w:val="50"/>
        <w:spacing w:after="0" w:line="360" w:lineRule="auto"/>
        <w:ind w:firstLine="480"/>
        <w:rPr>
          <w:rFonts w:ascii="宋体" w:hAnsi="宋体" w:cs="宋体"/>
          <w:color w:val="000000"/>
          <w:sz w:val="24"/>
          <w:szCs w:val="24"/>
        </w:rPr>
      </w:pPr>
      <w:r>
        <w:rPr>
          <w:rFonts w:hint="eastAsia" w:ascii="宋体" w:hAnsi="宋体" w:cs="宋体"/>
          <w:color w:val="000000"/>
          <w:sz w:val="24"/>
          <w:szCs w:val="24"/>
        </w:rPr>
        <w:t>项目实施方式：全院各病区（采购</w:t>
      </w:r>
      <w:r>
        <w:rPr>
          <w:rFonts w:hint="eastAsia" w:ascii="宋体" w:hAnsi="宋体" w:cs="宋体"/>
          <w:sz w:val="24"/>
          <w:szCs w:val="24"/>
        </w:rPr>
        <w:t>单位</w:t>
      </w:r>
      <w:r>
        <w:rPr>
          <w:rFonts w:hint="eastAsia" w:ascii="宋体" w:hAnsi="宋体" w:cs="宋体"/>
          <w:color w:val="000000"/>
          <w:sz w:val="24"/>
          <w:szCs w:val="24"/>
        </w:rPr>
        <w:t>向成交供应商购买十楼LDR一体化病房生活照护服务；其余楼层病人或其家属</w:t>
      </w:r>
      <w:r>
        <w:rPr>
          <w:rFonts w:hint="eastAsia" w:ascii="宋体" w:hAnsi="宋体" w:cs="宋体"/>
          <w:kern w:val="0"/>
          <w:sz w:val="24"/>
          <w:szCs w:val="24"/>
        </w:rPr>
        <w:t>在线</w:t>
      </w:r>
      <w:r>
        <w:rPr>
          <w:rFonts w:hint="eastAsia" w:ascii="宋体" w:hAnsi="宋体" w:cs="宋体"/>
          <w:color w:val="000000"/>
          <w:sz w:val="24"/>
          <w:szCs w:val="24"/>
        </w:rPr>
        <w:t>向成交供应商购买病区生活照护服务。成交供应商向采购</w:t>
      </w:r>
      <w:r>
        <w:rPr>
          <w:rFonts w:hint="eastAsia" w:ascii="宋体" w:hAnsi="宋体" w:cs="宋体"/>
          <w:sz w:val="24"/>
          <w:szCs w:val="24"/>
        </w:rPr>
        <w:t>单位</w:t>
      </w:r>
      <w:r>
        <w:rPr>
          <w:rFonts w:hint="eastAsia" w:ascii="宋体" w:hAnsi="宋体" w:cs="宋体"/>
          <w:color w:val="000000"/>
          <w:sz w:val="24"/>
          <w:szCs w:val="24"/>
        </w:rPr>
        <w:t>缴纳病区资源管理费用。）</w:t>
      </w:r>
    </w:p>
    <w:p>
      <w:pPr>
        <w:spacing w:line="360" w:lineRule="auto"/>
        <w:ind w:firstLine="482" w:firstLineChars="200"/>
        <w:textAlignment w:val="baseline"/>
        <w:rPr>
          <w:rFonts w:ascii="宋体" w:hAnsi="宋体" w:cs="宋体"/>
          <w:b/>
          <w:bCs/>
          <w:sz w:val="24"/>
          <w:szCs w:val="24"/>
        </w:rPr>
      </w:pPr>
      <w:r>
        <w:rPr>
          <w:rFonts w:hint="eastAsia" w:ascii="宋体" w:hAnsi="宋体" w:cs="宋体"/>
          <w:b/>
          <w:sz w:val="24"/>
          <w:szCs w:val="24"/>
        </w:rPr>
        <w:t>二、</w:t>
      </w:r>
      <w:r>
        <w:rPr>
          <w:rFonts w:hint="eastAsia" w:ascii="宋体" w:hAnsi="宋体" w:cs="宋体"/>
          <w:b/>
          <w:bCs/>
          <w:sz w:val="24"/>
          <w:szCs w:val="24"/>
        </w:rPr>
        <w:t>服务范围及具体要求：</w:t>
      </w:r>
    </w:p>
    <w:p>
      <w:pPr>
        <w:widowControl/>
        <w:shd w:val="clear" w:color="auto" w:fill="FFFFFF"/>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1、服务范围</w:t>
      </w:r>
    </w:p>
    <w:p>
      <w:pPr>
        <w:widowControl/>
        <w:shd w:val="clear" w:color="auto" w:fill="FFFFFF"/>
        <w:spacing w:line="360" w:lineRule="auto"/>
        <w:ind w:firstLine="480" w:firstLineChars="200"/>
        <w:jc w:val="left"/>
        <w:rPr>
          <w:rFonts w:ascii="宋体" w:hAnsi="宋体" w:cs="宋体"/>
          <w:bCs/>
          <w:sz w:val="24"/>
          <w:szCs w:val="24"/>
        </w:rPr>
      </w:pPr>
      <w:r>
        <w:rPr>
          <w:rFonts w:hint="eastAsia" w:ascii="宋体" w:hAnsi="宋体" w:cs="宋体"/>
          <w:bCs/>
          <w:kern w:val="0"/>
          <w:sz w:val="24"/>
          <w:szCs w:val="24"/>
        </w:rPr>
        <w:t>1.1</w:t>
      </w:r>
      <w:r>
        <w:rPr>
          <w:rFonts w:hint="eastAsia" w:ascii="宋体" w:hAnsi="宋体" w:cs="宋体"/>
          <w:bCs/>
          <w:sz w:val="24"/>
          <w:szCs w:val="24"/>
        </w:rPr>
        <w:t>服务范围：</w:t>
      </w:r>
      <w:r>
        <w:rPr>
          <w:rFonts w:hint="eastAsia" w:ascii="宋体" w:hAnsi="宋体" w:cs="宋体"/>
          <w:sz w:val="24"/>
          <w:szCs w:val="24"/>
        </w:rPr>
        <w:t>成交供应商</w:t>
      </w:r>
      <w:r>
        <w:rPr>
          <w:rFonts w:hint="eastAsia" w:ascii="宋体" w:hAnsi="宋体" w:cs="宋体"/>
          <w:bCs/>
          <w:sz w:val="24"/>
          <w:szCs w:val="24"/>
        </w:rPr>
        <w:t>以生活照护团队服务和特需生活照料（一对一）服务模式，为全院服务对象提供优质生活照护服务。</w:t>
      </w:r>
    </w:p>
    <w:p>
      <w:pPr>
        <w:widowControl/>
        <w:shd w:val="clear" w:color="auto" w:fill="FFFFFF"/>
        <w:spacing w:line="360" w:lineRule="auto"/>
        <w:ind w:firstLine="480" w:firstLineChars="200"/>
        <w:jc w:val="left"/>
        <w:rPr>
          <w:rFonts w:ascii="宋体" w:hAnsi="宋体" w:cs="宋体"/>
          <w:bCs/>
          <w:sz w:val="24"/>
          <w:szCs w:val="24"/>
        </w:rPr>
      </w:pPr>
      <w:r>
        <w:rPr>
          <w:rFonts w:hint="eastAsia" w:ascii="宋体" w:hAnsi="宋体" w:cs="宋体"/>
          <w:bCs/>
          <w:sz w:val="24"/>
          <w:szCs w:val="24"/>
        </w:rPr>
        <w:t>1.2服务内容：</w:t>
      </w:r>
      <w:r>
        <w:rPr>
          <w:rFonts w:hint="eastAsia" w:ascii="宋体" w:hAnsi="宋体" w:cs="宋体"/>
          <w:sz w:val="24"/>
          <w:szCs w:val="24"/>
        </w:rPr>
        <w:t>成交供应商</w:t>
      </w:r>
      <w:r>
        <w:rPr>
          <w:rFonts w:hint="eastAsia" w:ascii="宋体" w:hAnsi="宋体" w:cs="宋体"/>
          <w:bCs/>
          <w:sz w:val="24"/>
          <w:szCs w:val="24"/>
        </w:rPr>
        <w:t>按优质生活照护服务标准及流程为孕产妇、新生儿以及病患提供优质生活照护服务。</w:t>
      </w:r>
    </w:p>
    <w:p>
      <w:pPr>
        <w:widowControl/>
        <w:shd w:val="clear" w:color="auto" w:fill="FFFFFF"/>
        <w:spacing w:line="360" w:lineRule="auto"/>
        <w:ind w:firstLine="480" w:firstLineChars="200"/>
        <w:jc w:val="left"/>
        <w:rPr>
          <w:rFonts w:ascii="宋体" w:hAnsi="宋体" w:cs="宋体"/>
          <w:bCs/>
          <w:sz w:val="24"/>
          <w:szCs w:val="24"/>
        </w:rPr>
      </w:pPr>
      <w:r>
        <w:rPr>
          <w:rFonts w:hint="eastAsia" w:ascii="宋体" w:hAnsi="宋体" w:cs="宋体"/>
          <w:bCs/>
          <w:sz w:val="24"/>
          <w:szCs w:val="24"/>
        </w:rPr>
        <w:t>1.3服务机构要求：</w:t>
      </w:r>
    </w:p>
    <w:p>
      <w:pPr>
        <w:widowControl/>
        <w:shd w:val="clear" w:color="auto" w:fill="FFFFFF"/>
        <w:spacing w:line="360" w:lineRule="auto"/>
        <w:ind w:firstLine="480" w:firstLineChars="200"/>
        <w:jc w:val="left"/>
        <w:rPr>
          <w:rFonts w:ascii="宋体" w:hAnsi="宋体" w:cs="宋体"/>
          <w:bCs/>
          <w:sz w:val="24"/>
          <w:szCs w:val="24"/>
        </w:rPr>
      </w:pPr>
      <w:r>
        <w:rPr>
          <w:rFonts w:hint="eastAsia" w:ascii="宋体" w:hAnsi="宋体" w:cs="宋体"/>
          <w:bCs/>
          <w:sz w:val="24"/>
          <w:szCs w:val="24"/>
        </w:rPr>
        <w:t>1.3.1供应商依法具有从事母婴生活护理服务的经营资质。</w:t>
      </w:r>
    </w:p>
    <w:p>
      <w:pPr>
        <w:pStyle w:val="2"/>
        <w:spacing w:line="360" w:lineRule="auto"/>
        <w:ind w:firstLine="480" w:firstLineChars="200"/>
        <w:rPr>
          <w:rFonts w:ascii="宋体" w:hAnsi="宋体" w:cs="宋体"/>
          <w:sz w:val="24"/>
          <w:szCs w:val="24"/>
        </w:rPr>
      </w:pPr>
      <w:r>
        <w:rPr>
          <w:rFonts w:hint="eastAsia" w:ascii="宋体" w:hAnsi="宋体" w:cs="宋体"/>
          <w:bCs/>
          <w:sz w:val="24"/>
          <w:szCs w:val="24"/>
        </w:rPr>
        <w:t>1.3.2供应商具有相应的固定经营场所，人员和设施。</w:t>
      </w:r>
    </w:p>
    <w:p>
      <w:pPr>
        <w:widowControl/>
        <w:shd w:val="clear" w:color="auto" w:fill="FFFFFF"/>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2、人员要求</w:t>
      </w:r>
    </w:p>
    <w:p>
      <w:pPr>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2.1成交供应商应遵守法律、法规、规章和有关规定，制定经营管理制度并组织实施，有一定的母婴生活护理服务经营管理经验和组织领导能力，熟悉母婴生活护理服务的业务流程，定期参加行业组织的培训。</w:t>
      </w:r>
    </w:p>
    <w:p>
      <w:pPr>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成交供应商的管理人员应遵纪守法，爱岗敬业，诚实守信。具备良好的职业素质，掌握采购单位规章制度和业务流程，具备母婴等生活照护相关专业知识与技能，有一定的管理经验和协调能力。成交供应商须每月组织护理员进行专业技能培训、考核，每周对护理员工作进行质控，提供耐心、周到、细致的服务，严格履行服务承诺。</w:t>
      </w:r>
    </w:p>
    <w:p>
      <w:pPr>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2.3母婴生活护理员应为女性，年龄在25</w:t>
      </w:r>
      <w:r>
        <w:rPr>
          <w:rFonts w:hint="eastAsia" w:ascii="宋体" w:hAnsi="宋体" w:cs="宋体"/>
          <w:bCs/>
          <w:color w:val="000000"/>
          <w:kern w:val="0"/>
          <w:sz w:val="24"/>
          <w:szCs w:val="24"/>
        </w:rPr>
        <w:t>周岁（含）-50周岁（含）</w:t>
      </w:r>
      <w:r>
        <w:rPr>
          <w:rFonts w:hint="eastAsia" w:ascii="宋体" w:hAnsi="宋体" w:cs="宋体"/>
          <w:kern w:val="0"/>
          <w:sz w:val="24"/>
          <w:szCs w:val="24"/>
        </w:rPr>
        <w:t>，具有初中以上文化程度，富有爱心，品行端正、善于沟通、热情友好、遵纪守法，无刑事犯罪记录，无精神病史和传染病等；护理员统一着装，不戴耳环、戒指、手链，不留长指甲，规范服务。注意语言规范，避免纠纷。</w:t>
      </w:r>
    </w:p>
    <w:p>
      <w:pPr>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2.4 成交供应商拟派驻院代表中，至少包括督导1名，有护理培训背景的培训师1名，有护理管理背景的管理人员2名（每5个病区或30名护理员须增加1名管理人员）。</w:t>
      </w:r>
    </w:p>
    <w:p>
      <w:pPr>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2.5成交供应商</w:t>
      </w:r>
      <w:r>
        <w:rPr>
          <w:rFonts w:hint="eastAsia" w:ascii="宋体" w:hAnsi="宋体" w:cs="宋体"/>
          <w:bCs/>
          <w:color w:val="000000"/>
          <w:sz w:val="24"/>
          <w:szCs w:val="24"/>
        </w:rPr>
        <w:t>根据与采购单位护理部共同确定的托管服务病区的需要，按需分批派驻护理员到位。</w:t>
      </w:r>
    </w:p>
    <w:p>
      <w:pPr>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2.6所有母婴生活护理员需持证上岗，上岗登记时应具有身份证明、护理员证、</w:t>
      </w:r>
      <w:r>
        <w:fldChar w:fldCharType="begin"/>
      </w:r>
      <w:r>
        <w:instrText xml:space="preserve"> HYPERLINK "https://baike.baidu.com/item/%E8%81%8C%E4%B8%9A%E8%B5%84%E6%A0%BC%E8%AF%81/5532629" \t "_blank" </w:instrText>
      </w:r>
      <w:r>
        <w:fldChar w:fldCharType="separate"/>
      </w:r>
      <w:r>
        <w:rPr>
          <w:rFonts w:hint="eastAsia" w:ascii="宋体" w:hAnsi="宋体" w:cs="宋体"/>
          <w:kern w:val="0"/>
          <w:sz w:val="24"/>
          <w:szCs w:val="24"/>
        </w:rPr>
        <w:t>育婴师证</w:t>
      </w:r>
      <w:r>
        <w:rPr>
          <w:rFonts w:hint="eastAsia" w:ascii="宋体" w:hAnsi="宋体" w:cs="宋体"/>
          <w:kern w:val="0"/>
          <w:sz w:val="24"/>
          <w:szCs w:val="24"/>
        </w:rPr>
        <w:fldChar w:fldCharType="end"/>
      </w:r>
      <w:r>
        <w:rPr>
          <w:rFonts w:hint="eastAsia" w:ascii="宋体" w:hAnsi="宋体" w:cs="宋体"/>
          <w:kern w:val="0"/>
          <w:sz w:val="24"/>
          <w:szCs w:val="24"/>
        </w:rPr>
        <w:t>、育婴员证、母婴护理师证、健康证（每年体检合格）以及具备与服务要求相适应的服务技能。</w:t>
      </w:r>
    </w:p>
    <w:p>
      <w:pPr>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2.7不迟到早退、不脱岗、不干私活、不玩手机、不集结闲聊，服从调配。</w:t>
      </w:r>
    </w:p>
    <w:p>
      <w:pPr>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2.8母婴生活护理员应有防跌倒、撞伤、烫伤、防盗的意识，主动观察询问，发现异常及时报告护士处理。</w:t>
      </w:r>
    </w:p>
    <w:p>
      <w:pPr>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2.9所有母婴生活护理员应具有消毒隔离观念：接触孕产妇及婴儿前后洗手，能区分生活垃圾和污染垃圾，特殊情况下应做好个人防护，避免交叉感染。</w:t>
      </w:r>
    </w:p>
    <w:p>
      <w:pPr>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2.10严格对照爱婴医院标准开展各项工作，严禁擅自使用奶瓶或添加奶粉，一经查实，成交供应商支付违约金1000元/次。</w:t>
      </w:r>
    </w:p>
    <w:p>
      <w:pPr>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2.11不得利用工作之便泄漏服务对象的个人信息，向服务对象推销院外催乳、产后康复、月子会所等项目，一经查实，成交供应商支付违约金3000元/项，第二次发现，护理员辞退。</w:t>
      </w:r>
    </w:p>
    <w:p>
      <w:pPr>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2.12在采购单位对服务对象满意度测评或者在第三方满意度测评中，如有投诉成交供应商服务事项的，追究成交供应商违约金500元/次。</w:t>
      </w:r>
    </w:p>
    <w:p>
      <w:pPr>
        <w:shd w:val="clear" w:color="auto" w:fill="FFFFFF"/>
        <w:snapToGrid w:val="0"/>
        <w:spacing w:line="360" w:lineRule="auto"/>
        <w:ind w:firstLine="480" w:firstLineChars="200"/>
        <w:jc w:val="left"/>
      </w:pPr>
      <w:r>
        <w:rPr>
          <w:rFonts w:hint="eastAsia" w:ascii="宋体" w:hAnsi="宋体" w:cs="宋体"/>
          <w:kern w:val="0"/>
          <w:sz w:val="24"/>
          <w:szCs w:val="24"/>
        </w:rPr>
        <w:t>2.13</w:t>
      </w:r>
      <w:r>
        <w:rPr>
          <w:rFonts w:hint="eastAsia" w:ascii="宋体" w:hAnsi="宋体" w:cs="宋体"/>
          <w:bCs/>
          <w:color w:val="000000"/>
          <w:sz w:val="24"/>
          <w:szCs w:val="24"/>
        </w:rPr>
        <w:t>成交供应商根据LDR病区护士长统一排班及LDR母婴生活照护服务标准，向采购单位提供高级护理员，为LDR病区提供优质生活照护服务。</w:t>
      </w:r>
      <w:r>
        <w:rPr>
          <w:rFonts w:hint="eastAsia" w:ascii="宋体" w:hAnsi="宋体" w:cs="宋体"/>
          <w:color w:val="0D0D0D"/>
          <w:spacing w:val="-4"/>
          <w:kern w:val="0"/>
          <w:sz w:val="24"/>
        </w:rPr>
        <w:t>每位高级护理员负责3位产妇，提供24小时不间断服务，高级护理员需服从采购单位护理部的统一管理，由护士长按实际到岗情况给予考勤。为LDR病区提供生活照护的高级护理员，需经过3个月的试用考核，经采购单位考核合格后固定岗位，如已固定的高级护理员因特殊情况需暂停服务，成交供应商需从本项目拟派人员中挑选合适人员，未经采购单位同意成交供应商不得随意调换护理人员。</w:t>
      </w:r>
    </w:p>
    <w:p>
      <w:pPr>
        <w:snapToGrid w:val="0"/>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3、管理要求</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3.1为确保向服务对象提供安全可靠的服务，成交供应商应建立相应的安全机制并制定严格的母婴生活护理员上岗程序，主要包括：</w:t>
      </w:r>
    </w:p>
    <w:p>
      <w:pPr>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3.1.1母婴生活护理员上岗前须取得相应的职业资格证书，并经母婴生活护理专门培训。</w:t>
      </w:r>
    </w:p>
    <w:p>
      <w:pPr>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3.1.2母婴生活护理员每年须进行健康查体；新上岗的母婴生活护理员上岗前必须进行健康检查，取得健康证明后方可上岗。凡患有痢疾、伤寒、</w:t>
      </w:r>
      <w:r>
        <w:fldChar w:fldCharType="begin"/>
      </w:r>
      <w:r>
        <w:instrText xml:space="preserve"> HYPERLINK "https://baike.baidu.com/item/%E7%97%85%E6%AF%92%E6%80%A7%E8%82%9D%E7%82%8E/344481" \t "_blank" </w:instrText>
      </w:r>
      <w:r>
        <w:fldChar w:fldCharType="separate"/>
      </w:r>
      <w:r>
        <w:rPr>
          <w:rFonts w:hint="eastAsia" w:ascii="宋体" w:hAnsi="宋体" w:cs="宋体"/>
          <w:kern w:val="0"/>
          <w:sz w:val="24"/>
          <w:szCs w:val="24"/>
        </w:rPr>
        <w:t>病毒性肝炎</w:t>
      </w:r>
      <w:r>
        <w:rPr>
          <w:rFonts w:hint="eastAsia" w:ascii="宋体" w:hAnsi="宋体" w:cs="宋体"/>
          <w:kern w:val="0"/>
          <w:sz w:val="24"/>
          <w:szCs w:val="24"/>
        </w:rPr>
        <w:fldChar w:fldCharType="end"/>
      </w:r>
      <w:r>
        <w:rPr>
          <w:rFonts w:hint="eastAsia" w:ascii="宋体" w:hAnsi="宋体" w:cs="宋体"/>
          <w:kern w:val="0"/>
          <w:sz w:val="24"/>
          <w:szCs w:val="24"/>
        </w:rPr>
        <w:t>（包括病原携带者）、活动型结核、化脓性或渗出性皮肤病等呼吸道和</w:t>
      </w:r>
      <w:r>
        <w:fldChar w:fldCharType="begin"/>
      </w:r>
      <w:r>
        <w:instrText xml:space="preserve"> HYPERLINK "https://baike.baidu.com/item/%E6%B6%88%E5%8C%96%E9%81%93%E4%BC%A0%E6%9F%93%E7%97%85/6880687" \t "_blank" </w:instrText>
      </w:r>
      <w:r>
        <w:fldChar w:fldCharType="separate"/>
      </w:r>
      <w:r>
        <w:rPr>
          <w:rFonts w:hint="eastAsia" w:ascii="宋体" w:hAnsi="宋体" w:cs="宋体"/>
          <w:kern w:val="0"/>
          <w:sz w:val="24"/>
          <w:szCs w:val="24"/>
        </w:rPr>
        <w:t>消化道传染病</w:t>
      </w:r>
      <w:r>
        <w:rPr>
          <w:rFonts w:hint="eastAsia" w:ascii="宋体" w:hAnsi="宋体" w:cs="宋体"/>
          <w:kern w:val="0"/>
          <w:sz w:val="24"/>
          <w:szCs w:val="24"/>
        </w:rPr>
        <w:fldChar w:fldCharType="end"/>
      </w:r>
      <w:r>
        <w:rPr>
          <w:rFonts w:hint="eastAsia" w:ascii="宋体" w:hAnsi="宋体" w:cs="宋体"/>
          <w:sz w:val="24"/>
          <w:szCs w:val="24"/>
        </w:rPr>
        <w:t>者</w:t>
      </w:r>
      <w:r>
        <w:rPr>
          <w:rFonts w:hint="eastAsia" w:ascii="宋体" w:hAnsi="宋体" w:cs="宋体"/>
          <w:kern w:val="0"/>
          <w:sz w:val="24"/>
          <w:szCs w:val="24"/>
        </w:rPr>
        <w:t>，不得上岗。</w:t>
      </w:r>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3.1.3成交供应商应核实母婴生活护理员提供的身份证明（主要为身份证、户口本）、</w:t>
      </w:r>
      <w:r>
        <w:fldChar w:fldCharType="begin"/>
      </w:r>
      <w:r>
        <w:instrText xml:space="preserve"> HYPERLINK "https://baike.baidu.com/item/%E8%81%8C%E4%B8%9A%E8%B5%84%E6%A0%BC%E8%AF%81/5532629" \t "_blank" </w:instrText>
      </w:r>
      <w:r>
        <w:fldChar w:fldCharType="separate"/>
      </w:r>
      <w:r>
        <w:rPr>
          <w:rFonts w:hint="eastAsia" w:ascii="宋体" w:hAnsi="宋体" w:cs="宋体"/>
          <w:kern w:val="0"/>
          <w:sz w:val="24"/>
          <w:szCs w:val="24"/>
        </w:rPr>
        <w:t>职业资格证</w:t>
      </w:r>
      <w:r>
        <w:rPr>
          <w:rFonts w:hint="eastAsia" w:ascii="宋体" w:hAnsi="宋体" w:cs="宋体"/>
          <w:kern w:val="0"/>
          <w:sz w:val="24"/>
          <w:szCs w:val="24"/>
        </w:rPr>
        <w:fldChar w:fldCharType="end"/>
      </w:r>
      <w:r>
        <w:rPr>
          <w:rFonts w:hint="eastAsia" w:ascii="宋体" w:hAnsi="宋体" w:cs="宋体"/>
          <w:kern w:val="0"/>
          <w:sz w:val="24"/>
          <w:szCs w:val="24"/>
        </w:rPr>
        <w:t>、健康证。</w:t>
      </w:r>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3.1.4成交供应商应在客户与母婴生活护理员双方都没有异议的情况下签订服务协议。</w:t>
      </w:r>
    </w:p>
    <w:p>
      <w:pPr>
        <w:widowControl/>
        <w:shd w:val="clear" w:color="auto" w:fill="FFFFFF"/>
        <w:snapToGrid w:val="0"/>
        <w:spacing w:line="360" w:lineRule="auto"/>
        <w:ind w:firstLine="480" w:firstLineChars="200"/>
        <w:jc w:val="left"/>
        <w:rPr>
          <w:rFonts w:ascii="宋体" w:hAnsi="宋体" w:cs="宋体"/>
          <w:bCs/>
          <w:color w:val="000000"/>
          <w:sz w:val="24"/>
          <w:szCs w:val="24"/>
        </w:rPr>
      </w:pPr>
      <w:r>
        <w:rPr>
          <w:rFonts w:hint="eastAsia" w:ascii="宋体" w:hAnsi="宋体" w:cs="宋体"/>
          <w:kern w:val="0"/>
          <w:sz w:val="24"/>
          <w:szCs w:val="24"/>
        </w:rPr>
        <w:t>3.1.5成交供应商</w:t>
      </w:r>
      <w:r>
        <w:rPr>
          <w:rFonts w:hint="eastAsia" w:ascii="宋体" w:hAnsi="宋体" w:cs="宋体"/>
          <w:bCs/>
          <w:color w:val="000000"/>
          <w:sz w:val="24"/>
          <w:szCs w:val="24"/>
        </w:rPr>
        <w:t>根据LDR病区护士长统一排班及LDR母婴生活照护服务标准，向采购</w:t>
      </w:r>
      <w:r>
        <w:rPr>
          <w:rFonts w:hint="eastAsia" w:ascii="宋体" w:hAnsi="宋体" w:cs="宋体"/>
          <w:sz w:val="24"/>
          <w:szCs w:val="24"/>
        </w:rPr>
        <w:t>单位</w:t>
      </w:r>
      <w:r>
        <w:rPr>
          <w:rFonts w:hint="eastAsia" w:ascii="宋体" w:hAnsi="宋体" w:cs="宋体"/>
          <w:bCs/>
          <w:color w:val="000000"/>
          <w:sz w:val="24"/>
          <w:szCs w:val="24"/>
        </w:rPr>
        <w:t>提供高级护理员，为LDR病区提供优质生活照护服务。</w:t>
      </w:r>
    </w:p>
    <w:p>
      <w:pPr>
        <w:widowControl/>
        <w:shd w:val="clear" w:color="auto" w:fill="FFFFFF"/>
        <w:snapToGrid w:val="0"/>
        <w:spacing w:line="360" w:lineRule="auto"/>
        <w:ind w:firstLine="480" w:firstLineChars="200"/>
        <w:jc w:val="left"/>
      </w:pPr>
      <w:r>
        <w:rPr>
          <w:rFonts w:hint="eastAsia" w:ascii="宋体" w:hAnsi="宋体" w:cs="宋体"/>
          <w:bCs/>
          <w:color w:val="000000"/>
          <w:sz w:val="24"/>
          <w:szCs w:val="24"/>
        </w:rPr>
        <w:t>3.1.6</w:t>
      </w:r>
      <w:r>
        <w:rPr>
          <w:rFonts w:hint="eastAsia" w:ascii="宋体" w:hAnsi="宋体" w:cs="宋体"/>
          <w:kern w:val="0"/>
          <w:sz w:val="24"/>
          <w:szCs w:val="24"/>
        </w:rPr>
        <w:t>成交供应商</w:t>
      </w:r>
      <w:r>
        <w:rPr>
          <w:rFonts w:hint="eastAsia" w:ascii="宋体" w:hAnsi="宋体" w:cs="宋体"/>
          <w:bCs/>
          <w:color w:val="000000"/>
          <w:sz w:val="24"/>
          <w:szCs w:val="24"/>
        </w:rPr>
        <w:t>根据LDR病区实际入住情况，按</w:t>
      </w:r>
      <w:r>
        <w:rPr>
          <w:rFonts w:hint="eastAsia" w:ascii="Malgun Gothic" w:hAnsi="Malgun Gothic" w:eastAsia="等线 Light" w:cs="等线 Light"/>
          <w:bCs/>
          <w:color w:val="000000"/>
          <w:sz w:val="24"/>
          <w:szCs w:val="24"/>
        </w:rPr>
        <w:t>1</w:t>
      </w:r>
      <w:r>
        <w:rPr>
          <w:rFonts w:hint="eastAsia" w:ascii="等线" w:hAnsi="等线" w:eastAsia="等线" w:cs="等线"/>
          <w:bCs/>
          <w:color w:val="000000"/>
          <w:sz w:val="24"/>
          <w:szCs w:val="24"/>
        </w:rPr>
        <w:t>:</w:t>
      </w:r>
      <w:r>
        <w:rPr>
          <w:rFonts w:hint="eastAsia" w:ascii="Malgun Gothic" w:hAnsi="Malgun Gothic" w:eastAsia="等线 Light" w:cs="等线 Light"/>
          <w:bCs/>
          <w:color w:val="000000"/>
          <w:sz w:val="24"/>
          <w:szCs w:val="24"/>
        </w:rPr>
        <w:t>3</w:t>
      </w:r>
      <w:r>
        <w:rPr>
          <w:rFonts w:hint="eastAsia" w:ascii="宋体" w:hAnsi="宋体" w:cs="宋体"/>
          <w:bCs/>
          <w:color w:val="000000"/>
          <w:sz w:val="24"/>
          <w:szCs w:val="24"/>
        </w:rPr>
        <w:t>比</w:t>
      </w:r>
      <w:r>
        <w:rPr>
          <w:rFonts w:hint="eastAsia" w:ascii="宋体" w:hAnsi="宋体" w:cs="宋体"/>
          <w:color w:val="000000"/>
          <w:sz w:val="24"/>
          <w:szCs w:val="24"/>
        </w:rPr>
        <w:t>例及时配备护理员到岗。</w:t>
      </w:r>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3.2培训要求</w:t>
      </w:r>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成交供应商应建立完善的母婴生活护理专业培训体系，以确保服务质量。具体培训内容应包括：</w:t>
      </w:r>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母婴生活护理员的职业道德及行为规范；</w:t>
      </w:r>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基本的法律、安全、卫生知识；</w:t>
      </w:r>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提供母婴生活护理员服务所需的知识；</w:t>
      </w:r>
    </w:p>
    <w:p>
      <w:pPr>
        <w:widowControl/>
        <w:shd w:val="clear" w:color="auto" w:fill="FFFFFF"/>
        <w:snapToGrid w:val="0"/>
        <w:spacing w:line="360" w:lineRule="auto"/>
        <w:ind w:firstLine="480" w:firstLineChars="200"/>
        <w:jc w:val="left"/>
        <w:rPr>
          <w:rFonts w:ascii="宋体" w:hAnsi="宋体" w:cs="宋体"/>
          <w:b/>
          <w:sz w:val="24"/>
          <w:szCs w:val="24"/>
        </w:rPr>
      </w:pPr>
      <w:r>
        <w:rPr>
          <w:rFonts w:hint="eastAsia" w:ascii="宋体" w:hAnsi="宋体" w:cs="宋体"/>
          <w:kern w:val="0"/>
          <w:sz w:val="24"/>
          <w:szCs w:val="24"/>
        </w:rPr>
        <w:t>提供母婴生活护理员服务所需的技能。</w:t>
      </w:r>
    </w:p>
    <w:p>
      <w:pPr>
        <w:adjustRightInd w:val="0"/>
        <w:snapToGrid w:val="0"/>
        <w:spacing w:line="360" w:lineRule="auto"/>
        <w:ind w:left="482"/>
        <w:rPr>
          <w:rFonts w:ascii="宋体" w:hAnsi="宋体" w:cs="宋体"/>
          <w:b/>
          <w:sz w:val="24"/>
          <w:szCs w:val="24"/>
        </w:rPr>
      </w:pPr>
      <w:r>
        <w:rPr>
          <w:rFonts w:hint="eastAsia" w:ascii="宋体" w:hAnsi="宋体" w:cs="宋体"/>
          <w:b/>
          <w:sz w:val="24"/>
          <w:szCs w:val="24"/>
        </w:rPr>
        <w:t>4、母婴生活护理员基本要求（工作标准）</w:t>
      </w:r>
    </w:p>
    <w:p>
      <w:pPr>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4.1护理员生活照护工作内容及流程（标准）</w:t>
      </w:r>
    </w:p>
    <w:tbl>
      <w:tblPr>
        <w:tblStyle w:val="51"/>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3760"/>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64" w:type="dxa"/>
            <w:shd w:val="clear" w:color="auto" w:fill="auto"/>
            <w:vAlign w:val="center"/>
          </w:tcPr>
          <w:p>
            <w:pPr>
              <w:spacing w:line="300" w:lineRule="exact"/>
              <w:jc w:val="center"/>
              <w:rPr>
                <w:rFonts w:ascii="宋体" w:hAnsi="宋体" w:cs="宋体"/>
                <w:b/>
                <w:bCs/>
                <w:sz w:val="24"/>
                <w:szCs w:val="24"/>
              </w:rPr>
            </w:pPr>
            <w:r>
              <w:rPr>
                <w:rFonts w:hint="eastAsia" w:ascii="宋体" w:hAnsi="宋体" w:cs="宋体"/>
                <w:b/>
                <w:bCs/>
                <w:sz w:val="24"/>
                <w:szCs w:val="24"/>
              </w:rPr>
              <w:t>服务对象</w:t>
            </w:r>
          </w:p>
        </w:tc>
        <w:tc>
          <w:tcPr>
            <w:tcW w:w="3760" w:type="dxa"/>
            <w:shd w:val="clear" w:color="auto" w:fill="auto"/>
            <w:vAlign w:val="center"/>
          </w:tcPr>
          <w:p>
            <w:pPr>
              <w:spacing w:line="300" w:lineRule="exact"/>
              <w:jc w:val="center"/>
              <w:rPr>
                <w:rFonts w:ascii="宋体" w:hAnsi="宋体" w:cs="宋体"/>
                <w:b/>
                <w:bCs/>
                <w:sz w:val="24"/>
                <w:szCs w:val="24"/>
              </w:rPr>
            </w:pPr>
            <w:r>
              <w:rPr>
                <w:rFonts w:hint="eastAsia" w:ascii="宋体" w:hAnsi="宋体" w:cs="宋体"/>
                <w:b/>
                <w:bCs/>
                <w:sz w:val="24"/>
                <w:szCs w:val="24"/>
              </w:rPr>
              <w:t>工作内容</w:t>
            </w:r>
          </w:p>
        </w:tc>
        <w:tc>
          <w:tcPr>
            <w:tcW w:w="4305" w:type="dxa"/>
            <w:shd w:val="clear" w:color="auto" w:fill="auto"/>
            <w:vAlign w:val="center"/>
          </w:tcPr>
          <w:p>
            <w:pPr>
              <w:spacing w:line="300" w:lineRule="exact"/>
              <w:jc w:val="center"/>
              <w:rPr>
                <w:rFonts w:ascii="宋体" w:hAnsi="宋体" w:cs="宋体"/>
                <w:b/>
                <w:bCs/>
                <w:sz w:val="24"/>
                <w:szCs w:val="24"/>
              </w:rPr>
            </w:pPr>
            <w:r>
              <w:rPr>
                <w:rFonts w:hint="eastAsia" w:ascii="宋体" w:hAnsi="宋体" w:cs="宋体"/>
                <w:b/>
                <w:bCs/>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6" w:hRule="atLeast"/>
          <w:jc w:val="center"/>
        </w:trPr>
        <w:tc>
          <w:tcPr>
            <w:tcW w:w="864" w:type="dxa"/>
            <w:vAlign w:val="center"/>
          </w:tcPr>
          <w:p>
            <w:pPr>
              <w:spacing w:line="300" w:lineRule="exact"/>
              <w:rPr>
                <w:rFonts w:ascii="宋体" w:hAnsi="宋体" w:cs="宋体"/>
              </w:rPr>
            </w:pPr>
            <w:r>
              <w:rPr>
                <w:rFonts w:hint="eastAsia" w:ascii="宋体" w:hAnsi="宋体" w:cs="宋体"/>
              </w:rPr>
              <w:t>孕妇</w:t>
            </w:r>
          </w:p>
        </w:tc>
        <w:tc>
          <w:tcPr>
            <w:tcW w:w="3760" w:type="dxa"/>
          </w:tcPr>
          <w:p>
            <w:pPr>
              <w:spacing w:line="300" w:lineRule="exact"/>
              <w:rPr>
                <w:rFonts w:ascii="宋体" w:hAnsi="宋体" w:cs="宋体"/>
              </w:rPr>
            </w:pPr>
            <w:r>
              <w:rPr>
                <w:rFonts w:hint="eastAsia" w:ascii="宋体" w:hAnsi="宋体" w:cs="宋体"/>
              </w:rPr>
              <w:t>1.所有操作前，认真执行手卫生。</w:t>
            </w:r>
          </w:p>
          <w:p>
            <w:pPr>
              <w:spacing w:line="300" w:lineRule="exact"/>
              <w:rPr>
                <w:rFonts w:ascii="宋体" w:hAnsi="宋体" w:cs="宋体"/>
              </w:rPr>
            </w:pPr>
            <w:r>
              <w:rPr>
                <w:rFonts w:hint="eastAsia" w:ascii="宋体" w:hAnsi="宋体" w:cs="宋体"/>
              </w:rPr>
              <w:t>2.协助孕妇刷牙、洗脸、进餐、如厕, 帮助患者床上或下床活动，按需床上擦身或床上洗头（必要时）。</w:t>
            </w:r>
          </w:p>
          <w:p>
            <w:pPr>
              <w:spacing w:line="300" w:lineRule="exact"/>
              <w:rPr>
                <w:rFonts w:ascii="宋体" w:hAnsi="宋体" w:cs="宋体"/>
              </w:rPr>
            </w:pPr>
            <w:r>
              <w:rPr>
                <w:rFonts w:hint="eastAsia" w:ascii="宋体" w:hAnsi="宋体" w:cs="宋体"/>
              </w:rPr>
              <w:t>3.早、中、晚整理床单元和病室，及时开窗通风，保持环境整洁，空气新鲜。</w:t>
            </w:r>
          </w:p>
          <w:p>
            <w:pPr>
              <w:spacing w:line="300" w:lineRule="exact"/>
              <w:rPr>
                <w:rFonts w:ascii="宋体" w:hAnsi="宋体" w:cs="宋体"/>
              </w:rPr>
            </w:pPr>
            <w:r>
              <w:rPr>
                <w:rFonts w:hint="eastAsia" w:ascii="宋体" w:hAnsi="宋体" w:cs="宋体"/>
              </w:rPr>
              <w:t>4.协助护士做好晨间护理及医生查房的准备工作。</w:t>
            </w:r>
          </w:p>
          <w:p>
            <w:pPr>
              <w:spacing w:line="300" w:lineRule="exact"/>
              <w:rPr>
                <w:rFonts w:ascii="宋体" w:hAnsi="宋体" w:cs="宋体"/>
              </w:rPr>
            </w:pPr>
            <w:r>
              <w:rPr>
                <w:rFonts w:hint="eastAsia" w:ascii="宋体" w:hAnsi="宋体" w:cs="宋体"/>
              </w:rPr>
              <w:t>5.鼓励孕妇及家属建立母乳喂养信心，宣教母乳喂养好处和人工喂养的风险。</w:t>
            </w:r>
          </w:p>
          <w:p>
            <w:pPr>
              <w:spacing w:line="300" w:lineRule="exact"/>
              <w:rPr>
                <w:rFonts w:ascii="宋体" w:hAnsi="宋体" w:cs="宋体"/>
              </w:rPr>
            </w:pPr>
            <w:r>
              <w:rPr>
                <w:rFonts w:hint="eastAsia" w:ascii="宋体" w:hAnsi="宋体" w:cs="宋体"/>
              </w:rPr>
              <w:t>6.配合有关医疗护理工作。</w:t>
            </w:r>
          </w:p>
        </w:tc>
        <w:tc>
          <w:tcPr>
            <w:tcW w:w="4305" w:type="dxa"/>
          </w:tcPr>
          <w:p>
            <w:pPr>
              <w:spacing w:line="300" w:lineRule="exact"/>
              <w:rPr>
                <w:rFonts w:ascii="宋体" w:hAnsi="宋体" w:cs="宋体"/>
              </w:rPr>
            </w:pPr>
            <w:r>
              <w:rPr>
                <w:rFonts w:hint="eastAsia" w:ascii="宋体" w:hAnsi="宋体" w:cs="宋体"/>
              </w:rPr>
              <w:t>1.孕妇卫生：头发整齐无汗；皮肤、手足清洁，无污渍，衣裤清洁；会阴清洁干燥，无血、尿污迹。</w:t>
            </w:r>
          </w:p>
          <w:p>
            <w:pPr>
              <w:spacing w:line="300" w:lineRule="exact"/>
              <w:rPr>
                <w:rFonts w:ascii="宋体" w:hAnsi="宋体" w:cs="宋体"/>
              </w:rPr>
            </w:pPr>
            <w:r>
              <w:rPr>
                <w:rFonts w:hint="eastAsia" w:ascii="宋体" w:hAnsi="宋体" w:cs="宋体"/>
              </w:rPr>
              <w:t>2.便器清洁无污垢无残余物。</w:t>
            </w:r>
          </w:p>
          <w:p>
            <w:pPr>
              <w:spacing w:line="300" w:lineRule="exact"/>
              <w:rPr>
                <w:rFonts w:ascii="宋体" w:hAnsi="宋体" w:cs="宋体"/>
              </w:rPr>
            </w:pPr>
            <w:r>
              <w:rPr>
                <w:rFonts w:hint="eastAsia" w:ascii="宋体" w:hAnsi="宋体" w:cs="宋体"/>
              </w:rPr>
              <w:t>3.桌面物品摆放整齐,清洁。</w:t>
            </w:r>
          </w:p>
          <w:p>
            <w:pPr>
              <w:spacing w:line="300" w:lineRule="exact"/>
              <w:rPr>
                <w:rFonts w:ascii="宋体" w:hAnsi="宋体" w:cs="宋体"/>
              </w:rPr>
            </w:pPr>
            <w:r>
              <w:rPr>
                <w:rFonts w:hint="eastAsia" w:ascii="宋体" w:hAnsi="宋体" w:cs="宋体"/>
              </w:rPr>
              <w:t>4.地面保持清洁干燥,防止跌倒。</w:t>
            </w:r>
          </w:p>
          <w:p>
            <w:pPr>
              <w:spacing w:line="300" w:lineRule="exact"/>
              <w:rPr>
                <w:rFonts w:ascii="宋体" w:hAnsi="宋体" w:cs="宋体"/>
              </w:rPr>
            </w:pPr>
            <w:r>
              <w:rPr>
                <w:rFonts w:hint="eastAsia" w:ascii="宋体" w:hAnsi="宋体" w:cs="宋体"/>
              </w:rPr>
              <w:t>5.床单元保持清洁、平整、干燥。</w:t>
            </w:r>
          </w:p>
          <w:p>
            <w:pPr>
              <w:spacing w:line="300" w:lineRule="exact"/>
              <w:rPr>
                <w:rFonts w:ascii="宋体" w:hAnsi="宋体" w:cs="宋体"/>
              </w:rPr>
            </w:pPr>
            <w:r>
              <w:rPr>
                <w:rFonts w:hint="eastAsia" w:ascii="宋体" w:hAnsi="宋体" w:cs="宋体"/>
              </w:rPr>
              <w:t>6.重视孕妇及家属主诉，如有特殊情况及时向护士汇报。</w:t>
            </w:r>
          </w:p>
          <w:p>
            <w:pPr>
              <w:spacing w:line="300" w:lineRule="exact"/>
              <w:rPr>
                <w:rFonts w:ascii="宋体" w:hAnsi="宋体" w:cs="宋体"/>
              </w:rPr>
            </w:pPr>
            <w:r>
              <w:rPr>
                <w:rFonts w:hint="eastAsia" w:ascii="宋体" w:hAnsi="宋体" w:cs="宋体"/>
              </w:rPr>
              <w:t>7.宣教孕妇及家属掌握母乳喂养的好处，并建立母乳喂养信心。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0" w:hRule="atLeast"/>
          <w:jc w:val="center"/>
        </w:trPr>
        <w:tc>
          <w:tcPr>
            <w:tcW w:w="864" w:type="dxa"/>
            <w:vAlign w:val="center"/>
          </w:tcPr>
          <w:p>
            <w:pPr>
              <w:spacing w:line="300" w:lineRule="exact"/>
              <w:rPr>
                <w:rFonts w:ascii="宋体" w:hAnsi="宋体" w:cs="宋体"/>
              </w:rPr>
            </w:pPr>
            <w:r>
              <w:rPr>
                <w:rFonts w:hint="eastAsia" w:ascii="宋体" w:hAnsi="宋体" w:cs="宋体"/>
              </w:rPr>
              <w:t>产妇</w:t>
            </w:r>
          </w:p>
        </w:tc>
        <w:tc>
          <w:tcPr>
            <w:tcW w:w="3760" w:type="dxa"/>
          </w:tcPr>
          <w:p>
            <w:pPr>
              <w:spacing w:line="300" w:lineRule="exact"/>
              <w:rPr>
                <w:rFonts w:ascii="宋体" w:hAnsi="宋体" w:cs="宋体"/>
              </w:rPr>
            </w:pPr>
            <w:r>
              <w:rPr>
                <w:rFonts w:hint="eastAsia" w:ascii="宋体" w:hAnsi="宋体" w:cs="宋体"/>
              </w:rPr>
              <w:t>1.所有操作前，认真执行手卫生。</w:t>
            </w:r>
          </w:p>
          <w:p>
            <w:pPr>
              <w:spacing w:line="300" w:lineRule="exact"/>
              <w:rPr>
                <w:rFonts w:ascii="宋体" w:hAnsi="宋体" w:cs="宋体"/>
              </w:rPr>
            </w:pPr>
            <w:r>
              <w:rPr>
                <w:rFonts w:hint="eastAsia" w:ascii="宋体" w:hAnsi="宋体" w:cs="宋体"/>
              </w:rPr>
              <w:t>2.协助产妇洗漱、洗头（必要时）、如厕、就餐、翻身、拍背、更衣、修剪指/趾甲、身体清洁等，帮助患者床上或下床活动，预防压力性损伤，特别是产后首次下床活动和排尿，避免跌倒。</w:t>
            </w:r>
          </w:p>
          <w:p>
            <w:pPr>
              <w:spacing w:line="300" w:lineRule="exact"/>
              <w:rPr>
                <w:rFonts w:ascii="宋体" w:hAnsi="宋体" w:cs="宋体"/>
              </w:rPr>
            </w:pPr>
            <w:r>
              <w:rPr>
                <w:rFonts w:hint="eastAsia" w:ascii="宋体" w:hAnsi="宋体" w:cs="宋体"/>
              </w:rPr>
              <w:t>3.早、中、晚整理床单元和病室，及时开窗通风，保持环境整洁，空气新鲜。协助护士做好晨间护理及医生查房的准备工作。</w:t>
            </w:r>
          </w:p>
          <w:p>
            <w:pPr>
              <w:spacing w:line="300" w:lineRule="exact"/>
              <w:rPr>
                <w:rFonts w:ascii="宋体" w:hAnsi="宋体" w:cs="宋体"/>
              </w:rPr>
            </w:pPr>
            <w:r>
              <w:rPr>
                <w:rFonts w:hint="eastAsia" w:ascii="宋体" w:hAnsi="宋体" w:cs="宋体"/>
              </w:rPr>
              <w:t>4.每天做好产妇的会阴及乳房护理，尤其是产后、术后回室时，及时给产妇清洗乳房和会阴，配合护士尽早实施早接触早吸吮早开奶。</w:t>
            </w:r>
          </w:p>
          <w:p>
            <w:pPr>
              <w:spacing w:line="300" w:lineRule="exact"/>
              <w:rPr>
                <w:rFonts w:ascii="宋体" w:hAnsi="宋体" w:cs="宋体"/>
              </w:rPr>
            </w:pPr>
            <w:r>
              <w:rPr>
                <w:rFonts w:hint="eastAsia" w:ascii="宋体" w:hAnsi="宋体" w:cs="宋体"/>
              </w:rPr>
              <w:t>5.协助母婴做好肌肤接触，指导按需哺乳。</w:t>
            </w:r>
          </w:p>
          <w:p>
            <w:pPr>
              <w:spacing w:line="300" w:lineRule="exact"/>
              <w:rPr>
                <w:rFonts w:ascii="宋体" w:hAnsi="宋体" w:cs="宋体"/>
              </w:rPr>
            </w:pPr>
            <w:r>
              <w:rPr>
                <w:rFonts w:hint="eastAsia" w:ascii="宋体" w:hAnsi="宋体" w:cs="宋体"/>
              </w:rPr>
              <w:t>6.鼓励和协助产妇母乳喂养，积极预防乳头皲裂和涨奶。</w:t>
            </w:r>
          </w:p>
          <w:p>
            <w:pPr>
              <w:spacing w:line="300" w:lineRule="exact"/>
              <w:rPr>
                <w:rFonts w:ascii="宋体" w:hAnsi="宋体" w:cs="宋体"/>
              </w:rPr>
            </w:pPr>
            <w:r>
              <w:rPr>
                <w:rFonts w:hint="eastAsia" w:ascii="宋体" w:hAnsi="宋体" w:cs="宋体"/>
              </w:rPr>
              <w:t>7.做好母婴分离产妇挤奶工作， 2~3小时协助挤奶1次，每日8~12次。</w:t>
            </w:r>
          </w:p>
          <w:p>
            <w:pPr>
              <w:spacing w:line="300" w:lineRule="exact"/>
              <w:rPr>
                <w:rFonts w:ascii="宋体" w:hAnsi="宋体" w:cs="宋体"/>
              </w:rPr>
            </w:pPr>
            <w:r>
              <w:rPr>
                <w:rFonts w:hint="eastAsia" w:ascii="宋体" w:hAnsi="宋体" w:cs="宋体"/>
              </w:rPr>
              <w:t>8. 鼓励产妇及家属建立母乳喂养信心，宣传母乳喂养好处。</w:t>
            </w:r>
          </w:p>
          <w:p>
            <w:pPr>
              <w:spacing w:line="300" w:lineRule="exact"/>
              <w:rPr>
                <w:rFonts w:ascii="宋体" w:hAnsi="宋体" w:cs="宋体"/>
              </w:rPr>
            </w:pPr>
            <w:r>
              <w:rPr>
                <w:rFonts w:hint="eastAsia" w:ascii="宋体" w:hAnsi="宋体" w:cs="宋体"/>
              </w:rPr>
              <w:t>9. 配合有关医疗护理工作。</w:t>
            </w:r>
          </w:p>
        </w:tc>
        <w:tc>
          <w:tcPr>
            <w:tcW w:w="4305" w:type="dxa"/>
          </w:tcPr>
          <w:p>
            <w:pPr>
              <w:spacing w:line="300" w:lineRule="exact"/>
              <w:rPr>
                <w:rFonts w:ascii="宋体" w:hAnsi="宋体" w:cs="宋体"/>
              </w:rPr>
            </w:pPr>
            <w:r>
              <w:rPr>
                <w:rFonts w:hint="eastAsia" w:ascii="宋体" w:hAnsi="宋体" w:cs="宋体"/>
              </w:rPr>
              <w:t>1.做到四轻(说话轻,走路轻,放东西轻,关门轻)。</w:t>
            </w:r>
          </w:p>
          <w:p>
            <w:pPr>
              <w:spacing w:line="300" w:lineRule="exact"/>
              <w:rPr>
                <w:rFonts w:ascii="宋体" w:hAnsi="宋体" w:cs="宋体"/>
              </w:rPr>
            </w:pPr>
            <w:r>
              <w:rPr>
                <w:rFonts w:hint="eastAsia" w:ascii="宋体" w:hAnsi="宋体" w:cs="宋体"/>
              </w:rPr>
              <w:t>2.避免强光噪音，避免跌倒、受凉</w:t>
            </w:r>
          </w:p>
          <w:p>
            <w:pPr>
              <w:spacing w:line="300" w:lineRule="exact"/>
              <w:rPr>
                <w:rFonts w:ascii="宋体" w:hAnsi="宋体" w:cs="宋体"/>
              </w:rPr>
            </w:pPr>
            <w:r>
              <w:rPr>
                <w:rFonts w:hint="eastAsia" w:ascii="宋体" w:hAnsi="宋体" w:cs="宋体"/>
              </w:rPr>
              <w:t>3.拉好床栏，注意产妇安全，按时巡视。</w:t>
            </w:r>
          </w:p>
          <w:p>
            <w:pPr>
              <w:spacing w:line="300" w:lineRule="exact"/>
              <w:rPr>
                <w:rFonts w:ascii="宋体" w:hAnsi="宋体" w:cs="宋体"/>
              </w:rPr>
            </w:pPr>
            <w:r>
              <w:rPr>
                <w:rFonts w:hint="eastAsia" w:ascii="宋体" w:hAnsi="宋体" w:cs="宋体"/>
              </w:rPr>
              <w:t>4.注意动作轻柔，避免损伤产妇肌肤和肢体。</w:t>
            </w:r>
          </w:p>
          <w:p>
            <w:pPr>
              <w:spacing w:line="300" w:lineRule="exact"/>
              <w:rPr>
                <w:rFonts w:ascii="宋体" w:hAnsi="宋体" w:cs="宋体"/>
              </w:rPr>
            </w:pPr>
            <w:r>
              <w:rPr>
                <w:rFonts w:hint="eastAsia" w:ascii="宋体" w:hAnsi="宋体" w:cs="宋体"/>
              </w:rPr>
              <w:t>5.产妇全身皮肤清洁完整，无破损、无压力性损伤。</w:t>
            </w:r>
          </w:p>
          <w:p>
            <w:pPr>
              <w:spacing w:line="300" w:lineRule="exact"/>
              <w:rPr>
                <w:rFonts w:ascii="宋体" w:hAnsi="宋体" w:cs="宋体"/>
              </w:rPr>
            </w:pPr>
            <w:r>
              <w:rPr>
                <w:rFonts w:hint="eastAsia" w:ascii="宋体" w:hAnsi="宋体" w:cs="宋体"/>
              </w:rPr>
              <w:t>6.重点产妇重点关注，加强巡视与生活护理。</w:t>
            </w:r>
          </w:p>
          <w:p>
            <w:pPr>
              <w:spacing w:line="300" w:lineRule="exact"/>
              <w:rPr>
                <w:rFonts w:ascii="宋体" w:hAnsi="宋体" w:cs="宋体"/>
              </w:rPr>
            </w:pPr>
            <w:r>
              <w:rPr>
                <w:rFonts w:hint="eastAsia" w:ascii="宋体" w:hAnsi="宋体" w:cs="宋体"/>
              </w:rPr>
              <w:t>7.产妇及家属掌握母乳喂养的好处及人工喂养的风险，建立母乳喂养信心。</w:t>
            </w:r>
          </w:p>
          <w:p>
            <w:pPr>
              <w:spacing w:line="300" w:lineRule="exact"/>
              <w:rPr>
                <w:rFonts w:ascii="宋体" w:hAnsi="宋体" w:cs="宋体"/>
              </w:rPr>
            </w:pPr>
          </w:p>
          <w:p>
            <w:pPr>
              <w:spacing w:line="3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6" w:hRule="atLeast"/>
          <w:jc w:val="center"/>
        </w:trPr>
        <w:tc>
          <w:tcPr>
            <w:tcW w:w="864" w:type="dxa"/>
            <w:vAlign w:val="center"/>
          </w:tcPr>
          <w:p>
            <w:pPr>
              <w:spacing w:line="300" w:lineRule="exact"/>
              <w:rPr>
                <w:rFonts w:ascii="宋体" w:hAnsi="宋体" w:cs="宋体"/>
              </w:rPr>
            </w:pPr>
            <w:r>
              <w:rPr>
                <w:rFonts w:hint="eastAsia" w:ascii="宋体" w:hAnsi="宋体" w:cs="宋体"/>
              </w:rPr>
              <w:t>新生儿</w:t>
            </w:r>
          </w:p>
        </w:tc>
        <w:tc>
          <w:tcPr>
            <w:tcW w:w="3760" w:type="dxa"/>
          </w:tcPr>
          <w:p>
            <w:pPr>
              <w:spacing w:line="300" w:lineRule="exact"/>
              <w:rPr>
                <w:rFonts w:ascii="宋体" w:hAnsi="宋体" w:cs="宋体"/>
              </w:rPr>
            </w:pPr>
            <w:r>
              <w:rPr>
                <w:rFonts w:hint="eastAsia" w:ascii="宋体" w:hAnsi="宋体" w:cs="宋体"/>
              </w:rPr>
              <w:t>1.所有操作前，认真执行手卫生。</w:t>
            </w:r>
          </w:p>
          <w:p>
            <w:pPr>
              <w:spacing w:line="300" w:lineRule="exact"/>
              <w:rPr>
                <w:rFonts w:ascii="宋体" w:hAnsi="宋体" w:cs="宋体"/>
              </w:rPr>
            </w:pPr>
            <w:r>
              <w:rPr>
                <w:rFonts w:hint="eastAsia" w:ascii="宋体" w:hAnsi="宋体" w:cs="宋体"/>
              </w:rPr>
              <w:t>2.协助新生儿回应式母乳喂养，奶后拍嗝（必要时），安抚好新生儿。</w:t>
            </w:r>
          </w:p>
          <w:p>
            <w:pPr>
              <w:spacing w:line="300" w:lineRule="exact"/>
              <w:rPr>
                <w:rFonts w:ascii="宋体" w:hAnsi="宋体" w:cs="宋体"/>
              </w:rPr>
            </w:pPr>
            <w:r>
              <w:rPr>
                <w:rFonts w:hint="eastAsia" w:ascii="宋体" w:hAnsi="宋体" w:cs="宋体"/>
              </w:rPr>
              <w:t>3.人工喂养的新生儿需根据医嘱，在护理人员指导下进行喂养，不得擅自给新生儿添加奶粉，使用奶瓶奶嘴。</w:t>
            </w:r>
          </w:p>
          <w:p>
            <w:pPr>
              <w:spacing w:line="300" w:lineRule="exact"/>
              <w:rPr>
                <w:rFonts w:ascii="宋体" w:hAnsi="宋体" w:cs="宋体"/>
              </w:rPr>
            </w:pPr>
            <w:r>
              <w:rPr>
                <w:rFonts w:hint="eastAsia" w:ascii="宋体" w:hAnsi="宋体" w:cs="宋体"/>
              </w:rPr>
              <w:t>4.按需完成新生儿臀部清洁，更换尿不湿，并观察和记录大小便情况，有异常及时汇报护士。</w:t>
            </w:r>
          </w:p>
          <w:p>
            <w:pPr>
              <w:spacing w:line="300" w:lineRule="exact"/>
              <w:rPr>
                <w:rFonts w:ascii="宋体" w:hAnsi="宋体" w:cs="宋体"/>
              </w:rPr>
            </w:pPr>
            <w:r>
              <w:rPr>
                <w:rFonts w:hint="eastAsia" w:ascii="宋体" w:hAnsi="宋体" w:cs="宋体"/>
              </w:rPr>
              <w:t>5.做好婴儿喂养用具消毒工作。</w:t>
            </w:r>
          </w:p>
          <w:p>
            <w:pPr>
              <w:spacing w:line="300" w:lineRule="exact"/>
              <w:rPr>
                <w:rFonts w:ascii="宋体" w:hAnsi="宋体" w:cs="宋体"/>
              </w:rPr>
            </w:pPr>
            <w:r>
              <w:rPr>
                <w:rFonts w:hint="eastAsia" w:ascii="宋体" w:hAnsi="宋体" w:cs="宋体"/>
              </w:rPr>
              <w:t>6.能早期识别新生儿喂养信号，及时协助做好母乳喂养。</w:t>
            </w:r>
          </w:p>
          <w:p>
            <w:pPr>
              <w:spacing w:line="300" w:lineRule="exact"/>
              <w:rPr>
                <w:rFonts w:ascii="宋体" w:hAnsi="宋体" w:cs="宋体"/>
              </w:rPr>
            </w:pPr>
            <w:r>
              <w:rPr>
                <w:rFonts w:hint="eastAsia" w:ascii="宋体" w:hAnsi="宋体" w:cs="宋体"/>
              </w:rPr>
              <w:t>7.及时配合有关的医疗及护理工作。</w:t>
            </w:r>
          </w:p>
        </w:tc>
        <w:tc>
          <w:tcPr>
            <w:tcW w:w="4305" w:type="dxa"/>
          </w:tcPr>
          <w:p>
            <w:pPr>
              <w:spacing w:line="300" w:lineRule="exact"/>
              <w:rPr>
                <w:rFonts w:ascii="宋体" w:hAnsi="宋体" w:cs="宋体"/>
              </w:rPr>
            </w:pPr>
            <w:r>
              <w:rPr>
                <w:rFonts w:hint="eastAsia" w:ascii="宋体" w:hAnsi="宋体" w:cs="宋体"/>
              </w:rPr>
              <w:t>1.新生儿全身皮肤完整、清洁。</w:t>
            </w:r>
          </w:p>
          <w:p>
            <w:pPr>
              <w:spacing w:line="300" w:lineRule="exact"/>
              <w:rPr>
                <w:rFonts w:ascii="宋体" w:hAnsi="宋体" w:cs="宋体"/>
              </w:rPr>
            </w:pPr>
            <w:r>
              <w:rPr>
                <w:rFonts w:hint="eastAsia" w:ascii="宋体" w:hAnsi="宋体" w:cs="宋体"/>
              </w:rPr>
              <w:t xml:space="preserve">2.新生儿喂养情况良好。 </w:t>
            </w:r>
          </w:p>
          <w:p>
            <w:pPr>
              <w:spacing w:line="300" w:lineRule="exact"/>
              <w:rPr>
                <w:rFonts w:ascii="宋体" w:hAnsi="宋体" w:cs="宋体"/>
              </w:rPr>
            </w:pPr>
            <w:r>
              <w:rPr>
                <w:rFonts w:hint="eastAsia" w:ascii="宋体" w:hAnsi="宋体" w:cs="宋体"/>
              </w:rPr>
              <w:t>3.新生儿情绪稳定无哭闹。</w:t>
            </w:r>
          </w:p>
        </w:tc>
      </w:tr>
    </w:tbl>
    <w:p>
      <w:pPr>
        <w:ind w:firstLine="482" w:firstLineChars="200"/>
        <w:rPr>
          <w:b/>
          <w:bCs/>
          <w:color w:val="000000"/>
          <w:sz w:val="24"/>
          <w:szCs w:val="24"/>
          <w14:textFill>
            <w14:gradFill>
              <w14:gsLst>
                <w14:gs w14:pos="0">
                  <w14:srgbClr w14:val="007BD3"/>
                </w14:gs>
                <w14:gs w14:pos="100000">
                  <w14:srgbClr w14:val="034373"/>
                </w14:gs>
              </w14:gsLst>
              <w14:lin w14:ang="0" w14:scaled="0"/>
            </w14:gradFill>
          </w14:textFill>
        </w:rPr>
      </w:pPr>
      <w:r>
        <w:rPr>
          <w:rFonts w:hint="eastAsia" w:ascii="宋体" w:hAnsi="宋体" w:cs="宋体"/>
          <w:b/>
          <w:bCs/>
          <w:sz w:val="24"/>
          <w:szCs w:val="24"/>
        </w:rPr>
        <w:t>4.2护理员生活照护工作内容及流程（标准）</w:t>
      </w:r>
    </w:p>
    <w:tbl>
      <w:tblPr>
        <w:tblStyle w:val="51"/>
        <w:tblpPr w:leftFromText="180" w:rightFromText="180" w:vertAnchor="text" w:horzAnchor="page" w:tblpX="1361" w:tblpY="265"/>
        <w:tblOverlap w:val="never"/>
        <w:tblW w:w="9360" w:type="dxa"/>
        <w:tblInd w:w="0" w:type="dxa"/>
        <w:tblLayout w:type="autofit"/>
        <w:tblCellMar>
          <w:top w:w="0" w:type="dxa"/>
          <w:left w:w="108" w:type="dxa"/>
          <w:bottom w:w="0" w:type="dxa"/>
          <w:right w:w="108" w:type="dxa"/>
        </w:tblCellMar>
      </w:tblPr>
      <w:tblGrid>
        <w:gridCol w:w="900"/>
        <w:gridCol w:w="3600"/>
        <w:gridCol w:w="1260"/>
        <w:gridCol w:w="3600"/>
      </w:tblGrid>
      <w:tr>
        <w:tblPrEx>
          <w:tblCellMar>
            <w:top w:w="0" w:type="dxa"/>
            <w:left w:w="108" w:type="dxa"/>
            <w:bottom w:w="0" w:type="dxa"/>
            <w:right w:w="108" w:type="dxa"/>
          </w:tblCellMar>
        </w:tblPrEx>
        <w:trPr>
          <w:trHeight w:val="615" w:hRule="atLeast"/>
        </w:trPr>
        <w:tc>
          <w:tcPr>
            <w:tcW w:w="936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kern w:val="0"/>
                <w:sz w:val="36"/>
                <w:szCs w:val="36"/>
              </w:rPr>
            </w:pPr>
            <w:r>
              <w:rPr>
                <w:rFonts w:hint="eastAsia" w:ascii="宋体" w:hAnsi="宋体" w:cs="宋体"/>
                <w:b/>
                <w:bCs/>
                <w:kern w:val="0"/>
                <w:sz w:val="24"/>
                <w:szCs w:val="24"/>
              </w:rPr>
              <w:t>产科护理员每日工作流程</w:t>
            </w:r>
          </w:p>
        </w:tc>
      </w:tr>
      <w:tr>
        <w:tblPrEx>
          <w:tblCellMar>
            <w:top w:w="0" w:type="dxa"/>
            <w:left w:w="108" w:type="dxa"/>
            <w:bottom w:w="0" w:type="dxa"/>
            <w:right w:w="108" w:type="dxa"/>
          </w:tblCellMar>
        </w:tblPrEx>
        <w:trPr>
          <w:trHeight w:val="450" w:hRule="atLeast"/>
        </w:trPr>
        <w:tc>
          <w:tcPr>
            <w:tcW w:w="900" w:type="dxa"/>
            <w:tcBorders>
              <w:top w:val="single" w:color="auto" w:sz="4" w:space="0"/>
              <w:left w:val="single" w:color="auto" w:sz="8" w:space="0"/>
              <w:bottom w:val="single" w:color="auto" w:sz="8" w:space="0"/>
              <w:right w:val="single" w:color="auto" w:sz="8" w:space="0"/>
            </w:tcBorders>
            <w:vAlign w:val="center"/>
          </w:tcPr>
          <w:p>
            <w:pPr>
              <w:widowControl/>
              <w:spacing w:line="240" w:lineRule="exact"/>
              <w:jc w:val="center"/>
              <w:rPr>
                <w:rFonts w:ascii="宋体" w:hAnsi="宋体" w:cs="宋体"/>
                <w:b/>
                <w:bCs/>
                <w:kern w:val="0"/>
              </w:rPr>
            </w:pPr>
            <w:r>
              <w:rPr>
                <w:rFonts w:hint="eastAsia" w:ascii="宋体" w:hAnsi="宋体" w:cs="宋体"/>
                <w:b/>
                <w:bCs/>
                <w:kern w:val="0"/>
              </w:rPr>
              <w:t>时间</w:t>
            </w:r>
          </w:p>
        </w:tc>
        <w:tc>
          <w:tcPr>
            <w:tcW w:w="3600" w:type="dxa"/>
            <w:tcBorders>
              <w:top w:val="single" w:color="auto" w:sz="4" w:space="0"/>
              <w:left w:val="nil"/>
              <w:bottom w:val="single" w:color="auto" w:sz="8" w:space="0"/>
              <w:right w:val="single" w:color="auto" w:sz="8" w:space="0"/>
            </w:tcBorders>
            <w:vAlign w:val="center"/>
          </w:tcPr>
          <w:p>
            <w:pPr>
              <w:widowControl/>
              <w:spacing w:line="240" w:lineRule="exact"/>
              <w:jc w:val="center"/>
              <w:rPr>
                <w:rFonts w:ascii="宋体" w:hAnsi="宋体" w:cs="宋体"/>
                <w:b/>
                <w:bCs/>
                <w:kern w:val="0"/>
              </w:rPr>
            </w:pPr>
            <w:r>
              <w:rPr>
                <w:rFonts w:hint="eastAsia" w:ascii="宋体" w:hAnsi="宋体" w:cs="宋体"/>
                <w:b/>
                <w:bCs/>
                <w:kern w:val="0"/>
              </w:rPr>
              <w:t>工作内容</w:t>
            </w:r>
          </w:p>
        </w:tc>
        <w:tc>
          <w:tcPr>
            <w:tcW w:w="1260" w:type="dxa"/>
            <w:tcBorders>
              <w:top w:val="single" w:color="auto" w:sz="4" w:space="0"/>
              <w:left w:val="nil"/>
              <w:bottom w:val="single" w:color="auto" w:sz="8" w:space="0"/>
              <w:right w:val="single" w:color="auto" w:sz="8" w:space="0"/>
            </w:tcBorders>
            <w:vAlign w:val="center"/>
          </w:tcPr>
          <w:p>
            <w:pPr>
              <w:widowControl/>
              <w:spacing w:line="240" w:lineRule="exact"/>
              <w:jc w:val="center"/>
              <w:rPr>
                <w:rFonts w:ascii="宋体" w:hAnsi="宋体" w:cs="宋体"/>
                <w:b/>
                <w:bCs/>
                <w:kern w:val="0"/>
              </w:rPr>
            </w:pPr>
            <w:r>
              <w:rPr>
                <w:rFonts w:hint="eastAsia" w:ascii="宋体" w:hAnsi="宋体" w:cs="宋体"/>
                <w:b/>
                <w:bCs/>
                <w:kern w:val="0"/>
              </w:rPr>
              <w:t>时间</w:t>
            </w:r>
          </w:p>
        </w:tc>
        <w:tc>
          <w:tcPr>
            <w:tcW w:w="3600" w:type="dxa"/>
            <w:tcBorders>
              <w:top w:val="single" w:color="auto" w:sz="4" w:space="0"/>
              <w:left w:val="nil"/>
              <w:bottom w:val="single" w:color="auto" w:sz="8" w:space="0"/>
              <w:right w:val="single" w:color="auto" w:sz="8" w:space="0"/>
            </w:tcBorders>
            <w:vAlign w:val="center"/>
          </w:tcPr>
          <w:p>
            <w:pPr>
              <w:widowControl/>
              <w:spacing w:line="240" w:lineRule="exact"/>
              <w:jc w:val="center"/>
              <w:rPr>
                <w:rFonts w:ascii="宋体" w:hAnsi="宋体" w:cs="宋体"/>
                <w:b/>
                <w:bCs/>
                <w:kern w:val="0"/>
              </w:rPr>
            </w:pPr>
            <w:r>
              <w:rPr>
                <w:rFonts w:hint="eastAsia" w:ascii="宋体" w:hAnsi="宋体" w:cs="宋体"/>
                <w:b/>
                <w:bCs/>
                <w:kern w:val="0"/>
              </w:rPr>
              <w:t>工作内容</w:t>
            </w:r>
          </w:p>
        </w:tc>
      </w:tr>
      <w:tr>
        <w:tblPrEx>
          <w:tblCellMar>
            <w:top w:w="0" w:type="dxa"/>
            <w:left w:w="108" w:type="dxa"/>
            <w:bottom w:w="0" w:type="dxa"/>
            <w:right w:w="108" w:type="dxa"/>
          </w:tblCellMar>
        </w:tblPrEx>
        <w:trPr>
          <w:trHeight w:val="450" w:hRule="atLeast"/>
        </w:trPr>
        <w:tc>
          <w:tcPr>
            <w:tcW w:w="900" w:type="dxa"/>
            <w:vMerge w:val="restart"/>
            <w:tcBorders>
              <w:top w:val="nil"/>
              <w:left w:val="single" w:color="auto" w:sz="8" w:space="0"/>
              <w:right w:val="single" w:color="auto" w:sz="8" w:space="0"/>
            </w:tcBorders>
            <w:vAlign w:val="center"/>
          </w:tcPr>
          <w:p>
            <w:pPr>
              <w:spacing w:line="240" w:lineRule="exact"/>
              <w:jc w:val="center"/>
              <w:rPr>
                <w:rFonts w:ascii="宋体" w:hAnsi="宋体"/>
                <w:kern w:val="0"/>
              </w:rPr>
            </w:pPr>
            <w:r>
              <w:rPr>
                <w:rFonts w:ascii="宋体" w:hAnsi="宋体"/>
                <w:kern w:val="0"/>
              </w:rPr>
              <w:t>6:30               ~                7:30</w:t>
            </w: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床边交接班、了解母婴情况</w:t>
            </w:r>
          </w:p>
        </w:tc>
        <w:tc>
          <w:tcPr>
            <w:tcW w:w="1260" w:type="dxa"/>
            <w:vMerge w:val="restart"/>
            <w:tcBorders>
              <w:top w:val="nil"/>
              <w:left w:val="single" w:color="auto" w:sz="8" w:space="0"/>
              <w:right w:val="single" w:color="auto" w:sz="8" w:space="0"/>
            </w:tcBorders>
            <w:vAlign w:val="center"/>
          </w:tcPr>
          <w:p>
            <w:pPr>
              <w:spacing w:line="240" w:lineRule="exact"/>
              <w:jc w:val="center"/>
              <w:rPr>
                <w:rFonts w:ascii="宋体" w:hAnsi="宋体"/>
                <w:kern w:val="0"/>
              </w:rPr>
            </w:pPr>
            <w:r>
              <w:rPr>
                <w:rFonts w:ascii="宋体" w:hAnsi="宋体"/>
                <w:kern w:val="0"/>
              </w:rPr>
              <w:t>14:00</w:t>
            </w:r>
          </w:p>
          <w:p>
            <w:pPr>
              <w:spacing w:line="240" w:lineRule="exact"/>
              <w:ind w:firstLine="210" w:firstLineChars="100"/>
              <w:jc w:val="center"/>
              <w:rPr>
                <w:rFonts w:ascii="宋体" w:hAnsi="宋体"/>
                <w:kern w:val="0"/>
              </w:rPr>
            </w:pPr>
            <w:r>
              <w:rPr>
                <w:rFonts w:ascii="宋体" w:hAnsi="宋体"/>
                <w:kern w:val="0"/>
              </w:rPr>
              <w:t>~       16:30</w:t>
            </w: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协助产妇治疗、护理</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vAlign w:val="center"/>
          </w:tcPr>
          <w:p>
            <w:pPr>
              <w:widowControl/>
              <w:spacing w:line="240" w:lineRule="exact"/>
              <w:jc w:val="center"/>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打开水</w:t>
            </w:r>
          </w:p>
        </w:tc>
        <w:tc>
          <w:tcPr>
            <w:tcW w:w="1260" w:type="dxa"/>
            <w:vMerge w:val="continue"/>
            <w:tcBorders>
              <w:left w:val="single" w:color="auto" w:sz="8" w:space="0"/>
              <w:right w:val="single" w:color="auto" w:sz="8" w:space="0"/>
            </w:tcBorders>
            <w:vAlign w:val="center"/>
          </w:tcPr>
          <w:p>
            <w:pPr>
              <w:widowControl/>
              <w:spacing w:line="240" w:lineRule="exact"/>
              <w:jc w:val="center"/>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侧面开窗通风</w:t>
            </w:r>
            <w:r>
              <w:rPr>
                <w:rFonts w:ascii="宋体" w:hAnsi="宋体"/>
                <w:kern w:val="0"/>
              </w:rPr>
              <w:t>15~30</w:t>
            </w:r>
            <w:r>
              <w:rPr>
                <w:rFonts w:hint="eastAsia" w:ascii="宋体" w:hAnsi="宋体" w:cs="宋体"/>
                <w:kern w:val="0"/>
              </w:rPr>
              <w:t>分钟</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vAlign w:val="center"/>
          </w:tcPr>
          <w:p>
            <w:pPr>
              <w:widowControl/>
              <w:spacing w:line="240" w:lineRule="exact"/>
              <w:jc w:val="center"/>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协助产妇漱口、刷牙、洗脸、洗手、梳头</w:t>
            </w:r>
          </w:p>
        </w:tc>
        <w:tc>
          <w:tcPr>
            <w:tcW w:w="1260" w:type="dxa"/>
            <w:vMerge w:val="continue"/>
            <w:tcBorders>
              <w:left w:val="single" w:color="auto" w:sz="8" w:space="0"/>
              <w:right w:val="single" w:color="auto" w:sz="8" w:space="0"/>
            </w:tcBorders>
            <w:vAlign w:val="center"/>
          </w:tcPr>
          <w:p>
            <w:pPr>
              <w:widowControl/>
              <w:spacing w:line="240" w:lineRule="exact"/>
              <w:jc w:val="center"/>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观察产妇恶露以及泌乳情况</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协助产妇大小便（必要时擦身换衣、协助清洗会阴））</w:t>
            </w:r>
          </w:p>
        </w:tc>
        <w:tc>
          <w:tcPr>
            <w:tcW w:w="126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协助指导产妇乳房按摩，吸奶或挤奶</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协助新生儿哺乳，换尿布</w:t>
            </w:r>
          </w:p>
        </w:tc>
        <w:tc>
          <w:tcPr>
            <w:tcW w:w="126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协助新生儿哺乳，换尿布</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侧面开窗通风</w:t>
            </w:r>
            <w:r>
              <w:rPr>
                <w:rFonts w:ascii="宋体" w:hAnsi="宋体" w:cs="宋体"/>
                <w:kern w:val="0"/>
              </w:rPr>
              <w:t>15</w:t>
            </w:r>
            <w:r>
              <w:rPr>
                <w:rFonts w:ascii="宋体" w:hAnsi="宋体"/>
                <w:kern w:val="0"/>
              </w:rPr>
              <w:t>~</w:t>
            </w:r>
            <w:r>
              <w:rPr>
                <w:rFonts w:ascii="宋体" w:hAnsi="宋体" w:cs="宋体"/>
                <w:kern w:val="0"/>
              </w:rPr>
              <w:t>30</w:t>
            </w:r>
            <w:r>
              <w:rPr>
                <w:rFonts w:hint="eastAsia" w:ascii="宋体" w:hAnsi="宋体" w:cs="宋体"/>
                <w:kern w:val="0"/>
              </w:rPr>
              <w:t>分钟</w:t>
            </w:r>
          </w:p>
        </w:tc>
        <w:tc>
          <w:tcPr>
            <w:tcW w:w="126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协助产后康复锻炼</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清洗、消毒奶具</w:t>
            </w:r>
          </w:p>
        </w:tc>
        <w:tc>
          <w:tcPr>
            <w:tcW w:w="126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协助产妇擦身、洗脚、沐浴、更衣（注意保护病人隐私和保暖</w:t>
            </w:r>
            <w:r>
              <w:rPr>
                <w:rFonts w:ascii="宋体" w:hAnsi="宋体" w:cs="宋体"/>
                <w:kern w:val="0"/>
              </w:rPr>
              <w:t>）</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协助产妇洗手</w:t>
            </w:r>
          </w:p>
        </w:tc>
        <w:tc>
          <w:tcPr>
            <w:tcW w:w="126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整理床单元</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协助产妇进餐</w:t>
            </w:r>
          </w:p>
        </w:tc>
        <w:tc>
          <w:tcPr>
            <w:tcW w:w="126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及时协助产妇大小便</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p>
        </w:tc>
        <w:tc>
          <w:tcPr>
            <w:tcW w:w="126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定时巡视解决母婴所需</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p>
        </w:tc>
        <w:tc>
          <w:tcPr>
            <w:tcW w:w="1260" w:type="dxa"/>
            <w:vMerge w:val="continue"/>
            <w:tcBorders>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发现异常及时联系护士</w:t>
            </w:r>
          </w:p>
        </w:tc>
      </w:tr>
      <w:tr>
        <w:tblPrEx>
          <w:tblCellMar>
            <w:top w:w="0" w:type="dxa"/>
            <w:left w:w="108" w:type="dxa"/>
            <w:bottom w:w="0" w:type="dxa"/>
            <w:right w:w="108" w:type="dxa"/>
          </w:tblCellMar>
        </w:tblPrEx>
        <w:trPr>
          <w:trHeight w:val="450" w:hRule="atLeast"/>
        </w:trPr>
        <w:tc>
          <w:tcPr>
            <w:tcW w:w="900" w:type="dxa"/>
            <w:vMerge w:val="restart"/>
            <w:tcBorders>
              <w:top w:val="nil"/>
              <w:left w:val="single" w:color="auto" w:sz="8" w:space="0"/>
              <w:bottom w:val="single" w:color="auto" w:sz="8" w:space="0"/>
              <w:right w:val="single" w:color="auto" w:sz="8" w:space="0"/>
            </w:tcBorders>
            <w:vAlign w:val="center"/>
          </w:tcPr>
          <w:p>
            <w:pPr>
              <w:widowControl/>
              <w:spacing w:line="240" w:lineRule="exact"/>
              <w:jc w:val="center"/>
              <w:rPr>
                <w:rFonts w:ascii="宋体" w:hAnsi="宋体"/>
                <w:kern w:val="0"/>
              </w:rPr>
            </w:pPr>
            <w:r>
              <w:rPr>
                <w:rFonts w:ascii="宋体" w:hAnsi="宋体"/>
                <w:kern w:val="0"/>
              </w:rPr>
              <w:t>7:30         ~         8:00</w:t>
            </w: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协助产妇服药</w:t>
            </w:r>
          </w:p>
        </w:tc>
        <w:tc>
          <w:tcPr>
            <w:tcW w:w="1260" w:type="dxa"/>
            <w:vMerge w:val="restart"/>
            <w:tcBorders>
              <w:top w:val="nil"/>
              <w:left w:val="single" w:color="auto" w:sz="8" w:space="0"/>
              <w:bottom w:val="single" w:color="auto" w:sz="8" w:space="0"/>
              <w:right w:val="single" w:color="auto" w:sz="8" w:space="0"/>
            </w:tcBorders>
            <w:vAlign w:val="center"/>
          </w:tcPr>
          <w:p>
            <w:pPr>
              <w:widowControl/>
              <w:spacing w:line="240" w:lineRule="exact"/>
              <w:jc w:val="center"/>
              <w:rPr>
                <w:rFonts w:ascii="宋体" w:hAnsi="宋体"/>
                <w:kern w:val="0"/>
              </w:rPr>
            </w:pPr>
            <w:r>
              <w:rPr>
                <w:rFonts w:ascii="宋体" w:hAnsi="宋体"/>
                <w:kern w:val="0"/>
              </w:rPr>
              <w:t>16:30       ~       18:00</w:t>
            </w: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协助产妇洗手</w:t>
            </w: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rPr>
              <w:t>床单元及房间环境整理</w:t>
            </w:r>
          </w:p>
        </w:tc>
        <w:tc>
          <w:tcPr>
            <w:tcW w:w="1260" w:type="dxa"/>
            <w:vMerge w:val="continue"/>
            <w:tcBorders>
              <w:top w:val="nil"/>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协助产妇进餐</w:t>
            </w: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协助护士做晨间护理</w:t>
            </w:r>
          </w:p>
        </w:tc>
        <w:tc>
          <w:tcPr>
            <w:tcW w:w="1260" w:type="dxa"/>
            <w:vMerge w:val="continue"/>
            <w:tcBorders>
              <w:top w:val="nil"/>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协助产妇服药</w:t>
            </w:r>
          </w:p>
        </w:tc>
      </w:tr>
      <w:tr>
        <w:tblPrEx>
          <w:tblCellMar>
            <w:top w:w="0" w:type="dxa"/>
            <w:left w:w="108" w:type="dxa"/>
            <w:bottom w:w="0" w:type="dxa"/>
            <w:right w:w="108" w:type="dxa"/>
          </w:tblCellMar>
        </w:tblPrEx>
        <w:trPr>
          <w:trHeight w:val="450" w:hRule="atLeast"/>
        </w:trPr>
        <w:tc>
          <w:tcPr>
            <w:tcW w:w="900" w:type="dxa"/>
            <w:vMerge w:val="restart"/>
            <w:tcBorders>
              <w:top w:val="nil"/>
              <w:left w:val="single" w:color="auto" w:sz="4" w:space="0"/>
              <w:bottom w:val="single" w:color="auto" w:sz="8" w:space="0"/>
              <w:right w:val="single" w:color="auto" w:sz="8" w:space="0"/>
            </w:tcBorders>
            <w:vAlign w:val="center"/>
          </w:tcPr>
          <w:p>
            <w:pPr>
              <w:widowControl/>
              <w:spacing w:line="240" w:lineRule="exact"/>
              <w:jc w:val="center"/>
              <w:rPr>
                <w:rFonts w:ascii="宋体" w:hAnsi="宋体"/>
                <w:kern w:val="0"/>
              </w:rPr>
            </w:pPr>
            <w:r>
              <w:rPr>
                <w:rFonts w:ascii="宋体" w:hAnsi="宋体"/>
                <w:kern w:val="0"/>
              </w:rPr>
              <w:t>8:00         ~       10:30</w:t>
            </w: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参于护士床边交接病人</w:t>
            </w:r>
          </w:p>
        </w:tc>
        <w:tc>
          <w:tcPr>
            <w:tcW w:w="1260" w:type="dxa"/>
            <w:vMerge w:val="continue"/>
            <w:tcBorders>
              <w:top w:val="nil"/>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4"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观察产妇恶露以及泌乳情况</w:t>
            </w:r>
          </w:p>
        </w:tc>
        <w:tc>
          <w:tcPr>
            <w:tcW w:w="1260" w:type="dxa"/>
            <w:vMerge w:val="continue"/>
            <w:tcBorders>
              <w:top w:val="nil"/>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4" w:space="0"/>
              <w:bottom w:val="single" w:color="auto" w:sz="4"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4"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安抚病人卧床，协助查房治疗</w:t>
            </w:r>
          </w:p>
        </w:tc>
        <w:tc>
          <w:tcPr>
            <w:tcW w:w="1260" w:type="dxa"/>
            <w:vMerge w:val="restart"/>
            <w:tcBorders>
              <w:top w:val="nil"/>
              <w:left w:val="single" w:color="auto" w:sz="8" w:space="0"/>
              <w:bottom w:val="single" w:color="auto" w:sz="4" w:space="0"/>
              <w:right w:val="single" w:color="auto" w:sz="8" w:space="0"/>
            </w:tcBorders>
            <w:vAlign w:val="center"/>
          </w:tcPr>
          <w:p>
            <w:pPr>
              <w:spacing w:line="240" w:lineRule="exact"/>
              <w:jc w:val="center"/>
              <w:rPr>
                <w:rFonts w:ascii="宋体" w:hAnsi="宋体"/>
                <w:kern w:val="0"/>
              </w:rPr>
            </w:pPr>
          </w:p>
          <w:p>
            <w:pPr>
              <w:spacing w:line="240" w:lineRule="exact"/>
              <w:jc w:val="center"/>
              <w:rPr>
                <w:rFonts w:ascii="宋体" w:hAnsi="宋体"/>
                <w:kern w:val="0"/>
              </w:rPr>
            </w:pPr>
          </w:p>
          <w:p>
            <w:pPr>
              <w:spacing w:line="240" w:lineRule="exact"/>
              <w:jc w:val="center"/>
              <w:rPr>
                <w:rFonts w:ascii="宋体" w:hAnsi="宋体"/>
                <w:kern w:val="0"/>
              </w:rPr>
            </w:pPr>
            <w:r>
              <w:rPr>
                <w:rFonts w:ascii="宋体" w:hAnsi="宋体"/>
                <w:kern w:val="0"/>
              </w:rPr>
              <w:t>18:00</w:t>
            </w:r>
          </w:p>
          <w:p>
            <w:pPr>
              <w:spacing w:line="240" w:lineRule="exact"/>
              <w:jc w:val="center"/>
              <w:rPr>
                <w:rFonts w:ascii="宋体" w:hAnsi="宋体"/>
                <w:kern w:val="0"/>
              </w:rPr>
            </w:pPr>
            <w:r>
              <w:rPr>
                <w:rFonts w:ascii="宋体" w:hAnsi="宋体"/>
                <w:kern w:val="0"/>
              </w:rPr>
              <w:t>~       20:00</w:t>
            </w:r>
          </w:p>
          <w:p>
            <w:pPr>
              <w:spacing w:line="240" w:lineRule="exact"/>
              <w:jc w:val="center"/>
              <w:rPr>
                <w:rFonts w:ascii="宋体" w:hAnsi="宋体"/>
                <w:kern w:val="0"/>
              </w:rPr>
            </w:pPr>
          </w:p>
        </w:tc>
        <w:tc>
          <w:tcPr>
            <w:tcW w:w="3600" w:type="dxa"/>
            <w:tcBorders>
              <w:top w:val="nil"/>
              <w:left w:val="nil"/>
              <w:bottom w:val="single" w:color="auto" w:sz="4"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整理病房准备交接班</w:t>
            </w:r>
          </w:p>
        </w:tc>
      </w:tr>
      <w:tr>
        <w:tblPrEx>
          <w:tblCellMar>
            <w:top w:w="0" w:type="dxa"/>
            <w:left w:w="108" w:type="dxa"/>
            <w:bottom w:w="0" w:type="dxa"/>
            <w:right w:w="108" w:type="dxa"/>
          </w:tblCellMar>
        </w:tblPrEx>
        <w:trPr>
          <w:trHeight w:val="450" w:hRule="atLeast"/>
        </w:trPr>
        <w:tc>
          <w:tcPr>
            <w:tcW w:w="900" w:type="dxa"/>
            <w:vMerge w:val="continue"/>
            <w:tcBorders>
              <w:top w:val="single" w:color="auto" w:sz="4" w:space="0"/>
              <w:left w:val="single" w:color="auto" w:sz="4" w:space="0"/>
              <w:bottom w:val="single" w:color="auto" w:sz="4" w:space="0"/>
              <w:right w:val="single" w:color="auto" w:sz="8" w:space="0"/>
            </w:tcBorders>
            <w:vAlign w:val="center"/>
          </w:tcPr>
          <w:p>
            <w:pPr>
              <w:widowControl/>
              <w:spacing w:line="240" w:lineRule="exact"/>
              <w:jc w:val="left"/>
              <w:rPr>
                <w:rFonts w:ascii="宋体" w:hAnsi="宋体"/>
                <w:kern w:val="0"/>
              </w:rPr>
            </w:pPr>
          </w:p>
        </w:tc>
        <w:tc>
          <w:tcPr>
            <w:tcW w:w="3600" w:type="dxa"/>
            <w:tcBorders>
              <w:top w:val="single" w:color="auto" w:sz="4" w:space="0"/>
              <w:left w:val="nil"/>
              <w:bottom w:val="single" w:color="auto" w:sz="4"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协助指导产妇乳房按摩，吸奶或挤奶</w:t>
            </w:r>
          </w:p>
        </w:tc>
        <w:tc>
          <w:tcPr>
            <w:tcW w:w="1260" w:type="dxa"/>
            <w:vMerge w:val="continue"/>
            <w:tcBorders>
              <w:top w:val="single" w:color="auto" w:sz="4" w:space="0"/>
              <w:left w:val="single" w:color="auto" w:sz="8" w:space="0"/>
              <w:bottom w:val="single" w:color="auto" w:sz="4" w:space="0"/>
              <w:right w:val="single" w:color="auto" w:sz="8" w:space="0"/>
            </w:tcBorders>
            <w:vAlign w:val="center"/>
          </w:tcPr>
          <w:p>
            <w:pPr>
              <w:widowControl/>
              <w:spacing w:line="240" w:lineRule="exact"/>
              <w:jc w:val="center"/>
              <w:rPr>
                <w:rFonts w:ascii="宋体" w:hAnsi="宋体"/>
                <w:kern w:val="0"/>
              </w:rPr>
            </w:pPr>
          </w:p>
        </w:tc>
        <w:tc>
          <w:tcPr>
            <w:tcW w:w="36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rPr>
            </w:pPr>
            <w:r>
              <w:rPr>
                <w:rFonts w:hint="eastAsia" w:ascii="宋体" w:hAnsi="宋体" w:cs="宋体"/>
                <w:kern w:val="0"/>
              </w:rPr>
              <w:t>参于护士床边交接病人</w:t>
            </w:r>
          </w:p>
        </w:tc>
      </w:tr>
      <w:tr>
        <w:tblPrEx>
          <w:tblCellMar>
            <w:top w:w="0" w:type="dxa"/>
            <w:left w:w="108" w:type="dxa"/>
            <w:bottom w:w="0" w:type="dxa"/>
            <w:right w:w="108" w:type="dxa"/>
          </w:tblCellMar>
        </w:tblPrEx>
        <w:trPr>
          <w:trHeight w:val="450" w:hRule="atLeast"/>
        </w:trPr>
        <w:tc>
          <w:tcPr>
            <w:tcW w:w="900" w:type="dxa"/>
            <w:vMerge w:val="continue"/>
            <w:tcBorders>
              <w:top w:val="single" w:color="auto" w:sz="4" w:space="0"/>
              <w:left w:val="single" w:color="auto" w:sz="4"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single" w:color="auto" w:sz="4" w:space="0"/>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协助新生儿哺乳，换尿布</w:t>
            </w:r>
          </w:p>
        </w:tc>
        <w:tc>
          <w:tcPr>
            <w:tcW w:w="1260" w:type="dxa"/>
            <w:vMerge w:val="continue"/>
            <w:tcBorders>
              <w:top w:val="single" w:color="auto" w:sz="4" w:space="0"/>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single" w:color="auto" w:sz="4" w:space="0"/>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协助产妇大小便（必要时协助清洗会阴）</w:t>
            </w: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4"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及时协助产妇大小便</w:t>
            </w:r>
          </w:p>
        </w:tc>
        <w:tc>
          <w:tcPr>
            <w:tcW w:w="126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协助新生儿哺乳，换尿布</w:t>
            </w: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4"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保持病房整洁</w:t>
            </w:r>
          </w:p>
        </w:tc>
        <w:tc>
          <w:tcPr>
            <w:tcW w:w="126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协助产妇漱口、刷牙、洗脸、洗手准备休息</w:t>
            </w: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4"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定时巡视解决母婴所需</w:t>
            </w:r>
          </w:p>
        </w:tc>
        <w:tc>
          <w:tcPr>
            <w:tcW w:w="126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安置好床旁护栏，注意安全</w:t>
            </w: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4"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发现异常及时联系护士</w:t>
            </w:r>
          </w:p>
        </w:tc>
        <w:tc>
          <w:tcPr>
            <w:tcW w:w="1260" w:type="dxa"/>
            <w:vMerge w:val="continue"/>
            <w:tcBorders>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保持病房安静</w:t>
            </w:r>
          </w:p>
        </w:tc>
      </w:tr>
      <w:tr>
        <w:tblPrEx>
          <w:tblCellMar>
            <w:top w:w="0" w:type="dxa"/>
            <w:left w:w="108" w:type="dxa"/>
            <w:bottom w:w="0" w:type="dxa"/>
            <w:right w:w="108" w:type="dxa"/>
          </w:tblCellMar>
        </w:tblPrEx>
        <w:trPr>
          <w:trHeight w:val="450" w:hRule="atLeast"/>
        </w:trPr>
        <w:tc>
          <w:tcPr>
            <w:tcW w:w="900" w:type="dxa"/>
            <w:vMerge w:val="restart"/>
            <w:tcBorders>
              <w:top w:val="nil"/>
              <w:left w:val="single" w:color="auto" w:sz="8" w:space="0"/>
              <w:right w:val="single" w:color="auto" w:sz="8" w:space="0"/>
            </w:tcBorders>
            <w:vAlign w:val="center"/>
          </w:tcPr>
          <w:p>
            <w:pPr>
              <w:widowControl/>
              <w:spacing w:line="240" w:lineRule="exact"/>
              <w:jc w:val="center"/>
              <w:rPr>
                <w:rFonts w:ascii="宋体" w:hAnsi="宋体"/>
                <w:kern w:val="0"/>
              </w:rPr>
            </w:pPr>
            <w:r>
              <w:rPr>
                <w:rFonts w:ascii="宋体" w:hAnsi="宋体"/>
                <w:kern w:val="0"/>
              </w:rPr>
              <w:t>10:30       ~       14:00</w:t>
            </w: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协助产妇洗手</w:t>
            </w:r>
          </w:p>
        </w:tc>
        <w:tc>
          <w:tcPr>
            <w:tcW w:w="1260" w:type="dxa"/>
            <w:vMerge w:val="restart"/>
            <w:tcBorders>
              <w:top w:val="single" w:color="auto" w:sz="8" w:space="0"/>
              <w:left w:val="single" w:color="auto" w:sz="8" w:space="0"/>
              <w:right w:val="single" w:color="auto" w:sz="8" w:space="0"/>
            </w:tcBorders>
            <w:vAlign w:val="center"/>
          </w:tcPr>
          <w:p>
            <w:pPr>
              <w:widowControl/>
              <w:spacing w:line="240" w:lineRule="exact"/>
              <w:jc w:val="center"/>
              <w:rPr>
                <w:rFonts w:ascii="宋体" w:hAnsi="宋体"/>
                <w:kern w:val="0"/>
              </w:rPr>
            </w:pPr>
            <w:r>
              <w:rPr>
                <w:rFonts w:hint="eastAsia" w:ascii="宋体" w:hAnsi="宋体"/>
                <w:kern w:val="0"/>
              </w:rPr>
              <w:t>20</w:t>
            </w:r>
            <w:r>
              <w:rPr>
                <w:rFonts w:ascii="宋体" w:hAnsi="宋体"/>
                <w:kern w:val="0"/>
              </w:rPr>
              <w:t xml:space="preserve">:00       ~       </w:t>
            </w:r>
            <w:r>
              <w:rPr>
                <w:rFonts w:hint="eastAsia" w:ascii="宋体" w:hAnsi="宋体"/>
                <w:kern w:val="0"/>
              </w:rPr>
              <w:t>06</w:t>
            </w:r>
            <w:r>
              <w:rPr>
                <w:rFonts w:ascii="宋体" w:hAnsi="宋体"/>
                <w:kern w:val="0"/>
              </w:rPr>
              <w:t>:00</w:t>
            </w: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保持病人合适体位</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协助产妇进餐</w:t>
            </w:r>
          </w:p>
        </w:tc>
        <w:tc>
          <w:tcPr>
            <w:tcW w:w="126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及时协助产妇大小便</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p>
        </w:tc>
        <w:tc>
          <w:tcPr>
            <w:tcW w:w="1260" w:type="dxa"/>
            <w:vMerge w:val="continue"/>
            <w:tcBorders>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协助新生儿哺乳，换尿布</w:t>
            </w:r>
          </w:p>
        </w:tc>
      </w:tr>
      <w:tr>
        <w:tblPrEx>
          <w:tblCellMar>
            <w:top w:w="0" w:type="dxa"/>
            <w:left w:w="108" w:type="dxa"/>
            <w:bottom w:w="0" w:type="dxa"/>
            <w:right w:w="108" w:type="dxa"/>
          </w:tblCellMar>
        </w:tblPrEx>
        <w:trPr>
          <w:trHeight w:val="450" w:hRule="atLeast"/>
        </w:trPr>
        <w:tc>
          <w:tcPr>
            <w:tcW w:w="900"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single" w:color="auto" w:sz="8" w:space="0"/>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协助产妇漱口服药</w:t>
            </w:r>
          </w:p>
        </w:tc>
        <w:tc>
          <w:tcPr>
            <w:tcW w:w="1260" w:type="dxa"/>
            <w:vMerge w:val="restart"/>
            <w:tcBorders>
              <w:top w:val="single" w:color="auto" w:sz="8" w:space="0"/>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single" w:color="auto" w:sz="8" w:space="0"/>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定时巡视解决母婴所需</w:t>
            </w:r>
          </w:p>
        </w:tc>
      </w:tr>
      <w:tr>
        <w:tblPrEx>
          <w:tblCellMar>
            <w:top w:w="0" w:type="dxa"/>
            <w:left w:w="108" w:type="dxa"/>
            <w:bottom w:w="0" w:type="dxa"/>
            <w:right w:w="108" w:type="dxa"/>
          </w:tblCellMar>
        </w:tblPrEx>
        <w:trPr>
          <w:trHeight w:val="450" w:hRule="atLeast"/>
        </w:trPr>
        <w:tc>
          <w:tcPr>
            <w:tcW w:w="90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single" w:color="auto" w:sz="8" w:space="0"/>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安置产妇午休</w:t>
            </w:r>
          </w:p>
        </w:tc>
        <w:tc>
          <w:tcPr>
            <w:tcW w:w="1260" w:type="dxa"/>
            <w:vMerge w:val="continue"/>
            <w:tcBorders>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宋体" w:hAnsi="宋体" w:cs="宋体"/>
                <w:kern w:val="0"/>
              </w:rPr>
            </w:pPr>
            <w:r>
              <w:rPr>
                <w:rFonts w:hint="eastAsia" w:ascii="宋体" w:hAnsi="宋体" w:cs="宋体"/>
                <w:kern w:val="0"/>
              </w:rPr>
              <w:t>发现异常及时联系护士</w:t>
            </w:r>
          </w:p>
        </w:tc>
      </w:tr>
      <w:tr>
        <w:tblPrEx>
          <w:tblCellMar>
            <w:top w:w="0" w:type="dxa"/>
            <w:left w:w="108" w:type="dxa"/>
            <w:bottom w:w="0" w:type="dxa"/>
            <w:right w:w="108" w:type="dxa"/>
          </w:tblCellMar>
        </w:tblPrEx>
        <w:trPr>
          <w:trHeight w:val="450" w:hRule="atLeast"/>
        </w:trPr>
        <w:tc>
          <w:tcPr>
            <w:tcW w:w="90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single" w:color="auto" w:sz="8" w:space="0"/>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安置好床旁床栏，注意安全</w:t>
            </w:r>
          </w:p>
        </w:tc>
        <w:tc>
          <w:tcPr>
            <w:tcW w:w="1260"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宋体" w:cs="宋体"/>
                <w:kern w:val="0"/>
              </w:rPr>
            </w:pPr>
            <w:r>
              <w:rPr>
                <w:rFonts w:hint="eastAsia" w:ascii="宋体" w:hAnsi="宋体" w:cs="宋体"/>
                <w:kern w:val="0"/>
              </w:rPr>
              <w:t>每周至少一次（按需或基础护理日）</w:t>
            </w:r>
          </w:p>
        </w:tc>
        <w:tc>
          <w:tcPr>
            <w:tcW w:w="3600" w:type="dxa"/>
            <w:tcBorders>
              <w:top w:val="single" w:color="auto" w:sz="8" w:space="0"/>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修剪手指甲</w:t>
            </w:r>
          </w:p>
        </w:tc>
      </w:tr>
      <w:tr>
        <w:tblPrEx>
          <w:tblCellMar>
            <w:top w:w="0" w:type="dxa"/>
            <w:left w:w="108" w:type="dxa"/>
            <w:bottom w:w="0" w:type="dxa"/>
            <w:right w:w="108" w:type="dxa"/>
          </w:tblCellMar>
        </w:tblPrEx>
        <w:trPr>
          <w:trHeight w:val="450" w:hRule="atLeast"/>
        </w:trPr>
        <w:tc>
          <w:tcPr>
            <w:tcW w:w="90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single" w:color="auto" w:sz="8" w:space="0"/>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巡视病房，发现异常时及时汇报</w:t>
            </w:r>
          </w:p>
        </w:tc>
        <w:tc>
          <w:tcPr>
            <w:tcW w:w="126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rPr>
            </w:pPr>
          </w:p>
        </w:tc>
        <w:tc>
          <w:tcPr>
            <w:tcW w:w="3600" w:type="dxa"/>
            <w:tcBorders>
              <w:top w:val="single" w:color="auto" w:sz="8" w:space="0"/>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修剪脚趾甲</w:t>
            </w:r>
          </w:p>
        </w:tc>
      </w:tr>
      <w:tr>
        <w:tblPrEx>
          <w:tblCellMar>
            <w:top w:w="0" w:type="dxa"/>
            <w:left w:w="108" w:type="dxa"/>
            <w:bottom w:w="0" w:type="dxa"/>
            <w:right w:w="108" w:type="dxa"/>
          </w:tblCellMar>
        </w:tblPrEx>
        <w:trPr>
          <w:trHeight w:val="450" w:hRule="atLeast"/>
        </w:trPr>
        <w:tc>
          <w:tcPr>
            <w:tcW w:w="90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single" w:color="auto" w:sz="8" w:space="0"/>
              <w:left w:val="nil"/>
              <w:bottom w:val="single" w:color="auto" w:sz="8" w:space="0"/>
              <w:right w:val="single" w:color="auto" w:sz="8" w:space="0"/>
            </w:tcBorders>
            <w:vAlign w:val="center"/>
          </w:tcPr>
          <w:p>
            <w:pPr>
              <w:widowControl/>
              <w:spacing w:line="240" w:lineRule="exact"/>
              <w:jc w:val="left"/>
              <w:rPr>
                <w:rFonts w:ascii="宋体" w:hAnsi="宋体" w:cs="宋体"/>
                <w:kern w:val="0"/>
              </w:rPr>
            </w:pPr>
          </w:p>
        </w:tc>
        <w:tc>
          <w:tcPr>
            <w:tcW w:w="126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rPr>
            </w:pPr>
          </w:p>
        </w:tc>
        <w:tc>
          <w:tcPr>
            <w:tcW w:w="3600" w:type="dxa"/>
            <w:tcBorders>
              <w:top w:val="single" w:color="auto" w:sz="8" w:space="0"/>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洗头</w:t>
            </w:r>
          </w:p>
        </w:tc>
      </w:tr>
    </w:tbl>
    <w:p>
      <w:pPr>
        <w:spacing w:line="360" w:lineRule="auto"/>
        <w:rPr>
          <w:rFonts w:ascii="宋体" w:hAnsi="宋体" w:cs="宋体"/>
          <w:b/>
          <w:bCs/>
        </w:rPr>
      </w:pPr>
      <w:r>
        <w:rPr>
          <w:rFonts w:hint="eastAsia" w:ascii="宋体" w:hAnsi="宋体" w:cs="宋体"/>
          <w:sz w:val="24"/>
          <w:szCs w:val="24"/>
        </w:rPr>
        <w:t xml:space="preserve">  </w:t>
      </w:r>
      <w:r>
        <w:rPr>
          <w:rFonts w:hint="eastAsia" w:ascii="宋体" w:hAnsi="宋体" w:cs="宋体"/>
          <w:b/>
          <w:bCs/>
          <w:sz w:val="24"/>
          <w:szCs w:val="24"/>
        </w:rPr>
        <w:t xml:space="preserve">  4.3</w:t>
      </w:r>
      <w:r>
        <w:rPr>
          <w:rFonts w:hint="eastAsia" w:ascii="宋体" w:hAnsi="宋体" w:cs="宋体"/>
          <w:b/>
          <w:bCs/>
          <w:color w:val="000000"/>
          <w:sz w:val="24"/>
          <w:szCs w:val="24"/>
        </w:rPr>
        <w:t>母婴护理分层级服务内容（产科专科服务）</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700"/>
        <w:gridCol w:w="3680"/>
        <w:gridCol w:w="2020"/>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700" w:type="dxa"/>
            <w:shd w:val="clear" w:color="auto" w:fill="auto"/>
            <w:vAlign w:val="center"/>
          </w:tcPr>
          <w:p>
            <w:pPr>
              <w:jc w:val="center"/>
              <w:rPr>
                <w:rFonts w:ascii="宋体" w:hAnsi="宋体" w:cs="宋体"/>
                <w:b/>
                <w:bCs/>
                <w:sz w:val="24"/>
                <w:szCs w:val="24"/>
              </w:rPr>
            </w:pPr>
            <w:r>
              <w:rPr>
                <w:rFonts w:hint="eastAsia" w:ascii="宋体" w:hAnsi="宋体" w:cs="宋体"/>
                <w:b/>
                <w:bCs/>
                <w:color w:val="000000"/>
                <w:sz w:val="24"/>
                <w:szCs w:val="24"/>
              </w:rPr>
              <w:t>工种</w:t>
            </w:r>
          </w:p>
        </w:tc>
        <w:tc>
          <w:tcPr>
            <w:tcW w:w="3680" w:type="dxa"/>
            <w:shd w:val="clear" w:color="auto" w:fill="auto"/>
            <w:vAlign w:val="center"/>
          </w:tcPr>
          <w:p>
            <w:pPr>
              <w:jc w:val="center"/>
              <w:rPr>
                <w:rFonts w:ascii="宋体" w:hAnsi="宋体" w:cs="宋体"/>
                <w:b/>
                <w:bCs/>
                <w:sz w:val="24"/>
                <w:szCs w:val="24"/>
              </w:rPr>
            </w:pPr>
            <w:r>
              <w:rPr>
                <w:rFonts w:hint="eastAsia" w:ascii="宋体" w:hAnsi="宋体" w:cs="宋体"/>
                <w:b/>
                <w:bCs/>
                <w:color w:val="000000"/>
                <w:sz w:val="24"/>
                <w:szCs w:val="24"/>
              </w:rPr>
              <w:t>服务内容</w:t>
            </w:r>
          </w:p>
        </w:tc>
        <w:tc>
          <w:tcPr>
            <w:tcW w:w="2020" w:type="dxa"/>
            <w:shd w:val="clear" w:color="auto" w:fill="auto"/>
            <w:vAlign w:val="center"/>
          </w:tcPr>
          <w:p>
            <w:pPr>
              <w:jc w:val="center"/>
              <w:rPr>
                <w:rFonts w:ascii="宋体" w:hAnsi="宋体" w:cs="宋体"/>
                <w:b/>
                <w:bCs/>
                <w:sz w:val="24"/>
                <w:szCs w:val="24"/>
              </w:rPr>
            </w:pPr>
            <w:r>
              <w:rPr>
                <w:rFonts w:hint="eastAsia" w:ascii="宋体" w:hAnsi="宋体" w:cs="宋体"/>
                <w:b/>
                <w:bCs/>
                <w:color w:val="000000"/>
                <w:sz w:val="24"/>
                <w:szCs w:val="24"/>
              </w:rPr>
              <w:t>专业技能要求</w:t>
            </w:r>
          </w:p>
        </w:tc>
        <w:tc>
          <w:tcPr>
            <w:tcW w:w="1880" w:type="dxa"/>
            <w:shd w:val="clear" w:color="auto" w:fill="auto"/>
            <w:vAlign w:val="center"/>
          </w:tcPr>
          <w:p>
            <w:pPr>
              <w:jc w:val="center"/>
              <w:rPr>
                <w:rFonts w:ascii="宋体" w:hAnsi="宋体" w:cs="宋体"/>
                <w:b/>
                <w:bCs/>
                <w:sz w:val="24"/>
                <w:szCs w:val="24"/>
              </w:rPr>
            </w:pPr>
            <w:r>
              <w:rPr>
                <w:rFonts w:hint="eastAsia" w:ascii="宋体" w:hAnsi="宋体" w:cs="宋体"/>
                <w:b/>
                <w:bCs/>
                <w:color w:val="000000"/>
                <w:sz w:val="24"/>
                <w:szCs w:val="24"/>
              </w:rPr>
              <w:t>耗费时间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jc w:val="center"/>
        </w:trPr>
        <w:tc>
          <w:tcPr>
            <w:tcW w:w="1700" w:type="dxa"/>
            <w:vMerge w:val="restart"/>
            <w:vAlign w:val="center"/>
          </w:tcPr>
          <w:p>
            <w:pPr>
              <w:jc w:val="center"/>
              <w:rPr>
                <w:rFonts w:ascii="宋体" w:hAnsi="宋体" w:cs="宋体"/>
              </w:rPr>
            </w:pPr>
            <w:r>
              <w:rPr>
                <w:rFonts w:hint="eastAsia" w:ascii="宋体" w:hAnsi="宋体" w:cs="宋体"/>
                <w:color w:val="000000"/>
              </w:rPr>
              <w:t>护士</w:t>
            </w:r>
          </w:p>
        </w:tc>
        <w:tc>
          <w:tcPr>
            <w:tcW w:w="3680" w:type="dxa"/>
            <w:vAlign w:val="center"/>
          </w:tcPr>
          <w:p>
            <w:pPr>
              <w:ind w:left="40"/>
              <w:rPr>
                <w:rFonts w:ascii="宋体" w:hAnsi="宋体" w:cs="宋体"/>
              </w:rPr>
            </w:pPr>
            <w:r>
              <w:rPr>
                <w:rFonts w:hint="eastAsia" w:ascii="宋体" w:hAnsi="宋体" w:cs="宋体"/>
                <w:color w:val="000000"/>
              </w:rPr>
              <w:t>新生儿洗澡</w:t>
            </w:r>
          </w:p>
        </w:tc>
        <w:tc>
          <w:tcPr>
            <w:tcW w:w="2020" w:type="dxa"/>
            <w:vAlign w:val="center"/>
          </w:tcPr>
          <w:p>
            <w:pPr>
              <w:jc w:val="center"/>
              <w:rPr>
                <w:rFonts w:ascii="宋体" w:hAnsi="宋体" w:cs="宋体"/>
              </w:rPr>
            </w:pPr>
            <w:r>
              <w:rPr>
                <w:rFonts w:hint="eastAsia" w:ascii="宋体" w:hAnsi="宋体" w:cs="宋体"/>
                <w:color w:val="000000"/>
              </w:rPr>
              <w:t>++++</w:t>
            </w:r>
          </w:p>
        </w:tc>
        <w:tc>
          <w:tcPr>
            <w:tcW w:w="1880" w:type="dxa"/>
            <w:vAlign w:val="center"/>
          </w:tcPr>
          <w:p>
            <w:pPr>
              <w:jc w:val="center"/>
              <w:rPr>
                <w:rFonts w:ascii="宋体" w:hAnsi="宋体" w:cs="宋体"/>
              </w:rPr>
            </w:pP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700" w:type="dxa"/>
            <w:vMerge w:val="continue"/>
            <w:vAlign w:val="center"/>
          </w:tcPr>
          <w:p>
            <w:pPr>
              <w:rPr>
                <w:rFonts w:ascii="宋体" w:hAnsi="宋体" w:cs="宋体"/>
              </w:rPr>
            </w:pPr>
          </w:p>
        </w:tc>
        <w:tc>
          <w:tcPr>
            <w:tcW w:w="3680" w:type="dxa"/>
            <w:vAlign w:val="center"/>
          </w:tcPr>
          <w:p>
            <w:pPr>
              <w:ind w:left="40"/>
              <w:rPr>
                <w:rFonts w:ascii="宋体" w:hAnsi="宋体" w:cs="宋体"/>
              </w:rPr>
            </w:pPr>
            <w:r>
              <w:rPr>
                <w:rFonts w:hint="eastAsia" w:ascii="宋体" w:hAnsi="宋体" w:cs="宋体"/>
                <w:color w:val="000000"/>
              </w:rPr>
              <w:t>新生儿抚触</w:t>
            </w:r>
          </w:p>
        </w:tc>
        <w:tc>
          <w:tcPr>
            <w:tcW w:w="2020" w:type="dxa"/>
            <w:vAlign w:val="center"/>
          </w:tcPr>
          <w:p>
            <w:pPr>
              <w:jc w:val="center"/>
              <w:rPr>
                <w:rFonts w:ascii="宋体" w:hAnsi="宋体" w:cs="宋体"/>
              </w:rPr>
            </w:pPr>
            <w:r>
              <w:rPr>
                <w:rFonts w:hint="eastAsia" w:ascii="宋体" w:hAnsi="宋体" w:cs="宋体"/>
                <w:color w:val="000000"/>
              </w:rPr>
              <w:t>+++</w:t>
            </w:r>
          </w:p>
        </w:tc>
        <w:tc>
          <w:tcPr>
            <w:tcW w:w="1880" w:type="dxa"/>
            <w:vAlign w:val="center"/>
          </w:tcPr>
          <w:p>
            <w:pPr>
              <w:jc w:val="center"/>
              <w:rPr>
                <w:rFonts w:ascii="宋体" w:hAnsi="宋体" w:cs="宋体"/>
              </w:rPr>
            </w:pP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700" w:type="dxa"/>
            <w:vMerge w:val="continue"/>
            <w:vAlign w:val="center"/>
          </w:tcPr>
          <w:p>
            <w:pPr>
              <w:rPr>
                <w:rFonts w:ascii="宋体" w:hAnsi="宋体" w:cs="宋体"/>
              </w:rPr>
            </w:pPr>
          </w:p>
        </w:tc>
        <w:tc>
          <w:tcPr>
            <w:tcW w:w="3680" w:type="dxa"/>
            <w:vAlign w:val="center"/>
          </w:tcPr>
          <w:p>
            <w:pPr>
              <w:ind w:left="60"/>
              <w:rPr>
                <w:rFonts w:ascii="宋体" w:hAnsi="宋体" w:cs="宋体"/>
              </w:rPr>
            </w:pPr>
            <w:r>
              <w:rPr>
                <w:rFonts w:hint="eastAsia" w:ascii="宋体" w:hAnsi="宋体" w:cs="宋体"/>
                <w:color w:val="000000"/>
              </w:rPr>
              <w:t>乳房按摩及挤奶</w:t>
            </w:r>
          </w:p>
        </w:tc>
        <w:tc>
          <w:tcPr>
            <w:tcW w:w="2020" w:type="dxa"/>
            <w:vAlign w:val="center"/>
          </w:tcPr>
          <w:p>
            <w:pPr>
              <w:jc w:val="center"/>
              <w:rPr>
                <w:rFonts w:ascii="宋体" w:hAnsi="宋体" w:cs="宋体"/>
              </w:rPr>
            </w:pPr>
            <w:r>
              <w:rPr>
                <w:rFonts w:hint="eastAsia" w:ascii="宋体" w:hAnsi="宋体" w:cs="宋体"/>
                <w:color w:val="000000"/>
              </w:rPr>
              <w:t>+++</w:t>
            </w:r>
          </w:p>
        </w:tc>
        <w:tc>
          <w:tcPr>
            <w:tcW w:w="1880" w:type="dxa"/>
            <w:vAlign w:val="center"/>
          </w:tcPr>
          <w:p>
            <w:pPr>
              <w:jc w:val="center"/>
              <w:rPr>
                <w:rFonts w:ascii="宋体" w:hAnsi="宋体" w:cs="宋体"/>
              </w:rPr>
            </w:pP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700" w:type="dxa"/>
            <w:vMerge w:val="continue"/>
            <w:vAlign w:val="center"/>
          </w:tcPr>
          <w:p>
            <w:pPr>
              <w:rPr>
                <w:rFonts w:ascii="宋体" w:hAnsi="宋体" w:cs="宋体"/>
              </w:rPr>
            </w:pPr>
          </w:p>
        </w:tc>
        <w:tc>
          <w:tcPr>
            <w:tcW w:w="3680" w:type="dxa"/>
            <w:vAlign w:val="center"/>
          </w:tcPr>
          <w:p>
            <w:pPr>
              <w:ind w:left="80"/>
              <w:rPr>
                <w:rFonts w:ascii="宋体" w:hAnsi="宋体" w:cs="宋体"/>
              </w:rPr>
            </w:pPr>
            <w:r>
              <w:rPr>
                <w:rFonts w:hint="eastAsia" w:ascii="宋体" w:hAnsi="宋体" w:cs="宋体"/>
                <w:color w:val="000000"/>
              </w:rPr>
              <w:t>会阴护理</w:t>
            </w:r>
          </w:p>
        </w:tc>
        <w:tc>
          <w:tcPr>
            <w:tcW w:w="2020" w:type="dxa"/>
            <w:vAlign w:val="center"/>
          </w:tcPr>
          <w:p>
            <w:pPr>
              <w:jc w:val="center"/>
              <w:rPr>
                <w:rFonts w:ascii="宋体" w:hAnsi="宋体" w:cs="宋体"/>
              </w:rPr>
            </w:pPr>
            <w:r>
              <w:rPr>
                <w:rFonts w:hint="eastAsia" w:ascii="宋体" w:hAnsi="宋体" w:cs="宋体"/>
                <w:color w:val="000000"/>
              </w:rPr>
              <w:t>+++</w:t>
            </w:r>
          </w:p>
        </w:tc>
        <w:tc>
          <w:tcPr>
            <w:tcW w:w="1880" w:type="dxa"/>
            <w:vAlign w:val="center"/>
          </w:tcPr>
          <w:p>
            <w:pPr>
              <w:jc w:val="center"/>
              <w:rPr>
                <w:rFonts w:ascii="宋体" w:hAnsi="宋体" w:cs="宋体"/>
              </w:rPr>
            </w:pP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700" w:type="dxa"/>
            <w:vMerge w:val="continue"/>
            <w:vAlign w:val="center"/>
          </w:tcPr>
          <w:p>
            <w:pPr>
              <w:rPr>
                <w:rFonts w:ascii="宋体" w:hAnsi="宋体" w:cs="宋体"/>
              </w:rPr>
            </w:pPr>
          </w:p>
        </w:tc>
        <w:tc>
          <w:tcPr>
            <w:tcW w:w="3680" w:type="dxa"/>
            <w:vAlign w:val="center"/>
          </w:tcPr>
          <w:p>
            <w:pPr>
              <w:ind w:left="80"/>
              <w:rPr>
                <w:rFonts w:ascii="宋体" w:hAnsi="宋体" w:cs="宋体"/>
              </w:rPr>
            </w:pPr>
            <w:r>
              <w:rPr>
                <w:rFonts w:hint="eastAsia" w:ascii="宋体" w:hAnsi="宋体" w:cs="宋体"/>
                <w:color w:val="000000"/>
              </w:rPr>
              <w:t>新生儿口腔护理</w:t>
            </w:r>
          </w:p>
        </w:tc>
        <w:tc>
          <w:tcPr>
            <w:tcW w:w="2020" w:type="dxa"/>
            <w:vAlign w:val="center"/>
          </w:tcPr>
          <w:p>
            <w:pPr>
              <w:jc w:val="center"/>
              <w:rPr>
                <w:rFonts w:ascii="宋体" w:hAnsi="宋体" w:cs="宋体"/>
              </w:rPr>
            </w:pPr>
            <w:r>
              <w:rPr>
                <w:rFonts w:hint="eastAsia" w:ascii="宋体" w:hAnsi="宋体" w:cs="宋体"/>
                <w:color w:val="000000"/>
              </w:rPr>
              <w:t>+++</w:t>
            </w:r>
          </w:p>
        </w:tc>
        <w:tc>
          <w:tcPr>
            <w:tcW w:w="1880" w:type="dxa"/>
            <w:vAlign w:val="center"/>
          </w:tcPr>
          <w:p>
            <w:pPr>
              <w:jc w:val="center"/>
              <w:rPr>
                <w:rFonts w:ascii="宋体" w:hAnsi="宋体" w:cs="宋体"/>
              </w:rPr>
            </w:pP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700" w:type="dxa"/>
            <w:vMerge w:val="continue"/>
            <w:vAlign w:val="center"/>
          </w:tcPr>
          <w:p>
            <w:pPr>
              <w:rPr>
                <w:rFonts w:ascii="宋体" w:hAnsi="宋体" w:cs="宋体"/>
              </w:rPr>
            </w:pPr>
          </w:p>
        </w:tc>
        <w:tc>
          <w:tcPr>
            <w:tcW w:w="3680" w:type="dxa"/>
            <w:vAlign w:val="center"/>
          </w:tcPr>
          <w:p>
            <w:pPr>
              <w:ind w:left="80"/>
              <w:rPr>
                <w:rFonts w:ascii="宋体" w:hAnsi="宋体" w:cs="宋体"/>
              </w:rPr>
            </w:pPr>
            <w:r>
              <w:rPr>
                <w:rFonts w:hint="eastAsia" w:ascii="宋体" w:hAnsi="宋体" w:cs="宋体"/>
                <w:color w:val="000000"/>
              </w:rPr>
              <w:t>新生儿眼部护理</w:t>
            </w:r>
          </w:p>
        </w:tc>
        <w:tc>
          <w:tcPr>
            <w:tcW w:w="2020" w:type="dxa"/>
            <w:vAlign w:val="center"/>
          </w:tcPr>
          <w:p>
            <w:pPr>
              <w:jc w:val="center"/>
              <w:rPr>
                <w:rFonts w:ascii="宋体" w:hAnsi="宋体" w:cs="宋体"/>
              </w:rPr>
            </w:pPr>
            <w:r>
              <w:rPr>
                <w:rFonts w:hint="eastAsia" w:ascii="宋体" w:hAnsi="宋体" w:cs="宋体"/>
                <w:color w:val="000000"/>
              </w:rPr>
              <w:t>++++</w:t>
            </w:r>
          </w:p>
        </w:tc>
        <w:tc>
          <w:tcPr>
            <w:tcW w:w="1880" w:type="dxa"/>
            <w:vAlign w:val="center"/>
          </w:tcPr>
          <w:p>
            <w:pPr>
              <w:jc w:val="center"/>
              <w:rPr>
                <w:rFonts w:ascii="宋体" w:hAnsi="宋体" w:cs="宋体"/>
              </w:rPr>
            </w:pP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jc w:val="center"/>
        </w:trPr>
        <w:tc>
          <w:tcPr>
            <w:tcW w:w="1700" w:type="dxa"/>
            <w:vMerge w:val="continue"/>
            <w:vAlign w:val="center"/>
          </w:tcPr>
          <w:p>
            <w:pPr>
              <w:rPr>
                <w:rFonts w:ascii="宋体" w:hAnsi="宋体" w:cs="宋体"/>
              </w:rPr>
            </w:pPr>
          </w:p>
        </w:tc>
        <w:tc>
          <w:tcPr>
            <w:tcW w:w="3680" w:type="dxa"/>
            <w:vAlign w:val="center"/>
          </w:tcPr>
          <w:p>
            <w:pPr>
              <w:ind w:left="80"/>
              <w:rPr>
                <w:rFonts w:ascii="宋体" w:hAnsi="宋体" w:cs="宋体"/>
              </w:rPr>
            </w:pPr>
            <w:r>
              <w:rPr>
                <w:rFonts w:hint="eastAsia" w:ascii="宋体" w:hAnsi="宋体" w:cs="宋体"/>
                <w:color w:val="000000"/>
              </w:rPr>
              <w:t>新生儿脐部护理</w:t>
            </w:r>
          </w:p>
        </w:tc>
        <w:tc>
          <w:tcPr>
            <w:tcW w:w="2020" w:type="dxa"/>
            <w:vAlign w:val="center"/>
          </w:tcPr>
          <w:p>
            <w:pPr>
              <w:jc w:val="center"/>
              <w:rPr>
                <w:rFonts w:ascii="宋体" w:hAnsi="宋体" w:cs="宋体"/>
              </w:rPr>
            </w:pPr>
            <w:r>
              <w:rPr>
                <w:rFonts w:hint="eastAsia" w:ascii="宋体" w:hAnsi="宋体" w:cs="宋体"/>
                <w:color w:val="000000"/>
              </w:rPr>
              <w:t>++++</w:t>
            </w:r>
          </w:p>
        </w:tc>
        <w:tc>
          <w:tcPr>
            <w:tcW w:w="1880" w:type="dxa"/>
            <w:vAlign w:val="center"/>
          </w:tcPr>
          <w:p>
            <w:pPr>
              <w:jc w:val="center"/>
              <w:rPr>
                <w:rFonts w:ascii="宋体" w:hAnsi="宋体" w:cs="宋体"/>
              </w:rPr>
            </w:pP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1700" w:type="dxa"/>
            <w:vMerge w:val="restart"/>
            <w:vAlign w:val="center"/>
          </w:tcPr>
          <w:p>
            <w:pPr>
              <w:jc w:val="center"/>
              <w:rPr>
                <w:rFonts w:ascii="宋体" w:hAnsi="宋体" w:cs="宋体"/>
              </w:rPr>
            </w:pPr>
            <w:r>
              <w:rPr>
                <w:rFonts w:hint="eastAsia" w:ascii="宋体" w:hAnsi="宋体" w:cs="宋体"/>
                <w:color w:val="000000"/>
              </w:rPr>
              <w:t>护理员</w:t>
            </w:r>
          </w:p>
        </w:tc>
        <w:tc>
          <w:tcPr>
            <w:tcW w:w="3680" w:type="dxa"/>
            <w:vAlign w:val="center"/>
          </w:tcPr>
          <w:p>
            <w:pPr>
              <w:ind w:left="100"/>
              <w:rPr>
                <w:rFonts w:ascii="宋体" w:hAnsi="宋体" w:cs="宋体"/>
              </w:rPr>
            </w:pPr>
            <w:r>
              <w:rPr>
                <w:rFonts w:hint="eastAsia" w:ascii="宋体" w:hAnsi="宋体" w:cs="宋体"/>
                <w:color w:val="000000"/>
              </w:rPr>
              <w:t>孕产妇晨晚间生活照护</w:t>
            </w:r>
          </w:p>
        </w:tc>
        <w:tc>
          <w:tcPr>
            <w:tcW w:w="2020" w:type="dxa"/>
            <w:vAlign w:val="center"/>
          </w:tcPr>
          <w:p>
            <w:pPr>
              <w:jc w:val="center"/>
              <w:rPr>
                <w:rFonts w:ascii="宋体" w:hAnsi="宋体" w:cs="宋体"/>
              </w:rPr>
            </w:pPr>
            <w:r>
              <w:rPr>
                <w:rFonts w:hint="eastAsia" w:ascii="宋体" w:hAnsi="宋体" w:cs="宋体"/>
                <w:color w:val="000000"/>
              </w:rPr>
              <w:t>+</w:t>
            </w:r>
          </w:p>
        </w:tc>
        <w:tc>
          <w:tcPr>
            <w:tcW w:w="1880" w:type="dxa"/>
            <w:vAlign w:val="center"/>
          </w:tcPr>
          <w:p>
            <w:pPr>
              <w:jc w:val="center"/>
              <w:rPr>
                <w:rFonts w:ascii="宋体" w:hAnsi="宋体" w:cs="宋体"/>
              </w:rPr>
            </w:pP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700" w:type="dxa"/>
            <w:vMerge w:val="continue"/>
            <w:vAlign w:val="center"/>
          </w:tcPr>
          <w:p>
            <w:pPr>
              <w:rPr>
                <w:rFonts w:ascii="宋体" w:hAnsi="宋体" w:cs="宋体"/>
              </w:rPr>
            </w:pPr>
          </w:p>
        </w:tc>
        <w:tc>
          <w:tcPr>
            <w:tcW w:w="3680" w:type="dxa"/>
            <w:vAlign w:val="center"/>
          </w:tcPr>
          <w:p>
            <w:pPr>
              <w:ind w:left="100"/>
              <w:rPr>
                <w:rFonts w:ascii="宋体" w:hAnsi="宋体" w:cs="宋体"/>
              </w:rPr>
            </w:pPr>
            <w:r>
              <w:rPr>
                <w:rFonts w:hint="eastAsia" w:ascii="宋体" w:hAnsi="宋体" w:cs="宋体"/>
                <w:color w:val="000000"/>
              </w:rPr>
              <w:t>病房整理（含床单元）</w:t>
            </w:r>
          </w:p>
        </w:tc>
        <w:tc>
          <w:tcPr>
            <w:tcW w:w="2020" w:type="dxa"/>
            <w:vAlign w:val="center"/>
          </w:tcPr>
          <w:p>
            <w:pPr>
              <w:jc w:val="center"/>
              <w:rPr>
                <w:rFonts w:ascii="宋体" w:hAnsi="宋体" w:cs="宋体"/>
              </w:rPr>
            </w:pPr>
            <w:r>
              <w:rPr>
                <w:rFonts w:hint="eastAsia" w:ascii="宋体" w:hAnsi="宋体" w:cs="宋体"/>
                <w:color w:val="000000"/>
              </w:rPr>
              <w:t>+</w:t>
            </w:r>
          </w:p>
        </w:tc>
        <w:tc>
          <w:tcPr>
            <w:tcW w:w="1880" w:type="dxa"/>
            <w:vAlign w:val="center"/>
          </w:tcPr>
          <w:p>
            <w:pPr>
              <w:jc w:val="center"/>
              <w:rPr>
                <w:rFonts w:ascii="宋体" w:hAnsi="宋体" w:cs="宋体"/>
              </w:rPr>
            </w:pP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jc w:val="center"/>
        </w:trPr>
        <w:tc>
          <w:tcPr>
            <w:tcW w:w="1700" w:type="dxa"/>
            <w:vMerge w:val="continue"/>
            <w:vAlign w:val="center"/>
          </w:tcPr>
          <w:p>
            <w:pPr>
              <w:rPr>
                <w:rFonts w:ascii="宋体" w:hAnsi="宋体" w:cs="宋体"/>
              </w:rPr>
            </w:pPr>
          </w:p>
        </w:tc>
        <w:tc>
          <w:tcPr>
            <w:tcW w:w="3680" w:type="dxa"/>
            <w:vAlign w:val="center"/>
          </w:tcPr>
          <w:p>
            <w:pPr>
              <w:ind w:left="120"/>
              <w:rPr>
                <w:rFonts w:ascii="宋体" w:hAnsi="宋体" w:cs="宋体"/>
              </w:rPr>
            </w:pPr>
            <w:r>
              <w:rPr>
                <w:rFonts w:hint="eastAsia" w:ascii="宋体" w:hAnsi="宋体" w:cs="宋体"/>
                <w:color w:val="000000"/>
              </w:rPr>
              <w:t>用餐准备（餐具清洗）</w:t>
            </w:r>
          </w:p>
        </w:tc>
        <w:tc>
          <w:tcPr>
            <w:tcW w:w="2020" w:type="dxa"/>
            <w:vAlign w:val="center"/>
          </w:tcPr>
          <w:p>
            <w:pPr>
              <w:jc w:val="center"/>
              <w:rPr>
                <w:rFonts w:ascii="宋体" w:hAnsi="宋体" w:cs="宋体"/>
              </w:rPr>
            </w:pPr>
            <w:r>
              <w:rPr>
                <w:rFonts w:hint="eastAsia" w:ascii="宋体" w:hAnsi="宋体" w:cs="宋体"/>
                <w:color w:val="000000"/>
              </w:rPr>
              <w:t>+</w:t>
            </w:r>
          </w:p>
        </w:tc>
        <w:tc>
          <w:tcPr>
            <w:tcW w:w="1880" w:type="dxa"/>
            <w:vAlign w:val="center"/>
          </w:tcPr>
          <w:p>
            <w:pPr>
              <w:jc w:val="center"/>
              <w:rPr>
                <w:rFonts w:ascii="宋体" w:hAnsi="宋体" w:cs="宋体"/>
              </w:rPr>
            </w:pP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jc w:val="center"/>
        </w:trPr>
        <w:tc>
          <w:tcPr>
            <w:tcW w:w="1700" w:type="dxa"/>
            <w:vMerge w:val="continue"/>
            <w:vAlign w:val="center"/>
          </w:tcPr>
          <w:p>
            <w:pPr>
              <w:rPr>
                <w:rFonts w:ascii="宋体" w:hAnsi="宋体" w:cs="宋体"/>
              </w:rPr>
            </w:pPr>
          </w:p>
        </w:tc>
        <w:tc>
          <w:tcPr>
            <w:tcW w:w="3680" w:type="dxa"/>
            <w:vAlign w:val="center"/>
          </w:tcPr>
          <w:p>
            <w:pPr>
              <w:ind w:left="100"/>
              <w:rPr>
                <w:rFonts w:ascii="宋体" w:hAnsi="宋体" w:cs="宋体"/>
              </w:rPr>
            </w:pPr>
            <w:r>
              <w:rPr>
                <w:rFonts w:hint="eastAsia" w:ascii="宋体" w:hAnsi="宋体" w:cs="宋体"/>
                <w:color w:val="000000"/>
              </w:rPr>
              <w:t>床上擦浴及更衣或床上洗头</w:t>
            </w:r>
          </w:p>
        </w:tc>
        <w:tc>
          <w:tcPr>
            <w:tcW w:w="2020" w:type="dxa"/>
            <w:vAlign w:val="center"/>
          </w:tcPr>
          <w:p>
            <w:pPr>
              <w:jc w:val="center"/>
              <w:rPr>
                <w:rFonts w:ascii="宋体" w:hAnsi="宋体" w:cs="宋体"/>
              </w:rPr>
            </w:pPr>
            <w:r>
              <w:rPr>
                <w:rFonts w:hint="eastAsia" w:ascii="宋体" w:hAnsi="宋体" w:cs="宋体"/>
                <w:color w:val="000000"/>
              </w:rPr>
              <w:t>+</w:t>
            </w:r>
          </w:p>
        </w:tc>
        <w:tc>
          <w:tcPr>
            <w:tcW w:w="1880" w:type="dxa"/>
            <w:vAlign w:val="center"/>
          </w:tcPr>
          <w:p>
            <w:pPr>
              <w:jc w:val="center"/>
              <w:rPr>
                <w:rFonts w:ascii="宋体" w:hAnsi="宋体" w:cs="宋体"/>
              </w:rPr>
            </w:pP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1700" w:type="dxa"/>
            <w:vMerge w:val="continue"/>
            <w:vAlign w:val="center"/>
          </w:tcPr>
          <w:p>
            <w:pPr>
              <w:rPr>
                <w:rFonts w:ascii="宋体" w:hAnsi="宋体" w:cs="宋体"/>
              </w:rPr>
            </w:pPr>
          </w:p>
        </w:tc>
        <w:tc>
          <w:tcPr>
            <w:tcW w:w="3680" w:type="dxa"/>
            <w:vAlign w:val="center"/>
          </w:tcPr>
          <w:p>
            <w:pPr>
              <w:ind w:left="140"/>
              <w:rPr>
                <w:rFonts w:ascii="宋体" w:hAnsi="宋体" w:cs="宋体"/>
              </w:rPr>
            </w:pPr>
            <w:r>
              <w:rPr>
                <w:rFonts w:hint="eastAsia" w:ascii="宋体" w:hAnsi="宋体" w:cs="宋体"/>
                <w:color w:val="000000"/>
              </w:rPr>
              <w:t>产妇会阴清洁</w:t>
            </w:r>
          </w:p>
        </w:tc>
        <w:tc>
          <w:tcPr>
            <w:tcW w:w="2020" w:type="dxa"/>
            <w:vAlign w:val="center"/>
          </w:tcPr>
          <w:p>
            <w:pPr>
              <w:jc w:val="center"/>
              <w:rPr>
                <w:rFonts w:ascii="宋体" w:hAnsi="宋体" w:cs="宋体"/>
              </w:rPr>
            </w:pPr>
            <w:r>
              <w:rPr>
                <w:rFonts w:hint="eastAsia" w:ascii="宋体" w:hAnsi="宋体" w:cs="宋体"/>
                <w:color w:val="000000"/>
              </w:rPr>
              <w:t>+</w:t>
            </w:r>
          </w:p>
        </w:tc>
        <w:tc>
          <w:tcPr>
            <w:tcW w:w="1880" w:type="dxa"/>
            <w:vAlign w:val="center"/>
          </w:tcPr>
          <w:p>
            <w:pPr>
              <w:jc w:val="center"/>
              <w:rPr>
                <w:rFonts w:ascii="宋体" w:hAnsi="宋体" w:cs="宋体"/>
              </w:rPr>
            </w:pP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700" w:type="dxa"/>
            <w:vMerge w:val="continue"/>
            <w:vAlign w:val="center"/>
          </w:tcPr>
          <w:p>
            <w:pPr>
              <w:rPr>
                <w:rFonts w:ascii="宋体" w:hAnsi="宋体" w:cs="宋体"/>
              </w:rPr>
            </w:pPr>
          </w:p>
        </w:tc>
        <w:tc>
          <w:tcPr>
            <w:tcW w:w="3680" w:type="dxa"/>
            <w:vAlign w:val="center"/>
          </w:tcPr>
          <w:p>
            <w:pPr>
              <w:ind w:left="120"/>
              <w:rPr>
                <w:rFonts w:ascii="宋体" w:hAnsi="宋体" w:cs="宋体"/>
              </w:rPr>
            </w:pPr>
            <w:r>
              <w:rPr>
                <w:rFonts w:hint="eastAsia" w:ascii="宋体" w:hAnsi="宋体" w:cs="宋体"/>
                <w:color w:val="000000"/>
              </w:rPr>
              <w:t>协助孕产妇大小便</w:t>
            </w:r>
          </w:p>
        </w:tc>
        <w:tc>
          <w:tcPr>
            <w:tcW w:w="2020" w:type="dxa"/>
            <w:vAlign w:val="center"/>
          </w:tcPr>
          <w:p>
            <w:pPr>
              <w:jc w:val="center"/>
              <w:rPr>
                <w:rFonts w:ascii="宋体" w:hAnsi="宋体" w:cs="宋体"/>
              </w:rPr>
            </w:pPr>
            <w:r>
              <w:rPr>
                <w:rFonts w:hint="eastAsia" w:ascii="宋体" w:hAnsi="宋体" w:cs="宋体"/>
                <w:color w:val="000000"/>
              </w:rPr>
              <w:t>+</w:t>
            </w:r>
          </w:p>
        </w:tc>
        <w:tc>
          <w:tcPr>
            <w:tcW w:w="1880" w:type="dxa"/>
            <w:vAlign w:val="center"/>
          </w:tcPr>
          <w:p>
            <w:pPr>
              <w:jc w:val="center"/>
              <w:rPr>
                <w:rFonts w:ascii="宋体" w:hAnsi="宋体" w:cs="宋体"/>
              </w:rPr>
            </w:pP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jc w:val="center"/>
        </w:trPr>
        <w:tc>
          <w:tcPr>
            <w:tcW w:w="1700" w:type="dxa"/>
            <w:vMerge w:val="continue"/>
            <w:vAlign w:val="center"/>
          </w:tcPr>
          <w:p>
            <w:pPr>
              <w:rPr>
                <w:rFonts w:ascii="宋体" w:hAnsi="宋体" w:cs="宋体"/>
              </w:rPr>
            </w:pPr>
          </w:p>
        </w:tc>
        <w:tc>
          <w:tcPr>
            <w:tcW w:w="3680" w:type="dxa"/>
            <w:vAlign w:val="center"/>
          </w:tcPr>
          <w:p>
            <w:pPr>
              <w:ind w:left="80"/>
              <w:rPr>
                <w:rFonts w:ascii="宋体" w:hAnsi="宋体" w:cs="宋体"/>
              </w:rPr>
            </w:pPr>
            <w:r>
              <w:rPr>
                <w:rFonts w:hint="eastAsia" w:ascii="宋体" w:hAnsi="宋体" w:cs="宋体"/>
                <w:color w:val="000000"/>
              </w:rPr>
              <w:t>协助产妇乳房按摩及挤奶</w:t>
            </w:r>
          </w:p>
        </w:tc>
        <w:tc>
          <w:tcPr>
            <w:tcW w:w="2020" w:type="dxa"/>
            <w:vAlign w:val="center"/>
          </w:tcPr>
          <w:p>
            <w:pPr>
              <w:jc w:val="center"/>
              <w:rPr>
                <w:rFonts w:ascii="宋体" w:hAnsi="宋体" w:cs="宋体"/>
              </w:rPr>
            </w:pPr>
            <w:r>
              <w:rPr>
                <w:rFonts w:hint="eastAsia" w:ascii="宋体" w:hAnsi="宋体" w:cs="宋体"/>
                <w:color w:val="000000"/>
              </w:rPr>
              <w:t>++</w:t>
            </w:r>
          </w:p>
        </w:tc>
        <w:tc>
          <w:tcPr>
            <w:tcW w:w="1880" w:type="dxa"/>
            <w:vAlign w:val="center"/>
          </w:tcPr>
          <w:p>
            <w:pPr>
              <w:jc w:val="center"/>
              <w:rPr>
                <w:rFonts w:ascii="宋体" w:hAnsi="宋体" w:cs="宋体"/>
              </w:rPr>
            </w:pP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center"/>
        </w:trPr>
        <w:tc>
          <w:tcPr>
            <w:tcW w:w="1700" w:type="dxa"/>
            <w:vMerge w:val="continue"/>
            <w:vAlign w:val="center"/>
          </w:tcPr>
          <w:p>
            <w:pPr>
              <w:rPr>
                <w:rFonts w:ascii="宋体" w:hAnsi="宋体" w:cs="宋体"/>
              </w:rPr>
            </w:pPr>
          </w:p>
        </w:tc>
        <w:tc>
          <w:tcPr>
            <w:tcW w:w="3680" w:type="dxa"/>
            <w:vAlign w:val="center"/>
          </w:tcPr>
          <w:p>
            <w:pPr>
              <w:ind w:left="20"/>
              <w:rPr>
                <w:rFonts w:ascii="宋体" w:hAnsi="宋体" w:cs="宋体"/>
              </w:rPr>
            </w:pPr>
            <w:r>
              <w:rPr>
                <w:rFonts w:hint="eastAsia" w:ascii="宋体" w:hAnsi="宋体" w:cs="宋体"/>
                <w:color w:val="000000"/>
              </w:rPr>
              <w:t>新生儿臀部清洁</w:t>
            </w:r>
          </w:p>
        </w:tc>
        <w:tc>
          <w:tcPr>
            <w:tcW w:w="2020" w:type="dxa"/>
            <w:vAlign w:val="center"/>
          </w:tcPr>
          <w:p>
            <w:pPr>
              <w:jc w:val="center"/>
              <w:rPr>
                <w:rFonts w:ascii="宋体" w:hAnsi="宋体" w:cs="宋体"/>
              </w:rPr>
            </w:pPr>
            <w:r>
              <w:rPr>
                <w:rFonts w:hint="eastAsia" w:ascii="宋体" w:hAnsi="宋体" w:cs="宋体"/>
                <w:color w:val="000000"/>
              </w:rPr>
              <w:t>++</w:t>
            </w:r>
          </w:p>
        </w:tc>
        <w:tc>
          <w:tcPr>
            <w:tcW w:w="1880" w:type="dxa"/>
            <w:vAlign w:val="center"/>
          </w:tcPr>
          <w:p>
            <w:pPr>
              <w:jc w:val="center"/>
              <w:rPr>
                <w:rFonts w:ascii="宋体" w:hAnsi="宋体" w:cs="宋体"/>
              </w:rPr>
            </w:pP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jc w:val="center"/>
        </w:trPr>
        <w:tc>
          <w:tcPr>
            <w:tcW w:w="1700" w:type="dxa"/>
            <w:vMerge w:val="continue"/>
            <w:vAlign w:val="center"/>
          </w:tcPr>
          <w:p>
            <w:pPr>
              <w:rPr>
                <w:rFonts w:ascii="宋体" w:hAnsi="宋体" w:cs="宋体"/>
              </w:rPr>
            </w:pPr>
          </w:p>
        </w:tc>
        <w:tc>
          <w:tcPr>
            <w:tcW w:w="3680" w:type="dxa"/>
            <w:vAlign w:val="center"/>
          </w:tcPr>
          <w:p>
            <w:pPr>
              <w:rPr>
                <w:rFonts w:ascii="宋体" w:hAnsi="宋体" w:cs="宋体"/>
              </w:rPr>
            </w:pPr>
            <w:r>
              <w:rPr>
                <w:rFonts w:hint="eastAsia" w:ascii="宋体" w:hAnsi="宋体" w:cs="宋体"/>
                <w:color w:val="000000"/>
              </w:rPr>
              <w:t>协助新生儿哺乳／喂奶</w:t>
            </w:r>
          </w:p>
        </w:tc>
        <w:tc>
          <w:tcPr>
            <w:tcW w:w="2020" w:type="dxa"/>
            <w:vAlign w:val="center"/>
          </w:tcPr>
          <w:p>
            <w:pPr>
              <w:jc w:val="center"/>
              <w:rPr>
                <w:rFonts w:ascii="宋体" w:hAnsi="宋体" w:cs="宋体"/>
              </w:rPr>
            </w:pPr>
            <w:r>
              <w:rPr>
                <w:rFonts w:hint="eastAsia" w:ascii="宋体" w:hAnsi="宋体" w:cs="宋体"/>
                <w:color w:val="000000"/>
              </w:rPr>
              <w:t>++</w:t>
            </w:r>
          </w:p>
        </w:tc>
        <w:tc>
          <w:tcPr>
            <w:tcW w:w="1880" w:type="dxa"/>
            <w:vAlign w:val="center"/>
          </w:tcPr>
          <w:p>
            <w:pPr>
              <w:jc w:val="center"/>
              <w:rPr>
                <w:rFonts w:ascii="宋体" w:hAnsi="宋体" w:cs="宋体"/>
              </w:rPr>
            </w:pPr>
            <w:r>
              <w:rPr>
                <w:rFonts w:hint="eastAsia" w:ascii="宋体" w:hAnsi="宋体" w:cs="宋体"/>
                <w:color w:val="000000"/>
              </w:rPr>
              <w:t>++++</w:t>
            </w:r>
          </w:p>
        </w:tc>
      </w:tr>
    </w:tbl>
    <w:p>
      <w:pPr>
        <w:snapToGrid w:val="0"/>
        <w:spacing w:line="360" w:lineRule="auto"/>
        <w:ind w:firstLine="420" w:firstLineChars="200"/>
        <w:textAlignment w:val="baseline"/>
        <w:rPr>
          <w:rFonts w:ascii="宋体" w:hAnsi="宋体" w:cs="宋体"/>
          <w:b/>
          <w:bCs/>
          <w:sz w:val="24"/>
          <w:szCs w:val="24"/>
        </w:rPr>
      </w:pPr>
      <w:r>
        <w:rPr>
          <w:rFonts w:hint="eastAsia" w:ascii="宋体" w:hAnsi="宋体" w:cs="宋体"/>
          <w:color w:val="000000"/>
        </w:rPr>
        <w:t>注：耗费时间指占每日工作量的比重</w:t>
      </w:r>
    </w:p>
    <w:p>
      <w:pPr>
        <w:snapToGrid w:val="0"/>
        <w:spacing w:line="360" w:lineRule="auto"/>
        <w:ind w:firstLine="482" w:firstLineChars="200"/>
        <w:textAlignment w:val="baseline"/>
        <w:rPr>
          <w:rFonts w:ascii="宋体" w:hAnsi="宋体" w:cs="宋体"/>
          <w:b/>
          <w:bCs/>
          <w:sz w:val="24"/>
          <w:szCs w:val="24"/>
        </w:rPr>
      </w:pPr>
      <w:r>
        <w:rPr>
          <w:rFonts w:hint="eastAsia" w:ascii="宋体" w:hAnsi="宋体" w:cs="宋体"/>
          <w:b/>
          <w:bCs/>
          <w:sz w:val="24"/>
          <w:szCs w:val="24"/>
        </w:rPr>
        <w:t>三、服务期限</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项目合同服务期暂定三年，但合同一年一签。如成交供应商在合同期内履约情况合格，则在第一年合同期满时，且采购单位、成交供应商双方愿意，成交供应商承诺不增加服务费用的前提下，双方可续签下一年度合同，但最多续签两次。</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四、其他约定事项</w:t>
      </w:r>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1、成交供应商须在采购单位醒目位置悬挂服务标识(相关证照、服务项目、收费标准、规章制度、岗位职责和投诉监督电话等)。</w:t>
      </w:r>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2、成交供应商向采购单位提供具备母婴生活护理资质的护理员，人数配比按照合同要求，一个护理员同时护理服务对象不得超过6人次，并对母婴生活护理员进行严格管理。</w:t>
      </w:r>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3、所有护理员上岗前需经过严格规范的培训，考核合格后方可上岗，更换护理员须与采购单位所在病区护士长、科护士长及护理部登记报备。</w:t>
      </w:r>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4、成交供应商派专人统一在线收费，护理员不得与病人或家属发生经济关系。</w:t>
      </w:r>
    </w:p>
    <w:p>
      <w:pPr>
        <w:snapToGrid w:val="0"/>
        <w:spacing w:line="360" w:lineRule="auto"/>
        <w:ind w:firstLine="480" w:firstLineChars="200"/>
        <w:rPr>
          <w:rFonts w:ascii="宋体" w:hAnsi="宋体" w:cs="宋体"/>
          <w:sz w:val="24"/>
          <w:szCs w:val="24"/>
        </w:rPr>
      </w:pPr>
      <w:r>
        <w:rPr>
          <w:rFonts w:hint="eastAsia" w:ascii="宋体" w:hAnsi="宋体" w:cs="宋体"/>
          <w:kern w:val="0"/>
          <w:sz w:val="24"/>
          <w:szCs w:val="24"/>
        </w:rPr>
        <w:t>5、成交供应商应通过正规渠道收集相关客户的反馈意见，及时了解母婴生活护理员的服务情况，从而改进服务质量，提高母婴生活护理员的服务水平。</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6、成交供应商必须按照法律、法规及劳动法的有关规定为本项目拟派服务人员办理相关手续，合法用工，双方签订劳动合同，成交供应商为其缴纳基本社会保险。</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7、成交供应商为采购单位提供的服务人员在合同期内如发生因工伤、致残、疾病、死亡等各类劳动仲裁、诉讼等事宜均与采购单位无关。</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8、工作过程中因成交供应商责任所造成的经济损失由成交供应商按实际额赔偿。因不可抗力因素造成增加的费用或造成采购单位提供的设施损失，双方共同协商解决。</w:t>
      </w:r>
    </w:p>
    <w:p>
      <w:pPr>
        <w:pStyle w:val="2"/>
        <w:snapToGrid w:val="0"/>
        <w:spacing w:line="360" w:lineRule="auto"/>
        <w:ind w:firstLine="480" w:firstLineChars="200"/>
        <w:rPr>
          <w:rFonts w:ascii="宋体" w:hAnsi="宋体" w:cs="宋体"/>
          <w:sz w:val="24"/>
          <w:szCs w:val="24"/>
        </w:rPr>
      </w:pPr>
      <w:r>
        <w:rPr>
          <w:rFonts w:hint="eastAsia" w:ascii="宋体" w:hAnsi="宋体" w:cs="宋体"/>
          <w:sz w:val="24"/>
          <w:szCs w:val="24"/>
        </w:rPr>
        <w:t>9、合同届满时，成交供应商必须做好一切交接手续，确保采购单位工作的正常进行，否则视为成交供应商违约，造成损失的应予赔偿。如采购单位因特殊原因需延期的，供应商应配合完成。</w:t>
      </w:r>
    </w:p>
    <w:p>
      <w:pPr>
        <w:snapToGrid w:val="0"/>
        <w:spacing w:line="360" w:lineRule="auto"/>
        <w:ind w:firstLine="482" w:firstLineChars="200"/>
        <w:rPr>
          <w:rFonts w:ascii="宋体" w:hAnsi="宋体" w:cs="宋体"/>
          <w:b/>
          <w:sz w:val="24"/>
          <w:szCs w:val="24"/>
        </w:rPr>
      </w:pPr>
      <w:r>
        <w:rPr>
          <w:rFonts w:hint="eastAsia" w:ascii="宋体" w:hAnsi="宋体" w:cs="宋体"/>
          <w:b/>
          <w:bCs/>
          <w:color w:val="000000"/>
          <w:sz w:val="24"/>
          <w:szCs w:val="24"/>
        </w:rPr>
        <w:t>五、</w:t>
      </w:r>
      <w:r>
        <w:rPr>
          <w:rFonts w:hint="eastAsia" w:ascii="宋体" w:hAnsi="宋体" w:cs="宋体"/>
          <w:b/>
          <w:sz w:val="24"/>
          <w:szCs w:val="24"/>
        </w:rPr>
        <w:t>疫情防控特别约定</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1、成交供应商</w:t>
      </w:r>
      <w:r>
        <w:rPr>
          <w:rFonts w:ascii="宋体" w:hAnsi="宋体" w:cs="宋体"/>
          <w:sz w:val="24"/>
          <w:szCs w:val="24"/>
        </w:rPr>
        <w:t>应强化护理员</w:t>
      </w:r>
      <w:r>
        <w:rPr>
          <w:rFonts w:hint="eastAsia" w:ascii="宋体" w:hAnsi="宋体" w:cs="宋体"/>
          <w:sz w:val="24"/>
          <w:szCs w:val="24"/>
        </w:rPr>
        <w:t>疫情防控</w:t>
      </w:r>
      <w:r>
        <w:rPr>
          <w:rFonts w:ascii="宋体" w:hAnsi="宋体" w:cs="宋体"/>
          <w:sz w:val="24"/>
          <w:szCs w:val="24"/>
        </w:rPr>
        <w:t>的日常管理。建立护理员涉及健康事项逐日报告制度，包括（但不限于）以下事项:</w:t>
      </w:r>
    </w:p>
    <w:p>
      <w:pPr>
        <w:snapToGrid w:val="0"/>
        <w:spacing w:line="360" w:lineRule="auto"/>
        <w:ind w:firstLine="480" w:firstLineChars="200"/>
        <w:rPr>
          <w:rFonts w:ascii="宋体" w:hAnsi="宋体" w:cs="宋体"/>
          <w:sz w:val="24"/>
          <w:szCs w:val="24"/>
        </w:rPr>
      </w:pPr>
      <w:r>
        <w:rPr>
          <w:rFonts w:ascii="宋体" w:hAnsi="宋体" w:cs="宋体"/>
          <w:sz w:val="24"/>
          <w:szCs w:val="24"/>
        </w:rPr>
        <w:t>（1）本人及同住人是否有</w:t>
      </w:r>
      <w:r>
        <w:rPr>
          <w:rFonts w:hint="eastAsia" w:ascii="宋体" w:hAnsi="宋体" w:cs="宋体"/>
          <w:sz w:val="24"/>
          <w:szCs w:val="24"/>
        </w:rPr>
        <w:t>发热、干咳、乏力、嗅觉和味觉减退、鼻塞、流涕、咽痛、结膜炎、肌痛、腹泻等十大新冠肺炎相关症状。</w:t>
      </w:r>
    </w:p>
    <w:p>
      <w:pPr>
        <w:snapToGrid w:val="0"/>
        <w:spacing w:line="360" w:lineRule="auto"/>
        <w:ind w:firstLine="480" w:firstLineChars="200"/>
        <w:rPr>
          <w:rFonts w:ascii="宋体" w:hAnsi="宋体" w:cs="宋体"/>
          <w:sz w:val="24"/>
          <w:szCs w:val="24"/>
        </w:rPr>
      </w:pPr>
      <w:r>
        <w:rPr>
          <w:rFonts w:ascii="宋体" w:hAnsi="宋体" w:cs="宋体"/>
          <w:sz w:val="24"/>
          <w:szCs w:val="24"/>
        </w:rPr>
        <w:t>（2）本人及同住人近期是否有中高风险</w:t>
      </w:r>
      <w:r>
        <w:rPr>
          <w:rFonts w:hint="eastAsia" w:ascii="宋体" w:hAnsi="宋体" w:cs="宋体"/>
          <w:sz w:val="24"/>
          <w:szCs w:val="24"/>
        </w:rPr>
        <w:t>地</w:t>
      </w:r>
      <w:r>
        <w:rPr>
          <w:rFonts w:ascii="宋体" w:hAnsi="宋体" w:cs="宋体"/>
          <w:sz w:val="24"/>
          <w:szCs w:val="24"/>
        </w:rPr>
        <w:t>区旅行。</w:t>
      </w:r>
    </w:p>
    <w:p>
      <w:pPr>
        <w:snapToGrid w:val="0"/>
        <w:spacing w:line="360" w:lineRule="auto"/>
        <w:ind w:firstLine="480" w:firstLineChars="200"/>
        <w:rPr>
          <w:rFonts w:ascii="宋体" w:hAnsi="宋体" w:cs="宋体"/>
          <w:sz w:val="24"/>
          <w:szCs w:val="24"/>
        </w:rPr>
      </w:pPr>
      <w:r>
        <w:rPr>
          <w:rFonts w:ascii="宋体" w:hAnsi="宋体" w:cs="宋体"/>
          <w:sz w:val="24"/>
          <w:szCs w:val="24"/>
        </w:rPr>
        <w:t>（3）本人及同住人是否被通知系“密接”或“密接的密接”等。</w:t>
      </w:r>
    </w:p>
    <w:p>
      <w:pPr>
        <w:snapToGrid w:val="0"/>
        <w:spacing w:line="360" w:lineRule="auto"/>
        <w:ind w:firstLine="480" w:firstLineChars="200"/>
        <w:rPr>
          <w:rFonts w:ascii="宋体" w:hAnsi="宋体" w:cs="宋体"/>
          <w:sz w:val="24"/>
          <w:szCs w:val="24"/>
        </w:rPr>
      </w:pPr>
      <w:r>
        <w:rPr>
          <w:rFonts w:ascii="宋体" w:hAnsi="宋体" w:cs="宋体"/>
          <w:sz w:val="24"/>
          <w:szCs w:val="24"/>
        </w:rPr>
        <w:t>（4）本人及同住人是否有任何一种传染病或</w:t>
      </w:r>
      <w:r>
        <w:rPr>
          <w:rFonts w:hint="eastAsia" w:ascii="宋体" w:hAnsi="宋体" w:cs="宋体"/>
          <w:sz w:val="24"/>
          <w:szCs w:val="24"/>
        </w:rPr>
        <w:t>有</w:t>
      </w:r>
      <w:r>
        <w:rPr>
          <w:rFonts w:ascii="宋体" w:hAnsi="宋体" w:cs="宋体"/>
          <w:sz w:val="24"/>
          <w:szCs w:val="24"/>
        </w:rPr>
        <w:t>传染可能的</w:t>
      </w:r>
      <w:r>
        <w:rPr>
          <w:rFonts w:hint="eastAsia" w:ascii="宋体" w:hAnsi="宋体" w:cs="宋体"/>
          <w:sz w:val="24"/>
          <w:szCs w:val="24"/>
        </w:rPr>
        <w:t>疾病。</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2、成交供应商发现护理员有任何传染病或有传染可能的疾病，应在第一时间报告甲方并撤回护理员。并按照甲方要求采取相应措施。</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3、成交供应商逐日防疫管理的电子或书面原始记录，应于每月底集中报送采购单位。</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4、成交供应商应建立防疫管理制度，并严格执行，因成交供应商疏忽给采购单位造成的疫情损失（含患者的连带赔付），由成交供应商承担所有责任。</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5、因成交供应商护理员原因导致疫情或者其它传染病传播的，成交供应商必须赔偿所有损失。</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6、因采购单位未执行国家规定的防疫政策，导致成交供应商工作人员发生感染导致的损失，由采购单位承担所有责任。隔离病房非采购单位要求，成交供应商人员不得进入。</w:t>
      </w:r>
    </w:p>
    <w:p>
      <w:pPr>
        <w:snapToGrid w:val="0"/>
        <w:spacing w:line="360" w:lineRule="auto"/>
        <w:ind w:firstLine="482" w:firstLineChars="200"/>
        <w:rPr>
          <w:rFonts w:ascii="宋体" w:hAnsi="宋体" w:cs="宋体"/>
          <w:b/>
          <w:bCs/>
          <w:color w:val="000000"/>
          <w:sz w:val="24"/>
          <w:szCs w:val="24"/>
        </w:rPr>
      </w:pPr>
      <w:r>
        <w:rPr>
          <w:rFonts w:hint="eastAsia" w:ascii="宋体" w:hAnsi="宋体" w:cs="宋体"/>
          <w:b/>
          <w:bCs/>
          <w:color w:val="000000"/>
          <w:sz w:val="24"/>
          <w:szCs w:val="24"/>
        </w:rPr>
        <w:t>六、其他</w:t>
      </w:r>
    </w:p>
    <w:p>
      <w:pPr>
        <w:autoSpaceDE w:val="0"/>
        <w:autoSpaceDN w:val="0"/>
        <w:adjustRightInd w:val="0"/>
        <w:snapToGrid w:val="0"/>
        <w:spacing w:line="360" w:lineRule="auto"/>
        <w:jc w:val="left"/>
        <w:rPr>
          <w:rFonts w:ascii="宋体" w:hAnsi="宋体" w:cs="宋体"/>
          <w:b/>
          <w:i/>
          <w:color w:val="000000"/>
          <w:w w:val="80"/>
          <w:sz w:val="44"/>
          <w:szCs w:val="44"/>
        </w:rPr>
      </w:pPr>
      <w:r>
        <w:rPr>
          <w:rFonts w:hint="eastAsia" w:ascii="宋体" w:hAnsi="宋体" w:cs="宋体"/>
          <w:color w:val="000000"/>
          <w:kern w:val="0"/>
          <w:sz w:val="28"/>
          <w:szCs w:val="28"/>
          <w:shd w:val="clear" w:color="auto" w:fill="FFFFFF"/>
        </w:rPr>
        <w:t xml:space="preserve">  </w:t>
      </w:r>
      <w:r>
        <w:rPr>
          <w:rFonts w:hint="eastAsia"/>
          <w:sz w:val="24"/>
          <w:szCs w:val="24"/>
        </w:rPr>
        <w:t xml:space="preserve"> 其他未尽事宜按磋商文件相关规定执行。如磋商文件或合同文件未提及，则由双方协商解决处理。</w:t>
      </w:r>
    </w:p>
    <w:p>
      <w:pPr>
        <w:snapToGrid w:val="0"/>
        <w:spacing w:line="360" w:lineRule="auto"/>
        <w:rPr>
          <w:rFonts w:ascii="宋体" w:hAnsi="宋体" w:cs="宋体"/>
          <w:b/>
          <w:bCs/>
          <w:w w:val="80"/>
          <w:sz w:val="44"/>
          <w:szCs w:val="44"/>
        </w:rPr>
        <w:sectPr>
          <w:pgSz w:w="11906" w:h="16838"/>
          <w:pgMar w:top="1440" w:right="1085" w:bottom="1440" w:left="1361" w:header="851" w:footer="992" w:gutter="0"/>
          <w:cols w:space="720" w:num="1"/>
          <w:docGrid w:type="lines" w:linePitch="312" w:charSpace="0"/>
        </w:sectPr>
      </w:pPr>
    </w:p>
    <w:p>
      <w:pPr>
        <w:spacing w:line="460" w:lineRule="exact"/>
        <w:jc w:val="center"/>
        <w:rPr>
          <w:rFonts w:ascii="宋体"/>
          <w:kern w:val="0"/>
          <w:sz w:val="32"/>
          <w:szCs w:val="32"/>
        </w:rPr>
      </w:pPr>
      <w:r>
        <w:rPr>
          <w:rFonts w:hint="eastAsia" w:ascii="宋体" w:hAnsi="宋体" w:cs="宋体"/>
          <w:b/>
          <w:bCs/>
          <w:w w:val="80"/>
          <w:sz w:val="44"/>
          <w:szCs w:val="44"/>
        </w:rPr>
        <w:t>第四章</w:t>
      </w:r>
      <w:bookmarkEnd w:id="33"/>
      <w:bookmarkEnd w:id="34"/>
      <w:bookmarkEnd w:id="35"/>
      <w:bookmarkEnd w:id="36"/>
      <w:bookmarkEnd w:id="37"/>
      <w:bookmarkEnd w:id="38"/>
      <w:bookmarkEnd w:id="39"/>
      <w:bookmarkEnd w:id="40"/>
      <w:bookmarkEnd w:id="41"/>
      <w:bookmarkEnd w:id="42"/>
      <w:bookmarkEnd w:id="43"/>
      <w:bookmarkStart w:id="45" w:name="_Toc37322565"/>
      <w:bookmarkStart w:id="46" w:name="_Toc182848996"/>
      <w:bookmarkStart w:id="47" w:name="_Toc43217893"/>
      <w:bookmarkStart w:id="48" w:name="_Toc38121794"/>
      <w:bookmarkStart w:id="49" w:name="_Toc85627670"/>
      <w:bookmarkStart w:id="50" w:name="_Toc94544747"/>
      <w:bookmarkStart w:id="51" w:name="_Toc94544873"/>
      <w:bookmarkStart w:id="52" w:name="_Toc8895742"/>
      <w:bookmarkStart w:id="53" w:name="_Toc11554642"/>
      <w:bookmarkStart w:id="54" w:name="_Toc13803484"/>
      <w:bookmarkStart w:id="55" w:name="_Toc11500283"/>
      <w:bookmarkStart w:id="56" w:name="_Toc11499587"/>
      <w:bookmarkStart w:id="57" w:name="_Toc12670506"/>
      <w:r>
        <w:rPr>
          <w:rFonts w:hint="eastAsia" w:ascii="宋体" w:hAnsi="宋体" w:cs="宋体"/>
          <w:b/>
          <w:bCs/>
          <w:w w:val="80"/>
          <w:sz w:val="44"/>
          <w:szCs w:val="44"/>
        </w:rPr>
        <w:t xml:space="preserve">  评审方法和程序</w:t>
      </w:r>
      <w:bookmarkEnd w:id="44"/>
    </w:p>
    <w:bookmarkEnd w:id="45"/>
    <w:bookmarkEnd w:id="46"/>
    <w:bookmarkEnd w:id="47"/>
    <w:bookmarkEnd w:id="48"/>
    <w:bookmarkEnd w:id="49"/>
    <w:p>
      <w:pPr>
        <w:snapToGrid w:val="0"/>
        <w:spacing w:line="480" w:lineRule="exact"/>
        <w:ind w:firstLine="482" w:firstLineChars="200"/>
        <w:outlineLvl w:val="1"/>
        <w:rPr>
          <w:rFonts w:ascii="宋体"/>
          <w:b/>
          <w:bCs/>
          <w:sz w:val="24"/>
          <w:szCs w:val="24"/>
        </w:rPr>
      </w:pPr>
      <w:bookmarkStart w:id="58" w:name="_Toc363573857"/>
      <w:bookmarkEnd w:id="58"/>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一、代理机构组织磋商</w:t>
      </w:r>
    </w:p>
    <w:p>
      <w:pPr>
        <w:snapToGrid w:val="0"/>
        <w:spacing w:line="360" w:lineRule="auto"/>
        <w:ind w:firstLine="480"/>
        <w:rPr>
          <w:rFonts w:ascii="宋体"/>
          <w:sz w:val="24"/>
          <w:szCs w:val="24"/>
        </w:rPr>
      </w:pPr>
      <w:r>
        <w:rPr>
          <w:rFonts w:ascii="宋体" w:hAnsi="宋体" w:cs="宋体"/>
          <w:sz w:val="24"/>
          <w:szCs w:val="24"/>
        </w:rPr>
        <w:t>1</w:t>
      </w:r>
      <w:r>
        <w:rPr>
          <w:rFonts w:hint="eastAsia" w:ascii="宋体" w:hAnsi="宋体" w:cs="宋体"/>
          <w:sz w:val="24"/>
          <w:szCs w:val="24"/>
        </w:rPr>
        <w:t>、本次竞争性磋商依据《中华人民共和国政府采购法》、《政府采购竞争性磋商采购方式管理暂行办法》及有关法规成立磋商小组。磋商小组由评审专家共3人组成。</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、磋商小组的职责：</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）磋商小组成员应当按照客观、公正、审慎的原则，根据磋商文件规定的评审程序、评审方法和评审标准进行独立评审。</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）磋商小组成员应当遵守评审工作纪律，不得泄露评审情况和评审中获悉的商业秘密，对个人的评审意见承担法律责任。</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）磋商小组成员在评审过程中发现供应商有行贿、提供虚假材料或者串通等违法行为的，应当及时向财政部门报告</w:t>
      </w:r>
      <w:r>
        <w:rPr>
          <w:rFonts w:ascii="宋体" w:cs="宋体"/>
          <w:sz w:val="24"/>
          <w:szCs w:val="24"/>
        </w:rPr>
        <w:t>,</w:t>
      </w:r>
      <w:r>
        <w:rPr>
          <w:rFonts w:hint="eastAsia" w:ascii="宋体" w:hAnsi="宋体" w:cs="宋体"/>
          <w:sz w:val="24"/>
          <w:szCs w:val="24"/>
        </w:rPr>
        <w:t>并建议将其列入政府采购黑名单。</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）磋商小组成员在评审过程中受到非法干涉的，应当及时向财政、监察等部门举报。</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）配合采购单位答复供应商提出的质疑；配合财政部门的投诉处理和监督检查工作。</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、评审有关记录由磋商小组成员签名，存档备查。</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、供应商的法定代表人或被授权人须持身份证准时参加磋商开标会。</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二、磋商的原则及方法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磋商小组将按照竞争性磋商文件的规定，独立对每个进入打分程序的有效磋商响应供应商的响应文件的技术部分以打分的形式进行评估和评价。技术分是所有评委打分的算术平均值（计算结果均四舍五入保留两位小数）。</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、对磋商文件作出的实质性变动是磋商文件的有效组成部分，磋商小组应当及时以书面形式同时通知所有参加磋商的供应商。</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、除非在磋商中磋商小组对采购单位需求内容作了调整增加，或对采购内容作了实质性变更，否则</w:t>
      </w:r>
      <w:r>
        <w:rPr>
          <w:rFonts w:hint="eastAsia" w:ascii="宋体" w:hAnsi="宋体" w:cs="宋体"/>
          <w:b/>
          <w:bCs/>
          <w:sz w:val="24"/>
          <w:szCs w:val="24"/>
        </w:rPr>
        <w:t>采购单位不接受供应商高于自己前一轮的磋商报价</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1</w:t>
      </w:r>
      <w:r>
        <w:rPr>
          <w:rFonts w:ascii="宋体" w:cs="宋体"/>
          <w:sz w:val="24"/>
          <w:szCs w:val="24"/>
        </w:rPr>
        <w:t>0</w:t>
      </w:r>
      <w:r>
        <w:rPr>
          <w:rFonts w:hint="eastAsia" w:ascii="宋体" w:hAnsi="宋体" w:cs="宋体"/>
          <w:sz w:val="24"/>
          <w:szCs w:val="24"/>
        </w:rPr>
        <w:t>、对于在磋商顺利开始后至最终报价前，根据磋商情况退出磋商的供应商，须以书面形式说明退出磋商的原因，经磋商小组同意可以退出磋商。</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、在磋商中，磋商的任何一方不得透露与磋商有关的其他响应磋商的供应商的技术资料、价格及其他信息。</w:t>
      </w:r>
    </w:p>
    <w:p>
      <w:pPr>
        <w:snapToGrid w:val="0"/>
        <w:spacing w:line="360" w:lineRule="auto"/>
        <w:ind w:firstLine="480" w:firstLineChars="200"/>
        <w:rPr>
          <w:rFonts w:ascii="宋体"/>
          <w:sz w:val="24"/>
          <w:szCs w:val="24"/>
        </w:rPr>
      </w:pPr>
      <w:r>
        <w:rPr>
          <w:rFonts w:ascii="宋体" w:hAnsi="宋体" w:cs="宋体"/>
          <w:sz w:val="24"/>
          <w:szCs w:val="24"/>
        </w:rPr>
        <w:t>12</w:t>
      </w:r>
      <w:r>
        <w:rPr>
          <w:rFonts w:hint="eastAsia" w:ascii="宋体" w:hAnsi="宋体" w:cs="宋体"/>
          <w:sz w:val="24"/>
          <w:szCs w:val="24"/>
        </w:rPr>
        <w:t>、凡两家或以上公司同一法人代表或其中一家公司为另一家公司单一最大股东的，不能同时参与同一采购项目相同标段的磋商采购活动，一经发现，将视同串标处理。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0" w:firstLineChars="200"/>
        <w:rPr>
          <w:rFonts w:ascii="宋体" w:hAnsi="宋体" w:cs="宋体"/>
          <w:sz w:val="24"/>
          <w:szCs w:val="24"/>
        </w:rPr>
      </w:pPr>
      <w:r>
        <w:rPr>
          <w:rFonts w:ascii="宋体" w:hAnsi="宋体" w:cs="宋体"/>
          <w:sz w:val="24"/>
          <w:szCs w:val="24"/>
        </w:rPr>
        <w:t>13</w:t>
      </w:r>
      <w:r>
        <w:rPr>
          <w:rFonts w:hint="eastAsia" w:ascii="宋体" w:hAnsi="宋体" w:cs="宋体"/>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widowControl/>
        <w:snapToGrid w:val="0"/>
        <w:spacing w:line="360" w:lineRule="auto"/>
        <w:ind w:firstLine="480" w:firstLineChars="200"/>
        <w:outlineLvl w:val="1"/>
        <w:rPr>
          <w:rFonts w:ascii="宋体" w:hAnsi="宋体" w:cs="宋体"/>
          <w:sz w:val="24"/>
          <w:szCs w:val="24"/>
        </w:rPr>
      </w:pPr>
      <w:r>
        <w:rPr>
          <w:rFonts w:hint="eastAsia" w:ascii="宋体" w:hAnsi="宋体" w:cs="宋体"/>
          <w:sz w:val="24"/>
          <w:szCs w:val="24"/>
        </w:rPr>
        <w:t>14、根据《财政部关于政府采购竞争性磋商采购方式管理暂行办法有关问题的补充通知》（财库〔2015〕124号）文件，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单位（项目实施机构）或者采购代理机构应当终止竞争性磋商采购活动，发布项目终止公告并说明原因，重新开展采购活动。</w:t>
      </w:r>
    </w:p>
    <w:p>
      <w:pPr>
        <w:snapToGrid w:val="0"/>
        <w:spacing w:line="360" w:lineRule="auto"/>
        <w:ind w:firstLine="482" w:firstLineChars="200"/>
        <w:rPr>
          <w:rFonts w:ascii="宋体"/>
          <w:b/>
          <w:bCs/>
          <w:sz w:val="24"/>
          <w:szCs w:val="24"/>
        </w:rPr>
      </w:pPr>
      <w:r>
        <w:rPr>
          <w:rFonts w:hint="eastAsia" w:ascii="宋体" w:hAnsi="宋体" w:cs="宋体"/>
          <w:b/>
          <w:bCs/>
          <w:sz w:val="24"/>
          <w:szCs w:val="24"/>
        </w:rPr>
        <w:t>三、评估步骤</w:t>
      </w:r>
    </w:p>
    <w:p>
      <w:pPr>
        <w:snapToGrid w:val="0"/>
        <w:spacing w:line="360" w:lineRule="auto"/>
        <w:ind w:firstLine="482" w:firstLineChars="200"/>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、评估步骤规定：</w:t>
      </w:r>
    </w:p>
    <w:p>
      <w:pPr>
        <w:snapToGrid w:val="0"/>
        <w:spacing w:line="360" w:lineRule="auto"/>
        <w:ind w:firstLine="482" w:firstLineChars="200"/>
        <w:rPr>
          <w:rFonts w:ascii="宋体"/>
          <w:b/>
          <w:bCs/>
          <w:sz w:val="24"/>
          <w:szCs w:val="24"/>
          <w:lang w:val="zh-CN"/>
        </w:rPr>
      </w:pPr>
      <w:r>
        <w:rPr>
          <w:rFonts w:hint="eastAsia" w:ascii="宋体" w:hAnsi="宋体" w:cs="宋体"/>
          <w:b/>
          <w:bCs/>
          <w:sz w:val="24"/>
          <w:szCs w:val="24"/>
          <w:lang w:val="zh-CN"/>
        </w:rPr>
        <w:t>本次资格审查采用资格后审，各供应商资格审查通过后方能进入技术标的开标。先开技术标，技术标打分结束后再开商务标。</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对每个符合资格要求的供应商的技术标进行</w:t>
      </w:r>
      <w:r>
        <w:rPr>
          <w:rFonts w:hint="eastAsia" w:ascii="宋体" w:hAnsi="宋体" w:cs="宋体"/>
          <w:sz w:val="24"/>
          <w:szCs w:val="24"/>
        </w:rPr>
        <w:t>评估</w:t>
      </w:r>
      <w:r>
        <w:rPr>
          <w:rFonts w:hint="eastAsia" w:ascii="宋体" w:hAnsi="宋体" w:cs="宋体"/>
          <w:sz w:val="24"/>
          <w:szCs w:val="24"/>
          <w:lang w:val="zh-CN"/>
        </w:rPr>
        <w:t>。主要审查技术标提交的内容是否齐全，技术方案及项目实施是否完全满足采购文件的要求。</w:t>
      </w:r>
      <w:r>
        <w:rPr>
          <w:rFonts w:hint="eastAsia" w:ascii="宋体" w:hAnsi="宋体" w:cs="宋体"/>
          <w:sz w:val="24"/>
          <w:szCs w:val="24"/>
        </w:rPr>
        <w:t>磋商小组严格按照磋商文件的要求、条件、评分标准，对供应商所提供货物或服务的先进性、可靠性、售后服务承诺、质量保证承诺等实质性响应内容进行比较。</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第三阶段：以供应商价格标文件内的</w:t>
      </w:r>
      <w:r>
        <w:rPr>
          <w:rFonts w:hint="eastAsia" w:ascii="宋体" w:hAnsi="宋体" w:cs="宋体"/>
          <w:sz w:val="24"/>
          <w:szCs w:val="24"/>
        </w:rPr>
        <w:t>竞争性磋商</w:t>
      </w:r>
      <w:r>
        <w:rPr>
          <w:rFonts w:hint="eastAsia" w:ascii="宋体" w:hAnsi="宋体" w:cs="宋体"/>
          <w:sz w:val="24"/>
          <w:szCs w:val="24"/>
          <w:lang w:val="zh-CN"/>
        </w:rPr>
        <w:t>报价（即首次报价）为基础，</w:t>
      </w:r>
      <w:r>
        <w:rPr>
          <w:rFonts w:hint="eastAsia" w:ascii="宋体" w:hAnsi="宋体" w:cs="宋体"/>
          <w:sz w:val="24"/>
          <w:szCs w:val="24"/>
        </w:rPr>
        <w:t>磋商小组与</w:t>
      </w:r>
      <w:r>
        <w:rPr>
          <w:rFonts w:hint="eastAsia" w:ascii="宋体" w:hAnsi="宋体" w:cs="宋体"/>
          <w:sz w:val="24"/>
          <w:szCs w:val="24"/>
          <w:lang w:val="zh-CN"/>
        </w:rPr>
        <w:t>供应商单一分别进行</w:t>
      </w:r>
      <w:r>
        <w:rPr>
          <w:rFonts w:hint="eastAsia" w:ascii="宋体" w:hAnsi="宋体" w:cs="宋体"/>
          <w:sz w:val="24"/>
          <w:szCs w:val="24"/>
        </w:rPr>
        <w:t>磋商</w:t>
      </w:r>
      <w:r>
        <w:rPr>
          <w:rFonts w:hint="eastAsia" w:ascii="宋体" w:hAnsi="宋体" w:cs="宋体"/>
          <w:sz w:val="24"/>
          <w:szCs w:val="24"/>
          <w:lang w:val="zh-CN"/>
        </w:rPr>
        <w:t>：内容主要是对</w:t>
      </w:r>
      <w:r>
        <w:rPr>
          <w:rFonts w:hint="eastAsia" w:ascii="宋体" w:hAnsi="宋体" w:cs="宋体"/>
          <w:sz w:val="24"/>
          <w:szCs w:val="24"/>
        </w:rPr>
        <w:t>竞争性磋商</w:t>
      </w:r>
      <w:r>
        <w:rPr>
          <w:rFonts w:hint="eastAsia" w:ascii="宋体" w:hAnsi="宋体" w:cs="宋体"/>
          <w:sz w:val="24"/>
          <w:szCs w:val="24"/>
          <w:lang w:val="zh-CN"/>
        </w:rPr>
        <w:t>响应文件中的项目方案的澄清、修正、补充、确认以及价格调整等。如</w:t>
      </w:r>
      <w:r>
        <w:rPr>
          <w:rFonts w:hint="eastAsia" w:ascii="宋体" w:hAnsi="宋体" w:cs="宋体"/>
          <w:sz w:val="24"/>
          <w:szCs w:val="24"/>
        </w:rPr>
        <w:t>磋商</w:t>
      </w:r>
      <w:r>
        <w:rPr>
          <w:rFonts w:hint="eastAsia" w:ascii="宋体" w:hAnsi="宋体" w:cs="宋体"/>
          <w:sz w:val="24"/>
          <w:szCs w:val="24"/>
          <w:lang w:val="zh-CN"/>
        </w:rPr>
        <w:t>内容导致</w:t>
      </w:r>
      <w:r>
        <w:rPr>
          <w:rFonts w:hint="eastAsia" w:ascii="宋体" w:hAnsi="宋体" w:cs="宋体"/>
          <w:sz w:val="24"/>
          <w:szCs w:val="24"/>
        </w:rPr>
        <w:t>竞争性磋商</w:t>
      </w:r>
      <w:r>
        <w:rPr>
          <w:rFonts w:hint="eastAsia" w:ascii="宋体" w:hAnsi="宋体" w:cs="宋体"/>
          <w:sz w:val="24"/>
          <w:szCs w:val="24"/>
          <w:lang w:val="zh-CN"/>
        </w:rPr>
        <w:t>文件有实质性变动的，</w:t>
      </w:r>
      <w:r>
        <w:rPr>
          <w:rFonts w:hint="eastAsia" w:ascii="宋体" w:hAnsi="宋体" w:cs="宋体"/>
          <w:sz w:val="24"/>
          <w:szCs w:val="24"/>
        </w:rPr>
        <w:t>磋商小组</w:t>
      </w:r>
      <w:r>
        <w:rPr>
          <w:rFonts w:hint="eastAsia" w:ascii="宋体" w:hAnsi="宋体" w:cs="宋体"/>
          <w:sz w:val="24"/>
          <w:szCs w:val="24"/>
          <w:lang w:val="zh-CN"/>
        </w:rPr>
        <w:t>应当以书面形式通知所有供应商。</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第四阶段：单一分别</w:t>
      </w:r>
      <w:r>
        <w:rPr>
          <w:rFonts w:hint="eastAsia" w:ascii="宋体" w:hAnsi="宋体" w:cs="宋体"/>
          <w:sz w:val="24"/>
          <w:szCs w:val="24"/>
        </w:rPr>
        <w:t>磋商</w:t>
      </w:r>
      <w:r>
        <w:rPr>
          <w:rFonts w:hint="eastAsia" w:ascii="宋体" w:hAnsi="宋体" w:cs="宋体"/>
          <w:sz w:val="24"/>
          <w:szCs w:val="24"/>
          <w:lang w:val="zh-CN"/>
        </w:rPr>
        <w:t>结束后，</w:t>
      </w:r>
      <w:r>
        <w:rPr>
          <w:rFonts w:hint="eastAsia" w:ascii="宋体" w:hAnsi="宋体" w:cs="宋体"/>
          <w:sz w:val="24"/>
          <w:szCs w:val="24"/>
        </w:rPr>
        <w:t>磋商小组</w:t>
      </w:r>
      <w:r>
        <w:rPr>
          <w:rFonts w:hint="eastAsia" w:ascii="宋体" w:hAnsi="宋体" w:cs="宋体"/>
          <w:sz w:val="24"/>
          <w:szCs w:val="24"/>
          <w:lang w:val="zh-CN"/>
        </w:rPr>
        <w:t>告知所有供应商的项目二次（最终）报价，并要求所有作出实质性响应的有效供应商在规定的时间内，在</w:t>
      </w:r>
      <w:r>
        <w:rPr>
          <w:rFonts w:hint="eastAsia" w:ascii="宋体" w:hAnsi="宋体" w:cs="宋体"/>
          <w:sz w:val="24"/>
          <w:szCs w:val="24"/>
        </w:rPr>
        <w:t>磋商</w:t>
      </w:r>
      <w:r>
        <w:rPr>
          <w:rFonts w:hint="eastAsia" w:ascii="宋体" w:hAnsi="宋体" w:cs="宋体"/>
          <w:sz w:val="24"/>
          <w:szCs w:val="24"/>
          <w:lang w:val="zh-CN"/>
        </w:rPr>
        <w:t>现场集体给出最终报价，同时最终报价中可包括但不限于如最终澄清方案、有关优惠承诺等。</w:t>
      </w:r>
    </w:p>
    <w:p>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第五阶段：</w:t>
      </w:r>
      <w:r>
        <w:rPr>
          <w:rFonts w:hint="eastAsia" w:ascii="宋体" w:hAnsi="宋体" w:cs="宋体"/>
          <w:sz w:val="24"/>
          <w:szCs w:val="24"/>
        </w:rPr>
        <w:t>磋商小组</w:t>
      </w:r>
      <w:r>
        <w:rPr>
          <w:rFonts w:hint="eastAsia" w:ascii="宋体" w:hAnsi="宋体" w:cs="宋体"/>
          <w:sz w:val="24"/>
          <w:szCs w:val="24"/>
          <w:lang w:val="zh-CN"/>
        </w:rPr>
        <w:t>对供应商的最终报价进行评议和比较，在实质性响应</w:t>
      </w:r>
      <w:r>
        <w:rPr>
          <w:rFonts w:hint="eastAsia" w:ascii="宋体" w:hAnsi="宋体" w:cs="宋体"/>
          <w:sz w:val="24"/>
          <w:szCs w:val="24"/>
        </w:rPr>
        <w:t>竞争性磋商</w:t>
      </w:r>
      <w:r>
        <w:rPr>
          <w:rFonts w:hint="eastAsia" w:ascii="宋体" w:hAnsi="宋体" w:cs="宋体"/>
          <w:sz w:val="24"/>
          <w:szCs w:val="24"/>
          <w:lang w:val="zh-CN"/>
        </w:rPr>
        <w:t>文件，技术标和价格标部分都能满足</w:t>
      </w:r>
      <w:r>
        <w:rPr>
          <w:rFonts w:hint="eastAsia" w:ascii="宋体" w:hAnsi="宋体" w:cs="宋体"/>
          <w:sz w:val="24"/>
          <w:szCs w:val="24"/>
        </w:rPr>
        <w:t>竞争性磋商</w:t>
      </w:r>
      <w:r>
        <w:rPr>
          <w:rFonts w:hint="eastAsia" w:ascii="宋体" w:hAnsi="宋体" w:cs="宋体"/>
          <w:sz w:val="24"/>
          <w:szCs w:val="24"/>
          <w:lang w:val="zh-CN"/>
        </w:rPr>
        <w:t>文件的前提下，</w:t>
      </w:r>
      <w:r>
        <w:rPr>
          <w:rFonts w:hint="eastAsia" w:ascii="宋体" w:hAnsi="宋体" w:cs="宋体"/>
          <w:sz w:val="24"/>
          <w:szCs w:val="24"/>
        </w:rPr>
        <w:t>磋商小组</w:t>
      </w:r>
      <w:r>
        <w:rPr>
          <w:rFonts w:hint="eastAsia" w:ascii="宋体" w:hAnsi="宋体" w:cs="宋体"/>
          <w:sz w:val="24"/>
          <w:szCs w:val="24"/>
          <w:lang w:val="zh-CN"/>
        </w:rPr>
        <w:t>将校核后的各供应商的</w:t>
      </w:r>
      <w:r>
        <w:rPr>
          <w:rFonts w:hint="eastAsia" w:ascii="宋体" w:hAnsi="宋体" w:cs="宋体"/>
          <w:sz w:val="24"/>
          <w:szCs w:val="24"/>
        </w:rPr>
        <w:t>综合得分</w:t>
      </w:r>
      <w:r>
        <w:rPr>
          <w:rFonts w:hint="eastAsia" w:ascii="宋体" w:hAnsi="宋体" w:cs="宋体"/>
          <w:sz w:val="24"/>
          <w:szCs w:val="24"/>
          <w:lang w:val="zh-CN"/>
        </w:rPr>
        <w:t>从低到高排序（</w:t>
      </w:r>
      <w:r>
        <w:rPr>
          <w:rFonts w:hint="eastAsia" w:ascii="宋体" w:hAnsi="宋体" w:cs="宋体"/>
          <w:sz w:val="24"/>
          <w:szCs w:val="24"/>
        </w:rPr>
        <w:t>明显低于成本的，且供应商不能合理说明或者不能提供相关证明材料的报价除外）</w:t>
      </w:r>
      <w:r>
        <w:rPr>
          <w:rFonts w:hint="eastAsia" w:ascii="宋体" w:hAnsi="宋体" w:cs="宋体"/>
          <w:sz w:val="24"/>
          <w:szCs w:val="24"/>
          <w:lang w:val="zh-CN"/>
        </w:rPr>
        <w:t>。</w:t>
      </w:r>
    </w:p>
    <w:p>
      <w:pPr>
        <w:snapToGrid w:val="0"/>
        <w:spacing w:line="360" w:lineRule="auto"/>
        <w:ind w:firstLine="480" w:firstLineChars="200"/>
        <w:rPr>
          <w:rFonts w:ascii="宋体"/>
          <w:sz w:val="24"/>
          <w:szCs w:val="24"/>
        </w:rPr>
      </w:pPr>
      <w:r>
        <w:rPr>
          <w:rFonts w:ascii="宋体" w:hAnsi="宋体" w:cs="宋体"/>
          <w:sz w:val="24"/>
          <w:szCs w:val="24"/>
          <w:lang w:val="zh-CN"/>
        </w:rPr>
        <w:t>2</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过程中，供应商提交的澄清文件和最终报价文件，由供应商法定代表人或被授权人签字盖章后生效，供应商受其约束。</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四、磋商评定结果的方法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bCs/>
          <w:sz w:val="24"/>
          <w:szCs w:val="24"/>
          <w:u w:val="single"/>
        </w:rPr>
        <w:t>经磋商确定最终采购需求和提交最后报价的供应商后，</w:t>
      </w:r>
      <w:r>
        <w:rPr>
          <w:rFonts w:hint="eastAsia" w:ascii="宋体" w:hAnsi="宋体" w:cs="宋体"/>
          <w:sz w:val="24"/>
          <w:szCs w:val="24"/>
        </w:rPr>
        <w:t>由磋商小组采用综合评分法</w:t>
      </w:r>
      <w:r>
        <w:rPr>
          <w:rFonts w:hint="eastAsia" w:ascii="宋体" w:hAnsi="宋体" w:cs="宋体"/>
          <w:b/>
          <w:bCs/>
          <w:sz w:val="24"/>
          <w:szCs w:val="24"/>
          <w:u w:val="single"/>
        </w:rPr>
        <w:t>对提交最后报价的供应商的响应文件和最后报价</w:t>
      </w:r>
      <w:r>
        <w:rPr>
          <w:rFonts w:hint="eastAsia" w:ascii="宋体" w:hAnsi="宋体" w:cs="宋体"/>
          <w:sz w:val="24"/>
          <w:szCs w:val="24"/>
        </w:rPr>
        <w:t>进行综合评分。</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、评估时，磋商小组各成员应当独立对每个有效响应的文件进行评价、打分，然后汇总每个供应商每项评分因素的得分（计算结果均四舍五入保留两位小数）。</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、本次项目磋商的技术</w:t>
      </w:r>
      <w:r>
        <w:rPr>
          <w:rFonts w:hint="eastAsia" w:ascii="宋体" w:hAnsi="宋体" w:cs="宋体"/>
          <w:kern w:val="0"/>
          <w:sz w:val="24"/>
          <w:szCs w:val="24"/>
        </w:rPr>
        <w:t>响应文件</w:t>
      </w:r>
      <w:r>
        <w:rPr>
          <w:rFonts w:hint="eastAsia" w:ascii="宋体" w:hAnsi="宋体" w:cs="宋体"/>
          <w:sz w:val="24"/>
          <w:szCs w:val="24"/>
        </w:rPr>
        <w:t>和商务报价</w:t>
      </w:r>
      <w:r>
        <w:rPr>
          <w:rFonts w:hint="eastAsia" w:ascii="宋体" w:hAnsi="宋体" w:cs="宋体"/>
          <w:kern w:val="0"/>
          <w:sz w:val="24"/>
          <w:szCs w:val="24"/>
        </w:rPr>
        <w:t>响应文件</w:t>
      </w:r>
      <w:r>
        <w:rPr>
          <w:rFonts w:hint="eastAsia" w:ascii="宋体" w:hAnsi="宋体" w:cs="宋体"/>
          <w:sz w:val="24"/>
          <w:szCs w:val="24"/>
        </w:rPr>
        <w:t>评估总分值为</w:t>
      </w:r>
      <w:r>
        <w:rPr>
          <w:rFonts w:ascii="宋体" w:hAnsi="宋体" w:cs="宋体"/>
          <w:sz w:val="24"/>
          <w:szCs w:val="24"/>
        </w:rPr>
        <w:t>100</w:t>
      </w:r>
      <w:r>
        <w:rPr>
          <w:rFonts w:hint="eastAsia" w:ascii="宋体" w:hAnsi="宋体" w:cs="宋体"/>
          <w:sz w:val="24"/>
          <w:szCs w:val="24"/>
        </w:rPr>
        <w:t>分。两部分评估因素比重如下：</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技术响应文件分值占总分值的比重为</w:t>
      </w:r>
      <w:r>
        <w:rPr>
          <w:rFonts w:ascii="宋体" w:hAnsi="宋体" w:cs="宋体"/>
          <w:kern w:val="0"/>
          <w:sz w:val="24"/>
          <w:szCs w:val="24"/>
          <w:u w:val="single"/>
        </w:rPr>
        <w:t xml:space="preserve"> </w:t>
      </w:r>
      <w:r>
        <w:rPr>
          <w:rFonts w:hint="eastAsia" w:ascii="宋体" w:hAnsi="宋体" w:cs="宋体"/>
          <w:kern w:val="0"/>
          <w:sz w:val="24"/>
          <w:szCs w:val="24"/>
          <w:u w:val="single"/>
        </w:rPr>
        <w:t>70</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商务报价响应文件分值占总分值的比重为</w:t>
      </w:r>
      <w:r>
        <w:rPr>
          <w:rFonts w:ascii="宋体" w:hAnsi="宋体" w:cs="宋体"/>
          <w:kern w:val="0"/>
          <w:sz w:val="24"/>
          <w:szCs w:val="24"/>
          <w:u w:val="single"/>
        </w:rPr>
        <w:t xml:space="preserve"> </w:t>
      </w:r>
      <w:r>
        <w:rPr>
          <w:rFonts w:hint="eastAsia" w:ascii="宋体" w:hAnsi="宋体" w:cs="宋体"/>
          <w:kern w:val="0"/>
          <w:sz w:val="24"/>
          <w:szCs w:val="24"/>
          <w:u w:val="single"/>
        </w:rPr>
        <w:t>3</w:t>
      </w:r>
      <w:r>
        <w:rPr>
          <w:rFonts w:ascii="宋体" w:hAnsi="宋体" w:cs="宋体"/>
          <w:kern w:val="0"/>
          <w:sz w:val="24"/>
          <w:szCs w:val="24"/>
          <w:u w:val="single"/>
        </w:rPr>
        <w:t>0%</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snapToGrid w:val="0"/>
        <w:spacing w:line="360" w:lineRule="auto"/>
        <w:ind w:firstLine="480" w:firstLineChars="200"/>
        <w:rPr>
          <w:rFonts w:ascii="宋体"/>
          <w:dstrike/>
          <w:sz w:val="24"/>
          <w:szCs w:val="24"/>
        </w:rPr>
      </w:pPr>
      <w:r>
        <w:rPr>
          <w:rFonts w:ascii="宋体" w:hAnsi="宋体" w:cs="宋体"/>
          <w:sz w:val="24"/>
          <w:szCs w:val="24"/>
        </w:rPr>
        <w:t>4</w:t>
      </w:r>
      <w:r>
        <w:rPr>
          <w:rFonts w:hint="eastAsia" w:ascii="宋体" w:hAnsi="宋体" w:cs="宋体"/>
          <w:sz w:val="24"/>
          <w:szCs w:val="24"/>
        </w:rPr>
        <w:t>、技术</w:t>
      </w:r>
      <w:r>
        <w:rPr>
          <w:rFonts w:hint="eastAsia" w:ascii="宋体" w:hAnsi="宋体" w:cs="宋体"/>
          <w:kern w:val="0"/>
          <w:sz w:val="24"/>
          <w:szCs w:val="24"/>
        </w:rPr>
        <w:t>响应文件分值为所有评委打分的算术平均值，计算</w:t>
      </w:r>
      <w:r>
        <w:rPr>
          <w:rFonts w:hint="eastAsia" w:ascii="宋体" w:hAnsi="宋体" w:cs="宋体"/>
          <w:sz w:val="24"/>
          <w:szCs w:val="24"/>
        </w:rPr>
        <w:t>结果均四舍五入保留两位小数。</w:t>
      </w:r>
    </w:p>
    <w:p>
      <w:pPr>
        <w:snapToGrid w:val="0"/>
        <w:spacing w:line="360" w:lineRule="auto"/>
        <w:ind w:firstLine="480" w:firstLineChars="200"/>
      </w:pPr>
      <w:r>
        <w:rPr>
          <w:rFonts w:ascii="宋体" w:hAnsi="宋体" w:cs="宋体"/>
          <w:sz w:val="24"/>
          <w:szCs w:val="24"/>
        </w:rPr>
        <w:t>5</w:t>
      </w:r>
      <w:r>
        <w:rPr>
          <w:rFonts w:hint="eastAsia" w:ascii="宋体" w:hAnsi="宋体" w:cs="宋体"/>
          <w:sz w:val="24"/>
          <w:szCs w:val="24"/>
        </w:rPr>
        <w:t>、商务报价</w:t>
      </w:r>
      <w:r>
        <w:rPr>
          <w:rFonts w:hint="eastAsia" w:ascii="宋体" w:hAnsi="宋体" w:cs="宋体"/>
          <w:kern w:val="0"/>
          <w:sz w:val="24"/>
          <w:szCs w:val="24"/>
        </w:rPr>
        <w:t>响应文件</w:t>
      </w:r>
      <w:r>
        <w:rPr>
          <w:rFonts w:hint="eastAsia" w:ascii="宋体" w:hAnsi="宋体" w:cs="宋体"/>
          <w:sz w:val="24"/>
          <w:szCs w:val="24"/>
        </w:rPr>
        <w:t>分值统一采用低价优先法计算直接取得，与技术</w:t>
      </w:r>
      <w:r>
        <w:rPr>
          <w:rFonts w:hint="eastAsia" w:ascii="宋体" w:hAnsi="宋体" w:cs="宋体"/>
          <w:kern w:val="0"/>
          <w:sz w:val="24"/>
          <w:szCs w:val="24"/>
        </w:rPr>
        <w:t>响应文件</w:t>
      </w:r>
      <w:r>
        <w:rPr>
          <w:rFonts w:hint="eastAsia" w:ascii="宋体" w:hAnsi="宋体" w:cs="宋体"/>
          <w:sz w:val="24"/>
          <w:szCs w:val="24"/>
        </w:rPr>
        <w:t>分值相加为供应商的综合得分（四舍五入保留两位小数）。</w:t>
      </w:r>
    </w:p>
    <w:p>
      <w:pPr>
        <w:snapToGrid w:val="0"/>
        <w:spacing w:line="360" w:lineRule="auto"/>
        <w:ind w:firstLine="460" w:firstLineChars="192"/>
        <w:rPr>
          <w:rFonts w:ascii="宋体" w:hAnsi="宋体" w:cs="宋体"/>
          <w:kern w:val="0"/>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kern w:val="0"/>
          <w:sz w:val="24"/>
          <w:szCs w:val="24"/>
        </w:rPr>
        <w:t>综合得分最高的供应商推荐为项目预成交供应商并出具评审磋商报告。</w:t>
      </w:r>
    </w:p>
    <w:p>
      <w:pPr>
        <w:snapToGrid w:val="0"/>
        <w:spacing w:line="360" w:lineRule="auto"/>
        <w:ind w:firstLine="460" w:firstLineChars="192"/>
        <w:rPr>
          <w:rFonts w:ascii="宋体"/>
          <w:sz w:val="24"/>
          <w:szCs w:val="24"/>
        </w:rPr>
      </w:pPr>
      <w:r>
        <w:rPr>
          <w:rFonts w:ascii="宋体" w:hAnsi="宋体" w:cs="宋体"/>
          <w:sz w:val="24"/>
          <w:szCs w:val="24"/>
        </w:rPr>
        <w:t>7</w:t>
      </w:r>
      <w:r>
        <w:rPr>
          <w:rFonts w:hint="eastAsia" w:ascii="宋体" w:hAnsi="宋体" w:cs="宋体"/>
          <w:sz w:val="24"/>
          <w:szCs w:val="24"/>
        </w:rPr>
        <w:t>、确定成交候选人的特殊情况处理：</w:t>
      </w:r>
    </w:p>
    <w:p>
      <w:pPr>
        <w:snapToGrid w:val="0"/>
        <w:spacing w:line="360" w:lineRule="auto"/>
        <w:ind w:firstLine="480" w:firstLineChars="200"/>
        <w:outlineLvl w:val="1"/>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）若总分相同，则按最终报价得分高者优先成交。</w:t>
      </w:r>
    </w:p>
    <w:p>
      <w:pPr>
        <w:snapToGrid w:val="0"/>
        <w:spacing w:line="360" w:lineRule="auto"/>
        <w:ind w:firstLine="480" w:firstLineChars="200"/>
        <w:outlineLvl w:val="1"/>
        <w:rPr>
          <w:rFonts w:ascii="宋体"/>
          <w:dstrike/>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）若总分且最终报价得分相同，则采取现场抽签的方式确定（由供应商按递交响应文件签到顺序号抽签确定）。</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、磋商评审时，评委对评审的细则若有争议，由磋商小组集体讨论确定，并对未尽情况有最终解释权。</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、对落标的供应商不做落标原因的解释。</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五、综合评分评审标准</w:t>
      </w:r>
    </w:p>
    <w:p>
      <w:pPr>
        <w:adjustRightInd w:val="0"/>
        <w:snapToGrid w:val="0"/>
        <w:spacing w:line="360" w:lineRule="auto"/>
        <w:ind w:firstLine="480" w:firstLineChars="200"/>
        <w:outlineLvl w:val="3"/>
        <w:rPr>
          <w:rFonts w:ascii="宋体"/>
          <w:sz w:val="24"/>
          <w:szCs w:val="24"/>
        </w:rPr>
      </w:pPr>
      <w:r>
        <w:rPr>
          <w:rFonts w:hint="eastAsia" w:ascii="宋体" w:hAnsi="宋体" w:cs="宋体"/>
          <w:sz w:val="24"/>
          <w:szCs w:val="24"/>
        </w:rPr>
        <w:t>（一）技术磋商响应评审：（7</w:t>
      </w:r>
      <w:r>
        <w:rPr>
          <w:rFonts w:ascii="宋体" w:cs="宋体"/>
          <w:sz w:val="24"/>
          <w:szCs w:val="24"/>
        </w:rPr>
        <w:t>0</w:t>
      </w:r>
      <w:r>
        <w:rPr>
          <w:rFonts w:hint="eastAsia" w:ascii="宋体" w:hAnsi="宋体" w:cs="宋体"/>
          <w:sz w:val="24"/>
          <w:szCs w:val="24"/>
        </w:rPr>
        <w:t>分）</w:t>
      </w:r>
    </w:p>
    <w:tbl>
      <w:tblPr>
        <w:tblStyle w:val="51"/>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822"/>
        <w:gridCol w:w="558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548" w:type="dxa"/>
            <w:vAlign w:val="center"/>
          </w:tcPr>
          <w:p>
            <w:pPr>
              <w:tabs>
                <w:tab w:val="left" w:pos="10546"/>
              </w:tabs>
              <w:jc w:val="center"/>
              <w:rPr>
                <w:rFonts w:ascii="宋体"/>
                <w:b/>
                <w:bCs/>
                <w:sz w:val="24"/>
                <w:szCs w:val="24"/>
              </w:rPr>
            </w:pPr>
            <w:r>
              <w:rPr>
                <w:rFonts w:hint="eastAsia" w:ascii="宋体" w:hAnsi="宋体" w:cs="宋体"/>
                <w:b/>
                <w:bCs/>
                <w:sz w:val="24"/>
                <w:szCs w:val="24"/>
              </w:rPr>
              <w:t>序号</w:t>
            </w:r>
          </w:p>
        </w:tc>
        <w:tc>
          <w:tcPr>
            <w:tcW w:w="1822" w:type="dxa"/>
            <w:vAlign w:val="center"/>
          </w:tcPr>
          <w:p>
            <w:pPr>
              <w:snapToGrid w:val="0"/>
              <w:jc w:val="center"/>
              <w:outlineLvl w:val="1"/>
              <w:rPr>
                <w:rFonts w:ascii="宋体"/>
                <w:b/>
                <w:bCs/>
                <w:sz w:val="24"/>
                <w:szCs w:val="24"/>
              </w:rPr>
            </w:pPr>
            <w:r>
              <w:rPr>
                <w:rFonts w:hint="eastAsia" w:ascii="宋体" w:hAnsi="宋体" w:cs="宋体"/>
                <w:b/>
                <w:bCs/>
                <w:sz w:val="24"/>
                <w:szCs w:val="24"/>
              </w:rPr>
              <w:t>评分因素</w:t>
            </w:r>
          </w:p>
        </w:tc>
        <w:tc>
          <w:tcPr>
            <w:tcW w:w="5581" w:type="dxa"/>
            <w:vAlign w:val="center"/>
          </w:tcPr>
          <w:p>
            <w:pPr>
              <w:snapToGrid w:val="0"/>
              <w:jc w:val="center"/>
              <w:outlineLvl w:val="1"/>
              <w:rPr>
                <w:rFonts w:ascii="宋体"/>
                <w:b/>
                <w:bCs/>
                <w:sz w:val="24"/>
                <w:szCs w:val="24"/>
              </w:rPr>
            </w:pPr>
            <w:r>
              <w:rPr>
                <w:rFonts w:hint="eastAsia" w:ascii="宋体" w:hAnsi="宋体" w:cs="宋体"/>
                <w:b/>
                <w:bCs/>
                <w:sz w:val="24"/>
                <w:szCs w:val="24"/>
              </w:rPr>
              <w:t>评分标准</w:t>
            </w:r>
          </w:p>
        </w:tc>
        <w:tc>
          <w:tcPr>
            <w:tcW w:w="1276" w:type="dxa"/>
            <w:vAlign w:val="center"/>
          </w:tcPr>
          <w:p>
            <w:pPr>
              <w:snapToGrid w:val="0"/>
              <w:jc w:val="center"/>
              <w:outlineLvl w:val="1"/>
              <w:rPr>
                <w:rFonts w:ascii="宋体"/>
                <w:b/>
                <w:bCs/>
                <w:sz w:val="24"/>
                <w:szCs w:val="24"/>
              </w:rPr>
            </w:pPr>
            <w:r>
              <w:rPr>
                <w:rFonts w:hint="eastAsia" w:ascii="宋体"/>
                <w:b/>
                <w:bCs/>
                <w:sz w:val="24"/>
                <w:szCs w:val="24"/>
              </w:rPr>
              <w:t>满分分值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548" w:type="dxa"/>
            <w:vAlign w:val="center"/>
          </w:tcPr>
          <w:p>
            <w:pPr>
              <w:tabs>
                <w:tab w:val="left" w:pos="10546"/>
              </w:tabs>
              <w:spacing w:line="360" w:lineRule="auto"/>
              <w:jc w:val="center"/>
              <w:rPr>
                <w:rFonts w:ascii="宋体" w:hAnsi="宋体" w:cs="宋体"/>
                <w:sz w:val="24"/>
                <w:szCs w:val="24"/>
              </w:rPr>
            </w:pPr>
            <w:r>
              <w:rPr>
                <w:rFonts w:hint="eastAsia" w:ascii="宋体" w:hAnsi="宋体" w:cs="宋体"/>
                <w:sz w:val="24"/>
                <w:szCs w:val="24"/>
              </w:rPr>
              <w:t>1</w:t>
            </w:r>
          </w:p>
        </w:tc>
        <w:tc>
          <w:tcPr>
            <w:tcW w:w="1822" w:type="dxa"/>
            <w:vAlign w:val="center"/>
          </w:tcPr>
          <w:p>
            <w:pPr>
              <w:widowControl/>
              <w:jc w:val="center"/>
              <w:rPr>
                <w:rFonts w:ascii="宋体" w:hAnsi="宋体" w:cs="宋体"/>
                <w:color w:val="000000"/>
                <w:kern w:val="0"/>
              </w:rPr>
            </w:pPr>
            <w:r>
              <w:rPr>
                <w:rFonts w:hint="eastAsia" w:ascii="宋体" w:hAnsi="宋体" w:cs="宋体"/>
                <w:color w:val="000000"/>
                <w:kern w:val="0"/>
                <w:sz w:val="24"/>
                <w:szCs w:val="24"/>
              </w:rPr>
              <w:t>供应商业绩</w:t>
            </w:r>
          </w:p>
        </w:tc>
        <w:tc>
          <w:tcPr>
            <w:tcW w:w="5581" w:type="dxa"/>
            <w:vAlign w:val="center"/>
          </w:tcPr>
          <w:p>
            <w:pPr>
              <w:pStyle w:val="88"/>
              <w:rPr>
                <w:rFonts w:ascii="宋体" w:hAnsi="宋体" w:cs="宋体"/>
                <w:sz w:val="24"/>
                <w:szCs w:val="24"/>
                <w:lang w:eastAsia="zh-CN"/>
              </w:rPr>
            </w:pPr>
            <w:r>
              <w:rPr>
                <w:rFonts w:hint="eastAsia" w:ascii="宋体" w:hAnsi="宋体" w:cs="宋体"/>
                <w:sz w:val="24"/>
                <w:szCs w:val="24"/>
                <w:lang w:eastAsia="zh-CN"/>
              </w:rPr>
              <w:t>供应商自2018年1月1日（以合同签订时间为准）以来，有母婴生活护理服务类业绩的，得5分，本项最高得15分。</w:t>
            </w:r>
          </w:p>
          <w:p>
            <w:pPr>
              <w:widowControl/>
              <w:jc w:val="left"/>
              <w:rPr>
                <w:rFonts w:ascii="宋体" w:hAnsi="宋体" w:cs="宋体"/>
                <w:b/>
                <w:bCs/>
                <w:sz w:val="24"/>
                <w:szCs w:val="24"/>
              </w:rPr>
            </w:pPr>
            <w:r>
              <w:rPr>
                <w:rFonts w:hint="eastAsia" w:ascii="宋体" w:hAnsi="宋体" w:cs="宋体"/>
                <w:b/>
                <w:bCs/>
                <w:sz w:val="24"/>
                <w:szCs w:val="24"/>
              </w:rPr>
              <w:t>注：1、每个业绩须同时提供①完整清晰的合同扫描件或复印件；②结算税务发票（仅需提供一张，但开具日期须在本项目竞争性磋商公告发布日期之前）扫描件或复印件，否则不得分。所有扫描件或复印件须加盖供应商公章。原件备查。</w:t>
            </w:r>
          </w:p>
          <w:p>
            <w:pPr>
              <w:widowControl/>
              <w:ind w:firstLine="482" w:firstLineChars="200"/>
              <w:jc w:val="left"/>
              <w:rPr>
                <w:rFonts w:ascii="宋体" w:hAnsi="宋体" w:cs="宋体"/>
                <w:b/>
                <w:bCs/>
                <w:sz w:val="24"/>
                <w:szCs w:val="24"/>
              </w:rPr>
            </w:pPr>
            <w:r>
              <w:rPr>
                <w:rFonts w:hint="eastAsia" w:ascii="宋体" w:hAnsi="宋体" w:cs="宋体"/>
                <w:b/>
                <w:bCs/>
                <w:sz w:val="24"/>
                <w:szCs w:val="24"/>
              </w:rPr>
              <w:t>2、与同一采购单位签订的多份合同只按一个业绩计算。</w:t>
            </w:r>
          </w:p>
          <w:p>
            <w:pPr>
              <w:widowControl/>
              <w:ind w:firstLine="482" w:firstLineChars="200"/>
              <w:jc w:val="left"/>
              <w:rPr>
                <w:rFonts w:ascii="宋体" w:hAnsi="宋体" w:cs="宋体"/>
                <w:b/>
                <w:bCs/>
                <w:sz w:val="24"/>
                <w:szCs w:val="24"/>
              </w:rPr>
            </w:pPr>
            <w:r>
              <w:rPr>
                <w:rFonts w:hint="eastAsia" w:ascii="宋体" w:hAnsi="宋体" w:cs="宋体"/>
                <w:b/>
                <w:bCs/>
                <w:sz w:val="24"/>
                <w:szCs w:val="24"/>
              </w:rPr>
              <w:t>3、若上述材料无法体现评审因素，则须另行提供由委托单位盖章的业绩证明，若业绩证明无法充分体现评审要素，评标委员会可以不予认可。</w:t>
            </w:r>
          </w:p>
          <w:p>
            <w:pPr>
              <w:widowControl/>
              <w:ind w:firstLine="482" w:firstLineChars="200"/>
              <w:jc w:val="left"/>
            </w:pPr>
            <w:r>
              <w:rPr>
                <w:rFonts w:hint="eastAsia" w:ascii="宋体" w:hAnsi="宋体" w:cs="宋体"/>
                <w:b/>
                <w:bCs/>
                <w:sz w:val="24"/>
                <w:szCs w:val="24"/>
              </w:rPr>
              <w:t>4、业绩证明不可与资格审查文件中的业绩证明为同一个。</w:t>
            </w:r>
          </w:p>
        </w:tc>
        <w:tc>
          <w:tcPr>
            <w:tcW w:w="1276" w:type="dxa"/>
            <w:vAlign w:val="center"/>
          </w:tcPr>
          <w:p>
            <w:pPr>
              <w:widowControl/>
              <w:jc w:val="center"/>
              <w:rPr>
                <w:rFonts w:ascii="宋体" w:hAnsi="宋体" w:cs="宋体"/>
                <w:color w:val="000000"/>
                <w:kern w:val="0"/>
              </w:rPr>
            </w:pPr>
            <w:r>
              <w:rPr>
                <w:rFonts w:hint="eastAsia" w:ascii="宋体" w:hAnsi="宋体" w:cs="宋体"/>
                <w:color w:val="000000"/>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548" w:type="dxa"/>
            <w:vAlign w:val="center"/>
          </w:tcPr>
          <w:p>
            <w:pPr>
              <w:tabs>
                <w:tab w:val="left" w:pos="10546"/>
              </w:tabs>
              <w:spacing w:line="360" w:lineRule="auto"/>
              <w:jc w:val="center"/>
              <w:rPr>
                <w:rFonts w:ascii="宋体" w:hAnsi="宋体" w:cs="宋体"/>
                <w:sz w:val="24"/>
                <w:szCs w:val="24"/>
              </w:rPr>
            </w:pPr>
            <w:r>
              <w:rPr>
                <w:rFonts w:hint="eastAsia" w:ascii="宋体" w:hAnsi="宋体" w:cs="宋体"/>
                <w:sz w:val="24"/>
                <w:szCs w:val="24"/>
              </w:rPr>
              <w:t>2</w:t>
            </w:r>
          </w:p>
        </w:tc>
        <w:tc>
          <w:tcPr>
            <w:tcW w:w="182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rPr>
              <w:t>企业实力</w:t>
            </w:r>
          </w:p>
        </w:tc>
        <w:tc>
          <w:tcPr>
            <w:tcW w:w="5581" w:type="dxa"/>
            <w:vAlign w:val="center"/>
          </w:tcPr>
          <w:p>
            <w:pPr>
              <w:widowControl/>
              <w:numPr>
                <w:ilvl w:val="0"/>
                <w:numId w:val="7"/>
              </w:numPr>
              <w:jc w:val="left"/>
              <w:rPr>
                <w:rFonts w:ascii="宋体" w:hAnsi="宋体" w:cs="宋体"/>
                <w:color w:val="000000"/>
                <w:kern w:val="0"/>
              </w:rPr>
            </w:pPr>
            <w:r>
              <w:rPr>
                <w:rFonts w:hint="eastAsia" w:ascii="宋体" w:hAnsi="宋体" w:cs="宋体"/>
                <w:color w:val="000000"/>
                <w:kern w:val="0"/>
                <w:sz w:val="24"/>
                <w:szCs w:val="24"/>
                <w:lang w:bidi="ar"/>
              </w:rPr>
              <w:t>供应商具备有效的质量管理体系ISO9001认证证书的，得2分</w:t>
            </w:r>
            <w:r>
              <w:rPr>
                <w:rFonts w:hint="eastAsia" w:ascii="宋体" w:hAnsi="宋体" w:cs="宋体"/>
                <w:color w:val="000000"/>
                <w:kern w:val="0"/>
              </w:rPr>
              <w:t>；</w:t>
            </w:r>
          </w:p>
          <w:p>
            <w:pPr>
              <w:widowControl/>
              <w:numPr>
                <w:ilvl w:val="0"/>
                <w:numId w:val="7"/>
              </w:numPr>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供应商具备有效的环境管理体系ISO14001认证证书的，得2分；</w:t>
            </w:r>
          </w:p>
          <w:p>
            <w:pPr>
              <w:widowControl/>
              <w:numPr>
                <w:ilvl w:val="0"/>
                <w:numId w:val="7"/>
              </w:numPr>
              <w:jc w:val="left"/>
              <w:rPr>
                <w:rFonts w:ascii="宋体" w:hAnsi="宋体" w:cs="宋体"/>
                <w:color w:val="000000"/>
                <w:kern w:val="0"/>
                <w:sz w:val="24"/>
                <w:szCs w:val="24"/>
                <w:lang w:bidi="ar"/>
              </w:rPr>
            </w:pPr>
            <w:r>
              <w:rPr>
                <w:rFonts w:hint="eastAsia" w:ascii="宋体" w:hAnsi="宋体" w:cs="宋体"/>
                <w:kern w:val="0"/>
                <w:sz w:val="24"/>
                <w:szCs w:val="24"/>
              </w:rPr>
              <w:t>供应商具备有效的ISO45001职业健康安全管理体系认证证书的</w:t>
            </w:r>
            <w:r>
              <w:rPr>
                <w:rFonts w:hint="eastAsia" w:ascii="宋体" w:hAnsi="宋体" w:cs="宋体"/>
                <w:color w:val="000000"/>
                <w:kern w:val="0"/>
                <w:sz w:val="24"/>
                <w:szCs w:val="24"/>
                <w:lang w:bidi="ar"/>
              </w:rPr>
              <w:t>，得2分。</w:t>
            </w:r>
          </w:p>
          <w:p>
            <w:pPr>
              <w:widowControl/>
              <w:jc w:val="left"/>
              <w:rPr>
                <w:rFonts w:ascii="宋体" w:hAnsi="宋体" w:cs="宋体"/>
                <w:b/>
                <w:bCs/>
                <w:sz w:val="24"/>
                <w:szCs w:val="24"/>
              </w:rPr>
            </w:pPr>
            <w:r>
              <w:rPr>
                <w:rFonts w:hint="eastAsia" w:ascii="宋体" w:hAnsi="宋体" w:cs="宋体"/>
                <w:b/>
                <w:bCs/>
                <w:sz w:val="24"/>
                <w:szCs w:val="24"/>
              </w:rPr>
              <w:t>注：须同时提供①认证证书在“国家市场监督总局的全国认证认可信息公共服务平台（http://cx.cnca.cn/CertECloud/index/index/page?currentPosition=）”的截图，并加盖供应商公章；②认证证书原件的复印件或扫描件，并加盖供应商公章。原件备查。</w:t>
            </w:r>
          </w:p>
        </w:tc>
        <w:tc>
          <w:tcPr>
            <w:tcW w:w="1276" w:type="dxa"/>
            <w:vAlign w:val="center"/>
          </w:tcPr>
          <w:p>
            <w:pPr>
              <w:widowControl/>
              <w:jc w:val="center"/>
              <w:rPr>
                <w:rFonts w:ascii="宋体" w:hAnsi="宋体" w:cs="宋体"/>
                <w:color w:val="000000"/>
                <w:kern w:val="0"/>
              </w:rPr>
            </w:pPr>
            <w:r>
              <w:rPr>
                <w:rFonts w:hint="eastAsia" w:ascii="宋体" w:hAnsi="宋体" w:cs="宋体"/>
                <w:color w:val="000000"/>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jc w:val="center"/>
        </w:trPr>
        <w:tc>
          <w:tcPr>
            <w:tcW w:w="548" w:type="dxa"/>
            <w:vAlign w:val="center"/>
          </w:tcPr>
          <w:p>
            <w:pPr>
              <w:tabs>
                <w:tab w:val="left" w:pos="10546"/>
              </w:tabs>
              <w:spacing w:line="360" w:lineRule="auto"/>
              <w:jc w:val="center"/>
              <w:rPr>
                <w:rFonts w:ascii="宋体" w:hAnsi="宋体" w:cs="宋体"/>
                <w:sz w:val="24"/>
                <w:szCs w:val="24"/>
              </w:rPr>
            </w:pPr>
            <w:r>
              <w:rPr>
                <w:rFonts w:hint="eastAsia" w:ascii="宋体" w:hAnsi="宋体" w:cs="宋体"/>
                <w:sz w:val="24"/>
                <w:szCs w:val="24"/>
              </w:rPr>
              <w:t>3</w:t>
            </w:r>
          </w:p>
        </w:tc>
        <w:tc>
          <w:tcPr>
            <w:tcW w:w="1822" w:type="dxa"/>
            <w:vAlign w:val="center"/>
          </w:tcPr>
          <w:p>
            <w:pPr>
              <w:widowControl/>
              <w:jc w:val="center"/>
              <w:rPr>
                <w:rFonts w:hint="eastAsia" w:ascii="宋体" w:hAnsi="宋体" w:cs="宋体"/>
                <w:bCs/>
                <w:sz w:val="24"/>
                <w:szCs w:val="24"/>
              </w:rPr>
            </w:pPr>
            <w:r>
              <w:rPr>
                <w:rFonts w:hint="eastAsia" w:ascii="宋体" w:hAnsi="宋体" w:cs="宋体"/>
                <w:bCs/>
                <w:sz w:val="24"/>
                <w:szCs w:val="24"/>
              </w:rPr>
              <w:t>项目组人员</w:t>
            </w:r>
          </w:p>
          <w:p>
            <w:pPr>
              <w:widowControl/>
              <w:jc w:val="center"/>
              <w:rPr>
                <w:rFonts w:ascii="宋体" w:hAnsi="宋体" w:cs="宋体"/>
                <w:color w:val="000000"/>
                <w:kern w:val="0"/>
              </w:rPr>
            </w:pPr>
            <w:r>
              <w:rPr>
                <w:rFonts w:hint="eastAsia" w:ascii="宋体" w:hAnsi="宋体" w:cs="宋体"/>
                <w:bCs/>
                <w:sz w:val="24"/>
                <w:szCs w:val="24"/>
              </w:rPr>
              <w:t>能力</w:t>
            </w:r>
          </w:p>
        </w:tc>
        <w:tc>
          <w:tcPr>
            <w:tcW w:w="5581" w:type="dxa"/>
            <w:vAlign w:val="center"/>
          </w:tcPr>
          <w:p>
            <w:pPr>
              <w:pStyle w:val="88"/>
              <w:rPr>
                <w:rFonts w:hint="eastAsia" w:ascii="宋体" w:hAnsi="宋体" w:cs="宋体"/>
                <w:color w:val="000000" w:themeColor="text1"/>
                <w:sz w:val="24"/>
                <w:szCs w:val="24"/>
                <w:lang w:val="en-US" w:eastAsia="zh-CN" w:bidi="ar"/>
                <w14:textFill>
                  <w14:solidFill>
                    <w14:schemeClr w14:val="tx1"/>
                  </w14:solidFill>
                </w14:textFill>
              </w:rPr>
            </w:pPr>
            <w:r>
              <w:rPr>
                <w:rFonts w:hint="eastAsia" w:ascii="宋体" w:hAnsi="宋体" w:cs="宋体"/>
                <w:color w:val="000000" w:themeColor="text1"/>
                <w:sz w:val="24"/>
                <w:szCs w:val="24"/>
                <w:lang w:eastAsia="zh-CN" w:bidi="ar"/>
                <w14:textFill>
                  <w14:solidFill>
                    <w14:schemeClr w14:val="tx1"/>
                  </w14:solidFill>
                </w14:textFill>
              </w:rPr>
              <w:t>拟派</w:t>
            </w:r>
            <w:r>
              <w:rPr>
                <w:rFonts w:hint="eastAsia" w:ascii="宋体" w:hAnsi="宋体" w:cs="宋体"/>
                <w:color w:val="000000" w:themeColor="text1"/>
                <w:sz w:val="24"/>
                <w:szCs w:val="24"/>
                <w:lang w:val="en-US" w:eastAsia="zh-CN" w:bidi="ar"/>
                <w14:textFill>
                  <w14:solidFill>
                    <w14:schemeClr w14:val="tx1"/>
                  </w14:solidFill>
                </w14:textFill>
              </w:rPr>
              <w:t>本项目团队人员中，高级育婴员（三级）证书或专项母婴护理职业能力证书的人数之和必须不低于本项目团队人员总数的60%，否则此项得0分。符合该基本要求后按以下方法计分：</w:t>
            </w:r>
          </w:p>
          <w:p>
            <w:pPr>
              <w:pStyle w:val="88"/>
              <w:rPr>
                <w:rFonts w:hint="eastAsia" w:ascii="宋体" w:hAnsi="宋体" w:cs="宋体"/>
                <w:color w:val="000000" w:themeColor="text1"/>
                <w:sz w:val="24"/>
                <w:szCs w:val="24"/>
                <w:lang w:eastAsia="zh-CN" w:bidi="ar"/>
                <w14:textFill>
                  <w14:solidFill>
                    <w14:schemeClr w14:val="tx1"/>
                  </w14:solidFill>
                </w14:textFill>
              </w:rPr>
            </w:pPr>
            <w:r>
              <w:rPr>
                <w:rFonts w:hint="eastAsia" w:ascii="宋体" w:hAnsi="宋体" w:cs="宋体"/>
                <w:color w:val="000000" w:themeColor="text1"/>
                <w:sz w:val="24"/>
                <w:szCs w:val="24"/>
                <w:lang w:val="en-US" w:eastAsia="zh-CN" w:bidi="ar"/>
                <w14:textFill>
                  <w14:solidFill>
                    <w14:schemeClr w14:val="tx1"/>
                  </w14:solidFill>
                </w14:textFill>
              </w:rPr>
              <w:t>有育婴员（五级）证书的，每有一人得1分；有中级育婴员（四级）证书的，每有一人得2分；有高级育婴员（三级）证书或专项母婴护理职业能力证书的，每有一人得3</w:t>
            </w:r>
            <w:r>
              <w:rPr>
                <w:rFonts w:hint="eastAsia" w:ascii="宋体" w:hAnsi="宋体" w:cs="宋体"/>
                <w:color w:val="000000" w:themeColor="text1"/>
                <w:sz w:val="24"/>
                <w:szCs w:val="24"/>
                <w:lang w:eastAsia="zh-CN" w:bidi="ar"/>
                <w14:textFill>
                  <w14:solidFill>
                    <w14:schemeClr w14:val="tx1"/>
                  </w14:solidFill>
                </w14:textFill>
              </w:rPr>
              <w:t>分；本项最高得35分。</w:t>
            </w:r>
          </w:p>
          <w:p>
            <w:pPr>
              <w:pStyle w:val="88"/>
              <w:rPr>
                <w:rFonts w:hint="eastAsia" w:ascii="宋体" w:hAnsi="宋体" w:cs="宋体"/>
                <w:color w:val="000000" w:themeColor="text1"/>
                <w:sz w:val="24"/>
                <w:szCs w:val="24"/>
                <w:lang w:eastAsia="zh-CN" w:bidi="ar"/>
                <w14:textFill>
                  <w14:solidFill>
                    <w14:schemeClr w14:val="tx1"/>
                  </w14:solidFill>
                </w14:textFill>
              </w:rPr>
            </w:pPr>
            <w:r>
              <w:rPr>
                <w:rFonts w:hint="eastAsia" w:ascii="宋体" w:hAnsi="宋体" w:cs="宋体"/>
                <w:b/>
                <w:bCs/>
                <w:color w:val="000000" w:themeColor="text1"/>
                <w:sz w:val="24"/>
                <w:szCs w:val="24"/>
                <w:lang w:eastAsia="zh-CN" w:bidi="ar"/>
                <w14:textFill>
                  <w14:solidFill>
                    <w14:schemeClr w14:val="tx1"/>
                  </w14:solidFill>
                </w14:textFill>
              </w:rPr>
              <w:t>团队人员中同一人不重复得分。注：须同时提供①相关证书原件的复印件或扫描件；②拟派人员与供应商签订的有效劳动合同复印件或扫描件；③社保机构出具且盖章的磋商响应供应商为其连续交纳的近6个月（至少缴纳至2022年5月份）的养老保险缴费清单复印件或扫描件。所有复印件或扫描件须加盖供应商公章。原件备查。</w:t>
            </w:r>
          </w:p>
        </w:tc>
        <w:tc>
          <w:tcPr>
            <w:tcW w:w="1276" w:type="dxa"/>
            <w:vAlign w:val="center"/>
          </w:tcPr>
          <w:p>
            <w:pPr>
              <w:widowControl/>
              <w:jc w:val="center"/>
              <w:rPr>
                <w:rFonts w:ascii="宋体" w:hAnsi="宋体" w:cs="宋体"/>
                <w:color w:val="000000"/>
                <w:kern w:val="0"/>
              </w:rPr>
            </w:pPr>
            <w:r>
              <w:rPr>
                <w:rFonts w:hint="eastAsia" w:ascii="宋体" w:hAnsi="宋体" w:cs="宋体"/>
                <w:color w:val="000000"/>
                <w:kern w:val="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548" w:type="dxa"/>
            <w:vAlign w:val="center"/>
          </w:tcPr>
          <w:p>
            <w:pPr>
              <w:tabs>
                <w:tab w:val="left" w:pos="10546"/>
              </w:tabs>
              <w:spacing w:line="360" w:lineRule="auto"/>
              <w:jc w:val="center"/>
              <w:rPr>
                <w:rFonts w:ascii="宋体" w:hAnsi="宋体" w:cs="宋体"/>
                <w:sz w:val="24"/>
                <w:szCs w:val="24"/>
              </w:rPr>
            </w:pPr>
            <w:r>
              <w:rPr>
                <w:rFonts w:hint="eastAsia" w:ascii="宋体" w:hAnsi="宋体" w:cs="宋体"/>
                <w:sz w:val="24"/>
                <w:szCs w:val="24"/>
              </w:rPr>
              <w:t>4</w:t>
            </w:r>
          </w:p>
        </w:tc>
        <w:tc>
          <w:tcPr>
            <w:tcW w:w="1822" w:type="dxa"/>
            <w:vAlign w:val="center"/>
          </w:tcPr>
          <w:p>
            <w:pPr>
              <w:pStyle w:val="88"/>
              <w:jc w:val="center"/>
              <w:rPr>
                <w:rFonts w:ascii="宋体" w:hAnsi="宋体" w:cs="宋体"/>
                <w:color w:val="000000"/>
                <w:sz w:val="24"/>
                <w:szCs w:val="24"/>
                <w:lang w:eastAsia="zh-CN"/>
              </w:rPr>
            </w:pPr>
            <w:r>
              <w:rPr>
                <w:rFonts w:hint="eastAsia" w:ascii="宋体" w:hAnsi="宋体" w:cs="宋体"/>
                <w:color w:val="000000"/>
                <w:sz w:val="24"/>
                <w:szCs w:val="24"/>
                <w:lang w:eastAsia="zh-CN"/>
              </w:rPr>
              <w:t>管理及培训</w:t>
            </w:r>
          </w:p>
          <w:p>
            <w:pPr>
              <w:pStyle w:val="88"/>
              <w:jc w:val="center"/>
              <w:rPr>
                <w:rFonts w:ascii="宋体" w:hAnsi="宋体" w:cs="宋体"/>
                <w:color w:val="000000"/>
                <w:sz w:val="24"/>
                <w:szCs w:val="24"/>
                <w:lang w:eastAsia="zh-CN"/>
              </w:rPr>
            </w:pPr>
            <w:r>
              <w:rPr>
                <w:rFonts w:hint="eastAsia" w:ascii="宋体" w:hAnsi="宋体" w:cs="宋体"/>
                <w:color w:val="000000"/>
                <w:sz w:val="24"/>
                <w:szCs w:val="24"/>
                <w:lang w:eastAsia="zh-CN"/>
              </w:rPr>
              <w:t>方案</w:t>
            </w:r>
          </w:p>
        </w:tc>
        <w:tc>
          <w:tcPr>
            <w:tcW w:w="5581" w:type="dxa"/>
            <w:vAlign w:val="center"/>
          </w:tcPr>
          <w:p>
            <w:pPr>
              <w:pStyle w:val="88"/>
              <w:rPr>
                <w:rFonts w:hint="eastAsia" w:ascii="宋体" w:hAnsi="宋体" w:cs="宋体"/>
                <w:color w:val="000000" w:themeColor="text1"/>
                <w:sz w:val="24"/>
                <w:szCs w:val="24"/>
                <w:lang w:eastAsia="zh-CN" w:bidi="ar"/>
                <w14:textFill>
                  <w14:solidFill>
                    <w14:schemeClr w14:val="tx1"/>
                  </w14:solidFill>
                </w14:textFill>
              </w:rPr>
            </w:pPr>
            <w:r>
              <w:rPr>
                <w:rFonts w:hint="eastAsia" w:ascii="宋体" w:hAnsi="宋体" w:cs="宋体"/>
                <w:color w:val="000000" w:themeColor="text1"/>
                <w:sz w:val="24"/>
                <w:szCs w:val="24"/>
                <w:lang w:eastAsia="zh-CN" w:bidi="ar"/>
                <w14:textFill>
                  <w14:solidFill>
                    <w14:schemeClr w14:val="tx1"/>
                  </w14:solidFill>
                </w14:textFill>
              </w:rPr>
              <w:t>供应商管理架构清晰，分工明确，考核制度落实到位，对拟派护理员的岗前和在岗培训制作具体方案。</w:t>
            </w:r>
          </w:p>
          <w:p>
            <w:pPr>
              <w:pStyle w:val="88"/>
              <w:rPr>
                <w:rFonts w:hint="eastAsia" w:ascii="宋体" w:hAnsi="宋体" w:cs="宋体"/>
                <w:color w:val="000000" w:themeColor="text1"/>
                <w:sz w:val="24"/>
                <w:szCs w:val="24"/>
                <w:lang w:eastAsia="zh-CN" w:bidi="ar"/>
                <w14:textFill>
                  <w14:solidFill>
                    <w14:schemeClr w14:val="tx1"/>
                  </w14:solidFill>
                </w14:textFill>
              </w:rPr>
            </w:pPr>
            <w:r>
              <w:rPr>
                <w:rFonts w:hint="eastAsia" w:ascii="宋体" w:hAnsi="宋体" w:cs="宋体"/>
                <w:color w:val="000000" w:themeColor="text1"/>
                <w:sz w:val="24"/>
                <w:szCs w:val="24"/>
                <w:lang w:eastAsia="zh-CN" w:bidi="ar"/>
                <w14:textFill>
                  <w14:solidFill>
                    <w14:schemeClr w14:val="tx1"/>
                  </w14:solidFill>
                </w14:textFill>
              </w:rPr>
              <w:t>评委横向比较并打分，优秀得6-7分，较好得3-5分，一般得1-2分，没有不得分。</w:t>
            </w:r>
          </w:p>
        </w:tc>
        <w:tc>
          <w:tcPr>
            <w:tcW w:w="1276" w:type="dxa"/>
            <w:vAlign w:val="center"/>
          </w:tcPr>
          <w:p>
            <w:pPr>
              <w:widowControl/>
              <w:jc w:val="center"/>
              <w:rPr>
                <w:rFonts w:ascii="宋体" w:hAnsi="宋体" w:cs="宋体"/>
                <w:color w:val="000000"/>
                <w:kern w:val="0"/>
              </w:rPr>
            </w:pPr>
            <w:r>
              <w:rPr>
                <w:rFonts w:hint="eastAsia" w:ascii="宋体" w:hAnsi="宋体" w:cs="宋体"/>
                <w:color w:val="000000"/>
                <w:kern w:val="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vAlign w:val="center"/>
          </w:tcPr>
          <w:p>
            <w:pPr>
              <w:pStyle w:val="88"/>
              <w:jc w:val="center"/>
              <w:rPr>
                <w:rFonts w:ascii="宋体" w:hAnsi="宋体" w:cs="宋体"/>
                <w:color w:val="000000"/>
                <w:sz w:val="24"/>
                <w:szCs w:val="24"/>
                <w:lang w:eastAsia="zh-CN"/>
              </w:rPr>
            </w:pPr>
            <w:r>
              <w:rPr>
                <w:rFonts w:hint="eastAsia" w:ascii="宋体" w:hAnsi="宋体" w:cs="宋体"/>
                <w:color w:val="000000"/>
                <w:sz w:val="24"/>
                <w:szCs w:val="24"/>
                <w:lang w:eastAsia="zh-CN"/>
              </w:rPr>
              <w:t>5</w:t>
            </w:r>
          </w:p>
        </w:tc>
        <w:tc>
          <w:tcPr>
            <w:tcW w:w="1822" w:type="dxa"/>
            <w:vAlign w:val="center"/>
          </w:tcPr>
          <w:p>
            <w:pPr>
              <w:pStyle w:val="88"/>
              <w:jc w:val="center"/>
              <w:rPr>
                <w:rFonts w:ascii="宋体" w:hAnsi="宋体" w:cs="宋体"/>
                <w:color w:val="000000"/>
                <w:sz w:val="24"/>
                <w:szCs w:val="24"/>
                <w:lang w:eastAsia="zh-CN"/>
              </w:rPr>
            </w:pPr>
            <w:r>
              <w:rPr>
                <w:rFonts w:hint="eastAsia" w:ascii="宋体" w:hAnsi="宋体" w:cs="宋体"/>
                <w:color w:val="000000"/>
                <w:sz w:val="24"/>
                <w:szCs w:val="24"/>
                <w:lang w:eastAsia="zh-CN"/>
              </w:rPr>
              <w:t>服务实施及质量控制方案</w:t>
            </w:r>
          </w:p>
        </w:tc>
        <w:tc>
          <w:tcPr>
            <w:tcW w:w="5581" w:type="dxa"/>
            <w:vAlign w:val="center"/>
          </w:tcPr>
          <w:p>
            <w:pPr>
              <w:pStyle w:val="88"/>
              <w:rPr>
                <w:rFonts w:ascii="宋体" w:hAnsi="宋体" w:cs="宋体"/>
                <w:color w:val="000000"/>
                <w:sz w:val="24"/>
                <w:szCs w:val="24"/>
                <w:lang w:eastAsia="zh-CN"/>
              </w:rPr>
            </w:pPr>
            <w:r>
              <w:rPr>
                <w:rFonts w:hint="eastAsia" w:ascii="宋体" w:hAnsi="宋体" w:cs="宋体"/>
                <w:color w:val="000000" w:themeColor="text1"/>
                <w:sz w:val="24"/>
                <w:szCs w:val="24"/>
                <w:lang w:eastAsia="zh-CN" w:bidi="ar"/>
                <w14:textFill>
                  <w14:solidFill>
                    <w14:schemeClr w14:val="tx1"/>
                  </w14:solidFill>
                </w14:textFill>
              </w:rPr>
              <w:t>根据供应商提供的针对本项目的服务</w:t>
            </w:r>
            <w:r>
              <w:rPr>
                <w:rFonts w:ascii="宋体" w:hAnsi="宋体" w:cs="宋体"/>
                <w:color w:val="000000" w:themeColor="text1"/>
                <w:sz w:val="24"/>
                <w:szCs w:val="24"/>
                <w:lang w:eastAsia="zh-CN" w:bidi="ar"/>
                <w14:textFill>
                  <w14:solidFill>
                    <w14:schemeClr w14:val="tx1"/>
                  </w14:solidFill>
                </w14:textFill>
              </w:rPr>
              <w:t>方案</w:t>
            </w:r>
            <w:r>
              <w:rPr>
                <w:rFonts w:hint="eastAsia" w:ascii="宋体" w:hAnsi="宋体" w:cs="宋体"/>
                <w:color w:val="000000" w:themeColor="text1"/>
                <w:sz w:val="24"/>
                <w:szCs w:val="24"/>
                <w:lang w:eastAsia="zh-CN" w:bidi="ar"/>
                <w14:textFill>
                  <w14:solidFill>
                    <w14:schemeClr w14:val="tx1"/>
                  </w14:solidFill>
                </w14:textFill>
              </w:rPr>
              <w:t>，包括</w:t>
            </w:r>
            <w:r>
              <w:rPr>
                <w:rFonts w:ascii="宋体" w:hAnsi="宋体" w:cs="宋体"/>
                <w:color w:val="000000" w:themeColor="text1"/>
                <w:sz w:val="24"/>
                <w:szCs w:val="24"/>
                <w:lang w:eastAsia="zh-CN" w:bidi="ar"/>
                <w14:textFill>
                  <w14:solidFill>
                    <w14:schemeClr w14:val="tx1"/>
                  </w14:solidFill>
                </w14:textFill>
              </w:rPr>
              <w:t>工作流程</w:t>
            </w:r>
            <w:r>
              <w:rPr>
                <w:rFonts w:hint="eastAsia" w:ascii="宋体" w:hAnsi="宋体" w:cs="宋体"/>
                <w:color w:val="000000" w:themeColor="text1"/>
                <w:sz w:val="24"/>
                <w:szCs w:val="24"/>
                <w:lang w:eastAsia="zh-CN" w:bidi="ar"/>
                <w14:textFill>
                  <w14:solidFill>
                    <w14:schemeClr w14:val="tx1"/>
                  </w14:solidFill>
                </w14:textFill>
              </w:rPr>
              <w:t>、</w:t>
            </w:r>
            <w:r>
              <w:rPr>
                <w:rFonts w:ascii="宋体" w:hAnsi="宋体" w:cs="宋体"/>
                <w:color w:val="000000" w:themeColor="text1"/>
                <w:sz w:val="24"/>
                <w:szCs w:val="24"/>
                <w:lang w:eastAsia="zh-CN" w:bidi="ar"/>
                <w14:textFill>
                  <w14:solidFill>
                    <w14:schemeClr w14:val="tx1"/>
                  </w14:solidFill>
                </w14:textFill>
              </w:rPr>
              <w:t>工作制度</w:t>
            </w:r>
            <w:r>
              <w:rPr>
                <w:rFonts w:hint="eastAsia" w:ascii="宋体" w:hAnsi="宋体" w:cs="宋体"/>
                <w:color w:val="000000" w:themeColor="text1"/>
                <w:sz w:val="24"/>
                <w:szCs w:val="24"/>
                <w:lang w:eastAsia="zh-CN" w:bidi="ar"/>
                <w14:textFill>
                  <w14:solidFill>
                    <w14:schemeClr w14:val="tx1"/>
                  </w14:solidFill>
                </w14:textFill>
              </w:rPr>
              <w:t>、</w:t>
            </w:r>
            <w:r>
              <w:rPr>
                <w:rFonts w:ascii="宋体" w:hAnsi="宋体" w:cs="宋体"/>
                <w:color w:val="000000" w:themeColor="text1"/>
                <w:sz w:val="24"/>
                <w:szCs w:val="24"/>
                <w:lang w:eastAsia="zh-CN" w:bidi="ar"/>
                <w14:textFill>
                  <w14:solidFill>
                    <w14:schemeClr w14:val="tx1"/>
                  </w14:solidFill>
                </w14:textFill>
              </w:rPr>
              <w:t>时间安排</w:t>
            </w:r>
            <w:r>
              <w:rPr>
                <w:rFonts w:hint="eastAsia" w:ascii="宋体" w:hAnsi="宋体" w:cs="宋体"/>
                <w:color w:val="000000" w:themeColor="text1"/>
                <w:sz w:val="24"/>
                <w:szCs w:val="24"/>
                <w:lang w:eastAsia="zh-CN" w:bidi="ar"/>
                <w14:textFill>
                  <w14:solidFill>
                    <w14:schemeClr w14:val="tx1"/>
                  </w14:solidFill>
                </w14:textFill>
              </w:rPr>
              <w:t>、项目质量保障等，</w:t>
            </w:r>
            <w:r>
              <w:rPr>
                <w:rFonts w:ascii="宋体" w:hAnsi="宋体" w:cs="宋体"/>
                <w:color w:val="000000" w:themeColor="text1"/>
                <w:sz w:val="24"/>
                <w:szCs w:val="24"/>
                <w:lang w:eastAsia="zh-CN" w:bidi="ar"/>
                <w14:textFill>
                  <w14:solidFill>
                    <w14:schemeClr w14:val="tx1"/>
                  </w14:solidFill>
                </w14:textFill>
              </w:rPr>
              <w:t>由评委横向比较后打分</w:t>
            </w:r>
            <w:r>
              <w:rPr>
                <w:rFonts w:hint="eastAsia" w:ascii="宋体" w:hAnsi="宋体" w:cs="宋体"/>
                <w:color w:val="000000" w:themeColor="text1"/>
                <w:sz w:val="24"/>
                <w:szCs w:val="24"/>
                <w:lang w:eastAsia="zh-CN" w:bidi="ar"/>
                <w14:textFill>
                  <w14:solidFill>
                    <w14:schemeClr w14:val="tx1"/>
                  </w14:solidFill>
                </w14:textFill>
              </w:rPr>
              <w:t>，</w:t>
            </w:r>
            <w:r>
              <w:rPr>
                <w:rFonts w:hint="eastAsia" w:ascii="宋体" w:hAnsi="宋体" w:cs="宋体"/>
                <w:bCs/>
                <w:color w:val="000000"/>
                <w:sz w:val="24"/>
                <w:szCs w:val="24"/>
                <w:lang w:eastAsia="zh-CN"/>
              </w:rPr>
              <w:t>优秀得6-7分，较好得3-5分，一般得1-2分，没有不得分</w:t>
            </w:r>
            <w:r>
              <w:rPr>
                <w:rFonts w:hint="eastAsia" w:ascii="宋体" w:hAnsi="宋体" w:cs="宋体"/>
                <w:color w:val="000000"/>
                <w:sz w:val="24"/>
                <w:szCs w:val="24"/>
                <w:lang w:eastAsia="zh-CN"/>
              </w:rPr>
              <w:t>。</w:t>
            </w:r>
          </w:p>
        </w:tc>
        <w:tc>
          <w:tcPr>
            <w:tcW w:w="1276"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r>
    </w:tbl>
    <w:p>
      <w:pPr>
        <w:snapToGrid w:val="0"/>
        <w:spacing w:line="440" w:lineRule="exact"/>
        <w:ind w:firstLine="480" w:firstLineChars="200"/>
        <w:outlineLvl w:val="1"/>
        <w:rPr>
          <w:rFonts w:ascii="宋体"/>
          <w:b/>
          <w:bCs/>
          <w:sz w:val="24"/>
          <w:szCs w:val="24"/>
        </w:rPr>
      </w:pPr>
      <w:r>
        <w:rPr>
          <w:rFonts w:hint="eastAsia" w:ascii="宋体" w:hAnsi="宋体" w:cs="宋体"/>
          <w:sz w:val="24"/>
          <w:szCs w:val="24"/>
        </w:rPr>
        <w:t>注：以上打分项设得分上限，评委依据磋商文件载明的方法评分，评分四舍五入精确到小数点后两位。</w:t>
      </w:r>
    </w:p>
    <w:p>
      <w:pPr>
        <w:adjustRightInd w:val="0"/>
        <w:snapToGrid w:val="0"/>
        <w:spacing w:line="440" w:lineRule="exact"/>
        <w:ind w:firstLine="482" w:firstLineChars="200"/>
        <w:rPr>
          <w:rFonts w:ascii="宋体"/>
          <w:b/>
          <w:bCs/>
          <w:sz w:val="24"/>
          <w:szCs w:val="24"/>
        </w:rPr>
      </w:pPr>
      <w:r>
        <w:rPr>
          <w:rFonts w:hint="eastAsia" w:ascii="宋体" w:hAnsi="宋体" w:cs="宋体"/>
          <w:b/>
          <w:bCs/>
          <w:sz w:val="24"/>
          <w:szCs w:val="24"/>
          <w:u w:val="thick" w:color="FF0000"/>
        </w:rPr>
        <w:t>特别提醒：技术标评分中所涉及相关资料等证明材料均须提供原件的复印件加盖公章，并将原件带至开标现场备查，未携带原件或因携带原件不全所引起的后果由供应商自行承担</w:t>
      </w:r>
      <w:r>
        <w:rPr>
          <w:rFonts w:hint="eastAsia" w:ascii="宋体" w:hAnsi="宋体" w:cs="宋体"/>
          <w:b/>
          <w:bCs/>
          <w:sz w:val="24"/>
          <w:szCs w:val="24"/>
        </w:rPr>
        <w:t>。</w:t>
      </w:r>
    </w:p>
    <w:p>
      <w:pPr>
        <w:snapToGrid w:val="0"/>
        <w:spacing w:line="360" w:lineRule="auto"/>
        <w:ind w:firstLine="480" w:firstLineChars="200"/>
        <w:rPr>
          <w:rFonts w:ascii="宋体"/>
          <w:sz w:val="24"/>
          <w:szCs w:val="24"/>
        </w:rPr>
      </w:pPr>
      <w:r>
        <w:rPr>
          <w:rFonts w:hint="eastAsia" w:ascii="宋体" w:hAnsi="宋体" w:cs="宋体"/>
          <w:sz w:val="24"/>
          <w:szCs w:val="24"/>
        </w:rPr>
        <w:t>（二）商务报价响应评分：（3</w:t>
      </w:r>
      <w:r>
        <w:rPr>
          <w:rFonts w:ascii="宋体" w:cs="宋体"/>
          <w:sz w:val="24"/>
          <w:szCs w:val="24"/>
        </w:rPr>
        <w:t>0</w:t>
      </w:r>
      <w:r>
        <w:rPr>
          <w:rFonts w:hint="eastAsia" w:ascii="宋体" w:hAnsi="宋体" w:cs="宋体"/>
          <w:sz w:val="24"/>
          <w:szCs w:val="24"/>
        </w:rPr>
        <w:t>分）</w:t>
      </w:r>
    </w:p>
    <w:p>
      <w:pPr>
        <w:snapToGrid w:val="0"/>
        <w:spacing w:line="360" w:lineRule="auto"/>
        <w:ind w:firstLine="482" w:firstLineChars="200"/>
        <w:textAlignment w:val="baseline"/>
        <w:rPr>
          <w:rFonts w:ascii="宋体" w:hAnsi="宋体" w:cs="宋体"/>
          <w:b/>
          <w:sz w:val="24"/>
          <w:szCs w:val="24"/>
        </w:rPr>
      </w:pPr>
      <w:r>
        <w:rPr>
          <w:rFonts w:hint="eastAsia" w:ascii="宋体" w:hAnsi="宋体" w:cs="宋体"/>
          <w:b/>
          <w:sz w:val="24"/>
          <w:szCs w:val="24"/>
        </w:rPr>
        <w:t>1、本次项目LDR一体化病房生活照护服务最高单价限价人民币4200 元/人/月，报价不得高于或等于最高限价，否则做无效响应处理。</w:t>
      </w:r>
    </w:p>
    <w:p>
      <w:pPr>
        <w:snapToGrid w:val="0"/>
        <w:spacing w:line="360" w:lineRule="auto"/>
        <w:ind w:firstLine="480" w:firstLineChars="200"/>
        <w:textAlignment w:val="baseline"/>
        <w:rPr>
          <w:rFonts w:ascii="宋体" w:hAnsi="宋体" w:cs="宋体"/>
          <w:sz w:val="24"/>
          <w:szCs w:val="24"/>
        </w:rPr>
      </w:pPr>
      <w:r>
        <w:rPr>
          <w:rFonts w:ascii="宋体" w:hAnsi="宋体" w:cs="宋体"/>
          <w:sz w:val="24"/>
          <w:szCs w:val="24"/>
        </w:rPr>
        <w:t>2</w:t>
      </w:r>
      <w:r>
        <w:rPr>
          <w:rFonts w:hint="eastAsia" w:ascii="宋体" w:hAnsi="宋体" w:cs="宋体"/>
          <w:sz w:val="24"/>
          <w:szCs w:val="24"/>
        </w:rPr>
        <w:t>、满足磋商文件要求且最后报价最低的供应商的价格为磋商基准价，其商务报价</w:t>
      </w:r>
      <w:r>
        <w:rPr>
          <w:rFonts w:hint="eastAsia" w:ascii="宋体" w:hAnsi="宋体" w:cs="宋体"/>
          <w:kern w:val="0"/>
          <w:sz w:val="24"/>
          <w:szCs w:val="24"/>
        </w:rPr>
        <w:t>响应</w:t>
      </w:r>
      <w:r>
        <w:rPr>
          <w:rFonts w:hint="eastAsia" w:ascii="宋体" w:hAnsi="宋体" w:cs="宋体"/>
          <w:sz w:val="24"/>
          <w:szCs w:val="24"/>
        </w:rPr>
        <w:t>分为满分30分。其他供应商的商务报价</w:t>
      </w:r>
      <w:r>
        <w:rPr>
          <w:rFonts w:hint="eastAsia" w:ascii="宋体" w:hAnsi="宋体" w:cs="宋体"/>
          <w:kern w:val="0"/>
          <w:sz w:val="24"/>
          <w:szCs w:val="24"/>
        </w:rPr>
        <w:t>响应</w:t>
      </w:r>
      <w:r>
        <w:rPr>
          <w:rFonts w:hint="eastAsia" w:ascii="宋体" w:hAnsi="宋体" w:cs="宋体"/>
          <w:sz w:val="24"/>
          <w:szCs w:val="24"/>
        </w:rPr>
        <w:t>分统一按照下列公式计算：</w:t>
      </w:r>
    </w:p>
    <w:p>
      <w:pPr>
        <w:snapToGrid w:val="0"/>
        <w:spacing w:line="360" w:lineRule="auto"/>
        <w:ind w:firstLine="482" w:firstLineChars="200"/>
        <w:rPr>
          <w:rFonts w:ascii="宋体"/>
          <w:sz w:val="24"/>
          <w:szCs w:val="24"/>
        </w:rPr>
      </w:pPr>
      <w:r>
        <w:rPr>
          <w:rFonts w:hint="eastAsia" w:ascii="宋体" w:hAnsi="宋体" w:cs="宋体"/>
          <w:b/>
          <w:sz w:val="24"/>
          <w:szCs w:val="24"/>
        </w:rPr>
        <w:t>商务报价</w:t>
      </w:r>
      <w:r>
        <w:rPr>
          <w:rFonts w:hint="eastAsia" w:ascii="宋体" w:hAnsi="宋体" w:cs="宋体"/>
          <w:b/>
          <w:kern w:val="0"/>
          <w:sz w:val="24"/>
          <w:szCs w:val="24"/>
        </w:rPr>
        <w:t>响应</w:t>
      </w:r>
      <w:r>
        <w:rPr>
          <w:rFonts w:hint="eastAsia" w:ascii="宋体" w:hAnsi="宋体" w:cs="宋体"/>
          <w:b/>
          <w:sz w:val="24"/>
          <w:szCs w:val="24"/>
        </w:rPr>
        <w:t>分 =（磋商基准价/最后磋商报价）×30%×100</w:t>
      </w:r>
    </w:p>
    <w:bookmarkEnd w:id="50"/>
    <w:bookmarkEnd w:id="51"/>
    <w:bookmarkEnd w:id="52"/>
    <w:bookmarkEnd w:id="53"/>
    <w:bookmarkEnd w:id="54"/>
    <w:bookmarkEnd w:id="55"/>
    <w:bookmarkEnd w:id="56"/>
    <w:bookmarkEnd w:id="57"/>
    <w:p>
      <w:pPr>
        <w:snapToGrid w:val="0"/>
        <w:spacing w:line="360" w:lineRule="auto"/>
        <w:ind w:firstLine="487" w:firstLineChars="202"/>
        <w:rPr>
          <w:rFonts w:ascii="宋体" w:hAnsi="宋体" w:cs="宋体"/>
          <w:b/>
          <w:bCs/>
          <w:sz w:val="24"/>
          <w:szCs w:val="24"/>
        </w:rPr>
      </w:pPr>
      <w:bookmarkStart w:id="59" w:name="_Hlk67169510"/>
      <w:bookmarkStart w:id="60" w:name="_Toc363573858"/>
      <w:bookmarkStart w:id="61" w:name="_Toc94585343"/>
      <w:r>
        <w:rPr>
          <w:rFonts w:hint="eastAsia" w:ascii="宋体" w:hAnsi="宋体" w:cs="宋体"/>
          <w:b/>
          <w:bCs/>
          <w:sz w:val="24"/>
          <w:szCs w:val="24"/>
        </w:rPr>
        <w:t>3、关于落实政府采购政策的中小微企业价格评审</w:t>
      </w:r>
      <w:bookmarkEnd w:id="59"/>
    </w:p>
    <w:p>
      <w:pPr>
        <w:snapToGrid w:val="0"/>
        <w:spacing w:line="360" w:lineRule="auto"/>
        <w:ind w:firstLine="484" w:firstLineChars="202"/>
        <w:rPr>
          <w:rFonts w:ascii="宋体" w:hAnsi="宋体" w:cs="宋体"/>
          <w:sz w:val="24"/>
          <w:szCs w:val="24"/>
        </w:rPr>
      </w:pPr>
      <w:bookmarkStart w:id="62" w:name="_Hlk67609383"/>
      <w:r>
        <w:rPr>
          <w:rFonts w:hint="eastAsia" w:ascii="宋体" w:hAnsi="宋体" w:cs="宋体"/>
          <w:sz w:val="24"/>
          <w:szCs w:val="24"/>
        </w:rPr>
        <w:t>（1）根据《政府采购促进中小企业发展管理办法》（财库﹝2020﹞46 号）的第四条，</w:t>
      </w:r>
      <w:r>
        <w:rPr>
          <w:rFonts w:hint="eastAsia" w:ascii="宋体" w:hAnsi="宋体" w:cs="宋体"/>
          <w:b/>
          <w:bCs/>
          <w:sz w:val="24"/>
          <w:szCs w:val="24"/>
        </w:rPr>
        <w:t>本次采购的项目，其响应供应商提供的</w:t>
      </w:r>
      <w:r>
        <w:rPr>
          <w:rFonts w:hint="eastAsia" w:ascii="宋体" w:hAnsi="宋体" w:cs="宋体"/>
          <w:b/>
          <w:bCs/>
          <w:sz w:val="24"/>
          <w:szCs w:val="24"/>
          <w:u w:val="thick" w:color="FF0000"/>
        </w:rPr>
        <w:t xml:space="preserve"> 服务 </w:t>
      </w:r>
      <w:r>
        <w:rPr>
          <w:rFonts w:hint="eastAsia" w:ascii="宋体" w:hAnsi="宋体" w:cs="宋体"/>
          <w:b/>
          <w:bCs/>
          <w:sz w:val="24"/>
          <w:szCs w:val="24"/>
        </w:rPr>
        <w:t>符合：工信部联企业〔2011〕300号《关于印发中小企业划型标准规定的通知》中的</w:t>
      </w:r>
      <w:bookmarkStart w:id="63" w:name="_Hlk62787617"/>
      <w:r>
        <w:rPr>
          <w:rFonts w:hint="eastAsia" w:ascii="宋体" w:hAnsi="宋体" w:cs="宋体"/>
          <w:b/>
          <w:bCs/>
          <w:sz w:val="24"/>
          <w:szCs w:val="24"/>
        </w:rPr>
        <w:t>中小企业</w:t>
      </w:r>
      <w:bookmarkStart w:id="64" w:name="_Hlk67153790"/>
      <w:r>
        <w:rPr>
          <w:rFonts w:hint="eastAsia" w:ascii="宋体" w:hAnsi="宋体" w:cs="宋体"/>
          <w:b/>
          <w:bCs/>
          <w:sz w:val="24"/>
          <w:szCs w:val="24"/>
        </w:rPr>
        <w:t>“</w:t>
      </w:r>
      <w:r>
        <w:rPr>
          <w:rFonts w:hint="eastAsia" w:ascii="宋体" w:hAnsi="宋体" w:cs="宋体"/>
          <w:b/>
          <w:bCs/>
          <w:sz w:val="24"/>
          <w:szCs w:val="24"/>
          <w:u w:val="thick" w:color="FF0000"/>
        </w:rPr>
        <w:t>其他未列明行业</w:t>
      </w:r>
      <w:r>
        <w:rPr>
          <w:rFonts w:hint="eastAsia" w:ascii="宋体" w:hAnsi="宋体" w:cs="宋体"/>
          <w:b/>
          <w:bCs/>
          <w:sz w:val="24"/>
          <w:szCs w:val="24"/>
        </w:rPr>
        <w:t>”类</w:t>
      </w:r>
      <w:bookmarkEnd w:id="64"/>
      <w:r>
        <w:rPr>
          <w:rFonts w:hint="eastAsia" w:ascii="宋体" w:hAnsi="宋体" w:cs="宋体"/>
          <w:b/>
          <w:bCs/>
          <w:sz w:val="24"/>
          <w:szCs w:val="24"/>
        </w:rPr>
        <w:t>的划型标准规定</w:t>
      </w:r>
      <w:bookmarkEnd w:id="63"/>
      <w:r>
        <w:rPr>
          <w:rFonts w:hint="eastAsia" w:ascii="宋体" w:hAnsi="宋体" w:cs="宋体"/>
          <w:b/>
          <w:bCs/>
          <w:sz w:val="24"/>
          <w:szCs w:val="24"/>
        </w:rPr>
        <w:t>的，将享受中小企业扶持政策。</w:t>
      </w:r>
    </w:p>
    <w:p>
      <w:pPr>
        <w:snapToGrid w:val="0"/>
        <w:spacing w:line="360" w:lineRule="auto"/>
        <w:ind w:firstLine="487" w:firstLineChars="202"/>
        <w:rPr>
          <w:rFonts w:ascii="宋体" w:hAnsi="宋体" w:cs="宋体"/>
          <w:sz w:val="24"/>
          <w:szCs w:val="24"/>
        </w:rPr>
      </w:pPr>
      <w:r>
        <w:rPr>
          <w:rFonts w:hint="eastAsia" w:ascii="宋体" w:hAnsi="宋体" w:cs="宋体"/>
          <w:b/>
          <w:bCs/>
          <w:sz w:val="24"/>
          <w:szCs w:val="24"/>
        </w:rPr>
        <w:t>“</w:t>
      </w:r>
      <w:r>
        <w:rPr>
          <w:rFonts w:hint="eastAsia" w:ascii="宋体" w:hAnsi="宋体" w:cs="宋体"/>
          <w:b/>
          <w:bCs/>
          <w:sz w:val="24"/>
          <w:szCs w:val="24"/>
          <w:u w:val="thick" w:color="FF0000"/>
        </w:rPr>
        <w:t>其他未列明行业</w:t>
      </w:r>
      <w:r>
        <w:rPr>
          <w:rFonts w:hint="eastAsia" w:ascii="宋体" w:hAnsi="宋体" w:cs="宋体"/>
          <w:b/>
          <w:bCs/>
          <w:sz w:val="24"/>
          <w:szCs w:val="24"/>
        </w:rPr>
        <w:t>”类中小企业划型标准</w:t>
      </w:r>
      <w:r>
        <w:rPr>
          <w:rFonts w:hint="eastAsia" w:ascii="宋体" w:hAnsi="宋体" w:cs="宋体"/>
          <w:sz w:val="24"/>
          <w:szCs w:val="24"/>
        </w:rPr>
        <w:t>：</w:t>
      </w:r>
      <w:r>
        <w:rPr>
          <w:rFonts w:hint="eastAsia" w:ascii="宋体" w:hAnsi="宋体" w:cs="宋体"/>
          <w:sz w:val="24"/>
          <w:szCs w:val="24"/>
          <w:u w:val="single"/>
        </w:rPr>
        <w:t>从业人员300人以下的为中小微型企业。其中，从业人员100人及以上的为中型企业；从业人员10人及以上的为小型企业；从业人员10人以下的为微型企业。</w:t>
      </w:r>
    </w:p>
    <w:p>
      <w:pPr>
        <w:snapToGrid w:val="0"/>
        <w:spacing w:line="360" w:lineRule="auto"/>
        <w:ind w:firstLine="484" w:firstLineChars="202"/>
        <w:rPr>
          <w:rFonts w:ascii="宋体" w:hAnsi="宋体" w:cs="宋体"/>
          <w:sz w:val="24"/>
          <w:szCs w:val="24"/>
        </w:rPr>
      </w:pPr>
      <w:r>
        <w:rPr>
          <w:rFonts w:hint="eastAsia" w:ascii="宋体" w:hAnsi="宋体" w:cs="宋体"/>
          <w:sz w:val="24"/>
          <w:szCs w:val="24"/>
        </w:rPr>
        <w:t>（2）</w:t>
      </w:r>
      <w:bookmarkStart w:id="65" w:name="_Hlk67155978"/>
      <w:r>
        <w:rPr>
          <w:rFonts w:hint="eastAsia" w:ascii="宋体" w:hAnsi="宋体" w:cs="宋体"/>
          <w:sz w:val="24"/>
          <w:szCs w:val="24"/>
        </w:rPr>
        <w:t>根据</w:t>
      </w:r>
      <w:bookmarkStart w:id="66" w:name="_Hlk67155505"/>
      <w:r>
        <w:rPr>
          <w:rFonts w:hint="eastAsia" w:ascii="宋体" w:hAnsi="宋体" w:cs="宋体"/>
          <w:sz w:val="24"/>
          <w:szCs w:val="24"/>
        </w:rPr>
        <w:t>《政府采购促进中小企业发展管理办法》（财库﹝2020﹞46 号）</w:t>
      </w:r>
      <w:bookmarkEnd w:id="66"/>
      <w:r>
        <w:rPr>
          <w:rFonts w:hint="eastAsia" w:ascii="宋体" w:hAnsi="宋体" w:cs="宋体"/>
          <w:sz w:val="24"/>
          <w:szCs w:val="24"/>
        </w:rPr>
        <w:t>的第九条规定</w:t>
      </w:r>
      <w:bookmarkEnd w:id="65"/>
      <w:r>
        <w:rPr>
          <w:rFonts w:hint="eastAsia" w:ascii="宋体" w:hAnsi="宋体" w:cs="宋体"/>
          <w:sz w:val="24"/>
          <w:szCs w:val="24"/>
        </w:rPr>
        <w:t>，</w:t>
      </w:r>
      <w:bookmarkStart w:id="67" w:name="_Hlk67154819"/>
      <w:r>
        <w:rPr>
          <w:rFonts w:hint="eastAsia" w:ascii="宋体" w:hAnsi="宋体" w:cs="宋体"/>
          <w:b/>
          <w:bCs/>
          <w:sz w:val="24"/>
          <w:szCs w:val="24"/>
          <w:u w:val="thick" w:color="FF0000"/>
        </w:rPr>
        <w:t>磋商供应商响应的服务是由</w:t>
      </w:r>
      <w:bookmarkStart w:id="68" w:name="_Hlk62900373"/>
      <w:r>
        <w:rPr>
          <w:rFonts w:hint="eastAsia" w:ascii="宋体" w:hAnsi="宋体" w:cs="宋体"/>
          <w:b/>
          <w:bCs/>
          <w:sz w:val="24"/>
          <w:szCs w:val="24"/>
          <w:u w:val="thick" w:color="FF0000"/>
        </w:rPr>
        <w:t>小型、微型企业</w:t>
      </w:r>
      <w:bookmarkEnd w:id="67"/>
      <w:bookmarkEnd w:id="68"/>
      <w:r>
        <w:rPr>
          <w:rFonts w:hint="eastAsia" w:ascii="宋体" w:hAnsi="宋体" w:cs="宋体"/>
          <w:b/>
          <w:bCs/>
          <w:sz w:val="24"/>
          <w:szCs w:val="24"/>
          <w:u w:val="thick" w:color="FF0000"/>
        </w:rPr>
        <w:t>提供</w:t>
      </w:r>
      <w:r>
        <w:rPr>
          <w:rFonts w:hint="eastAsia" w:ascii="宋体" w:hAnsi="宋体" w:cs="宋体"/>
          <w:sz w:val="24"/>
          <w:szCs w:val="24"/>
        </w:rPr>
        <w:t>，该磋商供应商的报价将给予评审价格调整，具体方法如下：</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① 按照转发《财政部 工业和信息化部关于印发〈政府采购促进中小企业发展管理办法〉的通知》(通财购[2021]18号）文件要求，对符合要求的供应商报价给予10%的扣除，用扣除后的价格参与评审，如果成交，则以其最终磋商报价作为成交价。</w:t>
      </w:r>
    </w:p>
    <w:p>
      <w:pPr>
        <w:snapToGrid w:val="0"/>
        <w:spacing w:line="360" w:lineRule="auto"/>
        <w:ind w:firstLine="480" w:firstLineChars="200"/>
        <w:rPr>
          <w:rFonts w:ascii="宋体" w:hAnsi="宋体" w:cs="宋体"/>
          <w:sz w:val="24"/>
          <w:szCs w:val="24"/>
        </w:rPr>
      </w:pPr>
      <w:bookmarkStart w:id="69" w:name="_Hlk67486828"/>
      <w:r>
        <w:rPr>
          <w:rFonts w:hint="eastAsia" w:ascii="宋体" w:hAnsi="宋体" w:cs="宋体"/>
          <w:sz w:val="24"/>
          <w:szCs w:val="24"/>
        </w:rPr>
        <w:t xml:space="preserve">② </w:t>
      </w:r>
      <w:bookmarkStart w:id="70" w:name="_Hlk62901453"/>
      <w:bookmarkStart w:id="71" w:name="_Hlk62788551"/>
      <w:r>
        <w:rPr>
          <w:rFonts w:hint="eastAsia" w:ascii="宋体" w:hAnsi="宋体" w:cs="宋体"/>
          <w:sz w:val="24"/>
          <w:szCs w:val="24"/>
        </w:rPr>
        <w:t>参加本次政府采购活动，符合要求的磋商供应商须严格按《政府采购促进中小企业发展管理办法》（财库﹝2020﹞46 号）的文件要求，出具填报“</w:t>
      </w:r>
      <w:bookmarkStart w:id="72" w:name="_Hlk67171734"/>
      <w:r>
        <w:rPr>
          <w:rFonts w:hint="eastAsia" w:ascii="宋体" w:hAnsi="宋体" w:cs="宋体"/>
          <w:sz w:val="24"/>
          <w:szCs w:val="24"/>
        </w:rPr>
        <w:t>中小企业声明函</w:t>
      </w:r>
      <w:bookmarkEnd w:id="72"/>
      <w:r>
        <w:rPr>
          <w:rFonts w:hint="eastAsia" w:ascii="宋体" w:hAnsi="宋体" w:cs="宋体"/>
          <w:sz w:val="24"/>
          <w:szCs w:val="24"/>
        </w:rPr>
        <w:t>”</w:t>
      </w:r>
      <w:r>
        <w:rPr>
          <w:rFonts w:hint="eastAsia" w:ascii="宋体" w:hAnsi="宋体" w:cs="宋体"/>
          <w:b/>
          <w:bCs/>
          <w:sz w:val="24"/>
          <w:szCs w:val="24"/>
        </w:rPr>
        <w:t>（格式见第八章）</w:t>
      </w:r>
      <w:r>
        <w:rPr>
          <w:rFonts w:hint="eastAsia" w:ascii="宋体" w:hAnsi="宋体" w:cs="宋体"/>
          <w:sz w:val="24"/>
          <w:szCs w:val="24"/>
        </w:rPr>
        <w:t>；</w:t>
      </w:r>
      <w:bookmarkEnd w:id="70"/>
    </w:p>
    <w:bookmarkEnd w:id="71"/>
    <w:p>
      <w:pPr>
        <w:snapToGrid w:val="0"/>
        <w:spacing w:line="360" w:lineRule="auto"/>
        <w:ind w:firstLine="560"/>
        <w:rPr>
          <w:rFonts w:ascii="宋体" w:hAnsi="宋体" w:cs="宋体"/>
          <w:sz w:val="24"/>
          <w:szCs w:val="24"/>
        </w:rPr>
      </w:pPr>
      <w:r>
        <w:rPr>
          <w:rFonts w:hint="eastAsia" w:ascii="宋体" w:hAnsi="宋体" w:cs="宋体"/>
          <w:sz w:val="24"/>
          <w:szCs w:val="24"/>
        </w:rPr>
        <w:t>③ 本项目享受中小企业扶持政策的磋商供应商一旦成交，因提供“中小企业声明函”的行为引发争议和影响本项目采购执行效率，应当按本项目采购单位或采购代理机构的通知，在2个工作日内提供服务供应商注册登记所在地的县级以上人民政府中小企业主管部门认定是小型、微型企业的证明原件，用以核对，逾期未提供的则视作提供的 “中小企业声明函”内容不实。</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④ 若磋商供应商</w:t>
      </w:r>
      <w:bookmarkStart w:id="73" w:name="_Hlk67172184"/>
      <w:r>
        <w:rPr>
          <w:rFonts w:hint="eastAsia" w:ascii="宋体" w:hAnsi="宋体" w:cs="宋体"/>
          <w:sz w:val="24"/>
          <w:szCs w:val="24"/>
        </w:rPr>
        <w:t>提供的 “中小企业声明函”内容不实</w:t>
      </w:r>
      <w:bookmarkEnd w:id="73"/>
      <w:r>
        <w:rPr>
          <w:rFonts w:hint="eastAsia" w:ascii="宋体" w:hAnsi="宋体" w:cs="宋体"/>
          <w:sz w:val="24"/>
          <w:szCs w:val="24"/>
        </w:rPr>
        <w:t>的，属于提供虚假材料谋取成交；磋商供应商的该行为将报请政府采购监管的财政部门参照《中华人民共和国政府采购法》第七十七条的规定处理并给予行政处罚。</w:t>
      </w:r>
    </w:p>
    <w:bookmarkEnd w:id="69"/>
    <w:p>
      <w:pPr>
        <w:snapToGrid w:val="0"/>
        <w:spacing w:line="360" w:lineRule="auto"/>
        <w:ind w:firstLine="480" w:firstLineChars="200"/>
        <w:rPr>
          <w:rFonts w:ascii="宋体"/>
          <w:sz w:val="24"/>
          <w:szCs w:val="24"/>
        </w:rPr>
      </w:pPr>
      <w:r>
        <w:rPr>
          <w:rFonts w:hint="eastAsia" w:ascii="宋体" w:hAnsi="宋体" w:cs="宋体"/>
          <w:sz w:val="24"/>
          <w:szCs w:val="24"/>
        </w:rPr>
        <w:t>（3）</w:t>
      </w:r>
      <w:bookmarkStart w:id="74" w:name="_Hlk67486961"/>
      <w:r>
        <w:rPr>
          <w:rFonts w:hint="eastAsia" w:ascii="宋体" w:hAnsi="宋体" w:cs="宋体"/>
          <w:b/>
          <w:bCs/>
          <w:sz w:val="24"/>
          <w:szCs w:val="24"/>
          <w:u w:val="thick" w:color="FF0000"/>
        </w:rPr>
        <w:t>不符合上述要求的磋商供应商，无须提供“中小企业声明函”</w:t>
      </w:r>
      <w:r>
        <w:rPr>
          <w:rFonts w:hint="eastAsia" w:ascii="宋体" w:hAnsi="宋体" w:cs="宋体"/>
          <w:sz w:val="24"/>
          <w:szCs w:val="24"/>
        </w:rPr>
        <w:t>。</w:t>
      </w:r>
      <w:bookmarkEnd w:id="62"/>
      <w:bookmarkEnd w:id="74"/>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六、出现下列情形之一的，作无效响应处理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、响应文件未按磋商文件要求装订、密封、签署、盖章及主要资料不齐全的；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、响应文件的资料有虚报或者谎报的；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、响应文件中资格审查文件及技术响应文件出现磋商报价的内容；</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、不具备磋商文件规定的资格要求的；</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、响应文件有重大漏项或重大不合理的；</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、项目技术、方案不满足项目需求中的要求，有重大偏离或保留的；</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、磋商响应报价超出项目预算或最高限价的；</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、被认定为低于成本报价磋商竞标的；</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、供应商的磋商报价高于自己前一轮的；</w:t>
      </w:r>
    </w:p>
    <w:p>
      <w:pPr>
        <w:snapToGrid w:val="0"/>
        <w:spacing w:line="360" w:lineRule="auto"/>
        <w:ind w:firstLine="480" w:firstLineChars="200"/>
        <w:rPr>
          <w:rFonts w:ascii="宋体"/>
          <w:dstrike/>
          <w:sz w:val="24"/>
          <w:szCs w:val="24"/>
        </w:rPr>
      </w:pPr>
      <w:r>
        <w:rPr>
          <w:rFonts w:ascii="宋体" w:hAnsi="宋体" w:cs="宋体"/>
          <w:sz w:val="24"/>
          <w:szCs w:val="24"/>
        </w:rPr>
        <w:t>10</w:t>
      </w:r>
      <w:r>
        <w:rPr>
          <w:rFonts w:hint="eastAsia" w:ascii="宋体" w:hAnsi="宋体" w:cs="宋体"/>
          <w:sz w:val="24"/>
          <w:szCs w:val="24"/>
        </w:rPr>
        <w:t>、不符合法律、法规和磋商文件中规定的其他实质性响应要求的；</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、磋商小组依据法律法规可以认定为无效响应的其他情况。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七、出现下列情形之一的，作废标处理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、供应商的报价均超出了采购预算或最高限价，采购单位不能支付的；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、因情况变化，不再符合规定的竞争性磋商采购方式所适用情形的；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、出现影响采购公正的违法、违规行为的；</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、因重大变故，采购任务取消的；</w:t>
      </w:r>
      <w:r>
        <w:rPr>
          <w:rFonts w:ascii="宋体"/>
          <w:sz w:val="24"/>
          <w:szCs w:val="24"/>
        </w:rPr>
        <w:tab/>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、磋商小组依据法律法规可以认定为废标的其他情况。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八、成交通知</w:t>
      </w:r>
    </w:p>
    <w:p>
      <w:pPr>
        <w:snapToGrid w:val="0"/>
        <w:spacing w:line="360" w:lineRule="auto"/>
        <w:ind w:firstLine="480" w:firstLineChars="200"/>
        <w:rPr>
          <w:rFonts w:ascii="宋体"/>
          <w:kern w:val="0"/>
          <w:sz w:val="24"/>
          <w:szCs w:val="24"/>
        </w:rPr>
      </w:pPr>
      <w:r>
        <w:rPr>
          <w:rFonts w:hint="eastAsia" w:cs="宋体"/>
          <w:kern w:val="0"/>
          <w:sz w:val="24"/>
          <w:szCs w:val="24"/>
        </w:rPr>
        <w:t>成交结果在</w:t>
      </w:r>
      <w:r>
        <w:rPr>
          <w:rFonts w:hint="eastAsia" w:ascii="宋体" w:hAnsi="宋体" w:cs="宋体"/>
          <w:sz w:val="24"/>
          <w:szCs w:val="24"/>
        </w:rPr>
        <w:t>“江苏省政府采购网（http://www.ccgp-jiangsu.gov.cn/）-结果公告”栏、南通市卫生健康委员会官网（http://wjw.nantong.gov.cn）和南通市妇幼保健院官网（http://www.ntfybj.com）公示</w:t>
      </w:r>
      <w:r>
        <w:rPr>
          <w:rFonts w:hint="eastAsia"/>
          <w:b/>
          <w:bCs/>
          <w:kern w:val="0"/>
          <w:sz w:val="24"/>
          <w:szCs w:val="24"/>
          <w:u w:val="single"/>
        </w:rPr>
        <w:t>1</w:t>
      </w:r>
      <w:r>
        <w:rPr>
          <w:rFonts w:hint="eastAsia" w:cs="宋体"/>
          <w:kern w:val="0"/>
          <w:sz w:val="24"/>
          <w:szCs w:val="24"/>
        </w:rPr>
        <w:t>个工作日。《成交通知书》一经发出，采购单位改变成交结果，或者供应商放弃成交的，各自承担相应的法律责任。《成交通知书》是采购合同的组成部分。</w:t>
      </w:r>
    </w:p>
    <w:p>
      <w:pPr>
        <w:pStyle w:val="3"/>
        <w:keepNext w:val="0"/>
        <w:keepLines w:val="0"/>
        <w:numPr>
          <w:ilvl w:val="0"/>
          <w:numId w:val="0"/>
        </w:numPr>
        <w:snapToGrid w:val="0"/>
        <w:spacing w:before="0" w:after="0" w:line="360" w:lineRule="auto"/>
        <w:jc w:val="center"/>
        <w:rPr>
          <w:rFonts w:ascii="宋体"/>
          <w:b w:val="0"/>
          <w:bCs w:val="0"/>
          <w:w w:val="80"/>
          <w:sz w:val="36"/>
          <w:szCs w:val="36"/>
        </w:rPr>
      </w:pPr>
      <w:r>
        <w:rPr>
          <w:rFonts w:ascii="宋体"/>
          <w:w w:val="80"/>
        </w:rPr>
        <w:br w:type="page"/>
      </w:r>
      <w:bookmarkEnd w:id="60"/>
      <w:bookmarkEnd w:id="61"/>
      <w:r>
        <w:rPr>
          <w:rFonts w:hint="eastAsia" w:ascii="宋体" w:hAnsi="宋体" w:cs="宋体"/>
          <w:w w:val="80"/>
        </w:rPr>
        <w:t>第五章  合同主要条款</w:t>
      </w:r>
      <w:bookmarkStart w:id="75" w:name="_Toc39047827"/>
      <w:bookmarkStart w:id="76" w:name="_Toc20744258"/>
      <w:bookmarkStart w:id="77" w:name="_Toc20744795"/>
    </w:p>
    <w:p>
      <w:pPr>
        <w:spacing w:line="400" w:lineRule="exact"/>
        <w:jc w:val="center"/>
        <w:rPr>
          <w:rFonts w:ascii="宋体"/>
          <w:b/>
          <w:bCs/>
          <w:sz w:val="36"/>
          <w:szCs w:val="36"/>
        </w:rPr>
      </w:pPr>
      <w:bookmarkStart w:id="78" w:name="_Ref451243616"/>
      <w:bookmarkStart w:id="79" w:name="_Toc434460932"/>
      <w:bookmarkStart w:id="80" w:name="_Toc434462225"/>
      <w:bookmarkStart w:id="81" w:name="_Ref451313954"/>
      <w:bookmarkStart w:id="82" w:name="_Toc451664164"/>
      <w:bookmarkStart w:id="83" w:name="_Toc451315906"/>
      <w:bookmarkStart w:id="84" w:name="_Toc434897340"/>
      <w:bookmarkStart w:id="85" w:name="_Toc451315989"/>
      <w:bookmarkStart w:id="86" w:name="_Toc434462836"/>
      <w:r>
        <w:rPr>
          <w:rFonts w:hint="eastAsia" w:ascii="宋体" w:hAnsi="宋体" w:cs="宋体"/>
          <w:b/>
          <w:bCs/>
          <w:w w:val="80"/>
          <w:kern w:val="44"/>
          <w:sz w:val="36"/>
          <w:szCs w:val="36"/>
        </w:rPr>
        <w:t>合同书</w:t>
      </w:r>
      <w:bookmarkEnd w:id="78"/>
      <w:bookmarkEnd w:id="79"/>
      <w:bookmarkEnd w:id="80"/>
      <w:bookmarkEnd w:id="81"/>
      <w:bookmarkEnd w:id="82"/>
      <w:bookmarkEnd w:id="83"/>
      <w:bookmarkEnd w:id="84"/>
      <w:bookmarkEnd w:id="85"/>
      <w:bookmarkEnd w:id="86"/>
    </w:p>
    <w:p>
      <w:pPr>
        <w:spacing w:line="440" w:lineRule="exact"/>
        <w:rPr>
          <w:rFonts w:ascii="宋体" w:hAnsi="宋体"/>
          <w:sz w:val="24"/>
          <w:szCs w:val="24"/>
        </w:rPr>
      </w:pPr>
    </w:p>
    <w:p>
      <w:pPr>
        <w:snapToGrid w:val="0"/>
        <w:spacing w:line="360" w:lineRule="auto"/>
        <w:jc w:val="left"/>
        <w:textAlignment w:val="baseline"/>
        <w:rPr>
          <w:rFonts w:ascii="宋体" w:hAnsi="宋体" w:cs="宋体"/>
          <w:sz w:val="24"/>
          <w:szCs w:val="24"/>
          <w:u w:val="single"/>
        </w:rPr>
      </w:pPr>
      <w:r>
        <w:rPr>
          <w:rFonts w:hint="eastAsia" w:ascii="宋体" w:hAnsi="宋体" w:cs="宋体"/>
          <w:spacing w:val="46"/>
          <w:sz w:val="24"/>
          <w:szCs w:val="24"/>
        </w:rPr>
        <w:t>采购</w:t>
      </w:r>
      <w:r>
        <w:rPr>
          <w:rFonts w:hint="eastAsia" w:ascii="宋体" w:hAnsi="宋体" w:cs="宋体"/>
          <w:sz w:val="24"/>
          <w:szCs w:val="24"/>
        </w:rPr>
        <w:t>单 位（或称甲方）：</w:t>
      </w:r>
      <w:r>
        <w:rPr>
          <w:rFonts w:hint="eastAsia" w:ascii="宋体" w:hAnsi="宋体" w:cs="宋体"/>
          <w:sz w:val="24"/>
          <w:szCs w:val="24"/>
          <w:u w:val="single" w:color="000000"/>
        </w:rPr>
        <w:t xml:space="preserve">                            </w:t>
      </w:r>
    </w:p>
    <w:p>
      <w:pPr>
        <w:snapToGrid w:val="0"/>
        <w:spacing w:line="360" w:lineRule="auto"/>
        <w:jc w:val="left"/>
        <w:textAlignment w:val="baseline"/>
        <w:rPr>
          <w:rFonts w:ascii="宋体" w:hAnsi="宋体" w:cs="宋体"/>
          <w:bCs/>
          <w:sz w:val="24"/>
          <w:szCs w:val="24"/>
        </w:rPr>
      </w:pPr>
      <w:r>
        <w:rPr>
          <w:rFonts w:hint="eastAsia" w:ascii="宋体" w:hAnsi="宋体" w:cs="宋体"/>
          <w:sz w:val="24"/>
          <w:szCs w:val="24"/>
        </w:rPr>
        <w:t>成交供应商（或称乙方）：</w:t>
      </w:r>
      <w:r>
        <w:rPr>
          <w:rFonts w:hint="eastAsia" w:ascii="宋体" w:hAnsi="宋体" w:cs="宋体"/>
          <w:sz w:val="24"/>
          <w:szCs w:val="24"/>
          <w:u w:val="single" w:color="000000"/>
        </w:rPr>
        <w:t xml:space="preserve">                            </w:t>
      </w:r>
    </w:p>
    <w:p>
      <w:pPr>
        <w:snapToGrid w:val="0"/>
        <w:spacing w:line="360" w:lineRule="auto"/>
        <w:jc w:val="left"/>
        <w:textAlignment w:val="baseline"/>
        <w:rPr>
          <w:rFonts w:ascii="宋体" w:hAnsi="宋体" w:cs="宋体"/>
          <w:sz w:val="24"/>
          <w:szCs w:val="24"/>
        </w:rPr>
      </w:pPr>
      <w:r>
        <w:rPr>
          <w:rFonts w:hint="eastAsia" w:ascii="宋体" w:hAnsi="宋体" w:cs="宋体"/>
          <w:sz w:val="24"/>
          <w:szCs w:val="24"/>
        </w:rPr>
        <w:t>签订时间：</w:t>
      </w:r>
      <w:r>
        <w:rPr>
          <w:rFonts w:hint="eastAsia" w:ascii="宋体" w:hAnsi="宋体" w:cs="宋体"/>
          <w:sz w:val="24"/>
          <w:szCs w:val="24"/>
          <w:u w:val="single" w:color="000000"/>
        </w:rPr>
        <w:t>2022</w:t>
      </w:r>
      <w:r>
        <w:rPr>
          <w:rFonts w:hint="eastAsia" w:ascii="宋体" w:hAnsi="宋体" w:cs="宋体"/>
          <w:sz w:val="24"/>
          <w:szCs w:val="24"/>
        </w:rPr>
        <w:t>年</w:t>
      </w:r>
      <w:r>
        <w:rPr>
          <w:rFonts w:hint="eastAsia" w:ascii="宋体" w:hAnsi="宋体" w:cs="宋体"/>
          <w:sz w:val="24"/>
          <w:szCs w:val="24"/>
          <w:u w:val="single" w:color="000000"/>
        </w:rPr>
        <w:t xml:space="preserve">   </w:t>
      </w:r>
      <w:r>
        <w:rPr>
          <w:rFonts w:hint="eastAsia" w:ascii="宋体" w:hAnsi="宋体" w:cs="宋体"/>
          <w:sz w:val="24"/>
          <w:szCs w:val="24"/>
        </w:rPr>
        <w:t>月</w:t>
      </w:r>
      <w:r>
        <w:rPr>
          <w:rFonts w:hint="eastAsia" w:ascii="宋体" w:hAnsi="宋体" w:cs="宋体"/>
          <w:sz w:val="24"/>
          <w:szCs w:val="24"/>
          <w:u w:val="single" w:color="000000"/>
        </w:rPr>
        <w:t xml:space="preserve">   </w:t>
      </w:r>
      <w:r>
        <w:rPr>
          <w:rFonts w:hint="eastAsia" w:ascii="宋体" w:hAnsi="宋体" w:cs="宋体"/>
          <w:sz w:val="24"/>
          <w:szCs w:val="24"/>
        </w:rPr>
        <w:t>日</w:t>
      </w:r>
    </w:p>
    <w:p>
      <w:pPr>
        <w:snapToGrid w:val="0"/>
        <w:spacing w:line="360" w:lineRule="auto"/>
        <w:jc w:val="left"/>
        <w:textAlignment w:val="baseline"/>
        <w:rPr>
          <w:sz w:val="24"/>
          <w:szCs w:val="24"/>
        </w:rPr>
      </w:pPr>
      <w:r>
        <w:rPr>
          <w:rFonts w:hint="eastAsia" w:ascii="宋体" w:hAnsi="宋体" w:cs="宋体"/>
          <w:sz w:val="24"/>
          <w:szCs w:val="24"/>
        </w:rPr>
        <w:t>签订地点：</w:t>
      </w:r>
      <w:r>
        <w:rPr>
          <w:rFonts w:hint="eastAsia" w:ascii="宋体" w:hAnsi="宋体" w:cs="宋体"/>
          <w:sz w:val="24"/>
          <w:szCs w:val="24"/>
          <w:u w:val="single" w:color="000000"/>
        </w:rPr>
        <w:t xml:space="preserve">                            </w:t>
      </w:r>
    </w:p>
    <w:p>
      <w:pPr>
        <w:spacing w:line="360" w:lineRule="auto"/>
        <w:ind w:firstLine="480" w:firstLineChars="200"/>
        <w:rPr>
          <w:rFonts w:ascii="宋体" w:hAnsi="宋体"/>
          <w:sz w:val="24"/>
          <w:szCs w:val="24"/>
        </w:rPr>
      </w:pPr>
      <w:r>
        <w:rPr>
          <w:rFonts w:hint="eastAsia"/>
          <w:sz w:val="24"/>
          <w:szCs w:val="24"/>
        </w:rPr>
        <w:t>根据</w:t>
      </w:r>
      <w:r>
        <w:rPr>
          <w:sz w:val="24"/>
          <w:szCs w:val="24"/>
        </w:rPr>
        <w:t>《中华人民共和国政府采购法》规定，</w:t>
      </w:r>
      <w:r>
        <w:rPr>
          <w:rFonts w:hint="eastAsia" w:ascii="宋体" w:hAnsi="宋体" w:cs="宋体"/>
          <w:bCs/>
          <w:sz w:val="24"/>
          <w:szCs w:val="24"/>
          <w:u w:val="single" w:color="000000"/>
        </w:rPr>
        <w:t>南通市妇幼保健院住院患者生活照护服务项目</w:t>
      </w:r>
      <w:r>
        <w:rPr>
          <w:sz w:val="24"/>
          <w:szCs w:val="24"/>
        </w:rPr>
        <w:t>实行</w:t>
      </w:r>
      <w:r>
        <w:rPr>
          <w:rFonts w:hint="eastAsia"/>
          <w:sz w:val="24"/>
          <w:szCs w:val="24"/>
        </w:rPr>
        <w:t>竞争性磋商</w:t>
      </w:r>
      <w:r>
        <w:rPr>
          <w:sz w:val="24"/>
          <w:szCs w:val="24"/>
        </w:rPr>
        <w:t>方式采购。本着公开、公平、公正和择优的原则，经专家评委严格评审并推荐乙方为成交供应商。在真实、充分地表达各自意愿的基础上，根据《中华人民共和国</w:t>
      </w:r>
      <w:r>
        <w:rPr>
          <w:rFonts w:hint="eastAsia"/>
          <w:sz w:val="24"/>
          <w:szCs w:val="24"/>
        </w:rPr>
        <w:t>民法典</w:t>
      </w:r>
      <w:r>
        <w:rPr>
          <w:sz w:val="24"/>
          <w:szCs w:val="24"/>
        </w:rPr>
        <w:t>》的规定，达成如下协议，并由双方共同恪守。</w:t>
      </w:r>
    </w:p>
    <w:p>
      <w:pPr>
        <w:spacing w:line="360" w:lineRule="auto"/>
        <w:ind w:firstLine="480" w:firstLineChars="200"/>
        <w:rPr>
          <w:rFonts w:ascii="宋体" w:hAnsi="宋体"/>
          <w:sz w:val="24"/>
          <w:szCs w:val="24"/>
        </w:rPr>
      </w:pPr>
    </w:p>
    <w:p>
      <w:pPr>
        <w:pStyle w:val="137"/>
        <w:snapToGrid w:val="0"/>
        <w:spacing w:line="360" w:lineRule="auto"/>
        <w:ind w:firstLine="480" w:firstLineChars="200"/>
        <w:rPr>
          <w:b/>
          <w:sz w:val="24"/>
          <w:szCs w:val="24"/>
          <w:lang w:val="en-US" w:eastAsia="zh-CN"/>
        </w:rPr>
      </w:pPr>
      <w:r>
        <w:rPr>
          <w:rFonts w:hint="eastAsia"/>
          <w:color w:val="000000"/>
          <w:kern w:val="0"/>
          <w:sz w:val="24"/>
          <w:szCs w:val="24"/>
        </w:rPr>
        <w:t>为了贯彻卫生部《2010优质护理示范工程》和“三好一满意”活动的要求，规范医院住院病人生活照护服务内容，提高服务质量，进而满足病人对生活照护的需求。按优质生活照护服务标准及流程为孕产妇、新生儿以及病患提供优质生活照护服务。</w:t>
      </w:r>
    </w:p>
    <w:p>
      <w:pPr>
        <w:widowControl/>
        <w:shd w:val="clear" w:color="auto" w:fill="FFFFFF"/>
        <w:spacing w:line="360" w:lineRule="auto"/>
        <w:ind w:firstLine="482" w:firstLineChars="200"/>
        <w:jc w:val="left"/>
        <w:rPr>
          <w:rFonts w:ascii="宋体" w:hAnsi="宋体" w:cs="宋体"/>
          <w:b/>
          <w:kern w:val="0"/>
          <w:sz w:val="24"/>
          <w:szCs w:val="24"/>
        </w:rPr>
      </w:pPr>
      <w:r>
        <w:rPr>
          <w:rFonts w:hint="eastAsia" w:ascii="宋体" w:hAnsi="宋体"/>
          <w:b/>
          <w:sz w:val="24"/>
          <w:szCs w:val="24"/>
        </w:rPr>
        <w:t>一、</w:t>
      </w:r>
      <w:r>
        <w:rPr>
          <w:rFonts w:hint="eastAsia" w:ascii="宋体" w:hAnsi="宋体" w:cs="宋体"/>
          <w:b/>
          <w:kern w:val="0"/>
          <w:sz w:val="24"/>
          <w:szCs w:val="24"/>
        </w:rPr>
        <w:t>服务范围</w:t>
      </w:r>
    </w:p>
    <w:p>
      <w:pPr>
        <w:widowControl/>
        <w:shd w:val="clear" w:color="auto" w:fill="FFFFFF"/>
        <w:spacing w:line="360" w:lineRule="auto"/>
        <w:ind w:firstLine="480" w:firstLineChars="200"/>
        <w:jc w:val="left"/>
        <w:rPr>
          <w:rFonts w:ascii="宋体" w:hAnsi="宋体" w:cs="宋体"/>
          <w:bCs/>
          <w:color w:val="000000"/>
          <w:sz w:val="24"/>
          <w:szCs w:val="24"/>
        </w:rPr>
      </w:pPr>
      <w:r>
        <w:rPr>
          <w:rFonts w:hint="eastAsia" w:ascii="宋体" w:hAnsi="宋体" w:cs="宋体"/>
          <w:bCs/>
          <w:kern w:val="0"/>
          <w:sz w:val="24"/>
          <w:szCs w:val="24"/>
        </w:rPr>
        <w:t>1、</w:t>
      </w:r>
      <w:r>
        <w:rPr>
          <w:rFonts w:hint="eastAsia" w:ascii="宋体" w:hAnsi="宋体" w:cs="宋体"/>
          <w:bCs/>
          <w:color w:val="000000"/>
          <w:sz w:val="24"/>
          <w:szCs w:val="24"/>
        </w:rPr>
        <w:t>服务范围：</w:t>
      </w:r>
      <w:r>
        <w:rPr>
          <w:rFonts w:hint="eastAsia" w:ascii="宋体" w:hAnsi="宋体" w:cs="宋体"/>
          <w:color w:val="000000"/>
          <w:sz w:val="24"/>
          <w:szCs w:val="24"/>
        </w:rPr>
        <w:t>乙方</w:t>
      </w:r>
      <w:r>
        <w:rPr>
          <w:rFonts w:hint="eastAsia" w:ascii="宋体" w:hAnsi="宋体" w:cs="宋体"/>
          <w:bCs/>
          <w:color w:val="000000"/>
          <w:sz w:val="24"/>
          <w:szCs w:val="24"/>
        </w:rPr>
        <w:t>以生活照护团队服务和特需生活照料（一对一）服务模式，为甲方提供优质生活照护服务。</w:t>
      </w:r>
    </w:p>
    <w:p>
      <w:pPr>
        <w:widowControl/>
        <w:shd w:val="clear" w:color="auto" w:fill="FFFFFF"/>
        <w:spacing w:line="360" w:lineRule="auto"/>
        <w:ind w:firstLine="480" w:firstLineChars="200"/>
        <w:jc w:val="left"/>
        <w:rPr>
          <w:rFonts w:ascii="宋体" w:hAnsi="宋体"/>
          <w:b/>
          <w:sz w:val="24"/>
          <w:szCs w:val="24"/>
        </w:rPr>
      </w:pPr>
      <w:r>
        <w:rPr>
          <w:rFonts w:hint="eastAsia" w:ascii="宋体" w:hAnsi="宋体" w:cs="宋体"/>
          <w:bCs/>
          <w:color w:val="000000"/>
          <w:sz w:val="24"/>
          <w:szCs w:val="24"/>
        </w:rPr>
        <w:t>2、服务内容：乙方按优质生活照护服务标准及流程为孕产妇、新生儿以及病患提供优质生活照护服务。</w:t>
      </w:r>
    </w:p>
    <w:p>
      <w:pPr>
        <w:pStyle w:val="137"/>
        <w:snapToGrid w:val="0"/>
        <w:spacing w:line="360" w:lineRule="auto"/>
        <w:ind w:firstLine="482" w:firstLineChars="200"/>
        <w:rPr>
          <w:b/>
          <w:sz w:val="24"/>
          <w:szCs w:val="24"/>
        </w:rPr>
      </w:pPr>
      <w:r>
        <w:rPr>
          <w:rFonts w:hint="eastAsia"/>
          <w:b/>
          <w:sz w:val="24"/>
          <w:szCs w:val="24"/>
          <w:lang w:val="en-US" w:eastAsia="zh-CN"/>
        </w:rPr>
        <w:t>二、</w:t>
      </w:r>
      <w:r>
        <w:rPr>
          <w:rFonts w:hint="eastAsia"/>
          <w:b/>
          <w:sz w:val="24"/>
          <w:szCs w:val="24"/>
        </w:rPr>
        <w:t>合同金额及付款方式：</w:t>
      </w:r>
    </w:p>
    <w:p>
      <w:pPr>
        <w:pStyle w:val="137"/>
        <w:snapToGrid w:val="0"/>
        <w:spacing w:line="360" w:lineRule="auto"/>
        <w:ind w:firstLine="480" w:firstLineChars="200"/>
        <w:rPr>
          <w:sz w:val="24"/>
          <w:szCs w:val="24"/>
          <w:lang w:val="en-US" w:eastAsia="zh-CN"/>
        </w:rPr>
      </w:pPr>
      <w:r>
        <w:rPr>
          <w:rFonts w:hint="eastAsia"/>
          <w:sz w:val="24"/>
          <w:szCs w:val="24"/>
          <w:lang w:val="en-US" w:eastAsia="zh-CN"/>
        </w:rPr>
        <w:t>1、甲方购买十楼LDR一体化病区生活照护服务及乙方缴纳甲方资源管理费方式：</w:t>
      </w:r>
    </w:p>
    <w:p>
      <w:pPr>
        <w:pStyle w:val="137"/>
        <w:snapToGrid w:val="0"/>
        <w:spacing w:line="360" w:lineRule="auto"/>
        <w:ind w:firstLine="480" w:firstLineChars="200"/>
        <w:rPr>
          <w:rFonts w:cs="仿宋"/>
          <w:bCs/>
          <w:kern w:val="0"/>
          <w:sz w:val="24"/>
          <w:szCs w:val="24"/>
          <w:lang w:val="en-US" w:eastAsia="zh-CN" w:bidi="ar-SA"/>
        </w:rPr>
      </w:pPr>
      <w:r>
        <w:rPr>
          <w:rFonts w:hint="eastAsia"/>
          <w:sz w:val="24"/>
          <w:szCs w:val="24"/>
          <w:lang w:val="en-US" w:eastAsia="zh-CN"/>
        </w:rPr>
        <w:t>1.1甲方向乙方购买十楼LDR一体化病房生活照护服务，</w:t>
      </w:r>
      <w:r>
        <w:rPr>
          <w:rFonts w:hint="eastAsia"/>
          <w:color w:val="000000"/>
          <w:sz w:val="24"/>
          <w:szCs w:val="24"/>
        </w:rPr>
        <w:t>以自然月为结算周期</w:t>
      </w:r>
      <w:r>
        <w:rPr>
          <w:rFonts w:hint="eastAsia"/>
          <w:color w:val="000000"/>
          <w:sz w:val="24"/>
          <w:szCs w:val="24"/>
          <w:lang w:eastAsia="zh-CN"/>
        </w:rPr>
        <w:t>，</w:t>
      </w:r>
      <w:r>
        <w:rPr>
          <w:rFonts w:hint="eastAsia"/>
          <w:color w:val="000000"/>
          <w:sz w:val="24"/>
          <w:szCs w:val="24"/>
        </w:rPr>
        <w:t>甲方按当月实际用工总时数，按</w:t>
      </w:r>
      <w:r>
        <w:rPr>
          <w:rFonts w:hint="eastAsia"/>
          <w:color w:val="000000"/>
          <w:sz w:val="24"/>
          <w:szCs w:val="24"/>
          <w:u w:val="thick"/>
          <w:lang w:val="en-US" w:eastAsia="zh-CN"/>
        </w:rPr>
        <w:t xml:space="preserve">       </w:t>
      </w:r>
      <w:r>
        <w:rPr>
          <w:rFonts w:hint="eastAsia"/>
          <w:color w:val="000000"/>
          <w:sz w:val="24"/>
          <w:szCs w:val="24"/>
        </w:rPr>
        <w:t>元／人／月与乙方结算费用</w:t>
      </w:r>
      <w:r>
        <w:rPr>
          <w:rFonts w:hint="eastAsia"/>
          <w:color w:val="000000"/>
          <w:sz w:val="24"/>
          <w:szCs w:val="24"/>
          <w:lang w:eastAsia="zh-CN"/>
        </w:rPr>
        <w:t>，</w:t>
      </w:r>
      <w:r>
        <w:rPr>
          <w:rFonts w:hint="eastAsia"/>
          <w:color w:val="000000"/>
          <w:sz w:val="24"/>
          <w:szCs w:val="24"/>
          <w:lang w:val="en-US" w:eastAsia="zh-CN"/>
        </w:rPr>
        <w:t>最终结算按成交单价及甲方确认的服务人数、服务时间进行结算，但结算总价不超过30万元/年。</w:t>
      </w:r>
    </w:p>
    <w:p>
      <w:pPr>
        <w:pStyle w:val="60"/>
        <w:snapToGrid w:val="0"/>
        <w:spacing w:line="360" w:lineRule="auto"/>
        <w:ind w:left="0" w:firstLine="482" w:firstLineChars="200"/>
        <w:rPr>
          <w:rFonts w:ascii="宋体" w:hAnsi="宋体" w:cs="宋体"/>
          <w:b/>
          <w:bCs/>
          <w:sz w:val="24"/>
          <w:szCs w:val="24"/>
        </w:rPr>
      </w:pPr>
      <w:r>
        <w:rPr>
          <w:rFonts w:hint="eastAsia" w:ascii="宋体" w:hAnsi="宋体" w:cs="宋体"/>
          <w:b/>
          <w:bCs/>
          <w:sz w:val="24"/>
          <w:szCs w:val="24"/>
        </w:rPr>
        <w:t>合同价包括但不限于所有与本项目实施有关的所有费用，包括所有的人工工资（含夜班、周末及节假日加班费）、培训费、服装费、社保、交通费、餐费补贴、夜班补贴、疫情防控费、福利、通讯费、办公设备费、管理费、利润、税金、政策性文件规定及为达到采购单位要求所包含的所有风险、责任等各项费用。</w:t>
      </w:r>
    </w:p>
    <w:p>
      <w:pPr>
        <w:snapToGrid w:val="0"/>
        <w:spacing w:line="360" w:lineRule="auto"/>
        <w:ind w:firstLine="480" w:firstLineChars="200"/>
        <w:rPr>
          <w:rFonts w:ascii="宋体" w:hAnsi="宋体" w:cs="宋体"/>
          <w:sz w:val="24"/>
          <w:szCs w:val="24"/>
        </w:rPr>
      </w:pPr>
      <w:r>
        <w:rPr>
          <w:rFonts w:hint="eastAsia" w:ascii="宋体" w:hAnsi="宋体" w:cs="宋体"/>
          <w:sz w:val="24"/>
          <w:szCs w:val="24"/>
          <w:lang w:bidi="zh-TW"/>
        </w:rPr>
        <w:t>1.2</w:t>
      </w:r>
      <w:r>
        <w:rPr>
          <w:rFonts w:hint="eastAsia" w:ascii="宋体" w:hAnsi="宋体" w:cs="宋体"/>
          <w:sz w:val="24"/>
          <w:szCs w:val="24"/>
        </w:rPr>
        <w:t>结算方式：</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1.2.1乙方缴纳履约保证金，且合同签订后，甲方支付合同价款的10%作为预付款，每月月末乙方向甲方提供</w:t>
      </w:r>
      <w:r>
        <w:rPr>
          <w:rFonts w:hint="eastAsia" w:ascii="宋体" w:hAnsi="宋体" w:cs="宋体"/>
          <w:bCs/>
          <w:color w:val="000000"/>
          <w:sz w:val="24"/>
          <w:szCs w:val="24"/>
        </w:rPr>
        <w:t>LDR病区护士长签字确认的考勤表及结算单，</w:t>
      </w:r>
      <w:r>
        <w:rPr>
          <w:rFonts w:hint="eastAsia" w:ascii="宋体" w:hAnsi="宋体" w:cs="宋体"/>
          <w:sz w:val="24"/>
          <w:szCs w:val="24"/>
        </w:rPr>
        <w:t>甲方按季度支付服务费用，首次支付时须扣除已付的预付款。乙方须提供相应金额且符合甲方财务制度规定的增值税发票，甲方按程序审批后支付款项。</w:t>
      </w:r>
    </w:p>
    <w:p>
      <w:pPr>
        <w:snapToGrid w:val="0"/>
        <w:spacing w:line="360" w:lineRule="auto"/>
        <w:ind w:firstLine="480" w:firstLineChars="200"/>
      </w:pPr>
      <w:r>
        <w:rPr>
          <w:rFonts w:hint="eastAsia" w:ascii="宋体" w:hAnsi="宋体" w:cs="宋体"/>
          <w:sz w:val="24"/>
          <w:szCs w:val="24"/>
        </w:rPr>
        <w:t>1.2.2</w:t>
      </w:r>
      <w:r>
        <w:rPr>
          <w:rFonts w:hint="eastAsia" w:ascii="宋体" w:hAnsi="宋体" w:cs="宋体"/>
          <w:spacing w:val="-4"/>
          <w:kern w:val="0"/>
          <w:sz w:val="24"/>
          <w:szCs w:val="24"/>
        </w:rPr>
        <w:t>乙方按</w:t>
      </w:r>
      <w:r>
        <w:rPr>
          <w:rFonts w:hint="eastAsia" w:ascii="宋体" w:hAnsi="宋体" w:cs="宋体"/>
          <w:sz w:val="24"/>
          <w:szCs w:val="24"/>
        </w:rPr>
        <w:t>十楼LDR一体化病</w:t>
      </w:r>
      <w:r>
        <w:rPr>
          <w:rFonts w:hint="eastAsia" w:cs="宋体"/>
          <w:sz w:val="24"/>
          <w:szCs w:val="24"/>
        </w:rPr>
        <w:t>区</w:t>
      </w:r>
      <w:r>
        <w:rPr>
          <w:rFonts w:hint="eastAsia" w:ascii="宋体" w:hAnsi="宋体" w:cs="宋体"/>
          <w:spacing w:val="-4"/>
          <w:kern w:val="0"/>
          <w:sz w:val="24"/>
          <w:szCs w:val="24"/>
        </w:rPr>
        <w:t>自主服务总收入（扣除6%税费后）的4</w:t>
      </w:r>
      <w:r>
        <w:rPr>
          <w:rFonts w:ascii="宋体" w:hAnsi="宋体" w:cs="宋体"/>
          <w:spacing w:val="-4"/>
          <w:kern w:val="0"/>
          <w:sz w:val="24"/>
          <w:szCs w:val="24"/>
        </w:rPr>
        <w:t>%</w:t>
      </w:r>
      <w:r>
        <w:rPr>
          <w:rFonts w:hint="eastAsia" w:ascii="宋体" w:hAnsi="宋体" w:cs="宋体"/>
          <w:spacing w:val="-4"/>
          <w:kern w:val="0"/>
          <w:sz w:val="24"/>
          <w:szCs w:val="24"/>
        </w:rPr>
        <w:t>向甲方缴纳病区资源管理费用。</w:t>
      </w:r>
    </w:p>
    <w:p>
      <w:pPr>
        <w:pStyle w:val="2"/>
        <w:snapToGrid w:val="0"/>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pacing w:val="-4"/>
          <w:sz w:val="24"/>
          <w:szCs w:val="24"/>
        </w:rPr>
        <w:t>除十楼LDR一体化病区外，</w:t>
      </w:r>
      <w:r>
        <w:rPr>
          <w:rFonts w:hint="eastAsia" w:ascii="宋体" w:hAnsi="宋体" w:cs="宋体"/>
          <w:sz w:val="24"/>
          <w:szCs w:val="24"/>
        </w:rPr>
        <w:t>乙方向甲方缴纳</w:t>
      </w:r>
      <w:r>
        <w:rPr>
          <w:rFonts w:hint="eastAsia" w:ascii="宋体" w:hAnsi="宋体" w:cs="宋体"/>
          <w:spacing w:val="-4"/>
          <w:sz w:val="24"/>
          <w:szCs w:val="24"/>
        </w:rPr>
        <w:t>其余楼层病区</w:t>
      </w:r>
      <w:r>
        <w:rPr>
          <w:rFonts w:hint="eastAsia" w:ascii="宋体" w:hAnsi="宋体" w:cs="宋体"/>
          <w:sz w:val="24"/>
          <w:szCs w:val="24"/>
        </w:rPr>
        <w:t>资源管理费：</w:t>
      </w:r>
    </w:p>
    <w:p>
      <w:pPr>
        <w:snapToGrid w:val="0"/>
        <w:spacing w:line="360" w:lineRule="auto"/>
        <w:ind w:firstLine="464" w:firstLineChars="200"/>
        <w:textAlignment w:val="baseline"/>
        <w:rPr>
          <w:rFonts w:ascii="宋体" w:hAnsi="宋体" w:cs="宋体"/>
          <w:bCs/>
          <w:color w:val="000000"/>
          <w:sz w:val="24"/>
          <w:szCs w:val="24"/>
        </w:rPr>
      </w:pPr>
      <w:r>
        <w:rPr>
          <w:rFonts w:hint="eastAsia" w:ascii="宋体" w:hAnsi="宋体" w:cs="宋体"/>
          <w:spacing w:val="-4"/>
          <w:kern w:val="0"/>
          <w:sz w:val="24"/>
          <w:szCs w:val="24"/>
        </w:rPr>
        <w:t>2.1</w:t>
      </w:r>
      <w:r>
        <w:rPr>
          <w:rFonts w:hint="eastAsia" w:ascii="宋体" w:hAnsi="宋体" w:cs="宋体"/>
          <w:bCs/>
          <w:color w:val="000000"/>
          <w:sz w:val="24"/>
          <w:szCs w:val="24"/>
        </w:rPr>
        <w:t>生活照护团队（一对多）服务项目：乙方按各楼层病区当月出院病人实际结算服务费用</w:t>
      </w:r>
      <w:r>
        <w:rPr>
          <w:rFonts w:hint="eastAsia" w:ascii="宋体" w:hAnsi="宋体" w:cs="宋体"/>
          <w:spacing w:val="-4"/>
          <w:kern w:val="0"/>
          <w:sz w:val="24"/>
          <w:szCs w:val="24"/>
        </w:rPr>
        <w:t>总收入（扣除6%税费后）的</w:t>
      </w:r>
      <w:r>
        <w:rPr>
          <w:rFonts w:ascii="宋体" w:hAnsi="宋体" w:cs="宋体"/>
          <w:spacing w:val="-4"/>
          <w:kern w:val="0"/>
          <w:sz w:val="24"/>
          <w:szCs w:val="24"/>
        </w:rPr>
        <w:t>10%</w:t>
      </w:r>
      <w:r>
        <w:rPr>
          <w:rFonts w:hint="eastAsia" w:ascii="宋体" w:hAnsi="宋体" w:cs="宋体"/>
          <w:spacing w:val="-4"/>
          <w:kern w:val="0"/>
          <w:sz w:val="24"/>
          <w:szCs w:val="24"/>
        </w:rPr>
        <w:t>向甲方缴纳资源管理费用，甲方开具正规票据，</w:t>
      </w:r>
      <w:r>
        <w:rPr>
          <w:rFonts w:hint="eastAsia" w:ascii="宋体" w:hAnsi="宋体" w:cs="宋体"/>
          <w:bCs/>
          <w:color w:val="000000"/>
          <w:sz w:val="24"/>
          <w:szCs w:val="24"/>
        </w:rPr>
        <w:t>并于次月</w:t>
      </w:r>
      <w:r>
        <w:rPr>
          <w:rFonts w:hint="eastAsia" w:ascii="Malgun Gothic" w:hAnsi="Malgun Gothic" w:eastAsia="等线 Light" w:cs="等线 Light"/>
          <w:bCs/>
          <w:color w:val="000000"/>
          <w:sz w:val="24"/>
          <w:szCs w:val="24"/>
        </w:rPr>
        <w:t>15</w:t>
      </w:r>
      <w:r>
        <w:rPr>
          <w:rFonts w:hint="eastAsia" w:ascii="宋体" w:hAnsi="宋体" w:cs="宋体"/>
          <w:bCs/>
          <w:color w:val="000000"/>
          <w:sz w:val="24"/>
          <w:szCs w:val="24"/>
        </w:rPr>
        <w:t>日前与乙方结算，如遇国家法定节假日自动顺延。</w:t>
      </w:r>
    </w:p>
    <w:p>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bCs/>
          <w:color w:val="000000"/>
          <w:sz w:val="24"/>
          <w:szCs w:val="24"/>
        </w:rPr>
        <w:t>2.2生活照料（一对一）服务项目：乙方按护理对象实际服务天数，</w:t>
      </w:r>
      <w:r>
        <w:rPr>
          <w:rFonts w:hint="eastAsia" w:ascii="宋体" w:hAnsi="宋体" w:cs="宋体"/>
          <w:spacing w:val="-4"/>
          <w:kern w:val="0"/>
          <w:sz w:val="24"/>
          <w:szCs w:val="24"/>
        </w:rPr>
        <w:t>总收入（扣除6%税费后）的</w:t>
      </w:r>
      <w:r>
        <w:rPr>
          <w:rFonts w:ascii="宋体" w:hAnsi="宋体" w:cs="宋体"/>
          <w:spacing w:val="-4"/>
          <w:kern w:val="0"/>
          <w:sz w:val="24"/>
          <w:szCs w:val="24"/>
        </w:rPr>
        <w:t>10%</w:t>
      </w:r>
      <w:r>
        <w:rPr>
          <w:rFonts w:hint="eastAsia" w:ascii="宋体" w:hAnsi="宋体" w:cs="宋体"/>
          <w:spacing w:val="-4"/>
          <w:kern w:val="0"/>
          <w:sz w:val="24"/>
          <w:szCs w:val="24"/>
        </w:rPr>
        <w:t>向甲方缴纳资源管理费用，甲方开具正规票据，</w:t>
      </w:r>
      <w:r>
        <w:rPr>
          <w:rFonts w:hint="eastAsia" w:ascii="宋体" w:hAnsi="宋体" w:cs="宋体"/>
          <w:bCs/>
          <w:color w:val="000000"/>
          <w:sz w:val="24"/>
          <w:szCs w:val="24"/>
        </w:rPr>
        <w:t>并于次月</w:t>
      </w:r>
      <w:r>
        <w:rPr>
          <w:rFonts w:hint="eastAsia" w:ascii="Malgun Gothic" w:hAnsi="Malgun Gothic" w:eastAsia="等线 Light" w:cs="等线 Light"/>
          <w:bCs/>
          <w:color w:val="000000"/>
          <w:sz w:val="24"/>
          <w:szCs w:val="24"/>
        </w:rPr>
        <w:t>15</w:t>
      </w:r>
      <w:r>
        <w:rPr>
          <w:rFonts w:hint="eastAsia" w:ascii="宋体" w:hAnsi="宋体" w:cs="宋体"/>
          <w:bCs/>
          <w:color w:val="000000"/>
          <w:sz w:val="24"/>
          <w:szCs w:val="24"/>
        </w:rPr>
        <w:t>日前与乙方结算，如遇国家法定节假日自动顺延。</w:t>
      </w:r>
    </w:p>
    <w:p>
      <w:pPr>
        <w:numPr>
          <w:ilvl w:val="0"/>
          <w:numId w:val="6"/>
        </w:numPr>
        <w:snapToGrid w:val="0"/>
        <w:spacing w:line="360" w:lineRule="auto"/>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乙方按采购文件规定缴纳了</w:t>
      </w:r>
      <w:r>
        <w:rPr>
          <w:rFonts w:hint="eastAsia" w:ascii="宋体" w:hAnsi="宋体" w:cs="宋体"/>
          <w:color w:val="000000"/>
          <w:sz w:val="24"/>
          <w:szCs w:val="24"/>
          <w:u w:val="single"/>
        </w:rPr>
        <w:t xml:space="preserve">          </w:t>
      </w:r>
      <w:r>
        <w:rPr>
          <w:rFonts w:hint="eastAsia" w:ascii="宋体" w:hAnsi="宋体" w:cs="宋体"/>
          <w:color w:val="000000"/>
          <w:sz w:val="24"/>
          <w:szCs w:val="24"/>
        </w:rPr>
        <w:t>元（合同价*10%）的履约保证金，乙方在按要求保质保量的完成该项目服务（包括续签服务）后，甲方凭乙方提交的申请，一次性无息退还该合同项目的履约保证金。</w:t>
      </w:r>
    </w:p>
    <w:p>
      <w:pPr>
        <w:snapToGrid w:val="0"/>
        <w:spacing w:line="360" w:lineRule="auto"/>
        <w:ind w:firstLine="480" w:firstLineChars="200"/>
        <w:textAlignment w:val="baseline"/>
        <w:rPr>
          <w:rFonts w:ascii="宋体" w:hAnsi="宋体" w:cs="宋体"/>
          <w:b/>
          <w:sz w:val="24"/>
          <w:szCs w:val="24"/>
        </w:rPr>
      </w:pPr>
      <w:r>
        <w:rPr>
          <w:rFonts w:hint="eastAsia" w:ascii="宋体" w:hAnsi="宋体" w:cs="宋体"/>
          <w:color w:val="000000"/>
          <w:sz w:val="24"/>
          <w:szCs w:val="24"/>
        </w:rPr>
        <w:t>由于乙方原因，在签订合同后出现不按合同履行的情况，甲方有权将履约保证金作为违约金，全额不予退还，同时甲方亦有权终止合同，乙方还须承担相应的法律赔偿责任。</w:t>
      </w:r>
    </w:p>
    <w:p>
      <w:pPr>
        <w:snapToGrid w:val="0"/>
        <w:spacing w:line="360" w:lineRule="auto"/>
        <w:ind w:firstLine="482" w:firstLineChars="200"/>
        <w:textAlignment w:val="baseline"/>
        <w:rPr>
          <w:rFonts w:ascii="宋体" w:hAnsi="宋体" w:cs="宋体"/>
          <w:b/>
          <w:bCs/>
          <w:sz w:val="24"/>
          <w:szCs w:val="24"/>
        </w:rPr>
      </w:pPr>
      <w:r>
        <w:rPr>
          <w:rFonts w:hint="eastAsia" w:ascii="宋体" w:hAnsi="宋体" w:cs="宋体"/>
          <w:b/>
          <w:sz w:val="24"/>
          <w:szCs w:val="24"/>
        </w:rPr>
        <w:t>二、</w:t>
      </w:r>
      <w:r>
        <w:rPr>
          <w:rFonts w:hint="eastAsia" w:ascii="宋体" w:hAnsi="宋体" w:cs="宋体"/>
          <w:b/>
          <w:bCs/>
          <w:sz w:val="24"/>
          <w:szCs w:val="24"/>
        </w:rPr>
        <w:t>服务具体要求：</w:t>
      </w:r>
    </w:p>
    <w:p>
      <w:pPr>
        <w:widowControl/>
        <w:shd w:val="clear" w:color="auto" w:fill="FFFFFF"/>
        <w:snapToGrid w:val="0"/>
        <w:spacing w:line="360" w:lineRule="auto"/>
        <w:ind w:firstLine="482" w:firstLineChars="200"/>
        <w:jc w:val="left"/>
        <w:rPr>
          <w:rFonts w:ascii="宋体" w:hAnsi="宋体" w:cs="宋体"/>
          <w:b/>
          <w:kern w:val="0"/>
          <w:sz w:val="24"/>
          <w:szCs w:val="24"/>
        </w:rPr>
      </w:pPr>
      <w:r>
        <w:rPr>
          <w:rFonts w:hint="eastAsia" w:ascii="宋体" w:hAnsi="宋体" w:cs="宋体"/>
          <w:b/>
          <w:kern w:val="0"/>
          <w:sz w:val="24"/>
          <w:szCs w:val="24"/>
        </w:rPr>
        <w:t>1、人员要求</w:t>
      </w:r>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1.1乙方应遵守法律、法规、规章和有关规定，制定经营管理制度并组织实施，有一定的母婴生活护理服务经营管理经验和组织领导能力，熟悉母婴生活护理服务的业务流程，定期参加行业组织的培训。</w:t>
      </w:r>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1.2乙方的管理人员应遵纪守法，爱岗敬业，诚实守信。具备良好的职业素质，掌握甲方规章制度和业务流程，具备母婴照护相关专业知识与技能，有一定的管理经验和协调能力。乙方须每月组织护理员进行专业技能培训、考核，每周对护理员工作进行质控，提供耐心、周到、细致的服务，严格履行服务承诺。</w:t>
      </w:r>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1.3母婴生活护理员应为女性，年龄在25</w:t>
      </w:r>
      <w:r>
        <w:rPr>
          <w:rFonts w:hint="eastAsia" w:ascii="宋体" w:hAnsi="宋体" w:cs="宋体"/>
          <w:bCs/>
          <w:color w:val="000000"/>
          <w:kern w:val="0"/>
          <w:sz w:val="24"/>
          <w:szCs w:val="24"/>
        </w:rPr>
        <w:t>周岁（含）-50周岁（含）</w:t>
      </w:r>
      <w:r>
        <w:rPr>
          <w:rFonts w:hint="eastAsia" w:ascii="宋体" w:hAnsi="宋体" w:cs="宋体"/>
          <w:kern w:val="0"/>
          <w:sz w:val="24"/>
          <w:szCs w:val="24"/>
        </w:rPr>
        <w:t>，具有初中以上文化程度，富有爱心，品行端正、善于沟通、热情友好、遵纪守法，无刑事犯罪记录，无精神病史和传染病等；护理员统一着装，不戴耳环、戒指、手链，不留长指甲，规范服务。注意语言规范，避免纠纷。</w:t>
      </w:r>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1.4乙方拟派驻院代表中，至少包括督导1名，有护理培训背景的培训师1名，有护理管理背景的管理人员2名（每5个病区或30名护理员须增加1名管理人员）。</w:t>
      </w:r>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1.5乙方</w:t>
      </w:r>
      <w:r>
        <w:rPr>
          <w:rFonts w:hint="eastAsia" w:ascii="宋体" w:hAnsi="宋体" w:cs="宋体"/>
          <w:bCs/>
          <w:color w:val="000000"/>
          <w:sz w:val="24"/>
          <w:szCs w:val="24"/>
        </w:rPr>
        <w:t>根据与甲方护理部共同确定的托管服务病区的需要，按需分批派驻护理员到位。</w:t>
      </w:r>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1.6所有母婴生活护理员需持证上岗，上岗登记时应具有身份证明、护理员证、</w:t>
      </w:r>
      <w:r>
        <w:fldChar w:fldCharType="begin"/>
      </w:r>
      <w:r>
        <w:instrText xml:space="preserve"> HYPERLINK "https://baike.baidu.com/item/%E8%81%8C%E4%B8%9A%E8%B5%84%E6%A0%BC%E8%AF%81/5532629" \t "_blank" </w:instrText>
      </w:r>
      <w:r>
        <w:fldChar w:fldCharType="separate"/>
      </w:r>
      <w:r>
        <w:rPr>
          <w:rFonts w:hint="eastAsia" w:ascii="宋体" w:hAnsi="宋体" w:cs="宋体"/>
          <w:kern w:val="0"/>
          <w:sz w:val="24"/>
          <w:szCs w:val="24"/>
        </w:rPr>
        <w:t>育婴师证</w:t>
      </w:r>
      <w:r>
        <w:rPr>
          <w:rFonts w:hint="eastAsia" w:ascii="宋体" w:hAnsi="宋体" w:cs="宋体"/>
          <w:kern w:val="0"/>
          <w:sz w:val="24"/>
          <w:szCs w:val="24"/>
        </w:rPr>
        <w:fldChar w:fldCharType="end"/>
      </w:r>
      <w:r>
        <w:rPr>
          <w:rFonts w:hint="eastAsia" w:ascii="宋体" w:hAnsi="宋体" w:cs="宋体"/>
          <w:kern w:val="0"/>
          <w:sz w:val="24"/>
          <w:szCs w:val="24"/>
        </w:rPr>
        <w:t>、育婴员证、母婴护理师证、健康证（每年体检合格）以及具备与服务要求相适应的服务技能。</w:t>
      </w:r>
    </w:p>
    <w:p>
      <w:pPr>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1.7不迟到早退、不脱岗、不干私活、不玩手机、不集结闲聊，服从调配。</w:t>
      </w:r>
    </w:p>
    <w:p>
      <w:pPr>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1.8母婴生活护理员应有防跌倒、撞伤、烫伤、防盗的意识，主动观察询问，发现异常及时报告护士处理。</w:t>
      </w:r>
    </w:p>
    <w:p>
      <w:pPr>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1.9所有母婴生活护理员应具有消毒隔离观念：接触孕产妇及婴儿前后洗手，能区分生活垃圾和污染垃圾，特殊情况下应做好个人防护，避免交叉感染。</w:t>
      </w:r>
    </w:p>
    <w:p>
      <w:pPr>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1.10严格对照爱婴医院标准开展各项工作，严禁擅自使用奶瓶或添加奶粉，一经查实，乙方支付违约金1000元/次。</w:t>
      </w:r>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1.11不得利用工作之便泄漏服务对象的个人信息，向服务对象推销院外催乳、产后康复、月子会所等项目，一经查实，乙方支付违约金3000元/项，第二次发现，护理员辞退。</w:t>
      </w:r>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1.12在甲方对服务对象满意度测评或者在第三方满意度测评中，如有投诉乙方服务事项的，乙方支付违约金500元/次。</w:t>
      </w:r>
    </w:p>
    <w:p>
      <w:pPr>
        <w:widowControl/>
        <w:shd w:val="clear" w:color="auto" w:fill="FFFFFF"/>
        <w:snapToGrid w:val="0"/>
        <w:spacing w:line="360" w:lineRule="auto"/>
        <w:ind w:firstLine="480" w:firstLineChars="200"/>
        <w:jc w:val="left"/>
      </w:pPr>
      <w:r>
        <w:rPr>
          <w:rFonts w:hint="eastAsia" w:ascii="宋体" w:hAnsi="宋体" w:cs="宋体"/>
          <w:kern w:val="0"/>
          <w:sz w:val="24"/>
          <w:szCs w:val="24"/>
        </w:rPr>
        <w:t>1.13</w:t>
      </w:r>
      <w:r>
        <w:rPr>
          <w:rFonts w:hint="eastAsia" w:ascii="宋体" w:hAnsi="宋体" w:cs="宋体"/>
          <w:bCs/>
          <w:color w:val="000000"/>
          <w:sz w:val="24"/>
          <w:szCs w:val="24"/>
        </w:rPr>
        <w:t>乙方根据LDR病区护士长统一排班及LDR母婴生活照护服务标准，向甲方提供高级护理员，为LDR病区提供优质生活照护服务。</w:t>
      </w:r>
      <w:r>
        <w:rPr>
          <w:rFonts w:hint="eastAsia" w:ascii="宋体" w:hAnsi="宋体" w:cs="宋体"/>
          <w:color w:val="0D0D0D"/>
          <w:spacing w:val="-4"/>
          <w:kern w:val="0"/>
          <w:sz w:val="24"/>
        </w:rPr>
        <w:t>每位高级护理员负责3位产妇，提供24小时不间断服务，高级护理员需服从采购单位护理部的统一管理，由护士长按实际到岗情况给予考勤。为LDR病区提供生活照护的高级护理员，需经过3个月的试用考核，经甲方考核合格后固定岗位，如已固定的高级护理员因特殊情况需暂停服务，乙方需从本项目拟派人员中挑选合适人员，未经甲方同意乙方不得随意调换护理人员。</w:t>
      </w:r>
    </w:p>
    <w:p>
      <w:pPr>
        <w:snapToGrid w:val="0"/>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2、管理要求</w:t>
      </w:r>
    </w:p>
    <w:p>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2.1为确保向服务对象提供安全可靠的服务，乙方应建立相应的安全机制并制定严格的母婴生活护理员上岗程序，主要包括：</w:t>
      </w:r>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2.1.1母婴生活护理员上岗前须取得相应的职业资格证书，并经母婴生活护理专门培训。</w:t>
      </w:r>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2.1.2母婴生活护理员每年须进行健康查体；新上岗的母婴生活护理员上岗前必须进行健康检查，取得健康证明后方可上岗。凡患有痢疾、伤寒、</w:t>
      </w:r>
      <w:r>
        <w:fldChar w:fldCharType="begin"/>
      </w:r>
      <w:r>
        <w:instrText xml:space="preserve"> HYPERLINK "https://baike.baidu.com/item/%E7%97%85%E6%AF%92%E6%80%A7%E8%82%9D%E7%82%8E/344481" \t "_blank" </w:instrText>
      </w:r>
      <w:r>
        <w:fldChar w:fldCharType="separate"/>
      </w:r>
      <w:r>
        <w:rPr>
          <w:rFonts w:hint="eastAsia" w:ascii="宋体" w:hAnsi="宋体" w:cs="宋体"/>
          <w:kern w:val="0"/>
          <w:sz w:val="24"/>
          <w:szCs w:val="24"/>
        </w:rPr>
        <w:t>病毒性肝炎</w:t>
      </w:r>
      <w:r>
        <w:rPr>
          <w:rFonts w:hint="eastAsia" w:ascii="宋体" w:hAnsi="宋体" w:cs="宋体"/>
          <w:kern w:val="0"/>
          <w:sz w:val="24"/>
          <w:szCs w:val="24"/>
        </w:rPr>
        <w:fldChar w:fldCharType="end"/>
      </w:r>
      <w:r>
        <w:rPr>
          <w:rFonts w:hint="eastAsia" w:ascii="宋体" w:hAnsi="宋体" w:cs="宋体"/>
          <w:kern w:val="0"/>
          <w:sz w:val="24"/>
          <w:szCs w:val="24"/>
        </w:rPr>
        <w:t>（包括病原携带者）、活动型结核、化脓性或渗出性皮肤病等呼吸道和</w:t>
      </w:r>
      <w:r>
        <w:fldChar w:fldCharType="begin"/>
      </w:r>
      <w:r>
        <w:instrText xml:space="preserve"> HYPERLINK "https://baike.baidu.com/item/%E6%B6%88%E5%8C%96%E9%81%93%E4%BC%A0%E6%9F%93%E7%97%85/6880687" \t "_blank" </w:instrText>
      </w:r>
      <w:r>
        <w:fldChar w:fldCharType="separate"/>
      </w:r>
      <w:r>
        <w:rPr>
          <w:rFonts w:hint="eastAsia" w:ascii="宋体" w:hAnsi="宋体" w:cs="宋体"/>
          <w:kern w:val="0"/>
          <w:sz w:val="24"/>
          <w:szCs w:val="24"/>
        </w:rPr>
        <w:t>消化道传染病</w:t>
      </w:r>
      <w:r>
        <w:rPr>
          <w:rFonts w:hint="eastAsia" w:ascii="宋体" w:hAnsi="宋体" w:cs="宋体"/>
          <w:kern w:val="0"/>
          <w:sz w:val="24"/>
          <w:szCs w:val="24"/>
        </w:rPr>
        <w:fldChar w:fldCharType="end"/>
      </w:r>
      <w:r>
        <w:rPr>
          <w:rFonts w:hint="eastAsia" w:ascii="宋体" w:hAnsi="宋体" w:cs="宋体"/>
          <w:sz w:val="24"/>
          <w:szCs w:val="24"/>
        </w:rPr>
        <w:t>者</w:t>
      </w:r>
      <w:r>
        <w:rPr>
          <w:rFonts w:hint="eastAsia" w:ascii="宋体" w:hAnsi="宋体" w:cs="宋体"/>
          <w:kern w:val="0"/>
          <w:sz w:val="24"/>
          <w:szCs w:val="24"/>
        </w:rPr>
        <w:t>，不得上岗。</w:t>
      </w:r>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2.1.3乙方应核实母婴生活护理员提供的身份证明（主要为身份证、户口本）、</w:t>
      </w:r>
      <w:r>
        <w:fldChar w:fldCharType="begin"/>
      </w:r>
      <w:r>
        <w:instrText xml:space="preserve"> HYPERLINK "https://baike.baidu.com/item/%E8%81%8C%E4%B8%9A%E8%B5%84%E6%A0%BC%E8%AF%81/5532629" \t "_blank" </w:instrText>
      </w:r>
      <w:r>
        <w:fldChar w:fldCharType="separate"/>
      </w:r>
      <w:r>
        <w:rPr>
          <w:rFonts w:hint="eastAsia" w:ascii="宋体" w:hAnsi="宋体" w:cs="宋体"/>
          <w:kern w:val="0"/>
          <w:sz w:val="24"/>
          <w:szCs w:val="24"/>
        </w:rPr>
        <w:t>职业资格证</w:t>
      </w:r>
      <w:r>
        <w:rPr>
          <w:rFonts w:hint="eastAsia" w:ascii="宋体" w:hAnsi="宋体" w:cs="宋体"/>
          <w:kern w:val="0"/>
          <w:sz w:val="24"/>
          <w:szCs w:val="24"/>
        </w:rPr>
        <w:fldChar w:fldCharType="end"/>
      </w:r>
      <w:r>
        <w:rPr>
          <w:rFonts w:hint="eastAsia" w:ascii="宋体" w:hAnsi="宋体" w:cs="宋体"/>
          <w:kern w:val="0"/>
          <w:sz w:val="24"/>
          <w:szCs w:val="24"/>
        </w:rPr>
        <w:t>、健康证。</w:t>
      </w:r>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2.1.4乙方应在客户与母婴生活护理员双方都没有异议的情况下签订服务协议。</w:t>
      </w:r>
    </w:p>
    <w:p>
      <w:pPr>
        <w:widowControl/>
        <w:shd w:val="clear" w:color="auto" w:fill="FFFFFF"/>
        <w:snapToGrid w:val="0"/>
        <w:spacing w:line="360" w:lineRule="auto"/>
        <w:ind w:firstLine="480" w:firstLineChars="200"/>
        <w:jc w:val="left"/>
        <w:rPr>
          <w:rFonts w:ascii="宋体" w:hAnsi="宋体" w:cs="宋体"/>
          <w:bCs/>
          <w:color w:val="000000"/>
          <w:sz w:val="24"/>
          <w:szCs w:val="24"/>
        </w:rPr>
      </w:pPr>
      <w:r>
        <w:rPr>
          <w:rFonts w:hint="eastAsia" w:ascii="宋体" w:hAnsi="宋体" w:cs="宋体"/>
          <w:kern w:val="0"/>
          <w:sz w:val="24"/>
          <w:szCs w:val="24"/>
        </w:rPr>
        <w:t>2.1.5乙方</w:t>
      </w:r>
      <w:r>
        <w:rPr>
          <w:rFonts w:hint="eastAsia" w:ascii="宋体" w:hAnsi="宋体" w:cs="宋体"/>
          <w:bCs/>
          <w:color w:val="000000"/>
          <w:sz w:val="24"/>
          <w:szCs w:val="24"/>
        </w:rPr>
        <w:t>根据LDR病区护士长统一排班及LDR母婴生活照护服务标准，向甲方提供高级护理员，为LDR病区提供优质生活照护服务。</w:t>
      </w:r>
    </w:p>
    <w:p>
      <w:pPr>
        <w:widowControl/>
        <w:shd w:val="clear" w:color="auto" w:fill="FFFFFF"/>
        <w:snapToGrid w:val="0"/>
        <w:spacing w:line="360" w:lineRule="auto"/>
        <w:ind w:firstLine="480" w:firstLineChars="200"/>
        <w:jc w:val="left"/>
      </w:pPr>
      <w:r>
        <w:rPr>
          <w:rFonts w:hint="eastAsia" w:ascii="宋体" w:hAnsi="宋体" w:cs="宋体"/>
          <w:kern w:val="0"/>
          <w:sz w:val="24"/>
          <w:szCs w:val="24"/>
        </w:rPr>
        <w:t>2.1.6乙方</w:t>
      </w:r>
      <w:r>
        <w:rPr>
          <w:rFonts w:hint="eastAsia" w:ascii="宋体" w:hAnsi="宋体" w:cs="宋体"/>
          <w:bCs/>
          <w:color w:val="000000"/>
          <w:sz w:val="24"/>
          <w:szCs w:val="24"/>
        </w:rPr>
        <w:t>根据LDR病区实际入住情况，按1:3比</w:t>
      </w:r>
      <w:r>
        <w:rPr>
          <w:rFonts w:hint="eastAsia" w:ascii="宋体" w:hAnsi="宋体" w:cs="宋体"/>
          <w:color w:val="000000"/>
          <w:sz w:val="24"/>
          <w:szCs w:val="24"/>
        </w:rPr>
        <w:t>例及时配备护理员到岗。</w:t>
      </w:r>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2.2培训要求</w:t>
      </w:r>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乙方应建立完善的母婴生活护理专业培训体系，以确保服务质量。具体培训内容应包括：</w:t>
      </w:r>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母婴生活护理员的职业道德及行为规范；</w:t>
      </w:r>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基本的法律、安全、卫生知识；</w:t>
      </w:r>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提供母婴生活护理员服务所需的知识；</w:t>
      </w:r>
    </w:p>
    <w:p>
      <w:pPr>
        <w:widowControl/>
        <w:shd w:val="clear" w:color="auto" w:fill="FFFFFF"/>
        <w:snapToGrid w:val="0"/>
        <w:spacing w:line="360" w:lineRule="auto"/>
        <w:ind w:firstLine="480" w:firstLineChars="200"/>
        <w:jc w:val="left"/>
        <w:rPr>
          <w:rFonts w:ascii="宋体" w:hAnsi="宋体" w:cs="宋体"/>
          <w:b/>
          <w:sz w:val="24"/>
          <w:szCs w:val="24"/>
        </w:rPr>
      </w:pPr>
      <w:r>
        <w:rPr>
          <w:rFonts w:hint="eastAsia" w:ascii="宋体" w:hAnsi="宋体" w:cs="宋体"/>
          <w:kern w:val="0"/>
          <w:sz w:val="24"/>
          <w:szCs w:val="24"/>
        </w:rPr>
        <w:t>提供母婴生活护理员服务所需的技能。</w:t>
      </w:r>
    </w:p>
    <w:p>
      <w:pPr>
        <w:adjustRightInd w:val="0"/>
        <w:snapToGrid w:val="0"/>
        <w:spacing w:line="360" w:lineRule="auto"/>
        <w:ind w:left="482"/>
        <w:rPr>
          <w:rFonts w:ascii="宋体" w:hAnsi="宋体" w:cs="宋体"/>
          <w:b/>
          <w:sz w:val="24"/>
          <w:szCs w:val="24"/>
        </w:rPr>
      </w:pPr>
      <w:r>
        <w:rPr>
          <w:rFonts w:hint="eastAsia" w:ascii="宋体" w:hAnsi="宋体" w:cs="宋体"/>
          <w:b/>
          <w:sz w:val="24"/>
          <w:szCs w:val="24"/>
        </w:rPr>
        <w:t>3、母婴生活护理员基本要求（工作标准）</w:t>
      </w:r>
    </w:p>
    <w:p>
      <w:pPr>
        <w:adjustRightInd w:val="0"/>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3.1护理员生活照护工作内容及流程（标准）</w:t>
      </w:r>
    </w:p>
    <w:tbl>
      <w:tblPr>
        <w:tblStyle w:val="51"/>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3760"/>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64" w:type="dxa"/>
            <w:shd w:val="clear" w:color="auto" w:fill="auto"/>
            <w:vAlign w:val="center"/>
          </w:tcPr>
          <w:p>
            <w:pPr>
              <w:spacing w:line="300" w:lineRule="exact"/>
              <w:jc w:val="center"/>
              <w:rPr>
                <w:rFonts w:ascii="宋体" w:hAnsi="宋体" w:cs="宋体"/>
                <w:b/>
                <w:bCs/>
                <w:sz w:val="24"/>
                <w:szCs w:val="24"/>
              </w:rPr>
            </w:pPr>
            <w:r>
              <w:rPr>
                <w:rFonts w:hint="eastAsia" w:ascii="宋体" w:hAnsi="宋体" w:cs="宋体"/>
                <w:b/>
                <w:bCs/>
                <w:sz w:val="24"/>
                <w:szCs w:val="24"/>
              </w:rPr>
              <w:t>服务对象</w:t>
            </w:r>
          </w:p>
        </w:tc>
        <w:tc>
          <w:tcPr>
            <w:tcW w:w="3760" w:type="dxa"/>
            <w:shd w:val="clear" w:color="auto" w:fill="auto"/>
            <w:vAlign w:val="center"/>
          </w:tcPr>
          <w:p>
            <w:pPr>
              <w:spacing w:line="300" w:lineRule="exact"/>
              <w:jc w:val="center"/>
              <w:rPr>
                <w:rFonts w:ascii="宋体" w:hAnsi="宋体" w:cs="宋体"/>
                <w:b/>
                <w:bCs/>
                <w:sz w:val="24"/>
                <w:szCs w:val="24"/>
              </w:rPr>
            </w:pPr>
            <w:r>
              <w:rPr>
                <w:rFonts w:hint="eastAsia" w:ascii="宋体" w:hAnsi="宋体" w:cs="宋体"/>
                <w:b/>
                <w:bCs/>
                <w:sz w:val="24"/>
                <w:szCs w:val="24"/>
              </w:rPr>
              <w:t>工作内容</w:t>
            </w:r>
          </w:p>
        </w:tc>
        <w:tc>
          <w:tcPr>
            <w:tcW w:w="4305" w:type="dxa"/>
            <w:shd w:val="clear" w:color="auto" w:fill="auto"/>
            <w:vAlign w:val="center"/>
          </w:tcPr>
          <w:p>
            <w:pPr>
              <w:spacing w:line="300" w:lineRule="exact"/>
              <w:jc w:val="center"/>
              <w:rPr>
                <w:rFonts w:ascii="宋体" w:hAnsi="宋体" w:cs="宋体"/>
                <w:b/>
                <w:bCs/>
                <w:sz w:val="24"/>
                <w:szCs w:val="24"/>
              </w:rPr>
            </w:pPr>
            <w:r>
              <w:rPr>
                <w:rFonts w:hint="eastAsia" w:ascii="宋体" w:hAnsi="宋体" w:cs="宋体"/>
                <w:b/>
                <w:bCs/>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6" w:hRule="atLeast"/>
          <w:jc w:val="center"/>
        </w:trPr>
        <w:tc>
          <w:tcPr>
            <w:tcW w:w="864" w:type="dxa"/>
            <w:vAlign w:val="center"/>
          </w:tcPr>
          <w:p>
            <w:pPr>
              <w:spacing w:line="300" w:lineRule="exact"/>
              <w:rPr>
                <w:rFonts w:ascii="宋体" w:hAnsi="宋体" w:cs="宋体"/>
              </w:rPr>
            </w:pPr>
            <w:r>
              <w:rPr>
                <w:rFonts w:hint="eastAsia" w:ascii="宋体" w:hAnsi="宋体" w:cs="宋体"/>
              </w:rPr>
              <w:t>孕妇</w:t>
            </w:r>
          </w:p>
        </w:tc>
        <w:tc>
          <w:tcPr>
            <w:tcW w:w="3760" w:type="dxa"/>
          </w:tcPr>
          <w:p>
            <w:pPr>
              <w:spacing w:line="300" w:lineRule="exact"/>
              <w:rPr>
                <w:rFonts w:ascii="宋体" w:hAnsi="宋体" w:cs="宋体"/>
              </w:rPr>
            </w:pPr>
            <w:r>
              <w:rPr>
                <w:rFonts w:hint="eastAsia" w:ascii="宋体" w:hAnsi="宋体" w:cs="宋体"/>
              </w:rPr>
              <w:t>1.所有操作前，认真执行手卫生。</w:t>
            </w:r>
          </w:p>
          <w:p>
            <w:pPr>
              <w:spacing w:line="300" w:lineRule="exact"/>
              <w:rPr>
                <w:rFonts w:ascii="宋体" w:hAnsi="宋体" w:cs="宋体"/>
              </w:rPr>
            </w:pPr>
            <w:r>
              <w:rPr>
                <w:rFonts w:hint="eastAsia" w:ascii="宋体" w:hAnsi="宋体" w:cs="宋体"/>
              </w:rPr>
              <w:t>2.协助孕妇刷牙、洗脸、进餐、如厕, 帮助患者床上或下床活动，按需床上擦身或床上洗头（必要时）。</w:t>
            </w:r>
          </w:p>
          <w:p>
            <w:pPr>
              <w:spacing w:line="300" w:lineRule="exact"/>
              <w:rPr>
                <w:rFonts w:ascii="宋体" w:hAnsi="宋体" w:cs="宋体"/>
              </w:rPr>
            </w:pPr>
            <w:r>
              <w:rPr>
                <w:rFonts w:hint="eastAsia" w:ascii="宋体" w:hAnsi="宋体" w:cs="宋体"/>
              </w:rPr>
              <w:t>3.早、中、晚整理床单元和病室，及时开窗通风，保持环境整洁，空气新鲜。</w:t>
            </w:r>
          </w:p>
          <w:p>
            <w:pPr>
              <w:spacing w:line="300" w:lineRule="exact"/>
              <w:rPr>
                <w:rFonts w:ascii="宋体" w:hAnsi="宋体" w:cs="宋体"/>
              </w:rPr>
            </w:pPr>
            <w:r>
              <w:rPr>
                <w:rFonts w:hint="eastAsia" w:ascii="宋体" w:hAnsi="宋体" w:cs="宋体"/>
              </w:rPr>
              <w:t>4.协助护士做好晨间护理及医生查房的准备工作。</w:t>
            </w:r>
          </w:p>
          <w:p>
            <w:pPr>
              <w:spacing w:line="300" w:lineRule="exact"/>
              <w:rPr>
                <w:rFonts w:ascii="宋体" w:hAnsi="宋体" w:cs="宋体"/>
              </w:rPr>
            </w:pPr>
            <w:r>
              <w:rPr>
                <w:rFonts w:hint="eastAsia" w:ascii="宋体" w:hAnsi="宋体" w:cs="宋体"/>
              </w:rPr>
              <w:t>5.鼓励孕妇及家属建立母乳喂养信心，宣教母乳喂养好处和人工喂养的风险。</w:t>
            </w:r>
          </w:p>
          <w:p>
            <w:pPr>
              <w:spacing w:line="300" w:lineRule="exact"/>
              <w:rPr>
                <w:rFonts w:ascii="宋体" w:hAnsi="宋体" w:cs="宋体"/>
              </w:rPr>
            </w:pPr>
            <w:r>
              <w:rPr>
                <w:rFonts w:hint="eastAsia" w:ascii="宋体" w:hAnsi="宋体" w:cs="宋体"/>
              </w:rPr>
              <w:t>6.配合有关医疗护理工作。</w:t>
            </w:r>
          </w:p>
        </w:tc>
        <w:tc>
          <w:tcPr>
            <w:tcW w:w="4305" w:type="dxa"/>
          </w:tcPr>
          <w:p>
            <w:pPr>
              <w:spacing w:line="300" w:lineRule="exact"/>
              <w:rPr>
                <w:rFonts w:ascii="宋体" w:hAnsi="宋体" w:cs="宋体"/>
              </w:rPr>
            </w:pPr>
            <w:r>
              <w:rPr>
                <w:rFonts w:hint="eastAsia" w:ascii="宋体" w:hAnsi="宋体" w:cs="宋体"/>
              </w:rPr>
              <w:t>1.孕妇卫生：头发整齐无汗；皮肤、手足清洁，无污渍，衣裤清洁；会阴清洁干燥，无血、尿污迹。</w:t>
            </w:r>
          </w:p>
          <w:p>
            <w:pPr>
              <w:spacing w:line="300" w:lineRule="exact"/>
              <w:rPr>
                <w:rFonts w:ascii="宋体" w:hAnsi="宋体" w:cs="宋体"/>
              </w:rPr>
            </w:pPr>
            <w:r>
              <w:rPr>
                <w:rFonts w:hint="eastAsia" w:ascii="宋体" w:hAnsi="宋体" w:cs="宋体"/>
              </w:rPr>
              <w:t>2.便器清洁无污垢无残余物。</w:t>
            </w:r>
          </w:p>
          <w:p>
            <w:pPr>
              <w:spacing w:line="300" w:lineRule="exact"/>
              <w:rPr>
                <w:rFonts w:ascii="宋体" w:hAnsi="宋体" w:cs="宋体"/>
              </w:rPr>
            </w:pPr>
            <w:r>
              <w:rPr>
                <w:rFonts w:hint="eastAsia" w:ascii="宋体" w:hAnsi="宋体" w:cs="宋体"/>
              </w:rPr>
              <w:t>3.桌面物品摆放整齐,清洁。</w:t>
            </w:r>
          </w:p>
          <w:p>
            <w:pPr>
              <w:spacing w:line="300" w:lineRule="exact"/>
              <w:rPr>
                <w:rFonts w:ascii="宋体" w:hAnsi="宋体" w:cs="宋体"/>
              </w:rPr>
            </w:pPr>
            <w:r>
              <w:rPr>
                <w:rFonts w:hint="eastAsia" w:ascii="宋体" w:hAnsi="宋体" w:cs="宋体"/>
              </w:rPr>
              <w:t>4.地面保持清洁干燥,防止跌倒。</w:t>
            </w:r>
          </w:p>
          <w:p>
            <w:pPr>
              <w:spacing w:line="300" w:lineRule="exact"/>
              <w:rPr>
                <w:rFonts w:ascii="宋体" w:hAnsi="宋体" w:cs="宋体"/>
              </w:rPr>
            </w:pPr>
            <w:r>
              <w:rPr>
                <w:rFonts w:hint="eastAsia" w:ascii="宋体" w:hAnsi="宋体" w:cs="宋体"/>
              </w:rPr>
              <w:t>5.床单元保持清洁、平整、干燥。</w:t>
            </w:r>
          </w:p>
          <w:p>
            <w:pPr>
              <w:spacing w:line="300" w:lineRule="exact"/>
              <w:rPr>
                <w:rFonts w:ascii="宋体" w:hAnsi="宋体" w:cs="宋体"/>
              </w:rPr>
            </w:pPr>
            <w:r>
              <w:rPr>
                <w:rFonts w:hint="eastAsia" w:ascii="宋体" w:hAnsi="宋体" w:cs="宋体"/>
              </w:rPr>
              <w:t>6.重视孕妇及家属主诉，如有特殊情况及时向护士汇报。</w:t>
            </w:r>
          </w:p>
          <w:p>
            <w:pPr>
              <w:spacing w:line="300" w:lineRule="exact"/>
              <w:rPr>
                <w:rFonts w:ascii="宋体" w:hAnsi="宋体" w:cs="宋体"/>
              </w:rPr>
            </w:pPr>
            <w:r>
              <w:rPr>
                <w:rFonts w:hint="eastAsia" w:ascii="宋体" w:hAnsi="宋体" w:cs="宋体"/>
              </w:rPr>
              <w:t>7.宣教孕妇及家属掌握母乳喂养的好处，并建立母乳喂养信心。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0" w:hRule="atLeast"/>
          <w:jc w:val="center"/>
        </w:trPr>
        <w:tc>
          <w:tcPr>
            <w:tcW w:w="864" w:type="dxa"/>
            <w:vAlign w:val="center"/>
          </w:tcPr>
          <w:p>
            <w:pPr>
              <w:spacing w:line="300" w:lineRule="exact"/>
              <w:rPr>
                <w:rFonts w:ascii="宋体" w:hAnsi="宋体" w:cs="宋体"/>
              </w:rPr>
            </w:pPr>
            <w:r>
              <w:rPr>
                <w:rFonts w:hint="eastAsia" w:ascii="宋体" w:hAnsi="宋体" w:cs="宋体"/>
              </w:rPr>
              <w:t>产妇</w:t>
            </w:r>
          </w:p>
        </w:tc>
        <w:tc>
          <w:tcPr>
            <w:tcW w:w="3760" w:type="dxa"/>
          </w:tcPr>
          <w:p>
            <w:pPr>
              <w:spacing w:line="300" w:lineRule="exact"/>
              <w:rPr>
                <w:rFonts w:ascii="宋体" w:hAnsi="宋体" w:cs="宋体"/>
              </w:rPr>
            </w:pPr>
            <w:r>
              <w:rPr>
                <w:rFonts w:hint="eastAsia" w:ascii="宋体" w:hAnsi="宋体" w:cs="宋体"/>
              </w:rPr>
              <w:t>1.所有操作前，认真执行手卫生。</w:t>
            </w:r>
          </w:p>
          <w:p>
            <w:pPr>
              <w:spacing w:line="300" w:lineRule="exact"/>
              <w:rPr>
                <w:rFonts w:ascii="宋体" w:hAnsi="宋体" w:cs="宋体"/>
              </w:rPr>
            </w:pPr>
            <w:r>
              <w:rPr>
                <w:rFonts w:hint="eastAsia" w:ascii="宋体" w:hAnsi="宋体" w:cs="宋体"/>
              </w:rPr>
              <w:t>2.协助产妇洗漱、洗头（必要时）、如厕、就餐、翻身、拍背、更衣、修剪指/趾甲、身体清洁等，帮助患者床上或下床活动，预防压力性损伤，特别是产后首次下床活动和排尿，避免跌倒。</w:t>
            </w:r>
          </w:p>
          <w:p>
            <w:pPr>
              <w:spacing w:line="300" w:lineRule="exact"/>
              <w:rPr>
                <w:rFonts w:ascii="宋体" w:hAnsi="宋体" w:cs="宋体"/>
              </w:rPr>
            </w:pPr>
            <w:r>
              <w:rPr>
                <w:rFonts w:hint="eastAsia" w:ascii="宋体" w:hAnsi="宋体" w:cs="宋体"/>
              </w:rPr>
              <w:t>3.早、中、晚整理床单元和病室，及时开窗通风，保持环境整洁，空气新鲜。协助护士做好晨间护理及医生查房的准备工作。</w:t>
            </w:r>
          </w:p>
          <w:p>
            <w:pPr>
              <w:spacing w:line="300" w:lineRule="exact"/>
              <w:rPr>
                <w:rFonts w:ascii="宋体" w:hAnsi="宋体" w:cs="宋体"/>
              </w:rPr>
            </w:pPr>
            <w:r>
              <w:rPr>
                <w:rFonts w:hint="eastAsia" w:ascii="宋体" w:hAnsi="宋体" w:cs="宋体"/>
              </w:rPr>
              <w:t>4.每天做好产妇的会阴及乳房护理，尤其是产后、术后回室时，及时给产妇清洗乳房和会阴，配合护士尽早实施早接触早吸吮早开奶。</w:t>
            </w:r>
          </w:p>
          <w:p>
            <w:pPr>
              <w:spacing w:line="300" w:lineRule="exact"/>
              <w:rPr>
                <w:rFonts w:ascii="宋体" w:hAnsi="宋体" w:cs="宋体"/>
              </w:rPr>
            </w:pPr>
            <w:r>
              <w:rPr>
                <w:rFonts w:hint="eastAsia" w:ascii="宋体" w:hAnsi="宋体" w:cs="宋体"/>
              </w:rPr>
              <w:t>5.协助母婴做好肌肤接触，指导按需哺乳。</w:t>
            </w:r>
          </w:p>
          <w:p>
            <w:pPr>
              <w:spacing w:line="300" w:lineRule="exact"/>
              <w:rPr>
                <w:rFonts w:ascii="宋体" w:hAnsi="宋体" w:cs="宋体"/>
              </w:rPr>
            </w:pPr>
            <w:r>
              <w:rPr>
                <w:rFonts w:hint="eastAsia" w:ascii="宋体" w:hAnsi="宋体" w:cs="宋体"/>
              </w:rPr>
              <w:t>6.鼓励和协助产妇母乳喂养，积极预防乳头皲裂和涨奶。</w:t>
            </w:r>
          </w:p>
          <w:p>
            <w:pPr>
              <w:spacing w:line="300" w:lineRule="exact"/>
              <w:rPr>
                <w:rFonts w:ascii="宋体" w:hAnsi="宋体" w:cs="宋体"/>
              </w:rPr>
            </w:pPr>
            <w:r>
              <w:rPr>
                <w:rFonts w:hint="eastAsia" w:ascii="宋体" w:hAnsi="宋体" w:cs="宋体"/>
              </w:rPr>
              <w:t>7.做好母婴分离产妇挤奶工作， 2~3小时协助挤奶1次，每日8~12次。</w:t>
            </w:r>
          </w:p>
          <w:p>
            <w:pPr>
              <w:spacing w:line="300" w:lineRule="exact"/>
              <w:rPr>
                <w:rFonts w:ascii="宋体" w:hAnsi="宋体" w:cs="宋体"/>
              </w:rPr>
            </w:pPr>
            <w:r>
              <w:rPr>
                <w:rFonts w:hint="eastAsia" w:ascii="宋体" w:hAnsi="宋体" w:cs="宋体"/>
              </w:rPr>
              <w:t>8. 鼓励产妇及家属建立母乳喂养信心，宣传母乳喂养好处。</w:t>
            </w:r>
          </w:p>
          <w:p>
            <w:pPr>
              <w:spacing w:line="300" w:lineRule="exact"/>
              <w:rPr>
                <w:rFonts w:ascii="宋体" w:hAnsi="宋体" w:cs="宋体"/>
              </w:rPr>
            </w:pPr>
            <w:r>
              <w:rPr>
                <w:rFonts w:hint="eastAsia" w:ascii="宋体" w:hAnsi="宋体" w:cs="宋体"/>
              </w:rPr>
              <w:t>9. 配合有关医疗护理工作。</w:t>
            </w:r>
          </w:p>
        </w:tc>
        <w:tc>
          <w:tcPr>
            <w:tcW w:w="4305" w:type="dxa"/>
          </w:tcPr>
          <w:p>
            <w:pPr>
              <w:spacing w:line="300" w:lineRule="exact"/>
              <w:rPr>
                <w:rFonts w:ascii="宋体" w:hAnsi="宋体" w:cs="宋体"/>
              </w:rPr>
            </w:pPr>
            <w:r>
              <w:rPr>
                <w:rFonts w:hint="eastAsia" w:ascii="宋体" w:hAnsi="宋体" w:cs="宋体"/>
              </w:rPr>
              <w:t>1.做到四轻(说话轻,走路轻,放东西轻,关门轻)。</w:t>
            </w:r>
          </w:p>
          <w:p>
            <w:pPr>
              <w:spacing w:line="300" w:lineRule="exact"/>
              <w:rPr>
                <w:rFonts w:ascii="宋体" w:hAnsi="宋体" w:cs="宋体"/>
              </w:rPr>
            </w:pPr>
            <w:r>
              <w:rPr>
                <w:rFonts w:hint="eastAsia" w:ascii="宋体" w:hAnsi="宋体" w:cs="宋体"/>
              </w:rPr>
              <w:t>2.避免强光噪音，避免跌倒、受凉</w:t>
            </w:r>
          </w:p>
          <w:p>
            <w:pPr>
              <w:spacing w:line="300" w:lineRule="exact"/>
              <w:rPr>
                <w:rFonts w:ascii="宋体" w:hAnsi="宋体" w:cs="宋体"/>
              </w:rPr>
            </w:pPr>
            <w:r>
              <w:rPr>
                <w:rFonts w:hint="eastAsia" w:ascii="宋体" w:hAnsi="宋体" w:cs="宋体"/>
              </w:rPr>
              <w:t>3.拉好床栏，注意产妇安全，按时巡视。</w:t>
            </w:r>
          </w:p>
          <w:p>
            <w:pPr>
              <w:spacing w:line="300" w:lineRule="exact"/>
              <w:rPr>
                <w:rFonts w:ascii="宋体" w:hAnsi="宋体" w:cs="宋体"/>
              </w:rPr>
            </w:pPr>
            <w:r>
              <w:rPr>
                <w:rFonts w:hint="eastAsia" w:ascii="宋体" w:hAnsi="宋体" w:cs="宋体"/>
              </w:rPr>
              <w:t>4.注意动作轻柔，避免损伤产妇肌肤和肢体。</w:t>
            </w:r>
          </w:p>
          <w:p>
            <w:pPr>
              <w:spacing w:line="300" w:lineRule="exact"/>
              <w:rPr>
                <w:rFonts w:ascii="宋体" w:hAnsi="宋体" w:cs="宋体"/>
              </w:rPr>
            </w:pPr>
            <w:r>
              <w:rPr>
                <w:rFonts w:hint="eastAsia" w:ascii="宋体" w:hAnsi="宋体" w:cs="宋体"/>
              </w:rPr>
              <w:t>5.产妇全身皮肤清洁完整，无破损、无压力性损伤。</w:t>
            </w:r>
          </w:p>
          <w:p>
            <w:pPr>
              <w:spacing w:line="300" w:lineRule="exact"/>
              <w:rPr>
                <w:rFonts w:ascii="宋体" w:hAnsi="宋体" w:cs="宋体"/>
              </w:rPr>
            </w:pPr>
            <w:r>
              <w:rPr>
                <w:rFonts w:hint="eastAsia" w:ascii="宋体" w:hAnsi="宋体" w:cs="宋体"/>
              </w:rPr>
              <w:t>6.重点产妇重点关注，加强巡视与生活护理。</w:t>
            </w:r>
          </w:p>
          <w:p>
            <w:pPr>
              <w:spacing w:line="300" w:lineRule="exact"/>
              <w:rPr>
                <w:rFonts w:ascii="宋体" w:hAnsi="宋体" w:cs="宋体"/>
              </w:rPr>
            </w:pPr>
            <w:r>
              <w:rPr>
                <w:rFonts w:hint="eastAsia" w:ascii="宋体" w:hAnsi="宋体" w:cs="宋体"/>
              </w:rPr>
              <w:t>7.产妇及家属掌握母乳喂养的好处及人工喂养的风险，建立母乳喂养信心。</w:t>
            </w:r>
          </w:p>
          <w:p>
            <w:pPr>
              <w:spacing w:line="300" w:lineRule="exact"/>
              <w:rPr>
                <w:rFonts w:ascii="宋体" w:hAnsi="宋体" w:cs="宋体"/>
              </w:rPr>
            </w:pPr>
          </w:p>
          <w:p>
            <w:pPr>
              <w:spacing w:line="3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6" w:hRule="atLeast"/>
          <w:jc w:val="center"/>
        </w:trPr>
        <w:tc>
          <w:tcPr>
            <w:tcW w:w="864" w:type="dxa"/>
            <w:vAlign w:val="center"/>
          </w:tcPr>
          <w:p>
            <w:pPr>
              <w:spacing w:line="300" w:lineRule="exact"/>
              <w:rPr>
                <w:rFonts w:ascii="宋体" w:hAnsi="宋体" w:cs="宋体"/>
              </w:rPr>
            </w:pPr>
            <w:r>
              <w:rPr>
                <w:rFonts w:hint="eastAsia" w:ascii="宋体" w:hAnsi="宋体" w:cs="宋体"/>
              </w:rPr>
              <w:t>新生儿</w:t>
            </w:r>
          </w:p>
        </w:tc>
        <w:tc>
          <w:tcPr>
            <w:tcW w:w="3760" w:type="dxa"/>
          </w:tcPr>
          <w:p>
            <w:pPr>
              <w:spacing w:line="300" w:lineRule="exact"/>
              <w:rPr>
                <w:rFonts w:ascii="宋体" w:hAnsi="宋体" w:cs="宋体"/>
              </w:rPr>
            </w:pPr>
            <w:r>
              <w:rPr>
                <w:rFonts w:hint="eastAsia" w:ascii="宋体" w:hAnsi="宋体" w:cs="宋体"/>
              </w:rPr>
              <w:t>1.所有操作前，认真执行手卫生。</w:t>
            </w:r>
          </w:p>
          <w:p>
            <w:pPr>
              <w:spacing w:line="300" w:lineRule="exact"/>
              <w:rPr>
                <w:rFonts w:ascii="宋体" w:hAnsi="宋体" w:cs="宋体"/>
              </w:rPr>
            </w:pPr>
            <w:r>
              <w:rPr>
                <w:rFonts w:hint="eastAsia" w:ascii="宋体" w:hAnsi="宋体" w:cs="宋体"/>
              </w:rPr>
              <w:t>2.协助新生儿回应式母乳喂养，奶后拍嗝（必要时），安抚好新生儿。</w:t>
            </w:r>
          </w:p>
          <w:p>
            <w:pPr>
              <w:spacing w:line="300" w:lineRule="exact"/>
              <w:rPr>
                <w:rFonts w:ascii="宋体" w:hAnsi="宋体" w:cs="宋体"/>
              </w:rPr>
            </w:pPr>
            <w:r>
              <w:rPr>
                <w:rFonts w:hint="eastAsia" w:ascii="宋体" w:hAnsi="宋体" w:cs="宋体"/>
              </w:rPr>
              <w:t>3.人工喂养的新生儿需根据医嘱，在护理人员指导下进行喂养，不得擅自给新生儿添加奶粉，使用奶瓶奶嘴。</w:t>
            </w:r>
          </w:p>
          <w:p>
            <w:pPr>
              <w:spacing w:line="300" w:lineRule="exact"/>
              <w:rPr>
                <w:rFonts w:ascii="宋体" w:hAnsi="宋体" w:cs="宋体"/>
              </w:rPr>
            </w:pPr>
            <w:r>
              <w:rPr>
                <w:rFonts w:hint="eastAsia" w:ascii="宋体" w:hAnsi="宋体" w:cs="宋体"/>
              </w:rPr>
              <w:t>4.按需完成新生儿臀部清洁，更换尿不湿，并观察和记录大小便情况，有异常及时汇报护士。</w:t>
            </w:r>
          </w:p>
          <w:p>
            <w:pPr>
              <w:spacing w:line="300" w:lineRule="exact"/>
              <w:rPr>
                <w:rFonts w:ascii="宋体" w:hAnsi="宋体" w:cs="宋体"/>
              </w:rPr>
            </w:pPr>
            <w:r>
              <w:rPr>
                <w:rFonts w:hint="eastAsia" w:ascii="宋体" w:hAnsi="宋体" w:cs="宋体"/>
              </w:rPr>
              <w:t>5.做好婴儿喂养用具消毒工作。</w:t>
            </w:r>
          </w:p>
          <w:p>
            <w:pPr>
              <w:spacing w:line="300" w:lineRule="exact"/>
              <w:rPr>
                <w:rFonts w:ascii="宋体" w:hAnsi="宋体" w:cs="宋体"/>
              </w:rPr>
            </w:pPr>
            <w:r>
              <w:rPr>
                <w:rFonts w:hint="eastAsia" w:ascii="宋体" w:hAnsi="宋体" w:cs="宋体"/>
              </w:rPr>
              <w:t>6.能早期识别新生儿喂养信号，及时协助做好母乳喂养。</w:t>
            </w:r>
          </w:p>
          <w:p>
            <w:pPr>
              <w:spacing w:line="300" w:lineRule="exact"/>
              <w:rPr>
                <w:rFonts w:ascii="宋体" w:hAnsi="宋体" w:cs="宋体"/>
              </w:rPr>
            </w:pPr>
            <w:r>
              <w:rPr>
                <w:rFonts w:hint="eastAsia" w:ascii="宋体" w:hAnsi="宋体" w:cs="宋体"/>
              </w:rPr>
              <w:t>7.及时配合有关的医疗及护理工作。</w:t>
            </w:r>
          </w:p>
        </w:tc>
        <w:tc>
          <w:tcPr>
            <w:tcW w:w="4305" w:type="dxa"/>
          </w:tcPr>
          <w:p>
            <w:pPr>
              <w:spacing w:line="300" w:lineRule="exact"/>
              <w:rPr>
                <w:rFonts w:ascii="宋体" w:hAnsi="宋体" w:cs="宋体"/>
              </w:rPr>
            </w:pPr>
            <w:r>
              <w:rPr>
                <w:rFonts w:hint="eastAsia" w:ascii="宋体" w:hAnsi="宋体" w:cs="宋体"/>
              </w:rPr>
              <w:t>1.新生儿全身皮肤完整、清洁。</w:t>
            </w:r>
          </w:p>
          <w:p>
            <w:pPr>
              <w:spacing w:line="300" w:lineRule="exact"/>
              <w:rPr>
                <w:rFonts w:ascii="宋体" w:hAnsi="宋体" w:cs="宋体"/>
              </w:rPr>
            </w:pPr>
            <w:r>
              <w:rPr>
                <w:rFonts w:hint="eastAsia" w:ascii="宋体" w:hAnsi="宋体" w:cs="宋体"/>
              </w:rPr>
              <w:t xml:space="preserve">2.新生儿喂养情况良好。 </w:t>
            </w:r>
          </w:p>
          <w:p>
            <w:pPr>
              <w:spacing w:line="300" w:lineRule="exact"/>
              <w:rPr>
                <w:rFonts w:ascii="宋体" w:hAnsi="宋体" w:cs="宋体"/>
              </w:rPr>
            </w:pPr>
            <w:r>
              <w:rPr>
                <w:rFonts w:hint="eastAsia" w:ascii="宋体" w:hAnsi="宋体" w:cs="宋体"/>
              </w:rPr>
              <w:t>3.新生儿情绪稳定无哭闹。</w:t>
            </w:r>
          </w:p>
        </w:tc>
      </w:tr>
    </w:tbl>
    <w:p>
      <w:pPr>
        <w:pStyle w:val="2"/>
      </w:pPr>
    </w:p>
    <w:p>
      <w:pPr>
        <w:ind w:firstLine="482" w:firstLineChars="200"/>
        <w:rPr>
          <w:b/>
          <w:bCs/>
          <w:color w:val="000000"/>
          <w:sz w:val="24"/>
          <w:szCs w:val="24"/>
          <w14:textFill>
            <w14:gradFill>
              <w14:gsLst>
                <w14:gs w14:pos="0">
                  <w14:srgbClr w14:val="007BD3"/>
                </w14:gs>
                <w14:gs w14:pos="100000">
                  <w14:srgbClr w14:val="034373"/>
                </w14:gs>
              </w14:gsLst>
              <w14:lin w14:ang="0" w14:scaled="0"/>
            </w14:gradFill>
          </w14:textFill>
        </w:rPr>
      </w:pPr>
      <w:r>
        <w:rPr>
          <w:rFonts w:hint="eastAsia" w:ascii="宋体" w:hAnsi="宋体" w:cs="宋体"/>
          <w:b/>
          <w:bCs/>
          <w:sz w:val="24"/>
          <w:szCs w:val="24"/>
        </w:rPr>
        <w:t>3.2护理员生活照护工作内容及流程（标准）</w:t>
      </w:r>
    </w:p>
    <w:tbl>
      <w:tblPr>
        <w:tblStyle w:val="51"/>
        <w:tblpPr w:leftFromText="180" w:rightFromText="180" w:vertAnchor="text" w:horzAnchor="page" w:tblpX="1361" w:tblpY="265"/>
        <w:tblOverlap w:val="never"/>
        <w:tblW w:w="9360" w:type="dxa"/>
        <w:tblInd w:w="0" w:type="dxa"/>
        <w:tblLayout w:type="autofit"/>
        <w:tblCellMar>
          <w:top w:w="0" w:type="dxa"/>
          <w:left w:w="108" w:type="dxa"/>
          <w:bottom w:w="0" w:type="dxa"/>
          <w:right w:w="108" w:type="dxa"/>
        </w:tblCellMar>
      </w:tblPr>
      <w:tblGrid>
        <w:gridCol w:w="900"/>
        <w:gridCol w:w="3600"/>
        <w:gridCol w:w="1260"/>
        <w:gridCol w:w="3600"/>
      </w:tblGrid>
      <w:tr>
        <w:tblPrEx>
          <w:tblCellMar>
            <w:top w:w="0" w:type="dxa"/>
            <w:left w:w="108" w:type="dxa"/>
            <w:bottom w:w="0" w:type="dxa"/>
            <w:right w:w="108" w:type="dxa"/>
          </w:tblCellMar>
        </w:tblPrEx>
        <w:trPr>
          <w:trHeight w:val="615" w:hRule="atLeast"/>
        </w:trPr>
        <w:tc>
          <w:tcPr>
            <w:tcW w:w="936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kern w:val="0"/>
                <w:sz w:val="36"/>
                <w:szCs w:val="36"/>
              </w:rPr>
            </w:pPr>
            <w:r>
              <w:rPr>
                <w:rFonts w:hint="eastAsia" w:ascii="宋体" w:hAnsi="宋体" w:cs="宋体"/>
                <w:b/>
                <w:bCs/>
                <w:kern w:val="0"/>
                <w:sz w:val="24"/>
                <w:szCs w:val="24"/>
              </w:rPr>
              <w:t>产科护理员每日工作流程</w:t>
            </w:r>
          </w:p>
        </w:tc>
      </w:tr>
      <w:tr>
        <w:tblPrEx>
          <w:tblCellMar>
            <w:top w:w="0" w:type="dxa"/>
            <w:left w:w="108" w:type="dxa"/>
            <w:bottom w:w="0" w:type="dxa"/>
            <w:right w:w="108" w:type="dxa"/>
          </w:tblCellMar>
        </w:tblPrEx>
        <w:trPr>
          <w:trHeight w:val="450" w:hRule="atLeast"/>
        </w:trPr>
        <w:tc>
          <w:tcPr>
            <w:tcW w:w="900" w:type="dxa"/>
            <w:tcBorders>
              <w:top w:val="single" w:color="auto" w:sz="4" w:space="0"/>
              <w:left w:val="single" w:color="auto" w:sz="8" w:space="0"/>
              <w:bottom w:val="single" w:color="auto" w:sz="8" w:space="0"/>
              <w:right w:val="single" w:color="auto" w:sz="8" w:space="0"/>
            </w:tcBorders>
            <w:vAlign w:val="center"/>
          </w:tcPr>
          <w:p>
            <w:pPr>
              <w:widowControl/>
              <w:spacing w:line="240" w:lineRule="exact"/>
              <w:jc w:val="center"/>
              <w:rPr>
                <w:rFonts w:ascii="宋体" w:hAnsi="宋体" w:cs="宋体"/>
                <w:b/>
                <w:bCs/>
                <w:kern w:val="0"/>
              </w:rPr>
            </w:pPr>
            <w:r>
              <w:rPr>
                <w:rFonts w:hint="eastAsia" w:ascii="宋体" w:hAnsi="宋体" w:cs="宋体"/>
                <w:b/>
                <w:bCs/>
                <w:kern w:val="0"/>
              </w:rPr>
              <w:t>时间</w:t>
            </w:r>
          </w:p>
        </w:tc>
        <w:tc>
          <w:tcPr>
            <w:tcW w:w="3600" w:type="dxa"/>
            <w:tcBorders>
              <w:top w:val="single" w:color="auto" w:sz="4" w:space="0"/>
              <w:left w:val="nil"/>
              <w:bottom w:val="single" w:color="auto" w:sz="8" w:space="0"/>
              <w:right w:val="single" w:color="auto" w:sz="8" w:space="0"/>
            </w:tcBorders>
            <w:vAlign w:val="center"/>
          </w:tcPr>
          <w:p>
            <w:pPr>
              <w:widowControl/>
              <w:spacing w:line="240" w:lineRule="exact"/>
              <w:jc w:val="center"/>
              <w:rPr>
                <w:rFonts w:ascii="宋体" w:hAnsi="宋体" w:cs="宋体"/>
                <w:b/>
                <w:bCs/>
                <w:kern w:val="0"/>
              </w:rPr>
            </w:pPr>
            <w:r>
              <w:rPr>
                <w:rFonts w:hint="eastAsia" w:ascii="宋体" w:hAnsi="宋体" w:cs="宋体"/>
                <w:b/>
                <w:bCs/>
                <w:kern w:val="0"/>
              </w:rPr>
              <w:t>工作内容</w:t>
            </w:r>
          </w:p>
        </w:tc>
        <w:tc>
          <w:tcPr>
            <w:tcW w:w="1260" w:type="dxa"/>
            <w:tcBorders>
              <w:top w:val="single" w:color="auto" w:sz="4" w:space="0"/>
              <w:left w:val="nil"/>
              <w:bottom w:val="single" w:color="auto" w:sz="8" w:space="0"/>
              <w:right w:val="single" w:color="auto" w:sz="8" w:space="0"/>
            </w:tcBorders>
            <w:vAlign w:val="center"/>
          </w:tcPr>
          <w:p>
            <w:pPr>
              <w:widowControl/>
              <w:spacing w:line="240" w:lineRule="exact"/>
              <w:jc w:val="center"/>
              <w:rPr>
                <w:rFonts w:ascii="宋体" w:hAnsi="宋体" w:cs="宋体"/>
                <w:b/>
                <w:bCs/>
                <w:kern w:val="0"/>
              </w:rPr>
            </w:pPr>
            <w:r>
              <w:rPr>
                <w:rFonts w:hint="eastAsia" w:ascii="宋体" w:hAnsi="宋体" w:cs="宋体"/>
                <w:b/>
                <w:bCs/>
                <w:kern w:val="0"/>
              </w:rPr>
              <w:t>时间</w:t>
            </w:r>
          </w:p>
        </w:tc>
        <w:tc>
          <w:tcPr>
            <w:tcW w:w="3600" w:type="dxa"/>
            <w:tcBorders>
              <w:top w:val="single" w:color="auto" w:sz="4" w:space="0"/>
              <w:left w:val="nil"/>
              <w:bottom w:val="single" w:color="auto" w:sz="8" w:space="0"/>
              <w:right w:val="single" w:color="auto" w:sz="8" w:space="0"/>
            </w:tcBorders>
            <w:vAlign w:val="center"/>
          </w:tcPr>
          <w:p>
            <w:pPr>
              <w:widowControl/>
              <w:spacing w:line="240" w:lineRule="exact"/>
              <w:jc w:val="center"/>
              <w:rPr>
                <w:rFonts w:ascii="宋体" w:hAnsi="宋体" w:cs="宋体"/>
                <w:b/>
                <w:bCs/>
                <w:kern w:val="0"/>
              </w:rPr>
            </w:pPr>
            <w:r>
              <w:rPr>
                <w:rFonts w:hint="eastAsia" w:ascii="宋体" w:hAnsi="宋体" w:cs="宋体"/>
                <w:b/>
                <w:bCs/>
                <w:kern w:val="0"/>
              </w:rPr>
              <w:t>工作内容</w:t>
            </w:r>
          </w:p>
        </w:tc>
      </w:tr>
      <w:tr>
        <w:tblPrEx>
          <w:tblCellMar>
            <w:top w:w="0" w:type="dxa"/>
            <w:left w:w="108" w:type="dxa"/>
            <w:bottom w:w="0" w:type="dxa"/>
            <w:right w:w="108" w:type="dxa"/>
          </w:tblCellMar>
        </w:tblPrEx>
        <w:trPr>
          <w:trHeight w:val="450" w:hRule="atLeast"/>
        </w:trPr>
        <w:tc>
          <w:tcPr>
            <w:tcW w:w="900" w:type="dxa"/>
            <w:vMerge w:val="restart"/>
            <w:tcBorders>
              <w:top w:val="nil"/>
              <w:left w:val="single" w:color="auto" w:sz="8" w:space="0"/>
              <w:right w:val="single" w:color="auto" w:sz="8" w:space="0"/>
            </w:tcBorders>
            <w:vAlign w:val="center"/>
          </w:tcPr>
          <w:p>
            <w:pPr>
              <w:spacing w:line="240" w:lineRule="exact"/>
              <w:jc w:val="center"/>
              <w:rPr>
                <w:rFonts w:ascii="宋体" w:hAnsi="宋体"/>
                <w:kern w:val="0"/>
              </w:rPr>
            </w:pPr>
            <w:r>
              <w:rPr>
                <w:rFonts w:ascii="宋体" w:hAnsi="宋体"/>
                <w:kern w:val="0"/>
              </w:rPr>
              <w:t>6:30               ~                7:30</w:t>
            </w: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床边交接班、了解母婴情况</w:t>
            </w:r>
          </w:p>
        </w:tc>
        <w:tc>
          <w:tcPr>
            <w:tcW w:w="1260" w:type="dxa"/>
            <w:vMerge w:val="restart"/>
            <w:tcBorders>
              <w:top w:val="nil"/>
              <w:left w:val="single" w:color="auto" w:sz="8" w:space="0"/>
              <w:right w:val="single" w:color="auto" w:sz="8" w:space="0"/>
            </w:tcBorders>
            <w:vAlign w:val="center"/>
          </w:tcPr>
          <w:p>
            <w:pPr>
              <w:spacing w:line="240" w:lineRule="exact"/>
              <w:jc w:val="center"/>
              <w:rPr>
                <w:rFonts w:ascii="宋体" w:hAnsi="宋体"/>
                <w:kern w:val="0"/>
              </w:rPr>
            </w:pPr>
            <w:r>
              <w:rPr>
                <w:rFonts w:ascii="宋体" w:hAnsi="宋体"/>
                <w:kern w:val="0"/>
              </w:rPr>
              <w:t>14:00</w:t>
            </w:r>
          </w:p>
          <w:p>
            <w:pPr>
              <w:spacing w:line="240" w:lineRule="exact"/>
              <w:ind w:firstLine="210" w:firstLineChars="100"/>
              <w:jc w:val="center"/>
              <w:rPr>
                <w:rFonts w:ascii="宋体" w:hAnsi="宋体"/>
                <w:kern w:val="0"/>
              </w:rPr>
            </w:pPr>
            <w:r>
              <w:rPr>
                <w:rFonts w:ascii="宋体" w:hAnsi="宋体"/>
                <w:kern w:val="0"/>
              </w:rPr>
              <w:t>~       16:30</w:t>
            </w: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协助产妇治疗、护理</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vAlign w:val="center"/>
          </w:tcPr>
          <w:p>
            <w:pPr>
              <w:widowControl/>
              <w:spacing w:line="240" w:lineRule="exact"/>
              <w:jc w:val="center"/>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打开水</w:t>
            </w:r>
          </w:p>
        </w:tc>
        <w:tc>
          <w:tcPr>
            <w:tcW w:w="1260" w:type="dxa"/>
            <w:vMerge w:val="continue"/>
            <w:tcBorders>
              <w:left w:val="single" w:color="auto" w:sz="8" w:space="0"/>
              <w:right w:val="single" w:color="auto" w:sz="8" w:space="0"/>
            </w:tcBorders>
            <w:vAlign w:val="center"/>
          </w:tcPr>
          <w:p>
            <w:pPr>
              <w:widowControl/>
              <w:spacing w:line="240" w:lineRule="exact"/>
              <w:jc w:val="center"/>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侧面开窗通风</w:t>
            </w:r>
            <w:r>
              <w:rPr>
                <w:rFonts w:ascii="宋体" w:hAnsi="宋体"/>
                <w:kern w:val="0"/>
              </w:rPr>
              <w:t>15~30</w:t>
            </w:r>
            <w:r>
              <w:rPr>
                <w:rFonts w:hint="eastAsia" w:ascii="宋体" w:hAnsi="宋体" w:cs="宋体"/>
                <w:kern w:val="0"/>
              </w:rPr>
              <w:t>分钟</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vAlign w:val="center"/>
          </w:tcPr>
          <w:p>
            <w:pPr>
              <w:widowControl/>
              <w:spacing w:line="240" w:lineRule="exact"/>
              <w:jc w:val="center"/>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协助产妇漱口、刷牙、洗脸、洗手、梳头</w:t>
            </w:r>
          </w:p>
        </w:tc>
        <w:tc>
          <w:tcPr>
            <w:tcW w:w="1260" w:type="dxa"/>
            <w:vMerge w:val="continue"/>
            <w:tcBorders>
              <w:left w:val="single" w:color="auto" w:sz="8" w:space="0"/>
              <w:right w:val="single" w:color="auto" w:sz="8" w:space="0"/>
            </w:tcBorders>
            <w:vAlign w:val="center"/>
          </w:tcPr>
          <w:p>
            <w:pPr>
              <w:widowControl/>
              <w:spacing w:line="240" w:lineRule="exact"/>
              <w:jc w:val="center"/>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观察产妇恶露以及泌乳情况</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协助产妇大小便（必要时擦身换衣、协助清洗会阴））</w:t>
            </w:r>
          </w:p>
        </w:tc>
        <w:tc>
          <w:tcPr>
            <w:tcW w:w="126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协助指导产妇乳房按摩，吸奶或挤奶</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协助新生儿哺乳，换尿布</w:t>
            </w:r>
          </w:p>
        </w:tc>
        <w:tc>
          <w:tcPr>
            <w:tcW w:w="126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协助新生儿哺乳，换尿布</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侧面开窗通风</w:t>
            </w:r>
            <w:r>
              <w:rPr>
                <w:rFonts w:ascii="宋体" w:hAnsi="宋体" w:cs="宋体"/>
                <w:kern w:val="0"/>
              </w:rPr>
              <w:t>15</w:t>
            </w:r>
            <w:r>
              <w:rPr>
                <w:rFonts w:ascii="宋体" w:hAnsi="宋体"/>
                <w:kern w:val="0"/>
              </w:rPr>
              <w:t>~</w:t>
            </w:r>
            <w:r>
              <w:rPr>
                <w:rFonts w:ascii="宋体" w:hAnsi="宋体" w:cs="宋体"/>
                <w:kern w:val="0"/>
              </w:rPr>
              <w:t>30</w:t>
            </w:r>
            <w:r>
              <w:rPr>
                <w:rFonts w:hint="eastAsia" w:ascii="宋体" w:hAnsi="宋体" w:cs="宋体"/>
                <w:kern w:val="0"/>
              </w:rPr>
              <w:t>分钟</w:t>
            </w:r>
          </w:p>
        </w:tc>
        <w:tc>
          <w:tcPr>
            <w:tcW w:w="126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协助产后康复锻炼</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清洗、消毒奶具</w:t>
            </w:r>
          </w:p>
        </w:tc>
        <w:tc>
          <w:tcPr>
            <w:tcW w:w="126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协助产妇擦身、洗脚、沐浴、更衣（注意保护病人隐私和保暖</w:t>
            </w:r>
            <w:r>
              <w:rPr>
                <w:rFonts w:ascii="宋体" w:hAnsi="宋体" w:cs="宋体"/>
                <w:kern w:val="0"/>
              </w:rPr>
              <w:t>）</w:t>
            </w:r>
          </w:p>
        </w:tc>
      </w:tr>
      <w:tr>
        <w:trPr>
          <w:trHeight w:val="450" w:hRule="atLeast"/>
        </w:trPr>
        <w:tc>
          <w:tcPr>
            <w:tcW w:w="90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协助产妇洗手</w:t>
            </w:r>
          </w:p>
        </w:tc>
        <w:tc>
          <w:tcPr>
            <w:tcW w:w="126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整理床单元</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协助产妇进餐</w:t>
            </w:r>
          </w:p>
        </w:tc>
        <w:tc>
          <w:tcPr>
            <w:tcW w:w="126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及时协助产妇大小便</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p>
        </w:tc>
        <w:tc>
          <w:tcPr>
            <w:tcW w:w="126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定时巡视解决母婴所需</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p>
        </w:tc>
        <w:tc>
          <w:tcPr>
            <w:tcW w:w="1260" w:type="dxa"/>
            <w:vMerge w:val="continue"/>
            <w:tcBorders>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发现异常及时联系护士</w:t>
            </w:r>
          </w:p>
        </w:tc>
      </w:tr>
      <w:tr>
        <w:tblPrEx>
          <w:tblCellMar>
            <w:top w:w="0" w:type="dxa"/>
            <w:left w:w="108" w:type="dxa"/>
            <w:bottom w:w="0" w:type="dxa"/>
            <w:right w:w="108" w:type="dxa"/>
          </w:tblCellMar>
        </w:tblPrEx>
        <w:trPr>
          <w:trHeight w:val="450" w:hRule="atLeast"/>
        </w:trPr>
        <w:tc>
          <w:tcPr>
            <w:tcW w:w="900" w:type="dxa"/>
            <w:vMerge w:val="restart"/>
            <w:tcBorders>
              <w:top w:val="nil"/>
              <w:left w:val="single" w:color="auto" w:sz="8" w:space="0"/>
              <w:bottom w:val="single" w:color="auto" w:sz="8" w:space="0"/>
              <w:right w:val="single" w:color="auto" w:sz="8" w:space="0"/>
            </w:tcBorders>
            <w:vAlign w:val="center"/>
          </w:tcPr>
          <w:p>
            <w:pPr>
              <w:widowControl/>
              <w:spacing w:line="240" w:lineRule="exact"/>
              <w:jc w:val="center"/>
              <w:rPr>
                <w:rFonts w:ascii="宋体" w:hAnsi="宋体"/>
                <w:kern w:val="0"/>
              </w:rPr>
            </w:pPr>
            <w:r>
              <w:rPr>
                <w:rFonts w:ascii="宋体" w:hAnsi="宋体"/>
                <w:kern w:val="0"/>
              </w:rPr>
              <w:t>7:30         ~         8:00</w:t>
            </w: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协助产妇服药</w:t>
            </w:r>
          </w:p>
        </w:tc>
        <w:tc>
          <w:tcPr>
            <w:tcW w:w="1260" w:type="dxa"/>
            <w:vMerge w:val="restart"/>
            <w:tcBorders>
              <w:top w:val="nil"/>
              <w:left w:val="single" w:color="auto" w:sz="8" w:space="0"/>
              <w:bottom w:val="single" w:color="auto" w:sz="8" w:space="0"/>
              <w:right w:val="single" w:color="auto" w:sz="8" w:space="0"/>
            </w:tcBorders>
            <w:vAlign w:val="center"/>
          </w:tcPr>
          <w:p>
            <w:pPr>
              <w:widowControl/>
              <w:spacing w:line="240" w:lineRule="exact"/>
              <w:jc w:val="center"/>
              <w:rPr>
                <w:rFonts w:ascii="宋体" w:hAnsi="宋体"/>
                <w:kern w:val="0"/>
              </w:rPr>
            </w:pPr>
            <w:r>
              <w:rPr>
                <w:rFonts w:ascii="宋体" w:hAnsi="宋体"/>
                <w:kern w:val="0"/>
              </w:rPr>
              <w:t>16:30       ~       18:00</w:t>
            </w: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协助产妇洗手</w:t>
            </w: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rPr>
              <w:t>床单元及房间环境整理</w:t>
            </w:r>
          </w:p>
        </w:tc>
        <w:tc>
          <w:tcPr>
            <w:tcW w:w="1260" w:type="dxa"/>
            <w:vMerge w:val="continue"/>
            <w:tcBorders>
              <w:top w:val="nil"/>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协助产妇进餐</w:t>
            </w: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协助护士做晨间护理</w:t>
            </w:r>
          </w:p>
        </w:tc>
        <w:tc>
          <w:tcPr>
            <w:tcW w:w="1260" w:type="dxa"/>
            <w:vMerge w:val="continue"/>
            <w:tcBorders>
              <w:top w:val="nil"/>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协助产妇服药</w:t>
            </w:r>
          </w:p>
        </w:tc>
      </w:tr>
      <w:tr>
        <w:tblPrEx>
          <w:tblCellMar>
            <w:top w:w="0" w:type="dxa"/>
            <w:left w:w="108" w:type="dxa"/>
            <w:bottom w:w="0" w:type="dxa"/>
            <w:right w:w="108" w:type="dxa"/>
          </w:tblCellMar>
        </w:tblPrEx>
        <w:trPr>
          <w:trHeight w:val="450" w:hRule="atLeast"/>
        </w:trPr>
        <w:tc>
          <w:tcPr>
            <w:tcW w:w="900" w:type="dxa"/>
            <w:vMerge w:val="restart"/>
            <w:tcBorders>
              <w:top w:val="nil"/>
              <w:left w:val="single" w:color="auto" w:sz="8" w:space="0"/>
              <w:bottom w:val="single" w:color="auto" w:sz="8" w:space="0"/>
              <w:right w:val="single" w:color="auto" w:sz="8" w:space="0"/>
            </w:tcBorders>
            <w:vAlign w:val="center"/>
          </w:tcPr>
          <w:p>
            <w:pPr>
              <w:widowControl/>
              <w:spacing w:line="240" w:lineRule="exact"/>
              <w:jc w:val="center"/>
              <w:rPr>
                <w:rFonts w:ascii="宋体" w:hAnsi="宋体"/>
                <w:kern w:val="0"/>
              </w:rPr>
            </w:pPr>
            <w:r>
              <w:rPr>
                <w:rFonts w:ascii="宋体" w:hAnsi="宋体"/>
                <w:kern w:val="0"/>
              </w:rPr>
              <w:t>8:00         ~       10:30</w:t>
            </w: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参于护士床边交接病人</w:t>
            </w:r>
          </w:p>
        </w:tc>
        <w:tc>
          <w:tcPr>
            <w:tcW w:w="1260" w:type="dxa"/>
            <w:vMerge w:val="continue"/>
            <w:tcBorders>
              <w:top w:val="nil"/>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观察产妇恶露以及泌乳情况</w:t>
            </w:r>
          </w:p>
        </w:tc>
        <w:tc>
          <w:tcPr>
            <w:tcW w:w="1260" w:type="dxa"/>
            <w:vMerge w:val="continue"/>
            <w:tcBorders>
              <w:top w:val="nil"/>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安抚病人卧床，协助查房治疗</w:t>
            </w:r>
          </w:p>
        </w:tc>
        <w:tc>
          <w:tcPr>
            <w:tcW w:w="1260" w:type="dxa"/>
            <w:vMerge w:val="restart"/>
            <w:tcBorders>
              <w:top w:val="nil"/>
              <w:left w:val="single" w:color="auto" w:sz="8" w:space="0"/>
              <w:right w:val="single" w:color="auto" w:sz="8" w:space="0"/>
            </w:tcBorders>
            <w:vAlign w:val="center"/>
          </w:tcPr>
          <w:p>
            <w:pPr>
              <w:spacing w:line="240" w:lineRule="exact"/>
              <w:jc w:val="center"/>
              <w:rPr>
                <w:rFonts w:ascii="宋体" w:hAnsi="宋体"/>
                <w:kern w:val="0"/>
              </w:rPr>
            </w:pPr>
            <w:r>
              <w:rPr>
                <w:rFonts w:ascii="宋体" w:hAnsi="宋体"/>
                <w:kern w:val="0"/>
              </w:rPr>
              <w:t>18:00</w:t>
            </w:r>
          </w:p>
          <w:p>
            <w:pPr>
              <w:spacing w:line="240" w:lineRule="exact"/>
              <w:jc w:val="center"/>
              <w:rPr>
                <w:rFonts w:ascii="宋体" w:hAnsi="宋体"/>
                <w:kern w:val="0"/>
              </w:rPr>
            </w:pPr>
            <w:r>
              <w:rPr>
                <w:rFonts w:ascii="宋体" w:hAnsi="宋体"/>
                <w:kern w:val="0"/>
              </w:rPr>
              <w:t xml:space="preserve">  ~       20:00</w:t>
            </w:r>
          </w:p>
          <w:p>
            <w:pPr>
              <w:spacing w:line="240" w:lineRule="exact"/>
              <w:jc w:val="center"/>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整理病房准备交接班</w:t>
            </w: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协助指导产妇乳房按摩，吸奶或挤奶</w:t>
            </w:r>
          </w:p>
        </w:tc>
        <w:tc>
          <w:tcPr>
            <w:tcW w:w="1260" w:type="dxa"/>
            <w:vMerge w:val="continue"/>
            <w:tcBorders>
              <w:left w:val="single" w:color="auto" w:sz="8" w:space="0"/>
              <w:right w:val="single" w:color="auto" w:sz="8" w:space="0"/>
            </w:tcBorders>
            <w:vAlign w:val="center"/>
          </w:tcPr>
          <w:p>
            <w:pPr>
              <w:widowControl/>
              <w:spacing w:line="240" w:lineRule="exact"/>
              <w:jc w:val="center"/>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参于护士床边交接病人</w:t>
            </w: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协助新生儿哺乳，换尿布</w:t>
            </w:r>
          </w:p>
        </w:tc>
        <w:tc>
          <w:tcPr>
            <w:tcW w:w="126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协助产妇大小便（必要时协助清洗会阴）</w:t>
            </w: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及时协助产妇大小便</w:t>
            </w:r>
          </w:p>
        </w:tc>
        <w:tc>
          <w:tcPr>
            <w:tcW w:w="126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协助新生儿哺乳，换尿布</w:t>
            </w: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保持病房整洁</w:t>
            </w:r>
          </w:p>
        </w:tc>
        <w:tc>
          <w:tcPr>
            <w:tcW w:w="126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协助产妇漱口、刷牙、洗脸、洗手准备休息</w:t>
            </w: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定时巡视解决母婴所需</w:t>
            </w:r>
          </w:p>
        </w:tc>
        <w:tc>
          <w:tcPr>
            <w:tcW w:w="126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安置好床旁护栏，注意安全</w:t>
            </w:r>
          </w:p>
        </w:tc>
      </w:tr>
      <w:tr>
        <w:tblPrEx>
          <w:tblCellMar>
            <w:top w:w="0" w:type="dxa"/>
            <w:left w:w="108" w:type="dxa"/>
            <w:bottom w:w="0" w:type="dxa"/>
            <w:right w:w="108" w:type="dxa"/>
          </w:tblCellMar>
        </w:tblPrEx>
        <w:trPr>
          <w:trHeight w:val="450" w:hRule="atLeast"/>
        </w:trPr>
        <w:tc>
          <w:tcPr>
            <w:tcW w:w="900" w:type="dxa"/>
            <w:vMerge w:val="continue"/>
            <w:tcBorders>
              <w:top w:val="nil"/>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发现异常及时联系护士</w:t>
            </w:r>
          </w:p>
        </w:tc>
        <w:tc>
          <w:tcPr>
            <w:tcW w:w="1260" w:type="dxa"/>
            <w:vMerge w:val="continue"/>
            <w:tcBorders>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保持病房安静</w:t>
            </w:r>
          </w:p>
        </w:tc>
      </w:tr>
      <w:tr>
        <w:tblPrEx>
          <w:tblCellMar>
            <w:top w:w="0" w:type="dxa"/>
            <w:left w:w="108" w:type="dxa"/>
            <w:bottom w:w="0" w:type="dxa"/>
            <w:right w:w="108" w:type="dxa"/>
          </w:tblCellMar>
        </w:tblPrEx>
        <w:trPr>
          <w:trHeight w:val="450" w:hRule="atLeast"/>
        </w:trPr>
        <w:tc>
          <w:tcPr>
            <w:tcW w:w="900" w:type="dxa"/>
            <w:vMerge w:val="restart"/>
            <w:tcBorders>
              <w:top w:val="nil"/>
              <w:left w:val="single" w:color="auto" w:sz="8" w:space="0"/>
              <w:right w:val="single" w:color="auto" w:sz="8" w:space="0"/>
            </w:tcBorders>
            <w:vAlign w:val="center"/>
          </w:tcPr>
          <w:p>
            <w:pPr>
              <w:widowControl/>
              <w:spacing w:line="240" w:lineRule="exact"/>
              <w:jc w:val="center"/>
              <w:rPr>
                <w:rFonts w:ascii="宋体" w:hAnsi="宋体"/>
                <w:kern w:val="0"/>
              </w:rPr>
            </w:pPr>
            <w:r>
              <w:rPr>
                <w:rFonts w:ascii="宋体" w:hAnsi="宋体"/>
                <w:kern w:val="0"/>
              </w:rPr>
              <w:t>10:30       ~       14:00</w:t>
            </w: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协助产妇洗手</w:t>
            </w:r>
          </w:p>
        </w:tc>
        <w:tc>
          <w:tcPr>
            <w:tcW w:w="1260" w:type="dxa"/>
            <w:vMerge w:val="restart"/>
            <w:tcBorders>
              <w:top w:val="single" w:color="auto" w:sz="8" w:space="0"/>
              <w:left w:val="single" w:color="auto" w:sz="8" w:space="0"/>
              <w:right w:val="single" w:color="auto" w:sz="8" w:space="0"/>
            </w:tcBorders>
            <w:vAlign w:val="center"/>
          </w:tcPr>
          <w:p>
            <w:pPr>
              <w:widowControl/>
              <w:spacing w:line="240" w:lineRule="exact"/>
              <w:jc w:val="center"/>
              <w:rPr>
                <w:rFonts w:ascii="宋体" w:hAnsi="宋体"/>
                <w:kern w:val="0"/>
              </w:rPr>
            </w:pPr>
            <w:r>
              <w:rPr>
                <w:rFonts w:hint="eastAsia" w:ascii="宋体" w:hAnsi="宋体"/>
                <w:kern w:val="0"/>
              </w:rPr>
              <w:t>20</w:t>
            </w:r>
            <w:r>
              <w:rPr>
                <w:rFonts w:ascii="宋体" w:hAnsi="宋体"/>
                <w:kern w:val="0"/>
              </w:rPr>
              <w:t xml:space="preserve">:00       ~       </w:t>
            </w:r>
            <w:r>
              <w:rPr>
                <w:rFonts w:hint="eastAsia" w:ascii="宋体" w:hAnsi="宋体"/>
                <w:kern w:val="0"/>
              </w:rPr>
              <w:t>06</w:t>
            </w:r>
            <w:r>
              <w:rPr>
                <w:rFonts w:ascii="宋体" w:hAnsi="宋体"/>
                <w:kern w:val="0"/>
              </w:rPr>
              <w:t>:00</w:t>
            </w: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保持病人合适体位</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协助产妇进餐</w:t>
            </w:r>
          </w:p>
        </w:tc>
        <w:tc>
          <w:tcPr>
            <w:tcW w:w="1260" w:type="dxa"/>
            <w:vMerge w:val="continue"/>
            <w:tcBorders>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及时协助产妇大小便</w:t>
            </w:r>
          </w:p>
        </w:tc>
      </w:tr>
      <w:tr>
        <w:tblPrEx>
          <w:tblCellMar>
            <w:top w:w="0" w:type="dxa"/>
            <w:left w:w="108" w:type="dxa"/>
            <w:bottom w:w="0" w:type="dxa"/>
            <w:right w:w="108" w:type="dxa"/>
          </w:tblCellMar>
        </w:tblPrEx>
        <w:trPr>
          <w:trHeight w:val="450" w:hRule="atLeast"/>
        </w:trPr>
        <w:tc>
          <w:tcPr>
            <w:tcW w:w="900" w:type="dxa"/>
            <w:vMerge w:val="continue"/>
            <w:tcBorders>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p>
        </w:tc>
        <w:tc>
          <w:tcPr>
            <w:tcW w:w="1260" w:type="dxa"/>
            <w:vMerge w:val="continue"/>
            <w:tcBorders>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nil"/>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协助新生儿哺乳，换尿布</w:t>
            </w:r>
          </w:p>
        </w:tc>
      </w:tr>
      <w:tr>
        <w:tblPrEx>
          <w:tblCellMar>
            <w:top w:w="0" w:type="dxa"/>
            <w:left w:w="108" w:type="dxa"/>
            <w:bottom w:w="0" w:type="dxa"/>
            <w:right w:w="108" w:type="dxa"/>
          </w:tblCellMar>
        </w:tblPrEx>
        <w:trPr>
          <w:trHeight w:val="450" w:hRule="atLeast"/>
        </w:trPr>
        <w:tc>
          <w:tcPr>
            <w:tcW w:w="900"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single" w:color="auto" w:sz="8" w:space="0"/>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协助产妇漱口服药</w:t>
            </w:r>
          </w:p>
        </w:tc>
        <w:tc>
          <w:tcPr>
            <w:tcW w:w="1260" w:type="dxa"/>
            <w:vMerge w:val="restart"/>
            <w:tcBorders>
              <w:top w:val="single" w:color="auto" w:sz="8" w:space="0"/>
              <w:left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single" w:color="auto" w:sz="8" w:space="0"/>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定时巡视解决母婴所需</w:t>
            </w:r>
          </w:p>
        </w:tc>
      </w:tr>
      <w:tr>
        <w:tblPrEx>
          <w:tblCellMar>
            <w:top w:w="0" w:type="dxa"/>
            <w:left w:w="108" w:type="dxa"/>
            <w:bottom w:w="0" w:type="dxa"/>
            <w:right w:w="108" w:type="dxa"/>
          </w:tblCellMar>
        </w:tblPrEx>
        <w:trPr>
          <w:trHeight w:val="450" w:hRule="atLeast"/>
        </w:trPr>
        <w:tc>
          <w:tcPr>
            <w:tcW w:w="90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single" w:color="auto" w:sz="8" w:space="0"/>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安置产妇午休</w:t>
            </w:r>
          </w:p>
        </w:tc>
        <w:tc>
          <w:tcPr>
            <w:tcW w:w="1260" w:type="dxa"/>
            <w:vMerge w:val="continue"/>
            <w:tcBorders>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single" w:color="auto" w:sz="8" w:space="0"/>
              <w:left w:val="nil"/>
              <w:bottom w:val="single" w:color="auto" w:sz="8" w:space="0"/>
              <w:right w:val="single" w:color="auto" w:sz="8" w:space="0"/>
            </w:tcBorders>
            <w:noWrap/>
            <w:vAlign w:val="center"/>
          </w:tcPr>
          <w:p>
            <w:pPr>
              <w:widowControl/>
              <w:spacing w:line="240" w:lineRule="exact"/>
              <w:jc w:val="left"/>
              <w:rPr>
                <w:rFonts w:ascii="宋体" w:hAnsi="宋体" w:cs="宋体"/>
                <w:kern w:val="0"/>
              </w:rPr>
            </w:pPr>
            <w:r>
              <w:rPr>
                <w:rFonts w:hint="eastAsia" w:ascii="宋体" w:hAnsi="宋体" w:cs="宋体"/>
                <w:kern w:val="0"/>
              </w:rPr>
              <w:t>发现异常及时联系护士</w:t>
            </w:r>
          </w:p>
        </w:tc>
      </w:tr>
      <w:tr>
        <w:trPr>
          <w:trHeight w:val="450" w:hRule="atLeast"/>
        </w:trPr>
        <w:tc>
          <w:tcPr>
            <w:tcW w:w="90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single" w:color="auto" w:sz="8" w:space="0"/>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安置好床旁床栏，注意安全</w:t>
            </w:r>
          </w:p>
        </w:tc>
        <w:tc>
          <w:tcPr>
            <w:tcW w:w="1260"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40" w:lineRule="exact"/>
              <w:jc w:val="center"/>
              <w:rPr>
                <w:rFonts w:ascii="宋体" w:hAnsi="宋体" w:cs="宋体"/>
                <w:kern w:val="0"/>
              </w:rPr>
            </w:pPr>
            <w:r>
              <w:rPr>
                <w:rFonts w:hint="eastAsia" w:ascii="宋体" w:hAnsi="宋体" w:cs="宋体"/>
                <w:kern w:val="0"/>
              </w:rPr>
              <w:t>每周至少一次（按需或基础护理日）</w:t>
            </w:r>
          </w:p>
        </w:tc>
        <w:tc>
          <w:tcPr>
            <w:tcW w:w="3600" w:type="dxa"/>
            <w:tcBorders>
              <w:top w:val="single" w:color="auto" w:sz="8" w:space="0"/>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修剪手指甲</w:t>
            </w:r>
          </w:p>
        </w:tc>
      </w:tr>
      <w:tr>
        <w:tblPrEx>
          <w:tblCellMar>
            <w:top w:w="0" w:type="dxa"/>
            <w:left w:w="108" w:type="dxa"/>
            <w:bottom w:w="0" w:type="dxa"/>
            <w:right w:w="108" w:type="dxa"/>
          </w:tblCellMar>
        </w:tblPrEx>
        <w:trPr>
          <w:trHeight w:val="450" w:hRule="atLeast"/>
        </w:trPr>
        <w:tc>
          <w:tcPr>
            <w:tcW w:w="90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single" w:color="auto" w:sz="8" w:space="0"/>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巡视病房，发现异常时及时汇报</w:t>
            </w:r>
          </w:p>
        </w:tc>
        <w:tc>
          <w:tcPr>
            <w:tcW w:w="126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rPr>
            </w:pPr>
          </w:p>
        </w:tc>
        <w:tc>
          <w:tcPr>
            <w:tcW w:w="3600" w:type="dxa"/>
            <w:tcBorders>
              <w:top w:val="single" w:color="auto" w:sz="8" w:space="0"/>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修剪脚趾甲</w:t>
            </w:r>
          </w:p>
        </w:tc>
      </w:tr>
      <w:tr>
        <w:tblPrEx>
          <w:tblCellMar>
            <w:top w:w="0" w:type="dxa"/>
            <w:left w:w="108" w:type="dxa"/>
            <w:bottom w:w="0" w:type="dxa"/>
            <w:right w:w="108" w:type="dxa"/>
          </w:tblCellMar>
        </w:tblPrEx>
        <w:trPr>
          <w:trHeight w:val="450" w:hRule="atLeast"/>
        </w:trPr>
        <w:tc>
          <w:tcPr>
            <w:tcW w:w="90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kern w:val="0"/>
              </w:rPr>
            </w:pPr>
          </w:p>
        </w:tc>
        <w:tc>
          <w:tcPr>
            <w:tcW w:w="3600" w:type="dxa"/>
            <w:tcBorders>
              <w:top w:val="single" w:color="auto" w:sz="8" w:space="0"/>
              <w:left w:val="nil"/>
              <w:bottom w:val="single" w:color="auto" w:sz="8" w:space="0"/>
              <w:right w:val="single" w:color="auto" w:sz="8" w:space="0"/>
            </w:tcBorders>
            <w:vAlign w:val="center"/>
          </w:tcPr>
          <w:p>
            <w:pPr>
              <w:widowControl/>
              <w:spacing w:line="240" w:lineRule="exact"/>
              <w:jc w:val="left"/>
              <w:rPr>
                <w:rFonts w:ascii="宋体" w:hAnsi="宋体" w:cs="宋体"/>
                <w:kern w:val="0"/>
              </w:rPr>
            </w:pPr>
          </w:p>
        </w:tc>
        <w:tc>
          <w:tcPr>
            <w:tcW w:w="1260"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40" w:lineRule="exact"/>
              <w:jc w:val="left"/>
              <w:rPr>
                <w:rFonts w:ascii="宋体" w:hAnsi="宋体" w:cs="宋体"/>
                <w:kern w:val="0"/>
              </w:rPr>
            </w:pPr>
          </w:p>
        </w:tc>
        <w:tc>
          <w:tcPr>
            <w:tcW w:w="3600" w:type="dxa"/>
            <w:tcBorders>
              <w:top w:val="single" w:color="auto" w:sz="8" w:space="0"/>
              <w:left w:val="nil"/>
              <w:bottom w:val="single" w:color="auto" w:sz="8" w:space="0"/>
              <w:right w:val="single" w:color="auto" w:sz="8" w:space="0"/>
            </w:tcBorders>
            <w:vAlign w:val="center"/>
          </w:tcPr>
          <w:p>
            <w:pPr>
              <w:widowControl/>
              <w:spacing w:line="240" w:lineRule="exact"/>
              <w:jc w:val="left"/>
              <w:rPr>
                <w:rFonts w:ascii="宋体" w:hAnsi="宋体" w:cs="宋体"/>
                <w:kern w:val="0"/>
              </w:rPr>
            </w:pPr>
            <w:r>
              <w:rPr>
                <w:rFonts w:hint="eastAsia" w:ascii="宋体" w:hAnsi="宋体" w:cs="宋体"/>
                <w:kern w:val="0"/>
              </w:rPr>
              <w:t>洗头</w:t>
            </w:r>
          </w:p>
        </w:tc>
      </w:tr>
    </w:tbl>
    <w:p>
      <w:pPr>
        <w:spacing w:line="360" w:lineRule="auto"/>
        <w:rPr>
          <w:rFonts w:ascii="宋体" w:hAnsi="宋体" w:cs="宋体"/>
          <w:b/>
          <w:bCs/>
        </w:rPr>
      </w:pPr>
      <w:r>
        <w:rPr>
          <w:rFonts w:hint="eastAsia" w:ascii="宋体" w:hAnsi="宋体" w:cs="宋体"/>
          <w:sz w:val="24"/>
          <w:szCs w:val="24"/>
        </w:rPr>
        <w:t xml:space="preserve">  </w:t>
      </w:r>
      <w:r>
        <w:rPr>
          <w:rFonts w:hint="eastAsia" w:ascii="宋体" w:hAnsi="宋体" w:cs="宋体"/>
          <w:b/>
          <w:bCs/>
          <w:sz w:val="24"/>
          <w:szCs w:val="24"/>
        </w:rPr>
        <w:t xml:space="preserve">  3.3</w:t>
      </w:r>
      <w:r>
        <w:rPr>
          <w:rFonts w:hint="eastAsia" w:ascii="宋体" w:hAnsi="宋体" w:cs="宋体"/>
          <w:b/>
          <w:bCs/>
          <w:color w:val="000000"/>
          <w:sz w:val="24"/>
          <w:szCs w:val="24"/>
        </w:rPr>
        <w:t>母婴护理分层级服务内容（产科专科服务）</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700"/>
        <w:gridCol w:w="3680"/>
        <w:gridCol w:w="2020"/>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700" w:type="dxa"/>
            <w:shd w:val="clear" w:color="auto" w:fill="auto"/>
            <w:vAlign w:val="center"/>
          </w:tcPr>
          <w:p>
            <w:pPr>
              <w:jc w:val="center"/>
              <w:rPr>
                <w:rFonts w:ascii="宋体" w:hAnsi="宋体" w:cs="宋体"/>
                <w:b/>
                <w:bCs/>
              </w:rPr>
            </w:pPr>
            <w:r>
              <w:rPr>
                <w:rFonts w:hint="eastAsia" w:ascii="宋体" w:hAnsi="宋体" w:cs="宋体"/>
                <w:b/>
                <w:bCs/>
                <w:color w:val="000000"/>
              </w:rPr>
              <w:t>工种</w:t>
            </w:r>
          </w:p>
        </w:tc>
        <w:tc>
          <w:tcPr>
            <w:tcW w:w="3680" w:type="dxa"/>
            <w:shd w:val="clear" w:color="auto" w:fill="auto"/>
            <w:vAlign w:val="center"/>
          </w:tcPr>
          <w:p>
            <w:pPr>
              <w:jc w:val="center"/>
              <w:rPr>
                <w:rFonts w:ascii="宋体" w:hAnsi="宋体" w:cs="宋体"/>
                <w:b/>
                <w:bCs/>
              </w:rPr>
            </w:pPr>
            <w:r>
              <w:rPr>
                <w:rFonts w:hint="eastAsia" w:ascii="宋体" w:hAnsi="宋体" w:cs="宋体"/>
                <w:b/>
                <w:bCs/>
                <w:color w:val="000000"/>
              </w:rPr>
              <w:t>服务内容</w:t>
            </w:r>
          </w:p>
        </w:tc>
        <w:tc>
          <w:tcPr>
            <w:tcW w:w="2020" w:type="dxa"/>
            <w:shd w:val="clear" w:color="auto" w:fill="auto"/>
            <w:vAlign w:val="center"/>
          </w:tcPr>
          <w:p>
            <w:pPr>
              <w:jc w:val="center"/>
              <w:rPr>
                <w:rFonts w:ascii="宋体" w:hAnsi="宋体" w:cs="宋体"/>
                <w:b/>
                <w:bCs/>
              </w:rPr>
            </w:pPr>
            <w:r>
              <w:rPr>
                <w:rFonts w:hint="eastAsia" w:ascii="宋体" w:hAnsi="宋体" w:cs="宋体"/>
                <w:b/>
                <w:bCs/>
                <w:color w:val="000000"/>
              </w:rPr>
              <w:t>专业技能要求</w:t>
            </w:r>
          </w:p>
        </w:tc>
        <w:tc>
          <w:tcPr>
            <w:tcW w:w="1880" w:type="dxa"/>
            <w:shd w:val="clear" w:color="auto" w:fill="auto"/>
            <w:vAlign w:val="center"/>
          </w:tcPr>
          <w:p>
            <w:pPr>
              <w:jc w:val="center"/>
              <w:rPr>
                <w:rFonts w:ascii="宋体" w:hAnsi="宋体" w:cs="宋体"/>
                <w:b/>
                <w:bCs/>
              </w:rPr>
            </w:pPr>
            <w:r>
              <w:rPr>
                <w:rFonts w:hint="eastAsia" w:ascii="宋体" w:hAnsi="宋体" w:cs="宋体"/>
                <w:b/>
                <w:bCs/>
                <w:color w:val="000000"/>
              </w:rPr>
              <w:t>耗费时间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jc w:val="center"/>
        </w:trPr>
        <w:tc>
          <w:tcPr>
            <w:tcW w:w="1700" w:type="dxa"/>
            <w:vMerge w:val="restart"/>
            <w:vAlign w:val="center"/>
          </w:tcPr>
          <w:p>
            <w:pPr>
              <w:jc w:val="center"/>
              <w:rPr>
                <w:rFonts w:ascii="宋体" w:hAnsi="宋体" w:cs="宋体"/>
              </w:rPr>
            </w:pPr>
            <w:r>
              <w:rPr>
                <w:rFonts w:hint="eastAsia" w:ascii="宋体" w:hAnsi="宋体" w:cs="宋体"/>
                <w:color w:val="000000"/>
              </w:rPr>
              <w:t>护士</w:t>
            </w:r>
          </w:p>
        </w:tc>
        <w:tc>
          <w:tcPr>
            <w:tcW w:w="3680" w:type="dxa"/>
            <w:vAlign w:val="center"/>
          </w:tcPr>
          <w:p>
            <w:pPr>
              <w:ind w:left="40"/>
              <w:rPr>
                <w:rFonts w:ascii="宋体" w:hAnsi="宋体" w:cs="宋体"/>
              </w:rPr>
            </w:pPr>
            <w:r>
              <w:rPr>
                <w:rFonts w:hint="eastAsia" w:ascii="宋体" w:hAnsi="宋体" w:cs="宋体"/>
                <w:color w:val="000000"/>
              </w:rPr>
              <w:t>新生儿洗澡</w:t>
            </w:r>
          </w:p>
        </w:tc>
        <w:tc>
          <w:tcPr>
            <w:tcW w:w="2020" w:type="dxa"/>
            <w:vAlign w:val="center"/>
          </w:tcPr>
          <w:p>
            <w:pPr>
              <w:jc w:val="center"/>
              <w:rPr>
                <w:rFonts w:ascii="宋体" w:hAnsi="宋体" w:cs="宋体"/>
              </w:rPr>
            </w:pPr>
            <w:r>
              <w:rPr>
                <w:rFonts w:hint="eastAsia" w:ascii="宋体" w:hAnsi="宋体" w:cs="宋体"/>
                <w:color w:val="000000"/>
              </w:rPr>
              <w:t>++++</w:t>
            </w:r>
          </w:p>
        </w:tc>
        <w:tc>
          <w:tcPr>
            <w:tcW w:w="1880" w:type="dxa"/>
            <w:vAlign w:val="center"/>
          </w:tcPr>
          <w:p>
            <w:pPr>
              <w:jc w:val="center"/>
              <w:rPr>
                <w:rFonts w:ascii="宋体" w:hAnsi="宋体" w:cs="宋体"/>
              </w:rPr>
            </w:pP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700" w:type="dxa"/>
            <w:vMerge w:val="continue"/>
            <w:vAlign w:val="center"/>
          </w:tcPr>
          <w:p>
            <w:pPr>
              <w:rPr>
                <w:rFonts w:ascii="宋体" w:hAnsi="宋体" w:cs="宋体"/>
              </w:rPr>
            </w:pPr>
          </w:p>
        </w:tc>
        <w:tc>
          <w:tcPr>
            <w:tcW w:w="3680" w:type="dxa"/>
            <w:vAlign w:val="center"/>
          </w:tcPr>
          <w:p>
            <w:pPr>
              <w:ind w:left="40"/>
              <w:rPr>
                <w:rFonts w:ascii="宋体" w:hAnsi="宋体" w:cs="宋体"/>
              </w:rPr>
            </w:pPr>
            <w:r>
              <w:rPr>
                <w:rFonts w:hint="eastAsia" w:ascii="宋体" w:hAnsi="宋体" w:cs="宋体"/>
                <w:color w:val="000000"/>
              </w:rPr>
              <w:t>新生儿抚触</w:t>
            </w:r>
          </w:p>
        </w:tc>
        <w:tc>
          <w:tcPr>
            <w:tcW w:w="2020" w:type="dxa"/>
            <w:vAlign w:val="center"/>
          </w:tcPr>
          <w:p>
            <w:pPr>
              <w:jc w:val="center"/>
              <w:rPr>
                <w:rFonts w:ascii="宋体" w:hAnsi="宋体" w:cs="宋体"/>
              </w:rPr>
            </w:pPr>
            <w:r>
              <w:rPr>
                <w:rFonts w:hint="eastAsia" w:ascii="宋体" w:hAnsi="宋体" w:cs="宋体"/>
                <w:color w:val="000000"/>
              </w:rPr>
              <w:t>+++</w:t>
            </w:r>
          </w:p>
        </w:tc>
        <w:tc>
          <w:tcPr>
            <w:tcW w:w="1880" w:type="dxa"/>
            <w:vAlign w:val="center"/>
          </w:tcPr>
          <w:p>
            <w:pPr>
              <w:jc w:val="center"/>
              <w:rPr>
                <w:rFonts w:ascii="宋体" w:hAnsi="宋体" w:cs="宋体"/>
              </w:rPr>
            </w:pP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700" w:type="dxa"/>
            <w:vMerge w:val="continue"/>
            <w:vAlign w:val="center"/>
          </w:tcPr>
          <w:p>
            <w:pPr>
              <w:rPr>
                <w:rFonts w:ascii="宋体" w:hAnsi="宋体" w:cs="宋体"/>
              </w:rPr>
            </w:pPr>
          </w:p>
        </w:tc>
        <w:tc>
          <w:tcPr>
            <w:tcW w:w="3680" w:type="dxa"/>
            <w:vAlign w:val="center"/>
          </w:tcPr>
          <w:p>
            <w:pPr>
              <w:ind w:left="60"/>
              <w:rPr>
                <w:rFonts w:ascii="宋体" w:hAnsi="宋体" w:cs="宋体"/>
              </w:rPr>
            </w:pPr>
            <w:r>
              <w:rPr>
                <w:rFonts w:hint="eastAsia" w:ascii="宋体" w:hAnsi="宋体" w:cs="宋体"/>
                <w:color w:val="000000"/>
              </w:rPr>
              <w:t>乳房按摩及挤奶</w:t>
            </w:r>
          </w:p>
        </w:tc>
        <w:tc>
          <w:tcPr>
            <w:tcW w:w="2020" w:type="dxa"/>
            <w:vAlign w:val="center"/>
          </w:tcPr>
          <w:p>
            <w:pPr>
              <w:jc w:val="center"/>
              <w:rPr>
                <w:rFonts w:ascii="宋体" w:hAnsi="宋体" w:cs="宋体"/>
              </w:rPr>
            </w:pPr>
            <w:r>
              <w:rPr>
                <w:rFonts w:hint="eastAsia" w:ascii="宋体" w:hAnsi="宋体" w:cs="宋体"/>
                <w:color w:val="000000"/>
              </w:rPr>
              <w:t>+++</w:t>
            </w:r>
          </w:p>
        </w:tc>
        <w:tc>
          <w:tcPr>
            <w:tcW w:w="1880" w:type="dxa"/>
            <w:vAlign w:val="center"/>
          </w:tcPr>
          <w:p>
            <w:pPr>
              <w:jc w:val="center"/>
              <w:rPr>
                <w:rFonts w:ascii="宋体" w:hAnsi="宋体" w:cs="宋体"/>
              </w:rPr>
            </w:pP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700" w:type="dxa"/>
            <w:vMerge w:val="continue"/>
            <w:vAlign w:val="center"/>
          </w:tcPr>
          <w:p>
            <w:pPr>
              <w:rPr>
                <w:rFonts w:ascii="宋体" w:hAnsi="宋体" w:cs="宋体"/>
              </w:rPr>
            </w:pPr>
          </w:p>
        </w:tc>
        <w:tc>
          <w:tcPr>
            <w:tcW w:w="3680" w:type="dxa"/>
            <w:vAlign w:val="center"/>
          </w:tcPr>
          <w:p>
            <w:pPr>
              <w:ind w:left="80"/>
              <w:rPr>
                <w:rFonts w:ascii="宋体" w:hAnsi="宋体" w:cs="宋体"/>
              </w:rPr>
            </w:pPr>
            <w:r>
              <w:rPr>
                <w:rFonts w:hint="eastAsia" w:ascii="宋体" w:hAnsi="宋体" w:cs="宋体"/>
                <w:color w:val="000000"/>
              </w:rPr>
              <w:t>会阴护理</w:t>
            </w:r>
          </w:p>
        </w:tc>
        <w:tc>
          <w:tcPr>
            <w:tcW w:w="2020" w:type="dxa"/>
            <w:vAlign w:val="center"/>
          </w:tcPr>
          <w:p>
            <w:pPr>
              <w:jc w:val="center"/>
              <w:rPr>
                <w:rFonts w:ascii="宋体" w:hAnsi="宋体" w:cs="宋体"/>
              </w:rPr>
            </w:pPr>
            <w:r>
              <w:rPr>
                <w:rFonts w:hint="eastAsia" w:ascii="宋体" w:hAnsi="宋体" w:cs="宋体"/>
                <w:color w:val="000000"/>
              </w:rPr>
              <w:t>+++</w:t>
            </w:r>
          </w:p>
        </w:tc>
        <w:tc>
          <w:tcPr>
            <w:tcW w:w="1880" w:type="dxa"/>
            <w:vAlign w:val="center"/>
          </w:tcPr>
          <w:p>
            <w:pPr>
              <w:jc w:val="center"/>
              <w:rPr>
                <w:rFonts w:ascii="宋体" w:hAnsi="宋体" w:cs="宋体"/>
              </w:rPr>
            </w:pP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700" w:type="dxa"/>
            <w:vMerge w:val="continue"/>
            <w:vAlign w:val="center"/>
          </w:tcPr>
          <w:p>
            <w:pPr>
              <w:rPr>
                <w:rFonts w:ascii="宋体" w:hAnsi="宋体" w:cs="宋体"/>
              </w:rPr>
            </w:pPr>
          </w:p>
        </w:tc>
        <w:tc>
          <w:tcPr>
            <w:tcW w:w="3680" w:type="dxa"/>
            <w:vAlign w:val="center"/>
          </w:tcPr>
          <w:p>
            <w:pPr>
              <w:ind w:left="80"/>
              <w:rPr>
                <w:rFonts w:ascii="宋体" w:hAnsi="宋体" w:cs="宋体"/>
              </w:rPr>
            </w:pPr>
            <w:r>
              <w:rPr>
                <w:rFonts w:hint="eastAsia" w:ascii="宋体" w:hAnsi="宋体" w:cs="宋体"/>
                <w:color w:val="000000"/>
              </w:rPr>
              <w:t>新生儿口腔护理</w:t>
            </w:r>
          </w:p>
        </w:tc>
        <w:tc>
          <w:tcPr>
            <w:tcW w:w="2020" w:type="dxa"/>
            <w:vAlign w:val="center"/>
          </w:tcPr>
          <w:p>
            <w:pPr>
              <w:jc w:val="center"/>
              <w:rPr>
                <w:rFonts w:ascii="宋体" w:hAnsi="宋体" w:cs="宋体"/>
              </w:rPr>
            </w:pPr>
            <w:r>
              <w:rPr>
                <w:rFonts w:hint="eastAsia" w:ascii="宋体" w:hAnsi="宋体" w:cs="宋体"/>
                <w:color w:val="000000"/>
              </w:rPr>
              <w:t>+++</w:t>
            </w:r>
          </w:p>
        </w:tc>
        <w:tc>
          <w:tcPr>
            <w:tcW w:w="1880" w:type="dxa"/>
            <w:vAlign w:val="center"/>
          </w:tcPr>
          <w:p>
            <w:pPr>
              <w:jc w:val="center"/>
              <w:rPr>
                <w:rFonts w:ascii="宋体" w:hAnsi="宋体" w:cs="宋体"/>
              </w:rPr>
            </w:pP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700" w:type="dxa"/>
            <w:vMerge w:val="continue"/>
            <w:vAlign w:val="center"/>
          </w:tcPr>
          <w:p>
            <w:pPr>
              <w:rPr>
                <w:rFonts w:ascii="宋体" w:hAnsi="宋体" w:cs="宋体"/>
              </w:rPr>
            </w:pPr>
          </w:p>
        </w:tc>
        <w:tc>
          <w:tcPr>
            <w:tcW w:w="3680" w:type="dxa"/>
            <w:vAlign w:val="center"/>
          </w:tcPr>
          <w:p>
            <w:pPr>
              <w:ind w:left="80"/>
              <w:rPr>
                <w:rFonts w:ascii="宋体" w:hAnsi="宋体" w:cs="宋体"/>
              </w:rPr>
            </w:pPr>
            <w:r>
              <w:rPr>
                <w:rFonts w:hint="eastAsia" w:ascii="宋体" w:hAnsi="宋体" w:cs="宋体"/>
                <w:color w:val="000000"/>
              </w:rPr>
              <w:t>新生儿眼部护理</w:t>
            </w:r>
          </w:p>
        </w:tc>
        <w:tc>
          <w:tcPr>
            <w:tcW w:w="2020" w:type="dxa"/>
            <w:vAlign w:val="center"/>
          </w:tcPr>
          <w:p>
            <w:pPr>
              <w:jc w:val="center"/>
              <w:rPr>
                <w:rFonts w:ascii="宋体" w:hAnsi="宋体" w:cs="宋体"/>
              </w:rPr>
            </w:pPr>
            <w:r>
              <w:rPr>
                <w:rFonts w:hint="eastAsia" w:ascii="宋体" w:hAnsi="宋体" w:cs="宋体"/>
                <w:color w:val="000000"/>
              </w:rPr>
              <w:t>++++</w:t>
            </w:r>
          </w:p>
        </w:tc>
        <w:tc>
          <w:tcPr>
            <w:tcW w:w="1880" w:type="dxa"/>
            <w:vAlign w:val="center"/>
          </w:tcPr>
          <w:p>
            <w:pPr>
              <w:jc w:val="center"/>
              <w:rPr>
                <w:rFonts w:ascii="宋体" w:hAnsi="宋体" w:cs="宋体"/>
              </w:rPr>
            </w:pP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700" w:type="dxa"/>
            <w:vMerge w:val="continue"/>
            <w:vAlign w:val="center"/>
          </w:tcPr>
          <w:p>
            <w:pPr>
              <w:rPr>
                <w:rFonts w:ascii="宋体" w:hAnsi="宋体" w:cs="宋体"/>
              </w:rPr>
            </w:pPr>
          </w:p>
        </w:tc>
        <w:tc>
          <w:tcPr>
            <w:tcW w:w="3680" w:type="dxa"/>
            <w:vAlign w:val="center"/>
          </w:tcPr>
          <w:p>
            <w:pPr>
              <w:ind w:left="80"/>
              <w:rPr>
                <w:rFonts w:ascii="宋体" w:hAnsi="宋体" w:cs="宋体"/>
              </w:rPr>
            </w:pPr>
            <w:r>
              <w:rPr>
                <w:rFonts w:hint="eastAsia" w:ascii="宋体" w:hAnsi="宋体" w:cs="宋体"/>
                <w:color w:val="000000"/>
              </w:rPr>
              <w:t>新生儿脐部护理</w:t>
            </w:r>
          </w:p>
        </w:tc>
        <w:tc>
          <w:tcPr>
            <w:tcW w:w="2020" w:type="dxa"/>
            <w:vAlign w:val="center"/>
          </w:tcPr>
          <w:p>
            <w:pPr>
              <w:jc w:val="center"/>
              <w:rPr>
                <w:rFonts w:ascii="宋体" w:hAnsi="宋体" w:cs="宋体"/>
              </w:rPr>
            </w:pPr>
            <w:r>
              <w:rPr>
                <w:rFonts w:hint="eastAsia" w:ascii="宋体" w:hAnsi="宋体" w:cs="宋体"/>
                <w:color w:val="000000"/>
              </w:rPr>
              <w:t>++++</w:t>
            </w:r>
          </w:p>
        </w:tc>
        <w:tc>
          <w:tcPr>
            <w:tcW w:w="1880" w:type="dxa"/>
            <w:vAlign w:val="center"/>
          </w:tcPr>
          <w:p>
            <w:pPr>
              <w:jc w:val="center"/>
              <w:rPr>
                <w:rFonts w:ascii="宋体" w:hAnsi="宋体" w:cs="宋体"/>
              </w:rPr>
            </w:pP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1700" w:type="dxa"/>
            <w:vMerge w:val="restart"/>
            <w:vAlign w:val="center"/>
          </w:tcPr>
          <w:p>
            <w:pPr>
              <w:jc w:val="center"/>
              <w:rPr>
                <w:rFonts w:ascii="宋体" w:hAnsi="宋体" w:cs="宋体"/>
              </w:rPr>
            </w:pPr>
            <w:r>
              <w:rPr>
                <w:rFonts w:hint="eastAsia" w:ascii="宋体" w:hAnsi="宋体" w:cs="宋体"/>
                <w:color w:val="000000"/>
              </w:rPr>
              <w:t>护理员</w:t>
            </w:r>
          </w:p>
        </w:tc>
        <w:tc>
          <w:tcPr>
            <w:tcW w:w="3680" w:type="dxa"/>
            <w:vAlign w:val="center"/>
          </w:tcPr>
          <w:p>
            <w:pPr>
              <w:ind w:left="100"/>
              <w:rPr>
                <w:rFonts w:ascii="宋体" w:hAnsi="宋体" w:cs="宋体"/>
              </w:rPr>
            </w:pPr>
            <w:r>
              <w:rPr>
                <w:rFonts w:hint="eastAsia" w:ascii="宋体" w:hAnsi="宋体" w:cs="宋体"/>
                <w:color w:val="000000"/>
              </w:rPr>
              <w:t>孕产妇晨晚间生活照护</w:t>
            </w:r>
          </w:p>
        </w:tc>
        <w:tc>
          <w:tcPr>
            <w:tcW w:w="2020" w:type="dxa"/>
            <w:vAlign w:val="center"/>
          </w:tcPr>
          <w:p>
            <w:pPr>
              <w:jc w:val="center"/>
              <w:rPr>
                <w:rFonts w:ascii="宋体" w:hAnsi="宋体" w:cs="宋体"/>
              </w:rPr>
            </w:pPr>
            <w:r>
              <w:rPr>
                <w:rFonts w:hint="eastAsia" w:ascii="宋体" w:hAnsi="宋体" w:cs="宋体"/>
                <w:color w:val="000000"/>
              </w:rPr>
              <w:t>+</w:t>
            </w:r>
          </w:p>
        </w:tc>
        <w:tc>
          <w:tcPr>
            <w:tcW w:w="1880" w:type="dxa"/>
            <w:vAlign w:val="center"/>
          </w:tcPr>
          <w:p>
            <w:pPr>
              <w:jc w:val="center"/>
              <w:rPr>
                <w:rFonts w:ascii="宋体" w:hAnsi="宋体" w:cs="宋体"/>
              </w:rPr>
            </w:pP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jc w:val="center"/>
        </w:trPr>
        <w:tc>
          <w:tcPr>
            <w:tcW w:w="1700" w:type="dxa"/>
            <w:vMerge w:val="continue"/>
            <w:vAlign w:val="center"/>
          </w:tcPr>
          <w:p>
            <w:pPr>
              <w:rPr>
                <w:rFonts w:ascii="宋体" w:hAnsi="宋体" w:cs="宋体"/>
              </w:rPr>
            </w:pPr>
          </w:p>
        </w:tc>
        <w:tc>
          <w:tcPr>
            <w:tcW w:w="3680" w:type="dxa"/>
            <w:vAlign w:val="center"/>
          </w:tcPr>
          <w:p>
            <w:pPr>
              <w:ind w:left="100"/>
              <w:rPr>
                <w:rFonts w:ascii="宋体" w:hAnsi="宋体" w:cs="宋体"/>
              </w:rPr>
            </w:pPr>
            <w:r>
              <w:rPr>
                <w:rFonts w:hint="eastAsia" w:ascii="宋体" w:hAnsi="宋体" w:cs="宋体"/>
                <w:color w:val="000000"/>
              </w:rPr>
              <w:t>病房整理（含床单元）</w:t>
            </w:r>
          </w:p>
        </w:tc>
        <w:tc>
          <w:tcPr>
            <w:tcW w:w="2020" w:type="dxa"/>
            <w:vAlign w:val="center"/>
          </w:tcPr>
          <w:p>
            <w:pPr>
              <w:jc w:val="center"/>
              <w:rPr>
                <w:rFonts w:ascii="宋体" w:hAnsi="宋体" w:cs="宋体"/>
              </w:rPr>
            </w:pPr>
            <w:r>
              <w:rPr>
                <w:rFonts w:hint="eastAsia" w:ascii="宋体" w:hAnsi="宋体" w:cs="宋体"/>
                <w:color w:val="000000"/>
              </w:rPr>
              <w:t>+</w:t>
            </w:r>
          </w:p>
        </w:tc>
        <w:tc>
          <w:tcPr>
            <w:tcW w:w="1880" w:type="dxa"/>
            <w:vAlign w:val="center"/>
          </w:tcPr>
          <w:p>
            <w:pPr>
              <w:jc w:val="center"/>
              <w:rPr>
                <w:rFonts w:ascii="宋体" w:hAnsi="宋体" w:cs="宋体"/>
              </w:rPr>
            </w:pP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1700" w:type="dxa"/>
            <w:vMerge w:val="continue"/>
            <w:vAlign w:val="center"/>
          </w:tcPr>
          <w:p>
            <w:pPr>
              <w:rPr>
                <w:rFonts w:ascii="宋体" w:hAnsi="宋体" w:cs="宋体"/>
              </w:rPr>
            </w:pPr>
          </w:p>
        </w:tc>
        <w:tc>
          <w:tcPr>
            <w:tcW w:w="3680" w:type="dxa"/>
            <w:vAlign w:val="center"/>
          </w:tcPr>
          <w:p>
            <w:pPr>
              <w:ind w:left="120"/>
              <w:rPr>
                <w:rFonts w:ascii="宋体" w:hAnsi="宋体" w:cs="宋体"/>
              </w:rPr>
            </w:pPr>
            <w:r>
              <w:rPr>
                <w:rFonts w:hint="eastAsia" w:ascii="宋体" w:hAnsi="宋体" w:cs="宋体"/>
                <w:color w:val="000000"/>
              </w:rPr>
              <w:t>用餐准备（餐具清洗）</w:t>
            </w:r>
          </w:p>
        </w:tc>
        <w:tc>
          <w:tcPr>
            <w:tcW w:w="2020" w:type="dxa"/>
            <w:vAlign w:val="center"/>
          </w:tcPr>
          <w:p>
            <w:pPr>
              <w:jc w:val="center"/>
              <w:rPr>
                <w:rFonts w:ascii="宋体" w:hAnsi="宋体" w:cs="宋体"/>
              </w:rPr>
            </w:pPr>
            <w:r>
              <w:rPr>
                <w:rFonts w:hint="eastAsia" w:ascii="宋体" w:hAnsi="宋体" w:cs="宋体"/>
                <w:color w:val="000000"/>
              </w:rPr>
              <w:t>+</w:t>
            </w:r>
          </w:p>
        </w:tc>
        <w:tc>
          <w:tcPr>
            <w:tcW w:w="1880" w:type="dxa"/>
            <w:vAlign w:val="center"/>
          </w:tcPr>
          <w:p>
            <w:pPr>
              <w:jc w:val="center"/>
              <w:rPr>
                <w:rFonts w:ascii="宋体" w:hAnsi="宋体" w:cs="宋体"/>
              </w:rPr>
            </w:pP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1700" w:type="dxa"/>
            <w:vMerge w:val="continue"/>
            <w:vAlign w:val="center"/>
          </w:tcPr>
          <w:p>
            <w:pPr>
              <w:rPr>
                <w:rFonts w:ascii="宋体" w:hAnsi="宋体" w:cs="宋体"/>
              </w:rPr>
            </w:pPr>
          </w:p>
        </w:tc>
        <w:tc>
          <w:tcPr>
            <w:tcW w:w="3680" w:type="dxa"/>
            <w:vAlign w:val="center"/>
          </w:tcPr>
          <w:p>
            <w:pPr>
              <w:ind w:left="100"/>
              <w:rPr>
                <w:rFonts w:ascii="宋体" w:hAnsi="宋体" w:cs="宋体"/>
              </w:rPr>
            </w:pPr>
            <w:r>
              <w:rPr>
                <w:rFonts w:hint="eastAsia" w:ascii="宋体" w:hAnsi="宋体" w:cs="宋体"/>
                <w:color w:val="000000"/>
              </w:rPr>
              <w:t>床上擦浴及更衣或床上洗头</w:t>
            </w:r>
          </w:p>
        </w:tc>
        <w:tc>
          <w:tcPr>
            <w:tcW w:w="2020" w:type="dxa"/>
            <w:vAlign w:val="center"/>
          </w:tcPr>
          <w:p>
            <w:pPr>
              <w:jc w:val="center"/>
              <w:rPr>
                <w:rFonts w:ascii="宋体" w:hAnsi="宋体" w:cs="宋体"/>
              </w:rPr>
            </w:pPr>
            <w:r>
              <w:rPr>
                <w:rFonts w:hint="eastAsia" w:ascii="宋体" w:hAnsi="宋体" w:cs="宋体"/>
                <w:color w:val="000000"/>
              </w:rPr>
              <w:t>+</w:t>
            </w:r>
          </w:p>
        </w:tc>
        <w:tc>
          <w:tcPr>
            <w:tcW w:w="1880" w:type="dxa"/>
            <w:vAlign w:val="center"/>
          </w:tcPr>
          <w:p>
            <w:pPr>
              <w:jc w:val="center"/>
              <w:rPr>
                <w:rFonts w:ascii="宋体" w:hAnsi="宋体" w:cs="宋体"/>
              </w:rPr>
            </w:pP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0" w:hRule="atLeast"/>
          <w:jc w:val="center"/>
        </w:trPr>
        <w:tc>
          <w:tcPr>
            <w:tcW w:w="1700" w:type="dxa"/>
            <w:vMerge w:val="continue"/>
            <w:vAlign w:val="center"/>
          </w:tcPr>
          <w:p>
            <w:pPr>
              <w:rPr>
                <w:rFonts w:ascii="宋体" w:hAnsi="宋体" w:cs="宋体"/>
              </w:rPr>
            </w:pPr>
          </w:p>
        </w:tc>
        <w:tc>
          <w:tcPr>
            <w:tcW w:w="3680" w:type="dxa"/>
            <w:vAlign w:val="center"/>
          </w:tcPr>
          <w:p>
            <w:pPr>
              <w:ind w:left="140"/>
              <w:rPr>
                <w:rFonts w:ascii="宋体" w:hAnsi="宋体" w:cs="宋体"/>
              </w:rPr>
            </w:pPr>
            <w:r>
              <w:rPr>
                <w:rFonts w:hint="eastAsia" w:ascii="宋体" w:hAnsi="宋体" w:cs="宋体"/>
                <w:color w:val="000000"/>
              </w:rPr>
              <w:t>产妇会阴清洁</w:t>
            </w:r>
          </w:p>
        </w:tc>
        <w:tc>
          <w:tcPr>
            <w:tcW w:w="2020" w:type="dxa"/>
            <w:vAlign w:val="center"/>
          </w:tcPr>
          <w:p>
            <w:pPr>
              <w:jc w:val="center"/>
              <w:rPr>
                <w:rFonts w:ascii="宋体" w:hAnsi="宋体" w:cs="宋体"/>
              </w:rPr>
            </w:pPr>
            <w:r>
              <w:rPr>
                <w:rFonts w:hint="eastAsia" w:ascii="宋体" w:hAnsi="宋体" w:cs="宋体"/>
                <w:color w:val="000000"/>
              </w:rPr>
              <w:t>+</w:t>
            </w:r>
          </w:p>
        </w:tc>
        <w:tc>
          <w:tcPr>
            <w:tcW w:w="1880" w:type="dxa"/>
            <w:vAlign w:val="center"/>
          </w:tcPr>
          <w:p>
            <w:pPr>
              <w:jc w:val="center"/>
              <w:rPr>
                <w:rFonts w:ascii="宋体" w:hAnsi="宋体" w:cs="宋体"/>
              </w:rPr>
            </w:pP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0" w:hRule="atLeast"/>
          <w:jc w:val="center"/>
        </w:trPr>
        <w:tc>
          <w:tcPr>
            <w:tcW w:w="1700" w:type="dxa"/>
            <w:vMerge w:val="continue"/>
            <w:vAlign w:val="center"/>
          </w:tcPr>
          <w:p>
            <w:pPr>
              <w:rPr>
                <w:rFonts w:ascii="宋体" w:hAnsi="宋体" w:cs="宋体"/>
              </w:rPr>
            </w:pPr>
          </w:p>
        </w:tc>
        <w:tc>
          <w:tcPr>
            <w:tcW w:w="3680" w:type="dxa"/>
            <w:vAlign w:val="center"/>
          </w:tcPr>
          <w:p>
            <w:pPr>
              <w:ind w:left="120"/>
              <w:rPr>
                <w:rFonts w:ascii="宋体" w:hAnsi="宋体" w:cs="宋体"/>
              </w:rPr>
            </w:pPr>
            <w:r>
              <w:rPr>
                <w:rFonts w:hint="eastAsia" w:ascii="宋体" w:hAnsi="宋体" w:cs="宋体"/>
                <w:color w:val="000000"/>
              </w:rPr>
              <w:t>协助孕产妇大小便</w:t>
            </w:r>
          </w:p>
        </w:tc>
        <w:tc>
          <w:tcPr>
            <w:tcW w:w="2020" w:type="dxa"/>
            <w:vAlign w:val="center"/>
          </w:tcPr>
          <w:p>
            <w:pPr>
              <w:jc w:val="center"/>
              <w:rPr>
                <w:rFonts w:ascii="宋体" w:hAnsi="宋体" w:cs="宋体"/>
              </w:rPr>
            </w:pPr>
            <w:r>
              <w:rPr>
                <w:rFonts w:hint="eastAsia" w:ascii="宋体" w:hAnsi="宋体" w:cs="宋体"/>
                <w:color w:val="000000"/>
              </w:rPr>
              <w:t>+</w:t>
            </w:r>
          </w:p>
        </w:tc>
        <w:tc>
          <w:tcPr>
            <w:tcW w:w="1880" w:type="dxa"/>
            <w:vAlign w:val="center"/>
          </w:tcPr>
          <w:p>
            <w:pPr>
              <w:jc w:val="center"/>
              <w:rPr>
                <w:rFonts w:ascii="宋体" w:hAnsi="宋体" w:cs="宋体"/>
              </w:rPr>
            </w:pP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center"/>
        </w:trPr>
        <w:tc>
          <w:tcPr>
            <w:tcW w:w="1700" w:type="dxa"/>
            <w:vMerge w:val="continue"/>
            <w:vAlign w:val="center"/>
          </w:tcPr>
          <w:p>
            <w:pPr>
              <w:rPr>
                <w:rFonts w:ascii="宋体" w:hAnsi="宋体" w:cs="宋体"/>
              </w:rPr>
            </w:pPr>
          </w:p>
        </w:tc>
        <w:tc>
          <w:tcPr>
            <w:tcW w:w="3680" w:type="dxa"/>
            <w:vAlign w:val="center"/>
          </w:tcPr>
          <w:p>
            <w:pPr>
              <w:ind w:left="80"/>
              <w:rPr>
                <w:rFonts w:ascii="宋体" w:hAnsi="宋体" w:cs="宋体"/>
              </w:rPr>
            </w:pPr>
            <w:r>
              <w:rPr>
                <w:rFonts w:hint="eastAsia" w:ascii="宋体" w:hAnsi="宋体" w:cs="宋体"/>
                <w:color w:val="000000"/>
              </w:rPr>
              <w:t>协助产妇乳房按摩及挤奶</w:t>
            </w:r>
          </w:p>
        </w:tc>
        <w:tc>
          <w:tcPr>
            <w:tcW w:w="2020" w:type="dxa"/>
            <w:vAlign w:val="center"/>
          </w:tcPr>
          <w:p>
            <w:pPr>
              <w:jc w:val="center"/>
              <w:rPr>
                <w:rFonts w:ascii="宋体" w:hAnsi="宋体" w:cs="宋体"/>
              </w:rPr>
            </w:pPr>
            <w:r>
              <w:rPr>
                <w:rFonts w:hint="eastAsia" w:ascii="宋体" w:hAnsi="宋体" w:cs="宋体"/>
                <w:color w:val="000000"/>
              </w:rPr>
              <w:t>++</w:t>
            </w:r>
          </w:p>
        </w:tc>
        <w:tc>
          <w:tcPr>
            <w:tcW w:w="1880" w:type="dxa"/>
            <w:vAlign w:val="center"/>
          </w:tcPr>
          <w:p>
            <w:pPr>
              <w:jc w:val="center"/>
              <w:rPr>
                <w:rFonts w:ascii="宋体" w:hAnsi="宋体" w:cs="宋体"/>
              </w:rPr>
            </w:pP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jc w:val="center"/>
        </w:trPr>
        <w:tc>
          <w:tcPr>
            <w:tcW w:w="1700" w:type="dxa"/>
            <w:vMerge w:val="continue"/>
            <w:vAlign w:val="center"/>
          </w:tcPr>
          <w:p>
            <w:pPr>
              <w:rPr>
                <w:rFonts w:ascii="宋体" w:hAnsi="宋体" w:cs="宋体"/>
              </w:rPr>
            </w:pPr>
          </w:p>
        </w:tc>
        <w:tc>
          <w:tcPr>
            <w:tcW w:w="3680" w:type="dxa"/>
            <w:vAlign w:val="center"/>
          </w:tcPr>
          <w:p>
            <w:pPr>
              <w:ind w:left="20"/>
              <w:rPr>
                <w:rFonts w:ascii="宋体" w:hAnsi="宋体" w:cs="宋体"/>
              </w:rPr>
            </w:pPr>
            <w:r>
              <w:rPr>
                <w:rFonts w:hint="eastAsia" w:ascii="宋体" w:hAnsi="宋体" w:cs="宋体"/>
                <w:color w:val="000000"/>
              </w:rPr>
              <w:t>新生儿臀部清洁</w:t>
            </w:r>
          </w:p>
        </w:tc>
        <w:tc>
          <w:tcPr>
            <w:tcW w:w="2020" w:type="dxa"/>
            <w:vAlign w:val="center"/>
          </w:tcPr>
          <w:p>
            <w:pPr>
              <w:jc w:val="center"/>
              <w:rPr>
                <w:rFonts w:ascii="宋体" w:hAnsi="宋体" w:cs="宋体"/>
              </w:rPr>
            </w:pPr>
            <w:r>
              <w:rPr>
                <w:rFonts w:hint="eastAsia" w:ascii="宋体" w:hAnsi="宋体" w:cs="宋体"/>
                <w:color w:val="000000"/>
              </w:rPr>
              <w:t>++</w:t>
            </w:r>
          </w:p>
        </w:tc>
        <w:tc>
          <w:tcPr>
            <w:tcW w:w="1880" w:type="dxa"/>
            <w:vAlign w:val="center"/>
          </w:tcPr>
          <w:p>
            <w:pPr>
              <w:jc w:val="center"/>
              <w:rPr>
                <w:rFonts w:ascii="宋体" w:hAnsi="宋体" w:cs="宋体"/>
              </w:rPr>
            </w:pP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jc w:val="center"/>
        </w:trPr>
        <w:tc>
          <w:tcPr>
            <w:tcW w:w="1700" w:type="dxa"/>
            <w:vMerge w:val="continue"/>
            <w:vAlign w:val="center"/>
          </w:tcPr>
          <w:p>
            <w:pPr>
              <w:rPr>
                <w:rFonts w:ascii="宋体" w:hAnsi="宋体" w:cs="宋体"/>
              </w:rPr>
            </w:pPr>
          </w:p>
        </w:tc>
        <w:tc>
          <w:tcPr>
            <w:tcW w:w="3680" w:type="dxa"/>
            <w:vAlign w:val="center"/>
          </w:tcPr>
          <w:p>
            <w:pPr>
              <w:rPr>
                <w:rFonts w:ascii="宋体" w:hAnsi="宋体" w:cs="宋体"/>
              </w:rPr>
            </w:pPr>
            <w:r>
              <w:rPr>
                <w:rFonts w:hint="eastAsia" w:ascii="宋体" w:hAnsi="宋体" w:cs="宋体"/>
                <w:color w:val="000000"/>
              </w:rPr>
              <w:t>协助新生儿哺乳／喂奶</w:t>
            </w:r>
          </w:p>
        </w:tc>
        <w:tc>
          <w:tcPr>
            <w:tcW w:w="2020" w:type="dxa"/>
            <w:vAlign w:val="center"/>
          </w:tcPr>
          <w:p>
            <w:pPr>
              <w:jc w:val="center"/>
              <w:rPr>
                <w:rFonts w:ascii="宋体" w:hAnsi="宋体" w:cs="宋体"/>
              </w:rPr>
            </w:pPr>
            <w:r>
              <w:rPr>
                <w:rFonts w:hint="eastAsia" w:ascii="宋体" w:hAnsi="宋体" w:cs="宋体"/>
                <w:color w:val="000000"/>
              </w:rPr>
              <w:t>++</w:t>
            </w:r>
          </w:p>
        </w:tc>
        <w:tc>
          <w:tcPr>
            <w:tcW w:w="1880" w:type="dxa"/>
            <w:vAlign w:val="center"/>
          </w:tcPr>
          <w:p>
            <w:pPr>
              <w:jc w:val="center"/>
              <w:rPr>
                <w:rFonts w:ascii="宋体" w:hAnsi="宋体" w:cs="宋体"/>
              </w:rPr>
            </w:pPr>
            <w:r>
              <w:rPr>
                <w:rFonts w:hint="eastAsia" w:ascii="宋体" w:hAnsi="宋体" w:cs="宋体"/>
                <w:color w:val="000000"/>
              </w:rPr>
              <w:t>++++</w:t>
            </w:r>
          </w:p>
        </w:tc>
      </w:tr>
    </w:tbl>
    <w:p>
      <w:pPr>
        <w:snapToGrid w:val="0"/>
        <w:spacing w:line="360" w:lineRule="auto"/>
        <w:ind w:firstLine="420" w:firstLineChars="200"/>
        <w:textAlignment w:val="baseline"/>
        <w:rPr>
          <w:rFonts w:ascii="宋体" w:hAnsi="宋体" w:cs="宋体"/>
          <w:b/>
          <w:bCs/>
          <w:sz w:val="24"/>
          <w:szCs w:val="24"/>
        </w:rPr>
      </w:pPr>
      <w:r>
        <w:rPr>
          <w:rFonts w:hint="eastAsia" w:ascii="宋体" w:hAnsi="宋体" w:cs="宋体"/>
          <w:color w:val="000000"/>
        </w:rPr>
        <w:t>注：耗费时间指占每日工作量的比重</w:t>
      </w:r>
    </w:p>
    <w:p>
      <w:pPr>
        <w:snapToGrid w:val="0"/>
        <w:spacing w:line="360" w:lineRule="auto"/>
        <w:textAlignment w:val="baseline"/>
        <w:rPr>
          <w:rFonts w:ascii="宋体" w:hAnsi="宋体" w:cs="宋体"/>
          <w:b/>
          <w:bCs/>
          <w:sz w:val="24"/>
          <w:szCs w:val="24"/>
        </w:rPr>
      </w:pPr>
      <w:r>
        <w:rPr>
          <w:rFonts w:hint="eastAsia" w:ascii="宋体" w:hAnsi="宋体" w:cs="宋体"/>
          <w:b/>
          <w:bCs/>
          <w:sz w:val="24"/>
          <w:szCs w:val="24"/>
        </w:rPr>
        <w:t xml:space="preserve">    三、合同期限：</w:t>
      </w:r>
    </w:p>
    <w:p>
      <w:pPr>
        <w:snapToGrid w:val="0"/>
        <w:spacing w:line="360" w:lineRule="auto"/>
        <w:ind w:firstLine="480" w:firstLineChars="200"/>
        <w:rPr>
          <w:rFonts w:ascii="宋体" w:hAnsi="宋体"/>
          <w:sz w:val="24"/>
          <w:szCs w:val="24"/>
        </w:rPr>
      </w:pPr>
      <w:r>
        <w:rPr>
          <w:rFonts w:hint="eastAsia" w:ascii="宋体" w:hAnsi="宋体" w:cs="宋体"/>
          <w:sz w:val="24"/>
          <w:szCs w:val="24"/>
        </w:rPr>
        <w:t>本项目合同服务期暂定三年，但合同一年一签</w:t>
      </w:r>
      <w:r>
        <w:rPr>
          <w:rFonts w:hint="eastAsia" w:ascii="宋体" w:hAnsi="宋体"/>
          <w:sz w:val="24"/>
          <w:szCs w:val="24"/>
        </w:rPr>
        <w:t>。合同起效日期：</w:t>
      </w:r>
      <w:r>
        <w:rPr>
          <w:rFonts w:hint="eastAsia" w:ascii="宋体" w:hAnsi="宋体"/>
          <w:sz w:val="24"/>
          <w:szCs w:val="24"/>
          <w:u w:val="single"/>
        </w:rPr>
        <w:t>2022</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2023</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如乙方在合同期内履约情况合格，则在第一年合同期满时，且甲、乙双方愿意，乙方承诺不增加服务费用的前提下，双方可续签下一年度合同，但最多续签两次。</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四、其他约定事项：</w:t>
      </w:r>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1、乙方须在甲方醒目位置悬挂服务标识(相关证照、服务项目、收费标准、规章制度、岗位职责和投诉监督电话等)。</w:t>
      </w:r>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2、乙方向甲方提供具备母婴生活护理资质的护理员，人数配比按照合同要求，一个护理员同时护理服务对象不得超过6人次，并对母婴生活护理员进行严格管理。</w:t>
      </w:r>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3、所有护理员上岗前需经过严格规范的培训，考核合格后方可上岗，更换护理员须与甲方所在病区护士长、科护士长及护理部登记报备。</w:t>
      </w:r>
    </w:p>
    <w:p>
      <w:pPr>
        <w:widowControl/>
        <w:shd w:val="clear" w:color="auto" w:fill="FFFFFF"/>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4、乙方派专人统一在线收费，护理员不得与病人或家属发生经济关系。</w:t>
      </w:r>
    </w:p>
    <w:p>
      <w:pPr>
        <w:snapToGrid w:val="0"/>
        <w:spacing w:line="360" w:lineRule="auto"/>
        <w:ind w:firstLine="480" w:firstLineChars="200"/>
        <w:rPr>
          <w:rFonts w:ascii="宋体" w:hAnsi="宋体" w:cs="宋体"/>
          <w:sz w:val="24"/>
          <w:szCs w:val="24"/>
        </w:rPr>
      </w:pPr>
      <w:r>
        <w:rPr>
          <w:rFonts w:hint="eastAsia" w:ascii="宋体" w:hAnsi="宋体" w:cs="宋体"/>
          <w:kern w:val="0"/>
          <w:sz w:val="24"/>
          <w:szCs w:val="24"/>
        </w:rPr>
        <w:t>5、乙方应通过正规渠道收集相关客户的反馈意见，及时了解母婴生活护理员的服务情况，从而改进服务质量，提高母婴生活护理员的服务水平。</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6、乙方必须按照法律、法规及劳动法的有关规定为本项目拟派服务人员办理相关手续，合法用工，双方签订劳动合同，乙方为其缴纳基本社会保险。</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7、乙方为甲方提供的服务人员在合同期内如发生因工伤、致残、疾病、死亡等各类劳动仲裁、诉讼等事宜均与甲方无关。</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8、工作过程中因乙方责任所造成的经济损失由乙方按实际额赔偿。因不可抗力因素造成增加的费用或造成甲方提供的设施损失，双方共同协商解决。</w:t>
      </w:r>
    </w:p>
    <w:p>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cs="宋体"/>
          <w:sz w:val="24"/>
          <w:szCs w:val="24"/>
        </w:rPr>
        <w:t>9、合同届满时，乙方必须做好一切交接手续，确保甲方工作的正常进行，否则视为乙方违约，造成损失的应予赔偿。如甲方因特殊原因需延期的，供应商应配合完成。</w:t>
      </w:r>
    </w:p>
    <w:p>
      <w:pPr>
        <w:snapToGrid w:val="0"/>
        <w:spacing w:line="360" w:lineRule="auto"/>
        <w:ind w:firstLine="482" w:firstLineChars="200"/>
        <w:rPr>
          <w:rFonts w:ascii="宋体" w:hAnsi="宋体" w:cs="宋体"/>
          <w:b/>
          <w:sz w:val="24"/>
          <w:szCs w:val="24"/>
        </w:rPr>
      </w:pPr>
      <w:r>
        <w:rPr>
          <w:rFonts w:hint="eastAsia" w:ascii="宋体" w:hAnsi="宋体" w:cs="宋体"/>
          <w:b/>
          <w:bCs/>
          <w:color w:val="000000"/>
          <w:sz w:val="24"/>
          <w:szCs w:val="24"/>
          <w:shd w:val="clear" w:color="auto" w:fill="FFFFFF"/>
        </w:rPr>
        <w:t>五、</w:t>
      </w:r>
      <w:r>
        <w:rPr>
          <w:rFonts w:hint="eastAsia" w:ascii="宋体" w:hAnsi="宋体" w:cs="宋体"/>
          <w:b/>
          <w:sz w:val="24"/>
          <w:szCs w:val="24"/>
        </w:rPr>
        <w:t>疫情防控特别约定</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1、乙方</w:t>
      </w:r>
      <w:r>
        <w:rPr>
          <w:rFonts w:ascii="宋体" w:hAnsi="宋体" w:cs="宋体"/>
          <w:sz w:val="24"/>
          <w:szCs w:val="24"/>
        </w:rPr>
        <w:t>应强化护理员</w:t>
      </w:r>
      <w:r>
        <w:rPr>
          <w:rFonts w:hint="eastAsia" w:ascii="宋体" w:hAnsi="宋体" w:cs="宋体"/>
          <w:sz w:val="24"/>
          <w:szCs w:val="24"/>
        </w:rPr>
        <w:t>疫情防控</w:t>
      </w:r>
      <w:r>
        <w:rPr>
          <w:rFonts w:ascii="宋体" w:hAnsi="宋体" w:cs="宋体"/>
          <w:sz w:val="24"/>
          <w:szCs w:val="24"/>
        </w:rPr>
        <w:t>的日常管理。建立护理员涉及健康事项逐日报告制度，包括（但不限于）以下事项:</w:t>
      </w:r>
    </w:p>
    <w:p>
      <w:pPr>
        <w:snapToGrid w:val="0"/>
        <w:spacing w:line="360" w:lineRule="auto"/>
        <w:ind w:firstLine="480" w:firstLineChars="200"/>
        <w:rPr>
          <w:rFonts w:ascii="宋体" w:hAnsi="宋体" w:cs="宋体"/>
          <w:sz w:val="24"/>
          <w:szCs w:val="24"/>
        </w:rPr>
      </w:pPr>
      <w:r>
        <w:rPr>
          <w:rFonts w:ascii="宋体" w:hAnsi="宋体" w:cs="宋体"/>
          <w:sz w:val="24"/>
          <w:szCs w:val="24"/>
        </w:rPr>
        <w:t>（1）本人及同住人是否有</w:t>
      </w:r>
      <w:r>
        <w:rPr>
          <w:rFonts w:hint="eastAsia" w:ascii="宋体" w:hAnsi="宋体" w:cs="宋体"/>
          <w:sz w:val="24"/>
          <w:szCs w:val="24"/>
        </w:rPr>
        <w:t>发热、干咳、乏力、嗅觉和味觉减退、鼻塞、流涕、咽痛、结膜炎、肌痛、腹泻等十大新冠肺炎相关症状。</w:t>
      </w:r>
    </w:p>
    <w:p>
      <w:pPr>
        <w:snapToGrid w:val="0"/>
        <w:spacing w:line="360" w:lineRule="auto"/>
        <w:ind w:firstLine="480" w:firstLineChars="200"/>
        <w:rPr>
          <w:rFonts w:ascii="宋体" w:hAnsi="宋体" w:cs="宋体"/>
          <w:sz w:val="24"/>
          <w:szCs w:val="24"/>
        </w:rPr>
      </w:pPr>
      <w:r>
        <w:rPr>
          <w:rFonts w:ascii="宋体" w:hAnsi="宋体" w:cs="宋体"/>
          <w:sz w:val="24"/>
          <w:szCs w:val="24"/>
        </w:rPr>
        <w:t>（2）本人及同住人近期是否有中高风险</w:t>
      </w:r>
      <w:r>
        <w:rPr>
          <w:rFonts w:hint="eastAsia" w:ascii="宋体" w:hAnsi="宋体" w:cs="宋体"/>
          <w:sz w:val="24"/>
          <w:szCs w:val="24"/>
        </w:rPr>
        <w:t>地</w:t>
      </w:r>
      <w:r>
        <w:rPr>
          <w:rFonts w:ascii="宋体" w:hAnsi="宋体" w:cs="宋体"/>
          <w:sz w:val="24"/>
          <w:szCs w:val="24"/>
        </w:rPr>
        <w:t>区旅行。</w:t>
      </w:r>
    </w:p>
    <w:p>
      <w:pPr>
        <w:snapToGrid w:val="0"/>
        <w:spacing w:line="360" w:lineRule="auto"/>
        <w:ind w:firstLine="480" w:firstLineChars="200"/>
        <w:rPr>
          <w:rFonts w:ascii="宋体" w:hAnsi="宋体" w:cs="宋体"/>
          <w:sz w:val="24"/>
          <w:szCs w:val="24"/>
        </w:rPr>
      </w:pPr>
      <w:r>
        <w:rPr>
          <w:rFonts w:ascii="宋体" w:hAnsi="宋体" w:cs="宋体"/>
          <w:sz w:val="24"/>
          <w:szCs w:val="24"/>
        </w:rPr>
        <w:t>（3）本人及同住人是否被通知系“密接”或“密接的密接”等。</w:t>
      </w:r>
    </w:p>
    <w:p>
      <w:pPr>
        <w:snapToGrid w:val="0"/>
        <w:spacing w:line="360" w:lineRule="auto"/>
        <w:ind w:firstLine="480" w:firstLineChars="200"/>
        <w:rPr>
          <w:rFonts w:ascii="宋体" w:hAnsi="宋体" w:cs="宋体"/>
          <w:sz w:val="24"/>
          <w:szCs w:val="24"/>
        </w:rPr>
      </w:pPr>
      <w:r>
        <w:rPr>
          <w:rFonts w:ascii="宋体" w:hAnsi="宋体" w:cs="宋体"/>
          <w:sz w:val="24"/>
          <w:szCs w:val="24"/>
        </w:rPr>
        <w:t>（4）本人及同住人是否有任何一种传染病或</w:t>
      </w:r>
      <w:r>
        <w:rPr>
          <w:rFonts w:hint="eastAsia" w:ascii="宋体" w:hAnsi="宋体" w:cs="宋体"/>
          <w:sz w:val="24"/>
          <w:szCs w:val="24"/>
        </w:rPr>
        <w:t>有</w:t>
      </w:r>
      <w:r>
        <w:rPr>
          <w:rFonts w:ascii="宋体" w:hAnsi="宋体" w:cs="宋体"/>
          <w:sz w:val="24"/>
          <w:szCs w:val="24"/>
        </w:rPr>
        <w:t>传染可能的</w:t>
      </w:r>
      <w:r>
        <w:rPr>
          <w:rFonts w:hint="eastAsia" w:ascii="宋体" w:hAnsi="宋体" w:cs="宋体"/>
          <w:sz w:val="24"/>
          <w:szCs w:val="24"/>
        </w:rPr>
        <w:t>疾病。</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2、乙方发现护理员有任何传染病或有传染可能的疾病，应在第一时间报告甲方并撤回护理员。并按照甲方要求采取相应措施。</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3、乙方逐日防疫管理的电子或书面原始记录，应于每月底集中报送甲方。</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4、乙方应建立防疫管理制度，并严格执行，因乙方疏忽给甲方造成的疫情损失（含患者的连带赔付），由乙方承担所有责任。</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5、因乙方护理员原因导致疫情或者其它传染病传播的，乙方必须赔偿所有损失。</w:t>
      </w:r>
    </w:p>
    <w:p>
      <w:pPr>
        <w:snapToGrid w:val="0"/>
        <w:spacing w:line="360" w:lineRule="auto"/>
        <w:ind w:firstLine="480" w:firstLineChars="200"/>
        <w:rPr>
          <w:rFonts w:ascii="宋体" w:hAnsi="宋体" w:cs="宋体"/>
          <w:b/>
          <w:bCs/>
          <w:color w:val="000000"/>
          <w:sz w:val="24"/>
          <w:szCs w:val="24"/>
          <w:shd w:val="clear" w:color="auto" w:fill="FFFFFF"/>
        </w:rPr>
      </w:pPr>
      <w:r>
        <w:rPr>
          <w:rFonts w:hint="eastAsia" w:ascii="宋体" w:hAnsi="宋体" w:cs="宋体"/>
          <w:sz w:val="24"/>
          <w:szCs w:val="24"/>
        </w:rPr>
        <w:t>6、因甲方未执行国家规定的防疫政策，导致乙方工作人员发生感染导致的损失，由甲方承担所有责任。隔离病房非甲方要求，乙方人员不得进入。</w:t>
      </w:r>
    </w:p>
    <w:p>
      <w:pPr>
        <w:snapToGrid w:val="0"/>
        <w:spacing w:line="360" w:lineRule="auto"/>
        <w:ind w:left="420" w:leftChars="200"/>
        <w:rPr>
          <w:rFonts w:ascii="宋体" w:hAnsi="宋体" w:cs="宋体"/>
          <w:b/>
          <w:bCs/>
          <w:color w:val="000000"/>
          <w:sz w:val="24"/>
          <w:szCs w:val="24"/>
          <w:shd w:val="clear" w:color="auto" w:fill="FFFFFF"/>
        </w:rPr>
      </w:pPr>
      <w:r>
        <w:rPr>
          <w:rFonts w:hint="eastAsia" w:ascii="宋体" w:hAnsi="宋体" w:cs="宋体"/>
          <w:b/>
          <w:bCs/>
          <w:color w:val="000000"/>
          <w:sz w:val="24"/>
          <w:szCs w:val="24"/>
          <w:shd w:val="clear" w:color="auto" w:fill="FFFFFF"/>
        </w:rPr>
        <w:t>六、甲方的权力和义务</w:t>
      </w:r>
    </w:p>
    <w:p>
      <w:pPr>
        <w:snapToGrid w:val="0"/>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1、</w:t>
      </w:r>
      <w:r>
        <w:rPr>
          <w:rFonts w:hint="eastAsia" w:ascii="宋体" w:hAnsi="宋体" w:cs="宋体"/>
          <w:bCs/>
          <w:color w:val="000000"/>
          <w:sz w:val="24"/>
          <w:szCs w:val="24"/>
        </w:rPr>
        <w:t>甲方派出项目协调员</w:t>
      </w:r>
      <w:r>
        <w:rPr>
          <w:rFonts w:hint="eastAsia" w:ascii="Malgun Gothic" w:hAnsi="Malgun Gothic" w:eastAsia="等线 Light" w:cs="等线 Light"/>
          <w:bCs/>
          <w:color w:val="000000"/>
          <w:sz w:val="24"/>
          <w:szCs w:val="24"/>
        </w:rPr>
        <w:t>1</w:t>
      </w:r>
      <w:r>
        <w:rPr>
          <w:rFonts w:hint="eastAsia" w:ascii="宋体" w:hAnsi="宋体" w:cs="宋体"/>
          <w:bCs/>
          <w:color w:val="000000"/>
          <w:sz w:val="24"/>
          <w:szCs w:val="24"/>
        </w:rPr>
        <w:t>名，代表院方负责沟通协调工作（注：项目协调员为甲方分管人员兼职）。</w:t>
      </w:r>
    </w:p>
    <w:p>
      <w:pPr>
        <w:snapToGrid w:val="0"/>
        <w:spacing w:line="360" w:lineRule="auto"/>
        <w:ind w:firstLine="480" w:firstLineChars="200"/>
        <w:textAlignment w:val="baseline"/>
        <w:rPr>
          <w:rFonts w:ascii="宋体" w:hAnsi="宋体" w:cs="宋体"/>
          <w:bCs/>
          <w:color w:val="000000"/>
          <w:kern w:val="0"/>
          <w:sz w:val="24"/>
          <w:szCs w:val="24"/>
        </w:rPr>
      </w:pPr>
      <w:r>
        <w:rPr>
          <w:rFonts w:hint="eastAsia" w:ascii="宋体" w:hAnsi="宋体" w:cs="宋体"/>
          <w:kern w:val="0"/>
          <w:sz w:val="24"/>
          <w:szCs w:val="24"/>
        </w:rPr>
        <w:t>2、甲方有权对乙方管理及派驻</w:t>
      </w:r>
      <w:r>
        <w:rPr>
          <w:rFonts w:hint="eastAsia" w:ascii="宋体" w:hAnsi="宋体" w:cs="宋体"/>
          <w:bCs/>
          <w:color w:val="000000"/>
          <w:kern w:val="0"/>
          <w:sz w:val="24"/>
          <w:szCs w:val="24"/>
        </w:rPr>
        <w:t>的护理员工作进行监督检查，并有权对</w:t>
      </w:r>
      <w:r>
        <w:rPr>
          <w:rFonts w:hint="eastAsia" w:ascii="宋体" w:hAnsi="宋体" w:cs="宋体"/>
          <w:kern w:val="0"/>
          <w:sz w:val="24"/>
          <w:szCs w:val="24"/>
        </w:rPr>
        <w:t>乙方</w:t>
      </w:r>
      <w:r>
        <w:rPr>
          <w:rFonts w:hint="eastAsia" w:ascii="宋体" w:hAnsi="宋体" w:cs="宋体"/>
          <w:bCs/>
          <w:color w:val="000000"/>
          <w:kern w:val="0"/>
          <w:sz w:val="24"/>
          <w:szCs w:val="24"/>
        </w:rPr>
        <w:t>每位上岗护理员资格证进行审核，有权要求</w:t>
      </w:r>
      <w:r>
        <w:rPr>
          <w:rFonts w:hint="eastAsia" w:ascii="宋体" w:hAnsi="宋体" w:cs="宋体"/>
          <w:kern w:val="0"/>
          <w:sz w:val="24"/>
          <w:szCs w:val="24"/>
        </w:rPr>
        <w:t>乙方</w:t>
      </w:r>
      <w:r>
        <w:rPr>
          <w:rFonts w:hint="eastAsia" w:ascii="宋体" w:hAnsi="宋体" w:cs="宋体"/>
          <w:bCs/>
          <w:color w:val="000000"/>
          <w:kern w:val="0"/>
          <w:sz w:val="24"/>
          <w:szCs w:val="24"/>
        </w:rPr>
        <w:t>对违反服务承诺的事项和不称职的护理员限期整改或撤换。</w:t>
      </w:r>
    </w:p>
    <w:p>
      <w:pPr>
        <w:snapToGrid w:val="0"/>
        <w:spacing w:line="360"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3、甲方有义务配合</w:t>
      </w:r>
      <w:r>
        <w:rPr>
          <w:rFonts w:hint="eastAsia" w:ascii="宋体" w:hAnsi="宋体" w:cs="宋体"/>
          <w:kern w:val="0"/>
          <w:sz w:val="24"/>
          <w:szCs w:val="24"/>
        </w:rPr>
        <w:t>乙方</w:t>
      </w:r>
      <w:r>
        <w:rPr>
          <w:rFonts w:hint="eastAsia" w:ascii="宋体" w:hAnsi="宋体" w:cs="宋体"/>
          <w:bCs/>
          <w:color w:val="000000"/>
          <w:kern w:val="0"/>
          <w:sz w:val="24"/>
          <w:szCs w:val="24"/>
        </w:rPr>
        <w:t>进行医院内零散无证护工的清理工作，并在合同期内禁止第三方介入病区开展生活照护工作，及时有效的维护优质生活护理病区的服务秩序，更好的起到监管作用。</w:t>
      </w:r>
    </w:p>
    <w:p>
      <w:pPr>
        <w:snapToGrid w:val="0"/>
        <w:spacing w:line="360"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4、乙方护理员应服从甲方护理部的统一管理，对不能满足服务要求的护理员，甲方可向</w:t>
      </w:r>
      <w:r>
        <w:rPr>
          <w:rFonts w:hint="eastAsia" w:ascii="宋体" w:hAnsi="宋体" w:cs="宋体"/>
          <w:kern w:val="0"/>
          <w:sz w:val="24"/>
          <w:szCs w:val="24"/>
        </w:rPr>
        <w:t>乙方</w:t>
      </w:r>
      <w:r>
        <w:rPr>
          <w:rFonts w:hint="eastAsia" w:ascii="宋体" w:hAnsi="宋体" w:cs="宋体"/>
          <w:bCs/>
          <w:color w:val="000000"/>
          <w:kern w:val="0"/>
          <w:sz w:val="24"/>
          <w:szCs w:val="24"/>
        </w:rPr>
        <w:t>提出更换人员。如</w:t>
      </w:r>
      <w:r>
        <w:rPr>
          <w:rFonts w:hint="eastAsia" w:ascii="宋体" w:hAnsi="宋体" w:cs="宋体"/>
          <w:kern w:val="0"/>
          <w:sz w:val="24"/>
          <w:szCs w:val="24"/>
        </w:rPr>
        <w:t>乙方</w:t>
      </w:r>
      <w:r>
        <w:rPr>
          <w:rFonts w:hint="eastAsia" w:ascii="宋体" w:hAnsi="宋体" w:cs="宋体"/>
          <w:bCs/>
          <w:color w:val="000000"/>
          <w:kern w:val="0"/>
          <w:sz w:val="24"/>
          <w:szCs w:val="24"/>
        </w:rPr>
        <w:t>需更换在院服务的护理员，需经护理部审核批准，否则视作违约并给予一定的经济处罚。</w:t>
      </w:r>
    </w:p>
    <w:p>
      <w:pPr>
        <w:snapToGrid w:val="0"/>
        <w:spacing w:line="360"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5、甲方实行考核管理制度，对</w:t>
      </w:r>
      <w:r>
        <w:rPr>
          <w:rFonts w:hint="eastAsia" w:ascii="宋体" w:hAnsi="宋体" w:cs="宋体"/>
          <w:kern w:val="0"/>
          <w:sz w:val="24"/>
          <w:szCs w:val="24"/>
        </w:rPr>
        <w:t>乙方</w:t>
      </w:r>
      <w:r>
        <w:rPr>
          <w:rFonts w:hint="eastAsia" w:ascii="宋体" w:hAnsi="宋体" w:cs="宋体"/>
          <w:bCs/>
          <w:color w:val="000000"/>
          <w:kern w:val="0"/>
          <w:sz w:val="24"/>
          <w:szCs w:val="24"/>
        </w:rPr>
        <w:t>护理员的服务质量给予考评，考评与护理员绩效挂钩，</w:t>
      </w:r>
      <w:r>
        <w:rPr>
          <w:rFonts w:hint="eastAsia" w:ascii="宋体" w:hAnsi="宋体" w:cs="宋体"/>
          <w:kern w:val="0"/>
          <w:sz w:val="24"/>
          <w:szCs w:val="24"/>
        </w:rPr>
        <w:t>乙方</w:t>
      </w:r>
      <w:r>
        <w:rPr>
          <w:rFonts w:hint="eastAsia" w:ascii="宋体" w:hAnsi="宋体" w:cs="宋体"/>
          <w:bCs/>
          <w:color w:val="000000"/>
          <w:kern w:val="0"/>
          <w:sz w:val="24"/>
          <w:szCs w:val="24"/>
        </w:rPr>
        <w:t>对考核不合格的护理员应加强管理，否则甲方有权向</w:t>
      </w:r>
      <w:r>
        <w:rPr>
          <w:rFonts w:hint="eastAsia" w:ascii="宋体" w:hAnsi="宋体" w:cs="宋体"/>
          <w:kern w:val="0"/>
          <w:sz w:val="24"/>
          <w:szCs w:val="24"/>
        </w:rPr>
        <w:t>乙方</w:t>
      </w:r>
      <w:r>
        <w:rPr>
          <w:rFonts w:hint="eastAsia" w:ascii="宋体" w:hAnsi="宋体" w:cs="宋体"/>
          <w:bCs/>
          <w:color w:val="000000"/>
          <w:kern w:val="0"/>
          <w:sz w:val="24"/>
          <w:szCs w:val="24"/>
        </w:rPr>
        <w:t>提出终止合同。</w:t>
      </w:r>
    </w:p>
    <w:p>
      <w:pPr>
        <w:snapToGrid w:val="0"/>
        <w:spacing w:line="360"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6、甲方每季度对</w:t>
      </w:r>
      <w:r>
        <w:rPr>
          <w:rFonts w:hint="eastAsia" w:ascii="宋体" w:hAnsi="宋体" w:cs="宋体"/>
          <w:kern w:val="0"/>
          <w:sz w:val="24"/>
          <w:szCs w:val="24"/>
        </w:rPr>
        <w:t>乙方</w:t>
      </w:r>
      <w:r>
        <w:rPr>
          <w:rFonts w:hint="eastAsia" w:ascii="宋体" w:hAnsi="宋体" w:cs="宋体"/>
          <w:bCs/>
          <w:color w:val="000000"/>
          <w:kern w:val="0"/>
          <w:sz w:val="24"/>
          <w:szCs w:val="24"/>
        </w:rPr>
        <w:t>的管理及服务进行一次全面考核评定，同时要求</w:t>
      </w:r>
      <w:r>
        <w:rPr>
          <w:rFonts w:hint="eastAsia" w:ascii="宋体" w:hAnsi="宋体" w:cs="宋体"/>
          <w:kern w:val="0"/>
          <w:sz w:val="24"/>
          <w:szCs w:val="24"/>
        </w:rPr>
        <w:t>乙方</w:t>
      </w:r>
      <w:r>
        <w:rPr>
          <w:rFonts w:hint="eastAsia" w:ascii="宋体" w:hAnsi="宋体" w:cs="宋体"/>
          <w:bCs/>
          <w:color w:val="000000"/>
          <w:kern w:val="0"/>
          <w:sz w:val="24"/>
          <w:szCs w:val="24"/>
        </w:rPr>
        <w:t>按双方约定的管理标准提供管理报告等资料和信息。</w:t>
      </w:r>
    </w:p>
    <w:p>
      <w:pPr>
        <w:snapToGrid w:val="0"/>
        <w:spacing w:line="360" w:lineRule="auto"/>
        <w:ind w:left="420" w:leftChars="200"/>
        <w:rPr>
          <w:rFonts w:ascii="宋体" w:hAnsi="宋体" w:cs="宋体"/>
          <w:b/>
          <w:bCs/>
          <w:color w:val="000000"/>
          <w:sz w:val="24"/>
          <w:szCs w:val="24"/>
          <w:shd w:val="clear" w:color="auto" w:fill="FFFFFF"/>
        </w:rPr>
      </w:pPr>
      <w:r>
        <w:rPr>
          <w:rFonts w:hint="eastAsia" w:ascii="宋体" w:hAnsi="宋体" w:cs="宋体"/>
          <w:b/>
          <w:bCs/>
          <w:color w:val="000000"/>
          <w:sz w:val="24"/>
          <w:szCs w:val="24"/>
          <w:shd w:val="clear" w:color="auto" w:fill="FFFFFF"/>
        </w:rPr>
        <w:t>七、乙方的权力和义务</w:t>
      </w:r>
    </w:p>
    <w:p>
      <w:pPr>
        <w:snapToGrid w:val="0"/>
        <w:spacing w:line="360"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1、乙方须制定各项管理办法、规章制度、实施方案，自主开展各项管理服务活动。接受甲方及上级主管部门及有关政府部门的监督、指导。</w:t>
      </w:r>
    </w:p>
    <w:p>
      <w:pPr>
        <w:snapToGrid w:val="0"/>
        <w:spacing w:line="360"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2、乙方负责与护理员签订劳动合同（或劳务协议），负责劳动管理，为护理员依法提供劳动保护待遇，乙方护理员在服务过程中出现的人身、财产损害事故，均由乙方负责处理，并承担相应法律责任，与甲方无关。</w:t>
      </w:r>
    </w:p>
    <w:p>
      <w:pPr>
        <w:snapToGrid w:val="0"/>
        <w:spacing w:line="360"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3、遵照国家收费管理规定，按服务项目、服务内容、服务标准，测算收费标准，严格按合同规定的收费标准收取。乙方须维护甲方形象、声誉，不得损害甲方的合法权益，获取不当利益。</w:t>
      </w:r>
    </w:p>
    <w:p>
      <w:pPr>
        <w:snapToGrid w:val="0"/>
        <w:spacing w:line="360"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4、甲方就服务质量向乙方提出整改意见的，乙方应在3个工作日内采取有效措施给予纠正和改进。</w:t>
      </w:r>
    </w:p>
    <w:p>
      <w:pPr>
        <w:snapToGrid w:val="0"/>
        <w:spacing w:line="360"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5、乙方应积极妥善处理劳动纠纷、护患纠纷。如因处理矛盾纠纷不力、不及时，影响甲方医疗秩序的，乙方应承担相应的赔偿责任。</w:t>
      </w:r>
    </w:p>
    <w:p>
      <w:pPr>
        <w:snapToGrid w:val="0"/>
        <w:spacing w:line="360"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6、如在生活照护过程中，乙方方护理员因操作不当引发的安全问题由乙方负责，承担全部经济赔偿，与甲方无关。</w:t>
      </w:r>
    </w:p>
    <w:p>
      <w:pPr>
        <w:snapToGrid w:val="0"/>
        <w:spacing w:line="360"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7、乙方有权根据南通市最低工资标准及社保最低缴纳基数浮动调整服务价格，但与甲方约定的合同结算标准不变。</w:t>
      </w:r>
    </w:p>
    <w:p>
      <w:pPr>
        <w:snapToGrid w:val="0"/>
        <w:spacing w:line="360"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8、乙方护理员不得在甲方工作场所从事与工作无关的工作内容，否则予以处罚。</w:t>
      </w:r>
    </w:p>
    <w:p>
      <w:pPr>
        <w:snapToGrid w:val="0"/>
        <w:spacing w:line="360" w:lineRule="auto"/>
        <w:ind w:firstLine="480" w:firstLineChars="200"/>
        <w:textAlignment w:val="baseline"/>
        <w:rPr>
          <w:rFonts w:ascii="宋体" w:hAnsi="宋体" w:cs="宋体"/>
          <w:bCs/>
          <w:color w:val="000000"/>
          <w:kern w:val="0"/>
          <w:sz w:val="24"/>
          <w:szCs w:val="24"/>
        </w:rPr>
      </w:pPr>
      <w:r>
        <w:rPr>
          <w:rFonts w:hint="eastAsia" w:ascii="宋体" w:hAnsi="宋体" w:cs="宋体"/>
          <w:bCs/>
          <w:color w:val="000000"/>
          <w:kern w:val="0"/>
          <w:sz w:val="24"/>
          <w:szCs w:val="24"/>
        </w:rPr>
        <w:t>9、乙方负责护理员疫情防控的日常管理，建立并落实护理员健康报告制度。</w:t>
      </w:r>
    </w:p>
    <w:p>
      <w:pPr>
        <w:pStyle w:val="24"/>
        <w:snapToGrid w:val="0"/>
        <w:spacing w:line="360" w:lineRule="auto"/>
        <w:ind w:right="-315" w:rightChars="-150" w:firstLine="480" w:firstLineChars="200"/>
        <w:rPr>
          <w:rFonts w:hAnsi="宋体" w:cs="宋体"/>
          <w:sz w:val="24"/>
          <w:szCs w:val="24"/>
        </w:rPr>
      </w:pPr>
      <w:r>
        <w:rPr>
          <w:rFonts w:hint="eastAsia" w:hAnsi="宋体" w:cs="宋体"/>
          <w:kern w:val="2"/>
          <w:sz w:val="24"/>
          <w:szCs w:val="24"/>
        </w:rPr>
        <w:t>八、</w:t>
      </w:r>
      <w:r>
        <w:rPr>
          <w:rFonts w:hint="eastAsia" w:hAnsi="宋体" w:cs="宋体"/>
          <w:sz w:val="24"/>
          <w:szCs w:val="24"/>
        </w:rPr>
        <w:t>乙方有下列行为之一，一经查实，甲方有权单方面终止合同，并向乙方追究经济赔偿：</w:t>
      </w:r>
    </w:p>
    <w:p>
      <w:pPr>
        <w:widowControl/>
        <w:shd w:val="clear" w:color="auto" w:fill="FFFFFF"/>
        <w:snapToGrid w:val="0"/>
        <w:spacing w:line="360" w:lineRule="auto"/>
        <w:ind w:firstLine="480" w:firstLineChars="200"/>
        <w:jc w:val="left"/>
        <w:textAlignment w:val="baseline"/>
        <w:rPr>
          <w:rFonts w:ascii="宋体" w:hAnsi="宋体" w:cs="宋体"/>
          <w:kern w:val="0"/>
          <w:sz w:val="24"/>
          <w:szCs w:val="24"/>
        </w:rPr>
      </w:pPr>
      <w:r>
        <w:rPr>
          <w:rFonts w:hint="eastAsia" w:ascii="宋体" w:hAnsi="宋体" w:cs="宋体"/>
          <w:kern w:val="0"/>
          <w:sz w:val="24"/>
          <w:szCs w:val="24"/>
        </w:rPr>
        <w:t>1、向甲方送礼品、给回扣、报销费用等不正常竞争行为的；</w:t>
      </w:r>
    </w:p>
    <w:p>
      <w:pPr>
        <w:widowControl/>
        <w:shd w:val="clear" w:color="auto" w:fill="FFFFFF"/>
        <w:snapToGrid w:val="0"/>
        <w:spacing w:line="360" w:lineRule="auto"/>
        <w:ind w:firstLine="480" w:firstLineChars="200"/>
        <w:jc w:val="left"/>
        <w:textAlignment w:val="baseline"/>
        <w:rPr>
          <w:rFonts w:ascii="宋体" w:hAnsi="宋体" w:cs="宋体"/>
          <w:kern w:val="0"/>
          <w:sz w:val="24"/>
          <w:szCs w:val="24"/>
        </w:rPr>
      </w:pPr>
      <w:r>
        <w:rPr>
          <w:rFonts w:hint="eastAsia" w:ascii="宋体" w:hAnsi="宋体" w:cs="宋体"/>
          <w:kern w:val="0"/>
          <w:sz w:val="24"/>
          <w:szCs w:val="24"/>
        </w:rPr>
        <w:t>2、乙方不能正常配送或者弄虚作假或者以次充好；</w:t>
      </w:r>
    </w:p>
    <w:p>
      <w:pPr>
        <w:widowControl/>
        <w:shd w:val="clear" w:color="auto" w:fill="FFFFFF"/>
        <w:snapToGrid w:val="0"/>
        <w:spacing w:line="360" w:lineRule="auto"/>
        <w:ind w:firstLine="480" w:firstLineChars="200"/>
        <w:jc w:val="left"/>
        <w:textAlignment w:val="baseline"/>
        <w:rPr>
          <w:rFonts w:ascii="宋体" w:hAnsi="宋体" w:cs="宋体"/>
          <w:kern w:val="0"/>
          <w:sz w:val="24"/>
          <w:szCs w:val="24"/>
        </w:rPr>
      </w:pPr>
      <w:r>
        <w:rPr>
          <w:rFonts w:hint="eastAsia" w:ascii="宋体" w:hAnsi="宋体" w:cs="宋体"/>
          <w:kern w:val="0"/>
          <w:sz w:val="24"/>
          <w:szCs w:val="24"/>
        </w:rPr>
        <w:t>3、未按照合同价格计算费用。</w:t>
      </w:r>
    </w:p>
    <w:p>
      <w:pPr>
        <w:widowControl/>
        <w:shd w:val="clear" w:color="auto" w:fill="FFFFFF"/>
        <w:snapToGrid w:val="0"/>
        <w:spacing w:line="360" w:lineRule="auto"/>
        <w:ind w:firstLine="480" w:firstLineChars="200"/>
        <w:jc w:val="left"/>
        <w:textAlignment w:val="baseline"/>
        <w:rPr>
          <w:rFonts w:ascii="宋体" w:hAnsi="宋体" w:cs="宋体"/>
          <w:kern w:val="0"/>
          <w:sz w:val="24"/>
          <w:szCs w:val="24"/>
        </w:rPr>
      </w:pPr>
      <w:r>
        <w:rPr>
          <w:rFonts w:hint="eastAsia" w:ascii="宋体" w:hAnsi="宋体" w:cs="宋体"/>
          <w:kern w:val="0"/>
          <w:sz w:val="24"/>
          <w:szCs w:val="24"/>
        </w:rPr>
        <w:t>4、拒绝接受甲方监督、检查、检验的。</w:t>
      </w:r>
    </w:p>
    <w:p>
      <w:pPr>
        <w:widowControl/>
        <w:shd w:val="clear" w:color="auto" w:fill="FFFFFF"/>
        <w:snapToGrid w:val="0"/>
        <w:spacing w:line="360" w:lineRule="auto"/>
        <w:ind w:firstLine="480" w:firstLineChars="200"/>
        <w:jc w:val="left"/>
        <w:textAlignment w:val="baseline"/>
        <w:rPr>
          <w:rFonts w:ascii="宋体" w:hAnsi="宋体" w:cs="宋体"/>
          <w:kern w:val="0"/>
          <w:sz w:val="24"/>
          <w:szCs w:val="24"/>
        </w:rPr>
      </w:pPr>
      <w:r>
        <w:rPr>
          <w:rFonts w:hint="eastAsia" w:ascii="宋体" w:hAnsi="宋体" w:cs="宋体"/>
          <w:kern w:val="0"/>
          <w:sz w:val="24"/>
          <w:szCs w:val="24"/>
        </w:rPr>
        <w:t>5、未经甲方同意，将合同部分或全部权利、义务转让给第三方。</w:t>
      </w:r>
    </w:p>
    <w:p>
      <w:pPr>
        <w:pStyle w:val="24"/>
        <w:snapToGrid w:val="0"/>
        <w:spacing w:line="360" w:lineRule="auto"/>
        <w:ind w:left="-420" w:leftChars="-200" w:right="-315" w:rightChars="-150" w:firstLine="960" w:firstLineChars="400"/>
        <w:rPr>
          <w:rFonts w:hAnsi="宋体" w:cs="宋体"/>
          <w:kern w:val="2"/>
          <w:sz w:val="24"/>
          <w:szCs w:val="24"/>
        </w:rPr>
      </w:pPr>
      <w:r>
        <w:rPr>
          <w:rFonts w:hint="eastAsia" w:hAnsi="宋体" w:cs="宋体"/>
          <w:kern w:val="2"/>
          <w:sz w:val="24"/>
          <w:szCs w:val="24"/>
        </w:rPr>
        <w:t>九、争议的解决办法：</w:t>
      </w:r>
    </w:p>
    <w:p>
      <w:pPr>
        <w:snapToGrid w:val="0"/>
        <w:spacing w:line="360" w:lineRule="auto"/>
        <w:ind w:firstLine="480" w:firstLineChars="200"/>
        <w:textAlignment w:val="baseline"/>
        <w:rPr>
          <w:rFonts w:ascii="宋体" w:hAnsi="宋体" w:cs="宋体"/>
          <w:bCs/>
          <w:sz w:val="24"/>
          <w:szCs w:val="24"/>
        </w:rPr>
      </w:pPr>
      <w:r>
        <w:rPr>
          <w:rFonts w:hint="eastAsia" w:ascii="宋体" w:hAnsi="宋体" w:cs="宋体"/>
          <w:bCs/>
          <w:sz w:val="24"/>
          <w:szCs w:val="24"/>
        </w:rPr>
        <w:t>本合同未尽事宜双方应友好协商解决；如协商不成，</w:t>
      </w:r>
      <w:r>
        <w:rPr>
          <w:rFonts w:hint="eastAsia" w:ascii="宋体" w:hAnsi="宋体" w:cs="宋体"/>
          <w:bCs/>
          <w:color w:val="000000"/>
          <w:sz w:val="24"/>
          <w:szCs w:val="24"/>
        </w:rPr>
        <w:t>提请市卫健委调解，调解不成的，提交南通市仲裁委员会依法裁决。</w:t>
      </w:r>
    </w:p>
    <w:p>
      <w:pPr>
        <w:snapToGrid w:val="0"/>
        <w:spacing w:line="360" w:lineRule="auto"/>
        <w:ind w:firstLine="480" w:firstLineChars="200"/>
        <w:textAlignment w:val="baseline"/>
        <w:rPr>
          <w:rFonts w:ascii="宋体" w:hAnsi="宋体" w:cs="宋体"/>
          <w:bCs/>
          <w:sz w:val="24"/>
          <w:szCs w:val="24"/>
          <w:highlight w:val="cyan"/>
        </w:rPr>
      </w:pPr>
      <w:r>
        <w:rPr>
          <w:rFonts w:hint="eastAsia" w:ascii="宋体" w:hAnsi="宋体" w:cs="宋体"/>
          <w:bCs/>
          <w:sz w:val="24"/>
          <w:szCs w:val="24"/>
        </w:rPr>
        <w:t>十、合同一式肆份，双方各执贰份，具有同等法律效力。</w:t>
      </w:r>
    </w:p>
    <w:p>
      <w:pPr>
        <w:snapToGrid w:val="0"/>
        <w:spacing w:line="360" w:lineRule="auto"/>
        <w:ind w:firstLine="480" w:firstLineChars="200"/>
        <w:textAlignment w:val="baseline"/>
        <w:rPr>
          <w:rFonts w:ascii="宋体" w:hAnsi="宋体" w:cs="宋体"/>
          <w:bCs/>
          <w:sz w:val="24"/>
          <w:szCs w:val="24"/>
        </w:rPr>
      </w:pPr>
      <w:r>
        <w:rPr>
          <w:rFonts w:hint="eastAsia" w:ascii="宋体" w:hAnsi="宋体" w:cs="宋体"/>
          <w:bCs/>
          <w:sz w:val="24"/>
          <w:szCs w:val="24"/>
        </w:rPr>
        <w:t>十一、本合同在乙方缴纳履约保证金，且经双方签字盖章后生效。</w:t>
      </w:r>
    </w:p>
    <w:p>
      <w:pPr>
        <w:snapToGrid w:val="0"/>
        <w:spacing w:line="360" w:lineRule="auto"/>
        <w:ind w:firstLine="480" w:firstLineChars="200"/>
        <w:textAlignment w:val="baseline"/>
        <w:rPr>
          <w:rFonts w:ascii="宋体" w:hAnsi="宋体" w:cs="宋体"/>
          <w:bCs/>
          <w:sz w:val="24"/>
          <w:szCs w:val="24"/>
        </w:rPr>
      </w:pPr>
      <w:r>
        <w:rPr>
          <w:rFonts w:hint="eastAsia" w:ascii="宋体" w:hAnsi="宋体" w:cs="宋体"/>
          <w:bCs/>
          <w:sz w:val="24"/>
          <w:szCs w:val="24"/>
        </w:rPr>
        <w:t>十二、甲方竞争性磋商文件、乙方响应文件、会议记录均为本合同的组成部分，具有同等法律效力。</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甲方（盖章）:                             乙方（盖章）</w:t>
      </w:r>
    </w:p>
    <w:p>
      <w:pPr>
        <w:spacing w:line="360" w:lineRule="auto"/>
        <w:ind w:firstLine="480" w:firstLineChars="200"/>
        <w:rPr>
          <w:rFonts w:ascii="宋体" w:hAnsi="宋体"/>
          <w:sz w:val="24"/>
          <w:szCs w:val="24"/>
        </w:rPr>
      </w:pPr>
      <w:r>
        <w:rPr>
          <w:rFonts w:hint="eastAsia" w:ascii="宋体" w:hAnsi="宋体"/>
          <w:sz w:val="24"/>
          <w:szCs w:val="24"/>
        </w:rPr>
        <w:t>授权代表签字:</w:t>
      </w:r>
      <w:r>
        <w:rPr>
          <w:rFonts w:hint="eastAsia" w:ascii="宋体" w:hAnsi="宋体"/>
          <w:sz w:val="24"/>
          <w:szCs w:val="24"/>
        </w:rPr>
        <w:tab/>
      </w:r>
      <w:r>
        <w:rPr>
          <w:rFonts w:hint="eastAsia" w:ascii="宋体" w:hAnsi="宋体"/>
          <w:sz w:val="24"/>
          <w:szCs w:val="24"/>
        </w:rPr>
        <w:tab/>
      </w:r>
      <w:r>
        <w:rPr>
          <w:rFonts w:hint="eastAsia" w:ascii="宋体" w:hAnsi="宋体"/>
          <w:sz w:val="24"/>
          <w:szCs w:val="24"/>
        </w:rPr>
        <w:t xml:space="preserve">                        授权代表签字:</w:t>
      </w:r>
      <w:r>
        <w:rPr>
          <w:rFonts w:hint="eastAsia" w:ascii="宋体" w:hAnsi="宋体"/>
          <w:sz w:val="24"/>
          <w:szCs w:val="24"/>
        </w:rPr>
        <w:tab/>
      </w:r>
    </w:p>
    <w:p>
      <w:pPr>
        <w:spacing w:line="360" w:lineRule="auto"/>
        <w:ind w:firstLine="480" w:firstLineChars="200"/>
        <w:rPr>
          <w:rFonts w:ascii="宋体" w:hAnsi="宋体" w:cs="宋体"/>
          <w:b/>
          <w:color w:val="000000"/>
          <w:kern w:val="0"/>
          <w:sz w:val="24"/>
          <w:szCs w:val="24"/>
        </w:rPr>
      </w:pPr>
      <w:r>
        <w:rPr>
          <w:rFonts w:hint="eastAsia" w:ascii="宋体" w:hAnsi="宋体"/>
          <w:sz w:val="24"/>
          <w:szCs w:val="24"/>
        </w:rPr>
        <w:t>日期：  年   月   日                      日期:      年   月   日</w:t>
      </w:r>
      <w:bookmarkEnd w:id="75"/>
      <w:bookmarkEnd w:id="76"/>
      <w:bookmarkEnd w:id="77"/>
    </w:p>
    <w:p>
      <w:pPr>
        <w:spacing w:line="360" w:lineRule="auto"/>
        <w:ind w:firstLine="422" w:firstLineChars="200"/>
        <w:jc w:val="center"/>
        <w:textAlignment w:val="baseline"/>
        <w:rPr>
          <w:rFonts w:ascii="宋体" w:hAnsi="宋体" w:cs="仿宋"/>
          <w:b/>
          <w:bCs/>
        </w:rPr>
      </w:pPr>
    </w:p>
    <w:p>
      <w:pPr>
        <w:spacing w:line="360" w:lineRule="auto"/>
        <w:ind w:firstLine="422" w:firstLineChars="200"/>
        <w:jc w:val="center"/>
        <w:textAlignment w:val="baseline"/>
        <w:rPr>
          <w:rFonts w:ascii="宋体" w:hAnsi="宋体" w:cs="仿宋"/>
          <w:b/>
          <w:bCs/>
        </w:rPr>
      </w:pPr>
    </w:p>
    <w:p>
      <w:pPr>
        <w:spacing w:line="360" w:lineRule="auto"/>
        <w:ind w:firstLine="422" w:firstLineChars="200"/>
        <w:jc w:val="center"/>
        <w:textAlignment w:val="baseline"/>
        <w:rPr>
          <w:rFonts w:ascii="宋体" w:hAnsi="宋体" w:cs="仿宋"/>
          <w:b/>
          <w:bCs/>
        </w:rPr>
        <w:sectPr>
          <w:pgSz w:w="11906" w:h="16838"/>
          <w:pgMar w:top="1304" w:right="1085" w:bottom="1361" w:left="1361" w:header="851" w:footer="992" w:gutter="0"/>
          <w:cols w:space="720" w:num="1"/>
          <w:docGrid w:type="lines" w:linePitch="312" w:charSpace="0"/>
        </w:sectPr>
      </w:pPr>
      <w:r>
        <w:rPr>
          <w:rFonts w:hint="eastAsia" w:ascii="宋体" w:hAnsi="宋体" w:cs="仿宋"/>
          <w:b/>
          <w:bCs/>
        </w:rPr>
        <w:t>注：采购单位保留调整合同条款的权利。</w:t>
      </w:r>
    </w:p>
    <w:p>
      <w:pPr>
        <w:pStyle w:val="2"/>
      </w:pPr>
      <w:r>
        <w:rPr>
          <w:rFonts w:hint="eastAsia"/>
        </w:rPr>
        <w:t>附件：</w:t>
      </w:r>
    </w:p>
    <w:p/>
    <w:tbl>
      <w:tblPr>
        <w:tblStyle w:val="51"/>
        <w:tblW w:w="10193" w:type="dxa"/>
        <w:tblInd w:w="-257" w:type="dxa"/>
        <w:tblLayout w:type="fixed"/>
        <w:tblCellMar>
          <w:top w:w="0" w:type="dxa"/>
          <w:left w:w="108" w:type="dxa"/>
          <w:bottom w:w="0" w:type="dxa"/>
          <w:right w:w="108" w:type="dxa"/>
        </w:tblCellMar>
      </w:tblPr>
      <w:tblGrid>
        <w:gridCol w:w="1228"/>
        <w:gridCol w:w="6376"/>
        <w:gridCol w:w="886"/>
        <w:gridCol w:w="818"/>
        <w:gridCol w:w="835"/>
        <w:gridCol w:w="50"/>
      </w:tblGrid>
      <w:tr>
        <w:tblPrEx>
          <w:tblCellMar>
            <w:top w:w="0" w:type="dxa"/>
            <w:left w:w="108" w:type="dxa"/>
            <w:bottom w:w="0" w:type="dxa"/>
            <w:right w:w="108" w:type="dxa"/>
          </w:tblCellMar>
        </w:tblPrEx>
        <w:trPr>
          <w:gridAfter w:val="1"/>
          <w:wAfter w:w="50" w:type="dxa"/>
          <w:trHeight w:val="594" w:hRule="atLeast"/>
        </w:trPr>
        <w:tc>
          <w:tcPr>
            <w:tcW w:w="10143" w:type="dxa"/>
            <w:gridSpan w:val="5"/>
            <w:tcBorders>
              <w:top w:val="nil"/>
              <w:left w:val="nil"/>
              <w:bottom w:val="single" w:color="auto" w:sz="4" w:space="0"/>
              <w:right w:val="nil"/>
            </w:tcBorders>
            <w:shd w:val="clear" w:color="auto" w:fill="auto"/>
            <w:noWrap/>
            <w:vAlign w:val="center"/>
          </w:tcPr>
          <w:p>
            <w:pPr>
              <w:widowControl/>
              <w:jc w:val="center"/>
              <w:textAlignment w:val="center"/>
              <w:rPr>
                <w:rFonts w:ascii="宋体" w:hAnsi="宋体" w:cs="宋体"/>
                <w:b/>
                <w:bCs/>
                <w:color w:val="000000"/>
                <w:sz w:val="40"/>
                <w:szCs w:val="40"/>
              </w:rPr>
            </w:pPr>
            <w:r>
              <w:rPr>
                <w:rFonts w:hint="eastAsia" w:ascii="宋体" w:hAnsi="宋体" w:cs="宋体"/>
                <w:b/>
                <w:bCs/>
                <w:color w:val="000000"/>
                <w:kern w:val="0"/>
                <w:sz w:val="40"/>
                <w:szCs w:val="40"/>
                <w:lang w:bidi="ar"/>
              </w:rPr>
              <w:t>母婴护理员质量控制月考核标准</w:t>
            </w:r>
          </w:p>
        </w:tc>
      </w:tr>
      <w:tr>
        <w:tblPrEx>
          <w:tblCellMar>
            <w:top w:w="0" w:type="dxa"/>
            <w:left w:w="108" w:type="dxa"/>
            <w:bottom w:w="0" w:type="dxa"/>
            <w:right w:w="108" w:type="dxa"/>
          </w:tblCellMar>
        </w:tblPrEx>
        <w:trPr>
          <w:gridAfter w:val="1"/>
          <w:wAfter w:w="50" w:type="dxa"/>
          <w:trHeight w:val="720" w:hRule="atLeast"/>
        </w:trPr>
        <w:tc>
          <w:tcPr>
            <w:tcW w:w="1014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姓名：                            工作组：                          成绩：</w:t>
            </w:r>
          </w:p>
        </w:tc>
      </w:tr>
      <w:tr>
        <w:tblPrEx>
          <w:tblCellMar>
            <w:top w:w="0" w:type="dxa"/>
            <w:left w:w="108" w:type="dxa"/>
            <w:bottom w:w="0" w:type="dxa"/>
            <w:right w:w="108" w:type="dxa"/>
          </w:tblCellMar>
        </w:tblPrEx>
        <w:trPr>
          <w:trHeight w:val="600" w:hRule="atLeast"/>
        </w:trPr>
        <w:tc>
          <w:tcPr>
            <w:tcW w:w="122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项目</w:t>
            </w:r>
          </w:p>
        </w:tc>
        <w:tc>
          <w:tcPr>
            <w:tcW w:w="637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工作标准</w:t>
            </w:r>
          </w:p>
        </w:tc>
        <w:tc>
          <w:tcPr>
            <w:tcW w:w="88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分值</w:t>
            </w:r>
          </w:p>
        </w:tc>
        <w:tc>
          <w:tcPr>
            <w:tcW w:w="81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扣分</w:t>
            </w:r>
          </w:p>
        </w:tc>
        <w:tc>
          <w:tcPr>
            <w:tcW w:w="885"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原因</w:t>
            </w:r>
          </w:p>
        </w:tc>
      </w:tr>
      <w:tr>
        <w:tblPrEx>
          <w:tblCellMar>
            <w:top w:w="0" w:type="dxa"/>
            <w:left w:w="108" w:type="dxa"/>
            <w:bottom w:w="0" w:type="dxa"/>
            <w:right w:w="108" w:type="dxa"/>
          </w:tblCellMar>
        </w:tblPrEx>
        <w:trPr>
          <w:trHeight w:val="686" w:hRule="atLeast"/>
        </w:trPr>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职业道德10分</w:t>
            </w: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1.爱岗敬业，认真从事本职工作，态度端正，对待产妇及家属主动热情。</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468"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2.不向产妇或家属索要物品、小费或好处费（需退还并处罚）。</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518"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3.团结协作，同事间工作不推诿。</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458"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4.不泄露产妇隐私。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510"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5.产妇、护士长及主任当月满意度≥95%。</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670" w:hRule="atLeast"/>
        </w:trPr>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员工素养12分</w:t>
            </w: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1.规范穿戴工作服，不穿响底鞋、拖鞋（含不拔后跟），佩戴胸牌、头花，保持服装鞋帽整洁。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482"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2.不披头散发，保持头发的清洁无异味。</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506"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3.不留长指甲，不涂指甲油，不戴戒指、手链、耳环等其他饰品。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494"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4.病区内做到四轻：走路轻、关门轻、讲话轻、操作轻。</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740"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5.礼仪规范：使用礼貌用语，具有一定的沟通能力；能协助积极推广公司服务项目，提高陪护率。</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478"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6.举止端庄，行走大方，态度和蔼，礼貌待人，合理答疑。</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474" w:hRule="atLeast"/>
        </w:trPr>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规章制度32分</w:t>
            </w:r>
          </w:p>
        </w:tc>
        <w:tc>
          <w:tcPr>
            <w:tcW w:w="6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1.服从管理老师、护士长工作调配，不私自换班、调班。</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450"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6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2.不迟到、早退，不离岗，做好床头交接班。</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540"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6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3.未执行公司请假制度，私自缺勤或旷工。</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90"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6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4.工作时间内不串岗、不做私活、不长时间接听手机、不集结闲聊吃零食。不打牌、不吵架打架，不做任何违反院纪院规事情。</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484"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6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5.院外第三方满意度调查，遭院方投诉，则该项全扣。</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464"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6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6.违规使用电器及医院设施。</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546"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6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7.在病区私自推销非医疗机构服务及产品。</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410" w:hRule="atLeast"/>
        </w:trPr>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 xml:space="preserve">专业理论技能    </w:t>
            </w:r>
          </w:p>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6分</w:t>
            </w:r>
          </w:p>
        </w:tc>
        <w:tc>
          <w:tcPr>
            <w:tcW w:w="6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1.当月无不正当理由未参加工作组培训者。</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802"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2.熟练掌握以下专科技能：七步洗手法、母乳喂养、乳房护理、新生儿更换尿布、新生儿拍嗝、新生儿臀部护理及产妇恶露擦洗。</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900" w:hRule="atLeast"/>
        </w:trPr>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生活护理服务质量40分</w:t>
            </w: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1.掌握产妇、新生儿情况，如：姓名、饮食、二便、心理情绪波动、基础护理等。注意保护产妇隐私，注意产妇及新生儿冷暖适宜。</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710"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63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2.床单元：（1）床单：清洁、平整、床底无杂物。（2）床旁柜：用物整洁、摆放整齐。（3）窗台：无物品堆放。</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406"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3.产妇：会阴：擦洗、清洁、干燥。                          </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458"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4.新生儿：肛周：无尿粪污垢、无红臀湿疹。</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4"/>
                <w:szCs w:val="24"/>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740"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5.产妇：掌握产妇乳房情况，是否有母乳，是否涨奶；乳头皲裂的预防。</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1020"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6.新生儿：掌握新生儿母乳喂养情况，吃奶量，两便，体重；新生儿情绪安抚；协助新生儿哺乳、换尿布、穿衣等，保持新生儿清洁、舒适。</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724"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7.未遵医嘱，私自混合喂养，发现一次，则该项全扣。病房不允许出现奶瓶及奶粉。</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960"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8.产妇安全：防撞伤跌倒、防坠床、防烫伤、防</w:t>
            </w:r>
            <w:r>
              <w:rPr>
                <w:rFonts w:hint="eastAsia" w:ascii="宋体" w:hAnsi="宋体" w:cs="宋体"/>
              </w:rPr>
              <w:t>压力性损伤</w:t>
            </w:r>
            <w:r>
              <w:rPr>
                <w:rFonts w:hint="eastAsia" w:ascii="宋体" w:hAnsi="宋体" w:cs="宋体"/>
                <w:color w:val="000000"/>
                <w:sz w:val="22"/>
                <w:szCs w:val="22"/>
              </w:rPr>
              <w:t>、防走失、防会阴伤口裂开、防管道滑脱。（注意：七防中，一项不合格者，7分全扣！！！）</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720"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9.新生儿安全：防窒息（呛奶）、坠地、防盗、防烫伤。（注意：四防中，一项不合格者，4分全扣！！！）</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1744"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10.消毒隔离：</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（1）按要求每天佩戴口罩，每日更换（3分）；</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（2）认真执行手卫生：接触产妇、新生儿前后；接触产妇、新生儿血液、体液、分泌物后；脱除个人防护用品后（3分）；</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（3）能区分生活垃圾和医疗垃圾（2分）；</w:t>
            </w:r>
          </w:p>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（4）必要时穿戴防护用具（1分）。</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388"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11.交接班台账记录及时且准确。</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458" w:hRule="atLeast"/>
        </w:trPr>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加分项</w:t>
            </w: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1.每收到一封表扬信+1分，一面锦旗+2分；</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634" w:hRule="atLeast"/>
        </w:trPr>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63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2.工作组至病区暗访调查满意度有点名被表扬者，加1分，5分封顶。</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szCs w:val="24"/>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gridAfter w:val="1"/>
          <w:wAfter w:w="50" w:type="dxa"/>
          <w:trHeight w:val="880" w:hRule="atLeast"/>
        </w:trPr>
        <w:tc>
          <w:tcPr>
            <w:tcW w:w="122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b/>
                <w:bCs/>
                <w:color w:val="FF0000"/>
                <w:sz w:val="24"/>
                <w:szCs w:val="24"/>
              </w:rPr>
            </w:pPr>
            <w:r>
              <w:rPr>
                <w:rFonts w:hint="eastAsia" w:ascii="宋体" w:hAnsi="宋体" w:cs="宋体"/>
                <w:b/>
                <w:bCs/>
                <w:kern w:val="0"/>
                <w:sz w:val="24"/>
                <w:szCs w:val="24"/>
                <w:lang w:bidi="ar"/>
              </w:rPr>
              <w:t>备注</w:t>
            </w:r>
          </w:p>
        </w:tc>
        <w:tc>
          <w:tcPr>
            <w:tcW w:w="8915"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《母婴护理员质量控制月考核标准》当月＜90分，管理老师给予督促指导，连续3个月考核＜90分，自动离职。</w:t>
            </w:r>
          </w:p>
        </w:tc>
      </w:tr>
      <w:tr>
        <w:tblPrEx>
          <w:tblCellMar>
            <w:top w:w="0" w:type="dxa"/>
            <w:left w:w="108" w:type="dxa"/>
            <w:bottom w:w="0" w:type="dxa"/>
            <w:right w:w="108" w:type="dxa"/>
          </w:tblCellMar>
        </w:tblPrEx>
        <w:trPr>
          <w:gridAfter w:val="1"/>
          <w:wAfter w:w="50" w:type="dxa"/>
          <w:trHeight w:val="720" w:hRule="atLeast"/>
        </w:trPr>
        <w:tc>
          <w:tcPr>
            <w:tcW w:w="1014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考核日期：                                       考核者签名：</w:t>
            </w:r>
          </w:p>
        </w:tc>
      </w:tr>
    </w:tbl>
    <w:p>
      <w:pPr>
        <w:pStyle w:val="2"/>
        <w:sectPr>
          <w:pgSz w:w="11906" w:h="16838"/>
          <w:pgMar w:top="1361" w:right="1085" w:bottom="1361" w:left="1361" w:header="851" w:footer="992" w:gutter="0"/>
          <w:cols w:space="720" w:num="1"/>
          <w:docGrid w:type="lines" w:linePitch="312" w:charSpace="0"/>
        </w:sectPr>
      </w:pPr>
    </w:p>
    <w:p/>
    <w:p>
      <w:pPr>
        <w:widowControl/>
        <w:jc w:val="center"/>
        <w:rPr>
          <w:rFonts w:ascii="宋体" w:hAnsi="宋体" w:cs="宋体"/>
          <w:b/>
          <w:color w:val="000000"/>
          <w:w w:val="80"/>
          <w:sz w:val="44"/>
          <w:szCs w:val="44"/>
        </w:rPr>
      </w:pPr>
      <w:r>
        <w:rPr>
          <w:rFonts w:hint="eastAsia" w:ascii="宋体" w:hAnsi="宋体" w:cs="宋体"/>
          <w:b/>
          <w:color w:val="000000"/>
          <w:w w:val="80"/>
          <w:sz w:val="44"/>
          <w:szCs w:val="44"/>
        </w:rPr>
        <w:t>第六章   合同授予</w:t>
      </w:r>
    </w:p>
    <w:p>
      <w:pPr>
        <w:snapToGrid w:val="0"/>
        <w:spacing w:line="520" w:lineRule="exact"/>
        <w:ind w:firstLine="484" w:firstLineChars="202"/>
        <w:textAlignment w:val="baseline"/>
        <w:rPr>
          <w:rFonts w:ascii="宋体" w:hAnsi="宋体" w:cs="宋体"/>
          <w:color w:val="000000"/>
          <w:sz w:val="24"/>
          <w:szCs w:val="24"/>
        </w:rPr>
      </w:pPr>
    </w:p>
    <w:p>
      <w:pPr>
        <w:snapToGrid w:val="0"/>
        <w:spacing w:line="520" w:lineRule="exact"/>
        <w:ind w:firstLine="484" w:firstLineChars="202"/>
        <w:textAlignment w:val="baseline"/>
        <w:rPr>
          <w:rFonts w:ascii="宋体" w:hAnsi="宋体" w:cs="宋体"/>
          <w:kern w:val="0"/>
          <w:sz w:val="24"/>
          <w:szCs w:val="24"/>
        </w:rPr>
      </w:pPr>
      <w:r>
        <w:rPr>
          <w:rFonts w:hint="eastAsia" w:ascii="宋体" w:hAnsi="宋体" w:cs="宋体"/>
          <w:color w:val="000000"/>
          <w:sz w:val="24"/>
          <w:szCs w:val="24"/>
        </w:rPr>
        <w:t>一、由于项目服务时间紧迫，成交供应商在《成交通知书》发出后15日内必须按照磋商文件确定的事项签订采购合同。合同一式肆份，采购</w:t>
      </w:r>
      <w:r>
        <w:rPr>
          <w:rFonts w:hint="eastAsia" w:ascii="宋体" w:hAnsi="宋体" w:cs="宋体"/>
          <w:sz w:val="24"/>
          <w:szCs w:val="24"/>
        </w:rPr>
        <w:t>单位</w:t>
      </w:r>
      <w:r>
        <w:rPr>
          <w:rFonts w:hint="eastAsia" w:ascii="宋体" w:hAnsi="宋体" w:cs="宋体"/>
          <w:color w:val="000000"/>
          <w:sz w:val="24"/>
          <w:szCs w:val="24"/>
        </w:rPr>
        <w:t>，成交供应商</w:t>
      </w:r>
      <w:r>
        <w:rPr>
          <w:rFonts w:hint="eastAsia" w:ascii="宋体" w:hAnsi="宋体"/>
          <w:sz w:val="24"/>
          <w:szCs w:val="24"/>
        </w:rPr>
        <w:t>各贰份。</w:t>
      </w:r>
      <w:r>
        <w:rPr>
          <w:rFonts w:hint="eastAsia" w:ascii="宋体" w:hAnsi="宋体" w:cs="宋体"/>
          <w:kern w:val="0"/>
          <w:sz w:val="24"/>
          <w:szCs w:val="24"/>
        </w:rPr>
        <w:t>所签合同不得对磋商文件作实质性修改。采购</w:t>
      </w:r>
      <w:r>
        <w:rPr>
          <w:rFonts w:hint="eastAsia" w:ascii="宋体" w:hAnsi="宋体" w:cs="宋体"/>
          <w:sz w:val="24"/>
          <w:szCs w:val="24"/>
        </w:rPr>
        <w:t>单位</w:t>
      </w:r>
      <w:r>
        <w:rPr>
          <w:rFonts w:hint="eastAsia" w:ascii="宋体" w:hAnsi="宋体" w:cs="宋体"/>
          <w:kern w:val="0"/>
          <w:sz w:val="24"/>
          <w:szCs w:val="24"/>
        </w:rPr>
        <w:t xml:space="preserve">不得向成交供应商提出不合理的要求作为签订合同的条件，不得与成交供应商私下订立背离磋商文件实质性内容的协议。 </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 xml:space="preserve"> 二、采购单位按合同约定积极配合</w:t>
      </w:r>
      <w:r>
        <w:rPr>
          <w:rFonts w:hint="eastAsia" w:ascii="宋体" w:hAnsi="宋体" w:cs="宋体"/>
          <w:color w:val="000000"/>
          <w:sz w:val="24"/>
        </w:rPr>
        <w:t>成交供应商</w:t>
      </w:r>
      <w:r>
        <w:rPr>
          <w:rFonts w:hint="eastAsia" w:ascii="宋体" w:hAnsi="宋体" w:cs="宋体"/>
          <w:sz w:val="24"/>
          <w:szCs w:val="24"/>
        </w:rPr>
        <w:t>履约，</w:t>
      </w:r>
      <w:r>
        <w:rPr>
          <w:rFonts w:hint="eastAsia" w:ascii="宋体" w:hAnsi="宋体" w:cs="宋体"/>
          <w:color w:val="000000"/>
          <w:sz w:val="24"/>
        </w:rPr>
        <w:t>成交供应商</w:t>
      </w:r>
      <w:r>
        <w:rPr>
          <w:rFonts w:hint="eastAsia" w:ascii="宋体" w:hAnsi="宋体" w:cs="宋体"/>
          <w:sz w:val="24"/>
          <w:szCs w:val="24"/>
        </w:rPr>
        <w:t>履约到位后，请以书面形式向采购单位提出验收申请，采购单位接到申请后原则上在5个工作日内及时组织相关专业技术人员，必要时邀请质检等部门共同参与验收，并出具验收报告，验收合格的原则上5个工作日内支付相应款项。</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三、采购单位故意推迟项目验收时间的，与</w:t>
      </w:r>
      <w:r>
        <w:rPr>
          <w:rFonts w:hint="eastAsia" w:ascii="宋体" w:hAnsi="宋体" w:cs="宋体"/>
          <w:color w:val="000000"/>
          <w:sz w:val="24"/>
        </w:rPr>
        <w:t>成交供应商</w:t>
      </w:r>
      <w:r>
        <w:rPr>
          <w:rFonts w:hint="eastAsia" w:ascii="宋体" w:hAnsi="宋体" w:cs="宋体"/>
          <w:sz w:val="24"/>
          <w:szCs w:val="24"/>
        </w:rPr>
        <w:t>串通或要求</w:t>
      </w:r>
      <w:r>
        <w:rPr>
          <w:rFonts w:hint="eastAsia" w:ascii="宋体" w:hAnsi="宋体" w:cs="宋体"/>
          <w:color w:val="000000"/>
          <w:sz w:val="24"/>
        </w:rPr>
        <w:t>成交供应商</w:t>
      </w:r>
      <w:r>
        <w:rPr>
          <w:rFonts w:hint="eastAsia" w:ascii="宋体" w:hAnsi="宋体" w:cs="宋体"/>
          <w:sz w:val="24"/>
          <w:szCs w:val="24"/>
        </w:rPr>
        <w:t>通过减少货物数量或降低服务标准的，在履行合同中采取更改配置、调换物品等手段的，要求</w:t>
      </w:r>
      <w:r>
        <w:rPr>
          <w:rFonts w:hint="eastAsia" w:ascii="宋体" w:hAnsi="宋体" w:cs="宋体"/>
          <w:color w:val="000000"/>
          <w:sz w:val="24"/>
        </w:rPr>
        <w:t>成交供应商</w:t>
      </w:r>
      <w:r>
        <w:rPr>
          <w:rFonts w:hint="eastAsia" w:ascii="宋体" w:hAnsi="宋体" w:cs="宋体"/>
          <w:sz w:val="24"/>
          <w:szCs w:val="24"/>
        </w:rPr>
        <w:t>出具虚假发票或任意更改销售发票的，谋取不正当利益的，承担相应的法律责任。</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四、</w:t>
      </w:r>
      <w:r>
        <w:rPr>
          <w:rFonts w:hint="eastAsia" w:ascii="宋体" w:hAnsi="宋体" w:cs="宋体"/>
          <w:color w:val="000000"/>
          <w:sz w:val="24"/>
        </w:rPr>
        <w:t>成交供应商</w:t>
      </w:r>
      <w:r>
        <w:rPr>
          <w:rFonts w:hint="eastAsia" w:ascii="宋体" w:hAnsi="宋体" w:cs="宋体"/>
          <w:sz w:val="24"/>
          <w:szCs w:val="24"/>
        </w:rPr>
        <w:t>出现违约情形，应当及时纠正或补偿；造成损失的，按合同约定追究违约责任；发现有假冒、伪劣、走私产品、商业贿赂等违法情形的，应由采购单位移交工商、质监、公安等行政执法部门依法查处。</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五、不响应付款方式的，视同响应文件无效，按无效响应文件处理。</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六、付款方式详见磋商文件第五章。</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七、以上项目款的支付不计息。</w:t>
      </w:r>
    </w:p>
    <w:p>
      <w:pPr>
        <w:rPr>
          <w:rFonts w:ascii="宋体" w:hAnsi="宋体" w:cs="宋体"/>
          <w:b/>
          <w:bCs/>
          <w:kern w:val="44"/>
          <w:sz w:val="44"/>
          <w:szCs w:val="44"/>
        </w:rPr>
      </w:pPr>
    </w:p>
    <w:p>
      <w:pPr>
        <w:spacing w:line="360" w:lineRule="auto"/>
        <w:jc w:val="center"/>
        <w:rPr>
          <w:rFonts w:ascii="宋体"/>
          <w:sz w:val="24"/>
          <w:szCs w:val="24"/>
        </w:rPr>
      </w:pPr>
      <w:r>
        <w:rPr>
          <w:rFonts w:hint="eastAsia" w:ascii="宋体" w:hAnsi="宋体" w:cs="宋体"/>
          <w:b/>
          <w:bCs/>
          <w:kern w:val="44"/>
          <w:sz w:val="44"/>
          <w:szCs w:val="44"/>
        </w:rPr>
        <w:br w:type="page"/>
      </w:r>
      <w:r>
        <w:rPr>
          <w:rFonts w:hint="eastAsia" w:ascii="宋体" w:hAnsi="宋体" w:cs="宋体"/>
          <w:b/>
          <w:bCs/>
          <w:kern w:val="44"/>
          <w:sz w:val="44"/>
          <w:szCs w:val="44"/>
        </w:rPr>
        <w:t>第七章</w:t>
      </w:r>
      <w:r>
        <w:rPr>
          <w:rFonts w:ascii="宋体" w:hAnsi="宋体" w:cs="宋体"/>
          <w:b/>
          <w:bCs/>
          <w:kern w:val="44"/>
          <w:sz w:val="44"/>
          <w:szCs w:val="44"/>
        </w:rPr>
        <w:t xml:space="preserve"> </w:t>
      </w:r>
      <w:r>
        <w:rPr>
          <w:rFonts w:hint="eastAsia" w:ascii="宋体" w:hAnsi="宋体" w:cs="宋体"/>
          <w:b/>
          <w:bCs/>
          <w:kern w:val="44"/>
          <w:sz w:val="44"/>
          <w:szCs w:val="44"/>
        </w:rPr>
        <w:t>质疑提出和处理</w:t>
      </w:r>
    </w:p>
    <w:p>
      <w:pPr>
        <w:adjustRightInd w:val="0"/>
        <w:snapToGrid w:val="0"/>
        <w:spacing w:line="480" w:lineRule="exact"/>
        <w:ind w:firstLine="480" w:firstLineChars="200"/>
        <w:rPr>
          <w:rFonts w:ascii="宋体" w:hAnsi="宋体" w:cs="宋体"/>
          <w:sz w:val="24"/>
          <w:szCs w:val="24"/>
        </w:rPr>
      </w:pP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一、质疑的提出</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、质疑人必须是直接参加本次磋商活动的当事人。</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、下载磋商文件的供应商应根据第二章“磋商供应商须知”中第一条第</w:t>
      </w:r>
      <w:r>
        <w:rPr>
          <w:rFonts w:ascii="宋体" w:hAnsi="宋体" w:cs="宋体"/>
          <w:sz w:val="24"/>
          <w:szCs w:val="24"/>
        </w:rPr>
        <w:t>4</w:t>
      </w:r>
      <w:r>
        <w:rPr>
          <w:rFonts w:hint="eastAsia" w:ascii="宋体" w:hAnsi="宋体" w:cs="宋体"/>
          <w:sz w:val="24"/>
          <w:szCs w:val="24"/>
        </w:rPr>
        <w:t>款的约定提出；响应文件接收截止后，供应商未进行磋商登记的，不能就响应文件接收截止后的磋商过程、成交结果提出质疑；在磋商过程中，凡主持人或评估小组明确提出须由供应商确认的事项，供应商当场无异议的，事后不得提出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对不能提供相关佐证材料的、涉及商业秘密的、非书面形式的、非送达的、匿名的《质疑函》将不予受理。</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相关佐证材料要具备客观性、关联性、合法性，无法查实的（如宣传册、媒体报道、猜测、推理等）不能作为佐证材料。</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采购单位或采购代理机构不负责搜集相关佐证材料等工作。</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二、《质疑函》的受理和回复</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、《质疑函》须由质疑人的法定代表人或参加本次磋商被授权人送达采购单位和采购代理机构。</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、采购单位、采购代理机构负责将质疑人提出的质疑相关材料提供给相关专家或评估小组审核，并将审核意见回复质疑人。</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、因质疑情况复杂，组织论证或审查时间较长的，采购单位、采购代理机构以书面形式通知质疑人，可适当延长质疑回复处理时间。</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三、质疑处理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、质疑成立的处理。采购单位或采购代理机构终止采购，并建议有关部门给相关当事人予以处理。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、质疑不成立的处理。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）质疑人书面《申请撤回质疑函》的，不作违约处理。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）质疑人在规定的时间内不配合进行质疑调查处理的，按自动撤回《质疑函》处理。</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）质疑人不按《质疑函》格式就提出质疑的，作违约处理。同时，视情列入不良供应商名单。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）质疑人虽提供了相关佐证材料，但不能证明其质疑成立的，采购单位或采购代理机构请质疑人补充相关佐证材料，仍不能证明其质疑成立的，作违约处理。并将其列入不良供应商名单。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）质疑人不能提供相关佐证材料的，采购单位、采购代理机构已指出，质疑人仍然坚持提出质疑的，作违约处理。同时，列入不良供应商名单。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sz w:val="24"/>
          <w:szCs w:val="24"/>
        </w:rPr>
        <w:t>1</w:t>
      </w:r>
      <w:r>
        <w:rPr>
          <w:rFonts w:hint="eastAsia" w:ascii="宋体" w:hAnsi="宋体" w:cs="宋体"/>
          <w:sz w:val="24"/>
          <w:szCs w:val="24"/>
        </w:rPr>
        <w:t>年内禁入本区域内的政府采购活动的违约处理，依次类推；视情在市、省、国家级相关媒体予以披露。</w:t>
      </w:r>
    </w:p>
    <w:p>
      <w:pPr>
        <w:adjustRightInd w:val="0"/>
        <w:snapToGrid w:val="0"/>
        <w:spacing w:line="480" w:lineRule="exact"/>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）质疑人承担使用虚假材料或恶意方式质疑的法律责任。</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四、无佐证材料的举报作违约处理。供应商不得进行不提供相关佐证材料（含无法查实的如宣传册、媒体报道、猜测、推理等）向有关部门的举报，否则作违约处理。同时对其在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五、投诉不成立的作违约处理。供应商进行质疑后，采购单位回复质疑不成立，供应商仍进行投诉的，并最终投诉不成立的，作违约处理。采购单位有权对其在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六、《质疑函》、《质疑回复函》，质疑、举报、投诉不成立的等相关情况，视情在市、省、国家级等相关媒体予以披露。并建议相关政府采购机构对该供应商同步实施</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七、质疑供应商对采购单位或代理机构的答复不满意或者采购单位或代理机构未在规定的时间内作出答复的，可以在答复期满后</w:t>
      </w:r>
      <w:r>
        <w:rPr>
          <w:rFonts w:ascii="宋体" w:hAnsi="宋体" w:cs="宋体"/>
          <w:sz w:val="24"/>
          <w:szCs w:val="24"/>
        </w:rPr>
        <w:t>15</w:t>
      </w:r>
      <w:r>
        <w:rPr>
          <w:rFonts w:hint="eastAsia" w:ascii="宋体" w:hAnsi="宋体" w:cs="宋体"/>
          <w:sz w:val="24"/>
          <w:szCs w:val="24"/>
        </w:rPr>
        <w:t>个工作日内向南通市政府采购监督管理部门投诉。</w:t>
      </w:r>
    </w:p>
    <w:p>
      <w:pPr>
        <w:pStyle w:val="3"/>
        <w:keepNext w:val="0"/>
        <w:keepLines w:val="0"/>
        <w:numPr>
          <w:ilvl w:val="0"/>
          <w:numId w:val="0"/>
        </w:numPr>
        <w:snapToGrid w:val="0"/>
        <w:spacing w:before="0" w:after="156" w:afterLines="50" w:line="520" w:lineRule="exact"/>
        <w:ind w:left="420"/>
        <w:jc w:val="center"/>
        <w:rPr>
          <w:rFonts w:ascii="宋体"/>
        </w:rPr>
      </w:pPr>
      <w:bookmarkStart w:id="87" w:name="_Toc363573860"/>
      <w:r>
        <w:rPr>
          <w:rFonts w:ascii="宋体"/>
          <w:w w:val="80"/>
          <w:sz w:val="24"/>
          <w:szCs w:val="24"/>
        </w:rPr>
        <w:br w:type="page"/>
      </w:r>
      <w:r>
        <w:rPr>
          <w:rFonts w:hint="eastAsia" w:ascii="宋体" w:hAnsi="宋体" w:cs="宋体"/>
          <w:w w:val="80"/>
        </w:rPr>
        <w:t>第八章 响应文件组成及格式</w:t>
      </w:r>
      <w:bookmarkEnd w:id="87"/>
    </w:p>
    <w:p>
      <w:pPr>
        <w:widowControl/>
        <w:snapToGrid w:val="0"/>
        <w:spacing w:line="360" w:lineRule="auto"/>
        <w:ind w:firstLine="472" w:firstLineChars="196"/>
        <w:jc w:val="left"/>
        <w:rPr>
          <w:rFonts w:ascii="宋体" w:hAnsi="宋体" w:cs="宋体"/>
          <w:b/>
          <w:bCs/>
          <w:sz w:val="24"/>
          <w:szCs w:val="24"/>
        </w:rPr>
      </w:pP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widowControl/>
        <w:numPr>
          <w:ilvl w:val="0"/>
          <w:numId w:val="8"/>
        </w:numPr>
        <w:snapToGrid w:val="0"/>
        <w:spacing w:line="360" w:lineRule="auto"/>
        <w:ind w:firstLine="472" w:firstLineChars="196"/>
        <w:jc w:val="left"/>
        <w:rPr>
          <w:rFonts w:ascii="宋体"/>
          <w:b/>
          <w:bCs/>
          <w:sz w:val="24"/>
          <w:szCs w:val="24"/>
          <w:lang w:val="zh-CN"/>
        </w:rPr>
      </w:pPr>
      <w:r>
        <w:rPr>
          <w:rFonts w:hint="eastAsia" w:ascii="宋体" w:hAnsi="宋体" w:cs="宋体"/>
          <w:b/>
          <w:bCs/>
          <w:sz w:val="24"/>
          <w:szCs w:val="24"/>
        </w:rPr>
        <w:t>资格审查文件</w:t>
      </w:r>
      <w:r>
        <w:rPr>
          <w:rFonts w:hint="eastAsia" w:ascii="宋体" w:hAnsi="宋体" w:cs="宋体"/>
          <w:b/>
          <w:bCs/>
          <w:sz w:val="24"/>
          <w:szCs w:val="24"/>
          <w:lang w:val="zh-CN"/>
        </w:rPr>
        <w:t>（</w:t>
      </w:r>
      <w:r>
        <w:rPr>
          <w:rFonts w:hint="eastAsia" w:ascii="宋体" w:hAnsi="宋体" w:cs="宋体"/>
          <w:b/>
          <w:bCs/>
          <w:sz w:val="24"/>
          <w:szCs w:val="24"/>
        </w:rPr>
        <w:t>单独密封</w:t>
      </w:r>
      <w:r>
        <w:rPr>
          <w:rFonts w:hint="eastAsia" w:ascii="宋体" w:hAnsi="宋体" w:cs="宋体"/>
          <w:b/>
          <w:bCs/>
          <w:sz w:val="24"/>
          <w:szCs w:val="24"/>
          <w:lang w:val="zh-CN"/>
        </w:rPr>
        <w:t>）</w:t>
      </w:r>
    </w:p>
    <w:p>
      <w:pPr>
        <w:snapToGrid w:val="0"/>
        <w:spacing w:line="360" w:lineRule="auto"/>
        <w:ind w:firstLine="480" w:firstLineChars="200"/>
        <w:textAlignment w:val="baseline"/>
      </w:pPr>
      <w:r>
        <w:rPr>
          <w:rFonts w:hint="eastAsia" w:ascii="宋体" w:hAnsi="宋体" w:cs="宋体"/>
          <w:sz w:val="24"/>
          <w:szCs w:val="24"/>
        </w:rPr>
        <w:t>1、供应商必须有能力按本磋商文件规定的要求提供相关服务，须提供有效的三证合一的营业执照复印件或扫描打印件，且营业执照的经营范围含</w:t>
      </w:r>
      <w:r>
        <w:rPr>
          <w:rFonts w:hint="eastAsia" w:ascii="宋体" w:hAnsi="宋体" w:cs="宋体"/>
          <w:bCs/>
          <w:sz w:val="24"/>
          <w:szCs w:val="24"/>
        </w:rPr>
        <w:t>母婴生活护理服务类</w:t>
      </w:r>
      <w:r>
        <w:rPr>
          <w:rFonts w:hint="eastAsia" w:ascii="宋体" w:hAnsi="宋体" w:cs="宋体"/>
          <w:sz w:val="24"/>
          <w:szCs w:val="24"/>
        </w:rPr>
        <w:t>相关内容或提供一份含</w:t>
      </w:r>
      <w:r>
        <w:rPr>
          <w:rFonts w:hint="eastAsia" w:ascii="宋体" w:hAnsi="宋体" w:cs="宋体"/>
          <w:bCs/>
          <w:sz w:val="24"/>
          <w:szCs w:val="24"/>
        </w:rPr>
        <w:t>母婴生活护理服务类的业绩证明。如供应商提供业绩证明，除提供营业执照外还须同时提供①完整清晰的合同扫描件或复印件；②结算税务发票（仅需提供一张，但开具日期须在本项目竞争性磋商公告发布日期之前）扫描件或复印件。</w:t>
      </w:r>
    </w:p>
    <w:p>
      <w:pPr>
        <w:shd w:val="clear" w:color="auto" w:fill="FFFFFF"/>
        <w:snapToGrid w:val="0"/>
        <w:spacing w:line="360" w:lineRule="auto"/>
        <w:ind w:firstLine="480"/>
        <w:jc w:val="left"/>
        <w:rPr>
          <w:rFonts w:ascii="宋体" w:hAnsi="宋体" w:cs="宋体"/>
          <w:sz w:val="24"/>
          <w:szCs w:val="24"/>
        </w:rPr>
      </w:pPr>
      <w:r>
        <w:rPr>
          <w:rFonts w:hint="eastAsia" w:ascii="宋体" w:hAnsi="宋体" w:cs="宋体"/>
          <w:sz w:val="24"/>
          <w:szCs w:val="24"/>
        </w:rPr>
        <w:t>2、</w:t>
      </w:r>
      <w:r>
        <w:rPr>
          <w:rFonts w:hint="eastAsia" w:ascii="宋体" w:hAnsi="宋体" w:cs="宋体"/>
          <w:color w:val="000000"/>
          <w:kern w:val="0"/>
          <w:sz w:val="24"/>
          <w:szCs w:val="24"/>
        </w:rPr>
        <w:t>磋商响应供应商法定代表人参加磋商的，必须提供法定代表人身份证明及法定代表人本人身份证复印件或</w:t>
      </w:r>
      <w:r>
        <w:rPr>
          <w:rFonts w:hint="eastAsia" w:ascii="宋体" w:hAnsi="宋体" w:cs="宋体"/>
          <w:sz w:val="24"/>
          <w:szCs w:val="24"/>
        </w:rPr>
        <w:t>扫描打印件（格式附后）</w:t>
      </w:r>
      <w:r>
        <w:rPr>
          <w:rFonts w:hint="eastAsia" w:ascii="宋体" w:hAnsi="宋体" w:cs="宋体"/>
          <w:color w:val="000000"/>
          <w:kern w:val="0"/>
          <w:sz w:val="24"/>
          <w:szCs w:val="24"/>
        </w:rPr>
        <w:t>；非法定代表人参加磋商的，必须提供法定代表人签名或盖章的授权委托书及法定代表人和被授权人两个人的身份证复印件或</w:t>
      </w:r>
      <w:r>
        <w:rPr>
          <w:rFonts w:hint="eastAsia" w:ascii="宋体" w:hAnsi="宋体" w:cs="宋体"/>
          <w:sz w:val="24"/>
          <w:szCs w:val="24"/>
        </w:rPr>
        <w:t>扫描打印件</w:t>
      </w:r>
      <w:r>
        <w:rPr>
          <w:rFonts w:hint="eastAsia" w:ascii="宋体" w:hAnsi="宋体" w:cs="宋体"/>
          <w:color w:val="000000"/>
          <w:kern w:val="0"/>
          <w:sz w:val="24"/>
          <w:szCs w:val="24"/>
        </w:rPr>
        <w:t>（</w:t>
      </w:r>
      <w:r>
        <w:rPr>
          <w:rFonts w:hint="eastAsia" w:ascii="宋体" w:hAnsi="宋体" w:cs="宋体"/>
          <w:sz w:val="24"/>
          <w:szCs w:val="24"/>
        </w:rPr>
        <w:t>格式附后</w:t>
      </w:r>
      <w:r>
        <w:rPr>
          <w:rFonts w:hint="eastAsia" w:ascii="宋体" w:hAnsi="宋体" w:cs="宋体"/>
          <w:color w:val="000000"/>
          <w:kern w:val="0"/>
          <w:sz w:val="24"/>
          <w:szCs w:val="24"/>
        </w:rPr>
        <w:t>）、被授权人为磋商响应供应商正式人员证明材料【①与磋商响应供应商签订的有效劳动合同的复印件或</w:t>
      </w:r>
      <w:r>
        <w:rPr>
          <w:rFonts w:hint="eastAsia" w:ascii="宋体" w:hAnsi="宋体" w:cs="宋体"/>
          <w:sz w:val="24"/>
          <w:szCs w:val="24"/>
        </w:rPr>
        <w:t>扫描打印件</w:t>
      </w:r>
      <w:r>
        <w:rPr>
          <w:rFonts w:hint="eastAsia" w:ascii="宋体" w:hAnsi="宋体" w:cs="宋体"/>
          <w:color w:val="000000"/>
          <w:kern w:val="0"/>
          <w:sz w:val="24"/>
          <w:szCs w:val="24"/>
        </w:rPr>
        <w:t>；②社保机构出具并盖章的磋商响应供应商为其连续缴纳6个月（至少缴纳至2022年5月）的社会保险缴费清单复印件或</w:t>
      </w:r>
      <w:r>
        <w:rPr>
          <w:rFonts w:hint="eastAsia" w:ascii="宋体" w:hAnsi="宋体" w:cs="宋体"/>
          <w:sz w:val="24"/>
          <w:szCs w:val="24"/>
        </w:rPr>
        <w:t>扫描打印件</w:t>
      </w:r>
      <w:r>
        <w:rPr>
          <w:rFonts w:hint="eastAsia" w:ascii="宋体" w:hAnsi="宋体" w:cs="宋体"/>
          <w:color w:val="000000"/>
          <w:kern w:val="0"/>
          <w:sz w:val="24"/>
          <w:szCs w:val="24"/>
        </w:rPr>
        <w:t>】；</w:t>
      </w:r>
    </w:p>
    <w:p>
      <w:pPr>
        <w:snapToGrid w:val="0"/>
        <w:spacing w:line="360" w:lineRule="auto"/>
        <w:ind w:firstLine="480" w:firstLineChars="200"/>
        <w:textAlignment w:val="baseline"/>
        <w:rPr>
          <w:rFonts w:ascii="宋体" w:hAnsi="宋体" w:cs="宋体"/>
          <w:bCs/>
          <w:color w:val="000000"/>
          <w:sz w:val="24"/>
          <w:szCs w:val="24"/>
        </w:rPr>
      </w:pPr>
      <w:r>
        <w:rPr>
          <w:rFonts w:hint="eastAsia" w:ascii="宋体" w:hAnsi="宋体" w:cs="宋体"/>
          <w:sz w:val="24"/>
          <w:szCs w:val="24"/>
        </w:rPr>
        <w:t>3、</w:t>
      </w:r>
      <w:r>
        <w:rPr>
          <w:rFonts w:hint="eastAsia" w:ascii="宋体" w:hAnsi="宋体" w:cs="宋体"/>
          <w:bCs/>
          <w:color w:val="000000"/>
          <w:sz w:val="24"/>
          <w:szCs w:val="24"/>
        </w:rPr>
        <w:t>供应商一般情况表（</w:t>
      </w:r>
      <w:r>
        <w:rPr>
          <w:rFonts w:hint="eastAsia" w:ascii="宋体" w:hAnsi="宋体" w:cs="宋体"/>
          <w:sz w:val="24"/>
          <w:szCs w:val="24"/>
        </w:rPr>
        <w:t>格式附后</w:t>
      </w:r>
      <w:r>
        <w:rPr>
          <w:rFonts w:hint="eastAsia" w:ascii="宋体" w:hAnsi="宋体" w:cs="宋体"/>
          <w:bCs/>
          <w:color w:val="000000"/>
          <w:sz w:val="24"/>
          <w:szCs w:val="24"/>
        </w:rPr>
        <w:t>）；</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color w:val="000000"/>
          <w:sz w:val="24"/>
          <w:szCs w:val="24"/>
        </w:rPr>
        <w:t>4、</w:t>
      </w:r>
      <w:r>
        <w:rPr>
          <w:rFonts w:hint="eastAsia" w:ascii="宋体" w:hAnsi="宋体"/>
          <w:sz w:val="24"/>
          <w:szCs w:val="24"/>
        </w:rPr>
        <w:t>具有良好的商业信誉和健全的财务会计制度：供应商2020年度或2021年度的财务报表的复印件或扫描打印件</w:t>
      </w:r>
      <w:r>
        <w:rPr>
          <w:rFonts w:hint="eastAsia" w:ascii="宋体" w:hAnsi="宋体" w:cs="宋体"/>
          <w:sz w:val="24"/>
          <w:szCs w:val="24"/>
        </w:rPr>
        <w:t>（成立不满一年不需提供）；</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5、</w:t>
      </w:r>
      <w:r>
        <w:rPr>
          <w:rFonts w:hint="eastAsia" w:ascii="宋体" w:hAnsi="宋体"/>
          <w:sz w:val="24"/>
          <w:szCs w:val="24"/>
        </w:rPr>
        <w:t>有依法缴纳税收和社会保障资金的良好记录：近6个月中任意一个月份(不含磋商当月)的依法缴纳税收、缴纳社会保障资金的相关材料（提供相关主管部门证明或银行代扣证明）的复印件或扫描打印件</w:t>
      </w:r>
      <w:r>
        <w:rPr>
          <w:rFonts w:hint="eastAsia" w:ascii="宋体" w:hAnsi="宋体" w:cs="宋体"/>
          <w:sz w:val="24"/>
          <w:szCs w:val="24"/>
        </w:rPr>
        <w:t>；</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6、</w:t>
      </w:r>
      <w:r>
        <w:rPr>
          <w:rFonts w:hint="eastAsia" w:ascii="宋体" w:hAnsi="宋体"/>
          <w:sz w:val="24"/>
          <w:szCs w:val="24"/>
        </w:rPr>
        <w:t>具有履行合同所必需的设备和专业技术能力：提供《具有履行合同所必需的设备和专业技术能力的书面声明》</w:t>
      </w:r>
      <w:r>
        <w:rPr>
          <w:rFonts w:hint="eastAsia" w:ascii="宋体" w:hAnsi="宋体" w:cs="宋体"/>
          <w:sz w:val="24"/>
          <w:szCs w:val="24"/>
        </w:rPr>
        <w:t>（格式附后）；</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7、供应商须提供参与本次项目政府采购活动前三年内，在经营活动中没有重大违法记录的书面《无重大违法记录声明函》（格式附后）；</w:t>
      </w:r>
    </w:p>
    <w:p>
      <w:pPr>
        <w:widowControl/>
        <w:snapToGrid w:val="0"/>
        <w:spacing w:line="360" w:lineRule="auto"/>
        <w:ind w:firstLine="470" w:firstLineChars="196"/>
        <w:jc w:val="left"/>
        <w:textAlignment w:val="baseline"/>
      </w:pPr>
      <w:r>
        <w:rPr>
          <w:rFonts w:hint="eastAsia" w:ascii="宋体" w:hAnsi="宋体" w:cs="宋体"/>
          <w:sz w:val="24"/>
          <w:szCs w:val="24"/>
        </w:rPr>
        <w:t>8、</w:t>
      </w:r>
      <w:r>
        <w:rPr>
          <w:rFonts w:hint="eastAsia" w:ascii="宋体" w:hAnsi="宋体"/>
          <w:sz w:val="24"/>
          <w:szCs w:val="24"/>
        </w:rPr>
        <w:t>供应商须提供《关于资格文件的声明函》</w:t>
      </w:r>
      <w:r>
        <w:rPr>
          <w:rFonts w:hint="eastAsia" w:ascii="宋体" w:hAnsi="宋体" w:cs="宋体"/>
          <w:sz w:val="24"/>
          <w:szCs w:val="24"/>
        </w:rPr>
        <w:t>（格式附后）。</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注：以上材料如为复印件或扫描打印件均需加盖单位公章，要求提供原件查验的，因携带原件不全而由此引起的后果由供应商自负。</w:t>
      </w:r>
    </w:p>
    <w:p>
      <w:pPr>
        <w:widowControl/>
        <w:snapToGrid w:val="0"/>
        <w:spacing w:line="360" w:lineRule="auto"/>
        <w:ind w:firstLine="472" w:firstLineChars="196"/>
        <w:jc w:val="left"/>
        <w:textAlignment w:val="baseline"/>
        <w:rPr>
          <w:rFonts w:ascii="宋体" w:hAnsi="宋体"/>
          <w:b/>
          <w:sz w:val="24"/>
          <w:szCs w:val="24"/>
        </w:rPr>
      </w:pPr>
      <w:r>
        <w:rPr>
          <w:rFonts w:hint="eastAsia" w:ascii="宋体" w:hAnsi="宋体"/>
          <w:b/>
          <w:sz w:val="24"/>
          <w:szCs w:val="24"/>
        </w:rPr>
        <w:t>二、技术响应文件（单独密封）</w:t>
      </w:r>
    </w:p>
    <w:p>
      <w:pPr>
        <w:widowControl/>
        <w:snapToGrid w:val="0"/>
        <w:spacing w:line="360" w:lineRule="auto"/>
        <w:ind w:firstLine="470" w:firstLineChars="196"/>
        <w:jc w:val="left"/>
        <w:textAlignment w:val="baseline"/>
        <w:rPr>
          <w:rFonts w:ascii="宋体" w:hAnsi="宋体"/>
          <w:sz w:val="24"/>
          <w:szCs w:val="24"/>
        </w:rPr>
      </w:pPr>
      <w:r>
        <w:rPr>
          <w:rFonts w:hint="eastAsia" w:ascii="宋体" w:hAnsi="宋体"/>
          <w:sz w:val="24"/>
          <w:szCs w:val="24"/>
        </w:rPr>
        <w:t>1、竞争性磋商响应函（格式附后）；</w:t>
      </w:r>
    </w:p>
    <w:p>
      <w:pPr>
        <w:widowControl/>
        <w:snapToGrid w:val="0"/>
        <w:spacing w:line="360" w:lineRule="auto"/>
        <w:ind w:firstLine="470" w:firstLineChars="196"/>
        <w:jc w:val="left"/>
        <w:textAlignment w:val="baseline"/>
        <w:rPr>
          <w:rFonts w:ascii="宋体" w:hAnsi="宋体"/>
          <w:sz w:val="24"/>
          <w:szCs w:val="24"/>
        </w:rPr>
      </w:pPr>
      <w:r>
        <w:rPr>
          <w:rFonts w:hint="eastAsia" w:ascii="宋体" w:hAnsi="宋体"/>
          <w:sz w:val="24"/>
          <w:szCs w:val="24"/>
        </w:rPr>
        <w:t>2、评标办法和项目需求中所涉及的事项需提供的所有资料；</w:t>
      </w:r>
    </w:p>
    <w:p>
      <w:pPr>
        <w:widowControl/>
        <w:snapToGrid w:val="0"/>
        <w:spacing w:line="360" w:lineRule="auto"/>
        <w:ind w:firstLine="470" w:firstLineChars="196"/>
        <w:jc w:val="left"/>
        <w:textAlignment w:val="baseline"/>
        <w:rPr>
          <w:sz w:val="24"/>
          <w:szCs w:val="24"/>
        </w:rPr>
      </w:pPr>
      <w:r>
        <w:rPr>
          <w:rFonts w:hint="eastAsia" w:ascii="宋体" w:hAnsi="宋体"/>
          <w:sz w:val="24"/>
          <w:szCs w:val="24"/>
        </w:rPr>
        <w:t>3、评标办法和项</w:t>
      </w:r>
      <w:r>
        <w:rPr>
          <w:rFonts w:hint="eastAsia" w:ascii="宋体" w:hAnsi="宋体" w:cs="宋体"/>
          <w:sz w:val="24"/>
          <w:szCs w:val="24"/>
        </w:rPr>
        <w:t>目需求中未涉及的事项，供应商认为需要提交的其他资料。</w:t>
      </w:r>
    </w:p>
    <w:p>
      <w:pPr>
        <w:widowControl/>
        <w:snapToGrid w:val="0"/>
        <w:spacing w:line="360" w:lineRule="auto"/>
        <w:ind w:firstLine="470" w:firstLineChars="196"/>
        <w:jc w:val="left"/>
        <w:textAlignment w:val="baseline"/>
        <w:rPr>
          <w:rFonts w:ascii="宋体" w:hAnsi="宋体" w:cs="宋体"/>
          <w:bCs/>
          <w:color w:val="000000"/>
          <w:sz w:val="24"/>
          <w:szCs w:val="24"/>
        </w:rPr>
      </w:pPr>
      <w:r>
        <w:rPr>
          <w:rFonts w:hint="eastAsia" w:ascii="宋体" w:hAnsi="宋体"/>
          <w:sz w:val="24"/>
          <w:szCs w:val="24"/>
        </w:rPr>
        <w:t>注：为方便评委评审，请供应商按评标办法中所涉及的事项顺序进行编制，可以补充相</w:t>
      </w:r>
      <w:r>
        <w:rPr>
          <w:rFonts w:hint="eastAsia" w:ascii="宋体" w:hAnsi="宋体" w:cs="宋体"/>
          <w:color w:val="000000"/>
          <w:sz w:val="24"/>
          <w:szCs w:val="24"/>
        </w:rPr>
        <w:t>关材料；</w:t>
      </w: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三、商务报价响应文件（单独密封）</w:t>
      </w:r>
    </w:p>
    <w:p>
      <w:pPr>
        <w:snapToGrid w:val="0"/>
        <w:spacing w:line="360" w:lineRule="auto"/>
        <w:ind w:firstLine="480" w:firstLineChars="200"/>
        <w:jc w:val="left"/>
        <w:textAlignment w:val="baseline"/>
        <w:rPr>
          <w:rFonts w:ascii="宋体" w:hAnsi="宋体" w:cs="宋体"/>
          <w:bCs/>
          <w:color w:val="000000"/>
          <w:sz w:val="24"/>
          <w:szCs w:val="24"/>
          <w:lang w:val="zh-CN"/>
        </w:rPr>
      </w:pPr>
      <w:r>
        <w:rPr>
          <w:rFonts w:hint="eastAsia" w:ascii="宋体" w:hAnsi="宋体" w:cs="宋体"/>
          <w:bCs/>
          <w:color w:val="000000"/>
          <w:sz w:val="24"/>
          <w:szCs w:val="24"/>
          <w:lang w:val="zh-CN"/>
        </w:rPr>
        <w:t>1、</w:t>
      </w:r>
      <w:r>
        <w:rPr>
          <w:rFonts w:hint="eastAsia" w:ascii="宋体" w:hAnsi="宋体" w:cs="宋体"/>
          <w:bCs/>
          <w:color w:val="000000"/>
          <w:sz w:val="24"/>
          <w:szCs w:val="24"/>
        </w:rPr>
        <w:t>磋商</w:t>
      </w:r>
      <w:r>
        <w:rPr>
          <w:rFonts w:hint="eastAsia" w:ascii="宋体" w:hAnsi="宋体" w:cs="宋体"/>
          <w:bCs/>
          <w:color w:val="000000"/>
          <w:sz w:val="24"/>
          <w:szCs w:val="24"/>
          <w:lang w:val="zh-CN"/>
        </w:rPr>
        <w:t>响应报价总表（格式</w:t>
      </w:r>
      <w:r>
        <w:rPr>
          <w:rFonts w:hint="eastAsia" w:ascii="宋体" w:hAnsi="宋体" w:cs="宋体"/>
          <w:bCs/>
          <w:color w:val="000000"/>
          <w:sz w:val="24"/>
          <w:szCs w:val="24"/>
        </w:rPr>
        <w:t>附后</w:t>
      </w:r>
      <w:r>
        <w:rPr>
          <w:rFonts w:hint="eastAsia" w:ascii="宋体" w:hAnsi="宋体" w:cs="宋体"/>
          <w:bCs/>
          <w:color w:val="000000"/>
          <w:sz w:val="24"/>
          <w:szCs w:val="24"/>
          <w:lang w:val="zh-CN"/>
        </w:rPr>
        <w:t>）；</w:t>
      </w:r>
    </w:p>
    <w:p>
      <w:pPr>
        <w:snapToGrid w:val="0"/>
        <w:spacing w:line="360" w:lineRule="auto"/>
        <w:ind w:firstLine="480" w:firstLineChars="200"/>
        <w:jc w:val="left"/>
        <w:textAlignment w:val="baseline"/>
        <w:rPr>
          <w:rFonts w:ascii="宋体" w:hAnsi="宋体" w:cs="宋体"/>
          <w:bCs/>
          <w:color w:val="000000"/>
          <w:sz w:val="24"/>
          <w:szCs w:val="24"/>
          <w:lang w:val="zh-CN"/>
        </w:rPr>
      </w:pPr>
      <w:r>
        <w:rPr>
          <w:rFonts w:hint="eastAsia" w:ascii="宋体" w:hAnsi="宋体" w:cs="宋体"/>
          <w:bCs/>
          <w:color w:val="000000"/>
          <w:sz w:val="24"/>
          <w:szCs w:val="24"/>
        </w:rPr>
        <w:t>2、</w:t>
      </w:r>
      <w:r>
        <w:rPr>
          <w:rFonts w:hint="eastAsia" w:ascii="宋体" w:hAnsi="宋体" w:cs="宋体"/>
          <w:bCs/>
          <w:color w:val="000000"/>
          <w:sz w:val="24"/>
          <w:szCs w:val="24"/>
          <w:lang w:val="zh-CN"/>
        </w:rPr>
        <w:t>中小企业声明函（格式</w:t>
      </w:r>
      <w:r>
        <w:rPr>
          <w:rFonts w:hint="eastAsia" w:ascii="宋体" w:hAnsi="宋体" w:cs="宋体"/>
          <w:bCs/>
          <w:color w:val="000000"/>
          <w:sz w:val="24"/>
          <w:szCs w:val="24"/>
        </w:rPr>
        <w:t>附后</w:t>
      </w:r>
      <w:r>
        <w:rPr>
          <w:rFonts w:hint="eastAsia" w:ascii="宋体" w:hAnsi="宋体" w:cs="宋体"/>
          <w:snapToGrid w:val="0"/>
          <w:kern w:val="0"/>
          <w:sz w:val="24"/>
          <w:szCs w:val="24"/>
        </w:rPr>
        <w:t>，如不提供此声明函，响应报价将不做相应扣除</w:t>
      </w:r>
      <w:r>
        <w:rPr>
          <w:rFonts w:hint="eastAsia" w:ascii="宋体" w:hAnsi="宋体" w:cs="宋体"/>
          <w:bCs/>
          <w:color w:val="000000"/>
          <w:sz w:val="24"/>
          <w:szCs w:val="24"/>
        </w:rPr>
        <w:t>）</w:t>
      </w:r>
      <w:r>
        <w:rPr>
          <w:rFonts w:hint="eastAsia" w:ascii="宋体" w:hAnsi="宋体" w:cs="宋体"/>
          <w:bCs/>
          <w:color w:val="000000"/>
          <w:sz w:val="24"/>
          <w:szCs w:val="24"/>
          <w:lang w:val="zh-CN"/>
        </w:rPr>
        <w:t>。</w:t>
      </w:r>
    </w:p>
    <w:p>
      <w:pPr>
        <w:pStyle w:val="2"/>
        <w:rPr>
          <w:lang w:val="zh-CN"/>
        </w:rPr>
      </w:pPr>
    </w:p>
    <w:p>
      <w:pPr>
        <w:widowControl/>
        <w:snapToGrid w:val="0"/>
        <w:spacing w:line="360" w:lineRule="auto"/>
        <w:jc w:val="left"/>
        <w:rPr>
          <w:rFonts w:ascii="宋体"/>
          <w:b/>
          <w:bCs/>
          <w:sz w:val="28"/>
          <w:szCs w:val="28"/>
        </w:rPr>
      </w:pPr>
      <w:r>
        <w:rPr>
          <w:rFonts w:ascii="宋体"/>
          <w:b/>
          <w:bCs/>
          <w:sz w:val="28"/>
          <w:szCs w:val="28"/>
          <w:highlight w:val="yellow"/>
        </w:rPr>
        <w:br w:type="page"/>
      </w:r>
      <w:r>
        <w:rPr>
          <w:rFonts w:hint="eastAsia" w:ascii="宋体" w:hAnsi="宋体" w:cs="宋体"/>
          <w:b/>
          <w:bCs/>
          <w:sz w:val="28"/>
          <w:szCs w:val="28"/>
        </w:rPr>
        <w:t>附件：</w:t>
      </w:r>
    </w:p>
    <w:p>
      <w:pPr>
        <w:snapToGrid w:val="0"/>
        <w:spacing w:line="520" w:lineRule="exact"/>
        <w:jc w:val="center"/>
        <w:outlineLvl w:val="3"/>
        <w:rPr>
          <w:rFonts w:ascii="宋体"/>
          <w:b/>
          <w:bCs/>
          <w:sz w:val="28"/>
          <w:szCs w:val="28"/>
        </w:rPr>
      </w:pPr>
      <w:r>
        <w:rPr>
          <w:rFonts w:ascii="宋体" w:hAnsi="宋体" w:cs="宋体"/>
          <w:b/>
          <w:bCs/>
          <w:sz w:val="28"/>
          <w:szCs w:val="28"/>
        </w:rPr>
        <w:t>1</w:t>
      </w:r>
      <w:r>
        <w:rPr>
          <w:rFonts w:hint="eastAsia" w:ascii="宋体" w:hAnsi="宋体" w:cs="宋体"/>
          <w:b/>
          <w:bCs/>
          <w:sz w:val="28"/>
          <w:szCs w:val="28"/>
        </w:rPr>
        <w:t>、法定代表人身份证明</w:t>
      </w:r>
    </w:p>
    <w:p>
      <w:pPr>
        <w:snapToGrid w:val="0"/>
        <w:spacing w:line="520" w:lineRule="exact"/>
        <w:jc w:val="center"/>
        <w:rPr>
          <w:rFonts w:ascii="宋体"/>
          <w:sz w:val="24"/>
          <w:szCs w:val="24"/>
        </w:rPr>
      </w:pPr>
    </w:p>
    <w:p>
      <w:pPr>
        <w:snapToGrid w:val="0"/>
        <w:spacing w:line="520" w:lineRule="exact"/>
        <w:jc w:val="center"/>
        <w:rPr>
          <w:rFonts w:ascii="宋体"/>
          <w:sz w:val="24"/>
          <w:szCs w:val="24"/>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r>
        <w:rPr>
          <w:rFonts w:ascii="宋体" w:hAnsi="宋体" w:cs="宋体"/>
          <w:sz w:val="24"/>
          <w:szCs w:val="24"/>
          <w:u w:val="single"/>
        </w:rPr>
        <w:t xml:space="preserve"> </w:t>
      </w:r>
    </w:p>
    <w:p>
      <w:pPr>
        <w:snapToGrid w:val="0"/>
        <w:spacing w:line="360" w:lineRule="auto"/>
        <w:ind w:firstLine="480" w:firstLineChars="200"/>
        <w:textAlignment w:val="baseline"/>
        <w:rPr>
          <w:sz w:val="24"/>
          <w:szCs w:val="24"/>
        </w:rPr>
      </w:pPr>
      <w:r>
        <w:rPr>
          <w:rFonts w:hint="eastAsia" w:cs="宋体"/>
          <w:sz w:val="24"/>
          <w:szCs w:val="24"/>
          <w:u w:val="single" w:color="000000"/>
        </w:rPr>
        <w:t>　　　　　</w:t>
      </w:r>
      <w:r>
        <w:rPr>
          <w:rFonts w:hint="eastAsia" w:cs="宋体"/>
          <w:sz w:val="24"/>
          <w:szCs w:val="24"/>
        </w:rPr>
        <w:t>（先生／女士）现任我单位</w:t>
      </w:r>
      <w:r>
        <w:rPr>
          <w:rFonts w:hint="eastAsia" w:cs="宋体"/>
          <w:sz w:val="24"/>
          <w:szCs w:val="24"/>
          <w:u w:val="single" w:color="000000"/>
        </w:rPr>
        <w:t>　　　　 　　　</w:t>
      </w:r>
      <w:r>
        <w:rPr>
          <w:rFonts w:hint="eastAsia" w:cs="宋体"/>
          <w:sz w:val="24"/>
          <w:szCs w:val="24"/>
        </w:rPr>
        <w:t>职务，为法定代表人，特此证明。</w:t>
      </w:r>
    </w:p>
    <w:p>
      <w:pPr>
        <w:snapToGrid w:val="0"/>
        <w:spacing w:line="360" w:lineRule="auto"/>
        <w:ind w:firstLine="480" w:firstLineChars="200"/>
        <w:textAlignment w:val="baseline"/>
        <w:rPr>
          <w:rFonts w:cs="宋体"/>
          <w:sz w:val="24"/>
          <w:szCs w:val="24"/>
        </w:rPr>
      </w:pPr>
      <w:r>
        <w:rPr>
          <w:rFonts w:hint="eastAsia" w:cs="宋体"/>
          <w:sz w:val="24"/>
          <w:szCs w:val="24"/>
        </w:rPr>
        <w:t>身份证号码：</w:t>
      </w:r>
    </w:p>
    <w:p>
      <w:pPr>
        <w:snapToGrid w:val="0"/>
        <w:spacing w:line="420" w:lineRule="exact"/>
        <w:ind w:firstLine="480" w:firstLineChars="200"/>
        <w:textAlignment w:val="baseline"/>
        <w:rPr>
          <w:rFonts w:cs="宋体"/>
          <w:sz w:val="24"/>
          <w:szCs w:val="24"/>
        </w:rPr>
      </w:pPr>
    </w:p>
    <w:p>
      <w:pPr>
        <w:snapToGrid w:val="0"/>
        <w:spacing w:line="420" w:lineRule="exact"/>
        <w:ind w:firstLine="480" w:firstLineChars="200"/>
        <w:textAlignment w:val="baseline"/>
        <w:rPr>
          <w:sz w:val="24"/>
          <w:szCs w:val="24"/>
          <w:u w:val="single"/>
        </w:rPr>
      </w:pPr>
    </w:p>
    <w:p>
      <w:pPr>
        <w:snapToGrid w:val="0"/>
        <w:spacing w:line="520" w:lineRule="exact"/>
        <w:jc w:val="right"/>
        <w:textAlignment w:val="baseline"/>
        <w:rPr>
          <w:rFonts w:ascii="宋体" w:hAnsi="宋体" w:cs="宋体"/>
          <w:color w:val="000000"/>
          <w:sz w:val="24"/>
          <w:szCs w:val="24"/>
        </w:rPr>
      </w:pPr>
      <w:r>
        <w:rPr>
          <w:rFonts w:hint="eastAsia" w:cs="宋体"/>
          <w:sz w:val="24"/>
          <w:szCs w:val="24"/>
        </w:rPr>
        <w:t xml:space="preserve">                      </w:t>
      </w:r>
      <w:r>
        <w:rPr>
          <w:rFonts w:hint="eastAsia" w:ascii="宋体" w:hAnsi="宋体" w:cs="宋体"/>
          <w:color w:val="000000"/>
          <w:sz w:val="24"/>
          <w:szCs w:val="24"/>
        </w:rPr>
        <w:t>竞争性磋商响应单位：（加盖公章）</w:t>
      </w:r>
    </w:p>
    <w:p>
      <w:pPr>
        <w:snapToGrid w:val="0"/>
        <w:spacing w:line="420" w:lineRule="exact"/>
        <w:ind w:right="960" w:firstLine="484" w:firstLineChars="202"/>
        <w:jc w:val="center"/>
        <w:textAlignment w:val="baseline"/>
        <w:rPr>
          <w:sz w:val="20"/>
        </w:rPr>
      </w:pPr>
      <w:r>
        <w:rPr>
          <w:rFonts w:hint="eastAsia" w:ascii="宋体" w:hAnsi="宋体" w:cs="宋体"/>
          <w:color w:val="000000"/>
          <w:sz w:val="24"/>
          <w:szCs w:val="24"/>
        </w:rPr>
        <w:t xml:space="preserve">                                            年      月     日</w:t>
      </w:r>
    </w:p>
    <w:p>
      <w:pPr>
        <w:snapToGrid w:val="0"/>
        <w:spacing w:line="420" w:lineRule="exact"/>
        <w:ind w:firstLine="404" w:firstLineChars="202"/>
        <w:jc w:val="left"/>
        <w:textAlignment w:val="baseline"/>
        <w:rPr>
          <w:sz w:val="20"/>
        </w:rPr>
      </w:pPr>
    </w:p>
    <w:tbl>
      <w:tblPr>
        <w:tblStyle w:val="51"/>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pPr>
              <w:snapToGrid w:val="0"/>
              <w:spacing w:line="420" w:lineRule="exact"/>
              <w:ind w:firstLine="404" w:firstLineChars="202"/>
              <w:jc w:val="left"/>
              <w:textAlignment w:val="baseline"/>
              <w:rPr>
                <w:sz w:val="20"/>
                <w:szCs w:val="22"/>
              </w:rPr>
            </w:pPr>
          </w:p>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法定代表人身份证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360" w:lineRule="auto"/>
        <w:ind w:firstLine="480" w:firstLineChars="200"/>
        <w:jc w:val="left"/>
        <w:textAlignment w:val="baseline"/>
        <w:rPr>
          <w:rFonts w:cs="宋体"/>
          <w:sz w:val="24"/>
          <w:szCs w:val="24"/>
        </w:rPr>
      </w:pPr>
      <w:r>
        <w:rPr>
          <w:rFonts w:hint="eastAsia" w:cs="宋体"/>
          <w:sz w:val="24"/>
          <w:szCs w:val="24"/>
        </w:rPr>
        <w:t>注：如为法定代表人参加项目</w:t>
      </w:r>
      <w:r>
        <w:rPr>
          <w:rFonts w:hint="eastAsia" w:ascii="宋体" w:hAnsi="宋体" w:cs="宋体"/>
          <w:color w:val="000000"/>
          <w:sz w:val="24"/>
          <w:szCs w:val="24"/>
        </w:rPr>
        <w:t>竞争性磋商响应</w:t>
      </w:r>
      <w:r>
        <w:rPr>
          <w:rFonts w:hint="eastAsia" w:cs="宋体"/>
          <w:sz w:val="24"/>
          <w:szCs w:val="24"/>
        </w:rPr>
        <w:t>，须将身份证原件带至竞争性磋商现场备查。</w:t>
      </w:r>
    </w:p>
    <w:p>
      <w:pPr>
        <w:snapToGrid w:val="0"/>
        <w:spacing w:line="360" w:lineRule="auto"/>
        <w:ind w:firstLine="480" w:firstLineChars="200"/>
        <w:jc w:val="left"/>
        <w:textAlignment w:val="baseline"/>
        <w:rPr>
          <w:rFonts w:cs="宋体"/>
          <w:sz w:val="24"/>
          <w:szCs w:val="24"/>
        </w:rPr>
      </w:pPr>
      <w:r>
        <w:rPr>
          <w:rFonts w:hint="eastAsia" w:cs="宋体"/>
          <w:sz w:val="24"/>
          <w:szCs w:val="24"/>
        </w:rPr>
        <w:t>如为被委托受权人参加项目竞争性</w:t>
      </w:r>
      <w:r>
        <w:rPr>
          <w:rFonts w:hint="eastAsia" w:ascii="宋体" w:hAnsi="宋体" w:cs="宋体"/>
          <w:color w:val="000000"/>
          <w:sz w:val="24"/>
          <w:szCs w:val="24"/>
        </w:rPr>
        <w:t>磋商</w:t>
      </w:r>
      <w:r>
        <w:rPr>
          <w:rFonts w:hint="eastAsia" w:cs="宋体"/>
          <w:sz w:val="24"/>
          <w:szCs w:val="24"/>
        </w:rPr>
        <w:t>响应，无须将法定代表人身份证原件带至竞争性</w:t>
      </w:r>
      <w:r>
        <w:rPr>
          <w:rFonts w:hint="eastAsia" w:ascii="宋体" w:hAnsi="宋体" w:cs="宋体"/>
          <w:color w:val="000000"/>
          <w:sz w:val="24"/>
          <w:szCs w:val="24"/>
        </w:rPr>
        <w:t>磋商</w:t>
      </w:r>
      <w:r>
        <w:rPr>
          <w:rFonts w:hint="eastAsia" w:cs="宋体"/>
          <w:sz w:val="24"/>
          <w:szCs w:val="24"/>
        </w:rPr>
        <w:t>现场备查，仅需提供本证明。</w:t>
      </w:r>
    </w:p>
    <w:p>
      <w:pPr>
        <w:snapToGrid w:val="0"/>
        <w:spacing w:line="520" w:lineRule="exact"/>
        <w:ind w:firstLine="482" w:firstLineChars="200"/>
        <w:rPr>
          <w:rFonts w:ascii="宋体"/>
          <w:b/>
          <w:bCs/>
          <w:sz w:val="24"/>
          <w:szCs w:val="24"/>
        </w:rPr>
      </w:pPr>
    </w:p>
    <w:p>
      <w:pPr>
        <w:snapToGrid w:val="0"/>
        <w:spacing w:line="520" w:lineRule="exact"/>
        <w:jc w:val="center"/>
        <w:outlineLvl w:val="3"/>
        <w:rPr>
          <w:rFonts w:ascii="宋体"/>
          <w:b/>
          <w:bCs/>
          <w:sz w:val="28"/>
          <w:szCs w:val="28"/>
        </w:rPr>
      </w:pPr>
      <w:r>
        <w:rPr>
          <w:rFonts w:ascii="宋体"/>
          <w:b/>
          <w:bCs/>
          <w:sz w:val="24"/>
          <w:szCs w:val="24"/>
        </w:rPr>
        <w:br w:type="page"/>
      </w:r>
      <w:r>
        <w:rPr>
          <w:rFonts w:ascii="宋体" w:hAnsi="宋体" w:cs="宋体"/>
          <w:b/>
          <w:bCs/>
          <w:sz w:val="28"/>
          <w:szCs w:val="28"/>
        </w:rPr>
        <w:t>2</w:t>
      </w:r>
      <w:r>
        <w:rPr>
          <w:rFonts w:hint="eastAsia" w:ascii="宋体" w:hAnsi="宋体" w:cs="宋体"/>
          <w:b/>
          <w:bCs/>
          <w:sz w:val="28"/>
          <w:szCs w:val="28"/>
        </w:rPr>
        <w:t>、授权委托书</w:t>
      </w:r>
    </w:p>
    <w:p>
      <w:pPr>
        <w:snapToGrid w:val="0"/>
        <w:spacing w:line="520" w:lineRule="exact"/>
        <w:jc w:val="center"/>
        <w:rPr>
          <w:rFonts w:ascii="宋体"/>
          <w:sz w:val="24"/>
          <w:szCs w:val="24"/>
        </w:rPr>
      </w:pPr>
      <w:r>
        <w:rPr>
          <w:rFonts w:hint="eastAsia" w:ascii="宋体" w:hAnsi="宋体" w:cs="宋体"/>
          <w:sz w:val="24"/>
          <w:szCs w:val="24"/>
        </w:rPr>
        <w:t>（如被授权人参加磋商，须出示此证明）</w:t>
      </w:r>
    </w:p>
    <w:p>
      <w:pPr>
        <w:snapToGrid w:val="0"/>
        <w:spacing w:line="520" w:lineRule="exact"/>
        <w:jc w:val="center"/>
        <w:rPr>
          <w:rFonts w:ascii="宋体"/>
          <w:sz w:val="24"/>
          <w:szCs w:val="24"/>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snapToGrid w:val="0"/>
        <w:spacing w:line="360" w:lineRule="auto"/>
        <w:ind w:firstLine="484" w:firstLineChars="202"/>
        <w:textAlignment w:val="baseline"/>
        <w:rPr>
          <w:sz w:val="24"/>
          <w:szCs w:val="24"/>
        </w:rPr>
      </w:pPr>
      <w:r>
        <w:rPr>
          <w:rFonts w:hint="eastAsia" w:cs="宋体"/>
          <w:sz w:val="24"/>
          <w:szCs w:val="24"/>
        </w:rPr>
        <w:t>本授权委托书声明：我</w:t>
      </w:r>
      <w:r>
        <w:rPr>
          <w:rFonts w:hint="eastAsia" w:cs="宋体"/>
          <w:sz w:val="24"/>
          <w:szCs w:val="24"/>
          <w:u w:val="single" w:color="000000"/>
        </w:rPr>
        <w:t xml:space="preserve">　    </w:t>
      </w:r>
      <w:r>
        <w:rPr>
          <w:rFonts w:hint="eastAsia" w:cs="宋体"/>
          <w:sz w:val="24"/>
          <w:szCs w:val="24"/>
        </w:rPr>
        <w:t>（姓名）系</w:t>
      </w:r>
      <w:r>
        <w:rPr>
          <w:rFonts w:hint="eastAsia" w:cs="宋体"/>
          <w:sz w:val="24"/>
          <w:szCs w:val="24"/>
          <w:u w:val="single" w:color="000000"/>
        </w:rPr>
        <w:t xml:space="preserve">　            </w:t>
      </w:r>
      <w:r>
        <w:rPr>
          <w:rFonts w:hint="eastAsia" w:cs="宋体"/>
          <w:sz w:val="24"/>
          <w:szCs w:val="24"/>
        </w:rPr>
        <w:t>（供应商名称）的法定代表人，现授权委托</w:t>
      </w:r>
      <w:r>
        <w:rPr>
          <w:rFonts w:hint="eastAsia" w:cs="宋体"/>
          <w:sz w:val="24"/>
          <w:szCs w:val="24"/>
          <w:u w:val="single" w:color="000000"/>
        </w:rPr>
        <w:t xml:space="preserve">　　     </w:t>
      </w:r>
      <w:r>
        <w:rPr>
          <w:rFonts w:hint="eastAsia" w:cs="宋体"/>
          <w:sz w:val="24"/>
          <w:szCs w:val="24"/>
        </w:rPr>
        <w:t>（姓名）为我公司为被委托受权人，以本公司的名义参加本项目的竞争性磋商响应活动。被委托受权人在开标、评审磋商活动、合同磋商过程中所签署的一切文件和处理与之有关的一切事务，我均予以承认。</w:t>
      </w:r>
    </w:p>
    <w:p>
      <w:pPr>
        <w:snapToGrid w:val="0"/>
        <w:spacing w:line="360" w:lineRule="auto"/>
        <w:ind w:firstLine="484" w:firstLineChars="202"/>
        <w:textAlignment w:val="baseline"/>
        <w:rPr>
          <w:rFonts w:cs="宋体"/>
          <w:sz w:val="24"/>
          <w:szCs w:val="24"/>
        </w:rPr>
      </w:pPr>
      <w:r>
        <w:rPr>
          <w:rFonts w:hint="eastAsia" w:cs="宋体"/>
          <w:sz w:val="24"/>
          <w:szCs w:val="24"/>
        </w:rPr>
        <w:t>被委托受权人无转委权。特此委托。</w:t>
      </w:r>
    </w:p>
    <w:p>
      <w:pPr>
        <w:pStyle w:val="2"/>
        <w:snapToGrid w:val="0"/>
        <w:spacing w:line="360" w:lineRule="auto"/>
        <w:textAlignment w:val="baseline"/>
        <w:rPr>
          <w:szCs w:val="24"/>
        </w:rPr>
      </w:pPr>
    </w:p>
    <w:p>
      <w:pPr>
        <w:snapToGrid w:val="0"/>
        <w:spacing w:line="360" w:lineRule="auto"/>
        <w:ind w:firstLine="972" w:firstLineChars="405"/>
        <w:textAlignment w:val="baseline"/>
        <w:rPr>
          <w:sz w:val="24"/>
          <w:szCs w:val="24"/>
        </w:rPr>
      </w:pPr>
      <w:r>
        <w:rPr>
          <w:rFonts w:hint="eastAsia" w:cs="宋体"/>
          <w:sz w:val="24"/>
          <w:szCs w:val="24"/>
        </w:rPr>
        <w:t>法定代表人签字：</w:t>
      </w:r>
    </w:p>
    <w:p>
      <w:pPr>
        <w:snapToGrid w:val="0"/>
        <w:spacing w:line="360" w:lineRule="auto"/>
        <w:ind w:firstLine="972" w:firstLineChars="405"/>
        <w:textAlignment w:val="baseline"/>
        <w:rPr>
          <w:sz w:val="24"/>
          <w:szCs w:val="24"/>
        </w:rPr>
      </w:pPr>
      <w:r>
        <w:rPr>
          <w:rFonts w:hint="eastAsia" w:cs="宋体"/>
          <w:sz w:val="24"/>
          <w:szCs w:val="24"/>
        </w:rPr>
        <w:t>被委托受权人身份证号：</w:t>
      </w:r>
    </w:p>
    <w:p>
      <w:pPr>
        <w:snapToGrid w:val="0"/>
        <w:spacing w:line="360" w:lineRule="auto"/>
        <w:ind w:firstLine="972" w:firstLineChars="405"/>
        <w:textAlignment w:val="baseline"/>
        <w:rPr>
          <w:sz w:val="24"/>
          <w:szCs w:val="24"/>
        </w:rPr>
      </w:pPr>
      <w:r>
        <w:rPr>
          <w:rFonts w:hint="eastAsia" w:cs="宋体"/>
          <w:sz w:val="24"/>
          <w:szCs w:val="24"/>
        </w:rPr>
        <w:t>被委托受权人签字：</w:t>
      </w:r>
    </w:p>
    <w:p>
      <w:pPr>
        <w:snapToGrid w:val="0"/>
        <w:spacing w:line="520" w:lineRule="exact"/>
        <w:jc w:val="right"/>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snapToGrid w:val="0"/>
        <w:spacing w:line="420" w:lineRule="exact"/>
        <w:ind w:firstLine="484" w:firstLineChars="202"/>
        <w:jc w:val="right"/>
        <w:textAlignment w:val="baseline"/>
        <w:rPr>
          <w:sz w:val="20"/>
        </w:rPr>
      </w:pPr>
      <w:r>
        <w:rPr>
          <w:rFonts w:hint="eastAsia" w:ascii="宋体" w:hAnsi="宋体" w:cs="宋体"/>
          <w:color w:val="000000"/>
          <w:sz w:val="24"/>
          <w:szCs w:val="24"/>
        </w:rPr>
        <w:t>年      月     日</w:t>
      </w:r>
    </w:p>
    <w:p>
      <w:pPr>
        <w:snapToGrid w:val="0"/>
        <w:spacing w:line="420" w:lineRule="exact"/>
        <w:ind w:firstLine="404" w:firstLineChars="202"/>
        <w:jc w:val="left"/>
        <w:textAlignment w:val="baseline"/>
        <w:rPr>
          <w:sz w:val="20"/>
        </w:rPr>
      </w:pPr>
    </w:p>
    <w:p>
      <w:pPr>
        <w:snapToGrid w:val="0"/>
        <w:spacing w:line="420" w:lineRule="exact"/>
        <w:ind w:firstLine="404" w:firstLineChars="202"/>
        <w:jc w:val="left"/>
        <w:textAlignment w:val="baseline"/>
        <w:rPr>
          <w:sz w:val="20"/>
        </w:rPr>
      </w:pPr>
    </w:p>
    <w:tbl>
      <w:tblPr>
        <w:tblStyle w:val="51"/>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被委托受权人身份证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left"/>
        <w:textAlignment w:val="baseline"/>
        <w:rPr>
          <w:sz w:val="24"/>
          <w:szCs w:val="24"/>
        </w:rPr>
      </w:pPr>
      <w:r>
        <w:rPr>
          <w:rFonts w:hint="eastAsia" w:cs="宋体"/>
          <w:sz w:val="24"/>
          <w:szCs w:val="24"/>
        </w:rPr>
        <w:t>注：如为被委托受权人参加项目竞争性磋商响应，须将身份证原件带至竞争性磋商现场备查。</w:t>
      </w:r>
    </w:p>
    <w:p>
      <w:pPr>
        <w:snapToGrid w:val="0"/>
        <w:spacing w:line="520" w:lineRule="exact"/>
        <w:jc w:val="center"/>
        <w:outlineLvl w:val="3"/>
        <w:rPr>
          <w:rFonts w:ascii="宋体"/>
          <w:b/>
          <w:bCs/>
          <w:sz w:val="28"/>
          <w:szCs w:val="28"/>
        </w:rPr>
      </w:pPr>
    </w:p>
    <w:p>
      <w:pPr>
        <w:jc w:val="center"/>
        <w:rPr>
          <w:rFonts w:ascii="宋体" w:hAnsi="宋体" w:cs="宋体"/>
          <w:b/>
          <w:sz w:val="24"/>
          <w:szCs w:val="24"/>
        </w:rPr>
      </w:pPr>
      <w:r>
        <w:br w:type="page"/>
      </w:r>
      <w:r>
        <w:rPr>
          <w:rFonts w:hint="eastAsia" w:ascii="宋体" w:hAnsi="宋体" w:cs="宋体"/>
          <w:b/>
          <w:color w:val="000000"/>
          <w:sz w:val="24"/>
          <w:szCs w:val="24"/>
        </w:rPr>
        <w:t>3、</w:t>
      </w:r>
      <w:r>
        <w:rPr>
          <w:rFonts w:hint="eastAsia" w:ascii="宋体" w:hAnsi="宋体" w:cs="宋体"/>
          <w:b/>
          <w:sz w:val="24"/>
          <w:szCs w:val="24"/>
        </w:rPr>
        <w:t>供应商一般情况表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企业名称</w:t>
            </w:r>
          </w:p>
        </w:tc>
        <w:tc>
          <w:tcPr>
            <w:tcW w:w="7229" w:type="dxa"/>
            <w:gridSpan w:val="8"/>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总部地址</w:t>
            </w:r>
          </w:p>
        </w:tc>
        <w:tc>
          <w:tcPr>
            <w:tcW w:w="7229" w:type="dxa"/>
            <w:gridSpan w:val="8"/>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分支机构</w:t>
            </w:r>
          </w:p>
        </w:tc>
        <w:tc>
          <w:tcPr>
            <w:tcW w:w="7229" w:type="dxa"/>
            <w:gridSpan w:val="8"/>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当地代表处地址</w:t>
            </w:r>
          </w:p>
        </w:tc>
        <w:tc>
          <w:tcPr>
            <w:tcW w:w="7229" w:type="dxa"/>
            <w:gridSpan w:val="8"/>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电话</w:t>
            </w:r>
          </w:p>
        </w:tc>
        <w:tc>
          <w:tcPr>
            <w:tcW w:w="2408" w:type="dxa"/>
            <w:gridSpan w:val="3"/>
          </w:tcPr>
          <w:p>
            <w:pPr>
              <w:spacing w:line="520" w:lineRule="exact"/>
              <w:ind w:firstLine="484" w:firstLineChars="202"/>
              <w:rPr>
                <w:rFonts w:ascii="宋体" w:hAnsi="宋体" w:cs="宋体"/>
                <w:color w:val="000000"/>
                <w:sz w:val="24"/>
                <w:szCs w:val="24"/>
              </w:rPr>
            </w:pPr>
          </w:p>
        </w:tc>
        <w:tc>
          <w:tcPr>
            <w:tcW w:w="1875" w:type="dxa"/>
            <w:gridSpan w:val="2"/>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联系人</w:t>
            </w:r>
          </w:p>
        </w:tc>
        <w:tc>
          <w:tcPr>
            <w:tcW w:w="2946" w:type="dxa"/>
            <w:gridSpan w:val="3"/>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传真</w:t>
            </w:r>
          </w:p>
        </w:tc>
        <w:tc>
          <w:tcPr>
            <w:tcW w:w="2408" w:type="dxa"/>
            <w:gridSpan w:val="3"/>
          </w:tcPr>
          <w:p>
            <w:pPr>
              <w:spacing w:line="520" w:lineRule="exact"/>
              <w:ind w:firstLine="484" w:firstLineChars="202"/>
              <w:rPr>
                <w:rFonts w:ascii="宋体" w:hAnsi="宋体" w:cs="宋体"/>
                <w:color w:val="000000"/>
                <w:sz w:val="24"/>
                <w:szCs w:val="24"/>
              </w:rPr>
            </w:pPr>
          </w:p>
        </w:tc>
        <w:tc>
          <w:tcPr>
            <w:tcW w:w="1875" w:type="dxa"/>
            <w:gridSpan w:val="2"/>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电子邮件</w:t>
            </w:r>
          </w:p>
        </w:tc>
        <w:tc>
          <w:tcPr>
            <w:tcW w:w="2946" w:type="dxa"/>
            <w:gridSpan w:val="3"/>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注册地</w:t>
            </w:r>
          </w:p>
        </w:tc>
        <w:tc>
          <w:tcPr>
            <w:tcW w:w="2408" w:type="dxa"/>
            <w:gridSpan w:val="3"/>
          </w:tcPr>
          <w:p>
            <w:pPr>
              <w:spacing w:line="520" w:lineRule="exact"/>
              <w:ind w:firstLine="484" w:firstLineChars="202"/>
              <w:rPr>
                <w:rFonts w:ascii="宋体" w:hAnsi="宋体" w:cs="宋体"/>
                <w:color w:val="000000"/>
                <w:sz w:val="24"/>
                <w:szCs w:val="24"/>
              </w:rPr>
            </w:pPr>
          </w:p>
        </w:tc>
        <w:tc>
          <w:tcPr>
            <w:tcW w:w="1875" w:type="dxa"/>
            <w:gridSpan w:val="2"/>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注册年份</w:t>
            </w:r>
          </w:p>
        </w:tc>
        <w:tc>
          <w:tcPr>
            <w:tcW w:w="2946" w:type="dxa"/>
            <w:gridSpan w:val="3"/>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资质等级</w:t>
            </w:r>
          </w:p>
        </w:tc>
        <w:tc>
          <w:tcPr>
            <w:tcW w:w="7229" w:type="dxa"/>
            <w:gridSpan w:val="8"/>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w:t>
            </w:r>
            <w:r>
              <w:rPr>
                <w:rFonts w:hint="eastAsia" w:ascii="宋体" w:hAnsi="宋体" w:cs="宋体"/>
                <w:color w:val="000000"/>
                <w:sz w:val="24"/>
                <w:szCs w:val="24"/>
              </w:rPr>
              <w:t>具备的相关</w:t>
            </w:r>
            <w:r>
              <w:rPr>
                <w:rFonts w:ascii="宋体" w:hAnsi="宋体" w:cs="宋体"/>
                <w:color w:val="000000"/>
                <w:sz w:val="24"/>
                <w:szCs w:val="24"/>
              </w:rPr>
              <w:t>资质等级</w:t>
            </w:r>
            <w:r>
              <w:rPr>
                <w:rFonts w:hint="eastAsia" w:ascii="宋体" w:hAnsi="宋体" w:cs="宋体"/>
                <w:color w:val="000000"/>
                <w:sz w:val="24"/>
                <w:szCs w:val="24"/>
              </w:rPr>
              <w:t>及相应的</w:t>
            </w:r>
            <w:r>
              <w:rPr>
                <w:rFonts w:ascii="宋体" w:hAnsi="宋体" w:cs="宋体"/>
                <w:color w:val="000000"/>
                <w:sz w:val="24"/>
                <w:szCs w:val="24"/>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质量管理体系</w:t>
            </w:r>
          </w:p>
        </w:tc>
        <w:tc>
          <w:tcPr>
            <w:tcW w:w="7229" w:type="dxa"/>
            <w:gridSpan w:val="8"/>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   （是否通过，何种）   质量保证体系认证（如通过请附相关</w:t>
            </w:r>
            <w:r>
              <w:rPr>
                <w:rFonts w:hint="eastAsia" w:ascii="宋体" w:hAnsi="宋体" w:cs="宋体"/>
                <w:color w:val="000000"/>
                <w:sz w:val="24"/>
                <w:szCs w:val="24"/>
              </w:rPr>
              <w:t>在有效期内的</w:t>
            </w:r>
            <w:r>
              <w:rPr>
                <w:rFonts w:ascii="宋体" w:hAnsi="宋体" w:cs="宋体"/>
                <w:color w:val="000000"/>
                <w:sz w:val="24"/>
                <w:szCs w:val="24"/>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项目负责人</w:t>
            </w:r>
          </w:p>
        </w:tc>
        <w:tc>
          <w:tcPr>
            <w:tcW w:w="1559" w:type="dxa"/>
            <w:gridSpan w:val="2"/>
          </w:tcPr>
          <w:p>
            <w:pPr>
              <w:spacing w:line="520" w:lineRule="exact"/>
              <w:ind w:firstLine="484" w:firstLineChars="202"/>
              <w:rPr>
                <w:rFonts w:ascii="宋体" w:hAnsi="宋体" w:cs="宋体"/>
                <w:color w:val="000000"/>
                <w:sz w:val="24"/>
                <w:szCs w:val="24"/>
              </w:rPr>
            </w:pPr>
          </w:p>
        </w:tc>
        <w:tc>
          <w:tcPr>
            <w:tcW w:w="1417" w:type="dxa"/>
            <w:gridSpan w:val="2"/>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年龄</w:t>
            </w:r>
          </w:p>
        </w:tc>
        <w:tc>
          <w:tcPr>
            <w:tcW w:w="1466" w:type="dxa"/>
            <w:gridSpan w:val="2"/>
          </w:tcPr>
          <w:p>
            <w:pPr>
              <w:spacing w:line="520" w:lineRule="exact"/>
              <w:ind w:firstLine="484" w:firstLineChars="202"/>
              <w:rPr>
                <w:rFonts w:ascii="宋体" w:hAnsi="宋体" w:cs="宋体"/>
                <w:color w:val="000000"/>
                <w:sz w:val="24"/>
                <w:szCs w:val="24"/>
              </w:rPr>
            </w:pPr>
          </w:p>
        </w:tc>
        <w:tc>
          <w:tcPr>
            <w:tcW w:w="1320" w:type="dxa"/>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性别</w:t>
            </w:r>
          </w:p>
        </w:tc>
        <w:tc>
          <w:tcPr>
            <w:tcW w:w="1467" w:type="dxa"/>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职务职称</w:t>
            </w:r>
          </w:p>
        </w:tc>
        <w:tc>
          <w:tcPr>
            <w:tcW w:w="2976" w:type="dxa"/>
            <w:gridSpan w:val="4"/>
          </w:tcPr>
          <w:p>
            <w:pPr>
              <w:spacing w:line="520" w:lineRule="exact"/>
              <w:ind w:firstLine="484" w:firstLineChars="202"/>
              <w:rPr>
                <w:rFonts w:ascii="宋体" w:hAnsi="宋体" w:cs="宋体"/>
                <w:color w:val="000000"/>
                <w:sz w:val="24"/>
                <w:szCs w:val="24"/>
              </w:rPr>
            </w:pPr>
          </w:p>
        </w:tc>
        <w:tc>
          <w:tcPr>
            <w:tcW w:w="1466" w:type="dxa"/>
            <w:gridSpan w:val="2"/>
          </w:tcPr>
          <w:p>
            <w:pPr>
              <w:spacing w:line="520" w:lineRule="exact"/>
              <w:rPr>
                <w:rFonts w:ascii="宋体" w:hAnsi="宋体" w:cs="宋体"/>
                <w:color w:val="000000"/>
                <w:sz w:val="24"/>
                <w:szCs w:val="24"/>
              </w:rPr>
            </w:pPr>
            <w:r>
              <w:rPr>
                <w:rFonts w:hint="eastAsia" w:ascii="宋体" w:hAnsi="宋体" w:cs="宋体"/>
                <w:color w:val="000000"/>
                <w:sz w:val="24"/>
                <w:szCs w:val="24"/>
              </w:rPr>
              <w:t>执业资格</w:t>
            </w:r>
          </w:p>
        </w:tc>
        <w:tc>
          <w:tcPr>
            <w:tcW w:w="2787" w:type="dxa"/>
            <w:gridSpan w:val="2"/>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2235" w:type="dxa"/>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经营范围</w:t>
            </w:r>
          </w:p>
        </w:tc>
        <w:tc>
          <w:tcPr>
            <w:tcW w:w="7229" w:type="dxa"/>
            <w:gridSpan w:val="8"/>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营业执照载明：</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1.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2.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3.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从事类似相关项目的经历及</w:t>
            </w:r>
            <w:r>
              <w:rPr>
                <w:rFonts w:ascii="宋体" w:hAnsi="宋体" w:cs="宋体"/>
                <w:color w:val="000000"/>
                <w:sz w:val="24"/>
                <w:szCs w:val="24"/>
              </w:rPr>
              <w:t>年数</w:t>
            </w:r>
          </w:p>
        </w:tc>
        <w:tc>
          <w:tcPr>
            <w:tcW w:w="6521" w:type="dxa"/>
            <w:gridSpan w:val="7"/>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其他认为有必要提供的内容，可自行添加</w:t>
            </w:r>
          </w:p>
        </w:tc>
        <w:tc>
          <w:tcPr>
            <w:tcW w:w="6521" w:type="dxa"/>
            <w:gridSpan w:val="7"/>
          </w:tcPr>
          <w:p>
            <w:pPr>
              <w:spacing w:line="520" w:lineRule="exact"/>
              <w:ind w:firstLine="484" w:firstLineChars="202"/>
              <w:rPr>
                <w:rFonts w:ascii="宋体" w:hAnsi="宋体" w:cs="宋体"/>
                <w:color w:val="000000"/>
                <w:sz w:val="24"/>
                <w:szCs w:val="24"/>
              </w:rPr>
            </w:pPr>
          </w:p>
        </w:tc>
      </w:tr>
    </w:tbl>
    <w:p>
      <w:pPr>
        <w:snapToGrid w:val="0"/>
        <w:spacing w:line="360" w:lineRule="auto"/>
        <w:ind w:right="79"/>
        <w:textAlignment w:val="baseline"/>
        <w:rPr>
          <w:rFonts w:ascii="宋体" w:hAnsi="宋体" w:cs="宋体"/>
          <w:color w:val="000000"/>
          <w:sz w:val="24"/>
          <w:szCs w:val="24"/>
        </w:rPr>
      </w:pPr>
      <w:r>
        <w:rPr>
          <w:rFonts w:hint="eastAsia" w:ascii="宋体" w:hAnsi="宋体" w:cs="宋体"/>
          <w:color w:val="000000"/>
          <w:sz w:val="24"/>
          <w:szCs w:val="24"/>
        </w:rPr>
        <w:t>竞争性磋商响应</w:t>
      </w:r>
      <w:r>
        <w:rPr>
          <w:rFonts w:hint="eastAsia" w:ascii="宋体" w:hAnsi="宋体" w:cs="宋体"/>
          <w:szCs w:val="24"/>
        </w:rPr>
        <w:t>供应商：（单位盖章）</w:t>
      </w:r>
    </w:p>
    <w:p>
      <w:pPr>
        <w:snapToGrid w:val="0"/>
        <w:spacing w:line="360" w:lineRule="auto"/>
        <w:rPr>
          <w:rFonts w:ascii="宋体" w:hAnsi="宋体" w:cs="宋体"/>
          <w:color w:val="000000"/>
          <w:sz w:val="24"/>
          <w:szCs w:val="24"/>
        </w:rPr>
      </w:pPr>
      <w:r>
        <w:rPr>
          <w:rFonts w:hint="eastAsia" w:hAnsi="宋体" w:cs="宋体"/>
          <w:sz w:val="24"/>
        </w:rPr>
        <w:t>法定代表人或</w:t>
      </w:r>
      <w:r>
        <w:rPr>
          <w:rFonts w:hint="eastAsia" w:hAnsi="宋体" w:cs="仿宋_GB2312"/>
          <w:sz w:val="24"/>
        </w:rPr>
        <w:t>被授权人（签字或盖章）</w:t>
      </w:r>
      <w:r>
        <w:rPr>
          <w:rFonts w:hint="eastAsia" w:hAnsi="宋体" w:cs="宋体"/>
          <w:sz w:val="24"/>
        </w:rPr>
        <w:t>：</w:t>
      </w:r>
      <w:r>
        <w:rPr>
          <w:rFonts w:hint="eastAsia" w:ascii="宋体" w:hAnsi="宋体" w:cs="宋体"/>
          <w:color w:val="000000"/>
          <w:sz w:val="24"/>
          <w:szCs w:val="24"/>
        </w:rPr>
        <w:t xml:space="preserve">            </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日期：  年  月  日</w:t>
      </w:r>
      <w:r>
        <w:rPr>
          <w:rFonts w:hint="eastAsia" w:ascii="宋体" w:hAnsi="宋体" w:cs="宋体"/>
          <w:color w:val="000000"/>
          <w:sz w:val="24"/>
          <w:szCs w:val="24"/>
        </w:rPr>
        <w:br w:type="page"/>
      </w:r>
    </w:p>
    <w:p>
      <w:pPr>
        <w:snapToGrid w:val="0"/>
        <w:spacing w:line="520" w:lineRule="exact"/>
        <w:ind w:firstLine="562" w:firstLineChars="200"/>
        <w:jc w:val="center"/>
        <w:outlineLvl w:val="3"/>
        <w:rPr>
          <w:rFonts w:ascii="宋体" w:hAnsi="宋体" w:cs="宋体"/>
          <w:b/>
          <w:bCs/>
          <w:color w:val="000000"/>
          <w:sz w:val="28"/>
          <w:szCs w:val="28"/>
        </w:rPr>
      </w:pPr>
      <w:r>
        <w:rPr>
          <w:rFonts w:hint="eastAsia" w:ascii="宋体" w:hAnsi="宋体" w:cs="宋体"/>
          <w:b/>
          <w:bCs/>
          <w:color w:val="000000"/>
          <w:sz w:val="28"/>
          <w:szCs w:val="28"/>
        </w:rPr>
        <w:t>4、具有履行合同所必需的设备和专业技术能力的书面声明</w:t>
      </w:r>
    </w:p>
    <w:p>
      <w:pPr>
        <w:spacing w:line="360" w:lineRule="auto"/>
        <w:rPr>
          <w:rFonts w:ascii="宋体" w:hAnsi="宋体"/>
          <w:color w:val="000000"/>
          <w:sz w:val="24"/>
          <w:szCs w:val="24"/>
        </w:rPr>
      </w:pP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我单位（供应商名称）郑重声明：</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我公司在完全理解本项目磋商的技术要求、商务条款及其他内容后，决定参与该项目的磋商活动，并声明: 如成交，我公司有固定的经营场所，并能提供足够的人员、设施、设备和专业技术能力保证合同履行，服务满足磋商文件中的要求。</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本公司对上述声明的真实性负责。如有虚假，我公司同意按我方合同违约处理，并依法承担相应法律责任。</w:t>
      </w: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5280" w:firstLineChars="2200"/>
        <w:rPr>
          <w:rFonts w:ascii="宋体" w:hAnsi="宋体"/>
          <w:color w:val="000000"/>
          <w:sz w:val="24"/>
          <w:szCs w:val="24"/>
        </w:rPr>
      </w:pPr>
      <w:r>
        <w:rPr>
          <w:rFonts w:hint="eastAsia" w:ascii="宋体" w:hAnsi="宋体"/>
          <w:color w:val="000000"/>
          <w:sz w:val="24"/>
          <w:szCs w:val="24"/>
        </w:rPr>
        <w:t>声明单位：（公章）</w:t>
      </w:r>
    </w:p>
    <w:p>
      <w:pPr>
        <w:snapToGrid w:val="0"/>
        <w:spacing w:line="360" w:lineRule="auto"/>
        <w:jc w:val="center"/>
        <w:textAlignment w:val="baseline"/>
        <w:rPr>
          <w:rFonts w:ascii="宋体" w:hAnsi="宋体"/>
          <w:color w:val="000000"/>
          <w:sz w:val="24"/>
          <w:szCs w:val="24"/>
          <w:lang w:val="zh-CN"/>
        </w:rPr>
      </w:pPr>
      <w:r>
        <w:rPr>
          <w:rFonts w:hint="eastAsia" w:ascii="宋体" w:hAnsi="宋体"/>
          <w:color w:val="000000"/>
          <w:szCs w:val="24"/>
        </w:rPr>
        <w:t xml:space="preserve">                                  </w:t>
      </w:r>
      <w:r>
        <w:rPr>
          <w:rFonts w:hint="eastAsia" w:ascii="宋体" w:hAnsi="宋体"/>
          <w:color w:val="000000"/>
          <w:sz w:val="24"/>
          <w:szCs w:val="24"/>
        </w:rPr>
        <w:t xml:space="preserve"> </w:t>
      </w:r>
      <w:r>
        <w:rPr>
          <w:rFonts w:hint="eastAsia" w:ascii="宋体" w:hAnsi="宋体"/>
          <w:color w:val="000000"/>
          <w:sz w:val="24"/>
          <w:szCs w:val="24"/>
          <w:lang w:val="zh-CN"/>
        </w:rPr>
        <w:t>日期：</w:t>
      </w:r>
      <w:r>
        <w:rPr>
          <w:rFonts w:hint="eastAsia" w:ascii="宋体" w:hAnsi="宋体"/>
          <w:color w:val="000000"/>
          <w:sz w:val="24"/>
          <w:szCs w:val="24"/>
        </w:rPr>
        <w:t xml:space="preserve">  </w:t>
      </w:r>
      <w:r>
        <w:rPr>
          <w:rFonts w:hint="eastAsia" w:ascii="宋体" w:hAnsi="宋体"/>
          <w:color w:val="000000"/>
          <w:sz w:val="24"/>
          <w:szCs w:val="24"/>
          <w:lang w:val="zh-CN"/>
        </w:rPr>
        <w:t>年</w:t>
      </w:r>
      <w:r>
        <w:rPr>
          <w:rFonts w:hint="eastAsia" w:ascii="宋体" w:hAnsi="宋体"/>
          <w:color w:val="000000"/>
          <w:sz w:val="24"/>
          <w:szCs w:val="24"/>
        </w:rPr>
        <w:t xml:space="preserve">   </w:t>
      </w:r>
      <w:r>
        <w:rPr>
          <w:rFonts w:hint="eastAsia" w:ascii="宋体" w:hAnsi="宋体"/>
          <w:color w:val="000000"/>
          <w:sz w:val="24"/>
          <w:szCs w:val="24"/>
          <w:lang w:val="zh-CN"/>
        </w:rPr>
        <w:t>月</w:t>
      </w:r>
      <w:r>
        <w:rPr>
          <w:rFonts w:hint="eastAsia" w:ascii="宋体" w:hAnsi="宋体"/>
          <w:color w:val="000000"/>
          <w:sz w:val="24"/>
          <w:szCs w:val="24"/>
        </w:rPr>
        <w:t xml:space="preserve">   </w:t>
      </w:r>
      <w:r>
        <w:rPr>
          <w:rFonts w:hint="eastAsia" w:ascii="宋体" w:hAnsi="宋体"/>
          <w:color w:val="000000"/>
          <w:sz w:val="24"/>
          <w:szCs w:val="24"/>
          <w:lang w:val="zh-CN"/>
        </w:rPr>
        <w:t>日</w:t>
      </w:r>
    </w:p>
    <w:p>
      <w:pPr>
        <w:adjustRightInd w:val="0"/>
        <w:snapToGrid w:val="0"/>
        <w:spacing w:line="480" w:lineRule="auto"/>
        <w:ind w:firstLine="2940" w:firstLineChars="1400"/>
        <w:jc w:val="left"/>
        <w:rPr>
          <w:rFonts w:ascii="宋体"/>
          <w:b/>
          <w:bCs/>
          <w:sz w:val="28"/>
          <w:szCs w:val="28"/>
        </w:rPr>
      </w:pPr>
      <w:r>
        <w:br w:type="page"/>
      </w:r>
      <w:r>
        <w:rPr>
          <w:rFonts w:hint="eastAsia" w:ascii="宋体" w:hAnsi="宋体" w:cs="宋体"/>
          <w:b/>
          <w:bCs/>
          <w:sz w:val="28"/>
          <w:szCs w:val="28"/>
        </w:rPr>
        <w:t>5、无重大违法记录声明</w:t>
      </w: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56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我单位</w:t>
      </w:r>
      <w:r>
        <w:rPr>
          <w:rFonts w:ascii="宋体" w:hAnsi="宋体" w:cs="宋体"/>
          <w:sz w:val="24"/>
          <w:szCs w:val="24"/>
          <w:u w:val="single"/>
        </w:rPr>
        <w:t xml:space="preserve">               </w:t>
      </w:r>
      <w:r>
        <w:rPr>
          <w:rFonts w:hint="eastAsia" w:ascii="宋体" w:hAnsi="宋体" w:cs="宋体"/>
          <w:sz w:val="24"/>
          <w:szCs w:val="24"/>
        </w:rPr>
        <w:t>（供应商名称）郑重声明：</w:t>
      </w:r>
    </w:p>
    <w:p>
      <w:pPr>
        <w:spacing w:line="56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参加政府采购活动前</w:t>
      </w:r>
      <w:r>
        <w:rPr>
          <w:rFonts w:ascii="宋体" w:hAnsi="宋体" w:cs="宋体"/>
          <w:sz w:val="24"/>
          <w:szCs w:val="24"/>
        </w:rPr>
        <w:t>3</w:t>
      </w:r>
      <w:r>
        <w:rPr>
          <w:rFonts w:hint="eastAsia" w:ascii="宋体" w:hAnsi="宋体" w:cs="宋体"/>
          <w:sz w:val="24"/>
          <w:szCs w:val="24"/>
        </w:rPr>
        <w:t>年内在经营活动中</w:t>
      </w:r>
      <w:r>
        <w:rPr>
          <w:rFonts w:ascii="宋体" w:hAnsi="宋体" w:cs="宋体"/>
          <w:sz w:val="24"/>
          <w:szCs w:val="24"/>
          <w:u w:val="single"/>
        </w:rPr>
        <w:t xml:space="preserve">        </w:t>
      </w:r>
      <w:r>
        <w:rPr>
          <w:rFonts w:hint="eastAsia" w:ascii="宋体" w:hAnsi="宋体" w:cs="宋体"/>
          <w:sz w:val="24"/>
          <w:szCs w:val="24"/>
        </w:rPr>
        <w:t>（在下划线上如实填写：有或没有）重大违法记录。</w:t>
      </w:r>
    </w:p>
    <w:p>
      <w:pPr>
        <w:spacing w:line="560" w:lineRule="exact"/>
        <w:ind w:firstLine="480"/>
        <w:rPr>
          <w:rFonts w:ascii="宋体"/>
          <w:sz w:val="24"/>
          <w:szCs w:val="24"/>
        </w:rPr>
      </w:pPr>
      <w:r>
        <w:rPr>
          <w:rFonts w:hint="eastAsia" w:ascii="宋体" w:hAnsi="宋体" w:cs="宋体"/>
          <w:sz w:val="24"/>
          <w:szCs w:val="24"/>
        </w:rPr>
        <w:t>（说明：政府采购法第二十二条第一款第五项所称重大违法记录，是指供应商因违法经营受到刑事处罚或者责令停产停业、吊销许可证或者执照、较大数额罚款等行政处罚。）</w:t>
      </w:r>
    </w:p>
    <w:p>
      <w:pPr>
        <w:spacing w:line="420" w:lineRule="exact"/>
        <w:rPr>
          <w:rFonts w:ascii="宋体"/>
          <w:sz w:val="24"/>
          <w:szCs w:val="24"/>
        </w:rPr>
      </w:pPr>
      <w:r>
        <w:rPr>
          <w:rFonts w:ascii="宋体" w:hAnsi="宋体" w:cs="宋体"/>
          <w:sz w:val="24"/>
          <w:szCs w:val="24"/>
        </w:rPr>
        <w:t xml:space="preserve">                                                       </w:t>
      </w:r>
    </w:p>
    <w:p>
      <w:pPr>
        <w:spacing w:line="420" w:lineRule="exact"/>
        <w:ind w:firstLine="6360" w:firstLineChars="2650"/>
        <w:rPr>
          <w:rFonts w:ascii="宋体"/>
          <w:sz w:val="24"/>
          <w:szCs w:val="24"/>
        </w:rPr>
      </w:pPr>
      <w:r>
        <w:rPr>
          <w:rFonts w:ascii="宋体" w:hAnsi="宋体" w:cs="宋体"/>
          <w:sz w:val="24"/>
          <w:szCs w:val="24"/>
        </w:rPr>
        <w:t xml:space="preserve"> </w:t>
      </w:r>
      <w:r>
        <w:rPr>
          <w:rFonts w:hint="eastAsia" w:ascii="宋体" w:hAnsi="宋体" w:cs="宋体"/>
          <w:sz w:val="24"/>
          <w:szCs w:val="24"/>
        </w:rPr>
        <w:t>声明人：（公章）</w:t>
      </w:r>
    </w:p>
    <w:p>
      <w:pPr>
        <w:spacing w:line="4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360" w:lineRule="auto"/>
        <w:jc w:val="center"/>
        <w:outlineLvl w:val="4"/>
        <w:rPr>
          <w:rFonts w:ascii="宋体"/>
          <w:b/>
          <w:bCs/>
          <w:sz w:val="28"/>
          <w:szCs w:val="28"/>
        </w:rPr>
      </w:pPr>
      <w:r>
        <w:rPr>
          <w:rFonts w:ascii="宋体"/>
          <w:b/>
          <w:bCs/>
          <w:sz w:val="28"/>
          <w:szCs w:val="28"/>
        </w:rPr>
        <w:br w:type="page"/>
      </w:r>
      <w:r>
        <w:rPr>
          <w:rFonts w:hint="eastAsia" w:ascii="宋体"/>
          <w:b/>
          <w:bCs/>
          <w:sz w:val="28"/>
          <w:szCs w:val="28"/>
        </w:rPr>
        <w:t>6</w:t>
      </w:r>
      <w:r>
        <w:rPr>
          <w:rFonts w:hint="eastAsia" w:ascii="宋体" w:hAnsi="宋体" w:cs="宋体"/>
          <w:b/>
          <w:bCs/>
          <w:sz w:val="28"/>
          <w:szCs w:val="28"/>
        </w:rPr>
        <w:t>、关于资格文件的声明函</w:t>
      </w:r>
    </w:p>
    <w:p>
      <w:pPr>
        <w:snapToGrid w:val="0"/>
        <w:spacing w:line="360" w:lineRule="auto"/>
        <w:rPr>
          <w:rFonts w:ascii="宋体"/>
          <w:sz w:val="24"/>
          <w:szCs w:val="24"/>
          <w:u w:val="single"/>
        </w:rPr>
      </w:pPr>
    </w:p>
    <w:p>
      <w:pPr>
        <w:snapToGrid w:val="0"/>
        <w:spacing w:line="360" w:lineRule="auto"/>
        <w:rPr>
          <w:rFonts w:ascii="宋体"/>
          <w:sz w:val="24"/>
          <w:szCs w:val="24"/>
          <w:u w:val="single"/>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overflowPunct w:val="0"/>
        <w:adjustRightInd w:val="0"/>
        <w:spacing w:line="360" w:lineRule="auto"/>
        <w:ind w:firstLine="660"/>
        <w:jc w:val="left"/>
        <w:textAlignment w:val="baseline"/>
        <w:rPr>
          <w:rFonts w:ascii="宋体"/>
          <w:sz w:val="24"/>
          <w:szCs w:val="24"/>
        </w:rPr>
      </w:pPr>
      <w:r>
        <w:rPr>
          <w:rFonts w:hint="eastAsia" w:ascii="宋体" w:hAnsi="宋体" w:cs="宋体"/>
          <w:sz w:val="24"/>
          <w:szCs w:val="24"/>
        </w:rPr>
        <w:t>本公司愿就由贵单位组织实施的</w:t>
      </w:r>
      <w:r>
        <w:rPr>
          <w:rFonts w:ascii="宋体" w:hAnsi="宋体" w:cs="宋体"/>
          <w:sz w:val="24"/>
          <w:szCs w:val="24"/>
          <w:u w:val="single"/>
        </w:rPr>
        <w:t xml:space="preserve">                        </w:t>
      </w:r>
      <w:r>
        <w:rPr>
          <w:rFonts w:hint="eastAsia" w:ascii="宋体" w:hAnsi="宋体" w:cs="宋体"/>
          <w:sz w:val="24"/>
          <w:szCs w:val="24"/>
        </w:rPr>
        <w:t>（项目名称及项目编号</w:t>
      </w:r>
      <w:r>
        <w:rPr>
          <w:rFonts w:ascii="宋体" w:hAnsi="宋体" w:cs="宋体"/>
          <w:sz w:val="24"/>
          <w:szCs w:val="24"/>
        </w:rPr>
        <w:t>)</w:t>
      </w:r>
      <w:r>
        <w:rPr>
          <w:rFonts w:hint="eastAsia" w:ascii="宋体" w:hAnsi="宋体" w:cs="宋体"/>
          <w:sz w:val="24"/>
          <w:szCs w:val="24"/>
        </w:rPr>
        <w:t>的活动参与磋商。本公司所提交的磋商文件中所有关于资格的文件、证明和陈述均是真实的、准确的。若与真实情况不符，本公司愿意承担由此而产生的一切后果。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sz w:val="24"/>
          <w:szCs w:val="24"/>
        </w:rPr>
      </w:pPr>
    </w:p>
    <w:p>
      <w:pPr>
        <w:overflowPunct w:val="0"/>
        <w:adjustRightInd w:val="0"/>
        <w:spacing w:line="360" w:lineRule="auto"/>
        <w:ind w:firstLine="420"/>
        <w:jc w:val="left"/>
        <w:textAlignment w:val="baseline"/>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pPr>
        <w:snapToGrid w:val="0"/>
        <w:spacing w:line="5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pacing w:line="360" w:lineRule="auto"/>
        <w:rPr>
          <w:rFonts w:ascii="宋体"/>
          <w:b/>
          <w:bCs/>
          <w:sz w:val="30"/>
          <w:szCs w:val="30"/>
        </w:rPr>
      </w:pPr>
    </w:p>
    <w:p>
      <w:pPr>
        <w:snapToGrid w:val="0"/>
        <w:spacing w:line="520" w:lineRule="exact"/>
        <w:ind w:firstLine="420" w:firstLineChars="200"/>
        <w:jc w:val="center"/>
        <w:rPr>
          <w:rFonts w:ascii="宋体"/>
          <w:b/>
          <w:bCs/>
          <w:sz w:val="28"/>
          <w:szCs w:val="28"/>
        </w:rPr>
      </w:pPr>
      <w:r>
        <w:br w:type="page"/>
      </w:r>
      <w:r>
        <w:rPr>
          <w:rFonts w:hint="eastAsia" w:ascii="宋体" w:hAnsi="宋体" w:cs="宋体"/>
          <w:b/>
          <w:bCs/>
          <w:sz w:val="28"/>
          <w:szCs w:val="28"/>
        </w:rPr>
        <w:t>7、竞争性磋商响应函（格式不得变动）</w:t>
      </w:r>
    </w:p>
    <w:p>
      <w:pPr>
        <w:snapToGrid w:val="0"/>
        <w:spacing w:line="520" w:lineRule="exact"/>
        <w:rPr>
          <w:rFonts w:ascii="宋体"/>
          <w:sz w:val="24"/>
          <w:szCs w:val="24"/>
          <w:u w:val="single"/>
        </w:rPr>
      </w:pPr>
    </w:p>
    <w:p>
      <w:pPr>
        <w:snapToGrid w:val="0"/>
        <w:spacing w:line="520" w:lineRule="exact"/>
        <w:rPr>
          <w:rFonts w:ascii="宋体"/>
          <w:sz w:val="24"/>
          <w:szCs w:val="24"/>
          <w:u w:val="single"/>
        </w:rPr>
      </w:pPr>
      <w:r>
        <w:rPr>
          <w:rFonts w:hint="eastAsia" w:ascii="宋体" w:hAnsi="宋体" w:cs="宋体"/>
          <w:sz w:val="24"/>
          <w:szCs w:val="24"/>
          <w:u w:val="single"/>
        </w:rPr>
        <w:t>南通市妇幼保健院：</w:t>
      </w:r>
    </w:p>
    <w:p>
      <w:pPr>
        <w:snapToGrid w:val="0"/>
        <w:spacing w:line="520" w:lineRule="exact"/>
        <w:ind w:firstLine="480" w:firstLineChars="200"/>
        <w:rPr>
          <w:rFonts w:ascii="宋体"/>
          <w:sz w:val="24"/>
          <w:szCs w:val="24"/>
        </w:rPr>
      </w:pPr>
      <w:r>
        <w:rPr>
          <w:rFonts w:hint="eastAsia" w:ascii="宋体" w:hAnsi="宋体" w:cs="宋体"/>
          <w:sz w:val="24"/>
          <w:szCs w:val="24"/>
        </w:rPr>
        <w:t>依据贵单位委托代理机构组织的</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（磋商项目名称及项目编号</w:t>
      </w:r>
      <w:r>
        <w:rPr>
          <w:rFonts w:ascii="宋体" w:hAnsi="宋体" w:cs="宋体"/>
          <w:sz w:val="24"/>
          <w:szCs w:val="24"/>
        </w:rPr>
        <w:t>)</w:t>
      </w:r>
      <w:r>
        <w:rPr>
          <w:rFonts w:hint="eastAsia" w:ascii="宋体" w:hAnsi="宋体" w:cs="宋体"/>
          <w:sz w:val="24"/>
          <w:szCs w:val="24"/>
        </w:rPr>
        <w:t>项目竞争性磋商的邀请，我方授权</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（姓名）</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（职务）为全权代表参加该项目的磋商工作，全权处理本次竞争性磋商的有关事宜。同时，我公司声明如下：</w:t>
      </w:r>
    </w:p>
    <w:p>
      <w:pPr>
        <w:snapToGrid w:val="0"/>
        <w:spacing w:line="5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、同意并接受竞争性磋商文件的各项要求，遵守竞争性磋商文件中的各项规定，按竞争性磋商文件的要求提供报价。</w:t>
      </w:r>
    </w:p>
    <w:p>
      <w:pPr>
        <w:snapToGrid w:val="0"/>
        <w:spacing w:line="5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、我公司已毫无保留地向贵方提供一切所需的证明材料。</w:t>
      </w:r>
    </w:p>
    <w:p>
      <w:pPr>
        <w:snapToGrid w:val="0"/>
        <w:spacing w:line="52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、一旦成交，我方承诺无正当理由拒绝签订合同，将被贵方取消成交资格。</w:t>
      </w:r>
    </w:p>
    <w:p>
      <w:pPr>
        <w:snapToGrid w:val="0"/>
        <w:spacing w:line="52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b/>
          <w:bCs/>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pPr>
        <w:snapToGrid w:val="0"/>
        <w:spacing w:line="5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pStyle w:val="138"/>
        <w:snapToGrid w:val="0"/>
        <w:spacing w:line="360" w:lineRule="auto"/>
        <w:ind w:firstLine="562"/>
        <w:jc w:val="center"/>
        <w:rPr>
          <w:rFonts w:ascii="宋体" w:hAnsi="宋体" w:cs="宋体"/>
          <w:b/>
          <w:color w:val="000000"/>
        </w:rPr>
      </w:pPr>
      <w:r>
        <w:rPr>
          <w:rFonts w:ascii="宋体"/>
          <w:b/>
          <w:bCs/>
          <w:sz w:val="28"/>
          <w:szCs w:val="28"/>
        </w:rPr>
        <w:br w:type="page"/>
      </w:r>
      <w:r>
        <w:rPr>
          <w:rFonts w:hint="eastAsia" w:ascii="宋体"/>
          <w:b/>
          <w:bCs/>
          <w:sz w:val="28"/>
          <w:szCs w:val="28"/>
        </w:rPr>
        <w:t>8</w:t>
      </w:r>
      <w:r>
        <w:rPr>
          <w:rFonts w:hint="eastAsia" w:ascii="宋体" w:hAnsi="宋体" w:cs="宋体"/>
          <w:b/>
          <w:bCs/>
          <w:sz w:val="28"/>
          <w:szCs w:val="28"/>
        </w:rPr>
        <w:t>、拟派项目组人员构成一览表</w:t>
      </w:r>
    </w:p>
    <w:p>
      <w:pPr>
        <w:jc w:val="center"/>
        <w:rPr>
          <w:rFonts w:ascii="宋体" w:hAnsi="宋体"/>
          <w:color w:val="000000"/>
          <w:sz w:val="18"/>
          <w:szCs w:val="24"/>
        </w:rPr>
      </w:pPr>
    </w:p>
    <w:tbl>
      <w:tblPr>
        <w:tblStyle w:val="51"/>
        <w:tblW w:w="8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134"/>
        <w:gridCol w:w="796"/>
        <w:gridCol w:w="851"/>
        <w:gridCol w:w="1755"/>
        <w:gridCol w:w="1843"/>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73" w:type="dxa"/>
            <w:vAlign w:val="center"/>
          </w:tcPr>
          <w:p>
            <w:pPr>
              <w:jc w:val="center"/>
              <w:rPr>
                <w:rFonts w:ascii="宋体" w:hAnsi="宋体"/>
                <w:color w:val="000000"/>
                <w:sz w:val="24"/>
                <w:szCs w:val="24"/>
              </w:rPr>
            </w:pPr>
            <w:r>
              <w:rPr>
                <w:rFonts w:hint="eastAsia" w:ascii="宋体" w:hAnsi="宋体"/>
                <w:color w:val="000000"/>
                <w:sz w:val="24"/>
                <w:szCs w:val="24"/>
              </w:rPr>
              <w:t>序号</w:t>
            </w:r>
          </w:p>
        </w:tc>
        <w:tc>
          <w:tcPr>
            <w:tcW w:w="1134" w:type="dxa"/>
            <w:vAlign w:val="center"/>
          </w:tcPr>
          <w:p>
            <w:pPr>
              <w:jc w:val="center"/>
              <w:rPr>
                <w:rFonts w:ascii="宋体" w:hAnsi="宋体"/>
                <w:color w:val="000000"/>
                <w:sz w:val="24"/>
                <w:szCs w:val="24"/>
              </w:rPr>
            </w:pPr>
            <w:r>
              <w:rPr>
                <w:rFonts w:hint="eastAsia" w:ascii="宋体" w:hAnsi="宋体"/>
                <w:color w:val="000000"/>
                <w:sz w:val="24"/>
                <w:szCs w:val="24"/>
              </w:rPr>
              <w:t>姓  名</w:t>
            </w:r>
          </w:p>
        </w:tc>
        <w:tc>
          <w:tcPr>
            <w:tcW w:w="796" w:type="dxa"/>
            <w:vAlign w:val="center"/>
          </w:tcPr>
          <w:p>
            <w:pPr>
              <w:jc w:val="center"/>
              <w:rPr>
                <w:rFonts w:ascii="宋体" w:hAnsi="宋体"/>
                <w:color w:val="000000"/>
                <w:sz w:val="24"/>
                <w:szCs w:val="24"/>
              </w:rPr>
            </w:pPr>
            <w:r>
              <w:rPr>
                <w:rFonts w:hint="eastAsia" w:ascii="宋体" w:hAnsi="宋体"/>
                <w:color w:val="000000"/>
                <w:sz w:val="24"/>
                <w:szCs w:val="24"/>
              </w:rPr>
              <w:t>性别</w:t>
            </w:r>
          </w:p>
        </w:tc>
        <w:tc>
          <w:tcPr>
            <w:tcW w:w="851" w:type="dxa"/>
            <w:vAlign w:val="center"/>
          </w:tcPr>
          <w:p>
            <w:pPr>
              <w:jc w:val="center"/>
              <w:rPr>
                <w:rFonts w:ascii="宋体" w:hAnsi="宋体"/>
                <w:color w:val="000000"/>
                <w:sz w:val="24"/>
                <w:szCs w:val="24"/>
              </w:rPr>
            </w:pPr>
            <w:r>
              <w:rPr>
                <w:rFonts w:hint="eastAsia" w:ascii="宋体" w:hAnsi="宋体"/>
                <w:color w:val="000000"/>
                <w:sz w:val="24"/>
                <w:szCs w:val="24"/>
              </w:rPr>
              <w:t>年龄</w:t>
            </w:r>
          </w:p>
        </w:tc>
        <w:tc>
          <w:tcPr>
            <w:tcW w:w="1755" w:type="dxa"/>
            <w:vAlign w:val="center"/>
          </w:tcPr>
          <w:p>
            <w:pPr>
              <w:jc w:val="center"/>
              <w:rPr>
                <w:rFonts w:ascii="宋体" w:hAnsi="宋体"/>
                <w:color w:val="000000"/>
                <w:sz w:val="24"/>
                <w:szCs w:val="24"/>
              </w:rPr>
            </w:pPr>
            <w:r>
              <w:rPr>
                <w:rFonts w:hint="eastAsia" w:ascii="宋体" w:hAnsi="宋体"/>
                <w:color w:val="000000"/>
                <w:sz w:val="24"/>
                <w:szCs w:val="24"/>
              </w:rPr>
              <w:t>职称及专业</w:t>
            </w:r>
          </w:p>
        </w:tc>
        <w:tc>
          <w:tcPr>
            <w:tcW w:w="1843" w:type="dxa"/>
            <w:vAlign w:val="center"/>
          </w:tcPr>
          <w:p>
            <w:pPr>
              <w:jc w:val="center"/>
              <w:rPr>
                <w:rFonts w:ascii="宋体" w:hAnsi="宋体"/>
                <w:color w:val="000000"/>
                <w:sz w:val="24"/>
                <w:szCs w:val="24"/>
              </w:rPr>
            </w:pPr>
            <w:r>
              <w:rPr>
                <w:rFonts w:hint="eastAsia" w:ascii="宋体" w:hAnsi="宋体"/>
                <w:color w:val="000000"/>
                <w:sz w:val="24"/>
                <w:szCs w:val="24"/>
              </w:rPr>
              <w:t>职业证书及</w:t>
            </w:r>
          </w:p>
          <w:p>
            <w:pPr>
              <w:jc w:val="center"/>
              <w:rPr>
                <w:rFonts w:ascii="宋体" w:hAnsi="宋体"/>
                <w:color w:val="000000"/>
                <w:sz w:val="24"/>
                <w:szCs w:val="24"/>
              </w:rPr>
            </w:pPr>
            <w:r>
              <w:rPr>
                <w:rFonts w:hint="eastAsia" w:ascii="宋体" w:hAnsi="宋体"/>
                <w:color w:val="000000"/>
                <w:sz w:val="24"/>
                <w:szCs w:val="24"/>
              </w:rPr>
              <w:t>注册号</w:t>
            </w:r>
          </w:p>
        </w:tc>
        <w:tc>
          <w:tcPr>
            <w:tcW w:w="1435" w:type="dxa"/>
            <w:vAlign w:val="center"/>
          </w:tcPr>
          <w:p>
            <w:pPr>
              <w:jc w:val="center"/>
              <w:rPr>
                <w:rFonts w:ascii="宋体" w:hAnsi="宋体"/>
                <w:color w:val="000000"/>
                <w:sz w:val="24"/>
                <w:szCs w:val="24"/>
              </w:rPr>
            </w:pPr>
            <w:r>
              <w:rPr>
                <w:rFonts w:hint="eastAsia" w:ascii="宋体" w:hAnsi="宋体"/>
                <w:color w:val="000000"/>
                <w:sz w:val="24"/>
                <w:szCs w:val="24"/>
              </w:rPr>
              <w:t>本项目组中</w:t>
            </w:r>
          </w:p>
          <w:p>
            <w:pPr>
              <w:jc w:val="center"/>
              <w:rPr>
                <w:rFonts w:ascii="宋体" w:hAnsi="宋体"/>
                <w:color w:val="000000"/>
                <w:sz w:val="24"/>
                <w:szCs w:val="24"/>
              </w:rPr>
            </w:pPr>
            <w:r>
              <w:rPr>
                <w:rFonts w:hint="eastAsia" w:ascii="宋体" w:hAnsi="宋体"/>
                <w:color w:val="000000"/>
                <w:sz w:val="24"/>
                <w:szCs w:val="24"/>
              </w:rPr>
              <w:t>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73" w:type="dxa"/>
            <w:vAlign w:val="center"/>
          </w:tcPr>
          <w:p>
            <w:pPr>
              <w:jc w:val="center"/>
              <w:rPr>
                <w:rFonts w:ascii="宋体" w:hAnsi="宋体"/>
                <w:color w:val="000000"/>
                <w:sz w:val="24"/>
                <w:szCs w:val="24"/>
              </w:rPr>
            </w:pPr>
          </w:p>
        </w:tc>
        <w:tc>
          <w:tcPr>
            <w:tcW w:w="1134" w:type="dxa"/>
            <w:vAlign w:val="center"/>
          </w:tcPr>
          <w:p>
            <w:pPr>
              <w:jc w:val="center"/>
              <w:rPr>
                <w:rFonts w:ascii="宋体" w:hAnsi="宋体"/>
                <w:color w:val="000000"/>
                <w:sz w:val="24"/>
                <w:szCs w:val="24"/>
              </w:rPr>
            </w:pPr>
          </w:p>
        </w:tc>
        <w:tc>
          <w:tcPr>
            <w:tcW w:w="796" w:type="dxa"/>
            <w:vAlign w:val="center"/>
          </w:tcPr>
          <w:p>
            <w:pPr>
              <w:jc w:val="center"/>
              <w:rPr>
                <w:rFonts w:ascii="宋体" w:hAnsi="宋体"/>
                <w:color w:val="000000"/>
                <w:sz w:val="24"/>
                <w:szCs w:val="24"/>
              </w:rPr>
            </w:pPr>
          </w:p>
        </w:tc>
        <w:tc>
          <w:tcPr>
            <w:tcW w:w="851" w:type="dxa"/>
            <w:vAlign w:val="center"/>
          </w:tcPr>
          <w:p>
            <w:pPr>
              <w:jc w:val="center"/>
              <w:rPr>
                <w:rFonts w:ascii="宋体" w:hAnsi="宋体"/>
                <w:color w:val="000000"/>
                <w:sz w:val="24"/>
                <w:szCs w:val="24"/>
              </w:rPr>
            </w:pPr>
          </w:p>
        </w:tc>
        <w:tc>
          <w:tcPr>
            <w:tcW w:w="1755" w:type="dxa"/>
            <w:vAlign w:val="center"/>
          </w:tcPr>
          <w:p>
            <w:pPr>
              <w:jc w:val="center"/>
              <w:rPr>
                <w:rFonts w:ascii="宋体" w:hAnsi="宋体"/>
                <w:color w:val="000000"/>
                <w:sz w:val="24"/>
                <w:szCs w:val="24"/>
              </w:rPr>
            </w:pPr>
          </w:p>
        </w:tc>
        <w:tc>
          <w:tcPr>
            <w:tcW w:w="1843" w:type="dxa"/>
            <w:vAlign w:val="center"/>
          </w:tcPr>
          <w:p>
            <w:pPr>
              <w:jc w:val="center"/>
              <w:rPr>
                <w:rFonts w:ascii="宋体" w:hAnsi="宋体"/>
                <w:color w:val="000000"/>
                <w:sz w:val="24"/>
                <w:szCs w:val="24"/>
              </w:rPr>
            </w:pPr>
          </w:p>
        </w:tc>
        <w:tc>
          <w:tcPr>
            <w:tcW w:w="1435" w:type="dxa"/>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73" w:type="dxa"/>
            <w:vAlign w:val="center"/>
          </w:tcPr>
          <w:p>
            <w:pPr>
              <w:jc w:val="center"/>
              <w:rPr>
                <w:rFonts w:ascii="宋体" w:hAnsi="宋体"/>
                <w:color w:val="000000"/>
                <w:sz w:val="24"/>
                <w:szCs w:val="24"/>
              </w:rPr>
            </w:pPr>
          </w:p>
        </w:tc>
        <w:tc>
          <w:tcPr>
            <w:tcW w:w="1134" w:type="dxa"/>
            <w:vAlign w:val="center"/>
          </w:tcPr>
          <w:p>
            <w:pPr>
              <w:jc w:val="center"/>
              <w:rPr>
                <w:rFonts w:ascii="宋体" w:hAnsi="宋体"/>
                <w:color w:val="000000"/>
                <w:sz w:val="24"/>
                <w:szCs w:val="24"/>
              </w:rPr>
            </w:pPr>
          </w:p>
        </w:tc>
        <w:tc>
          <w:tcPr>
            <w:tcW w:w="796" w:type="dxa"/>
            <w:vAlign w:val="center"/>
          </w:tcPr>
          <w:p>
            <w:pPr>
              <w:jc w:val="center"/>
              <w:rPr>
                <w:rFonts w:ascii="宋体" w:hAnsi="宋体"/>
                <w:color w:val="000000"/>
                <w:sz w:val="24"/>
                <w:szCs w:val="24"/>
              </w:rPr>
            </w:pPr>
          </w:p>
        </w:tc>
        <w:tc>
          <w:tcPr>
            <w:tcW w:w="851" w:type="dxa"/>
            <w:vAlign w:val="center"/>
          </w:tcPr>
          <w:p>
            <w:pPr>
              <w:jc w:val="center"/>
              <w:rPr>
                <w:rFonts w:ascii="宋体" w:hAnsi="宋体"/>
                <w:color w:val="000000"/>
                <w:sz w:val="24"/>
                <w:szCs w:val="24"/>
              </w:rPr>
            </w:pPr>
          </w:p>
        </w:tc>
        <w:tc>
          <w:tcPr>
            <w:tcW w:w="1755" w:type="dxa"/>
            <w:vAlign w:val="center"/>
          </w:tcPr>
          <w:p>
            <w:pPr>
              <w:jc w:val="center"/>
              <w:rPr>
                <w:rFonts w:ascii="宋体" w:hAnsi="宋体"/>
                <w:color w:val="000000"/>
                <w:sz w:val="24"/>
                <w:szCs w:val="24"/>
              </w:rPr>
            </w:pPr>
          </w:p>
        </w:tc>
        <w:tc>
          <w:tcPr>
            <w:tcW w:w="1843" w:type="dxa"/>
            <w:vAlign w:val="center"/>
          </w:tcPr>
          <w:p>
            <w:pPr>
              <w:jc w:val="center"/>
              <w:rPr>
                <w:rFonts w:ascii="宋体" w:hAnsi="宋体"/>
                <w:color w:val="000000"/>
                <w:sz w:val="24"/>
                <w:szCs w:val="24"/>
              </w:rPr>
            </w:pPr>
          </w:p>
        </w:tc>
        <w:tc>
          <w:tcPr>
            <w:tcW w:w="1435" w:type="dxa"/>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73" w:type="dxa"/>
            <w:vAlign w:val="center"/>
          </w:tcPr>
          <w:p>
            <w:pPr>
              <w:jc w:val="center"/>
              <w:rPr>
                <w:rFonts w:ascii="宋体" w:hAnsi="宋体"/>
                <w:color w:val="000000"/>
                <w:sz w:val="24"/>
                <w:szCs w:val="24"/>
              </w:rPr>
            </w:pPr>
          </w:p>
        </w:tc>
        <w:tc>
          <w:tcPr>
            <w:tcW w:w="1134" w:type="dxa"/>
            <w:vAlign w:val="center"/>
          </w:tcPr>
          <w:p>
            <w:pPr>
              <w:jc w:val="center"/>
              <w:rPr>
                <w:rFonts w:ascii="宋体" w:hAnsi="宋体"/>
                <w:color w:val="000000"/>
                <w:sz w:val="24"/>
                <w:szCs w:val="24"/>
              </w:rPr>
            </w:pPr>
          </w:p>
        </w:tc>
        <w:tc>
          <w:tcPr>
            <w:tcW w:w="796" w:type="dxa"/>
            <w:vAlign w:val="center"/>
          </w:tcPr>
          <w:p>
            <w:pPr>
              <w:jc w:val="center"/>
              <w:rPr>
                <w:rFonts w:ascii="宋体" w:hAnsi="宋体"/>
                <w:color w:val="000000"/>
                <w:sz w:val="24"/>
                <w:szCs w:val="24"/>
              </w:rPr>
            </w:pPr>
          </w:p>
        </w:tc>
        <w:tc>
          <w:tcPr>
            <w:tcW w:w="851" w:type="dxa"/>
            <w:vAlign w:val="center"/>
          </w:tcPr>
          <w:p>
            <w:pPr>
              <w:jc w:val="center"/>
              <w:rPr>
                <w:rFonts w:ascii="宋体" w:hAnsi="宋体"/>
                <w:color w:val="000000"/>
                <w:sz w:val="24"/>
                <w:szCs w:val="24"/>
              </w:rPr>
            </w:pPr>
          </w:p>
        </w:tc>
        <w:tc>
          <w:tcPr>
            <w:tcW w:w="1755" w:type="dxa"/>
            <w:vAlign w:val="center"/>
          </w:tcPr>
          <w:p>
            <w:pPr>
              <w:jc w:val="center"/>
              <w:rPr>
                <w:rFonts w:ascii="宋体" w:hAnsi="宋体"/>
                <w:color w:val="000000"/>
                <w:sz w:val="24"/>
                <w:szCs w:val="24"/>
              </w:rPr>
            </w:pPr>
          </w:p>
        </w:tc>
        <w:tc>
          <w:tcPr>
            <w:tcW w:w="1843" w:type="dxa"/>
            <w:vAlign w:val="center"/>
          </w:tcPr>
          <w:p>
            <w:pPr>
              <w:jc w:val="center"/>
              <w:rPr>
                <w:rFonts w:ascii="宋体" w:hAnsi="宋体"/>
                <w:color w:val="000000"/>
                <w:sz w:val="24"/>
                <w:szCs w:val="24"/>
              </w:rPr>
            </w:pPr>
          </w:p>
        </w:tc>
        <w:tc>
          <w:tcPr>
            <w:tcW w:w="1435" w:type="dxa"/>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73" w:type="dxa"/>
            <w:vAlign w:val="center"/>
          </w:tcPr>
          <w:p>
            <w:pPr>
              <w:jc w:val="center"/>
              <w:rPr>
                <w:rFonts w:ascii="宋体" w:hAnsi="宋体"/>
                <w:color w:val="000000"/>
                <w:sz w:val="24"/>
                <w:szCs w:val="24"/>
              </w:rPr>
            </w:pPr>
          </w:p>
        </w:tc>
        <w:tc>
          <w:tcPr>
            <w:tcW w:w="1134" w:type="dxa"/>
            <w:vAlign w:val="center"/>
          </w:tcPr>
          <w:p>
            <w:pPr>
              <w:jc w:val="center"/>
              <w:rPr>
                <w:rFonts w:ascii="宋体" w:hAnsi="宋体"/>
                <w:color w:val="000000"/>
                <w:sz w:val="24"/>
                <w:szCs w:val="24"/>
              </w:rPr>
            </w:pPr>
          </w:p>
        </w:tc>
        <w:tc>
          <w:tcPr>
            <w:tcW w:w="796" w:type="dxa"/>
            <w:vAlign w:val="center"/>
          </w:tcPr>
          <w:p>
            <w:pPr>
              <w:jc w:val="center"/>
              <w:rPr>
                <w:rFonts w:ascii="宋体" w:hAnsi="宋体"/>
                <w:color w:val="000000"/>
                <w:sz w:val="24"/>
                <w:szCs w:val="24"/>
              </w:rPr>
            </w:pPr>
          </w:p>
        </w:tc>
        <w:tc>
          <w:tcPr>
            <w:tcW w:w="851" w:type="dxa"/>
            <w:vAlign w:val="center"/>
          </w:tcPr>
          <w:p>
            <w:pPr>
              <w:jc w:val="center"/>
              <w:rPr>
                <w:rFonts w:ascii="宋体" w:hAnsi="宋体"/>
                <w:color w:val="000000"/>
                <w:sz w:val="24"/>
                <w:szCs w:val="24"/>
              </w:rPr>
            </w:pPr>
          </w:p>
        </w:tc>
        <w:tc>
          <w:tcPr>
            <w:tcW w:w="1755" w:type="dxa"/>
            <w:vAlign w:val="center"/>
          </w:tcPr>
          <w:p>
            <w:pPr>
              <w:jc w:val="center"/>
              <w:rPr>
                <w:rFonts w:ascii="宋体" w:hAnsi="宋体"/>
                <w:color w:val="000000"/>
                <w:sz w:val="24"/>
                <w:szCs w:val="24"/>
              </w:rPr>
            </w:pPr>
          </w:p>
        </w:tc>
        <w:tc>
          <w:tcPr>
            <w:tcW w:w="1843" w:type="dxa"/>
            <w:vAlign w:val="center"/>
          </w:tcPr>
          <w:p>
            <w:pPr>
              <w:jc w:val="center"/>
              <w:rPr>
                <w:rFonts w:ascii="宋体" w:hAnsi="宋体"/>
                <w:color w:val="000000"/>
                <w:sz w:val="24"/>
                <w:szCs w:val="24"/>
              </w:rPr>
            </w:pPr>
          </w:p>
        </w:tc>
        <w:tc>
          <w:tcPr>
            <w:tcW w:w="1435" w:type="dxa"/>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73" w:type="dxa"/>
            <w:vAlign w:val="center"/>
          </w:tcPr>
          <w:p>
            <w:pPr>
              <w:jc w:val="center"/>
              <w:rPr>
                <w:rFonts w:ascii="宋体" w:hAnsi="宋体"/>
                <w:color w:val="000000"/>
                <w:sz w:val="24"/>
                <w:szCs w:val="24"/>
              </w:rPr>
            </w:pPr>
          </w:p>
        </w:tc>
        <w:tc>
          <w:tcPr>
            <w:tcW w:w="1134" w:type="dxa"/>
            <w:vAlign w:val="center"/>
          </w:tcPr>
          <w:p>
            <w:pPr>
              <w:jc w:val="center"/>
              <w:rPr>
                <w:rFonts w:ascii="宋体" w:hAnsi="宋体"/>
                <w:color w:val="000000"/>
                <w:sz w:val="24"/>
                <w:szCs w:val="24"/>
              </w:rPr>
            </w:pPr>
          </w:p>
        </w:tc>
        <w:tc>
          <w:tcPr>
            <w:tcW w:w="796" w:type="dxa"/>
            <w:vAlign w:val="center"/>
          </w:tcPr>
          <w:p>
            <w:pPr>
              <w:jc w:val="center"/>
              <w:rPr>
                <w:rFonts w:ascii="宋体" w:hAnsi="宋体"/>
                <w:color w:val="000000"/>
                <w:sz w:val="24"/>
                <w:szCs w:val="24"/>
              </w:rPr>
            </w:pPr>
          </w:p>
        </w:tc>
        <w:tc>
          <w:tcPr>
            <w:tcW w:w="851" w:type="dxa"/>
            <w:vAlign w:val="center"/>
          </w:tcPr>
          <w:p>
            <w:pPr>
              <w:jc w:val="center"/>
              <w:rPr>
                <w:rFonts w:ascii="宋体" w:hAnsi="宋体"/>
                <w:color w:val="000000"/>
                <w:sz w:val="24"/>
                <w:szCs w:val="24"/>
              </w:rPr>
            </w:pPr>
          </w:p>
        </w:tc>
        <w:tc>
          <w:tcPr>
            <w:tcW w:w="1755" w:type="dxa"/>
            <w:vAlign w:val="center"/>
          </w:tcPr>
          <w:p>
            <w:pPr>
              <w:jc w:val="center"/>
              <w:rPr>
                <w:rFonts w:ascii="宋体" w:hAnsi="宋体"/>
                <w:color w:val="000000"/>
                <w:sz w:val="24"/>
                <w:szCs w:val="24"/>
              </w:rPr>
            </w:pPr>
          </w:p>
        </w:tc>
        <w:tc>
          <w:tcPr>
            <w:tcW w:w="1843" w:type="dxa"/>
            <w:vAlign w:val="center"/>
          </w:tcPr>
          <w:p>
            <w:pPr>
              <w:jc w:val="center"/>
              <w:rPr>
                <w:rFonts w:ascii="宋体" w:hAnsi="宋体"/>
                <w:color w:val="000000"/>
                <w:sz w:val="24"/>
                <w:szCs w:val="24"/>
              </w:rPr>
            </w:pPr>
          </w:p>
        </w:tc>
        <w:tc>
          <w:tcPr>
            <w:tcW w:w="1435" w:type="dxa"/>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73" w:type="dxa"/>
            <w:vAlign w:val="center"/>
          </w:tcPr>
          <w:p>
            <w:pPr>
              <w:jc w:val="center"/>
              <w:rPr>
                <w:rFonts w:ascii="宋体" w:hAnsi="宋体"/>
                <w:color w:val="000000"/>
                <w:sz w:val="24"/>
                <w:szCs w:val="24"/>
              </w:rPr>
            </w:pPr>
          </w:p>
        </w:tc>
        <w:tc>
          <w:tcPr>
            <w:tcW w:w="1134" w:type="dxa"/>
            <w:vAlign w:val="center"/>
          </w:tcPr>
          <w:p>
            <w:pPr>
              <w:jc w:val="center"/>
              <w:rPr>
                <w:rFonts w:ascii="宋体" w:hAnsi="宋体"/>
                <w:color w:val="000000"/>
                <w:sz w:val="24"/>
                <w:szCs w:val="24"/>
              </w:rPr>
            </w:pPr>
          </w:p>
        </w:tc>
        <w:tc>
          <w:tcPr>
            <w:tcW w:w="796" w:type="dxa"/>
            <w:vAlign w:val="center"/>
          </w:tcPr>
          <w:p>
            <w:pPr>
              <w:jc w:val="center"/>
              <w:rPr>
                <w:rFonts w:ascii="宋体" w:hAnsi="宋体"/>
                <w:color w:val="000000"/>
                <w:sz w:val="24"/>
                <w:szCs w:val="24"/>
              </w:rPr>
            </w:pPr>
          </w:p>
        </w:tc>
        <w:tc>
          <w:tcPr>
            <w:tcW w:w="851" w:type="dxa"/>
            <w:vAlign w:val="center"/>
          </w:tcPr>
          <w:p>
            <w:pPr>
              <w:jc w:val="center"/>
              <w:rPr>
                <w:rFonts w:ascii="宋体" w:hAnsi="宋体"/>
                <w:color w:val="000000"/>
                <w:sz w:val="24"/>
                <w:szCs w:val="24"/>
              </w:rPr>
            </w:pPr>
          </w:p>
        </w:tc>
        <w:tc>
          <w:tcPr>
            <w:tcW w:w="1755" w:type="dxa"/>
            <w:vAlign w:val="center"/>
          </w:tcPr>
          <w:p>
            <w:pPr>
              <w:jc w:val="center"/>
              <w:rPr>
                <w:rFonts w:ascii="宋体" w:hAnsi="宋体"/>
                <w:color w:val="000000"/>
                <w:sz w:val="24"/>
                <w:szCs w:val="24"/>
              </w:rPr>
            </w:pPr>
          </w:p>
        </w:tc>
        <w:tc>
          <w:tcPr>
            <w:tcW w:w="1843" w:type="dxa"/>
            <w:vAlign w:val="center"/>
          </w:tcPr>
          <w:p>
            <w:pPr>
              <w:jc w:val="center"/>
              <w:rPr>
                <w:rFonts w:ascii="宋体" w:hAnsi="宋体"/>
                <w:color w:val="000000"/>
                <w:sz w:val="24"/>
                <w:szCs w:val="24"/>
              </w:rPr>
            </w:pPr>
          </w:p>
        </w:tc>
        <w:tc>
          <w:tcPr>
            <w:tcW w:w="1435" w:type="dxa"/>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73" w:type="dxa"/>
            <w:vAlign w:val="center"/>
          </w:tcPr>
          <w:p>
            <w:pPr>
              <w:jc w:val="center"/>
              <w:rPr>
                <w:rFonts w:ascii="宋体" w:hAnsi="宋体"/>
                <w:color w:val="000000"/>
                <w:sz w:val="28"/>
                <w:szCs w:val="24"/>
              </w:rPr>
            </w:pPr>
          </w:p>
        </w:tc>
        <w:tc>
          <w:tcPr>
            <w:tcW w:w="1134" w:type="dxa"/>
            <w:vAlign w:val="center"/>
          </w:tcPr>
          <w:p>
            <w:pPr>
              <w:jc w:val="center"/>
              <w:rPr>
                <w:rFonts w:ascii="宋体" w:hAnsi="宋体"/>
                <w:color w:val="000000"/>
                <w:sz w:val="24"/>
                <w:szCs w:val="24"/>
              </w:rPr>
            </w:pPr>
          </w:p>
        </w:tc>
        <w:tc>
          <w:tcPr>
            <w:tcW w:w="796" w:type="dxa"/>
            <w:vAlign w:val="center"/>
          </w:tcPr>
          <w:p>
            <w:pPr>
              <w:jc w:val="center"/>
              <w:rPr>
                <w:rFonts w:ascii="宋体" w:hAnsi="宋体"/>
                <w:color w:val="000000"/>
                <w:sz w:val="24"/>
                <w:szCs w:val="24"/>
              </w:rPr>
            </w:pPr>
          </w:p>
        </w:tc>
        <w:tc>
          <w:tcPr>
            <w:tcW w:w="851" w:type="dxa"/>
            <w:vAlign w:val="center"/>
          </w:tcPr>
          <w:p>
            <w:pPr>
              <w:jc w:val="center"/>
              <w:rPr>
                <w:rFonts w:ascii="宋体" w:hAnsi="宋体"/>
                <w:color w:val="000000"/>
                <w:sz w:val="24"/>
                <w:szCs w:val="24"/>
              </w:rPr>
            </w:pPr>
          </w:p>
        </w:tc>
        <w:tc>
          <w:tcPr>
            <w:tcW w:w="1755" w:type="dxa"/>
            <w:vAlign w:val="center"/>
          </w:tcPr>
          <w:p>
            <w:pPr>
              <w:jc w:val="center"/>
              <w:rPr>
                <w:rFonts w:ascii="宋体" w:hAnsi="宋体"/>
                <w:color w:val="000000"/>
                <w:sz w:val="24"/>
                <w:szCs w:val="24"/>
              </w:rPr>
            </w:pPr>
          </w:p>
        </w:tc>
        <w:tc>
          <w:tcPr>
            <w:tcW w:w="1843" w:type="dxa"/>
            <w:vAlign w:val="center"/>
          </w:tcPr>
          <w:p>
            <w:pPr>
              <w:jc w:val="center"/>
              <w:rPr>
                <w:rFonts w:ascii="宋体" w:hAnsi="宋体"/>
                <w:color w:val="000000"/>
                <w:sz w:val="24"/>
                <w:szCs w:val="24"/>
              </w:rPr>
            </w:pPr>
          </w:p>
        </w:tc>
        <w:tc>
          <w:tcPr>
            <w:tcW w:w="1435" w:type="dxa"/>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73" w:type="dxa"/>
            <w:vAlign w:val="center"/>
          </w:tcPr>
          <w:p>
            <w:pPr>
              <w:jc w:val="center"/>
              <w:rPr>
                <w:rFonts w:ascii="宋体" w:hAnsi="宋体"/>
                <w:color w:val="000000"/>
                <w:sz w:val="28"/>
                <w:szCs w:val="24"/>
              </w:rPr>
            </w:pPr>
          </w:p>
        </w:tc>
        <w:tc>
          <w:tcPr>
            <w:tcW w:w="1134" w:type="dxa"/>
            <w:vAlign w:val="center"/>
          </w:tcPr>
          <w:p>
            <w:pPr>
              <w:jc w:val="center"/>
              <w:rPr>
                <w:rFonts w:ascii="宋体" w:hAnsi="宋体"/>
                <w:color w:val="000000"/>
                <w:sz w:val="24"/>
                <w:szCs w:val="24"/>
              </w:rPr>
            </w:pPr>
          </w:p>
        </w:tc>
        <w:tc>
          <w:tcPr>
            <w:tcW w:w="796" w:type="dxa"/>
            <w:vAlign w:val="center"/>
          </w:tcPr>
          <w:p>
            <w:pPr>
              <w:jc w:val="center"/>
              <w:rPr>
                <w:rFonts w:ascii="宋体" w:hAnsi="宋体"/>
                <w:color w:val="000000"/>
                <w:sz w:val="24"/>
                <w:szCs w:val="24"/>
              </w:rPr>
            </w:pPr>
          </w:p>
        </w:tc>
        <w:tc>
          <w:tcPr>
            <w:tcW w:w="851" w:type="dxa"/>
            <w:vAlign w:val="center"/>
          </w:tcPr>
          <w:p>
            <w:pPr>
              <w:jc w:val="center"/>
              <w:rPr>
                <w:rFonts w:ascii="宋体" w:hAnsi="宋体"/>
                <w:color w:val="000000"/>
                <w:sz w:val="24"/>
                <w:szCs w:val="24"/>
              </w:rPr>
            </w:pPr>
          </w:p>
        </w:tc>
        <w:tc>
          <w:tcPr>
            <w:tcW w:w="1755" w:type="dxa"/>
            <w:vAlign w:val="center"/>
          </w:tcPr>
          <w:p>
            <w:pPr>
              <w:jc w:val="center"/>
              <w:rPr>
                <w:rFonts w:ascii="宋体" w:hAnsi="宋体"/>
                <w:color w:val="000000"/>
                <w:sz w:val="24"/>
                <w:szCs w:val="24"/>
              </w:rPr>
            </w:pPr>
          </w:p>
        </w:tc>
        <w:tc>
          <w:tcPr>
            <w:tcW w:w="1843" w:type="dxa"/>
            <w:vAlign w:val="center"/>
          </w:tcPr>
          <w:p>
            <w:pPr>
              <w:jc w:val="center"/>
              <w:rPr>
                <w:rFonts w:ascii="宋体" w:hAnsi="宋体"/>
                <w:color w:val="000000"/>
                <w:sz w:val="24"/>
                <w:szCs w:val="24"/>
              </w:rPr>
            </w:pPr>
          </w:p>
        </w:tc>
        <w:tc>
          <w:tcPr>
            <w:tcW w:w="1435" w:type="dxa"/>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73" w:type="dxa"/>
            <w:vAlign w:val="center"/>
          </w:tcPr>
          <w:p>
            <w:pPr>
              <w:jc w:val="center"/>
              <w:rPr>
                <w:rFonts w:ascii="宋体" w:hAnsi="宋体"/>
                <w:color w:val="000000"/>
                <w:sz w:val="28"/>
                <w:szCs w:val="24"/>
              </w:rPr>
            </w:pPr>
          </w:p>
        </w:tc>
        <w:tc>
          <w:tcPr>
            <w:tcW w:w="1134" w:type="dxa"/>
            <w:vAlign w:val="center"/>
          </w:tcPr>
          <w:p>
            <w:pPr>
              <w:jc w:val="center"/>
              <w:rPr>
                <w:rFonts w:ascii="宋体" w:hAnsi="宋体"/>
                <w:color w:val="000000"/>
                <w:sz w:val="24"/>
                <w:szCs w:val="24"/>
              </w:rPr>
            </w:pPr>
          </w:p>
        </w:tc>
        <w:tc>
          <w:tcPr>
            <w:tcW w:w="796" w:type="dxa"/>
            <w:vAlign w:val="center"/>
          </w:tcPr>
          <w:p>
            <w:pPr>
              <w:jc w:val="center"/>
              <w:rPr>
                <w:rFonts w:ascii="宋体" w:hAnsi="宋体"/>
                <w:color w:val="000000"/>
                <w:sz w:val="24"/>
                <w:szCs w:val="24"/>
              </w:rPr>
            </w:pPr>
          </w:p>
        </w:tc>
        <w:tc>
          <w:tcPr>
            <w:tcW w:w="851" w:type="dxa"/>
            <w:vAlign w:val="center"/>
          </w:tcPr>
          <w:p>
            <w:pPr>
              <w:jc w:val="center"/>
              <w:rPr>
                <w:rFonts w:ascii="宋体" w:hAnsi="宋体"/>
                <w:color w:val="000000"/>
                <w:sz w:val="24"/>
                <w:szCs w:val="24"/>
              </w:rPr>
            </w:pPr>
          </w:p>
        </w:tc>
        <w:tc>
          <w:tcPr>
            <w:tcW w:w="1755" w:type="dxa"/>
            <w:vAlign w:val="center"/>
          </w:tcPr>
          <w:p>
            <w:pPr>
              <w:jc w:val="center"/>
              <w:rPr>
                <w:rFonts w:ascii="宋体" w:hAnsi="宋体"/>
                <w:color w:val="000000"/>
                <w:sz w:val="24"/>
                <w:szCs w:val="24"/>
              </w:rPr>
            </w:pPr>
          </w:p>
        </w:tc>
        <w:tc>
          <w:tcPr>
            <w:tcW w:w="1843" w:type="dxa"/>
            <w:vAlign w:val="center"/>
          </w:tcPr>
          <w:p>
            <w:pPr>
              <w:jc w:val="center"/>
              <w:rPr>
                <w:rFonts w:ascii="宋体" w:hAnsi="宋体"/>
                <w:color w:val="000000"/>
                <w:sz w:val="24"/>
                <w:szCs w:val="24"/>
              </w:rPr>
            </w:pPr>
          </w:p>
        </w:tc>
        <w:tc>
          <w:tcPr>
            <w:tcW w:w="1435" w:type="dxa"/>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73" w:type="dxa"/>
            <w:vAlign w:val="center"/>
          </w:tcPr>
          <w:p>
            <w:pPr>
              <w:jc w:val="center"/>
              <w:rPr>
                <w:rFonts w:ascii="宋体" w:hAnsi="宋体"/>
                <w:color w:val="000000"/>
                <w:sz w:val="28"/>
                <w:szCs w:val="24"/>
              </w:rPr>
            </w:pPr>
          </w:p>
        </w:tc>
        <w:tc>
          <w:tcPr>
            <w:tcW w:w="1134" w:type="dxa"/>
            <w:vAlign w:val="center"/>
          </w:tcPr>
          <w:p>
            <w:pPr>
              <w:jc w:val="center"/>
              <w:rPr>
                <w:rFonts w:ascii="宋体" w:hAnsi="宋体"/>
                <w:color w:val="000000"/>
                <w:sz w:val="24"/>
                <w:szCs w:val="24"/>
              </w:rPr>
            </w:pPr>
          </w:p>
        </w:tc>
        <w:tc>
          <w:tcPr>
            <w:tcW w:w="796" w:type="dxa"/>
            <w:vAlign w:val="center"/>
          </w:tcPr>
          <w:p>
            <w:pPr>
              <w:jc w:val="center"/>
              <w:rPr>
                <w:rFonts w:ascii="宋体" w:hAnsi="宋体"/>
                <w:color w:val="000000"/>
                <w:sz w:val="24"/>
                <w:szCs w:val="24"/>
              </w:rPr>
            </w:pPr>
          </w:p>
        </w:tc>
        <w:tc>
          <w:tcPr>
            <w:tcW w:w="851" w:type="dxa"/>
            <w:vAlign w:val="center"/>
          </w:tcPr>
          <w:p>
            <w:pPr>
              <w:jc w:val="center"/>
              <w:rPr>
                <w:rFonts w:ascii="宋体" w:hAnsi="宋体"/>
                <w:color w:val="000000"/>
                <w:sz w:val="24"/>
                <w:szCs w:val="24"/>
              </w:rPr>
            </w:pPr>
          </w:p>
        </w:tc>
        <w:tc>
          <w:tcPr>
            <w:tcW w:w="1755" w:type="dxa"/>
            <w:vAlign w:val="center"/>
          </w:tcPr>
          <w:p>
            <w:pPr>
              <w:jc w:val="center"/>
              <w:rPr>
                <w:rFonts w:ascii="宋体" w:hAnsi="宋体"/>
                <w:color w:val="000000"/>
                <w:sz w:val="24"/>
                <w:szCs w:val="24"/>
              </w:rPr>
            </w:pPr>
          </w:p>
        </w:tc>
        <w:tc>
          <w:tcPr>
            <w:tcW w:w="1843" w:type="dxa"/>
            <w:vAlign w:val="center"/>
          </w:tcPr>
          <w:p>
            <w:pPr>
              <w:jc w:val="center"/>
              <w:rPr>
                <w:rFonts w:ascii="宋体" w:hAnsi="宋体"/>
                <w:color w:val="000000"/>
                <w:sz w:val="24"/>
                <w:szCs w:val="24"/>
              </w:rPr>
            </w:pPr>
          </w:p>
        </w:tc>
        <w:tc>
          <w:tcPr>
            <w:tcW w:w="1435" w:type="dxa"/>
            <w:vAlign w:val="center"/>
          </w:tcPr>
          <w:p>
            <w:pPr>
              <w:jc w:val="center"/>
              <w:rPr>
                <w:rFonts w:ascii="宋体" w:hAnsi="宋体"/>
                <w:color w:val="000000"/>
                <w:sz w:val="24"/>
                <w:szCs w:val="24"/>
              </w:rPr>
            </w:pPr>
          </w:p>
        </w:tc>
      </w:tr>
    </w:tbl>
    <w:p>
      <w:pPr>
        <w:widowControl/>
        <w:snapToGrid w:val="0"/>
        <w:jc w:val="center"/>
        <w:textAlignment w:val="baseline"/>
        <w:rPr>
          <w:rFonts w:ascii="宋体" w:hAnsi="宋体" w:cs="宋体"/>
          <w:b/>
          <w:bCs/>
          <w:sz w:val="28"/>
          <w:szCs w:val="28"/>
        </w:rPr>
      </w:pPr>
    </w:p>
    <w:p>
      <w:pPr>
        <w:rPr>
          <w:rFonts w:ascii="宋体" w:hAnsi="宋体" w:cs="宋体"/>
          <w:b/>
          <w:bCs/>
          <w:sz w:val="28"/>
          <w:szCs w:val="28"/>
        </w:rPr>
      </w:pPr>
      <w:r>
        <w:rPr>
          <w:rFonts w:hint="eastAsia" w:ascii="宋体" w:hAnsi="宋体" w:cs="宋体"/>
          <w:b/>
          <w:bCs/>
          <w:sz w:val="28"/>
          <w:szCs w:val="28"/>
        </w:rPr>
        <w:br w:type="page"/>
      </w:r>
    </w:p>
    <w:p>
      <w:pPr>
        <w:widowControl/>
        <w:snapToGrid w:val="0"/>
        <w:jc w:val="center"/>
        <w:textAlignment w:val="baseline"/>
        <w:rPr>
          <w:rFonts w:ascii="宋体" w:hAnsi="宋体" w:cs="宋体"/>
          <w:b/>
          <w:bCs/>
          <w:sz w:val="28"/>
          <w:szCs w:val="28"/>
        </w:rPr>
      </w:pPr>
      <w:r>
        <w:rPr>
          <w:rFonts w:hint="eastAsia" w:ascii="宋体" w:hAnsi="宋体" w:cs="宋体"/>
          <w:b/>
          <w:bCs/>
          <w:sz w:val="28"/>
          <w:szCs w:val="28"/>
        </w:rPr>
        <w:t>9、磋商响应报价总表</w:t>
      </w:r>
    </w:p>
    <w:p>
      <w:pPr>
        <w:pStyle w:val="2"/>
        <w:snapToGrid w:val="0"/>
        <w:textAlignment w:val="baseline"/>
      </w:pPr>
    </w:p>
    <w:tbl>
      <w:tblPr>
        <w:tblStyle w:val="51"/>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0" w:type="dxa"/>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项目名称</w:t>
            </w:r>
          </w:p>
        </w:tc>
        <w:tc>
          <w:tcPr>
            <w:tcW w:w="7564" w:type="dxa"/>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lang w:val="zh-CN"/>
              </w:rPr>
              <w:t>南通市妇幼保健院住院患者生活照护服务项目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460" w:type="dxa"/>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项目编号</w:t>
            </w:r>
          </w:p>
        </w:tc>
        <w:tc>
          <w:tcPr>
            <w:tcW w:w="7564" w:type="dxa"/>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WLDL202206039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2460" w:type="dxa"/>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磋商总价报价（首次）</w:t>
            </w:r>
          </w:p>
        </w:tc>
        <w:tc>
          <w:tcPr>
            <w:tcW w:w="7564" w:type="dxa"/>
            <w:vAlign w:val="center"/>
          </w:tcPr>
          <w:p>
            <w:pPr>
              <w:snapToGrid w:val="0"/>
              <w:spacing w:line="420" w:lineRule="exact"/>
              <w:rPr>
                <w:rFonts w:ascii="宋体" w:hAnsi="宋体" w:cs="宋体"/>
                <w:snapToGrid w:val="0"/>
                <w:sz w:val="24"/>
                <w:szCs w:val="24"/>
                <w:u w:val="single"/>
              </w:rPr>
            </w:pPr>
            <w:r>
              <w:rPr>
                <w:rFonts w:hint="eastAsia" w:ascii="宋体" w:hAnsi="宋体" w:cs="宋体"/>
                <w:sz w:val="24"/>
                <w:szCs w:val="24"/>
              </w:rPr>
              <w:t>十楼LDR一体化病</w:t>
            </w:r>
            <w:r>
              <w:rPr>
                <w:rFonts w:hint="eastAsia" w:cs="宋体"/>
                <w:sz w:val="24"/>
                <w:szCs w:val="24"/>
              </w:rPr>
              <w:t>区</w:t>
            </w:r>
            <w:r>
              <w:rPr>
                <w:rFonts w:hint="eastAsia" w:ascii="宋体" w:hAnsi="宋体" w:cs="宋体"/>
                <w:sz w:val="24"/>
                <w:szCs w:val="24"/>
              </w:rPr>
              <w:t>生活照护</w:t>
            </w:r>
            <w:r>
              <w:rPr>
                <w:rFonts w:hint="eastAsia" w:cs="宋体"/>
                <w:sz w:val="24"/>
                <w:szCs w:val="24"/>
              </w:rPr>
              <w:t>服务费：每人每月</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仟    佰</w:t>
            </w:r>
          </w:p>
          <w:p>
            <w:pPr>
              <w:snapToGrid w:val="0"/>
              <w:spacing w:line="420" w:lineRule="exact"/>
              <w:rPr>
                <w:sz w:val="20"/>
                <w:szCs w:val="22"/>
              </w:rPr>
            </w:pPr>
            <w:r>
              <w:rPr>
                <w:rFonts w:hint="eastAsia" w:ascii="宋体" w:hAnsi="宋体" w:cs="宋体"/>
                <w:snapToGrid w:val="0"/>
                <w:sz w:val="24"/>
                <w:szCs w:val="24"/>
                <w:u w:val="single"/>
              </w:rPr>
              <w:t xml:space="preserve">      拾    元    角   分（       </w:t>
            </w:r>
            <w:r>
              <w:rPr>
                <w:rFonts w:hint="eastAsia" w:ascii="宋体" w:hAnsi="宋体" w:cs="宋体"/>
                <w:color w:val="000000"/>
                <w:sz w:val="24"/>
                <w:szCs w:val="24"/>
              </w:rPr>
              <w:t>元／人／月），最终结算按成交单价及采购人确认的服务人数、服务时间进行结算，但结算总价不超过30万元/年。</w:t>
            </w:r>
            <w:r>
              <w:rPr>
                <w:rFonts w:hint="eastAsia"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2460" w:type="dxa"/>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磋商总价报价（最终）</w:t>
            </w:r>
          </w:p>
          <w:p>
            <w:pPr>
              <w:snapToGrid w:val="0"/>
              <w:spacing w:line="480" w:lineRule="exact"/>
              <w:jc w:val="center"/>
              <w:textAlignment w:val="baseline"/>
              <w:rPr>
                <w:sz w:val="20"/>
                <w:szCs w:val="22"/>
              </w:rPr>
            </w:pPr>
            <w:r>
              <w:rPr>
                <w:rFonts w:hint="eastAsia" w:ascii="宋体" w:hAnsi="宋体" w:cs="宋体"/>
                <w:b/>
                <w:bCs/>
                <w:sz w:val="24"/>
                <w:szCs w:val="24"/>
                <w:highlight w:val="yellow"/>
                <w:u w:val="single" w:color="000000"/>
              </w:rPr>
              <w:t>（磋商现场填写）</w:t>
            </w:r>
          </w:p>
        </w:tc>
        <w:tc>
          <w:tcPr>
            <w:tcW w:w="7564" w:type="dxa"/>
            <w:vAlign w:val="center"/>
          </w:tcPr>
          <w:p>
            <w:pPr>
              <w:snapToGrid w:val="0"/>
              <w:spacing w:line="420" w:lineRule="exact"/>
              <w:rPr>
                <w:rFonts w:ascii="宋体" w:hAnsi="宋体" w:cs="宋体"/>
                <w:snapToGrid w:val="0"/>
                <w:sz w:val="24"/>
                <w:szCs w:val="24"/>
                <w:u w:val="single"/>
              </w:rPr>
            </w:pPr>
            <w:r>
              <w:rPr>
                <w:rFonts w:hint="eastAsia" w:ascii="宋体" w:hAnsi="宋体" w:cs="宋体"/>
                <w:sz w:val="24"/>
                <w:szCs w:val="24"/>
              </w:rPr>
              <w:t>十楼LDR一体化病</w:t>
            </w:r>
            <w:r>
              <w:rPr>
                <w:rFonts w:hint="eastAsia" w:cs="宋体"/>
                <w:sz w:val="24"/>
                <w:szCs w:val="24"/>
              </w:rPr>
              <w:t>区</w:t>
            </w:r>
            <w:r>
              <w:rPr>
                <w:rFonts w:hint="eastAsia" w:ascii="宋体" w:hAnsi="宋体" w:cs="宋体"/>
                <w:sz w:val="24"/>
                <w:szCs w:val="24"/>
              </w:rPr>
              <w:t>生活照护</w:t>
            </w:r>
            <w:r>
              <w:rPr>
                <w:rFonts w:hint="eastAsia" w:cs="宋体"/>
                <w:sz w:val="24"/>
                <w:szCs w:val="24"/>
              </w:rPr>
              <w:t>服务费：每人每月</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仟    佰</w:t>
            </w:r>
          </w:p>
          <w:p>
            <w:pPr>
              <w:snapToGrid w:val="0"/>
              <w:spacing w:line="420" w:lineRule="exact"/>
              <w:rPr>
                <w:rFonts w:cs="宋体"/>
                <w:sz w:val="20"/>
                <w:szCs w:val="22"/>
              </w:rPr>
            </w:pPr>
            <w:r>
              <w:rPr>
                <w:rFonts w:hint="eastAsia" w:ascii="宋体" w:hAnsi="宋体" w:cs="宋体"/>
                <w:snapToGrid w:val="0"/>
                <w:sz w:val="24"/>
                <w:szCs w:val="24"/>
                <w:u w:val="single"/>
              </w:rPr>
              <w:t xml:space="preserve">      拾    元    角   分（       </w:t>
            </w:r>
            <w:r>
              <w:rPr>
                <w:rFonts w:hint="eastAsia" w:ascii="宋体" w:hAnsi="宋体" w:cs="宋体"/>
                <w:color w:val="000000"/>
                <w:sz w:val="24"/>
                <w:szCs w:val="24"/>
              </w:rPr>
              <w:t>元／人／月），最终结算按成交单价及采购人确认的服务人数、服务时间进行结算，但结算总价不超过30万元/年。</w:t>
            </w:r>
            <w:r>
              <w:rPr>
                <w:rFonts w:hint="eastAsia"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60" w:type="dxa"/>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付款条件</w:t>
            </w:r>
          </w:p>
        </w:tc>
        <w:tc>
          <w:tcPr>
            <w:tcW w:w="7564" w:type="dxa"/>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完全接受并响应本项目磋商文件的要求。</w:t>
            </w:r>
          </w:p>
        </w:tc>
      </w:tr>
    </w:tbl>
    <w:p>
      <w:pPr>
        <w:pStyle w:val="50"/>
        <w:snapToGrid w:val="0"/>
        <w:ind w:firstLine="0" w:firstLineChars="0"/>
        <w:textAlignment w:val="baseline"/>
        <w:rPr>
          <w:szCs w:val="24"/>
        </w:rPr>
      </w:pPr>
    </w:p>
    <w:p>
      <w:pPr>
        <w:pStyle w:val="112"/>
        <w:snapToGrid w:val="0"/>
        <w:spacing w:line="360" w:lineRule="auto"/>
        <w:textAlignment w:val="baseline"/>
        <w:rPr>
          <w:rFonts w:ascii="Times New Roman" w:hAnsi="宋体"/>
          <w:b/>
          <w:sz w:val="24"/>
        </w:rPr>
      </w:pPr>
      <w:r>
        <w:rPr>
          <w:rFonts w:hint="eastAsia" w:ascii="Times New Roman" w:hAnsi="宋体"/>
          <w:b/>
          <w:sz w:val="24"/>
        </w:rPr>
        <w:t>注：1、最终磋商总价报价将在磋商现场填写，响应文件密封提交时只需填写首次磋商总价报价。</w:t>
      </w:r>
    </w:p>
    <w:p>
      <w:pPr>
        <w:pStyle w:val="112"/>
        <w:snapToGrid w:val="0"/>
        <w:spacing w:line="360" w:lineRule="auto"/>
        <w:ind w:firstLine="482" w:firstLineChars="200"/>
        <w:textAlignment w:val="baseline"/>
        <w:rPr>
          <w:rFonts w:ascii="Times New Roman" w:hAnsi="宋体"/>
          <w:b/>
          <w:sz w:val="24"/>
        </w:rPr>
      </w:pPr>
      <w:r>
        <w:rPr>
          <w:rFonts w:hint="eastAsia" w:ascii="Times New Roman" w:hAnsi="宋体"/>
          <w:b/>
          <w:sz w:val="24"/>
        </w:rPr>
        <w:t>2、本表式不得自行改动。</w:t>
      </w:r>
    </w:p>
    <w:p>
      <w:pPr>
        <w:snapToGrid w:val="0"/>
        <w:spacing w:line="360" w:lineRule="auto"/>
        <w:ind w:firstLine="482" w:firstLineChars="200"/>
        <w:rPr>
          <w:rFonts w:ascii="宋体" w:hAnsi="宋体" w:cs="宋体"/>
          <w:b/>
          <w:bCs/>
          <w:sz w:val="24"/>
          <w:szCs w:val="24"/>
        </w:rPr>
      </w:pPr>
      <w:r>
        <w:rPr>
          <w:rFonts w:hint="eastAsia" w:hAnsi="宋体" w:cs="宋体"/>
          <w:b/>
          <w:sz w:val="24"/>
        </w:rPr>
        <w:t>3、</w:t>
      </w:r>
      <w:r>
        <w:rPr>
          <w:rFonts w:hint="eastAsia" w:ascii="宋体" w:hAnsi="宋体" w:cs="宋体"/>
          <w:b/>
          <w:bCs/>
          <w:sz w:val="24"/>
          <w:szCs w:val="24"/>
        </w:rPr>
        <w:t>磋商报价（以人民币计价）应包括但不限于所有与本项目实施有关的所有费用，包括所有的人工工资（含夜班、周末及节假日加班费）、培训费、服装费、社保、交通费、餐费补贴、夜班补贴、疫情防控费、福利、通讯费、办公设备费、管理费、利润、税金、政策性文件规定及为达到采购单位要求所包含的所有风险、责任等各项费用。各磋商响应供应商应根据磋商文件要求，并充分考虑市场，自行核算成本报价。</w:t>
      </w:r>
    </w:p>
    <w:p>
      <w:pPr>
        <w:pStyle w:val="2"/>
        <w:snapToGrid w:val="0"/>
        <w:spacing w:line="360" w:lineRule="auto"/>
        <w:textAlignment w:val="baseline"/>
        <w:rPr>
          <w:rFonts w:ascii="宋体" w:hAnsi="宋体"/>
          <w:szCs w:val="24"/>
        </w:rPr>
      </w:pPr>
      <w:r>
        <w:rPr>
          <w:rFonts w:hint="eastAsia"/>
          <w:szCs w:val="24"/>
        </w:rPr>
        <w:t xml:space="preserve"> </w:t>
      </w:r>
      <w:r>
        <w:rPr>
          <w:rFonts w:hint="eastAsia" w:ascii="宋体" w:hAnsi="宋体" w:cs="宋体"/>
          <w:b/>
          <w:bCs/>
          <w:szCs w:val="24"/>
        </w:rPr>
        <w:t xml:space="preserve"> </w:t>
      </w:r>
    </w:p>
    <w:p>
      <w:pPr>
        <w:pStyle w:val="112"/>
        <w:tabs>
          <w:tab w:val="left" w:pos="5665"/>
          <w:tab w:val="right" w:pos="8360"/>
        </w:tabs>
        <w:snapToGrid w:val="0"/>
        <w:spacing w:line="360" w:lineRule="auto"/>
        <w:ind w:right="42" w:firstLine="1560" w:firstLineChars="650"/>
        <w:textAlignment w:val="baseline"/>
        <w:rPr>
          <w:rFonts w:hAnsi="宋体"/>
          <w:sz w:val="24"/>
        </w:rPr>
      </w:pPr>
    </w:p>
    <w:p>
      <w:pPr>
        <w:snapToGrid w:val="0"/>
        <w:spacing w:line="360" w:lineRule="auto"/>
        <w:ind w:right="79"/>
        <w:textAlignment w:val="baseline"/>
        <w:rPr>
          <w:rFonts w:ascii="宋体" w:hAnsi="宋体" w:cs="宋体"/>
          <w:color w:val="000000"/>
          <w:sz w:val="24"/>
          <w:szCs w:val="24"/>
        </w:rPr>
      </w:pPr>
      <w:r>
        <w:rPr>
          <w:rFonts w:hint="eastAsia" w:ascii="宋体" w:hAnsi="宋体" w:cs="宋体"/>
          <w:sz w:val="24"/>
          <w:szCs w:val="24"/>
        </w:rPr>
        <w:t>竞争性磋商响应供应商：（单位盖章）</w:t>
      </w:r>
    </w:p>
    <w:p>
      <w:pPr>
        <w:pStyle w:val="112"/>
        <w:tabs>
          <w:tab w:val="left" w:pos="5665"/>
          <w:tab w:val="right" w:pos="8360"/>
        </w:tabs>
        <w:snapToGrid w:val="0"/>
        <w:spacing w:line="360" w:lineRule="auto"/>
        <w:ind w:right="42"/>
        <w:textAlignment w:val="baseline"/>
        <w:rPr>
          <w:rFonts w:hAnsi="宋体"/>
          <w:sz w:val="24"/>
          <w:u w:val="single"/>
        </w:rPr>
      </w:pPr>
      <w:r>
        <w:rPr>
          <w:rFonts w:hint="eastAsia" w:hAnsi="宋体"/>
          <w:sz w:val="24"/>
        </w:rPr>
        <w:t>法定代表人或</w:t>
      </w:r>
      <w:r>
        <w:rPr>
          <w:rFonts w:hint="eastAsia" w:hAnsi="宋体" w:cs="仿宋_GB2312"/>
          <w:sz w:val="24"/>
        </w:rPr>
        <w:t>被授权人（签字或盖章）</w:t>
      </w:r>
      <w:r>
        <w:rPr>
          <w:rFonts w:hint="eastAsia" w:hAnsi="宋体"/>
          <w:sz w:val="24"/>
        </w:rPr>
        <w:t>：</w:t>
      </w:r>
    </w:p>
    <w:p>
      <w:pPr>
        <w:pStyle w:val="112"/>
        <w:tabs>
          <w:tab w:val="left" w:pos="5665"/>
          <w:tab w:val="right" w:pos="8360"/>
        </w:tabs>
        <w:snapToGrid w:val="0"/>
        <w:spacing w:line="360" w:lineRule="auto"/>
        <w:ind w:right="42"/>
        <w:textAlignment w:val="baseline"/>
        <w:rPr>
          <w:rFonts w:hAnsi="宋体"/>
          <w:color w:val="000000"/>
          <w:sz w:val="24"/>
          <w:lang w:val="zh-CN"/>
        </w:rPr>
      </w:pPr>
      <w:r>
        <w:rPr>
          <w:rFonts w:hint="eastAsia" w:hAnsi="宋体"/>
          <w:color w:val="000000"/>
          <w:sz w:val="24"/>
          <w:lang w:val="zh-CN"/>
        </w:rPr>
        <w:t>日期：</w:t>
      </w:r>
      <w:r>
        <w:rPr>
          <w:rFonts w:hint="eastAsia"/>
          <w:color w:val="000000"/>
          <w:sz w:val="24"/>
        </w:rPr>
        <w:t xml:space="preserve">  </w:t>
      </w:r>
      <w:r>
        <w:rPr>
          <w:rFonts w:hint="eastAsia" w:hAnsi="宋体"/>
          <w:color w:val="000000"/>
          <w:sz w:val="24"/>
          <w:lang w:val="zh-CN"/>
        </w:rPr>
        <w:t>年</w:t>
      </w:r>
      <w:r>
        <w:rPr>
          <w:rFonts w:hint="eastAsia"/>
          <w:color w:val="000000"/>
          <w:sz w:val="24"/>
        </w:rPr>
        <w:t xml:space="preserve">   </w:t>
      </w:r>
      <w:r>
        <w:rPr>
          <w:rFonts w:hint="eastAsia" w:hAnsi="宋体"/>
          <w:color w:val="000000"/>
          <w:sz w:val="24"/>
          <w:lang w:val="zh-CN"/>
        </w:rPr>
        <w:t>月</w:t>
      </w:r>
      <w:r>
        <w:rPr>
          <w:rFonts w:hint="eastAsia"/>
          <w:color w:val="000000"/>
          <w:sz w:val="24"/>
        </w:rPr>
        <w:t xml:space="preserve">   </w:t>
      </w:r>
      <w:r>
        <w:rPr>
          <w:rFonts w:hint="eastAsia" w:hAnsi="宋体"/>
          <w:color w:val="000000"/>
          <w:sz w:val="24"/>
          <w:lang w:val="zh-CN"/>
        </w:rPr>
        <w:t>日</w:t>
      </w:r>
    </w:p>
    <w:p>
      <w:pPr>
        <w:pStyle w:val="112"/>
        <w:tabs>
          <w:tab w:val="left" w:pos="5665"/>
          <w:tab w:val="right" w:pos="8360"/>
        </w:tabs>
        <w:snapToGrid w:val="0"/>
        <w:spacing w:line="360" w:lineRule="auto"/>
        <w:ind w:right="42"/>
        <w:jc w:val="center"/>
        <w:textAlignment w:val="baseline"/>
        <w:rPr>
          <w:rFonts w:hAnsi="宋体"/>
          <w:b/>
          <w:bCs/>
          <w:sz w:val="24"/>
          <w:szCs w:val="24"/>
        </w:rPr>
      </w:pPr>
      <w:r>
        <w:rPr>
          <w:rFonts w:hint="eastAsia" w:hAnsi="宋体"/>
          <w:color w:val="000000"/>
          <w:sz w:val="24"/>
          <w:lang w:val="zh-CN"/>
        </w:rPr>
        <w:br w:type="page"/>
      </w:r>
      <w:r>
        <w:rPr>
          <w:rFonts w:hint="eastAsia" w:hAnsi="宋体"/>
          <w:b/>
          <w:bCs/>
          <w:sz w:val="24"/>
          <w:szCs w:val="24"/>
        </w:rPr>
        <w:t>10、中小企业声明函（格式）</w:t>
      </w:r>
    </w:p>
    <w:p>
      <w:pPr>
        <w:pStyle w:val="50"/>
        <w:snapToGrid w:val="0"/>
        <w:ind w:firstLine="0" w:firstLineChars="0"/>
        <w:textAlignment w:val="baseline"/>
      </w:pP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本公司郑重声明，根据《政府采购促进中小企业发展管理办法》（财库﹝2020﹞46 号）的规定，本公司参加</w:t>
      </w:r>
      <w:r>
        <w:rPr>
          <w:rFonts w:hint="eastAsia" w:ascii="宋体" w:hAnsi="宋体" w:cs="宋体"/>
          <w:sz w:val="24"/>
          <w:szCs w:val="24"/>
          <w:u w:val="single"/>
          <w:lang w:val="zh-CN"/>
        </w:rPr>
        <w:t>南通市</w:t>
      </w:r>
      <w:r>
        <w:rPr>
          <w:rFonts w:hint="eastAsia" w:ascii="宋体" w:hAnsi="宋体" w:cs="宋体"/>
          <w:sz w:val="24"/>
          <w:szCs w:val="24"/>
          <w:u w:val="single"/>
        </w:rPr>
        <w:t>妇幼保健院</w:t>
      </w:r>
      <w:r>
        <w:rPr>
          <w:rFonts w:hint="eastAsia" w:ascii="宋体" w:hAnsi="宋体" w:cs="宋体"/>
          <w:sz w:val="24"/>
          <w:szCs w:val="24"/>
        </w:rPr>
        <w:t>的</w:t>
      </w:r>
      <w:r>
        <w:rPr>
          <w:rFonts w:hint="eastAsia" w:ascii="宋体" w:hAnsi="宋体" w:cs="宋体"/>
          <w:sz w:val="24"/>
          <w:szCs w:val="24"/>
          <w:u w:val="single"/>
          <w:lang w:val="zh-CN"/>
        </w:rPr>
        <w:t>南通市妇幼保健院住院患者生活照护服务项目</w:t>
      </w:r>
      <w:r>
        <w:rPr>
          <w:rFonts w:hint="eastAsia" w:ascii="宋体" w:hAnsi="宋体" w:cs="宋体"/>
          <w:sz w:val="24"/>
          <w:szCs w:val="24"/>
        </w:rPr>
        <w:t>采购活动，</w:t>
      </w:r>
      <w:r>
        <w:rPr>
          <w:rFonts w:hint="eastAsia" w:ascii="宋体" w:hAnsi="宋体" w:cs="宋体"/>
          <w:kern w:val="0"/>
          <w:sz w:val="24"/>
          <w:szCs w:val="24"/>
        </w:rPr>
        <w:t>该项目</w:t>
      </w:r>
      <w:r>
        <w:rPr>
          <w:rFonts w:hint="eastAsia" w:ascii="宋体" w:hAnsi="宋体" w:cs="宋体"/>
          <w:sz w:val="24"/>
          <w:szCs w:val="24"/>
        </w:rPr>
        <w:t xml:space="preserve">服务全部由符合政策要求的中小企业提供。具体情况如下： </w:t>
      </w:r>
    </w:p>
    <w:p>
      <w:pPr>
        <w:snapToGrid w:val="0"/>
        <w:spacing w:line="360" w:lineRule="auto"/>
        <w:ind w:firstLine="480" w:firstLineChars="200"/>
        <w:rPr>
          <w:rFonts w:ascii="宋体" w:hAnsi="宋体" w:cs="宋体"/>
          <w:sz w:val="24"/>
          <w:szCs w:val="24"/>
          <w:u w:val="single"/>
        </w:rPr>
      </w:pPr>
    </w:p>
    <w:p>
      <w:pPr>
        <w:snapToGrid w:val="0"/>
        <w:spacing w:line="360" w:lineRule="auto"/>
        <w:ind w:firstLine="480" w:firstLineChars="200"/>
        <w:rPr>
          <w:rFonts w:ascii="宋体" w:hAnsi="宋体" w:cs="宋体"/>
          <w:sz w:val="24"/>
          <w:szCs w:val="24"/>
        </w:rPr>
      </w:pPr>
      <w:r>
        <w:rPr>
          <w:rFonts w:hint="eastAsia" w:ascii="宋体" w:hAnsi="宋体" w:cs="宋体"/>
          <w:sz w:val="24"/>
          <w:szCs w:val="24"/>
          <w:u w:val="single"/>
          <w:lang w:val="zh-CN"/>
        </w:rPr>
        <w:t>南通市妇幼保健院住院患者生活照护服务项目</w:t>
      </w:r>
      <w:r>
        <w:rPr>
          <w:rFonts w:hint="eastAsia" w:ascii="宋体" w:hAnsi="宋体" w:cs="宋体"/>
          <w:sz w:val="24"/>
          <w:szCs w:val="24"/>
        </w:rPr>
        <w:t>，属于</w:t>
      </w:r>
      <w:r>
        <w:rPr>
          <w:rFonts w:hint="eastAsia" w:ascii="宋体" w:hAnsi="宋体" w:cs="宋体"/>
          <w:sz w:val="24"/>
          <w:szCs w:val="24"/>
          <w:u w:val="single"/>
        </w:rPr>
        <w:t xml:space="preserve"> 其他未列明行业 </w:t>
      </w:r>
      <w:r>
        <w:rPr>
          <w:rFonts w:hint="eastAsia" w:ascii="宋体" w:hAnsi="宋体" w:cs="宋体"/>
          <w:sz w:val="24"/>
          <w:szCs w:val="24"/>
        </w:rPr>
        <w:t>；承接企业为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rPr>
        <w:t xml:space="preserve"> </w:t>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以上企业，不属于大企业的分支机构，不存在控股股东为大企业的情形，也不存在与大企业的负责人为同一人的情形。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pStyle w:val="89"/>
        <w:rPr>
          <w:rFonts w:ascii="宋体" w:eastAsia="宋体" w:cs="宋体"/>
          <w:sz w:val="24"/>
          <w:szCs w:val="24"/>
        </w:rPr>
      </w:pPr>
    </w:p>
    <w:p>
      <w:pPr>
        <w:pStyle w:val="91"/>
        <w:ind w:firstLine="420"/>
        <w:rPr>
          <w:rFonts w:hint="default"/>
        </w:rPr>
      </w:pPr>
    </w:p>
    <w:p>
      <w:pPr>
        <w:snapToGrid w:val="0"/>
        <w:spacing w:line="480" w:lineRule="auto"/>
        <w:ind w:right="79" w:firstLine="4800" w:firstLineChars="2000"/>
        <w:textAlignment w:val="baseline"/>
        <w:rPr>
          <w:rFonts w:ascii="宋体" w:hAnsi="宋体" w:cs="宋体"/>
          <w:color w:val="000000"/>
          <w:sz w:val="24"/>
          <w:szCs w:val="24"/>
        </w:rPr>
      </w:pPr>
    </w:p>
    <w:p>
      <w:pPr>
        <w:pStyle w:val="2"/>
        <w:snapToGrid w:val="0"/>
        <w:spacing w:line="360" w:lineRule="auto"/>
        <w:ind w:right="415" w:firstLine="640"/>
        <w:textAlignment w:val="baseline"/>
        <w:rPr>
          <w:rFonts w:ascii="宋体" w:hAnsi="宋体" w:cs="宋体"/>
          <w:sz w:val="24"/>
          <w:szCs w:val="24"/>
          <w:lang w:val="zh-CN"/>
        </w:rPr>
      </w:pPr>
      <w:r>
        <w:rPr>
          <w:rFonts w:hint="eastAsia" w:ascii="宋体" w:hAnsi="宋体" w:cs="宋体"/>
          <w:color w:val="000000"/>
          <w:sz w:val="24"/>
          <w:szCs w:val="24"/>
        </w:rPr>
        <w:t>竞争性磋商响应</w:t>
      </w:r>
      <w:r>
        <w:rPr>
          <w:rFonts w:hint="eastAsia" w:ascii="宋体" w:hAnsi="宋体" w:cs="宋体"/>
          <w:sz w:val="24"/>
          <w:szCs w:val="24"/>
        </w:rPr>
        <w:t>供应商：（单位盖章）</w:t>
      </w:r>
    </w:p>
    <w:p>
      <w:pPr>
        <w:pStyle w:val="2"/>
        <w:snapToGrid w:val="0"/>
        <w:spacing w:line="360" w:lineRule="auto"/>
        <w:ind w:right="415" w:firstLine="640"/>
        <w:textAlignment w:val="baseline"/>
        <w:rPr>
          <w:rFonts w:ascii="宋体" w:hAnsi="宋体" w:cs="宋体"/>
          <w:sz w:val="24"/>
          <w:szCs w:val="24"/>
        </w:rPr>
      </w:pPr>
      <w:r>
        <w:rPr>
          <w:rFonts w:hint="eastAsia" w:ascii="宋体" w:hAnsi="宋体" w:cs="宋体"/>
          <w:sz w:val="24"/>
          <w:szCs w:val="24"/>
        </w:rPr>
        <w:t>法定代表人或被委托授权人：（签字或盖章）</w:t>
      </w:r>
    </w:p>
    <w:p>
      <w:pPr>
        <w:pStyle w:val="2"/>
        <w:snapToGrid w:val="0"/>
        <w:spacing w:line="360" w:lineRule="auto"/>
        <w:ind w:right="415" w:firstLine="640"/>
        <w:textAlignment w:val="baseline"/>
        <w:rPr>
          <w:rFonts w:ascii="宋体" w:hAnsi="宋体" w:cs="宋体"/>
          <w:sz w:val="24"/>
          <w:szCs w:val="24"/>
        </w:rPr>
      </w:pPr>
      <w:r>
        <w:rPr>
          <w:rFonts w:hint="eastAsia" w:ascii="宋体" w:hAnsi="宋体" w:cs="宋体"/>
          <w:sz w:val="24"/>
          <w:szCs w:val="24"/>
        </w:rPr>
        <w:t>日期：        年      月     日</w:t>
      </w:r>
    </w:p>
    <w:p>
      <w:pPr>
        <w:snapToGrid w:val="0"/>
        <w:spacing w:line="420" w:lineRule="exact"/>
        <w:ind w:firstLine="412" w:firstLineChars="206"/>
        <w:textAlignment w:val="baseline"/>
        <w:rPr>
          <w:rFonts w:ascii="宋体" w:hAnsi="宋体" w:cs="宋体"/>
          <w:sz w:val="20"/>
        </w:rPr>
      </w:pPr>
    </w:p>
    <w:p>
      <w:pPr>
        <w:snapToGrid w:val="0"/>
        <w:spacing w:line="420" w:lineRule="exact"/>
        <w:ind w:firstLine="432" w:firstLineChars="206"/>
        <w:textAlignment w:val="baseline"/>
        <w:rPr>
          <w:rFonts w:ascii="宋体" w:hAnsi="宋体" w:cs="宋体"/>
          <w:sz w:val="20"/>
        </w:rPr>
      </w:pPr>
      <w:r>
        <w:rPr>
          <w:rFonts w:hint="eastAsia" w:ascii="宋体" w:hAnsi="宋体" w:cs="宋体"/>
        </w:rPr>
        <w:t>注：</w:t>
      </w:r>
    </w:p>
    <w:p>
      <w:pPr>
        <w:snapToGrid w:val="0"/>
        <w:spacing w:line="420" w:lineRule="exact"/>
        <w:ind w:firstLine="432" w:firstLineChars="206"/>
        <w:textAlignment w:val="baseline"/>
        <w:rPr>
          <w:rFonts w:ascii="宋体" w:hAnsi="宋体" w:cs="宋体"/>
          <w:sz w:val="20"/>
        </w:rPr>
      </w:pPr>
      <w:r>
        <w:rPr>
          <w:rFonts w:hint="eastAsia" w:ascii="宋体" w:hAnsi="宋体" w:cs="宋体"/>
        </w:rPr>
        <w:t>（1）从业人员、营业收入、资产总额填报上一年度数据，无上一年度数据的新成立企业可不填报。</w:t>
      </w:r>
    </w:p>
    <w:p>
      <w:pPr>
        <w:snapToGrid w:val="0"/>
        <w:spacing w:line="420" w:lineRule="exact"/>
        <w:ind w:firstLine="432" w:firstLineChars="206"/>
        <w:textAlignment w:val="baseline"/>
        <w:rPr>
          <w:rFonts w:ascii="宋体" w:hAnsi="宋体" w:cs="宋体"/>
          <w:sz w:val="20"/>
        </w:rPr>
      </w:pPr>
      <w:r>
        <w:rPr>
          <w:rFonts w:hint="eastAsia" w:ascii="宋体" w:hAnsi="宋体" w:cs="宋体"/>
        </w:rPr>
        <w:t>（2）关于落实政府采购政策的中小微企业价格评审，详见本竞争性磋商文件第四章第五条的规定内容。</w:t>
      </w:r>
    </w:p>
    <w:p>
      <w:pPr>
        <w:snapToGrid w:val="0"/>
        <w:spacing w:line="420" w:lineRule="exact"/>
        <w:ind w:firstLine="434" w:firstLineChars="206"/>
        <w:textAlignment w:val="baseline"/>
        <w:rPr>
          <w:rFonts w:ascii="宋体" w:hAnsi="宋体" w:cs="宋体"/>
          <w:b/>
          <w:bCs/>
          <w:sz w:val="20"/>
        </w:rPr>
      </w:pPr>
      <w:r>
        <w:rPr>
          <w:rFonts w:hint="eastAsia" w:ascii="宋体" w:hAnsi="宋体" w:cs="宋体"/>
          <w:b/>
          <w:bCs/>
        </w:rPr>
        <w:t>（3）本项目不享受中小企业扶持政策的磋商供应商，无须提供“中小企业声明函”。</w:t>
      </w:r>
    </w:p>
    <w:p>
      <w:pPr>
        <w:snapToGrid w:val="0"/>
        <w:spacing w:line="420" w:lineRule="exact"/>
        <w:ind w:firstLine="414" w:firstLineChars="206"/>
        <w:textAlignment w:val="baseline"/>
        <w:rPr>
          <w:rFonts w:ascii="宋体" w:hAnsi="宋体" w:cs="宋体"/>
          <w:b/>
          <w:bCs/>
          <w:sz w:val="20"/>
        </w:rPr>
      </w:pPr>
    </w:p>
    <w:p>
      <w:pPr>
        <w:snapToGrid w:val="0"/>
        <w:spacing w:line="420" w:lineRule="exact"/>
        <w:ind w:firstLine="412" w:firstLineChars="206"/>
        <w:textAlignment w:val="baseline"/>
        <w:rPr>
          <w:sz w:val="20"/>
        </w:rPr>
      </w:pPr>
    </w:p>
    <w:p>
      <w:pPr>
        <w:snapToGrid w:val="0"/>
        <w:spacing w:line="420" w:lineRule="exact"/>
        <w:jc w:val="center"/>
        <w:textAlignment w:val="baseline"/>
      </w:pPr>
      <w:r>
        <w:rPr>
          <w:b/>
          <w:bCs/>
        </w:rPr>
        <w:t>……</w:t>
      </w:r>
      <w:r>
        <w:rPr>
          <w:rFonts w:hint="eastAsia" w:cs="宋体"/>
          <w:b/>
          <w:bCs/>
        </w:rPr>
        <w:t>全文结束</w:t>
      </w:r>
      <w:r>
        <w:rPr>
          <w:b/>
          <w:bCs/>
        </w:rPr>
        <w:t>……</w:t>
      </w:r>
    </w:p>
    <w:sectPr>
      <w:pgSz w:w="11906" w:h="16838"/>
      <w:pgMar w:top="1440" w:right="1085" w:bottom="144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rebuchet MS">
    <w:panose1 w:val="020B0603020202020204"/>
    <w:charset w:val="00"/>
    <w:family w:val="swiss"/>
    <w:pitch w:val="default"/>
    <w:sig w:usb0="00000687" w:usb1="00000000" w:usb2="00000000" w:usb3="00000000" w:csb0="2000009F" w:csb1="00000000"/>
  </w:font>
  <w:font w:name="FuturaA Bk BT">
    <w:altName w:val="Arial"/>
    <w:panose1 w:val="00000000000000000000"/>
    <w:charset w:val="00"/>
    <w:family w:val="auto"/>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Malgun Gothic">
    <w:panose1 w:val="020B0503020000020004"/>
    <w:charset w:val="81"/>
    <w:family w:val="swiss"/>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30"/>
                            <w:jc w:val="center"/>
                          </w:pPr>
                          <w:r>
                            <w:rPr>
                              <w:b/>
                              <w:bCs/>
                            </w:rPr>
                            <w:fldChar w:fldCharType="begin"/>
                          </w:r>
                          <w:r>
                            <w:rPr>
                              <w:b/>
                              <w:bCs/>
                            </w:rPr>
                            <w:instrText xml:space="preserve">PAGE</w:instrText>
                          </w:r>
                          <w:r>
                            <w:rPr>
                              <w:b/>
                              <w:bCs/>
                            </w:rPr>
                            <w:fldChar w:fldCharType="separate"/>
                          </w:r>
                          <w:r>
                            <w:rPr>
                              <w:b/>
                              <w:bCs/>
                            </w:rPr>
                            <w:t>- 12 -</w:t>
                          </w:r>
                          <w:r>
                            <w:rPr>
                              <w:b/>
                              <w:bCs/>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qRS7NAAAAADAQAADwAAAAAAAAABACAAAAAiAAAAZHJzL2Rvd25yZXYueG1sUEsB&#10;AhQAFAAAAAgAh07iQI/QazL9AQAADwQAAA4AAAAAAAAAAQAgAAAAHwEAAGRycy9lMm9Eb2MueG1s&#10;UEsFBgAAAAAGAAYAWQEAAI4FAAAAAA==&#10;">
              <v:fill on="f" focussize="0,0"/>
              <v:stroke on="f"/>
              <v:imagedata o:title=""/>
              <o:lock v:ext="edit" aspectratio="f"/>
              <v:textbox inset="0mm,0mm,0mm,0mm" style="mso-fit-shape-to-text:t;">
                <w:txbxContent>
                  <w:p>
                    <w:pPr>
                      <w:pStyle w:val="30"/>
                      <w:jc w:val="center"/>
                    </w:pPr>
                    <w:r>
                      <w:rPr>
                        <w:b/>
                        <w:bCs/>
                      </w:rPr>
                      <w:fldChar w:fldCharType="begin"/>
                    </w:r>
                    <w:r>
                      <w:rPr>
                        <w:b/>
                        <w:bCs/>
                      </w:rPr>
                      <w:instrText xml:space="preserve">PAGE</w:instrText>
                    </w:r>
                    <w:r>
                      <w:rPr>
                        <w:b/>
                        <w:bCs/>
                      </w:rPr>
                      <w:fldChar w:fldCharType="separate"/>
                    </w:r>
                    <w:r>
                      <w:rPr>
                        <w:b/>
                        <w:bCs/>
                      </w:rPr>
                      <w:t>- 12 -</w:t>
                    </w:r>
                    <w:r>
                      <w:rPr>
                        <w:b/>
                        <w:bC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300"/>
      </w:tabs>
      <w:snapToGrid w:val="0"/>
      <w:spacing w:line="300" w:lineRule="auto"/>
      <w:jc w:val="center"/>
    </w:pPr>
    <w:r>
      <w:rPr>
        <w:rFonts w:hint="eastAsia" w:ascii="宋体" w:hAnsi="宋体" w:cs="宋体"/>
        <w:sz w:val="18"/>
        <w:szCs w:val="18"/>
        <w:u w:val="single"/>
      </w:rPr>
      <w:t>南通市妇幼保健院住院患者生活照护服务项目</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lang w:val="zh-CN"/>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D"/>
    <w:multiLevelType w:val="multilevel"/>
    <w:tmpl w:val="0000003D"/>
    <w:lvl w:ilvl="0" w:tentative="0">
      <w:start w:val="1"/>
      <w:numFmt w:val="chineseCountingThousand"/>
      <w:pStyle w:val="3"/>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1">
    <w:nsid w:val="1655D05D"/>
    <w:multiLevelType w:val="singleLevel"/>
    <w:tmpl w:val="1655D05D"/>
    <w:lvl w:ilvl="0" w:tentative="0">
      <w:start w:val="2"/>
      <w:numFmt w:val="decimal"/>
      <w:suff w:val="nothing"/>
      <w:lvlText w:val="%1、"/>
      <w:lvlJc w:val="left"/>
    </w:lvl>
  </w:abstractNum>
  <w:abstractNum w:abstractNumId="2">
    <w:nsid w:val="2C0DFDC2"/>
    <w:multiLevelType w:val="singleLevel"/>
    <w:tmpl w:val="2C0DFDC2"/>
    <w:lvl w:ilvl="0" w:tentative="0">
      <w:start w:val="1"/>
      <w:numFmt w:val="decimal"/>
      <w:suff w:val="nothing"/>
      <w:lvlText w:val="%1、"/>
      <w:lvlJc w:val="left"/>
    </w:lvl>
  </w:abstractNum>
  <w:abstractNum w:abstractNumId="3">
    <w:nsid w:val="3423AFBD"/>
    <w:multiLevelType w:val="singleLevel"/>
    <w:tmpl w:val="3423AFBD"/>
    <w:lvl w:ilvl="0" w:tentative="0">
      <w:start w:val="3"/>
      <w:numFmt w:val="decimal"/>
      <w:suff w:val="nothing"/>
      <w:lvlText w:val="%1、"/>
      <w:lvlJc w:val="left"/>
    </w:lvl>
  </w:abstractNum>
  <w:abstractNum w:abstractNumId="4">
    <w:nsid w:val="358A0AB6"/>
    <w:multiLevelType w:val="singleLevel"/>
    <w:tmpl w:val="358A0AB6"/>
    <w:lvl w:ilvl="0" w:tentative="0">
      <w:start w:val="7"/>
      <w:numFmt w:val="chineseCounting"/>
      <w:suff w:val="nothing"/>
      <w:lvlText w:val="%1、"/>
      <w:lvlJc w:val="left"/>
      <w:rPr>
        <w:rFonts w:hint="eastAsia"/>
      </w:rPr>
    </w:lvl>
  </w:abstractNum>
  <w:abstractNum w:abstractNumId="5">
    <w:nsid w:val="5A0F3AED"/>
    <w:multiLevelType w:val="singleLevel"/>
    <w:tmpl w:val="5A0F3AED"/>
    <w:lvl w:ilvl="0" w:tentative="0">
      <w:start w:val="1"/>
      <w:numFmt w:val="decimal"/>
      <w:suff w:val="nothing"/>
      <w:lvlText w:val="%1、"/>
      <w:lvlJc w:val="left"/>
    </w:lvl>
  </w:abstractNum>
  <w:abstractNum w:abstractNumId="6">
    <w:nsid w:val="671996D0"/>
    <w:multiLevelType w:val="singleLevel"/>
    <w:tmpl w:val="671996D0"/>
    <w:lvl w:ilvl="0" w:tentative="0">
      <w:start w:val="1"/>
      <w:numFmt w:val="decimal"/>
      <w:suff w:val="nothing"/>
      <w:lvlText w:val="%1、"/>
      <w:lvlJc w:val="left"/>
    </w:lvl>
  </w:abstractNum>
  <w:abstractNum w:abstractNumId="7">
    <w:nsid w:val="6F1A29ED"/>
    <w:multiLevelType w:val="singleLevel"/>
    <w:tmpl w:val="6F1A29ED"/>
    <w:lvl w:ilvl="0" w:tentative="0">
      <w:start w:val="1"/>
      <w:numFmt w:val="chineseCounting"/>
      <w:suff w:val="nothing"/>
      <w:lvlText w:val="%1、"/>
      <w:lvlJc w:val="left"/>
      <w:rPr>
        <w:rFonts w:hint="eastAsia"/>
      </w:rPr>
    </w:lvl>
  </w:abstractNum>
  <w:num w:numId="1">
    <w:abstractNumId w:val="0"/>
  </w:num>
  <w:num w:numId="2">
    <w:abstractNumId w:val="3"/>
  </w:num>
  <w:num w:numId="3">
    <w:abstractNumId w:val="4"/>
  </w:num>
  <w:num w:numId="4">
    <w:abstractNumId w:val="5"/>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4"/>
  <w:doNotHyphenateCaps/>
  <w:drawingGridHorizontalSpacing w:val="105"/>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NGNjMzBiNjYwYTY2NzBjMjkyNTVkMTQwNzM2M2IifQ=="/>
  </w:docVars>
  <w:rsids>
    <w:rsidRoot w:val="00172A27"/>
    <w:rsid w:val="000058C1"/>
    <w:rsid w:val="00005F7A"/>
    <w:rsid w:val="00007F59"/>
    <w:rsid w:val="0001029F"/>
    <w:rsid w:val="000102D4"/>
    <w:rsid w:val="00016294"/>
    <w:rsid w:val="00017BBF"/>
    <w:rsid w:val="00021EFF"/>
    <w:rsid w:val="00021FC4"/>
    <w:rsid w:val="0002291C"/>
    <w:rsid w:val="00023F8C"/>
    <w:rsid w:val="0002545F"/>
    <w:rsid w:val="00026B68"/>
    <w:rsid w:val="00027032"/>
    <w:rsid w:val="00034047"/>
    <w:rsid w:val="0003602F"/>
    <w:rsid w:val="000361E7"/>
    <w:rsid w:val="000378F2"/>
    <w:rsid w:val="00037B25"/>
    <w:rsid w:val="00037B3B"/>
    <w:rsid w:val="00037E69"/>
    <w:rsid w:val="0004431A"/>
    <w:rsid w:val="00047F32"/>
    <w:rsid w:val="00050BBD"/>
    <w:rsid w:val="00053A57"/>
    <w:rsid w:val="00054028"/>
    <w:rsid w:val="00056E5D"/>
    <w:rsid w:val="0005762B"/>
    <w:rsid w:val="000606F5"/>
    <w:rsid w:val="00061BB0"/>
    <w:rsid w:val="00062482"/>
    <w:rsid w:val="00063304"/>
    <w:rsid w:val="000643A3"/>
    <w:rsid w:val="000655FD"/>
    <w:rsid w:val="00065E68"/>
    <w:rsid w:val="00066618"/>
    <w:rsid w:val="00070B68"/>
    <w:rsid w:val="00071345"/>
    <w:rsid w:val="00071716"/>
    <w:rsid w:val="000725D4"/>
    <w:rsid w:val="00074921"/>
    <w:rsid w:val="00074B89"/>
    <w:rsid w:val="00075380"/>
    <w:rsid w:val="00083910"/>
    <w:rsid w:val="00083EDB"/>
    <w:rsid w:val="00084E31"/>
    <w:rsid w:val="000851B6"/>
    <w:rsid w:val="00085F8A"/>
    <w:rsid w:val="00090781"/>
    <w:rsid w:val="000908FA"/>
    <w:rsid w:val="000939C5"/>
    <w:rsid w:val="00094062"/>
    <w:rsid w:val="00094F40"/>
    <w:rsid w:val="000978C3"/>
    <w:rsid w:val="00097CA4"/>
    <w:rsid w:val="000A179B"/>
    <w:rsid w:val="000A2C95"/>
    <w:rsid w:val="000A2F79"/>
    <w:rsid w:val="000A5F25"/>
    <w:rsid w:val="000A60BD"/>
    <w:rsid w:val="000A710B"/>
    <w:rsid w:val="000A7F3B"/>
    <w:rsid w:val="000B2047"/>
    <w:rsid w:val="000B2801"/>
    <w:rsid w:val="000B38FB"/>
    <w:rsid w:val="000B4A07"/>
    <w:rsid w:val="000C38DC"/>
    <w:rsid w:val="000C3E5E"/>
    <w:rsid w:val="000C4679"/>
    <w:rsid w:val="000C544A"/>
    <w:rsid w:val="000D121D"/>
    <w:rsid w:val="000D204D"/>
    <w:rsid w:val="000D2C01"/>
    <w:rsid w:val="000D3847"/>
    <w:rsid w:val="000D3D00"/>
    <w:rsid w:val="000D4886"/>
    <w:rsid w:val="000D4C32"/>
    <w:rsid w:val="000D653D"/>
    <w:rsid w:val="000D694F"/>
    <w:rsid w:val="000D6E50"/>
    <w:rsid w:val="000E29DF"/>
    <w:rsid w:val="000E322F"/>
    <w:rsid w:val="000E3AAC"/>
    <w:rsid w:val="000E4F98"/>
    <w:rsid w:val="000E5934"/>
    <w:rsid w:val="000E66F3"/>
    <w:rsid w:val="000F5A0A"/>
    <w:rsid w:val="000F7BDB"/>
    <w:rsid w:val="000F7EEF"/>
    <w:rsid w:val="00100AF9"/>
    <w:rsid w:val="00100FE7"/>
    <w:rsid w:val="001020F7"/>
    <w:rsid w:val="00103D77"/>
    <w:rsid w:val="00105BBC"/>
    <w:rsid w:val="001062B6"/>
    <w:rsid w:val="001078E8"/>
    <w:rsid w:val="00110BA5"/>
    <w:rsid w:val="0011354B"/>
    <w:rsid w:val="0011396D"/>
    <w:rsid w:val="00113EAD"/>
    <w:rsid w:val="0011474C"/>
    <w:rsid w:val="00114ADB"/>
    <w:rsid w:val="00115200"/>
    <w:rsid w:val="00120CE9"/>
    <w:rsid w:val="00123BD5"/>
    <w:rsid w:val="00125073"/>
    <w:rsid w:val="001255B6"/>
    <w:rsid w:val="00127592"/>
    <w:rsid w:val="0013050F"/>
    <w:rsid w:val="0013239E"/>
    <w:rsid w:val="00132A4A"/>
    <w:rsid w:val="00133CBD"/>
    <w:rsid w:val="001350E0"/>
    <w:rsid w:val="00135173"/>
    <w:rsid w:val="00136FE5"/>
    <w:rsid w:val="001419C0"/>
    <w:rsid w:val="00141CE1"/>
    <w:rsid w:val="00141EA3"/>
    <w:rsid w:val="0014374E"/>
    <w:rsid w:val="00144A8C"/>
    <w:rsid w:val="001505CF"/>
    <w:rsid w:val="00150875"/>
    <w:rsid w:val="00150998"/>
    <w:rsid w:val="00150D75"/>
    <w:rsid w:val="001528E4"/>
    <w:rsid w:val="001533B2"/>
    <w:rsid w:val="00157327"/>
    <w:rsid w:val="001663EB"/>
    <w:rsid w:val="001711E5"/>
    <w:rsid w:val="00172A27"/>
    <w:rsid w:val="00173C54"/>
    <w:rsid w:val="001746FC"/>
    <w:rsid w:val="001750E5"/>
    <w:rsid w:val="00181ECB"/>
    <w:rsid w:val="0018394A"/>
    <w:rsid w:val="00184E4B"/>
    <w:rsid w:val="00186A58"/>
    <w:rsid w:val="001877EC"/>
    <w:rsid w:val="00190FCE"/>
    <w:rsid w:val="00192AB4"/>
    <w:rsid w:val="00196C27"/>
    <w:rsid w:val="0019750A"/>
    <w:rsid w:val="001976BE"/>
    <w:rsid w:val="001A0983"/>
    <w:rsid w:val="001A1F4A"/>
    <w:rsid w:val="001A22DA"/>
    <w:rsid w:val="001A2821"/>
    <w:rsid w:val="001A4B38"/>
    <w:rsid w:val="001B0894"/>
    <w:rsid w:val="001B271D"/>
    <w:rsid w:val="001B462C"/>
    <w:rsid w:val="001B4D1C"/>
    <w:rsid w:val="001B4E47"/>
    <w:rsid w:val="001B56E3"/>
    <w:rsid w:val="001B5775"/>
    <w:rsid w:val="001B6B02"/>
    <w:rsid w:val="001C2231"/>
    <w:rsid w:val="001C2640"/>
    <w:rsid w:val="001C2C85"/>
    <w:rsid w:val="001C5FBE"/>
    <w:rsid w:val="001C6469"/>
    <w:rsid w:val="001D0AEE"/>
    <w:rsid w:val="001D1803"/>
    <w:rsid w:val="001D1E4A"/>
    <w:rsid w:val="001D38F1"/>
    <w:rsid w:val="001D60DD"/>
    <w:rsid w:val="001E02D1"/>
    <w:rsid w:val="001E2FCD"/>
    <w:rsid w:val="001E3534"/>
    <w:rsid w:val="001E35F0"/>
    <w:rsid w:val="001E48AB"/>
    <w:rsid w:val="001E4B5A"/>
    <w:rsid w:val="001E4DE8"/>
    <w:rsid w:val="001E6317"/>
    <w:rsid w:val="001F4880"/>
    <w:rsid w:val="001F5A4B"/>
    <w:rsid w:val="001F650B"/>
    <w:rsid w:val="001F66A9"/>
    <w:rsid w:val="00200061"/>
    <w:rsid w:val="00201B85"/>
    <w:rsid w:val="002025A0"/>
    <w:rsid w:val="00206420"/>
    <w:rsid w:val="00206AF1"/>
    <w:rsid w:val="00207784"/>
    <w:rsid w:val="00207F85"/>
    <w:rsid w:val="00210BA8"/>
    <w:rsid w:val="00211E09"/>
    <w:rsid w:val="00211E0E"/>
    <w:rsid w:val="00223466"/>
    <w:rsid w:val="00224F5F"/>
    <w:rsid w:val="00225670"/>
    <w:rsid w:val="002257D7"/>
    <w:rsid w:val="00225DFC"/>
    <w:rsid w:val="00225FA1"/>
    <w:rsid w:val="00230037"/>
    <w:rsid w:val="00231148"/>
    <w:rsid w:val="002315E8"/>
    <w:rsid w:val="00232A32"/>
    <w:rsid w:val="00235015"/>
    <w:rsid w:val="0023505E"/>
    <w:rsid w:val="00235BFC"/>
    <w:rsid w:val="00236425"/>
    <w:rsid w:val="00237122"/>
    <w:rsid w:val="00240EF7"/>
    <w:rsid w:val="002416D0"/>
    <w:rsid w:val="0024174B"/>
    <w:rsid w:val="0024510C"/>
    <w:rsid w:val="002456F3"/>
    <w:rsid w:val="00245B72"/>
    <w:rsid w:val="002465F4"/>
    <w:rsid w:val="00247445"/>
    <w:rsid w:val="002476BA"/>
    <w:rsid w:val="002509ED"/>
    <w:rsid w:val="002512A5"/>
    <w:rsid w:val="00253F6B"/>
    <w:rsid w:val="00260193"/>
    <w:rsid w:val="00260CD4"/>
    <w:rsid w:val="0026106F"/>
    <w:rsid w:val="002611FD"/>
    <w:rsid w:val="00261261"/>
    <w:rsid w:val="00261BC6"/>
    <w:rsid w:val="00262F8E"/>
    <w:rsid w:val="00264685"/>
    <w:rsid w:val="002656FE"/>
    <w:rsid w:val="00265FBC"/>
    <w:rsid w:val="00266DB4"/>
    <w:rsid w:val="0026722D"/>
    <w:rsid w:val="00271E05"/>
    <w:rsid w:val="00271F9E"/>
    <w:rsid w:val="0027365F"/>
    <w:rsid w:val="002743B2"/>
    <w:rsid w:val="00275DE2"/>
    <w:rsid w:val="002764D7"/>
    <w:rsid w:val="002816D3"/>
    <w:rsid w:val="002818BB"/>
    <w:rsid w:val="00284DE4"/>
    <w:rsid w:val="00291332"/>
    <w:rsid w:val="00291680"/>
    <w:rsid w:val="00291738"/>
    <w:rsid w:val="002917E0"/>
    <w:rsid w:val="002939C3"/>
    <w:rsid w:val="00295637"/>
    <w:rsid w:val="00295FD1"/>
    <w:rsid w:val="0029796E"/>
    <w:rsid w:val="00297B18"/>
    <w:rsid w:val="002A09EE"/>
    <w:rsid w:val="002A1F8F"/>
    <w:rsid w:val="002A2D12"/>
    <w:rsid w:val="002A2F7D"/>
    <w:rsid w:val="002A5D2A"/>
    <w:rsid w:val="002A7980"/>
    <w:rsid w:val="002A7DFA"/>
    <w:rsid w:val="002B7251"/>
    <w:rsid w:val="002B77A5"/>
    <w:rsid w:val="002B7CFD"/>
    <w:rsid w:val="002C2290"/>
    <w:rsid w:val="002C3237"/>
    <w:rsid w:val="002C43C2"/>
    <w:rsid w:val="002C5470"/>
    <w:rsid w:val="002C71C8"/>
    <w:rsid w:val="002D5067"/>
    <w:rsid w:val="002D6BC6"/>
    <w:rsid w:val="002D7709"/>
    <w:rsid w:val="002D7C8B"/>
    <w:rsid w:val="002E0741"/>
    <w:rsid w:val="002E214B"/>
    <w:rsid w:val="002E385C"/>
    <w:rsid w:val="002E5876"/>
    <w:rsid w:val="002E5B21"/>
    <w:rsid w:val="002E62B0"/>
    <w:rsid w:val="002F04DA"/>
    <w:rsid w:val="002F2C1A"/>
    <w:rsid w:val="002F2F03"/>
    <w:rsid w:val="002F44CF"/>
    <w:rsid w:val="002F4912"/>
    <w:rsid w:val="002F677F"/>
    <w:rsid w:val="00301698"/>
    <w:rsid w:val="0030187C"/>
    <w:rsid w:val="00303A7A"/>
    <w:rsid w:val="00305B2D"/>
    <w:rsid w:val="0030602E"/>
    <w:rsid w:val="00307ADC"/>
    <w:rsid w:val="003101C1"/>
    <w:rsid w:val="0031212E"/>
    <w:rsid w:val="00314EA0"/>
    <w:rsid w:val="0031503B"/>
    <w:rsid w:val="003175A8"/>
    <w:rsid w:val="0032064F"/>
    <w:rsid w:val="003311BA"/>
    <w:rsid w:val="00331BE9"/>
    <w:rsid w:val="00332927"/>
    <w:rsid w:val="003333B8"/>
    <w:rsid w:val="003339B0"/>
    <w:rsid w:val="00335723"/>
    <w:rsid w:val="003358D8"/>
    <w:rsid w:val="00340EED"/>
    <w:rsid w:val="00342585"/>
    <w:rsid w:val="003428D6"/>
    <w:rsid w:val="00343431"/>
    <w:rsid w:val="00343F86"/>
    <w:rsid w:val="00346FA1"/>
    <w:rsid w:val="00347DEF"/>
    <w:rsid w:val="00350C1C"/>
    <w:rsid w:val="00354446"/>
    <w:rsid w:val="00355DBE"/>
    <w:rsid w:val="00356CA9"/>
    <w:rsid w:val="0036237A"/>
    <w:rsid w:val="003643E9"/>
    <w:rsid w:val="00365DFC"/>
    <w:rsid w:val="00370706"/>
    <w:rsid w:val="0037207C"/>
    <w:rsid w:val="003726F6"/>
    <w:rsid w:val="00372BAE"/>
    <w:rsid w:val="00372E97"/>
    <w:rsid w:val="003740F9"/>
    <w:rsid w:val="00374DDC"/>
    <w:rsid w:val="00375D3C"/>
    <w:rsid w:val="003817E3"/>
    <w:rsid w:val="00381EBE"/>
    <w:rsid w:val="0038506A"/>
    <w:rsid w:val="003858EF"/>
    <w:rsid w:val="0038623A"/>
    <w:rsid w:val="00393ABA"/>
    <w:rsid w:val="003943B9"/>
    <w:rsid w:val="00396574"/>
    <w:rsid w:val="003967B3"/>
    <w:rsid w:val="00397129"/>
    <w:rsid w:val="003975A5"/>
    <w:rsid w:val="0039790E"/>
    <w:rsid w:val="00397C9B"/>
    <w:rsid w:val="003A01C6"/>
    <w:rsid w:val="003A2F50"/>
    <w:rsid w:val="003A310E"/>
    <w:rsid w:val="003A3BAC"/>
    <w:rsid w:val="003A3F72"/>
    <w:rsid w:val="003A5164"/>
    <w:rsid w:val="003A5379"/>
    <w:rsid w:val="003A57BD"/>
    <w:rsid w:val="003A6093"/>
    <w:rsid w:val="003A7167"/>
    <w:rsid w:val="003B1882"/>
    <w:rsid w:val="003B3F27"/>
    <w:rsid w:val="003B481D"/>
    <w:rsid w:val="003B4B7F"/>
    <w:rsid w:val="003B5138"/>
    <w:rsid w:val="003C0241"/>
    <w:rsid w:val="003C286E"/>
    <w:rsid w:val="003D0A3A"/>
    <w:rsid w:val="003D233D"/>
    <w:rsid w:val="003D5966"/>
    <w:rsid w:val="003D6CB7"/>
    <w:rsid w:val="003D72A4"/>
    <w:rsid w:val="003D7545"/>
    <w:rsid w:val="003D77DF"/>
    <w:rsid w:val="003D78F0"/>
    <w:rsid w:val="003E5F57"/>
    <w:rsid w:val="003E6CA3"/>
    <w:rsid w:val="003E7713"/>
    <w:rsid w:val="003E7931"/>
    <w:rsid w:val="003F2753"/>
    <w:rsid w:val="003F3F9A"/>
    <w:rsid w:val="003F4B46"/>
    <w:rsid w:val="003F6F81"/>
    <w:rsid w:val="00401ABC"/>
    <w:rsid w:val="00402D58"/>
    <w:rsid w:val="00403824"/>
    <w:rsid w:val="004050BB"/>
    <w:rsid w:val="004059F8"/>
    <w:rsid w:val="004064B2"/>
    <w:rsid w:val="00407C91"/>
    <w:rsid w:val="00411773"/>
    <w:rsid w:val="0041332F"/>
    <w:rsid w:val="0041416B"/>
    <w:rsid w:val="004161DA"/>
    <w:rsid w:val="00416484"/>
    <w:rsid w:val="00417B98"/>
    <w:rsid w:val="00420773"/>
    <w:rsid w:val="00425FD6"/>
    <w:rsid w:val="00427606"/>
    <w:rsid w:val="004279C7"/>
    <w:rsid w:val="004305B4"/>
    <w:rsid w:val="004311B0"/>
    <w:rsid w:val="0043369C"/>
    <w:rsid w:val="00433D36"/>
    <w:rsid w:val="0043477C"/>
    <w:rsid w:val="00434B38"/>
    <w:rsid w:val="00434E35"/>
    <w:rsid w:val="00437A68"/>
    <w:rsid w:val="00437C76"/>
    <w:rsid w:val="00441019"/>
    <w:rsid w:val="004425EF"/>
    <w:rsid w:val="00442B6C"/>
    <w:rsid w:val="004443DA"/>
    <w:rsid w:val="00447051"/>
    <w:rsid w:val="00447C56"/>
    <w:rsid w:val="00451E6C"/>
    <w:rsid w:val="00453C4A"/>
    <w:rsid w:val="00453E65"/>
    <w:rsid w:val="004561B2"/>
    <w:rsid w:val="00456CBC"/>
    <w:rsid w:val="0045785B"/>
    <w:rsid w:val="00460058"/>
    <w:rsid w:val="004623F7"/>
    <w:rsid w:val="0046356E"/>
    <w:rsid w:val="0046763F"/>
    <w:rsid w:val="00470C4C"/>
    <w:rsid w:val="0047155C"/>
    <w:rsid w:val="004719DC"/>
    <w:rsid w:val="004721E5"/>
    <w:rsid w:val="0047357C"/>
    <w:rsid w:val="00474A51"/>
    <w:rsid w:val="00481451"/>
    <w:rsid w:val="0048159E"/>
    <w:rsid w:val="004817C2"/>
    <w:rsid w:val="004817D8"/>
    <w:rsid w:val="004819B3"/>
    <w:rsid w:val="004820DF"/>
    <w:rsid w:val="00482A61"/>
    <w:rsid w:val="004851C2"/>
    <w:rsid w:val="004861CE"/>
    <w:rsid w:val="00487729"/>
    <w:rsid w:val="00490AC6"/>
    <w:rsid w:val="004910F0"/>
    <w:rsid w:val="00491943"/>
    <w:rsid w:val="00493E82"/>
    <w:rsid w:val="00494EEB"/>
    <w:rsid w:val="00496D73"/>
    <w:rsid w:val="004A24EE"/>
    <w:rsid w:val="004A377D"/>
    <w:rsid w:val="004A405A"/>
    <w:rsid w:val="004A4129"/>
    <w:rsid w:val="004A557D"/>
    <w:rsid w:val="004A56DD"/>
    <w:rsid w:val="004A570B"/>
    <w:rsid w:val="004A5934"/>
    <w:rsid w:val="004A7F32"/>
    <w:rsid w:val="004B1233"/>
    <w:rsid w:val="004B208A"/>
    <w:rsid w:val="004B2149"/>
    <w:rsid w:val="004B2D8C"/>
    <w:rsid w:val="004B67DE"/>
    <w:rsid w:val="004B72C5"/>
    <w:rsid w:val="004B7D94"/>
    <w:rsid w:val="004C03FF"/>
    <w:rsid w:val="004C05C3"/>
    <w:rsid w:val="004C06BA"/>
    <w:rsid w:val="004C2A62"/>
    <w:rsid w:val="004C420A"/>
    <w:rsid w:val="004C434E"/>
    <w:rsid w:val="004C7A0F"/>
    <w:rsid w:val="004D00F8"/>
    <w:rsid w:val="004D097D"/>
    <w:rsid w:val="004D110E"/>
    <w:rsid w:val="004D18A5"/>
    <w:rsid w:val="004D319A"/>
    <w:rsid w:val="004D3EA6"/>
    <w:rsid w:val="004D6FC7"/>
    <w:rsid w:val="004E523D"/>
    <w:rsid w:val="004E655A"/>
    <w:rsid w:val="004E704E"/>
    <w:rsid w:val="004F364D"/>
    <w:rsid w:val="004F534F"/>
    <w:rsid w:val="004F6D64"/>
    <w:rsid w:val="004F764E"/>
    <w:rsid w:val="004F7AFA"/>
    <w:rsid w:val="0050346C"/>
    <w:rsid w:val="0050399B"/>
    <w:rsid w:val="00503EBC"/>
    <w:rsid w:val="00503F21"/>
    <w:rsid w:val="00504311"/>
    <w:rsid w:val="00507F2E"/>
    <w:rsid w:val="00510574"/>
    <w:rsid w:val="00510919"/>
    <w:rsid w:val="005121CA"/>
    <w:rsid w:val="005129D6"/>
    <w:rsid w:val="00513F04"/>
    <w:rsid w:val="00514F19"/>
    <w:rsid w:val="00515933"/>
    <w:rsid w:val="005164FD"/>
    <w:rsid w:val="0051662D"/>
    <w:rsid w:val="005167BA"/>
    <w:rsid w:val="005177C6"/>
    <w:rsid w:val="005212FD"/>
    <w:rsid w:val="00522C17"/>
    <w:rsid w:val="00524448"/>
    <w:rsid w:val="00524AD2"/>
    <w:rsid w:val="005253B2"/>
    <w:rsid w:val="005255C4"/>
    <w:rsid w:val="00526435"/>
    <w:rsid w:val="005277CA"/>
    <w:rsid w:val="005300E8"/>
    <w:rsid w:val="00531B46"/>
    <w:rsid w:val="00531DCB"/>
    <w:rsid w:val="00532531"/>
    <w:rsid w:val="00532C54"/>
    <w:rsid w:val="00532D38"/>
    <w:rsid w:val="005333A1"/>
    <w:rsid w:val="00534718"/>
    <w:rsid w:val="0053747E"/>
    <w:rsid w:val="0053785D"/>
    <w:rsid w:val="00537AF6"/>
    <w:rsid w:val="00537DF0"/>
    <w:rsid w:val="00540647"/>
    <w:rsid w:val="00540E45"/>
    <w:rsid w:val="005413C8"/>
    <w:rsid w:val="00542C5D"/>
    <w:rsid w:val="00547813"/>
    <w:rsid w:val="005478BE"/>
    <w:rsid w:val="00550396"/>
    <w:rsid w:val="005506EF"/>
    <w:rsid w:val="00550E44"/>
    <w:rsid w:val="0055181C"/>
    <w:rsid w:val="00551D57"/>
    <w:rsid w:val="005520FF"/>
    <w:rsid w:val="005542D7"/>
    <w:rsid w:val="00555558"/>
    <w:rsid w:val="00556AF7"/>
    <w:rsid w:val="00560E05"/>
    <w:rsid w:val="00562961"/>
    <w:rsid w:val="0056421D"/>
    <w:rsid w:val="00564709"/>
    <w:rsid w:val="00565450"/>
    <w:rsid w:val="00565752"/>
    <w:rsid w:val="005658DD"/>
    <w:rsid w:val="00567762"/>
    <w:rsid w:val="0057032F"/>
    <w:rsid w:val="00570C05"/>
    <w:rsid w:val="00571718"/>
    <w:rsid w:val="00571BB6"/>
    <w:rsid w:val="00573D1A"/>
    <w:rsid w:val="00573FDD"/>
    <w:rsid w:val="00574C7B"/>
    <w:rsid w:val="0057597A"/>
    <w:rsid w:val="00575CC1"/>
    <w:rsid w:val="00575F45"/>
    <w:rsid w:val="00576BA1"/>
    <w:rsid w:val="005804A2"/>
    <w:rsid w:val="00580A48"/>
    <w:rsid w:val="005823FB"/>
    <w:rsid w:val="00582534"/>
    <w:rsid w:val="005841BC"/>
    <w:rsid w:val="005843B8"/>
    <w:rsid w:val="00584C69"/>
    <w:rsid w:val="00585154"/>
    <w:rsid w:val="00591060"/>
    <w:rsid w:val="00593169"/>
    <w:rsid w:val="0059320F"/>
    <w:rsid w:val="0059390D"/>
    <w:rsid w:val="00594010"/>
    <w:rsid w:val="00594BBE"/>
    <w:rsid w:val="005955DC"/>
    <w:rsid w:val="00595FA9"/>
    <w:rsid w:val="005972C3"/>
    <w:rsid w:val="005A313F"/>
    <w:rsid w:val="005A4119"/>
    <w:rsid w:val="005A4DA2"/>
    <w:rsid w:val="005A52A9"/>
    <w:rsid w:val="005A673F"/>
    <w:rsid w:val="005A68E8"/>
    <w:rsid w:val="005B1057"/>
    <w:rsid w:val="005B21DF"/>
    <w:rsid w:val="005B308C"/>
    <w:rsid w:val="005B6B68"/>
    <w:rsid w:val="005C0614"/>
    <w:rsid w:val="005C0967"/>
    <w:rsid w:val="005C176A"/>
    <w:rsid w:val="005C29BD"/>
    <w:rsid w:val="005C2B69"/>
    <w:rsid w:val="005D0590"/>
    <w:rsid w:val="005D2DA5"/>
    <w:rsid w:val="005D4622"/>
    <w:rsid w:val="005D60C9"/>
    <w:rsid w:val="005D7453"/>
    <w:rsid w:val="005D7943"/>
    <w:rsid w:val="005E087B"/>
    <w:rsid w:val="005E110C"/>
    <w:rsid w:val="005E5586"/>
    <w:rsid w:val="005E5EDB"/>
    <w:rsid w:val="005E70E4"/>
    <w:rsid w:val="005E7AE6"/>
    <w:rsid w:val="005F44E9"/>
    <w:rsid w:val="005F6563"/>
    <w:rsid w:val="00600D08"/>
    <w:rsid w:val="00602F00"/>
    <w:rsid w:val="00603887"/>
    <w:rsid w:val="006045E6"/>
    <w:rsid w:val="0060566C"/>
    <w:rsid w:val="00605AB6"/>
    <w:rsid w:val="00607B9A"/>
    <w:rsid w:val="00612E25"/>
    <w:rsid w:val="00622E32"/>
    <w:rsid w:val="006231DE"/>
    <w:rsid w:val="00624133"/>
    <w:rsid w:val="00624E4B"/>
    <w:rsid w:val="00626C16"/>
    <w:rsid w:val="00626D07"/>
    <w:rsid w:val="00627EC6"/>
    <w:rsid w:val="00630B33"/>
    <w:rsid w:val="0063335E"/>
    <w:rsid w:val="00634CFE"/>
    <w:rsid w:val="00635629"/>
    <w:rsid w:val="00636370"/>
    <w:rsid w:val="00636961"/>
    <w:rsid w:val="0064036E"/>
    <w:rsid w:val="00640665"/>
    <w:rsid w:val="0064286B"/>
    <w:rsid w:val="00644F94"/>
    <w:rsid w:val="0065025F"/>
    <w:rsid w:val="0065063B"/>
    <w:rsid w:val="0065066E"/>
    <w:rsid w:val="006532BB"/>
    <w:rsid w:val="006533D1"/>
    <w:rsid w:val="00654A54"/>
    <w:rsid w:val="00662095"/>
    <w:rsid w:val="00662669"/>
    <w:rsid w:val="00662D7B"/>
    <w:rsid w:val="0066442C"/>
    <w:rsid w:val="00665BE5"/>
    <w:rsid w:val="006724B4"/>
    <w:rsid w:val="00674238"/>
    <w:rsid w:val="00680C22"/>
    <w:rsid w:val="00681F0C"/>
    <w:rsid w:val="0068216A"/>
    <w:rsid w:val="0068305C"/>
    <w:rsid w:val="00683FC9"/>
    <w:rsid w:val="006857B3"/>
    <w:rsid w:val="00685908"/>
    <w:rsid w:val="006859E8"/>
    <w:rsid w:val="00685AC6"/>
    <w:rsid w:val="00685DB2"/>
    <w:rsid w:val="006869E9"/>
    <w:rsid w:val="0069031B"/>
    <w:rsid w:val="00691A51"/>
    <w:rsid w:val="00695F5C"/>
    <w:rsid w:val="00696012"/>
    <w:rsid w:val="00697637"/>
    <w:rsid w:val="00697667"/>
    <w:rsid w:val="006A01B3"/>
    <w:rsid w:val="006A2399"/>
    <w:rsid w:val="006A2DE9"/>
    <w:rsid w:val="006A3276"/>
    <w:rsid w:val="006A3AC0"/>
    <w:rsid w:val="006A3E2B"/>
    <w:rsid w:val="006A454F"/>
    <w:rsid w:val="006A4FF1"/>
    <w:rsid w:val="006B137D"/>
    <w:rsid w:val="006B1AE8"/>
    <w:rsid w:val="006B4A1E"/>
    <w:rsid w:val="006B5A48"/>
    <w:rsid w:val="006B609D"/>
    <w:rsid w:val="006C0AE2"/>
    <w:rsid w:val="006C0D94"/>
    <w:rsid w:val="006C269E"/>
    <w:rsid w:val="006C2924"/>
    <w:rsid w:val="006C4232"/>
    <w:rsid w:val="006C43C0"/>
    <w:rsid w:val="006C5551"/>
    <w:rsid w:val="006C639C"/>
    <w:rsid w:val="006D22A5"/>
    <w:rsid w:val="006D2963"/>
    <w:rsid w:val="006D485E"/>
    <w:rsid w:val="006D4923"/>
    <w:rsid w:val="006D69F6"/>
    <w:rsid w:val="006E0C07"/>
    <w:rsid w:val="006E3C15"/>
    <w:rsid w:val="006E517B"/>
    <w:rsid w:val="006F005C"/>
    <w:rsid w:val="006F1BB6"/>
    <w:rsid w:val="006F1BC8"/>
    <w:rsid w:val="006F2549"/>
    <w:rsid w:val="006F27A5"/>
    <w:rsid w:val="006F7D2C"/>
    <w:rsid w:val="00700877"/>
    <w:rsid w:val="00703DDF"/>
    <w:rsid w:val="00707649"/>
    <w:rsid w:val="00707BF4"/>
    <w:rsid w:val="00710FDC"/>
    <w:rsid w:val="00711087"/>
    <w:rsid w:val="00711337"/>
    <w:rsid w:val="00711C49"/>
    <w:rsid w:val="00714F75"/>
    <w:rsid w:val="00715679"/>
    <w:rsid w:val="00717AF1"/>
    <w:rsid w:val="00717BA7"/>
    <w:rsid w:val="007243DF"/>
    <w:rsid w:val="00724E58"/>
    <w:rsid w:val="0072557A"/>
    <w:rsid w:val="007256B6"/>
    <w:rsid w:val="00730BEA"/>
    <w:rsid w:val="0073114F"/>
    <w:rsid w:val="00731507"/>
    <w:rsid w:val="007319A3"/>
    <w:rsid w:val="0073343E"/>
    <w:rsid w:val="00733713"/>
    <w:rsid w:val="00734C41"/>
    <w:rsid w:val="00734D24"/>
    <w:rsid w:val="00737082"/>
    <w:rsid w:val="00743EF3"/>
    <w:rsid w:val="00751575"/>
    <w:rsid w:val="00752A41"/>
    <w:rsid w:val="00753B5F"/>
    <w:rsid w:val="00754434"/>
    <w:rsid w:val="00755BF0"/>
    <w:rsid w:val="00756C6B"/>
    <w:rsid w:val="0076084E"/>
    <w:rsid w:val="007633E9"/>
    <w:rsid w:val="00763D48"/>
    <w:rsid w:val="007643DF"/>
    <w:rsid w:val="007661C4"/>
    <w:rsid w:val="00766DBF"/>
    <w:rsid w:val="00770313"/>
    <w:rsid w:val="007707B5"/>
    <w:rsid w:val="0077231F"/>
    <w:rsid w:val="0077585D"/>
    <w:rsid w:val="007801C6"/>
    <w:rsid w:val="00780780"/>
    <w:rsid w:val="00780D8A"/>
    <w:rsid w:val="00782093"/>
    <w:rsid w:val="007869AB"/>
    <w:rsid w:val="00787753"/>
    <w:rsid w:val="00787FF9"/>
    <w:rsid w:val="0079111A"/>
    <w:rsid w:val="007912A4"/>
    <w:rsid w:val="00791918"/>
    <w:rsid w:val="00791ABB"/>
    <w:rsid w:val="00793083"/>
    <w:rsid w:val="00794363"/>
    <w:rsid w:val="00795CE4"/>
    <w:rsid w:val="00795E3E"/>
    <w:rsid w:val="007978F4"/>
    <w:rsid w:val="007A29CA"/>
    <w:rsid w:val="007A3F59"/>
    <w:rsid w:val="007A40A5"/>
    <w:rsid w:val="007A46CB"/>
    <w:rsid w:val="007A4F32"/>
    <w:rsid w:val="007A5123"/>
    <w:rsid w:val="007A57DE"/>
    <w:rsid w:val="007A775F"/>
    <w:rsid w:val="007B2832"/>
    <w:rsid w:val="007B3B39"/>
    <w:rsid w:val="007B52DA"/>
    <w:rsid w:val="007B606D"/>
    <w:rsid w:val="007C02C7"/>
    <w:rsid w:val="007C195A"/>
    <w:rsid w:val="007C49FB"/>
    <w:rsid w:val="007C7791"/>
    <w:rsid w:val="007D017C"/>
    <w:rsid w:val="007D096D"/>
    <w:rsid w:val="007D288E"/>
    <w:rsid w:val="007D5DD6"/>
    <w:rsid w:val="007D6568"/>
    <w:rsid w:val="007D7EAD"/>
    <w:rsid w:val="007E5AE8"/>
    <w:rsid w:val="007E673A"/>
    <w:rsid w:val="007F08B4"/>
    <w:rsid w:val="007F1936"/>
    <w:rsid w:val="007F392F"/>
    <w:rsid w:val="007F5837"/>
    <w:rsid w:val="007F5D32"/>
    <w:rsid w:val="007F621E"/>
    <w:rsid w:val="007F6B3A"/>
    <w:rsid w:val="007F7318"/>
    <w:rsid w:val="00801D3C"/>
    <w:rsid w:val="00803A51"/>
    <w:rsid w:val="00803D57"/>
    <w:rsid w:val="0080404F"/>
    <w:rsid w:val="00804207"/>
    <w:rsid w:val="0080429F"/>
    <w:rsid w:val="008063ED"/>
    <w:rsid w:val="00806DB3"/>
    <w:rsid w:val="008130C3"/>
    <w:rsid w:val="00813985"/>
    <w:rsid w:val="00815C6D"/>
    <w:rsid w:val="008163EB"/>
    <w:rsid w:val="008167B1"/>
    <w:rsid w:val="00821F15"/>
    <w:rsid w:val="00822664"/>
    <w:rsid w:val="00824DCB"/>
    <w:rsid w:val="0082509F"/>
    <w:rsid w:val="00826621"/>
    <w:rsid w:val="00826720"/>
    <w:rsid w:val="00830B70"/>
    <w:rsid w:val="00832A24"/>
    <w:rsid w:val="00833A03"/>
    <w:rsid w:val="00834A43"/>
    <w:rsid w:val="008364E9"/>
    <w:rsid w:val="0084159C"/>
    <w:rsid w:val="0084730D"/>
    <w:rsid w:val="00850986"/>
    <w:rsid w:val="00851D6F"/>
    <w:rsid w:val="00851DD2"/>
    <w:rsid w:val="00856C37"/>
    <w:rsid w:val="00857F09"/>
    <w:rsid w:val="008614A0"/>
    <w:rsid w:val="00861850"/>
    <w:rsid w:val="008619E5"/>
    <w:rsid w:val="00862702"/>
    <w:rsid w:val="008643F3"/>
    <w:rsid w:val="008673FE"/>
    <w:rsid w:val="00873C20"/>
    <w:rsid w:val="0087464C"/>
    <w:rsid w:val="00874679"/>
    <w:rsid w:val="008801A2"/>
    <w:rsid w:val="00881374"/>
    <w:rsid w:val="00881ADC"/>
    <w:rsid w:val="008836C9"/>
    <w:rsid w:val="00885115"/>
    <w:rsid w:val="00886A80"/>
    <w:rsid w:val="00886E32"/>
    <w:rsid w:val="0089233C"/>
    <w:rsid w:val="00896233"/>
    <w:rsid w:val="00896A6F"/>
    <w:rsid w:val="008A0162"/>
    <w:rsid w:val="008A12D0"/>
    <w:rsid w:val="008A1DDD"/>
    <w:rsid w:val="008A1F9B"/>
    <w:rsid w:val="008A33C9"/>
    <w:rsid w:val="008A34CC"/>
    <w:rsid w:val="008A5535"/>
    <w:rsid w:val="008A5FAC"/>
    <w:rsid w:val="008A671F"/>
    <w:rsid w:val="008A7716"/>
    <w:rsid w:val="008A77DF"/>
    <w:rsid w:val="008A7CCD"/>
    <w:rsid w:val="008B0042"/>
    <w:rsid w:val="008B196B"/>
    <w:rsid w:val="008B198C"/>
    <w:rsid w:val="008B51B0"/>
    <w:rsid w:val="008B5E27"/>
    <w:rsid w:val="008B6147"/>
    <w:rsid w:val="008C0A97"/>
    <w:rsid w:val="008C18A5"/>
    <w:rsid w:val="008C27C3"/>
    <w:rsid w:val="008C49C4"/>
    <w:rsid w:val="008C5022"/>
    <w:rsid w:val="008C5B13"/>
    <w:rsid w:val="008C69DF"/>
    <w:rsid w:val="008C69E4"/>
    <w:rsid w:val="008C6B0A"/>
    <w:rsid w:val="008C7DB1"/>
    <w:rsid w:val="008D1214"/>
    <w:rsid w:val="008D1A0F"/>
    <w:rsid w:val="008D2D0E"/>
    <w:rsid w:val="008D42AF"/>
    <w:rsid w:val="008D55AC"/>
    <w:rsid w:val="008D55D5"/>
    <w:rsid w:val="008D722A"/>
    <w:rsid w:val="008E0864"/>
    <w:rsid w:val="008E14D6"/>
    <w:rsid w:val="008E185D"/>
    <w:rsid w:val="008E3424"/>
    <w:rsid w:val="008E3EB1"/>
    <w:rsid w:val="008E41B2"/>
    <w:rsid w:val="008E6B35"/>
    <w:rsid w:val="008F2292"/>
    <w:rsid w:val="008F37FA"/>
    <w:rsid w:val="008F444E"/>
    <w:rsid w:val="008F44CB"/>
    <w:rsid w:val="008F45E4"/>
    <w:rsid w:val="008F4CB3"/>
    <w:rsid w:val="008F4EC0"/>
    <w:rsid w:val="008F7D03"/>
    <w:rsid w:val="00900E85"/>
    <w:rsid w:val="00901AFD"/>
    <w:rsid w:val="0090226B"/>
    <w:rsid w:val="00904DBC"/>
    <w:rsid w:val="0090587E"/>
    <w:rsid w:val="00905C6A"/>
    <w:rsid w:val="00905E0F"/>
    <w:rsid w:val="00907FB5"/>
    <w:rsid w:val="00907FE3"/>
    <w:rsid w:val="0091265E"/>
    <w:rsid w:val="009129B8"/>
    <w:rsid w:val="009142DA"/>
    <w:rsid w:val="00915AFC"/>
    <w:rsid w:val="00916BF2"/>
    <w:rsid w:val="0092106B"/>
    <w:rsid w:val="00922387"/>
    <w:rsid w:val="009230B6"/>
    <w:rsid w:val="00931165"/>
    <w:rsid w:val="009312EF"/>
    <w:rsid w:val="00931DD2"/>
    <w:rsid w:val="009343B3"/>
    <w:rsid w:val="00934E93"/>
    <w:rsid w:val="009350AF"/>
    <w:rsid w:val="009353D7"/>
    <w:rsid w:val="009401C4"/>
    <w:rsid w:val="009416CA"/>
    <w:rsid w:val="009433B0"/>
    <w:rsid w:val="00943CEB"/>
    <w:rsid w:val="00945049"/>
    <w:rsid w:val="00946634"/>
    <w:rsid w:val="00947DE2"/>
    <w:rsid w:val="009505B0"/>
    <w:rsid w:val="009533E2"/>
    <w:rsid w:val="00953469"/>
    <w:rsid w:val="00955ADB"/>
    <w:rsid w:val="00955B05"/>
    <w:rsid w:val="009601D2"/>
    <w:rsid w:val="00962E18"/>
    <w:rsid w:val="0096392C"/>
    <w:rsid w:val="00967D78"/>
    <w:rsid w:val="009710E0"/>
    <w:rsid w:val="009716AF"/>
    <w:rsid w:val="009722BC"/>
    <w:rsid w:val="0097298E"/>
    <w:rsid w:val="00974EFA"/>
    <w:rsid w:val="00975657"/>
    <w:rsid w:val="00983BA5"/>
    <w:rsid w:val="00984FCF"/>
    <w:rsid w:val="00985679"/>
    <w:rsid w:val="00985A89"/>
    <w:rsid w:val="00986B8F"/>
    <w:rsid w:val="00986BEA"/>
    <w:rsid w:val="00992988"/>
    <w:rsid w:val="00994A91"/>
    <w:rsid w:val="00995678"/>
    <w:rsid w:val="009A1807"/>
    <w:rsid w:val="009A28C8"/>
    <w:rsid w:val="009A30A5"/>
    <w:rsid w:val="009A3155"/>
    <w:rsid w:val="009A3F9E"/>
    <w:rsid w:val="009A43D8"/>
    <w:rsid w:val="009A52DD"/>
    <w:rsid w:val="009A5E11"/>
    <w:rsid w:val="009A6682"/>
    <w:rsid w:val="009A68FF"/>
    <w:rsid w:val="009B076B"/>
    <w:rsid w:val="009B097D"/>
    <w:rsid w:val="009B147A"/>
    <w:rsid w:val="009B38DD"/>
    <w:rsid w:val="009B40C7"/>
    <w:rsid w:val="009B4FA1"/>
    <w:rsid w:val="009B7D0F"/>
    <w:rsid w:val="009C1375"/>
    <w:rsid w:val="009C2BE5"/>
    <w:rsid w:val="009C3A3F"/>
    <w:rsid w:val="009C42DC"/>
    <w:rsid w:val="009C4FC2"/>
    <w:rsid w:val="009C67DC"/>
    <w:rsid w:val="009C77FF"/>
    <w:rsid w:val="009D003F"/>
    <w:rsid w:val="009D080A"/>
    <w:rsid w:val="009D3EB4"/>
    <w:rsid w:val="009D6D83"/>
    <w:rsid w:val="009D7486"/>
    <w:rsid w:val="009D7F7C"/>
    <w:rsid w:val="009E523B"/>
    <w:rsid w:val="009E52AF"/>
    <w:rsid w:val="009E5581"/>
    <w:rsid w:val="009E61A2"/>
    <w:rsid w:val="009E6908"/>
    <w:rsid w:val="009F2972"/>
    <w:rsid w:val="009F2FD8"/>
    <w:rsid w:val="009F30E6"/>
    <w:rsid w:val="009F6E7B"/>
    <w:rsid w:val="009F7311"/>
    <w:rsid w:val="00A0052B"/>
    <w:rsid w:val="00A02DBF"/>
    <w:rsid w:val="00A03A53"/>
    <w:rsid w:val="00A04558"/>
    <w:rsid w:val="00A06346"/>
    <w:rsid w:val="00A1005B"/>
    <w:rsid w:val="00A10C27"/>
    <w:rsid w:val="00A134DA"/>
    <w:rsid w:val="00A13F6A"/>
    <w:rsid w:val="00A1453E"/>
    <w:rsid w:val="00A171CD"/>
    <w:rsid w:val="00A17A38"/>
    <w:rsid w:val="00A17E64"/>
    <w:rsid w:val="00A20226"/>
    <w:rsid w:val="00A20F3F"/>
    <w:rsid w:val="00A21916"/>
    <w:rsid w:val="00A2234B"/>
    <w:rsid w:val="00A22747"/>
    <w:rsid w:val="00A23372"/>
    <w:rsid w:val="00A23B26"/>
    <w:rsid w:val="00A25ACA"/>
    <w:rsid w:val="00A30720"/>
    <w:rsid w:val="00A357CF"/>
    <w:rsid w:val="00A359A2"/>
    <w:rsid w:val="00A368BE"/>
    <w:rsid w:val="00A3754F"/>
    <w:rsid w:val="00A40656"/>
    <w:rsid w:val="00A42EAB"/>
    <w:rsid w:val="00A4335E"/>
    <w:rsid w:val="00A442F4"/>
    <w:rsid w:val="00A44F34"/>
    <w:rsid w:val="00A46D18"/>
    <w:rsid w:val="00A5270F"/>
    <w:rsid w:val="00A532DA"/>
    <w:rsid w:val="00A54344"/>
    <w:rsid w:val="00A6280D"/>
    <w:rsid w:val="00A63A3E"/>
    <w:rsid w:val="00A63CBA"/>
    <w:rsid w:val="00A642C4"/>
    <w:rsid w:val="00A6482D"/>
    <w:rsid w:val="00A652DA"/>
    <w:rsid w:val="00A66307"/>
    <w:rsid w:val="00A7282B"/>
    <w:rsid w:val="00A8000E"/>
    <w:rsid w:val="00A819CD"/>
    <w:rsid w:val="00A81B7C"/>
    <w:rsid w:val="00A825A6"/>
    <w:rsid w:val="00A82D72"/>
    <w:rsid w:val="00A84548"/>
    <w:rsid w:val="00A86365"/>
    <w:rsid w:val="00A86970"/>
    <w:rsid w:val="00A86FF6"/>
    <w:rsid w:val="00A9067B"/>
    <w:rsid w:val="00A9252B"/>
    <w:rsid w:val="00A92EBE"/>
    <w:rsid w:val="00A9516B"/>
    <w:rsid w:val="00A95AEB"/>
    <w:rsid w:val="00AA0F61"/>
    <w:rsid w:val="00AA2853"/>
    <w:rsid w:val="00AA36C7"/>
    <w:rsid w:val="00AA4459"/>
    <w:rsid w:val="00AA495E"/>
    <w:rsid w:val="00AA6934"/>
    <w:rsid w:val="00AA6E9D"/>
    <w:rsid w:val="00AA799C"/>
    <w:rsid w:val="00AA7BA4"/>
    <w:rsid w:val="00AB0C2C"/>
    <w:rsid w:val="00AB1078"/>
    <w:rsid w:val="00AB1346"/>
    <w:rsid w:val="00AB26DB"/>
    <w:rsid w:val="00AB3176"/>
    <w:rsid w:val="00AB46D4"/>
    <w:rsid w:val="00AB4A81"/>
    <w:rsid w:val="00AB4CFA"/>
    <w:rsid w:val="00AC4838"/>
    <w:rsid w:val="00AC572A"/>
    <w:rsid w:val="00AC5D56"/>
    <w:rsid w:val="00AC7340"/>
    <w:rsid w:val="00AD0813"/>
    <w:rsid w:val="00AD24EF"/>
    <w:rsid w:val="00AD2983"/>
    <w:rsid w:val="00AD5992"/>
    <w:rsid w:val="00AD5A93"/>
    <w:rsid w:val="00AE024C"/>
    <w:rsid w:val="00AE194F"/>
    <w:rsid w:val="00AE371D"/>
    <w:rsid w:val="00AE39AB"/>
    <w:rsid w:val="00AE584F"/>
    <w:rsid w:val="00AE63C3"/>
    <w:rsid w:val="00AE7CFC"/>
    <w:rsid w:val="00AF0490"/>
    <w:rsid w:val="00AF0BB9"/>
    <w:rsid w:val="00AF291F"/>
    <w:rsid w:val="00AF3CBB"/>
    <w:rsid w:val="00AF6489"/>
    <w:rsid w:val="00AF7A9F"/>
    <w:rsid w:val="00B01D34"/>
    <w:rsid w:val="00B01F7F"/>
    <w:rsid w:val="00B03609"/>
    <w:rsid w:val="00B03831"/>
    <w:rsid w:val="00B03DBB"/>
    <w:rsid w:val="00B04254"/>
    <w:rsid w:val="00B05449"/>
    <w:rsid w:val="00B05903"/>
    <w:rsid w:val="00B066F8"/>
    <w:rsid w:val="00B06E17"/>
    <w:rsid w:val="00B10648"/>
    <w:rsid w:val="00B110E8"/>
    <w:rsid w:val="00B15007"/>
    <w:rsid w:val="00B16D73"/>
    <w:rsid w:val="00B16DE7"/>
    <w:rsid w:val="00B179CD"/>
    <w:rsid w:val="00B225D7"/>
    <w:rsid w:val="00B23C0F"/>
    <w:rsid w:val="00B24177"/>
    <w:rsid w:val="00B30D05"/>
    <w:rsid w:val="00B30DFD"/>
    <w:rsid w:val="00B31253"/>
    <w:rsid w:val="00B327DB"/>
    <w:rsid w:val="00B357A3"/>
    <w:rsid w:val="00B37370"/>
    <w:rsid w:val="00B41871"/>
    <w:rsid w:val="00B4336F"/>
    <w:rsid w:val="00B4522D"/>
    <w:rsid w:val="00B4598F"/>
    <w:rsid w:val="00B46BF7"/>
    <w:rsid w:val="00B50E29"/>
    <w:rsid w:val="00B51E97"/>
    <w:rsid w:val="00B52CBD"/>
    <w:rsid w:val="00B5327F"/>
    <w:rsid w:val="00B534B4"/>
    <w:rsid w:val="00B565FE"/>
    <w:rsid w:val="00B57C66"/>
    <w:rsid w:val="00B60458"/>
    <w:rsid w:val="00B61DC3"/>
    <w:rsid w:val="00B633C4"/>
    <w:rsid w:val="00B67AEA"/>
    <w:rsid w:val="00B72C66"/>
    <w:rsid w:val="00B72CA2"/>
    <w:rsid w:val="00B73C62"/>
    <w:rsid w:val="00B83C32"/>
    <w:rsid w:val="00B85816"/>
    <w:rsid w:val="00B875C0"/>
    <w:rsid w:val="00B90075"/>
    <w:rsid w:val="00B902A6"/>
    <w:rsid w:val="00B90608"/>
    <w:rsid w:val="00B9166F"/>
    <w:rsid w:val="00B920AD"/>
    <w:rsid w:val="00B93E24"/>
    <w:rsid w:val="00B94C8E"/>
    <w:rsid w:val="00B9514C"/>
    <w:rsid w:val="00B966AC"/>
    <w:rsid w:val="00BA0A06"/>
    <w:rsid w:val="00BA1064"/>
    <w:rsid w:val="00BA485C"/>
    <w:rsid w:val="00BA48FC"/>
    <w:rsid w:val="00BA4C75"/>
    <w:rsid w:val="00BA6979"/>
    <w:rsid w:val="00BA7863"/>
    <w:rsid w:val="00BA790D"/>
    <w:rsid w:val="00BB14DC"/>
    <w:rsid w:val="00BB279B"/>
    <w:rsid w:val="00BB3D58"/>
    <w:rsid w:val="00BB4323"/>
    <w:rsid w:val="00BB452C"/>
    <w:rsid w:val="00BB4532"/>
    <w:rsid w:val="00BB4A21"/>
    <w:rsid w:val="00BB650B"/>
    <w:rsid w:val="00BB6BFB"/>
    <w:rsid w:val="00BC2785"/>
    <w:rsid w:val="00BC30DC"/>
    <w:rsid w:val="00BC4E9E"/>
    <w:rsid w:val="00BC58A4"/>
    <w:rsid w:val="00BC781E"/>
    <w:rsid w:val="00BD03E6"/>
    <w:rsid w:val="00BD148F"/>
    <w:rsid w:val="00BD1973"/>
    <w:rsid w:val="00BD358F"/>
    <w:rsid w:val="00BD4809"/>
    <w:rsid w:val="00BD5170"/>
    <w:rsid w:val="00BD5E5C"/>
    <w:rsid w:val="00BD5F32"/>
    <w:rsid w:val="00BD6416"/>
    <w:rsid w:val="00BD774B"/>
    <w:rsid w:val="00BE437C"/>
    <w:rsid w:val="00BE5949"/>
    <w:rsid w:val="00BF0241"/>
    <w:rsid w:val="00BF19DE"/>
    <w:rsid w:val="00BF3055"/>
    <w:rsid w:val="00BF3E3E"/>
    <w:rsid w:val="00C01D39"/>
    <w:rsid w:val="00C036C5"/>
    <w:rsid w:val="00C04346"/>
    <w:rsid w:val="00C047F4"/>
    <w:rsid w:val="00C04B21"/>
    <w:rsid w:val="00C04E5F"/>
    <w:rsid w:val="00C05C52"/>
    <w:rsid w:val="00C05E68"/>
    <w:rsid w:val="00C06C84"/>
    <w:rsid w:val="00C103CD"/>
    <w:rsid w:val="00C112DA"/>
    <w:rsid w:val="00C1253A"/>
    <w:rsid w:val="00C12544"/>
    <w:rsid w:val="00C12799"/>
    <w:rsid w:val="00C213E5"/>
    <w:rsid w:val="00C24F60"/>
    <w:rsid w:val="00C25C9B"/>
    <w:rsid w:val="00C261AB"/>
    <w:rsid w:val="00C32303"/>
    <w:rsid w:val="00C324B5"/>
    <w:rsid w:val="00C36220"/>
    <w:rsid w:val="00C362DF"/>
    <w:rsid w:val="00C375ED"/>
    <w:rsid w:val="00C37B1F"/>
    <w:rsid w:val="00C37F58"/>
    <w:rsid w:val="00C42BB6"/>
    <w:rsid w:val="00C42F14"/>
    <w:rsid w:val="00C44F26"/>
    <w:rsid w:val="00C5077E"/>
    <w:rsid w:val="00C52EF2"/>
    <w:rsid w:val="00C533E2"/>
    <w:rsid w:val="00C535AB"/>
    <w:rsid w:val="00C53722"/>
    <w:rsid w:val="00C537C1"/>
    <w:rsid w:val="00C53809"/>
    <w:rsid w:val="00C53B40"/>
    <w:rsid w:val="00C55493"/>
    <w:rsid w:val="00C57D30"/>
    <w:rsid w:val="00C601D5"/>
    <w:rsid w:val="00C60DC9"/>
    <w:rsid w:val="00C623F7"/>
    <w:rsid w:val="00C62AA6"/>
    <w:rsid w:val="00C63034"/>
    <w:rsid w:val="00C6413D"/>
    <w:rsid w:val="00C65706"/>
    <w:rsid w:val="00C65ACA"/>
    <w:rsid w:val="00C66C45"/>
    <w:rsid w:val="00C67F24"/>
    <w:rsid w:val="00C716A7"/>
    <w:rsid w:val="00C73097"/>
    <w:rsid w:val="00C73F67"/>
    <w:rsid w:val="00C750E2"/>
    <w:rsid w:val="00C75E74"/>
    <w:rsid w:val="00C775B9"/>
    <w:rsid w:val="00C77802"/>
    <w:rsid w:val="00C81801"/>
    <w:rsid w:val="00C81DB2"/>
    <w:rsid w:val="00C86011"/>
    <w:rsid w:val="00C8675F"/>
    <w:rsid w:val="00C914D4"/>
    <w:rsid w:val="00C91905"/>
    <w:rsid w:val="00C92B10"/>
    <w:rsid w:val="00C94322"/>
    <w:rsid w:val="00C94724"/>
    <w:rsid w:val="00C94C06"/>
    <w:rsid w:val="00C953DF"/>
    <w:rsid w:val="00C96214"/>
    <w:rsid w:val="00C966DF"/>
    <w:rsid w:val="00C97197"/>
    <w:rsid w:val="00C97E68"/>
    <w:rsid w:val="00CA19DF"/>
    <w:rsid w:val="00CA1CDE"/>
    <w:rsid w:val="00CA27FF"/>
    <w:rsid w:val="00CA3DB6"/>
    <w:rsid w:val="00CA478F"/>
    <w:rsid w:val="00CA56B5"/>
    <w:rsid w:val="00CA5DFF"/>
    <w:rsid w:val="00CA7956"/>
    <w:rsid w:val="00CB2444"/>
    <w:rsid w:val="00CB670E"/>
    <w:rsid w:val="00CB677B"/>
    <w:rsid w:val="00CB6E94"/>
    <w:rsid w:val="00CB74DE"/>
    <w:rsid w:val="00CB7E4B"/>
    <w:rsid w:val="00CC0D30"/>
    <w:rsid w:val="00CC22FF"/>
    <w:rsid w:val="00CC6901"/>
    <w:rsid w:val="00CC79BA"/>
    <w:rsid w:val="00CC7E4B"/>
    <w:rsid w:val="00CD078C"/>
    <w:rsid w:val="00CD27BA"/>
    <w:rsid w:val="00CD2C75"/>
    <w:rsid w:val="00CD5DE2"/>
    <w:rsid w:val="00CD6C97"/>
    <w:rsid w:val="00CD72D6"/>
    <w:rsid w:val="00CE37CD"/>
    <w:rsid w:val="00CE5DE5"/>
    <w:rsid w:val="00CE64D2"/>
    <w:rsid w:val="00CF055B"/>
    <w:rsid w:val="00CF2334"/>
    <w:rsid w:val="00CF2864"/>
    <w:rsid w:val="00CF3ACB"/>
    <w:rsid w:val="00CF4491"/>
    <w:rsid w:val="00CF53AC"/>
    <w:rsid w:val="00CF7598"/>
    <w:rsid w:val="00D01A91"/>
    <w:rsid w:val="00D0364B"/>
    <w:rsid w:val="00D062E0"/>
    <w:rsid w:val="00D06F21"/>
    <w:rsid w:val="00D11D6B"/>
    <w:rsid w:val="00D12B9D"/>
    <w:rsid w:val="00D135A1"/>
    <w:rsid w:val="00D14282"/>
    <w:rsid w:val="00D144D7"/>
    <w:rsid w:val="00D17755"/>
    <w:rsid w:val="00D21EB2"/>
    <w:rsid w:val="00D22B47"/>
    <w:rsid w:val="00D24484"/>
    <w:rsid w:val="00D253CD"/>
    <w:rsid w:val="00D27C1B"/>
    <w:rsid w:val="00D320AF"/>
    <w:rsid w:val="00D32226"/>
    <w:rsid w:val="00D3542F"/>
    <w:rsid w:val="00D354F3"/>
    <w:rsid w:val="00D37314"/>
    <w:rsid w:val="00D3784D"/>
    <w:rsid w:val="00D41B42"/>
    <w:rsid w:val="00D41C70"/>
    <w:rsid w:val="00D43F36"/>
    <w:rsid w:val="00D44FC8"/>
    <w:rsid w:val="00D45E87"/>
    <w:rsid w:val="00D469C2"/>
    <w:rsid w:val="00D46DD3"/>
    <w:rsid w:val="00D4720E"/>
    <w:rsid w:val="00D47AE1"/>
    <w:rsid w:val="00D50E93"/>
    <w:rsid w:val="00D52A5B"/>
    <w:rsid w:val="00D54746"/>
    <w:rsid w:val="00D54CBA"/>
    <w:rsid w:val="00D55B86"/>
    <w:rsid w:val="00D61BD2"/>
    <w:rsid w:val="00D63E6D"/>
    <w:rsid w:val="00D6701F"/>
    <w:rsid w:val="00D67E85"/>
    <w:rsid w:val="00D700E9"/>
    <w:rsid w:val="00D70C0A"/>
    <w:rsid w:val="00D70E57"/>
    <w:rsid w:val="00D72AC8"/>
    <w:rsid w:val="00D730B6"/>
    <w:rsid w:val="00D7524C"/>
    <w:rsid w:val="00D76BB6"/>
    <w:rsid w:val="00D76CF0"/>
    <w:rsid w:val="00D76F95"/>
    <w:rsid w:val="00D771EC"/>
    <w:rsid w:val="00D77551"/>
    <w:rsid w:val="00D80D27"/>
    <w:rsid w:val="00D81E4C"/>
    <w:rsid w:val="00D83FC4"/>
    <w:rsid w:val="00D845E8"/>
    <w:rsid w:val="00D870B0"/>
    <w:rsid w:val="00D879F7"/>
    <w:rsid w:val="00D87B3C"/>
    <w:rsid w:val="00D91AA6"/>
    <w:rsid w:val="00D9477B"/>
    <w:rsid w:val="00D94A98"/>
    <w:rsid w:val="00D97119"/>
    <w:rsid w:val="00D97D95"/>
    <w:rsid w:val="00DA2214"/>
    <w:rsid w:val="00DA7DD8"/>
    <w:rsid w:val="00DB118B"/>
    <w:rsid w:val="00DB1ADF"/>
    <w:rsid w:val="00DB201F"/>
    <w:rsid w:val="00DB5DB5"/>
    <w:rsid w:val="00DB5E21"/>
    <w:rsid w:val="00DB6033"/>
    <w:rsid w:val="00DB7AF2"/>
    <w:rsid w:val="00DC4490"/>
    <w:rsid w:val="00DC77BC"/>
    <w:rsid w:val="00DC7E3B"/>
    <w:rsid w:val="00DD0E99"/>
    <w:rsid w:val="00DD2172"/>
    <w:rsid w:val="00DD2A18"/>
    <w:rsid w:val="00DD4A5B"/>
    <w:rsid w:val="00DD67D4"/>
    <w:rsid w:val="00DD6EF5"/>
    <w:rsid w:val="00DE070C"/>
    <w:rsid w:val="00DE3B1D"/>
    <w:rsid w:val="00DE5AF6"/>
    <w:rsid w:val="00DE7267"/>
    <w:rsid w:val="00DF0ADB"/>
    <w:rsid w:val="00DF0FAE"/>
    <w:rsid w:val="00DF1835"/>
    <w:rsid w:val="00DF2BF3"/>
    <w:rsid w:val="00DF2C98"/>
    <w:rsid w:val="00DF55D2"/>
    <w:rsid w:val="00DF6B0D"/>
    <w:rsid w:val="00DF7641"/>
    <w:rsid w:val="00E00A36"/>
    <w:rsid w:val="00E030A0"/>
    <w:rsid w:val="00E04F8B"/>
    <w:rsid w:val="00E05C21"/>
    <w:rsid w:val="00E06889"/>
    <w:rsid w:val="00E0728A"/>
    <w:rsid w:val="00E076B0"/>
    <w:rsid w:val="00E07812"/>
    <w:rsid w:val="00E130A4"/>
    <w:rsid w:val="00E138DB"/>
    <w:rsid w:val="00E14859"/>
    <w:rsid w:val="00E164B1"/>
    <w:rsid w:val="00E16B3D"/>
    <w:rsid w:val="00E17513"/>
    <w:rsid w:val="00E176AA"/>
    <w:rsid w:val="00E20385"/>
    <w:rsid w:val="00E21738"/>
    <w:rsid w:val="00E25058"/>
    <w:rsid w:val="00E256F6"/>
    <w:rsid w:val="00E27CA3"/>
    <w:rsid w:val="00E314D7"/>
    <w:rsid w:val="00E32D29"/>
    <w:rsid w:val="00E34192"/>
    <w:rsid w:val="00E36E77"/>
    <w:rsid w:val="00E37062"/>
    <w:rsid w:val="00E4046A"/>
    <w:rsid w:val="00E41148"/>
    <w:rsid w:val="00E41524"/>
    <w:rsid w:val="00E42471"/>
    <w:rsid w:val="00E425C8"/>
    <w:rsid w:val="00E46EF8"/>
    <w:rsid w:val="00E4769D"/>
    <w:rsid w:val="00E51424"/>
    <w:rsid w:val="00E52F6B"/>
    <w:rsid w:val="00E57D8C"/>
    <w:rsid w:val="00E62907"/>
    <w:rsid w:val="00E635E0"/>
    <w:rsid w:val="00E64374"/>
    <w:rsid w:val="00E66AB7"/>
    <w:rsid w:val="00E7010C"/>
    <w:rsid w:val="00E701DC"/>
    <w:rsid w:val="00E710E9"/>
    <w:rsid w:val="00E71856"/>
    <w:rsid w:val="00E727FE"/>
    <w:rsid w:val="00E72D7E"/>
    <w:rsid w:val="00E740E0"/>
    <w:rsid w:val="00E742E3"/>
    <w:rsid w:val="00E756ED"/>
    <w:rsid w:val="00E7625D"/>
    <w:rsid w:val="00E7633B"/>
    <w:rsid w:val="00E77BF3"/>
    <w:rsid w:val="00E8155B"/>
    <w:rsid w:val="00E82960"/>
    <w:rsid w:val="00E867DA"/>
    <w:rsid w:val="00E86A76"/>
    <w:rsid w:val="00E86BFD"/>
    <w:rsid w:val="00E90075"/>
    <w:rsid w:val="00E9041A"/>
    <w:rsid w:val="00E90B7D"/>
    <w:rsid w:val="00E923B5"/>
    <w:rsid w:val="00E92E17"/>
    <w:rsid w:val="00E933DA"/>
    <w:rsid w:val="00E938A8"/>
    <w:rsid w:val="00E95E1D"/>
    <w:rsid w:val="00EA0EC2"/>
    <w:rsid w:val="00EA63B3"/>
    <w:rsid w:val="00EB2718"/>
    <w:rsid w:val="00EB3463"/>
    <w:rsid w:val="00EB39FF"/>
    <w:rsid w:val="00EB5721"/>
    <w:rsid w:val="00EB5991"/>
    <w:rsid w:val="00EB6278"/>
    <w:rsid w:val="00EB7DC4"/>
    <w:rsid w:val="00EC0C97"/>
    <w:rsid w:val="00EC1BED"/>
    <w:rsid w:val="00EC2467"/>
    <w:rsid w:val="00EC37EB"/>
    <w:rsid w:val="00EC51EF"/>
    <w:rsid w:val="00EC737F"/>
    <w:rsid w:val="00EC7C3C"/>
    <w:rsid w:val="00ED01B4"/>
    <w:rsid w:val="00ED188F"/>
    <w:rsid w:val="00ED3A14"/>
    <w:rsid w:val="00ED3F32"/>
    <w:rsid w:val="00ED4562"/>
    <w:rsid w:val="00ED4F29"/>
    <w:rsid w:val="00ED5294"/>
    <w:rsid w:val="00ED546B"/>
    <w:rsid w:val="00ED608D"/>
    <w:rsid w:val="00ED628B"/>
    <w:rsid w:val="00ED7E54"/>
    <w:rsid w:val="00EE106C"/>
    <w:rsid w:val="00EE1077"/>
    <w:rsid w:val="00EE2482"/>
    <w:rsid w:val="00EE32BD"/>
    <w:rsid w:val="00EE43CC"/>
    <w:rsid w:val="00EE45D1"/>
    <w:rsid w:val="00EF0372"/>
    <w:rsid w:val="00EF1693"/>
    <w:rsid w:val="00EF1CBE"/>
    <w:rsid w:val="00EF2340"/>
    <w:rsid w:val="00EF378C"/>
    <w:rsid w:val="00EF3CDD"/>
    <w:rsid w:val="00EF445F"/>
    <w:rsid w:val="00EF45CE"/>
    <w:rsid w:val="00EF52E6"/>
    <w:rsid w:val="00EF601E"/>
    <w:rsid w:val="00EF7497"/>
    <w:rsid w:val="00EF7A30"/>
    <w:rsid w:val="00F00F8B"/>
    <w:rsid w:val="00F01049"/>
    <w:rsid w:val="00F012FA"/>
    <w:rsid w:val="00F0241B"/>
    <w:rsid w:val="00F0310F"/>
    <w:rsid w:val="00F036E6"/>
    <w:rsid w:val="00F0518A"/>
    <w:rsid w:val="00F0778C"/>
    <w:rsid w:val="00F12464"/>
    <w:rsid w:val="00F14957"/>
    <w:rsid w:val="00F1512F"/>
    <w:rsid w:val="00F15D6B"/>
    <w:rsid w:val="00F16031"/>
    <w:rsid w:val="00F16ABC"/>
    <w:rsid w:val="00F2684D"/>
    <w:rsid w:val="00F26C14"/>
    <w:rsid w:val="00F30AAD"/>
    <w:rsid w:val="00F32E6D"/>
    <w:rsid w:val="00F41266"/>
    <w:rsid w:val="00F41A32"/>
    <w:rsid w:val="00F43EF7"/>
    <w:rsid w:val="00F4416F"/>
    <w:rsid w:val="00F44F96"/>
    <w:rsid w:val="00F46A91"/>
    <w:rsid w:val="00F476C8"/>
    <w:rsid w:val="00F4776B"/>
    <w:rsid w:val="00F47BFA"/>
    <w:rsid w:val="00F507CC"/>
    <w:rsid w:val="00F5082F"/>
    <w:rsid w:val="00F5176C"/>
    <w:rsid w:val="00F51E56"/>
    <w:rsid w:val="00F54722"/>
    <w:rsid w:val="00F56C9F"/>
    <w:rsid w:val="00F56E6A"/>
    <w:rsid w:val="00F56F1D"/>
    <w:rsid w:val="00F60841"/>
    <w:rsid w:val="00F6120D"/>
    <w:rsid w:val="00F63553"/>
    <w:rsid w:val="00F65200"/>
    <w:rsid w:val="00F655F3"/>
    <w:rsid w:val="00F65860"/>
    <w:rsid w:val="00F65946"/>
    <w:rsid w:val="00F65D8D"/>
    <w:rsid w:val="00F6723F"/>
    <w:rsid w:val="00F6731F"/>
    <w:rsid w:val="00F67B1A"/>
    <w:rsid w:val="00F67FF1"/>
    <w:rsid w:val="00F70C83"/>
    <w:rsid w:val="00F71C2F"/>
    <w:rsid w:val="00F73122"/>
    <w:rsid w:val="00F735A6"/>
    <w:rsid w:val="00F744A3"/>
    <w:rsid w:val="00F74508"/>
    <w:rsid w:val="00F74742"/>
    <w:rsid w:val="00F75679"/>
    <w:rsid w:val="00F76605"/>
    <w:rsid w:val="00F81D88"/>
    <w:rsid w:val="00F822FA"/>
    <w:rsid w:val="00F9005F"/>
    <w:rsid w:val="00F9019E"/>
    <w:rsid w:val="00F905CA"/>
    <w:rsid w:val="00F90D04"/>
    <w:rsid w:val="00F92C22"/>
    <w:rsid w:val="00F93466"/>
    <w:rsid w:val="00F968D0"/>
    <w:rsid w:val="00FA0372"/>
    <w:rsid w:val="00FA03FA"/>
    <w:rsid w:val="00FA097E"/>
    <w:rsid w:val="00FA1667"/>
    <w:rsid w:val="00FA3DB1"/>
    <w:rsid w:val="00FA539F"/>
    <w:rsid w:val="00FA5B7C"/>
    <w:rsid w:val="00FA5EFA"/>
    <w:rsid w:val="00FA6B4A"/>
    <w:rsid w:val="00FA7953"/>
    <w:rsid w:val="00FB32E7"/>
    <w:rsid w:val="00FB5ADA"/>
    <w:rsid w:val="00FC0A61"/>
    <w:rsid w:val="00FC25F9"/>
    <w:rsid w:val="00FC3BE8"/>
    <w:rsid w:val="00FC5E7F"/>
    <w:rsid w:val="00FC65DD"/>
    <w:rsid w:val="00FD3861"/>
    <w:rsid w:val="00FD7D46"/>
    <w:rsid w:val="00FE5151"/>
    <w:rsid w:val="00FE52F4"/>
    <w:rsid w:val="00FE679E"/>
    <w:rsid w:val="00FF4CF3"/>
    <w:rsid w:val="00FF537D"/>
    <w:rsid w:val="00FF55C1"/>
    <w:rsid w:val="01274F14"/>
    <w:rsid w:val="01303A9E"/>
    <w:rsid w:val="01383FD0"/>
    <w:rsid w:val="01451617"/>
    <w:rsid w:val="0190158D"/>
    <w:rsid w:val="01AE4F22"/>
    <w:rsid w:val="01B77047"/>
    <w:rsid w:val="0203063D"/>
    <w:rsid w:val="02043122"/>
    <w:rsid w:val="02055635"/>
    <w:rsid w:val="02346456"/>
    <w:rsid w:val="024E269D"/>
    <w:rsid w:val="027B1CE2"/>
    <w:rsid w:val="029F57DD"/>
    <w:rsid w:val="02D738A3"/>
    <w:rsid w:val="034464B8"/>
    <w:rsid w:val="036576B8"/>
    <w:rsid w:val="03953365"/>
    <w:rsid w:val="03C71EFB"/>
    <w:rsid w:val="03D735B0"/>
    <w:rsid w:val="03FA6CDF"/>
    <w:rsid w:val="04365FFA"/>
    <w:rsid w:val="04494A43"/>
    <w:rsid w:val="04500542"/>
    <w:rsid w:val="046D244C"/>
    <w:rsid w:val="046F1BE2"/>
    <w:rsid w:val="04822D08"/>
    <w:rsid w:val="04C851F1"/>
    <w:rsid w:val="04FB048C"/>
    <w:rsid w:val="052C29BF"/>
    <w:rsid w:val="05337A63"/>
    <w:rsid w:val="055C5785"/>
    <w:rsid w:val="05913412"/>
    <w:rsid w:val="05B84C48"/>
    <w:rsid w:val="05F06637"/>
    <w:rsid w:val="06293CA7"/>
    <w:rsid w:val="062C7228"/>
    <w:rsid w:val="06517EE9"/>
    <w:rsid w:val="06975CFD"/>
    <w:rsid w:val="06C55EEB"/>
    <w:rsid w:val="07004918"/>
    <w:rsid w:val="070B6221"/>
    <w:rsid w:val="07654B87"/>
    <w:rsid w:val="07BA720E"/>
    <w:rsid w:val="07CB7156"/>
    <w:rsid w:val="07D11D97"/>
    <w:rsid w:val="07E13B30"/>
    <w:rsid w:val="07EE2CA7"/>
    <w:rsid w:val="081F2D4C"/>
    <w:rsid w:val="084E2ACF"/>
    <w:rsid w:val="084F19C0"/>
    <w:rsid w:val="08635040"/>
    <w:rsid w:val="086419C0"/>
    <w:rsid w:val="08A83B98"/>
    <w:rsid w:val="08B2562B"/>
    <w:rsid w:val="08B5584D"/>
    <w:rsid w:val="08BC41C1"/>
    <w:rsid w:val="08D21C2C"/>
    <w:rsid w:val="09190838"/>
    <w:rsid w:val="095C7B83"/>
    <w:rsid w:val="098F731B"/>
    <w:rsid w:val="0996625D"/>
    <w:rsid w:val="09DE2A70"/>
    <w:rsid w:val="0A1F4EA7"/>
    <w:rsid w:val="0A342D46"/>
    <w:rsid w:val="0AB51489"/>
    <w:rsid w:val="0ABF0DA2"/>
    <w:rsid w:val="0ACE0B6C"/>
    <w:rsid w:val="0AEE6792"/>
    <w:rsid w:val="0B33524B"/>
    <w:rsid w:val="0BBA42E8"/>
    <w:rsid w:val="0BE64801"/>
    <w:rsid w:val="0BF94C62"/>
    <w:rsid w:val="0C7965AF"/>
    <w:rsid w:val="0C8E3524"/>
    <w:rsid w:val="0C95751F"/>
    <w:rsid w:val="0CD426C0"/>
    <w:rsid w:val="0D63355E"/>
    <w:rsid w:val="0D6402AD"/>
    <w:rsid w:val="0D6E00F5"/>
    <w:rsid w:val="0DE27351"/>
    <w:rsid w:val="0E133FA6"/>
    <w:rsid w:val="0E195228"/>
    <w:rsid w:val="0E2217A8"/>
    <w:rsid w:val="0E925E78"/>
    <w:rsid w:val="0EA20C5D"/>
    <w:rsid w:val="0EA54211"/>
    <w:rsid w:val="0EAB227A"/>
    <w:rsid w:val="0EAD5EAE"/>
    <w:rsid w:val="0EB36468"/>
    <w:rsid w:val="0EDB759D"/>
    <w:rsid w:val="0EE610EE"/>
    <w:rsid w:val="0F361774"/>
    <w:rsid w:val="0F3B7D92"/>
    <w:rsid w:val="0F66630C"/>
    <w:rsid w:val="0F760781"/>
    <w:rsid w:val="0FCB5DCA"/>
    <w:rsid w:val="0FF10449"/>
    <w:rsid w:val="10485433"/>
    <w:rsid w:val="104C2911"/>
    <w:rsid w:val="107B6F12"/>
    <w:rsid w:val="10BA2E94"/>
    <w:rsid w:val="11053C87"/>
    <w:rsid w:val="11316C22"/>
    <w:rsid w:val="11604A5C"/>
    <w:rsid w:val="1176169D"/>
    <w:rsid w:val="117C68E7"/>
    <w:rsid w:val="118263A1"/>
    <w:rsid w:val="119603EC"/>
    <w:rsid w:val="11A331FA"/>
    <w:rsid w:val="11A87B15"/>
    <w:rsid w:val="11C224F8"/>
    <w:rsid w:val="120038A1"/>
    <w:rsid w:val="121E029E"/>
    <w:rsid w:val="124D4083"/>
    <w:rsid w:val="12701BF6"/>
    <w:rsid w:val="127B401E"/>
    <w:rsid w:val="1287461C"/>
    <w:rsid w:val="129F1964"/>
    <w:rsid w:val="12DE47E6"/>
    <w:rsid w:val="12F639E2"/>
    <w:rsid w:val="133D1517"/>
    <w:rsid w:val="136532E8"/>
    <w:rsid w:val="13C11199"/>
    <w:rsid w:val="13CC1FE7"/>
    <w:rsid w:val="1402704E"/>
    <w:rsid w:val="14393196"/>
    <w:rsid w:val="147B35F3"/>
    <w:rsid w:val="149837A2"/>
    <w:rsid w:val="14D251DA"/>
    <w:rsid w:val="15213D8F"/>
    <w:rsid w:val="155913AC"/>
    <w:rsid w:val="15A97F22"/>
    <w:rsid w:val="15EB533C"/>
    <w:rsid w:val="1614567C"/>
    <w:rsid w:val="16271ECD"/>
    <w:rsid w:val="167719FE"/>
    <w:rsid w:val="16A76302"/>
    <w:rsid w:val="16AD7A72"/>
    <w:rsid w:val="16C521B5"/>
    <w:rsid w:val="16F3593D"/>
    <w:rsid w:val="173A3666"/>
    <w:rsid w:val="17405D8B"/>
    <w:rsid w:val="17482177"/>
    <w:rsid w:val="176120DD"/>
    <w:rsid w:val="17DF684D"/>
    <w:rsid w:val="17F31E94"/>
    <w:rsid w:val="181736F0"/>
    <w:rsid w:val="18301873"/>
    <w:rsid w:val="185D59F5"/>
    <w:rsid w:val="18652B97"/>
    <w:rsid w:val="18D24826"/>
    <w:rsid w:val="1930763A"/>
    <w:rsid w:val="193564B7"/>
    <w:rsid w:val="198F35F7"/>
    <w:rsid w:val="199667D2"/>
    <w:rsid w:val="19C63AD7"/>
    <w:rsid w:val="19DC2403"/>
    <w:rsid w:val="19E94399"/>
    <w:rsid w:val="19EC5D5F"/>
    <w:rsid w:val="19EF6331"/>
    <w:rsid w:val="1A2417DD"/>
    <w:rsid w:val="1AA40BC5"/>
    <w:rsid w:val="1AA52927"/>
    <w:rsid w:val="1AB14B7C"/>
    <w:rsid w:val="1AFC093E"/>
    <w:rsid w:val="1B63274F"/>
    <w:rsid w:val="1B751D18"/>
    <w:rsid w:val="1B837689"/>
    <w:rsid w:val="1BA35581"/>
    <w:rsid w:val="1BBC1B6B"/>
    <w:rsid w:val="1BE1312F"/>
    <w:rsid w:val="1BE54206"/>
    <w:rsid w:val="1BFD0B5F"/>
    <w:rsid w:val="1C1224F7"/>
    <w:rsid w:val="1C215860"/>
    <w:rsid w:val="1C3B088A"/>
    <w:rsid w:val="1CD120FF"/>
    <w:rsid w:val="1CDF6B41"/>
    <w:rsid w:val="1D2F3F5E"/>
    <w:rsid w:val="1D3121A1"/>
    <w:rsid w:val="1D52110B"/>
    <w:rsid w:val="1D5E5041"/>
    <w:rsid w:val="1D6920D8"/>
    <w:rsid w:val="1D6C2BD4"/>
    <w:rsid w:val="1DF127C5"/>
    <w:rsid w:val="1E962C3D"/>
    <w:rsid w:val="1E994839"/>
    <w:rsid w:val="1EA43D4B"/>
    <w:rsid w:val="1ECB6CF3"/>
    <w:rsid w:val="1ED63936"/>
    <w:rsid w:val="1EE82E44"/>
    <w:rsid w:val="1F095BCD"/>
    <w:rsid w:val="1F2F6D08"/>
    <w:rsid w:val="1F324176"/>
    <w:rsid w:val="1F3839D1"/>
    <w:rsid w:val="1FB35C2A"/>
    <w:rsid w:val="1FB7392F"/>
    <w:rsid w:val="1FD83FC9"/>
    <w:rsid w:val="200A7C06"/>
    <w:rsid w:val="20443B05"/>
    <w:rsid w:val="20540405"/>
    <w:rsid w:val="20AB7349"/>
    <w:rsid w:val="20B11C5C"/>
    <w:rsid w:val="20BE2EDB"/>
    <w:rsid w:val="20C935C0"/>
    <w:rsid w:val="20CF18B8"/>
    <w:rsid w:val="20D1464E"/>
    <w:rsid w:val="20DC1B4D"/>
    <w:rsid w:val="20E75FEA"/>
    <w:rsid w:val="21386BBD"/>
    <w:rsid w:val="219A49A8"/>
    <w:rsid w:val="21BE7C5E"/>
    <w:rsid w:val="21C77D00"/>
    <w:rsid w:val="21CA74E9"/>
    <w:rsid w:val="21DE261D"/>
    <w:rsid w:val="21EC2BAB"/>
    <w:rsid w:val="21F22C88"/>
    <w:rsid w:val="220D46BA"/>
    <w:rsid w:val="22A60EB5"/>
    <w:rsid w:val="22D23494"/>
    <w:rsid w:val="22D81D21"/>
    <w:rsid w:val="230F0A4B"/>
    <w:rsid w:val="23165F69"/>
    <w:rsid w:val="238263F4"/>
    <w:rsid w:val="23AF4937"/>
    <w:rsid w:val="24011960"/>
    <w:rsid w:val="24054A11"/>
    <w:rsid w:val="241137D9"/>
    <w:rsid w:val="245A05CA"/>
    <w:rsid w:val="24895FF2"/>
    <w:rsid w:val="24B66F7B"/>
    <w:rsid w:val="24B95CB1"/>
    <w:rsid w:val="24DD623D"/>
    <w:rsid w:val="25101C98"/>
    <w:rsid w:val="2549427F"/>
    <w:rsid w:val="25974A42"/>
    <w:rsid w:val="25B04653"/>
    <w:rsid w:val="25E02DB5"/>
    <w:rsid w:val="25E037D0"/>
    <w:rsid w:val="2614749F"/>
    <w:rsid w:val="268C368D"/>
    <w:rsid w:val="26B92AA7"/>
    <w:rsid w:val="27251824"/>
    <w:rsid w:val="273F2C97"/>
    <w:rsid w:val="2750534C"/>
    <w:rsid w:val="276D2FA1"/>
    <w:rsid w:val="279F2C36"/>
    <w:rsid w:val="28453812"/>
    <w:rsid w:val="28A65873"/>
    <w:rsid w:val="28A91911"/>
    <w:rsid w:val="28B21B6F"/>
    <w:rsid w:val="28EC1885"/>
    <w:rsid w:val="291F27EC"/>
    <w:rsid w:val="29212C84"/>
    <w:rsid w:val="2933177B"/>
    <w:rsid w:val="2974095E"/>
    <w:rsid w:val="29927401"/>
    <w:rsid w:val="299608E4"/>
    <w:rsid w:val="299B6946"/>
    <w:rsid w:val="29C04EC5"/>
    <w:rsid w:val="29DE1E4D"/>
    <w:rsid w:val="2A07196E"/>
    <w:rsid w:val="2A0A7696"/>
    <w:rsid w:val="2A0D0F0C"/>
    <w:rsid w:val="2A176C00"/>
    <w:rsid w:val="2A4779EC"/>
    <w:rsid w:val="2A6B1D80"/>
    <w:rsid w:val="2ADB6EB7"/>
    <w:rsid w:val="2AFB54C5"/>
    <w:rsid w:val="2B055F8A"/>
    <w:rsid w:val="2B0C03A4"/>
    <w:rsid w:val="2B0D6BF8"/>
    <w:rsid w:val="2B0F22C9"/>
    <w:rsid w:val="2B200651"/>
    <w:rsid w:val="2B3841A3"/>
    <w:rsid w:val="2B6632F9"/>
    <w:rsid w:val="2B6F658C"/>
    <w:rsid w:val="2BA33DC6"/>
    <w:rsid w:val="2BF16B92"/>
    <w:rsid w:val="2D511017"/>
    <w:rsid w:val="2DA67B66"/>
    <w:rsid w:val="2DFD7CDE"/>
    <w:rsid w:val="2E463585"/>
    <w:rsid w:val="2E8818C4"/>
    <w:rsid w:val="2E922D73"/>
    <w:rsid w:val="2EBA1864"/>
    <w:rsid w:val="2ED50D09"/>
    <w:rsid w:val="2EF22E53"/>
    <w:rsid w:val="2F037C4A"/>
    <w:rsid w:val="2F0748E7"/>
    <w:rsid w:val="2F0A6734"/>
    <w:rsid w:val="2F3D79D9"/>
    <w:rsid w:val="2F4219B8"/>
    <w:rsid w:val="2F504592"/>
    <w:rsid w:val="2F9C54E2"/>
    <w:rsid w:val="2FC36919"/>
    <w:rsid w:val="2FC935F5"/>
    <w:rsid w:val="3014598E"/>
    <w:rsid w:val="3019494D"/>
    <w:rsid w:val="301B4DB2"/>
    <w:rsid w:val="302F5F5A"/>
    <w:rsid w:val="305C6B22"/>
    <w:rsid w:val="30B27717"/>
    <w:rsid w:val="30E74DA6"/>
    <w:rsid w:val="30EC34E0"/>
    <w:rsid w:val="31172A76"/>
    <w:rsid w:val="31841167"/>
    <w:rsid w:val="31962F66"/>
    <w:rsid w:val="32071A80"/>
    <w:rsid w:val="32484C4E"/>
    <w:rsid w:val="32605D06"/>
    <w:rsid w:val="32E90B44"/>
    <w:rsid w:val="33A43C30"/>
    <w:rsid w:val="33CE2C57"/>
    <w:rsid w:val="33DE6B77"/>
    <w:rsid w:val="33EC512B"/>
    <w:rsid w:val="341C101E"/>
    <w:rsid w:val="346F43F1"/>
    <w:rsid w:val="347D281C"/>
    <w:rsid w:val="35441A8C"/>
    <w:rsid w:val="355A3D41"/>
    <w:rsid w:val="35691819"/>
    <w:rsid w:val="35D573AE"/>
    <w:rsid w:val="364D7488"/>
    <w:rsid w:val="36741E16"/>
    <w:rsid w:val="36AA2620"/>
    <w:rsid w:val="36D654B6"/>
    <w:rsid w:val="36DD32BF"/>
    <w:rsid w:val="370C7272"/>
    <w:rsid w:val="371E4419"/>
    <w:rsid w:val="372F21F8"/>
    <w:rsid w:val="37355B09"/>
    <w:rsid w:val="37450A23"/>
    <w:rsid w:val="37482467"/>
    <w:rsid w:val="375A10AE"/>
    <w:rsid w:val="375F18CE"/>
    <w:rsid w:val="376D3A14"/>
    <w:rsid w:val="37705B7F"/>
    <w:rsid w:val="377543D4"/>
    <w:rsid w:val="379E050A"/>
    <w:rsid w:val="379F42F8"/>
    <w:rsid w:val="37A227C0"/>
    <w:rsid w:val="37A563A1"/>
    <w:rsid w:val="37FE1083"/>
    <w:rsid w:val="38112289"/>
    <w:rsid w:val="381439C0"/>
    <w:rsid w:val="382C54C9"/>
    <w:rsid w:val="384E7A64"/>
    <w:rsid w:val="389567FE"/>
    <w:rsid w:val="389B0595"/>
    <w:rsid w:val="38A47140"/>
    <w:rsid w:val="38F80946"/>
    <w:rsid w:val="39197560"/>
    <w:rsid w:val="39275FEC"/>
    <w:rsid w:val="3939253C"/>
    <w:rsid w:val="39875A90"/>
    <w:rsid w:val="39A53523"/>
    <w:rsid w:val="39A75360"/>
    <w:rsid w:val="39C661B5"/>
    <w:rsid w:val="3A3D44A3"/>
    <w:rsid w:val="3A6570A1"/>
    <w:rsid w:val="3A883352"/>
    <w:rsid w:val="3A98285C"/>
    <w:rsid w:val="3AA7541F"/>
    <w:rsid w:val="3AB16AFD"/>
    <w:rsid w:val="3ABD3CF2"/>
    <w:rsid w:val="3AD23706"/>
    <w:rsid w:val="3AD54D74"/>
    <w:rsid w:val="3ADF1772"/>
    <w:rsid w:val="3AE83617"/>
    <w:rsid w:val="3AFC44E4"/>
    <w:rsid w:val="3CBD32C6"/>
    <w:rsid w:val="3CE43D58"/>
    <w:rsid w:val="3D056DE5"/>
    <w:rsid w:val="3D0841B1"/>
    <w:rsid w:val="3D150381"/>
    <w:rsid w:val="3D242DC0"/>
    <w:rsid w:val="3D3357D0"/>
    <w:rsid w:val="3D3861CD"/>
    <w:rsid w:val="3D444D9B"/>
    <w:rsid w:val="3D603B0C"/>
    <w:rsid w:val="3D9A53D2"/>
    <w:rsid w:val="3DA82763"/>
    <w:rsid w:val="3E5B45DA"/>
    <w:rsid w:val="3EB24A80"/>
    <w:rsid w:val="3EF344A0"/>
    <w:rsid w:val="3F0C5499"/>
    <w:rsid w:val="3F266B61"/>
    <w:rsid w:val="3F271710"/>
    <w:rsid w:val="3F564F2E"/>
    <w:rsid w:val="3F5A618E"/>
    <w:rsid w:val="3F8C216C"/>
    <w:rsid w:val="403C0BE5"/>
    <w:rsid w:val="40442B0E"/>
    <w:rsid w:val="406538E2"/>
    <w:rsid w:val="40E6513A"/>
    <w:rsid w:val="41207F0A"/>
    <w:rsid w:val="41277CAD"/>
    <w:rsid w:val="417254CB"/>
    <w:rsid w:val="418A329E"/>
    <w:rsid w:val="41DE7B28"/>
    <w:rsid w:val="41EE7EB5"/>
    <w:rsid w:val="421C406A"/>
    <w:rsid w:val="421C69ED"/>
    <w:rsid w:val="423D3A47"/>
    <w:rsid w:val="423F7E57"/>
    <w:rsid w:val="426D7194"/>
    <w:rsid w:val="428B61F9"/>
    <w:rsid w:val="433112AC"/>
    <w:rsid w:val="434E0C0A"/>
    <w:rsid w:val="438D6152"/>
    <w:rsid w:val="439A480E"/>
    <w:rsid w:val="43C54EEF"/>
    <w:rsid w:val="43E02C27"/>
    <w:rsid w:val="44160986"/>
    <w:rsid w:val="443B1E1A"/>
    <w:rsid w:val="44535F71"/>
    <w:rsid w:val="44A17A7E"/>
    <w:rsid w:val="44EE06E7"/>
    <w:rsid w:val="453C2484"/>
    <w:rsid w:val="453D6989"/>
    <w:rsid w:val="456E21D5"/>
    <w:rsid w:val="45BA70B1"/>
    <w:rsid w:val="45EA2CE8"/>
    <w:rsid w:val="45F74EDF"/>
    <w:rsid w:val="4600059B"/>
    <w:rsid w:val="46160E93"/>
    <w:rsid w:val="462D006C"/>
    <w:rsid w:val="46AB5174"/>
    <w:rsid w:val="46B700F8"/>
    <w:rsid w:val="46BB44BC"/>
    <w:rsid w:val="473A4BD7"/>
    <w:rsid w:val="47510996"/>
    <w:rsid w:val="47530C2B"/>
    <w:rsid w:val="47570AD2"/>
    <w:rsid w:val="47580314"/>
    <w:rsid w:val="47B34831"/>
    <w:rsid w:val="47EB41FA"/>
    <w:rsid w:val="4804144A"/>
    <w:rsid w:val="48070487"/>
    <w:rsid w:val="48695334"/>
    <w:rsid w:val="486A7361"/>
    <w:rsid w:val="48C05E0B"/>
    <w:rsid w:val="48C93CA5"/>
    <w:rsid w:val="490671E3"/>
    <w:rsid w:val="490E1280"/>
    <w:rsid w:val="4922407A"/>
    <w:rsid w:val="497A63F6"/>
    <w:rsid w:val="497B7D9F"/>
    <w:rsid w:val="498E6CD6"/>
    <w:rsid w:val="49BD25AC"/>
    <w:rsid w:val="49C93F25"/>
    <w:rsid w:val="49D14B65"/>
    <w:rsid w:val="4A803067"/>
    <w:rsid w:val="4AB51E6F"/>
    <w:rsid w:val="4AB74840"/>
    <w:rsid w:val="4AD728D0"/>
    <w:rsid w:val="4ADF597A"/>
    <w:rsid w:val="4AE30D8B"/>
    <w:rsid w:val="4AEB297B"/>
    <w:rsid w:val="4AEB4AC1"/>
    <w:rsid w:val="4B2D7D43"/>
    <w:rsid w:val="4B91508D"/>
    <w:rsid w:val="4B937275"/>
    <w:rsid w:val="4B9D3B22"/>
    <w:rsid w:val="4BB90631"/>
    <w:rsid w:val="4C450FB8"/>
    <w:rsid w:val="4C520F4A"/>
    <w:rsid w:val="4C60677B"/>
    <w:rsid w:val="4C747E14"/>
    <w:rsid w:val="4CA84AAD"/>
    <w:rsid w:val="4CAC0E3F"/>
    <w:rsid w:val="4CFF68C5"/>
    <w:rsid w:val="4D2B53D3"/>
    <w:rsid w:val="4D807BBE"/>
    <w:rsid w:val="4E01515D"/>
    <w:rsid w:val="4E405991"/>
    <w:rsid w:val="4E644A95"/>
    <w:rsid w:val="4E656BC0"/>
    <w:rsid w:val="4E65774D"/>
    <w:rsid w:val="4E921758"/>
    <w:rsid w:val="4F0023CD"/>
    <w:rsid w:val="4F056DE1"/>
    <w:rsid w:val="4F15353E"/>
    <w:rsid w:val="4F1557AF"/>
    <w:rsid w:val="4F19757E"/>
    <w:rsid w:val="4F223D03"/>
    <w:rsid w:val="4F460B4A"/>
    <w:rsid w:val="4F6701AB"/>
    <w:rsid w:val="4FCB101C"/>
    <w:rsid w:val="4FD240C7"/>
    <w:rsid w:val="4FE6405E"/>
    <w:rsid w:val="50602A1B"/>
    <w:rsid w:val="50612797"/>
    <w:rsid w:val="50B9323C"/>
    <w:rsid w:val="50BB53A5"/>
    <w:rsid w:val="50DC73F1"/>
    <w:rsid w:val="50FB1272"/>
    <w:rsid w:val="51174AAA"/>
    <w:rsid w:val="51A61CC7"/>
    <w:rsid w:val="51B85C4E"/>
    <w:rsid w:val="51C54E50"/>
    <w:rsid w:val="51DE290C"/>
    <w:rsid w:val="51E311A7"/>
    <w:rsid w:val="521356D1"/>
    <w:rsid w:val="529D10AF"/>
    <w:rsid w:val="53133E2E"/>
    <w:rsid w:val="53494392"/>
    <w:rsid w:val="535809C3"/>
    <w:rsid w:val="53702E52"/>
    <w:rsid w:val="53E76275"/>
    <w:rsid w:val="547B4505"/>
    <w:rsid w:val="548E6390"/>
    <w:rsid w:val="549C3F8C"/>
    <w:rsid w:val="549E4993"/>
    <w:rsid w:val="54C51393"/>
    <w:rsid w:val="54D9333A"/>
    <w:rsid w:val="54ED6EEB"/>
    <w:rsid w:val="55652391"/>
    <w:rsid w:val="55966BD2"/>
    <w:rsid w:val="55F660ED"/>
    <w:rsid w:val="56B23CA6"/>
    <w:rsid w:val="570755A7"/>
    <w:rsid w:val="573072C4"/>
    <w:rsid w:val="57471187"/>
    <w:rsid w:val="576F023D"/>
    <w:rsid w:val="577B6EE4"/>
    <w:rsid w:val="57AC5A21"/>
    <w:rsid w:val="57D2146B"/>
    <w:rsid w:val="57EF1F3E"/>
    <w:rsid w:val="581C0CA5"/>
    <w:rsid w:val="5828202C"/>
    <w:rsid w:val="584E2F27"/>
    <w:rsid w:val="5886355F"/>
    <w:rsid w:val="58891F15"/>
    <w:rsid w:val="58A35601"/>
    <w:rsid w:val="58BA7B88"/>
    <w:rsid w:val="591C62AA"/>
    <w:rsid w:val="593C1AF7"/>
    <w:rsid w:val="59DD23FD"/>
    <w:rsid w:val="59E24A9F"/>
    <w:rsid w:val="5A737CDB"/>
    <w:rsid w:val="5AC413D2"/>
    <w:rsid w:val="5B1B1541"/>
    <w:rsid w:val="5B256394"/>
    <w:rsid w:val="5B761405"/>
    <w:rsid w:val="5BF8521E"/>
    <w:rsid w:val="5C0A7D4F"/>
    <w:rsid w:val="5C1B1303"/>
    <w:rsid w:val="5C241BA9"/>
    <w:rsid w:val="5C2453F7"/>
    <w:rsid w:val="5C4D09E5"/>
    <w:rsid w:val="5D0852CE"/>
    <w:rsid w:val="5D2928D3"/>
    <w:rsid w:val="5D2F26AA"/>
    <w:rsid w:val="5D502207"/>
    <w:rsid w:val="5DBD180F"/>
    <w:rsid w:val="5E0369A2"/>
    <w:rsid w:val="5E1B5DED"/>
    <w:rsid w:val="5E1C522E"/>
    <w:rsid w:val="5E2753B6"/>
    <w:rsid w:val="5E3B5015"/>
    <w:rsid w:val="5ECD71E6"/>
    <w:rsid w:val="5ECF201B"/>
    <w:rsid w:val="5EDA7CAB"/>
    <w:rsid w:val="5EE501EE"/>
    <w:rsid w:val="5F332FFE"/>
    <w:rsid w:val="5F4315E3"/>
    <w:rsid w:val="5F8E08CE"/>
    <w:rsid w:val="5FDE769B"/>
    <w:rsid w:val="5FFB11ED"/>
    <w:rsid w:val="60380678"/>
    <w:rsid w:val="605D60B2"/>
    <w:rsid w:val="60604FB9"/>
    <w:rsid w:val="60776778"/>
    <w:rsid w:val="609540A8"/>
    <w:rsid w:val="60B33EB4"/>
    <w:rsid w:val="611A335C"/>
    <w:rsid w:val="61216701"/>
    <w:rsid w:val="612B1527"/>
    <w:rsid w:val="620E3083"/>
    <w:rsid w:val="626B5F89"/>
    <w:rsid w:val="627B32D8"/>
    <w:rsid w:val="62971E0C"/>
    <w:rsid w:val="62B90CFD"/>
    <w:rsid w:val="62FA73C6"/>
    <w:rsid w:val="62FF6042"/>
    <w:rsid w:val="631F3899"/>
    <w:rsid w:val="63226337"/>
    <w:rsid w:val="632D650D"/>
    <w:rsid w:val="63863E37"/>
    <w:rsid w:val="63DC4A37"/>
    <w:rsid w:val="642F2C04"/>
    <w:rsid w:val="643709EB"/>
    <w:rsid w:val="64943515"/>
    <w:rsid w:val="64A52CDA"/>
    <w:rsid w:val="64C753D2"/>
    <w:rsid w:val="64E82635"/>
    <w:rsid w:val="64F168C1"/>
    <w:rsid w:val="64F459D0"/>
    <w:rsid w:val="651F0BCC"/>
    <w:rsid w:val="6553668F"/>
    <w:rsid w:val="65555035"/>
    <w:rsid w:val="65647826"/>
    <w:rsid w:val="6582338C"/>
    <w:rsid w:val="65861857"/>
    <w:rsid w:val="65B22786"/>
    <w:rsid w:val="65B31B33"/>
    <w:rsid w:val="65E531E0"/>
    <w:rsid w:val="65F6754E"/>
    <w:rsid w:val="660E40F1"/>
    <w:rsid w:val="661735C0"/>
    <w:rsid w:val="66692167"/>
    <w:rsid w:val="66872C44"/>
    <w:rsid w:val="66A4324F"/>
    <w:rsid w:val="66BE0674"/>
    <w:rsid w:val="66DD6DB6"/>
    <w:rsid w:val="677D58AE"/>
    <w:rsid w:val="67EE62F1"/>
    <w:rsid w:val="67FE0ABC"/>
    <w:rsid w:val="68272B8D"/>
    <w:rsid w:val="682B4CB5"/>
    <w:rsid w:val="684A0973"/>
    <w:rsid w:val="68835850"/>
    <w:rsid w:val="68A36922"/>
    <w:rsid w:val="68C1245B"/>
    <w:rsid w:val="68CF44E4"/>
    <w:rsid w:val="68D474B9"/>
    <w:rsid w:val="69163EE2"/>
    <w:rsid w:val="69520021"/>
    <w:rsid w:val="696E18C3"/>
    <w:rsid w:val="69755585"/>
    <w:rsid w:val="69774602"/>
    <w:rsid w:val="699A4315"/>
    <w:rsid w:val="699A7243"/>
    <w:rsid w:val="69B50573"/>
    <w:rsid w:val="69BE7D9A"/>
    <w:rsid w:val="69F73DCF"/>
    <w:rsid w:val="6A0341CD"/>
    <w:rsid w:val="6A2D2B79"/>
    <w:rsid w:val="6A3376F7"/>
    <w:rsid w:val="6A4533FD"/>
    <w:rsid w:val="6A477F04"/>
    <w:rsid w:val="6A496835"/>
    <w:rsid w:val="6A8E7740"/>
    <w:rsid w:val="6ABE3EE8"/>
    <w:rsid w:val="6AD5648B"/>
    <w:rsid w:val="6AE90C42"/>
    <w:rsid w:val="6B122298"/>
    <w:rsid w:val="6B44347E"/>
    <w:rsid w:val="6B4B7148"/>
    <w:rsid w:val="6B7409C3"/>
    <w:rsid w:val="6C026F3C"/>
    <w:rsid w:val="6C1769F6"/>
    <w:rsid w:val="6C19025F"/>
    <w:rsid w:val="6C2C4F32"/>
    <w:rsid w:val="6C396029"/>
    <w:rsid w:val="6C3B64A7"/>
    <w:rsid w:val="6CD83A9C"/>
    <w:rsid w:val="6D220952"/>
    <w:rsid w:val="6D256766"/>
    <w:rsid w:val="6D7F405A"/>
    <w:rsid w:val="6DB9174A"/>
    <w:rsid w:val="6DC54E3E"/>
    <w:rsid w:val="6E142D3E"/>
    <w:rsid w:val="6E1F0E23"/>
    <w:rsid w:val="6E8A1B32"/>
    <w:rsid w:val="6FA6229E"/>
    <w:rsid w:val="6FF900E7"/>
    <w:rsid w:val="70294286"/>
    <w:rsid w:val="708C7ADE"/>
    <w:rsid w:val="70AA5652"/>
    <w:rsid w:val="70C96F94"/>
    <w:rsid w:val="70D05D03"/>
    <w:rsid w:val="70F93881"/>
    <w:rsid w:val="711575EE"/>
    <w:rsid w:val="715349F8"/>
    <w:rsid w:val="716E3F56"/>
    <w:rsid w:val="71945E92"/>
    <w:rsid w:val="71BF1449"/>
    <w:rsid w:val="71DF3747"/>
    <w:rsid w:val="721A1FF2"/>
    <w:rsid w:val="72356C20"/>
    <w:rsid w:val="723E4008"/>
    <w:rsid w:val="725929D4"/>
    <w:rsid w:val="72A4317D"/>
    <w:rsid w:val="72AC1216"/>
    <w:rsid w:val="72B00049"/>
    <w:rsid w:val="72B70F99"/>
    <w:rsid w:val="73192710"/>
    <w:rsid w:val="732D44FD"/>
    <w:rsid w:val="73481B3F"/>
    <w:rsid w:val="73981574"/>
    <w:rsid w:val="73A03AE9"/>
    <w:rsid w:val="73B92936"/>
    <w:rsid w:val="73FB49FD"/>
    <w:rsid w:val="74376D48"/>
    <w:rsid w:val="74446098"/>
    <w:rsid w:val="746B414F"/>
    <w:rsid w:val="7472539D"/>
    <w:rsid w:val="749036DA"/>
    <w:rsid w:val="74A13F3D"/>
    <w:rsid w:val="74AC2F01"/>
    <w:rsid w:val="74DC45A8"/>
    <w:rsid w:val="750227FB"/>
    <w:rsid w:val="75614DD3"/>
    <w:rsid w:val="75693A34"/>
    <w:rsid w:val="759C3169"/>
    <w:rsid w:val="75B770CD"/>
    <w:rsid w:val="75CD34AB"/>
    <w:rsid w:val="75CF7ADF"/>
    <w:rsid w:val="764B4F25"/>
    <w:rsid w:val="76686C67"/>
    <w:rsid w:val="766C48DD"/>
    <w:rsid w:val="76CE603E"/>
    <w:rsid w:val="76E3353E"/>
    <w:rsid w:val="77162A8D"/>
    <w:rsid w:val="774025C7"/>
    <w:rsid w:val="77886B8F"/>
    <w:rsid w:val="77894212"/>
    <w:rsid w:val="77C124D2"/>
    <w:rsid w:val="7800271B"/>
    <w:rsid w:val="782E08A0"/>
    <w:rsid w:val="78440AB3"/>
    <w:rsid w:val="785B79C8"/>
    <w:rsid w:val="78751BD5"/>
    <w:rsid w:val="787A7054"/>
    <w:rsid w:val="78A73067"/>
    <w:rsid w:val="78A9768A"/>
    <w:rsid w:val="78CA0ADB"/>
    <w:rsid w:val="78D85865"/>
    <w:rsid w:val="792C66E3"/>
    <w:rsid w:val="7953413B"/>
    <w:rsid w:val="797A1C6B"/>
    <w:rsid w:val="79947274"/>
    <w:rsid w:val="79FE73E8"/>
    <w:rsid w:val="7A237A12"/>
    <w:rsid w:val="7A6054E2"/>
    <w:rsid w:val="7A8B7D4E"/>
    <w:rsid w:val="7A98230D"/>
    <w:rsid w:val="7B60499C"/>
    <w:rsid w:val="7B6276D7"/>
    <w:rsid w:val="7BCD0EC9"/>
    <w:rsid w:val="7C0C430A"/>
    <w:rsid w:val="7C1F36CE"/>
    <w:rsid w:val="7C361D53"/>
    <w:rsid w:val="7C515A2B"/>
    <w:rsid w:val="7CBF1AA2"/>
    <w:rsid w:val="7CF92CB6"/>
    <w:rsid w:val="7D841C93"/>
    <w:rsid w:val="7DA92046"/>
    <w:rsid w:val="7DDF015B"/>
    <w:rsid w:val="7DEE0A06"/>
    <w:rsid w:val="7E745C2A"/>
    <w:rsid w:val="7EA95F25"/>
    <w:rsid w:val="7EBF6D37"/>
    <w:rsid w:val="7ED31DC1"/>
    <w:rsid w:val="7EF47C86"/>
    <w:rsid w:val="7EFF3753"/>
    <w:rsid w:val="7F3B5B00"/>
    <w:rsid w:val="7F3C785D"/>
    <w:rsid w:val="7F510FB4"/>
    <w:rsid w:val="7FCB0BE9"/>
    <w:rsid w:val="7FE147D1"/>
    <w:rsid w:val="7FEB6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4"/>
    <w:qFormat/>
    <w:uiPriority w:val="99"/>
    <w:pPr>
      <w:keepNext/>
      <w:keepLines/>
      <w:numPr>
        <w:ilvl w:val="0"/>
        <w:numId w:val="1"/>
      </w:numPr>
      <w:adjustRightInd w:val="0"/>
      <w:spacing w:before="340" w:after="330" w:line="578" w:lineRule="atLeast"/>
      <w:textAlignment w:val="baseline"/>
      <w:outlineLvl w:val="0"/>
    </w:pPr>
    <w:rPr>
      <w:b/>
      <w:bCs/>
      <w:kern w:val="44"/>
      <w:sz w:val="44"/>
      <w:szCs w:val="44"/>
    </w:rPr>
  </w:style>
  <w:style w:type="paragraph" w:styleId="4">
    <w:name w:val="heading 2"/>
    <w:basedOn w:val="1"/>
    <w:next w:val="1"/>
    <w:link w:val="65"/>
    <w:qFormat/>
    <w:uiPriority w:val="99"/>
    <w:pPr>
      <w:keepNext/>
      <w:keepLines/>
      <w:adjustRightInd w:val="0"/>
      <w:spacing w:before="260" w:after="260" w:line="416" w:lineRule="atLeast"/>
      <w:textAlignment w:val="baseline"/>
      <w:outlineLvl w:val="1"/>
    </w:pPr>
    <w:rPr>
      <w:rFonts w:ascii="Arial" w:hAnsi="Arial" w:eastAsia="黑体"/>
      <w:b/>
      <w:bCs/>
      <w:kern w:val="0"/>
      <w:sz w:val="32"/>
      <w:szCs w:val="32"/>
    </w:rPr>
  </w:style>
  <w:style w:type="paragraph" w:styleId="5">
    <w:name w:val="heading 3"/>
    <w:basedOn w:val="1"/>
    <w:next w:val="1"/>
    <w:link w:val="66"/>
    <w:qFormat/>
    <w:uiPriority w:val="99"/>
    <w:pPr>
      <w:keepNext/>
      <w:keepLines/>
      <w:adjustRightInd w:val="0"/>
      <w:spacing w:before="260" w:after="260" w:line="416" w:lineRule="atLeast"/>
      <w:textAlignment w:val="baseline"/>
      <w:outlineLvl w:val="2"/>
    </w:pPr>
    <w:rPr>
      <w:b/>
      <w:bCs/>
      <w:kern w:val="0"/>
      <w:sz w:val="32"/>
      <w:szCs w:val="32"/>
    </w:rPr>
  </w:style>
  <w:style w:type="paragraph" w:styleId="6">
    <w:name w:val="heading 4"/>
    <w:basedOn w:val="1"/>
    <w:next w:val="1"/>
    <w:link w:val="67"/>
    <w:qFormat/>
    <w:uiPriority w:val="99"/>
    <w:pPr>
      <w:keepNext/>
      <w:keepLines/>
      <w:adjustRightInd w:val="0"/>
      <w:spacing w:before="280" w:after="290" w:line="376" w:lineRule="atLeast"/>
      <w:textAlignment w:val="baseline"/>
      <w:outlineLvl w:val="3"/>
    </w:pPr>
    <w:rPr>
      <w:rFonts w:ascii="Arial" w:hAnsi="Arial" w:eastAsia="黑体"/>
      <w:b/>
      <w:bCs/>
      <w:sz w:val="28"/>
      <w:szCs w:val="28"/>
    </w:rPr>
  </w:style>
  <w:style w:type="paragraph" w:styleId="7">
    <w:name w:val="heading 5"/>
    <w:basedOn w:val="1"/>
    <w:next w:val="1"/>
    <w:link w:val="68"/>
    <w:qFormat/>
    <w:uiPriority w:val="99"/>
    <w:pPr>
      <w:keepNext/>
      <w:keepLines/>
      <w:adjustRightInd w:val="0"/>
      <w:spacing w:before="280" w:after="290" w:line="376" w:lineRule="atLeast"/>
      <w:textAlignment w:val="baseline"/>
      <w:outlineLvl w:val="4"/>
    </w:pPr>
    <w:rPr>
      <w:b/>
      <w:bCs/>
      <w:kern w:val="0"/>
      <w:sz w:val="28"/>
      <w:szCs w:val="28"/>
    </w:rPr>
  </w:style>
  <w:style w:type="paragraph" w:styleId="8">
    <w:name w:val="heading 6"/>
    <w:basedOn w:val="1"/>
    <w:next w:val="1"/>
    <w:link w:val="69"/>
    <w:qFormat/>
    <w:uiPriority w:val="99"/>
    <w:pPr>
      <w:keepNext/>
      <w:keepLines/>
      <w:adjustRightInd w:val="0"/>
      <w:spacing w:before="240" w:after="64" w:line="320" w:lineRule="atLeast"/>
      <w:textAlignment w:val="baseline"/>
      <w:outlineLvl w:val="5"/>
    </w:pPr>
    <w:rPr>
      <w:rFonts w:ascii="Cambria" w:hAnsi="Cambria"/>
      <w:b/>
      <w:bCs/>
      <w:kern w:val="0"/>
      <w:sz w:val="24"/>
      <w:szCs w:val="24"/>
    </w:rPr>
  </w:style>
  <w:style w:type="paragraph" w:styleId="9">
    <w:name w:val="heading 7"/>
    <w:basedOn w:val="1"/>
    <w:next w:val="1"/>
    <w:link w:val="70"/>
    <w:qFormat/>
    <w:uiPriority w:val="99"/>
    <w:pPr>
      <w:keepNext/>
      <w:keepLines/>
      <w:adjustRightInd w:val="0"/>
      <w:spacing w:before="240" w:after="64" w:line="320" w:lineRule="atLeast"/>
      <w:textAlignment w:val="baseline"/>
      <w:outlineLvl w:val="6"/>
    </w:pPr>
    <w:rPr>
      <w:b/>
      <w:bCs/>
      <w:kern w:val="0"/>
      <w:sz w:val="24"/>
      <w:szCs w:val="24"/>
    </w:rPr>
  </w:style>
  <w:style w:type="paragraph" w:styleId="10">
    <w:name w:val="heading 8"/>
    <w:basedOn w:val="1"/>
    <w:next w:val="1"/>
    <w:link w:val="71"/>
    <w:qFormat/>
    <w:uiPriority w:val="99"/>
    <w:pPr>
      <w:keepNext/>
      <w:keepLines/>
      <w:adjustRightInd w:val="0"/>
      <w:spacing w:before="240" w:after="64" w:line="320" w:lineRule="atLeast"/>
      <w:textAlignment w:val="baseline"/>
      <w:outlineLvl w:val="7"/>
    </w:pPr>
    <w:rPr>
      <w:rFonts w:ascii="Cambria" w:hAnsi="Cambria"/>
      <w:kern w:val="0"/>
      <w:sz w:val="24"/>
      <w:szCs w:val="24"/>
    </w:rPr>
  </w:style>
  <w:style w:type="paragraph" w:styleId="11">
    <w:name w:val="heading 9"/>
    <w:basedOn w:val="1"/>
    <w:next w:val="1"/>
    <w:link w:val="72"/>
    <w:qFormat/>
    <w:uiPriority w:val="99"/>
    <w:pPr>
      <w:keepNext/>
      <w:keepLines/>
      <w:adjustRightInd w:val="0"/>
      <w:spacing w:before="240" w:after="64" w:line="320" w:lineRule="atLeast"/>
      <w:textAlignment w:val="baseline"/>
      <w:outlineLvl w:val="8"/>
    </w:pPr>
    <w:rPr>
      <w:rFonts w:ascii="Cambria" w:hAnsi="Cambria"/>
      <w:kern w:val="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6"/>
    <w:qFormat/>
    <w:uiPriority w:val="99"/>
    <w:rPr>
      <w:kern w:val="0"/>
    </w:rPr>
  </w:style>
  <w:style w:type="paragraph" w:styleId="12">
    <w:name w:val="List 3"/>
    <w:basedOn w:val="1"/>
    <w:qFormat/>
    <w:uiPriority w:val="99"/>
    <w:pPr>
      <w:ind w:left="100" w:leftChars="400" w:hanging="200" w:hangingChars="200"/>
    </w:pPr>
  </w:style>
  <w:style w:type="paragraph" w:styleId="13">
    <w:name w:val="toc 7"/>
    <w:basedOn w:val="1"/>
    <w:next w:val="1"/>
    <w:semiHidden/>
    <w:qFormat/>
    <w:uiPriority w:val="99"/>
    <w:pPr>
      <w:ind w:left="1260"/>
      <w:jc w:val="left"/>
    </w:pPr>
    <w:rPr>
      <w:sz w:val="18"/>
      <w:szCs w:val="18"/>
    </w:rPr>
  </w:style>
  <w:style w:type="paragraph" w:styleId="14">
    <w:name w:val="Normal Indent"/>
    <w:basedOn w:val="1"/>
    <w:link w:val="73"/>
    <w:qFormat/>
    <w:uiPriority w:val="99"/>
    <w:pPr>
      <w:ind w:firstLine="420"/>
    </w:pPr>
  </w:style>
  <w:style w:type="paragraph" w:styleId="15">
    <w:name w:val="Document Map"/>
    <w:basedOn w:val="1"/>
    <w:link w:val="74"/>
    <w:semiHidden/>
    <w:qFormat/>
    <w:uiPriority w:val="99"/>
    <w:pPr>
      <w:shd w:val="clear" w:color="auto" w:fill="000080"/>
    </w:pPr>
    <w:rPr>
      <w:kern w:val="0"/>
      <w:sz w:val="2"/>
      <w:szCs w:val="2"/>
    </w:rPr>
  </w:style>
  <w:style w:type="paragraph" w:styleId="16">
    <w:name w:val="annotation text"/>
    <w:basedOn w:val="1"/>
    <w:link w:val="75"/>
    <w:semiHidden/>
    <w:qFormat/>
    <w:uiPriority w:val="99"/>
    <w:pPr>
      <w:jc w:val="left"/>
    </w:pPr>
  </w:style>
  <w:style w:type="paragraph" w:styleId="17">
    <w:name w:val="Body Text Indent"/>
    <w:basedOn w:val="1"/>
    <w:next w:val="18"/>
    <w:link w:val="61"/>
    <w:qFormat/>
    <w:uiPriority w:val="99"/>
    <w:pPr>
      <w:spacing w:after="156"/>
      <w:ind w:firstLine="480"/>
    </w:pPr>
    <w:rPr>
      <w:sz w:val="24"/>
      <w:szCs w:val="24"/>
    </w:rPr>
  </w:style>
  <w:style w:type="paragraph" w:styleId="18">
    <w:name w:val="envelope return"/>
    <w:basedOn w:val="1"/>
    <w:qFormat/>
    <w:locked/>
    <w:uiPriority w:val="99"/>
    <w:pPr>
      <w:snapToGrid w:val="0"/>
    </w:pPr>
    <w:rPr>
      <w:rFonts w:ascii="Arial" w:hAnsi="Arial" w:cs="Arial"/>
    </w:rPr>
  </w:style>
  <w:style w:type="paragraph" w:styleId="19">
    <w:name w:val="List 2"/>
    <w:basedOn w:val="1"/>
    <w:qFormat/>
    <w:uiPriority w:val="99"/>
    <w:pPr>
      <w:ind w:left="100" w:leftChars="200" w:hanging="200" w:hangingChars="200"/>
    </w:pPr>
  </w:style>
  <w:style w:type="paragraph" w:styleId="20">
    <w:name w:val="List Continue"/>
    <w:basedOn w:val="1"/>
    <w:qFormat/>
    <w:uiPriority w:val="99"/>
    <w:pPr>
      <w:spacing w:after="120"/>
      <w:ind w:left="420" w:leftChars="200"/>
    </w:pPr>
  </w:style>
  <w:style w:type="paragraph" w:styleId="21">
    <w:name w:val="Block Text"/>
    <w:basedOn w:val="1"/>
    <w:qFormat/>
    <w:uiPriority w:val="99"/>
    <w:pPr>
      <w:autoSpaceDE w:val="0"/>
      <w:autoSpaceDN w:val="0"/>
      <w:adjustRightInd w:val="0"/>
      <w:spacing w:line="300" w:lineRule="auto"/>
      <w:ind w:left="29" w:leftChars="12" w:right="6" w:firstLine="560" w:firstLineChars="200"/>
    </w:pPr>
    <w:rPr>
      <w:kern w:val="0"/>
      <w:sz w:val="28"/>
      <w:szCs w:val="28"/>
    </w:rPr>
  </w:style>
  <w:style w:type="paragraph" w:styleId="22">
    <w:name w:val="toc 5"/>
    <w:basedOn w:val="1"/>
    <w:next w:val="1"/>
    <w:semiHidden/>
    <w:qFormat/>
    <w:uiPriority w:val="99"/>
    <w:pPr>
      <w:ind w:left="840"/>
      <w:jc w:val="left"/>
    </w:pPr>
    <w:rPr>
      <w:sz w:val="18"/>
      <w:szCs w:val="18"/>
    </w:rPr>
  </w:style>
  <w:style w:type="paragraph" w:styleId="23">
    <w:name w:val="toc 3"/>
    <w:basedOn w:val="1"/>
    <w:next w:val="1"/>
    <w:semiHidden/>
    <w:qFormat/>
    <w:uiPriority w:val="99"/>
    <w:pPr>
      <w:ind w:left="420"/>
      <w:jc w:val="left"/>
    </w:pPr>
    <w:rPr>
      <w:i/>
      <w:iCs/>
      <w:sz w:val="20"/>
      <w:szCs w:val="20"/>
    </w:rPr>
  </w:style>
  <w:style w:type="paragraph" w:styleId="24">
    <w:name w:val="Plain Text"/>
    <w:basedOn w:val="1"/>
    <w:link w:val="77"/>
    <w:qFormat/>
    <w:uiPriority w:val="99"/>
    <w:rPr>
      <w:rFonts w:ascii="宋体" w:hAnsi="Courier New"/>
      <w:kern w:val="0"/>
    </w:rPr>
  </w:style>
  <w:style w:type="paragraph" w:styleId="25">
    <w:name w:val="toc 8"/>
    <w:basedOn w:val="1"/>
    <w:next w:val="1"/>
    <w:semiHidden/>
    <w:qFormat/>
    <w:uiPriority w:val="99"/>
    <w:pPr>
      <w:ind w:left="1470"/>
      <w:jc w:val="left"/>
    </w:pPr>
    <w:rPr>
      <w:sz w:val="18"/>
      <w:szCs w:val="18"/>
    </w:rPr>
  </w:style>
  <w:style w:type="paragraph" w:styleId="26">
    <w:name w:val="Date"/>
    <w:basedOn w:val="1"/>
    <w:next w:val="1"/>
    <w:link w:val="78"/>
    <w:qFormat/>
    <w:uiPriority w:val="99"/>
    <w:pPr>
      <w:widowControl/>
      <w:ind w:left="100"/>
      <w:jc w:val="left"/>
    </w:pPr>
    <w:rPr>
      <w:kern w:val="0"/>
    </w:rPr>
  </w:style>
  <w:style w:type="paragraph" w:styleId="27">
    <w:name w:val="Body Text Indent 2"/>
    <w:basedOn w:val="1"/>
    <w:link w:val="79"/>
    <w:qFormat/>
    <w:uiPriority w:val="99"/>
    <w:pPr>
      <w:ind w:left="1436" w:leftChars="684"/>
    </w:pPr>
    <w:rPr>
      <w:kern w:val="0"/>
    </w:rPr>
  </w:style>
  <w:style w:type="paragraph" w:styleId="28">
    <w:name w:val="List Continue 5"/>
    <w:basedOn w:val="1"/>
    <w:qFormat/>
    <w:uiPriority w:val="99"/>
    <w:pPr>
      <w:spacing w:after="120"/>
      <w:ind w:left="2100" w:leftChars="1000"/>
    </w:pPr>
  </w:style>
  <w:style w:type="paragraph" w:styleId="29">
    <w:name w:val="Balloon Text"/>
    <w:basedOn w:val="1"/>
    <w:link w:val="80"/>
    <w:semiHidden/>
    <w:qFormat/>
    <w:uiPriority w:val="99"/>
    <w:rPr>
      <w:sz w:val="18"/>
      <w:szCs w:val="18"/>
    </w:rPr>
  </w:style>
  <w:style w:type="paragraph" w:styleId="30">
    <w:name w:val="footer"/>
    <w:basedOn w:val="1"/>
    <w:link w:val="81"/>
    <w:qFormat/>
    <w:uiPriority w:val="99"/>
    <w:pPr>
      <w:tabs>
        <w:tab w:val="center" w:pos="4153"/>
        <w:tab w:val="right" w:pos="8306"/>
      </w:tabs>
      <w:snapToGrid w:val="0"/>
      <w:jc w:val="left"/>
    </w:pPr>
    <w:rPr>
      <w:sz w:val="18"/>
      <w:szCs w:val="18"/>
    </w:rPr>
  </w:style>
  <w:style w:type="paragraph" w:styleId="31">
    <w:name w:val="header"/>
    <w:basedOn w:val="1"/>
    <w:link w:val="82"/>
    <w:qFormat/>
    <w:uiPriority w:val="99"/>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semiHidden/>
    <w:qFormat/>
    <w:uiPriority w:val="99"/>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33">
    <w:name w:val="List Continue 4"/>
    <w:basedOn w:val="1"/>
    <w:qFormat/>
    <w:uiPriority w:val="99"/>
    <w:pPr>
      <w:spacing w:after="120"/>
      <w:ind w:left="1680" w:leftChars="800"/>
    </w:pPr>
  </w:style>
  <w:style w:type="paragraph" w:styleId="34">
    <w:name w:val="toc 4"/>
    <w:basedOn w:val="1"/>
    <w:next w:val="1"/>
    <w:semiHidden/>
    <w:qFormat/>
    <w:uiPriority w:val="99"/>
    <w:pPr>
      <w:tabs>
        <w:tab w:val="left" w:pos="1080"/>
        <w:tab w:val="right" w:leader="dot" w:pos="9125"/>
      </w:tabs>
      <w:adjustRightInd w:val="0"/>
      <w:snapToGrid w:val="0"/>
      <w:spacing w:line="360" w:lineRule="auto"/>
      <w:jc w:val="left"/>
    </w:pPr>
    <w:rPr>
      <w:sz w:val="18"/>
      <w:szCs w:val="18"/>
    </w:rPr>
  </w:style>
  <w:style w:type="paragraph" w:styleId="35">
    <w:name w:val="List"/>
    <w:basedOn w:val="1"/>
    <w:qFormat/>
    <w:uiPriority w:val="99"/>
    <w:pPr>
      <w:ind w:left="200" w:hanging="200" w:hangingChars="200"/>
    </w:pPr>
  </w:style>
  <w:style w:type="paragraph" w:styleId="36">
    <w:name w:val="footnote text"/>
    <w:basedOn w:val="1"/>
    <w:link w:val="83"/>
    <w:semiHidden/>
    <w:qFormat/>
    <w:uiPriority w:val="99"/>
    <w:pPr>
      <w:snapToGrid w:val="0"/>
      <w:jc w:val="left"/>
    </w:pPr>
    <w:rPr>
      <w:kern w:val="0"/>
      <w:sz w:val="18"/>
      <w:szCs w:val="18"/>
    </w:rPr>
  </w:style>
  <w:style w:type="paragraph" w:styleId="37">
    <w:name w:val="toc 6"/>
    <w:basedOn w:val="1"/>
    <w:next w:val="1"/>
    <w:semiHidden/>
    <w:qFormat/>
    <w:uiPriority w:val="99"/>
    <w:pPr>
      <w:ind w:left="1050"/>
      <w:jc w:val="left"/>
    </w:pPr>
    <w:rPr>
      <w:sz w:val="18"/>
      <w:szCs w:val="18"/>
    </w:rPr>
  </w:style>
  <w:style w:type="paragraph" w:styleId="38">
    <w:name w:val="List 5"/>
    <w:basedOn w:val="1"/>
    <w:qFormat/>
    <w:uiPriority w:val="99"/>
    <w:pPr>
      <w:ind w:left="100" w:leftChars="800" w:hanging="200" w:hangingChars="200"/>
    </w:pPr>
  </w:style>
  <w:style w:type="paragraph" w:styleId="39">
    <w:name w:val="Body Text Indent 3"/>
    <w:basedOn w:val="1"/>
    <w:link w:val="63"/>
    <w:qFormat/>
    <w:uiPriority w:val="99"/>
    <w:pPr>
      <w:spacing w:after="120"/>
      <w:ind w:left="420" w:leftChars="200"/>
    </w:pPr>
    <w:rPr>
      <w:kern w:val="0"/>
      <w:sz w:val="16"/>
      <w:szCs w:val="16"/>
    </w:rPr>
  </w:style>
  <w:style w:type="paragraph" w:styleId="40">
    <w:name w:val="toc 2"/>
    <w:basedOn w:val="1"/>
    <w:next w:val="1"/>
    <w:semiHidden/>
    <w:qFormat/>
    <w:uiPriority w:val="99"/>
    <w:pPr>
      <w:ind w:left="210"/>
      <w:jc w:val="left"/>
    </w:pPr>
    <w:rPr>
      <w:smallCaps/>
      <w:sz w:val="20"/>
      <w:szCs w:val="20"/>
    </w:rPr>
  </w:style>
  <w:style w:type="paragraph" w:styleId="41">
    <w:name w:val="toc 9"/>
    <w:basedOn w:val="1"/>
    <w:next w:val="1"/>
    <w:semiHidden/>
    <w:qFormat/>
    <w:uiPriority w:val="99"/>
    <w:pPr>
      <w:ind w:left="1680"/>
      <w:jc w:val="left"/>
    </w:pPr>
    <w:rPr>
      <w:sz w:val="18"/>
      <w:szCs w:val="18"/>
    </w:rPr>
  </w:style>
  <w:style w:type="paragraph" w:styleId="42">
    <w:name w:val="Body Text 2"/>
    <w:basedOn w:val="1"/>
    <w:link w:val="84"/>
    <w:qFormat/>
    <w:uiPriority w:val="99"/>
    <w:rPr>
      <w:kern w:val="0"/>
    </w:rPr>
  </w:style>
  <w:style w:type="paragraph" w:styleId="43">
    <w:name w:val="List 4"/>
    <w:basedOn w:val="1"/>
    <w:qFormat/>
    <w:uiPriority w:val="99"/>
    <w:pPr>
      <w:ind w:left="100" w:leftChars="600" w:hanging="200" w:hangingChars="200"/>
    </w:pPr>
  </w:style>
  <w:style w:type="paragraph" w:styleId="44">
    <w:name w:val="List Continue 2"/>
    <w:basedOn w:val="1"/>
    <w:qFormat/>
    <w:uiPriority w:val="99"/>
    <w:pPr>
      <w:spacing w:after="120"/>
      <w:ind w:left="840" w:leftChars="400"/>
    </w:pPr>
  </w:style>
  <w:style w:type="paragraph" w:styleId="45">
    <w:name w:val="HTML Preformatted"/>
    <w:basedOn w:val="1"/>
    <w:link w:val="85"/>
    <w:qFormat/>
    <w:uiPriority w:val="99"/>
    <w:rPr>
      <w:rFonts w:ascii="Courier New" w:hAnsi="Courier New"/>
      <w:sz w:val="20"/>
      <w:szCs w:val="20"/>
    </w:rPr>
  </w:style>
  <w:style w:type="paragraph" w:styleId="4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7">
    <w:name w:val="List Continue 3"/>
    <w:basedOn w:val="1"/>
    <w:qFormat/>
    <w:uiPriority w:val="99"/>
    <w:pPr>
      <w:spacing w:after="120"/>
      <w:ind w:left="1260" w:leftChars="600"/>
    </w:pPr>
  </w:style>
  <w:style w:type="paragraph" w:styleId="48">
    <w:name w:val="annotation subject"/>
    <w:basedOn w:val="16"/>
    <w:next w:val="16"/>
    <w:link w:val="86"/>
    <w:semiHidden/>
    <w:qFormat/>
    <w:uiPriority w:val="99"/>
    <w:rPr>
      <w:b/>
      <w:bCs/>
    </w:rPr>
  </w:style>
  <w:style w:type="paragraph" w:styleId="49">
    <w:name w:val="Body Text First Indent"/>
    <w:basedOn w:val="2"/>
    <w:link w:val="87"/>
    <w:qFormat/>
    <w:uiPriority w:val="99"/>
    <w:pPr>
      <w:spacing w:line="360" w:lineRule="auto"/>
      <w:ind w:firstLine="482"/>
    </w:pPr>
  </w:style>
  <w:style w:type="paragraph" w:styleId="50">
    <w:name w:val="Body Text First Indent 2"/>
    <w:basedOn w:val="17"/>
    <w:next w:val="39"/>
    <w:link w:val="62"/>
    <w:qFormat/>
    <w:locked/>
    <w:uiPriority w:val="99"/>
    <w:pPr>
      <w:ind w:firstLine="420" w:firstLineChars="200"/>
    </w:pPr>
    <w:rPr>
      <w:sz w:val="21"/>
      <w:szCs w:val="21"/>
    </w:rPr>
  </w:style>
  <w:style w:type="table" w:styleId="52">
    <w:name w:val="Table Grid"/>
    <w:basedOn w:val="5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locked/>
    <w:uiPriority w:val="22"/>
    <w:rPr>
      <w:b/>
      <w:bCs/>
    </w:rPr>
  </w:style>
  <w:style w:type="character" w:styleId="55">
    <w:name w:val="page number"/>
    <w:qFormat/>
    <w:uiPriority w:val="99"/>
  </w:style>
  <w:style w:type="character" w:styleId="56">
    <w:name w:val="FollowedHyperlink"/>
    <w:qFormat/>
    <w:locked/>
    <w:uiPriority w:val="99"/>
    <w:rPr>
      <w:color w:val="auto"/>
      <w:u w:val="none"/>
    </w:rPr>
  </w:style>
  <w:style w:type="character" w:styleId="57">
    <w:name w:val="Hyperlink"/>
    <w:qFormat/>
    <w:uiPriority w:val="99"/>
    <w:rPr>
      <w:color w:val="auto"/>
      <w:u w:val="none"/>
    </w:rPr>
  </w:style>
  <w:style w:type="character" w:styleId="58">
    <w:name w:val="annotation reference"/>
    <w:semiHidden/>
    <w:qFormat/>
    <w:uiPriority w:val="99"/>
    <w:rPr>
      <w:sz w:val="21"/>
      <w:szCs w:val="21"/>
    </w:rPr>
  </w:style>
  <w:style w:type="character" w:styleId="59">
    <w:name w:val="footnote reference"/>
    <w:semiHidden/>
    <w:qFormat/>
    <w:uiPriority w:val="99"/>
    <w:rPr>
      <w:vertAlign w:val="superscript"/>
    </w:rPr>
  </w:style>
  <w:style w:type="paragraph" w:customStyle="1" w:styleId="60">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61">
    <w:name w:val="正文文本缩进 Char"/>
    <w:link w:val="17"/>
    <w:qFormat/>
    <w:locked/>
    <w:uiPriority w:val="99"/>
    <w:rPr>
      <w:kern w:val="2"/>
      <w:sz w:val="24"/>
      <w:szCs w:val="24"/>
    </w:rPr>
  </w:style>
  <w:style w:type="character" w:customStyle="1" w:styleId="62">
    <w:name w:val="正文首行缩进 2 Char"/>
    <w:link w:val="50"/>
    <w:qFormat/>
    <w:locked/>
    <w:uiPriority w:val="99"/>
    <w:rPr>
      <w:rFonts w:ascii="Times New Roman" w:hAnsi="Times New Roman" w:cs="Times New Roman"/>
      <w:kern w:val="2"/>
      <w:sz w:val="21"/>
      <w:szCs w:val="21"/>
    </w:rPr>
  </w:style>
  <w:style w:type="character" w:customStyle="1" w:styleId="63">
    <w:name w:val="正文文本缩进 3 Char"/>
    <w:link w:val="39"/>
    <w:semiHidden/>
    <w:qFormat/>
    <w:locked/>
    <w:uiPriority w:val="99"/>
    <w:rPr>
      <w:rFonts w:ascii="Times New Roman" w:hAnsi="Times New Roman" w:cs="Times New Roman"/>
      <w:sz w:val="16"/>
      <w:szCs w:val="16"/>
    </w:rPr>
  </w:style>
  <w:style w:type="character" w:customStyle="1" w:styleId="64">
    <w:name w:val="标题 1 Char"/>
    <w:link w:val="3"/>
    <w:qFormat/>
    <w:locked/>
    <w:uiPriority w:val="99"/>
    <w:rPr>
      <w:b/>
      <w:bCs/>
      <w:kern w:val="44"/>
      <w:sz w:val="44"/>
      <w:szCs w:val="44"/>
    </w:rPr>
  </w:style>
  <w:style w:type="character" w:customStyle="1" w:styleId="65">
    <w:name w:val="标题 2 Char"/>
    <w:link w:val="4"/>
    <w:qFormat/>
    <w:locked/>
    <w:uiPriority w:val="99"/>
    <w:rPr>
      <w:rFonts w:ascii="Arial" w:hAnsi="Arial" w:eastAsia="黑体" w:cs="Arial"/>
      <w:b/>
      <w:bCs/>
      <w:sz w:val="32"/>
      <w:szCs w:val="32"/>
    </w:rPr>
  </w:style>
  <w:style w:type="character" w:customStyle="1" w:styleId="66">
    <w:name w:val="标题 3 Char"/>
    <w:link w:val="5"/>
    <w:semiHidden/>
    <w:qFormat/>
    <w:locked/>
    <w:uiPriority w:val="99"/>
    <w:rPr>
      <w:rFonts w:ascii="Times New Roman" w:hAnsi="Times New Roman" w:cs="Times New Roman"/>
      <w:b/>
      <w:bCs/>
      <w:sz w:val="32"/>
      <w:szCs w:val="32"/>
    </w:rPr>
  </w:style>
  <w:style w:type="character" w:customStyle="1" w:styleId="67">
    <w:name w:val="标题 4 Char"/>
    <w:link w:val="6"/>
    <w:qFormat/>
    <w:locked/>
    <w:uiPriority w:val="99"/>
    <w:rPr>
      <w:rFonts w:ascii="Arial" w:hAnsi="Arial" w:eastAsia="黑体" w:cs="Arial"/>
      <w:b/>
      <w:bCs/>
      <w:kern w:val="2"/>
      <w:sz w:val="28"/>
      <w:szCs w:val="28"/>
      <w:lang w:val="en-US" w:eastAsia="zh-CN"/>
    </w:rPr>
  </w:style>
  <w:style w:type="character" w:customStyle="1" w:styleId="68">
    <w:name w:val="标题 5 Char"/>
    <w:link w:val="7"/>
    <w:semiHidden/>
    <w:qFormat/>
    <w:locked/>
    <w:uiPriority w:val="99"/>
    <w:rPr>
      <w:rFonts w:ascii="Times New Roman" w:hAnsi="Times New Roman" w:cs="Times New Roman"/>
      <w:b/>
      <w:bCs/>
      <w:sz w:val="28"/>
      <w:szCs w:val="28"/>
    </w:rPr>
  </w:style>
  <w:style w:type="character" w:customStyle="1" w:styleId="69">
    <w:name w:val="标题 6 Char"/>
    <w:link w:val="8"/>
    <w:semiHidden/>
    <w:qFormat/>
    <w:locked/>
    <w:uiPriority w:val="99"/>
    <w:rPr>
      <w:rFonts w:ascii="Cambria" w:hAnsi="Cambria" w:eastAsia="宋体" w:cs="Cambria"/>
      <w:b/>
      <w:bCs/>
      <w:sz w:val="24"/>
      <w:szCs w:val="24"/>
    </w:rPr>
  </w:style>
  <w:style w:type="character" w:customStyle="1" w:styleId="70">
    <w:name w:val="标题 7 Char"/>
    <w:link w:val="9"/>
    <w:semiHidden/>
    <w:qFormat/>
    <w:locked/>
    <w:uiPriority w:val="99"/>
    <w:rPr>
      <w:rFonts w:ascii="Times New Roman" w:hAnsi="Times New Roman" w:cs="Times New Roman"/>
      <w:b/>
      <w:bCs/>
      <w:sz w:val="24"/>
      <w:szCs w:val="24"/>
    </w:rPr>
  </w:style>
  <w:style w:type="character" w:customStyle="1" w:styleId="71">
    <w:name w:val="标题 8 Char"/>
    <w:link w:val="10"/>
    <w:semiHidden/>
    <w:qFormat/>
    <w:locked/>
    <w:uiPriority w:val="99"/>
    <w:rPr>
      <w:rFonts w:ascii="Cambria" w:hAnsi="Cambria" w:eastAsia="宋体" w:cs="Cambria"/>
      <w:sz w:val="24"/>
      <w:szCs w:val="24"/>
    </w:rPr>
  </w:style>
  <w:style w:type="character" w:customStyle="1" w:styleId="72">
    <w:name w:val="标题 9 Char"/>
    <w:link w:val="11"/>
    <w:semiHidden/>
    <w:qFormat/>
    <w:locked/>
    <w:uiPriority w:val="99"/>
    <w:rPr>
      <w:rFonts w:ascii="Cambria" w:hAnsi="Cambria" w:eastAsia="宋体" w:cs="Cambria"/>
      <w:sz w:val="21"/>
      <w:szCs w:val="21"/>
    </w:rPr>
  </w:style>
  <w:style w:type="character" w:customStyle="1" w:styleId="73">
    <w:name w:val="正文缩进 Char"/>
    <w:link w:val="14"/>
    <w:qFormat/>
    <w:locked/>
    <w:uiPriority w:val="99"/>
    <w:rPr>
      <w:kern w:val="2"/>
      <w:sz w:val="21"/>
      <w:szCs w:val="21"/>
    </w:rPr>
  </w:style>
  <w:style w:type="character" w:customStyle="1" w:styleId="74">
    <w:name w:val="文档结构图 Char"/>
    <w:link w:val="15"/>
    <w:semiHidden/>
    <w:qFormat/>
    <w:locked/>
    <w:uiPriority w:val="99"/>
    <w:rPr>
      <w:rFonts w:ascii="Times New Roman" w:hAnsi="Times New Roman" w:cs="Times New Roman"/>
      <w:sz w:val="2"/>
      <w:szCs w:val="2"/>
    </w:rPr>
  </w:style>
  <w:style w:type="character" w:customStyle="1" w:styleId="75">
    <w:name w:val="批注文字 Char"/>
    <w:link w:val="16"/>
    <w:qFormat/>
    <w:locked/>
    <w:uiPriority w:val="99"/>
    <w:rPr>
      <w:kern w:val="2"/>
      <w:sz w:val="21"/>
      <w:szCs w:val="21"/>
    </w:rPr>
  </w:style>
  <w:style w:type="character" w:customStyle="1" w:styleId="76">
    <w:name w:val="正文文本 Char"/>
    <w:link w:val="2"/>
    <w:semiHidden/>
    <w:qFormat/>
    <w:locked/>
    <w:uiPriority w:val="99"/>
    <w:rPr>
      <w:rFonts w:ascii="Times New Roman" w:hAnsi="Times New Roman" w:cs="Times New Roman"/>
      <w:sz w:val="21"/>
      <w:szCs w:val="21"/>
    </w:rPr>
  </w:style>
  <w:style w:type="character" w:customStyle="1" w:styleId="77">
    <w:name w:val="纯文本 Char"/>
    <w:link w:val="24"/>
    <w:semiHidden/>
    <w:qFormat/>
    <w:locked/>
    <w:uiPriority w:val="99"/>
    <w:rPr>
      <w:rFonts w:ascii="宋体" w:hAnsi="Courier New" w:cs="宋体"/>
      <w:sz w:val="21"/>
      <w:szCs w:val="21"/>
    </w:rPr>
  </w:style>
  <w:style w:type="character" w:customStyle="1" w:styleId="78">
    <w:name w:val="日期 Char"/>
    <w:link w:val="26"/>
    <w:semiHidden/>
    <w:qFormat/>
    <w:locked/>
    <w:uiPriority w:val="99"/>
    <w:rPr>
      <w:rFonts w:ascii="Times New Roman" w:hAnsi="Times New Roman" w:cs="Times New Roman"/>
      <w:sz w:val="21"/>
      <w:szCs w:val="21"/>
    </w:rPr>
  </w:style>
  <w:style w:type="character" w:customStyle="1" w:styleId="79">
    <w:name w:val="正文文本缩进 2 Char"/>
    <w:link w:val="27"/>
    <w:semiHidden/>
    <w:qFormat/>
    <w:locked/>
    <w:uiPriority w:val="99"/>
    <w:rPr>
      <w:rFonts w:ascii="Times New Roman" w:hAnsi="Times New Roman" w:cs="Times New Roman"/>
      <w:sz w:val="21"/>
      <w:szCs w:val="21"/>
    </w:rPr>
  </w:style>
  <w:style w:type="character" w:customStyle="1" w:styleId="80">
    <w:name w:val="批注框文本 Char"/>
    <w:link w:val="29"/>
    <w:qFormat/>
    <w:locked/>
    <w:uiPriority w:val="99"/>
    <w:rPr>
      <w:rFonts w:eastAsia="宋体"/>
      <w:kern w:val="2"/>
      <w:sz w:val="18"/>
      <w:szCs w:val="18"/>
      <w:lang w:val="en-US" w:eastAsia="zh-CN"/>
    </w:rPr>
  </w:style>
  <w:style w:type="character" w:customStyle="1" w:styleId="81">
    <w:name w:val="页脚 Char"/>
    <w:link w:val="30"/>
    <w:qFormat/>
    <w:locked/>
    <w:uiPriority w:val="99"/>
    <w:rPr>
      <w:kern w:val="2"/>
      <w:sz w:val="18"/>
      <w:szCs w:val="18"/>
    </w:rPr>
  </w:style>
  <w:style w:type="character" w:customStyle="1" w:styleId="82">
    <w:name w:val="页眉 Char"/>
    <w:link w:val="31"/>
    <w:semiHidden/>
    <w:qFormat/>
    <w:locked/>
    <w:uiPriority w:val="99"/>
    <w:rPr>
      <w:rFonts w:ascii="Times New Roman" w:hAnsi="Times New Roman" w:cs="Times New Roman"/>
      <w:sz w:val="18"/>
      <w:szCs w:val="18"/>
    </w:rPr>
  </w:style>
  <w:style w:type="character" w:customStyle="1" w:styleId="83">
    <w:name w:val="脚注文本 Char"/>
    <w:link w:val="36"/>
    <w:semiHidden/>
    <w:qFormat/>
    <w:locked/>
    <w:uiPriority w:val="99"/>
    <w:rPr>
      <w:rFonts w:ascii="Times New Roman" w:hAnsi="Times New Roman" w:cs="Times New Roman"/>
      <w:sz w:val="18"/>
      <w:szCs w:val="18"/>
    </w:rPr>
  </w:style>
  <w:style w:type="character" w:customStyle="1" w:styleId="84">
    <w:name w:val="正文文本 2 Char"/>
    <w:link w:val="42"/>
    <w:semiHidden/>
    <w:qFormat/>
    <w:locked/>
    <w:uiPriority w:val="99"/>
    <w:rPr>
      <w:rFonts w:ascii="Times New Roman" w:hAnsi="Times New Roman" w:cs="Times New Roman"/>
      <w:sz w:val="21"/>
      <w:szCs w:val="21"/>
    </w:rPr>
  </w:style>
  <w:style w:type="character" w:customStyle="1" w:styleId="85">
    <w:name w:val="HTML 预设格式 Char"/>
    <w:link w:val="45"/>
    <w:qFormat/>
    <w:locked/>
    <w:uiPriority w:val="99"/>
    <w:rPr>
      <w:rFonts w:ascii="Courier New" w:hAnsi="Courier New" w:cs="Courier New"/>
      <w:kern w:val="2"/>
    </w:rPr>
  </w:style>
  <w:style w:type="character" w:customStyle="1" w:styleId="86">
    <w:name w:val="批注主题 Char"/>
    <w:link w:val="48"/>
    <w:semiHidden/>
    <w:qFormat/>
    <w:locked/>
    <w:uiPriority w:val="99"/>
    <w:rPr>
      <w:rFonts w:ascii="Times New Roman" w:hAnsi="Times New Roman" w:cs="Times New Roman"/>
      <w:b/>
      <w:bCs/>
      <w:kern w:val="2"/>
      <w:sz w:val="21"/>
      <w:szCs w:val="21"/>
    </w:rPr>
  </w:style>
  <w:style w:type="character" w:customStyle="1" w:styleId="87">
    <w:name w:val="正文首行缩进 Char"/>
    <w:link w:val="49"/>
    <w:semiHidden/>
    <w:qFormat/>
    <w:locked/>
    <w:uiPriority w:val="99"/>
    <w:rPr>
      <w:rFonts w:ascii="Times New Roman" w:hAnsi="Times New Roman" w:cs="Times New Roman"/>
      <w:sz w:val="21"/>
      <w:szCs w:val="21"/>
    </w:rPr>
  </w:style>
  <w:style w:type="paragraph" w:customStyle="1" w:styleId="88">
    <w:name w:val="无间隔1"/>
    <w:qFormat/>
    <w:uiPriority w:val="0"/>
    <w:rPr>
      <w:rFonts w:ascii="Times New Roman" w:hAnsi="Times New Roman" w:eastAsia="宋体" w:cs="Times New Roman"/>
      <w:sz w:val="22"/>
      <w:szCs w:val="22"/>
      <w:lang w:val="en-US" w:eastAsia="en-US" w:bidi="en-US"/>
    </w:rPr>
  </w:style>
  <w:style w:type="paragraph" w:customStyle="1" w:styleId="89">
    <w:name w:val="一级条标题"/>
    <w:basedOn w:val="90"/>
    <w:next w:val="91"/>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0">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1">
    <w:name w:val="段"/>
    <w:basedOn w:val="1"/>
    <w:next w:val="1"/>
    <w:qFormat/>
    <w:uiPriority w:val="0"/>
    <w:pPr>
      <w:widowControl/>
      <w:autoSpaceDE w:val="0"/>
      <w:autoSpaceDN w:val="0"/>
      <w:ind w:firstLine="200" w:firstLineChars="200"/>
    </w:pPr>
    <w:rPr>
      <w:rFonts w:hint="eastAsia" w:ascii="宋体"/>
      <w:kern w:val="0"/>
    </w:rPr>
  </w:style>
  <w:style w:type="character" w:customStyle="1" w:styleId="92">
    <w:name w:val="font31"/>
    <w:qFormat/>
    <w:uiPriority w:val="99"/>
    <w:rPr>
      <w:rFonts w:ascii="仿宋" w:hAnsi="仿宋" w:eastAsia="仿宋" w:cs="仿宋"/>
      <w:color w:val="000000"/>
      <w:sz w:val="20"/>
      <w:szCs w:val="20"/>
      <w:u w:val="none"/>
    </w:rPr>
  </w:style>
  <w:style w:type="character" w:customStyle="1" w:styleId="93">
    <w:name w:val="font51"/>
    <w:qFormat/>
    <w:uiPriority w:val="99"/>
    <w:rPr>
      <w:rFonts w:ascii="宋体" w:hAnsi="宋体" w:eastAsia="宋体" w:cs="宋体"/>
      <w:color w:val="000000"/>
      <w:sz w:val="24"/>
      <w:szCs w:val="24"/>
      <w:u w:val="none"/>
    </w:rPr>
  </w:style>
  <w:style w:type="character" w:customStyle="1" w:styleId="94">
    <w:name w:val="font101"/>
    <w:qFormat/>
    <w:uiPriority w:val="99"/>
    <w:rPr>
      <w:rFonts w:ascii="仿宋" w:hAnsi="仿宋" w:eastAsia="仿宋" w:cs="仿宋"/>
      <w:color w:val="000000"/>
      <w:sz w:val="20"/>
      <w:szCs w:val="20"/>
      <w:u w:val="none"/>
    </w:rPr>
  </w:style>
  <w:style w:type="character" w:customStyle="1" w:styleId="95">
    <w:name w:val="font111"/>
    <w:qFormat/>
    <w:uiPriority w:val="99"/>
    <w:rPr>
      <w:rFonts w:ascii="宋体" w:hAnsi="宋体" w:eastAsia="宋体" w:cs="宋体"/>
      <w:color w:val="000000"/>
      <w:sz w:val="20"/>
      <w:szCs w:val="20"/>
      <w:u w:val="none"/>
    </w:rPr>
  </w:style>
  <w:style w:type="character" w:customStyle="1" w:styleId="96">
    <w:name w:val="font81"/>
    <w:qFormat/>
    <w:uiPriority w:val="99"/>
    <w:rPr>
      <w:rFonts w:ascii="Arial" w:hAnsi="Arial" w:cs="Arial"/>
      <w:color w:val="000000"/>
      <w:sz w:val="20"/>
      <w:szCs w:val="20"/>
      <w:u w:val="none"/>
    </w:rPr>
  </w:style>
  <w:style w:type="character" w:customStyle="1" w:styleId="97">
    <w:name w:val="style1"/>
    <w:qFormat/>
    <w:uiPriority w:val="99"/>
  </w:style>
  <w:style w:type="character" w:customStyle="1" w:styleId="98">
    <w:name w:val="font71"/>
    <w:qFormat/>
    <w:uiPriority w:val="99"/>
    <w:rPr>
      <w:rFonts w:ascii="Wingdings 2" w:hAnsi="Wingdings 2" w:cs="Wingdings 2"/>
      <w:color w:val="000000"/>
      <w:sz w:val="20"/>
      <w:szCs w:val="20"/>
      <w:u w:val="none"/>
    </w:rPr>
  </w:style>
  <w:style w:type="character" w:customStyle="1" w:styleId="99">
    <w:name w:val="font91"/>
    <w:qFormat/>
    <w:uiPriority w:val="99"/>
    <w:rPr>
      <w:rFonts w:ascii="宋体" w:hAnsi="宋体" w:eastAsia="宋体" w:cs="宋体"/>
      <w:color w:val="000000"/>
      <w:sz w:val="20"/>
      <w:szCs w:val="20"/>
      <w:u w:val="none"/>
    </w:rPr>
  </w:style>
  <w:style w:type="character" w:customStyle="1" w:styleId="100">
    <w:name w:val="font01"/>
    <w:basedOn w:val="53"/>
    <w:qFormat/>
    <w:uiPriority w:val="99"/>
    <w:rPr>
      <w:rFonts w:ascii="宋体" w:hAnsi="宋体" w:eastAsia="宋体" w:cs="宋体"/>
      <w:color w:val="FF0000"/>
      <w:sz w:val="24"/>
      <w:szCs w:val="24"/>
      <w:u w:val="none"/>
    </w:rPr>
  </w:style>
  <w:style w:type="character" w:customStyle="1" w:styleId="101">
    <w:name w:val="标题 1 Char Char"/>
    <w:qFormat/>
    <w:uiPriority w:val="99"/>
    <w:rPr>
      <w:rFonts w:ascii="宋体" w:hAnsi="宋体" w:eastAsia="宋体" w:cs="宋体"/>
      <w:b/>
      <w:bCs/>
      <w:spacing w:val="-2"/>
      <w:sz w:val="24"/>
      <w:szCs w:val="24"/>
      <w:lang w:val="en-US" w:eastAsia="zh-CN"/>
    </w:rPr>
  </w:style>
  <w:style w:type="character" w:customStyle="1" w:styleId="102">
    <w:name w:val="纯文本 Char_0_0"/>
    <w:link w:val="103"/>
    <w:qFormat/>
    <w:locked/>
    <w:uiPriority w:val="99"/>
    <w:rPr>
      <w:rFonts w:ascii="宋体" w:hAnsi="Courier New" w:cs="宋体"/>
      <w:kern w:val="2"/>
      <w:sz w:val="21"/>
      <w:szCs w:val="21"/>
    </w:rPr>
  </w:style>
  <w:style w:type="paragraph" w:customStyle="1" w:styleId="103">
    <w:name w:val="纯文本_0_0"/>
    <w:basedOn w:val="104"/>
    <w:link w:val="102"/>
    <w:qFormat/>
    <w:uiPriority w:val="99"/>
    <w:rPr>
      <w:rFonts w:ascii="宋体" w:hAnsi="Courier New" w:cs="Times New Roman"/>
    </w:rPr>
  </w:style>
  <w:style w:type="paragraph" w:customStyle="1" w:styleId="104">
    <w:name w:val="正文_7_1_0"/>
    <w:qFormat/>
    <w:uiPriority w:val="99"/>
    <w:pPr>
      <w:widowControl w:val="0"/>
      <w:jc w:val="both"/>
    </w:pPr>
    <w:rPr>
      <w:rFonts w:ascii="Calibri" w:hAnsi="Calibri" w:eastAsia="宋体" w:cs="Calibri"/>
      <w:kern w:val="2"/>
      <w:sz w:val="21"/>
      <w:szCs w:val="21"/>
      <w:lang w:val="en-US" w:eastAsia="zh-CN" w:bidi="ar-SA"/>
    </w:rPr>
  </w:style>
  <w:style w:type="character" w:customStyle="1" w:styleId="105">
    <w:name w:val="Style Heading 3 + Char"/>
    <w:link w:val="106"/>
    <w:qFormat/>
    <w:locked/>
    <w:uiPriority w:val="99"/>
    <w:rPr>
      <w:rFonts w:eastAsia="宋体"/>
      <w:b/>
      <w:bCs/>
      <w:kern w:val="2"/>
      <w:sz w:val="28"/>
      <w:szCs w:val="28"/>
      <w:lang w:val="en-US" w:eastAsia="zh-CN"/>
    </w:rPr>
  </w:style>
  <w:style w:type="paragraph" w:customStyle="1" w:styleId="106">
    <w:name w:val="Style Heading 3 +"/>
    <w:basedOn w:val="5"/>
    <w:link w:val="105"/>
    <w:qFormat/>
    <w:uiPriority w:val="99"/>
    <w:pPr>
      <w:adjustRightInd/>
      <w:spacing w:before="120" w:after="120" w:line="120" w:lineRule="atLeast"/>
      <w:textAlignment w:val="auto"/>
    </w:pPr>
    <w:rPr>
      <w:kern w:val="2"/>
      <w:sz w:val="28"/>
      <w:szCs w:val="28"/>
    </w:rPr>
  </w:style>
  <w:style w:type="character" w:customStyle="1" w:styleId="107">
    <w:name w:val="font11"/>
    <w:qFormat/>
    <w:uiPriority w:val="99"/>
    <w:rPr>
      <w:rFonts w:ascii="宋体" w:hAnsi="宋体" w:eastAsia="宋体" w:cs="宋体"/>
      <w:color w:val="000000"/>
      <w:sz w:val="24"/>
      <w:szCs w:val="24"/>
      <w:u w:val="none"/>
    </w:rPr>
  </w:style>
  <w:style w:type="character" w:customStyle="1" w:styleId="108">
    <w:name w:val="font21"/>
    <w:qFormat/>
    <w:uiPriority w:val="99"/>
    <w:rPr>
      <w:rFonts w:ascii="楷体_GB2312" w:eastAsia="楷体_GB2312" w:cs="楷体_GB2312"/>
      <w:color w:val="000000"/>
      <w:sz w:val="24"/>
      <w:szCs w:val="24"/>
      <w:u w:val="none"/>
    </w:rPr>
  </w:style>
  <w:style w:type="character" w:customStyle="1" w:styleId="109">
    <w:name w:val="font41"/>
    <w:qFormat/>
    <w:uiPriority w:val="99"/>
    <w:rPr>
      <w:rFonts w:ascii="仿宋" w:hAnsi="仿宋" w:eastAsia="仿宋" w:cs="仿宋"/>
      <w:color w:val="000000"/>
      <w:sz w:val="20"/>
      <w:szCs w:val="20"/>
      <w:u w:val="none"/>
    </w:rPr>
  </w:style>
  <w:style w:type="paragraph" w:customStyle="1" w:styleId="110">
    <w:name w:val="Char Char Char1 Char"/>
    <w:basedOn w:val="1"/>
    <w:qFormat/>
    <w:uiPriority w:val="99"/>
  </w:style>
  <w:style w:type="paragraph" w:customStyle="1" w:styleId="111">
    <w:name w:val="标题 41"/>
    <w:qFormat/>
    <w:uiPriority w:val="0"/>
    <w:pPr>
      <w:widowControl w:val="0"/>
      <w:jc w:val="both"/>
    </w:pPr>
    <w:rPr>
      <w:rFonts w:ascii="Times New Roman" w:hAnsi="Arial Unicode MS" w:eastAsia="Arial Unicode MS" w:cs="Arial Unicode MS"/>
      <w:color w:val="000000"/>
      <w:u w:color="000000"/>
      <w:lang w:val="en-US" w:eastAsia="zh-CN" w:bidi="ar-SA"/>
    </w:rPr>
  </w:style>
  <w:style w:type="paragraph" w:customStyle="1" w:styleId="112">
    <w:name w:val="纯文本2"/>
    <w:basedOn w:val="1"/>
    <w:qFormat/>
    <w:uiPriority w:val="99"/>
    <w:rPr>
      <w:rFonts w:ascii="宋体" w:hAnsi="Courier New" w:cs="宋体"/>
      <w:sz w:val="28"/>
      <w:szCs w:val="28"/>
    </w:rPr>
  </w:style>
  <w:style w:type="paragraph" w:customStyle="1" w:styleId="113">
    <w:name w:val="Default"/>
    <w:qFormat/>
    <w:uiPriority w:val="99"/>
    <w:pPr>
      <w:widowControl w:val="0"/>
      <w:autoSpaceDE w:val="0"/>
      <w:autoSpaceDN w:val="0"/>
      <w:adjustRightInd w:val="0"/>
    </w:pPr>
    <w:rPr>
      <w:rFonts w:ascii="......." w:hAnsi="Calibri" w:eastAsia="......." w:cs="......."/>
      <w:color w:val="000000"/>
      <w:sz w:val="24"/>
      <w:szCs w:val="24"/>
      <w:lang w:val="en-US" w:eastAsia="zh-CN" w:bidi="ar-SA"/>
    </w:rPr>
  </w:style>
  <w:style w:type="paragraph" w:customStyle="1" w:styleId="114">
    <w:name w:val="6"/>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5">
    <w:name w:val="正文缩进2格"/>
    <w:basedOn w:val="1"/>
    <w:qFormat/>
    <w:uiPriority w:val="99"/>
    <w:pPr>
      <w:spacing w:line="600" w:lineRule="exact"/>
      <w:ind w:firstLine="639" w:firstLineChars="206"/>
    </w:pPr>
    <w:rPr>
      <w:rFonts w:ascii="仿宋_GB2312" w:hAnsi="宋体" w:eastAsia="仿宋_GB2312" w:cs="仿宋_GB2312"/>
      <w:sz w:val="31"/>
      <w:szCs w:val="31"/>
    </w:rPr>
  </w:style>
  <w:style w:type="paragraph" w:customStyle="1" w:styleId="116">
    <w:name w:val="1"/>
    <w:basedOn w:val="1"/>
    <w:next w:val="24"/>
    <w:qFormat/>
    <w:uiPriority w:val="99"/>
    <w:rPr>
      <w:rFonts w:ascii="宋体" w:hAnsi="Courier New" w:cs="宋体"/>
    </w:rPr>
  </w:style>
  <w:style w:type="paragraph" w:customStyle="1" w:styleId="117">
    <w:name w:val="Normal_12_0"/>
    <w:qFormat/>
    <w:uiPriority w:val="99"/>
    <w:rPr>
      <w:rFonts w:ascii="黑体" w:hAnsi="黑体" w:eastAsia="黑体" w:cs="黑体"/>
      <w:b/>
      <w:bCs/>
      <w:sz w:val="32"/>
      <w:szCs w:val="32"/>
      <w:lang w:val="en-US" w:eastAsia="zh-CN" w:bidi="ar-SA"/>
    </w:rPr>
  </w:style>
  <w:style w:type="paragraph" w:customStyle="1" w:styleId="118">
    <w:name w:val="p0"/>
    <w:basedOn w:val="1"/>
    <w:qFormat/>
    <w:uiPriority w:val="99"/>
    <w:pPr>
      <w:widowControl/>
    </w:pPr>
    <w:rPr>
      <w:kern w:val="0"/>
    </w:rPr>
  </w:style>
  <w:style w:type="paragraph" w:customStyle="1" w:styleId="119">
    <w:name w:val="列出段落1"/>
    <w:basedOn w:val="1"/>
    <w:qFormat/>
    <w:uiPriority w:val="99"/>
    <w:pPr>
      <w:ind w:firstLine="420" w:firstLineChars="200"/>
    </w:pPr>
  </w:style>
  <w:style w:type="paragraph" w:customStyle="1" w:styleId="120">
    <w:name w:val="样式 标题 1 + 宋体 段前: 0 磅 段后: 0 磅 行距: 单倍行距"/>
    <w:basedOn w:val="3"/>
    <w:next w:val="1"/>
    <w:qFormat/>
    <w:uiPriority w:val="99"/>
    <w:pPr>
      <w:spacing w:beforeLines="100" w:afterLines="100"/>
    </w:pPr>
    <w:rPr>
      <w:rFonts w:ascii="仿宋_GB2312" w:hAnsi="宋体" w:cs="仿宋_GB2312"/>
    </w:rPr>
  </w:style>
  <w:style w:type="paragraph" w:customStyle="1" w:styleId="121">
    <w:name w:val="图文"/>
    <w:basedOn w:val="1"/>
    <w:qFormat/>
    <w:uiPriority w:val="99"/>
    <w:pPr>
      <w:adjustRightInd w:val="0"/>
      <w:snapToGrid w:val="0"/>
      <w:spacing w:after="50" w:line="360" w:lineRule="auto"/>
    </w:pPr>
    <w:rPr>
      <w:sz w:val="24"/>
      <w:szCs w:val="24"/>
    </w:rPr>
  </w:style>
  <w:style w:type="paragraph" w:customStyle="1" w:styleId="122">
    <w:name w:val="列出段落11"/>
    <w:basedOn w:val="1"/>
    <w:qFormat/>
    <w:uiPriority w:val="99"/>
    <w:pPr>
      <w:ind w:firstLine="200" w:firstLineChars="200"/>
    </w:pPr>
    <w:rPr>
      <w:rFonts w:ascii="Calibri" w:hAnsi="Calibri" w:cs="Calibri"/>
    </w:rPr>
  </w:style>
  <w:style w:type="paragraph" w:styleId="123">
    <w:name w:val="List Paragraph"/>
    <w:basedOn w:val="1"/>
    <w:qFormat/>
    <w:uiPriority w:val="99"/>
    <w:pPr>
      <w:ind w:firstLine="420" w:firstLineChars="200"/>
    </w:pPr>
  </w:style>
  <w:style w:type="paragraph" w:customStyle="1" w:styleId="124">
    <w:name w:val="Char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5">
    <w:name w:val="默认段落字体 Para Char Char Char Char"/>
    <w:basedOn w:val="1"/>
    <w:qFormat/>
    <w:uiPriority w:val="99"/>
  </w:style>
  <w:style w:type="paragraph" w:customStyle="1" w:styleId="126">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7">
    <w:name w:val="二级目录"/>
    <w:next w:val="1"/>
    <w:qFormat/>
    <w:uiPriority w:val="99"/>
    <w:pPr>
      <w:tabs>
        <w:tab w:val="left" w:pos="720"/>
      </w:tabs>
      <w:ind w:left="720" w:hanging="720"/>
      <w:outlineLvl w:val="1"/>
    </w:pPr>
    <w:rPr>
      <w:rFonts w:ascii="Times New Roman" w:hAnsi="Times New Roman" w:eastAsia="宋体" w:cs="Times New Roman"/>
      <w:b/>
      <w:bCs/>
      <w:kern w:val="2"/>
      <w:sz w:val="30"/>
      <w:szCs w:val="30"/>
      <w:lang w:val="en-US" w:eastAsia="zh-CN" w:bidi="ar-SA"/>
    </w:rPr>
  </w:style>
  <w:style w:type="paragraph" w:customStyle="1" w:styleId="128">
    <w:name w:val="简单回函地址"/>
    <w:basedOn w:val="1"/>
    <w:qFormat/>
    <w:uiPriority w:val="99"/>
  </w:style>
  <w:style w:type="paragraph" w:customStyle="1" w:styleId="129">
    <w:name w:val="Plain Text1"/>
    <w:basedOn w:val="1"/>
    <w:qFormat/>
    <w:uiPriority w:val="99"/>
    <w:pPr>
      <w:widowControl/>
      <w:adjustRightInd w:val="0"/>
      <w:jc w:val="left"/>
      <w:textAlignment w:val="baseline"/>
    </w:pPr>
    <w:rPr>
      <w:rFonts w:ascii="宋体" w:hAnsi="Courier New" w:eastAsia="楷体_GB2312" w:cs="宋体"/>
      <w:kern w:val="0"/>
      <w:sz w:val="26"/>
      <w:szCs w:val="26"/>
    </w:rPr>
  </w:style>
  <w:style w:type="paragraph" w:customStyle="1" w:styleId="130">
    <w:name w:val="文档正文"/>
    <w:basedOn w:val="1"/>
    <w:qFormat/>
    <w:uiPriority w:val="99"/>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131">
    <w:name w:val="样式 标题 2 + 黑色 行距: 1.5 倍行距"/>
    <w:basedOn w:val="4"/>
    <w:qFormat/>
    <w:uiPriority w:val="99"/>
    <w:pPr>
      <w:adjustRightInd/>
      <w:spacing w:line="360" w:lineRule="auto"/>
      <w:ind w:firstLine="3502" w:firstLineChars="1246"/>
      <w:textAlignment w:val="auto"/>
    </w:pPr>
    <w:rPr>
      <w:rFonts w:ascii="楷体_GB2312" w:hAnsi="宋体" w:eastAsia="楷体_GB2312" w:cs="楷体_GB2312"/>
      <w:kern w:val="2"/>
      <w:sz w:val="28"/>
      <w:szCs w:val="28"/>
    </w:rPr>
  </w:style>
  <w:style w:type="paragraph" w:customStyle="1" w:styleId="132">
    <w:name w:val="Body Text First Indent 21"/>
    <w:qFormat/>
    <w:uiPriority w:val="99"/>
    <w:pPr>
      <w:widowControl w:val="0"/>
      <w:spacing w:line="480" w:lineRule="auto"/>
      <w:ind w:firstLine="420" w:firstLineChars="200"/>
      <w:jc w:val="both"/>
    </w:pPr>
    <w:rPr>
      <w:rFonts w:ascii="仿宋" w:hAnsi="仿宋" w:eastAsia="仿宋" w:cs="仿宋"/>
      <w:kern w:val="2"/>
      <w:sz w:val="24"/>
      <w:szCs w:val="24"/>
      <w:lang w:val="en-US" w:eastAsia="zh-CN" w:bidi="ar-SA"/>
    </w:rPr>
  </w:style>
  <w:style w:type="paragraph" w:customStyle="1" w:styleId="133">
    <w:name w:val="正文_0"/>
    <w:qFormat/>
    <w:uiPriority w:val="99"/>
    <w:rPr>
      <w:rFonts w:ascii="Times New Roman" w:hAnsi="Times New Roman" w:eastAsia="宋体" w:cs="Times New Roman"/>
      <w:sz w:val="21"/>
      <w:szCs w:val="21"/>
      <w:lang w:val="en-US" w:eastAsia="zh-CN" w:bidi="ar-SA"/>
    </w:rPr>
  </w:style>
  <w:style w:type="paragraph" w:customStyle="1" w:styleId="134">
    <w:name w:val="msonormalcxspmidd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5">
    <w:name w:val="ZX-正文"/>
    <w:qFormat/>
    <w:uiPriority w:val="0"/>
    <w:pPr>
      <w:spacing w:beforeLines="50"/>
      <w:ind w:firstLine="480" w:firstLineChars="200"/>
    </w:pPr>
    <w:rPr>
      <w:rFonts w:ascii="Trebuchet MS" w:hAnsi="FuturaA Bk BT" w:eastAsia="宋体" w:cs="Times New Roman"/>
      <w:kern w:val="2"/>
      <w:sz w:val="24"/>
      <w:lang w:val="en-US" w:eastAsia="zh-CN" w:bidi="ar-SA"/>
    </w:rPr>
  </w:style>
  <w:style w:type="paragraph" w:customStyle="1" w:styleId="136">
    <w:name w:val="Body"/>
    <w:qFormat/>
    <w:uiPriority w:val="0"/>
    <w:rPr>
      <w:rFonts w:hint="eastAsia" w:ascii="Arial Unicode MS" w:hAnsi="Arial Unicode MS" w:eastAsia="Helvetica" w:cs="Arial Unicode MS"/>
      <w:color w:val="000000"/>
      <w:sz w:val="22"/>
      <w:szCs w:val="22"/>
      <w:lang w:val="en-US" w:eastAsia="zh-CN" w:bidi="ar-SA"/>
    </w:rPr>
  </w:style>
  <w:style w:type="paragraph" w:customStyle="1" w:styleId="137">
    <w:name w:val="Body text|1"/>
    <w:basedOn w:val="1"/>
    <w:qFormat/>
    <w:uiPriority w:val="0"/>
    <w:pPr>
      <w:spacing w:line="434" w:lineRule="auto"/>
      <w:ind w:firstLine="400"/>
    </w:pPr>
    <w:rPr>
      <w:rFonts w:ascii="宋体" w:hAnsi="宋体" w:cs="宋体"/>
      <w:sz w:val="20"/>
      <w:szCs w:val="20"/>
      <w:lang w:val="zh-TW" w:eastAsia="zh-TW" w:bidi="zh-TW"/>
    </w:rPr>
  </w:style>
  <w:style w:type="paragraph" w:customStyle="1" w:styleId="138">
    <w:name w:val="正文首行缩进 21"/>
    <w:basedOn w:val="17"/>
    <w:unhideWhenUsed/>
    <w:qFormat/>
    <w:uiPriority w:val="99"/>
    <w:pPr>
      <w:ind w:firstLine="420" w:firstLineChars="200"/>
    </w:pPr>
  </w:style>
  <w:style w:type="character" w:customStyle="1" w:styleId="139">
    <w:name w:val="font61"/>
    <w:basedOn w:val="53"/>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55</Pages>
  <Words>32900</Words>
  <Characters>34177</Characters>
  <Lines>271</Lines>
  <Paragraphs>76</Paragraphs>
  <TotalTime>1</TotalTime>
  <ScaleCrop>false</ScaleCrop>
  <LinksUpToDate>false</LinksUpToDate>
  <CharactersWithSpaces>35738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2021-04-13T03:26:00Z</dcterms:created>
  <dc:creator>ql</dc:creator>
  <cp:lastModifiedBy>IVY</cp:lastModifiedBy>
  <cp:lastPrinted>2021-11-05T00:42:00Z</cp:lastPrinted>
  <dcterms:modified xsi:type="dcterms:W3CDTF">2022-07-04T06:52:04Z</dcterms:modified>
  <dc:title>崇川区闸管所2020年闸（站）液压式启闭机维修保养项目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5C0C8341FC5A47D0A5600841DF0501AE</vt:lpwstr>
  </property>
</Properties>
</file>