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7"/>
        <w:ind w:left="520" w:firstLine="560"/>
      </w:pPr>
    </w:p>
    <w:p>
      <w:pPr>
        <w:pStyle w:val="56"/>
        <w:tabs>
          <w:tab w:val="left" w:pos="420"/>
        </w:tabs>
        <w:spacing w:before="120"/>
        <w:ind w:firstLine="210"/>
      </w:pPr>
    </w:p>
    <w:p>
      <w:pPr>
        <w:tabs>
          <w:tab w:val="left" w:pos="1050"/>
          <w:tab w:val="right" w:leader="dot" w:pos="9402"/>
        </w:tabs>
        <w:jc w:val="center"/>
        <w:rPr>
          <w:rFonts w:ascii="黑体" w:hAnsi="黑体" w:eastAsia="黑体" w:cs="黑体"/>
          <w:sz w:val="48"/>
          <w:szCs w:val="48"/>
        </w:rPr>
      </w:pPr>
      <w:r>
        <w:rPr>
          <w:rFonts w:hint="eastAsia" w:ascii="黑体" w:hAnsi="黑体" w:eastAsia="黑体" w:cs="黑体"/>
          <w:sz w:val="48"/>
          <w:szCs w:val="48"/>
        </w:rPr>
        <w:t>南通市妇幼保健院</w:t>
      </w:r>
    </w:p>
    <w:p>
      <w:pPr>
        <w:tabs>
          <w:tab w:val="left" w:pos="1050"/>
          <w:tab w:val="right" w:leader="dot" w:pos="9402"/>
        </w:tabs>
        <w:jc w:val="center"/>
        <w:rPr>
          <w:rFonts w:ascii="黑体" w:hAnsi="黑体" w:eastAsia="黑体" w:cs="黑体"/>
          <w:sz w:val="48"/>
          <w:szCs w:val="48"/>
        </w:rPr>
      </w:pPr>
      <w:r>
        <w:rPr>
          <w:rFonts w:hint="eastAsia" w:ascii="黑体" w:hAnsi="黑体" w:eastAsia="黑体" w:cs="黑体"/>
          <w:sz w:val="48"/>
          <w:szCs w:val="48"/>
        </w:rPr>
        <w:t>内部控制体系建设服务项目</w:t>
      </w:r>
    </w:p>
    <w:p>
      <w:pPr>
        <w:tabs>
          <w:tab w:val="left" w:pos="1050"/>
          <w:tab w:val="right" w:leader="dot" w:pos="9402"/>
        </w:tabs>
        <w:spacing w:line="1600" w:lineRule="exact"/>
        <w:jc w:val="center"/>
        <w:rPr>
          <w:rFonts w:hint="eastAsia" w:ascii="宋体" w:hAnsi="宋体" w:eastAsia="宋体" w:cs="宋体"/>
          <w:sz w:val="52"/>
          <w:szCs w:val="52"/>
          <w:lang w:eastAsia="zh-CN"/>
        </w:rPr>
      </w:pPr>
      <w:r>
        <w:rPr>
          <w:rFonts w:hint="eastAsia" w:ascii="宋体" w:hAnsi="宋体" w:eastAsia="宋体" w:cs="宋体"/>
          <w:sz w:val="52"/>
          <w:szCs w:val="52"/>
        </w:rPr>
        <w:t>竞争性磋商文件</w:t>
      </w:r>
      <w:r>
        <w:rPr>
          <w:rFonts w:hint="eastAsia" w:ascii="宋体" w:hAnsi="宋体" w:eastAsia="宋体" w:cs="宋体"/>
          <w:sz w:val="52"/>
          <w:szCs w:val="52"/>
          <w:lang w:eastAsia="zh-CN"/>
        </w:rPr>
        <w:t>（二次）</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5"/>
      </w:pPr>
    </w:p>
    <w:p>
      <w:pPr>
        <w:snapToGrid w:val="0"/>
        <w:spacing w:line="360" w:lineRule="auto"/>
        <w:rPr>
          <w:rFonts w:ascii="Arial" w:hAnsi="Arial" w:eastAsia="黑体"/>
          <w:b/>
          <w:bCs/>
          <w:sz w:val="36"/>
          <w:szCs w:val="36"/>
        </w:rPr>
      </w:pPr>
    </w:p>
    <w:p>
      <w:pPr>
        <w:pStyle w:val="57"/>
        <w:ind w:left="520" w:firstLine="723"/>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二〇二二年五月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uBe5dgAAAAKAQAADwAAAAAAAAABACAAAAAiAAAAZHJzL2Rv&#10;d25yZXYueG1sUEsBAhQAFAAAAAgAh07iQKjASXrIAQAAhAMAAA4AAAAAAAAAAQAgAAAAJwEAAGRy&#10;cy9lMm9Eb2MueG1sUEsFBgAAAAAGAAYAWQEAAGEFAAAAAA==&#10;">
            <v:path/>
            <v:fill focussize="0,0"/>
            <v:stroke on="f" joinstyle="miter"/>
            <v:imagedata o:title=""/>
            <o:lock v:ext="edit"/>
            <v:textbox>
              <w:txbxContent>
                <w:p/>
              </w:txbxContent>
            </v:textbox>
          </v:shape>
        </w:pict>
      </w:r>
      <w:r>
        <w:pict>
          <v:shape id="文本框 1"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d6BtkAAAANAQAADwAAAAAAAAABACAAAAAiAAAAZHJzL2Rv&#10;d25yZXYueG1sUEsBAhQAFAAAAAgAh07iQGwrp8rHAQAAhAMAAA4AAAAAAAAAAQAgAAAAKAEAAGRy&#10;cy9lMm9Eb2MueG1sUEsFBgAAAAAGAAYAWQEAAGE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5"/>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江苏方桂圆工程项目管理有限公司（以下称代理机构）受南通市妇幼保健院（以下称采购单位）的委托，就南通市妇幼保健院内部控制体系建设服务项目组织竞争性磋商采购</w:t>
      </w:r>
      <w:r>
        <w:rPr>
          <w:rFonts w:hint="eastAsia" w:cs="宋体" w:asciiTheme="majorEastAsia" w:hAnsiTheme="majorEastAsia" w:eastAsiaTheme="majorEastAsia"/>
          <w:sz w:val="24"/>
          <w:szCs w:val="24"/>
          <w:lang w:eastAsia="zh-CN"/>
        </w:rPr>
        <w:t>（二次）</w:t>
      </w:r>
      <w:r>
        <w:rPr>
          <w:rFonts w:hint="eastAsia" w:cs="宋体" w:asciiTheme="majorEastAsia" w:hAnsiTheme="majorEastAsia" w:eastAsiaTheme="majorEastAsia"/>
          <w:sz w:val="24"/>
          <w:szCs w:val="24"/>
        </w:rPr>
        <w:t>，诚邀符合条件的潜在供应商参加该项目的竞争性磋商。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项目名称：南通市妇幼保健院内部控制体系建设服务项目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25万元</w:t>
      </w:r>
      <w:bookmarkEnd w:id="2"/>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项目需求：见本竞争性磋商文件第三章</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法律、行政法规规定的其他条件。  </w:t>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3、供应商为具有内部控制、风险管理咨询服务能力的独立法人或其他组织，有能力提供本次采购项目所要求的服务，提供营业执照副本复印件或三证合一的营业执照副本复印件。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与供应商签订的有效劳动合同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拟派本项目负责人具有注册会计师资格证书，熟悉医院管理及行政事业内部控制基本规范，熟悉国家、省、市对医院经营管理和内部控制相关的规定，有过类似工作经验。提供资格证书及相关工作经验证明材料的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6、提供《资格声明函》。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highlight w:val="none"/>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highlight w:val="none"/>
        </w:rPr>
        <w:t>有意愿参与本项目磋商的供应商，请于本公告发布之日起至开标前，至“南通市妇幼保健院官网（http://www.ntfybj.com/）”或“南通市卫生健康委员会官网（</w:t>
      </w:r>
      <w:r>
        <w:rPr>
          <w:highlight w:val="none"/>
        </w:rPr>
        <w:fldChar w:fldCharType="begin"/>
      </w:r>
      <w:r>
        <w:rPr>
          <w:highlight w:val="none"/>
        </w:rPr>
        <w:instrText xml:space="preserve"> HYPERLINK "http://wjw.nantong.gov.cn/" </w:instrText>
      </w:r>
      <w:r>
        <w:rPr>
          <w:highlight w:val="none"/>
        </w:rPr>
        <w:fldChar w:fldCharType="separate"/>
      </w:r>
      <w:r>
        <w:rPr>
          <w:rFonts w:hint="eastAsia" w:cs="宋体" w:asciiTheme="majorEastAsia" w:hAnsiTheme="majorEastAsia" w:eastAsiaTheme="majorEastAsia"/>
          <w:bCs/>
          <w:sz w:val="24"/>
          <w:szCs w:val="24"/>
          <w:highlight w:val="none"/>
        </w:rPr>
        <w:t>http://wjw.nantong.gov.cn/</w:t>
      </w:r>
      <w:r>
        <w:rPr>
          <w:rFonts w:hint="eastAsia" w:cs="宋体" w:asciiTheme="majorEastAsia" w:hAnsiTheme="majorEastAsia" w:eastAsiaTheme="majorEastAsia"/>
          <w:bCs/>
          <w:sz w:val="24"/>
          <w:szCs w:val="24"/>
          <w:highlight w:val="none"/>
        </w:rPr>
        <w:fldChar w:fldCharType="end"/>
      </w:r>
      <w:r>
        <w:rPr>
          <w:rFonts w:hint="eastAsia" w:cs="宋体" w:asciiTheme="majorEastAsia" w:hAnsiTheme="majorEastAsia" w:eastAsiaTheme="majorEastAsia"/>
          <w:bCs/>
          <w:sz w:val="24"/>
          <w:szCs w:val="24"/>
          <w:highlight w:val="none"/>
        </w:rPr>
        <w:t>）”自行下载本项目的竞争性磋商文件。</w:t>
      </w:r>
      <w:r>
        <w:rPr>
          <w:rFonts w:hint="eastAsia" w:cs="宋体" w:asciiTheme="majorEastAsia" w:hAnsiTheme="majorEastAsia" w:eastAsiaTheme="majorEastAsia"/>
          <w:bCs/>
          <w:sz w:val="24"/>
          <w:szCs w:val="24"/>
        </w:rPr>
        <w:t>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hint="eastAsia" w:cs="宋体" w:asciiTheme="majorEastAsia" w:hAnsiTheme="majorEastAsia" w:eastAsiaTheme="majorEastAsia"/>
          <w:color w:val="000000" w:themeColor="text1"/>
          <w:sz w:val="24"/>
          <w:szCs w:val="24"/>
          <w:highlight w:val="none"/>
          <w:lang w:val="en-US" w:eastAsia="zh-CN"/>
        </w:rPr>
      </w:pPr>
      <w:r>
        <w:rPr>
          <w:rFonts w:hint="eastAsia" w:cs="宋体" w:asciiTheme="majorEastAsia" w:hAnsiTheme="majorEastAsia" w:eastAsiaTheme="majorEastAsia"/>
          <w:color w:val="000000" w:themeColor="text1"/>
          <w:sz w:val="24"/>
          <w:szCs w:val="24"/>
          <w:highlight w:val="none"/>
          <w:lang w:val="en-US" w:eastAsia="zh-CN"/>
        </w:rPr>
        <w:t>1、凡有意愿参与本项目磋商的供应商，应自本公告发布之日起至2022年6月8日止（每日工作时间：上午9:00—11:30，下午14:00—17:30，节假日除外）按照本公告附件中“申请函”形式回函（加盖公章）发彩色扫描件至邮箱fgyjszx2@163.com，否则其响应文件不予受理。可致电招标代理单位确认（毛琴，0513-55886299，13515206113）邮件发送情况。</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highlight w:val="none"/>
        </w:rPr>
      </w:pPr>
      <w:r>
        <w:rPr>
          <w:rFonts w:hint="eastAsia" w:cs="宋体" w:asciiTheme="majorEastAsia" w:hAnsiTheme="majorEastAsia" w:eastAsiaTheme="majorEastAsia"/>
          <w:color w:val="000000" w:themeColor="text1"/>
          <w:sz w:val="24"/>
          <w:szCs w:val="24"/>
          <w:highlight w:val="none"/>
          <w:lang w:val="en-US" w:eastAsia="zh-CN"/>
        </w:rPr>
        <w:t>2</w:t>
      </w:r>
      <w:r>
        <w:rPr>
          <w:rFonts w:hint="eastAsia" w:cs="宋体" w:asciiTheme="majorEastAsia" w:hAnsiTheme="majorEastAsia" w:eastAsiaTheme="majorEastAsia"/>
          <w:color w:val="000000" w:themeColor="text1"/>
          <w:sz w:val="24"/>
          <w:szCs w:val="24"/>
          <w:highlight w:val="none"/>
        </w:rPr>
        <w:t>、</w:t>
      </w:r>
      <w:r>
        <w:rPr>
          <w:rFonts w:hint="eastAsia" w:cs="宋体" w:asciiTheme="majorEastAsia" w:hAnsiTheme="majorEastAsia" w:eastAsiaTheme="majorEastAsia"/>
          <w:color w:val="000000" w:themeColor="text1"/>
          <w:sz w:val="24"/>
          <w:szCs w:val="24"/>
          <w:highlight w:val="none"/>
          <w:lang w:eastAsia="zh-CN"/>
        </w:rPr>
        <w:t>响应文件递交</w:t>
      </w:r>
      <w:r>
        <w:rPr>
          <w:rFonts w:hint="eastAsia" w:cs="宋体" w:asciiTheme="majorEastAsia" w:hAnsiTheme="majorEastAsia" w:eastAsiaTheme="majorEastAsia"/>
          <w:color w:val="000000" w:themeColor="text1"/>
          <w:sz w:val="24"/>
          <w:szCs w:val="24"/>
          <w:highlight w:val="none"/>
        </w:rPr>
        <w:t>截止时</w:t>
      </w:r>
      <w:r>
        <w:rPr>
          <w:rFonts w:hint="eastAsia" w:cs="宋体" w:asciiTheme="majorEastAsia" w:hAnsiTheme="majorEastAsia" w:eastAsiaTheme="majorEastAsia"/>
          <w:sz w:val="24"/>
          <w:szCs w:val="24"/>
          <w:highlight w:val="none"/>
        </w:rPr>
        <w:t>间：2022年</w:t>
      </w:r>
      <w:r>
        <w:rPr>
          <w:rFonts w:hint="eastAsia" w:cs="宋体" w:asciiTheme="majorEastAsia" w:hAnsiTheme="majorEastAsia" w:eastAsiaTheme="majorEastAsia"/>
          <w:sz w:val="24"/>
          <w:szCs w:val="24"/>
          <w:highlight w:val="none"/>
          <w:lang w:val="en-US" w:eastAsia="zh-CN"/>
        </w:rPr>
        <w:t>6</w:t>
      </w:r>
      <w:r>
        <w:rPr>
          <w:rFonts w:hint="eastAsia" w:cs="宋体" w:asciiTheme="majorEastAsia" w:hAnsiTheme="majorEastAsia" w:eastAsiaTheme="majorEastAsia"/>
          <w:sz w:val="24"/>
          <w:szCs w:val="24"/>
          <w:highlight w:val="none"/>
        </w:rPr>
        <w:t>月</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日14时30分（北京时</w:t>
      </w:r>
      <w:r>
        <w:rPr>
          <w:rFonts w:hint="eastAsia" w:cs="宋体" w:asciiTheme="majorEastAsia" w:hAnsiTheme="majorEastAsia" w:eastAsiaTheme="majorEastAsia"/>
          <w:color w:val="000000" w:themeColor="text1"/>
          <w:sz w:val="24"/>
          <w:szCs w:val="24"/>
          <w:highlight w:val="none"/>
        </w:rPr>
        <w:t>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rPr>
        <w:t>、地点：</w:t>
      </w:r>
      <w:r>
        <w:rPr>
          <w:rFonts w:hint="eastAsia" w:cs="宋体" w:asciiTheme="majorEastAsia" w:hAnsiTheme="majorEastAsia" w:eastAsiaTheme="majorEastAsia"/>
          <w:bCs/>
          <w:sz w:val="24"/>
          <w:szCs w:val="24"/>
          <w:highlight w:val="none"/>
        </w:rPr>
        <w:t>江苏方桂圆工程项目管理有限公司（南</w:t>
      </w:r>
      <w:r>
        <w:rPr>
          <w:rFonts w:hint="eastAsia" w:cs="宋体" w:asciiTheme="majorEastAsia" w:hAnsiTheme="majorEastAsia" w:eastAsiaTheme="majorEastAsia"/>
          <w:bCs/>
          <w:sz w:val="24"/>
          <w:szCs w:val="24"/>
        </w:rPr>
        <w:t>通市世纪大道恒隆国际大厦A座701室）</w:t>
      </w:r>
      <w:r>
        <w:rPr>
          <w:rFonts w:hint="eastAsia" w:cs="宋体" w:asciiTheme="majorEastAsia" w:hAnsiTheme="majorEastAsia" w:eastAsiaTheme="majorEastAsia"/>
          <w:sz w:val="24"/>
          <w:szCs w:val="24"/>
        </w:rPr>
        <w:t>，如有变动另行通知。</w:t>
      </w: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default" w:ascii="宋体" w:hAnsi="宋体" w:eastAsia="宋体" w:cs="宋体"/>
          <w:b/>
          <w:bCs/>
          <w:kern w:val="0"/>
          <w:sz w:val="24"/>
          <w:szCs w:val="24"/>
          <w:lang w:val="en-US"/>
        </w:rPr>
        <w:drawing>
          <wp:anchor distT="0" distB="0" distL="114300" distR="114300" simplePos="0" relativeHeight="251662336" behindDoc="0" locked="0" layoutInCell="1" allowOverlap="1">
            <wp:simplePos x="0" y="0"/>
            <wp:positionH relativeFrom="column">
              <wp:posOffset>3922395</wp:posOffset>
            </wp:positionH>
            <wp:positionV relativeFrom="paragraph">
              <wp:posOffset>-86995</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五、开启响应文件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highlight w:val="none"/>
        </w:rPr>
      </w:pPr>
      <w:r>
        <w:rPr>
          <w:rFonts w:hint="eastAsia" w:cs="宋体" w:asciiTheme="majorEastAsia" w:hAnsiTheme="majorEastAsia" w:eastAsiaTheme="majorEastAsia"/>
          <w:bCs/>
          <w:color w:val="000000" w:themeColor="text1"/>
          <w:sz w:val="24"/>
          <w:szCs w:val="24"/>
        </w:rPr>
        <w:t>1、</w:t>
      </w:r>
      <w:r>
        <w:rPr>
          <w:rFonts w:hint="eastAsia" w:cs="宋体" w:asciiTheme="majorEastAsia" w:hAnsiTheme="majorEastAsia" w:eastAsiaTheme="majorEastAsia"/>
          <w:bCs/>
          <w:color w:val="000000" w:themeColor="text1"/>
          <w:sz w:val="24"/>
          <w:szCs w:val="24"/>
          <w:highlight w:val="none"/>
        </w:rPr>
        <w:t>时间：</w:t>
      </w:r>
      <w:r>
        <w:rPr>
          <w:rFonts w:hint="eastAsia" w:cs="宋体" w:asciiTheme="majorEastAsia" w:hAnsiTheme="majorEastAsia" w:eastAsiaTheme="majorEastAsia"/>
          <w:sz w:val="24"/>
          <w:szCs w:val="24"/>
          <w:highlight w:val="none"/>
        </w:rPr>
        <w:t>2022年</w:t>
      </w:r>
      <w:r>
        <w:rPr>
          <w:rFonts w:hint="eastAsia" w:cs="宋体" w:asciiTheme="majorEastAsia" w:hAnsiTheme="majorEastAsia" w:eastAsiaTheme="majorEastAsia"/>
          <w:sz w:val="24"/>
          <w:szCs w:val="24"/>
          <w:highlight w:val="none"/>
          <w:lang w:val="en-US" w:eastAsia="zh-CN"/>
        </w:rPr>
        <w:t>6</w:t>
      </w:r>
      <w:r>
        <w:rPr>
          <w:rFonts w:hint="eastAsia" w:cs="宋体" w:asciiTheme="majorEastAsia" w:hAnsiTheme="majorEastAsia" w:eastAsiaTheme="majorEastAsia"/>
          <w:sz w:val="24"/>
          <w:szCs w:val="24"/>
          <w:highlight w:val="none"/>
        </w:rPr>
        <w:t>月</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日14时30分</w:t>
      </w:r>
      <w:r>
        <w:rPr>
          <w:rFonts w:hint="eastAsia" w:cs="宋体" w:asciiTheme="majorEastAsia" w:hAnsiTheme="majorEastAsia" w:eastAsiaTheme="majorEastAsia"/>
          <w:sz w:val="24"/>
          <w:szCs w:val="24"/>
          <w:highlight w:val="none"/>
        </w:rPr>
        <w:t>（北京时</w:t>
      </w:r>
      <w:r>
        <w:rPr>
          <w:rFonts w:hint="eastAsia" w:cs="宋体" w:asciiTheme="majorEastAsia" w:hAnsiTheme="majorEastAsia" w:eastAsiaTheme="majorEastAsia"/>
          <w:color w:val="000000" w:themeColor="text1"/>
          <w:sz w:val="24"/>
          <w:szCs w:val="24"/>
          <w:highlight w:val="none"/>
        </w:rPr>
        <w:t>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highlight w:val="none"/>
        </w:rPr>
        <w:t>2、地点：江苏方桂圆工程项目管理有限公司（南通</w:t>
      </w:r>
      <w:r>
        <w:rPr>
          <w:rFonts w:hint="eastAsia" w:cs="宋体" w:asciiTheme="majorEastAsia" w:hAnsiTheme="majorEastAsia" w:eastAsiaTheme="majorEastAsia"/>
          <w:bCs/>
          <w:sz w:val="24"/>
          <w:szCs w:val="24"/>
        </w:rPr>
        <w:t>市世纪大道恒隆国际大厦A座701室），如有变动另行通知。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六、联系方式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联系人：刘老师</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联系电话：13615238508</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联系人：毛琴</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p>
    <w:p>
      <w:pPr>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br w:type="page"/>
      </w:r>
    </w:p>
    <w:p>
      <w:pPr>
        <w:spacing w:line="380" w:lineRule="exact"/>
        <w:ind w:right="420"/>
        <w:rPr>
          <w:rFonts w:ascii="宋体" w:hAnsi="宋体" w:eastAsia="宋体" w:cs="宋体"/>
        </w:rPr>
      </w:pPr>
      <w:r>
        <w:rPr>
          <w:rFonts w:hint="eastAsia" w:ascii="宋体" w:hAnsi="宋体" w:eastAsia="宋体" w:cs="宋体"/>
        </w:rPr>
        <w:t>附件：</w:t>
      </w:r>
    </w:p>
    <w:p>
      <w:pPr>
        <w:spacing w:line="420" w:lineRule="exact"/>
        <w:jc w:val="center"/>
        <w:rPr>
          <w:rFonts w:ascii="宋体" w:hAnsi="宋体" w:eastAsia="宋体" w:cs="宋体"/>
          <w:b/>
          <w:bCs/>
          <w:sz w:val="32"/>
          <w:szCs w:val="32"/>
        </w:rPr>
      </w:pPr>
      <w:r>
        <w:rPr>
          <w:rFonts w:hint="eastAsia" w:ascii="宋体" w:hAnsi="宋体" w:eastAsia="宋体" w:cs="宋体"/>
          <w:b/>
          <w:bCs/>
          <w:sz w:val="32"/>
          <w:szCs w:val="32"/>
        </w:rPr>
        <w:t>申请函</w:t>
      </w:r>
    </w:p>
    <w:p>
      <w:pPr>
        <w:spacing w:line="420" w:lineRule="exact"/>
        <w:jc w:val="center"/>
        <w:rPr>
          <w:rFonts w:ascii="宋体" w:hAnsi="宋体" w:eastAsia="宋体" w:cs="宋体"/>
          <w:b/>
          <w:bCs/>
          <w:sz w:val="32"/>
          <w:szCs w:val="32"/>
        </w:rPr>
      </w:pPr>
    </w:p>
    <w:p>
      <w:pPr>
        <w:spacing w:line="360" w:lineRule="auto"/>
        <w:rPr>
          <w:rFonts w:hint="eastAsia" w:ascii="宋体" w:hAnsi="宋体" w:eastAsia="宋体" w:cs="宋体"/>
          <w:u w:val="single"/>
          <w:lang w:eastAsia="zh-CN"/>
        </w:rPr>
      </w:pPr>
      <w:r>
        <w:rPr>
          <w:rFonts w:hint="eastAsia" w:ascii="宋体" w:hAnsi="宋体" w:eastAsia="宋体" w:cs="宋体"/>
        </w:rPr>
        <w:t>致：</w:t>
      </w:r>
      <w:r>
        <w:rPr>
          <w:rFonts w:hint="eastAsia" w:ascii="宋体" w:hAnsi="宋体" w:eastAsia="宋体" w:cs="宋体"/>
          <w:u w:val="single"/>
        </w:rPr>
        <w:t>南通市</w:t>
      </w:r>
      <w:r>
        <w:rPr>
          <w:rFonts w:hint="eastAsia" w:ascii="宋体" w:hAnsi="宋体" w:eastAsia="宋体" w:cs="宋体"/>
          <w:u w:val="single"/>
          <w:lang w:eastAsia="zh-CN"/>
        </w:rPr>
        <w:t>妇幼保健院</w:t>
      </w:r>
    </w:p>
    <w:p>
      <w:pPr>
        <w:spacing w:line="360" w:lineRule="auto"/>
        <w:ind w:firstLine="520" w:firstLineChars="200"/>
        <w:rPr>
          <w:rFonts w:ascii="宋体" w:hAnsi="宋体" w:eastAsia="宋体" w:cs="宋体"/>
        </w:rPr>
      </w:pPr>
      <w:r>
        <w:rPr>
          <w:rFonts w:hint="eastAsia" w:ascii="宋体" w:hAnsi="宋体" w:eastAsia="宋体" w:cs="宋体"/>
        </w:rPr>
        <w:t>我公司已获悉贵单位发出的</w:t>
      </w:r>
      <w:r>
        <w:rPr>
          <w:rFonts w:hint="eastAsia" w:ascii="宋体" w:hAnsi="宋体" w:eastAsia="宋体" w:cs="宋体"/>
          <w:kern w:val="0"/>
          <w:u w:val="single"/>
        </w:rPr>
        <w:t>南通市妇幼保健院内部控制体系建设服务项目</w:t>
      </w:r>
      <w:r>
        <w:rPr>
          <w:rFonts w:hint="eastAsia" w:ascii="宋体" w:hAnsi="宋体" w:eastAsia="宋体" w:cs="宋体"/>
          <w:kern w:val="0"/>
          <w:u w:val="single"/>
          <w:lang w:eastAsia="zh-CN"/>
        </w:rPr>
        <w:t>（二次）</w:t>
      </w:r>
      <w:r>
        <w:rPr>
          <w:rFonts w:hint="eastAsia" w:ascii="宋体" w:hAnsi="宋体" w:eastAsia="宋体" w:cs="宋体"/>
        </w:rPr>
        <w:t>招标公告，经研究决定，我单位申请参加本项目</w:t>
      </w:r>
      <w:r>
        <w:rPr>
          <w:rFonts w:hint="eastAsia" w:ascii="宋体" w:hAnsi="宋体" w:eastAsia="宋体" w:cs="宋体"/>
          <w:u w:val="none"/>
        </w:rPr>
        <w:t>的</w:t>
      </w:r>
      <w:r>
        <w:rPr>
          <w:rFonts w:hint="eastAsia" w:ascii="宋体" w:hAnsi="宋体" w:eastAsia="宋体" w:cs="宋体"/>
        </w:rPr>
        <w:t>投标。</w:t>
      </w:r>
    </w:p>
    <w:p>
      <w:pPr>
        <w:spacing w:line="360" w:lineRule="auto"/>
        <w:ind w:firstLine="520" w:firstLineChars="200"/>
        <w:rPr>
          <w:rFonts w:ascii="宋体" w:hAnsi="宋体" w:eastAsia="宋体" w:cs="宋体"/>
        </w:rPr>
      </w:pPr>
    </w:p>
    <w:p>
      <w:pPr>
        <w:spacing w:line="420" w:lineRule="exact"/>
        <w:ind w:firstLine="520" w:firstLineChars="200"/>
        <w:rPr>
          <w:rFonts w:ascii="宋体" w:hAnsi="宋体" w:eastAsia="宋体" w:cs="宋体"/>
        </w:rPr>
      </w:pPr>
      <w:r>
        <w:rPr>
          <w:rFonts w:hint="eastAsia" w:ascii="宋体" w:hAnsi="宋体" w:eastAsia="宋体" w:cs="宋体"/>
        </w:rPr>
        <w:t>联系人：</w:t>
      </w:r>
    </w:p>
    <w:p>
      <w:pPr>
        <w:spacing w:line="420" w:lineRule="exact"/>
        <w:ind w:firstLine="520" w:firstLineChars="200"/>
        <w:rPr>
          <w:rFonts w:ascii="宋体" w:hAnsi="宋体" w:eastAsia="宋体" w:cs="宋体"/>
        </w:rPr>
      </w:pPr>
      <w:r>
        <w:rPr>
          <w:rFonts w:hint="eastAsia" w:ascii="宋体" w:hAnsi="宋体" w:eastAsia="宋体" w:cs="宋体"/>
        </w:rPr>
        <w:t>联系电话：</w:t>
      </w:r>
    </w:p>
    <w:p>
      <w:pPr>
        <w:spacing w:line="420" w:lineRule="exact"/>
        <w:ind w:firstLine="520" w:firstLineChars="200"/>
        <w:rPr>
          <w:rFonts w:ascii="宋体" w:hAnsi="宋体" w:eastAsia="宋体" w:cs="宋体"/>
          <w:lang w:val="zh-CN"/>
        </w:rPr>
      </w:pPr>
      <w:r>
        <w:rPr>
          <w:rFonts w:ascii="宋体" w:hAnsi="宋体" w:eastAsia="宋体" w:cs="宋体"/>
          <w:lang w:val="zh-CN"/>
        </w:rPr>
        <w:t>EMAIL</w:t>
      </w:r>
      <w:bookmarkStart w:id="14" w:name="_GoBack"/>
      <w:bookmarkEnd w:id="14"/>
      <w:r>
        <w:rPr>
          <w:rFonts w:ascii="宋体" w:hAnsi="宋体" w:eastAsia="宋体" w:cs="宋体"/>
          <w:lang w:val="zh-CN"/>
        </w:rPr>
        <w:t>地址：</w:t>
      </w:r>
    </w:p>
    <w:p>
      <w:pPr>
        <w:widowControl/>
        <w:jc w:val="left"/>
        <w:rPr>
          <w:rFonts w:ascii="宋体" w:hAnsi="宋体" w:eastAsia="宋体" w:cs="宋体"/>
        </w:rPr>
      </w:pPr>
    </w:p>
    <w:p>
      <w:pPr>
        <w:spacing w:line="420" w:lineRule="exact"/>
        <w:ind w:firstLine="520" w:firstLineChars="200"/>
        <w:jc w:val="right"/>
        <w:rPr>
          <w:rFonts w:ascii="宋体" w:hAnsi="宋体" w:eastAsia="宋体" w:cs="宋体"/>
          <w:lang w:val="zh-CN"/>
        </w:rPr>
      </w:pPr>
    </w:p>
    <w:p>
      <w:pPr>
        <w:spacing w:line="420" w:lineRule="exact"/>
        <w:ind w:firstLine="520" w:firstLineChars="200"/>
        <w:jc w:val="right"/>
        <w:rPr>
          <w:rFonts w:ascii="宋体" w:hAnsi="宋体" w:eastAsia="宋体" w:cs="宋体"/>
          <w:lang w:val="zh-CN"/>
        </w:rPr>
      </w:pPr>
      <w:r>
        <w:rPr>
          <w:rFonts w:hint="eastAsia" w:ascii="宋体" w:hAnsi="宋体" w:eastAsia="宋体" w:cs="宋体"/>
          <w:lang w:val="zh-CN"/>
        </w:rPr>
        <w:t>单位：</w:t>
      </w:r>
      <w:r>
        <w:rPr>
          <w:rFonts w:ascii="宋体" w:hAnsi="宋体" w:eastAsia="宋体" w:cs="宋体"/>
          <w:u w:val="single"/>
          <w:lang w:val="zh-CN"/>
        </w:rPr>
        <w:t xml:space="preserve">          （盖章）</w:t>
      </w:r>
      <w:r>
        <w:rPr>
          <w:rFonts w:ascii="宋体" w:hAnsi="宋体" w:eastAsia="宋体" w:cs="宋体"/>
          <w:lang w:val="zh-CN"/>
        </w:rPr>
        <w:t xml:space="preserve">        </w:t>
      </w:r>
    </w:p>
    <w:p>
      <w:pPr>
        <w:widowControl/>
        <w:snapToGrid w:val="0"/>
        <w:spacing w:line="440" w:lineRule="exact"/>
        <w:ind w:firstLine="509" w:firstLineChars="196"/>
        <w:jc w:val="right"/>
        <w:rPr>
          <w:rFonts w:cs="宋体" w:asciiTheme="majorEastAsia" w:hAnsiTheme="majorEastAsia" w:eastAsiaTheme="majorEastAsia"/>
          <w:sz w:val="24"/>
          <w:szCs w:val="24"/>
        </w:rPr>
      </w:pPr>
      <w:r>
        <w:rPr>
          <w:rFonts w:hint="eastAsia" w:ascii="宋体" w:hAnsi="宋体" w:eastAsia="宋体" w:cs="宋体"/>
          <w:lang w:val="zh-CN"/>
        </w:rPr>
        <w:t>年</w:t>
      </w:r>
      <w:r>
        <w:rPr>
          <w:rFonts w:ascii="宋体" w:hAnsi="宋体" w:eastAsia="宋体" w:cs="宋体"/>
        </w:rPr>
        <w:t xml:space="preserve">  </w:t>
      </w:r>
      <w:r>
        <w:rPr>
          <w:rFonts w:hint="eastAsia" w:ascii="宋体" w:hAnsi="宋体" w:eastAsia="宋体" w:cs="宋体"/>
          <w:lang w:val="zh-CN"/>
        </w:rPr>
        <w:t>月</w:t>
      </w:r>
      <w:r>
        <w:rPr>
          <w:rFonts w:ascii="宋体" w:hAnsi="宋体" w:eastAsia="宋体" w:cs="宋体"/>
        </w:rPr>
        <w:t xml:space="preserve">  </w:t>
      </w:r>
      <w:r>
        <w:rPr>
          <w:rFonts w:hint="eastAsia" w:ascii="宋体" w:hAnsi="宋体" w:eastAsia="宋体" w:cs="宋体"/>
          <w:lang w:val="zh-CN"/>
        </w:rPr>
        <w:t>日</w:t>
      </w: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1、本磋商文件仅适用于江苏方桂圆工程项目管理有限公司组织的招标采购活动。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3、磋商文件的解释权属于江苏方桂圆工程项目管理有限公司。</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5、供应商应认真审阅本磋商文件中的所有事项、格式、条款和规范要求等，如果供应商没有按照磋商文件要求提交磋商响应文件，或者磋商响应文件没有对磋商文件做出实质性响应，将被拒绝参与项目的磋商。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4、补充说明、澄清或修改的内容可能影响到磋商响应文件编制，采购代理机构将在首次提交磋商响应文件截止日5日前，发布补充说明、澄清或修改公告。不足5日的，应当顺延提交首次响应文件截止时间。</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3、磋商响应文件中的所有“正本”，须为打印的，其正文内容由法定代表人或被委托授权人签字（或盖章）并加盖公章，“副本”可为“正本”的复印件，但须加盖单位公章。</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59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4、供应商应按本竞争性磋商文件内项目需求及合同条款的全部采购内容计算总价，最终磋商报价应包括本项目的全部费用及相关的服务费。</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响应报价应包括但不限于：供应商为完成本项目所投入人员工资、调研费、培训费、交通费、差旅费、会务费、资料费、文件打印装订费、管理费、税金及政策性文件规定合同包含内的所有风险责任等各项费用。采购人不再承担供应商一次性报价之外的其他任何费用，供应商的最终成交价在合同实施期间不因市场变化因素而变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1、磋商文件及相关资料费300元/份，由供应商在递交响应文件时一同缴纳给代理机构，无论是否成交，该费用不予退还。</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2、本次磋商采购代理服务费人民币1500元由成交供应商承担，请参加磋商的供应商在成本中自行考虑，由成交供应商在领取成交通知书时向采购代理机构一次性付清。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3、无论磋商过程和结果如何，参加项目磋商的供应商自行承担与本次项目磋商有关的全部费用。</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1、本项目成交后的履约保证金为项目成交价的10%。</w:t>
      </w:r>
    </w:p>
    <w:p>
      <w:pPr>
        <w:spacing w:line="5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2、成交供应商的履约保证金须在成交通知书发出3日内汇入采购人账户，成交供应商凭</w:t>
      </w:r>
      <w:r>
        <w:rPr>
          <w:rFonts w:hint="eastAsia" w:ascii="宋体" w:hAnsi="宋体" w:eastAsia="宋体" w:cs="宋体"/>
          <w:sz w:val="24"/>
          <w:szCs w:val="24"/>
        </w:rPr>
        <w:t>成交通知书、履约保证金缴纳凭证在成交通知</w:t>
      </w:r>
      <w:r>
        <w:rPr>
          <w:rFonts w:hint="eastAsia" w:ascii="宋体" w:hAnsi="宋体" w:eastAsia="宋体" w:cs="宋体"/>
          <w:sz w:val="24"/>
          <w:szCs w:val="24"/>
          <w:lang w:val="zh-CN"/>
        </w:rPr>
        <w:t>书发出后15日内与采购人签订合同。超期或未有协商，则视为自动放弃成交资格。</w:t>
      </w:r>
    </w:p>
    <w:p>
      <w:pPr>
        <w:spacing w:line="5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3、成交供应商在合同期按要求保质保量地完成该项目合同并通过验收后，采购人凭成交供应商提交的申请，</w:t>
      </w:r>
      <w:r>
        <w:rPr>
          <w:rFonts w:hint="eastAsia" w:ascii="宋体" w:hAnsi="宋体" w:eastAsia="宋体" w:cs="宋体"/>
          <w:sz w:val="24"/>
          <w:szCs w:val="24"/>
        </w:rPr>
        <w:t>10个工作日内</w:t>
      </w:r>
      <w:r>
        <w:rPr>
          <w:rFonts w:hint="eastAsia" w:ascii="宋体" w:hAnsi="宋体" w:eastAsia="宋体" w:cs="宋体"/>
          <w:sz w:val="24"/>
          <w:szCs w:val="24"/>
          <w:lang w:val="zh-CN"/>
        </w:rPr>
        <w:t>一次性无息退还该合同项目的履约保证金。</w:t>
      </w:r>
    </w:p>
    <w:p>
      <w:pPr>
        <w:spacing w:line="520" w:lineRule="exact"/>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4、由于成交供应商原因，在签订合同后出现不按合同或项目需求履行的情况，采购单位有权将履约保证金作为违约金，全额不予退还，同时采购单位亦有权终止合同，成交供应商还须承担相应的法律赔偿责任。</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6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或服务同采购人提出的项目需求不同的，必须在《技术服务条款响应表》上明示，如不明示的视同完全响应。</w:t>
      </w:r>
    </w:p>
    <w:p>
      <w:pPr>
        <w:numPr>
          <w:ilvl w:val="255"/>
          <w:numId w:val="0"/>
        </w:numPr>
        <w:spacing w:line="460" w:lineRule="exact"/>
        <w:ind w:firstLine="482" w:firstLineChars="200"/>
        <w:rPr>
          <w:rFonts w:ascii="宋体" w:hAnsi="宋体" w:eastAsia="宋体"/>
          <w:b/>
          <w:bCs/>
          <w:sz w:val="24"/>
          <w:szCs w:val="24"/>
          <w:lang w:val="zh-CN"/>
        </w:rPr>
      </w:pPr>
      <w:bookmarkStart w:id="5" w:name="_Toc13642116"/>
      <w:r>
        <w:rPr>
          <w:rFonts w:hint="eastAsia" w:ascii="宋体" w:hAnsi="宋体" w:eastAsia="宋体"/>
          <w:b/>
          <w:bCs/>
          <w:sz w:val="24"/>
          <w:szCs w:val="24"/>
          <w:lang w:val="zh-CN"/>
        </w:rPr>
        <w:t>一、总体目标</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1、全面推进医院内部控制建设，进一步规范医院经济活动及相关业务活动，有效防范和管控内部运营风险，建立健全科学有效的内部制约机制，促进医院服务效能和内部治理水平不断提高。</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2、保证医院经济活动合法合规、医疗及互联网业务规范有序、资产安全和使用有效、财务信息真实完整，有效防范舞弊和预防腐败、提高资源配置和使用效益。</w:t>
      </w:r>
    </w:p>
    <w:p>
      <w:pPr>
        <w:numPr>
          <w:ilvl w:val="255"/>
          <w:numId w:val="0"/>
        </w:numPr>
        <w:spacing w:line="460" w:lineRule="exact"/>
        <w:ind w:firstLine="480" w:firstLineChars="200"/>
        <w:rPr>
          <w:rFonts w:ascii="宋体" w:hAnsi="宋体" w:eastAsia="宋体"/>
          <w:b/>
          <w:bCs/>
          <w:sz w:val="24"/>
          <w:szCs w:val="24"/>
          <w:lang w:val="zh-CN"/>
        </w:rPr>
      </w:pPr>
      <w:r>
        <w:rPr>
          <w:rFonts w:hint="eastAsia" w:ascii="宋体" w:hAnsi="宋体" w:eastAsia="宋体"/>
          <w:sz w:val="24"/>
          <w:szCs w:val="24"/>
          <w:lang w:val="zh-CN"/>
        </w:rPr>
        <w:t>3、须满足国家卫生健康委和国家中医药管理局对公立医院内部控制《公立医院内部控制管理办法》的要求。</w:t>
      </w:r>
    </w:p>
    <w:p>
      <w:pPr>
        <w:numPr>
          <w:ilvl w:val="255"/>
          <w:numId w:val="0"/>
        </w:numPr>
        <w:spacing w:line="460" w:lineRule="exact"/>
        <w:ind w:firstLine="482" w:firstLineChars="200"/>
        <w:rPr>
          <w:rFonts w:ascii="宋体" w:hAnsi="宋体" w:eastAsia="宋体"/>
          <w:b/>
          <w:bCs/>
          <w:sz w:val="24"/>
          <w:szCs w:val="24"/>
          <w:lang w:val="zh-CN"/>
        </w:rPr>
      </w:pPr>
      <w:r>
        <w:rPr>
          <w:rFonts w:hint="eastAsia" w:ascii="宋体" w:hAnsi="宋体" w:eastAsia="宋体"/>
          <w:b/>
          <w:bCs/>
          <w:sz w:val="24"/>
          <w:szCs w:val="24"/>
          <w:lang w:val="zh-CN"/>
        </w:rPr>
        <w:t>二、服务内容</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color w:val="auto"/>
          <w:sz w:val="24"/>
          <w:szCs w:val="24"/>
          <w:lang w:val="zh-CN"/>
        </w:rPr>
        <w:t>医院内部控制主要包括：风险评估、内部控制建设、内部控制报告、内部控制评价。根据我院实际情况，全面梳理</w:t>
      </w:r>
      <w:r>
        <w:rPr>
          <w:rFonts w:hint="eastAsia" w:ascii="宋体" w:hAnsi="宋体" w:eastAsia="宋体"/>
          <w:color w:val="auto"/>
          <w:sz w:val="24"/>
          <w:szCs w:val="24"/>
          <w:highlight w:val="none"/>
          <w:lang w:val="zh-CN"/>
        </w:rPr>
        <w:t>，辨识各项经济活动及相关业务活动存在的风险，评</w:t>
      </w:r>
      <w:r>
        <w:rPr>
          <w:rFonts w:hint="eastAsia" w:ascii="宋体" w:hAnsi="宋体" w:eastAsia="宋体"/>
          <w:sz w:val="24"/>
          <w:szCs w:val="24"/>
          <w:lang w:val="zh-CN"/>
        </w:rPr>
        <w:t>估当前管控措施的设计及执行有效性，并根据医院当前管理需求制定相应的应对策略，优化完善管控措施，梳理完善业务流程，优化业务表单，出具业务流程图及流程说明，列示风险点及控制措施，梳理并优化医院内部控制管理制度。</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本项目服务需求包括但不限于以下内容：</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1、制定医院内部控制体系建设实施方案。</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2、开展风险评估：对医院的风险进行全面评估，风险评估管理包括单位层面和业务层面的风险评估。</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1</w:t>
      </w:r>
      <w:r>
        <w:rPr>
          <w:rFonts w:hint="eastAsia" w:ascii="宋体" w:hAnsi="宋体" w:eastAsia="宋体"/>
          <w:sz w:val="24"/>
          <w:szCs w:val="24"/>
          <w:lang w:val="zh-CN"/>
        </w:rPr>
        <w:t>）单位层面的风险评估主要包括内部控制组织建设情况、内部控制机制建设情况、内部控制制度建设情况、内部控制队伍建设情况、内部控制流程建设情况、其他需要关注的内容（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风险评估包括：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内容（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3、根据医院实际情况，从单位层面及业务层面建立医院整体内部控制体系。</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1</w:t>
      </w:r>
      <w:r>
        <w:rPr>
          <w:rFonts w:hint="eastAsia" w:ascii="宋体" w:hAnsi="宋体" w:eastAsia="宋体"/>
          <w:sz w:val="24"/>
          <w:szCs w:val="24"/>
          <w:lang w:val="zh-CN"/>
        </w:rPr>
        <w:t>）单位层面的内部控制建设包括单位决策机制、内部管理机构设置及职责分工、决策和执行的制衡机制、内部管理机制的健全、关键岗位管理和信息化建设等（内容详见《公立医院内部控制管理办法》）。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内部控制建设包括：预算业务内部控制、收支业务内部控制、采购业务内部控制、资产业务内部控制、基本建设业务内部控制、合同业务内部控制、医疗业务内部控制、科研业务内部控制、教学业务内部控制、互联网医疗业务内部控制、医联体业务内部控制、信息化建设业务内部控制等内容（内容详见《公立医院内部控制管理办法》）。</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4、优化业务流程，设计合理合规的业务流程，编写内部控制手册。</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5、项目结束时，需向医院提交的资料清单包括但不限于：</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《医院内部控制建设实施方案》（包括培训资料）</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医院</w:t>
      </w:r>
      <w:r>
        <w:rPr>
          <w:rFonts w:hint="eastAsia" w:ascii="宋体" w:hAnsi="宋体" w:eastAsia="宋体"/>
          <w:sz w:val="24"/>
          <w:szCs w:val="24"/>
          <w:lang w:val="zh-CN"/>
        </w:rPr>
        <w:t>风险评估报告》（包括单位层面、业务层面）</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《医院内部控制手册》（含内控流程图、内控文档等）</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《医院内部控制报告》</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6、进行人员培训并对医院各部门及人员在内部控制实施过程中的责任等内容进行专题培训（合同期内，全院性的大培训至少3次）。</w:t>
      </w:r>
    </w:p>
    <w:p>
      <w:pPr>
        <w:numPr>
          <w:ilvl w:val="255"/>
          <w:numId w:val="0"/>
        </w:numPr>
        <w:spacing w:line="460" w:lineRule="exact"/>
        <w:ind w:firstLine="480" w:firstLineChars="200"/>
        <w:rPr>
          <w:rFonts w:ascii="宋体" w:hAnsi="宋体" w:eastAsia="宋体"/>
          <w:sz w:val="24"/>
          <w:szCs w:val="24"/>
          <w:lang w:val="zh-CN"/>
        </w:rPr>
      </w:pPr>
      <w:r>
        <w:rPr>
          <w:rFonts w:hint="eastAsia" w:ascii="宋体" w:hAnsi="宋体" w:eastAsia="宋体"/>
          <w:sz w:val="24"/>
          <w:szCs w:val="24"/>
          <w:lang w:val="zh-CN"/>
        </w:rPr>
        <w:t>7、</w:t>
      </w:r>
      <w:r>
        <w:rPr>
          <w:rFonts w:hint="eastAsia" w:ascii="宋体" w:hAnsi="宋体" w:eastAsia="宋体"/>
          <w:sz w:val="24"/>
          <w:szCs w:val="24"/>
        </w:rPr>
        <w:t>验收交付后</w:t>
      </w:r>
      <w:r>
        <w:rPr>
          <w:rFonts w:hint="eastAsia" w:ascii="宋体" w:hAnsi="宋体" w:eastAsia="宋体"/>
          <w:sz w:val="24"/>
          <w:szCs w:val="24"/>
          <w:lang w:val="zh-CN"/>
        </w:rPr>
        <w:t>提供</w:t>
      </w:r>
      <w:r>
        <w:rPr>
          <w:rFonts w:hint="eastAsia" w:ascii="宋体" w:hAnsi="宋体" w:eastAsia="宋体"/>
          <w:sz w:val="24"/>
          <w:szCs w:val="24"/>
        </w:rPr>
        <w:t>相关业务</w:t>
      </w:r>
      <w:r>
        <w:rPr>
          <w:rFonts w:hint="eastAsia" w:ascii="宋体" w:hAnsi="宋体" w:eastAsia="宋体"/>
          <w:sz w:val="24"/>
          <w:szCs w:val="24"/>
          <w:lang w:val="zh-CN"/>
        </w:rPr>
        <w:t>电话咨询与解答服务。</w:t>
      </w:r>
    </w:p>
    <w:p>
      <w:pPr>
        <w:numPr>
          <w:ilvl w:val="255"/>
          <w:numId w:val="0"/>
        </w:numPr>
        <w:spacing w:line="460" w:lineRule="exact"/>
        <w:ind w:firstLine="480" w:firstLineChars="200"/>
        <w:rPr>
          <w:rFonts w:ascii="宋体" w:hAnsi="宋体" w:eastAsia="宋体"/>
          <w:b/>
          <w:bCs/>
          <w:sz w:val="24"/>
          <w:szCs w:val="24"/>
          <w:lang w:val="zh-CN"/>
        </w:rPr>
      </w:pPr>
      <w:r>
        <w:rPr>
          <w:rFonts w:hint="eastAsia" w:ascii="宋体" w:hAnsi="宋体" w:eastAsia="宋体"/>
          <w:sz w:val="24"/>
          <w:szCs w:val="24"/>
          <w:lang w:val="zh-CN"/>
        </w:rPr>
        <w:t>8、本项目具体实施内容详见《公立医院内部控制管理办法》（国卫财务发〔2020〕31号）文件中各项规定，项目实施完成后，医院内控建设应符合《行政事业单位内部控制规范》、《关于全面推进行政事业单位内部控制指导意见》和《公立医院内部控制管理办法》等相关规定。</w:t>
      </w:r>
    </w:p>
    <w:p>
      <w:pPr>
        <w:numPr>
          <w:ilvl w:val="255"/>
          <w:numId w:val="0"/>
        </w:numPr>
        <w:spacing w:line="460" w:lineRule="exact"/>
        <w:ind w:firstLine="482" w:firstLineChars="200"/>
        <w:rPr>
          <w:rFonts w:ascii="宋体" w:hAnsi="宋体" w:eastAsia="宋体"/>
          <w:b/>
          <w:bCs/>
          <w:sz w:val="24"/>
          <w:szCs w:val="24"/>
          <w:lang w:val="zh-CN"/>
        </w:rPr>
      </w:pPr>
      <w:r>
        <w:rPr>
          <w:rFonts w:hint="eastAsia" w:ascii="宋体" w:hAnsi="宋体" w:eastAsia="宋体"/>
          <w:b/>
          <w:bCs/>
          <w:sz w:val="24"/>
          <w:szCs w:val="24"/>
          <w:lang w:val="zh-CN"/>
        </w:rPr>
        <w:t>三、项目进度要求</w:t>
      </w:r>
    </w:p>
    <w:p>
      <w:pPr>
        <w:numPr>
          <w:ilvl w:val="255"/>
          <w:numId w:val="0"/>
        </w:numPr>
        <w:spacing w:line="460" w:lineRule="exact"/>
        <w:ind w:firstLine="480" w:firstLineChars="200"/>
        <w:rPr>
          <w:rFonts w:ascii="宋体" w:hAnsi="宋体" w:eastAsia="宋体"/>
          <w:b/>
          <w:bCs/>
          <w:sz w:val="24"/>
          <w:szCs w:val="24"/>
          <w:lang w:val="zh-CN"/>
        </w:rPr>
      </w:pPr>
      <w:r>
        <w:rPr>
          <w:rFonts w:hint="eastAsia" w:ascii="宋体" w:hAnsi="宋体" w:eastAsia="宋体"/>
          <w:sz w:val="24"/>
          <w:szCs w:val="24"/>
          <w:lang w:val="zh-CN"/>
        </w:rPr>
        <w:t>2022年12月31日前按采购文件及合同要求提交服务成果，在保证成果质量的前提下，工期越短越好。</w:t>
      </w:r>
    </w:p>
    <w:p>
      <w:pPr>
        <w:numPr>
          <w:ilvl w:val="255"/>
          <w:numId w:val="0"/>
        </w:numPr>
        <w:spacing w:line="460" w:lineRule="exact"/>
        <w:ind w:firstLine="482" w:firstLineChars="200"/>
        <w:rPr>
          <w:rFonts w:ascii="宋体" w:hAnsi="宋体" w:eastAsia="宋体"/>
          <w:b/>
          <w:bCs/>
          <w:sz w:val="24"/>
          <w:szCs w:val="24"/>
          <w:lang w:val="zh-CN"/>
        </w:rPr>
      </w:pPr>
      <w:r>
        <w:rPr>
          <w:rFonts w:hint="eastAsia" w:ascii="宋体" w:hAnsi="宋体" w:eastAsia="宋体"/>
          <w:b/>
          <w:bCs/>
          <w:sz w:val="24"/>
          <w:szCs w:val="24"/>
          <w:lang w:val="zh-CN"/>
        </w:rPr>
        <w:t>四、付款方式</w:t>
      </w:r>
    </w:p>
    <w:bookmarkEnd w:id="5"/>
    <w:p>
      <w:pPr>
        <w:numPr>
          <w:ilvl w:val="255"/>
          <w:numId w:val="0"/>
        </w:numPr>
        <w:spacing w:line="460" w:lineRule="exact"/>
        <w:ind w:firstLine="360" w:firstLineChars="150"/>
        <w:rPr>
          <w:rFonts w:ascii="宋体" w:hAnsi="宋体" w:eastAsia="宋体"/>
          <w:sz w:val="24"/>
          <w:szCs w:val="24"/>
          <w:lang w:val="zh-CN"/>
        </w:rPr>
      </w:pPr>
      <w:r>
        <w:rPr>
          <w:rFonts w:hint="eastAsia" w:ascii="宋体" w:hAnsi="宋体" w:eastAsia="宋体"/>
          <w:sz w:val="24"/>
          <w:szCs w:val="24"/>
          <w:lang w:val="zh-CN"/>
        </w:rPr>
        <w:t>与中标单位签订服务合同后，支付合同总额的30%；项目完成并通过采购人验收后支付合同总额的60%；项目完成1年后，中标单位提供运行1年后的《医院内部控制报告》，采购人付清余款。每次付款中标单位须开具有效增值税发票。</w:t>
      </w:r>
      <w:r>
        <w:rPr>
          <w:rFonts w:hint="eastAsia" w:ascii="宋体" w:hAnsi="宋体" w:eastAsia="宋体"/>
          <w:b/>
          <w:bCs/>
          <w:sz w:val="24"/>
          <w:szCs w:val="24"/>
          <w:lang w:val="zh-CN"/>
        </w:rPr>
        <w:br w:type="page"/>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1、本次竞争性磋商依据《中华人民共和国政府采购法》、《政府采购竞争性磋商采购方式管理暂行办法》及有关法规成立磋商小组。磋商小组由评审专家组成，评审专家3人。</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采用竞争性磋商方式的政府采购项目，评审专家应当从政府采购评审专家库内相关专业的专家名单中随机抽取。情况特殊或通过随机方式难以确定合适的评审专家的，经财政部门同意，可以自行选定评审专家。</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17、若本次采购投标供应商不足三家，则终止本次竞争性磋商采购活动，重新开展采购活动。</w:t>
      </w:r>
    </w:p>
    <w:p>
      <w:pPr>
        <w:snapToGrid w:val="0"/>
        <w:spacing w:line="360" w:lineRule="auto"/>
        <w:ind w:firstLine="360" w:firstLineChars="15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18、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财库（2015）124号）</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技术分值占总分值的比重为80%（权重）（四舍五入保留两位小数）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报价分值占总分值的比重为20%（权重）（四舍五入保留两位小数）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（一）技术标满分80分，评标委员会根据以下几个方面进行综合评估打分(取算术平均值，得分采用四舍五入法保留小数点后两位小数。)</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13"/>
        <w:gridCol w:w="8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30" w:type="pct"/>
            <w:noWrap/>
            <w:vAlign w:val="center"/>
          </w:tcPr>
          <w:p>
            <w:pPr>
              <w:widowControl/>
              <w:adjustRightInd w:val="0"/>
              <w:jc w:val="center"/>
              <w:rPr>
                <w:rFonts w:ascii="宋体" w:hAnsi="宋体" w:eastAsia="宋体"/>
                <w:b/>
                <w:bCs/>
                <w:sz w:val="24"/>
                <w:szCs w:val="24"/>
              </w:rPr>
            </w:pPr>
            <w:r>
              <w:rPr>
                <w:rFonts w:hint="eastAsia" w:ascii="宋体" w:hAnsi="宋体" w:eastAsia="宋体"/>
                <w:b/>
                <w:bCs/>
                <w:sz w:val="24"/>
                <w:szCs w:val="24"/>
              </w:rPr>
              <w:t>评审项</w:t>
            </w:r>
          </w:p>
        </w:tc>
        <w:tc>
          <w:tcPr>
            <w:tcW w:w="330" w:type="pct"/>
            <w:noWrap/>
            <w:vAlign w:val="center"/>
          </w:tcPr>
          <w:p>
            <w:pPr>
              <w:widowControl/>
              <w:adjustRightInd w:val="0"/>
              <w:jc w:val="center"/>
              <w:rPr>
                <w:rFonts w:ascii="宋体" w:hAnsi="宋体" w:eastAsia="宋体"/>
                <w:b/>
                <w:bCs/>
                <w:sz w:val="24"/>
                <w:szCs w:val="24"/>
              </w:rPr>
            </w:pPr>
            <w:r>
              <w:rPr>
                <w:rFonts w:hint="eastAsia" w:ascii="宋体" w:hAnsi="宋体" w:eastAsia="宋体"/>
                <w:b/>
                <w:bCs/>
                <w:sz w:val="24"/>
                <w:szCs w:val="24"/>
              </w:rPr>
              <w:t>分值</w:t>
            </w:r>
          </w:p>
        </w:tc>
        <w:tc>
          <w:tcPr>
            <w:tcW w:w="4339" w:type="pct"/>
            <w:noWrap/>
            <w:vAlign w:val="center"/>
          </w:tcPr>
          <w:p>
            <w:pPr>
              <w:widowControl/>
              <w:adjustRightInd w:val="0"/>
              <w:jc w:val="center"/>
              <w:rPr>
                <w:rFonts w:ascii="宋体" w:hAnsi="宋体" w:eastAsia="宋体"/>
                <w:b/>
                <w:bCs/>
                <w:sz w:val="24"/>
                <w:szCs w:val="24"/>
              </w:rPr>
            </w:pPr>
            <w:r>
              <w:rPr>
                <w:rFonts w:hint="eastAsia" w:ascii="宋体" w:hAnsi="宋体" w:eastAsia="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330" w:type="pct"/>
            <w:noWrap/>
            <w:vAlign w:val="center"/>
          </w:tcPr>
          <w:p>
            <w:pPr>
              <w:snapToGrid w:val="0"/>
              <w:jc w:val="center"/>
              <w:rPr>
                <w:rFonts w:ascii="宋体" w:hAnsi="宋体" w:eastAsia="宋体"/>
                <w:sz w:val="24"/>
                <w:szCs w:val="24"/>
              </w:rPr>
            </w:pPr>
            <w:r>
              <w:rPr>
                <w:rFonts w:hint="eastAsia" w:ascii="宋体" w:hAnsi="宋体" w:eastAsia="宋体"/>
                <w:sz w:val="24"/>
                <w:szCs w:val="24"/>
              </w:rPr>
              <w:t>综合实力</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8分</w:t>
            </w:r>
          </w:p>
        </w:tc>
        <w:tc>
          <w:tcPr>
            <w:tcW w:w="4339" w:type="pct"/>
            <w:noWrap/>
            <w:vAlign w:val="center"/>
          </w:tcPr>
          <w:p>
            <w:pPr>
              <w:snapToGrid w:val="0"/>
              <w:spacing w:line="400" w:lineRule="exact"/>
              <w:rPr>
                <w:rFonts w:ascii="宋体" w:hAnsi="宋体" w:eastAsia="宋体"/>
                <w:sz w:val="24"/>
                <w:szCs w:val="24"/>
              </w:rPr>
            </w:pPr>
            <w:r>
              <w:rPr>
                <w:rFonts w:hint="eastAsia" w:ascii="宋体" w:hAnsi="宋体" w:eastAsia="宋体"/>
                <w:sz w:val="24"/>
                <w:szCs w:val="24"/>
              </w:rPr>
              <w:t>1.供应商获得质量管理体系认证、环境管理体系认证、职业健康安全管理体系认证且证书在有效期内的，每提供1份证书得2分，本项最高得6分。（提供证书扫描件加盖供应商公章）</w:t>
            </w:r>
          </w:p>
          <w:p>
            <w:pPr>
              <w:snapToGrid w:val="0"/>
              <w:spacing w:line="400" w:lineRule="exact"/>
              <w:rPr>
                <w:rFonts w:eastAsia="宋体"/>
              </w:rPr>
            </w:pPr>
            <w:r>
              <w:rPr>
                <w:rFonts w:hint="eastAsia" w:ascii="宋体" w:hAnsi="宋体" w:eastAsia="宋体"/>
                <w:sz w:val="24"/>
                <w:szCs w:val="24"/>
              </w:rPr>
              <w:t>2.供应商主持的内部控制相关研究，研究成果获奖的，每提供1个得1分，本项最高得2分。（提供证书扫描件加盖供应商公章）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330" w:type="pct"/>
            <w:noWrap/>
            <w:vAlign w:val="center"/>
          </w:tcPr>
          <w:p>
            <w:pPr>
              <w:snapToGrid w:val="0"/>
              <w:jc w:val="center"/>
              <w:rPr>
                <w:rFonts w:ascii="宋体" w:hAnsi="宋体" w:eastAsia="宋体"/>
                <w:sz w:val="24"/>
                <w:szCs w:val="24"/>
              </w:rPr>
            </w:pPr>
            <w:r>
              <w:rPr>
                <w:rFonts w:hint="eastAsia" w:ascii="宋体" w:hAnsi="宋体" w:eastAsia="宋体"/>
                <w:sz w:val="24"/>
                <w:szCs w:val="24"/>
              </w:rPr>
              <w:t>业绩</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18分</w:t>
            </w:r>
          </w:p>
        </w:tc>
        <w:tc>
          <w:tcPr>
            <w:tcW w:w="4339" w:type="pct"/>
            <w:noWrap/>
            <w:vAlign w:val="center"/>
          </w:tcPr>
          <w:p>
            <w:pPr>
              <w:numPr>
                <w:ilvl w:val="0"/>
                <w:numId w:val="2"/>
              </w:numPr>
              <w:snapToGrid w:val="0"/>
              <w:spacing w:line="400" w:lineRule="exact"/>
              <w:rPr>
                <w:rFonts w:ascii="宋体" w:hAnsi="宋体" w:eastAsia="宋体"/>
                <w:sz w:val="24"/>
                <w:szCs w:val="24"/>
              </w:rPr>
            </w:pPr>
            <w:r>
              <w:rPr>
                <w:rFonts w:hint="eastAsia" w:ascii="宋体" w:hAnsi="宋体" w:eastAsia="宋体"/>
                <w:sz w:val="24"/>
                <w:szCs w:val="24"/>
              </w:rPr>
              <w:t>供应商提供2019年1月1日以来（以合同签订时间为准）为行政事业单位完成类似内控体系建设项目业绩，有1个得2分，本项最高得10分。（提供类似业绩合同及发票复印件，均加盖供应商公章，未提供或未完全提供证明材料的，不得分）</w:t>
            </w:r>
          </w:p>
          <w:p>
            <w:pPr>
              <w:numPr>
                <w:ilvl w:val="0"/>
                <w:numId w:val="2"/>
              </w:numPr>
              <w:snapToGrid w:val="0"/>
              <w:spacing w:line="400" w:lineRule="exact"/>
              <w:rPr>
                <w:rFonts w:ascii="宋体" w:hAnsi="宋体" w:eastAsia="宋体"/>
                <w:sz w:val="24"/>
                <w:szCs w:val="24"/>
              </w:rPr>
            </w:pPr>
            <w:r>
              <w:rPr>
                <w:rFonts w:hint="eastAsia" w:ascii="宋体" w:hAnsi="宋体" w:eastAsia="宋体"/>
                <w:sz w:val="24"/>
                <w:szCs w:val="24"/>
              </w:rPr>
              <w:t>本项目负责人参加过或负责过类似内控体系建设工作，有1个得2分，本项最高得8分。（提供项目负责人参与并签署的同类项目合同复印件作为证明，复印件加盖供应商公章，未提供或未完全提供证明材料的，不得分）（项目负责人业绩与供应商业绩同一项目不重复计分）</w:t>
            </w:r>
          </w:p>
          <w:p>
            <w:pPr>
              <w:snapToGrid w:val="0"/>
              <w:spacing w:line="40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5" w:hRule="atLeast"/>
          <w:jc w:val="center"/>
        </w:trPr>
        <w:tc>
          <w:tcPr>
            <w:tcW w:w="330" w:type="pct"/>
            <w:noWrap/>
            <w:vAlign w:val="center"/>
          </w:tcPr>
          <w:p>
            <w:pPr>
              <w:snapToGrid w:val="0"/>
              <w:jc w:val="center"/>
              <w:rPr>
                <w:rFonts w:ascii="宋体" w:hAnsi="宋体" w:eastAsia="宋体"/>
                <w:sz w:val="24"/>
                <w:szCs w:val="24"/>
              </w:rPr>
            </w:pPr>
            <w:r>
              <w:rPr>
                <w:rFonts w:hint="eastAsia" w:ascii="宋体" w:hAnsi="宋体" w:eastAsia="宋体"/>
                <w:sz w:val="24"/>
                <w:szCs w:val="24"/>
              </w:rPr>
              <w:t>整体服务方案</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36分</w:t>
            </w:r>
          </w:p>
        </w:tc>
        <w:tc>
          <w:tcPr>
            <w:tcW w:w="4339" w:type="pct"/>
            <w:noWrap/>
            <w:vAlign w:val="center"/>
          </w:tcPr>
          <w:p>
            <w:pPr>
              <w:spacing w:line="36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项目实施方案要素（人员、时间安排、实施步骤等因素），评委横向对比后打分，0-6分；</w:t>
            </w:r>
          </w:p>
          <w:p>
            <w:pPr>
              <w:spacing w:line="360" w:lineRule="exac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内部控制体系建设内容齐全（管理活动、经济活动）评委横向对比后打分，0-18分；</w:t>
            </w:r>
          </w:p>
          <w:p>
            <w:pPr>
              <w:spacing w:line="360" w:lineRule="exac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内部控制体系建设方法科学（调研方法、流程优化等）评委横向对比后打分，0-6分；</w:t>
            </w:r>
          </w:p>
          <w:p>
            <w:pPr>
              <w:snapToGrid w:val="0"/>
              <w:spacing w:line="400" w:lineRule="exact"/>
              <w:rPr>
                <w:rFonts w:hint="eastAsia" w:ascii="宋体" w:hAnsi="宋体" w:eastAsia="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内部控制体系建设成果（内部控制手册、风险评估报告）评委横向对比后打分，0-6分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服务团队配备</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10分</w:t>
            </w:r>
          </w:p>
        </w:tc>
        <w:tc>
          <w:tcPr>
            <w:tcW w:w="4339" w:type="pct"/>
            <w:noWrap/>
            <w:vAlign w:val="center"/>
          </w:tcPr>
          <w:p>
            <w:pPr>
              <w:spacing w:line="360" w:lineRule="exact"/>
              <w:rPr>
                <w:rFonts w:ascii="宋体" w:hAnsi="宋体" w:eastAsia="宋体" w:cs="宋体"/>
                <w:sz w:val="24"/>
                <w:szCs w:val="24"/>
              </w:rPr>
            </w:pPr>
            <w:r>
              <w:rPr>
                <w:rFonts w:hint="eastAsia" w:ascii="宋体" w:hAnsi="宋体" w:eastAsia="宋体" w:cs="宋体"/>
                <w:sz w:val="24"/>
                <w:szCs w:val="24"/>
              </w:rPr>
              <w:t>供应商服务团队人员配置、资质、服务经验方面：</w:t>
            </w:r>
          </w:p>
          <w:p>
            <w:pPr>
              <w:spacing w:line="360" w:lineRule="exac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根据供应商提供的拟参与本项目的团队中，每1名正高级会计师，得3分；每1名高级会计师，得2分；每1名会计师等中级职称的得1分，本项最高得6分；</w:t>
            </w:r>
          </w:p>
          <w:p>
            <w:pPr>
              <w:spacing w:line="360" w:lineRule="exac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参与本项目的团队综合实力，按相关领域专业技能、有同类型内控体系建设经验，优秀得4分，良好得2分，一般得1分。</w:t>
            </w:r>
          </w:p>
          <w:p>
            <w:pPr>
              <w:spacing w:line="360" w:lineRule="exact"/>
              <w:rPr>
                <w:rFonts w:ascii="宋体" w:hAnsi="宋体" w:eastAsia="宋体"/>
                <w:sz w:val="24"/>
                <w:szCs w:val="24"/>
              </w:rPr>
            </w:pPr>
            <w:r>
              <w:rPr>
                <w:rFonts w:hint="eastAsia" w:ascii="宋体" w:hAnsi="宋体" w:eastAsia="宋体" w:cs="宋体"/>
                <w:sz w:val="24"/>
                <w:szCs w:val="24"/>
              </w:rPr>
              <w:t>（须提供相关人员证明材料复印件及供应商为其缴纳的近6个月社保缴纳证明等证明文件，加盖供应商公章）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售后服务方案</w:t>
            </w:r>
          </w:p>
        </w:tc>
        <w:tc>
          <w:tcPr>
            <w:tcW w:w="330" w:type="pct"/>
            <w:noWrap/>
            <w:vAlign w:val="center"/>
          </w:tcPr>
          <w:p>
            <w:pPr>
              <w:widowControl/>
              <w:adjustRightInd w:val="0"/>
              <w:jc w:val="center"/>
              <w:rPr>
                <w:rFonts w:ascii="宋体" w:hAnsi="宋体" w:eastAsia="宋体"/>
                <w:sz w:val="24"/>
                <w:szCs w:val="24"/>
              </w:rPr>
            </w:pPr>
            <w:r>
              <w:rPr>
                <w:rFonts w:hint="eastAsia" w:ascii="宋体" w:hAnsi="宋体" w:eastAsia="宋体"/>
                <w:sz w:val="24"/>
                <w:szCs w:val="24"/>
              </w:rPr>
              <w:t>8分</w:t>
            </w:r>
          </w:p>
        </w:tc>
        <w:tc>
          <w:tcPr>
            <w:tcW w:w="4339" w:type="pct"/>
            <w:noWrap/>
            <w:vAlign w:val="center"/>
          </w:tcPr>
          <w:p>
            <w:pPr>
              <w:snapToGrid w:val="0"/>
              <w:spacing w:line="400" w:lineRule="exact"/>
              <w:rPr>
                <w:rFonts w:ascii="宋体" w:hAnsi="宋体" w:eastAsia="宋体"/>
                <w:sz w:val="24"/>
                <w:szCs w:val="24"/>
              </w:rPr>
            </w:pPr>
            <w:r>
              <w:rPr>
                <w:rFonts w:hint="eastAsia" w:ascii="宋体" w:hAnsi="宋体" w:eastAsia="宋体"/>
                <w:sz w:val="24"/>
                <w:szCs w:val="24"/>
              </w:rPr>
              <w:t xml:space="preserve">售后服务流程非常规范、可操作性强，售后服务质量控制方案详细、合理，且服务响应时间在30分钟内，得6-8分； </w:t>
            </w:r>
          </w:p>
          <w:p>
            <w:pPr>
              <w:snapToGrid w:val="0"/>
              <w:spacing w:line="400" w:lineRule="exact"/>
              <w:rPr>
                <w:rFonts w:ascii="宋体" w:hAnsi="宋体" w:eastAsia="宋体"/>
                <w:sz w:val="24"/>
                <w:szCs w:val="24"/>
              </w:rPr>
            </w:pPr>
            <w:r>
              <w:rPr>
                <w:rFonts w:hint="eastAsia" w:ascii="宋体" w:hAnsi="宋体" w:eastAsia="宋体"/>
                <w:sz w:val="24"/>
                <w:szCs w:val="24"/>
              </w:rPr>
              <w:t>售后服务流程较规范、可操作性较强，售后服务质量控制方案较详细、合理，且服务响应时间超过30分钟但在1小时内，得3-5分；</w:t>
            </w:r>
          </w:p>
          <w:p>
            <w:pPr>
              <w:snapToGrid w:val="0"/>
              <w:spacing w:line="400" w:lineRule="exact"/>
              <w:rPr>
                <w:rFonts w:ascii="宋体" w:hAnsi="宋体" w:eastAsia="宋体"/>
                <w:sz w:val="24"/>
                <w:szCs w:val="24"/>
              </w:rPr>
            </w:pPr>
            <w:r>
              <w:rPr>
                <w:rFonts w:hint="eastAsia" w:ascii="宋体" w:hAnsi="宋体" w:eastAsia="宋体"/>
                <w:sz w:val="24"/>
                <w:szCs w:val="24"/>
              </w:rPr>
              <w:t>售后服务流程不规范，可操作性较弱，售后服务质量控制方案简单、基本合理，且服务响应时间超过1小时，得1-2分；</w:t>
            </w:r>
          </w:p>
          <w:p>
            <w:pPr>
              <w:snapToGrid w:val="0"/>
              <w:spacing w:line="400" w:lineRule="exact"/>
              <w:rPr>
                <w:rFonts w:ascii="宋体" w:hAnsi="宋体" w:eastAsia="宋体"/>
                <w:sz w:val="24"/>
                <w:szCs w:val="24"/>
              </w:rPr>
            </w:pPr>
            <w:r>
              <w:rPr>
                <w:rFonts w:hint="eastAsia" w:ascii="宋体" w:hAnsi="宋体" w:eastAsia="宋体"/>
                <w:sz w:val="24"/>
                <w:szCs w:val="24"/>
              </w:rPr>
              <w:t>未提供售后服务方案得0分。</w:t>
            </w:r>
          </w:p>
        </w:tc>
      </w:tr>
    </w:tbl>
    <w:p>
      <w:pPr>
        <w:snapToGrid w:val="0"/>
        <w:spacing w:line="300" w:lineRule="auto"/>
        <w:ind w:firstLine="555"/>
        <w:rPr>
          <w:rFonts w:asciiTheme="majorEastAsia" w:hAnsiTheme="majorEastAsia" w:eastAsiaTheme="majorEastAsia" w:cstheme="minorEastAsia"/>
          <w:b/>
          <w:kern w:val="0"/>
          <w:sz w:val="24"/>
        </w:rPr>
      </w:pPr>
    </w:p>
    <w:p>
      <w:pPr>
        <w:snapToGrid w:val="0"/>
        <w:spacing w:line="300" w:lineRule="auto"/>
        <w:ind w:firstLine="555"/>
        <w:rPr>
          <w:rFonts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评分标准中涉及的证明材料，如为复印件均须加盖供应商公章，相关原件请带至开标现场备查，未携带原件或因携带原件不全所引起的后果由投标人自行承担。</w:t>
      </w:r>
    </w:p>
    <w:p>
      <w:pPr>
        <w:snapToGrid w:val="0"/>
        <w:spacing w:line="300" w:lineRule="auto"/>
        <w:ind w:firstLine="555"/>
        <w:rPr>
          <w:rFonts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（二）价格标评分：（20分）</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1、本次磋商采用固定总价报价，本项目最高限价为25万元。</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2、有效报价：指投标报价低于或等于最高限价的报价，高于最高限价的作废标处理。</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磋商报价得分=（磋商基准价/最终磋商报价）×20%×100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（2）监狱企业参加政府采购活动时，需提供由省级以上监狱管理局、戒毒管理局(含新疆生产建设兵团)出具的属于监狱企业的证明文件（无格式，请自拟）。供应商如不提供上述证明文件，价格将不做相应扣除。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1、竞争性磋商结束后，招标采购人将中标结果在指定媒体上公示1个工作日。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363573858"/>
      <w:bookmarkStart w:id="9" w:name="_Toc94585343"/>
      <w:r>
        <w:rPr>
          <w:rFonts w:hint="eastAsia" w:hAnsi="宋体" w:eastAsia="宋体"/>
          <w:sz w:val="24"/>
          <w:szCs w:val="24"/>
        </w:rPr>
        <w:t>一、成交供应商在接到《成交通知书》后15日内必须按照投标文件确定的事项与采购人签订合同。合同签订后成交供应商方可履约，否则引起的一切后果由成交人自行承担。合同一式四份（采购人叁份、供应商壹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1"/>
      <w:bookmarkStart w:id="11" w:name="OLE_LINK2"/>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五、付款方式见竞争性磋商文件第三章的要求，所有付款均不计利息，一切税费均由成交供应商承担。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Ansi="宋体" w:eastAsia="宋体"/>
          <w:sz w:val="24"/>
          <w:szCs w:val="24"/>
        </w:rPr>
      </w:pPr>
      <w:r>
        <w:rPr>
          <w:rFonts w:hint="eastAsia" w:hAnsi="宋体" w:eastAsia="宋体"/>
          <w:sz w:val="24"/>
          <w:szCs w:val="24"/>
        </w:rPr>
        <w:t>附：合同条款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ascii="宋体" w:hAnsi="宋体" w:eastAsia="宋体" w:cs="宋体"/>
          <w:b/>
          <w:color w:val="000000"/>
          <w:sz w:val="32"/>
          <w:szCs w:val="32"/>
        </w:rPr>
      </w:pPr>
      <w:bookmarkStart w:id="12" w:name="_Toc363573859"/>
      <w:r>
        <w:rPr>
          <w:rFonts w:hint="eastAsia" w:ascii="宋体" w:hAnsi="宋体" w:eastAsia="宋体" w:cs="宋体"/>
          <w:b/>
          <w:color w:val="000000"/>
          <w:sz w:val="32"/>
          <w:szCs w:val="32"/>
        </w:rPr>
        <w:t>合同条款</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甲方：南通市妇幼保健院</w:t>
      </w:r>
    </w:p>
    <w:p>
      <w:pPr>
        <w:adjustRightInd w:val="0"/>
        <w:snapToGrid w:val="0"/>
        <w:spacing w:line="360" w:lineRule="auto"/>
        <w:jc w:val="left"/>
        <w:rPr>
          <w:rFonts w:ascii="宋体" w:hAnsi="宋体" w:eastAsia="宋体" w:cs="宋体"/>
          <w:bCs/>
          <w:sz w:val="24"/>
          <w:szCs w:val="24"/>
        </w:rPr>
      </w:pPr>
      <w:r>
        <w:rPr>
          <w:rFonts w:hint="eastAsia" w:ascii="宋体" w:hAnsi="宋体" w:eastAsia="宋体" w:cs="宋体"/>
          <w:sz w:val="24"/>
          <w:szCs w:val="24"/>
        </w:rPr>
        <w:t>乙方：</w:t>
      </w:r>
    </w:p>
    <w:p>
      <w:pPr>
        <w:spacing w:line="480" w:lineRule="exact"/>
        <w:jc w:val="left"/>
        <w:rPr>
          <w:rFonts w:ascii="宋体" w:hAnsi="宋体" w:eastAsia="宋体" w:cs="宋体"/>
          <w:sz w:val="24"/>
          <w:szCs w:val="24"/>
        </w:rPr>
      </w:pPr>
      <w:r>
        <w:rPr>
          <w:rFonts w:hint="eastAsia" w:ascii="宋体" w:hAnsi="宋体" w:eastAsia="宋体" w:cs="宋体"/>
          <w:sz w:val="24"/>
          <w:szCs w:val="24"/>
        </w:rPr>
        <w:t>签订日期：年 月 日</w:t>
      </w:r>
    </w:p>
    <w:p>
      <w:pPr>
        <w:wordWrap w:val="0"/>
        <w:spacing w:line="480" w:lineRule="exact"/>
        <w:jc w:val="left"/>
        <w:rPr>
          <w:rFonts w:ascii="宋体" w:hAnsi="宋体" w:eastAsia="宋体" w:cs="宋体"/>
          <w:sz w:val="24"/>
          <w:szCs w:val="24"/>
          <w:u w:val="single"/>
        </w:rPr>
      </w:pPr>
      <w:r>
        <w:rPr>
          <w:rFonts w:hint="eastAsia" w:ascii="宋体" w:hAnsi="宋体" w:eastAsia="宋体" w:cs="宋体"/>
          <w:sz w:val="24"/>
          <w:szCs w:val="24"/>
        </w:rPr>
        <w:t>签订地点：</w:t>
      </w:r>
    </w:p>
    <w:p>
      <w:pPr>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根据《政府采购法》、《中华人民共和国民法典》及（项目名称</w:t>
      </w:r>
      <w:r>
        <w:rPr>
          <w:rFonts w:ascii="宋体" w:hAnsi="宋体" w:eastAsia="宋体" w:cs="宋体"/>
          <w:sz w:val="24"/>
          <w:szCs w:val="24"/>
        </w:rPr>
        <w:t>)的采购结果、采购文件及投标文件，经双方协商一致，签订本合同。</w:t>
      </w:r>
    </w:p>
    <w:p>
      <w:pPr>
        <w:snapToGrid w:val="0"/>
        <w:spacing w:line="480" w:lineRule="exact"/>
        <w:ind w:firstLine="480" w:firstLineChars="200"/>
        <w:jc w:val="left"/>
        <w:rPr>
          <w:rFonts w:eastAsia="宋体"/>
          <w:sz w:val="24"/>
          <w:szCs w:val="24"/>
        </w:rPr>
      </w:pPr>
      <w:r>
        <w:rPr>
          <w:rFonts w:hint="eastAsia" w:eastAsia="宋体"/>
          <w:sz w:val="24"/>
          <w:szCs w:val="24"/>
        </w:rPr>
        <w:t>一、服务内容</w:t>
      </w:r>
    </w:p>
    <w:p>
      <w:pPr>
        <w:snapToGrid w:val="0"/>
        <w:spacing w:line="480" w:lineRule="exact"/>
        <w:ind w:firstLine="480" w:firstLineChars="200"/>
        <w:jc w:val="left"/>
        <w:rPr>
          <w:rFonts w:ascii="宋体" w:hAnsi="宋体" w:eastAsia="宋体"/>
          <w:sz w:val="24"/>
          <w:szCs w:val="24"/>
          <w:lang w:val="zh-CN"/>
        </w:rPr>
      </w:pPr>
      <w:r>
        <w:rPr>
          <w:rFonts w:hint="eastAsia" w:eastAsia="宋体"/>
          <w:sz w:val="24"/>
          <w:szCs w:val="24"/>
        </w:rPr>
        <w:t>甲方内部控制主要包括：风险评估、内部控制建设、内部控制报告、内部控制评价。乙方</w:t>
      </w:r>
      <w:r>
        <w:rPr>
          <w:rFonts w:hint="eastAsia" w:ascii="宋体" w:hAnsi="宋体" w:eastAsia="宋体"/>
          <w:sz w:val="24"/>
          <w:szCs w:val="24"/>
          <w:lang w:val="zh-CN"/>
        </w:rPr>
        <w:t>根据甲方实际情况，</w:t>
      </w:r>
      <w:r>
        <w:rPr>
          <w:rFonts w:hint="eastAsia" w:ascii="宋体" w:hAnsi="宋体" w:eastAsia="宋体"/>
          <w:sz w:val="24"/>
          <w:szCs w:val="24"/>
          <w:highlight w:val="none"/>
          <w:lang w:val="zh-CN"/>
        </w:rPr>
        <w:t>全面梳理，辨识各项经济活动及相关业务活动存在的风险，评</w:t>
      </w:r>
      <w:r>
        <w:rPr>
          <w:rFonts w:hint="eastAsia" w:ascii="宋体" w:hAnsi="宋体" w:eastAsia="宋体"/>
          <w:sz w:val="24"/>
          <w:szCs w:val="24"/>
          <w:lang w:val="zh-CN"/>
        </w:rPr>
        <w:t>估当前管控措施的设计及执行有效性，并根据甲方当前管理需求制定相应的应对策略，优化完善管控措施，梳理完善业务流程，优化业务表单，出具业务流程图及流程说明，列示风险点及控制措施，梳理并优化医院内部控制管理制度。</w:t>
      </w:r>
    </w:p>
    <w:p>
      <w:pPr>
        <w:snapToGrid w:val="0"/>
        <w:spacing w:line="480" w:lineRule="exact"/>
        <w:ind w:firstLine="480" w:firstLineChars="200"/>
        <w:jc w:val="left"/>
        <w:rPr>
          <w:rFonts w:eastAsia="宋体"/>
          <w:sz w:val="24"/>
          <w:szCs w:val="24"/>
        </w:rPr>
      </w:pPr>
      <w:r>
        <w:rPr>
          <w:rFonts w:hint="eastAsia" w:eastAsia="宋体"/>
          <w:sz w:val="24"/>
          <w:szCs w:val="24"/>
        </w:rPr>
        <w:t>本合同约定的服务需求包括但不限于以下内容：</w:t>
      </w:r>
    </w:p>
    <w:p>
      <w:pPr>
        <w:snapToGrid w:val="0"/>
        <w:spacing w:line="480" w:lineRule="exact"/>
        <w:ind w:firstLine="480" w:firstLineChars="200"/>
        <w:jc w:val="left"/>
        <w:rPr>
          <w:rFonts w:eastAsia="宋体"/>
          <w:sz w:val="24"/>
          <w:szCs w:val="24"/>
        </w:rPr>
      </w:pPr>
      <w:r>
        <w:rPr>
          <w:rFonts w:hint="eastAsia" w:eastAsia="宋体"/>
          <w:sz w:val="24"/>
          <w:szCs w:val="24"/>
        </w:rPr>
        <w:t>1、乙方为甲方制定医院内部控制体系建设实施方案。</w:t>
      </w:r>
    </w:p>
    <w:p>
      <w:pPr>
        <w:snapToGrid w:val="0"/>
        <w:spacing w:line="480" w:lineRule="exact"/>
        <w:ind w:firstLine="480" w:firstLineChars="200"/>
        <w:jc w:val="left"/>
        <w:rPr>
          <w:rFonts w:eastAsia="宋体"/>
          <w:sz w:val="24"/>
          <w:szCs w:val="24"/>
        </w:rPr>
      </w:pPr>
      <w:r>
        <w:rPr>
          <w:rFonts w:hint="eastAsia" w:eastAsia="宋体"/>
          <w:sz w:val="24"/>
          <w:szCs w:val="24"/>
        </w:rPr>
        <w:t>2、开展风险评估：乙方对甲方单位的风险进行全面评估，风险评估管理包括单位层面和业务层面的风险评估。</w:t>
      </w:r>
    </w:p>
    <w:p>
      <w:pPr>
        <w:snapToGrid w:val="0"/>
        <w:spacing w:line="480" w:lineRule="exact"/>
        <w:ind w:firstLine="480" w:firstLineChars="200"/>
        <w:jc w:val="left"/>
        <w:rPr>
          <w:rFonts w:eastAsia="宋体"/>
          <w:sz w:val="24"/>
          <w:szCs w:val="24"/>
        </w:rPr>
      </w:pPr>
      <w:r>
        <w:rPr>
          <w:rFonts w:hint="eastAsia" w:eastAsia="宋体"/>
          <w:sz w:val="24"/>
          <w:szCs w:val="24"/>
        </w:rPr>
        <w:t>（1）单位层面的风险评估主要包括内部控制组织建设情况、内部控制机制建设情况、内部控制制度建设情况、内部控制队伍建设情况、内部控制流程建设情况、其他需要关注的内容（内容详见《公立医院内部控制管理办法》）。</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风险评估包括：预算管理情况、收支管理情况、政府采购管理情况、资产管理情况、建设项目管理情况、合同管理情况、医疗业务管理情况、科研项目和临床试验项目管理情况、教学管理情况、互联网诊疗管理情况、医联体管理情况、信息系统管理情况等内容（内容详见《公立医院内部控制管理办法》）。</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3、根据医院实际情况，乙方为甲方从单位层面及业务层面进行内部控制建设。</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w:t>
      </w:r>
      <w:r>
        <w:rPr>
          <w:rFonts w:hint="eastAsia" w:ascii="宋体" w:hAnsi="宋体" w:eastAsia="宋体"/>
          <w:sz w:val="24"/>
          <w:szCs w:val="24"/>
        </w:rPr>
        <w:t>1</w:t>
      </w:r>
      <w:r>
        <w:rPr>
          <w:rFonts w:hint="eastAsia" w:ascii="宋体" w:hAnsi="宋体" w:eastAsia="宋体"/>
          <w:sz w:val="24"/>
          <w:szCs w:val="24"/>
          <w:lang w:val="zh-CN"/>
        </w:rPr>
        <w:t>）单位层面的内部控制建设包括单位决策机制、内部管理机构设置及职责分工、决策和执行的制衡机制、内部管理机制的健全、关键岗位管理和信息化建设等（内容详见《公立医院内部控制管理办法》）。</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2）业务层面的内部控制建设包括：预算业务内部控制、收支业务内部控制、采购业务内部控制、资产业务内部控制、基本建设业务内部控制、合同业务内部控制、医疗业务内部控制、科研业务内部控制、教学业务内部控制、互联网医疗业务内部控制、医联体业务内部控制、信息化建设业务内部控制等内容（内容详见《公立医院内部控制管理办法》）。</w:t>
      </w:r>
    </w:p>
    <w:p>
      <w:pPr>
        <w:snapToGrid w:val="0"/>
        <w:spacing w:line="480" w:lineRule="exact"/>
        <w:ind w:firstLine="480" w:firstLineChars="200"/>
        <w:jc w:val="left"/>
        <w:rPr>
          <w:rFonts w:eastAsia="宋体"/>
          <w:sz w:val="24"/>
          <w:szCs w:val="24"/>
        </w:rPr>
      </w:pPr>
      <w:r>
        <w:rPr>
          <w:rFonts w:hint="eastAsia" w:eastAsia="宋体"/>
          <w:sz w:val="24"/>
          <w:szCs w:val="24"/>
        </w:rPr>
        <w:t>4、为甲方优化业务流程，设计合理合规的业务流程，编写内部控制手册。</w:t>
      </w:r>
    </w:p>
    <w:p>
      <w:pPr>
        <w:snapToGrid w:val="0"/>
        <w:spacing w:line="480" w:lineRule="exact"/>
        <w:ind w:firstLine="480" w:firstLineChars="200"/>
        <w:jc w:val="left"/>
        <w:rPr>
          <w:rFonts w:eastAsia="宋体"/>
          <w:sz w:val="24"/>
          <w:szCs w:val="24"/>
        </w:rPr>
      </w:pPr>
      <w:r>
        <w:rPr>
          <w:rFonts w:hint="eastAsia" w:eastAsia="宋体"/>
          <w:sz w:val="24"/>
          <w:szCs w:val="24"/>
        </w:rPr>
        <w:t>5、项目结束时，乙方需向甲方提交成果资料清单（包括但不限于）：</w:t>
      </w:r>
    </w:p>
    <w:p>
      <w:pPr>
        <w:snapToGrid w:val="0"/>
        <w:spacing w:line="480" w:lineRule="exact"/>
        <w:ind w:firstLine="480" w:firstLineChars="200"/>
        <w:jc w:val="left"/>
        <w:rPr>
          <w:rFonts w:eastAsia="宋体"/>
          <w:sz w:val="24"/>
          <w:szCs w:val="24"/>
        </w:rPr>
      </w:pPr>
      <w:r>
        <w:rPr>
          <w:rFonts w:hint="eastAsia" w:eastAsia="宋体"/>
          <w:sz w:val="24"/>
          <w:szCs w:val="24"/>
        </w:rPr>
        <w:t>《医院内部控制建设实施方案》（包括培训资料）</w:t>
      </w:r>
    </w:p>
    <w:p>
      <w:pPr>
        <w:snapToGrid w:val="0"/>
        <w:spacing w:line="480" w:lineRule="exact"/>
        <w:ind w:firstLine="480" w:firstLineChars="200"/>
        <w:jc w:val="left"/>
        <w:rPr>
          <w:rFonts w:eastAsia="宋体"/>
          <w:sz w:val="24"/>
          <w:szCs w:val="24"/>
          <w:lang w:val="zh-CN"/>
        </w:rPr>
      </w:pPr>
      <w:r>
        <w:rPr>
          <w:rFonts w:hint="eastAsia" w:eastAsia="宋体"/>
          <w:sz w:val="24"/>
          <w:szCs w:val="24"/>
          <w:lang w:val="zh-CN"/>
        </w:rPr>
        <w:t>《</w:t>
      </w:r>
      <w:r>
        <w:rPr>
          <w:rFonts w:hint="eastAsia" w:eastAsia="宋体"/>
          <w:sz w:val="24"/>
          <w:szCs w:val="24"/>
        </w:rPr>
        <w:t>医院</w:t>
      </w:r>
      <w:r>
        <w:rPr>
          <w:rFonts w:hint="eastAsia" w:eastAsia="宋体"/>
          <w:sz w:val="24"/>
          <w:szCs w:val="24"/>
          <w:lang w:val="zh-CN"/>
        </w:rPr>
        <w:t>风险评估报告》（包括单位层面、业务层面）</w:t>
      </w:r>
    </w:p>
    <w:p>
      <w:pPr>
        <w:snapToGrid w:val="0"/>
        <w:spacing w:line="480" w:lineRule="exact"/>
        <w:ind w:firstLine="480" w:firstLineChars="200"/>
        <w:jc w:val="left"/>
        <w:rPr>
          <w:rFonts w:eastAsia="宋体"/>
          <w:sz w:val="24"/>
          <w:szCs w:val="24"/>
          <w:lang w:val="zh-CN"/>
        </w:rPr>
      </w:pPr>
      <w:r>
        <w:rPr>
          <w:rFonts w:hint="eastAsia" w:eastAsia="宋体"/>
          <w:sz w:val="24"/>
          <w:szCs w:val="24"/>
          <w:lang w:val="zh-CN"/>
        </w:rPr>
        <w:t>《医院内部控制手册》（含内控流程图、内控文档等）</w:t>
      </w:r>
    </w:p>
    <w:p>
      <w:pPr>
        <w:snapToGrid w:val="0"/>
        <w:spacing w:line="480" w:lineRule="exact"/>
        <w:ind w:firstLine="480" w:firstLineChars="200"/>
        <w:jc w:val="left"/>
        <w:rPr>
          <w:rFonts w:eastAsia="宋体"/>
          <w:sz w:val="24"/>
          <w:szCs w:val="24"/>
        </w:rPr>
      </w:pPr>
      <w:r>
        <w:rPr>
          <w:rFonts w:hint="eastAsia" w:eastAsia="宋体"/>
          <w:sz w:val="24"/>
          <w:szCs w:val="24"/>
        </w:rPr>
        <w:t>《医院内部控制报告》</w:t>
      </w:r>
    </w:p>
    <w:p>
      <w:pPr>
        <w:snapToGrid w:val="0"/>
        <w:spacing w:line="480" w:lineRule="exact"/>
        <w:ind w:firstLine="480" w:firstLineChars="200"/>
        <w:jc w:val="left"/>
        <w:rPr>
          <w:rFonts w:eastAsia="宋体"/>
          <w:sz w:val="24"/>
          <w:szCs w:val="24"/>
        </w:rPr>
      </w:pPr>
      <w:r>
        <w:rPr>
          <w:rFonts w:hint="eastAsia" w:eastAsia="宋体"/>
          <w:sz w:val="24"/>
          <w:szCs w:val="24"/>
        </w:rPr>
        <w:t>6、乙方应为甲方进行人员培训并对甲方医院各部门及人员在内部控制实施过程中的责任等内容进行专题培训（合同期内，全院性的大培训至少3次）。</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7、</w:t>
      </w:r>
      <w:r>
        <w:rPr>
          <w:rFonts w:hint="eastAsia" w:ascii="宋体" w:hAnsi="宋体" w:eastAsia="宋体"/>
          <w:sz w:val="24"/>
          <w:szCs w:val="24"/>
        </w:rPr>
        <w:t>验收交付后</w:t>
      </w:r>
      <w:r>
        <w:rPr>
          <w:rFonts w:hint="eastAsia" w:ascii="宋体" w:hAnsi="宋体" w:eastAsia="宋体"/>
          <w:sz w:val="24"/>
          <w:szCs w:val="24"/>
          <w:lang w:val="zh-CN"/>
        </w:rPr>
        <w:t>提供</w:t>
      </w:r>
      <w:r>
        <w:rPr>
          <w:rFonts w:hint="eastAsia" w:ascii="宋体" w:hAnsi="宋体" w:eastAsia="宋体"/>
          <w:sz w:val="24"/>
          <w:szCs w:val="24"/>
        </w:rPr>
        <w:t>相关业务</w:t>
      </w:r>
      <w:r>
        <w:rPr>
          <w:rFonts w:hint="eastAsia" w:ascii="宋体" w:hAnsi="宋体" w:eastAsia="宋体"/>
          <w:sz w:val="24"/>
          <w:szCs w:val="24"/>
          <w:lang w:val="zh-CN"/>
        </w:rPr>
        <w:t>电话咨询与解答服务。</w:t>
      </w:r>
    </w:p>
    <w:p>
      <w:pPr>
        <w:snapToGrid w:val="0"/>
        <w:spacing w:line="480" w:lineRule="exact"/>
        <w:ind w:firstLine="480" w:firstLineChars="200"/>
        <w:jc w:val="left"/>
        <w:rPr>
          <w:rFonts w:eastAsia="宋体"/>
          <w:sz w:val="24"/>
          <w:szCs w:val="24"/>
        </w:rPr>
      </w:pPr>
      <w:r>
        <w:rPr>
          <w:rFonts w:hint="eastAsia" w:eastAsia="宋体"/>
          <w:sz w:val="24"/>
          <w:szCs w:val="24"/>
        </w:rPr>
        <w:t>8、具体实施内容详见《公立医院内部控制管理办法》（国卫财务发〔2020〕31号）文件中各项规定，项目实施完成后，乙方应确保甲方内控建设均符合《行政事业单位内部控制规范》、《关于全面推进行政事业单位内部控制指导意见》和《公立医院内部控制管理办法》等相关规定。</w:t>
      </w:r>
    </w:p>
    <w:p>
      <w:pPr>
        <w:snapToGrid w:val="0"/>
        <w:spacing w:line="480" w:lineRule="exact"/>
        <w:ind w:firstLine="480" w:firstLineChars="200"/>
        <w:jc w:val="left"/>
        <w:rPr>
          <w:rFonts w:eastAsia="宋体"/>
          <w:sz w:val="24"/>
          <w:szCs w:val="24"/>
        </w:rPr>
      </w:pPr>
      <w:r>
        <w:rPr>
          <w:rFonts w:hint="eastAsia" w:eastAsia="宋体"/>
          <w:sz w:val="24"/>
          <w:szCs w:val="24"/>
        </w:rPr>
        <w:t>9、服务期内，乙方必须保证足够的技术人员和时间投入本项目的实施中。拟派项目负责人，应提供相关专项服务。对于甲方的服务请求，乙方必须尽快响应，不得影响甲方的正常工作业务。</w:t>
      </w:r>
    </w:p>
    <w:p>
      <w:pPr>
        <w:snapToGrid w:val="0"/>
        <w:spacing w:line="480" w:lineRule="exact"/>
        <w:ind w:firstLine="480" w:firstLineChars="200"/>
        <w:jc w:val="left"/>
        <w:rPr>
          <w:rFonts w:eastAsia="宋体"/>
          <w:sz w:val="24"/>
          <w:szCs w:val="24"/>
        </w:rPr>
      </w:pPr>
      <w:r>
        <w:rPr>
          <w:rFonts w:hint="eastAsia" w:eastAsia="宋体"/>
          <w:sz w:val="24"/>
          <w:szCs w:val="24"/>
        </w:rPr>
        <w:t>二、服务期限：合同签订后，乙方须提交时间安排进度表，并按规定的时间安排合同项目相关工作。2022年12月31日前提</w:t>
      </w:r>
      <w:r>
        <w:rPr>
          <w:rFonts w:hint="eastAsia" w:eastAsia="宋体"/>
          <w:sz w:val="24"/>
          <w:szCs w:val="24"/>
          <w:highlight w:val="none"/>
        </w:rPr>
        <w:t>交</w:t>
      </w:r>
      <w:r>
        <w:rPr>
          <w:rFonts w:hint="eastAsia" w:eastAsia="宋体"/>
          <w:sz w:val="24"/>
          <w:szCs w:val="24"/>
        </w:rPr>
        <w:t>医院内部控制体系建设的相应成果。</w:t>
      </w:r>
    </w:p>
    <w:p>
      <w:pPr>
        <w:snapToGrid w:val="0"/>
        <w:spacing w:line="480" w:lineRule="exact"/>
        <w:ind w:firstLine="480" w:firstLineChars="200"/>
        <w:jc w:val="left"/>
        <w:rPr>
          <w:rFonts w:eastAsia="宋体"/>
          <w:sz w:val="24"/>
          <w:szCs w:val="24"/>
        </w:rPr>
      </w:pPr>
      <w:r>
        <w:rPr>
          <w:rFonts w:hint="eastAsia" w:eastAsia="宋体"/>
          <w:sz w:val="24"/>
          <w:szCs w:val="24"/>
        </w:rPr>
        <w:t>三、 双方确定，按以下标准和方式对乙方提交的技术咨询工作成果进行验收：</w:t>
      </w:r>
    </w:p>
    <w:p>
      <w:pPr>
        <w:snapToGrid w:val="0"/>
        <w:spacing w:line="480" w:lineRule="exact"/>
        <w:ind w:firstLine="480" w:firstLineChars="200"/>
        <w:jc w:val="left"/>
        <w:rPr>
          <w:rFonts w:eastAsia="宋体"/>
          <w:sz w:val="24"/>
          <w:szCs w:val="24"/>
        </w:rPr>
      </w:pPr>
      <w:r>
        <w:rPr>
          <w:rFonts w:hint="eastAsia" w:eastAsia="宋体"/>
          <w:sz w:val="24"/>
          <w:szCs w:val="24"/>
        </w:rPr>
        <w:t>1、乙方提交的项目成果的形式：《医院内部控制建设实施方案》（包括培训资料）、</w:t>
      </w:r>
      <w:r>
        <w:rPr>
          <w:rFonts w:hint="eastAsia" w:eastAsia="宋体"/>
          <w:sz w:val="24"/>
          <w:szCs w:val="24"/>
          <w:lang w:val="zh-CN"/>
        </w:rPr>
        <w:t>《</w:t>
      </w:r>
      <w:r>
        <w:rPr>
          <w:rFonts w:hint="eastAsia" w:eastAsia="宋体"/>
          <w:sz w:val="24"/>
          <w:szCs w:val="24"/>
        </w:rPr>
        <w:t>医院</w:t>
      </w:r>
      <w:r>
        <w:rPr>
          <w:rFonts w:hint="eastAsia" w:eastAsia="宋体"/>
          <w:sz w:val="24"/>
          <w:szCs w:val="24"/>
          <w:lang w:val="zh-CN"/>
        </w:rPr>
        <w:t>风险评估报告》（包括单位层面、业务层面）</w:t>
      </w:r>
      <w:r>
        <w:rPr>
          <w:rFonts w:hint="eastAsia" w:eastAsia="宋体"/>
          <w:sz w:val="24"/>
          <w:szCs w:val="24"/>
        </w:rPr>
        <w:t>、</w:t>
      </w:r>
      <w:r>
        <w:rPr>
          <w:rFonts w:hint="eastAsia" w:eastAsia="宋体"/>
          <w:sz w:val="24"/>
          <w:szCs w:val="24"/>
          <w:lang w:val="zh-CN"/>
        </w:rPr>
        <w:t>《医院内部控制手册》（含内控流程图、内控文档等）</w:t>
      </w:r>
      <w:r>
        <w:rPr>
          <w:rFonts w:hint="eastAsia" w:eastAsia="宋体"/>
          <w:sz w:val="24"/>
          <w:szCs w:val="24"/>
        </w:rPr>
        <w:t>、《医院内部控制报告》。</w:t>
      </w:r>
    </w:p>
    <w:p>
      <w:pPr>
        <w:snapToGrid w:val="0"/>
        <w:spacing w:line="480" w:lineRule="exact"/>
        <w:ind w:firstLine="480" w:firstLineChars="200"/>
        <w:jc w:val="left"/>
        <w:rPr>
          <w:rFonts w:eastAsia="宋体"/>
          <w:sz w:val="24"/>
          <w:szCs w:val="24"/>
        </w:rPr>
      </w:pPr>
      <w:r>
        <w:rPr>
          <w:rFonts w:hint="eastAsia" w:eastAsia="宋体"/>
          <w:sz w:val="24"/>
          <w:szCs w:val="24"/>
        </w:rPr>
        <w:t>2、项目成果的验收标准：《公立医院内部控制管理办法》</w:t>
      </w:r>
    </w:p>
    <w:p>
      <w:pPr>
        <w:numPr>
          <w:ilvl w:val="255"/>
          <w:numId w:val="0"/>
        </w:numPr>
        <w:spacing w:line="480" w:lineRule="exact"/>
        <w:ind w:firstLine="480" w:firstLineChars="200"/>
        <w:rPr>
          <w:rFonts w:ascii="宋体" w:hAnsi="宋体" w:eastAsia="宋体"/>
          <w:sz w:val="24"/>
          <w:szCs w:val="24"/>
          <w:u w:val="single"/>
          <w:lang w:val="zh-CN"/>
        </w:rPr>
      </w:pPr>
      <w:r>
        <w:rPr>
          <w:rFonts w:hint="eastAsia" w:ascii="宋体" w:hAnsi="宋体" w:eastAsia="宋体"/>
          <w:sz w:val="24"/>
          <w:szCs w:val="24"/>
          <w:lang w:val="zh-CN"/>
        </w:rPr>
        <w:t>3、项目成果的验收方法：</w:t>
      </w:r>
      <w:r>
        <w:rPr>
          <w:rFonts w:hint="eastAsia" w:ascii="宋体" w:hAnsi="宋体" w:eastAsia="宋体"/>
          <w:sz w:val="24"/>
          <w:szCs w:val="24"/>
          <w:u w:val="single"/>
          <w:lang w:val="zh-CN"/>
        </w:rPr>
        <w:t>专家会议验收</w:t>
      </w:r>
    </w:p>
    <w:p>
      <w:pPr>
        <w:numPr>
          <w:ilvl w:val="255"/>
          <w:numId w:val="0"/>
        </w:numPr>
        <w:spacing w:line="480" w:lineRule="exact"/>
        <w:ind w:firstLine="480" w:firstLineChars="200"/>
        <w:rPr>
          <w:rFonts w:ascii="宋体" w:hAnsi="宋体" w:eastAsia="宋体"/>
          <w:sz w:val="24"/>
          <w:szCs w:val="24"/>
          <w:u w:val="single"/>
          <w:lang w:val="zh-CN"/>
        </w:rPr>
      </w:pPr>
      <w:r>
        <w:rPr>
          <w:rFonts w:hint="eastAsia" w:ascii="宋体" w:hAnsi="宋体" w:eastAsia="宋体"/>
          <w:sz w:val="24"/>
          <w:szCs w:val="24"/>
          <w:lang w:val="zh-CN"/>
        </w:rPr>
        <w:t>4、验收的时间和地点：</w:t>
      </w:r>
      <w:r>
        <w:rPr>
          <w:rFonts w:hint="eastAsia" w:ascii="宋体" w:hAnsi="宋体" w:eastAsia="宋体"/>
          <w:sz w:val="24"/>
          <w:szCs w:val="24"/>
          <w:u w:val="single"/>
          <w:lang w:val="zh-CN"/>
        </w:rPr>
        <w:t>2023年1月，南通市妇幼保健院</w:t>
      </w:r>
    </w:p>
    <w:p>
      <w:pPr>
        <w:numPr>
          <w:ilvl w:val="255"/>
          <w:numId w:val="0"/>
        </w:numPr>
        <w:spacing w:line="480" w:lineRule="exact"/>
        <w:ind w:firstLine="480" w:firstLineChars="200"/>
        <w:rPr>
          <w:rFonts w:ascii="宋体" w:hAnsi="宋体" w:eastAsia="宋体"/>
          <w:sz w:val="24"/>
          <w:szCs w:val="24"/>
          <w:lang w:val="zh-CN"/>
        </w:rPr>
      </w:pPr>
      <w:r>
        <w:rPr>
          <w:rFonts w:hint="eastAsia" w:ascii="宋体" w:hAnsi="宋体" w:eastAsia="宋体"/>
          <w:sz w:val="24"/>
          <w:szCs w:val="24"/>
          <w:lang w:val="zh-CN"/>
        </w:rPr>
        <w:t>四、合同款支付与条件</w:t>
      </w:r>
    </w:p>
    <w:p>
      <w:pPr>
        <w:snapToGrid w:val="0"/>
        <w:spacing w:line="480" w:lineRule="exact"/>
        <w:ind w:firstLine="480" w:firstLineChars="200"/>
        <w:jc w:val="left"/>
        <w:rPr>
          <w:rFonts w:eastAsia="宋体"/>
          <w:sz w:val="24"/>
          <w:szCs w:val="24"/>
        </w:rPr>
      </w:pPr>
      <w:r>
        <w:rPr>
          <w:rFonts w:hint="eastAsia" w:eastAsia="宋体"/>
          <w:sz w:val="24"/>
          <w:szCs w:val="24"/>
        </w:rPr>
        <w:t>1、本项目合同价即为中标价：</w:t>
      </w:r>
      <w:r>
        <w:rPr>
          <w:rFonts w:hint="eastAsia" w:eastAsia="宋体"/>
          <w:sz w:val="24"/>
          <w:szCs w:val="24"/>
          <w:u w:val="single"/>
        </w:rPr>
        <w:t xml:space="preserve">（大写）            （小写 </w:t>
      </w:r>
      <w:r>
        <w:rPr>
          <w:rFonts w:ascii="Arial" w:hAnsi="Arial" w:eastAsia="宋体" w:cs="Arial"/>
          <w:sz w:val="24"/>
          <w:szCs w:val="24"/>
          <w:u w:val="single"/>
        </w:rPr>
        <w:t>¥</w:t>
      </w:r>
      <w:r>
        <w:rPr>
          <w:rFonts w:hint="eastAsia" w:eastAsia="宋体"/>
          <w:sz w:val="24"/>
          <w:szCs w:val="24"/>
          <w:u w:val="single"/>
        </w:rPr>
        <w:t xml:space="preserve">       元）</w:t>
      </w:r>
      <w:r>
        <w:rPr>
          <w:rFonts w:hint="eastAsia" w:eastAsia="宋体"/>
          <w:sz w:val="24"/>
          <w:szCs w:val="24"/>
        </w:rPr>
        <w:t>；</w:t>
      </w:r>
    </w:p>
    <w:p>
      <w:pPr>
        <w:snapToGrid w:val="0"/>
        <w:spacing w:line="480" w:lineRule="exact"/>
        <w:ind w:firstLine="480" w:firstLineChars="200"/>
        <w:jc w:val="left"/>
        <w:rPr>
          <w:rFonts w:ascii="宋体" w:hAnsi="宋体" w:eastAsia="宋体"/>
          <w:sz w:val="24"/>
          <w:szCs w:val="24"/>
          <w:lang w:val="zh-CN"/>
        </w:rPr>
      </w:pPr>
      <w:r>
        <w:rPr>
          <w:rFonts w:hint="eastAsia" w:eastAsia="宋体"/>
          <w:sz w:val="24"/>
          <w:szCs w:val="24"/>
        </w:rPr>
        <w:t>2、</w:t>
      </w:r>
      <w:r>
        <w:rPr>
          <w:rFonts w:hint="eastAsia" w:ascii="宋体" w:hAnsi="宋体" w:eastAsia="宋体"/>
          <w:sz w:val="24"/>
          <w:szCs w:val="24"/>
          <w:lang w:val="zh-CN"/>
        </w:rPr>
        <w:t>与乙方签订服务合同后，支付合同总额的30%；项目完成并通过甲方验收后支付合同总额的60%；项目完成1年后，乙方提供运行1年后的《医院内部控制报告》，甲方付清余款。每次付款乙方须开具有效增值税发票。</w:t>
      </w:r>
    </w:p>
    <w:p>
      <w:pPr>
        <w:snapToGrid w:val="0"/>
        <w:spacing w:line="480" w:lineRule="exact"/>
        <w:ind w:firstLine="480" w:firstLineChars="200"/>
        <w:jc w:val="left"/>
        <w:rPr>
          <w:rFonts w:eastAsia="宋体"/>
          <w:sz w:val="24"/>
          <w:szCs w:val="24"/>
        </w:rPr>
      </w:pPr>
      <w:r>
        <w:rPr>
          <w:rFonts w:hint="eastAsia" w:eastAsia="宋体"/>
          <w:sz w:val="24"/>
          <w:szCs w:val="24"/>
        </w:rPr>
        <w:t>五、保密条款</w:t>
      </w:r>
    </w:p>
    <w:p>
      <w:pPr>
        <w:snapToGrid w:val="0"/>
        <w:spacing w:line="480" w:lineRule="exact"/>
        <w:ind w:firstLine="480" w:firstLineChars="200"/>
        <w:jc w:val="left"/>
        <w:rPr>
          <w:rFonts w:eastAsia="宋体"/>
          <w:sz w:val="24"/>
          <w:szCs w:val="24"/>
        </w:rPr>
      </w:pPr>
      <w:r>
        <w:rPr>
          <w:rFonts w:hint="eastAsia" w:eastAsia="宋体"/>
          <w:sz w:val="24"/>
          <w:szCs w:val="24"/>
        </w:rPr>
        <w:t>乙方应对项目有关情况保密，做好资料保密工作，保证所有资料不外泄。工作完成后，乙方应将甲方提供的所有资料交还。一旦出现外泄引起纠纷，乙方须赔偿给甲方造成的损失，且甲方有保留起诉乙方的权利。</w:t>
      </w:r>
    </w:p>
    <w:p>
      <w:pPr>
        <w:snapToGrid w:val="0"/>
        <w:spacing w:line="480" w:lineRule="exact"/>
        <w:ind w:firstLine="480" w:firstLineChars="200"/>
        <w:jc w:val="left"/>
        <w:rPr>
          <w:rFonts w:eastAsia="宋体"/>
          <w:sz w:val="24"/>
          <w:szCs w:val="24"/>
        </w:rPr>
      </w:pPr>
      <w:r>
        <w:rPr>
          <w:rFonts w:hint="eastAsia" w:eastAsia="宋体"/>
          <w:sz w:val="24"/>
          <w:szCs w:val="24"/>
        </w:rPr>
        <w:t>六、违约责任</w:t>
      </w:r>
    </w:p>
    <w:p>
      <w:pPr>
        <w:snapToGrid w:val="0"/>
        <w:spacing w:line="480" w:lineRule="exact"/>
        <w:ind w:firstLine="480" w:firstLineChars="200"/>
        <w:jc w:val="left"/>
        <w:rPr>
          <w:rFonts w:eastAsia="宋体"/>
          <w:sz w:val="24"/>
          <w:szCs w:val="24"/>
        </w:rPr>
      </w:pPr>
      <w:r>
        <w:rPr>
          <w:rFonts w:hint="eastAsia" w:eastAsia="宋体"/>
          <w:sz w:val="24"/>
          <w:szCs w:val="24"/>
        </w:rPr>
        <w:t>（一）乙方的违约责任：</w:t>
      </w:r>
    </w:p>
    <w:p>
      <w:pPr>
        <w:snapToGrid w:val="0"/>
        <w:spacing w:line="480" w:lineRule="exact"/>
        <w:ind w:firstLine="480" w:firstLineChars="200"/>
        <w:jc w:val="left"/>
        <w:rPr>
          <w:rFonts w:eastAsia="宋体"/>
          <w:sz w:val="24"/>
          <w:szCs w:val="24"/>
        </w:rPr>
      </w:pPr>
      <w:r>
        <w:rPr>
          <w:rFonts w:hint="eastAsia" w:eastAsia="宋体"/>
          <w:sz w:val="24"/>
          <w:szCs w:val="24"/>
        </w:rPr>
        <w:t>如乙方未能达到甲方整体服务要求，包括响应速度、技术能力、按时提交所有书面材料（清单）等，若甲方发出二次或以上书面整改通告后仍不能达到要求的视为乙方违约，甲方有权单方面解除合同并要求乙方支付合同总额20%作为违约金，及赔偿由此造成的其他损失。</w:t>
      </w:r>
    </w:p>
    <w:p>
      <w:pPr>
        <w:snapToGrid w:val="0"/>
        <w:spacing w:line="480" w:lineRule="exact"/>
        <w:ind w:firstLine="480" w:firstLineChars="200"/>
        <w:jc w:val="left"/>
        <w:rPr>
          <w:rFonts w:eastAsia="宋体"/>
          <w:sz w:val="24"/>
          <w:szCs w:val="24"/>
        </w:rPr>
      </w:pPr>
      <w:r>
        <w:rPr>
          <w:rFonts w:hint="eastAsia" w:eastAsia="宋体"/>
          <w:sz w:val="24"/>
          <w:szCs w:val="24"/>
        </w:rPr>
        <w:t xml:space="preserve"> 1、乙方项目负责人须与投标文件中一致，未经甲方同意不得更换，团队人员资质与投标文件须一致（或优于），否则视为违约，乙方应退回甲方已付款项，并向甲方赔付合同总金额的20%的违约金，同时甲方有权单方解除合同。</w:t>
      </w:r>
    </w:p>
    <w:p>
      <w:pPr>
        <w:snapToGrid w:val="0"/>
        <w:spacing w:line="480" w:lineRule="exact"/>
        <w:ind w:firstLine="480" w:firstLineChars="200"/>
        <w:jc w:val="left"/>
        <w:rPr>
          <w:rFonts w:eastAsia="宋体"/>
          <w:sz w:val="24"/>
          <w:szCs w:val="24"/>
        </w:rPr>
      </w:pPr>
      <w:r>
        <w:rPr>
          <w:rFonts w:hint="eastAsia" w:eastAsia="宋体"/>
          <w:sz w:val="24"/>
          <w:szCs w:val="24"/>
        </w:rPr>
        <w:t>2、乙方不能提供服务的，甲方不再向乙方支付剩余价款。乙方应退回甲方已付款项，并向甲方赔偿合同总金额的20%的违约金。</w:t>
      </w:r>
    </w:p>
    <w:p>
      <w:pPr>
        <w:snapToGrid w:val="0"/>
        <w:spacing w:line="480" w:lineRule="exact"/>
        <w:ind w:firstLine="480" w:firstLineChars="200"/>
        <w:jc w:val="left"/>
        <w:rPr>
          <w:rFonts w:eastAsia="宋体"/>
          <w:sz w:val="24"/>
          <w:szCs w:val="24"/>
        </w:rPr>
      </w:pPr>
      <w:r>
        <w:rPr>
          <w:rFonts w:hint="eastAsia" w:eastAsia="宋体"/>
          <w:sz w:val="24"/>
          <w:szCs w:val="24"/>
        </w:rPr>
        <w:t>3、乙方提供的服务达不到验收标准的，甲方有权要求乙方负责整改，乙方承担由此产生的所有费用。整改后仍达不到验收标准的，甲方有权解除合同，乙方应向甲方赔付合同总金额的20%的违约金。</w:t>
      </w:r>
    </w:p>
    <w:p>
      <w:pPr>
        <w:snapToGrid w:val="0"/>
        <w:spacing w:line="480" w:lineRule="exact"/>
        <w:ind w:firstLine="480" w:firstLineChars="200"/>
        <w:jc w:val="left"/>
        <w:rPr>
          <w:rFonts w:eastAsia="宋体"/>
          <w:sz w:val="24"/>
          <w:szCs w:val="24"/>
        </w:rPr>
      </w:pPr>
      <w:r>
        <w:rPr>
          <w:rFonts w:hint="eastAsia" w:eastAsia="宋体"/>
          <w:sz w:val="24"/>
          <w:szCs w:val="24"/>
        </w:rPr>
        <w:t xml:space="preserve">4、乙方逾期提供服务的，按逾期提供部分款项计算，向甲方偿付每日千分之五的违约金，并承担甲方因此所受的损失费用。   </w:t>
      </w:r>
    </w:p>
    <w:p>
      <w:pPr>
        <w:snapToGrid w:val="0"/>
        <w:spacing w:line="480" w:lineRule="exact"/>
        <w:ind w:firstLine="480" w:firstLineChars="200"/>
        <w:jc w:val="left"/>
        <w:rPr>
          <w:rFonts w:eastAsia="宋体"/>
          <w:sz w:val="24"/>
          <w:szCs w:val="24"/>
        </w:rPr>
      </w:pPr>
      <w:r>
        <w:rPr>
          <w:rFonts w:hint="eastAsia" w:eastAsia="宋体"/>
          <w:sz w:val="24"/>
          <w:szCs w:val="24"/>
        </w:rPr>
        <w:t>（二）甲方的违约责任：</w:t>
      </w:r>
    </w:p>
    <w:p>
      <w:pPr>
        <w:snapToGrid w:val="0"/>
        <w:spacing w:line="480" w:lineRule="exact"/>
        <w:ind w:firstLine="480" w:firstLineChars="200"/>
        <w:jc w:val="left"/>
        <w:rPr>
          <w:rFonts w:eastAsia="宋体"/>
          <w:sz w:val="24"/>
          <w:szCs w:val="24"/>
        </w:rPr>
      </w:pPr>
      <w:r>
        <w:rPr>
          <w:rFonts w:hint="eastAsia" w:eastAsia="宋体"/>
          <w:sz w:val="24"/>
          <w:szCs w:val="24"/>
        </w:rPr>
        <w:t>甲方无正当理由不按合同约定及时付款的，须向乙方偿付应付款项每日千分之五的违约金。</w:t>
      </w:r>
    </w:p>
    <w:p>
      <w:pPr>
        <w:snapToGrid w:val="0"/>
        <w:spacing w:line="480" w:lineRule="exact"/>
        <w:ind w:firstLine="480" w:firstLineChars="200"/>
        <w:jc w:val="left"/>
        <w:rPr>
          <w:rFonts w:eastAsia="宋体"/>
          <w:sz w:val="24"/>
          <w:szCs w:val="24"/>
        </w:rPr>
      </w:pPr>
      <w:r>
        <w:rPr>
          <w:rFonts w:hint="eastAsia" w:eastAsia="宋体"/>
          <w:sz w:val="24"/>
          <w:szCs w:val="24"/>
        </w:rPr>
        <w:t>甲方无正当理由拒绝验收的，应当承担由此对乙方造成的损失，并向乙方偿付未付价款的20%的违约金。</w:t>
      </w:r>
    </w:p>
    <w:p>
      <w:pPr>
        <w:snapToGrid w:val="0"/>
        <w:spacing w:line="480" w:lineRule="exact"/>
        <w:ind w:firstLine="480" w:firstLineChars="200"/>
        <w:jc w:val="left"/>
        <w:rPr>
          <w:rFonts w:eastAsia="宋体"/>
          <w:sz w:val="24"/>
          <w:szCs w:val="24"/>
        </w:rPr>
      </w:pPr>
      <w:r>
        <w:rPr>
          <w:rFonts w:hint="eastAsia" w:eastAsia="宋体"/>
          <w:sz w:val="24"/>
          <w:szCs w:val="24"/>
        </w:rPr>
        <w:t>七、不可抗力</w:t>
      </w:r>
    </w:p>
    <w:p>
      <w:pPr>
        <w:snapToGrid w:val="0"/>
        <w:spacing w:line="480" w:lineRule="exact"/>
        <w:ind w:firstLine="480" w:firstLineChars="200"/>
        <w:jc w:val="left"/>
        <w:rPr>
          <w:rFonts w:eastAsia="宋体"/>
          <w:sz w:val="24"/>
          <w:szCs w:val="24"/>
        </w:rPr>
      </w:pPr>
      <w:r>
        <w:rPr>
          <w:rFonts w:hint="eastAsia" w:eastAsia="宋体"/>
          <w:sz w:val="24"/>
          <w:szCs w:val="24"/>
        </w:rPr>
        <w:t>甲乙双方任何一方由于不可抗力原因不能履行合同时，应及时向对方通报不能履行或不能完全履行的理由，以减轻可能给对方造成的损失，经双方协商后，允许延期履行、部分履行或不履行合同，并根据情况可部分或全部免予承担违约责任。</w:t>
      </w:r>
    </w:p>
    <w:p>
      <w:pPr>
        <w:snapToGrid w:val="0"/>
        <w:spacing w:line="480" w:lineRule="exact"/>
        <w:ind w:firstLine="480" w:firstLineChars="200"/>
        <w:jc w:val="left"/>
        <w:rPr>
          <w:rFonts w:eastAsia="宋体"/>
          <w:sz w:val="24"/>
          <w:szCs w:val="24"/>
        </w:rPr>
      </w:pPr>
      <w:r>
        <w:rPr>
          <w:rFonts w:hint="eastAsia" w:eastAsia="宋体"/>
          <w:sz w:val="24"/>
          <w:szCs w:val="24"/>
        </w:rPr>
        <w:t>八、争议的解决</w:t>
      </w:r>
    </w:p>
    <w:p>
      <w:pPr>
        <w:snapToGrid w:val="0"/>
        <w:spacing w:line="480" w:lineRule="exact"/>
        <w:ind w:firstLine="480" w:firstLineChars="200"/>
        <w:jc w:val="left"/>
        <w:rPr>
          <w:rFonts w:eastAsia="宋体"/>
          <w:sz w:val="24"/>
          <w:szCs w:val="24"/>
        </w:rPr>
      </w:pPr>
      <w:r>
        <w:rPr>
          <w:rFonts w:hint="eastAsia" w:eastAsia="宋体"/>
          <w:sz w:val="24"/>
          <w:szCs w:val="24"/>
        </w:rPr>
        <w:t>甲乙双方因合同发生争议，应当进行友好调解，协商不成，任何一方可以向甲方所在地人民法院起诉。</w:t>
      </w:r>
    </w:p>
    <w:p>
      <w:pPr>
        <w:snapToGrid w:val="0"/>
        <w:spacing w:line="480" w:lineRule="exact"/>
        <w:ind w:firstLine="480" w:firstLineChars="200"/>
        <w:jc w:val="left"/>
        <w:rPr>
          <w:rFonts w:eastAsia="宋体"/>
          <w:sz w:val="24"/>
          <w:szCs w:val="24"/>
        </w:rPr>
      </w:pPr>
      <w:r>
        <w:rPr>
          <w:rFonts w:hint="eastAsia" w:eastAsia="宋体"/>
          <w:sz w:val="24"/>
          <w:szCs w:val="24"/>
        </w:rPr>
        <w:t>九、其他事项</w:t>
      </w:r>
    </w:p>
    <w:p>
      <w:pPr>
        <w:snapToGrid w:val="0"/>
        <w:spacing w:line="480" w:lineRule="exact"/>
        <w:ind w:firstLine="480" w:firstLineChars="200"/>
        <w:jc w:val="left"/>
        <w:rPr>
          <w:rFonts w:eastAsia="宋体"/>
          <w:sz w:val="24"/>
          <w:szCs w:val="24"/>
        </w:rPr>
      </w:pPr>
      <w:r>
        <w:rPr>
          <w:rFonts w:hint="eastAsia" w:eastAsia="宋体"/>
          <w:sz w:val="24"/>
          <w:szCs w:val="24"/>
        </w:rPr>
        <w:t>1、合同份数：本合同一式四份，甲方叁份，乙方壹份。</w:t>
      </w:r>
    </w:p>
    <w:p>
      <w:pPr>
        <w:snapToGrid w:val="0"/>
        <w:spacing w:line="480" w:lineRule="exact"/>
        <w:ind w:firstLine="480" w:firstLineChars="200"/>
        <w:jc w:val="left"/>
        <w:rPr>
          <w:rFonts w:eastAsia="宋体"/>
          <w:sz w:val="24"/>
          <w:szCs w:val="24"/>
        </w:rPr>
      </w:pPr>
      <w:r>
        <w:rPr>
          <w:rFonts w:hint="eastAsia" w:eastAsia="宋体"/>
          <w:sz w:val="24"/>
          <w:szCs w:val="24"/>
        </w:rPr>
        <w:t>2、本合同履行过程中产生的纪要、协议以及成交通知书、投标响应文件（含评标期间的澄清文件和补充资料）和采购文件为本合同的附件，与本合同具有同等法律效力。</w:t>
      </w:r>
    </w:p>
    <w:p>
      <w:pPr>
        <w:snapToGrid w:val="0"/>
        <w:spacing w:line="480" w:lineRule="exact"/>
        <w:ind w:firstLine="480" w:firstLineChars="200"/>
        <w:jc w:val="left"/>
        <w:rPr>
          <w:rFonts w:eastAsia="宋体"/>
          <w:sz w:val="24"/>
          <w:szCs w:val="24"/>
        </w:rPr>
      </w:pPr>
      <w:r>
        <w:rPr>
          <w:rFonts w:hint="eastAsia" w:eastAsia="宋体"/>
          <w:sz w:val="24"/>
          <w:szCs w:val="24"/>
        </w:rPr>
        <w:t>3、未尽事宜</w:t>
      </w:r>
    </w:p>
    <w:p>
      <w:pPr>
        <w:snapToGrid w:val="0"/>
        <w:spacing w:line="480" w:lineRule="exact"/>
        <w:ind w:firstLine="480" w:firstLineChars="200"/>
        <w:jc w:val="left"/>
        <w:rPr>
          <w:rFonts w:ascii="宋体" w:hAnsi="宋体" w:eastAsia="宋体" w:cs="宋体"/>
          <w:sz w:val="24"/>
          <w:szCs w:val="24"/>
        </w:rPr>
      </w:pPr>
      <w:r>
        <w:rPr>
          <w:rFonts w:hint="eastAsia" w:eastAsia="宋体"/>
          <w:sz w:val="24"/>
          <w:szCs w:val="24"/>
        </w:rPr>
        <w:t>本合同未尽事宜应按照《中华人民共和国民法典》、《中华人民共和国政府采购法》及相关配套法律法规之规定解释。</w:t>
      </w:r>
    </w:p>
    <w:p>
      <w:pPr>
        <w:spacing w:line="480" w:lineRule="exact"/>
        <w:ind w:firstLine="484" w:firstLineChars="202"/>
        <w:jc w:val="left"/>
        <w:rPr>
          <w:rFonts w:ascii="宋体" w:hAnsi="宋体" w:eastAsia="宋体" w:cs="宋体"/>
          <w:kern w:val="0"/>
          <w:sz w:val="24"/>
          <w:szCs w:val="24"/>
        </w:rPr>
      </w:pPr>
    </w:p>
    <w:p>
      <w:pPr>
        <w:snapToGrid w:val="0"/>
        <w:spacing w:line="360" w:lineRule="auto"/>
        <w:ind w:left="5382" w:leftChars="420" w:hanging="4290" w:hangingChars="1950"/>
        <w:rPr>
          <w:rFonts w:asciiTheme="minorEastAsia" w:hAnsiTheme="minorEastAsia" w:eastAsiaTheme="minorEastAsia" w:cstheme="minorEastAsia"/>
          <w:color w:val="000000"/>
          <w:sz w:val="22"/>
          <w:szCs w:val="18"/>
        </w:rPr>
      </w:pPr>
    </w:p>
    <w:p>
      <w:pPr>
        <w:snapToGrid w:val="0"/>
        <w:spacing w:line="360" w:lineRule="auto"/>
        <w:ind w:left="5382" w:leftChars="420" w:hanging="4290" w:hangingChars="1950"/>
        <w:rPr>
          <w:rFonts w:asciiTheme="minorEastAsia" w:hAnsiTheme="minorEastAsia" w:eastAsiaTheme="minorEastAsia" w:cstheme="minorEastAsia"/>
          <w:color w:val="000000"/>
          <w:sz w:val="22"/>
          <w:szCs w:val="18"/>
        </w:rPr>
      </w:pPr>
    </w:p>
    <w:p>
      <w:pPr>
        <w:snapToGrid w:val="0"/>
        <w:spacing w:line="360" w:lineRule="auto"/>
        <w:ind w:left="5382" w:leftChars="420" w:hanging="4290" w:hangingChars="1950"/>
        <w:rPr>
          <w:rFonts w:asciiTheme="minorEastAsia" w:hAnsiTheme="minorEastAsia" w:eastAsiaTheme="minorEastAsia" w:cstheme="minorEastAsia"/>
          <w:color w:val="000000"/>
          <w:sz w:val="22"/>
          <w:szCs w:val="18"/>
          <w:u w:val="single"/>
        </w:rPr>
      </w:pPr>
      <w:r>
        <w:rPr>
          <w:rFonts w:hint="eastAsia" w:asciiTheme="minorEastAsia" w:hAnsiTheme="minorEastAsia" w:eastAsiaTheme="minorEastAsia" w:cstheme="minorEastAsia"/>
          <w:color w:val="000000"/>
          <w:sz w:val="22"/>
          <w:szCs w:val="18"/>
        </w:rPr>
        <w:t>甲方（签章）：                      乙方（签章）：</w:t>
      </w:r>
    </w:p>
    <w:p>
      <w:pPr>
        <w:snapToGrid w:val="0"/>
        <w:spacing w:line="360" w:lineRule="auto"/>
        <w:ind w:firstLine="1100" w:firstLineChars="5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 xml:space="preserve">法定代表人：                        法定代表人：                                   </w:t>
      </w:r>
    </w:p>
    <w:p>
      <w:pPr>
        <w:snapToGrid w:val="0"/>
        <w:spacing w:line="360" w:lineRule="auto"/>
        <w:ind w:firstLine="1100" w:firstLineChars="500"/>
        <w:rPr>
          <w:rFonts w:asciiTheme="minorEastAsia" w:hAnsiTheme="minorEastAsia" w:eastAsiaTheme="minorEastAsia" w:cstheme="minorEastAsia"/>
          <w:color w:val="000000"/>
          <w:sz w:val="22"/>
          <w:szCs w:val="18"/>
          <w:u w:val="single"/>
        </w:rPr>
      </w:pPr>
      <w:r>
        <w:rPr>
          <w:rFonts w:hint="eastAsia" w:asciiTheme="minorEastAsia" w:hAnsiTheme="minorEastAsia" w:eastAsiaTheme="minorEastAsia" w:cstheme="minorEastAsia"/>
          <w:color w:val="000000"/>
          <w:sz w:val="22"/>
          <w:szCs w:val="18"/>
        </w:rPr>
        <w:t xml:space="preserve">经办人：                            经办人：          </w:t>
      </w:r>
    </w:p>
    <w:p>
      <w:pPr>
        <w:snapToGrid w:val="0"/>
        <w:spacing w:line="360" w:lineRule="auto"/>
        <w:ind w:left="5272" w:leftChars="420" w:hanging="4180" w:hangingChars="19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地址：                              地址：</w:t>
      </w:r>
    </w:p>
    <w:p>
      <w:pPr>
        <w:snapToGrid w:val="0"/>
        <w:spacing w:line="360" w:lineRule="auto"/>
        <w:ind w:left="5272" w:leftChars="420" w:hanging="4180" w:hangingChars="19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电话：                              电话：</w:t>
      </w:r>
    </w:p>
    <w:p>
      <w:pPr>
        <w:snapToGrid w:val="0"/>
        <w:spacing w:line="360" w:lineRule="auto"/>
        <w:ind w:firstLine="1100" w:firstLineChars="5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开户行：                            开户行：</w:t>
      </w:r>
    </w:p>
    <w:p>
      <w:pPr>
        <w:snapToGrid w:val="0"/>
        <w:spacing w:line="360" w:lineRule="auto"/>
        <w:ind w:firstLine="1100" w:firstLineChars="500"/>
        <w:rPr>
          <w:rFonts w:asciiTheme="minorEastAsia" w:hAnsiTheme="minorEastAsia" w:eastAsiaTheme="minorEastAsia" w:cstheme="minorEastAsia"/>
          <w:color w:val="000000"/>
          <w:sz w:val="22"/>
          <w:szCs w:val="18"/>
        </w:rPr>
      </w:pPr>
      <w:r>
        <w:rPr>
          <w:rFonts w:hint="eastAsia" w:asciiTheme="minorEastAsia" w:hAnsiTheme="minorEastAsia" w:eastAsiaTheme="minorEastAsia" w:cstheme="minorEastAsia"/>
          <w:color w:val="000000"/>
          <w:sz w:val="22"/>
          <w:szCs w:val="18"/>
        </w:rPr>
        <w:t>帐号：                              帐号：</w:t>
      </w:r>
    </w:p>
    <w:p>
      <w:pPr>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南通公共资源交易平台、省、国家级相关媒体予以披露。</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供应商不得进行不提供相关佐证材料（含无法查实的如宣传册、媒体报道、猜测、推理等）而向有关部门的举报，否则对其在1至3年内禁入由采购单位组织的政府采购活动。</w:t>
      </w:r>
    </w:p>
    <w:p>
      <w:pPr>
        <w:snapToGrid w:val="0"/>
        <w:spacing w:line="430" w:lineRule="exact"/>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430" w:lineRule="exact"/>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质疑人对采购人的答复不满意或者采购人未在规定的时间内做出答复的，可以在答复期满后15天内内向同级政府采购监督管理部门投诉。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供应商进行质疑后，采购人回复质疑不成立，质疑人仍进行投诉的，并最终投诉不成立的，采购单位有权对其在1至3年内禁入由采购单位组织的政府采购活动。</w:t>
      </w:r>
    </w:p>
    <w:p>
      <w:pPr>
        <w:rPr>
          <w:rFonts w:asciiTheme="majorEastAsia" w:hAnsiTheme="majorEastAsia" w:eastAsiaTheme="majorEastAsia" w:cstheme="minorEastAsia"/>
          <w:b/>
          <w:w w:val="80"/>
          <w:sz w:val="36"/>
          <w:szCs w:val="36"/>
        </w:rPr>
      </w:pPr>
      <w:bookmarkStart w:id="13" w:name="_Toc363573860"/>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afterLines="50"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w:t>
      </w:r>
      <w:r>
        <w:rPr>
          <w:rFonts w:hint="eastAsia" w:asciiTheme="majorEastAsia" w:hAnsiTheme="majorEastAsia" w:eastAsiaTheme="majorEastAsia" w:cstheme="minorEastAsia"/>
          <w:color w:val="auto"/>
          <w:sz w:val="24"/>
          <w:szCs w:val="24"/>
        </w:rPr>
        <w:t>为具有内部控制、风险管理咨询服务能力的独立法人或</w:t>
      </w:r>
      <w:r>
        <w:rPr>
          <w:rFonts w:hint="eastAsia" w:asciiTheme="majorEastAsia" w:hAnsiTheme="majorEastAsia" w:eastAsiaTheme="majorEastAsia" w:cstheme="minorEastAsia"/>
          <w:sz w:val="24"/>
          <w:szCs w:val="24"/>
        </w:rPr>
        <w:t>其他组织，有能力提供本次采购项目所要求的服务，提供营业执照副本复印件或三证合一的营业执照副本复印件。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法定代表人参加投标的，必须提供法定代表人身份证明及法定代表人本人身份证复印件（格式见附件）；非法定代表人参加投标的，必须提供法定代表人签字或盖章的授权委托书及法定代表人、被授权人的两人身份证的复印件（格式见附件），被授权人与供应商签订的有效劳动合同复印件。</w:t>
      </w:r>
    </w:p>
    <w:p>
      <w:pPr>
        <w:snapToGrid w:val="0"/>
        <w:spacing w:line="360" w:lineRule="auto"/>
        <w:ind w:firstLine="360" w:firstLineChars="15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3、拟派本项目负责人具有注册会计师资格证书，熟悉医院管理及行政事业单位内部控制基本规范，熟悉国家、省、市对医院经营管理和内部控制相关的规定，有过类似工作经验。提供资格证书及相关工作经验证明材料的复印件或扫描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、《资格声明函》。（格式见附件）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、《关于资格文件的声明函》。（格式见附件）</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57"/>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采购文件第三章“项目需求”及合同条款所列的服务要求标准等，仔细阅读并在理解的基础上结合第四章“技术标评分标准”内的评审内容，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、技术服务条款响应表。（格式见附件）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、技术标评分标准中要求提供的全部材料。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sz w:val="24"/>
          <w:szCs w:val="24"/>
        </w:rPr>
        <w:t>“资格审查文件”、“技术标”所提供的材料涉及的相关原件请带至开标现场备查，未携带原件或因携带原件不全所引起的后果由投标人自行承担。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1、磋商响应报价表。（格式见附件）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2、小型、微型企业声明函（若有）。（格式见附件）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3、残疾人福利性单位声明函（若有）。（格式见附件）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br w:type="page"/>
      </w: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57"/>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（项目名称)</w:t>
      </w:r>
      <w:r>
        <w:rPr>
          <w:rFonts w:hint="eastAsia" w:ascii="宋体" w:hAnsi="宋体" w:eastAsia="宋体" w:cs="宋体"/>
          <w:sz w:val="24"/>
          <w:szCs w:val="24"/>
        </w:rPr>
        <w:t>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姓名：性别：年龄：职务：</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p>
    <w:p>
      <w:pPr>
        <w:snapToGrid w:val="0"/>
        <w:spacing w:line="520" w:lineRule="exact"/>
        <w:jc w:val="center"/>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（项目名称）</w:t>
      </w:r>
      <w:r>
        <w:rPr>
          <w:rFonts w:hint="eastAsia" w:ascii="宋体" w:hAnsi="宋体" w:eastAsia="宋体" w:cs="宋体"/>
          <w:sz w:val="24"/>
          <w:szCs w:val="24"/>
        </w:rPr>
        <w:t xml:space="preserve">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 性别：年龄：职务：</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p>
    <w:p>
      <w:pPr>
        <w:spacing w:line="480" w:lineRule="exact"/>
        <w:rPr>
          <w:rFonts w:ascii="宋体" w:hAnsi="宋体" w:eastAsia="宋体" w:cs="宋体"/>
          <w:sz w:val="24"/>
          <w:szCs w:val="24"/>
        </w:rPr>
      </w:pPr>
      <w:r>
        <w:rPr>
          <w:rFonts w:hint="eastAsia" w:ascii="宋体" w:hAnsi="宋体" w:eastAsia="宋体" w:cs="宋体"/>
          <w:sz w:val="24"/>
          <w:szCs w:val="24"/>
        </w:rPr>
        <w:t>手机：传真：</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p>
    <w:p>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资格声明函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spacing w:line="360" w:lineRule="auto"/>
        <w:ind w:firstLine="465"/>
        <w:rPr>
          <w:rFonts w:ascii="宋体" w:hAnsi="宋体" w:eastAsia="宋体" w:cs="宋体"/>
          <w:color w:val="000000"/>
          <w:sz w:val="24"/>
          <w:szCs w:val="24"/>
        </w:rPr>
      </w:pPr>
      <w:r>
        <w:rPr>
          <w:rFonts w:hint="eastAsia" w:ascii="宋体" w:hAnsi="宋体" w:eastAsia="宋体" w:cs="宋体"/>
          <w:color w:val="000000"/>
          <w:sz w:val="24"/>
          <w:szCs w:val="24"/>
        </w:rPr>
        <w:t>我单位</w:t>
      </w:r>
      <w:r>
        <w:rPr>
          <w:rFonts w:hint="eastAsia" w:ascii="宋体" w:hAnsi="宋体" w:eastAsia="宋体" w:cs="宋体"/>
          <w:color w:val="000000"/>
          <w:sz w:val="24"/>
          <w:szCs w:val="24"/>
          <w:u w:val="single"/>
        </w:rPr>
        <w:t>（供应商名称）</w:t>
      </w:r>
      <w:r>
        <w:rPr>
          <w:rFonts w:hint="eastAsia" w:ascii="宋体" w:hAnsi="宋体" w:eastAsia="宋体" w:cs="宋体"/>
          <w:color w:val="000000"/>
          <w:sz w:val="24"/>
          <w:szCs w:val="24"/>
        </w:rPr>
        <w:t>郑重声明：</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具有独立承担民事责任的能力；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具有良好的商业信誉和健全的财务会计制度；</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具有履行合同所必需的设备和专业技术能力；</w:t>
      </w:r>
    </w:p>
    <w:p>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有依法缴纳税收和社会保障资金的良好记录；</w:t>
      </w:r>
    </w:p>
    <w:p>
      <w:pPr>
        <w:spacing w:line="360" w:lineRule="auto"/>
        <w:rPr>
          <w:rFonts w:ascii="宋体" w:hAnsi="宋体" w:eastAsia="宋体" w:cs="宋体"/>
          <w:b/>
          <w:sz w:val="24"/>
          <w:szCs w:val="24"/>
        </w:rPr>
      </w:pPr>
      <w:r>
        <w:rPr>
          <w:rFonts w:hint="eastAsia" w:ascii="宋体" w:hAnsi="宋体" w:eastAsia="宋体" w:cs="宋体"/>
          <w:color w:val="000000"/>
          <w:sz w:val="24"/>
          <w:szCs w:val="24"/>
        </w:rPr>
        <w:t xml:space="preserve">    参加本项目采购活动前3年内在经营活动中</w:t>
      </w:r>
      <w:r>
        <w:rPr>
          <w:rFonts w:hint="eastAsia" w:ascii="宋体" w:hAnsi="宋体" w:eastAsia="宋体" w:cs="宋体"/>
          <w:color w:val="000000"/>
          <w:sz w:val="24"/>
          <w:szCs w:val="24"/>
          <w:u w:val="single"/>
        </w:rPr>
        <w:t>（在下划线上如实填写：有或没有）</w:t>
      </w:r>
      <w:r>
        <w:rPr>
          <w:rFonts w:hint="eastAsia" w:ascii="宋体" w:hAnsi="宋体" w:eastAsia="宋体" w:cs="宋体"/>
          <w:color w:val="000000"/>
          <w:sz w:val="24"/>
          <w:szCs w:val="24"/>
        </w:rPr>
        <w:t>重大违法记录（说明：政府采购法第二十二条第一款第五项所称重大违法记录，是指供应商因违法经营受到刑事处罚或者责令停产停业、吊销许可证或者执照、较大数额罚款等行政处</w:t>
      </w:r>
      <w:r>
        <w:rPr>
          <w:rFonts w:hint="eastAsia" w:ascii="宋体" w:hAnsi="宋体" w:eastAsia="宋体" w:cs="宋体"/>
          <w:sz w:val="24"/>
          <w:szCs w:val="24"/>
        </w:rPr>
        <w:t>罚。）</w:t>
      </w:r>
      <w:r>
        <w:rPr>
          <w:rFonts w:hint="eastAsia" w:ascii="宋体" w:hAnsi="宋体" w:eastAsia="宋体" w:cs="宋体"/>
          <w:color w:val="000000"/>
          <w:sz w:val="24"/>
          <w:szCs w:val="24"/>
        </w:rPr>
        <w:t>。</w:t>
      </w:r>
    </w:p>
    <w:p>
      <w:pPr>
        <w:spacing w:line="360" w:lineRule="auto"/>
        <w:ind w:firstLine="2289" w:firstLineChars="950"/>
        <w:jc w:val="center"/>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napToGrid w:val="0"/>
        <w:spacing w:afterLines="100" w:line="520" w:lineRule="exact"/>
        <w:jc w:val="center"/>
        <w:rPr>
          <w:rFonts w:ascii="宋体" w:hAnsi="宋体" w:eastAsia="宋体"/>
          <w:b/>
          <w:sz w:val="28"/>
          <w:szCs w:val="28"/>
        </w:rPr>
      </w:pPr>
      <w:r>
        <w:rPr>
          <w:rFonts w:hint="eastAsia" w:ascii="宋体" w:hAnsi="宋体" w:eastAsia="宋体" w:cs="宋体"/>
          <w:b/>
          <w:sz w:val="24"/>
          <w:szCs w:val="24"/>
        </w:rPr>
        <w:t xml:space="preserve"> 年     月    日</w:t>
      </w:r>
      <w:r>
        <w:rPr>
          <w:rFonts w:hint="eastAsia" w:ascii="宋体" w:hAnsi="宋体" w:eastAsia="宋体"/>
          <w:b/>
          <w:sz w:val="28"/>
          <w:szCs w:val="28"/>
        </w:rPr>
        <w:br w:type="page"/>
      </w: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（项目名称)</w:t>
      </w:r>
      <w:r>
        <w:rPr>
          <w:rFonts w:hint="eastAsia" w:ascii="宋体" w:hAnsi="宋体" w:eastAsia="宋体" w:cs="宋体"/>
          <w:bCs/>
          <w:szCs w:val="24"/>
        </w:rPr>
        <w:t>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177"/>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（磋商项目名称)</w:t>
      </w:r>
      <w:r>
        <w:rPr>
          <w:rFonts w:hint="eastAsia" w:ascii="宋体" w:hAnsi="宋体" w:eastAsia="宋体" w:cs="宋体"/>
          <w:sz w:val="24"/>
          <w:szCs w:val="24"/>
        </w:rPr>
        <w:t>项目竞争性磋商的邀请，我方授权</w:t>
      </w:r>
      <w:r>
        <w:rPr>
          <w:rFonts w:hint="eastAsia" w:ascii="宋体" w:hAnsi="宋体" w:eastAsia="宋体" w:cs="宋体"/>
          <w:sz w:val="24"/>
          <w:szCs w:val="24"/>
          <w:u w:val="single"/>
        </w:rPr>
        <w:t>（姓名）（职务）</w:t>
      </w:r>
      <w:r>
        <w:rPr>
          <w:rFonts w:hint="eastAsia" w:ascii="宋体" w:hAnsi="宋体" w:eastAsia="宋体" w:cs="宋体"/>
          <w:sz w:val="24"/>
          <w:szCs w:val="24"/>
        </w:rPr>
        <w:t>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rPr>
          <w:rFonts w:ascii="宋体" w:hAnsi="宋体" w:eastAsia="宋体"/>
          <w:b/>
          <w:sz w:val="28"/>
          <w:szCs w:val="28"/>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b/>
          <w:sz w:val="36"/>
          <w:szCs w:val="36"/>
        </w:rPr>
      </w:pPr>
      <w:r>
        <w:rPr>
          <w:rFonts w:hint="eastAsia" w:ascii="宋体" w:hAnsi="宋体" w:eastAsia="宋体"/>
          <w:b/>
          <w:sz w:val="28"/>
          <w:szCs w:val="28"/>
        </w:rPr>
        <w:t>技术服务条款响应表</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295"/>
        <w:gridCol w:w="1575"/>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35" w:type="pct"/>
            <w:noWrap/>
            <w:vAlign w:val="center"/>
          </w:tcPr>
          <w:p>
            <w:pPr>
              <w:jc w:val="center"/>
              <w:rPr>
                <w:rFonts w:ascii="宋体" w:hAnsi="宋体" w:eastAsia="宋体" w:cs="宋体"/>
                <w:sz w:val="24"/>
              </w:rPr>
            </w:pPr>
            <w:r>
              <w:rPr>
                <w:rFonts w:hint="eastAsia" w:ascii="宋体" w:hAnsi="宋体" w:eastAsia="宋体" w:cs="宋体"/>
                <w:sz w:val="24"/>
              </w:rPr>
              <w:t>序号</w:t>
            </w:r>
          </w:p>
        </w:tc>
        <w:tc>
          <w:tcPr>
            <w:tcW w:w="2313" w:type="pct"/>
            <w:noWrap/>
            <w:vAlign w:val="center"/>
          </w:tcPr>
          <w:p>
            <w:pPr>
              <w:jc w:val="center"/>
              <w:rPr>
                <w:rFonts w:ascii="宋体" w:hAnsi="宋体" w:eastAsia="宋体" w:cs="宋体"/>
                <w:sz w:val="24"/>
              </w:rPr>
            </w:pPr>
            <w:r>
              <w:rPr>
                <w:rFonts w:hint="eastAsia" w:ascii="宋体" w:hAnsi="宋体" w:eastAsia="宋体" w:cs="宋体"/>
                <w:sz w:val="24"/>
              </w:rPr>
              <w:t>招标技术</w:t>
            </w:r>
          </w:p>
          <w:p>
            <w:pPr>
              <w:jc w:val="center"/>
              <w:rPr>
                <w:rFonts w:ascii="宋体" w:hAnsi="宋体" w:eastAsia="宋体" w:cs="宋体"/>
                <w:sz w:val="24"/>
              </w:rPr>
            </w:pPr>
            <w:r>
              <w:rPr>
                <w:rFonts w:hint="eastAsia" w:ascii="宋体" w:hAnsi="宋体" w:eastAsia="宋体" w:cs="宋体"/>
                <w:sz w:val="24"/>
              </w:rPr>
              <w:t>服务要求</w:t>
            </w:r>
          </w:p>
        </w:tc>
        <w:tc>
          <w:tcPr>
            <w:tcW w:w="848" w:type="pct"/>
            <w:noWrap/>
            <w:vAlign w:val="center"/>
          </w:tcPr>
          <w:p>
            <w:pPr>
              <w:jc w:val="center"/>
              <w:rPr>
                <w:rFonts w:ascii="宋体" w:hAnsi="宋体" w:eastAsia="宋体" w:cs="宋体"/>
                <w:sz w:val="24"/>
              </w:rPr>
            </w:pPr>
            <w:r>
              <w:rPr>
                <w:rFonts w:hint="eastAsia" w:ascii="宋体" w:hAnsi="宋体" w:eastAsia="宋体" w:cs="宋体"/>
                <w:sz w:val="24"/>
              </w:rPr>
              <w:t>偏离度</w:t>
            </w:r>
          </w:p>
        </w:tc>
        <w:tc>
          <w:tcPr>
            <w:tcW w:w="1302" w:type="pct"/>
            <w:noWrap/>
            <w:vAlign w:val="center"/>
          </w:tcPr>
          <w:p>
            <w:pPr>
              <w:jc w:val="center"/>
              <w:rPr>
                <w:rFonts w:ascii="宋体" w:hAnsi="宋体" w:eastAsia="宋体" w:cs="宋体"/>
                <w:sz w:val="24"/>
              </w:rPr>
            </w:pPr>
            <w:r>
              <w:rPr>
                <w:rFonts w:hint="eastAsia" w:ascii="宋体" w:hAnsi="宋体" w:eastAsia="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5" w:type="pct"/>
            <w:noWrap/>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w:t>
            </w:r>
          </w:p>
        </w:tc>
        <w:tc>
          <w:tcPr>
            <w:tcW w:w="2313" w:type="pct"/>
            <w:noWrap/>
            <w:vAlign w:val="center"/>
          </w:tcPr>
          <w:p>
            <w:pPr>
              <w:spacing w:line="360" w:lineRule="auto"/>
              <w:jc w:val="center"/>
              <w:rPr>
                <w:rFonts w:ascii="宋体" w:hAnsi="宋体" w:eastAsia="宋体" w:cs="宋体"/>
                <w:b/>
                <w:bCs/>
                <w:sz w:val="24"/>
              </w:rPr>
            </w:pPr>
          </w:p>
        </w:tc>
        <w:tc>
          <w:tcPr>
            <w:tcW w:w="848" w:type="pct"/>
            <w:noWrap/>
            <w:vAlign w:val="center"/>
          </w:tcPr>
          <w:p>
            <w:pPr>
              <w:spacing w:line="360" w:lineRule="auto"/>
              <w:jc w:val="center"/>
              <w:rPr>
                <w:rFonts w:ascii="宋体" w:hAnsi="宋体" w:eastAsia="宋体" w:cs="宋体"/>
                <w:b/>
                <w:bCs/>
                <w:sz w:val="24"/>
              </w:rPr>
            </w:pPr>
          </w:p>
        </w:tc>
        <w:tc>
          <w:tcPr>
            <w:tcW w:w="1302" w:type="pct"/>
            <w:noWrap/>
            <w:vAlign w:val="center"/>
          </w:tcPr>
          <w:p>
            <w:pPr>
              <w:spacing w:line="360" w:lineRule="auto"/>
              <w:jc w:val="center"/>
              <w:rPr>
                <w:rFonts w:ascii="宋体" w:hAnsi="宋体" w:eastAsia="宋体" w:cs="宋体"/>
                <w:b/>
                <w:bCs/>
                <w:sz w:val="24"/>
              </w:rPr>
            </w:pPr>
          </w:p>
        </w:tc>
      </w:tr>
    </w:tbl>
    <w:p>
      <w:pPr>
        <w:spacing w:line="260" w:lineRule="exact"/>
        <w:rPr>
          <w:sz w:val="24"/>
          <w:u w:val="single"/>
        </w:rPr>
      </w:pPr>
    </w:p>
    <w:p>
      <w:pPr>
        <w:pStyle w:val="2"/>
        <w:ind w:firstLine="480"/>
      </w:pPr>
    </w:p>
    <w:p>
      <w:pPr>
        <w:snapToGrid w:val="0"/>
        <w:spacing w:line="360" w:lineRule="auto"/>
        <w:contextualSpacing/>
        <w:rPr>
          <w:rFonts w:ascii="宋体" w:hAnsi="宋体" w:eastAsia="宋体" w:cs="宋体"/>
          <w:sz w:val="24"/>
          <w:szCs w:val="24"/>
        </w:rPr>
      </w:pPr>
      <w:r>
        <w:rPr>
          <w:rFonts w:hint="eastAsia" w:ascii="宋体" w:hAnsi="宋体" w:eastAsia="宋体" w:cs="宋体"/>
          <w:sz w:val="24"/>
          <w:szCs w:val="24"/>
        </w:rPr>
        <w:t>注：1、供应商应逐一对照本竞争性磋商文件第三章项目需求及合同条款的各项要求，如供应商提供的货物或服务与竞争性磋商文件规定的要求有偏离的，必须在《技术服务条款响应表》上明示，如不明示的视同完全响应竞争性磋商文件的所有要求。</w:t>
      </w:r>
    </w:p>
    <w:p>
      <w:pPr>
        <w:snapToGri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供应商在“偏离度”一栏据实选填“正偏离”或“负偏离”，若完全响应则不填。供应商必须响应竞争性磋商文件中针对本项目提出的全部技术与服务要求，本次招标不接受负偏离，若填“负偏离”将作无效投标处理；若有“正偏离”的，在“说明”一栏予以说明，是否响应经三分之二评委认定。</w:t>
      </w:r>
    </w:p>
    <w:p>
      <w:pPr>
        <w:snapToGrid w:val="0"/>
        <w:spacing w:line="360" w:lineRule="auto"/>
        <w:ind w:firstLine="480" w:firstLineChars="200"/>
        <w:contextualSpacing/>
        <w:rPr>
          <w:rFonts w:ascii="宋体" w:hAnsi="宋体" w:eastAsia="宋体" w:cs="宋体"/>
          <w:sz w:val="21"/>
          <w:szCs w:val="21"/>
        </w:rPr>
      </w:pPr>
      <w:r>
        <w:rPr>
          <w:rFonts w:hint="eastAsia" w:ascii="宋体" w:hAnsi="宋体" w:eastAsia="宋体" w:cs="宋体"/>
          <w:sz w:val="24"/>
          <w:szCs w:val="24"/>
        </w:rPr>
        <w:t>3、供应商若提供其他增值服务，可以在表中自行据实填写。</w:t>
      </w:r>
    </w:p>
    <w:p>
      <w:pPr>
        <w:widowControl/>
        <w:ind w:firstLine="480" w:firstLineChars="200"/>
        <w:jc w:val="left"/>
        <w:rPr>
          <w:rFonts w:ascii="宋体" w:hAnsi="宋体" w:eastAsia="宋体"/>
          <w:b/>
          <w:sz w:val="28"/>
          <w:szCs w:val="28"/>
        </w:rPr>
      </w:pPr>
      <w:r>
        <w:rPr>
          <w:rFonts w:hint="eastAsia" w:ascii="宋体" w:hAnsi="宋体" w:eastAsia="宋体" w:cs="宋体"/>
          <w:sz w:val="24"/>
          <w:szCs w:val="24"/>
        </w:rPr>
        <w:t>4、供应商如果虚假响应，将承担一切可能的风险。</w:t>
      </w:r>
    </w:p>
    <w:p>
      <w:pPr>
        <w:snapToGrid w:val="0"/>
        <w:spacing w:line="440" w:lineRule="exact"/>
        <w:ind w:firstLine="2400" w:firstLineChars="1000"/>
        <w:jc w:val="right"/>
        <w:rPr>
          <w:rFonts w:ascii="宋体" w:hAnsi="宋体" w:eastAsia="宋体" w:cs="宋体"/>
          <w:sz w:val="24"/>
          <w:szCs w:val="24"/>
        </w:rPr>
      </w:pPr>
    </w:p>
    <w:p>
      <w:pPr>
        <w:snapToGrid w:val="0"/>
        <w:spacing w:line="440" w:lineRule="exact"/>
        <w:ind w:firstLine="2400" w:firstLineChars="1000"/>
        <w:jc w:val="right"/>
        <w:rPr>
          <w:rFonts w:ascii="宋体" w:hAnsi="宋体" w:eastAsia="宋体" w:cs="宋体"/>
          <w:sz w:val="24"/>
          <w:szCs w:val="24"/>
        </w:rPr>
      </w:pPr>
    </w:p>
    <w:p>
      <w:pPr>
        <w:snapToGrid w:val="0"/>
        <w:spacing w:line="44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供应商：（加盖公章）</w:t>
      </w:r>
    </w:p>
    <w:p>
      <w:pPr>
        <w:snapToGrid w:val="0"/>
        <w:spacing w:line="44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法定代表人或被授权人：（签字或盖章）</w:t>
      </w:r>
    </w:p>
    <w:p>
      <w:pPr>
        <w:snapToGrid w:val="0"/>
        <w:spacing w:line="440" w:lineRule="exact"/>
        <w:ind w:firstLine="2400" w:firstLineChars="1000"/>
        <w:jc w:val="right"/>
      </w:pPr>
      <w:r>
        <w:rPr>
          <w:rFonts w:hint="eastAsia" w:ascii="宋体" w:hAnsi="宋体" w:eastAsia="宋体" w:cs="宋体"/>
          <w:sz w:val="24"/>
          <w:szCs w:val="24"/>
        </w:rPr>
        <w:t xml:space="preserve">                                     年     月     日</w:t>
      </w:r>
      <w:r>
        <w:rPr>
          <w:rFonts w:hint="eastAsia" w:ascii="宋体" w:hAnsi="宋体" w:cs="宋体"/>
          <w:sz w:val="30"/>
          <w:szCs w:val="30"/>
        </w:rPr>
        <w:br w:type="page"/>
      </w: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8"/>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57"/>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kinsoku w:val="0"/>
        <w:topLinePunct/>
        <w:snapToGrid w:val="0"/>
        <w:spacing w:line="360" w:lineRule="auto"/>
        <w:rPr>
          <w:rFonts w:ascii="方正仿宋_GBK" w:eastAsia="宋体"/>
          <w:sz w:val="24"/>
          <w:szCs w:val="24"/>
        </w:rPr>
      </w:pPr>
      <w:r>
        <w:rPr>
          <w:rFonts w:hint="eastAsia" w:ascii="宋体" w:hAnsi="宋体" w:eastAsia="宋体" w:cs="宋体"/>
          <w:sz w:val="24"/>
          <w:szCs w:val="24"/>
        </w:rPr>
        <w:t>（1）</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sz w:val="24"/>
          <w:szCs w:val="24"/>
        </w:rPr>
        <w:t>。</w:t>
      </w:r>
    </w:p>
    <w:p>
      <w:pPr>
        <w:rPr>
          <w:rFonts w:ascii="宋体" w:hAnsi="宋体" w:eastAsia="宋体"/>
          <w:b/>
          <w:sz w:val="28"/>
          <w:szCs w:val="28"/>
        </w:rPr>
      </w:pPr>
      <w:r>
        <w:rPr>
          <w:rFonts w:hint="eastAsia" w:ascii="宋体" w:hAnsi="宋体" w:eastAsia="宋体" w:cs="宋体"/>
          <w:b/>
          <w:bCs/>
          <w:sz w:val="24"/>
          <w:szCs w:val="24"/>
        </w:rPr>
        <w:br w:type="page"/>
      </w:r>
    </w:p>
    <w:p>
      <w:pPr>
        <w:kinsoku w:val="0"/>
        <w:topLinePunct/>
        <w:snapToGrid w:val="0"/>
        <w:spacing w:line="360" w:lineRule="auto"/>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，从业人员人，营业收入为万元，资产总额为万元，属于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57"/>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0000000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22</w:t>
                </w:r>
                <w:r>
                  <w:fldChar w:fldCharType="end"/>
                </w:r>
                <w:r>
                  <w:rPr>
                    <w:rFonts w:hint="eastAsia"/>
                  </w:rPr>
                  <w:t>页共</w:t>
                </w:r>
                <w:r>
                  <w:fldChar w:fldCharType="begin"/>
                </w:r>
                <w:r>
                  <w:instrText xml:space="preserve"> NUMPAGES  \* MERGEFORMAT </w:instrText>
                </w:r>
                <w:r>
                  <w:fldChar w:fldCharType="separate"/>
                </w:r>
                <w:r>
                  <w:t>38</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fldChar w:fldCharType="begin"/>
                </w:r>
                <w:r>
                  <w:instrText xml:space="preserve"> PAGE  \* MERGEFORMAT </w:instrText>
                </w:r>
                <w:r>
                  <w:fldChar w:fldCharType="separate"/>
                </w:r>
                <w:r>
                  <w:t>3</w:t>
                </w:r>
                <w:r>
                  <w:fldChar w:fldCharType="end"/>
                </w:r>
              </w:p>
            </w:txbxContent>
          </v:textbox>
        </v:shape>
      </w:pic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DF67EB"/>
    <w:multiLevelType w:val="singleLevel"/>
    <w:tmpl w:val="6DDF67EB"/>
    <w:lvl w:ilvl="0" w:tentative="0">
      <w:start w:val="1"/>
      <w:numFmt w:val="decimal"/>
      <w:lvlText w:val="%1."/>
      <w:lvlJc w:val="left"/>
      <w:pPr>
        <w:tabs>
          <w:tab w:val="left" w:pos="312"/>
        </w:tabs>
      </w:p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119"/>
  <w:drawingGridVerticalSpacing w:val="193"/>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useFELayout/>
    <w:underlineTabInNumList/>
    <w:compatSetting w:name="compatibilityMode" w:uri="http://schemas.microsoft.com/office/word" w:val="12"/>
  </w:compat>
  <w:docVars>
    <w:docVar w:name="commondata" w:val="eyJoZGlkIjoiMmZlMjhkY2RlYjAyZTFkZjk4MWVmYWM5MjEwN2M0ZmYifQ=="/>
  </w:docVars>
  <w:rsids>
    <w:rsidRoot w:val="00172A27"/>
    <w:rsid w:val="000018D1"/>
    <w:rsid w:val="0000455F"/>
    <w:rsid w:val="000065D1"/>
    <w:rsid w:val="00006986"/>
    <w:rsid w:val="0001043F"/>
    <w:rsid w:val="0001131A"/>
    <w:rsid w:val="000120DE"/>
    <w:rsid w:val="00013405"/>
    <w:rsid w:val="00016408"/>
    <w:rsid w:val="00016936"/>
    <w:rsid w:val="00021D1A"/>
    <w:rsid w:val="000232CD"/>
    <w:rsid w:val="00026332"/>
    <w:rsid w:val="0002688A"/>
    <w:rsid w:val="00027277"/>
    <w:rsid w:val="00027B27"/>
    <w:rsid w:val="00030AED"/>
    <w:rsid w:val="00031A6A"/>
    <w:rsid w:val="000375E7"/>
    <w:rsid w:val="0004090E"/>
    <w:rsid w:val="000414DA"/>
    <w:rsid w:val="000432DE"/>
    <w:rsid w:val="00043D3D"/>
    <w:rsid w:val="00044D32"/>
    <w:rsid w:val="00045CB3"/>
    <w:rsid w:val="00046061"/>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0BC"/>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36DF"/>
    <w:rsid w:val="000C6205"/>
    <w:rsid w:val="000C7A29"/>
    <w:rsid w:val="000D07AE"/>
    <w:rsid w:val="000D2520"/>
    <w:rsid w:val="000D425D"/>
    <w:rsid w:val="000D5D52"/>
    <w:rsid w:val="000E0699"/>
    <w:rsid w:val="000E3676"/>
    <w:rsid w:val="000E4EE5"/>
    <w:rsid w:val="000E7259"/>
    <w:rsid w:val="000F0A06"/>
    <w:rsid w:val="000F0D81"/>
    <w:rsid w:val="000F0F3A"/>
    <w:rsid w:val="000F1E7F"/>
    <w:rsid w:val="000F4887"/>
    <w:rsid w:val="000F5798"/>
    <w:rsid w:val="000F6B81"/>
    <w:rsid w:val="000F7C44"/>
    <w:rsid w:val="00101851"/>
    <w:rsid w:val="00104C38"/>
    <w:rsid w:val="001058BE"/>
    <w:rsid w:val="001060A0"/>
    <w:rsid w:val="00115087"/>
    <w:rsid w:val="00116942"/>
    <w:rsid w:val="001208A1"/>
    <w:rsid w:val="00121064"/>
    <w:rsid w:val="0012234F"/>
    <w:rsid w:val="001235C5"/>
    <w:rsid w:val="00126373"/>
    <w:rsid w:val="0013074D"/>
    <w:rsid w:val="0013129B"/>
    <w:rsid w:val="00132B09"/>
    <w:rsid w:val="00133F59"/>
    <w:rsid w:val="00133F64"/>
    <w:rsid w:val="00134926"/>
    <w:rsid w:val="00134A4A"/>
    <w:rsid w:val="001358C7"/>
    <w:rsid w:val="0013622E"/>
    <w:rsid w:val="00136918"/>
    <w:rsid w:val="00136CB8"/>
    <w:rsid w:val="00137CDF"/>
    <w:rsid w:val="001405AB"/>
    <w:rsid w:val="00140F98"/>
    <w:rsid w:val="001415FA"/>
    <w:rsid w:val="0014687E"/>
    <w:rsid w:val="0014761F"/>
    <w:rsid w:val="00147759"/>
    <w:rsid w:val="001501CD"/>
    <w:rsid w:val="001513D8"/>
    <w:rsid w:val="001523D0"/>
    <w:rsid w:val="00152FC8"/>
    <w:rsid w:val="0015415E"/>
    <w:rsid w:val="00156462"/>
    <w:rsid w:val="00157411"/>
    <w:rsid w:val="001602A0"/>
    <w:rsid w:val="0016141A"/>
    <w:rsid w:val="00162476"/>
    <w:rsid w:val="0016331B"/>
    <w:rsid w:val="00165311"/>
    <w:rsid w:val="001672ED"/>
    <w:rsid w:val="00170FB0"/>
    <w:rsid w:val="00172141"/>
    <w:rsid w:val="00172A27"/>
    <w:rsid w:val="001734DA"/>
    <w:rsid w:val="00174C07"/>
    <w:rsid w:val="00176285"/>
    <w:rsid w:val="00176327"/>
    <w:rsid w:val="00176730"/>
    <w:rsid w:val="0018042D"/>
    <w:rsid w:val="001808F7"/>
    <w:rsid w:val="00181EAF"/>
    <w:rsid w:val="00182E47"/>
    <w:rsid w:val="00183F16"/>
    <w:rsid w:val="00187FF6"/>
    <w:rsid w:val="00190723"/>
    <w:rsid w:val="00192340"/>
    <w:rsid w:val="00194A8E"/>
    <w:rsid w:val="001956FB"/>
    <w:rsid w:val="00196F09"/>
    <w:rsid w:val="0019725F"/>
    <w:rsid w:val="001A20CA"/>
    <w:rsid w:val="001A2B16"/>
    <w:rsid w:val="001A5F38"/>
    <w:rsid w:val="001A6641"/>
    <w:rsid w:val="001B1B65"/>
    <w:rsid w:val="001B35F0"/>
    <w:rsid w:val="001B3C9B"/>
    <w:rsid w:val="001B7395"/>
    <w:rsid w:val="001C02B0"/>
    <w:rsid w:val="001C02E6"/>
    <w:rsid w:val="001C1688"/>
    <w:rsid w:val="001C1C41"/>
    <w:rsid w:val="001C35C4"/>
    <w:rsid w:val="001C3730"/>
    <w:rsid w:val="001C47C7"/>
    <w:rsid w:val="001C7824"/>
    <w:rsid w:val="001D0870"/>
    <w:rsid w:val="001D11BB"/>
    <w:rsid w:val="001D16BB"/>
    <w:rsid w:val="001D26D0"/>
    <w:rsid w:val="001D56D1"/>
    <w:rsid w:val="001D65C1"/>
    <w:rsid w:val="001D6D1C"/>
    <w:rsid w:val="001D738B"/>
    <w:rsid w:val="001E1F91"/>
    <w:rsid w:val="001E23C3"/>
    <w:rsid w:val="001E67E6"/>
    <w:rsid w:val="001F11D9"/>
    <w:rsid w:val="001F53D7"/>
    <w:rsid w:val="001F6C79"/>
    <w:rsid w:val="001F6DC4"/>
    <w:rsid w:val="001F7896"/>
    <w:rsid w:val="001F78E3"/>
    <w:rsid w:val="002006E8"/>
    <w:rsid w:val="00201815"/>
    <w:rsid w:val="00201ECD"/>
    <w:rsid w:val="002057C3"/>
    <w:rsid w:val="00207585"/>
    <w:rsid w:val="00207802"/>
    <w:rsid w:val="00210217"/>
    <w:rsid w:val="00213D3C"/>
    <w:rsid w:val="00213EC9"/>
    <w:rsid w:val="0021431C"/>
    <w:rsid w:val="00216A7B"/>
    <w:rsid w:val="00217B18"/>
    <w:rsid w:val="00220F40"/>
    <w:rsid w:val="0022166B"/>
    <w:rsid w:val="0022408F"/>
    <w:rsid w:val="00227361"/>
    <w:rsid w:val="0023033E"/>
    <w:rsid w:val="002344F3"/>
    <w:rsid w:val="0023518E"/>
    <w:rsid w:val="00235D20"/>
    <w:rsid w:val="00237D07"/>
    <w:rsid w:val="00240F1A"/>
    <w:rsid w:val="00241F22"/>
    <w:rsid w:val="00244886"/>
    <w:rsid w:val="00244D4C"/>
    <w:rsid w:val="00244D6A"/>
    <w:rsid w:val="002454FD"/>
    <w:rsid w:val="0025015F"/>
    <w:rsid w:val="00250BB8"/>
    <w:rsid w:val="00251328"/>
    <w:rsid w:val="0025171A"/>
    <w:rsid w:val="00251D53"/>
    <w:rsid w:val="00252C23"/>
    <w:rsid w:val="002534EA"/>
    <w:rsid w:val="002562E0"/>
    <w:rsid w:val="00256869"/>
    <w:rsid w:val="0026290B"/>
    <w:rsid w:val="00262955"/>
    <w:rsid w:val="00263CE4"/>
    <w:rsid w:val="00264217"/>
    <w:rsid w:val="002643E3"/>
    <w:rsid w:val="00265873"/>
    <w:rsid w:val="002666A9"/>
    <w:rsid w:val="00270E66"/>
    <w:rsid w:val="00271878"/>
    <w:rsid w:val="00271CAF"/>
    <w:rsid w:val="002721D8"/>
    <w:rsid w:val="002726A6"/>
    <w:rsid w:val="00276FBA"/>
    <w:rsid w:val="00277152"/>
    <w:rsid w:val="00277407"/>
    <w:rsid w:val="00281543"/>
    <w:rsid w:val="00282154"/>
    <w:rsid w:val="00282ADB"/>
    <w:rsid w:val="002849D6"/>
    <w:rsid w:val="00287F3E"/>
    <w:rsid w:val="00287FE4"/>
    <w:rsid w:val="002955D5"/>
    <w:rsid w:val="00295E54"/>
    <w:rsid w:val="0029745E"/>
    <w:rsid w:val="002A099C"/>
    <w:rsid w:val="002A1686"/>
    <w:rsid w:val="002A2B1E"/>
    <w:rsid w:val="002A38C3"/>
    <w:rsid w:val="002A5A40"/>
    <w:rsid w:val="002A6C57"/>
    <w:rsid w:val="002A7330"/>
    <w:rsid w:val="002B0673"/>
    <w:rsid w:val="002B1F15"/>
    <w:rsid w:val="002B26BB"/>
    <w:rsid w:val="002B4617"/>
    <w:rsid w:val="002B692D"/>
    <w:rsid w:val="002B7A73"/>
    <w:rsid w:val="002B7D50"/>
    <w:rsid w:val="002C0064"/>
    <w:rsid w:val="002C0A7E"/>
    <w:rsid w:val="002C4126"/>
    <w:rsid w:val="002C4653"/>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A1C"/>
    <w:rsid w:val="002F3BB6"/>
    <w:rsid w:val="002F7139"/>
    <w:rsid w:val="002F7366"/>
    <w:rsid w:val="003022B1"/>
    <w:rsid w:val="0030278D"/>
    <w:rsid w:val="00302ED6"/>
    <w:rsid w:val="003062E6"/>
    <w:rsid w:val="003062FE"/>
    <w:rsid w:val="0030745F"/>
    <w:rsid w:val="0030765A"/>
    <w:rsid w:val="00314B2F"/>
    <w:rsid w:val="0031573A"/>
    <w:rsid w:val="00320709"/>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65877"/>
    <w:rsid w:val="00372930"/>
    <w:rsid w:val="003736B2"/>
    <w:rsid w:val="00373DED"/>
    <w:rsid w:val="00374E1A"/>
    <w:rsid w:val="00375987"/>
    <w:rsid w:val="00375AC2"/>
    <w:rsid w:val="00377E22"/>
    <w:rsid w:val="00377E4F"/>
    <w:rsid w:val="00381008"/>
    <w:rsid w:val="0038256B"/>
    <w:rsid w:val="00382E59"/>
    <w:rsid w:val="00385649"/>
    <w:rsid w:val="00385694"/>
    <w:rsid w:val="00385B63"/>
    <w:rsid w:val="00386992"/>
    <w:rsid w:val="00387249"/>
    <w:rsid w:val="003877D0"/>
    <w:rsid w:val="003903FF"/>
    <w:rsid w:val="00392AF9"/>
    <w:rsid w:val="00393216"/>
    <w:rsid w:val="0039406B"/>
    <w:rsid w:val="003962B9"/>
    <w:rsid w:val="003A0200"/>
    <w:rsid w:val="003A041B"/>
    <w:rsid w:val="003A3A48"/>
    <w:rsid w:val="003A3FB5"/>
    <w:rsid w:val="003A5458"/>
    <w:rsid w:val="003A584B"/>
    <w:rsid w:val="003A75E8"/>
    <w:rsid w:val="003A7D84"/>
    <w:rsid w:val="003B1181"/>
    <w:rsid w:val="003B224B"/>
    <w:rsid w:val="003B356D"/>
    <w:rsid w:val="003B4689"/>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64E6"/>
    <w:rsid w:val="003E7786"/>
    <w:rsid w:val="003F4114"/>
    <w:rsid w:val="003F41CB"/>
    <w:rsid w:val="003F4DB2"/>
    <w:rsid w:val="003F533B"/>
    <w:rsid w:val="003F69D9"/>
    <w:rsid w:val="00403E61"/>
    <w:rsid w:val="004042A4"/>
    <w:rsid w:val="00410A09"/>
    <w:rsid w:val="00414029"/>
    <w:rsid w:val="00414D05"/>
    <w:rsid w:val="00414E0B"/>
    <w:rsid w:val="0041643E"/>
    <w:rsid w:val="00416FCB"/>
    <w:rsid w:val="00417AFE"/>
    <w:rsid w:val="00423BB9"/>
    <w:rsid w:val="00423C4E"/>
    <w:rsid w:val="004257F2"/>
    <w:rsid w:val="0042583F"/>
    <w:rsid w:val="00427CAC"/>
    <w:rsid w:val="00431BA7"/>
    <w:rsid w:val="0043363D"/>
    <w:rsid w:val="0043396C"/>
    <w:rsid w:val="00433F4C"/>
    <w:rsid w:val="00436EEE"/>
    <w:rsid w:val="004378D9"/>
    <w:rsid w:val="0044024E"/>
    <w:rsid w:val="004411C8"/>
    <w:rsid w:val="0044710D"/>
    <w:rsid w:val="00447819"/>
    <w:rsid w:val="00451E99"/>
    <w:rsid w:val="00453594"/>
    <w:rsid w:val="00454DC8"/>
    <w:rsid w:val="00455886"/>
    <w:rsid w:val="00455D6E"/>
    <w:rsid w:val="004600B5"/>
    <w:rsid w:val="00462461"/>
    <w:rsid w:val="0046266E"/>
    <w:rsid w:val="00463B9D"/>
    <w:rsid w:val="004647FD"/>
    <w:rsid w:val="00465CCF"/>
    <w:rsid w:val="004663A1"/>
    <w:rsid w:val="0046792D"/>
    <w:rsid w:val="004708BD"/>
    <w:rsid w:val="00471869"/>
    <w:rsid w:val="00471977"/>
    <w:rsid w:val="00472909"/>
    <w:rsid w:val="0047326F"/>
    <w:rsid w:val="004735A9"/>
    <w:rsid w:val="00473A69"/>
    <w:rsid w:val="00473C73"/>
    <w:rsid w:val="004743AB"/>
    <w:rsid w:val="004746F8"/>
    <w:rsid w:val="00475FA7"/>
    <w:rsid w:val="00476283"/>
    <w:rsid w:val="00476713"/>
    <w:rsid w:val="00477280"/>
    <w:rsid w:val="00481F93"/>
    <w:rsid w:val="00490DB8"/>
    <w:rsid w:val="00491E38"/>
    <w:rsid w:val="004927C1"/>
    <w:rsid w:val="00492D76"/>
    <w:rsid w:val="00492F84"/>
    <w:rsid w:val="004946E1"/>
    <w:rsid w:val="004950E0"/>
    <w:rsid w:val="00497301"/>
    <w:rsid w:val="004A2E10"/>
    <w:rsid w:val="004A58E9"/>
    <w:rsid w:val="004A5FCA"/>
    <w:rsid w:val="004B16C8"/>
    <w:rsid w:val="004B3C41"/>
    <w:rsid w:val="004B416F"/>
    <w:rsid w:val="004B5228"/>
    <w:rsid w:val="004B7197"/>
    <w:rsid w:val="004C0758"/>
    <w:rsid w:val="004C4D31"/>
    <w:rsid w:val="004C6E5D"/>
    <w:rsid w:val="004D023E"/>
    <w:rsid w:val="004D027A"/>
    <w:rsid w:val="004D0EE5"/>
    <w:rsid w:val="004D1D17"/>
    <w:rsid w:val="004D247A"/>
    <w:rsid w:val="004D4197"/>
    <w:rsid w:val="004D4CC6"/>
    <w:rsid w:val="004D4F5F"/>
    <w:rsid w:val="004D6CF6"/>
    <w:rsid w:val="004D6E86"/>
    <w:rsid w:val="004E02C9"/>
    <w:rsid w:val="004E1361"/>
    <w:rsid w:val="004E248D"/>
    <w:rsid w:val="004E2977"/>
    <w:rsid w:val="004E29FB"/>
    <w:rsid w:val="004E3012"/>
    <w:rsid w:val="004E47CA"/>
    <w:rsid w:val="004E51B4"/>
    <w:rsid w:val="004F0F21"/>
    <w:rsid w:val="004F1488"/>
    <w:rsid w:val="004F24BB"/>
    <w:rsid w:val="004F28EC"/>
    <w:rsid w:val="004F2A64"/>
    <w:rsid w:val="004F30EA"/>
    <w:rsid w:val="004F35D6"/>
    <w:rsid w:val="004F3CE0"/>
    <w:rsid w:val="004F4C2C"/>
    <w:rsid w:val="004F65E3"/>
    <w:rsid w:val="00500B0C"/>
    <w:rsid w:val="00500ED9"/>
    <w:rsid w:val="0050108A"/>
    <w:rsid w:val="00502872"/>
    <w:rsid w:val="00503B0F"/>
    <w:rsid w:val="00504423"/>
    <w:rsid w:val="00505A94"/>
    <w:rsid w:val="00505FCD"/>
    <w:rsid w:val="00506118"/>
    <w:rsid w:val="00506280"/>
    <w:rsid w:val="00506896"/>
    <w:rsid w:val="00510A4A"/>
    <w:rsid w:val="00513159"/>
    <w:rsid w:val="0051338C"/>
    <w:rsid w:val="0051404D"/>
    <w:rsid w:val="00516BFF"/>
    <w:rsid w:val="005238B4"/>
    <w:rsid w:val="005239F8"/>
    <w:rsid w:val="0052405F"/>
    <w:rsid w:val="005246BE"/>
    <w:rsid w:val="00524A09"/>
    <w:rsid w:val="00526D3C"/>
    <w:rsid w:val="005272D4"/>
    <w:rsid w:val="005277E0"/>
    <w:rsid w:val="00531CF6"/>
    <w:rsid w:val="005325F8"/>
    <w:rsid w:val="00536433"/>
    <w:rsid w:val="005365B4"/>
    <w:rsid w:val="00537220"/>
    <w:rsid w:val="00540E80"/>
    <w:rsid w:val="0054362F"/>
    <w:rsid w:val="005472A9"/>
    <w:rsid w:val="00550712"/>
    <w:rsid w:val="00550CFF"/>
    <w:rsid w:val="005516BC"/>
    <w:rsid w:val="00553021"/>
    <w:rsid w:val="005558DC"/>
    <w:rsid w:val="005571E8"/>
    <w:rsid w:val="00557347"/>
    <w:rsid w:val="00557A83"/>
    <w:rsid w:val="005611B7"/>
    <w:rsid w:val="005621B6"/>
    <w:rsid w:val="00562E92"/>
    <w:rsid w:val="00565F9B"/>
    <w:rsid w:val="00566324"/>
    <w:rsid w:val="00566C63"/>
    <w:rsid w:val="00572E67"/>
    <w:rsid w:val="00574A7A"/>
    <w:rsid w:val="00575C75"/>
    <w:rsid w:val="00577EAF"/>
    <w:rsid w:val="0058030C"/>
    <w:rsid w:val="005818BA"/>
    <w:rsid w:val="0058205A"/>
    <w:rsid w:val="00586872"/>
    <w:rsid w:val="00587308"/>
    <w:rsid w:val="00587CCD"/>
    <w:rsid w:val="0059081A"/>
    <w:rsid w:val="00590F18"/>
    <w:rsid w:val="00592CFE"/>
    <w:rsid w:val="0059310E"/>
    <w:rsid w:val="00593133"/>
    <w:rsid w:val="0059388D"/>
    <w:rsid w:val="00593E48"/>
    <w:rsid w:val="00596B06"/>
    <w:rsid w:val="005A0680"/>
    <w:rsid w:val="005A0BD0"/>
    <w:rsid w:val="005A2040"/>
    <w:rsid w:val="005A251E"/>
    <w:rsid w:val="005A2D6A"/>
    <w:rsid w:val="005A347D"/>
    <w:rsid w:val="005A4817"/>
    <w:rsid w:val="005A5492"/>
    <w:rsid w:val="005A78D4"/>
    <w:rsid w:val="005B2140"/>
    <w:rsid w:val="005B246C"/>
    <w:rsid w:val="005B46FB"/>
    <w:rsid w:val="005B5D60"/>
    <w:rsid w:val="005B67F8"/>
    <w:rsid w:val="005B7BF6"/>
    <w:rsid w:val="005B7E69"/>
    <w:rsid w:val="005C00A5"/>
    <w:rsid w:val="005C044E"/>
    <w:rsid w:val="005C1679"/>
    <w:rsid w:val="005C5831"/>
    <w:rsid w:val="005C5AB2"/>
    <w:rsid w:val="005C627B"/>
    <w:rsid w:val="005C70FD"/>
    <w:rsid w:val="005C78F8"/>
    <w:rsid w:val="005D2B6D"/>
    <w:rsid w:val="005D31AE"/>
    <w:rsid w:val="005D3C3B"/>
    <w:rsid w:val="005D3F20"/>
    <w:rsid w:val="005D4228"/>
    <w:rsid w:val="005D53B9"/>
    <w:rsid w:val="005D64B6"/>
    <w:rsid w:val="005D77DF"/>
    <w:rsid w:val="005E39BE"/>
    <w:rsid w:val="005E3A5A"/>
    <w:rsid w:val="005E3FB9"/>
    <w:rsid w:val="005E4BC7"/>
    <w:rsid w:val="005E70DE"/>
    <w:rsid w:val="005E7887"/>
    <w:rsid w:val="005F0F8E"/>
    <w:rsid w:val="005F10BC"/>
    <w:rsid w:val="005F2398"/>
    <w:rsid w:val="005F3656"/>
    <w:rsid w:val="005F3A91"/>
    <w:rsid w:val="005F40A9"/>
    <w:rsid w:val="005F4F5A"/>
    <w:rsid w:val="00601D5C"/>
    <w:rsid w:val="00602CC0"/>
    <w:rsid w:val="00605936"/>
    <w:rsid w:val="0060724C"/>
    <w:rsid w:val="006112C2"/>
    <w:rsid w:val="00611DB7"/>
    <w:rsid w:val="006126C9"/>
    <w:rsid w:val="006130D0"/>
    <w:rsid w:val="0061390E"/>
    <w:rsid w:val="006171B6"/>
    <w:rsid w:val="0061750C"/>
    <w:rsid w:val="0061798B"/>
    <w:rsid w:val="00617C3B"/>
    <w:rsid w:val="00617EC3"/>
    <w:rsid w:val="006240FF"/>
    <w:rsid w:val="00624ED6"/>
    <w:rsid w:val="00630DB5"/>
    <w:rsid w:val="0063178C"/>
    <w:rsid w:val="00631D14"/>
    <w:rsid w:val="006328FB"/>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8AB"/>
    <w:rsid w:val="00665AB9"/>
    <w:rsid w:val="0066609B"/>
    <w:rsid w:val="00670580"/>
    <w:rsid w:val="00671DE2"/>
    <w:rsid w:val="00672592"/>
    <w:rsid w:val="00672E50"/>
    <w:rsid w:val="00673E15"/>
    <w:rsid w:val="00674103"/>
    <w:rsid w:val="00674A15"/>
    <w:rsid w:val="00675196"/>
    <w:rsid w:val="006802BD"/>
    <w:rsid w:val="00680C2A"/>
    <w:rsid w:val="006836A9"/>
    <w:rsid w:val="0068402E"/>
    <w:rsid w:val="00684876"/>
    <w:rsid w:val="006870C9"/>
    <w:rsid w:val="00687ACF"/>
    <w:rsid w:val="0069301B"/>
    <w:rsid w:val="0069366E"/>
    <w:rsid w:val="00693E72"/>
    <w:rsid w:val="00694D07"/>
    <w:rsid w:val="00695244"/>
    <w:rsid w:val="00695D4D"/>
    <w:rsid w:val="0069776E"/>
    <w:rsid w:val="00697D91"/>
    <w:rsid w:val="00697E95"/>
    <w:rsid w:val="006A12E6"/>
    <w:rsid w:val="006A19E4"/>
    <w:rsid w:val="006A5750"/>
    <w:rsid w:val="006A7B34"/>
    <w:rsid w:val="006B0D87"/>
    <w:rsid w:val="006B12EB"/>
    <w:rsid w:val="006B29A9"/>
    <w:rsid w:val="006B4483"/>
    <w:rsid w:val="006B5C45"/>
    <w:rsid w:val="006B5FDC"/>
    <w:rsid w:val="006B680E"/>
    <w:rsid w:val="006B69E7"/>
    <w:rsid w:val="006B7DA9"/>
    <w:rsid w:val="006C003C"/>
    <w:rsid w:val="006C221E"/>
    <w:rsid w:val="006C4F29"/>
    <w:rsid w:val="006C5456"/>
    <w:rsid w:val="006C7853"/>
    <w:rsid w:val="006D04AD"/>
    <w:rsid w:val="006D09CC"/>
    <w:rsid w:val="006D1759"/>
    <w:rsid w:val="006D19C8"/>
    <w:rsid w:val="006D3D27"/>
    <w:rsid w:val="006D4014"/>
    <w:rsid w:val="006D5EB0"/>
    <w:rsid w:val="006E2CBC"/>
    <w:rsid w:val="006E306A"/>
    <w:rsid w:val="006E33D9"/>
    <w:rsid w:val="006E463F"/>
    <w:rsid w:val="006E499B"/>
    <w:rsid w:val="006E5E03"/>
    <w:rsid w:val="006F0CBE"/>
    <w:rsid w:val="006F13C0"/>
    <w:rsid w:val="006F1AD4"/>
    <w:rsid w:val="006F1C28"/>
    <w:rsid w:val="006F3A09"/>
    <w:rsid w:val="006F3F04"/>
    <w:rsid w:val="006F644E"/>
    <w:rsid w:val="006F6451"/>
    <w:rsid w:val="006F736B"/>
    <w:rsid w:val="007001BD"/>
    <w:rsid w:val="00700BDE"/>
    <w:rsid w:val="00700E0E"/>
    <w:rsid w:val="00701801"/>
    <w:rsid w:val="007020A1"/>
    <w:rsid w:val="0070223B"/>
    <w:rsid w:val="00703A46"/>
    <w:rsid w:val="00707754"/>
    <w:rsid w:val="0071080E"/>
    <w:rsid w:val="00710FE4"/>
    <w:rsid w:val="00712DF0"/>
    <w:rsid w:val="00714101"/>
    <w:rsid w:val="007141B2"/>
    <w:rsid w:val="0071453E"/>
    <w:rsid w:val="00717059"/>
    <w:rsid w:val="00720EFB"/>
    <w:rsid w:val="0072262C"/>
    <w:rsid w:val="00723C25"/>
    <w:rsid w:val="0072649D"/>
    <w:rsid w:val="0073050F"/>
    <w:rsid w:val="007310A1"/>
    <w:rsid w:val="00731DFF"/>
    <w:rsid w:val="00734564"/>
    <w:rsid w:val="00734AF9"/>
    <w:rsid w:val="00743083"/>
    <w:rsid w:val="007431FD"/>
    <w:rsid w:val="00744890"/>
    <w:rsid w:val="00744D09"/>
    <w:rsid w:val="00745BD0"/>
    <w:rsid w:val="00745F85"/>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4CC9"/>
    <w:rsid w:val="0078644D"/>
    <w:rsid w:val="007866F8"/>
    <w:rsid w:val="00786C07"/>
    <w:rsid w:val="007879E5"/>
    <w:rsid w:val="00787B19"/>
    <w:rsid w:val="00790BD4"/>
    <w:rsid w:val="00790DA1"/>
    <w:rsid w:val="00790EB0"/>
    <w:rsid w:val="00794715"/>
    <w:rsid w:val="00795BBE"/>
    <w:rsid w:val="007A07C4"/>
    <w:rsid w:val="007A08E8"/>
    <w:rsid w:val="007A20F8"/>
    <w:rsid w:val="007A2780"/>
    <w:rsid w:val="007A366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710"/>
    <w:rsid w:val="007C28EC"/>
    <w:rsid w:val="007C3169"/>
    <w:rsid w:val="007C3A71"/>
    <w:rsid w:val="007C474D"/>
    <w:rsid w:val="007C4B3F"/>
    <w:rsid w:val="007C530B"/>
    <w:rsid w:val="007C5948"/>
    <w:rsid w:val="007C6C13"/>
    <w:rsid w:val="007C7E25"/>
    <w:rsid w:val="007C7E3B"/>
    <w:rsid w:val="007C7EE6"/>
    <w:rsid w:val="007D0C78"/>
    <w:rsid w:val="007D1CE4"/>
    <w:rsid w:val="007D3269"/>
    <w:rsid w:val="007D360F"/>
    <w:rsid w:val="007D41FE"/>
    <w:rsid w:val="007D43BD"/>
    <w:rsid w:val="007D7028"/>
    <w:rsid w:val="007D7101"/>
    <w:rsid w:val="007E0A1F"/>
    <w:rsid w:val="007E123D"/>
    <w:rsid w:val="007E1CD4"/>
    <w:rsid w:val="007E6429"/>
    <w:rsid w:val="007E73AF"/>
    <w:rsid w:val="007E7A5B"/>
    <w:rsid w:val="007F14A4"/>
    <w:rsid w:val="007F3701"/>
    <w:rsid w:val="007F4602"/>
    <w:rsid w:val="007F5139"/>
    <w:rsid w:val="007F5FB5"/>
    <w:rsid w:val="007F62DB"/>
    <w:rsid w:val="007F62DF"/>
    <w:rsid w:val="007F6423"/>
    <w:rsid w:val="007F6A02"/>
    <w:rsid w:val="0080123D"/>
    <w:rsid w:val="00804692"/>
    <w:rsid w:val="00804DC0"/>
    <w:rsid w:val="00806B94"/>
    <w:rsid w:val="00807A54"/>
    <w:rsid w:val="00811438"/>
    <w:rsid w:val="00812E7D"/>
    <w:rsid w:val="00813279"/>
    <w:rsid w:val="008134A6"/>
    <w:rsid w:val="00813AA3"/>
    <w:rsid w:val="00813FD6"/>
    <w:rsid w:val="008140B3"/>
    <w:rsid w:val="00814A60"/>
    <w:rsid w:val="00814F75"/>
    <w:rsid w:val="00814F97"/>
    <w:rsid w:val="00815DE4"/>
    <w:rsid w:val="00817647"/>
    <w:rsid w:val="00817685"/>
    <w:rsid w:val="008179E5"/>
    <w:rsid w:val="00820B04"/>
    <w:rsid w:val="008221E4"/>
    <w:rsid w:val="008250EE"/>
    <w:rsid w:val="0082701F"/>
    <w:rsid w:val="0083071F"/>
    <w:rsid w:val="00834CEA"/>
    <w:rsid w:val="008357BC"/>
    <w:rsid w:val="00836646"/>
    <w:rsid w:val="00836B36"/>
    <w:rsid w:val="00841D12"/>
    <w:rsid w:val="00844CED"/>
    <w:rsid w:val="00845094"/>
    <w:rsid w:val="008504BC"/>
    <w:rsid w:val="00850E73"/>
    <w:rsid w:val="008520D8"/>
    <w:rsid w:val="00853F4E"/>
    <w:rsid w:val="00855D60"/>
    <w:rsid w:val="00856BDE"/>
    <w:rsid w:val="00857A57"/>
    <w:rsid w:val="00857E59"/>
    <w:rsid w:val="0086055C"/>
    <w:rsid w:val="00861386"/>
    <w:rsid w:val="00861844"/>
    <w:rsid w:val="00861E51"/>
    <w:rsid w:val="00862531"/>
    <w:rsid w:val="008642A8"/>
    <w:rsid w:val="00864F47"/>
    <w:rsid w:val="00865C4F"/>
    <w:rsid w:val="0086656E"/>
    <w:rsid w:val="0086661C"/>
    <w:rsid w:val="0086684F"/>
    <w:rsid w:val="00870435"/>
    <w:rsid w:val="00872E37"/>
    <w:rsid w:val="00872F6C"/>
    <w:rsid w:val="008731F0"/>
    <w:rsid w:val="00873296"/>
    <w:rsid w:val="00873CD7"/>
    <w:rsid w:val="00873E02"/>
    <w:rsid w:val="00873E71"/>
    <w:rsid w:val="00873F0F"/>
    <w:rsid w:val="008754C1"/>
    <w:rsid w:val="00881A50"/>
    <w:rsid w:val="00885DA3"/>
    <w:rsid w:val="00893145"/>
    <w:rsid w:val="008935FE"/>
    <w:rsid w:val="00893EE9"/>
    <w:rsid w:val="00894C90"/>
    <w:rsid w:val="008977DD"/>
    <w:rsid w:val="008A1ADA"/>
    <w:rsid w:val="008A3588"/>
    <w:rsid w:val="008A3B70"/>
    <w:rsid w:val="008B0D14"/>
    <w:rsid w:val="008B16E6"/>
    <w:rsid w:val="008B6075"/>
    <w:rsid w:val="008B657C"/>
    <w:rsid w:val="008C0C45"/>
    <w:rsid w:val="008C3E39"/>
    <w:rsid w:val="008C430E"/>
    <w:rsid w:val="008C56A6"/>
    <w:rsid w:val="008C5A9A"/>
    <w:rsid w:val="008C6ADC"/>
    <w:rsid w:val="008C7C90"/>
    <w:rsid w:val="008D020D"/>
    <w:rsid w:val="008D027B"/>
    <w:rsid w:val="008D08B5"/>
    <w:rsid w:val="008D0962"/>
    <w:rsid w:val="008D1827"/>
    <w:rsid w:val="008D234F"/>
    <w:rsid w:val="008D25F1"/>
    <w:rsid w:val="008D37F3"/>
    <w:rsid w:val="008D6BA5"/>
    <w:rsid w:val="008D6D55"/>
    <w:rsid w:val="008E107C"/>
    <w:rsid w:val="008E11B2"/>
    <w:rsid w:val="008E14FA"/>
    <w:rsid w:val="008E2194"/>
    <w:rsid w:val="008E3517"/>
    <w:rsid w:val="008E4704"/>
    <w:rsid w:val="008F0649"/>
    <w:rsid w:val="008F4AA9"/>
    <w:rsid w:val="008F7C5C"/>
    <w:rsid w:val="009004C8"/>
    <w:rsid w:val="0090441B"/>
    <w:rsid w:val="00905F7E"/>
    <w:rsid w:val="00906843"/>
    <w:rsid w:val="009117A8"/>
    <w:rsid w:val="00912B3E"/>
    <w:rsid w:val="0091458C"/>
    <w:rsid w:val="00914BF4"/>
    <w:rsid w:val="00915157"/>
    <w:rsid w:val="009153B3"/>
    <w:rsid w:val="00915524"/>
    <w:rsid w:val="00916FEC"/>
    <w:rsid w:val="0091733C"/>
    <w:rsid w:val="009205E5"/>
    <w:rsid w:val="00920A19"/>
    <w:rsid w:val="00922140"/>
    <w:rsid w:val="009223AF"/>
    <w:rsid w:val="009223B8"/>
    <w:rsid w:val="00923BD2"/>
    <w:rsid w:val="00923D75"/>
    <w:rsid w:val="009242F4"/>
    <w:rsid w:val="009268BF"/>
    <w:rsid w:val="0092713F"/>
    <w:rsid w:val="00931204"/>
    <w:rsid w:val="009312BA"/>
    <w:rsid w:val="00931E69"/>
    <w:rsid w:val="009333CB"/>
    <w:rsid w:val="009364C1"/>
    <w:rsid w:val="0093686C"/>
    <w:rsid w:val="00936BFF"/>
    <w:rsid w:val="00940652"/>
    <w:rsid w:val="00940A6D"/>
    <w:rsid w:val="00945B99"/>
    <w:rsid w:val="009469D9"/>
    <w:rsid w:val="00952492"/>
    <w:rsid w:val="009551FB"/>
    <w:rsid w:val="00961D41"/>
    <w:rsid w:val="00964A0C"/>
    <w:rsid w:val="00965936"/>
    <w:rsid w:val="00965DB4"/>
    <w:rsid w:val="00966DBD"/>
    <w:rsid w:val="00966F6E"/>
    <w:rsid w:val="009671A8"/>
    <w:rsid w:val="00967448"/>
    <w:rsid w:val="00972C2F"/>
    <w:rsid w:val="009739BC"/>
    <w:rsid w:val="00976672"/>
    <w:rsid w:val="00980A2B"/>
    <w:rsid w:val="0098126A"/>
    <w:rsid w:val="00983812"/>
    <w:rsid w:val="0098452C"/>
    <w:rsid w:val="0098465E"/>
    <w:rsid w:val="00984919"/>
    <w:rsid w:val="009853B9"/>
    <w:rsid w:val="0098592A"/>
    <w:rsid w:val="00987835"/>
    <w:rsid w:val="00990B0E"/>
    <w:rsid w:val="00991B71"/>
    <w:rsid w:val="0099340D"/>
    <w:rsid w:val="00993506"/>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6BB9"/>
    <w:rsid w:val="009D7C14"/>
    <w:rsid w:val="009E186F"/>
    <w:rsid w:val="009E1AD4"/>
    <w:rsid w:val="009E3B3E"/>
    <w:rsid w:val="009E49D1"/>
    <w:rsid w:val="009E49EF"/>
    <w:rsid w:val="009E53F1"/>
    <w:rsid w:val="009E7C2C"/>
    <w:rsid w:val="009F1817"/>
    <w:rsid w:val="009F2E7B"/>
    <w:rsid w:val="009F365C"/>
    <w:rsid w:val="009F4958"/>
    <w:rsid w:val="009F6BD4"/>
    <w:rsid w:val="009F7CBB"/>
    <w:rsid w:val="00A0155B"/>
    <w:rsid w:val="00A033E4"/>
    <w:rsid w:val="00A04147"/>
    <w:rsid w:val="00A05904"/>
    <w:rsid w:val="00A05DA0"/>
    <w:rsid w:val="00A10BF4"/>
    <w:rsid w:val="00A10EAD"/>
    <w:rsid w:val="00A110A1"/>
    <w:rsid w:val="00A112DC"/>
    <w:rsid w:val="00A1396B"/>
    <w:rsid w:val="00A14964"/>
    <w:rsid w:val="00A15097"/>
    <w:rsid w:val="00A15624"/>
    <w:rsid w:val="00A15C6D"/>
    <w:rsid w:val="00A16696"/>
    <w:rsid w:val="00A166A3"/>
    <w:rsid w:val="00A20023"/>
    <w:rsid w:val="00A21C83"/>
    <w:rsid w:val="00A23AAD"/>
    <w:rsid w:val="00A25F3B"/>
    <w:rsid w:val="00A27284"/>
    <w:rsid w:val="00A27B52"/>
    <w:rsid w:val="00A30173"/>
    <w:rsid w:val="00A30BA7"/>
    <w:rsid w:val="00A31E63"/>
    <w:rsid w:val="00A34160"/>
    <w:rsid w:val="00A350F3"/>
    <w:rsid w:val="00A36055"/>
    <w:rsid w:val="00A374EB"/>
    <w:rsid w:val="00A37ABA"/>
    <w:rsid w:val="00A41C2E"/>
    <w:rsid w:val="00A41D03"/>
    <w:rsid w:val="00A420FC"/>
    <w:rsid w:val="00A42B29"/>
    <w:rsid w:val="00A42ED2"/>
    <w:rsid w:val="00A449CB"/>
    <w:rsid w:val="00A476C6"/>
    <w:rsid w:val="00A47B9A"/>
    <w:rsid w:val="00A508F8"/>
    <w:rsid w:val="00A53B1D"/>
    <w:rsid w:val="00A54AA7"/>
    <w:rsid w:val="00A551DD"/>
    <w:rsid w:val="00A56A93"/>
    <w:rsid w:val="00A6031C"/>
    <w:rsid w:val="00A612C4"/>
    <w:rsid w:val="00A61BC0"/>
    <w:rsid w:val="00A6525F"/>
    <w:rsid w:val="00A65381"/>
    <w:rsid w:val="00A6740E"/>
    <w:rsid w:val="00A67B29"/>
    <w:rsid w:val="00A67F76"/>
    <w:rsid w:val="00A72EB0"/>
    <w:rsid w:val="00A72F8E"/>
    <w:rsid w:val="00A7428F"/>
    <w:rsid w:val="00A77498"/>
    <w:rsid w:val="00A8183D"/>
    <w:rsid w:val="00A81C7D"/>
    <w:rsid w:val="00A82880"/>
    <w:rsid w:val="00A84887"/>
    <w:rsid w:val="00A85A3B"/>
    <w:rsid w:val="00A862F1"/>
    <w:rsid w:val="00A863BE"/>
    <w:rsid w:val="00A870C8"/>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2DC"/>
    <w:rsid w:val="00AB035D"/>
    <w:rsid w:val="00AB0E5D"/>
    <w:rsid w:val="00AB3221"/>
    <w:rsid w:val="00AB4A49"/>
    <w:rsid w:val="00AB55F2"/>
    <w:rsid w:val="00AB5D6A"/>
    <w:rsid w:val="00AB693C"/>
    <w:rsid w:val="00AB6D61"/>
    <w:rsid w:val="00AB7543"/>
    <w:rsid w:val="00AC0B41"/>
    <w:rsid w:val="00AC31C3"/>
    <w:rsid w:val="00AC5398"/>
    <w:rsid w:val="00AC72EA"/>
    <w:rsid w:val="00AC7ACC"/>
    <w:rsid w:val="00AD030F"/>
    <w:rsid w:val="00AD31F4"/>
    <w:rsid w:val="00AD4621"/>
    <w:rsid w:val="00AD5F99"/>
    <w:rsid w:val="00AE0CE1"/>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14B"/>
    <w:rsid w:val="00B16405"/>
    <w:rsid w:val="00B16B67"/>
    <w:rsid w:val="00B20251"/>
    <w:rsid w:val="00B2055A"/>
    <w:rsid w:val="00B20CB8"/>
    <w:rsid w:val="00B22C52"/>
    <w:rsid w:val="00B26B86"/>
    <w:rsid w:val="00B2711F"/>
    <w:rsid w:val="00B274DD"/>
    <w:rsid w:val="00B304FA"/>
    <w:rsid w:val="00B31E6F"/>
    <w:rsid w:val="00B326FE"/>
    <w:rsid w:val="00B33905"/>
    <w:rsid w:val="00B34D47"/>
    <w:rsid w:val="00B37216"/>
    <w:rsid w:val="00B40AEE"/>
    <w:rsid w:val="00B4312C"/>
    <w:rsid w:val="00B43C00"/>
    <w:rsid w:val="00B44E2F"/>
    <w:rsid w:val="00B459BE"/>
    <w:rsid w:val="00B45DBC"/>
    <w:rsid w:val="00B47B12"/>
    <w:rsid w:val="00B51705"/>
    <w:rsid w:val="00B5617F"/>
    <w:rsid w:val="00B56734"/>
    <w:rsid w:val="00B5730E"/>
    <w:rsid w:val="00B6019E"/>
    <w:rsid w:val="00B60D04"/>
    <w:rsid w:val="00B621F0"/>
    <w:rsid w:val="00B62582"/>
    <w:rsid w:val="00B661A4"/>
    <w:rsid w:val="00B70546"/>
    <w:rsid w:val="00B70680"/>
    <w:rsid w:val="00B70C6A"/>
    <w:rsid w:val="00B71E55"/>
    <w:rsid w:val="00B734C5"/>
    <w:rsid w:val="00B73C1B"/>
    <w:rsid w:val="00B75671"/>
    <w:rsid w:val="00B75680"/>
    <w:rsid w:val="00B7657E"/>
    <w:rsid w:val="00B81187"/>
    <w:rsid w:val="00B81D23"/>
    <w:rsid w:val="00B824F9"/>
    <w:rsid w:val="00B826D8"/>
    <w:rsid w:val="00B830A0"/>
    <w:rsid w:val="00B83C28"/>
    <w:rsid w:val="00B86E5B"/>
    <w:rsid w:val="00B91D91"/>
    <w:rsid w:val="00B92EEE"/>
    <w:rsid w:val="00B92F25"/>
    <w:rsid w:val="00B9357D"/>
    <w:rsid w:val="00B94C27"/>
    <w:rsid w:val="00B959E7"/>
    <w:rsid w:val="00B961EB"/>
    <w:rsid w:val="00B96916"/>
    <w:rsid w:val="00B97CAA"/>
    <w:rsid w:val="00B97E46"/>
    <w:rsid w:val="00BA071E"/>
    <w:rsid w:val="00BA3202"/>
    <w:rsid w:val="00BA486F"/>
    <w:rsid w:val="00BA48F9"/>
    <w:rsid w:val="00BA4B42"/>
    <w:rsid w:val="00BA51BD"/>
    <w:rsid w:val="00BA5538"/>
    <w:rsid w:val="00BA5547"/>
    <w:rsid w:val="00BA57DC"/>
    <w:rsid w:val="00BA5891"/>
    <w:rsid w:val="00BA58D2"/>
    <w:rsid w:val="00BA7427"/>
    <w:rsid w:val="00BA78F8"/>
    <w:rsid w:val="00BB0B1B"/>
    <w:rsid w:val="00BB23A2"/>
    <w:rsid w:val="00BB35F8"/>
    <w:rsid w:val="00BB4442"/>
    <w:rsid w:val="00BC1349"/>
    <w:rsid w:val="00BC37BD"/>
    <w:rsid w:val="00BC3967"/>
    <w:rsid w:val="00BC748E"/>
    <w:rsid w:val="00BD0039"/>
    <w:rsid w:val="00BD0CA8"/>
    <w:rsid w:val="00BD1013"/>
    <w:rsid w:val="00BD22D7"/>
    <w:rsid w:val="00BD2CFB"/>
    <w:rsid w:val="00BD3DB1"/>
    <w:rsid w:val="00BD49D2"/>
    <w:rsid w:val="00BD6368"/>
    <w:rsid w:val="00BD7E2C"/>
    <w:rsid w:val="00BE041F"/>
    <w:rsid w:val="00BE100F"/>
    <w:rsid w:val="00BE11BF"/>
    <w:rsid w:val="00BE22AC"/>
    <w:rsid w:val="00BE40A1"/>
    <w:rsid w:val="00BE7BB2"/>
    <w:rsid w:val="00BF36F4"/>
    <w:rsid w:val="00BF392F"/>
    <w:rsid w:val="00BF45AC"/>
    <w:rsid w:val="00BF4B65"/>
    <w:rsid w:val="00BF56E4"/>
    <w:rsid w:val="00BF6EFA"/>
    <w:rsid w:val="00BF71AB"/>
    <w:rsid w:val="00C002D2"/>
    <w:rsid w:val="00C0095D"/>
    <w:rsid w:val="00C02745"/>
    <w:rsid w:val="00C057B8"/>
    <w:rsid w:val="00C0648E"/>
    <w:rsid w:val="00C07BD7"/>
    <w:rsid w:val="00C07E46"/>
    <w:rsid w:val="00C100E8"/>
    <w:rsid w:val="00C12017"/>
    <w:rsid w:val="00C12347"/>
    <w:rsid w:val="00C12DA5"/>
    <w:rsid w:val="00C136F0"/>
    <w:rsid w:val="00C13B57"/>
    <w:rsid w:val="00C1425C"/>
    <w:rsid w:val="00C14C8A"/>
    <w:rsid w:val="00C16702"/>
    <w:rsid w:val="00C2032C"/>
    <w:rsid w:val="00C21C6C"/>
    <w:rsid w:val="00C222D4"/>
    <w:rsid w:val="00C227FE"/>
    <w:rsid w:val="00C23479"/>
    <w:rsid w:val="00C24BDF"/>
    <w:rsid w:val="00C26265"/>
    <w:rsid w:val="00C2637A"/>
    <w:rsid w:val="00C307DA"/>
    <w:rsid w:val="00C31457"/>
    <w:rsid w:val="00C31C09"/>
    <w:rsid w:val="00C31DD5"/>
    <w:rsid w:val="00C32F12"/>
    <w:rsid w:val="00C33AAA"/>
    <w:rsid w:val="00C34757"/>
    <w:rsid w:val="00C35197"/>
    <w:rsid w:val="00C36A56"/>
    <w:rsid w:val="00C36DFD"/>
    <w:rsid w:val="00C377B8"/>
    <w:rsid w:val="00C37965"/>
    <w:rsid w:val="00C4094C"/>
    <w:rsid w:val="00C409E5"/>
    <w:rsid w:val="00C41FB4"/>
    <w:rsid w:val="00C46CAF"/>
    <w:rsid w:val="00C47EFB"/>
    <w:rsid w:val="00C5139F"/>
    <w:rsid w:val="00C51453"/>
    <w:rsid w:val="00C52BDB"/>
    <w:rsid w:val="00C52C51"/>
    <w:rsid w:val="00C52D34"/>
    <w:rsid w:val="00C53181"/>
    <w:rsid w:val="00C5345E"/>
    <w:rsid w:val="00C54EEF"/>
    <w:rsid w:val="00C551BF"/>
    <w:rsid w:val="00C55CB4"/>
    <w:rsid w:val="00C55CC2"/>
    <w:rsid w:val="00C563D1"/>
    <w:rsid w:val="00C60673"/>
    <w:rsid w:val="00C6068F"/>
    <w:rsid w:val="00C613AF"/>
    <w:rsid w:val="00C613E4"/>
    <w:rsid w:val="00C61FF1"/>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B2A"/>
    <w:rsid w:val="00C80F54"/>
    <w:rsid w:val="00C82062"/>
    <w:rsid w:val="00C85B31"/>
    <w:rsid w:val="00C86D29"/>
    <w:rsid w:val="00C87B84"/>
    <w:rsid w:val="00C90A35"/>
    <w:rsid w:val="00C90F52"/>
    <w:rsid w:val="00C915C9"/>
    <w:rsid w:val="00C916AD"/>
    <w:rsid w:val="00C9245A"/>
    <w:rsid w:val="00C928C7"/>
    <w:rsid w:val="00C933B9"/>
    <w:rsid w:val="00C93B50"/>
    <w:rsid w:val="00C95A45"/>
    <w:rsid w:val="00C95BB2"/>
    <w:rsid w:val="00C96705"/>
    <w:rsid w:val="00C97BA9"/>
    <w:rsid w:val="00CA3859"/>
    <w:rsid w:val="00CA3FB5"/>
    <w:rsid w:val="00CA68DA"/>
    <w:rsid w:val="00CA6981"/>
    <w:rsid w:val="00CB1AAD"/>
    <w:rsid w:val="00CB1B97"/>
    <w:rsid w:val="00CB23DF"/>
    <w:rsid w:val="00CB329F"/>
    <w:rsid w:val="00CB3536"/>
    <w:rsid w:val="00CB3EBB"/>
    <w:rsid w:val="00CB43C2"/>
    <w:rsid w:val="00CB45D2"/>
    <w:rsid w:val="00CB5085"/>
    <w:rsid w:val="00CB5229"/>
    <w:rsid w:val="00CB5A70"/>
    <w:rsid w:val="00CC014E"/>
    <w:rsid w:val="00CC0291"/>
    <w:rsid w:val="00CC2E71"/>
    <w:rsid w:val="00CC42A9"/>
    <w:rsid w:val="00CC46AF"/>
    <w:rsid w:val="00CC5043"/>
    <w:rsid w:val="00CD256B"/>
    <w:rsid w:val="00CD2618"/>
    <w:rsid w:val="00CD3FD3"/>
    <w:rsid w:val="00CD4552"/>
    <w:rsid w:val="00CD47A8"/>
    <w:rsid w:val="00CD4E01"/>
    <w:rsid w:val="00CD5250"/>
    <w:rsid w:val="00CD5E5A"/>
    <w:rsid w:val="00CD63B9"/>
    <w:rsid w:val="00CE2048"/>
    <w:rsid w:val="00CE348A"/>
    <w:rsid w:val="00CE5471"/>
    <w:rsid w:val="00CE54C8"/>
    <w:rsid w:val="00CE66AD"/>
    <w:rsid w:val="00CE742C"/>
    <w:rsid w:val="00CF0904"/>
    <w:rsid w:val="00CF0F3B"/>
    <w:rsid w:val="00CF2E00"/>
    <w:rsid w:val="00CF2F02"/>
    <w:rsid w:val="00CF30CC"/>
    <w:rsid w:val="00CF4BF5"/>
    <w:rsid w:val="00D01C9E"/>
    <w:rsid w:val="00D0332F"/>
    <w:rsid w:val="00D046AE"/>
    <w:rsid w:val="00D06EDD"/>
    <w:rsid w:val="00D070A2"/>
    <w:rsid w:val="00D070FF"/>
    <w:rsid w:val="00D10011"/>
    <w:rsid w:val="00D100F2"/>
    <w:rsid w:val="00D12BA9"/>
    <w:rsid w:val="00D1351B"/>
    <w:rsid w:val="00D142E6"/>
    <w:rsid w:val="00D14C9E"/>
    <w:rsid w:val="00D154D9"/>
    <w:rsid w:val="00D15EAD"/>
    <w:rsid w:val="00D161E2"/>
    <w:rsid w:val="00D165A9"/>
    <w:rsid w:val="00D17779"/>
    <w:rsid w:val="00D177F6"/>
    <w:rsid w:val="00D20676"/>
    <w:rsid w:val="00D20BDB"/>
    <w:rsid w:val="00D20C28"/>
    <w:rsid w:val="00D21C5D"/>
    <w:rsid w:val="00D23668"/>
    <w:rsid w:val="00D25374"/>
    <w:rsid w:val="00D255CD"/>
    <w:rsid w:val="00D26F21"/>
    <w:rsid w:val="00D27CE8"/>
    <w:rsid w:val="00D27FC1"/>
    <w:rsid w:val="00D30D9B"/>
    <w:rsid w:val="00D319BA"/>
    <w:rsid w:val="00D37571"/>
    <w:rsid w:val="00D40A33"/>
    <w:rsid w:val="00D40F1D"/>
    <w:rsid w:val="00D415AB"/>
    <w:rsid w:val="00D41F25"/>
    <w:rsid w:val="00D42FF8"/>
    <w:rsid w:val="00D4342B"/>
    <w:rsid w:val="00D4360E"/>
    <w:rsid w:val="00D43F34"/>
    <w:rsid w:val="00D44E74"/>
    <w:rsid w:val="00D45D13"/>
    <w:rsid w:val="00D4670C"/>
    <w:rsid w:val="00D5032B"/>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2B62"/>
    <w:rsid w:val="00D834BF"/>
    <w:rsid w:val="00D83566"/>
    <w:rsid w:val="00D83A7A"/>
    <w:rsid w:val="00D87F7C"/>
    <w:rsid w:val="00D901F5"/>
    <w:rsid w:val="00D922F3"/>
    <w:rsid w:val="00D94F8A"/>
    <w:rsid w:val="00D95797"/>
    <w:rsid w:val="00D97AA3"/>
    <w:rsid w:val="00D97DB1"/>
    <w:rsid w:val="00DA4809"/>
    <w:rsid w:val="00DA5140"/>
    <w:rsid w:val="00DA6FF2"/>
    <w:rsid w:val="00DB0E9D"/>
    <w:rsid w:val="00DB1352"/>
    <w:rsid w:val="00DB14A0"/>
    <w:rsid w:val="00DB282A"/>
    <w:rsid w:val="00DB5092"/>
    <w:rsid w:val="00DB578E"/>
    <w:rsid w:val="00DB5CAE"/>
    <w:rsid w:val="00DB6A53"/>
    <w:rsid w:val="00DB7DFC"/>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06BA"/>
    <w:rsid w:val="00DF1670"/>
    <w:rsid w:val="00DF17B9"/>
    <w:rsid w:val="00DF446B"/>
    <w:rsid w:val="00DF4AD0"/>
    <w:rsid w:val="00DF4D78"/>
    <w:rsid w:val="00DF6315"/>
    <w:rsid w:val="00DF6933"/>
    <w:rsid w:val="00DF7EA5"/>
    <w:rsid w:val="00E00CF7"/>
    <w:rsid w:val="00E01F9F"/>
    <w:rsid w:val="00E0282F"/>
    <w:rsid w:val="00E045CF"/>
    <w:rsid w:val="00E04AA9"/>
    <w:rsid w:val="00E062CA"/>
    <w:rsid w:val="00E07CF2"/>
    <w:rsid w:val="00E1148B"/>
    <w:rsid w:val="00E11AF7"/>
    <w:rsid w:val="00E1221D"/>
    <w:rsid w:val="00E1392A"/>
    <w:rsid w:val="00E13D6B"/>
    <w:rsid w:val="00E13D6E"/>
    <w:rsid w:val="00E146E3"/>
    <w:rsid w:val="00E14AB9"/>
    <w:rsid w:val="00E14BD5"/>
    <w:rsid w:val="00E16D4A"/>
    <w:rsid w:val="00E1759C"/>
    <w:rsid w:val="00E20A74"/>
    <w:rsid w:val="00E20F36"/>
    <w:rsid w:val="00E21375"/>
    <w:rsid w:val="00E21395"/>
    <w:rsid w:val="00E24A30"/>
    <w:rsid w:val="00E24C4A"/>
    <w:rsid w:val="00E267E2"/>
    <w:rsid w:val="00E26908"/>
    <w:rsid w:val="00E27D63"/>
    <w:rsid w:val="00E33693"/>
    <w:rsid w:val="00E3428D"/>
    <w:rsid w:val="00E34A59"/>
    <w:rsid w:val="00E377FC"/>
    <w:rsid w:val="00E4215F"/>
    <w:rsid w:val="00E44100"/>
    <w:rsid w:val="00E44421"/>
    <w:rsid w:val="00E44550"/>
    <w:rsid w:val="00E44B62"/>
    <w:rsid w:val="00E45546"/>
    <w:rsid w:val="00E45E74"/>
    <w:rsid w:val="00E45EBD"/>
    <w:rsid w:val="00E50B40"/>
    <w:rsid w:val="00E52E57"/>
    <w:rsid w:val="00E52EEC"/>
    <w:rsid w:val="00E55135"/>
    <w:rsid w:val="00E61224"/>
    <w:rsid w:val="00E61A58"/>
    <w:rsid w:val="00E6284E"/>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77EDD"/>
    <w:rsid w:val="00E824AC"/>
    <w:rsid w:val="00E85A34"/>
    <w:rsid w:val="00E86836"/>
    <w:rsid w:val="00E86DEA"/>
    <w:rsid w:val="00E87522"/>
    <w:rsid w:val="00E878A3"/>
    <w:rsid w:val="00E90321"/>
    <w:rsid w:val="00E909DB"/>
    <w:rsid w:val="00E90A93"/>
    <w:rsid w:val="00E90FF9"/>
    <w:rsid w:val="00E93780"/>
    <w:rsid w:val="00E9394F"/>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5FBF"/>
    <w:rsid w:val="00EC6836"/>
    <w:rsid w:val="00EC7448"/>
    <w:rsid w:val="00ED0216"/>
    <w:rsid w:val="00ED1268"/>
    <w:rsid w:val="00ED1F48"/>
    <w:rsid w:val="00ED3279"/>
    <w:rsid w:val="00ED398A"/>
    <w:rsid w:val="00ED3E27"/>
    <w:rsid w:val="00ED503E"/>
    <w:rsid w:val="00ED5625"/>
    <w:rsid w:val="00ED586C"/>
    <w:rsid w:val="00ED5BF4"/>
    <w:rsid w:val="00ED66E2"/>
    <w:rsid w:val="00EE1637"/>
    <w:rsid w:val="00EE2245"/>
    <w:rsid w:val="00EE258A"/>
    <w:rsid w:val="00EE3710"/>
    <w:rsid w:val="00EE3F41"/>
    <w:rsid w:val="00EE6795"/>
    <w:rsid w:val="00EE727A"/>
    <w:rsid w:val="00EE738C"/>
    <w:rsid w:val="00EF0FEC"/>
    <w:rsid w:val="00EF144E"/>
    <w:rsid w:val="00EF5BE6"/>
    <w:rsid w:val="00EF668C"/>
    <w:rsid w:val="00F0077A"/>
    <w:rsid w:val="00F00984"/>
    <w:rsid w:val="00F00BF7"/>
    <w:rsid w:val="00F01181"/>
    <w:rsid w:val="00F01C39"/>
    <w:rsid w:val="00F021EC"/>
    <w:rsid w:val="00F05024"/>
    <w:rsid w:val="00F06E6A"/>
    <w:rsid w:val="00F075F7"/>
    <w:rsid w:val="00F07D51"/>
    <w:rsid w:val="00F11186"/>
    <w:rsid w:val="00F11B2E"/>
    <w:rsid w:val="00F11DA4"/>
    <w:rsid w:val="00F12670"/>
    <w:rsid w:val="00F13265"/>
    <w:rsid w:val="00F13CBD"/>
    <w:rsid w:val="00F13DA0"/>
    <w:rsid w:val="00F14B3B"/>
    <w:rsid w:val="00F1501A"/>
    <w:rsid w:val="00F27279"/>
    <w:rsid w:val="00F27E50"/>
    <w:rsid w:val="00F3039A"/>
    <w:rsid w:val="00F3042C"/>
    <w:rsid w:val="00F318E6"/>
    <w:rsid w:val="00F31D30"/>
    <w:rsid w:val="00F35B96"/>
    <w:rsid w:val="00F37CDB"/>
    <w:rsid w:val="00F4015B"/>
    <w:rsid w:val="00F40583"/>
    <w:rsid w:val="00F40D29"/>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201"/>
    <w:rsid w:val="00F66476"/>
    <w:rsid w:val="00F665B7"/>
    <w:rsid w:val="00F67496"/>
    <w:rsid w:val="00F67660"/>
    <w:rsid w:val="00F707FA"/>
    <w:rsid w:val="00F71BB8"/>
    <w:rsid w:val="00F73A42"/>
    <w:rsid w:val="00F73AF2"/>
    <w:rsid w:val="00F73F9C"/>
    <w:rsid w:val="00F74D0F"/>
    <w:rsid w:val="00F769ED"/>
    <w:rsid w:val="00F76B6A"/>
    <w:rsid w:val="00F76F16"/>
    <w:rsid w:val="00F7706B"/>
    <w:rsid w:val="00F80026"/>
    <w:rsid w:val="00F80BD5"/>
    <w:rsid w:val="00F81555"/>
    <w:rsid w:val="00F82640"/>
    <w:rsid w:val="00F84DCF"/>
    <w:rsid w:val="00F85651"/>
    <w:rsid w:val="00F85BA1"/>
    <w:rsid w:val="00F87806"/>
    <w:rsid w:val="00F93B53"/>
    <w:rsid w:val="00F93D9F"/>
    <w:rsid w:val="00F95129"/>
    <w:rsid w:val="00FA0D2B"/>
    <w:rsid w:val="00FA27BC"/>
    <w:rsid w:val="00FA5277"/>
    <w:rsid w:val="00FA6913"/>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C479F"/>
    <w:rsid w:val="00FC4C35"/>
    <w:rsid w:val="00FC7C83"/>
    <w:rsid w:val="00FD056B"/>
    <w:rsid w:val="00FD12F3"/>
    <w:rsid w:val="00FD200F"/>
    <w:rsid w:val="00FD3C26"/>
    <w:rsid w:val="00FD4C59"/>
    <w:rsid w:val="00FE14CA"/>
    <w:rsid w:val="00FE40B2"/>
    <w:rsid w:val="00FE6BB9"/>
    <w:rsid w:val="00FE7192"/>
    <w:rsid w:val="00FE7AC3"/>
    <w:rsid w:val="00FF3E7E"/>
    <w:rsid w:val="00FF5172"/>
    <w:rsid w:val="00FF6104"/>
    <w:rsid w:val="00FF6422"/>
    <w:rsid w:val="00FF64A0"/>
    <w:rsid w:val="00FF7D31"/>
    <w:rsid w:val="014F2F1A"/>
    <w:rsid w:val="015359AB"/>
    <w:rsid w:val="01684CDC"/>
    <w:rsid w:val="016F7F01"/>
    <w:rsid w:val="017725E7"/>
    <w:rsid w:val="01956EE8"/>
    <w:rsid w:val="02691BF4"/>
    <w:rsid w:val="02722DB7"/>
    <w:rsid w:val="02813929"/>
    <w:rsid w:val="02814CE3"/>
    <w:rsid w:val="02982E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E71585"/>
    <w:rsid w:val="05F30315"/>
    <w:rsid w:val="0602185E"/>
    <w:rsid w:val="06424364"/>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A34F55"/>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3B5775"/>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0D557E"/>
    <w:rsid w:val="131F5F39"/>
    <w:rsid w:val="133A4BEB"/>
    <w:rsid w:val="134176DB"/>
    <w:rsid w:val="13627322"/>
    <w:rsid w:val="13743D71"/>
    <w:rsid w:val="13753078"/>
    <w:rsid w:val="13876133"/>
    <w:rsid w:val="139D423C"/>
    <w:rsid w:val="139E459A"/>
    <w:rsid w:val="13DA36B2"/>
    <w:rsid w:val="14076394"/>
    <w:rsid w:val="14112A49"/>
    <w:rsid w:val="143E021E"/>
    <w:rsid w:val="14674D59"/>
    <w:rsid w:val="146D7065"/>
    <w:rsid w:val="148E216F"/>
    <w:rsid w:val="14A254B8"/>
    <w:rsid w:val="14BC5E70"/>
    <w:rsid w:val="14C672CD"/>
    <w:rsid w:val="14DE2975"/>
    <w:rsid w:val="14FD6531"/>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D856D8"/>
    <w:rsid w:val="1CEE1F73"/>
    <w:rsid w:val="1CFA75DD"/>
    <w:rsid w:val="1CFC16DE"/>
    <w:rsid w:val="1D1A2F73"/>
    <w:rsid w:val="1D265AD0"/>
    <w:rsid w:val="1D4860AC"/>
    <w:rsid w:val="1D4F6142"/>
    <w:rsid w:val="1D527E58"/>
    <w:rsid w:val="1D714C82"/>
    <w:rsid w:val="1D8532A9"/>
    <w:rsid w:val="1DC62616"/>
    <w:rsid w:val="1DD9496F"/>
    <w:rsid w:val="1E173D2E"/>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072C1"/>
    <w:rsid w:val="22F418E1"/>
    <w:rsid w:val="22FB2088"/>
    <w:rsid w:val="230A71CF"/>
    <w:rsid w:val="23112E7E"/>
    <w:rsid w:val="23576FB8"/>
    <w:rsid w:val="237118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842D0C"/>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9A283F"/>
    <w:rsid w:val="26BA798F"/>
    <w:rsid w:val="26C76569"/>
    <w:rsid w:val="26EC188F"/>
    <w:rsid w:val="270F110A"/>
    <w:rsid w:val="27101906"/>
    <w:rsid w:val="273C75C1"/>
    <w:rsid w:val="27426D58"/>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9F901D6"/>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03C21"/>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6FD3892"/>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ADD0C14"/>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46AD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78250A"/>
    <w:rsid w:val="44800C43"/>
    <w:rsid w:val="44DB4FCD"/>
    <w:rsid w:val="451B11A5"/>
    <w:rsid w:val="453A68D8"/>
    <w:rsid w:val="45803D6A"/>
    <w:rsid w:val="45880DC1"/>
    <w:rsid w:val="45B34DBA"/>
    <w:rsid w:val="45BA5886"/>
    <w:rsid w:val="45DF4336"/>
    <w:rsid w:val="460F1470"/>
    <w:rsid w:val="46276F82"/>
    <w:rsid w:val="4630621B"/>
    <w:rsid w:val="46483BF1"/>
    <w:rsid w:val="4670640B"/>
    <w:rsid w:val="46BA238C"/>
    <w:rsid w:val="46C44CB1"/>
    <w:rsid w:val="46D31D07"/>
    <w:rsid w:val="46D65712"/>
    <w:rsid w:val="472C71B9"/>
    <w:rsid w:val="473D19FE"/>
    <w:rsid w:val="47871B91"/>
    <w:rsid w:val="47E27C6C"/>
    <w:rsid w:val="48184CDA"/>
    <w:rsid w:val="48440270"/>
    <w:rsid w:val="488055D6"/>
    <w:rsid w:val="489216CA"/>
    <w:rsid w:val="48B07259"/>
    <w:rsid w:val="48E151A3"/>
    <w:rsid w:val="48F641E3"/>
    <w:rsid w:val="49041B1F"/>
    <w:rsid w:val="49143F28"/>
    <w:rsid w:val="491C4DB9"/>
    <w:rsid w:val="49376612"/>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4D061A"/>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22C71"/>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047D5D"/>
    <w:rsid w:val="58346AE0"/>
    <w:rsid w:val="58461A4D"/>
    <w:rsid w:val="5852271D"/>
    <w:rsid w:val="58706933"/>
    <w:rsid w:val="589A4E1B"/>
    <w:rsid w:val="58BD4574"/>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6C1BB9"/>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4693D"/>
    <w:rsid w:val="6BFB01BD"/>
    <w:rsid w:val="6BFE5EAF"/>
    <w:rsid w:val="6C155E31"/>
    <w:rsid w:val="6C1A746E"/>
    <w:rsid w:val="6C1D722B"/>
    <w:rsid w:val="6C2161AA"/>
    <w:rsid w:val="6C3E41ED"/>
    <w:rsid w:val="6C4677E8"/>
    <w:rsid w:val="6C6F0840"/>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9D1FA2"/>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086E6B"/>
    <w:rsid w:val="73114271"/>
    <w:rsid w:val="733B61CF"/>
    <w:rsid w:val="73546BA4"/>
    <w:rsid w:val="7360734D"/>
    <w:rsid w:val="736B60F2"/>
    <w:rsid w:val="737E6E1F"/>
    <w:rsid w:val="73C23401"/>
    <w:rsid w:val="73DE6DF5"/>
    <w:rsid w:val="73E54A68"/>
    <w:rsid w:val="742A7075"/>
    <w:rsid w:val="743B3197"/>
    <w:rsid w:val="743B7B94"/>
    <w:rsid w:val="7444206E"/>
    <w:rsid w:val="7455337E"/>
    <w:rsid w:val="747913A3"/>
    <w:rsid w:val="749D0716"/>
    <w:rsid w:val="74A84516"/>
    <w:rsid w:val="74AA0F3E"/>
    <w:rsid w:val="74B33A93"/>
    <w:rsid w:val="74FA131B"/>
    <w:rsid w:val="75235950"/>
    <w:rsid w:val="753B039A"/>
    <w:rsid w:val="753B4B58"/>
    <w:rsid w:val="756A2B2A"/>
    <w:rsid w:val="757F689B"/>
    <w:rsid w:val="758768A9"/>
    <w:rsid w:val="75BF5554"/>
    <w:rsid w:val="75FA2D4B"/>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6A065C"/>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A95709"/>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408C3"/>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177"/>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unhideWhenUsed/>
    <w:qFormat/>
    <w:uiPriority w:val="99"/>
    <w:pPr>
      <w:ind w:firstLine="420" w:firstLineChars="200"/>
    </w:pPr>
    <w:rPr>
      <w:rFonts w:ascii="Calibri" w:hAnsi="Calibri"/>
      <w:szCs w:val="26"/>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paragraph" w:styleId="57">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99"/>
    <w:rPr>
      <w:rFonts w:cs="Times New Roman"/>
      <w:b/>
    </w:rPr>
  </w:style>
  <w:style w:type="character" w:styleId="62">
    <w:name w:val="endnote reference"/>
    <w:qFormat/>
    <w:locked/>
    <w:uiPriority w:val="0"/>
    <w:rPr>
      <w:vertAlign w:val="superscript"/>
    </w:rPr>
  </w:style>
  <w:style w:type="character" w:styleId="63">
    <w:name w:val="page number"/>
    <w:basedOn w:val="60"/>
    <w:qFormat/>
    <w:uiPriority w:val="0"/>
    <w:rPr>
      <w:rFonts w:cs="Times New Roman"/>
    </w:rPr>
  </w:style>
  <w:style w:type="character" w:styleId="64">
    <w:name w:val="FollowedHyperlink"/>
    <w:basedOn w:val="60"/>
    <w:qFormat/>
    <w:uiPriority w:val="0"/>
    <w:rPr>
      <w:rFonts w:cs="Times New Roman"/>
      <w:color w:val="954F72"/>
      <w:u w:val="single"/>
    </w:rPr>
  </w:style>
  <w:style w:type="character" w:styleId="65">
    <w:name w:val="Emphasis"/>
    <w:basedOn w:val="60"/>
    <w:qFormat/>
    <w:uiPriority w:val="99"/>
    <w:rPr>
      <w:rFonts w:cs="Times New Roman"/>
      <w:i/>
    </w:rPr>
  </w:style>
  <w:style w:type="character" w:styleId="66">
    <w:name w:val="line number"/>
    <w:basedOn w:val="60"/>
    <w:qFormat/>
    <w:uiPriority w:val="0"/>
    <w:rPr>
      <w:rFonts w:cs="Times New Roman"/>
    </w:rPr>
  </w:style>
  <w:style w:type="character" w:styleId="67">
    <w:name w:val="HTML Definition"/>
    <w:basedOn w:val="60"/>
    <w:qFormat/>
    <w:uiPriority w:val="99"/>
    <w:rPr>
      <w:rFonts w:cs="Times New Roman"/>
      <w:i/>
    </w:rPr>
  </w:style>
  <w:style w:type="character" w:styleId="68">
    <w:name w:val="Hyperlink"/>
    <w:basedOn w:val="60"/>
    <w:qFormat/>
    <w:uiPriority w:val="0"/>
    <w:rPr>
      <w:rFonts w:cs="Times New Roman"/>
      <w:color w:val="0000FF"/>
      <w:u w:val="single"/>
    </w:rPr>
  </w:style>
  <w:style w:type="character" w:styleId="69">
    <w:name w:val="HTML Code"/>
    <w:basedOn w:val="60"/>
    <w:qFormat/>
    <w:uiPriority w:val="99"/>
    <w:rPr>
      <w:rFonts w:ascii="Menlo" w:hAnsi="Menlo" w:cs="Times New Roman"/>
      <w:color w:val="C7254E"/>
      <w:sz w:val="21"/>
      <w:shd w:val="clear" w:color="auto" w:fill="F9F2F4"/>
    </w:rPr>
  </w:style>
  <w:style w:type="character" w:styleId="70">
    <w:name w:val="annotation reference"/>
    <w:basedOn w:val="60"/>
    <w:semiHidden/>
    <w:qFormat/>
    <w:uiPriority w:val="99"/>
    <w:rPr>
      <w:rFonts w:cs="Times New Roman"/>
      <w:sz w:val="21"/>
    </w:rPr>
  </w:style>
  <w:style w:type="character" w:styleId="71">
    <w:name w:val="HTML Cite"/>
    <w:basedOn w:val="60"/>
    <w:qFormat/>
    <w:uiPriority w:val="99"/>
    <w:rPr>
      <w:rFonts w:cs="Times New Roman"/>
    </w:rPr>
  </w:style>
  <w:style w:type="character" w:styleId="72">
    <w:name w:val="footnote reference"/>
    <w:basedOn w:val="60"/>
    <w:semiHidden/>
    <w:qFormat/>
    <w:uiPriority w:val="99"/>
    <w:rPr>
      <w:rFonts w:cs="Times New Roman"/>
      <w:vertAlign w:val="superscript"/>
    </w:rPr>
  </w:style>
  <w:style w:type="character" w:styleId="73">
    <w:name w:val="HTML Keyboard"/>
    <w:basedOn w:val="60"/>
    <w:qFormat/>
    <w:uiPriority w:val="99"/>
    <w:rPr>
      <w:rFonts w:ascii="Menlo" w:hAnsi="Menlo" w:cs="Times New Roman"/>
      <w:sz w:val="21"/>
    </w:rPr>
  </w:style>
  <w:style w:type="character" w:styleId="74">
    <w:name w:val="HTML Sample"/>
    <w:basedOn w:val="60"/>
    <w:qFormat/>
    <w:uiPriority w:val="99"/>
    <w:rPr>
      <w:rFonts w:ascii="Menlo" w:hAnsi="Menlo" w:cs="Times New Roman"/>
      <w:sz w:val="21"/>
    </w:rPr>
  </w:style>
  <w:style w:type="paragraph" w:customStyle="1" w:styleId="7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6">
    <w:name w:val="正文文本首行缩进 2"/>
    <w:basedOn w:val="3"/>
    <w:unhideWhenUsed/>
    <w:qFormat/>
    <w:uiPriority w:val="99"/>
    <w:pPr>
      <w:ind w:firstLine="420" w:firstLineChars="200"/>
    </w:pPr>
    <w:rPr>
      <w:rFonts w:ascii="Calibri" w:hAnsi="Calibri"/>
      <w:szCs w:val="26"/>
    </w:rPr>
  </w:style>
  <w:style w:type="character" w:customStyle="1" w:styleId="77">
    <w:name w:val="标题 1 Char"/>
    <w:basedOn w:val="60"/>
    <w:link w:val="5"/>
    <w:qFormat/>
    <w:locked/>
    <w:uiPriority w:val="99"/>
    <w:rPr>
      <w:rFonts w:eastAsia="楷体_GB2312" w:cs="Times New Roman"/>
      <w:b/>
      <w:kern w:val="44"/>
      <w:sz w:val="44"/>
    </w:rPr>
  </w:style>
  <w:style w:type="character" w:customStyle="1" w:styleId="78">
    <w:name w:val="标题 2 Char"/>
    <w:basedOn w:val="60"/>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60"/>
    <w:link w:val="7"/>
    <w:semiHidden/>
    <w:qFormat/>
    <w:locked/>
    <w:uiPriority w:val="99"/>
    <w:rPr>
      <w:rFonts w:eastAsia="楷体_GB2312" w:cs="Times New Roman"/>
      <w:b/>
      <w:sz w:val="32"/>
    </w:rPr>
  </w:style>
  <w:style w:type="character" w:customStyle="1" w:styleId="80">
    <w:name w:val="标题 5 Char"/>
    <w:basedOn w:val="60"/>
    <w:link w:val="9"/>
    <w:semiHidden/>
    <w:qFormat/>
    <w:locked/>
    <w:uiPriority w:val="99"/>
    <w:rPr>
      <w:rFonts w:eastAsia="楷体_GB2312" w:cs="Times New Roman"/>
      <w:b/>
      <w:sz w:val="28"/>
    </w:rPr>
  </w:style>
  <w:style w:type="character" w:customStyle="1" w:styleId="81">
    <w:name w:val="标题 6 Char"/>
    <w:basedOn w:val="60"/>
    <w:link w:val="11"/>
    <w:semiHidden/>
    <w:qFormat/>
    <w:locked/>
    <w:uiPriority w:val="99"/>
    <w:rPr>
      <w:rFonts w:ascii="Cambria" w:hAnsi="Cambria" w:eastAsia="宋体" w:cs="Times New Roman"/>
      <w:b/>
      <w:sz w:val="24"/>
    </w:rPr>
  </w:style>
  <w:style w:type="character" w:customStyle="1" w:styleId="82">
    <w:name w:val="标题 7 Char"/>
    <w:basedOn w:val="60"/>
    <w:link w:val="12"/>
    <w:semiHidden/>
    <w:qFormat/>
    <w:locked/>
    <w:uiPriority w:val="99"/>
    <w:rPr>
      <w:rFonts w:eastAsia="楷体_GB2312" w:cs="Times New Roman"/>
      <w:b/>
      <w:sz w:val="24"/>
    </w:rPr>
  </w:style>
  <w:style w:type="character" w:customStyle="1" w:styleId="83">
    <w:name w:val="标题 8 Char"/>
    <w:basedOn w:val="60"/>
    <w:link w:val="13"/>
    <w:semiHidden/>
    <w:qFormat/>
    <w:locked/>
    <w:uiPriority w:val="99"/>
    <w:rPr>
      <w:rFonts w:ascii="Cambria" w:hAnsi="Cambria" w:eastAsia="宋体" w:cs="Times New Roman"/>
      <w:sz w:val="24"/>
    </w:rPr>
  </w:style>
  <w:style w:type="character" w:customStyle="1" w:styleId="84">
    <w:name w:val="标题 9 Char"/>
    <w:basedOn w:val="60"/>
    <w:link w:val="14"/>
    <w:semiHidden/>
    <w:qFormat/>
    <w:locked/>
    <w:uiPriority w:val="99"/>
    <w:rPr>
      <w:rFonts w:ascii="Cambria" w:hAnsi="Cambria" w:eastAsia="宋体" w:cs="Times New Roman"/>
      <w:sz w:val="21"/>
    </w:rPr>
  </w:style>
  <w:style w:type="character" w:customStyle="1" w:styleId="85">
    <w:name w:val="批注文字 Char"/>
    <w:basedOn w:val="60"/>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60"/>
    <w:link w:val="19"/>
    <w:semiHidden/>
    <w:qFormat/>
    <w:locked/>
    <w:uiPriority w:val="99"/>
    <w:rPr>
      <w:rFonts w:eastAsia="楷体_GB2312" w:cs="Times New Roman"/>
      <w:sz w:val="2"/>
    </w:rPr>
  </w:style>
  <w:style w:type="character" w:customStyle="1" w:styleId="88">
    <w:name w:val="正文文本 Char"/>
    <w:basedOn w:val="60"/>
    <w:link w:val="24"/>
    <w:qFormat/>
    <w:locked/>
    <w:uiPriority w:val="0"/>
    <w:rPr>
      <w:rFonts w:eastAsia="楷体_GB2312" w:cs="Times New Roman"/>
      <w:sz w:val="20"/>
    </w:rPr>
  </w:style>
  <w:style w:type="character" w:customStyle="1" w:styleId="89">
    <w:name w:val="正文文本缩进 Char"/>
    <w:basedOn w:val="60"/>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60"/>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60"/>
    <w:link w:val="31"/>
    <w:qFormat/>
    <w:locked/>
    <w:uiPriority w:val="0"/>
    <w:rPr>
      <w:rFonts w:eastAsia="楷体_GB2312" w:cs="Times New Roman"/>
      <w:sz w:val="20"/>
    </w:rPr>
  </w:style>
  <w:style w:type="character" w:customStyle="1" w:styleId="92">
    <w:name w:val="正文文本缩进 2 Char"/>
    <w:basedOn w:val="60"/>
    <w:link w:val="32"/>
    <w:semiHidden/>
    <w:qFormat/>
    <w:locked/>
    <w:uiPriority w:val="99"/>
    <w:rPr>
      <w:rFonts w:eastAsia="楷体_GB2312" w:cs="Times New Roman"/>
      <w:sz w:val="20"/>
    </w:rPr>
  </w:style>
  <w:style w:type="character" w:customStyle="1" w:styleId="93">
    <w:name w:val="批注框文本 Char"/>
    <w:basedOn w:val="60"/>
    <w:link w:val="34"/>
    <w:semiHidden/>
    <w:qFormat/>
    <w:locked/>
    <w:uiPriority w:val="99"/>
    <w:rPr>
      <w:rFonts w:eastAsia="楷体_GB2312" w:cs="Times New Roman"/>
      <w:sz w:val="2"/>
    </w:rPr>
  </w:style>
  <w:style w:type="character" w:customStyle="1" w:styleId="94">
    <w:name w:val="页脚 Char"/>
    <w:basedOn w:val="60"/>
    <w:link w:val="35"/>
    <w:qFormat/>
    <w:locked/>
    <w:uiPriority w:val="0"/>
    <w:rPr>
      <w:rFonts w:eastAsia="楷体_GB2312" w:cs="Times New Roman"/>
      <w:sz w:val="18"/>
    </w:rPr>
  </w:style>
  <w:style w:type="character" w:customStyle="1" w:styleId="95">
    <w:name w:val="页眉 Char"/>
    <w:basedOn w:val="60"/>
    <w:link w:val="36"/>
    <w:qFormat/>
    <w:locked/>
    <w:uiPriority w:val="99"/>
    <w:rPr>
      <w:rFonts w:eastAsia="楷体_GB2312" w:cs="Times New Roman"/>
      <w:kern w:val="2"/>
      <w:sz w:val="18"/>
    </w:rPr>
  </w:style>
  <w:style w:type="character" w:customStyle="1" w:styleId="96">
    <w:name w:val="脚注文本 Char"/>
    <w:basedOn w:val="60"/>
    <w:link w:val="42"/>
    <w:semiHidden/>
    <w:qFormat/>
    <w:locked/>
    <w:uiPriority w:val="99"/>
    <w:rPr>
      <w:rFonts w:eastAsia="楷体_GB2312" w:cs="Times New Roman"/>
      <w:sz w:val="18"/>
    </w:rPr>
  </w:style>
  <w:style w:type="character" w:customStyle="1" w:styleId="97">
    <w:name w:val="正文文本缩进 3 Char"/>
    <w:basedOn w:val="60"/>
    <w:link w:val="44"/>
    <w:qFormat/>
    <w:locked/>
    <w:uiPriority w:val="0"/>
    <w:rPr>
      <w:rFonts w:eastAsia="楷体_GB2312" w:cs="Times New Roman"/>
      <w:sz w:val="16"/>
    </w:rPr>
  </w:style>
  <w:style w:type="character" w:customStyle="1" w:styleId="98">
    <w:name w:val="HTML 预设格式 Char"/>
    <w:basedOn w:val="60"/>
    <w:link w:val="51"/>
    <w:semiHidden/>
    <w:qFormat/>
    <w:locked/>
    <w:uiPriority w:val="99"/>
    <w:rPr>
      <w:rFonts w:ascii="Courier New" w:hAnsi="Courier New" w:eastAsia="楷体_GB2312" w:cs="Times New Roman"/>
      <w:sz w:val="20"/>
    </w:rPr>
  </w:style>
  <w:style w:type="character" w:customStyle="1" w:styleId="99">
    <w:name w:val="标题 Char"/>
    <w:basedOn w:val="60"/>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60"/>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60"/>
    <w:link w:val="50"/>
    <w:qFormat/>
    <w:uiPriority w:val="0"/>
    <w:rPr>
      <w:rFonts w:ascii="仿宋_GB2312" w:eastAsia="仿宋_GB2312"/>
      <w:sz w:val="24"/>
      <w:szCs w:val="24"/>
    </w:rPr>
  </w:style>
  <w:style w:type="character" w:customStyle="1" w:styleId="146">
    <w:name w:val="正文文本 3 Char"/>
    <w:basedOn w:val="60"/>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60"/>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60"/>
    <w:link w:val="33"/>
    <w:semiHidden/>
    <w:qFormat/>
    <w:uiPriority w:val="99"/>
    <w:rPr>
      <w:rFonts w:eastAsia="楷体_GB2312"/>
      <w:kern w:val="2"/>
      <w:sz w:val="26"/>
    </w:rPr>
  </w:style>
  <w:style w:type="character" w:customStyle="1" w:styleId="152">
    <w:name w:val="正文首行缩进 2 Char1"/>
    <w:basedOn w:val="89"/>
    <w:link w:val="57"/>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60"/>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 w:type="character" w:customStyle="1" w:styleId="177">
    <w:name w:val="标题 2 Char1"/>
    <w:link w:val="6"/>
    <w:qFormat/>
    <w:locked/>
    <w:uiPriority w:val="99"/>
    <w:rPr>
      <w:rFonts w:ascii="宋体" w:hAnsi="宋体" w:eastAsia="楷体_GB2312" w:cs="Times New Roman"/>
      <w:b/>
      <w:kern w:val="2"/>
      <w:sz w:val="26"/>
      <w:lang w:val="en-US" w:eastAsia="zh-CN"/>
    </w:rPr>
  </w:style>
  <w:style w:type="paragraph" w:customStyle="1" w:styleId="178">
    <w:name w:val="正文 A"/>
    <w:qFormat/>
    <w:uiPriority w:val="0"/>
    <w:pPr>
      <w:widowControl w:val="0"/>
      <w:jc w:val="both"/>
    </w:pPr>
    <w:rPr>
      <w:rFonts w:ascii="Calibri" w:hAnsi="Calibri" w:eastAsia="Times New Roman"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19817</Words>
  <Characters>20092</Characters>
  <Lines>152</Lines>
  <Paragraphs>42</Paragraphs>
  <TotalTime>2</TotalTime>
  <ScaleCrop>false</ScaleCrop>
  <LinksUpToDate>false</LinksUpToDate>
  <CharactersWithSpaces>20798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2022-05-17T00:39:00Z</dcterms:created>
  <dc:creator>gt2017020601</dc:creator>
  <cp:lastModifiedBy>gt2017020601</cp:lastModifiedBy>
  <cp:lastPrinted>2022-05-16T00:39:00Z</cp:lastPrinted>
  <dcterms:modified xsi:type="dcterms:W3CDTF">2022-05-30T07:33:48Z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AF5A176715BD496D8BA27BCB9353B199</vt:lpwstr>
  </property>
</Properties>
</file>